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auto"/>
          <w:sz w:val="44"/>
          <w:szCs w:val="48"/>
          <w:highlight w:val="none"/>
        </w:rPr>
      </w:pPr>
    </w:p>
    <w:p>
      <w:pPr>
        <w:pStyle w:val="4"/>
        <w:ind w:firstLine="440"/>
        <w:rPr>
          <w:rFonts w:eastAsiaTheme="minorEastAsia"/>
          <w:color w:val="auto"/>
          <w:highlight w:val="none"/>
        </w:rPr>
      </w:pPr>
    </w:p>
    <w:p>
      <w:pPr>
        <w:pStyle w:val="4"/>
        <w:ind w:firstLine="440"/>
        <w:rPr>
          <w:rFonts w:eastAsiaTheme="minorEastAsia"/>
          <w:color w:val="auto"/>
          <w:highlight w:val="none"/>
        </w:rPr>
      </w:pPr>
    </w:p>
    <w:p>
      <w:pPr>
        <w:spacing w:line="360" w:lineRule="auto"/>
        <w:jc w:val="center"/>
        <w:rPr>
          <w:color w:val="auto"/>
          <w:sz w:val="32"/>
          <w:highlight w:val="none"/>
        </w:rPr>
      </w:pPr>
      <w:r>
        <w:rPr>
          <w:rFonts w:hint="eastAsia" w:ascii="宋体" w:hAnsi="宋体"/>
          <w:b/>
          <w:color w:val="auto"/>
          <w:sz w:val="44"/>
          <w:szCs w:val="48"/>
          <w:highlight w:val="none"/>
        </w:rPr>
        <w:t>广东省人民医院白云院区项目第三方检测监测服务</w:t>
      </w:r>
    </w:p>
    <w:p>
      <w:pPr>
        <w:spacing w:line="360" w:lineRule="auto"/>
        <w:rPr>
          <w:rFonts w:ascii="宋体"/>
          <w:b/>
          <w:bCs/>
          <w:color w:val="auto"/>
          <w:spacing w:val="40"/>
          <w:sz w:val="44"/>
          <w:szCs w:val="44"/>
          <w:highlight w:val="none"/>
        </w:rPr>
      </w:pPr>
    </w:p>
    <w:p>
      <w:pPr>
        <w:spacing w:line="360" w:lineRule="auto"/>
        <w:jc w:val="left"/>
        <w:rPr>
          <w:color w:val="auto"/>
          <w:sz w:val="36"/>
          <w:highlight w:val="none"/>
          <w:u w:val="single"/>
        </w:rPr>
      </w:pPr>
    </w:p>
    <w:p>
      <w:pPr>
        <w:pStyle w:val="4"/>
        <w:ind w:left="0" w:leftChars="0" w:firstLine="0" w:firstLineChars="0"/>
        <w:rPr>
          <w:rFonts w:eastAsiaTheme="minorEastAsia"/>
          <w:color w:val="auto"/>
          <w:highlight w:val="none"/>
        </w:rPr>
      </w:pPr>
    </w:p>
    <w:p>
      <w:pPr>
        <w:pStyle w:val="4"/>
        <w:ind w:left="0" w:leftChars="0" w:firstLine="0" w:firstLineChars="0"/>
        <w:rPr>
          <w:rFonts w:eastAsiaTheme="minorEastAsia"/>
          <w:color w:val="auto"/>
          <w:highlight w:val="none"/>
        </w:rPr>
      </w:pPr>
    </w:p>
    <w:p>
      <w:pPr>
        <w:pStyle w:val="4"/>
        <w:ind w:left="0" w:leftChars="0" w:firstLine="0" w:firstLineChars="0"/>
        <w:rPr>
          <w:rFonts w:eastAsiaTheme="minorEastAsia"/>
          <w:color w:val="auto"/>
          <w:highlight w:val="none"/>
        </w:rPr>
      </w:pPr>
    </w:p>
    <w:p>
      <w:pPr>
        <w:spacing w:line="360" w:lineRule="auto"/>
        <w:jc w:val="left"/>
        <w:rPr>
          <w:color w:val="auto"/>
          <w:sz w:val="36"/>
          <w:highlight w:val="none"/>
          <w:u w:val="single"/>
        </w:rPr>
      </w:pPr>
    </w:p>
    <w:p>
      <w:pPr>
        <w:spacing w:line="360" w:lineRule="auto"/>
        <w:jc w:val="center"/>
        <w:rPr>
          <w:rFonts w:ascii="宋体" w:hAnsi="宋体"/>
          <w:b/>
          <w:bCs/>
          <w:color w:val="auto"/>
          <w:spacing w:val="26"/>
          <w:sz w:val="110"/>
          <w:szCs w:val="110"/>
          <w:highlight w:val="none"/>
        </w:rPr>
      </w:pPr>
      <w:r>
        <w:rPr>
          <w:rFonts w:hint="eastAsia" w:ascii="宋体" w:hAnsi="宋体"/>
          <w:b/>
          <w:bCs/>
          <w:color w:val="auto"/>
          <w:spacing w:val="26"/>
          <w:sz w:val="96"/>
          <w:szCs w:val="110"/>
          <w:highlight w:val="none"/>
        </w:rPr>
        <w:t>招标公告</w:t>
      </w:r>
    </w:p>
    <w:p>
      <w:pPr>
        <w:spacing w:line="360" w:lineRule="auto"/>
        <w:rPr>
          <w:color w:val="auto"/>
          <w:sz w:val="32"/>
          <w:highlight w:val="none"/>
        </w:rPr>
      </w:pPr>
    </w:p>
    <w:p>
      <w:pPr>
        <w:spacing w:line="360" w:lineRule="auto"/>
        <w:rPr>
          <w:color w:val="auto"/>
          <w:sz w:val="52"/>
          <w:highlight w:val="none"/>
        </w:rPr>
      </w:pPr>
    </w:p>
    <w:p>
      <w:pPr>
        <w:spacing w:line="360" w:lineRule="auto"/>
        <w:rPr>
          <w:color w:val="auto"/>
          <w:sz w:val="52"/>
          <w:highlight w:val="none"/>
        </w:rPr>
      </w:pPr>
    </w:p>
    <w:p>
      <w:pPr>
        <w:spacing w:line="360" w:lineRule="auto"/>
        <w:rPr>
          <w:color w:val="auto"/>
          <w:sz w:val="32"/>
          <w:highlight w:val="none"/>
        </w:rPr>
      </w:pPr>
    </w:p>
    <w:p>
      <w:pPr>
        <w:pStyle w:val="4"/>
        <w:ind w:left="0" w:leftChars="0" w:firstLine="0" w:firstLineChars="0"/>
        <w:rPr>
          <w:rFonts w:eastAsiaTheme="minorEastAsia"/>
          <w:color w:val="auto"/>
          <w:highlight w:val="none"/>
        </w:rPr>
      </w:pPr>
    </w:p>
    <w:p>
      <w:pPr>
        <w:spacing w:line="48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招标单位：广东省人民医院</w:t>
      </w:r>
    </w:p>
    <w:p>
      <w:pPr>
        <w:spacing w:line="480" w:lineRule="auto"/>
        <w:ind w:firstLine="1600" w:firstLineChars="500"/>
        <w:rPr>
          <w:rFonts w:ascii="宋体" w:hAnsi="宋体" w:cs="宋体"/>
          <w:color w:val="auto"/>
          <w:sz w:val="32"/>
          <w:szCs w:val="32"/>
          <w:highlight w:val="none"/>
        </w:rPr>
      </w:pPr>
      <w:r>
        <w:rPr>
          <w:rFonts w:hint="eastAsia" w:ascii="宋体" w:hAnsi="宋体" w:cs="宋体"/>
          <w:color w:val="auto"/>
          <w:sz w:val="32"/>
          <w:szCs w:val="32"/>
          <w:highlight w:val="none"/>
        </w:rPr>
        <w:t>招标代理机构：广东粤能工程管理有限公司</w:t>
      </w:r>
    </w:p>
    <w:p>
      <w:pPr>
        <w:spacing w:line="360" w:lineRule="auto"/>
        <w:ind w:firstLine="2560" w:firstLineChars="800"/>
        <w:rPr>
          <w:color w:val="auto"/>
          <w:sz w:val="32"/>
          <w:highlight w:val="none"/>
        </w:rPr>
      </w:pPr>
      <w:r>
        <w:rPr>
          <w:rFonts w:hint="eastAsia" w:ascii="宋体" w:hAnsi="宋体" w:cs="宋体"/>
          <w:color w:val="auto"/>
          <w:sz w:val="32"/>
          <w:szCs w:val="32"/>
          <w:highlight w:val="none"/>
        </w:rPr>
        <w:t>日期：</w:t>
      </w:r>
      <w:r>
        <w:rPr>
          <w:rFonts w:ascii="宋体" w:hAnsi="宋体" w:cs="宋体"/>
          <w:color w:val="auto"/>
          <w:sz w:val="32"/>
          <w:highlight w:val="none"/>
          <w:u w:val="single"/>
        </w:rPr>
        <w:t>2023</w:t>
      </w:r>
      <w:r>
        <w:rPr>
          <w:rFonts w:hint="eastAsia" w:ascii="宋体" w:hAnsi="宋体" w:cs="宋体"/>
          <w:color w:val="auto"/>
          <w:sz w:val="32"/>
          <w:highlight w:val="none"/>
        </w:rPr>
        <w:t>年</w:t>
      </w:r>
      <w:r>
        <w:rPr>
          <w:rFonts w:hint="eastAsia" w:ascii="宋体" w:hAnsi="宋体" w:cs="宋体"/>
          <w:color w:val="auto"/>
          <w:sz w:val="32"/>
          <w:highlight w:val="none"/>
          <w:u w:val="single"/>
        </w:rPr>
        <w:t>10</w:t>
      </w:r>
      <w:r>
        <w:rPr>
          <w:rFonts w:hint="eastAsia" w:ascii="宋体" w:hAnsi="宋体" w:cs="宋体"/>
          <w:color w:val="auto"/>
          <w:sz w:val="32"/>
          <w:highlight w:val="none"/>
        </w:rPr>
        <w:t>月</w:t>
      </w:r>
    </w:p>
    <w:p>
      <w:pPr>
        <w:adjustRightInd w:val="0"/>
        <w:snapToGrid w:val="0"/>
        <w:spacing w:line="360" w:lineRule="auto"/>
        <w:jc w:val="center"/>
        <w:rPr>
          <w:rFonts w:ascii="宋体" w:hAnsi="宋体" w:cs="宋体"/>
          <w:b/>
          <w:bCs/>
          <w:color w:val="auto"/>
          <w:sz w:val="36"/>
          <w:szCs w:val="36"/>
          <w:highlight w:val="none"/>
        </w:rPr>
      </w:pPr>
      <w:r>
        <w:rPr>
          <w:rFonts w:ascii="Times New Roman" w:hAnsi="Times New Roman"/>
          <w:b/>
          <w:color w:val="auto"/>
          <w:sz w:val="36"/>
          <w:szCs w:val="32"/>
          <w:highlight w:val="none"/>
        </w:rPr>
        <w:br w:type="page"/>
      </w:r>
      <w:r>
        <w:rPr>
          <w:rFonts w:hint="eastAsia" w:ascii="宋体" w:hAnsi="宋体" w:cs="宋体"/>
          <w:b/>
          <w:bCs/>
          <w:color w:val="auto"/>
          <w:sz w:val="32"/>
          <w:szCs w:val="36"/>
          <w:highlight w:val="none"/>
        </w:rPr>
        <w:t>广东省人民医院白云院区项目第三方检测监测服务招标公告</w:t>
      </w:r>
    </w:p>
    <w:p>
      <w:pPr>
        <w:widowControl/>
        <w:numPr>
          <w:ilvl w:val="0"/>
          <w:numId w:val="1"/>
        </w:numPr>
        <w:spacing w:before="156" w:beforeLines="50" w:after="156" w:afterLines="50" w:line="360" w:lineRule="auto"/>
        <w:ind w:left="760" w:hanging="403"/>
        <w:jc w:val="left"/>
        <w:rPr>
          <w:rFonts w:ascii="宋体" w:hAnsi="宋体" w:cs="宋体"/>
          <w:b/>
          <w:bCs/>
          <w:color w:val="auto"/>
          <w:sz w:val="24"/>
          <w:highlight w:val="none"/>
        </w:rPr>
      </w:pPr>
      <w:r>
        <w:rPr>
          <w:rFonts w:hint="eastAsia" w:ascii="宋体" w:hAnsi="宋体" w:cs="宋体"/>
          <w:b/>
          <w:bCs/>
          <w:color w:val="auto"/>
          <w:sz w:val="24"/>
          <w:highlight w:val="none"/>
        </w:rPr>
        <w:t>招标条件</w:t>
      </w:r>
    </w:p>
    <w:p>
      <w:pPr>
        <w:shd w:val="clear" w:color="auto" w:fill="FFFFFF"/>
        <w:snapToGrid w:val="0"/>
        <w:spacing w:line="360" w:lineRule="auto"/>
        <w:ind w:firstLine="480" w:firstLineChars="200"/>
        <w:rPr>
          <w:rFonts w:ascii="宋体" w:hAnsi="宋体" w:cs="宋体"/>
          <w:color w:val="auto"/>
          <w:kern w:val="0"/>
          <w:sz w:val="30"/>
          <w:szCs w:val="30"/>
          <w:highlight w:val="none"/>
          <w:u w:val="single"/>
          <w:shd w:val="clear" w:color="auto" w:fill="FFFFFF"/>
        </w:rPr>
      </w:pPr>
      <w:r>
        <w:rPr>
          <w:rFonts w:hint="eastAsia" w:ascii="宋体" w:hAnsi="宋体" w:cs="宋体"/>
          <w:color w:val="auto"/>
          <w:sz w:val="24"/>
          <w:highlight w:val="none"/>
          <w:shd w:val="clear" w:color="auto" w:fill="FFFFFF"/>
        </w:rPr>
        <w:t>本招标项目</w:t>
      </w:r>
      <w:r>
        <w:rPr>
          <w:rFonts w:hint="eastAsia" w:ascii="宋体" w:hAnsi="宋体" w:cs="宋体"/>
          <w:color w:val="auto"/>
          <w:sz w:val="24"/>
          <w:highlight w:val="none"/>
          <w:u w:val="single"/>
          <w:shd w:val="clear" w:color="auto" w:fill="FFFFFF"/>
        </w:rPr>
        <w:t>广东省人民医院白云院区项目</w:t>
      </w:r>
      <w:r>
        <w:rPr>
          <w:rFonts w:hint="eastAsia" w:ascii="宋体" w:hAnsi="宋体" w:cs="宋体"/>
          <w:color w:val="auto"/>
          <w:sz w:val="24"/>
          <w:highlight w:val="none"/>
          <w:shd w:val="clear" w:color="auto" w:fill="FFFFFF"/>
        </w:rPr>
        <w:t>已由</w:t>
      </w:r>
      <w:r>
        <w:rPr>
          <w:rFonts w:hint="eastAsia" w:ascii="宋体" w:hAnsi="宋体" w:cs="宋体"/>
          <w:color w:val="auto"/>
          <w:sz w:val="24"/>
          <w:highlight w:val="none"/>
          <w:u w:val="single"/>
          <w:shd w:val="clear" w:color="auto" w:fill="FFFFFF"/>
        </w:rPr>
        <w:t>广东省发展和改革委员会</w:t>
      </w:r>
      <w:r>
        <w:rPr>
          <w:rFonts w:hint="eastAsia" w:ascii="宋体" w:hAnsi="宋体" w:cs="宋体"/>
          <w:color w:val="auto"/>
          <w:sz w:val="24"/>
          <w:highlight w:val="none"/>
          <w:shd w:val="clear" w:color="auto" w:fill="FFFFFF"/>
        </w:rPr>
        <w:t>以粤发改投审[2023]16号批准建设，项目业主为</w:t>
      </w:r>
      <w:r>
        <w:rPr>
          <w:rFonts w:hint="eastAsia" w:ascii="宋体" w:hAnsi="宋体" w:cs="宋体"/>
          <w:color w:val="auto"/>
          <w:sz w:val="24"/>
          <w:highlight w:val="none"/>
          <w:u w:val="single"/>
          <w:shd w:val="clear" w:color="auto" w:fill="FFFFFF"/>
        </w:rPr>
        <w:t>广东省人民医院</w:t>
      </w:r>
      <w:r>
        <w:rPr>
          <w:rFonts w:hint="eastAsia" w:ascii="宋体" w:hAnsi="宋体" w:cs="宋体"/>
          <w:color w:val="auto"/>
          <w:sz w:val="24"/>
          <w:highlight w:val="none"/>
          <w:shd w:val="clear" w:color="auto" w:fill="FFFFFF"/>
        </w:rPr>
        <w:t>，建设资金来自</w:t>
      </w:r>
      <w:r>
        <w:rPr>
          <w:rFonts w:hint="eastAsia" w:ascii="宋体" w:hAnsi="宋体" w:cs="宋体"/>
          <w:color w:val="auto"/>
          <w:sz w:val="24"/>
          <w:highlight w:val="none"/>
          <w:u w:val="single"/>
        </w:rPr>
        <w:t>财政资金</w:t>
      </w:r>
      <w:r>
        <w:rPr>
          <w:rFonts w:hint="eastAsia" w:ascii="宋体" w:hAnsi="宋体" w:cs="宋体"/>
          <w:color w:val="auto"/>
          <w:sz w:val="24"/>
          <w:highlight w:val="none"/>
          <w:shd w:val="clear" w:color="auto" w:fill="FFFFFF"/>
        </w:rPr>
        <w:t>，出资比例为100</w:t>
      </w:r>
      <w:r>
        <w:rPr>
          <w:rFonts w:ascii="宋体" w:hAnsi="宋体" w:cs="宋体"/>
          <w:color w:val="auto"/>
          <w:sz w:val="24"/>
          <w:highlight w:val="none"/>
          <w:u w:val="single"/>
          <w:shd w:val="clear" w:color="auto" w:fill="FFFFFF"/>
        </w:rPr>
        <w:t>%</w:t>
      </w:r>
      <w:r>
        <w:rPr>
          <w:rFonts w:hint="eastAsia" w:ascii="宋体" w:hAnsi="宋体" w:cs="宋体"/>
          <w:color w:val="auto"/>
          <w:sz w:val="24"/>
          <w:highlight w:val="none"/>
          <w:shd w:val="clear" w:color="auto" w:fill="FFFFFF"/>
        </w:rPr>
        <w:t>；招标人为</w:t>
      </w:r>
      <w:r>
        <w:rPr>
          <w:rFonts w:hint="eastAsia" w:ascii="宋体" w:hAnsi="宋体" w:cs="宋体"/>
          <w:color w:val="auto"/>
          <w:sz w:val="24"/>
          <w:highlight w:val="none"/>
          <w:u w:val="single"/>
          <w:shd w:val="clear" w:color="auto" w:fill="FFFFFF"/>
        </w:rPr>
        <w:t>广东省人民医院</w:t>
      </w:r>
      <w:r>
        <w:rPr>
          <w:rFonts w:hint="eastAsia" w:ascii="宋体" w:hAnsi="宋体" w:cs="宋体"/>
          <w:color w:val="auto"/>
          <w:sz w:val="24"/>
          <w:highlight w:val="none"/>
          <w:shd w:val="clear" w:color="auto" w:fill="FFFFFF"/>
        </w:rPr>
        <w:t>。项目已具备招标条件，现对该项目的</w:t>
      </w:r>
      <w:r>
        <w:rPr>
          <w:rFonts w:hint="eastAsia" w:ascii="宋体" w:hAnsi="宋体" w:cs="宋体"/>
          <w:color w:val="auto"/>
          <w:sz w:val="24"/>
          <w:highlight w:val="none"/>
          <w:u w:val="single"/>
          <w:shd w:val="clear" w:color="auto" w:fill="FFFFFF"/>
        </w:rPr>
        <w:t>第三方检测</w:t>
      </w:r>
      <w:r>
        <w:rPr>
          <w:rFonts w:hint="eastAsia" w:ascii="宋体" w:hAnsi="宋体" w:cs="宋体"/>
          <w:color w:val="auto"/>
          <w:sz w:val="24"/>
          <w:highlight w:val="none"/>
          <w:u w:val="single"/>
          <w:shd w:val="clear" w:color="auto" w:fill="FFFFFF"/>
          <w:lang w:val="en-US" w:eastAsia="zh-CN"/>
        </w:rPr>
        <w:t>监测</w:t>
      </w:r>
      <w:r>
        <w:rPr>
          <w:rFonts w:hint="eastAsia" w:ascii="宋体" w:hAnsi="宋体" w:cs="宋体"/>
          <w:color w:val="auto"/>
          <w:sz w:val="24"/>
          <w:highlight w:val="none"/>
          <w:u w:val="single"/>
          <w:shd w:val="clear" w:color="auto" w:fill="FFFFFF"/>
        </w:rPr>
        <w:t>服务</w:t>
      </w:r>
      <w:r>
        <w:rPr>
          <w:rFonts w:hint="eastAsia" w:ascii="宋体" w:hAnsi="宋体" w:cs="宋体"/>
          <w:bCs/>
          <w:color w:val="auto"/>
          <w:sz w:val="24"/>
          <w:highlight w:val="none"/>
          <w:shd w:val="clear" w:color="auto" w:fill="FFFFFF"/>
        </w:rPr>
        <w:t>进行</w:t>
      </w:r>
      <w:r>
        <w:rPr>
          <w:rFonts w:hint="eastAsia" w:ascii="宋体" w:hAnsi="宋体" w:cs="宋体"/>
          <w:color w:val="auto"/>
          <w:sz w:val="24"/>
          <w:highlight w:val="none"/>
          <w:shd w:val="clear" w:color="auto" w:fill="FFFFFF"/>
        </w:rPr>
        <w:t>公开招标。</w:t>
      </w:r>
    </w:p>
    <w:p>
      <w:pPr>
        <w:widowControl/>
        <w:numPr>
          <w:ilvl w:val="0"/>
          <w:numId w:val="1"/>
        </w:numPr>
        <w:spacing w:before="156" w:beforeLines="50" w:after="156" w:afterLines="50" w:line="360" w:lineRule="auto"/>
        <w:ind w:left="760" w:hanging="403"/>
        <w:jc w:val="left"/>
        <w:rPr>
          <w:rFonts w:ascii="宋体" w:hAnsi="宋体" w:cs="宋体"/>
          <w:b/>
          <w:bCs/>
          <w:color w:val="auto"/>
          <w:sz w:val="24"/>
          <w:highlight w:val="none"/>
        </w:rPr>
      </w:pPr>
      <w:r>
        <w:rPr>
          <w:rFonts w:hint="eastAsia" w:ascii="宋体" w:hAnsi="宋体" w:cs="宋体"/>
          <w:b/>
          <w:bCs/>
          <w:color w:val="auto"/>
          <w:sz w:val="24"/>
          <w:highlight w:val="none"/>
        </w:rPr>
        <w:t>项目概况与招标范围</w:t>
      </w:r>
    </w:p>
    <w:p>
      <w:pPr>
        <w:spacing w:line="360" w:lineRule="auto"/>
        <w:rPr>
          <w:rFonts w:ascii="宋体" w:hAnsi="宋体" w:cs="宋体"/>
          <w:b/>
          <w:bCs/>
          <w:color w:val="auto"/>
          <w:sz w:val="24"/>
          <w:highlight w:val="none"/>
        </w:rPr>
      </w:pPr>
      <w:r>
        <w:rPr>
          <w:rFonts w:ascii="宋体" w:hAnsi="宋体" w:cs="宋体"/>
          <w:b/>
          <w:bCs/>
          <w:color w:val="auto"/>
          <w:sz w:val="24"/>
          <w:highlight w:val="none"/>
        </w:rPr>
        <w:t xml:space="preserve">   2.1 </w:t>
      </w:r>
      <w:r>
        <w:rPr>
          <w:rFonts w:hint="eastAsia" w:ascii="宋体" w:hAnsi="宋体" w:cs="宋体"/>
          <w:b/>
          <w:bCs/>
          <w:color w:val="auto"/>
          <w:sz w:val="24"/>
          <w:highlight w:val="none"/>
        </w:rPr>
        <w:t>招标项目概况</w:t>
      </w:r>
    </w:p>
    <w:p>
      <w:pPr>
        <w:spacing w:line="360" w:lineRule="auto"/>
        <w:ind w:firstLine="480" w:firstLineChars="200"/>
        <w:rPr>
          <w:rFonts w:ascii="宋体" w:hAnsi="宋体" w:cs="宋体"/>
          <w:bCs/>
          <w:color w:val="auto"/>
          <w:sz w:val="24"/>
          <w:highlight w:val="none"/>
          <w:u w:val="single"/>
        </w:rPr>
      </w:pPr>
      <w:r>
        <w:rPr>
          <w:rFonts w:ascii="宋体" w:hAnsi="宋体" w:cs="宋体"/>
          <w:bCs/>
          <w:color w:val="auto"/>
          <w:sz w:val="24"/>
          <w:highlight w:val="none"/>
        </w:rPr>
        <w:t>2.1.1</w:t>
      </w:r>
      <w:r>
        <w:rPr>
          <w:rFonts w:hint="eastAsia" w:ascii="宋体" w:hAnsi="宋体" w:cs="宋体"/>
          <w:bCs/>
          <w:color w:val="auto"/>
          <w:sz w:val="24"/>
          <w:highlight w:val="none"/>
        </w:rPr>
        <w:t>招标项目名称：</w:t>
      </w:r>
      <w:r>
        <w:rPr>
          <w:rFonts w:hint="eastAsia" w:ascii="宋体" w:hAnsi="宋体" w:cs="宋体"/>
          <w:bCs/>
          <w:color w:val="auto"/>
          <w:sz w:val="24"/>
          <w:highlight w:val="none"/>
          <w:u w:val="single"/>
        </w:rPr>
        <w:t>广东省人民医院白云院区项目第三方检测监测服务</w:t>
      </w:r>
    </w:p>
    <w:p>
      <w:pPr>
        <w:spacing w:line="360" w:lineRule="auto"/>
        <w:ind w:firstLine="480" w:firstLineChars="200"/>
        <w:rPr>
          <w:rFonts w:ascii="宋体" w:hAnsi="宋体" w:cs="宋体"/>
          <w:bCs/>
          <w:color w:val="auto"/>
          <w:sz w:val="24"/>
          <w:highlight w:val="none"/>
          <w:u w:val="single"/>
        </w:rPr>
      </w:pPr>
      <w:r>
        <w:rPr>
          <w:rFonts w:ascii="宋体" w:hAnsi="宋体" w:cs="宋体"/>
          <w:bCs/>
          <w:color w:val="auto"/>
          <w:sz w:val="24"/>
          <w:highlight w:val="none"/>
        </w:rPr>
        <w:t>2.1.2</w:t>
      </w:r>
      <w:r>
        <w:rPr>
          <w:rFonts w:hint="eastAsia" w:ascii="宋体" w:hAnsi="宋体" w:cs="宋体"/>
          <w:bCs/>
          <w:color w:val="auto"/>
          <w:sz w:val="24"/>
          <w:highlight w:val="none"/>
        </w:rPr>
        <w:t>工程建设规模：</w:t>
      </w:r>
      <w:r>
        <w:rPr>
          <w:rFonts w:hint="eastAsia" w:ascii="宋体" w:hAnsi="宋体" w:cs="宋体"/>
          <w:bCs/>
          <w:color w:val="auto"/>
          <w:sz w:val="24"/>
          <w:highlight w:val="none"/>
          <w:u w:val="single"/>
        </w:rPr>
        <w:t>拟建广东省人民医院白云院区项目规划总用地面积47040㎡，设计总床位规模800张，新建建筑面积</w:t>
      </w:r>
      <w:r>
        <w:rPr>
          <w:rFonts w:hint="eastAsia" w:ascii="宋体" w:hAnsi="宋体" w:cs="宋体"/>
          <w:bCs/>
          <w:color w:val="auto"/>
          <w:sz w:val="24"/>
          <w:highlight w:val="none"/>
          <w:u w:val="single"/>
          <w:lang w:eastAsia="zh-CN"/>
        </w:rPr>
        <w:t>（</w:t>
      </w:r>
      <w:r>
        <w:rPr>
          <w:rFonts w:hint="eastAsia" w:ascii="宋体" w:hAnsi="宋体" w:cs="宋体"/>
          <w:bCs/>
          <w:color w:val="auto"/>
          <w:sz w:val="24"/>
          <w:highlight w:val="none"/>
          <w:u w:val="single"/>
        </w:rPr>
        <w:t>最大单体建筑面积</w:t>
      </w:r>
      <w:r>
        <w:rPr>
          <w:rFonts w:hint="eastAsia" w:ascii="宋体" w:hAnsi="宋体" w:cs="宋体"/>
          <w:bCs/>
          <w:color w:val="auto"/>
          <w:sz w:val="24"/>
          <w:highlight w:val="none"/>
          <w:u w:val="single"/>
          <w:lang w:eastAsia="zh-CN"/>
        </w:rPr>
        <w:t>）</w:t>
      </w:r>
      <w:r>
        <w:rPr>
          <w:rFonts w:hint="eastAsia" w:ascii="宋体" w:hAnsi="宋体" w:cs="宋体"/>
          <w:bCs/>
          <w:color w:val="auto"/>
          <w:sz w:val="24"/>
          <w:highlight w:val="none"/>
          <w:u w:val="single"/>
        </w:rPr>
        <w:t>约250000㎡（可研审核面积），主要建设七项基本设施用房（急诊部、门诊部、住院部、医技科室、保障系统、行政管理及院内生活用房）、科教用房、连廊及地下停车设施等，配套建设道路广场、绿化及室外给排水、电气照明等。</w:t>
      </w:r>
      <w:r>
        <w:rPr>
          <w:rFonts w:hint="eastAsia" w:ascii="宋体" w:hAnsi="宋体" w:cs="宋体"/>
          <w:bCs/>
          <w:sz w:val="24"/>
          <w:u w:val="single"/>
          <w:lang w:eastAsia="zh-CN"/>
        </w:rPr>
        <w:t>该项目用地范围存在土壤砷（重金属）超筛，项目周期含土壤修复周期。</w:t>
      </w:r>
    </w:p>
    <w:p>
      <w:pPr>
        <w:spacing w:line="360" w:lineRule="auto"/>
        <w:ind w:firstLine="480" w:firstLineChars="200"/>
        <w:rPr>
          <w:rFonts w:ascii="宋体" w:hAnsi="宋体" w:cs="宋体"/>
          <w:color w:val="auto"/>
          <w:sz w:val="24"/>
          <w:highlight w:val="none"/>
          <w:u w:val="single"/>
        </w:rPr>
      </w:pPr>
      <w:r>
        <w:rPr>
          <w:rFonts w:ascii="宋体" w:hAnsi="宋体" w:cs="宋体"/>
          <w:bCs/>
          <w:color w:val="auto"/>
          <w:sz w:val="24"/>
          <w:highlight w:val="none"/>
        </w:rPr>
        <w:t>2.1.3</w:t>
      </w:r>
      <w:r>
        <w:rPr>
          <w:rFonts w:hint="eastAsia" w:ascii="宋体" w:hAnsi="宋体" w:cs="宋体"/>
          <w:bCs/>
          <w:color w:val="auto"/>
          <w:sz w:val="24"/>
          <w:highlight w:val="none"/>
        </w:rPr>
        <w:t>工程建设地点：</w:t>
      </w:r>
      <w:r>
        <w:rPr>
          <w:rFonts w:hint="eastAsia" w:ascii="宋体" w:hAnsi="宋体" w:cs="宋体"/>
          <w:bCs/>
          <w:color w:val="auto"/>
          <w:sz w:val="24"/>
          <w:highlight w:val="none"/>
          <w:u w:val="single"/>
        </w:rPr>
        <w:t>广州市白云区白云大道南与黄石东路交界处</w:t>
      </w:r>
    </w:p>
    <w:p>
      <w:pPr>
        <w:spacing w:line="360" w:lineRule="auto"/>
        <w:ind w:firstLine="480" w:firstLineChars="200"/>
        <w:rPr>
          <w:rFonts w:ascii="宋体" w:hAnsi="宋体" w:cs="宋体"/>
          <w:bCs/>
          <w:color w:val="auto"/>
          <w:sz w:val="24"/>
          <w:highlight w:val="none"/>
          <w:u w:val="single"/>
        </w:rPr>
      </w:pPr>
      <w:r>
        <w:rPr>
          <w:rFonts w:ascii="宋体" w:hAnsi="宋体" w:cs="宋体"/>
          <w:bCs/>
          <w:color w:val="auto"/>
          <w:sz w:val="24"/>
          <w:highlight w:val="none"/>
        </w:rPr>
        <w:t>2.1.4</w:t>
      </w:r>
      <w:r>
        <w:rPr>
          <w:rFonts w:hint="eastAsia" w:ascii="宋体" w:hAnsi="宋体" w:cs="宋体"/>
          <w:bCs/>
          <w:color w:val="auto"/>
          <w:sz w:val="24"/>
          <w:highlight w:val="none"/>
        </w:rPr>
        <w:t>工程总投资：318585万元。</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资金来源：</w:t>
      </w:r>
      <w:r>
        <w:rPr>
          <w:rFonts w:hint="eastAsia" w:ascii="宋体" w:hAnsi="宋体" w:cs="宋体"/>
          <w:color w:val="auto"/>
          <w:sz w:val="24"/>
          <w:highlight w:val="none"/>
          <w:u w:val="single"/>
        </w:rPr>
        <w:t>财政资金</w:t>
      </w:r>
      <w:r>
        <w:rPr>
          <w:rFonts w:hint="eastAsia" w:ascii="宋体" w:hAnsi="宋体" w:cs="宋体"/>
          <w:color w:val="auto"/>
          <w:sz w:val="24"/>
          <w:highlight w:val="none"/>
        </w:rPr>
        <w:t>。</w:t>
      </w:r>
    </w:p>
    <w:p>
      <w:pPr>
        <w:spacing w:line="360" w:lineRule="auto"/>
        <w:rPr>
          <w:rFonts w:ascii="宋体" w:hAnsi="宋体" w:cs="宋体"/>
          <w:b/>
          <w:bCs/>
          <w:color w:val="auto"/>
          <w:sz w:val="24"/>
          <w:highlight w:val="none"/>
        </w:rPr>
      </w:pPr>
      <w:r>
        <w:rPr>
          <w:rFonts w:ascii="宋体" w:hAnsi="宋体" w:cs="宋体"/>
          <w:b/>
          <w:bCs/>
          <w:color w:val="auto"/>
          <w:sz w:val="24"/>
          <w:highlight w:val="none"/>
        </w:rPr>
        <w:t xml:space="preserve">   2.2</w:t>
      </w:r>
      <w:r>
        <w:rPr>
          <w:rFonts w:hint="eastAsia" w:ascii="宋体" w:hAnsi="宋体" w:cs="宋体"/>
          <w:b/>
          <w:bCs/>
          <w:color w:val="auto"/>
          <w:sz w:val="24"/>
          <w:highlight w:val="none"/>
        </w:rPr>
        <w:t>招标范围、招标内容及标段划分</w:t>
      </w:r>
    </w:p>
    <w:p>
      <w:pPr>
        <w:spacing w:line="360" w:lineRule="auto"/>
        <w:ind w:firstLine="480" w:firstLineChars="200"/>
        <w:rPr>
          <w:rFonts w:ascii="宋体" w:hAnsi="宋体" w:cs="宋体"/>
          <w:color w:val="auto"/>
          <w:sz w:val="24"/>
          <w:highlight w:val="none"/>
          <w:u w:val="single"/>
        </w:rPr>
      </w:pPr>
      <w:r>
        <w:rPr>
          <w:rFonts w:ascii="宋体" w:hAnsi="宋体" w:cs="宋体"/>
          <w:bCs/>
          <w:color w:val="auto"/>
          <w:sz w:val="24"/>
          <w:highlight w:val="none"/>
        </w:rPr>
        <w:t>2.2.1</w:t>
      </w:r>
      <w:r>
        <w:rPr>
          <w:rFonts w:hint="eastAsia" w:ascii="宋体" w:hAnsi="宋体" w:cs="宋体"/>
          <w:bCs/>
          <w:color w:val="auto"/>
          <w:sz w:val="24"/>
          <w:highlight w:val="none"/>
        </w:rPr>
        <w:t>标段划分：</w:t>
      </w:r>
      <w:r>
        <w:rPr>
          <w:rFonts w:hint="eastAsia" w:ascii="宋体" w:hAnsi="宋体" w:cs="宋体"/>
          <w:color w:val="auto"/>
          <w:sz w:val="24"/>
          <w:highlight w:val="none"/>
          <w:u w:val="single"/>
        </w:rPr>
        <w:t>本项目设</w:t>
      </w:r>
      <w:r>
        <w:rPr>
          <w:rFonts w:ascii="宋体" w:hAnsi="宋体" w:cs="宋体"/>
          <w:color w:val="auto"/>
          <w:sz w:val="24"/>
          <w:highlight w:val="none"/>
          <w:u w:val="single"/>
        </w:rPr>
        <w:t>1</w:t>
      </w:r>
      <w:r>
        <w:rPr>
          <w:rFonts w:hint="eastAsia" w:ascii="宋体" w:hAnsi="宋体" w:cs="宋体"/>
          <w:color w:val="auto"/>
          <w:sz w:val="24"/>
          <w:highlight w:val="none"/>
          <w:u w:val="single"/>
        </w:rPr>
        <w:t>个标段</w:t>
      </w:r>
    </w:p>
    <w:p>
      <w:pPr>
        <w:spacing w:line="360" w:lineRule="auto"/>
        <w:ind w:firstLine="480" w:firstLineChars="200"/>
        <w:rPr>
          <w:rFonts w:hint="eastAsia"/>
          <w:color w:val="auto"/>
          <w:highlight w:val="none"/>
          <w:lang w:val="en-US" w:eastAsia="zh-CN"/>
        </w:rPr>
      </w:pPr>
      <w:r>
        <w:rPr>
          <w:rFonts w:ascii="宋体" w:hAnsi="宋体" w:cs="宋体"/>
          <w:bCs/>
          <w:color w:val="auto"/>
          <w:sz w:val="24"/>
          <w:szCs w:val="24"/>
          <w:highlight w:val="none"/>
        </w:rPr>
        <w:t>2.2.2</w:t>
      </w:r>
      <w:bookmarkStart w:id="0" w:name="_Hlk35422418"/>
      <w:r>
        <w:rPr>
          <w:rFonts w:hint="eastAsia" w:ascii="宋体" w:hAnsi="宋体" w:cs="宋体"/>
          <w:bCs/>
          <w:color w:val="auto"/>
          <w:sz w:val="24"/>
          <w:szCs w:val="24"/>
          <w:highlight w:val="none"/>
        </w:rPr>
        <w:t>招标内容</w:t>
      </w:r>
      <w:bookmarkEnd w:id="0"/>
      <w:r>
        <w:rPr>
          <w:rFonts w:hint="eastAsia" w:ascii="宋体" w:hAnsi="宋体" w:cs="宋体"/>
          <w:bCs/>
          <w:color w:val="auto"/>
          <w:sz w:val="24"/>
          <w:szCs w:val="24"/>
          <w:highlight w:val="none"/>
        </w:rPr>
        <w:t>（包括但不限于以下内容）：</w:t>
      </w:r>
      <w:bookmarkStart w:id="1" w:name="_Hlk35422434"/>
      <w:r>
        <w:rPr>
          <w:rFonts w:hint="eastAsia" w:ascii="宋体" w:hAnsi="宋体" w:cs="宋体"/>
          <w:bCs/>
          <w:color w:val="auto"/>
          <w:sz w:val="24"/>
          <w:szCs w:val="24"/>
          <w:highlight w:val="none"/>
          <w:u w:val="single"/>
        </w:rPr>
        <w:t>建设项目第三方检测监测，</w:t>
      </w:r>
      <w:r>
        <w:rPr>
          <w:rFonts w:hint="eastAsia" w:ascii="宋体" w:hAnsi="宋体" w:eastAsia="宋体" w:cs="宋体"/>
          <w:bCs/>
          <w:color w:val="auto"/>
          <w:sz w:val="24"/>
          <w:szCs w:val="24"/>
          <w:highlight w:val="none"/>
          <w:u w:val="single"/>
        </w:rPr>
        <w:t>编制检测及监测方案,检测项目及数量经</w:t>
      </w:r>
      <w:r>
        <w:rPr>
          <w:rFonts w:hint="eastAsia" w:ascii="宋体" w:hAnsi="宋体" w:eastAsia="宋体" w:cs="宋体"/>
          <w:bCs/>
          <w:color w:val="auto"/>
          <w:sz w:val="24"/>
          <w:szCs w:val="24"/>
          <w:highlight w:val="none"/>
          <w:u w:val="single"/>
          <w:lang w:eastAsia="zh-CN"/>
        </w:rPr>
        <w:t>甲方</w:t>
      </w:r>
      <w:r>
        <w:rPr>
          <w:rFonts w:hint="eastAsia" w:ascii="宋体" w:hAnsi="宋体" w:eastAsia="宋体" w:cs="宋体"/>
          <w:bCs/>
          <w:color w:val="auto"/>
          <w:sz w:val="24"/>
          <w:szCs w:val="24"/>
          <w:highlight w:val="none"/>
          <w:u w:val="single"/>
        </w:rPr>
        <w:t>、监理单位以及当地质量监督部门确认实施检测</w:t>
      </w:r>
      <w:r>
        <w:rPr>
          <w:rFonts w:hint="eastAsia" w:ascii="宋体" w:hAnsi="宋体" w:eastAsia="宋体" w:cs="宋体"/>
          <w:bCs/>
          <w:color w:val="auto"/>
          <w:sz w:val="24"/>
          <w:szCs w:val="24"/>
          <w:highlight w:val="none"/>
          <w:u w:val="single"/>
          <w:lang w:eastAsia="zh-CN"/>
        </w:rPr>
        <w:t>监测</w:t>
      </w:r>
      <w:r>
        <w:rPr>
          <w:rFonts w:hint="eastAsia" w:ascii="宋体" w:hAnsi="宋体" w:eastAsia="宋体" w:cs="宋体"/>
          <w:bCs/>
          <w:color w:val="auto"/>
          <w:sz w:val="24"/>
          <w:szCs w:val="24"/>
          <w:highlight w:val="none"/>
          <w:u w:val="single"/>
        </w:rPr>
        <w:t>并出具检测、监测报告。</w:t>
      </w:r>
      <w:r>
        <w:rPr>
          <w:rFonts w:hint="eastAsia" w:ascii="宋体" w:hAnsi="宋体" w:eastAsia="宋体" w:cs="宋体"/>
          <w:bCs/>
          <w:color w:val="auto"/>
          <w:sz w:val="24"/>
          <w:szCs w:val="24"/>
          <w:highlight w:val="none"/>
          <w:u w:val="single"/>
          <w:lang w:eastAsia="zh-CN"/>
        </w:rPr>
        <w:t>检测监测</w:t>
      </w:r>
      <w:r>
        <w:rPr>
          <w:rFonts w:hint="eastAsia" w:ascii="宋体" w:hAnsi="宋体" w:cs="宋体"/>
          <w:bCs/>
          <w:color w:val="auto"/>
          <w:sz w:val="24"/>
          <w:szCs w:val="24"/>
          <w:highlight w:val="none"/>
          <w:u w:val="single"/>
        </w:rPr>
        <w:t>工作内容主要包含但不限于：地基基础及基坑支护工程检测、主体结构工程现场检测、钢结构工程检测、建筑幕墙工程检测、人防结构检测、电气检测</w:t>
      </w:r>
      <w:r>
        <w:rPr>
          <w:rFonts w:hint="eastAsia" w:ascii="宋体" w:hAnsi="宋体" w:cs="宋体"/>
          <w:bCs/>
          <w:color w:val="auto"/>
          <w:sz w:val="24"/>
          <w:szCs w:val="24"/>
          <w:highlight w:val="none"/>
          <w:u w:val="single"/>
          <w:lang w:val="en-US" w:eastAsia="zh-CN"/>
        </w:rPr>
        <w:t>、</w:t>
      </w:r>
      <w:r>
        <w:rPr>
          <w:rFonts w:hint="eastAsia" w:ascii="宋体" w:hAnsi="宋体" w:cs="宋体"/>
          <w:bCs/>
          <w:color w:val="auto"/>
          <w:sz w:val="24"/>
          <w:szCs w:val="24"/>
          <w:highlight w:val="none"/>
          <w:u w:val="single"/>
        </w:rPr>
        <w:t>防雷检测、消防检测、道路及连廊桥工程检测、建筑材料及设备检测</w:t>
      </w:r>
      <w:r>
        <w:rPr>
          <w:rFonts w:hint="eastAsia" w:ascii="宋体" w:hAnsi="宋体" w:cs="宋体"/>
          <w:bCs/>
          <w:color w:val="auto"/>
          <w:sz w:val="24"/>
          <w:szCs w:val="24"/>
          <w:highlight w:val="none"/>
          <w:u w:val="single"/>
          <w:lang w:val="en-US" w:eastAsia="zh-CN"/>
        </w:rPr>
        <w:t>、</w:t>
      </w:r>
      <w:r>
        <w:rPr>
          <w:rFonts w:hint="eastAsia" w:ascii="宋体" w:hAnsi="宋体" w:cs="宋体"/>
          <w:bCs/>
          <w:color w:val="auto"/>
          <w:sz w:val="24"/>
          <w:szCs w:val="24"/>
          <w:highlight w:val="none"/>
          <w:u w:val="single"/>
        </w:rPr>
        <w:t>见证取样材料检测、节能检测、环境检测、智能化检测、园林绿化检测、基坑监测、主体沉降观测、高支模监测等按规范和验收要求必须检测</w:t>
      </w:r>
      <w:r>
        <w:rPr>
          <w:rFonts w:hint="eastAsia" w:ascii="宋体" w:hAnsi="宋体" w:cs="宋体"/>
          <w:bCs/>
          <w:color w:val="auto"/>
          <w:sz w:val="24"/>
          <w:szCs w:val="24"/>
          <w:highlight w:val="none"/>
          <w:u w:val="single"/>
          <w:lang w:val="en-US" w:eastAsia="zh-CN"/>
        </w:rPr>
        <w:t>监测</w:t>
      </w:r>
      <w:r>
        <w:rPr>
          <w:rFonts w:hint="eastAsia" w:ascii="宋体" w:hAnsi="宋体" w:cs="宋体"/>
          <w:bCs/>
          <w:color w:val="auto"/>
          <w:sz w:val="24"/>
          <w:szCs w:val="24"/>
          <w:highlight w:val="none"/>
          <w:u w:val="single"/>
        </w:rPr>
        <w:t>的项目，具体检测</w:t>
      </w:r>
      <w:r>
        <w:rPr>
          <w:rFonts w:hint="eastAsia" w:ascii="宋体" w:hAnsi="宋体" w:cs="宋体"/>
          <w:bCs/>
          <w:color w:val="auto"/>
          <w:sz w:val="24"/>
          <w:szCs w:val="24"/>
          <w:highlight w:val="none"/>
          <w:u w:val="single"/>
          <w:lang w:val="en-US" w:eastAsia="zh-CN"/>
        </w:rPr>
        <w:t>监测</w:t>
      </w:r>
      <w:r>
        <w:rPr>
          <w:rFonts w:hint="eastAsia" w:ascii="宋体" w:hAnsi="宋体" w:cs="宋体"/>
          <w:bCs/>
          <w:color w:val="auto"/>
          <w:sz w:val="24"/>
          <w:szCs w:val="24"/>
          <w:highlight w:val="none"/>
          <w:u w:val="single"/>
        </w:rPr>
        <w:t>项目以最终</w:t>
      </w:r>
      <w:r>
        <w:rPr>
          <w:rFonts w:hint="default" w:ascii="宋体" w:hAnsi="宋体" w:cs="宋体"/>
          <w:bCs/>
          <w:color w:val="auto"/>
          <w:sz w:val="24"/>
          <w:szCs w:val="24"/>
          <w:highlight w:val="none"/>
          <w:u w:val="single"/>
          <w:lang w:val="en-US"/>
        </w:rPr>
        <w:t>业主</w:t>
      </w:r>
      <w:r>
        <w:rPr>
          <w:rFonts w:hint="eastAsia" w:ascii="宋体" w:hAnsi="宋体" w:cs="宋体"/>
          <w:bCs/>
          <w:color w:val="auto"/>
          <w:sz w:val="24"/>
          <w:szCs w:val="24"/>
          <w:highlight w:val="none"/>
          <w:u w:val="single"/>
        </w:rPr>
        <w:t>要求、设计图纸及相关规范要求为准。</w:t>
      </w:r>
    </w:p>
    <w:p>
      <w:pPr>
        <w:spacing w:line="360" w:lineRule="auto"/>
        <w:ind w:firstLine="480" w:firstLineChars="200"/>
        <w:jc w:val="left"/>
        <w:rPr>
          <w:rFonts w:ascii="宋体" w:hAnsi="宋体" w:cs="宋体"/>
          <w:bCs/>
          <w:color w:val="auto"/>
          <w:sz w:val="24"/>
          <w:highlight w:val="none"/>
          <w:u w:val="single"/>
        </w:rPr>
      </w:pPr>
      <w:r>
        <w:rPr>
          <w:rFonts w:ascii="宋体" w:hAnsi="宋体" w:cs="宋体"/>
          <w:bCs/>
          <w:color w:val="auto"/>
          <w:sz w:val="24"/>
          <w:highlight w:val="none"/>
        </w:rPr>
        <w:t>2.2.3</w:t>
      </w:r>
      <w:r>
        <w:rPr>
          <w:rFonts w:hint="eastAsia" w:ascii="宋体" w:hAnsi="宋体" w:cs="宋体"/>
          <w:bCs/>
          <w:color w:val="auto"/>
          <w:sz w:val="24"/>
          <w:highlight w:val="none"/>
        </w:rPr>
        <w:t>最高投标限价：</w:t>
      </w:r>
      <w:bookmarkStart w:id="10" w:name="_GoBack"/>
      <w:r>
        <w:rPr>
          <w:rFonts w:hint="eastAsia" w:ascii="宋体" w:hAnsi="宋体" w:cs="宋体"/>
          <w:bCs/>
          <w:color w:val="auto"/>
          <w:sz w:val="24"/>
          <w:highlight w:val="none"/>
          <w:u w:val="single"/>
        </w:rPr>
        <w:t>24000000</w:t>
      </w:r>
      <w:bookmarkEnd w:id="10"/>
      <w:r>
        <w:rPr>
          <w:rFonts w:hint="eastAsia" w:ascii="宋体" w:hAnsi="宋体" w:cs="宋体"/>
          <w:bCs/>
          <w:color w:val="auto"/>
          <w:sz w:val="24"/>
          <w:highlight w:val="none"/>
          <w:u w:val="single"/>
        </w:rPr>
        <w:t>元</w:t>
      </w:r>
    </w:p>
    <w:bookmarkEnd w:id="1"/>
    <w:p>
      <w:pPr>
        <w:spacing w:line="360" w:lineRule="auto"/>
        <w:ind w:firstLine="480" w:firstLineChars="200"/>
        <w:rPr>
          <w:rFonts w:ascii="宋体" w:hAnsi="宋体" w:cs="宋体"/>
          <w:color w:val="auto"/>
          <w:sz w:val="24"/>
          <w:highlight w:val="none"/>
          <w:shd w:val="clear" w:color="auto" w:fill="FFFFFF"/>
        </w:rPr>
      </w:pPr>
      <w:r>
        <w:rPr>
          <w:rFonts w:ascii="宋体" w:hAnsi="宋体" w:cs="宋体"/>
          <w:color w:val="auto"/>
          <w:sz w:val="24"/>
          <w:highlight w:val="none"/>
          <w:shd w:val="clear" w:color="auto" w:fill="FFFFFF"/>
        </w:rPr>
        <w:t>2.2.4</w:t>
      </w:r>
      <w:r>
        <w:rPr>
          <w:rFonts w:hint="eastAsia" w:ascii="宋体" w:hAnsi="宋体" w:cs="宋体"/>
          <w:color w:val="auto"/>
          <w:sz w:val="24"/>
          <w:highlight w:val="none"/>
          <w:shd w:val="clear" w:color="auto" w:fill="FFFFFF"/>
        </w:rPr>
        <w:t>招标范围（包括但不限于以下内容）：</w:t>
      </w:r>
    </w:p>
    <w:p>
      <w:pPr>
        <w:spacing w:line="360" w:lineRule="auto"/>
        <w:ind w:firstLine="480" w:firstLineChars="200"/>
        <w:rPr>
          <w:rFonts w:ascii="宋体" w:hAnsi="宋体" w:cs="宋体"/>
          <w:bCs/>
          <w:color w:val="auto"/>
          <w:sz w:val="24"/>
          <w:szCs w:val="24"/>
          <w:highlight w:val="none"/>
          <w:u w:val="single"/>
        </w:rPr>
      </w:pPr>
      <w:r>
        <w:rPr>
          <w:rFonts w:hint="eastAsia" w:ascii="宋体" w:hAnsi="宋体" w:cs="宋体"/>
          <w:bCs/>
          <w:color w:val="auto"/>
          <w:sz w:val="24"/>
          <w:szCs w:val="24"/>
          <w:highlight w:val="none"/>
          <w:u w:val="single"/>
        </w:rPr>
        <w:t>（1）根据设计文件、施工组织设计、相关规范和相关行政职能部门要求和招标人要求，结合项目实际情况，编制检测、监测方案，并确保检测</w:t>
      </w:r>
      <w:r>
        <w:rPr>
          <w:rFonts w:hint="eastAsia" w:ascii="宋体" w:hAnsi="宋体" w:cs="宋体"/>
          <w:bCs/>
          <w:color w:val="auto"/>
          <w:sz w:val="24"/>
          <w:szCs w:val="24"/>
          <w:highlight w:val="none"/>
          <w:u w:val="single"/>
          <w:lang w:val="en-US" w:eastAsia="zh-CN"/>
        </w:rPr>
        <w:t>、监测</w:t>
      </w:r>
      <w:r>
        <w:rPr>
          <w:rFonts w:hint="eastAsia" w:ascii="宋体" w:hAnsi="宋体" w:cs="宋体"/>
          <w:bCs/>
          <w:color w:val="auto"/>
          <w:sz w:val="24"/>
          <w:szCs w:val="24"/>
          <w:highlight w:val="none"/>
          <w:u w:val="single"/>
        </w:rPr>
        <w:t>方案符合有关规范要求及通过工程所在行政区域的相关建设行政主管部门和监督部门的审批，</w:t>
      </w:r>
      <w:r>
        <w:rPr>
          <w:rFonts w:hint="eastAsia" w:ascii="宋体" w:hAnsi="宋体" w:eastAsia="宋体" w:cs="宋体"/>
          <w:color w:val="auto"/>
          <w:sz w:val="24"/>
          <w:szCs w:val="24"/>
          <w:highlight w:val="none"/>
          <w:u w:val="single"/>
        </w:rPr>
        <w:t>同时负责协调上述相关部门工作，并负责申报检测及检测技术成果的审批，保证技术成果能够一次通过相关部门认可，确保不因检测及监测工作影响本工程项目的建设进度、竣工验收。</w:t>
      </w:r>
    </w:p>
    <w:p>
      <w:pPr>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（2）在进行检测、监测任务的过程中与该工程相关的施工单位、监理单位、设计单位、甲方、</w:t>
      </w:r>
      <w:r>
        <w:rPr>
          <w:rFonts w:hint="eastAsia" w:ascii="宋体" w:hAnsi="宋体" w:cs="宋体"/>
          <w:bCs/>
          <w:color w:val="auto"/>
          <w:sz w:val="24"/>
          <w:highlight w:val="none"/>
          <w:u w:val="single"/>
          <w:lang w:val="en-US" w:eastAsia="zh-CN"/>
        </w:rPr>
        <w:t>项目管理咨询单位</w:t>
      </w:r>
      <w:r>
        <w:rPr>
          <w:rFonts w:hint="eastAsia" w:ascii="宋体" w:hAnsi="宋体" w:cs="宋体"/>
          <w:bCs/>
          <w:color w:val="auto"/>
          <w:sz w:val="24"/>
          <w:highlight w:val="none"/>
          <w:u w:val="single"/>
        </w:rPr>
        <w:t>、建设主管部门等相关单位的协调工作，且合同价中已经综合考虑了该项协调工作的费用。</w:t>
      </w:r>
    </w:p>
    <w:p>
      <w:pPr>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（3）本项目已包含监督抽检的工作内容，监督抽检数量按建设行政主管部门要求实施，需在合同价中综合考虑该部分费用。</w:t>
      </w:r>
    </w:p>
    <w:p>
      <w:pPr>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（4）因按相关规定须与行业、行政监督部门传输报送检测数据信息的工作，且合同价中已经综合考虑了该项协调工作的费用。</w:t>
      </w:r>
    </w:p>
    <w:p>
      <w:pPr>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（5）根据相关规范和标准、主管部门文件的规定以及设计图纸的有关要求，结合工程实际情况编制相关项目的《检测方案》和《监测方案》，并报质监部门备案（如需要）。</w:t>
      </w:r>
    </w:p>
    <w:p>
      <w:pPr>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（6）负责检测的工程质量需符合《建设工程质量管理条例》等国家相关管理要求。</w:t>
      </w:r>
    </w:p>
    <w:p>
      <w:pPr>
        <w:spacing w:line="360" w:lineRule="auto"/>
        <w:ind w:firstLine="480" w:firstLineChars="200"/>
        <w:rPr>
          <w:rFonts w:hint="eastAsia" w:ascii="宋体" w:hAnsi="宋体" w:cs="宋体"/>
          <w:bCs/>
          <w:color w:val="auto"/>
          <w:sz w:val="24"/>
          <w:szCs w:val="24"/>
          <w:highlight w:val="none"/>
          <w:u w:val="single"/>
          <w:lang w:val="en-US" w:eastAsia="zh-CN"/>
        </w:rPr>
      </w:pPr>
      <w:r>
        <w:rPr>
          <w:rFonts w:hint="eastAsia" w:ascii="宋体" w:hAnsi="宋体" w:cs="宋体"/>
          <w:bCs/>
          <w:color w:val="auto"/>
          <w:sz w:val="24"/>
          <w:highlight w:val="none"/>
          <w:u w:val="single"/>
        </w:rPr>
        <w:t>（7）本项目实施期间，如果因本项目验收需要，按规范和经批准的检测方案，经甲方确认需增加《材料检测清单表》中没有的检测项目，且乙方也具备相应资质，则乙方不得以任何原因拒绝为招标人提供检测，并按要求出具符合验收要求的检测报告。若有乙方检测资质不能涵盖的项目，必须报甲方批准后可委托具有相应资质的第三方实施，乙方应对该第三方出具的结果负责，并取得相应管理部门的确认。</w:t>
      </w:r>
    </w:p>
    <w:p>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8）根据《广州市城乡建设委员会关于启用地下工程及深基坑安全监测信息管理系统的通知》要求，乙方需配合做好信息化管理工作。乙方需按广州市住房和城乡建设局的规定，开通基坑监测数据管理系统账号，配备能实时上传监测数据的相关仪器设备，并具备将监测数据实时上传至广州市地下工程和深基坑安全监测信息管理系统的能力及经验。</w:t>
      </w:r>
    </w:p>
    <w:p>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9）根据《广州市住房和城乡建设委员会关于启用高大模板实时监测管理平台的通知》要求，乙方需配合做好信息化管理工作。乙方需按广州市住房和城乡建设局的规定，开通高大模板自动化监测数据管理系统账号，配备能实时上传监测数据的相关仪器设备，并具备将监测数据实时上传至广州市高大模板实时监测管理平台的能力及经验。</w:t>
      </w:r>
    </w:p>
    <w:p>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10）与工程所在行政区域的相关建设行政主管部门和监督部门进行监测工作的协调，申报监测技术成果的审批。保证技术成果能够通过相关部门认可，确保不因监测和建筑物主体沉降观工作影响本工程项目的建设进度、项目竣工验收和在城建档案馆备案。</w:t>
      </w:r>
    </w:p>
    <w:p>
      <w:pPr>
        <w:spacing w:line="360" w:lineRule="auto"/>
        <w:ind w:firstLine="480" w:firstLineChars="200"/>
        <w:rPr>
          <w:rFonts w:ascii="宋体" w:hAnsi="宋体" w:cs="宋体"/>
          <w:bCs/>
          <w:color w:val="auto"/>
          <w:sz w:val="24"/>
          <w:szCs w:val="24"/>
          <w:highlight w:val="none"/>
          <w:u w:val="single"/>
        </w:rPr>
      </w:pPr>
      <w:r>
        <w:rPr>
          <w:rFonts w:hint="eastAsia" w:ascii="宋体" w:hAnsi="宋体" w:cs="宋体"/>
          <w:bCs/>
          <w:color w:val="auto"/>
          <w:sz w:val="24"/>
          <w:szCs w:val="24"/>
          <w:highlight w:val="none"/>
          <w:u w:val="single"/>
        </w:rPr>
        <w:t>（具体以招标文件、施工图纸、检测</w:t>
      </w:r>
      <w:r>
        <w:rPr>
          <w:rFonts w:hint="eastAsia" w:ascii="宋体" w:hAnsi="宋体" w:eastAsia="宋体" w:cs="宋体"/>
          <w:color w:val="auto"/>
          <w:sz w:val="24"/>
          <w:szCs w:val="24"/>
          <w:highlight w:val="none"/>
          <w:u w:val="single"/>
          <w:lang w:val="en-US" w:eastAsia="zh-CN"/>
        </w:rPr>
        <w:t>监测</w:t>
      </w:r>
      <w:r>
        <w:rPr>
          <w:rFonts w:hint="eastAsia" w:ascii="宋体" w:hAnsi="宋体" w:cs="宋体"/>
          <w:bCs/>
          <w:color w:val="auto"/>
          <w:sz w:val="24"/>
          <w:szCs w:val="24"/>
          <w:highlight w:val="none"/>
          <w:u w:val="single"/>
        </w:rPr>
        <w:t>方案为准）。</w:t>
      </w:r>
    </w:p>
    <w:p>
      <w:pPr>
        <w:widowControl/>
        <w:numPr>
          <w:ilvl w:val="0"/>
          <w:numId w:val="1"/>
        </w:numPr>
        <w:spacing w:before="156" w:beforeLines="50" w:after="156" w:afterLines="50" w:line="360" w:lineRule="auto"/>
        <w:ind w:left="760" w:hanging="403"/>
        <w:jc w:val="left"/>
        <w:rPr>
          <w:rFonts w:ascii="宋体" w:hAnsi="宋体" w:cs="宋体"/>
          <w:b/>
          <w:bCs/>
          <w:color w:val="auto"/>
          <w:sz w:val="24"/>
          <w:highlight w:val="none"/>
        </w:rPr>
      </w:pPr>
      <w:r>
        <w:rPr>
          <w:rFonts w:hint="eastAsia" w:ascii="宋体" w:hAnsi="宋体" w:cs="宋体"/>
          <w:b/>
          <w:bCs/>
          <w:color w:val="auto"/>
          <w:sz w:val="24"/>
          <w:highlight w:val="none"/>
        </w:rPr>
        <w:t>投标人资格要求</w:t>
      </w:r>
    </w:p>
    <w:p>
      <w:pPr>
        <w:shd w:val="clear" w:color="auto" w:fill="FFFFFF"/>
        <w:spacing w:line="360" w:lineRule="auto"/>
        <w:ind w:firstLine="537" w:firstLineChars="224"/>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3.1</w:t>
      </w:r>
      <w:r>
        <w:rPr>
          <w:rFonts w:hint="eastAsia" w:ascii="宋体" w:hAnsi="宋体" w:cs="宋体"/>
          <w:color w:val="auto"/>
          <w:sz w:val="24"/>
          <w:szCs w:val="24"/>
          <w:highlight w:val="none"/>
        </w:rPr>
        <w:t>投标人持有事业单位登记管理部门核发的有效的事业单位法人证书或工商行政管理部门核发的有效的企业法人营业执照；</w:t>
      </w:r>
    </w:p>
    <w:p>
      <w:pPr>
        <w:shd w:val="clear" w:color="auto" w:fill="FFFFFF"/>
        <w:spacing w:line="360" w:lineRule="auto"/>
        <w:ind w:firstLine="537" w:firstLineChars="224"/>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3.2投标人具备以下相应资质：</w:t>
      </w:r>
    </w:p>
    <w:p>
      <w:pPr>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（1）投标人（若为联合体投标，指承担检测任务的单位）应具备建设行政主管部门颁发的建设工程质量检测机构资质证书（检测范围应涵盖本次招标主要检测内容：</w:t>
      </w:r>
      <w:r>
        <w:rPr>
          <w:rFonts w:hint="eastAsia" w:ascii="宋体" w:hAnsi="宋体" w:cs="宋体"/>
          <w:b/>
          <w:bCs/>
          <w:color w:val="auto"/>
          <w:sz w:val="24"/>
          <w:szCs w:val="24"/>
          <w:highlight w:val="none"/>
          <w:u w:val="single"/>
        </w:rPr>
        <w:t>见证取样检测、地基基础工程检测、主体结构工程现场检测</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钢结构工程检测、建筑幕墙工程检测</w:t>
      </w:r>
      <w:r>
        <w:rPr>
          <w:rFonts w:hint="eastAsia" w:ascii="宋体" w:hAnsi="宋体" w:cs="宋体"/>
          <w:color w:val="auto"/>
          <w:sz w:val="24"/>
          <w:szCs w:val="24"/>
          <w:highlight w:val="none"/>
        </w:rPr>
        <w:t>）且证书在有效期内，或根据《住房和城乡建设部关于印发《建设工程质量检测机构资质标准》的通知》（建质规〔2023〕1号，以下简称新标准）具有有效的建设行政主管部门颁发的建设工程质量检测机构综合资质证书或专项资质证书（专项资质证书包括：</w:t>
      </w:r>
      <w:r>
        <w:rPr>
          <w:rFonts w:hint="eastAsia" w:ascii="宋体" w:hAnsi="宋体" w:cs="宋体"/>
          <w:b/>
          <w:bCs/>
          <w:color w:val="auto"/>
          <w:sz w:val="24"/>
          <w:szCs w:val="24"/>
          <w:highlight w:val="none"/>
          <w:u w:val="single"/>
        </w:rPr>
        <w:t>主体结构及装饰装修、地基基础、市政工程材料、道路工程</w:t>
      </w:r>
      <w:r>
        <w:rPr>
          <w:rFonts w:hint="eastAsia" w:ascii="宋体" w:hAnsi="宋体" w:cs="宋体"/>
          <w:color w:val="auto"/>
          <w:sz w:val="24"/>
          <w:szCs w:val="24"/>
          <w:highlight w:val="none"/>
        </w:rPr>
        <w:t>）。如资质证书须在有效期内；</w:t>
      </w:r>
    </w:p>
    <w:p>
      <w:pPr>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投标人（若为联合体投标，按联合体任务分工进行评审）应具备质量技术监督部门颁发的CMA计量认证合格证书（或CMA检验检测机构资质认定证书）（认证范围覆盖本次招标主要内容：①承担检测任务的单位认证范围为：</w:t>
      </w:r>
      <w:r>
        <w:rPr>
          <w:rFonts w:hint="eastAsia" w:ascii="宋体" w:hAnsi="宋体" w:cs="宋体"/>
          <w:b/>
          <w:bCs/>
          <w:color w:val="auto"/>
          <w:sz w:val="24"/>
          <w:szCs w:val="24"/>
          <w:highlight w:val="none"/>
          <w:u w:val="single"/>
        </w:rPr>
        <w:t>地基基础工程检测、见证取样检测、主体结构工程现场检测</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钢结构工程检测、建筑幕墙工程检测</w:t>
      </w:r>
      <w:r>
        <w:rPr>
          <w:rFonts w:hint="eastAsia" w:ascii="宋体" w:hAnsi="宋体" w:cs="宋体"/>
          <w:color w:val="auto"/>
          <w:sz w:val="24"/>
          <w:szCs w:val="24"/>
          <w:highlight w:val="none"/>
        </w:rPr>
        <w:t>；②承担监测任务的单位认证范围为：</w:t>
      </w:r>
      <w:r>
        <w:rPr>
          <w:rFonts w:hint="eastAsia" w:ascii="宋体" w:hAnsi="宋体" w:cs="宋体"/>
          <w:color w:val="auto"/>
          <w:sz w:val="24"/>
          <w:szCs w:val="24"/>
          <w:highlight w:val="none"/>
          <w:u w:val="single"/>
        </w:rPr>
        <w:t>工程监测、高支模监测</w:t>
      </w:r>
      <w:r>
        <w:rPr>
          <w:rFonts w:hint="eastAsia" w:ascii="宋体" w:hAnsi="宋体" w:cs="宋体"/>
          <w:color w:val="auto"/>
          <w:sz w:val="24"/>
          <w:szCs w:val="24"/>
          <w:highlight w:val="none"/>
        </w:rPr>
        <w:t>。如投标人CMA计量认证合格证书（或CMA检验检测机构资质认定证书）中的项目与上述名称不同，但表达的意思一致也视为满足该项条件），且在有效期内；</w:t>
      </w:r>
    </w:p>
    <w:p>
      <w:pPr>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（3）投标人（若为联合体投标，指承担监测任务的单位）应具有以下①、②、③之一资质（证书在有效期内）：</w:t>
      </w:r>
    </w:p>
    <w:p>
      <w:pPr>
        <w:shd w:val="clear" w:color="auto" w:fill="FFFFFF"/>
        <w:spacing w:line="360" w:lineRule="auto"/>
        <w:ind w:firstLine="537" w:firstLineChars="224"/>
        <w:rPr>
          <w:rFonts w:ascii="宋体" w:hAnsi="宋体" w:cs="宋体"/>
          <w:color w:val="auto"/>
          <w:sz w:val="24"/>
          <w:szCs w:val="24"/>
          <w:highlight w:val="none"/>
          <w:u w:val="single"/>
          <w:shd w:val="clear" w:color="auto" w:fill="FFFFFF"/>
        </w:rPr>
      </w:pPr>
      <w:r>
        <w:rPr>
          <w:rFonts w:hint="eastAsia" w:ascii="宋体" w:hAnsi="宋体" w:cs="宋体"/>
          <w:color w:val="auto"/>
          <w:sz w:val="24"/>
          <w:szCs w:val="24"/>
          <w:highlight w:val="none"/>
          <w:u w:val="single"/>
          <w:shd w:val="clear" w:color="auto" w:fill="FFFFFF"/>
        </w:rPr>
        <w:t>①工程勘察综合甲级资质；</w:t>
      </w:r>
    </w:p>
    <w:p>
      <w:pPr>
        <w:shd w:val="clear" w:color="auto" w:fill="FFFFFF"/>
        <w:spacing w:line="360" w:lineRule="auto"/>
        <w:ind w:firstLine="537" w:firstLineChars="224"/>
        <w:rPr>
          <w:rFonts w:ascii="宋体" w:hAnsi="宋体" w:cs="宋体"/>
          <w:color w:val="auto"/>
          <w:sz w:val="24"/>
          <w:szCs w:val="24"/>
          <w:highlight w:val="none"/>
          <w:u w:val="single"/>
          <w:shd w:val="clear" w:color="auto" w:fill="FFFFFF"/>
        </w:rPr>
      </w:pPr>
      <w:r>
        <w:rPr>
          <w:rFonts w:hint="eastAsia" w:ascii="宋体" w:hAnsi="宋体" w:cs="宋体"/>
          <w:color w:val="auto"/>
          <w:sz w:val="24"/>
          <w:szCs w:val="24"/>
          <w:highlight w:val="none"/>
          <w:u w:val="single"/>
          <w:shd w:val="clear" w:color="auto" w:fill="FFFFFF"/>
        </w:rPr>
        <w:t>②工程勘察专业类（岩土工程）甲级资质和工程勘察专业类（工程测量）甲级资质；</w:t>
      </w:r>
    </w:p>
    <w:p>
      <w:pPr>
        <w:shd w:val="clear" w:color="auto" w:fill="FFFFFF"/>
        <w:spacing w:line="360" w:lineRule="auto"/>
        <w:ind w:firstLine="537" w:firstLineChars="224"/>
        <w:rPr>
          <w:rFonts w:ascii="宋体" w:hAnsi="宋体" w:cs="宋体"/>
          <w:color w:val="auto"/>
          <w:sz w:val="24"/>
          <w:szCs w:val="24"/>
          <w:highlight w:val="none"/>
          <w:u w:val="single"/>
          <w:shd w:val="clear" w:color="auto" w:fill="FFFFFF"/>
        </w:rPr>
      </w:pPr>
      <w:r>
        <w:rPr>
          <w:rFonts w:hint="eastAsia" w:ascii="宋体" w:hAnsi="宋体" w:cs="宋体"/>
          <w:color w:val="auto"/>
          <w:sz w:val="24"/>
          <w:szCs w:val="24"/>
          <w:highlight w:val="none"/>
          <w:u w:val="single"/>
          <w:shd w:val="clear" w:color="auto" w:fill="FFFFFF"/>
        </w:rPr>
        <w:t>③工程勘察专业资质岩土工程（分项）物探测试检测监测甲级资质和工程勘察专业类（工程测量）甲级资质；</w:t>
      </w:r>
    </w:p>
    <w:p>
      <w:pPr>
        <w:shd w:val="clear" w:color="auto" w:fill="FFFFFF"/>
        <w:spacing w:line="360" w:lineRule="auto"/>
        <w:ind w:firstLine="537" w:firstLineChars="224"/>
        <w:rPr>
          <w:rFonts w:ascii="宋体" w:hAnsi="宋体" w:cs="宋体"/>
          <w:color w:val="auto"/>
          <w:sz w:val="24"/>
          <w:szCs w:val="24"/>
          <w:highlight w:val="none"/>
          <w:u w:val="single"/>
          <w:shd w:val="clear" w:color="auto" w:fill="FFFFFF"/>
        </w:rPr>
      </w:pPr>
      <w:r>
        <w:rPr>
          <w:rFonts w:hint="eastAsia" w:ascii="宋体" w:hAnsi="宋体" w:cs="宋体"/>
          <w:color w:val="auto"/>
          <w:sz w:val="24"/>
          <w:szCs w:val="24"/>
          <w:highlight w:val="none"/>
        </w:rPr>
        <w:t>3.3投标人拟担任本工程项目负责人应具有工程类中级工程师或以上技术职称（若为联合体投标，项目负责人须是承担检测任务单位的员工）；</w:t>
      </w:r>
    </w:p>
    <w:p>
      <w:pPr>
        <w:tabs>
          <w:tab w:val="left" w:pos="0"/>
          <w:tab w:val="left" w:pos="795"/>
        </w:tabs>
        <w:adjustRightInd w:val="0"/>
        <w:spacing w:line="360" w:lineRule="auto"/>
        <w:ind w:firstLine="562"/>
        <w:rPr>
          <w:rFonts w:ascii="宋体" w:hAnsi="宋体" w:cs="宋体"/>
          <w:bCs/>
          <w:color w:val="auto"/>
          <w:sz w:val="24"/>
          <w:szCs w:val="24"/>
          <w:highlight w:val="none"/>
        </w:rPr>
      </w:pPr>
      <w:r>
        <w:rPr>
          <w:rFonts w:hint="eastAsia" w:ascii="宋体" w:hAnsi="宋体" w:cs="宋体"/>
          <w:bCs/>
          <w:color w:val="auto"/>
          <w:sz w:val="24"/>
          <w:szCs w:val="24"/>
          <w:highlight w:val="none"/>
        </w:rPr>
        <w:t>3.4关于联合体投标：</w:t>
      </w:r>
    </w:p>
    <w:p>
      <w:pPr>
        <w:adjustRightInd w:val="0"/>
        <w:spacing w:line="360" w:lineRule="auto"/>
        <w:ind w:firstLine="56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bCs/>
          <w:color w:val="auto"/>
          <w:sz w:val="24"/>
          <w:szCs w:val="24"/>
          <w:highlight w:val="none"/>
        </w:rPr>
        <w:t>本项目</w:t>
      </w:r>
      <w:r>
        <w:rPr>
          <w:rFonts w:hint="eastAsia" w:ascii="宋体" w:hAnsi="宋体" w:cs="宋体"/>
          <w:bCs/>
          <w:color w:val="auto"/>
          <w:sz w:val="24"/>
          <w:szCs w:val="24"/>
          <w:highlight w:val="none"/>
          <w:u w:val="single"/>
        </w:rPr>
        <w:t xml:space="preserve"> 接受 </w:t>
      </w:r>
      <w:r>
        <w:rPr>
          <w:rFonts w:hint="eastAsia" w:ascii="宋体" w:hAnsi="宋体" w:cs="宋体"/>
          <w:bCs/>
          <w:color w:val="auto"/>
          <w:sz w:val="24"/>
          <w:szCs w:val="24"/>
          <w:highlight w:val="none"/>
        </w:rPr>
        <w:t>联合体投标。</w:t>
      </w:r>
      <w:r>
        <w:rPr>
          <w:rFonts w:hint="eastAsia" w:ascii="宋体" w:hAnsi="宋体" w:cs="宋体"/>
          <w:color w:val="auto"/>
          <w:sz w:val="24"/>
          <w:szCs w:val="24"/>
          <w:highlight w:val="none"/>
        </w:rPr>
        <w:t>如投标人组成联合体，联合体须以具有第3所述资质并承接</w:t>
      </w:r>
      <w:r>
        <w:rPr>
          <w:rFonts w:hint="eastAsia" w:ascii="宋体" w:hAnsi="宋体" w:cs="宋体"/>
          <w:b/>
          <w:color w:val="auto"/>
          <w:sz w:val="24"/>
          <w:szCs w:val="24"/>
          <w:highlight w:val="none"/>
        </w:rPr>
        <w:t>检测</w:t>
      </w:r>
      <w:r>
        <w:rPr>
          <w:rFonts w:hint="eastAsia" w:ascii="宋体" w:hAnsi="宋体" w:cs="宋体"/>
          <w:color w:val="auto"/>
          <w:sz w:val="24"/>
          <w:szCs w:val="24"/>
          <w:highlight w:val="none"/>
        </w:rPr>
        <w:t>任务的单位为牵头人，且联合体组成单位的总数量不得超过3家。</w:t>
      </w:r>
    </w:p>
    <w:p>
      <w:pPr>
        <w:adjustRightInd w:val="0"/>
        <w:spacing w:line="360" w:lineRule="auto"/>
        <w:ind w:firstLine="560"/>
        <w:rPr>
          <w:rFonts w:ascii="宋体" w:hAnsi="宋体" w:cs="宋体"/>
          <w:color w:val="auto"/>
          <w:sz w:val="24"/>
          <w:szCs w:val="24"/>
          <w:highlight w:val="none"/>
        </w:rPr>
      </w:pPr>
      <w:r>
        <w:rPr>
          <w:rFonts w:hint="eastAsia" w:ascii="宋体" w:hAnsi="宋体" w:cs="宋体"/>
          <w:color w:val="auto"/>
          <w:sz w:val="24"/>
          <w:szCs w:val="24"/>
          <w:highlight w:val="none"/>
        </w:rPr>
        <w:t>（2）联合体的资格条件按联合体任务分工进行评审，其中检测机构资质、项目负责人以承接</w:t>
      </w:r>
      <w:r>
        <w:rPr>
          <w:rFonts w:hint="eastAsia" w:ascii="宋体" w:hAnsi="宋体" w:cs="宋体"/>
          <w:b/>
          <w:bCs/>
          <w:color w:val="auto"/>
          <w:sz w:val="24"/>
          <w:szCs w:val="24"/>
          <w:highlight w:val="none"/>
        </w:rPr>
        <w:t>检测</w:t>
      </w:r>
      <w:r>
        <w:rPr>
          <w:rFonts w:hint="eastAsia" w:ascii="宋体" w:hAnsi="宋体" w:cs="宋体"/>
          <w:color w:val="auto"/>
          <w:sz w:val="24"/>
          <w:szCs w:val="24"/>
          <w:highlight w:val="none"/>
        </w:rPr>
        <w:t>任务的牵头人为准；CMA计量认证合格证书（或CMA检验检测机构资质认定证书）按联合体任务分工进行评审；工程勘察资质以承接监测任务的成员单位为准。</w:t>
      </w:r>
    </w:p>
    <w:p>
      <w:pPr>
        <w:shd w:val="clear" w:color="auto" w:fill="FFFFFF"/>
        <w:spacing w:line="360" w:lineRule="auto"/>
        <w:ind w:firstLine="537" w:firstLineChars="224"/>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3.5其他要求：</w:t>
      </w:r>
    </w:p>
    <w:p>
      <w:pPr>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①投标人参加投标的意思表达清楚，投标人代表被授权有效；</w:t>
      </w:r>
    </w:p>
    <w:p>
      <w:pPr>
        <w:shd w:val="clear" w:color="auto" w:fill="FFFFFF"/>
        <w:spacing w:line="360" w:lineRule="auto"/>
        <w:ind w:firstLine="537" w:firstLineChars="224"/>
        <w:rPr>
          <w:rFonts w:ascii="宋体" w:hAnsi="宋体" w:cs="宋体"/>
          <w:color w:val="auto"/>
          <w:sz w:val="24"/>
          <w:szCs w:val="24"/>
          <w:highlight w:val="none"/>
          <w:u w:val="single"/>
          <w:shd w:val="clear" w:color="auto" w:fill="FFFFFF"/>
        </w:rPr>
      </w:pPr>
      <w:r>
        <w:rPr>
          <w:rFonts w:hint="eastAsia" w:ascii="宋体" w:hAnsi="宋体" w:cs="宋体"/>
          <w:color w:val="auto"/>
          <w:sz w:val="24"/>
          <w:szCs w:val="24"/>
          <w:highlight w:val="none"/>
          <w:u w:val="single"/>
        </w:rPr>
        <w:t>②</w:t>
      </w:r>
      <w:r>
        <w:rPr>
          <w:rFonts w:hint="eastAsia" w:ascii="宋体" w:hAnsi="宋体" w:cs="宋体"/>
          <w:color w:val="auto"/>
          <w:sz w:val="24"/>
          <w:szCs w:val="24"/>
          <w:highlight w:val="none"/>
          <w:u w:val="single"/>
          <w:shd w:val="clear" w:color="auto" w:fill="FFFFFF"/>
        </w:rPr>
        <w:t>2021年1月1日至今未因以往检测工作中存在伪造检测数据、出具虚假检测报告的行为被各级建设行政主管部门或市场监督管理部门行政处罚或通报。（《投标人声明》中承诺）</w:t>
      </w:r>
    </w:p>
    <w:p>
      <w:pPr>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③投标人已按照附件一的内容签署盖章《投标人声明》；</w:t>
      </w:r>
    </w:p>
    <w:p>
      <w:pPr>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fldChar w:fldCharType="begin"/>
      </w:r>
      <w:r>
        <w:rPr>
          <w:rFonts w:hint="eastAsia" w:ascii="宋体" w:hAnsi="宋体" w:cs="宋体"/>
          <w:color w:val="auto"/>
          <w:sz w:val="24"/>
          <w:szCs w:val="24"/>
          <w:highlight w:val="none"/>
          <w:u w:val="single"/>
        </w:rPr>
        <w:instrText xml:space="preserve"> = 4 \* GB3 </w:instrText>
      </w:r>
      <w:r>
        <w:rPr>
          <w:rFonts w:hint="eastAsia" w:ascii="宋体" w:hAnsi="宋体" w:cs="宋体"/>
          <w:color w:val="auto"/>
          <w:sz w:val="24"/>
          <w:szCs w:val="24"/>
          <w:highlight w:val="none"/>
          <w:u w:val="single"/>
        </w:rPr>
        <w:fldChar w:fldCharType="separate"/>
      </w:r>
      <w:r>
        <w:rPr>
          <w:rFonts w:hint="eastAsia" w:ascii="宋体" w:hAnsi="宋体" w:cs="宋体"/>
          <w:color w:val="auto"/>
          <w:sz w:val="24"/>
          <w:szCs w:val="24"/>
          <w:highlight w:val="none"/>
          <w:u w:val="single"/>
        </w:rPr>
        <w:t>④</w:t>
      </w:r>
      <w:r>
        <w:rPr>
          <w:rFonts w:hint="eastAsia" w:ascii="宋体" w:hAnsi="宋体" w:cs="宋体"/>
          <w:color w:val="auto"/>
          <w:sz w:val="24"/>
          <w:szCs w:val="24"/>
          <w:highlight w:val="none"/>
          <w:u w:val="single"/>
        </w:rPr>
        <w:fldChar w:fldCharType="end"/>
      </w:r>
      <w:r>
        <w:rPr>
          <w:rFonts w:hint="eastAsia" w:ascii="宋体" w:hAnsi="宋体" w:cs="宋体"/>
          <w:color w:val="auto"/>
          <w:sz w:val="24"/>
          <w:szCs w:val="24"/>
          <w:highlight w:val="none"/>
          <w:u w:val="single"/>
        </w:rPr>
        <w:t>投标人未出现以下情形：与本项目其它投标人的单位负责人为同一人或者存在控股、管理关系的（按投标人提供的《投标人声明》第六条内容进行评审）。如不同投标申请人出现单位负责人为同一人或者存在控股、管理关系的情形，则相关投标均无效；</w:t>
      </w:r>
    </w:p>
    <w:p>
      <w:pPr>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⑤投标人在广州市住建行业信用管理平台建立了企业信用档案，且拟担任本项目的项目负责人是本企业信用档案中的在册人员。（以广州市住建行业信用管理平台查询信息为准）。</w:t>
      </w:r>
    </w:p>
    <w:p>
      <w:pPr>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⑥投标人未被列入拖欠农民工工资失信联合惩戒对象名单（按广州公共资源交易中心交易系统比对结果进行评审）。</w:t>
      </w:r>
    </w:p>
    <w:p>
      <w:pPr>
        <w:spacing w:line="360" w:lineRule="auto"/>
        <w:jc w:val="left"/>
        <w:rPr>
          <w:rFonts w:ascii="宋体" w:hAnsi="宋体" w:cs="宋体"/>
          <w:b/>
          <w:bCs/>
          <w:color w:val="auto"/>
          <w:sz w:val="24"/>
          <w:szCs w:val="24"/>
          <w:highlight w:val="none"/>
        </w:rPr>
      </w:pPr>
    </w:p>
    <w:p>
      <w:pPr>
        <w:spacing w:line="360" w:lineRule="auto"/>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4.</w:t>
      </w:r>
      <w:r>
        <w:rPr>
          <w:rFonts w:hint="eastAsia" w:ascii="宋体" w:hAnsi="宋体" w:cs="宋体"/>
          <w:b/>
          <w:bCs/>
          <w:color w:val="auto"/>
          <w:sz w:val="24"/>
          <w:highlight w:val="none"/>
        </w:rPr>
        <w:t>招标文件的获取</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4.1</w:t>
      </w:r>
      <w:r>
        <w:rPr>
          <w:rFonts w:hint="eastAsia" w:ascii="宋体" w:hAnsi="宋体" w:cs="宋体"/>
          <w:color w:val="auto"/>
          <w:sz w:val="24"/>
          <w:highlight w:val="none"/>
        </w:rPr>
        <w:t>凡有意参加投标者，请于</w:t>
      </w:r>
      <w:r>
        <w:rPr>
          <w:rFonts w:ascii="宋体" w:hAnsi="宋体" w:cs="宋体"/>
          <w:color w:val="auto"/>
          <w:sz w:val="24"/>
          <w:highlight w:val="none"/>
          <w:u w:val="single"/>
        </w:rPr>
        <w:t>2023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分至</w:t>
      </w:r>
      <w:r>
        <w:rPr>
          <w:rFonts w:ascii="宋体" w:hAnsi="宋体" w:cs="宋体"/>
          <w:color w:val="auto"/>
          <w:sz w:val="24"/>
          <w:highlight w:val="none"/>
          <w:u w:val="single"/>
        </w:rPr>
        <w:t>2023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分</w:t>
      </w:r>
      <w:r>
        <w:rPr>
          <w:rFonts w:ascii="宋体" w:hAnsi="宋体" w:cs="宋体"/>
          <w:color w:val="auto"/>
          <w:sz w:val="24"/>
          <w:highlight w:val="none"/>
        </w:rPr>
        <w:t>(</w:t>
      </w:r>
      <w:r>
        <w:rPr>
          <w:rFonts w:hint="eastAsia" w:ascii="宋体" w:hAnsi="宋体" w:cs="宋体"/>
          <w:color w:val="auto"/>
          <w:sz w:val="24"/>
          <w:highlight w:val="none"/>
        </w:rPr>
        <w:t>北京时间，下同</w:t>
      </w:r>
      <w:r>
        <w:rPr>
          <w:rFonts w:ascii="宋体" w:hAnsi="宋体" w:cs="宋体"/>
          <w:color w:val="auto"/>
          <w:sz w:val="24"/>
          <w:highlight w:val="none"/>
        </w:rPr>
        <w:t>)</w:t>
      </w:r>
      <w:r>
        <w:rPr>
          <w:rFonts w:hint="eastAsia" w:ascii="宋体" w:hAnsi="宋体" w:cs="宋体"/>
          <w:color w:val="auto"/>
          <w:sz w:val="24"/>
          <w:highlight w:val="none"/>
        </w:rPr>
        <w:t>，登录广州公共资源交易中心网站（</w:t>
      </w:r>
      <w:r>
        <w:rPr>
          <w:rFonts w:ascii="宋体" w:hAnsi="宋体" w:cs="宋体"/>
          <w:color w:val="auto"/>
          <w:sz w:val="24"/>
          <w:highlight w:val="none"/>
        </w:rPr>
        <w:t>http//www.gzggzy.cn</w:t>
      </w:r>
      <w:r>
        <w:rPr>
          <w:rFonts w:hint="eastAsia" w:ascii="宋体" w:hAnsi="宋体" w:cs="宋体"/>
          <w:color w:val="auto"/>
          <w:sz w:val="24"/>
          <w:highlight w:val="none"/>
        </w:rPr>
        <w:t>）下载电子招标文件。</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4.2 </w:t>
      </w:r>
      <w:r>
        <w:rPr>
          <w:rFonts w:hint="eastAsia" w:ascii="宋体" w:hAnsi="宋体" w:cs="宋体"/>
          <w:color w:val="auto"/>
          <w:sz w:val="24"/>
          <w:highlight w:val="none"/>
        </w:rPr>
        <w:t>发布招标公告时间（含本日）：</w:t>
      </w:r>
      <w:r>
        <w:rPr>
          <w:rFonts w:ascii="宋体" w:hAnsi="宋体" w:cs="宋体"/>
          <w:color w:val="auto"/>
          <w:sz w:val="24"/>
          <w:highlight w:val="none"/>
          <w:u w:val="single"/>
        </w:rPr>
        <w:t>2023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分至</w:t>
      </w:r>
      <w:r>
        <w:rPr>
          <w:rFonts w:ascii="宋体" w:hAnsi="宋体" w:cs="宋体"/>
          <w:color w:val="auto"/>
          <w:sz w:val="24"/>
          <w:highlight w:val="none"/>
          <w:u w:val="single"/>
        </w:rPr>
        <w:t>2023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时分</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注：发布招标公告的时间为招标公告发出之日起至递交投标文件截止时间止。</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4.2.1</w:t>
      </w:r>
      <w:r>
        <w:rPr>
          <w:rFonts w:hint="eastAsia" w:ascii="宋体" w:hAnsi="宋体" w:cs="宋体"/>
          <w:color w:val="auto"/>
          <w:sz w:val="24"/>
          <w:highlight w:val="none"/>
        </w:rPr>
        <w:t>投标人通过</w:t>
      </w:r>
      <w:r>
        <w:rPr>
          <w:rFonts w:hint="eastAsia" w:ascii="宋体" w:hAnsi="宋体" w:cs="宋体"/>
          <w:color w:val="auto"/>
          <w:sz w:val="24"/>
          <w:highlight w:val="none"/>
          <w:u w:val="single"/>
        </w:rPr>
        <w:t>广州公共资源交易中心</w:t>
      </w:r>
      <w:r>
        <w:rPr>
          <w:rFonts w:hint="eastAsia" w:ascii="宋体" w:hAnsi="宋体" w:cs="宋体"/>
          <w:color w:val="auto"/>
          <w:sz w:val="24"/>
          <w:highlight w:val="none"/>
        </w:rPr>
        <w:t>交易平台递交电子投标文件。投标人应在递交投标文件截止时间前，登录</w:t>
      </w:r>
      <w:r>
        <w:rPr>
          <w:rFonts w:hint="eastAsia" w:ascii="宋体" w:hAnsi="宋体" w:cs="宋体"/>
          <w:color w:val="auto"/>
          <w:sz w:val="24"/>
          <w:highlight w:val="none"/>
          <w:u w:val="single"/>
        </w:rPr>
        <w:t>广州公共资源交易中心</w:t>
      </w:r>
      <w:r>
        <w:rPr>
          <w:rFonts w:hint="eastAsia" w:ascii="宋体" w:hAnsi="宋体" w:cs="宋体"/>
          <w:color w:val="auto"/>
          <w:sz w:val="24"/>
          <w:highlight w:val="none"/>
        </w:rPr>
        <w:t>交易平台网站办理网上投标登记手续。按照交易平台关于全流程电子化项目的相关指南进行操作。详见：</w:t>
      </w:r>
      <w:r>
        <w:rPr>
          <w:rFonts w:hint="eastAsia" w:ascii="宋体" w:hAnsi="宋体" w:cs="宋体"/>
          <w:color w:val="auto"/>
          <w:sz w:val="24"/>
          <w:highlight w:val="none"/>
          <w:u w:val="single"/>
        </w:rPr>
        <w:t>广州公共资源交易中心网站</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4.2.2</w:t>
      </w:r>
      <w:r>
        <w:rPr>
          <w:rFonts w:hint="eastAsia" w:ascii="宋体" w:hAnsi="宋体" w:cs="宋体"/>
          <w:color w:val="auto"/>
          <w:sz w:val="24"/>
          <w:highlight w:val="none"/>
        </w:rPr>
        <w:t>开标时间：</w:t>
      </w:r>
      <w:r>
        <w:rPr>
          <w:rFonts w:ascii="宋体" w:hAnsi="宋体" w:cs="宋体"/>
          <w:color w:val="auto"/>
          <w:sz w:val="24"/>
          <w:highlight w:val="none"/>
          <w:u w:val="single"/>
        </w:rPr>
        <w:t>2023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分</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4.3 </w:t>
      </w:r>
      <w:r>
        <w:rPr>
          <w:rFonts w:hint="eastAsia" w:ascii="宋体" w:hAnsi="宋体" w:cs="宋体"/>
          <w:color w:val="auto"/>
          <w:sz w:val="24"/>
          <w:highlight w:val="none"/>
        </w:rPr>
        <w:t>本项目采用资格后审方式。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1</w:t>
      </w:r>
      <w:r>
        <w:rPr>
          <w:rFonts w:hint="eastAsia" w:ascii="宋体" w:hAnsi="宋体" w:cs="宋体"/>
          <w:color w:val="auto"/>
          <w:sz w:val="24"/>
          <w:highlight w:val="none"/>
        </w:rPr>
        <w:t>）电子招投标操作流程详见</w:t>
      </w:r>
      <w:r>
        <w:rPr>
          <w:rFonts w:hint="eastAsia" w:ascii="宋体" w:hAnsi="宋体" w:cs="宋体"/>
          <w:color w:val="auto"/>
          <w:sz w:val="24"/>
          <w:highlight w:val="none"/>
          <w:u w:val="single"/>
        </w:rPr>
        <w:t>广州公共资源交易中心网站发布的最新版操作指引</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）本公告发布之日起开始计算备标时间。</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4.4</w:t>
      </w:r>
      <w:r>
        <w:rPr>
          <w:rFonts w:hint="eastAsia" w:ascii="宋体" w:hAnsi="宋体" w:cs="宋体"/>
          <w:color w:val="auto"/>
          <w:sz w:val="24"/>
          <w:szCs w:val="24"/>
          <w:highlight w:val="none"/>
        </w:rPr>
        <w:t>潜在投标人或利害关系人对本招标公告及招标内容异议的，可以通过线下或线上的形式提出异议。线上提出异议的，应通过交易平台提交，招标人也应通过交易平台答复线上提出的异议。具体按照交易平台相关指南进行操作。作出答复前，应当暂停招标投标活动</w:t>
      </w:r>
      <w:r>
        <w:rPr>
          <w:rFonts w:hint="eastAsia" w:ascii="宋体" w:hAnsi="宋体" w:cs="宋体"/>
          <w:color w:val="auto"/>
          <w:sz w:val="24"/>
          <w:highlight w:val="none"/>
        </w:rPr>
        <w:t>。</w:t>
      </w:r>
    </w:p>
    <w:p>
      <w:pPr>
        <w:widowControl/>
        <w:spacing w:before="156" w:beforeLines="50" w:after="156" w:afterLines="50" w:line="360" w:lineRule="auto"/>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5.</w:t>
      </w:r>
      <w:r>
        <w:rPr>
          <w:rFonts w:hint="eastAsia" w:ascii="宋体" w:hAnsi="宋体" w:cs="宋体"/>
          <w:b/>
          <w:bCs/>
          <w:color w:val="auto"/>
          <w:sz w:val="24"/>
          <w:highlight w:val="none"/>
        </w:rPr>
        <w:t>投标文件的递交</w:t>
      </w:r>
    </w:p>
    <w:p>
      <w:pPr>
        <w:tabs>
          <w:tab w:val="left" w:pos="360"/>
        </w:tabs>
        <w:spacing w:line="360" w:lineRule="auto"/>
        <w:ind w:left="237" w:leftChars="113" w:firstLine="240" w:firstLineChars="100"/>
        <w:rPr>
          <w:rFonts w:ascii="宋体" w:hAnsi="宋体" w:cs="宋体"/>
          <w:color w:val="auto"/>
          <w:sz w:val="24"/>
          <w:highlight w:val="none"/>
        </w:rPr>
      </w:pPr>
      <w:r>
        <w:rPr>
          <w:rFonts w:ascii="宋体" w:hAnsi="宋体" w:cs="宋体"/>
          <w:color w:val="auto"/>
          <w:sz w:val="24"/>
          <w:highlight w:val="none"/>
        </w:rPr>
        <w:t>5.1</w:t>
      </w:r>
      <w:r>
        <w:rPr>
          <w:rFonts w:hint="eastAsia" w:ascii="宋体" w:hAnsi="宋体" w:cs="宋体"/>
          <w:color w:val="auto"/>
          <w:sz w:val="24"/>
          <w:highlight w:val="none"/>
        </w:rPr>
        <w:t>投标文件递交的截止时间（投标截止时间，下同）为</w:t>
      </w:r>
      <w:r>
        <w:rPr>
          <w:rFonts w:ascii="宋体" w:hAnsi="宋体" w:cs="宋体"/>
          <w:color w:val="auto"/>
          <w:sz w:val="24"/>
          <w:highlight w:val="none"/>
          <w:u w:val="single"/>
        </w:rPr>
        <w:t>2023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分</w:t>
      </w:r>
      <w:r>
        <w:rPr>
          <w:rFonts w:hint="eastAsia" w:ascii="宋体" w:hAnsi="宋体" w:cs="宋体"/>
          <w:color w:val="auto"/>
          <w:sz w:val="24"/>
          <w:highlight w:val="none"/>
        </w:rPr>
        <w:t>，投标人应在截止时间前通过</w:t>
      </w:r>
      <w:r>
        <w:rPr>
          <w:rFonts w:hint="eastAsia" w:ascii="宋体" w:hAnsi="宋体" w:cs="宋体"/>
          <w:color w:val="auto"/>
          <w:sz w:val="24"/>
          <w:highlight w:val="none"/>
          <w:u w:val="single"/>
        </w:rPr>
        <w:t>广州公共资源交易中心网站（</w:t>
      </w:r>
      <w:r>
        <w:rPr>
          <w:rFonts w:ascii="宋体" w:hAnsi="宋体" w:cs="宋体"/>
          <w:color w:val="auto"/>
          <w:sz w:val="24"/>
          <w:highlight w:val="none"/>
          <w:u w:val="single"/>
        </w:rPr>
        <w:t>http://www.gzggzy.cn</w:t>
      </w:r>
      <w:r>
        <w:rPr>
          <w:rFonts w:hint="eastAsia" w:ascii="宋体" w:hAnsi="宋体" w:cs="宋体"/>
          <w:color w:val="auto"/>
          <w:sz w:val="24"/>
          <w:highlight w:val="none"/>
          <w:u w:val="single"/>
        </w:rPr>
        <w:t>）</w:t>
      </w:r>
      <w:r>
        <w:rPr>
          <w:rFonts w:hint="eastAsia" w:ascii="宋体" w:hAnsi="宋体" w:cs="宋体"/>
          <w:color w:val="auto"/>
          <w:sz w:val="24"/>
          <w:highlight w:val="none"/>
        </w:rPr>
        <w:t>递交电子投标文件。</w:t>
      </w:r>
    </w:p>
    <w:p>
      <w:pPr>
        <w:tabs>
          <w:tab w:val="left" w:pos="360"/>
        </w:tabs>
        <w:spacing w:line="360" w:lineRule="auto"/>
        <w:ind w:left="10" w:firstLine="468" w:firstLineChars="195"/>
        <w:rPr>
          <w:rFonts w:ascii="宋体" w:hAnsi="宋体" w:cs="宋体"/>
          <w:color w:val="auto"/>
          <w:sz w:val="24"/>
          <w:highlight w:val="none"/>
        </w:rPr>
      </w:pPr>
      <w:r>
        <w:rPr>
          <w:rFonts w:hint="eastAsia" w:ascii="宋体" w:hAnsi="宋体" w:cs="宋体"/>
          <w:color w:val="auto"/>
          <w:sz w:val="24"/>
          <w:highlight w:val="none"/>
        </w:rPr>
        <w:t>递交备用投标文件电子光盘的规定：时间为：</w:t>
      </w:r>
      <w:r>
        <w:rPr>
          <w:rFonts w:ascii="宋体" w:hAnsi="宋体" w:cs="宋体"/>
          <w:color w:val="auto"/>
          <w:sz w:val="24"/>
          <w:highlight w:val="none"/>
          <w:u w:val="single"/>
        </w:rPr>
        <w:t>2023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分至</w:t>
      </w:r>
      <w:r>
        <w:rPr>
          <w:rFonts w:ascii="宋体" w:hAnsi="宋体" w:cs="宋体"/>
          <w:color w:val="auto"/>
          <w:sz w:val="24"/>
          <w:highlight w:val="none"/>
          <w:u w:val="single"/>
        </w:rPr>
        <w:t>2023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分</w:t>
      </w:r>
      <w:r>
        <w:rPr>
          <w:rFonts w:hint="eastAsia" w:ascii="宋体" w:hAnsi="宋体" w:cs="宋体"/>
          <w:color w:val="auto"/>
          <w:sz w:val="24"/>
          <w:highlight w:val="none"/>
        </w:rPr>
        <w:t>；地点：</w:t>
      </w:r>
      <w:r>
        <w:rPr>
          <w:rFonts w:hint="eastAsia" w:ascii="宋体" w:hAnsi="宋体" w:cs="宋体"/>
          <w:color w:val="auto"/>
          <w:sz w:val="24"/>
          <w:highlight w:val="none"/>
          <w:u w:val="single"/>
        </w:rPr>
        <w:t>广州公共资源交易中心开标室</w:t>
      </w:r>
      <w:r>
        <w:rPr>
          <w:rFonts w:hint="eastAsia" w:ascii="宋体" w:hAnsi="宋体" w:cs="宋体"/>
          <w:color w:val="auto"/>
          <w:sz w:val="24"/>
          <w:highlight w:val="none"/>
        </w:rPr>
        <w:t>。（电子光盘需按规定封装。投标人将数据刻录到光盘之后，投标前自行检查文件是否可以读取。）</w:t>
      </w:r>
    </w:p>
    <w:p>
      <w:pPr>
        <w:tabs>
          <w:tab w:val="left" w:pos="1100"/>
        </w:tabs>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5.2  </w:t>
      </w:r>
      <w:r>
        <w:rPr>
          <w:rFonts w:hint="eastAsia" w:ascii="宋体" w:hAnsi="宋体" w:cs="宋体"/>
          <w:color w:val="auto"/>
          <w:sz w:val="24"/>
          <w:highlight w:val="none"/>
        </w:rPr>
        <w:t>采取电子投标时，逾期送达的投标文件，电子招标投标交易平台将予以拒收。逾期未上传成功的电子投标文件，招标人拒绝接收。</w:t>
      </w:r>
    </w:p>
    <w:p>
      <w:pPr>
        <w:widowControl/>
        <w:spacing w:before="156" w:beforeLines="50" w:after="156" w:afterLines="50" w:line="360" w:lineRule="auto"/>
        <w:jc w:val="left"/>
        <w:rPr>
          <w:rFonts w:ascii="宋体" w:hAnsi="宋体" w:cs="宋体"/>
          <w:b/>
          <w:bCs/>
          <w:color w:val="auto"/>
          <w:sz w:val="24"/>
          <w:highlight w:val="none"/>
        </w:rPr>
      </w:pPr>
      <w:r>
        <w:rPr>
          <w:rFonts w:ascii="宋体" w:hAnsi="宋体" w:cs="宋体"/>
          <w:b/>
          <w:bCs/>
          <w:color w:val="auto"/>
          <w:sz w:val="24"/>
          <w:highlight w:val="none"/>
        </w:rPr>
        <w:t>6.</w:t>
      </w:r>
      <w:r>
        <w:rPr>
          <w:rFonts w:hint="eastAsia" w:ascii="宋体" w:hAnsi="宋体" w:cs="宋体"/>
          <w:b/>
          <w:bCs/>
          <w:color w:val="auto"/>
          <w:sz w:val="24"/>
          <w:highlight w:val="none"/>
        </w:rPr>
        <w:t>发布公告的媒介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本次招标公告同时在</w:t>
      </w:r>
      <w:r>
        <w:rPr>
          <w:rFonts w:hint="eastAsia" w:ascii="宋体" w:hAnsi="宋体" w:cs="宋体"/>
          <w:color w:val="auto"/>
          <w:sz w:val="24"/>
          <w:highlight w:val="none"/>
          <w:u w:val="single"/>
        </w:rPr>
        <w:t>广州公共资源交易中心网站（</w:t>
      </w:r>
      <w:r>
        <w:rPr>
          <w:rFonts w:ascii="宋体" w:hAnsi="宋体" w:cs="宋体"/>
          <w:color w:val="auto"/>
          <w:sz w:val="24"/>
          <w:highlight w:val="none"/>
          <w:u w:val="single"/>
        </w:rPr>
        <w:t>http://www.gzggzy.cn</w:t>
      </w:r>
      <w:r>
        <w:rPr>
          <w:rFonts w:hint="eastAsia" w:ascii="宋体" w:hAnsi="宋体" w:cs="宋体"/>
          <w:color w:val="auto"/>
          <w:sz w:val="24"/>
          <w:highlight w:val="none"/>
          <w:u w:val="single"/>
        </w:rPr>
        <w:t>）、广东省招标投标监管网（</w:t>
      </w:r>
      <w:r>
        <w:rPr>
          <w:rFonts w:ascii="宋体" w:hAnsi="宋体" w:cs="宋体"/>
          <w:color w:val="auto"/>
          <w:sz w:val="24"/>
          <w:highlight w:val="none"/>
          <w:u w:val="single"/>
        </w:rPr>
        <w:t>https://zbtb.gd.gov.cn/#/index</w:t>
      </w:r>
      <w:r>
        <w:rPr>
          <w:rFonts w:hint="eastAsia" w:ascii="宋体" w:hAnsi="宋体" w:cs="宋体"/>
          <w:color w:val="auto"/>
          <w:sz w:val="24"/>
          <w:highlight w:val="none"/>
          <w:u w:val="single"/>
        </w:rPr>
        <w:t>）和中国招标投标公共服务平台（</w:t>
      </w:r>
      <w:r>
        <w:rPr>
          <w:rFonts w:ascii="宋体" w:hAnsi="宋体" w:cs="宋体"/>
          <w:color w:val="auto"/>
          <w:sz w:val="24"/>
          <w:highlight w:val="none"/>
          <w:u w:val="single"/>
        </w:rPr>
        <w:t>http</w:t>
      </w:r>
      <w:r>
        <w:rPr>
          <w:rFonts w:hint="eastAsia" w:ascii="宋体" w:hAnsi="宋体" w:cs="宋体"/>
          <w:color w:val="auto"/>
          <w:sz w:val="24"/>
          <w:highlight w:val="none"/>
          <w:u w:val="single"/>
        </w:rPr>
        <w:t>：</w:t>
      </w:r>
      <w:r>
        <w:rPr>
          <w:rFonts w:ascii="宋体" w:hAnsi="宋体" w:cs="宋体"/>
          <w:color w:val="auto"/>
          <w:sz w:val="24"/>
          <w:highlight w:val="none"/>
          <w:u w:val="single"/>
        </w:rPr>
        <w:t>//www.cebpubservice.com/</w:t>
      </w:r>
      <w:r>
        <w:rPr>
          <w:rFonts w:hint="eastAsia" w:ascii="宋体" w:hAnsi="宋体" w:cs="宋体"/>
          <w:color w:val="auto"/>
          <w:sz w:val="24"/>
          <w:highlight w:val="none"/>
          <w:u w:val="single"/>
        </w:rPr>
        <w:t>）</w:t>
      </w:r>
      <w:r>
        <w:rPr>
          <w:rFonts w:hint="eastAsia" w:ascii="宋体" w:hAnsi="宋体" w:cs="宋体"/>
          <w:color w:val="auto"/>
          <w:sz w:val="24"/>
          <w:highlight w:val="none"/>
        </w:rPr>
        <w:t>等媒体发布上发布，本公告的修改、补充，在广州公共资源交易中心网站发布。本公告在各媒体发布的文本如有不同之处，以在广州公共资源交易中心网站发布的文本为准。</w:t>
      </w:r>
    </w:p>
    <w:p>
      <w:pPr>
        <w:widowControl/>
        <w:spacing w:before="156" w:beforeLines="50" w:after="156" w:afterLines="50" w:line="360" w:lineRule="auto"/>
        <w:jc w:val="left"/>
        <w:rPr>
          <w:rFonts w:ascii="宋体" w:hAnsi="宋体" w:cs="宋体"/>
          <w:b/>
          <w:bCs/>
          <w:color w:val="auto"/>
          <w:sz w:val="24"/>
          <w:highlight w:val="none"/>
        </w:rPr>
      </w:pPr>
      <w:r>
        <w:rPr>
          <w:rFonts w:ascii="宋体" w:hAnsi="宋体" w:cs="宋体"/>
          <w:b/>
          <w:bCs/>
          <w:color w:val="auto"/>
          <w:sz w:val="24"/>
          <w:highlight w:val="none"/>
        </w:rPr>
        <w:t>7.</w:t>
      </w:r>
      <w:r>
        <w:rPr>
          <w:rFonts w:hint="eastAsia" w:ascii="宋体" w:hAnsi="宋体" w:cs="宋体"/>
          <w:b/>
          <w:bCs/>
          <w:color w:val="auto"/>
          <w:sz w:val="24"/>
          <w:highlight w:val="none"/>
        </w:rPr>
        <w:t>联系方式</w:t>
      </w:r>
    </w:p>
    <w:tbl>
      <w:tblPr>
        <w:tblStyle w:val="18"/>
        <w:tblW w:w="8533" w:type="dxa"/>
        <w:tblInd w:w="0" w:type="dxa"/>
        <w:tblLayout w:type="fixed"/>
        <w:tblCellMar>
          <w:top w:w="0" w:type="dxa"/>
          <w:left w:w="108" w:type="dxa"/>
          <w:bottom w:w="0" w:type="dxa"/>
          <w:right w:w="108" w:type="dxa"/>
        </w:tblCellMar>
      </w:tblPr>
      <w:tblGrid>
        <w:gridCol w:w="4272"/>
        <w:gridCol w:w="4261"/>
      </w:tblGrid>
      <w:tr>
        <w:tc>
          <w:tcPr>
            <w:tcW w:w="4272" w:type="dxa"/>
          </w:tcPr>
          <w:p>
            <w:pPr>
              <w:keepNext w:val="0"/>
              <w:keepLines w:val="0"/>
              <w:suppressLineNumbers w:val="0"/>
              <w:spacing w:before="0" w:beforeAutospacing="0" w:after="0" w:afterAutospacing="0" w:line="360" w:lineRule="auto"/>
              <w:ind w:left="1200" w:right="0" w:hanging="1200" w:hangingChars="500"/>
              <w:rPr>
                <w:rFonts w:ascii="宋体" w:hAnsi="宋体" w:cs="宋体"/>
                <w:color w:val="auto"/>
                <w:sz w:val="24"/>
                <w:highlight w:val="none"/>
              </w:rPr>
            </w:pPr>
            <w:r>
              <w:rPr>
                <w:rFonts w:hint="eastAsia" w:ascii="宋体" w:hAnsi="宋体" w:cs="宋体"/>
                <w:color w:val="auto"/>
                <w:sz w:val="24"/>
                <w:highlight w:val="none"/>
              </w:rPr>
              <w:t>招标人：</w:t>
            </w:r>
            <w:r>
              <w:rPr>
                <w:rFonts w:hint="eastAsia" w:ascii="宋体" w:hAnsi="宋体" w:cs="宋体"/>
                <w:color w:val="auto"/>
                <w:sz w:val="24"/>
                <w:highlight w:val="none"/>
                <w:u w:val="single"/>
              </w:rPr>
              <w:t>广东省人民医院</w:t>
            </w:r>
          </w:p>
        </w:tc>
        <w:tc>
          <w:tcPr>
            <w:tcW w:w="4261" w:type="dxa"/>
          </w:tcPr>
          <w:p>
            <w:pPr>
              <w:keepNext w:val="0"/>
              <w:keepLines w:val="0"/>
              <w:suppressLineNumbers w:val="0"/>
              <w:spacing w:before="0" w:beforeAutospacing="0" w:after="0" w:afterAutospacing="0" w:line="360" w:lineRule="auto"/>
              <w:ind w:left="1680" w:right="0" w:hanging="1680" w:hangingChars="700"/>
              <w:rPr>
                <w:rFonts w:ascii="宋体" w:hAnsi="宋体" w:cs="宋体"/>
                <w:color w:val="auto"/>
                <w:sz w:val="24"/>
                <w:highlight w:val="none"/>
              </w:rPr>
            </w:pPr>
            <w:r>
              <w:rPr>
                <w:rFonts w:hint="eastAsia" w:ascii="宋体" w:hAnsi="宋体" w:cs="宋体"/>
                <w:color w:val="auto"/>
                <w:sz w:val="24"/>
                <w:highlight w:val="none"/>
              </w:rPr>
              <w:t>招标代理机构：</w:t>
            </w:r>
            <w:r>
              <w:rPr>
                <w:rFonts w:hint="eastAsia" w:ascii="宋体" w:hAnsi="宋体" w:cs="宋体"/>
                <w:color w:val="auto"/>
                <w:sz w:val="24"/>
                <w:highlight w:val="none"/>
                <w:u w:val="single"/>
              </w:rPr>
              <w:t>广东粤能工程管理有限公司</w:t>
            </w:r>
          </w:p>
        </w:tc>
      </w:tr>
      <w:tr>
        <w:tblPrEx>
          <w:tblCellMar>
            <w:top w:w="0" w:type="dxa"/>
            <w:left w:w="108" w:type="dxa"/>
            <w:bottom w:w="0" w:type="dxa"/>
            <w:right w:w="108" w:type="dxa"/>
          </w:tblCellMar>
        </w:tblPrEx>
        <w:tc>
          <w:tcPr>
            <w:tcW w:w="4272" w:type="dxa"/>
          </w:tcPr>
          <w:p>
            <w:pPr>
              <w:keepNext w:val="0"/>
              <w:keepLines w:val="0"/>
              <w:suppressLineNumbers w:val="0"/>
              <w:spacing w:before="0" w:beforeAutospacing="0" w:after="0" w:afterAutospacing="0" w:line="360" w:lineRule="auto"/>
              <w:ind w:left="1200" w:right="0" w:hanging="1200" w:hanging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地址：广东省广州越秀区中山二路106号</w:t>
            </w:r>
          </w:p>
        </w:tc>
        <w:tc>
          <w:tcPr>
            <w:tcW w:w="4261" w:type="dxa"/>
          </w:tcPr>
          <w:p>
            <w:pPr>
              <w:keepNext w:val="0"/>
              <w:keepLines w:val="0"/>
              <w:suppressLineNumbers w:val="0"/>
              <w:spacing w:before="0" w:beforeAutospacing="0" w:after="0" w:afterAutospacing="0" w:line="360" w:lineRule="auto"/>
              <w:ind w:left="1200" w:right="0" w:hanging="1200" w:hanging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广州市天河区华观路明旭街1号万科智慧广场B1-2栋12楼</w:t>
            </w:r>
          </w:p>
        </w:tc>
      </w:tr>
      <w:tr>
        <w:tblPrEx>
          <w:tblCellMar>
            <w:top w:w="0" w:type="dxa"/>
            <w:left w:w="108" w:type="dxa"/>
            <w:bottom w:w="0" w:type="dxa"/>
            <w:right w:w="108" w:type="dxa"/>
          </w:tblCellMar>
        </w:tblPrEx>
        <w:tc>
          <w:tcPr>
            <w:tcW w:w="4272" w:type="dxa"/>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eastAsia="zh-CN"/>
              </w:rPr>
              <w:t>李老师</w:t>
            </w:r>
          </w:p>
        </w:tc>
        <w:tc>
          <w:tcPr>
            <w:tcW w:w="4261" w:type="dxa"/>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szCs w:val="24"/>
                <w:highlight w:val="none"/>
                <w:u w:val="single"/>
              </w:rPr>
              <w:t>梁工、赖工</w:t>
            </w:r>
          </w:p>
        </w:tc>
      </w:tr>
      <w:tr>
        <w:tblPrEx>
          <w:tblCellMar>
            <w:top w:w="0" w:type="dxa"/>
            <w:left w:w="108" w:type="dxa"/>
            <w:bottom w:w="0" w:type="dxa"/>
            <w:right w:w="108" w:type="dxa"/>
          </w:tblCellMar>
        </w:tblPrEx>
        <w:tc>
          <w:tcPr>
            <w:tcW w:w="4272" w:type="dxa"/>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highlight w:val="none"/>
              </w:rPr>
              <w:t>020-83827812</w:t>
            </w:r>
          </w:p>
        </w:tc>
        <w:tc>
          <w:tcPr>
            <w:tcW w:w="4261" w:type="dxa"/>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sz w:val="24"/>
                <w:szCs w:val="24"/>
                <w:highlight w:val="none"/>
                <w:u w:val="single"/>
              </w:rPr>
              <w:t>020-38730932</w:t>
            </w:r>
          </w:p>
        </w:tc>
      </w:tr>
    </w:tbl>
    <w:p>
      <w:pPr>
        <w:widowControl/>
        <w:snapToGrid w:val="0"/>
        <w:spacing w:line="360" w:lineRule="auto"/>
        <w:jc w:val="left"/>
        <w:rPr>
          <w:rFonts w:hint="eastAsia" w:ascii="宋体" w:hAnsi="宋体" w:eastAsia="宋体" w:cs="宋体"/>
          <w:b/>
          <w:bCs/>
          <w:color w:val="auto"/>
          <w:kern w:val="0"/>
          <w:sz w:val="24"/>
          <w:highlight w:val="none"/>
          <w:shd w:val="clear" w:color="auto" w:fill="FFFFFF"/>
        </w:rPr>
      </w:pPr>
    </w:p>
    <w:p>
      <w:pPr>
        <w:widowControl/>
        <w:snapToGrid w:val="0"/>
        <w:spacing w:line="360" w:lineRule="auto"/>
        <w:jc w:val="left"/>
        <w:rPr>
          <w:rFonts w:ascii="宋体" w:hAnsi="宋体" w:cs="宋体"/>
          <w:b/>
          <w:bCs/>
          <w:color w:val="auto"/>
          <w:sz w:val="24"/>
          <w:highlight w:val="none"/>
          <w:shd w:val="clear" w:color="auto" w:fill="FFFFFF"/>
        </w:rPr>
      </w:pPr>
      <w:r>
        <w:rPr>
          <w:rFonts w:ascii="宋体" w:hAnsi="宋体" w:cs="宋体"/>
          <w:b/>
          <w:bCs/>
          <w:color w:val="auto"/>
          <w:kern w:val="0"/>
          <w:sz w:val="24"/>
          <w:highlight w:val="none"/>
          <w:shd w:val="clear" w:color="auto" w:fill="FFFFFF"/>
        </w:rPr>
        <w:t>8.</w:t>
      </w:r>
      <w:r>
        <w:rPr>
          <w:rFonts w:hint="eastAsia" w:ascii="宋体" w:hAnsi="宋体" w:cs="宋体"/>
          <w:b/>
          <w:bCs/>
          <w:color w:val="auto"/>
          <w:kern w:val="0"/>
          <w:sz w:val="24"/>
          <w:highlight w:val="none"/>
          <w:shd w:val="clear" w:color="auto" w:fill="FFFFFF"/>
        </w:rPr>
        <w:t>潜在投标人或利害关系人对本招标公告及招标文件内容异议的，向招标人书面提出。</w:t>
      </w:r>
    </w:p>
    <w:p>
      <w:pPr>
        <w:spacing w:line="360" w:lineRule="auto"/>
        <w:rPr>
          <w:rFonts w:ascii="宋体" w:hAnsi="宋体" w:cs="宋体"/>
          <w:color w:val="auto"/>
          <w:sz w:val="24"/>
          <w:highlight w:val="none"/>
        </w:rPr>
      </w:pPr>
    </w:p>
    <w:p>
      <w:pPr>
        <w:spacing w:line="360" w:lineRule="auto"/>
        <w:ind w:firstLine="360" w:firstLineChars="150"/>
        <w:rPr>
          <w:rFonts w:ascii="宋体" w:hAnsi="宋体" w:cs="宋体"/>
          <w:color w:val="auto"/>
          <w:sz w:val="24"/>
          <w:highlight w:val="none"/>
          <w:u w:val="single"/>
        </w:rPr>
      </w:pPr>
      <w:r>
        <w:rPr>
          <w:rFonts w:hint="eastAsia" w:ascii="宋体" w:hAnsi="宋体" w:cs="宋体"/>
          <w:color w:val="auto"/>
          <w:sz w:val="24"/>
          <w:highlight w:val="none"/>
          <w:u w:val="single"/>
        </w:rPr>
        <w:t>异议受理部门：广东省人民医院</w:t>
      </w:r>
    </w:p>
    <w:p>
      <w:pPr>
        <w:spacing w:line="360" w:lineRule="auto"/>
        <w:ind w:firstLine="360" w:firstLineChars="150"/>
        <w:rPr>
          <w:rFonts w:ascii="宋体" w:hAnsi="宋体" w:cs="宋体"/>
          <w:color w:val="auto"/>
          <w:sz w:val="24"/>
          <w:highlight w:val="none"/>
          <w:u w:val="single"/>
        </w:rPr>
      </w:pPr>
      <w:r>
        <w:rPr>
          <w:rFonts w:hint="eastAsia" w:ascii="宋体" w:hAnsi="宋体" w:cs="宋体"/>
          <w:color w:val="auto"/>
          <w:sz w:val="24"/>
          <w:highlight w:val="none"/>
          <w:u w:val="single"/>
        </w:rPr>
        <w:t>地址：广东省广州越秀区中山二路106号</w:t>
      </w:r>
    </w:p>
    <w:p>
      <w:pPr>
        <w:spacing w:line="360" w:lineRule="auto"/>
        <w:ind w:firstLine="360" w:firstLineChars="150"/>
        <w:rPr>
          <w:rFonts w:ascii="宋体" w:hAnsi="宋体" w:cs="宋体"/>
          <w:color w:val="auto"/>
          <w:sz w:val="24"/>
          <w:highlight w:val="none"/>
          <w:u w:val="single"/>
        </w:rPr>
      </w:pPr>
      <w:r>
        <w:rPr>
          <w:rFonts w:hint="eastAsia" w:ascii="宋体" w:hAnsi="宋体" w:cs="宋体"/>
          <w:color w:val="auto"/>
          <w:sz w:val="24"/>
          <w:highlight w:val="none"/>
          <w:u w:val="single"/>
        </w:rPr>
        <w:t>电话：020-83827812-21223</w:t>
      </w:r>
    </w:p>
    <w:p>
      <w:pPr>
        <w:widowControl/>
        <w:snapToGrid w:val="0"/>
        <w:spacing w:line="360" w:lineRule="auto"/>
        <w:ind w:firstLine="360" w:firstLineChars="150"/>
        <w:jc w:val="left"/>
        <w:rPr>
          <w:rFonts w:ascii="宋体" w:hAnsi="宋体" w:cs="宋体"/>
          <w:color w:val="auto"/>
          <w:sz w:val="24"/>
          <w:highlight w:val="none"/>
          <w:u w:val="single"/>
        </w:rPr>
      </w:pPr>
    </w:p>
    <w:p>
      <w:pPr>
        <w:widowControl/>
        <w:snapToGrid w:val="0"/>
        <w:spacing w:line="360" w:lineRule="auto"/>
        <w:ind w:firstLine="360" w:firstLineChars="150"/>
        <w:jc w:val="left"/>
        <w:rPr>
          <w:rFonts w:ascii="宋体" w:hAnsi="宋体" w:cs="宋体"/>
          <w:color w:val="auto"/>
          <w:sz w:val="24"/>
          <w:highlight w:val="none"/>
          <w:u w:val="single"/>
        </w:rPr>
      </w:pPr>
      <w:r>
        <w:rPr>
          <w:rFonts w:hint="eastAsia" w:ascii="宋体" w:hAnsi="宋体" w:cs="宋体"/>
          <w:color w:val="auto"/>
          <w:sz w:val="24"/>
          <w:highlight w:val="none"/>
          <w:u w:val="single"/>
        </w:rPr>
        <w:t>招标监督机构：广东省人民医院</w:t>
      </w:r>
    </w:p>
    <w:p>
      <w:pPr>
        <w:widowControl/>
        <w:snapToGrid w:val="0"/>
        <w:spacing w:line="360" w:lineRule="auto"/>
        <w:ind w:firstLine="360" w:firstLineChars="150"/>
        <w:jc w:val="left"/>
        <w:rPr>
          <w:color w:val="auto"/>
          <w:highlight w:val="none"/>
        </w:rPr>
      </w:pPr>
      <w:r>
        <w:rPr>
          <w:rFonts w:hint="eastAsia" w:ascii="宋体" w:hAnsi="宋体" w:cs="宋体"/>
          <w:color w:val="auto"/>
          <w:sz w:val="24"/>
          <w:highlight w:val="none"/>
          <w:u w:val="single"/>
        </w:rPr>
        <w:t>监督电话：020-83827812-20888</w:t>
      </w:r>
    </w:p>
    <w:p>
      <w:pPr>
        <w:rPr>
          <w:color w:val="auto"/>
          <w:highlight w:val="none"/>
        </w:rPr>
      </w:pPr>
    </w:p>
    <w:p>
      <w:pPr>
        <w:spacing w:line="360" w:lineRule="auto"/>
        <w:rPr>
          <w:rFonts w:ascii="宋体" w:hAnsi="宋体" w:cs="宋体"/>
          <w:b/>
          <w:bCs/>
          <w:color w:val="auto"/>
          <w:szCs w:val="21"/>
          <w:highlight w:val="none"/>
          <w:shd w:val="clear" w:color="auto" w:fill="FFFFFF"/>
        </w:rPr>
      </w:pPr>
      <w:r>
        <w:rPr>
          <w:rFonts w:ascii="宋体" w:hAnsi="宋体" w:cs="宋体"/>
          <w:b/>
          <w:bCs/>
          <w:color w:val="auto"/>
          <w:szCs w:val="21"/>
          <w:highlight w:val="none"/>
          <w:shd w:val="clear" w:color="auto" w:fill="FFFFFF"/>
        </w:rPr>
        <w:br w:type="page"/>
      </w:r>
      <w:r>
        <w:rPr>
          <w:rFonts w:hint="eastAsia" w:ascii="宋体" w:hAnsi="宋体" w:cs="宋体"/>
          <w:b/>
          <w:bCs/>
          <w:color w:val="auto"/>
          <w:szCs w:val="21"/>
          <w:highlight w:val="none"/>
          <w:shd w:val="clear" w:color="auto" w:fill="FFFFFF"/>
        </w:rPr>
        <w:t>附件一：</w:t>
      </w:r>
    </w:p>
    <w:p>
      <w:pPr>
        <w:shd w:val="clear" w:color="auto" w:fill="FFFFFF"/>
        <w:spacing w:line="360" w:lineRule="auto"/>
        <w:jc w:val="center"/>
        <w:rPr>
          <w:rFonts w:ascii="宋体" w:hAnsi="宋体" w:cs="宋体"/>
          <w:b/>
          <w:bCs/>
          <w:color w:val="auto"/>
          <w:sz w:val="32"/>
          <w:szCs w:val="28"/>
          <w:highlight w:val="none"/>
          <w:shd w:val="clear" w:color="auto" w:fill="FFFFFF"/>
        </w:rPr>
      </w:pPr>
      <w:bookmarkStart w:id="2" w:name="_Toc266881405"/>
      <w:bookmarkStart w:id="3" w:name="_Toc249845977"/>
      <w:bookmarkStart w:id="4" w:name="_Toc416358163"/>
      <w:bookmarkStart w:id="5" w:name="_Toc245024005"/>
      <w:bookmarkStart w:id="6" w:name="_Toc249846232"/>
      <w:bookmarkStart w:id="7" w:name="_Toc416357992"/>
      <w:bookmarkStart w:id="8" w:name="_Toc266093553"/>
      <w:bookmarkStart w:id="9" w:name="_Toc253143224"/>
      <w:r>
        <w:rPr>
          <w:rFonts w:hint="eastAsia" w:ascii="宋体" w:hAnsi="宋体" w:cs="宋体"/>
          <w:b/>
          <w:bCs/>
          <w:color w:val="auto"/>
          <w:sz w:val="32"/>
          <w:szCs w:val="28"/>
          <w:highlight w:val="none"/>
          <w:shd w:val="clear" w:color="auto" w:fill="FFFFFF"/>
        </w:rPr>
        <w:t>投标人声明</w:t>
      </w:r>
    </w:p>
    <w:p>
      <w:pPr>
        <w:shd w:val="clear" w:color="auto" w:fill="FFFFFF"/>
        <w:spacing w:line="360"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本招标项目招标人及招标监管机构：</w:t>
      </w:r>
    </w:p>
    <w:p>
      <w:pPr>
        <w:pStyle w:val="10"/>
        <w:widowControl/>
        <w:shd w:val="clear" w:color="auto" w:fill="FFFFFF"/>
        <w:spacing w:line="360" w:lineRule="auto"/>
        <w:ind w:right="-15" w:rightChars="-7" w:firstLine="960" w:firstLineChars="400"/>
        <w:jc w:val="left"/>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本公司就参加投标工作，作出郑重声明：</w:t>
      </w:r>
    </w:p>
    <w:p>
      <w:pPr>
        <w:pStyle w:val="10"/>
        <w:widowControl/>
        <w:shd w:val="clear" w:color="auto" w:fill="FFFFFF"/>
        <w:spacing w:line="360" w:lineRule="auto"/>
        <w:ind w:left="0" w:leftChars="0" w:right="-15" w:rightChars="-7" w:firstLine="420" w:firstLineChars="175"/>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一、本公司保证投标登记材料及其后提供的一切材料都是真实的，如我司成为本项目中标候选人，我司同意并授权招标人将我司投标文件商务部分文件的内容（包括人员、业绩、奖项等资料）进行公开。</w:t>
      </w:r>
    </w:p>
    <w:p>
      <w:pPr>
        <w:pStyle w:val="10"/>
        <w:widowControl/>
        <w:shd w:val="clear" w:color="auto" w:fill="FFFFFF"/>
        <w:spacing w:line="360" w:lineRule="auto"/>
        <w:ind w:left="0" w:leftChars="0" w:right="-15" w:rightChars="-7" w:firstLine="420" w:firstLineChars="175"/>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二、本公司保证在本项目投标中不与其他单位围标、串标，不出让投标资格，不向招标人或评标委员会成员行贿。</w:t>
      </w:r>
    </w:p>
    <w:p>
      <w:pPr>
        <w:pStyle w:val="10"/>
        <w:widowControl/>
        <w:shd w:val="clear" w:color="auto" w:fill="FFFFFF"/>
        <w:spacing w:line="360" w:lineRule="auto"/>
        <w:ind w:left="0" w:leftChars="0" w:right="-15" w:rightChars="-7" w:firstLine="420" w:firstLineChars="175"/>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三、本公司没有处于被责令停业的状态；没有处于被建设行政主管部门取消投标资格的处罚期内；没有处于财产被接管、冻结、破产的状态；本公司没有在投标报名截止时间前三年内被人民法院判决犯有行贿罪的记录。投标报名截止日期前三年内，本公司没有弄虚作假骗取中标、围标串标行为（以行政主管部门或法院或检察院书面认定为准），本公司没有被人民法院列入失信被执行人名单。在投标报名截止日期前三年内没有建设行政主管部门已书面认定的重大工程质量问题。本公司未在以往工程中因不诚信行为或不充分履约行为被本项目招标人书面拒绝投标；本公司未被纳入联合惩戒范围。</w:t>
      </w:r>
    </w:p>
    <w:p>
      <w:pPr>
        <w:pStyle w:val="10"/>
        <w:widowControl/>
        <w:shd w:val="clear" w:color="auto" w:fill="FFFFFF"/>
        <w:spacing w:line="360" w:lineRule="auto"/>
        <w:ind w:left="0" w:leftChars="0" w:right="-15" w:rightChars="-7" w:firstLine="422" w:firstLineChars="175"/>
        <w:rPr>
          <w:rFonts w:ascii="宋体" w:hAnsi="宋体" w:cs="宋体"/>
          <w:b/>
          <w:bCs/>
          <w:color w:val="auto"/>
          <w:szCs w:val="24"/>
          <w:highlight w:val="none"/>
          <w:shd w:val="clear" w:color="auto" w:fill="FFFFFF"/>
        </w:rPr>
      </w:pPr>
      <w:r>
        <w:rPr>
          <w:rFonts w:hint="eastAsia" w:ascii="宋体" w:hAnsi="宋体" w:cs="宋体"/>
          <w:b/>
          <w:bCs/>
          <w:color w:val="auto"/>
          <w:szCs w:val="24"/>
          <w:highlight w:val="none"/>
          <w:shd w:val="clear" w:color="auto" w:fill="FFFFFF"/>
        </w:rPr>
        <w:t>四、本公司近二年（从招标公告发布年度起逆推</w:t>
      </w:r>
      <w:r>
        <w:rPr>
          <w:rFonts w:ascii="宋体" w:hAnsi="宋体" w:cs="宋体"/>
          <w:b/>
          <w:bCs/>
          <w:color w:val="auto"/>
          <w:szCs w:val="24"/>
          <w:highlight w:val="none"/>
          <w:shd w:val="clear" w:color="auto" w:fill="FFFFFF"/>
        </w:rPr>
        <w:t>2</w:t>
      </w:r>
      <w:r>
        <w:rPr>
          <w:rFonts w:hint="eastAsia" w:ascii="宋体" w:hAnsi="宋体" w:cs="宋体"/>
          <w:b/>
          <w:bCs/>
          <w:color w:val="auto"/>
          <w:szCs w:val="24"/>
          <w:highlight w:val="none"/>
          <w:shd w:val="clear" w:color="auto" w:fill="FFFFFF"/>
        </w:rPr>
        <w:t>年的</w:t>
      </w:r>
      <w:r>
        <w:rPr>
          <w:rFonts w:ascii="宋体" w:hAnsi="宋体" w:cs="宋体"/>
          <w:b/>
          <w:bCs/>
          <w:color w:val="auto"/>
          <w:szCs w:val="24"/>
          <w:highlight w:val="none"/>
          <w:shd w:val="clear" w:color="auto" w:fill="FFFFFF"/>
        </w:rPr>
        <w:t>1</w:t>
      </w:r>
      <w:r>
        <w:rPr>
          <w:rFonts w:hint="eastAsia" w:ascii="宋体" w:hAnsi="宋体" w:cs="宋体"/>
          <w:b/>
          <w:bCs/>
          <w:color w:val="auto"/>
          <w:szCs w:val="24"/>
          <w:highlight w:val="none"/>
          <w:shd w:val="clear" w:color="auto" w:fill="FFFFFF"/>
        </w:rPr>
        <w:t>月</w:t>
      </w:r>
      <w:r>
        <w:rPr>
          <w:rFonts w:ascii="宋体" w:hAnsi="宋体" w:cs="宋体"/>
          <w:b/>
          <w:bCs/>
          <w:color w:val="auto"/>
          <w:szCs w:val="24"/>
          <w:highlight w:val="none"/>
          <w:shd w:val="clear" w:color="auto" w:fill="FFFFFF"/>
        </w:rPr>
        <w:t>1</w:t>
      </w:r>
      <w:r>
        <w:rPr>
          <w:rFonts w:hint="eastAsia" w:ascii="宋体" w:hAnsi="宋体" w:cs="宋体"/>
          <w:b/>
          <w:bCs/>
          <w:color w:val="auto"/>
          <w:szCs w:val="24"/>
          <w:highlight w:val="none"/>
          <w:shd w:val="clear" w:color="auto" w:fill="FFFFFF"/>
        </w:rPr>
        <w:t>日起至投标截止时间止）未因以往检测工作中存在伪造检测数据、出具虚假检测报告的行为被各级建设行政主管部门或市场监督管理部门行政处罚或通报。</w:t>
      </w:r>
    </w:p>
    <w:p>
      <w:pPr>
        <w:pStyle w:val="10"/>
        <w:widowControl/>
        <w:shd w:val="clear" w:color="auto" w:fill="FFFFFF"/>
        <w:spacing w:line="360" w:lineRule="auto"/>
        <w:ind w:left="0" w:leftChars="0" w:right="-15" w:rightChars="-7" w:firstLine="420" w:firstLineChars="175"/>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五、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pPr>
        <w:pStyle w:val="10"/>
        <w:widowControl/>
        <w:shd w:val="clear" w:color="auto" w:fill="FFFFFF"/>
        <w:spacing w:line="360" w:lineRule="auto"/>
        <w:ind w:left="0" w:leftChars="0" w:right="-15" w:rightChars="-7" w:firstLine="420" w:firstLineChars="175"/>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六、与本公司单位负责人为同一人或者与本公司存在控股、管理关系的其他单位包括。（注：本条由投标人如实填写，如有，应列出全部满足招标公告资质要求的相关单位的名称；如无，则填写“无”。）</w:t>
      </w:r>
    </w:p>
    <w:p>
      <w:pPr>
        <w:pStyle w:val="10"/>
        <w:widowControl/>
        <w:shd w:val="clear" w:color="auto" w:fill="FFFFFF"/>
        <w:spacing w:line="360" w:lineRule="auto"/>
        <w:ind w:left="0" w:leftChars="0" w:right="-15" w:rightChars="-7" w:firstLine="420" w:firstLineChars="175"/>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七、本公司承诺，中标后严格执行安全生产相关管理规定。</w:t>
      </w:r>
    </w:p>
    <w:p>
      <w:pPr>
        <w:pStyle w:val="10"/>
        <w:widowControl/>
        <w:shd w:val="clear" w:color="auto" w:fill="FFFFFF"/>
        <w:spacing w:line="360" w:lineRule="auto"/>
        <w:ind w:left="0" w:leftChars="0" w:right="-15" w:rightChars="-7" w:firstLine="420" w:firstLineChars="175"/>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八、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pPr>
        <w:pStyle w:val="10"/>
        <w:widowControl/>
        <w:shd w:val="clear" w:color="auto" w:fill="FFFFFF"/>
        <w:spacing w:line="360" w:lineRule="auto"/>
        <w:ind w:left="0" w:leftChars="0" w:right="-15" w:rightChars="-7" w:firstLine="420" w:firstLineChars="175"/>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本公司违反上述承诺，或本声明陈述与事实不符，经查实，本公司愿意接受公开通报，承担由此带来的法律后果，并自愿停止参加广州市行政辖区内的招标投标活动三个月。</w:t>
      </w:r>
    </w:p>
    <w:p>
      <w:pPr>
        <w:pStyle w:val="10"/>
        <w:widowControl/>
        <w:shd w:val="clear" w:color="auto" w:fill="FFFFFF"/>
        <w:spacing w:line="360" w:lineRule="auto"/>
        <w:ind w:left="0" w:leftChars="0" w:right="-15" w:rightChars="-7" w:firstLine="420" w:firstLineChars="175"/>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特此声明。</w:t>
      </w:r>
    </w:p>
    <w:p>
      <w:pPr>
        <w:shd w:val="clear" w:color="auto" w:fill="FFFFFF"/>
        <w:wordWrap w:val="0"/>
        <w:spacing w:line="360" w:lineRule="auto"/>
        <w:ind w:right="-108"/>
        <w:jc w:val="righ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投标单位（盖公章）：</w:t>
      </w:r>
    </w:p>
    <w:p>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ind w:firstLine="5520" w:firstLineChars="23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bookmarkEnd w:id="2"/>
      <w:bookmarkEnd w:id="3"/>
      <w:bookmarkEnd w:id="4"/>
      <w:bookmarkEnd w:id="5"/>
      <w:bookmarkEnd w:id="6"/>
      <w:bookmarkEnd w:id="7"/>
      <w:bookmarkEnd w:id="8"/>
      <w:bookmarkEnd w:id="9"/>
    </w:p>
    <w:p>
      <w:pPr>
        <w:widowControl/>
        <w:jc w:val="left"/>
        <w:rPr>
          <w:rFonts w:eastAsiaTheme="minorEastAsia"/>
          <w:color w:val="auto"/>
          <w:sz w:val="22"/>
          <w:highlight w:val="none"/>
        </w:rPr>
      </w:pPr>
    </w:p>
    <w:p>
      <w:pPr>
        <w:widowControl/>
        <w:jc w:val="left"/>
        <w:rPr>
          <w:color w:val="auto"/>
          <w:highlight w:val="none"/>
        </w:rPr>
      </w:pPr>
    </w:p>
    <w:sectPr>
      <w:pgSz w:w="11906" w:h="16838"/>
      <w:pgMar w:top="1134"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F78AA"/>
    <w:multiLevelType w:val="multilevel"/>
    <w:tmpl w:val="5FFF78AA"/>
    <w:lvl w:ilvl="0" w:tentative="0">
      <w:start w:val="1"/>
      <w:numFmt w:val="decimal"/>
      <w:lvlText w:val="%1."/>
      <w:lvlJc w:val="left"/>
      <w:pPr>
        <w:tabs>
          <w:tab w:val="left" w:pos="0"/>
        </w:tabs>
        <w:ind w:left="0" w:firstLine="0"/>
      </w:pPr>
      <w:rPr>
        <w:rFonts w:hint="default" w:ascii="Times New Roman" w:hAnsi="Times New Roman" w:cs="Times New Roman"/>
      </w:rPr>
    </w:lvl>
    <w:lvl w:ilvl="1" w:tentative="0">
      <w:start w:val="0"/>
      <w:numFmt w:val="decimal"/>
      <w:lvlText w:val="%2."/>
      <w:lvlJc w:val="left"/>
      <w:pPr>
        <w:tabs>
          <w:tab w:val="left" w:pos="1440"/>
        </w:tabs>
        <w:ind w:left="1440" w:hanging="360"/>
      </w:pPr>
    </w:lvl>
    <w:lvl w:ilvl="2" w:tentative="0">
      <w:start w:val="0"/>
      <w:numFmt w:val="decimal"/>
      <w:lvlText w:val="%3."/>
      <w:lvlJc w:val="left"/>
      <w:pPr>
        <w:tabs>
          <w:tab w:val="left" w:pos="2160"/>
        </w:tabs>
        <w:ind w:left="2160" w:hanging="360"/>
      </w:pPr>
    </w:lvl>
    <w:lvl w:ilvl="3" w:tentative="0">
      <w:start w:val="0"/>
      <w:numFmt w:val="decimal"/>
      <w:lvlText w:val="%4."/>
      <w:lvlJc w:val="left"/>
      <w:pPr>
        <w:tabs>
          <w:tab w:val="left" w:pos="2880"/>
        </w:tabs>
        <w:ind w:left="2880" w:hanging="360"/>
      </w:pPr>
    </w:lvl>
    <w:lvl w:ilvl="4" w:tentative="0">
      <w:start w:val="0"/>
      <w:numFmt w:val="decimal"/>
      <w:lvlText w:val="%5."/>
      <w:lvlJc w:val="left"/>
      <w:pPr>
        <w:tabs>
          <w:tab w:val="left" w:pos="3600"/>
        </w:tabs>
        <w:ind w:left="3600" w:hanging="360"/>
      </w:pPr>
    </w:lvl>
    <w:lvl w:ilvl="5" w:tentative="0">
      <w:start w:val="0"/>
      <w:numFmt w:val="decimal"/>
      <w:lvlText w:val="%6."/>
      <w:lvlJc w:val="left"/>
      <w:pPr>
        <w:tabs>
          <w:tab w:val="left" w:pos="4320"/>
        </w:tabs>
        <w:ind w:left="4320" w:hanging="360"/>
      </w:pPr>
    </w:lvl>
    <w:lvl w:ilvl="6" w:tentative="0">
      <w:start w:val="0"/>
      <w:numFmt w:val="decimal"/>
      <w:lvlText w:val="%7."/>
      <w:lvlJc w:val="left"/>
      <w:pPr>
        <w:tabs>
          <w:tab w:val="left" w:pos="5040"/>
        </w:tabs>
        <w:ind w:left="5040" w:hanging="360"/>
      </w:pPr>
    </w:lvl>
    <w:lvl w:ilvl="7" w:tentative="0">
      <w:start w:val="0"/>
      <w:numFmt w:val="decimal"/>
      <w:lvlText w:val="%8."/>
      <w:lvlJc w:val="left"/>
      <w:pPr>
        <w:tabs>
          <w:tab w:val="left" w:pos="5760"/>
        </w:tabs>
        <w:ind w:left="5760" w:hanging="360"/>
      </w:pPr>
    </w:lvl>
    <w:lvl w:ilvl="8" w:tentative="0">
      <w:start w:val="0"/>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MzdhODMwZjQxZjJjNDA2MmQwNDBkYWZiOTFlZGUifQ=="/>
  </w:docVars>
  <w:rsids>
    <w:rsidRoot w:val="00890B99"/>
    <w:rsid w:val="00077C6C"/>
    <w:rsid w:val="00110188"/>
    <w:rsid w:val="001142B2"/>
    <w:rsid w:val="001C0947"/>
    <w:rsid w:val="002A0C9D"/>
    <w:rsid w:val="002B0915"/>
    <w:rsid w:val="00317D2D"/>
    <w:rsid w:val="0032524F"/>
    <w:rsid w:val="0034285A"/>
    <w:rsid w:val="003566EF"/>
    <w:rsid w:val="00365086"/>
    <w:rsid w:val="00393973"/>
    <w:rsid w:val="003A6176"/>
    <w:rsid w:val="003D47C4"/>
    <w:rsid w:val="003F1067"/>
    <w:rsid w:val="00401AB9"/>
    <w:rsid w:val="004548B4"/>
    <w:rsid w:val="004A6D21"/>
    <w:rsid w:val="004D7CCD"/>
    <w:rsid w:val="00523B3E"/>
    <w:rsid w:val="00535668"/>
    <w:rsid w:val="005B57A7"/>
    <w:rsid w:val="005B6842"/>
    <w:rsid w:val="00650224"/>
    <w:rsid w:val="00650F75"/>
    <w:rsid w:val="0067734F"/>
    <w:rsid w:val="006B31DA"/>
    <w:rsid w:val="007517D3"/>
    <w:rsid w:val="007C35A1"/>
    <w:rsid w:val="007E6509"/>
    <w:rsid w:val="00890B99"/>
    <w:rsid w:val="008C5DBF"/>
    <w:rsid w:val="00913929"/>
    <w:rsid w:val="0097026B"/>
    <w:rsid w:val="00992F4D"/>
    <w:rsid w:val="00A26102"/>
    <w:rsid w:val="00A46790"/>
    <w:rsid w:val="00A775E0"/>
    <w:rsid w:val="00B84E8A"/>
    <w:rsid w:val="00B87D36"/>
    <w:rsid w:val="00BC47FE"/>
    <w:rsid w:val="00BF4DDD"/>
    <w:rsid w:val="00C013EB"/>
    <w:rsid w:val="00C51415"/>
    <w:rsid w:val="00C715F7"/>
    <w:rsid w:val="00CE7169"/>
    <w:rsid w:val="00D120D1"/>
    <w:rsid w:val="00D66484"/>
    <w:rsid w:val="00D70D8D"/>
    <w:rsid w:val="00F060D7"/>
    <w:rsid w:val="01E063FD"/>
    <w:rsid w:val="04CB7FEB"/>
    <w:rsid w:val="04F857AE"/>
    <w:rsid w:val="06D1147F"/>
    <w:rsid w:val="08F071A4"/>
    <w:rsid w:val="09A94FE9"/>
    <w:rsid w:val="09AD38B6"/>
    <w:rsid w:val="15E2459B"/>
    <w:rsid w:val="1A08377B"/>
    <w:rsid w:val="1C6E7533"/>
    <w:rsid w:val="1C945F5E"/>
    <w:rsid w:val="215E1EEE"/>
    <w:rsid w:val="23B96593"/>
    <w:rsid w:val="23C26642"/>
    <w:rsid w:val="254716DD"/>
    <w:rsid w:val="25672C24"/>
    <w:rsid w:val="263D0E06"/>
    <w:rsid w:val="26B345B4"/>
    <w:rsid w:val="29F05FAB"/>
    <w:rsid w:val="2CE960BE"/>
    <w:rsid w:val="2D8378B6"/>
    <w:rsid w:val="2EFFDDAA"/>
    <w:rsid w:val="2FB85411"/>
    <w:rsid w:val="32761463"/>
    <w:rsid w:val="384947E4"/>
    <w:rsid w:val="38DE382B"/>
    <w:rsid w:val="39AD7CF8"/>
    <w:rsid w:val="3B881A3E"/>
    <w:rsid w:val="3D7F8341"/>
    <w:rsid w:val="3DC7137D"/>
    <w:rsid w:val="3F7FCDD0"/>
    <w:rsid w:val="3F8FA4E8"/>
    <w:rsid w:val="3F922241"/>
    <w:rsid w:val="40083DE9"/>
    <w:rsid w:val="457CBE2D"/>
    <w:rsid w:val="46523385"/>
    <w:rsid w:val="4A7E09F0"/>
    <w:rsid w:val="4B5F82E3"/>
    <w:rsid w:val="4B876873"/>
    <w:rsid w:val="4C8B7FA1"/>
    <w:rsid w:val="4FC21A6F"/>
    <w:rsid w:val="4FFF0EEB"/>
    <w:rsid w:val="502D7800"/>
    <w:rsid w:val="55F1E074"/>
    <w:rsid w:val="5B7E05FA"/>
    <w:rsid w:val="5DCC0FFF"/>
    <w:rsid w:val="5E4263E3"/>
    <w:rsid w:val="5F210E5C"/>
    <w:rsid w:val="5FF7D7CC"/>
    <w:rsid w:val="6227101A"/>
    <w:rsid w:val="637200CA"/>
    <w:rsid w:val="68263A25"/>
    <w:rsid w:val="69D63085"/>
    <w:rsid w:val="6AA60A9A"/>
    <w:rsid w:val="6B1004D6"/>
    <w:rsid w:val="6B4F5CD7"/>
    <w:rsid w:val="6BFF043A"/>
    <w:rsid w:val="6D9E3515"/>
    <w:rsid w:val="6E613370"/>
    <w:rsid w:val="6FB32545"/>
    <w:rsid w:val="6FFF011B"/>
    <w:rsid w:val="73DA083B"/>
    <w:rsid w:val="766C18E3"/>
    <w:rsid w:val="777D0688"/>
    <w:rsid w:val="77AC42BF"/>
    <w:rsid w:val="7BF7DF74"/>
    <w:rsid w:val="7CFB0C64"/>
    <w:rsid w:val="7DBD32C9"/>
    <w:rsid w:val="7DD620CC"/>
    <w:rsid w:val="7EF746DD"/>
    <w:rsid w:val="7F5DF83F"/>
    <w:rsid w:val="7F7F7B28"/>
    <w:rsid w:val="7FDD8D14"/>
    <w:rsid w:val="7FE7EE66"/>
    <w:rsid w:val="7FEB3646"/>
    <w:rsid w:val="7FF6601D"/>
    <w:rsid w:val="7FFF7B31"/>
    <w:rsid w:val="97F8EF05"/>
    <w:rsid w:val="9FE62076"/>
    <w:rsid w:val="9FEF61CF"/>
    <w:rsid w:val="9FFE352B"/>
    <w:rsid w:val="AFFFD7BF"/>
    <w:rsid w:val="B7FF42C2"/>
    <w:rsid w:val="B97C8042"/>
    <w:rsid w:val="BA37311A"/>
    <w:rsid w:val="BFE27215"/>
    <w:rsid w:val="CF95E846"/>
    <w:rsid w:val="D274059A"/>
    <w:rsid w:val="D7FE2BA8"/>
    <w:rsid w:val="DFBFAD81"/>
    <w:rsid w:val="E6DF196A"/>
    <w:rsid w:val="EBE9EB35"/>
    <w:rsid w:val="EBFF857D"/>
    <w:rsid w:val="EFDDE029"/>
    <w:rsid w:val="EFFD611B"/>
    <w:rsid w:val="F52F22B5"/>
    <w:rsid w:val="F5AF2F6B"/>
    <w:rsid w:val="FADC3C11"/>
    <w:rsid w:val="FB5D8A7B"/>
    <w:rsid w:val="FB7E3CCD"/>
    <w:rsid w:val="FBEB4BC8"/>
    <w:rsid w:val="FE7EE62F"/>
    <w:rsid w:val="FFDC118E"/>
    <w:rsid w:val="FFE7EF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name="table of authorities"/>
    <w:lsdException w:uiPriority="0" w:name="macro"/>
    <w:lsdException w:uiPriority="0" w:name="toa heading"/>
    <w:lsdException w:unhideWhenUsed="0" w:uiPriority="0" w:name="List"/>
    <w:lsdException w:unhideWhenUsed="0"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name="Body Text Indent"/>
    <w:lsdException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2"/>
    <w:basedOn w:val="1"/>
    <w:next w:val="1"/>
    <w:link w:val="26"/>
    <w:qFormat/>
    <w:uiPriority w:val="0"/>
    <w:pPr>
      <w:keepNext/>
      <w:keepLines/>
      <w:spacing w:before="260" w:after="260" w:line="412" w:lineRule="auto"/>
      <w:outlineLvl w:val="1"/>
    </w:pPr>
    <w:rPr>
      <w:rFonts w:ascii="Arial" w:hAnsi="Arial" w:eastAsia="黑体"/>
      <w:b/>
      <w:kern w:val="0"/>
      <w:sz w:val="32"/>
      <w:szCs w:val="20"/>
    </w:rPr>
  </w:style>
  <w:style w:type="paragraph" w:styleId="7">
    <w:name w:val="heading 3"/>
    <w:basedOn w:val="1"/>
    <w:next w:val="1"/>
    <w:link w:val="27"/>
    <w:qFormat/>
    <w:uiPriority w:val="0"/>
    <w:pPr>
      <w:keepNext/>
      <w:keepLines/>
      <w:spacing w:before="260" w:after="260" w:line="416" w:lineRule="auto"/>
      <w:outlineLvl w:val="2"/>
    </w:pPr>
    <w:rPr>
      <w:rFonts w:ascii="Times New Roman" w:hAnsi="Times New Roman"/>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w:basedOn w:val="3"/>
    <w:next w:val="4"/>
    <w:link w:val="31"/>
    <w:qFormat/>
    <w:uiPriority w:val="0"/>
    <w:pPr>
      <w:ind w:firstLine="420" w:firstLineChars="100"/>
    </w:pPr>
    <w:rPr>
      <w:rFonts w:ascii="Times New Roman" w:hAnsi="Times New Roman"/>
    </w:rPr>
  </w:style>
  <w:style w:type="paragraph" w:styleId="3">
    <w:name w:val="Body Text"/>
    <w:basedOn w:val="1"/>
    <w:next w:val="1"/>
    <w:link w:val="29"/>
    <w:qFormat/>
    <w:uiPriority w:val="0"/>
    <w:pPr>
      <w:spacing w:after="120"/>
    </w:pPr>
  </w:style>
  <w:style w:type="paragraph" w:styleId="4">
    <w:name w:val="Body Text First Indent 2"/>
    <w:basedOn w:val="5"/>
    <w:link w:val="36"/>
    <w:unhideWhenUsed/>
    <w:qFormat/>
    <w:uiPriority w:val="99"/>
    <w:pPr>
      <w:widowControl/>
      <w:spacing w:after="120" w:line="256" w:lineRule="auto"/>
      <w:ind w:left="420" w:leftChars="200" w:firstLine="420" w:firstLineChars="200"/>
      <w:jc w:val="left"/>
    </w:pPr>
    <w:rPr>
      <w:rFonts w:eastAsia="Calibri"/>
      <w:color w:val="000000"/>
      <w:sz w:val="22"/>
    </w:rPr>
  </w:style>
  <w:style w:type="paragraph" w:styleId="5">
    <w:name w:val="Body Text Indent"/>
    <w:basedOn w:val="1"/>
    <w:link w:val="35"/>
    <w:semiHidden/>
    <w:unhideWhenUsed/>
    <w:qFormat/>
    <w:uiPriority w:val="0"/>
    <w:pPr>
      <w:spacing w:after="120"/>
      <w:ind w:left="420" w:leftChars="200"/>
    </w:pPr>
  </w:style>
  <w:style w:type="paragraph" w:styleId="8">
    <w:name w:val="Normal Indent"/>
    <w:basedOn w:val="1"/>
    <w:qFormat/>
    <w:uiPriority w:val="0"/>
    <w:pPr>
      <w:ind w:firstLine="420"/>
    </w:pPr>
    <w:rPr>
      <w:rFonts w:ascii="Times New Roman" w:hAnsi="Times New Roman"/>
      <w:bCs/>
    </w:rPr>
  </w:style>
  <w:style w:type="paragraph" w:styleId="9">
    <w:name w:val="annotation text"/>
    <w:basedOn w:val="1"/>
    <w:link w:val="37"/>
    <w:qFormat/>
    <w:uiPriority w:val="0"/>
    <w:pPr>
      <w:keepNext w:val="0"/>
      <w:keepLines w:val="0"/>
      <w:widowControl/>
      <w:suppressLineNumbers w:val="0"/>
      <w:spacing w:before="0" w:beforeAutospacing="0" w:after="0" w:afterAutospacing="0" w:line="360" w:lineRule="auto"/>
      <w:ind w:left="0" w:right="0" w:firstLine="200" w:firstLineChars="200"/>
      <w:jc w:val="left"/>
    </w:pPr>
    <w:rPr>
      <w:rFonts w:hint="eastAsia" w:ascii="宋体" w:hAnsi="Times New Roman" w:eastAsia="宋体" w:cs="Times New Roman"/>
      <w:kern w:val="0"/>
      <w:sz w:val="24"/>
      <w:szCs w:val="20"/>
      <w:lang w:val="en-US" w:eastAsia="zh-CN" w:bidi="ar"/>
    </w:rPr>
  </w:style>
  <w:style w:type="paragraph" w:styleId="10">
    <w:name w:val="Block Text"/>
    <w:basedOn w:val="1"/>
    <w:qFormat/>
    <w:uiPriority w:val="0"/>
    <w:pPr>
      <w:spacing w:line="440" w:lineRule="exact"/>
      <w:ind w:left="-540" w:leftChars="-257" w:right="-334" w:rightChars="-159" w:firstLine="1140"/>
    </w:pPr>
    <w:rPr>
      <w:rFonts w:ascii="Times New Roman" w:hAnsi="Times New Roman"/>
      <w:sz w:val="24"/>
      <w:szCs w:val="20"/>
    </w:rPr>
  </w:style>
  <w:style w:type="paragraph" w:styleId="11">
    <w:name w:val="Plain Text"/>
    <w:basedOn w:val="1"/>
    <w:link w:val="33"/>
    <w:qFormat/>
    <w:uiPriority w:val="0"/>
    <w:rPr>
      <w:rFonts w:hint="eastAsia" w:ascii="宋体" w:hAnsi="Courier New"/>
      <w:kern w:val="0"/>
      <w:sz w:val="20"/>
      <w:szCs w:val="21"/>
    </w:rPr>
  </w:style>
  <w:style w:type="paragraph" w:styleId="12">
    <w:name w:val="Balloon Text"/>
    <w:basedOn w:val="1"/>
    <w:link w:val="23"/>
    <w:qFormat/>
    <w:uiPriority w:val="0"/>
    <w:rPr>
      <w:sz w:val="18"/>
      <w:szCs w:val="18"/>
    </w:rPr>
  </w:style>
  <w:style w:type="paragraph" w:styleId="13">
    <w:name w:val="footer"/>
    <w:basedOn w:val="1"/>
    <w:link w:val="25"/>
    <w:qFormat/>
    <w:uiPriority w:val="99"/>
    <w:pPr>
      <w:tabs>
        <w:tab w:val="center" w:pos="4153"/>
        <w:tab w:val="right" w:pos="8306"/>
      </w:tabs>
      <w:snapToGrid w:val="0"/>
      <w:jc w:val="left"/>
    </w:pPr>
    <w:rPr>
      <w:sz w:val="18"/>
      <w:szCs w:val="18"/>
    </w:rPr>
  </w:style>
  <w:style w:type="paragraph" w:styleId="14">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unhideWhenUsed/>
    <w:qFormat/>
    <w:uiPriority w:val="39"/>
    <w:pPr>
      <w:ind w:left="420" w:leftChars="200"/>
    </w:pPr>
  </w:style>
  <w:style w:type="paragraph" w:styleId="16">
    <w:name w:val="Normal (Web)"/>
    <w:basedOn w:val="1"/>
    <w:qFormat/>
    <w:uiPriority w:val="99"/>
    <w:pPr>
      <w:widowControl/>
      <w:spacing w:before="100" w:beforeAutospacing="1" w:after="100" w:afterAutospacing="1"/>
      <w:jc w:val="left"/>
    </w:pPr>
    <w:rPr>
      <w:rFonts w:hint="eastAsia" w:ascii="宋体" w:hAnsi="宋体"/>
      <w:kern w:val="0"/>
      <w:sz w:val="24"/>
      <w:szCs w:val="24"/>
    </w:rPr>
  </w:style>
  <w:style w:type="paragraph" w:styleId="17">
    <w:name w:val="annotation subject"/>
    <w:basedOn w:val="9"/>
    <w:next w:val="9"/>
    <w:link w:val="30"/>
    <w:qFormat/>
    <w:uiPriority w:val="0"/>
    <w:pPr>
      <w:widowControl/>
    </w:pPr>
    <w:rPr>
      <w:b/>
      <w:bCs/>
      <w:kern w:val="0"/>
      <w:sz w:val="20"/>
      <w:szCs w:val="20"/>
    </w:rPr>
  </w:style>
  <w:style w:type="character" w:styleId="20">
    <w:name w:val="Hyperlink"/>
    <w:unhideWhenUsed/>
    <w:qFormat/>
    <w:uiPriority w:val="99"/>
    <w:rPr>
      <w:color w:val="0563C1"/>
      <w:u w:val="single"/>
    </w:rPr>
  </w:style>
  <w:style w:type="character" w:styleId="21">
    <w:name w:val="annotation reference"/>
    <w:basedOn w:val="19"/>
    <w:semiHidden/>
    <w:unhideWhenUsed/>
    <w:qFormat/>
    <w:uiPriority w:val="0"/>
    <w:rPr>
      <w:sz w:val="21"/>
      <w:szCs w:val="21"/>
    </w:rPr>
  </w:style>
  <w:style w:type="paragraph" w:customStyle="1" w:styleId="22">
    <w:name w:val="首行缩进"/>
    <w:basedOn w:val="1"/>
    <w:qFormat/>
    <w:uiPriority w:val="0"/>
    <w:pPr>
      <w:spacing w:line="300" w:lineRule="auto"/>
      <w:ind w:firstLine="420"/>
    </w:pPr>
    <w:rPr>
      <w:rFonts w:eastAsia="方正书宋简体"/>
    </w:rPr>
  </w:style>
  <w:style w:type="character" w:customStyle="1" w:styleId="23">
    <w:name w:val="批注框文本 字符"/>
    <w:basedOn w:val="19"/>
    <w:link w:val="12"/>
    <w:qFormat/>
    <w:uiPriority w:val="0"/>
    <w:rPr>
      <w:rFonts w:ascii="Calibri" w:hAnsi="Calibri" w:eastAsia="宋体" w:cs="Times New Roman"/>
      <w:kern w:val="2"/>
      <w:sz w:val="18"/>
      <w:szCs w:val="18"/>
    </w:rPr>
  </w:style>
  <w:style w:type="character" w:customStyle="1" w:styleId="24">
    <w:name w:val="页眉 字符"/>
    <w:basedOn w:val="19"/>
    <w:link w:val="14"/>
    <w:qFormat/>
    <w:uiPriority w:val="0"/>
    <w:rPr>
      <w:rFonts w:ascii="Calibri" w:hAnsi="Calibri" w:eastAsia="宋体" w:cs="Times New Roman"/>
      <w:kern w:val="2"/>
      <w:sz w:val="18"/>
      <w:szCs w:val="18"/>
    </w:rPr>
  </w:style>
  <w:style w:type="character" w:customStyle="1" w:styleId="25">
    <w:name w:val="页脚 字符"/>
    <w:basedOn w:val="19"/>
    <w:link w:val="13"/>
    <w:qFormat/>
    <w:uiPriority w:val="0"/>
    <w:rPr>
      <w:rFonts w:ascii="Calibri" w:hAnsi="Calibri" w:eastAsia="宋体" w:cs="Times New Roman"/>
      <w:kern w:val="2"/>
      <w:sz w:val="18"/>
      <w:szCs w:val="18"/>
    </w:rPr>
  </w:style>
  <w:style w:type="character" w:customStyle="1" w:styleId="26">
    <w:name w:val="标题 2 字符"/>
    <w:basedOn w:val="19"/>
    <w:link w:val="6"/>
    <w:qFormat/>
    <w:uiPriority w:val="0"/>
    <w:rPr>
      <w:rFonts w:ascii="Arial" w:hAnsi="Arial" w:eastAsia="黑体" w:cs="Times New Roman"/>
      <w:b/>
      <w:sz w:val="32"/>
    </w:rPr>
  </w:style>
  <w:style w:type="character" w:customStyle="1" w:styleId="27">
    <w:name w:val="标题 3 字符"/>
    <w:basedOn w:val="19"/>
    <w:link w:val="7"/>
    <w:qFormat/>
    <w:uiPriority w:val="0"/>
    <w:rPr>
      <w:rFonts w:ascii="Times New Roman" w:hAnsi="Times New Roman" w:eastAsia="宋体" w:cs="Times New Roman"/>
      <w:b/>
      <w:bCs/>
      <w:kern w:val="2"/>
      <w:sz w:val="32"/>
      <w:szCs w:val="32"/>
    </w:rPr>
  </w:style>
  <w:style w:type="character" w:customStyle="1" w:styleId="28">
    <w:name w:val="批注文字 字符"/>
    <w:basedOn w:val="19"/>
    <w:link w:val="9"/>
    <w:qFormat/>
    <w:uiPriority w:val="0"/>
    <w:rPr>
      <w:rFonts w:ascii="Calibri" w:hAnsi="Calibri" w:eastAsia="宋体" w:cs="Times New Roman"/>
      <w:kern w:val="2"/>
      <w:sz w:val="21"/>
      <w:szCs w:val="22"/>
    </w:rPr>
  </w:style>
  <w:style w:type="character" w:customStyle="1" w:styleId="29">
    <w:name w:val="正文文本 字符"/>
    <w:basedOn w:val="19"/>
    <w:link w:val="3"/>
    <w:qFormat/>
    <w:uiPriority w:val="0"/>
    <w:rPr>
      <w:rFonts w:ascii="Calibri" w:hAnsi="Calibri" w:eastAsia="宋体" w:cs="Times New Roman"/>
      <w:kern w:val="2"/>
      <w:sz w:val="21"/>
      <w:szCs w:val="22"/>
    </w:rPr>
  </w:style>
  <w:style w:type="character" w:customStyle="1" w:styleId="30">
    <w:name w:val="批注主题 字符"/>
    <w:basedOn w:val="28"/>
    <w:link w:val="17"/>
    <w:qFormat/>
    <w:uiPriority w:val="0"/>
    <w:rPr>
      <w:rFonts w:ascii="Calibri" w:hAnsi="Calibri" w:eastAsia="宋体" w:cs="Times New Roman"/>
      <w:b/>
      <w:bCs/>
      <w:kern w:val="2"/>
      <w:sz w:val="21"/>
      <w:szCs w:val="22"/>
    </w:rPr>
  </w:style>
  <w:style w:type="character" w:customStyle="1" w:styleId="31">
    <w:name w:val="正文首行缩进 字符"/>
    <w:basedOn w:val="29"/>
    <w:link w:val="2"/>
    <w:qFormat/>
    <w:uiPriority w:val="0"/>
    <w:rPr>
      <w:rFonts w:ascii="Times New Roman" w:hAnsi="Times New Roman" w:eastAsia="宋体" w:cs="Times New Roman"/>
      <w:kern w:val="2"/>
      <w:sz w:val="21"/>
      <w:szCs w:val="22"/>
    </w:rPr>
  </w:style>
  <w:style w:type="paragraph" w:customStyle="1" w:styleId="32">
    <w:name w:val="xl84"/>
    <w:basedOn w:val="1"/>
    <w:qFormat/>
    <w:uiPriority w:val="0"/>
    <w:pPr>
      <w:widowControl/>
      <w:spacing w:before="100" w:beforeAutospacing="1" w:after="100" w:afterAutospacing="1"/>
      <w:jc w:val="left"/>
    </w:pPr>
    <w:rPr>
      <w:rFonts w:ascii="宋体" w:hAnsi="宋体" w:cs="宋体"/>
      <w:b/>
      <w:bCs/>
      <w:kern w:val="0"/>
      <w:sz w:val="18"/>
      <w:szCs w:val="18"/>
    </w:rPr>
  </w:style>
  <w:style w:type="character" w:customStyle="1" w:styleId="33">
    <w:name w:val="纯文本 字符"/>
    <w:basedOn w:val="19"/>
    <w:link w:val="11"/>
    <w:qFormat/>
    <w:uiPriority w:val="0"/>
    <w:rPr>
      <w:rFonts w:ascii="宋体" w:hAnsi="Courier New" w:eastAsia="宋体" w:cs="Times New Roman"/>
      <w:szCs w:val="21"/>
    </w:rPr>
  </w:style>
  <w:style w:type="paragraph" w:customStyle="1" w:styleId="34">
    <w:name w:val="_Style 44"/>
    <w:basedOn w:val="3"/>
    <w:next w:val="2"/>
    <w:qFormat/>
    <w:uiPriority w:val="99"/>
    <w:pPr>
      <w:spacing w:before="100" w:beforeAutospacing="1"/>
      <w:ind w:firstLine="420"/>
    </w:pPr>
    <w:rPr>
      <w:rFonts w:ascii="Times New Roman" w:hAnsi="Times New Roman"/>
    </w:rPr>
  </w:style>
  <w:style w:type="character" w:customStyle="1" w:styleId="35">
    <w:name w:val="正文文本缩进 字符"/>
    <w:basedOn w:val="19"/>
    <w:link w:val="5"/>
    <w:qFormat/>
    <w:uiPriority w:val="0"/>
    <w:rPr>
      <w:rFonts w:hint="default" w:ascii="Calibri" w:hAnsi="Calibri" w:eastAsia="宋体" w:cs="Times New Roman"/>
      <w:kern w:val="2"/>
      <w:sz w:val="21"/>
      <w:szCs w:val="22"/>
    </w:rPr>
  </w:style>
  <w:style w:type="character" w:customStyle="1" w:styleId="36">
    <w:name w:val="正文首行缩进 2 字符"/>
    <w:basedOn w:val="35"/>
    <w:link w:val="4"/>
    <w:qFormat/>
    <w:uiPriority w:val="0"/>
    <w:rPr>
      <w:rFonts w:hint="default" w:ascii="Calibri" w:hAnsi="Calibri" w:eastAsia="宋体" w:cs="Times New Roman"/>
      <w:kern w:val="2"/>
      <w:sz w:val="21"/>
      <w:szCs w:val="22"/>
    </w:rPr>
  </w:style>
  <w:style w:type="character" w:customStyle="1" w:styleId="37">
    <w:name w:val="批注文字 Char"/>
    <w:basedOn w:val="19"/>
    <w:link w:val="9"/>
    <w:qFormat/>
    <w:uiPriority w:val="0"/>
    <w:rPr>
      <w:rFonts w:hint="eastAsia" w:ascii="宋体" w:hAnsi="宋体" w:eastAsia="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5326</Words>
  <Characters>5652</Characters>
  <Lines>37</Lines>
  <Paragraphs>10</Paragraphs>
  <TotalTime>11</TotalTime>
  <ScaleCrop>false</ScaleCrop>
  <LinksUpToDate>false</LinksUpToDate>
  <CharactersWithSpaces>5665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2023-10-07T01:44:00Z</dcterms:created>
  <dc:creator>广东工程经办人</dc:creator>
  <cp:lastModifiedBy>-咕小婷</cp:lastModifiedBy>
  <dcterms:modified xsi:type="dcterms:W3CDTF">2023-10-19T16:06:41Z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6DD99BF6741F41D09C474767CCD98149_13</vt:lpwstr>
  </property>
</Properties>
</file>