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4"/>
          <w:szCs w:val="48"/>
          <w:highlight w:val="none"/>
        </w:rPr>
      </w:pPr>
    </w:p>
    <w:p>
      <w:pPr>
        <w:spacing w:line="360" w:lineRule="auto"/>
        <w:jc w:val="center"/>
        <w:rPr>
          <w:rFonts w:ascii="宋体" w:hAnsi="宋体" w:cs="宋体"/>
          <w:b/>
          <w:sz w:val="44"/>
          <w:szCs w:val="48"/>
          <w:highlight w:val="none"/>
        </w:rPr>
      </w:pPr>
    </w:p>
    <w:p>
      <w:pPr>
        <w:spacing w:line="360" w:lineRule="auto"/>
        <w:jc w:val="center"/>
        <w:rPr>
          <w:rFonts w:ascii="宋体" w:hAnsi="宋体" w:cs="宋体"/>
          <w:sz w:val="32"/>
          <w:highlight w:val="none"/>
        </w:rPr>
      </w:pPr>
      <w:r>
        <w:rPr>
          <w:rFonts w:hint="eastAsia" w:ascii="宋体" w:hAnsi="宋体" w:cs="宋体"/>
          <w:b/>
          <w:sz w:val="44"/>
          <w:szCs w:val="48"/>
          <w:highlight w:val="none"/>
        </w:rPr>
        <w:t>广东省人民医院白云院区项目第三方检测监测服务</w:t>
      </w:r>
    </w:p>
    <w:p>
      <w:pPr>
        <w:spacing w:line="360" w:lineRule="auto"/>
        <w:rPr>
          <w:rFonts w:ascii="宋体" w:hAnsi="宋体" w:cs="宋体"/>
          <w:b/>
          <w:bCs/>
          <w:spacing w:val="40"/>
          <w:sz w:val="44"/>
          <w:szCs w:val="44"/>
          <w:highlight w:val="none"/>
        </w:rPr>
      </w:pPr>
    </w:p>
    <w:p>
      <w:pPr>
        <w:spacing w:line="360" w:lineRule="auto"/>
        <w:jc w:val="left"/>
        <w:rPr>
          <w:rFonts w:ascii="宋体" w:hAnsi="宋体" w:cs="宋体"/>
          <w:sz w:val="36"/>
          <w:highlight w:val="none"/>
          <w:u w:val="single"/>
        </w:rPr>
      </w:pPr>
    </w:p>
    <w:p>
      <w:pPr>
        <w:pStyle w:val="18"/>
        <w:ind w:left="0" w:leftChars="0" w:firstLine="0" w:firstLineChars="0"/>
        <w:rPr>
          <w:rFonts w:ascii="宋体" w:hAnsi="宋体" w:eastAsia="宋体" w:cs="宋体"/>
          <w:color w:val="auto"/>
          <w:highlight w:val="none"/>
        </w:rPr>
      </w:pPr>
    </w:p>
    <w:p>
      <w:pPr>
        <w:pStyle w:val="18"/>
        <w:ind w:left="0" w:leftChars="0" w:firstLine="0" w:firstLineChars="0"/>
        <w:rPr>
          <w:rFonts w:ascii="宋体" w:hAnsi="宋体" w:eastAsia="宋体" w:cs="宋体"/>
          <w:color w:val="auto"/>
          <w:highlight w:val="none"/>
        </w:rPr>
      </w:pPr>
    </w:p>
    <w:p>
      <w:pPr>
        <w:pStyle w:val="18"/>
        <w:ind w:left="0" w:leftChars="0" w:firstLine="0" w:firstLineChars="0"/>
        <w:rPr>
          <w:rFonts w:ascii="宋体" w:hAnsi="宋体" w:eastAsia="宋体" w:cs="宋体"/>
          <w:color w:val="auto"/>
          <w:highlight w:val="none"/>
        </w:rPr>
      </w:pPr>
    </w:p>
    <w:p>
      <w:pPr>
        <w:spacing w:line="360" w:lineRule="auto"/>
        <w:jc w:val="left"/>
        <w:rPr>
          <w:rFonts w:ascii="宋体" w:hAnsi="宋体" w:cs="宋体"/>
          <w:sz w:val="36"/>
          <w:highlight w:val="none"/>
          <w:u w:val="single"/>
        </w:rPr>
      </w:pPr>
    </w:p>
    <w:p>
      <w:pPr>
        <w:spacing w:line="360" w:lineRule="auto"/>
        <w:jc w:val="center"/>
        <w:rPr>
          <w:rFonts w:ascii="宋体" w:hAnsi="宋体" w:cs="宋体"/>
          <w:b/>
          <w:bCs/>
          <w:spacing w:val="26"/>
          <w:sz w:val="110"/>
          <w:szCs w:val="110"/>
          <w:highlight w:val="none"/>
        </w:rPr>
      </w:pPr>
      <w:r>
        <w:rPr>
          <w:rFonts w:hint="eastAsia" w:ascii="宋体" w:hAnsi="宋体" w:cs="宋体"/>
          <w:b/>
          <w:bCs/>
          <w:spacing w:val="26"/>
          <w:sz w:val="96"/>
          <w:szCs w:val="110"/>
          <w:highlight w:val="none"/>
        </w:rPr>
        <w:t>招标文件</w:t>
      </w:r>
    </w:p>
    <w:p>
      <w:pPr>
        <w:spacing w:line="360" w:lineRule="auto"/>
        <w:rPr>
          <w:rFonts w:ascii="宋体" w:hAnsi="宋体" w:cs="宋体"/>
          <w:sz w:val="32"/>
          <w:highlight w:val="none"/>
        </w:rPr>
      </w:pPr>
    </w:p>
    <w:p>
      <w:pPr>
        <w:spacing w:line="360" w:lineRule="auto"/>
        <w:rPr>
          <w:rFonts w:ascii="宋体" w:hAnsi="宋体" w:cs="宋体"/>
          <w:sz w:val="52"/>
          <w:highlight w:val="none"/>
        </w:rPr>
      </w:pPr>
    </w:p>
    <w:p>
      <w:pPr>
        <w:spacing w:line="360" w:lineRule="auto"/>
        <w:rPr>
          <w:rFonts w:ascii="宋体" w:hAnsi="宋体" w:cs="宋体"/>
          <w:sz w:val="52"/>
          <w:highlight w:val="none"/>
        </w:rPr>
      </w:pPr>
    </w:p>
    <w:p>
      <w:pPr>
        <w:pStyle w:val="18"/>
        <w:ind w:left="0" w:leftChars="0" w:firstLine="0" w:firstLineChars="0"/>
        <w:rPr>
          <w:rFonts w:ascii="宋体" w:hAnsi="宋体" w:eastAsia="宋体" w:cs="宋体"/>
          <w:color w:val="auto"/>
          <w:highlight w:val="none"/>
        </w:rPr>
      </w:pPr>
    </w:p>
    <w:p>
      <w:pPr>
        <w:pStyle w:val="18"/>
        <w:ind w:left="0" w:leftChars="0" w:firstLine="0" w:firstLineChars="0"/>
        <w:rPr>
          <w:rFonts w:ascii="宋体" w:hAnsi="宋体" w:eastAsia="宋体" w:cs="宋体"/>
          <w:color w:val="auto"/>
          <w:highlight w:val="none"/>
        </w:rPr>
      </w:pPr>
    </w:p>
    <w:p>
      <w:pPr>
        <w:spacing w:line="480" w:lineRule="auto"/>
        <w:jc w:val="center"/>
        <w:rPr>
          <w:rFonts w:ascii="宋体" w:hAnsi="宋体" w:cs="宋体"/>
          <w:sz w:val="32"/>
          <w:szCs w:val="32"/>
          <w:highlight w:val="none"/>
        </w:rPr>
      </w:pPr>
      <w:r>
        <w:rPr>
          <w:rFonts w:hint="eastAsia" w:ascii="宋体" w:hAnsi="宋体" w:cs="宋体"/>
          <w:sz w:val="32"/>
          <w:szCs w:val="32"/>
          <w:highlight w:val="none"/>
        </w:rPr>
        <w:t>招标单位：广东省人民医院</w:t>
      </w:r>
    </w:p>
    <w:p>
      <w:pPr>
        <w:spacing w:line="480" w:lineRule="auto"/>
        <w:ind w:firstLine="1600" w:firstLineChars="500"/>
        <w:rPr>
          <w:rFonts w:ascii="宋体" w:hAnsi="宋体" w:cs="宋体"/>
          <w:sz w:val="32"/>
          <w:szCs w:val="32"/>
          <w:highlight w:val="none"/>
        </w:rPr>
      </w:pPr>
      <w:r>
        <w:rPr>
          <w:rFonts w:hint="eastAsia" w:ascii="宋体" w:hAnsi="宋体" w:cs="宋体"/>
          <w:sz w:val="32"/>
          <w:szCs w:val="32"/>
          <w:highlight w:val="none"/>
        </w:rPr>
        <w:t>招标代理机构：广东粤能工程管理有限公司</w:t>
      </w:r>
    </w:p>
    <w:p>
      <w:pPr>
        <w:spacing w:line="360" w:lineRule="auto"/>
        <w:ind w:firstLine="2560" w:firstLineChars="800"/>
        <w:rPr>
          <w:rFonts w:ascii="宋体" w:hAnsi="宋体" w:cs="宋体"/>
          <w:sz w:val="32"/>
          <w:highlight w:val="none"/>
        </w:rPr>
      </w:pPr>
      <w:r>
        <w:rPr>
          <w:rFonts w:hint="eastAsia" w:ascii="宋体" w:hAnsi="宋体" w:cs="宋体"/>
          <w:sz w:val="32"/>
          <w:szCs w:val="32"/>
          <w:highlight w:val="none"/>
        </w:rPr>
        <w:t>日     期：</w:t>
      </w:r>
      <w:r>
        <w:rPr>
          <w:rFonts w:hint="eastAsia" w:ascii="宋体" w:hAnsi="宋体" w:cs="宋体"/>
          <w:sz w:val="32"/>
          <w:highlight w:val="none"/>
          <w:u w:val="single"/>
        </w:rPr>
        <w:t>2023</w:t>
      </w:r>
      <w:r>
        <w:rPr>
          <w:rFonts w:hint="eastAsia" w:ascii="宋体" w:hAnsi="宋体" w:cs="宋体"/>
          <w:sz w:val="32"/>
          <w:highlight w:val="none"/>
        </w:rPr>
        <w:t>年</w:t>
      </w:r>
      <w:r>
        <w:rPr>
          <w:rFonts w:hint="eastAsia" w:ascii="宋体" w:hAnsi="宋体" w:cs="宋体"/>
          <w:sz w:val="32"/>
          <w:highlight w:val="none"/>
          <w:u w:val="single"/>
        </w:rPr>
        <w:t>10</w:t>
      </w:r>
      <w:r>
        <w:rPr>
          <w:rFonts w:hint="eastAsia" w:ascii="宋体" w:hAnsi="宋体" w:cs="宋体"/>
          <w:sz w:val="32"/>
          <w:highlight w:val="none"/>
        </w:rPr>
        <w:t>月</w:t>
      </w:r>
    </w:p>
    <w:p>
      <w:pPr>
        <w:wordWrap w:val="0"/>
        <w:spacing w:line="360" w:lineRule="auto"/>
        <w:rPr>
          <w:rFonts w:ascii="宋体" w:hAnsi="宋体" w:cs="宋体"/>
          <w:sz w:val="24"/>
          <w:highlight w:val="none"/>
        </w:rPr>
        <w:sectPr>
          <w:headerReference r:id="rId4" w:type="first"/>
          <w:headerReference r:id="rId3" w:type="default"/>
          <w:footerReference r:id="rId5" w:type="default"/>
          <w:pgSz w:w="11906" w:h="16838"/>
          <w:pgMar w:top="1134" w:right="1134" w:bottom="1134" w:left="1134" w:header="851" w:footer="992" w:gutter="0"/>
          <w:pgNumType w:start="1"/>
          <w:cols w:space="720" w:num="1"/>
          <w:docGrid w:type="lines" w:linePitch="312" w:charSpace="0"/>
        </w:sectPr>
      </w:pPr>
      <w:r>
        <w:rPr>
          <w:rFonts w:hint="eastAsia" w:ascii="宋体" w:hAnsi="宋体" w:cs="宋体"/>
          <w:b/>
          <w:bCs/>
          <w:sz w:val="24"/>
          <w:szCs w:val="24"/>
          <w:highlight w:val="none"/>
        </w:rPr>
        <w:br w:type="page"/>
      </w:r>
      <w:r>
        <w:rPr>
          <w:rFonts w:hint="eastAsia" w:ascii="宋体" w:hAnsi="宋体" w:cs="宋体"/>
          <w:b/>
          <w:bCs/>
          <w:sz w:val="24"/>
          <w:szCs w:val="24"/>
          <w:highlight w:val="none"/>
        </w:rPr>
        <w:t>注：本项目使用新建设工程交易平台办理，各投标单位按照交易中心操作指引（http://ggzy.gz.gov.cn/fwznxtbzczsc/699986.jhtml）进行自助培训，如有疑问，请拨打技术支持电话咨询（15919617989,020-28866176）。</w:t>
      </w:r>
    </w:p>
    <w:tbl>
      <w:tblPr>
        <w:tblStyle w:val="19"/>
        <w:tblW w:w="8640" w:type="dxa"/>
        <w:tblInd w:w="360" w:type="dxa"/>
        <w:tblLayout w:type="fixed"/>
        <w:tblCellMar>
          <w:top w:w="0" w:type="dxa"/>
          <w:left w:w="0" w:type="dxa"/>
          <w:bottom w:w="0" w:type="dxa"/>
          <w:right w:w="0" w:type="dxa"/>
        </w:tblCellMar>
      </w:tblPr>
      <w:tblGrid>
        <w:gridCol w:w="660"/>
        <w:gridCol w:w="500"/>
        <w:gridCol w:w="7260"/>
        <w:gridCol w:w="220"/>
      </w:tblGrid>
      <w:tr>
        <w:tblPrEx>
          <w:tblCellMar>
            <w:top w:w="0" w:type="dxa"/>
            <w:left w:w="0" w:type="dxa"/>
            <w:bottom w:w="0" w:type="dxa"/>
            <w:right w:w="0" w:type="dxa"/>
          </w:tblCellMar>
        </w:tblPrEx>
        <w:trPr>
          <w:trHeight w:val="319" w:hRule="atLeast"/>
        </w:trPr>
        <w:tc>
          <w:tcPr>
            <w:tcW w:w="660" w:type="dxa"/>
            <w:vAlign w:val="bottom"/>
          </w:tcPr>
          <w:p>
            <w:pPr>
              <w:spacing w:line="0" w:lineRule="atLeast"/>
              <w:rPr>
                <w:rFonts w:ascii="宋体" w:hAnsi="宋体" w:cs="宋体"/>
                <w:sz w:val="24"/>
                <w:highlight w:val="none"/>
              </w:rPr>
            </w:pPr>
          </w:p>
        </w:tc>
        <w:tc>
          <w:tcPr>
            <w:tcW w:w="500" w:type="dxa"/>
            <w:vAlign w:val="bottom"/>
          </w:tcPr>
          <w:p>
            <w:pPr>
              <w:spacing w:line="0" w:lineRule="atLeast"/>
              <w:rPr>
                <w:rFonts w:ascii="宋体" w:hAnsi="宋体" w:cs="宋体"/>
                <w:sz w:val="24"/>
                <w:highlight w:val="none"/>
              </w:rPr>
            </w:pPr>
          </w:p>
        </w:tc>
        <w:tc>
          <w:tcPr>
            <w:tcW w:w="7260" w:type="dxa"/>
            <w:vAlign w:val="bottom"/>
          </w:tcPr>
          <w:p>
            <w:pPr>
              <w:spacing w:after="240" w:line="320" w:lineRule="exact"/>
              <w:ind w:right="3573"/>
              <w:jc w:val="right"/>
              <w:rPr>
                <w:rFonts w:ascii="宋体" w:hAnsi="宋体" w:cs="宋体"/>
                <w:b/>
                <w:sz w:val="28"/>
                <w:szCs w:val="28"/>
                <w:highlight w:val="none"/>
              </w:rPr>
            </w:pPr>
            <w:r>
              <w:rPr>
                <w:rFonts w:hint="eastAsia" w:ascii="宋体" w:hAnsi="宋体" w:cs="宋体"/>
                <w:b/>
                <w:sz w:val="32"/>
                <w:szCs w:val="28"/>
                <w:highlight w:val="none"/>
              </w:rPr>
              <w:t>目  录</w:t>
            </w:r>
          </w:p>
        </w:tc>
        <w:tc>
          <w:tcPr>
            <w:tcW w:w="220" w:type="dxa"/>
            <w:vAlign w:val="bottom"/>
          </w:tcPr>
          <w:p>
            <w:pPr>
              <w:spacing w:line="0" w:lineRule="atLeast"/>
              <w:rPr>
                <w:rFonts w:ascii="宋体" w:hAnsi="宋体" w:cs="宋体"/>
                <w:sz w:val="24"/>
                <w:highlight w:val="none"/>
              </w:rPr>
            </w:pPr>
          </w:p>
        </w:tc>
      </w:tr>
    </w:tbl>
    <w:p>
      <w:pPr>
        <w:pStyle w:val="13"/>
        <w:tabs>
          <w:tab w:val="right" w:leader="dot" w:pos="9060"/>
        </w:tabs>
        <w:spacing w:line="360" w:lineRule="auto"/>
        <w:rPr>
          <w:rStyle w:val="21"/>
          <w:rFonts w:ascii="宋体" w:hAnsi="宋体" w:cs="宋体"/>
          <w:b/>
          <w:color w:val="auto"/>
          <w:sz w:val="24"/>
          <w:szCs w:val="28"/>
          <w:highlight w:val="none"/>
        </w:rPr>
      </w:pPr>
      <w:r>
        <w:rPr>
          <w:rFonts w:hint="eastAsia" w:ascii="宋体" w:hAnsi="宋体" w:cs="宋体"/>
          <w:sz w:val="24"/>
          <w:szCs w:val="28"/>
          <w:highlight w:val="none"/>
        </w:rPr>
        <w:fldChar w:fldCharType="begin"/>
      </w:r>
      <w:r>
        <w:rPr>
          <w:rFonts w:hint="eastAsia" w:ascii="宋体" w:hAnsi="宋体" w:cs="宋体"/>
          <w:sz w:val="24"/>
          <w:szCs w:val="28"/>
          <w:highlight w:val="none"/>
        </w:rPr>
        <w:instrText xml:space="preserve"> TOC \o "1-3" \h \z \u </w:instrText>
      </w:r>
      <w:r>
        <w:rPr>
          <w:rFonts w:hint="eastAsia" w:ascii="宋体" w:hAnsi="宋体" w:cs="宋体"/>
          <w:sz w:val="24"/>
          <w:szCs w:val="28"/>
          <w:highlight w:val="none"/>
        </w:rPr>
        <w:fldChar w:fldCharType="separate"/>
      </w:r>
      <w:r>
        <w:rPr>
          <w:highlight w:val="none"/>
        </w:rPr>
        <w:fldChar w:fldCharType="begin"/>
      </w:r>
      <w:r>
        <w:rPr>
          <w:highlight w:val="none"/>
        </w:rPr>
        <w:instrText xml:space="preserve"> HYPERLINK \l "_Toc102997567" </w:instrText>
      </w:r>
      <w:r>
        <w:rPr>
          <w:highlight w:val="none"/>
        </w:rPr>
        <w:fldChar w:fldCharType="separate"/>
      </w:r>
      <w:r>
        <w:rPr>
          <w:rStyle w:val="21"/>
          <w:rFonts w:hint="eastAsia" w:ascii="宋体" w:hAnsi="宋体" w:cs="宋体"/>
          <w:b/>
          <w:color w:val="auto"/>
          <w:sz w:val="24"/>
          <w:szCs w:val="28"/>
          <w:highlight w:val="none"/>
        </w:rPr>
        <w:t>第一章 招标公告</w:t>
      </w:r>
      <w:r>
        <w:rPr>
          <w:rStyle w:val="21"/>
          <w:rFonts w:hint="eastAsia" w:ascii="宋体" w:hAnsi="宋体" w:cs="宋体"/>
          <w:b/>
          <w:color w:val="auto"/>
          <w:sz w:val="24"/>
          <w:szCs w:val="28"/>
          <w:highlight w:val="none"/>
        </w:rPr>
        <w:tab/>
      </w:r>
      <w:r>
        <w:rPr>
          <w:rStyle w:val="21"/>
          <w:rFonts w:hint="eastAsia" w:ascii="宋体" w:hAnsi="宋体" w:cs="宋体"/>
          <w:b/>
          <w:color w:val="auto"/>
          <w:sz w:val="24"/>
          <w:szCs w:val="28"/>
          <w:highlight w:val="none"/>
        </w:rPr>
        <w:fldChar w:fldCharType="begin"/>
      </w:r>
      <w:r>
        <w:rPr>
          <w:rStyle w:val="21"/>
          <w:rFonts w:hint="eastAsia" w:ascii="宋体" w:hAnsi="宋体" w:cs="宋体"/>
          <w:b/>
          <w:color w:val="auto"/>
          <w:sz w:val="24"/>
          <w:szCs w:val="28"/>
          <w:highlight w:val="none"/>
        </w:rPr>
        <w:instrText xml:space="preserve"> PAGEREF _Toc102997567 \h </w:instrText>
      </w:r>
      <w:r>
        <w:rPr>
          <w:rStyle w:val="21"/>
          <w:rFonts w:hint="eastAsia" w:ascii="宋体" w:hAnsi="宋体" w:cs="宋体"/>
          <w:b/>
          <w:color w:val="auto"/>
          <w:sz w:val="24"/>
          <w:szCs w:val="28"/>
          <w:highlight w:val="none"/>
        </w:rPr>
        <w:fldChar w:fldCharType="separate"/>
      </w:r>
      <w:r>
        <w:rPr>
          <w:rStyle w:val="21"/>
          <w:rFonts w:hint="eastAsia" w:ascii="宋体" w:hAnsi="宋体" w:cs="宋体"/>
          <w:b/>
          <w:color w:val="auto"/>
          <w:sz w:val="24"/>
          <w:szCs w:val="28"/>
          <w:highlight w:val="none"/>
        </w:rPr>
        <w:t>44</w:t>
      </w:r>
      <w:r>
        <w:rPr>
          <w:rStyle w:val="21"/>
          <w:rFonts w:hint="eastAsia" w:ascii="宋体" w:hAnsi="宋体" w:cs="宋体"/>
          <w:b/>
          <w:color w:val="auto"/>
          <w:sz w:val="24"/>
          <w:szCs w:val="28"/>
          <w:highlight w:val="none"/>
        </w:rPr>
        <w:fldChar w:fldCharType="end"/>
      </w:r>
      <w:r>
        <w:rPr>
          <w:rStyle w:val="21"/>
          <w:rFonts w:hint="eastAsia" w:ascii="宋体" w:hAnsi="宋体" w:cs="宋体"/>
          <w:b/>
          <w:color w:val="auto"/>
          <w:sz w:val="24"/>
          <w:szCs w:val="28"/>
          <w:highlight w:val="none"/>
        </w:rPr>
        <w:fldChar w:fldCharType="end"/>
      </w:r>
    </w:p>
    <w:p>
      <w:pPr>
        <w:pStyle w:val="13"/>
        <w:tabs>
          <w:tab w:val="right" w:leader="dot" w:pos="9060"/>
        </w:tabs>
        <w:spacing w:line="360" w:lineRule="auto"/>
        <w:rPr>
          <w:rStyle w:val="21"/>
          <w:rFonts w:ascii="宋体" w:hAnsi="宋体" w:cs="宋体"/>
          <w:b/>
          <w:color w:val="auto"/>
          <w:sz w:val="24"/>
          <w:szCs w:val="28"/>
          <w:highlight w:val="none"/>
        </w:rPr>
      </w:pPr>
      <w:r>
        <w:rPr>
          <w:highlight w:val="none"/>
        </w:rPr>
        <w:fldChar w:fldCharType="begin"/>
      </w:r>
      <w:r>
        <w:rPr>
          <w:highlight w:val="none"/>
        </w:rPr>
        <w:instrText xml:space="preserve"> HYPERLINK \l "_Toc102997568" </w:instrText>
      </w:r>
      <w:r>
        <w:rPr>
          <w:highlight w:val="none"/>
        </w:rPr>
        <w:fldChar w:fldCharType="separate"/>
      </w:r>
      <w:r>
        <w:rPr>
          <w:rStyle w:val="21"/>
          <w:rFonts w:hint="eastAsia" w:ascii="宋体" w:hAnsi="宋体" w:cs="宋体"/>
          <w:b/>
          <w:color w:val="auto"/>
          <w:sz w:val="24"/>
          <w:szCs w:val="28"/>
          <w:highlight w:val="none"/>
        </w:rPr>
        <w:t>第二章 投标人须知</w:t>
      </w:r>
      <w:r>
        <w:rPr>
          <w:rStyle w:val="21"/>
          <w:rFonts w:hint="eastAsia" w:ascii="宋体" w:hAnsi="宋体" w:cs="宋体"/>
          <w:b/>
          <w:color w:val="auto"/>
          <w:sz w:val="24"/>
          <w:szCs w:val="28"/>
          <w:highlight w:val="none"/>
        </w:rPr>
        <w:tab/>
      </w:r>
      <w:r>
        <w:rPr>
          <w:rStyle w:val="21"/>
          <w:rFonts w:hint="eastAsia" w:ascii="宋体" w:hAnsi="宋体" w:cs="宋体"/>
          <w:b/>
          <w:color w:val="auto"/>
          <w:sz w:val="24"/>
          <w:szCs w:val="28"/>
          <w:highlight w:val="none"/>
        </w:rPr>
        <w:fldChar w:fldCharType="begin"/>
      </w:r>
      <w:r>
        <w:rPr>
          <w:rStyle w:val="21"/>
          <w:rFonts w:hint="eastAsia" w:ascii="宋体" w:hAnsi="宋体" w:cs="宋体"/>
          <w:b/>
          <w:color w:val="auto"/>
          <w:sz w:val="24"/>
          <w:szCs w:val="28"/>
          <w:highlight w:val="none"/>
        </w:rPr>
        <w:instrText xml:space="preserve"> PAGEREF _Toc102997568 \h </w:instrText>
      </w:r>
      <w:r>
        <w:rPr>
          <w:rStyle w:val="21"/>
          <w:rFonts w:hint="eastAsia" w:ascii="宋体" w:hAnsi="宋体" w:cs="宋体"/>
          <w:b/>
          <w:color w:val="auto"/>
          <w:sz w:val="24"/>
          <w:szCs w:val="28"/>
          <w:highlight w:val="none"/>
        </w:rPr>
        <w:fldChar w:fldCharType="separate"/>
      </w:r>
      <w:r>
        <w:rPr>
          <w:rStyle w:val="21"/>
          <w:rFonts w:hint="eastAsia" w:ascii="宋体" w:hAnsi="宋体" w:cs="宋体"/>
          <w:b/>
          <w:color w:val="auto"/>
          <w:sz w:val="24"/>
          <w:szCs w:val="28"/>
          <w:highlight w:val="none"/>
        </w:rPr>
        <w:t>55</w:t>
      </w:r>
      <w:r>
        <w:rPr>
          <w:rStyle w:val="21"/>
          <w:rFonts w:hint="eastAsia" w:ascii="宋体" w:hAnsi="宋体" w:cs="宋体"/>
          <w:b/>
          <w:color w:val="auto"/>
          <w:sz w:val="24"/>
          <w:szCs w:val="28"/>
          <w:highlight w:val="none"/>
        </w:rPr>
        <w:fldChar w:fldCharType="end"/>
      </w:r>
      <w:r>
        <w:rPr>
          <w:rStyle w:val="21"/>
          <w:rFonts w:hint="eastAsia" w:ascii="宋体" w:hAnsi="宋体" w:cs="宋体"/>
          <w:b/>
          <w:color w:val="auto"/>
          <w:sz w:val="24"/>
          <w:szCs w:val="28"/>
          <w:highlight w:val="none"/>
        </w:rPr>
        <w:fldChar w:fldCharType="end"/>
      </w:r>
    </w:p>
    <w:p>
      <w:pPr>
        <w:pStyle w:val="13"/>
        <w:tabs>
          <w:tab w:val="right" w:leader="dot" w:pos="9060"/>
        </w:tabs>
        <w:spacing w:line="360" w:lineRule="auto"/>
        <w:rPr>
          <w:rStyle w:val="21"/>
          <w:rFonts w:ascii="宋体" w:hAnsi="宋体" w:cs="宋体"/>
          <w:b/>
          <w:color w:val="auto"/>
          <w:sz w:val="24"/>
          <w:szCs w:val="28"/>
          <w:highlight w:val="none"/>
        </w:rPr>
      </w:pPr>
      <w:r>
        <w:rPr>
          <w:highlight w:val="none"/>
        </w:rPr>
        <w:fldChar w:fldCharType="begin"/>
      </w:r>
      <w:r>
        <w:rPr>
          <w:highlight w:val="none"/>
        </w:rPr>
        <w:instrText xml:space="preserve"> HYPERLINK \l "_Toc102997628" </w:instrText>
      </w:r>
      <w:r>
        <w:rPr>
          <w:highlight w:val="none"/>
        </w:rPr>
        <w:fldChar w:fldCharType="separate"/>
      </w:r>
      <w:r>
        <w:rPr>
          <w:rStyle w:val="21"/>
          <w:rFonts w:hint="eastAsia" w:ascii="宋体" w:hAnsi="宋体" w:cs="宋体"/>
          <w:b/>
          <w:color w:val="auto"/>
          <w:sz w:val="24"/>
          <w:szCs w:val="28"/>
          <w:highlight w:val="none"/>
        </w:rPr>
        <w:t>第三章 评标办法</w:t>
      </w:r>
      <w:r>
        <w:rPr>
          <w:rStyle w:val="21"/>
          <w:rFonts w:hint="eastAsia" w:ascii="宋体" w:hAnsi="宋体" w:cs="宋体"/>
          <w:b/>
          <w:color w:val="auto"/>
          <w:sz w:val="24"/>
          <w:szCs w:val="28"/>
          <w:highlight w:val="none"/>
        </w:rPr>
        <w:tab/>
      </w:r>
      <w:r>
        <w:rPr>
          <w:rStyle w:val="21"/>
          <w:rFonts w:hint="eastAsia" w:ascii="宋体" w:hAnsi="宋体" w:cs="宋体"/>
          <w:b/>
          <w:color w:val="auto"/>
          <w:sz w:val="24"/>
          <w:szCs w:val="28"/>
          <w:highlight w:val="none"/>
        </w:rPr>
        <w:fldChar w:fldCharType="begin"/>
      </w:r>
      <w:r>
        <w:rPr>
          <w:rStyle w:val="21"/>
          <w:rFonts w:hint="eastAsia" w:ascii="宋体" w:hAnsi="宋体" w:cs="宋体"/>
          <w:b/>
          <w:color w:val="auto"/>
          <w:sz w:val="24"/>
          <w:szCs w:val="28"/>
          <w:highlight w:val="none"/>
        </w:rPr>
        <w:instrText xml:space="preserve"> PAGEREF _Toc102997628 \h </w:instrText>
      </w:r>
      <w:r>
        <w:rPr>
          <w:rStyle w:val="21"/>
          <w:rFonts w:hint="eastAsia" w:ascii="宋体" w:hAnsi="宋体" w:cs="宋体"/>
          <w:b/>
          <w:color w:val="auto"/>
          <w:sz w:val="24"/>
          <w:szCs w:val="28"/>
          <w:highlight w:val="none"/>
        </w:rPr>
        <w:fldChar w:fldCharType="separate"/>
      </w:r>
      <w:r>
        <w:rPr>
          <w:rStyle w:val="21"/>
          <w:rFonts w:hint="eastAsia" w:ascii="宋体" w:hAnsi="宋体" w:cs="宋体"/>
          <w:b/>
          <w:color w:val="auto"/>
          <w:sz w:val="24"/>
          <w:szCs w:val="28"/>
          <w:highlight w:val="none"/>
        </w:rPr>
        <w:t>29</w:t>
      </w:r>
      <w:r>
        <w:rPr>
          <w:rStyle w:val="21"/>
          <w:rFonts w:hint="eastAsia" w:ascii="宋体" w:hAnsi="宋体" w:cs="宋体"/>
          <w:b/>
          <w:color w:val="auto"/>
          <w:sz w:val="24"/>
          <w:szCs w:val="28"/>
          <w:highlight w:val="none"/>
        </w:rPr>
        <w:fldChar w:fldCharType="end"/>
      </w:r>
      <w:r>
        <w:rPr>
          <w:rStyle w:val="21"/>
          <w:rFonts w:hint="eastAsia" w:ascii="宋体" w:hAnsi="宋体" w:cs="宋体"/>
          <w:b/>
          <w:color w:val="auto"/>
          <w:sz w:val="24"/>
          <w:szCs w:val="28"/>
          <w:highlight w:val="none"/>
        </w:rPr>
        <w:fldChar w:fldCharType="end"/>
      </w:r>
    </w:p>
    <w:p>
      <w:pPr>
        <w:pStyle w:val="13"/>
        <w:tabs>
          <w:tab w:val="right" w:leader="dot" w:pos="9060"/>
        </w:tabs>
        <w:spacing w:line="360" w:lineRule="auto"/>
        <w:rPr>
          <w:rStyle w:val="21"/>
          <w:rFonts w:ascii="宋体" w:hAnsi="宋体" w:cs="宋体"/>
          <w:b/>
          <w:color w:val="auto"/>
          <w:sz w:val="24"/>
          <w:szCs w:val="28"/>
          <w:highlight w:val="none"/>
        </w:rPr>
      </w:pPr>
      <w:r>
        <w:rPr>
          <w:highlight w:val="none"/>
        </w:rPr>
        <w:fldChar w:fldCharType="begin"/>
      </w:r>
      <w:r>
        <w:rPr>
          <w:highlight w:val="none"/>
        </w:rPr>
        <w:instrText xml:space="preserve"> HYPERLINK \l "_Toc102997639" </w:instrText>
      </w:r>
      <w:r>
        <w:rPr>
          <w:highlight w:val="none"/>
        </w:rPr>
        <w:fldChar w:fldCharType="separate"/>
      </w:r>
      <w:r>
        <w:rPr>
          <w:rStyle w:val="21"/>
          <w:rFonts w:hint="eastAsia" w:ascii="宋体" w:hAnsi="宋体" w:cs="宋体"/>
          <w:b/>
          <w:color w:val="auto"/>
          <w:sz w:val="24"/>
          <w:szCs w:val="28"/>
          <w:highlight w:val="none"/>
        </w:rPr>
        <w:t>第四章 合同条款及格式</w:t>
      </w:r>
      <w:r>
        <w:rPr>
          <w:rStyle w:val="21"/>
          <w:rFonts w:hint="eastAsia" w:ascii="宋体" w:hAnsi="宋体" w:cs="宋体"/>
          <w:b/>
          <w:color w:val="auto"/>
          <w:sz w:val="24"/>
          <w:szCs w:val="28"/>
          <w:highlight w:val="none"/>
        </w:rPr>
        <w:tab/>
      </w:r>
      <w:r>
        <w:rPr>
          <w:rStyle w:val="21"/>
          <w:rFonts w:hint="eastAsia" w:ascii="宋体" w:hAnsi="宋体" w:cs="宋体"/>
          <w:b/>
          <w:color w:val="auto"/>
          <w:sz w:val="24"/>
          <w:szCs w:val="28"/>
          <w:highlight w:val="none"/>
        </w:rPr>
        <w:fldChar w:fldCharType="begin"/>
      </w:r>
      <w:r>
        <w:rPr>
          <w:rStyle w:val="21"/>
          <w:rFonts w:hint="eastAsia" w:ascii="宋体" w:hAnsi="宋体" w:cs="宋体"/>
          <w:b/>
          <w:color w:val="auto"/>
          <w:sz w:val="24"/>
          <w:szCs w:val="28"/>
          <w:highlight w:val="none"/>
        </w:rPr>
        <w:instrText xml:space="preserve"> PAGEREF _Toc102997639 \h </w:instrText>
      </w:r>
      <w:r>
        <w:rPr>
          <w:rStyle w:val="21"/>
          <w:rFonts w:hint="eastAsia" w:ascii="宋体" w:hAnsi="宋体" w:cs="宋体"/>
          <w:b/>
          <w:color w:val="auto"/>
          <w:sz w:val="24"/>
          <w:szCs w:val="28"/>
          <w:highlight w:val="none"/>
        </w:rPr>
        <w:fldChar w:fldCharType="separate"/>
      </w:r>
      <w:r>
        <w:rPr>
          <w:rStyle w:val="21"/>
          <w:rFonts w:hint="eastAsia" w:ascii="宋体" w:hAnsi="宋体" w:cs="宋体"/>
          <w:b/>
          <w:color w:val="auto"/>
          <w:sz w:val="24"/>
          <w:szCs w:val="28"/>
          <w:highlight w:val="none"/>
        </w:rPr>
        <w:t>39</w:t>
      </w:r>
      <w:r>
        <w:rPr>
          <w:rStyle w:val="21"/>
          <w:rFonts w:hint="eastAsia" w:ascii="宋体" w:hAnsi="宋体" w:cs="宋体"/>
          <w:b/>
          <w:color w:val="auto"/>
          <w:sz w:val="24"/>
          <w:szCs w:val="28"/>
          <w:highlight w:val="none"/>
        </w:rPr>
        <w:fldChar w:fldCharType="end"/>
      </w:r>
      <w:r>
        <w:rPr>
          <w:rStyle w:val="21"/>
          <w:rFonts w:hint="eastAsia" w:ascii="宋体" w:hAnsi="宋体" w:cs="宋体"/>
          <w:b/>
          <w:color w:val="auto"/>
          <w:sz w:val="24"/>
          <w:szCs w:val="28"/>
          <w:highlight w:val="none"/>
        </w:rPr>
        <w:fldChar w:fldCharType="end"/>
      </w:r>
    </w:p>
    <w:p>
      <w:pPr>
        <w:pStyle w:val="13"/>
        <w:tabs>
          <w:tab w:val="right" w:leader="dot" w:pos="9060"/>
        </w:tabs>
        <w:spacing w:line="360" w:lineRule="auto"/>
        <w:rPr>
          <w:rStyle w:val="21"/>
          <w:rFonts w:ascii="宋体" w:hAnsi="宋体" w:cs="宋体"/>
          <w:b/>
          <w:color w:val="auto"/>
          <w:sz w:val="24"/>
          <w:szCs w:val="28"/>
          <w:highlight w:val="none"/>
        </w:rPr>
      </w:pPr>
      <w:r>
        <w:rPr>
          <w:highlight w:val="none"/>
        </w:rPr>
        <w:fldChar w:fldCharType="begin"/>
      </w:r>
      <w:r>
        <w:rPr>
          <w:highlight w:val="none"/>
        </w:rPr>
        <w:instrText xml:space="preserve"> HYPERLINK \l "_Toc102997640" </w:instrText>
      </w:r>
      <w:r>
        <w:rPr>
          <w:highlight w:val="none"/>
        </w:rPr>
        <w:fldChar w:fldCharType="separate"/>
      </w:r>
      <w:r>
        <w:rPr>
          <w:rStyle w:val="21"/>
          <w:rFonts w:hint="eastAsia" w:ascii="宋体" w:hAnsi="宋体" w:cs="宋体"/>
          <w:b/>
          <w:color w:val="auto"/>
          <w:sz w:val="24"/>
          <w:szCs w:val="28"/>
          <w:highlight w:val="none"/>
        </w:rPr>
        <w:t>第五章 委托人要求</w:t>
      </w:r>
      <w:r>
        <w:rPr>
          <w:rStyle w:val="21"/>
          <w:rFonts w:hint="eastAsia" w:ascii="宋体" w:hAnsi="宋体" w:cs="宋体"/>
          <w:b/>
          <w:color w:val="auto"/>
          <w:sz w:val="24"/>
          <w:szCs w:val="28"/>
          <w:highlight w:val="none"/>
        </w:rPr>
        <w:tab/>
      </w:r>
      <w:r>
        <w:rPr>
          <w:rStyle w:val="21"/>
          <w:rFonts w:hint="eastAsia" w:ascii="宋体" w:hAnsi="宋体" w:cs="宋体"/>
          <w:b/>
          <w:color w:val="auto"/>
          <w:sz w:val="24"/>
          <w:szCs w:val="28"/>
          <w:highlight w:val="none"/>
        </w:rPr>
        <w:fldChar w:fldCharType="begin"/>
      </w:r>
      <w:r>
        <w:rPr>
          <w:rStyle w:val="21"/>
          <w:rFonts w:hint="eastAsia" w:ascii="宋体" w:hAnsi="宋体" w:cs="宋体"/>
          <w:b/>
          <w:color w:val="auto"/>
          <w:sz w:val="24"/>
          <w:szCs w:val="28"/>
          <w:highlight w:val="none"/>
        </w:rPr>
        <w:instrText xml:space="preserve"> PAGEREF _Toc102997640 \h </w:instrText>
      </w:r>
      <w:r>
        <w:rPr>
          <w:rStyle w:val="21"/>
          <w:rFonts w:hint="eastAsia" w:ascii="宋体" w:hAnsi="宋体" w:cs="宋体"/>
          <w:b/>
          <w:color w:val="auto"/>
          <w:sz w:val="24"/>
          <w:szCs w:val="28"/>
          <w:highlight w:val="none"/>
        </w:rPr>
        <w:fldChar w:fldCharType="separate"/>
      </w:r>
      <w:r>
        <w:rPr>
          <w:rStyle w:val="21"/>
          <w:rFonts w:hint="eastAsia" w:ascii="宋体" w:hAnsi="宋体" w:cs="宋体"/>
          <w:b/>
          <w:color w:val="auto"/>
          <w:sz w:val="24"/>
          <w:szCs w:val="28"/>
          <w:highlight w:val="none"/>
        </w:rPr>
        <w:t>40</w:t>
      </w:r>
      <w:r>
        <w:rPr>
          <w:rStyle w:val="21"/>
          <w:rFonts w:hint="eastAsia" w:ascii="宋体" w:hAnsi="宋体" w:cs="宋体"/>
          <w:b/>
          <w:color w:val="auto"/>
          <w:sz w:val="24"/>
          <w:szCs w:val="28"/>
          <w:highlight w:val="none"/>
        </w:rPr>
        <w:fldChar w:fldCharType="end"/>
      </w:r>
      <w:r>
        <w:rPr>
          <w:rStyle w:val="21"/>
          <w:rFonts w:hint="eastAsia" w:ascii="宋体" w:hAnsi="宋体" w:cs="宋体"/>
          <w:b/>
          <w:color w:val="auto"/>
          <w:sz w:val="24"/>
          <w:szCs w:val="28"/>
          <w:highlight w:val="none"/>
        </w:rPr>
        <w:fldChar w:fldCharType="end"/>
      </w:r>
    </w:p>
    <w:p>
      <w:pPr>
        <w:pStyle w:val="13"/>
        <w:tabs>
          <w:tab w:val="right" w:leader="dot" w:pos="9060"/>
        </w:tabs>
        <w:spacing w:line="360" w:lineRule="auto"/>
        <w:rPr>
          <w:rFonts w:ascii="宋体" w:hAnsi="宋体" w:cs="宋体"/>
          <w:sz w:val="24"/>
          <w:szCs w:val="28"/>
          <w:highlight w:val="none"/>
        </w:rPr>
      </w:pPr>
      <w:r>
        <w:rPr>
          <w:highlight w:val="none"/>
        </w:rPr>
        <w:fldChar w:fldCharType="begin"/>
      </w:r>
      <w:r>
        <w:rPr>
          <w:highlight w:val="none"/>
        </w:rPr>
        <w:instrText xml:space="preserve"> HYPERLINK \l "_Toc102997644" </w:instrText>
      </w:r>
      <w:r>
        <w:rPr>
          <w:highlight w:val="none"/>
        </w:rPr>
        <w:fldChar w:fldCharType="separate"/>
      </w:r>
      <w:r>
        <w:rPr>
          <w:rStyle w:val="21"/>
          <w:rFonts w:hint="eastAsia" w:ascii="宋体" w:hAnsi="宋体" w:cs="宋体"/>
          <w:b/>
          <w:color w:val="auto"/>
          <w:sz w:val="24"/>
          <w:szCs w:val="28"/>
          <w:highlight w:val="none"/>
        </w:rPr>
        <w:t>第六章 投标文件格式</w:t>
      </w:r>
      <w:r>
        <w:rPr>
          <w:rStyle w:val="21"/>
          <w:rFonts w:hint="eastAsia" w:ascii="宋体" w:hAnsi="宋体" w:cs="宋体"/>
          <w:b/>
          <w:color w:val="auto"/>
          <w:sz w:val="24"/>
          <w:szCs w:val="28"/>
          <w:highlight w:val="none"/>
        </w:rPr>
        <w:tab/>
      </w:r>
      <w:r>
        <w:rPr>
          <w:rStyle w:val="21"/>
          <w:rFonts w:hint="eastAsia" w:ascii="宋体" w:hAnsi="宋体" w:cs="宋体"/>
          <w:b/>
          <w:color w:val="auto"/>
          <w:sz w:val="24"/>
          <w:szCs w:val="28"/>
          <w:highlight w:val="none"/>
        </w:rPr>
        <w:fldChar w:fldCharType="begin"/>
      </w:r>
      <w:r>
        <w:rPr>
          <w:rStyle w:val="21"/>
          <w:rFonts w:hint="eastAsia" w:ascii="宋体" w:hAnsi="宋体" w:cs="宋体"/>
          <w:b/>
          <w:color w:val="auto"/>
          <w:sz w:val="24"/>
          <w:szCs w:val="28"/>
          <w:highlight w:val="none"/>
        </w:rPr>
        <w:instrText xml:space="preserve"> PAGEREF _Toc102997644 \h </w:instrText>
      </w:r>
      <w:r>
        <w:rPr>
          <w:rStyle w:val="21"/>
          <w:rFonts w:hint="eastAsia" w:ascii="宋体" w:hAnsi="宋体" w:cs="宋体"/>
          <w:b/>
          <w:color w:val="auto"/>
          <w:sz w:val="24"/>
          <w:szCs w:val="28"/>
          <w:highlight w:val="none"/>
        </w:rPr>
        <w:fldChar w:fldCharType="separate"/>
      </w:r>
      <w:r>
        <w:rPr>
          <w:rStyle w:val="21"/>
          <w:rFonts w:hint="eastAsia" w:ascii="宋体" w:hAnsi="宋体" w:cs="宋体"/>
          <w:b/>
          <w:color w:val="auto"/>
          <w:sz w:val="24"/>
          <w:szCs w:val="28"/>
          <w:highlight w:val="none"/>
        </w:rPr>
        <w:t>42</w:t>
      </w:r>
      <w:r>
        <w:rPr>
          <w:rStyle w:val="21"/>
          <w:rFonts w:hint="eastAsia" w:ascii="宋体" w:hAnsi="宋体" w:cs="宋体"/>
          <w:b/>
          <w:color w:val="auto"/>
          <w:sz w:val="24"/>
          <w:szCs w:val="28"/>
          <w:highlight w:val="none"/>
        </w:rPr>
        <w:fldChar w:fldCharType="end"/>
      </w:r>
      <w:r>
        <w:rPr>
          <w:rStyle w:val="21"/>
          <w:rFonts w:hint="eastAsia" w:ascii="宋体" w:hAnsi="宋体" w:cs="宋体"/>
          <w:b/>
          <w:color w:val="auto"/>
          <w:sz w:val="24"/>
          <w:szCs w:val="28"/>
          <w:highlight w:val="none"/>
        </w:rPr>
        <w:fldChar w:fldCharType="end"/>
      </w:r>
    </w:p>
    <w:p>
      <w:pPr>
        <w:spacing w:line="360" w:lineRule="auto"/>
        <w:rPr>
          <w:rFonts w:ascii="宋体" w:hAnsi="宋体" w:cs="宋体"/>
          <w:highlight w:val="none"/>
        </w:rPr>
      </w:pPr>
      <w:r>
        <w:rPr>
          <w:rFonts w:hint="eastAsia" w:ascii="宋体" w:hAnsi="宋体" w:cs="宋体"/>
          <w:b/>
          <w:bCs/>
          <w:sz w:val="24"/>
          <w:szCs w:val="28"/>
          <w:highlight w:val="none"/>
          <w:lang w:val="zh-CN"/>
        </w:rPr>
        <w:fldChar w:fldCharType="end"/>
      </w:r>
    </w:p>
    <w:p>
      <w:pPr>
        <w:tabs>
          <w:tab w:val="left" w:leader="dot" w:pos="8760"/>
        </w:tabs>
        <w:spacing w:line="270" w:lineRule="exact"/>
        <w:rPr>
          <w:rFonts w:ascii="宋体" w:hAnsi="宋体" w:cs="宋体"/>
          <w:highlight w:val="none"/>
        </w:rPr>
        <w:sectPr>
          <w:pgSz w:w="11906" w:h="16838"/>
          <w:pgMar w:top="1418" w:right="1418" w:bottom="1418" w:left="1418" w:header="851" w:footer="992" w:gutter="0"/>
          <w:cols w:space="720" w:num="1"/>
          <w:docGrid w:type="lines" w:linePitch="312" w:charSpace="0"/>
        </w:sectPr>
      </w:pPr>
    </w:p>
    <w:p>
      <w:pPr>
        <w:spacing w:line="491" w:lineRule="exact"/>
        <w:jc w:val="center"/>
        <w:rPr>
          <w:rFonts w:ascii="宋体" w:hAnsi="宋体" w:cs="宋体"/>
          <w:b/>
          <w:sz w:val="43"/>
          <w:highlight w:val="none"/>
        </w:rPr>
      </w:pPr>
    </w:p>
    <w:p>
      <w:pPr>
        <w:spacing w:line="360" w:lineRule="auto"/>
        <w:jc w:val="center"/>
        <w:outlineLvl w:val="1"/>
        <w:rPr>
          <w:rFonts w:ascii="宋体" w:hAnsi="宋体" w:cs="宋体"/>
          <w:b/>
          <w:sz w:val="44"/>
          <w:highlight w:val="none"/>
        </w:rPr>
      </w:pPr>
      <w:bookmarkStart w:id="0" w:name="_Toc102997567"/>
      <w:r>
        <w:rPr>
          <w:rFonts w:hint="eastAsia" w:ascii="宋体" w:hAnsi="宋体" w:cs="宋体"/>
          <w:b/>
          <w:sz w:val="44"/>
          <w:highlight w:val="none"/>
        </w:rPr>
        <w:t>第一章 招标公告</w:t>
      </w:r>
      <w:bookmarkEnd w:id="0"/>
    </w:p>
    <w:p>
      <w:pPr>
        <w:spacing w:line="360" w:lineRule="auto"/>
        <w:jc w:val="center"/>
        <w:rPr>
          <w:rFonts w:ascii="宋体" w:hAnsi="宋体" w:cs="宋体"/>
          <w:b/>
          <w:sz w:val="43"/>
          <w:highlight w:val="none"/>
        </w:rPr>
      </w:pPr>
      <w:r>
        <w:rPr>
          <w:rFonts w:hint="eastAsia" w:ascii="宋体" w:hAnsi="宋体" w:cs="宋体"/>
          <w:b/>
          <w:sz w:val="43"/>
          <w:highlight w:val="none"/>
        </w:rPr>
        <w:t>（略）</w:t>
      </w:r>
    </w:p>
    <w:p>
      <w:pPr>
        <w:spacing w:line="491" w:lineRule="exact"/>
        <w:jc w:val="center"/>
        <w:rPr>
          <w:rFonts w:ascii="宋体" w:hAnsi="宋体" w:cs="宋体"/>
          <w:b/>
          <w:sz w:val="44"/>
          <w:highlight w:val="none"/>
        </w:rPr>
      </w:pPr>
    </w:p>
    <w:p>
      <w:pPr>
        <w:spacing w:line="491" w:lineRule="exact"/>
        <w:jc w:val="center"/>
        <w:rPr>
          <w:rFonts w:ascii="宋体" w:hAnsi="宋体" w:cs="宋体"/>
          <w:b/>
          <w:sz w:val="44"/>
          <w:highlight w:val="none"/>
        </w:rPr>
      </w:pPr>
    </w:p>
    <w:p>
      <w:pPr>
        <w:spacing w:line="491" w:lineRule="exact"/>
        <w:jc w:val="center"/>
        <w:rPr>
          <w:rFonts w:ascii="宋体" w:hAnsi="宋体" w:cs="宋体"/>
          <w:b/>
          <w:sz w:val="44"/>
          <w:highlight w:val="none"/>
        </w:rPr>
      </w:pPr>
    </w:p>
    <w:p>
      <w:pPr>
        <w:spacing w:line="491" w:lineRule="exact"/>
        <w:jc w:val="center"/>
        <w:rPr>
          <w:rFonts w:ascii="宋体" w:hAnsi="宋体" w:cs="宋体"/>
          <w:b/>
          <w:sz w:val="44"/>
          <w:highlight w:val="none"/>
        </w:rPr>
      </w:pPr>
    </w:p>
    <w:p>
      <w:pPr>
        <w:spacing w:line="491" w:lineRule="exact"/>
        <w:jc w:val="center"/>
        <w:rPr>
          <w:rFonts w:ascii="宋体" w:hAnsi="宋体" w:cs="宋体"/>
          <w:b/>
          <w:sz w:val="44"/>
          <w:highlight w:val="none"/>
        </w:rPr>
      </w:pPr>
    </w:p>
    <w:p>
      <w:pPr>
        <w:spacing w:line="491" w:lineRule="exact"/>
        <w:jc w:val="center"/>
        <w:rPr>
          <w:rFonts w:ascii="宋体" w:hAnsi="宋体" w:cs="宋体"/>
          <w:b/>
          <w:sz w:val="44"/>
          <w:highlight w:val="none"/>
        </w:rPr>
        <w:sectPr>
          <w:footerReference r:id="rId8" w:type="first"/>
          <w:headerReference r:id="rId6" w:type="default"/>
          <w:footerReference r:id="rId7" w:type="default"/>
          <w:pgSz w:w="11907" w:h="16839"/>
          <w:pgMar w:top="1440" w:right="1440" w:bottom="1418" w:left="1440" w:header="993" w:footer="749" w:gutter="0"/>
          <w:cols w:space="720" w:num="1"/>
          <w:titlePg/>
          <w:docGrid w:linePitch="360" w:charSpace="0"/>
        </w:sectPr>
      </w:pPr>
    </w:p>
    <w:p>
      <w:pPr>
        <w:pStyle w:val="3"/>
        <w:jc w:val="center"/>
        <w:rPr>
          <w:rFonts w:ascii="宋体" w:hAnsi="宋体" w:eastAsia="宋体" w:cs="宋体"/>
          <w:highlight w:val="none"/>
        </w:rPr>
      </w:pPr>
      <w:bookmarkStart w:id="1" w:name="_Toc102997568"/>
      <w:r>
        <w:rPr>
          <w:rFonts w:hint="eastAsia" w:ascii="宋体" w:hAnsi="宋体" w:eastAsia="宋体" w:cs="宋体"/>
          <w:highlight w:val="none"/>
        </w:rPr>
        <w:t>第二章 投标人须知</w:t>
      </w:r>
      <w:bookmarkEnd w:id="1"/>
    </w:p>
    <w:p>
      <w:pPr>
        <w:spacing w:line="201" w:lineRule="exact"/>
        <w:rPr>
          <w:rFonts w:ascii="宋体" w:hAnsi="宋体" w:cs="宋体"/>
          <w:highlight w:val="none"/>
        </w:rPr>
      </w:pPr>
    </w:p>
    <w:p>
      <w:pPr>
        <w:spacing w:line="366" w:lineRule="exact"/>
        <w:jc w:val="center"/>
        <w:outlineLvl w:val="2"/>
        <w:rPr>
          <w:rFonts w:ascii="宋体" w:hAnsi="宋体" w:cs="宋体"/>
          <w:b/>
          <w:sz w:val="32"/>
          <w:highlight w:val="none"/>
        </w:rPr>
      </w:pPr>
      <w:bookmarkStart w:id="2" w:name="_Toc102997569"/>
      <w:r>
        <w:rPr>
          <w:rFonts w:hint="eastAsia" w:ascii="宋体" w:hAnsi="宋体" w:cs="宋体"/>
          <w:b/>
          <w:sz w:val="32"/>
          <w:highlight w:val="none"/>
        </w:rPr>
        <w:t>投标人须知前附表</w:t>
      </w:r>
      <w:bookmarkEnd w:id="2"/>
    </w:p>
    <w:p>
      <w:pPr>
        <w:rPr>
          <w:rFonts w:ascii="宋体" w:hAnsi="宋体" w:cs="宋体"/>
          <w:highlight w:val="none"/>
        </w:rPr>
      </w:pPr>
    </w:p>
    <w:tbl>
      <w:tblPr>
        <w:tblStyle w:val="19"/>
        <w:tblW w:w="9606" w:type="dxa"/>
        <w:tblInd w:w="0" w:type="dxa"/>
        <w:tblLayout w:type="fixed"/>
        <w:tblCellMar>
          <w:top w:w="0" w:type="dxa"/>
          <w:left w:w="108" w:type="dxa"/>
          <w:bottom w:w="0" w:type="dxa"/>
          <w:right w:w="108" w:type="dxa"/>
        </w:tblCellMar>
      </w:tblPr>
      <w:tblGrid>
        <w:gridCol w:w="1165"/>
        <w:gridCol w:w="2345"/>
        <w:gridCol w:w="6096"/>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招标人</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广东省人民医院</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广东省广州越秀区中山二路106号</w:t>
            </w:r>
          </w:p>
          <w:p>
            <w:pPr>
              <w:spacing w:line="360" w:lineRule="auto"/>
              <w:ind w:right="107" w:rightChars="5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李老师</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电话：020-83827812</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广东粤能工程管理有限公司</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广州市天河区华观路明旭街1号万科智慧广场B1-2栋12楼</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梁工、赖工</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020-38730932</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1.1.4</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招标项目名称</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广东省人民医院白云院区项目第三方检测监测服务</w:t>
            </w:r>
          </w:p>
        </w:tc>
      </w:tr>
      <w:tr>
        <w:tblPrEx>
          <w:tblCellMar>
            <w:top w:w="0" w:type="dxa"/>
            <w:left w:w="108" w:type="dxa"/>
            <w:bottom w:w="0" w:type="dxa"/>
            <w:right w:w="108" w:type="dxa"/>
          </w:tblCellMar>
        </w:tblPrEx>
        <w:trPr>
          <w:trHeight w:val="514"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1.1.5</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项目建设地点</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tc>
      </w:tr>
      <w:tr>
        <w:tblPrEx>
          <w:tblCellMar>
            <w:top w:w="0" w:type="dxa"/>
            <w:left w:w="108" w:type="dxa"/>
            <w:bottom w:w="0" w:type="dxa"/>
            <w:right w:w="108" w:type="dxa"/>
          </w:tblCellMar>
        </w:tblPrEx>
        <w:trPr>
          <w:trHeight w:val="55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1.1.6</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项目建设规模</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1.1.7</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工程项目施工预计开工日期和建设周期</w:t>
            </w:r>
          </w:p>
        </w:tc>
        <w:tc>
          <w:tcPr>
            <w:tcW w:w="60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rPr>
              <w:t>工程项目施工预计开工日期：</w:t>
            </w:r>
            <w:r>
              <w:rPr>
                <w:rFonts w:hint="eastAsia" w:ascii="宋体" w:hAnsi="宋体" w:cs="宋体"/>
                <w:color w:val="auto"/>
                <w:sz w:val="24"/>
                <w:szCs w:val="24"/>
                <w:highlight w:val="none"/>
                <w:u w:val="single"/>
              </w:rPr>
              <w:t>开工时间以招标人通知为准。</w:t>
            </w:r>
          </w:p>
          <w:p>
            <w:pPr>
              <w:snapToGrid w:val="0"/>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rPr>
              <w:t>服务周期：</w:t>
            </w:r>
            <w:r>
              <w:rPr>
                <w:rFonts w:hint="eastAsia" w:ascii="宋体" w:hAnsi="宋体" w:cs="宋体"/>
                <w:color w:val="auto"/>
                <w:sz w:val="24"/>
                <w:szCs w:val="24"/>
                <w:highlight w:val="none"/>
                <w:u w:val="single"/>
              </w:rPr>
              <w:t>从中标单位进场至所有服务项目完成为止。服务周期必须满足实际施工要求，进场日期以招标人通知时间为准。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1.1.8</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工程总投资</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资金来源及比例</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资金落实情况</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已落实。</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1.3.1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详见招标公告。</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1.3.2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服务期限</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bCs/>
                <w:color w:val="auto"/>
                <w:sz w:val="24"/>
                <w:szCs w:val="24"/>
                <w:highlight w:val="none"/>
              </w:rPr>
              <w:t>本项目的服务期限为：</w:t>
            </w:r>
            <w:r>
              <w:rPr>
                <w:rFonts w:hint="eastAsia" w:ascii="宋体" w:hAnsi="宋体" w:cs="宋体"/>
                <w:bCs/>
                <w:color w:val="auto"/>
                <w:sz w:val="24"/>
                <w:szCs w:val="24"/>
                <w:highlight w:val="none"/>
                <w:u w:val="single"/>
              </w:rPr>
              <w:t>从中标单位进场至完成所有检测</w:t>
            </w:r>
            <w:r>
              <w:rPr>
                <w:rFonts w:hint="eastAsia" w:ascii="宋体" w:hAnsi="宋体" w:cs="宋体"/>
                <w:bCs/>
                <w:color w:val="auto"/>
                <w:sz w:val="24"/>
                <w:szCs w:val="24"/>
                <w:highlight w:val="none"/>
                <w:u w:val="single"/>
                <w:lang w:val="en-US" w:eastAsia="zh-CN"/>
              </w:rPr>
              <w:t>监测</w:t>
            </w:r>
            <w:r>
              <w:rPr>
                <w:rFonts w:hint="eastAsia" w:ascii="宋体" w:hAnsi="宋体" w:cs="宋体"/>
                <w:bCs/>
                <w:color w:val="auto"/>
                <w:sz w:val="24"/>
                <w:szCs w:val="24"/>
                <w:highlight w:val="none"/>
                <w:u w:val="single"/>
              </w:rPr>
              <w:t>项目且技术成果通过审批，检测工作进度必须满足现场施工和招标人的要求。</w:t>
            </w:r>
          </w:p>
        </w:tc>
      </w:tr>
      <w:tr>
        <w:tblPrEx>
          <w:tblCellMar>
            <w:top w:w="0" w:type="dxa"/>
            <w:left w:w="108" w:type="dxa"/>
            <w:bottom w:w="0" w:type="dxa"/>
            <w:right w:w="108" w:type="dxa"/>
          </w:tblCellMar>
        </w:tblPrEx>
        <w:trPr>
          <w:trHeight w:val="372"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1.3.3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609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符合国家及省、市有关检测标准。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投标人资质条件、能力、信誉</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（1）资质要求：</w:t>
            </w:r>
            <w:r>
              <w:rPr>
                <w:rFonts w:hint="eastAsia" w:ascii="宋体" w:hAnsi="宋体" w:cs="宋体"/>
                <w:color w:val="auto"/>
                <w:sz w:val="24"/>
                <w:szCs w:val="24"/>
                <w:highlight w:val="none"/>
                <w:u w:val="single"/>
              </w:rPr>
              <w:t>见招标公告投标人资格要求；</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（2）项目负责人要求：</w:t>
            </w:r>
            <w:r>
              <w:rPr>
                <w:rFonts w:hint="eastAsia" w:ascii="宋体" w:hAnsi="宋体" w:cs="宋体"/>
                <w:color w:val="auto"/>
                <w:sz w:val="24"/>
                <w:szCs w:val="24"/>
                <w:highlight w:val="none"/>
                <w:u w:val="single"/>
              </w:rPr>
              <w:t>见招标公告投标人资格要求；</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（3）其他要求：</w:t>
            </w:r>
            <w:r>
              <w:rPr>
                <w:rFonts w:hint="eastAsia" w:ascii="宋体" w:hAnsi="宋体" w:cs="宋体"/>
                <w:color w:val="auto"/>
                <w:sz w:val="24"/>
                <w:szCs w:val="24"/>
                <w:highlight w:val="none"/>
                <w:u w:val="single"/>
              </w:rPr>
              <w:t>见招标公告投标人资格要求。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是否接受联合体投标</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□不接受</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■接受，应满足下列要求：</w:t>
            </w:r>
            <w:r>
              <w:rPr>
                <w:rFonts w:hint="eastAsia" w:ascii="宋体" w:hAnsi="宋体" w:cs="宋体"/>
                <w:color w:val="auto"/>
                <w:sz w:val="24"/>
                <w:szCs w:val="24"/>
                <w:highlight w:val="none"/>
                <w:u w:val="single"/>
              </w:rPr>
              <w:t>见招标公告投标人资格要求。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投标人不得存在的其他情形</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1.9.1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rPr>
              <w:t>■不组织</w:t>
            </w:r>
            <w:r>
              <w:rPr>
                <w:rFonts w:hint="eastAsia" w:ascii="宋体" w:hAnsi="宋体" w:cs="宋体"/>
                <w:color w:val="auto"/>
                <w:sz w:val="24"/>
                <w:szCs w:val="24"/>
                <w:highlight w:val="none"/>
                <w:u w:val="single"/>
              </w:rPr>
              <w:t>，由投标人自行现场考察。</w:t>
            </w:r>
          </w:p>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□组织，踏勘时间：</w:t>
            </w:r>
            <w:r>
              <w:rPr>
                <w:rFonts w:hint="eastAsia" w:ascii="宋体" w:hAnsi="宋体" w:cs="宋体"/>
                <w:color w:val="auto"/>
                <w:sz w:val="24"/>
                <w:szCs w:val="24"/>
                <w:highlight w:val="none"/>
                <w:u w:val="single"/>
              </w:rPr>
              <w:t>/</w:t>
            </w:r>
          </w:p>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踏勘集中地点：</w:t>
            </w: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1.10.1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■不召开</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□召开，召开时间：</w:t>
            </w:r>
            <w:r>
              <w:rPr>
                <w:rFonts w:hint="eastAsia" w:ascii="宋体" w:hAnsi="宋体" w:cs="宋体"/>
                <w:color w:val="auto"/>
                <w:sz w:val="24"/>
                <w:szCs w:val="24"/>
                <w:highlight w:val="none"/>
                <w:u w:val="single"/>
              </w:rPr>
              <w:t>/</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召开地点：</w:t>
            </w: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1.10.2</w:t>
            </w:r>
          </w:p>
        </w:tc>
        <w:tc>
          <w:tcPr>
            <w:tcW w:w="2345"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投标人在投标预备会前提出问题</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2345"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1.10.3</w:t>
            </w:r>
          </w:p>
        </w:tc>
        <w:tc>
          <w:tcPr>
            <w:tcW w:w="2345" w:type="dxa"/>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招标文件澄清发出的形式</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1.12.1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实质性要求和条件</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1.12.3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偏差</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■不允许</w:t>
            </w:r>
          </w:p>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□允许，偏差范围：</w:t>
            </w:r>
            <w:r>
              <w:rPr>
                <w:rFonts w:hint="eastAsia" w:ascii="宋体" w:hAnsi="宋体" w:cs="宋体"/>
                <w:color w:val="auto"/>
                <w:sz w:val="24"/>
                <w:szCs w:val="24"/>
                <w:highlight w:val="none"/>
                <w:u w:val="single"/>
              </w:rPr>
              <w:t>/</w:t>
            </w:r>
          </w:p>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偏差幅度：</w:t>
            </w: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构成招标文件的其他资料</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2.2.1</w:t>
            </w:r>
          </w:p>
        </w:tc>
        <w:tc>
          <w:tcPr>
            <w:tcW w:w="2345"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投标人要求澄清招标文件</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在提交投标文件截止时间18天前提出。</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2345"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投标人的疑问通过广州公共资源交易中心数字交易平台提交。具体操作方法详见广州公共资源交易中心网站发布的《建设工程全流程电子化项目操作指南》。</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2.2.2</w:t>
            </w:r>
          </w:p>
        </w:tc>
        <w:tc>
          <w:tcPr>
            <w:tcW w:w="2345" w:type="dxa"/>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招标文件澄清发出的形式</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在递交投标文件截止时间15天前；在广州公共资源交易中心网站通过项目答疑专区网上公开发布。</w:t>
            </w:r>
          </w:p>
        </w:tc>
      </w:tr>
      <w:tr>
        <w:tblPrEx>
          <w:tblCellMar>
            <w:top w:w="0" w:type="dxa"/>
            <w:left w:w="108" w:type="dxa"/>
            <w:bottom w:w="0" w:type="dxa"/>
            <w:right w:w="108" w:type="dxa"/>
          </w:tblCellMar>
        </w:tblPrEx>
        <w:trPr>
          <w:trHeight w:val="90" w:hRule="atLeast"/>
        </w:trPr>
        <w:tc>
          <w:tcPr>
            <w:tcW w:w="11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2.2.3</w:t>
            </w:r>
          </w:p>
        </w:tc>
        <w:tc>
          <w:tcPr>
            <w:tcW w:w="234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投标人确认收到招标文件澄清</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发出即视作收到。</w:t>
            </w:r>
          </w:p>
        </w:tc>
      </w:tr>
      <w:tr>
        <w:tblPrEx>
          <w:tblCellMar>
            <w:top w:w="0" w:type="dxa"/>
            <w:left w:w="108" w:type="dxa"/>
            <w:bottom w:w="0" w:type="dxa"/>
            <w:right w:w="108" w:type="dxa"/>
          </w:tblCellMar>
        </w:tblPrEx>
        <w:trPr>
          <w:trHeight w:val="247"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234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招标文件澄清（招标答疑纪要）一经在广州公共资源交易中心网站发布，视作已发放给所有投标人。</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2.3.1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招标文件修改发出的形式</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以补充公告或项目答疑澄清的方式在广州公共资源交易中心网站发布。</w:t>
            </w:r>
          </w:p>
        </w:tc>
      </w:tr>
      <w:tr>
        <w:tblPrEx>
          <w:tblCellMar>
            <w:top w:w="0" w:type="dxa"/>
            <w:left w:w="108" w:type="dxa"/>
            <w:bottom w:w="0" w:type="dxa"/>
            <w:right w:w="108" w:type="dxa"/>
          </w:tblCellMar>
        </w:tblPrEx>
        <w:trPr>
          <w:trHeight w:val="578" w:hRule="atLeast"/>
        </w:trPr>
        <w:tc>
          <w:tcPr>
            <w:tcW w:w="11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2.3.2</w:t>
            </w:r>
          </w:p>
        </w:tc>
        <w:tc>
          <w:tcPr>
            <w:tcW w:w="234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投标人确认收到招标文件修改</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发出即视作收到。</w:t>
            </w:r>
          </w:p>
        </w:tc>
      </w:tr>
      <w:tr>
        <w:tblPrEx>
          <w:tblCellMar>
            <w:top w:w="0" w:type="dxa"/>
            <w:left w:w="108" w:type="dxa"/>
            <w:bottom w:w="0" w:type="dxa"/>
            <w:right w:w="108" w:type="dxa"/>
          </w:tblCellMar>
        </w:tblPrEx>
        <w:trPr>
          <w:trHeight w:val="890"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234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招标文件修改一经在广州公共资源交易中心网站发布，视作已发放给所有投标人，无需确认。潜在投标人应自行关注招标公告公布的网站公告，投标人因自身贻误行为导致投标失败的，责任自负。</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3.1.1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构成投标文件的其他资料</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满足本项目评审要求的其他资料</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3.2.1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增值税税金的计算方法</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按国家税务机关的规定执行。</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3.2.3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609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ind w:right="107" w:rightChars="51"/>
              <w:rPr>
                <w:color w:val="auto"/>
                <w:highlight w:val="none"/>
              </w:rPr>
            </w:pPr>
            <w:r>
              <w:rPr>
                <w:rFonts w:hint="eastAsia" w:ascii="宋体" w:hAnsi="宋体" w:cs="宋体"/>
                <w:color w:val="auto"/>
                <w:sz w:val="24"/>
                <w:szCs w:val="24"/>
                <w:highlight w:val="none"/>
                <w:u w:val="single"/>
              </w:rPr>
              <w:t>自行报价（以元为单位，精确到小数位后2位）。投标报价不得超过最高投标限价，由投标人根据招标文件要求以及企业自身情况填写报价。</w:t>
            </w:r>
          </w:p>
          <w:p>
            <w:pPr>
              <w:pStyle w:val="2"/>
              <w:ind w:firstLine="0"/>
              <w:rPr>
                <w:rFonts w:hint="default" w:eastAsia="宋体"/>
                <w:color w:val="auto"/>
                <w:highlight w:val="none"/>
                <w:lang w:val="en-US" w:eastAsia="zh-CN"/>
              </w:rPr>
            </w:pPr>
            <w:r>
              <w:rPr>
                <w:rFonts w:hint="eastAsia" w:ascii="宋体" w:hAnsi="宋体" w:cs="宋体"/>
                <w:color w:val="auto"/>
                <w:sz w:val="24"/>
                <w:szCs w:val="24"/>
                <w:highlight w:val="none"/>
                <w:u w:val="single"/>
                <w:lang w:val="en-US" w:eastAsia="zh-CN"/>
              </w:rPr>
              <w:t>2、综合单价的计取应依据《关于印发〈广东省房屋建筑和市政工程质量安全检测收费指导价（第一批）〉、〈广东省既有房屋建筑安全性鉴定收费指导价〉的通知》（粤建检协〔2015〕8号）相适用的单价下浮40%后再乘以（1-投标下浮率）（投标下浮率＝1-投标报价/最高投标限价总价的百分比，下同）计算，上述计费文件没有的单价，按以下优先顺序参照《关于建筑工程质量检测收费问题的复函》（粤价函〔2004〕428号）、粤价函〔2012〕1490号文件、勘察设计收费标准〔2002〕10号文件相适用的单价下浮40%后再乘以（1-投标下浮率），上述计费文件均没有的单价，按由甲乙双方参照市场价格协商确定。最终结算</w:t>
            </w:r>
            <w:r>
              <w:rPr>
                <w:rFonts w:hint="eastAsia" w:ascii="宋体" w:hAnsi="宋体" w:eastAsia="宋体" w:cs="宋体"/>
                <w:color w:val="auto"/>
                <w:sz w:val="24"/>
                <w:szCs w:val="24"/>
                <w:highlight w:val="none"/>
                <w:u w:val="single"/>
              </w:rPr>
              <w:t>以</w:t>
            </w:r>
            <w:r>
              <w:rPr>
                <w:rFonts w:hint="eastAsia" w:ascii="宋体" w:hAnsi="宋体" w:eastAsia="宋体" w:cs="宋体"/>
                <w:color w:val="auto"/>
                <w:sz w:val="24"/>
                <w:szCs w:val="24"/>
                <w:highlight w:val="none"/>
                <w:u w:val="single"/>
                <w:lang w:val="en-US" w:eastAsia="zh-CN"/>
              </w:rPr>
              <w:t>政府或</w:t>
            </w:r>
            <w:r>
              <w:rPr>
                <w:rFonts w:hint="eastAsia" w:ascii="宋体" w:hAnsi="宋体" w:eastAsia="宋体" w:cs="宋体"/>
                <w:color w:val="auto"/>
                <w:sz w:val="24"/>
                <w:szCs w:val="24"/>
                <w:highlight w:val="none"/>
                <w:u w:val="single"/>
              </w:rPr>
              <w:t>甲方</w:t>
            </w:r>
            <w:r>
              <w:rPr>
                <w:rFonts w:hint="eastAsia" w:ascii="宋体" w:hAnsi="宋体" w:eastAsia="宋体" w:cs="宋体"/>
                <w:color w:val="auto"/>
                <w:sz w:val="24"/>
                <w:szCs w:val="24"/>
                <w:highlight w:val="none"/>
                <w:u w:val="single"/>
                <w:lang w:eastAsia="zh-CN"/>
              </w:rPr>
              <w:t>的</w:t>
            </w:r>
            <w:r>
              <w:rPr>
                <w:rFonts w:hint="eastAsia" w:ascii="宋体" w:hAnsi="宋体" w:eastAsia="宋体" w:cs="宋体"/>
                <w:color w:val="auto"/>
                <w:sz w:val="24"/>
                <w:szCs w:val="24"/>
                <w:highlight w:val="none"/>
                <w:u w:val="single"/>
                <w:lang w:val="en-US" w:eastAsia="zh-CN"/>
              </w:rPr>
              <w:t>终审部门</w:t>
            </w:r>
            <w:r>
              <w:rPr>
                <w:rFonts w:hint="eastAsia" w:ascii="宋体" w:hAnsi="宋体" w:eastAsia="宋体" w:cs="宋体"/>
                <w:color w:val="auto"/>
                <w:sz w:val="24"/>
                <w:szCs w:val="24"/>
                <w:highlight w:val="none"/>
                <w:u w:val="single"/>
              </w:rPr>
              <w:t>审定</w:t>
            </w:r>
            <w:r>
              <w:rPr>
                <w:rFonts w:hint="eastAsia" w:ascii="宋体" w:hAnsi="宋体" w:cs="宋体"/>
                <w:color w:val="auto"/>
                <w:sz w:val="24"/>
                <w:szCs w:val="24"/>
                <w:highlight w:val="none"/>
                <w:u w:val="single"/>
                <w:lang w:val="en-US" w:eastAsia="zh-CN"/>
              </w:rPr>
              <w:t>为准，结算金额不得超过投标报价的10%，并不得超过概算批复的金额。</w:t>
            </w:r>
          </w:p>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结算方式：按合同约定执行。</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3.2.4</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□无</w:t>
            </w:r>
          </w:p>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rPr>
              <w:t>■有，最高投标限价：</w:t>
            </w:r>
            <w:r>
              <w:rPr>
                <w:rFonts w:hint="eastAsia" w:ascii="宋体" w:hAnsi="宋体" w:cs="宋体"/>
                <w:bCs/>
                <w:color w:val="auto"/>
                <w:sz w:val="24"/>
                <w:highlight w:val="none"/>
                <w:u w:val="single"/>
              </w:rPr>
              <w:t>24000000</w:t>
            </w:r>
            <w:r>
              <w:rPr>
                <w:rFonts w:hint="eastAsia" w:ascii="宋体" w:hAnsi="宋体" w:cs="宋体"/>
                <w:color w:val="auto"/>
                <w:sz w:val="24"/>
                <w:szCs w:val="24"/>
                <w:highlight w:val="none"/>
                <w:u w:val="single"/>
              </w:rPr>
              <w:t>元</w:t>
            </w:r>
            <w:r>
              <w:rPr>
                <w:rFonts w:hint="eastAsia" w:ascii="宋体" w:hAnsi="宋体" w:cs="宋体"/>
                <w:color w:val="auto"/>
                <w:sz w:val="24"/>
                <w:szCs w:val="24"/>
                <w:highlight w:val="non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3.2.5</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投标报价的其他要求</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3.3.1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日历天</w:t>
            </w:r>
            <w:r>
              <w:rPr>
                <w:rFonts w:hint="eastAsia" w:ascii="宋体" w:hAnsi="宋体" w:cs="宋体"/>
                <w:color w:val="auto"/>
                <w:sz w:val="24"/>
                <w:szCs w:val="24"/>
                <w:highlight w:val="none"/>
                <w:u w:val="single"/>
              </w:rPr>
              <w:t>（从提交投标截止之日起计算）。</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3.4.1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是否要求投标人递交投标保证金：</w:t>
            </w:r>
          </w:p>
          <w:p>
            <w:pPr>
              <w:topLinePunct/>
              <w:snapToGrid w:val="0"/>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rPr>
              <w:t>□要求</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■不要求。</w:t>
            </w:r>
            <w:r>
              <w:rPr>
                <w:rFonts w:hint="eastAsia" w:ascii="宋体" w:hAnsi="宋体" w:cs="宋体"/>
                <w:color w:val="auto"/>
                <w:sz w:val="24"/>
                <w:highlight w:val="none"/>
              </w:rPr>
              <w:t>本项目不需要交纳投标保证金。</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3.4.4</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其他可以不予退还投标保证金的情形</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（本项目不要求递交投标保证金）</w:t>
            </w:r>
          </w:p>
        </w:tc>
      </w:tr>
      <w:tr>
        <w:tblPrEx>
          <w:tblCellMar>
            <w:top w:w="0" w:type="dxa"/>
            <w:left w:w="108" w:type="dxa"/>
            <w:bottom w:w="0" w:type="dxa"/>
            <w:right w:w="108" w:type="dxa"/>
          </w:tblCellMar>
        </w:tblPrEx>
        <w:trPr>
          <w:trHeight w:val="61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3.6.1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是否允许递交备选投标方案</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■不允许</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3.7.3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投标文件所附证书证件要求</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u w:val="single"/>
              </w:rPr>
              <w:t>证书证件需为清晰扫描件，并采用单位数字证书，按照招标文件要求在相应位置加盖电子印章。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3.7.3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投标文件签字或盖章要求</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投标人采用单位数字证书，按招标文件要求在相应位置加盖电子印章。投标文件中需个人签字或盖章的，应加盖个人电子印章或在线下完成后扫描上传。按照交易平台关于全流程电子化项目的相关指南进行操作，联合体投标的，除《联合体协议书》应由联合体各方在规定的盖章处加盖企业公章外，投标文件其他内容中的“投标人”、“投标单位”、“声明企业”等应填写联合体各方的单位全称[格式为：（主）XXXX公司（成）XXXX公司]，由联合体主办方按格式规定盖章、签字即可。</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4.1.1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网上递交的电子投标文件须进行加密。具体操作详见</w:t>
            </w:r>
            <w:r>
              <w:rPr>
                <w:rFonts w:hint="eastAsia" w:ascii="宋体" w:hAnsi="宋体" w:cs="宋体"/>
                <w:bCs/>
                <w:color w:val="auto"/>
                <w:sz w:val="24"/>
                <w:szCs w:val="24"/>
                <w:highlight w:val="none"/>
                <w:u w:val="single"/>
              </w:rPr>
              <w:t>《建设工程全流程电子化项目操作指南》。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4.1.2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封套上应载明的信息</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napToGrid w:val="0"/>
              <w:spacing w:line="360" w:lineRule="auto"/>
              <w:ind w:right="174" w:rightChars="83"/>
              <w:rPr>
                <w:rFonts w:ascii="宋体" w:hAnsi="宋体" w:cs="宋体"/>
                <w:color w:val="auto"/>
                <w:sz w:val="24"/>
                <w:szCs w:val="24"/>
                <w:highlight w:val="none"/>
              </w:rPr>
            </w:pPr>
            <w:r>
              <w:rPr>
                <w:rFonts w:hint="eastAsia" w:ascii="宋体" w:hAnsi="宋体" w:cs="宋体"/>
                <w:color w:val="auto"/>
                <w:sz w:val="24"/>
                <w:szCs w:val="24"/>
                <w:highlight w:val="none"/>
              </w:rPr>
              <w:t>如有提交投标文件光盘备用，封套上应注明如下信息：</w:t>
            </w:r>
          </w:p>
          <w:p>
            <w:pPr>
              <w:topLinePunct/>
              <w:snapToGrid w:val="0"/>
              <w:spacing w:line="360" w:lineRule="auto"/>
              <w:ind w:right="174" w:rightChars="83"/>
              <w:rPr>
                <w:rFonts w:ascii="宋体" w:hAnsi="宋体" w:cs="宋体"/>
                <w:color w:val="auto"/>
                <w:sz w:val="24"/>
                <w:szCs w:val="24"/>
                <w:highlight w:val="none"/>
                <w:u w:val="single"/>
              </w:rPr>
            </w:pPr>
            <w:r>
              <w:rPr>
                <w:rFonts w:hint="eastAsia" w:ascii="宋体" w:hAnsi="宋体" w:cs="宋体"/>
                <w:color w:val="auto"/>
                <w:sz w:val="24"/>
                <w:szCs w:val="24"/>
                <w:highlight w:val="none"/>
              </w:rPr>
              <w:t>招标人名称：</w:t>
            </w:r>
            <w:r>
              <w:rPr>
                <w:rFonts w:hint="eastAsia" w:ascii="宋体" w:hAnsi="宋体" w:cs="宋体"/>
                <w:color w:val="auto"/>
                <w:sz w:val="24"/>
                <w:szCs w:val="24"/>
                <w:highlight w:val="none"/>
                <w:u w:val="single"/>
              </w:rPr>
              <w:t>广东省人民医院</w:t>
            </w:r>
          </w:p>
          <w:p>
            <w:pPr>
              <w:topLinePunct/>
              <w:snapToGrid w:val="0"/>
              <w:spacing w:line="360" w:lineRule="auto"/>
              <w:ind w:right="174" w:rightChars="83"/>
              <w:rPr>
                <w:rFonts w:ascii="宋体" w:hAnsi="宋体" w:cs="宋体"/>
                <w:color w:val="auto"/>
                <w:sz w:val="24"/>
                <w:szCs w:val="24"/>
                <w:highlight w:val="none"/>
                <w:u w:val="single"/>
              </w:rPr>
            </w:pPr>
            <w:r>
              <w:rPr>
                <w:rFonts w:hint="eastAsia" w:ascii="宋体" w:hAnsi="宋体" w:cs="宋体"/>
                <w:color w:val="auto"/>
                <w:sz w:val="24"/>
                <w:szCs w:val="24"/>
                <w:highlight w:val="none"/>
              </w:rPr>
              <w:t>招标人地址：</w:t>
            </w:r>
            <w:r>
              <w:rPr>
                <w:rFonts w:hint="eastAsia" w:ascii="宋体" w:hAnsi="宋体" w:cs="宋体"/>
                <w:color w:val="auto"/>
                <w:sz w:val="24"/>
                <w:highlight w:val="none"/>
                <w:u w:val="single"/>
              </w:rPr>
              <w:t>广东省广州越秀区中山二路106号</w:t>
            </w:r>
          </w:p>
          <w:p>
            <w:pPr>
              <w:topLinePunct/>
              <w:snapToGrid w:val="0"/>
              <w:spacing w:line="360" w:lineRule="auto"/>
              <w:ind w:right="174" w:rightChars="83"/>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广东省人民医院白云院区项目第三方检测监测服务投标文件</w:t>
            </w:r>
          </w:p>
          <w:p>
            <w:pPr>
              <w:topLinePunct/>
              <w:snapToGrid w:val="0"/>
              <w:spacing w:line="360" w:lineRule="auto"/>
              <w:ind w:right="174" w:rightChars="83"/>
              <w:rPr>
                <w:rFonts w:ascii="宋体" w:hAnsi="宋体" w:cs="宋体"/>
                <w:color w:val="auto"/>
                <w:sz w:val="24"/>
                <w:szCs w:val="24"/>
                <w:highlight w:val="none"/>
              </w:rPr>
            </w:pPr>
            <w:r>
              <w:rPr>
                <w:rFonts w:hint="eastAsia" w:ascii="宋体" w:hAnsi="宋体" w:cs="宋体"/>
                <w:color w:val="auto"/>
                <w:sz w:val="24"/>
                <w:szCs w:val="24"/>
                <w:highlight w:val="none"/>
              </w:rPr>
              <w:t xml:space="preserve">招标项目编号：           </w:t>
            </w:r>
          </w:p>
          <w:p>
            <w:pPr>
              <w:topLinePunct/>
              <w:snapToGrid w:val="0"/>
              <w:spacing w:line="360" w:lineRule="auto"/>
              <w:ind w:right="174" w:rightChars="83"/>
              <w:rPr>
                <w:rFonts w:ascii="宋体" w:hAnsi="宋体" w:cs="宋体"/>
                <w:color w:val="auto"/>
                <w:sz w:val="24"/>
                <w:szCs w:val="24"/>
                <w:highlight w:val="none"/>
              </w:rPr>
            </w:pPr>
            <w:r>
              <w:rPr>
                <w:rFonts w:hint="eastAsia" w:ascii="宋体" w:hAnsi="宋体" w:cs="宋体"/>
                <w:color w:val="auto"/>
                <w:sz w:val="24"/>
                <w:szCs w:val="24"/>
                <w:highlight w:val="none"/>
              </w:rPr>
              <w:t>在年月日时前不得开启</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4.2.1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投标截止时间</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投标截止时间：</w:t>
            </w:r>
            <w:r>
              <w:rPr>
                <w:rFonts w:hint="eastAsia" w:ascii="宋体" w:hAnsi="宋体" w:cs="宋体"/>
                <w:color w:val="auto"/>
                <w:sz w:val="24"/>
                <w:szCs w:val="24"/>
                <w:highlight w:val="none"/>
                <w:u w:val="single"/>
              </w:rPr>
              <w:t xml:space="preserve"> 2023 </w:t>
            </w:r>
            <w:r>
              <w:rPr>
                <w:rFonts w:hint="eastAsia" w:ascii="宋体" w:hAnsi="宋体" w:cs="宋体"/>
                <w:color w:val="auto"/>
                <w:sz w:val="24"/>
                <w:szCs w:val="24"/>
                <w:highlight w:val="none"/>
              </w:rPr>
              <w:t>年月日时分（北京时间</w:t>
            </w:r>
            <w:r>
              <w:rPr>
                <w:rFonts w:hint="eastAsia" w:ascii="宋体" w:hAnsi="宋体" w:cs="宋体"/>
                <w:color w:val="auto"/>
                <w:sz w:val="24"/>
                <w:szCs w:val="24"/>
                <w:highlight w:val="none"/>
                <w:u w:val="single"/>
              </w:rPr>
              <w:t>，详见广州公共资源交易中心网站信息</w:t>
            </w:r>
            <w:r>
              <w:rPr>
                <w:rFonts w:hint="eastAsia" w:ascii="宋体" w:hAnsi="宋体" w:cs="宋体"/>
                <w:color w:val="auto"/>
                <w:sz w:val="24"/>
                <w:szCs w:val="24"/>
                <w:highlight w:val="none"/>
              </w:rPr>
              <w:t>）</w:t>
            </w:r>
          </w:p>
        </w:tc>
      </w:tr>
      <w:tr>
        <w:tblPrEx>
          <w:tblCellMar>
            <w:top w:w="0" w:type="dxa"/>
            <w:left w:w="108" w:type="dxa"/>
            <w:bottom w:w="0" w:type="dxa"/>
            <w:right w:w="108" w:type="dxa"/>
          </w:tblCellMar>
        </w:tblPrEx>
        <w:trPr>
          <w:trHeight w:val="3833"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4.2.2</w:t>
            </w:r>
          </w:p>
        </w:tc>
        <w:tc>
          <w:tcPr>
            <w:tcW w:w="2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递交电子投标文件交易平台</w:t>
            </w:r>
          </w:p>
        </w:tc>
        <w:tc>
          <w:tcPr>
            <w:tcW w:w="60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1.递交方式：网上递交投标文件 </w:t>
            </w:r>
          </w:p>
          <w:p>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2.递交投标文件的起始时间：（详见广州公共资源交易中心网站信息）。</w:t>
            </w:r>
          </w:p>
          <w:p>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截止时间：（详见广州公共资源交易中心网站信息）</w:t>
            </w:r>
          </w:p>
          <w:p>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3.地点：广州公共资源交易中心网站。 </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4.上述时间及地点是否有改变，请密切留意招标答疑中的相关信息。也可登录广州公共资源交易中心网站首页，点击“项目查询（日程安排、答疑纪要）”专栏中的“项目查询”，输入项目编号或项目名称查询最新信息。</w:t>
            </w:r>
          </w:p>
        </w:tc>
      </w:tr>
      <w:tr>
        <w:tblPrEx>
          <w:tblCellMar>
            <w:top w:w="0" w:type="dxa"/>
            <w:left w:w="108" w:type="dxa"/>
            <w:bottom w:w="0" w:type="dxa"/>
            <w:right w:w="108" w:type="dxa"/>
          </w:tblCellMar>
        </w:tblPrEx>
        <w:trPr>
          <w:trHeight w:val="987"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4.2.3</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投标文件是否退还</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■否</w:t>
            </w:r>
          </w:p>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□是，退还时间：</w:t>
            </w:r>
          </w:p>
        </w:tc>
      </w:tr>
      <w:tr>
        <w:tblPrEx>
          <w:tblCellMar>
            <w:top w:w="0" w:type="dxa"/>
            <w:left w:w="108" w:type="dxa"/>
            <w:bottom w:w="0" w:type="dxa"/>
            <w:right w:w="108" w:type="dxa"/>
          </w:tblCellMar>
        </w:tblPrEx>
        <w:trPr>
          <w:trHeight w:val="2682"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5.1（修改）</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开标时间和地点</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本电子招投标项目在本章4.2.1项规定的投标截止时间（开标时间），在广州公共资源交易中心公开开标，并邀请所有投标人的法定代表人（单位负责人）或其委托代理人准时参加。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5.2（新增）</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电子招投标项目开标按下列程序进行：</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5.2.1主持人按下列程序进行开标：</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（1）宣布开标纪律；</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（4）投标人通过电子招标投标交易平台对已递交的电子投标文件进行解密，公布招标项目名称、投标人名称、投标报价、检测服务期限及其他内容，并记录在案；</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（5）投标人代表、招标人代表、监标人、记录人等有关人员在开标记录上签字确认；若有关人员不签字的，不影响开标程序；</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（6）开标结束。</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5.2.2投标截止时间前未完成投标文件传输的或因投标人之外的原因造成投标文件未解密的，视为投标人其撤回投标文件。因投标人原因造成投标文件未解密的或未在投标截止时间后</w:t>
            </w:r>
            <w:r>
              <w:rPr>
                <w:rFonts w:hint="eastAsia" w:ascii="宋体" w:hAnsi="宋体" w:cs="宋体"/>
                <w:color w:val="auto"/>
                <w:sz w:val="24"/>
                <w:szCs w:val="24"/>
                <w:highlight w:val="none"/>
                <w:u w:val="single"/>
              </w:rPr>
              <w:t>半小时内</w:t>
            </w:r>
            <w:r>
              <w:rPr>
                <w:rFonts w:hint="eastAsia" w:ascii="宋体" w:hAnsi="宋体" w:cs="宋体"/>
                <w:color w:val="auto"/>
                <w:sz w:val="24"/>
                <w:szCs w:val="24"/>
                <w:highlight w:val="none"/>
              </w:rPr>
              <w:t>解密的，视为撤销其投标文件。</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tc>
      </w:tr>
      <w:tr>
        <w:tblPrEx>
          <w:tblCellMar>
            <w:top w:w="0" w:type="dxa"/>
            <w:left w:w="108" w:type="dxa"/>
            <w:bottom w:w="0" w:type="dxa"/>
            <w:right w:w="108" w:type="dxa"/>
          </w:tblCellMar>
        </w:tblPrEx>
        <w:trPr>
          <w:trHeight w:val="59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6.1.1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由招标人依法组建。</w:t>
            </w:r>
          </w:p>
        </w:tc>
      </w:tr>
      <w:tr>
        <w:tblPrEx>
          <w:tblCellMar>
            <w:top w:w="0" w:type="dxa"/>
            <w:left w:w="108" w:type="dxa"/>
            <w:bottom w:w="0" w:type="dxa"/>
            <w:right w:w="108" w:type="dxa"/>
          </w:tblCellMar>
        </w:tblPrEx>
        <w:trPr>
          <w:trHeight w:val="552"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6.3.2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评标委员会推荐中标候选人的人数</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推荐3名中标候选人。</w:t>
            </w:r>
          </w:p>
        </w:tc>
      </w:tr>
      <w:tr>
        <w:tblPrEx>
          <w:tblCellMar>
            <w:top w:w="0" w:type="dxa"/>
            <w:left w:w="108" w:type="dxa"/>
            <w:bottom w:w="0" w:type="dxa"/>
            <w:right w:w="108" w:type="dxa"/>
          </w:tblCellMar>
        </w:tblPrEx>
        <w:trPr>
          <w:trHeight w:val="2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中标候选人公示媒介及期限</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公示媒介：</w:t>
            </w:r>
            <w:r>
              <w:rPr>
                <w:rFonts w:hint="eastAsia" w:ascii="宋体" w:hAnsi="宋体" w:cs="宋体"/>
                <w:color w:val="auto"/>
                <w:sz w:val="24"/>
                <w:szCs w:val="24"/>
                <w:highlight w:val="none"/>
                <w:u w:val="single"/>
              </w:rPr>
              <w:t>中国招标投标公共服务平台、广东省招标投标监管网、广州公共资源交易网</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公示期限：</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日</w:t>
            </w:r>
          </w:p>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CellMar>
            <w:top w:w="0" w:type="dxa"/>
            <w:left w:w="108" w:type="dxa"/>
            <w:bottom w:w="0" w:type="dxa"/>
            <w:right w:w="108" w:type="dxa"/>
          </w:tblCellMar>
        </w:tblPrEx>
        <w:trPr>
          <w:trHeight w:val="732"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7.4</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是否授权评标委员会确定中标人</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□是</w:t>
            </w:r>
          </w:p>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rPr>
              <w:t>■否</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7.6.1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6096" w:type="dxa"/>
            <w:tcBorders>
              <w:top w:val="single" w:color="auto" w:sz="4" w:space="0"/>
              <w:left w:val="single" w:color="auto" w:sz="4" w:space="0"/>
              <w:bottom w:val="single" w:color="auto" w:sz="4" w:space="0"/>
              <w:right w:val="single" w:color="auto" w:sz="4" w:space="0"/>
            </w:tcBorders>
            <w:vAlign w:val="center"/>
          </w:tcPr>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是否要求中标人提交履约保证金：</w:t>
            </w:r>
          </w:p>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■要求，履约保证金的形式：需为中华人民共和国境内的银行分行或以上开具的无条件、不可撤销、见索即付银行保函。</w:t>
            </w:r>
          </w:p>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rPr>
              <w:t>履约保证金的金额：</w:t>
            </w:r>
            <w:r>
              <w:rPr>
                <w:rFonts w:hint="eastAsia" w:ascii="宋体" w:hAnsi="宋体" w:cs="宋体"/>
                <w:color w:val="auto"/>
                <w:sz w:val="24"/>
                <w:szCs w:val="24"/>
                <w:highlight w:val="none"/>
                <w:u w:val="single"/>
              </w:rPr>
              <w:t>中标合同金额的5%。</w:t>
            </w:r>
          </w:p>
          <w:p>
            <w:pPr>
              <w:spacing w:line="360" w:lineRule="auto"/>
              <w:ind w:right="107" w:rightChars="5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联合体投标的由联合体牵头方牵头办理。</w:t>
            </w:r>
          </w:p>
          <w:p>
            <w:pPr>
              <w:topLinePunct/>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是否采用电子招标投标</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□否</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■是，具体要求：</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1、具体操作详见</w:t>
            </w:r>
            <w:r>
              <w:rPr>
                <w:rFonts w:hint="eastAsia" w:ascii="宋体" w:hAnsi="宋体" w:cs="宋体"/>
                <w:b/>
                <w:color w:val="auto"/>
                <w:sz w:val="24"/>
                <w:szCs w:val="24"/>
                <w:highlight w:val="none"/>
                <w:u w:val="single"/>
              </w:rPr>
              <w:t>《建设工程全流程电子化项目操作指南》，</w:t>
            </w:r>
            <w:r>
              <w:rPr>
                <w:rFonts w:hint="eastAsia" w:ascii="宋体" w:hAnsi="宋体" w:cs="宋体"/>
                <w:color w:val="auto"/>
                <w:sz w:val="24"/>
                <w:szCs w:val="24"/>
                <w:highlight w:val="none"/>
              </w:rPr>
              <w:t>投标文件应按《建设工程全流程电子化项目操作指南》编制。如不按上述要求编制引起系统无法检索、读取相关信息的，其后果由投标人承担。</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2、提交投标文件光盘备用</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（1）投标人将按</w:t>
            </w:r>
            <w:r>
              <w:rPr>
                <w:rFonts w:hint="eastAsia" w:ascii="宋体" w:hAnsi="宋体" w:cs="宋体"/>
                <w:b/>
                <w:color w:val="auto"/>
                <w:sz w:val="24"/>
                <w:szCs w:val="24"/>
                <w:highlight w:val="none"/>
              </w:rPr>
              <w:t>《建设工程全流程电子化项目操作指南》</w:t>
            </w:r>
            <w:r>
              <w:rPr>
                <w:rFonts w:hint="eastAsia" w:ascii="宋体" w:hAnsi="宋体" w:cs="宋体"/>
                <w:color w:val="auto"/>
                <w:sz w:val="24"/>
                <w:szCs w:val="24"/>
                <w:highlight w:val="none"/>
              </w:rPr>
              <w:t>的操作方法制作非加密的电子投标文件刻入光盘（1份），在截至投标前15分钟提交至开标现场，</w:t>
            </w:r>
            <w:r>
              <w:rPr>
                <w:rFonts w:hint="eastAsia" w:ascii="宋体" w:hAnsi="宋体" w:cs="宋体"/>
                <w:b/>
                <w:bCs/>
                <w:color w:val="auto"/>
                <w:sz w:val="24"/>
                <w:szCs w:val="24"/>
                <w:highlight w:val="none"/>
              </w:rPr>
              <w:t>投标人应凭法定代表人证明书及法定代表人授权委托书（授权代表递交时出具）递交投标文件备用光盘，并出示本人身份证原件。</w:t>
            </w:r>
            <w:r>
              <w:rPr>
                <w:rFonts w:hint="eastAsia" w:ascii="宋体" w:hAnsi="宋体" w:cs="宋体"/>
                <w:color w:val="auto"/>
                <w:sz w:val="24"/>
                <w:szCs w:val="24"/>
                <w:highlight w:val="none"/>
              </w:rPr>
              <w:t>刻录好的投标文件光盘密封在密封袋中，并在封口处加盖投标人单位公章。密封袋上应写明项目名称和招标人名称。</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递交的投标文件（光盘）不得加密。光盘（投标文件）无法读取或导入的，则视为未提交备用投标文件光盘。如果投标人没有按规定通过交易平台网上递交电子投标文件的，不再接受提交的光盘。投标人可选择不提交光盘备用。</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3、补救方案</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（1）投标文件解密失败的补救方案：</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（2）评标时突发情况的补救方案</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若遇不可抗力发生（如：网络瘫痪、服务器损坏、交易系统故障短期无法恢复等因素），由评标委员会开启投标人递交的全部投标文件光盘，并按光盘内容进行评审。</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（3）除发生上述情况外，开标评标均以投标人通过交易平台网上递交的电子投标文件为准。</w:t>
            </w:r>
          </w:p>
        </w:tc>
      </w:tr>
      <w:tr>
        <w:tblPrEx>
          <w:tblCellMar>
            <w:top w:w="0" w:type="dxa"/>
            <w:left w:w="108" w:type="dxa"/>
            <w:bottom w:w="0" w:type="dxa"/>
            <w:right w:w="108" w:type="dxa"/>
          </w:tblCellMar>
        </w:tblPrEx>
        <w:trPr>
          <w:trHeight w:val="519" w:hRule="atLeast"/>
        </w:trPr>
        <w:tc>
          <w:tcPr>
            <w:tcW w:w="116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844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需要补充的其他内容</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特别提示</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投标人在本项目招标人的工程项目中存在下列行为的，将被拒绝一年内参与我单位后续工程投标。（注：拒绝投标时限由招标人视严重程度确定，最低三个月起，自招标人发出通知之日起计）：</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（3）存在围标或串标情形的；</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（4）在投标文件中提供虚假材料的；</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（5）存在行贿情形的;</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（6）拖欠农民工工资的；</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（7）出具虚假检测报告,检测报告或检测结论与实际严重不符的；</w:t>
            </w:r>
          </w:p>
          <w:p>
            <w:pPr>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（8）为招标人提供检测服务过程中存在因过错行为被生效法律文书认定承担违约或侵权责任的；</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10.2</w:t>
            </w:r>
          </w:p>
        </w:tc>
        <w:tc>
          <w:tcPr>
            <w:tcW w:w="23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送达</w:t>
            </w:r>
          </w:p>
        </w:tc>
        <w:tc>
          <w:tcPr>
            <w:tcW w:w="609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107" w:rightChars="51"/>
              <w:rPr>
                <w:rFonts w:ascii="宋体" w:hAnsi="宋体" w:cs="宋体"/>
                <w:color w:val="auto"/>
                <w:sz w:val="24"/>
                <w:szCs w:val="24"/>
                <w:highlight w:val="none"/>
              </w:rPr>
            </w:pPr>
            <w:r>
              <w:rPr>
                <w:rFonts w:hint="eastAsia" w:ascii="宋体" w:hAnsi="宋体" w:cs="宋体"/>
                <w:color w:val="auto"/>
                <w:sz w:val="24"/>
                <w:szCs w:val="24"/>
                <w:highlight w:val="none"/>
              </w:rPr>
              <w:t>《投诉处理决定书》和《行政处理决定书》在广州市住房和城乡建设局网站上公布的，视为送达其他与决定书有关的当事人。</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10.3</w:t>
            </w:r>
          </w:p>
        </w:tc>
        <w:tc>
          <w:tcPr>
            <w:tcW w:w="2345" w:type="dxa"/>
            <w:tcBorders>
              <w:top w:val="single" w:color="auto" w:sz="4" w:space="0"/>
              <w:left w:val="single" w:color="auto" w:sz="4" w:space="0"/>
              <w:bottom w:val="single" w:color="auto" w:sz="4" w:space="0"/>
              <w:right w:val="single" w:color="auto" w:sz="4" w:space="0"/>
            </w:tcBorders>
            <w:vAlign w:val="center"/>
          </w:tcPr>
          <w:p>
            <w:pPr>
              <w:shd w:val="clear" w:color="auto" w:fill="FFFFFF"/>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招标失败的情形</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74" w:rightChars="83"/>
              <w:rPr>
                <w:rFonts w:ascii="宋体" w:hAnsi="宋体" w:cs="宋体"/>
                <w:color w:val="auto"/>
                <w:sz w:val="24"/>
                <w:szCs w:val="24"/>
                <w:highlight w:val="none"/>
              </w:rPr>
            </w:pPr>
            <w:r>
              <w:rPr>
                <w:rFonts w:hint="eastAsia" w:ascii="宋体" w:hAnsi="宋体" w:cs="宋体"/>
                <w:color w:val="auto"/>
                <w:sz w:val="24"/>
                <w:szCs w:val="24"/>
                <w:highlight w:val="none"/>
              </w:rPr>
              <w:t>本项目采用资格后审方式，资格审查与评标同时进行，通过形式评审、资格审查、响应性评审的投标申请人不足3名时为本项目本次招标失败。招标人分析招标失败原因，修正招标方案，报有关管理部门核准后，重新组织招标。</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10.4</w:t>
            </w:r>
          </w:p>
        </w:tc>
        <w:tc>
          <w:tcPr>
            <w:tcW w:w="23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本项目设计、施工、监理单位</w:t>
            </w:r>
          </w:p>
        </w:tc>
        <w:tc>
          <w:tcPr>
            <w:tcW w:w="6096" w:type="dxa"/>
            <w:tcBorders>
              <w:top w:val="single" w:color="auto" w:sz="4" w:space="0"/>
              <w:left w:val="single" w:color="auto" w:sz="4" w:space="0"/>
              <w:bottom w:val="single" w:color="auto" w:sz="4" w:space="0"/>
              <w:right w:val="single" w:color="auto" w:sz="4" w:space="0"/>
            </w:tcBorders>
            <w:vAlign w:val="center"/>
          </w:tcPr>
          <w:p>
            <w:pPr>
              <w:pStyle w:val="17"/>
              <w:adjustRightInd w:val="0"/>
              <w:snapToGrid w:val="0"/>
              <w:spacing w:after="0" w:line="360" w:lineRule="auto"/>
              <w:ind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施工单位：中国建筑第八工程局有限公司</w:t>
            </w:r>
          </w:p>
          <w:p>
            <w:pPr>
              <w:pStyle w:val="17"/>
              <w:adjustRightInd w:val="0"/>
              <w:snapToGrid w:val="0"/>
              <w:spacing w:after="0" w:line="360" w:lineRule="auto"/>
              <w:ind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设计单位：广东省建筑设计研究院有限公司</w:t>
            </w:r>
          </w:p>
          <w:p>
            <w:pPr>
              <w:pStyle w:val="17"/>
              <w:adjustRightInd w:val="0"/>
              <w:snapToGrid w:val="0"/>
              <w:spacing w:after="0" w:line="360" w:lineRule="auto"/>
              <w:ind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监理单位：/</w:t>
            </w:r>
          </w:p>
        </w:tc>
      </w:tr>
      <w:tr>
        <w:tblPrEx>
          <w:tblCellMar>
            <w:top w:w="0" w:type="dxa"/>
            <w:left w:w="108" w:type="dxa"/>
            <w:bottom w:w="0" w:type="dxa"/>
            <w:right w:w="108" w:type="dxa"/>
          </w:tblCellMar>
        </w:tblPrEx>
        <w:trPr>
          <w:trHeight w:val="253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10.5</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ind w:right="174" w:rightChars="83"/>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ind w:right="174" w:rightChars="83"/>
              <w:rPr>
                <w:rFonts w:ascii="宋体" w:hAnsi="宋体" w:cs="宋体"/>
                <w:color w:val="auto"/>
                <w:sz w:val="24"/>
                <w:szCs w:val="24"/>
                <w:highlight w:val="none"/>
              </w:rPr>
            </w:pPr>
            <w:r>
              <w:rPr>
                <w:rFonts w:hint="eastAsia" w:ascii="宋体" w:hAnsi="宋体" w:cs="宋体"/>
                <w:color w:val="auto"/>
                <w:sz w:val="24"/>
                <w:szCs w:val="24"/>
                <w:highlight w:val="none"/>
              </w:rPr>
              <w:t>1、在产生中标候选人后，招标人将中标候选人的投标文件商务部分（包括人员、业绩、奖项等资料）在广州公共资源交易中心平台和广东省招标投标监管网公开。</w:t>
            </w:r>
          </w:p>
          <w:p>
            <w:pPr>
              <w:spacing w:line="360" w:lineRule="auto"/>
              <w:rPr>
                <w:rFonts w:ascii="宋体" w:hAnsi="宋体" w:cs="宋体"/>
                <w:b/>
                <w:color w:val="auto"/>
                <w:sz w:val="24"/>
                <w:szCs w:val="24"/>
                <w:highlight w:val="none"/>
              </w:rPr>
            </w:pPr>
            <w:r>
              <w:rPr>
                <w:rFonts w:hint="eastAsia" w:ascii="宋体" w:hAnsi="宋体" w:cs="宋体"/>
                <w:color w:val="auto"/>
                <w:kern w:val="0"/>
                <w:sz w:val="24"/>
                <w:szCs w:val="24"/>
                <w:highlight w:val="none"/>
              </w:rPr>
              <w:t>2、中标后，中标单位须提交与网上上传电子投标文件完全一致的纸质投标文件（一式四份，加盖公章）给招标单位。</w:t>
            </w:r>
          </w:p>
        </w:tc>
      </w:tr>
      <w:tr>
        <w:tblPrEx>
          <w:tblCellMar>
            <w:top w:w="0" w:type="dxa"/>
            <w:left w:w="108" w:type="dxa"/>
            <w:bottom w:w="0" w:type="dxa"/>
            <w:right w:w="108" w:type="dxa"/>
          </w:tblCellMar>
        </w:tblPrEx>
        <w:trPr>
          <w:trHeight w:val="196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10.6</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ind w:right="174" w:rightChars="83"/>
              <w:jc w:val="center"/>
              <w:rPr>
                <w:rFonts w:ascii="宋体" w:hAnsi="宋体" w:cs="宋体"/>
                <w:color w:val="auto"/>
                <w:sz w:val="24"/>
                <w:szCs w:val="24"/>
                <w:highlight w:val="none"/>
              </w:rPr>
            </w:pPr>
            <w:r>
              <w:rPr>
                <w:rFonts w:hint="eastAsia" w:ascii="宋体" w:hAnsi="宋体" w:cs="宋体"/>
                <w:color w:val="auto"/>
                <w:sz w:val="24"/>
                <w:szCs w:val="24"/>
                <w:highlight w:val="none"/>
              </w:rPr>
              <w:t>相关费用</w:t>
            </w:r>
          </w:p>
        </w:tc>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 w:val="24"/>
                <w:szCs w:val="24"/>
                <w:highlight w:val="none"/>
              </w:rPr>
            </w:pPr>
            <w:r>
              <w:rPr>
                <w:rFonts w:hint="eastAsia" w:ascii="宋体" w:hAnsi="宋体" w:cs="宋体"/>
                <w:bCs/>
                <w:color w:val="auto"/>
                <w:sz w:val="24"/>
                <w:szCs w:val="24"/>
                <w:highlight w:val="none"/>
                <w:u w:val="single"/>
              </w:rPr>
              <w:t>中标人</w:t>
            </w:r>
            <w:r>
              <w:rPr>
                <w:rFonts w:hint="eastAsia" w:ascii="宋体" w:hAnsi="宋体" w:cs="宋体"/>
                <w:color w:val="auto"/>
                <w:sz w:val="24"/>
                <w:szCs w:val="24"/>
                <w:highlight w:val="none"/>
                <w:u w:val="single"/>
              </w:rPr>
              <w:t>代缴广州公共资源交易中心交易服务费及支付招标代理费（按招标人与招标代理签订的合同约定执行），其费用包含在中标人报价中，由广州公共资源交易中心向中标人开具增值税发票。</w:t>
            </w:r>
          </w:p>
        </w:tc>
      </w:tr>
      <w:tr>
        <w:tblPrEx>
          <w:tblCellMar>
            <w:top w:w="0" w:type="dxa"/>
            <w:left w:w="108" w:type="dxa"/>
            <w:bottom w:w="0" w:type="dxa"/>
            <w:right w:w="108" w:type="dxa"/>
          </w:tblCellMar>
        </w:tblPrEx>
        <w:trPr>
          <w:trHeight w:val="2531"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10.7</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ind w:right="174" w:rightChars="83"/>
              <w:jc w:val="center"/>
              <w:rPr>
                <w:rFonts w:ascii="宋体" w:hAnsi="宋体" w:cs="宋体"/>
                <w:color w:val="auto"/>
                <w:sz w:val="24"/>
                <w:szCs w:val="24"/>
                <w:highlight w:val="none"/>
              </w:rPr>
            </w:pPr>
            <w:r>
              <w:rPr>
                <w:rFonts w:hint="eastAsia" w:ascii="宋体" w:hAnsi="宋体" w:cs="宋体"/>
                <w:color w:val="auto"/>
                <w:sz w:val="24"/>
                <w:szCs w:val="24"/>
                <w:highlight w:val="none"/>
              </w:rPr>
              <w:t>其他</w:t>
            </w:r>
          </w:p>
        </w:tc>
        <w:tc>
          <w:tcPr>
            <w:tcW w:w="6096"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rPr>
                <w:rFonts w:ascii="宋体" w:hAnsi="宋体"/>
                <w:color w:val="auto"/>
                <w:szCs w:val="21"/>
                <w:highlight w:val="none"/>
              </w:rPr>
            </w:pPr>
            <w:r>
              <w:rPr>
                <w:rFonts w:hint="eastAsia" w:ascii="宋体" w:hAnsi="宋体"/>
                <w:color w:val="auto"/>
                <w:szCs w:val="21"/>
                <w:highlight w:val="none"/>
              </w:rPr>
              <w:t>（1）中标人在发出中标通知书之日起十五个工作日内，应按照招标文件中提供的履约保证金保函格式或招标人可以接受的其它形式向招标人提交履约保证金。如发生违约可从履约保证金中扣除，于合同期满或合同中止后结算。</w:t>
            </w:r>
          </w:p>
          <w:p>
            <w:pPr>
              <w:adjustRightInd w:val="0"/>
              <w:spacing w:line="440" w:lineRule="exact"/>
              <w:rPr>
                <w:rFonts w:ascii="宋体" w:hAnsi="宋体"/>
                <w:color w:val="auto"/>
                <w:szCs w:val="21"/>
                <w:highlight w:val="none"/>
              </w:rPr>
            </w:pPr>
            <w:r>
              <w:rPr>
                <w:rFonts w:hint="eastAsia" w:ascii="宋体" w:hAnsi="宋体"/>
                <w:color w:val="auto"/>
                <w:szCs w:val="21"/>
                <w:highlight w:val="none"/>
              </w:rPr>
              <w:t>（2）如果中标人没有按招标文件规定签订合同并提交履约保证金，则视为自动放弃中标资格，给招标人造成的损失，中标人还应当予以赔偿。</w:t>
            </w:r>
          </w:p>
          <w:p>
            <w:pPr>
              <w:adjustRightInd w:val="0"/>
              <w:spacing w:line="440" w:lineRule="exact"/>
              <w:rPr>
                <w:rFonts w:ascii="宋体" w:hAnsi="宋体"/>
                <w:color w:val="auto"/>
                <w:szCs w:val="21"/>
                <w:highlight w:val="none"/>
              </w:rPr>
            </w:pPr>
            <w:r>
              <w:rPr>
                <w:rFonts w:hint="eastAsia" w:ascii="宋体" w:hAnsi="宋体"/>
                <w:color w:val="auto"/>
                <w:szCs w:val="21"/>
                <w:highlight w:val="none"/>
              </w:rPr>
              <w:t xml:space="preserve">（3）在中标人按合同要求全部完成规定的本项目，招标人将把履约保证金无息全额退还给中标人。 </w:t>
            </w:r>
          </w:p>
          <w:p>
            <w:pPr>
              <w:spacing w:line="360" w:lineRule="auto"/>
              <w:rPr>
                <w:rFonts w:ascii="宋体" w:hAnsi="宋体" w:cs="宋体"/>
                <w:color w:val="auto"/>
                <w:kern w:val="0"/>
                <w:sz w:val="24"/>
                <w:szCs w:val="24"/>
                <w:highlight w:val="none"/>
              </w:rPr>
            </w:pPr>
            <w:r>
              <w:rPr>
                <w:rFonts w:hint="eastAsia" w:ascii="宋体" w:hAnsi="宋体"/>
                <w:color w:val="auto"/>
                <w:szCs w:val="21"/>
                <w:highlight w:val="none"/>
              </w:rPr>
              <w:t xml:space="preserve">（4）中标人应在中标通知书发出之日起5个工作日内，按招标文件合同格式的要求完成合同文本编制，合同纸质版经盖章后，与电子版一并递交招标人审核；如出现中标人不能按期递交合同文本，可视为放弃中标资格，给招标人造成的损失，中标人还应当予以赔偿。招标人可以重新开展采购活动，也可以按照评审报告推荐的中标候选人名单排序，确定下一候选人为中标人。若遇特殊情况，中标人应向招标人书面申请经批准后适当延期。 </w:t>
            </w:r>
          </w:p>
        </w:tc>
      </w:tr>
    </w:tbl>
    <w:p>
      <w:pPr>
        <w:pStyle w:val="4"/>
        <w:spacing w:before="0" w:after="0" w:line="360" w:lineRule="auto"/>
        <w:jc w:val="left"/>
        <w:rPr>
          <w:rFonts w:ascii="宋体" w:hAnsi="宋体" w:cs="宋体"/>
          <w:highlight w:val="none"/>
        </w:rPr>
      </w:pPr>
      <w:r>
        <w:rPr>
          <w:rFonts w:hint="eastAsia" w:ascii="宋体" w:hAnsi="宋体" w:cs="宋体"/>
          <w:sz w:val="18"/>
          <w:highlight w:val="none"/>
        </w:rPr>
        <w:br w:type="page"/>
      </w:r>
      <w:bookmarkStart w:id="3" w:name="_Toc529196520"/>
      <w:bookmarkStart w:id="4" w:name="_Toc515205193"/>
      <w:bookmarkStart w:id="5" w:name="_Toc102997570"/>
      <w:r>
        <w:rPr>
          <w:rFonts w:hint="eastAsia" w:ascii="宋体" w:hAnsi="宋体" w:cs="宋体"/>
          <w:highlight w:val="none"/>
        </w:rPr>
        <w:t>1. 总则</w:t>
      </w:r>
      <w:bookmarkEnd w:id="3"/>
      <w:bookmarkEnd w:id="4"/>
      <w:bookmarkEnd w:id="5"/>
    </w:p>
    <w:p>
      <w:pPr>
        <w:pStyle w:val="4"/>
        <w:spacing w:before="0" w:after="0" w:line="360" w:lineRule="auto"/>
        <w:rPr>
          <w:rFonts w:ascii="宋体" w:hAnsi="宋体" w:cs="宋体"/>
          <w:highlight w:val="none"/>
        </w:rPr>
      </w:pPr>
      <w:bookmarkStart w:id="6" w:name="_Toc515205194"/>
      <w:bookmarkStart w:id="7" w:name="_Toc102997571"/>
      <w:bookmarkStart w:id="8" w:name="_Toc529196521"/>
      <w:r>
        <w:rPr>
          <w:rFonts w:hint="eastAsia" w:ascii="宋体" w:hAnsi="宋体" w:cs="宋体"/>
          <w:highlight w:val="none"/>
        </w:rPr>
        <w:t>1.1 招标项目概况</w:t>
      </w:r>
      <w:bookmarkEnd w:id="6"/>
      <w:bookmarkEnd w:id="7"/>
      <w:bookmarkEnd w:id="8"/>
    </w:p>
    <w:p>
      <w:pPr>
        <w:spacing w:line="360" w:lineRule="auto"/>
        <w:rPr>
          <w:rFonts w:ascii="宋体" w:hAnsi="宋体" w:cs="宋体"/>
          <w:sz w:val="24"/>
          <w:highlight w:val="none"/>
        </w:rPr>
      </w:pPr>
      <w:r>
        <w:rPr>
          <w:rFonts w:hint="eastAsia" w:ascii="宋体" w:hAnsi="宋体" w:cs="宋体"/>
          <w:sz w:val="24"/>
          <w:highlight w:val="none"/>
        </w:rPr>
        <w:t>1.1.1根据《中华人民共和国招标投标法》、《中华人民共和国招标投标法实施条例》等有关法律、法规和规章的规定，本招标项目已具备招标条件，现对</w:t>
      </w:r>
      <w:r>
        <w:rPr>
          <w:rFonts w:hint="eastAsia" w:ascii="宋体" w:hAnsi="宋体" w:cs="宋体"/>
          <w:sz w:val="24"/>
          <w:highlight w:val="none"/>
          <w:u w:val="single"/>
        </w:rPr>
        <w:t>检测</w:t>
      </w:r>
      <w:r>
        <w:rPr>
          <w:rFonts w:hint="eastAsia" w:ascii="宋体" w:hAnsi="宋体" w:cs="宋体"/>
          <w:sz w:val="24"/>
          <w:highlight w:val="none"/>
        </w:rPr>
        <w:t>服务进行招标。</w:t>
      </w:r>
    </w:p>
    <w:p>
      <w:pPr>
        <w:spacing w:line="360" w:lineRule="auto"/>
        <w:rPr>
          <w:rFonts w:ascii="宋体" w:hAnsi="宋体" w:cs="宋体"/>
          <w:sz w:val="24"/>
          <w:highlight w:val="none"/>
        </w:rPr>
      </w:pPr>
      <w:r>
        <w:rPr>
          <w:rFonts w:hint="eastAsia" w:ascii="宋体" w:hAnsi="宋体" w:cs="宋体"/>
          <w:sz w:val="24"/>
          <w:highlight w:val="none"/>
        </w:rPr>
        <w:t>1.1.2 招标人：见投标人须知前附表。</w:t>
      </w:r>
    </w:p>
    <w:p>
      <w:pPr>
        <w:spacing w:line="360" w:lineRule="auto"/>
        <w:rPr>
          <w:rFonts w:ascii="宋体" w:hAnsi="宋体" w:cs="宋体"/>
          <w:sz w:val="24"/>
          <w:highlight w:val="none"/>
        </w:rPr>
      </w:pPr>
      <w:r>
        <w:rPr>
          <w:rFonts w:hint="eastAsia" w:ascii="宋体" w:hAnsi="宋体" w:cs="宋体"/>
          <w:sz w:val="24"/>
          <w:highlight w:val="none"/>
        </w:rPr>
        <w:t>1.1.3 招标代理机构：见投标人须知前附表。</w:t>
      </w:r>
    </w:p>
    <w:p>
      <w:pPr>
        <w:spacing w:line="360" w:lineRule="auto"/>
        <w:rPr>
          <w:rFonts w:ascii="宋体" w:hAnsi="宋体" w:cs="宋体"/>
          <w:sz w:val="24"/>
          <w:highlight w:val="none"/>
        </w:rPr>
      </w:pPr>
      <w:r>
        <w:rPr>
          <w:rFonts w:hint="eastAsia" w:ascii="宋体" w:hAnsi="宋体" w:cs="宋体"/>
          <w:sz w:val="24"/>
          <w:highlight w:val="none"/>
        </w:rPr>
        <w:t>1.1.4 招标项目名称：见投标人须知前附表。</w:t>
      </w:r>
    </w:p>
    <w:p>
      <w:pPr>
        <w:spacing w:line="360" w:lineRule="auto"/>
        <w:rPr>
          <w:rFonts w:ascii="宋体" w:hAnsi="宋体" w:cs="宋体"/>
          <w:sz w:val="24"/>
          <w:highlight w:val="none"/>
        </w:rPr>
      </w:pPr>
      <w:r>
        <w:rPr>
          <w:rFonts w:hint="eastAsia" w:ascii="宋体" w:hAnsi="宋体" w:cs="宋体"/>
          <w:sz w:val="24"/>
          <w:highlight w:val="none"/>
        </w:rPr>
        <w:t>1.1.5 项目建设地点：见投标人须知前附表。</w:t>
      </w:r>
    </w:p>
    <w:p>
      <w:pPr>
        <w:spacing w:line="360" w:lineRule="auto"/>
        <w:rPr>
          <w:rFonts w:ascii="宋体" w:hAnsi="宋体" w:cs="宋体"/>
          <w:sz w:val="24"/>
          <w:highlight w:val="none"/>
        </w:rPr>
      </w:pPr>
      <w:r>
        <w:rPr>
          <w:rFonts w:hint="eastAsia" w:ascii="宋体" w:hAnsi="宋体" w:cs="宋体"/>
          <w:sz w:val="24"/>
          <w:highlight w:val="none"/>
        </w:rPr>
        <w:t>1.1.6 项目建设规模：见投标人须知前附表。</w:t>
      </w:r>
    </w:p>
    <w:p>
      <w:pPr>
        <w:spacing w:line="360" w:lineRule="auto"/>
        <w:rPr>
          <w:rFonts w:ascii="宋体" w:hAnsi="宋体" w:cs="宋体"/>
          <w:sz w:val="24"/>
          <w:highlight w:val="none"/>
        </w:rPr>
      </w:pPr>
      <w:r>
        <w:rPr>
          <w:rFonts w:hint="eastAsia" w:ascii="宋体" w:hAnsi="宋体" w:cs="宋体"/>
          <w:sz w:val="24"/>
          <w:highlight w:val="none"/>
        </w:rPr>
        <w:t>1.1.7工程项目施工预计开工日期和建设周期：见投标人须知前附表。</w:t>
      </w:r>
    </w:p>
    <w:p>
      <w:pPr>
        <w:spacing w:line="360" w:lineRule="auto"/>
        <w:rPr>
          <w:rFonts w:ascii="宋体" w:hAnsi="宋体" w:cs="宋体"/>
          <w:sz w:val="24"/>
          <w:highlight w:val="none"/>
        </w:rPr>
      </w:pPr>
      <w:r>
        <w:rPr>
          <w:rFonts w:hint="eastAsia" w:ascii="宋体" w:hAnsi="宋体" w:cs="宋体"/>
          <w:sz w:val="24"/>
          <w:highlight w:val="none"/>
        </w:rPr>
        <w:t>1.1.8工程总投资：见投标人须知前附表。</w:t>
      </w:r>
    </w:p>
    <w:p>
      <w:pPr>
        <w:pStyle w:val="4"/>
        <w:spacing w:before="0" w:after="0" w:line="360" w:lineRule="auto"/>
        <w:rPr>
          <w:rFonts w:ascii="宋体" w:hAnsi="宋体" w:cs="宋体"/>
          <w:sz w:val="24"/>
          <w:szCs w:val="24"/>
          <w:highlight w:val="none"/>
        </w:rPr>
      </w:pPr>
      <w:bookmarkStart w:id="9" w:name="_Toc515205195"/>
      <w:bookmarkStart w:id="10" w:name="_Toc529196522"/>
      <w:bookmarkStart w:id="11" w:name="_Toc102997572"/>
      <w:r>
        <w:rPr>
          <w:rFonts w:hint="eastAsia" w:ascii="宋体" w:hAnsi="宋体" w:cs="宋体"/>
          <w:sz w:val="24"/>
          <w:szCs w:val="24"/>
          <w:highlight w:val="none"/>
        </w:rPr>
        <w:t>1.2 招标项目的资金来源和落实情况</w:t>
      </w:r>
      <w:bookmarkEnd w:id="9"/>
      <w:bookmarkEnd w:id="10"/>
      <w:bookmarkEnd w:id="11"/>
    </w:p>
    <w:p>
      <w:pPr>
        <w:spacing w:line="360" w:lineRule="auto"/>
        <w:rPr>
          <w:rFonts w:ascii="宋体" w:hAnsi="宋体" w:cs="宋体"/>
          <w:sz w:val="24"/>
          <w:highlight w:val="none"/>
        </w:rPr>
      </w:pPr>
      <w:r>
        <w:rPr>
          <w:rFonts w:hint="eastAsia" w:ascii="宋体" w:hAnsi="宋体" w:cs="宋体"/>
          <w:sz w:val="24"/>
          <w:highlight w:val="none"/>
        </w:rPr>
        <w:t>1.2.1 资金来源及比例：见投标人须知前附表。</w:t>
      </w:r>
    </w:p>
    <w:p>
      <w:pPr>
        <w:spacing w:line="360" w:lineRule="auto"/>
        <w:rPr>
          <w:rFonts w:ascii="宋体" w:hAnsi="宋体" w:cs="宋体"/>
          <w:sz w:val="24"/>
          <w:highlight w:val="none"/>
        </w:rPr>
      </w:pPr>
      <w:r>
        <w:rPr>
          <w:rFonts w:hint="eastAsia" w:ascii="宋体" w:hAnsi="宋体" w:cs="宋体"/>
          <w:sz w:val="24"/>
          <w:highlight w:val="none"/>
        </w:rPr>
        <w:t>1.2.2 资金落实情况：见投标人须知前附表。</w:t>
      </w:r>
    </w:p>
    <w:p>
      <w:pPr>
        <w:pStyle w:val="4"/>
        <w:spacing w:before="0" w:after="0" w:line="360" w:lineRule="auto"/>
        <w:rPr>
          <w:rFonts w:ascii="宋体" w:hAnsi="宋体" w:cs="宋体"/>
          <w:sz w:val="24"/>
          <w:szCs w:val="24"/>
          <w:highlight w:val="none"/>
        </w:rPr>
      </w:pPr>
      <w:bookmarkStart w:id="12" w:name="_Toc529196523"/>
      <w:bookmarkStart w:id="13" w:name="_Toc515205196"/>
      <w:bookmarkStart w:id="14" w:name="_Toc102997573"/>
      <w:r>
        <w:rPr>
          <w:rFonts w:hint="eastAsia" w:ascii="宋体" w:hAnsi="宋体" w:cs="宋体"/>
          <w:sz w:val="24"/>
          <w:szCs w:val="24"/>
          <w:highlight w:val="none"/>
        </w:rPr>
        <w:t>1.3招标范围、服务期限和质量标准</w:t>
      </w:r>
      <w:bookmarkEnd w:id="12"/>
      <w:bookmarkEnd w:id="13"/>
      <w:bookmarkEnd w:id="14"/>
    </w:p>
    <w:p>
      <w:pPr>
        <w:spacing w:line="360" w:lineRule="auto"/>
        <w:rPr>
          <w:rFonts w:ascii="宋体" w:hAnsi="宋体" w:cs="宋体"/>
          <w:sz w:val="24"/>
          <w:highlight w:val="none"/>
        </w:rPr>
      </w:pPr>
      <w:r>
        <w:rPr>
          <w:rFonts w:hint="eastAsia" w:ascii="宋体" w:hAnsi="宋体" w:cs="宋体"/>
          <w:sz w:val="24"/>
          <w:highlight w:val="none"/>
        </w:rPr>
        <w:t>1.3.1 招标范围：见投标人须知前附表。</w:t>
      </w:r>
    </w:p>
    <w:p>
      <w:pPr>
        <w:spacing w:line="360" w:lineRule="auto"/>
        <w:rPr>
          <w:rFonts w:ascii="宋体" w:hAnsi="宋体" w:cs="宋体"/>
          <w:sz w:val="24"/>
          <w:highlight w:val="none"/>
        </w:rPr>
      </w:pPr>
      <w:r>
        <w:rPr>
          <w:rFonts w:hint="eastAsia" w:ascii="宋体" w:hAnsi="宋体" w:cs="宋体"/>
          <w:sz w:val="24"/>
          <w:highlight w:val="none"/>
        </w:rPr>
        <w:t>1.3.2 服务期限：见投标人须知前附表。</w:t>
      </w:r>
    </w:p>
    <w:p>
      <w:pPr>
        <w:spacing w:line="360" w:lineRule="auto"/>
        <w:rPr>
          <w:rFonts w:ascii="宋体" w:hAnsi="宋体" w:cs="宋体"/>
          <w:sz w:val="24"/>
          <w:highlight w:val="none"/>
        </w:rPr>
      </w:pPr>
      <w:r>
        <w:rPr>
          <w:rFonts w:hint="eastAsia" w:ascii="宋体" w:hAnsi="宋体" w:cs="宋体"/>
          <w:sz w:val="24"/>
          <w:highlight w:val="none"/>
        </w:rPr>
        <w:t>1.3.3 质量标准：见投标人须知前附表。</w:t>
      </w:r>
    </w:p>
    <w:p>
      <w:pPr>
        <w:pStyle w:val="4"/>
        <w:spacing w:before="0" w:after="0" w:line="360" w:lineRule="auto"/>
        <w:rPr>
          <w:rFonts w:ascii="宋体" w:hAnsi="宋体" w:cs="宋体"/>
          <w:sz w:val="24"/>
          <w:szCs w:val="24"/>
          <w:highlight w:val="none"/>
        </w:rPr>
      </w:pPr>
      <w:bookmarkStart w:id="15" w:name="_Toc102997574"/>
      <w:bookmarkStart w:id="16" w:name="_Toc515205197"/>
      <w:bookmarkStart w:id="17" w:name="_Toc529196524"/>
      <w:r>
        <w:rPr>
          <w:rFonts w:hint="eastAsia" w:ascii="宋体" w:hAnsi="宋体" w:cs="宋体"/>
          <w:sz w:val="24"/>
          <w:szCs w:val="24"/>
          <w:highlight w:val="none"/>
        </w:rPr>
        <w:t>1.4投标人资格要求</w:t>
      </w:r>
      <w:bookmarkEnd w:id="15"/>
      <w:bookmarkEnd w:id="16"/>
      <w:bookmarkEnd w:id="17"/>
    </w:p>
    <w:p>
      <w:pPr>
        <w:spacing w:line="360" w:lineRule="auto"/>
        <w:rPr>
          <w:rFonts w:ascii="宋体" w:hAnsi="宋体" w:cs="宋体"/>
          <w:sz w:val="24"/>
          <w:highlight w:val="none"/>
        </w:rPr>
      </w:pPr>
      <w:r>
        <w:rPr>
          <w:rFonts w:hint="eastAsia" w:ascii="宋体" w:hAnsi="宋体" w:cs="宋体"/>
          <w:sz w:val="24"/>
          <w:highlight w:val="none"/>
        </w:rPr>
        <w:t>1.4.1 投标人应具备承担本招标项目资质条件、能力和信誉：</w:t>
      </w:r>
    </w:p>
    <w:p>
      <w:pPr>
        <w:spacing w:line="360" w:lineRule="auto"/>
        <w:rPr>
          <w:rFonts w:ascii="宋体" w:hAnsi="宋体" w:cs="宋体"/>
          <w:sz w:val="24"/>
          <w:highlight w:val="none"/>
          <w:u w:val="single"/>
        </w:rPr>
      </w:pPr>
      <w:r>
        <w:rPr>
          <w:rFonts w:hint="eastAsia" w:ascii="宋体" w:hAnsi="宋体" w:cs="宋体"/>
          <w:sz w:val="24"/>
          <w:highlight w:val="none"/>
          <w:u w:val="single"/>
        </w:rPr>
        <w:t>（1）资质要求：见投标人须知前附表；</w:t>
      </w:r>
    </w:p>
    <w:p>
      <w:pPr>
        <w:spacing w:line="360" w:lineRule="auto"/>
        <w:rPr>
          <w:rFonts w:ascii="宋体" w:hAnsi="宋体" w:cs="宋体"/>
          <w:sz w:val="24"/>
          <w:highlight w:val="none"/>
          <w:u w:val="single"/>
        </w:rPr>
      </w:pPr>
      <w:r>
        <w:rPr>
          <w:rFonts w:hint="eastAsia" w:ascii="宋体" w:hAnsi="宋体" w:cs="宋体"/>
          <w:sz w:val="24"/>
          <w:highlight w:val="none"/>
          <w:u w:val="single"/>
        </w:rPr>
        <w:t>（2）项目负责人要求：见投标人须知前附表；</w:t>
      </w:r>
    </w:p>
    <w:p>
      <w:pPr>
        <w:spacing w:line="360" w:lineRule="auto"/>
        <w:rPr>
          <w:rFonts w:ascii="宋体" w:hAnsi="宋体" w:cs="宋体"/>
          <w:sz w:val="24"/>
          <w:highlight w:val="none"/>
          <w:u w:val="single"/>
        </w:rPr>
      </w:pPr>
      <w:r>
        <w:rPr>
          <w:rFonts w:hint="eastAsia" w:ascii="宋体" w:hAnsi="宋体" w:cs="宋体"/>
          <w:sz w:val="24"/>
          <w:highlight w:val="none"/>
          <w:u w:val="single"/>
        </w:rPr>
        <w:t>（3）其他要求：见投标人须知前附表。</w:t>
      </w:r>
    </w:p>
    <w:p>
      <w:pPr>
        <w:spacing w:line="360" w:lineRule="auto"/>
        <w:rPr>
          <w:rFonts w:ascii="宋体" w:hAnsi="宋体" w:cs="宋体"/>
          <w:sz w:val="24"/>
          <w:highlight w:val="none"/>
        </w:rPr>
      </w:pPr>
      <w:r>
        <w:rPr>
          <w:rFonts w:hint="eastAsia" w:ascii="宋体" w:hAnsi="宋体" w:cs="宋体"/>
          <w:sz w:val="24"/>
          <w:highlight w:val="none"/>
        </w:rPr>
        <w:t>需要提交的相关证明材料见本章第3.5款的规定。</w:t>
      </w:r>
    </w:p>
    <w:p>
      <w:pPr>
        <w:spacing w:line="360" w:lineRule="auto"/>
        <w:rPr>
          <w:rFonts w:ascii="宋体" w:hAnsi="宋体" w:cs="宋体"/>
          <w:sz w:val="24"/>
          <w:highlight w:val="none"/>
        </w:rPr>
      </w:pPr>
      <w:r>
        <w:rPr>
          <w:rFonts w:hint="eastAsia" w:ascii="宋体" w:hAnsi="宋体" w:cs="宋体"/>
          <w:sz w:val="24"/>
          <w:highlight w:val="none"/>
        </w:rPr>
        <w:t>1.4.2投标人须知前附表规定接受联合体投标的，联合体除应符合本章第1.4.1项和投标人须知前附表的要求外，还应遵守以下规定：</w:t>
      </w:r>
    </w:p>
    <w:p>
      <w:pPr>
        <w:spacing w:line="360" w:lineRule="auto"/>
        <w:rPr>
          <w:rFonts w:ascii="宋体" w:hAnsi="宋体" w:cs="宋体"/>
          <w:sz w:val="24"/>
          <w:highlight w:val="none"/>
        </w:rPr>
      </w:pPr>
      <w:r>
        <w:rPr>
          <w:rFonts w:hint="eastAsia" w:ascii="宋体" w:hAnsi="宋体" w:cs="宋体"/>
          <w:sz w:val="24"/>
          <w:highlight w:val="none"/>
        </w:rPr>
        <w:t>（1）联合体各方应按招标文件提供的格式签订联合体协议书，明确联合体牵头人和各方权利义务，并承诺就中标项目向招标人承担连带责任；</w:t>
      </w:r>
    </w:p>
    <w:p>
      <w:pPr>
        <w:spacing w:line="360" w:lineRule="auto"/>
        <w:rPr>
          <w:rFonts w:ascii="宋体" w:hAnsi="宋体" w:cs="宋体"/>
          <w:sz w:val="24"/>
          <w:highlight w:val="none"/>
        </w:rPr>
      </w:pPr>
      <w:r>
        <w:rPr>
          <w:rFonts w:hint="eastAsia" w:ascii="宋体" w:hAnsi="宋体" w:cs="宋体"/>
          <w:sz w:val="24"/>
          <w:highlight w:val="none"/>
        </w:rPr>
        <w:t>（2）由同一专业的单位组成的联合体，按照资质等级较低的单位确定资质等级；</w:t>
      </w:r>
    </w:p>
    <w:p>
      <w:pPr>
        <w:spacing w:line="360" w:lineRule="auto"/>
        <w:rPr>
          <w:rFonts w:ascii="宋体" w:hAnsi="宋体" w:cs="宋体"/>
          <w:sz w:val="24"/>
          <w:highlight w:val="none"/>
        </w:rPr>
      </w:pPr>
      <w:r>
        <w:rPr>
          <w:rFonts w:hint="eastAsia" w:ascii="宋体" w:hAnsi="宋体" w:cs="宋体"/>
          <w:sz w:val="24"/>
          <w:highlight w:val="none"/>
        </w:rPr>
        <w:t>（3）联合体各方不得再以自己名义单独或参加其他联合体在本招标项目中投标，否则各相关投标均无效。</w:t>
      </w:r>
    </w:p>
    <w:p>
      <w:pPr>
        <w:spacing w:line="360" w:lineRule="auto"/>
        <w:rPr>
          <w:rFonts w:ascii="宋体" w:hAnsi="宋体" w:cs="宋体"/>
          <w:sz w:val="24"/>
          <w:highlight w:val="none"/>
        </w:rPr>
      </w:pPr>
      <w:r>
        <w:rPr>
          <w:rFonts w:hint="eastAsia" w:ascii="宋体" w:hAnsi="宋体" w:cs="宋体"/>
          <w:sz w:val="24"/>
          <w:highlight w:val="none"/>
        </w:rPr>
        <w:t>1.4.3 投标人不得存在下列情形之一：</w:t>
      </w:r>
    </w:p>
    <w:p>
      <w:pPr>
        <w:spacing w:line="360" w:lineRule="auto"/>
        <w:rPr>
          <w:rFonts w:ascii="宋体" w:hAnsi="宋体" w:cs="宋体"/>
          <w:sz w:val="24"/>
          <w:highlight w:val="none"/>
        </w:rPr>
      </w:pPr>
      <w:r>
        <w:rPr>
          <w:rFonts w:hint="eastAsia" w:ascii="宋体" w:hAnsi="宋体" w:cs="宋体"/>
          <w:sz w:val="24"/>
          <w:highlight w:val="none"/>
        </w:rPr>
        <w:t>（1）为招标人不具有独立法人资格的附属机构（单位）；</w:t>
      </w:r>
    </w:p>
    <w:p>
      <w:pPr>
        <w:spacing w:line="360" w:lineRule="auto"/>
        <w:rPr>
          <w:rFonts w:ascii="宋体" w:hAnsi="宋体" w:cs="宋体"/>
          <w:sz w:val="24"/>
          <w:highlight w:val="none"/>
        </w:rPr>
      </w:pPr>
      <w:r>
        <w:rPr>
          <w:rFonts w:hint="eastAsia" w:ascii="宋体" w:hAnsi="宋体" w:cs="宋体"/>
          <w:sz w:val="24"/>
          <w:highlight w:val="none"/>
        </w:rPr>
        <w:t>（2）与招标人存在利害关系且可能影响招标公正性；</w:t>
      </w:r>
    </w:p>
    <w:p>
      <w:pPr>
        <w:spacing w:line="360" w:lineRule="auto"/>
        <w:rPr>
          <w:rFonts w:ascii="宋体" w:hAnsi="宋体" w:cs="宋体"/>
          <w:sz w:val="24"/>
          <w:highlight w:val="none"/>
        </w:rPr>
      </w:pPr>
      <w:r>
        <w:rPr>
          <w:rFonts w:hint="eastAsia" w:ascii="宋体" w:hAnsi="宋体" w:cs="宋体"/>
          <w:sz w:val="24"/>
          <w:highlight w:val="none"/>
        </w:rPr>
        <w:t>（3）与本招标项目的其他投标人为同一个单位负责人；</w:t>
      </w:r>
    </w:p>
    <w:p>
      <w:pPr>
        <w:spacing w:line="360" w:lineRule="auto"/>
        <w:rPr>
          <w:rFonts w:ascii="宋体" w:hAnsi="宋体" w:cs="宋体"/>
          <w:sz w:val="24"/>
          <w:highlight w:val="none"/>
        </w:rPr>
      </w:pPr>
      <w:r>
        <w:rPr>
          <w:rFonts w:hint="eastAsia" w:ascii="宋体" w:hAnsi="宋体" w:cs="宋体"/>
          <w:sz w:val="24"/>
          <w:highlight w:val="none"/>
        </w:rPr>
        <w:t>（4）与本招标项目的其他投标人存在控股、管理关系；</w:t>
      </w:r>
    </w:p>
    <w:p>
      <w:pPr>
        <w:spacing w:line="360" w:lineRule="auto"/>
        <w:rPr>
          <w:rFonts w:ascii="宋体" w:hAnsi="宋体" w:cs="宋体"/>
          <w:sz w:val="24"/>
          <w:highlight w:val="none"/>
        </w:rPr>
      </w:pPr>
      <w:r>
        <w:rPr>
          <w:rFonts w:hint="eastAsia" w:ascii="宋体" w:hAnsi="宋体" w:cs="宋体"/>
          <w:sz w:val="24"/>
          <w:highlight w:val="none"/>
        </w:rPr>
        <w:t>（5）为本招标项目的代建人；</w:t>
      </w:r>
    </w:p>
    <w:p>
      <w:pPr>
        <w:spacing w:line="360" w:lineRule="auto"/>
        <w:rPr>
          <w:rFonts w:ascii="宋体" w:hAnsi="宋体" w:cs="宋体"/>
          <w:sz w:val="24"/>
          <w:highlight w:val="none"/>
        </w:rPr>
      </w:pPr>
      <w:r>
        <w:rPr>
          <w:rFonts w:hint="eastAsia" w:ascii="宋体" w:hAnsi="宋体" w:cs="宋体"/>
          <w:sz w:val="24"/>
          <w:highlight w:val="none"/>
        </w:rPr>
        <w:t>（6）为本招标项目的招标代理机构；</w:t>
      </w:r>
    </w:p>
    <w:p>
      <w:pPr>
        <w:spacing w:line="360" w:lineRule="auto"/>
        <w:rPr>
          <w:rFonts w:ascii="宋体" w:hAnsi="宋体" w:cs="宋体"/>
          <w:sz w:val="24"/>
          <w:highlight w:val="none"/>
        </w:rPr>
      </w:pPr>
      <w:r>
        <w:rPr>
          <w:rFonts w:hint="eastAsia" w:ascii="宋体" w:hAnsi="宋体" w:cs="宋体"/>
          <w:sz w:val="24"/>
          <w:highlight w:val="none"/>
        </w:rPr>
        <w:t>（7）与本招标项目的代建人或招标代理机构同为一个法定代表人；</w:t>
      </w:r>
    </w:p>
    <w:p>
      <w:pPr>
        <w:spacing w:line="360" w:lineRule="auto"/>
        <w:rPr>
          <w:rFonts w:ascii="宋体" w:hAnsi="宋体" w:cs="宋体"/>
          <w:sz w:val="24"/>
          <w:highlight w:val="none"/>
        </w:rPr>
      </w:pPr>
      <w:r>
        <w:rPr>
          <w:rFonts w:hint="eastAsia" w:ascii="宋体" w:hAnsi="宋体" w:cs="宋体"/>
          <w:sz w:val="24"/>
          <w:highlight w:val="none"/>
        </w:rPr>
        <w:t>（8）与本招标项目的代建人或招标代理机构存在控股或参股关系；</w:t>
      </w:r>
    </w:p>
    <w:p>
      <w:pPr>
        <w:spacing w:line="360" w:lineRule="auto"/>
        <w:rPr>
          <w:rFonts w:ascii="宋体" w:hAnsi="宋体" w:cs="宋体"/>
          <w:sz w:val="24"/>
          <w:highlight w:val="none"/>
        </w:rPr>
      </w:pPr>
      <w:r>
        <w:rPr>
          <w:rFonts w:hint="eastAsia" w:ascii="宋体" w:hAnsi="宋体" w:cs="宋体"/>
          <w:sz w:val="24"/>
          <w:highlight w:val="none"/>
        </w:rPr>
        <w:t>（9）与承担本招标项目监理业务的单位有隶属关系或其他利害关系；与本招标项目的施工承包人以及建筑材料、建筑构配件和设备供应商有隶属关系或者其他利害关系；</w:t>
      </w:r>
    </w:p>
    <w:p>
      <w:pPr>
        <w:spacing w:line="360" w:lineRule="auto"/>
        <w:rPr>
          <w:rFonts w:ascii="宋体" w:hAnsi="宋体" w:cs="宋体"/>
          <w:sz w:val="24"/>
          <w:highlight w:val="none"/>
        </w:rPr>
      </w:pPr>
      <w:r>
        <w:rPr>
          <w:rFonts w:hint="eastAsia" w:ascii="宋体" w:hAnsi="宋体" w:cs="宋体"/>
          <w:sz w:val="24"/>
          <w:highlight w:val="none"/>
        </w:rPr>
        <w:t>（10）被依法暂停或者取消投标资格</w:t>
      </w:r>
      <w:r>
        <w:rPr>
          <w:rFonts w:hint="eastAsia" w:ascii="宋体" w:hAnsi="宋体" w:cs="宋体"/>
          <w:sz w:val="24"/>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（11）被责令停产停业、暂扣或者吊销许可证、暂扣或者吊销执照</w:t>
      </w:r>
      <w:r>
        <w:rPr>
          <w:rFonts w:hint="eastAsia" w:ascii="宋体" w:hAnsi="宋体" w:cs="宋体"/>
          <w:sz w:val="24"/>
          <w:highlight w:val="none"/>
          <w:u w:val="single"/>
        </w:rPr>
        <w:t>（本项事实应当以根据《中华人民共和国行政处罚法》依法作出并已经生效的行政处罚决定为认定依据。）</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（12）进入清算程序，或被宣告破产，或其他丧失履约能力的情形；</w:t>
      </w:r>
    </w:p>
    <w:p>
      <w:pPr>
        <w:spacing w:line="360" w:lineRule="auto"/>
        <w:rPr>
          <w:rFonts w:ascii="宋体" w:hAnsi="宋体" w:cs="宋体"/>
          <w:sz w:val="24"/>
          <w:highlight w:val="none"/>
        </w:rPr>
      </w:pPr>
      <w:r>
        <w:rPr>
          <w:rFonts w:hint="eastAsia" w:ascii="宋体" w:hAnsi="宋体" w:cs="宋体"/>
          <w:sz w:val="24"/>
          <w:highlight w:val="none"/>
        </w:rPr>
        <w:t>（13）</w:t>
      </w:r>
      <w:r>
        <w:rPr>
          <w:rFonts w:hint="eastAsia" w:ascii="宋体" w:hAnsi="宋体" w:cs="宋体"/>
          <w:sz w:val="24"/>
          <w:highlight w:val="none"/>
          <w:u w:val="singl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（14）法律法规或投标人须知前附表规定的其他情形。</w:t>
      </w:r>
    </w:p>
    <w:p>
      <w:pPr>
        <w:pStyle w:val="4"/>
        <w:spacing w:before="0" w:after="0" w:line="360" w:lineRule="auto"/>
        <w:rPr>
          <w:rFonts w:ascii="宋体" w:hAnsi="宋体" w:cs="宋体"/>
          <w:sz w:val="24"/>
          <w:szCs w:val="24"/>
          <w:highlight w:val="none"/>
        </w:rPr>
      </w:pPr>
      <w:bookmarkStart w:id="18" w:name="_Toc529196525"/>
      <w:bookmarkStart w:id="19" w:name="_Toc515205198"/>
      <w:bookmarkStart w:id="20" w:name="_Toc102997575"/>
      <w:r>
        <w:rPr>
          <w:rFonts w:hint="eastAsia" w:ascii="宋体" w:hAnsi="宋体" w:cs="宋体"/>
          <w:sz w:val="24"/>
          <w:szCs w:val="24"/>
          <w:highlight w:val="none"/>
        </w:rPr>
        <w:t>1.5 费用承担</w:t>
      </w:r>
      <w:bookmarkEnd w:id="18"/>
      <w:bookmarkEnd w:id="19"/>
      <w:bookmarkEnd w:id="20"/>
    </w:p>
    <w:p>
      <w:pPr>
        <w:spacing w:line="360" w:lineRule="auto"/>
        <w:rPr>
          <w:rFonts w:ascii="宋体" w:hAnsi="宋体" w:cs="宋体"/>
          <w:sz w:val="24"/>
          <w:highlight w:val="none"/>
        </w:rPr>
      </w:pPr>
      <w:r>
        <w:rPr>
          <w:rFonts w:hint="eastAsia" w:ascii="宋体" w:hAnsi="宋体" w:cs="宋体"/>
          <w:sz w:val="24"/>
          <w:highlight w:val="none"/>
        </w:rPr>
        <w:t>投标人准备和参加投标活动发生的费用自理。</w:t>
      </w:r>
    </w:p>
    <w:p>
      <w:pPr>
        <w:pStyle w:val="4"/>
        <w:spacing w:before="0" w:after="0" w:line="360" w:lineRule="auto"/>
        <w:rPr>
          <w:rFonts w:ascii="宋体" w:hAnsi="宋体" w:cs="宋体"/>
          <w:sz w:val="24"/>
          <w:szCs w:val="24"/>
          <w:highlight w:val="none"/>
        </w:rPr>
      </w:pPr>
      <w:bookmarkStart w:id="21" w:name="_Toc102997576"/>
      <w:bookmarkStart w:id="22" w:name="_Toc515205199"/>
      <w:bookmarkStart w:id="23" w:name="_Toc529196526"/>
      <w:r>
        <w:rPr>
          <w:rFonts w:hint="eastAsia" w:ascii="宋体" w:hAnsi="宋体" w:cs="宋体"/>
          <w:sz w:val="24"/>
          <w:szCs w:val="24"/>
          <w:highlight w:val="none"/>
        </w:rPr>
        <w:t>1.6保密</w:t>
      </w:r>
      <w:bookmarkEnd w:id="21"/>
      <w:bookmarkEnd w:id="22"/>
      <w:bookmarkEnd w:id="23"/>
    </w:p>
    <w:p>
      <w:pPr>
        <w:spacing w:line="360" w:lineRule="auto"/>
        <w:rPr>
          <w:rFonts w:ascii="宋体" w:hAnsi="宋体" w:cs="宋体"/>
          <w:sz w:val="24"/>
          <w:highlight w:val="none"/>
        </w:rPr>
      </w:pPr>
      <w:r>
        <w:rPr>
          <w:rFonts w:hint="eastAsia" w:ascii="宋体" w:hAnsi="宋体" w:cs="宋体"/>
          <w:sz w:val="24"/>
          <w:highlight w:val="none"/>
        </w:rPr>
        <w:t>参与招标投标活动的各方应对招标文件和投标文件中</w:t>
      </w:r>
      <w:bookmarkStart w:id="24" w:name="_Toc361508589"/>
      <w:bookmarkStart w:id="25" w:name="_Toc369531519"/>
      <w:bookmarkStart w:id="26" w:name="_Toc352691477"/>
      <w:bookmarkStart w:id="27" w:name="_Toc384308214"/>
      <w:bookmarkStart w:id="28" w:name="_Toc5326"/>
      <w:r>
        <w:rPr>
          <w:rFonts w:hint="eastAsia" w:ascii="宋体" w:hAnsi="宋体" w:cs="宋体"/>
          <w:sz w:val="24"/>
          <w:highlight w:val="none"/>
        </w:rPr>
        <w:t>的商业和技术等秘密保密</w:t>
      </w:r>
      <w:bookmarkEnd w:id="24"/>
      <w:bookmarkEnd w:id="25"/>
      <w:bookmarkEnd w:id="26"/>
      <w:bookmarkEnd w:id="27"/>
      <w:bookmarkEnd w:id="28"/>
      <w:r>
        <w:rPr>
          <w:rFonts w:hint="eastAsia" w:ascii="宋体" w:hAnsi="宋体" w:cs="宋体"/>
          <w:sz w:val="24"/>
          <w:highlight w:val="none"/>
        </w:rPr>
        <w:t>，否则应承担相应的法律责任。</w:t>
      </w:r>
    </w:p>
    <w:p>
      <w:pPr>
        <w:pStyle w:val="4"/>
        <w:spacing w:before="0" w:after="0" w:line="360" w:lineRule="auto"/>
        <w:rPr>
          <w:rFonts w:ascii="宋体" w:hAnsi="宋体" w:cs="宋体"/>
          <w:sz w:val="24"/>
          <w:szCs w:val="24"/>
          <w:highlight w:val="none"/>
        </w:rPr>
      </w:pPr>
      <w:bookmarkStart w:id="29" w:name="_Toc529196527"/>
      <w:bookmarkStart w:id="30" w:name="_Toc515205200"/>
      <w:bookmarkStart w:id="31" w:name="_Toc102997577"/>
      <w:r>
        <w:rPr>
          <w:rFonts w:hint="eastAsia" w:ascii="宋体" w:hAnsi="宋体" w:cs="宋体"/>
          <w:sz w:val="24"/>
          <w:szCs w:val="24"/>
          <w:highlight w:val="none"/>
        </w:rPr>
        <w:t>1.7 语言文字</w:t>
      </w:r>
      <w:bookmarkEnd w:id="29"/>
      <w:bookmarkEnd w:id="30"/>
      <w:bookmarkEnd w:id="31"/>
    </w:p>
    <w:p>
      <w:pPr>
        <w:spacing w:line="360" w:lineRule="auto"/>
        <w:rPr>
          <w:rFonts w:ascii="宋体" w:hAnsi="宋体" w:cs="宋体"/>
          <w:sz w:val="24"/>
          <w:highlight w:val="none"/>
        </w:rPr>
      </w:pPr>
      <w:r>
        <w:rPr>
          <w:rFonts w:hint="eastAsia" w:ascii="宋体" w:hAnsi="宋体" w:cs="宋体"/>
          <w:sz w:val="24"/>
          <w:highlight w:val="none"/>
        </w:rPr>
        <w:t>招标投标文件使用的语言文字为中文。专用术语使用外文的，应附有中文注释。</w:t>
      </w:r>
    </w:p>
    <w:p>
      <w:pPr>
        <w:pStyle w:val="4"/>
        <w:spacing w:before="0" w:after="0" w:line="360" w:lineRule="auto"/>
        <w:rPr>
          <w:rFonts w:ascii="宋体" w:hAnsi="宋体" w:cs="宋体"/>
          <w:sz w:val="24"/>
          <w:szCs w:val="24"/>
          <w:highlight w:val="none"/>
        </w:rPr>
      </w:pPr>
      <w:bookmarkStart w:id="32" w:name="_Toc529196528"/>
      <w:bookmarkStart w:id="33" w:name="_Toc102997578"/>
      <w:bookmarkStart w:id="34" w:name="_Toc515205201"/>
      <w:r>
        <w:rPr>
          <w:rFonts w:hint="eastAsia" w:ascii="宋体" w:hAnsi="宋体" w:cs="宋体"/>
          <w:sz w:val="24"/>
          <w:szCs w:val="24"/>
          <w:highlight w:val="none"/>
        </w:rPr>
        <w:t>1.8计量单位</w:t>
      </w:r>
      <w:bookmarkEnd w:id="32"/>
      <w:bookmarkEnd w:id="33"/>
      <w:bookmarkEnd w:id="34"/>
    </w:p>
    <w:p>
      <w:pPr>
        <w:spacing w:line="360" w:lineRule="auto"/>
        <w:rPr>
          <w:rFonts w:ascii="宋体" w:hAnsi="宋体" w:cs="宋体"/>
          <w:sz w:val="24"/>
          <w:highlight w:val="none"/>
        </w:rPr>
      </w:pPr>
      <w:r>
        <w:rPr>
          <w:rFonts w:hint="eastAsia" w:ascii="宋体" w:hAnsi="宋体" w:cs="宋体"/>
          <w:sz w:val="24"/>
          <w:highlight w:val="none"/>
        </w:rPr>
        <w:t>所有计量均采用中华人民共和国法定计量单位。</w:t>
      </w:r>
    </w:p>
    <w:p>
      <w:pPr>
        <w:pStyle w:val="4"/>
        <w:spacing w:before="0" w:after="0" w:line="360" w:lineRule="auto"/>
        <w:rPr>
          <w:rFonts w:ascii="宋体" w:hAnsi="宋体" w:cs="宋体"/>
          <w:sz w:val="24"/>
          <w:szCs w:val="24"/>
          <w:highlight w:val="none"/>
        </w:rPr>
      </w:pPr>
      <w:bookmarkStart w:id="35" w:name="_Toc529196529"/>
      <w:bookmarkStart w:id="36" w:name="_Toc515205202"/>
      <w:bookmarkStart w:id="37" w:name="_Toc152042315"/>
      <w:bookmarkStart w:id="38" w:name="_Toc247513962"/>
      <w:bookmarkStart w:id="39" w:name="_Toc482188480"/>
      <w:bookmarkStart w:id="40" w:name="_Toc144974507"/>
      <w:bookmarkStart w:id="41" w:name="_Toc391393967"/>
      <w:bookmarkStart w:id="42" w:name="_Toc384308219"/>
      <w:bookmarkStart w:id="43" w:name="_Toc247527563"/>
      <w:bookmarkStart w:id="44" w:name="_Toc370676289"/>
      <w:bookmarkStart w:id="45" w:name="_Toc102997579"/>
      <w:bookmarkStart w:id="46" w:name="_Toc300834959"/>
      <w:bookmarkStart w:id="47" w:name="_Toc361508594"/>
      <w:bookmarkStart w:id="48" w:name="_Toc152045539"/>
      <w:r>
        <w:rPr>
          <w:rFonts w:hint="eastAsia" w:ascii="宋体" w:hAnsi="宋体" w:cs="宋体"/>
          <w:sz w:val="24"/>
          <w:szCs w:val="24"/>
          <w:highlight w:val="none"/>
        </w:rPr>
        <w:t>1.9 踏勘现场</w:t>
      </w:r>
      <w:bookmarkEnd w:id="35"/>
      <w:bookmarkEnd w:id="36"/>
      <w:bookmarkEnd w:id="37"/>
      <w:bookmarkEnd w:id="38"/>
      <w:bookmarkEnd w:id="39"/>
      <w:bookmarkEnd w:id="40"/>
      <w:bookmarkEnd w:id="41"/>
      <w:bookmarkEnd w:id="42"/>
      <w:bookmarkEnd w:id="43"/>
      <w:bookmarkEnd w:id="44"/>
      <w:bookmarkEnd w:id="45"/>
      <w:bookmarkEnd w:id="46"/>
      <w:bookmarkEnd w:id="47"/>
      <w:bookmarkEnd w:id="48"/>
    </w:p>
    <w:p>
      <w:pPr>
        <w:spacing w:line="360" w:lineRule="auto"/>
        <w:rPr>
          <w:rFonts w:ascii="宋体" w:hAnsi="宋体" w:cs="宋体"/>
          <w:sz w:val="24"/>
          <w:highlight w:val="none"/>
        </w:rPr>
      </w:pPr>
      <w:r>
        <w:rPr>
          <w:rFonts w:hint="eastAsia" w:ascii="宋体" w:hAnsi="宋体" w:cs="宋体"/>
          <w:sz w:val="24"/>
          <w:highlight w:val="none"/>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rPr>
          <w:rFonts w:ascii="宋体" w:hAnsi="宋体" w:cs="宋体"/>
          <w:sz w:val="24"/>
          <w:highlight w:val="none"/>
        </w:rPr>
      </w:pPr>
      <w:r>
        <w:rPr>
          <w:rFonts w:hint="eastAsia" w:ascii="宋体" w:hAnsi="宋体" w:cs="宋体"/>
          <w:sz w:val="24"/>
          <w:highlight w:val="none"/>
        </w:rPr>
        <w:t>1.9.2 投标人踏勘现场发生的费用自理。</w:t>
      </w:r>
    </w:p>
    <w:p>
      <w:pPr>
        <w:spacing w:line="360" w:lineRule="auto"/>
        <w:rPr>
          <w:rFonts w:ascii="宋体" w:hAnsi="宋体" w:cs="宋体"/>
          <w:sz w:val="24"/>
          <w:highlight w:val="none"/>
        </w:rPr>
      </w:pPr>
      <w:r>
        <w:rPr>
          <w:rFonts w:hint="eastAsia" w:ascii="宋体" w:hAnsi="宋体" w:cs="宋体"/>
          <w:sz w:val="24"/>
          <w:highlight w:val="none"/>
        </w:rPr>
        <w:t>1.9.3 除招标人的原因外，投标人自行负责在踏勘现场中所发生的人员伤亡和财产损失。</w:t>
      </w:r>
    </w:p>
    <w:p>
      <w:pPr>
        <w:spacing w:line="360" w:lineRule="auto"/>
        <w:rPr>
          <w:rFonts w:ascii="宋体" w:hAnsi="宋体" w:cs="宋体"/>
          <w:sz w:val="24"/>
          <w:highlight w:val="none"/>
        </w:rPr>
      </w:pPr>
      <w:r>
        <w:rPr>
          <w:rFonts w:hint="eastAsia" w:ascii="宋体" w:hAnsi="宋体" w:cs="宋体"/>
          <w:sz w:val="24"/>
          <w:highlight w:val="none"/>
        </w:rPr>
        <w:t>1.9.4 招标人在踏勘现场中介绍的工程场地和相关的周边环境情况，供投标人在编制投标文件时参考，招标人不对投标人据此作出的判断和决策负责。</w:t>
      </w:r>
    </w:p>
    <w:p>
      <w:pPr>
        <w:pStyle w:val="4"/>
        <w:spacing w:before="0" w:after="0" w:line="360" w:lineRule="auto"/>
        <w:rPr>
          <w:rFonts w:ascii="宋体" w:hAnsi="宋体" w:cs="宋体"/>
          <w:sz w:val="24"/>
          <w:szCs w:val="24"/>
          <w:highlight w:val="none"/>
        </w:rPr>
      </w:pPr>
      <w:bookmarkStart w:id="49" w:name="_Toc102997580"/>
      <w:bookmarkStart w:id="50" w:name="_Toc515205203"/>
      <w:bookmarkStart w:id="51" w:name="_Toc529196530"/>
      <w:r>
        <w:rPr>
          <w:rFonts w:hint="eastAsia" w:ascii="宋体" w:hAnsi="宋体" w:cs="宋体"/>
          <w:sz w:val="24"/>
          <w:szCs w:val="24"/>
          <w:highlight w:val="none"/>
        </w:rPr>
        <w:t>1.10投标预备会</w:t>
      </w:r>
      <w:bookmarkEnd w:id="49"/>
      <w:bookmarkEnd w:id="50"/>
      <w:bookmarkEnd w:id="51"/>
    </w:p>
    <w:p>
      <w:pPr>
        <w:spacing w:line="360" w:lineRule="auto"/>
        <w:rPr>
          <w:rFonts w:ascii="宋体" w:hAnsi="宋体" w:cs="宋体"/>
          <w:sz w:val="24"/>
          <w:highlight w:val="none"/>
        </w:rPr>
      </w:pPr>
      <w:r>
        <w:rPr>
          <w:rFonts w:hint="eastAsia" w:ascii="宋体" w:hAnsi="宋体" w:cs="宋体"/>
          <w:sz w:val="24"/>
          <w:highlight w:val="none"/>
        </w:rPr>
        <w:t>1.10.1 投标人须知前附表规定召开投标预备会的，招标人按投标人须知前附表规定的时间和地点召开投标预备会，澄清投标人提出的问题。</w:t>
      </w:r>
    </w:p>
    <w:p>
      <w:pPr>
        <w:spacing w:line="360" w:lineRule="auto"/>
        <w:rPr>
          <w:rFonts w:ascii="宋体" w:hAnsi="宋体" w:cs="宋体"/>
          <w:sz w:val="24"/>
          <w:highlight w:val="none"/>
        </w:rPr>
      </w:pPr>
      <w:r>
        <w:rPr>
          <w:rFonts w:hint="eastAsia" w:ascii="宋体" w:hAnsi="宋体" w:cs="宋体"/>
          <w:sz w:val="24"/>
          <w:highlight w:val="none"/>
        </w:rPr>
        <w:t>1.10.2 投标人应按投标人须知前附表规定的时间和形式将提出的问题送达招标人，以便招标人在会议期间澄清。</w:t>
      </w:r>
    </w:p>
    <w:p>
      <w:pPr>
        <w:spacing w:line="360" w:lineRule="auto"/>
        <w:rPr>
          <w:rFonts w:ascii="宋体" w:hAnsi="宋体" w:cs="宋体"/>
          <w:sz w:val="24"/>
          <w:highlight w:val="none"/>
        </w:rPr>
      </w:pPr>
      <w:r>
        <w:rPr>
          <w:rFonts w:hint="eastAsia" w:ascii="宋体" w:hAnsi="宋体" w:cs="宋体"/>
          <w:sz w:val="24"/>
          <w:highlight w:val="none"/>
        </w:rPr>
        <w:t>1.10.3 投标预备会后，招标人将对投标人所提问题的澄清，以投标人须知前附表规定的形式通知所有购买招标文件的投标人。该澄清内容为招标文件的组成部分。</w:t>
      </w:r>
    </w:p>
    <w:p>
      <w:pPr>
        <w:pStyle w:val="4"/>
        <w:spacing w:before="0" w:after="0" w:line="360" w:lineRule="auto"/>
        <w:rPr>
          <w:rFonts w:ascii="宋体" w:hAnsi="宋体" w:cs="宋体"/>
          <w:sz w:val="24"/>
          <w:szCs w:val="24"/>
          <w:highlight w:val="none"/>
        </w:rPr>
      </w:pPr>
      <w:bookmarkStart w:id="52" w:name="_Toc102997581"/>
      <w:bookmarkStart w:id="53" w:name="_Toc515205204"/>
      <w:bookmarkStart w:id="54" w:name="_Toc529196531"/>
      <w:r>
        <w:rPr>
          <w:rFonts w:hint="eastAsia" w:ascii="宋体" w:hAnsi="宋体" w:cs="宋体"/>
          <w:sz w:val="24"/>
          <w:szCs w:val="24"/>
          <w:highlight w:val="none"/>
        </w:rPr>
        <w:t>1.11 分包</w:t>
      </w:r>
      <w:bookmarkEnd w:id="52"/>
      <w:bookmarkEnd w:id="53"/>
      <w:bookmarkEnd w:id="54"/>
    </w:p>
    <w:p>
      <w:pPr>
        <w:pStyle w:val="4"/>
        <w:spacing w:before="0" w:after="0" w:line="360" w:lineRule="auto"/>
        <w:rPr>
          <w:rFonts w:ascii="宋体" w:hAnsi="宋体" w:cs="宋体"/>
          <w:b w:val="0"/>
          <w:bCs w:val="0"/>
          <w:sz w:val="24"/>
          <w:szCs w:val="22"/>
          <w:highlight w:val="none"/>
        </w:rPr>
      </w:pPr>
      <w:bookmarkStart w:id="55" w:name="_Toc102997582"/>
      <w:bookmarkStart w:id="56" w:name="_Toc529196532"/>
      <w:bookmarkStart w:id="57" w:name="_Toc515205205"/>
      <w:r>
        <w:rPr>
          <w:rFonts w:hint="eastAsia" w:ascii="宋体" w:hAnsi="宋体" w:cs="宋体"/>
          <w:b w:val="0"/>
          <w:bCs w:val="0"/>
          <w:sz w:val="24"/>
          <w:szCs w:val="22"/>
          <w:highlight w:val="none"/>
        </w:rPr>
        <w:t>本项目除主要检测内容外，其他检测内容报招标人批准后可依法进行分包，由中标人委托具有相应资质的单位进行检测。此部分工作产生的费用由中标人自行承担，已含于投标报价中。</w:t>
      </w:r>
      <w:bookmarkEnd w:id="55"/>
    </w:p>
    <w:p>
      <w:pPr>
        <w:pStyle w:val="4"/>
        <w:spacing w:before="0" w:after="0" w:line="360" w:lineRule="auto"/>
        <w:rPr>
          <w:rFonts w:ascii="宋体" w:hAnsi="宋体" w:cs="宋体"/>
          <w:sz w:val="24"/>
          <w:szCs w:val="24"/>
          <w:highlight w:val="none"/>
        </w:rPr>
      </w:pPr>
      <w:bookmarkStart w:id="58" w:name="_Toc102997583"/>
      <w:r>
        <w:rPr>
          <w:rFonts w:hint="eastAsia" w:ascii="宋体" w:hAnsi="宋体" w:cs="宋体"/>
          <w:sz w:val="24"/>
          <w:szCs w:val="24"/>
          <w:highlight w:val="none"/>
        </w:rPr>
        <w:t>1.12响应和偏差</w:t>
      </w:r>
      <w:bookmarkEnd w:id="56"/>
      <w:bookmarkEnd w:id="57"/>
      <w:bookmarkEnd w:id="58"/>
    </w:p>
    <w:p>
      <w:pPr>
        <w:spacing w:line="360" w:lineRule="auto"/>
        <w:rPr>
          <w:rFonts w:ascii="宋体" w:hAnsi="宋体" w:cs="宋体"/>
          <w:sz w:val="24"/>
          <w:highlight w:val="none"/>
        </w:rPr>
      </w:pPr>
      <w:r>
        <w:rPr>
          <w:rFonts w:hint="eastAsia" w:ascii="宋体" w:hAnsi="宋体" w:cs="宋体"/>
          <w:sz w:val="24"/>
          <w:highlight w:val="none"/>
        </w:rPr>
        <w:t>1.12.1投标文件应当对招标文件的实质性要求和条件作出满足性或更有利于招标人的响应，否则，投标人的投标将被否决。实质性要求和条件见投标人须知前附表。</w:t>
      </w:r>
    </w:p>
    <w:p>
      <w:pPr>
        <w:spacing w:line="360" w:lineRule="auto"/>
        <w:rPr>
          <w:rFonts w:ascii="宋体" w:hAnsi="宋体" w:cs="宋体"/>
          <w:sz w:val="24"/>
          <w:highlight w:val="none"/>
        </w:rPr>
      </w:pPr>
      <w:r>
        <w:rPr>
          <w:rFonts w:hint="eastAsia" w:ascii="宋体" w:hAnsi="宋体" w:cs="宋体"/>
          <w:sz w:val="24"/>
          <w:highlight w:val="none"/>
        </w:rPr>
        <w:t>1.12.2 投标人应根据招标文件的要求提供投标检测方案等内容以对招标文件作出响应。</w:t>
      </w:r>
    </w:p>
    <w:p>
      <w:pPr>
        <w:spacing w:line="360" w:lineRule="auto"/>
        <w:rPr>
          <w:rFonts w:ascii="宋体" w:hAnsi="宋体" w:cs="宋体"/>
          <w:sz w:val="24"/>
          <w:highlight w:val="none"/>
        </w:rPr>
      </w:pPr>
      <w:r>
        <w:rPr>
          <w:rFonts w:hint="eastAsia" w:ascii="宋体" w:hAnsi="宋体" w:cs="宋体"/>
          <w:sz w:val="24"/>
          <w:highlight w:val="none"/>
        </w:rPr>
        <w:t>1.12.3投标人须知前附表允许投标文件偏离招标文件某些要求的，偏差应当符合招标文件规定的偏差范围和幅度。</w:t>
      </w:r>
    </w:p>
    <w:p>
      <w:pPr>
        <w:pStyle w:val="4"/>
        <w:spacing w:before="0" w:after="0" w:line="360" w:lineRule="auto"/>
        <w:rPr>
          <w:rFonts w:ascii="宋体" w:hAnsi="宋体" w:cs="宋体"/>
          <w:highlight w:val="none"/>
        </w:rPr>
      </w:pPr>
      <w:bookmarkStart w:id="59" w:name="_Toc529196533"/>
      <w:bookmarkStart w:id="60" w:name="_Toc515205206"/>
      <w:bookmarkStart w:id="61" w:name="_Toc102997584"/>
      <w:r>
        <w:rPr>
          <w:rFonts w:hint="eastAsia" w:ascii="宋体" w:hAnsi="宋体" w:cs="宋体"/>
          <w:highlight w:val="none"/>
        </w:rPr>
        <w:t>2. 招标文件</w:t>
      </w:r>
      <w:bookmarkEnd w:id="59"/>
      <w:bookmarkEnd w:id="60"/>
      <w:bookmarkEnd w:id="61"/>
    </w:p>
    <w:p>
      <w:pPr>
        <w:pStyle w:val="4"/>
        <w:spacing w:before="0" w:after="0" w:line="360" w:lineRule="auto"/>
        <w:rPr>
          <w:rFonts w:ascii="宋体" w:hAnsi="宋体" w:cs="宋体"/>
          <w:highlight w:val="none"/>
        </w:rPr>
      </w:pPr>
      <w:bookmarkStart w:id="62" w:name="_Toc515205207"/>
      <w:bookmarkStart w:id="63" w:name="_Toc529196534"/>
      <w:bookmarkStart w:id="64" w:name="_Toc102997585"/>
      <w:r>
        <w:rPr>
          <w:rFonts w:hint="eastAsia" w:ascii="宋体" w:hAnsi="宋体" w:cs="宋体"/>
          <w:highlight w:val="none"/>
        </w:rPr>
        <w:t>2.1 招标文件的组成</w:t>
      </w:r>
      <w:bookmarkEnd w:id="62"/>
      <w:bookmarkEnd w:id="63"/>
      <w:bookmarkEnd w:id="64"/>
    </w:p>
    <w:p>
      <w:pPr>
        <w:spacing w:line="360" w:lineRule="auto"/>
        <w:rPr>
          <w:rFonts w:ascii="宋体" w:hAnsi="宋体" w:cs="宋体"/>
          <w:sz w:val="24"/>
          <w:highlight w:val="none"/>
        </w:rPr>
      </w:pPr>
      <w:r>
        <w:rPr>
          <w:rFonts w:hint="eastAsia" w:ascii="宋体" w:hAnsi="宋体" w:cs="宋体"/>
          <w:sz w:val="24"/>
          <w:highlight w:val="none"/>
        </w:rPr>
        <w:t>本招标文件包括：</w:t>
      </w:r>
    </w:p>
    <w:p>
      <w:pPr>
        <w:spacing w:line="360" w:lineRule="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招标公告</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（2）投标人须知；</w:t>
      </w:r>
    </w:p>
    <w:p>
      <w:pPr>
        <w:spacing w:line="360" w:lineRule="auto"/>
        <w:rPr>
          <w:rFonts w:ascii="宋体" w:hAnsi="宋体" w:cs="宋体"/>
          <w:sz w:val="24"/>
          <w:highlight w:val="none"/>
        </w:rPr>
      </w:pPr>
      <w:r>
        <w:rPr>
          <w:rFonts w:hint="eastAsia" w:ascii="宋体" w:hAnsi="宋体" w:cs="宋体"/>
          <w:sz w:val="24"/>
          <w:highlight w:val="none"/>
        </w:rPr>
        <w:t>（3）评标办法；</w:t>
      </w:r>
    </w:p>
    <w:p>
      <w:pPr>
        <w:spacing w:line="360" w:lineRule="auto"/>
        <w:rPr>
          <w:rFonts w:ascii="宋体" w:hAnsi="宋体" w:cs="宋体"/>
          <w:sz w:val="24"/>
          <w:highlight w:val="none"/>
        </w:rPr>
      </w:pPr>
      <w:r>
        <w:rPr>
          <w:rFonts w:hint="eastAsia" w:ascii="宋体" w:hAnsi="宋体" w:cs="宋体"/>
          <w:sz w:val="24"/>
          <w:highlight w:val="none"/>
        </w:rPr>
        <w:t>（4）合同条款及格式；</w:t>
      </w:r>
    </w:p>
    <w:p>
      <w:pPr>
        <w:spacing w:line="360" w:lineRule="auto"/>
        <w:rPr>
          <w:rFonts w:ascii="宋体" w:hAnsi="宋体" w:cs="宋体"/>
          <w:sz w:val="24"/>
          <w:highlight w:val="none"/>
        </w:rPr>
      </w:pPr>
      <w:r>
        <w:rPr>
          <w:rFonts w:hint="eastAsia" w:ascii="宋体" w:hAnsi="宋体" w:cs="宋体"/>
          <w:sz w:val="24"/>
          <w:highlight w:val="none"/>
        </w:rPr>
        <w:t>（5）委托人要求；</w:t>
      </w:r>
    </w:p>
    <w:p>
      <w:pPr>
        <w:spacing w:line="360" w:lineRule="auto"/>
        <w:rPr>
          <w:rFonts w:ascii="宋体" w:hAnsi="宋体" w:cs="宋体"/>
          <w:sz w:val="24"/>
          <w:highlight w:val="none"/>
        </w:rPr>
      </w:pPr>
      <w:r>
        <w:rPr>
          <w:rFonts w:hint="eastAsia" w:ascii="宋体" w:hAnsi="宋体" w:cs="宋体"/>
          <w:sz w:val="24"/>
          <w:highlight w:val="none"/>
        </w:rPr>
        <w:t>（6）投标文件格式；</w:t>
      </w:r>
    </w:p>
    <w:p>
      <w:pPr>
        <w:spacing w:line="360" w:lineRule="auto"/>
        <w:rPr>
          <w:rFonts w:ascii="宋体" w:hAnsi="宋体" w:cs="宋体"/>
          <w:sz w:val="24"/>
          <w:highlight w:val="none"/>
        </w:rPr>
      </w:pPr>
      <w:r>
        <w:rPr>
          <w:rFonts w:hint="eastAsia" w:ascii="宋体" w:hAnsi="宋体" w:cs="宋体"/>
          <w:sz w:val="24"/>
          <w:highlight w:val="none"/>
        </w:rPr>
        <w:t>（7）投标人须知前附表规定的其他资料。</w:t>
      </w:r>
    </w:p>
    <w:p>
      <w:pPr>
        <w:spacing w:line="360" w:lineRule="auto"/>
        <w:rPr>
          <w:rFonts w:ascii="宋体" w:hAnsi="宋体" w:cs="宋体"/>
          <w:sz w:val="24"/>
          <w:highlight w:val="none"/>
        </w:rPr>
      </w:pPr>
      <w:r>
        <w:rPr>
          <w:rFonts w:hint="eastAsia" w:ascii="宋体" w:hAnsi="宋体" w:cs="宋体"/>
          <w:sz w:val="24"/>
          <w:highlight w:val="none"/>
        </w:rPr>
        <w:t>根据本章第1.10款、第2.2款和第2.3款对招标文件所作的澄清、修改，构成招标文件的组成部分。</w:t>
      </w:r>
    </w:p>
    <w:p>
      <w:pPr>
        <w:pStyle w:val="4"/>
        <w:spacing w:before="0" w:after="0" w:line="360" w:lineRule="auto"/>
        <w:rPr>
          <w:rFonts w:ascii="宋体" w:hAnsi="宋体" w:cs="宋体"/>
          <w:highlight w:val="none"/>
        </w:rPr>
      </w:pPr>
      <w:bookmarkStart w:id="65" w:name="_Toc102997586"/>
      <w:bookmarkStart w:id="66" w:name="_Toc529196535"/>
      <w:bookmarkStart w:id="67" w:name="_Toc515205208"/>
      <w:r>
        <w:rPr>
          <w:rFonts w:hint="eastAsia" w:ascii="宋体" w:hAnsi="宋体" w:cs="宋体"/>
          <w:highlight w:val="none"/>
        </w:rPr>
        <w:t>2.2 招标文件的澄清</w:t>
      </w:r>
      <w:bookmarkEnd w:id="65"/>
      <w:bookmarkEnd w:id="66"/>
      <w:bookmarkEnd w:id="67"/>
    </w:p>
    <w:p>
      <w:pPr>
        <w:spacing w:line="360" w:lineRule="auto"/>
        <w:rPr>
          <w:rFonts w:ascii="宋体" w:hAnsi="宋体" w:cs="宋体"/>
          <w:sz w:val="24"/>
          <w:highlight w:val="none"/>
        </w:rPr>
      </w:pPr>
      <w:r>
        <w:rPr>
          <w:rFonts w:hint="eastAsia" w:ascii="宋体" w:hAnsi="宋体" w:cs="宋体"/>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rPr>
          <w:rFonts w:ascii="宋体" w:hAnsi="宋体" w:cs="宋体"/>
          <w:sz w:val="24"/>
          <w:highlight w:val="none"/>
        </w:rPr>
      </w:pPr>
      <w:r>
        <w:rPr>
          <w:rFonts w:hint="eastAsia" w:ascii="宋体" w:hAnsi="宋体" w:cs="宋体"/>
          <w:sz w:val="24"/>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360" w:lineRule="auto"/>
        <w:rPr>
          <w:rFonts w:ascii="宋体" w:hAnsi="宋体" w:cs="宋体"/>
          <w:sz w:val="24"/>
          <w:highlight w:val="none"/>
        </w:rPr>
      </w:pPr>
      <w:r>
        <w:rPr>
          <w:rFonts w:hint="eastAsia" w:ascii="宋体" w:hAnsi="宋体" w:cs="宋体"/>
          <w:sz w:val="24"/>
          <w:highlight w:val="none"/>
        </w:rPr>
        <w:t>2.2.3 投标人在收到澄清后，应按投标人须知前附表规定的时间和形式通知招标人，确认已收到该澄清。</w:t>
      </w:r>
    </w:p>
    <w:p>
      <w:pPr>
        <w:spacing w:line="360" w:lineRule="auto"/>
        <w:rPr>
          <w:rFonts w:ascii="宋体" w:hAnsi="宋体" w:cs="宋体"/>
          <w:sz w:val="24"/>
          <w:highlight w:val="none"/>
        </w:rPr>
      </w:pPr>
      <w:r>
        <w:rPr>
          <w:rFonts w:hint="eastAsia" w:ascii="宋体" w:hAnsi="宋体" w:cs="宋体"/>
          <w:sz w:val="24"/>
          <w:highlight w:val="none"/>
        </w:rPr>
        <w:t>2.2.4 除非招标人认为确有必要答复，否则，招标人有权拒绝回复投标人在本章第2.2.1项规定的时间后的任何澄清要求。</w:t>
      </w:r>
    </w:p>
    <w:p>
      <w:pPr>
        <w:pStyle w:val="4"/>
        <w:spacing w:before="0" w:after="0" w:line="360" w:lineRule="auto"/>
        <w:rPr>
          <w:rFonts w:ascii="宋体" w:hAnsi="宋体" w:cs="宋体"/>
          <w:highlight w:val="none"/>
        </w:rPr>
      </w:pPr>
      <w:bookmarkStart w:id="68" w:name="_Toc102997587"/>
      <w:bookmarkStart w:id="69" w:name="_Toc515205209"/>
      <w:bookmarkStart w:id="70" w:name="_Toc529196536"/>
      <w:bookmarkStart w:id="71" w:name="_Toc352691479"/>
      <w:r>
        <w:rPr>
          <w:rFonts w:hint="eastAsia" w:ascii="宋体" w:hAnsi="宋体" w:cs="宋体"/>
          <w:highlight w:val="none"/>
        </w:rPr>
        <w:t>2.3 招标文件的修</w:t>
      </w:r>
      <w:bookmarkStart w:id="72" w:name="_Toc16514"/>
      <w:bookmarkStart w:id="73" w:name="_Toc369531521"/>
      <w:r>
        <w:rPr>
          <w:rFonts w:hint="eastAsia" w:ascii="宋体" w:hAnsi="宋体" w:cs="宋体"/>
          <w:highlight w:val="none"/>
        </w:rPr>
        <w:t>改</w:t>
      </w:r>
      <w:bookmarkEnd w:id="68"/>
      <w:bookmarkEnd w:id="69"/>
      <w:bookmarkEnd w:id="70"/>
    </w:p>
    <w:p>
      <w:pPr>
        <w:spacing w:line="360" w:lineRule="auto"/>
        <w:rPr>
          <w:rFonts w:ascii="宋体" w:hAnsi="宋体" w:cs="宋体"/>
          <w:sz w:val="24"/>
          <w:highlight w:val="none"/>
        </w:rPr>
      </w:pPr>
      <w:r>
        <w:rPr>
          <w:rFonts w:hint="eastAsia" w:ascii="宋体" w:hAnsi="宋体" w:cs="宋体"/>
          <w:sz w:val="24"/>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71"/>
    <w:bookmarkEnd w:id="72"/>
    <w:bookmarkEnd w:id="73"/>
    <w:p>
      <w:pPr>
        <w:spacing w:line="360" w:lineRule="auto"/>
        <w:rPr>
          <w:rFonts w:ascii="宋体" w:hAnsi="宋体" w:cs="宋体"/>
          <w:sz w:val="24"/>
          <w:highlight w:val="none"/>
        </w:rPr>
      </w:pPr>
      <w:r>
        <w:rPr>
          <w:rFonts w:hint="eastAsia" w:ascii="宋体" w:hAnsi="宋体" w:cs="宋体"/>
          <w:sz w:val="24"/>
          <w:highlight w:val="none"/>
        </w:rPr>
        <w:t>2.3.2 投标人收到修改内容</w:t>
      </w:r>
      <w:bookmarkStart w:id="74" w:name="_Toc247527562"/>
      <w:bookmarkStart w:id="75" w:name="_Toc152045538"/>
      <w:bookmarkStart w:id="76" w:name="_Toc24632"/>
      <w:bookmarkStart w:id="77" w:name="_Toc247513961"/>
      <w:bookmarkStart w:id="78" w:name="_Toc300834958"/>
      <w:bookmarkStart w:id="79" w:name="_Toc352691482"/>
      <w:bookmarkStart w:id="80" w:name="_Toc361508593"/>
      <w:bookmarkStart w:id="81" w:name="_Toc369531524"/>
      <w:bookmarkStart w:id="82" w:name="_Toc144974506"/>
      <w:bookmarkStart w:id="83" w:name="_Toc152042314"/>
      <w:bookmarkStart w:id="84" w:name="_Toc384308218"/>
      <w:r>
        <w:rPr>
          <w:rFonts w:hint="eastAsia" w:ascii="宋体" w:hAnsi="宋体" w:cs="宋体"/>
          <w:sz w:val="24"/>
          <w:highlight w:val="none"/>
        </w:rPr>
        <w:t>后，</w:t>
      </w:r>
      <w:bookmarkEnd w:id="74"/>
      <w:bookmarkEnd w:id="75"/>
      <w:bookmarkEnd w:id="76"/>
      <w:bookmarkEnd w:id="77"/>
      <w:bookmarkEnd w:id="78"/>
      <w:bookmarkEnd w:id="79"/>
      <w:bookmarkEnd w:id="80"/>
      <w:bookmarkEnd w:id="81"/>
      <w:bookmarkEnd w:id="82"/>
      <w:bookmarkEnd w:id="83"/>
      <w:bookmarkEnd w:id="84"/>
      <w:bookmarkStart w:id="85" w:name="_Toc152045540"/>
      <w:bookmarkStart w:id="86" w:name="_Toc247527564"/>
      <w:bookmarkStart w:id="87" w:name="_Toc152042316"/>
      <w:bookmarkStart w:id="88" w:name="_Toc16623"/>
      <w:bookmarkStart w:id="89" w:name="_Toc144974508"/>
      <w:bookmarkStart w:id="90" w:name="_Toc300834960"/>
      <w:bookmarkStart w:id="91" w:name="_Toc352691484"/>
      <w:bookmarkStart w:id="92" w:name="_Toc369531526"/>
      <w:bookmarkStart w:id="93" w:name="_Toc384308220"/>
      <w:bookmarkStart w:id="94" w:name="_Toc361508595"/>
      <w:bookmarkStart w:id="95" w:name="_Toc247513963"/>
      <w:r>
        <w:rPr>
          <w:rFonts w:hint="eastAsia" w:ascii="宋体" w:hAnsi="宋体" w:cs="宋体"/>
          <w:sz w:val="24"/>
          <w:highlight w:val="none"/>
        </w:rPr>
        <w:t>应按投标人须知前附表规定的时间和形式通知招标人，确认已收到该修改。</w:t>
      </w:r>
    </w:p>
    <w:p>
      <w:pPr>
        <w:pStyle w:val="4"/>
        <w:spacing w:before="0" w:after="0" w:line="360" w:lineRule="auto"/>
        <w:rPr>
          <w:rFonts w:ascii="宋体" w:hAnsi="宋体" w:cs="宋体"/>
          <w:highlight w:val="none"/>
        </w:rPr>
      </w:pPr>
      <w:bookmarkStart w:id="96" w:name="_Toc515205210"/>
      <w:bookmarkStart w:id="97" w:name="_Toc102997588"/>
      <w:bookmarkStart w:id="98" w:name="_Toc529196537"/>
      <w:r>
        <w:rPr>
          <w:rFonts w:hint="eastAsia" w:ascii="宋体" w:hAnsi="宋体" w:cs="宋体"/>
          <w:highlight w:val="none"/>
        </w:rPr>
        <w:t>2.</w:t>
      </w:r>
      <w:bookmarkEnd w:id="85"/>
      <w:bookmarkEnd w:id="86"/>
      <w:bookmarkEnd w:id="87"/>
      <w:bookmarkEnd w:id="88"/>
      <w:bookmarkEnd w:id="89"/>
      <w:bookmarkEnd w:id="90"/>
      <w:bookmarkEnd w:id="91"/>
      <w:bookmarkEnd w:id="92"/>
      <w:bookmarkEnd w:id="93"/>
      <w:bookmarkEnd w:id="94"/>
      <w:bookmarkEnd w:id="95"/>
      <w:r>
        <w:rPr>
          <w:rFonts w:hint="eastAsia" w:ascii="宋体" w:hAnsi="宋体" w:cs="宋体"/>
          <w:highlight w:val="none"/>
        </w:rPr>
        <w:t>4 招标文件的异议</w:t>
      </w:r>
      <w:bookmarkEnd w:id="96"/>
      <w:bookmarkEnd w:id="97"/>
      <w:bookmarkEnd w:id="98"/>
    </w:p>
    <w:p>
      <w:pPr>
        <w:spacing w:line="360" w:lineRule="auto"/>
        <w:rPr>
          <w:rFonts w:ascii="宋体" w:hAnsi="宋体" w:cs="宋体"/>
          <w:sz w:val="24"/>
          <w:highlight w:val="none"/>
        </w:rPr>
      </w:pPr>
      <w:r>
        <w:rPr>
          <w:rFonts w:hint="eastAsia" w:ascii="宋体" w:hAnsi="宋体" w:cs="宋体"/>
          <w:sz w:val="24"/>
          <w:highlight w:val="none"/>
        </w:rPr>
        <w:t>投标人或者其他利害关系人对招标文件有异议的，应当在投标截止时间10日前以书面形式提出。招标人将在收到异议之日起3日内作出答复；作出答复前，将暂停招标投标活动。</w:t>
      </w:r>
    </w:p>
    <w:p>
      <w:pPr>
        <w:pStyle w:val="4"/>
        <w:spacing w:before="0" w:after="0" w:line="360" w:lineRule="auto"/>
        <w:rPr>
          <w:rFonts w:ascii="宋体" w:hAnsi="宋体" w:cs="宋体"/>
          <w:highlight w:val="none"/>
        </w:rPr>
      </w:pPr>
      <w:bookmarkStart w:id="99" w:name="_Toc102997589"/>
      <w:bookmarkStart w:id="100" w:name="_Toc529196538"/>
      <w:bookmarkStart w:id="101" w:name="_Toc515205211"/>
      <w:r>
        <w:rPr>
          <w:rFonts w:hint="eastAsia" w:ascii="宋体" w:hAnsi="宋体" w:cs="宋体"/>
          <w:highlight w:val="none"/>
        </w:rPr>
        <w:t>3. 投标文件</w:t>
      </w:r>
      <w:bookmarkEnd w:id="99"/>
      <w:bookmarkEnd w:id="100"/>
      <w:bookmarkEnd w:id="101"/>
    </w:p>
    <w:p>
      <w:pPr>
        <w:pStyle w:val="4"/>
        <w:spacing w:before="0" w:after="0" w:line="360" w:lineRule="auto"/>
        <w:rPr>
          <w:rFonts w:ascii="宋体" w:hAnsi="宋体" w:cs="宋体"/>
          <w:sz w:val="28"/>
          <w:highlight w:val="none"/>
        </w:rPr>
      </w:pPr>
      <w:bookmarkStart w:id="102" w:name="_Toc102997590"/>
      <w:bookmarkStart w:id="103" w:name="_Toc529196539"/>
      <w:bookmarkStart w:id="104" w:name="_Toc515205212"/>
      <w:r>
        <w:rPr>
          <w:rFonts w:hint="eastAsia" w:ascii="宋体" w:hAnsi="宋体" w:cs="宋体"/>
          <w:sz w:val="28"/>
          <w:highlight w:val="none"/>
        </w:rPr>
        <w:t>3.1 投标文件的组成</w:t>
      </w:r>
      <w:bookmarkEnd w:id="102"/>
      <w:bookmarkEnd w:id="103"/>
      <w:bookmarkEnd w:id="104"/>
    </w:p>
    <w:p>
      <w:pPr>
        <w:spacing w:line="360" w:lineRule="auto"/>
        <w:rPr>
          <w:rFonts w:ascii="宋体" w:hAnsi="宋体" w:cs="宋体"/>
          <w:sz w:val="24"/>
          <w:highlight w:val="none"/>
          <w:u w:val="single"/>
        </w:rPr>
      </w:pPr>
      <w:r>
        <w:rPr>
          <w:rFonts w:hint="eastAsia" w:ascii="宋体" w:hAnsi="宋体" w:cs="宋体"/>
          <w:sz w:val="24"/>
          <w:highlight w:val="none"/>
        </w:rPr>
        <w:t>　　3.1.1 投标文件应包括下列内容：</w:t>
      </w:r>
    </w:p>
    <w:p>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（1）投标函及其附录；</w:t>
      </w:r>
    </w:p>
    <w:p>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（2）法定代表人身份证明或授权委托书；</w:t>
      </w:r>
    </w:p>
    <w:p>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（3）投标报价表；</w:t>
      </w:r>
    </w:p>
    <w:p>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（4）资格审查资料；</w:t>
      </w:r>
    </w:p>
    <w:p>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（5）企业资信业绩证明资料；</w:t>
      </w:r>
    </w:p>
    <w:p>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（6）检测方案；</w:t>
      </w:r>
    </w:p>
    <w:p>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（7）技术响应承诺书；</w:t>
      </w:r>
    </w:p>
    <w:p>
      <w:pPr>
        <w:spacing w:line="360" w:lineRule="auto"/>
        <w:rPr>
          <w:rFonts w:ascii="宋体" w:hAnsi="宋体" w:cs="宋体"/>
          <w:sz w:val="24"/>
          <w:szCs w:val="24"/>
          <w:highlight w:val="none"/>
        </w:rPr>
      </w:pPr>
      <w:r>
        <w:rPr>
          <w:rFonts w:hint="eastAsia" w:ascii="宋体" w:hAnsi="宋体" w:cs="宋体"/>
          <w:sz w:val="24"/>
          <w:szCs w:val="24"/>
          <w:highlight w:val="none"/>
          <w:u w:val="single"/>
        </w:rPr>
        <w:t>（8）其他资料（投标人认为需提交的其他资料）。</w:t>
      </w:r>
    </w:p>
    <w:p>
      <w:pPr>
        <w:spacing w:line="360" w:lineRule="auto"/>
        <w:rPr>
          <w:rFonts w:ascii="宋体" w:hAnsi="宋体" w:cs="宋体"/>
          <w:dstrike/>
          <w:sz w:val="24"/>
          <w:highlight w:val="none"/>
        </w:rPr>
      </w:pPr>
      <w:r>
        <w:rPr>
          <w:rFonts w:hint="eastAsia" w:ascii="宋体" w:hAnsi="宋体" w:cs="宋体"/>
          <w:sz w:val="24"/>
          <w:szCs w:val="24"/>
          <w:highlight w:val="none"/>
        </w:rPr>
        <w:t>投标人在评标过程中作出的符合法律法规和招标文件规定的澄清确认，构成投标文件的组成部分。</w:t>
      </w:r>
    </w:p>
    <w:p>
      <w:pPr>
        <w:pStyle w:val="4"/>
        <w:spacing w:before="0" w:after="0" w:line="360" w:lineRule="auto"/>
        <w:rPr>
          <w:rFonts w:ascii="宋体" w:hAnsi="宋体" w:cs="宋体"/>
          <w:sz w:val="28"/>
          <w:szCs w:val="24"/>
          <w:highlight w:val="none"/>
        </w:rPr>
      </w:pPr>
      <w:bookmarkStart w:id="105" w:name="_Toc529196540"/>
      <w:bookmarkStart w:id="106" w:name="_Toc515205213"/>
      <w:bookmarkStart w:id="107" w:name="_Toc514876754"/>
      <w:bookmarkStart w:id="108" w:name="_Toc102997591"/>
      <w:r>
        <w:rPr>
          <w:rFonts w:hint="eastAsia" w:ascii="宋体" w:hAnsi="宋体" w:cs="宋体"/>
          <w:sz w:val="28"/>
          <w:szCs w:val="24"/>
          <w:highlight w:val="none"/>
        </w:rPr>
        <w:t>3.2 投标报价</w:t>
      </w:r>
      <w:bookmarkEnd w:id="105"/>
      <w:bookmarkEnd w:id="106"/>
      <w:bookmarkEnd w:id="107"/>
      <w:bookmarkEnd w:id="108"/>
    </w:p>
    <w:p>
      <w:pPr>
        <w:spacing w:line="360" w:lineRule="auto"/>
        <w:rPr>
          <w:rFonts w:ascii="宋体" w:hAnsi="宋体" w:cs="宋体"/>
          <w:sz w:val="24"/>
          <w:highlight w:val="none"/>
        </w:rPr>
      </w:pPr>
      <w:r>
        <w:rPr>
          <w:rFonts w:hint="eastAsia" w:ascii="宋体" w:hAnsi="宋体" w:cs="宋体"/>
          <w:sz w:val="24"/>
          <w:highlight w:val="none"/>
        </w:rPr>
        <w:t>3.2.1 投标报价应包括国家规定的增值税税金，除投标人须知前附表另有规定外，增值税税金按一般计税方法计算。投标人应按第六章“投标文件格式”的要求在投标函中进行报价并填写投标报价表。</w:t>
      </w:r>
    </w:p>
    <w:p>
      <w:pPr>
        <w:spacing w:line="360" w:lineRule="auto"/>
        <w:rPr>
          <w:rFonts w:ascii="宋体" w:hAnsi="宋体" w:cs="宋体"/>
          <w:sz w:val="24"/>
          <w:highlight w:val="none"/>
        </w:rPr>
      </w:pPr>
      <w:r>
        <w:rPr>
          <w:rFonts w:hint="eastAsia" w:ascii="宋体" w:hAnsi="宋体" w:cs="宋体"/>
          <w:sz w:val="24"/>
          <w:highlight w:val="none"/>
        </w:rPr>
        <w:t>3.2.2 投标人应充分了解该项目的总体情况以及影响投标报价的其他要素。</w:t>
      </w:r>
    </w:p>
    <w:p>
      <w:pPr>
        <w:spacing w:line="360" w:lineRule="auto"/>
        <w:rPr>
          <w:rFonts w:ascii="宋体" w:hAnsi="宋体" w:cs="宋体"/>
          <w:sz w:val="24"/>
          <w:highlight w:val="none"/>
        </w:rPr>
      </w:pPr>
      <w:r>
        <w:rPr>
          <w:rFonts w:hint="eastAsia" w:ascii="宋体" w:hAnsi="宋体" w:cs="宋体"/>
          <w:sz w:val="24"/>
          <w:highlight w:val="none"/>
        </w:rPr>
        <w:t>3.2.3本项目的报价方式见投标人须知前附表。投标人在投标截止时间前修改投标函中的投标报价总额，应同时修改投标文件“报价表”中的相应报价。此修改须符合本章第4.3款的有关要求。</w:t>
      </w:r>
    </w:p>
    <w:p>
      <w:pPr>
        <w:spacing w:line="360" w:lineRule="auto"/>
        <w:rPr>
          <w:rFonts w:ascii="宋体" w:hAnsi="宋体" w:cs="宋体"/>
          <w:sz w:val="24"/>
          <w:highlight w:val="none"/>
        </w:rPr>
      </w:pPr>
      <w:r>
        <w:rPr>
          <w:rFonts w:hint="eastAsia" w:ascii="宋体" w:hAnsi="宋体" w:cs="宋体"/>
          <w:sz w:val="24"/>
          <w:highlight w:val="none"/>
        </w:rPr>
        <w:t>3.2.4．招标人设有最高投标限价的，投标人的投标报价不得超过最高投标限价，最高投标限价在投标人须知前附表中载明。</w:t>
      </w:r>
    </w:p>
    <w:p>
      <w:pPr>
        <w:spacing w:line="360" w:lineRule="auto"/>
        <w:rPr>
          <w:rFonts w:ascii="宋体" w:hAnsi="宋体" w:cs="宋体"/>
          <w:sz w:val="24"/>
          <w:highlight w:val="none"/>
        </w:rPr>
      </w:pPr>
      <w:r>
        <w:rPr>
          <w:rFonts w:hint="eastAsia" w:ascii="宋体" w:hAnsi="宋体" w:cs="宋体"/>
          <w:sz w:val="24"/>
          <w:highlight w:val="none"/>
        </w:rPr>
        <w:t>3.2.5 投标报价的其他要求见投标人须知前附表3.2.5。</w:t>
      </w:r>
    </w:p>
    <w:p>
      <w:pPr>
        <w:pStyle w:val="4"/>
        <w:spacing w:before="0" w:after="0" w:line="360" w:lineRule="auto"/>
        <w:rPr>
          <w:rFonts w:ascii="宋体" w:hAnsi="宋体" w:cs="宋体"/>
          <w:sz w:val="28"/>
          <w:szCs w:val="24"/>
          <w:highlight w:val="none"/>
        </w:rPr>
      </w:pPr>
      <w:bookmarkStart w:id="109" w:name="_Toc102997592"/>
      <w:bookmarkStart w:id="110" w:name="_Toc529196541"/>
      <w:bookmarkStart w:id="111" w:name="_Toc515205214"/>
      <w:r>
        <w:rPr>
          <w:rFonts w:hint="eastAsia" w:ascii="宋体" w:hAnsi="宋体" w:cs="宋体"/>
          <w:sz w:val="28"/>
          <w:szCs w:val="24"/>
          <w:highlight w:val="none"/>
        </w:rPr>
        <w:t>3.3 投标有效期</w:t>
      </w:r>
      <w:bookmarkEnd w:id="109"/>
      <w:bookmarkEnd w:id="110"/>
      <w:bookmarkEnd w:id="111"/>
    </w:p>
    <w:p>
      <w:pPr>
        <w:spacing w:line="360" w:lineRule="auto"/>
        <w:rPr>
          <w:rFonts w:ascii="宋体" w:hAnsi="宋体" w:cs="宋体"/>
          <w:sz w:val="24"/>
          <w:highlight w:val="none"/>
        </w:rPr>
      </w:pPr>
      <w:r>
        <w:rPr>
          <w:rFonts w:hint="eastAsia" w:ascii="宋体" w:hAnsi="宋体" w:cs="宋体"/>
          <w:sz w:val="24"/>
          <w:highlight w:val="none"/>
        </w:rPr>
        <w:t>3.3.1 除投标人须知前附表另有规定外，投标有效期为90天。</w:t>
      </w:r>
    </w:p>
    <w:p>
      <w:pPr>
        <w:spacing w:line="360" w:lineRule="auto"/>
        <w:rPr>
          <w:rFonts w:ascii="宋体" w:hAnsi="宋体" w:cs="宋体"/>
          <w:sz w:val="24"/>
          <w:highlight w:val="none"/>
        </w:rPr>
      </w:pPr>
      <w:r>
        <w:rPr>
          <w:rFonts w:hint="eastAsia" w:ascii="宋体" w:hAnsi="宋体" w:cs="宋体"/>
          <w:sz w:val="24"/>
          <w:highlight w:val="none"/>
        </w:rPr>
        <w:t>3.3.2 在投标有效期内，投标人撤销投标文件的，应承担招标文件和法律规定的责任。</w:t>
      </w:r>
    </w:p>
    <w:p>
      <w:pPr>
        <w:spacing w:line="360" w:lineRule="auto"/>
        <w:rPr>
          <w:rFonts w:ascii="宋体" w:hAnsi="宋体" w:cs="宋体"/>
          <w:sz w:val="24"/>
          <w:highlight w:val="none"/>
        </w:rPr>
      </w:pPr>
      <w:r>
        <w:rPr>
          <w:rFonts w:hint="eastAsia" w:ascii="宋体" w:hAnsi="宋体" w:cs="宋体"/>
          <w:sz w:val="24"/>
          <w:highlight w:val="none"/>
        </w:rPr>
        <w:t>3.3.3 出现特殊情况需要延长投标有效期的，招标人以书面形式通知所有投标人延长投标有效期。投标人应予以书面答复，但不得要求或被允许修改其投标文件；投标人拒绝延长的，其投标失效。</w:t>
      </w:r>
    </w:p>
    <w:p>
      <w:pPr>
        <w:pStyle w:val="4"/>
        <w:spacing w:before="0" w:after="0" w:line="360" w:lineRule="auto"/>
        <w:rPr>
          <w:rFonts w:ascii="宋体" w:hAnsi="宋体" w:cs="宋体"/>
          <w:highlight w:val="none"/>
          <w:u w:val="single"/>
        </w:rPr>
      </w:pPr>
      <w:bookmarkStart w:id="112" w:name="_Toc529196542"/>
      <w:bookmarkStart w:id="113" w:name="_Toc515205215"/>
      <w:bookmarkStart w:id="114" w:name="_Toc102997593"/>
      <w:r>
        <w:rPr>
          <w:rFonts w:hint="eastAsia" w:ascii="宋体" w:hAnsi="宋体" w:cs="宋体"/>
          <w:highlight w:val="none"/>
        </w:rPr>
        <w:t>3.4 投标保证金</w:t>
      </w:r>
      <w:bookmarkEnd w:id="112"/>
      <w:bookmarkEnd w:id="113"/>
      <w:r>
        <w:rPr>
          <w:rFonts w:hint="eastAsia" w:ascii="宋体" w:hAnsi="宋体" w:cs="宋体"/>
          <w:highlight w:val="none"/>
          <w:u w:val="single"/>
        </w:rPr>
        <w:t>（本项目不适用）</w:t>
      </w:r>
      <w:bookmarkEnd w:id="114"/>
    </w:p>
    <w:p>
      <w:pPr>
        <w:spacing w:line="360" w:lineRule="auto"/>
        <w:rPr>
          <w:rFonts w:ascii="宋体" w:hAnsi="宋体" w:cs="宋体"/>
          <w:sz w:val="24"/>
          <w:highlight w:val="none"/>
        </w:rPr>
      </w:pPr>
      <w:r>
        <w:rPr>
          <w:rFonts w:hint="eastAsia" w:ascii="宋体" w:hAnsi="宋体" w:cs="宋体"/>
          <w:sz w:val="24"/>
          <w:highlight w:val="none"/>
        </w:rPr>
        <w:t>3.4.1 投标人在递交投标文件的同时，应按投标人须知前附表规定的金额</w:t>
      </w:r>
      <w:bookmarkStart w:id="115" w:name="_Toc300834966"/>
      <w:bookmarkStart w:id="116" w:name="_Toc384308226"/>
      <w:bookmarkStart w:id="117" w:name="_Toc152045545"/>
      <w:bookmarkStart w:id="118" w:name="_Toc369531532"/>
      <w:bookmarkStart w:id="119" w:name="_Toc352691489"/>
      <w:bookmarkStart w:id="120" w:name="_Toc247527570"/>
      <w:bookmarkStart w:id="121" w:name="_Toc144974513"/>
      <w:bookmarkStart w:id="122" w:name="_Toc4592"/>
      <w:bookmarkStart w:id="123" w:name="_Toc247513969"/>
      <w:bookmarkStart w:id="124" w:name="_Toc361508601"/>
      <w:bookmarkStart w:id="125" w:name="_Toc152042321"/>
      <w:r>
        <w:rPr>
          <w:rFonts w:hint="eastAsia" w:ascii="宋体" w:hAnsi="宋体" w:cs="宋体"/>
          <w:sz w:val="24"/>
          <w:highlight w:val="none"/>
        </w:rPr>
        <w:t>、形式和第六章“投标文</w:t>
      </w:r>
      <w:bookmarkEnd w:id="115"/>
      <w:bookmarkEnd w:id="116"/>
      <w:bookmarkEnd w:id="117"/>
      <w:bookmarkEnd w:id="118"/>
      <w:bookmarkEnd w:id="119"/>
      <w:bookmarkEnd w:id="120"/>
      <w:bookmarkEnd w:id="121"/>
      <w:bookmarkEnd w:id="122"/>
      <w:bookmarkEnd w:id="123"/>
      <w:bookmarkEnd w:id="124"/>
      <w:bookmarkEnd w:id="125"/>
      <w:r>
        <w:rPr>
          <w:rFonts w:hint="eastAsia" w:ascii="宋体" w:hAnsi="宋体" w:cs="宋体"/>
          <w:sz w:val="24"/>
          <w:highlight w:val="none"/>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60" w:lineRule="auto"/>
        <w:jc w:val="left"/>
        <w:rPr>
          <w:rFonts w:ascii="宋体" w:hAnsi="宋体" w:cs="宋体"/>
          <w:sz w:val="24"/>
          <w:highlight w:val="none"/>
        </w:rPr>
      </w:pPr>
      <w:r>
        <w:rPr>
          <w:rFonts w:hint="eastAsia" w:ascii="宋体" w:hAnsi="宋体" w:cs="宋体"/>
          <w:sz w:val="24"/>
          <w:highlight w:val="none"/>
        </w:rPr>
        <w:t>3.4.2 投标人不按本章第3.4.1项</w:t>
      </w:r>
      <w:bookmarkStart w:id="126" w:name="_Toc352691490"/>
      <w:bookmarkStart w:id="127" w:name="_Toc29025"/>
      <w:bookmarkStart w:id="128" w:name="_Toc361508602"/>
      <w:bookmarkStart w:id="129" w:name="_Toc369531533"/>
      <w:bookmarkStart w:id="130" w:name="_Toc384308227"/>
      <w:r>
        <w:rPr>
          <w:rFonts w:hint="eastAsia" w:ascii="宋体" w:hAnsi="宋体" w:cs="宋体"/>
          <w:sz w:val="24"/>
          <w:highlight w:val="none"/>
        </w:rPr>
        <w:t>要求提交投标保证金的，</w:t>
      </w:r>
      <w:bookmarkEnd w:id="126"/>
      <w:bookmarkEnd w:id="127"/>
      <w:bookmarkEnd w:id="128"/>
      <w:bookmarkEnd w:id="129"/>
      <w:bookmarkEnd w:id="130"/>
      <w:r>
        <w:rPr>
          <w:rFonts w:hint="eastAsia" w:ascii="宋体" w:hAnsi="宋体" w:cs="宋体"/>
          <w:sz w:val="24"/>
          <w:highlight w:val="none"/>
        </w:rPr>
        <w:t>评标委员会将否决其投标。</w:t>
      </w:r>
    </w:p>
    <w:p>
      <w:pPr>
        <w:spacing w:line="360" w:lineRule="auto"/>
        <w:rPr>
          <w:rFonts w:ascii="宋体" w:hAnsi="宋体" w:cs="宋体"/>
          <w:sz w:val="24"/>
          <w:highlight w:val="none"/>
        </w:rPr>
      </w:pPr>
      <w:r>
        <w:rPr>
          <w:rFonts w:hint="eastAsia" w:ascii="宋体" w:hAnsi="宋体" w:cs="宋体"/>
          <w:sz w:val="24"/>
          <w:highlight w:val="none"/>
        </w:rPr>
        <w:t>3.4.3 招标人最迟将在与中标人</w:t>
      </w:r>
      <w:bookmarkStart w:id="131" w:name="_Toc352691491"/>
      <w:bookmarkStart w:id="132" w:name="_Toc300834967"/>
      <w:bookmarkStart w:id="133" w:name="_Toc247527571"/>
      <w:bookmarkStart w:id="134" w:name="_Toc247513970"/>
      <w:bookmarkStart w:id="135" w:name="_Toc361508603"/>
      <w:bookmarkStart w:id="136" w:name="_Toc14751"/>
      <w:bookmarkStart w:id="137" w:name="_Toc152042322"/>
      <w:bookmarkStart w:id="138" w:name="_Toc369531534"/>
      <w:bookmarkStart w:id="139" w:name="_Toc152045546"/>
      <w:bookmarkStart w:id="140" w:name="_Toc144974514"/>
      <w:bookmarkStart w:id="141" w:name="_Toc384308228"/>
      <w:r>
        <w:rPr>
          <w:rFonts w:hint="eastAsia" w:ascii="宋体" w:hAnsi="宋体" w:cs="宋体"/>
          <w:sz w:val="24"/>
          <w:highlight w:val="none"/>
        </w:rPr>
        <w:t>签订合同后5日</w:t>
      </w:r>
      <w:bookmarkEnd w:id="131"/>
      <w:bookmarkEnd w:id="132"/>
      <w:bookmarkEnd w:id="133"/>
      <w:bookmarkEnd w:id="134"/>
      <w:bookmarkEnd w:id="135"/>
      <w:bookmarkEnd w:id="136"/>
      <w:bookmarkEnd w:id="137"/>
      <w:bookmarkEnd w:id="138"/>
      <w:bookmarkEnd w:id="139"/>
      <w:bookmarkEnd w:id="140"/>
      <w:bookmarkEnd w:id="141"/>
      <w:r>
        <w:rPr>
          <w:rFonts w:hint="eastAsia" w:ascii="宋体" w:hAnsi="宋体" w:cs="宋体"/>
          <w:sz w:val="24"/>
          <w:highlight w:val="none"/>
        </w:rPr>
        <w:t>内</w:t>
      </w:r>
      <w:bookmarkStart w:id="142" w:name="_Toc144974515"/>
      <w:bookmarkStart w:id="143" w:name="_Toc352691492"/>
      <w:bookmarkStart w:id="144" w:name="_Toc384308229"/>
      <w:bookmarkStart w:id="145" w:name="_Toc361508604"/>
      <w:bookmarkStart w:id="146" w:name="_Toc152045547"/>
      <w:bookmarkStart w:id="147" w:name="_Toc369531535"/>
      <w:bookmarkStart w:id="148" w:name="_Toc17952"/>
      <w:bookmarkStart w:id="149" w:name="_Toc152042323"/>
      <w:bookmarkStart w:id="150" w:name="_Toc247527572"/>
      <w:bookmarkStart w:id="151" w:name="_Toc247513971"/>
      <w:bookmarkStart w:id="152" w:name="_Toc300834968"/>
      <w:r>
        <w:rPr>
          <w:rFonts w:hint="eastAsia" w:ascii="宋体" w:hAnsi="宋体" w:cs="宋体"/>
          <w:sz w:val="24"/>
          <w:highlight w:val="none"/>
        </w:rPr>
        <w:t>，向未中标的投标人和中</w:t>
      </w:r>
      <w:bookmarkEnd w:id="142"/>
      <w:bookmarkEnd w:id="143"/>
      <w:bookmarkEnd w:id="144"/>
      <w:bookmarkEnd w:id="145"/>
      <w:bookmarkEnd w:id="146"/>
      <w:bookmarkEnd w:id="147"/>
      <w:bookmarkEnd w:id="148"/>
      <w:bookmarkEnd w:id="149"/>
      <w:bookmarkEnd w:id="150"/>
      <w:bookmarkEnd w:id="151"/>
      <w:bookmarkEnd w:id="152"/>
      <w:r>
        <w:rPr>
          <w:rFonts w:hint="eastAsia" w:ascii="宋体" w:hAnsi="宋体" w:cs="宋体"/>
          <w:sz w:val="24"/>
          <w:highlight w:val="none"/>
        </w:rPr>
        <w:t>标人退还投标保证金。投标保证金以现金或者支票形式递交的，还应退还银行同期存款利息。</w:t>
      </w:r>
    </w:p>
    <w:p>
      <w:pPr>
        <w:spacing w:line="360" w:lineRule="auto"/>
        <w:rPr>
          <w:rFonts w:ascii="宋体" w:hAnsi="宋体" w:cs="宋体"/>
          <w:sz w:val="24"/>
          <w:highlight w:val="none"/>
        </w:rPr>
      </w:pPr>
      <w:r>
        <w:rPr>
          <w:rFonts w:hint="eastAsia" w:ascii="宋体" w:hAnsi="宋体" w:cs="宋体"/>
          <w:sz w:val="24"/>
          <w:highlight w:val="none"/>
        </w:rPr>
        <w:t>3.4.4 有下列情形之一的，投标保证金将不予退还：</w:t>
      </w:r>
    </w:p>
    <w:p>
      <w:pPr>
        <w:spacing w:line="360" w:lineRule="auto"/>
        <w:rPr>
          <w:rFonts w:ascii="宋体" w:hAnsi="宋体" w:cs="宋体"/>
          <w:sz w:val="24"/>
          <w:highlight w:val="none"/>
        </w:rPr>
      </w:pPr>
      <w:r>
        <w:rPr>
          <w:rFonts w:hint="eastAsia" w:ascii="宋体" w:hAnsi="宋体" w:cs="宋体"/>
          <w:sz w:val="24"/>
          <w:highlight w:val="none"/>
        </w:rPr>
        <w:t>（1）投标人在投标有效期内撤销投标文件；</w:t>
      </w:r>
    </w:p>
    <w:p>
      <w:pPr>
        <w:spacing w:line="360" w:lineRule="auto"/>
        <w:rPr>
          <w:rFonts w:ascii="宋体" w:hAnsi="宋体" w:cs="宋体"/>
          <w:sz w:val="24"/>
          <w:highlight w:val="none"/>
        </w:rPr>
      </w:pPr>
      <w:r>
        <w:rPr>
          <w:rFonts w:hint="eastAsia" w:ascii="宋体" w:hAnsi="宋体" w:cs="宋体"/>
          <w:sz w:val="24"/>
          <w:highlight w:val="none"/>
        </w:rPr>
        <w:t>（2）中标人在收到中标通知书后，无正当理由不与招标人订立合同，在签订合同时向招标人提出附加条件，或者不按照招标文件要求提交履约保证金；</w:t>
      </w:r>
    </w:p>
    <w:p>
      <w:pPr>
        <w:spacing w:line="360" w:lineRule="auto"/>
        <w:rPr>
          <w:rFonts w:ascii="宋体" w:hAnsi="宋体" w:cs="宋体"/>
          <w:sz w:val="24"/>
          <w:highlight w:val="none"/>
        </w:rPr>
      </w:pPr>
      <w:r>
        <w:rPr>
          <w:rFonts w:hint="eastAsia" w:ascii="宋体" w:hAnsi="宋体" w:cs="宋体"/>
          <w:sz w:val="24"/>
          <w:highlight w:val="none"/>
        </w:rPr>
        <w:t>（3）发生投标人须知前附表规定的其他可以不予退还投标保证金的情形。</w:t>
      </w:r>
    </w:p>
    <w:p>
      <w:pPr>
        <w:pStyle w:val="4"/>
        <w:spacing w:before="0" w:after="0" w:line="360" w:lineRule="auto"/>
        <w:rPr>
          <w:rFonts w:ascii="宋体" w:hAnsi="宋体" w:cs="宋体"/>
          <w:highlight w:val="none"/>
        </w:rPr>
      </w:pPr>
      <w:bookmarkStart w:id="153" w:name="_Toc529196544"/>
      <w:bookmarkStart w:id="154" w:name="_Toc515205217"/>
      <w:bookmarkStart w:id="155" w:name="_Toc102997594"/>
      <w:r>
        <w:rPr>
          <w:rFonts w:hint="eastAsia" w:ascii="宋体" w:hAnsi="宋体" w:cs="宋体"/>
          <w:highlight w:val="none"/>
        </w:rPr>
        <w:t>3.5 资格审查资料</w:t>
      </w:r>
      <w:bookmarkEnd w:id="153"/>
      <w:bookmarkEnd w:id="154"/>
      <w:bookmarkEnd w:id="155"/>
      <w:bookmarkStart w:id="156" w:name="_Toc515205218"/>
      <w:bookmarkStart w:id="157" w:name="_Toc529196545"/>
    </w:p>
    <w:p>
      <w:pPr>
        <w:spacing w:line="360" w:lineRule="auto"/>
        <w:rPr>
          <w:rFonts w:ascii="宋体" w:hAnsi="宋体" w:cs="宋体"/>
          <w:sz w:val="24"/>
          <w:highlight w:val="none"/>
          <w:u w:val="single"/>
        </w:rPr>
      </w:pPr>
      <w:r>
        <w:rPr>
          <w:rFonts w:hint="eastAsia" w:ascii="宋体" w:hAnsi="宋体" w:cs="宋体"/>
          <w:sz w:val="24"/>
          <w:highlight w:val="none"/>
          <w:u w:val="single"/>
        </w:rPr>
        <w:t>3.5.1事业单位登记管理部门核发的事业单位法人证书或工商行政（或市场监督）管理部门核发的企业法人营业执照；</w:t>
      </w:r>
    </w:p>
    <w:p>
      <w:pPr>
        <w:spacing w:line="360" w:lineRule="auto"/>
        <w:rPr>
          <w:rFonts w:ascii="宋体" w:hAnsi="宋体" w:cs="宋体"/>
          <w:sz w:val="24"/>
          <w:highlight w:val="none"/>
          <w:u w:val="single"/>
        </w:rPr>
      </w:pPr>
      <w:r>
        <w:rPr>
          <w:rFonts w:hint="eastAsia" w:ascii="宋体" w:hAnsi="宋体" w:cs="宋体"/>
          <w:sz w:val="24"/>
          <w:highlight w:val="none"/>
          <w:u w:val="single"/>
        </w:rPr>
        <w:t>3.5.2资质证书（检测、勘察）；</w:t>
      </w:r>
    </w:p>
    <w:p>
      <w:pPr>
        <w:spacing w:line="360" w:lineRule="auto"/>
        <w:rPr>
          <w:rFonts w:ascii="宋体" w:hAnsi="宋体" w:cs="宋体"/>
          <w:sz w:val="24"/>
          <w:highlight w:val="none"/>
          <w:u w:val="single"/>
        </w:rPr>
      </w:pPr>
      <w:r>
        <w:rPr>
          <w:rFonts w:hint="eastAsia" w:ascii="宋体" w:hAnsi="宋体" w:cs="宋体"/>
          <w:sz w:val="24"/>
          <w:highlight w:val="none"/>
          <w:u w:val="single"/>
        </w:rPr>
        <w:t>3.5.3 质量技术监督管理部门颁发的CMA计量认证合格证书（或CMA检验检测机构资质认定证书）；</w:t>
      </w:r>
    </w:p>
    <w:p>
      <w:pPr>
        <w:spacing w:line="360" w:lineRule="auto"/>
        <w:rPr>
          <w:rFonts w:ascii="宋体" w:hAnsi="宋体" w:cs="宋体"/>
          <w:sz w:val="24"/>
          <w:highlight w:val="none"/>
          <w:u w:val="single"/>
        </w:rPr>
      </w:pPr>
      <w:r>
        <w:rPr>
          <w:rFonts w:hint="eastAsia" w:ascii="宋体" w:hAnsi="宋体" w:cs="宋体"/>
          <w:sz w:val="24"/>
          <w:highlight w:val="none"/>
          <w:u w:val="single"/>
        </w:rPr>
        <w:t>3.5.4项目负责人职称证；</w:t>
      </w:r>
    </w:p>
    <w:p>
      <w:pPr>
        <w:spacing w:line="360" w:lineRule="auto"/>
        <w:rPr>
          <w:rFonts w:ascii="宋体" w:hAnsi="宋体" w:cs="宋体"/>
          <w:sz w:val="24"/>
          <w:highlight w:val="none"/>
          <w:u w:val="single"/>
        </w:rPr>
      </w:pPr>
      <w:r>
        <w:rPr>
          <w:rFonts w:hint="eastAsia" w:ascii="宋体" w:hAnsi="宋体" w:cs="宋体"/>
          <w:sz w:val="24"/>
          <w:highlight w:val="none"/>
          <w:u w:val="single"/>
        </w:rPr>
        <w:t>3.5.5投标人声明（按招标公告附件一提供）；</w:t>
      </w:r>
    </w:p>
    <w:p>
      <w:pPr>
        <w:spacing w:line="360" w:lineRule="auto"/>
        <w:rPr>
          <w:rFonts w:ascii="宋体" w:hAnsi="宋体" w:cs="宋体"/>
          <w:sz w:val="24"/>
          <w:highlight w:val="none"/>
          <w:u w:val="single"/>
        </w:rPr>
      </w:pPr>
      <w:r>
        <w:rPr>
          <w:rFonts w:hint="eastAsia" w:ascii="宋体" w:hAnsi="宋体" w:cs="宋体"/>
          <w:sz w:val="24"/>
          <w:highlight w:val="none"/>
          <w:u w:val="single"/>
        </w:rPr>
        <w:t>3.5.6投标人认为需提供的其他材料。</w:t>
      </w:r>
    </w:p>
    <w:p>
      <w:pPr>
        <w:pStyle w:val="4"/>
        <w:spacing w:before="0" w:after="0" w:line="360" w:lineRule="auto"/>
        <w:rPr>
          <w:rFonts w:ascii="宋体" w:hAnsi="宋体" w:cs="宋体"/>
          <w:highlight w:val="none"/>
        </w:rPr>
      </w:pPr>
      <w:bookmarkStart w:id="158" w:name="_Toc102997595"/>
      <w:r>
        <w:rPr>
          <w:rFonts w:hint="eastAsia" w:ascii="宋体" w:hAnsi="宋体" w:cs="宋体"/>
          <w:highlight w:val="none"/>
        </w:rPr>
        <w:t>3.6 备选投标方案</w:t>
      </w:r>
      <w:bookmarkEnd w:id="156"/>
      <w:bookmarkEnd w:id="157"/>
      <w:bookmarkEnd w:id="158"/>
    </w:p>
    <w:p>
      <w:pPr>
        <w:spacing w:line="360" w:lineRule="auto"/>
        <w:rPr>
          <w:rFonts w:ascii="宋体" w:hAnsi="宋体" w:cs="宋体"/>
          <w:sz w:val="24"/>
          <w:highlight w:val="none"/>
        </w:rPr>
      </w:pPr>
      <w:r>
        <w:rPr>
          <w:rFonts w:hint="eastAsia" w:ascii="宋体" w:hAnsi="宋体" w:cs="宋体"/>
          <w:sz w:val="24"/>
          <w:highlight w:val="none"/>
        </w:rPr>
        <w:t>3.6.1 除投标人须知前附表规定允许外，投标人不得递交备选投标方案，否则其投标将被否决。</w:t>
      </w:r>
    </w:p>
    <w:p>
      <w:pPr>
        <w:spacing w:line="360" w:lineRule="auto"/>
        <w:rPr>
          <w:rFonts w:ascii="宋体" w:hAnsi="宋体" w:cs="宋体"/>
          <w:sz w:val="24"/>
          <w:highlight w:val="none"/>
        </w:rPr>
      </w:pPr>
      <w:r>
        <w:rPr>
          <w:rFonts w:hint="eastAsia" w:ascii="宋体" w:hAnsi="宋体" w:cs="宋体"/>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rPr>
          <w:rFonts w:ascii="宋体" w:hAnsi="宋体" w:cs="宋体"/>
          <w:sz w:val="24"/>
          <w:highlight w:val="none"/>
        </w:rPr>
      </w:pPr>
      <w:r>
        <w:rPr>
          <w:rFonts w:hint="eastAsia" w:ascii="宋体" w:hAnsi="宋体" w:cs="宋体"/>
          <w:sz w:val="24"/>
          <w:highlight w:val="none"/>
        </w:rPr>
        <w:t>3.6.3 投标人提供两个或两个以上投标报价，或者在投标文件中提供一个报价，但同时提供两个或两个以上</w:t>
      </w:r>
      <w:bookmarkStart w:id="159" w:name="_Toc144974518"/>
      <w:bookmarkStart w:id="160" w:name="_Toc352691495"/>
      <w:bookmarkStart w:id="161" w:name="_Toc369531538"/>
      <w:bookmarkStart w:id="162" w:name="_Toc152042326"/>
      <w:bookmarkStart w:id="163" w:name="_Toc152045550"/>
      <w:bookmarkStart w:id="164" w:name="_Toc361508607"/>
      <w:bookmarkStart w:id="165" w:name="_Toc247513974"/>
      <w:bookmarkStart w:id="166" w:name="_Toc29902"/>
      <w:bookmarkStart w:id="167" w:name="_Toc384308232"/>
      <w:bookmarkStart w:id="168" w:name="_Toc300834971"/>
      <w:bookmarkStart w:id="169" w:name="_Toc247527575"/>
      <w:r>
        <w:rPr>
          <w:rFonts w:hint="eastAsia" w:ascii="宋体" w:hAnsi="宋体" w:cs="宋体"/>
          <w:sz w:val="24"/>
          <w:highlight w:val="none"/>
        </w:rPr>
        <w:t>服务方案的</w:t>
      </w:r>
      <w:bookmarkEnd w:id="159"/>
      <w:bookmarkEnd w:id="160"/>
      <w:bookmarkEnd w:id="161"/>
      <w:bookmarkEnd w:id="162"/>
      <w:bookmarkEnd w:id="163"/>
      <w:bookmarkEnd w:id="164"/>
      <w:bookmarkEnd w:id="165"/>
      <w:bookmarkEnd w:id="166"/>
      <w:bookmarkEnd w:id="167"/>
      <w:bookmarkEnd w:id="168"/>
      <w:bookmarkEnd w:id="169"/>
      <w:r>
        <w:rPr>
          <w:rFonts w:hint="eastAsia" w:ascii="宋体" w:hAnsi="宋体" w:cs="宋体"/>
          <w:sz w:val="24"/>
          <w:highlight w:val="none"/>
        </w:rPr>
        <w:t>，视为提供备选方案。</w:t>
      </w:r>
    </w:p>
    <w:p>
      <w:pPr>
        <w:pStyle w:val="4"/>
        <w:spacing w:before="0" w:after="0" w:line="360" w:lineRule="auto"/>
        <w:rPr>
          <w:rFonts w:ascii="宋体" w:hAnsi="宋体" w:cs="宋体"/>
          <w:highlight w:val="none"/>
        </w:rPr>
      </w:pPr>
      <w:bookmarkStart w:id="170" w:name="_Toc515205219"/>
      <w:bookmarkStart w:id="171" w:name="_Toc102997596"/>
      <w:bookmarkStart w:id="172" w:name="_Toc529196546"/>
      <w:r>
        <w:rPr>
          <w:rFonts w:hint="eastAsia" w:ascii="宋体" w:hAnsi="宋体" w:cs="宋体"/>
          <w:highlight w:val="none"/>
        </w:rPr>
        <w:t>3.7 投标文件的编制</w:t>
      </w:r>
      <w:bookmarkEnd w:id="170"/>
      <w:bookmarkEnd w:id="171"/>
      <w:bookmarkEnd w:id="172"/>
    </w:p>
    <w:p>
      <w:pPr>
        <w:spacing w:line="360" w:lineRule="auto"/>
        <w:rPr>
          <w:rFonts w:ascii="宋体" w:hAnsi="宋体" w:cs="宋体"/>
          <w:sz w:val="24"/>
          <w:highlight w:val="none"/>
        </w:rPr>
      </w:pPr>
      <w:r>
        <w:rPr>
          <w:rFonts w:hint="eastAsia" w:ascii="宋体" w:hAnsi="宋体" w:cs="宋体"/>
          <w:sz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rPr>
          <w:rFonts w:ascii="宋体" w:hAnsi="宋体" w:cs="宋体"/>
          <w:sz w:val="24"/>
          <w:highlight w:val="none"/>
        </w:rPr>
      </w:pPr>
      <w:r>
        <w:rPr>
          <w:rFonts w:hint="eastAsia" w:ascii="宋体" w:hAnsi="宋体" w:cs="宋体"/>
          <w:sz w:val="24"/>
          <w:highlight w:val="none"/>
        </w:rPr>
        <w:t>3.7.2 投标文件应当对招标文件有关服务期限、投标有效期、委托人要求、招标范围等实质性内容作出响应。</w:t>
      </w:r>
    </w:p>
    <w:p>
      <w:pPr>
        <w:spacing w:line="360" w:lineRule="auto"/>
        <w:rPr>
          <w:rFonts w:ascii="宋体" w:hAnsi="宋体" w:cs="宋体"/>
          <w:sz w:val="24"/>
          <w:highlight w:val="none"/>
        </w:rPr>
      </w:pPr>
      <w:bookmarkStart w:id="173" w:name="_Toc514946914"/>
      <w:r>
        <w:rPr>
          <w:rFonts w:hint="eastAsia" w:ascii="宋体" w:hAnsi="宋体" w:cs="宋体"/>
          <w:sz w:val="24"/>
          <w:highlight w:val="none"/>
        </w:rPr>
        <w:t>3.7.3投标文件全部采用电子文档，除投标人须知前附表另有规定外，投标文件所附证书证件均为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73"/>
    </w:p>
    <w:p>
      <w:pPr>
        <w:pStyle w:val="4"/>
        <w:spacing w:before="0" w:after="0" w:line="360" w:lineRule="auto"/>
        <w:rPr>
          <w:rFonts w:ascii="宋体" w:hAnsi="宋体" w:cs="宋体"/>
          <w:highlight w:val="none"/>
        </w:rPr>
      </w:pPr>
      <w:bookmarkStart w:id="174" w:name="_Toc515205220"/>
      <w:bookmarkStart w:id="175" w:name="_Toc529196547"/>
      <w:bookmarkStart w:id="176" w:name="_Toc102997597"/>
      <w:r>
        <w:rPr>
          <w:rFonts w:hint="eastAsia" w:ascii="宋体" w:hAnsi="宋体" w:cs="宋体"/>
          <w:highlight w:val="none"/>
        </w:rPr>
        <w:t>4. 投标</w:t>
      </w:r>
      <w:bookmarkEnd w:id="174"/>
      <w:bookmarkEnd w:id="175"/>
      <w:bookmarkEnd w:id="176"/>
    </w:p>
    <w:p>
      <w:pPr>
        <w:pStyle w:val="4"/>
        <w:spacing w:before="0" w:after="0" w:line="360" w:lineRule="auto"/>
        <w:rPr>
          <w:rFonts w:ascii="宋体" w:hAnsi="宋体" w:cs="宋体"/>
          <w:sz w:val="28"/>
          <w:highlight w:val="none"/>
        </w:rPr>
      </w:pPr>
      <w:bookmarkStart w:id="177" w:name="_Toc515205221"/>
      <w:bookmarkStart w:id="178" w:name="_Toc102997598"/>
      <w:bookmarkStart w:id="179" w:name="_Toc529196548"/>
      <w:r>
        <w:rPr>
          <w:rFonts w:hint="eastAsia" w:ascii="宋体" w:hAnsi="宋体" w:cs="宋体"/>
          <w:sz w:val="28"/>
          <w:highlight w:val="none"/>
        </w:rPr>
        <w:t>4.1 投标文件的密封和标记</w:t>
      </w:r>
      <w:bookmarkEnd w:id="177"/>
      <w:bookmarkEnd w:id="178"/>
      <w:bookmarkEnd w:id="179"/>
    </w:p>
    <w:p>
      <w:pPr>
        <w:spacing w:line="360" w:lineRule="auto"/>
        <w:rPr>
          <w:rFonts w:ascii="宋体" w:hAnsi="宋体" w:cs="宋体"/>
          <w:sz w:val="24"/>
          <w:highlight w:val="none"/>
        </w:rPr>
      </w:pPr>
      <w:r>
        <w:rPr>
          <w:rFonts w:hint="eastAsia" w:ascii="宋体" w:hAnsi="宋体" w:cs="宋体"/>
          <w:sz w:val="24"/>
          <w:highlight w:val="none"/>
        </w:rPr>
        <w:t>4.1.1投标人应当按照招标文件和电子招标投标交易平台的要求加密投标文件，具体要求见投标人须知前附表。</w:t>
      </w:r>
    </w:p>
    <w:p>
      <w:pPr>
        <w:spacing w:line="360" w:lineRule="auto"/>
        <w:rPr>
          <w:rFonts w:ascii="宋体" w:hAnsi="宋体" w:cs="宋体"/>
          <w:sz w:val="24"/>
          <w:highlight w:val="none"/>
        </w:rPr>
      </w:pPr>
      <w:r>
        <w:rPr>
          <w:rFonts w:hint="eastAsia" w:ascii="宋体" w:hAnsi="宋体" w:cs="宋体"/>
          <w:sz w:val="24"/>
          <w:highlight w:val="none"/>
        </w:rPr>
        <w:t>4.1.2 投标文件封套上应写明的内容见投标人须知前附表。</w:t>
      </w:r>
    </w:p>
    <w:p>
      <w:pPr>
        <w:spacing w:line="360" w:lineRule="auto"/>
        <w:rPr>
          <w:rFonts w:ascii="宋体" w:hAnsi="宋体" w:cs="宋体"/>
          <w:sz w:val="24"/>
          <w:highlight w:val="none"/>
        </w:rPr>
      </w:pPr>
      <w:r>
        <w:rPr>
          <w:rFonts w:hint="eastAsia" w:ascii="宋体" w:hAnsi="宋体" w:cs="宋体"/>
          <w:sz w:val="24"/>
          <w:highlight w:val="none"/>
        </w:rPr>
        <w:t>4.1.3 未按本章第4.1.1项要求密封的投标文件，招标人将予以拒收。</w:t>
      </w:r>
    </w:p>
    <w:p>
      <w:pPr>
        <w:pStyle w:val="4"/>
        <w:spacing w:before="0" w:after="0" w:line="360" w:lineRule="auto"/>
        <w:rPr>
          <w:rFonts w:ascii="宋体" w:hAnsi="宋体" w:cs="宋体"/>
          <w:sz w:val="28"/>
          <w:szCs w:val="24"/>
          <w:highlight w:val="none"/>
        </w:rPr>
      </w:pPr>
      <w:bookmarkStart w:id="180" w:name="_Toc102997599"/>
      <w:bookmarkStart w:id="181" w:name="_Toc529196549"/>
      <w:bookmarkStart w:id="182" w:name="_Toc515205222"/>
      <w:r>
        <w:rPr>
          <w:rFonts w:hint="eastAsia" w:ascii="宋体" w:hAnsi="宋体" w:cs="宋体"/>
          <w:sz w:val="28"/>
          <w:szCs w:val="24"/>
          <w:highlight w:val="none"/>
        </w:rPr>
        <w:t>4.2 投标文件的递交</w:t>
      </w:r>
      <w:bookmarkEnd w:id="180"/>
      <w:bookmarkEnd w:id="181"/>
      <w:bookmarkEnd w:id="182"/>
    </w:p>
    <w:p>
      <w:pPr>
        <w:spacing w:line="360" w:lineRule="auto"/>
        <w:rPr>
          <w:rFonts w:ascii="宋体" w:hAnsi="宋体" w:cs="宋体"/>
          <w:sz w:val="24"/>
          <w:highlight w:val="none"/>
        </w:rPr>
      </w:pPr>
      <w:r>
        <w:rPr>
          <w:rFonts w:hint="eastAsia" w:ascii="宋体" w:hAnsi="宋体" w:cs="宋体"/>
          <w:sz w:val="24"/>
          <w:highlight w:val="none"/>
        </w:rPr>
        <w:t>4.2.1 投标人应在投标人须知前附表规定的投标截止时间前递交投标文件。</w:t>
      </w:r>
    </w:p>
    <w:p>
      <w:pPr>
        <w:spacing w:line="360" w:lineRule="auto"/>
        <w:rPr>
          <w:rFonts w:ascii="宋体" w:hAnsi="宋体" w:cs="宋体"/>
          <w:sz w:val="24"/>
          <w:highlight w:val="none"/>
        </w:rPr>
      </w:pPr>
      <w:r>
        <w:rPr>
          <w:rFonts w:hint="eastAsia" w:ascii="宋体" w:hAnsi="宋体" w:cs="宋体"/>
          <w:sz w:val="24"/>
          <w:highlight w:val="none"/>
        </w:rPr>
        <w:t>4.2.2投标人通过下载招标文件的电子招标投标交易平台递交电子投标文件。</w:t>
      </w:r>
    </w:p>
    <w:p>
      <w:pPr>
        <w:spacing w:line="360" w:lineRule="auto"/>
        <w:rPr>
          <w:rFonts w:ascii="宋体" w:hAnsi="宋体" w:cs="宋体"/>
          <w:sz w:val="24"/>
          <w:highlight w:val="none"/>
        </w:rPr>
      </w:pPr>
      <w:r>
        <w:rPr>
          <w:rFonts w:hint="eastAsia" w:ascii="宋体" w:hAnsi="宋体" w:cs="宋体"/>
          <w:sz w:val="24"/>
          <w:highlight w:val="none"/>
        </w:rPr>
        <w:t>4.2.3 除投标人须知前附表另有规定外，投标人所递交的投标文件不予退还。</w:t>
      </w:r>
    </w:p>
    <w:p>
      <w:pPr>
        <w:spacing w:line="360" w:lineRule="auto"/>
        <w:rPr>
          <w:rFonts w:ascii="宋体" w:hAnsi="宋体" w:cs="宋体"/>
          <w:sz w:val="24"/>
          <w:highlight w:val="none"/>
        </w:rPr>
      </w:pPr>
      <w:r>
        <w:rPr>
          <w:rFonts w:hint="eastAsia" w:ascii="宋体" w:hAnsi="宋体" w:cs="宋体"/>
          <w:sz w:val="24"/>
          <w:highlight w:val="none"/>
        </w:rPr>
        <w:t>4.2.4投标人完成电子投标文件上传后，电子招标投标交易平台即时向投标人发出递交回执通知。递交时间以递交回执通知载明的传输完成时间为准。</w:t>
      </w:r>
    </w:p>
    <w:p>
      <w:pPr>
        <w:spacing w:line="360" w:lineRule="auto"/>
        <w:jc w:val="left"/>
        <w:rPr>
          <w:rFonts w:ascii="宋体" w:hAnsi="宋体" w:cs="宋体"/>
          <w:sz w:val="24"/>
          <w:highlight w:val="none"/>
        </w:rPr>
      </w:pPr>
      <w:r>
        <w:rPr>
          <w:rFonts w:hint="eastAsia" w:ascii="宋体" w:hAnsi="宋体" w:cs="宋体"/>
          <w:sz w:val="24"/>
          <w:highlight w:val="none"/>
        </w:rPr>
        <w:t>4.2.5 逾期送达的投标文件，电子招标投标交易平台将予以拒收。</w:t>
      </w:r>
    </w:p>
    <w:p>
      <w:pPr>
        <w:pStyle w:val="4"/>
        <w:spacing w:before="0" w:after="0" w:line="360" w:lineRule="auto"/>
        <w:rPr>
          <w:rFonts w:ascii="宋体" w:hAnsi="宋体" w:cs="宋体"/>
          <w:sz w:val="28"/>
          <w:szCs w:val="24"/>
          <w:highlight w:val="none"/>
        </w:rPr>
      </w:pPr>
      <w:bookmarkStart w:id="183" w:name="_Toc529196550"/>
      <w:bookmarkStart w:id="184" w:name="_Toc102997600"/>
      <w:bookmarkStart w:id="185" w:name="_Toc515205223"/>
      <w:r>
        <w:rPr>
          <w:rFonts w:hint="eastAsia" w:ascii="宋体" w:hAnsi="宋体" w:cs="宋体"/>
          <w:sz w:val="28"/>
          <w:szCs w:val="24"/>
          <w:highlight w:val="none"/>
        </w:rPr>
        <w:t>4.3 投标文件的修改与撤回</w:t>
      </w:r>
      <w:bookmarkEnd w:id="183"/>
      <w:bookmarkEnd w:id="184"/>
      <w:bookmarkEnd w:id="185"/>
    </w:p>
    <w:p>
      <w:pPr>
        <w:spacing w:line="360" w:lineRule="auto"/>
        <w:rPr>
          <w:rFonts w:ascii="宋体" w:hAnsi="宋体" w:cs="宋体"/>
          <w:sz w:val="24"/>
          <w:highlight w:val="none"/>
        </w:rPr>
      </w:pPr>
      <w:r>
        <w:rPr>
          <w:rFonts w:hint="eastAsia" w:ascii="宋体" w:hAnsi="宋体" w:cs="宋体"/>
          <w:sz w:val="24"/>
          <w:highlight w:val="none"/>
        </w:rPr>
        <w:t>4.3.1 在本章第4.2.1项规定的投标截止时间前，投标人可以修改或撤回已递交的投标文件，但应以书面形式通知招标人。</w:t>
      </w:r>
    </w:p>
    <w:p>
      <w:pPr>
        <w:spacing w:line="360" w:lineRule="auto"/>
        <w:rPr>
          <w:rFonts w:ascii="宋体" w:hAnsi="宋体" w:cs="宋体"/>
          <w:sz w:val="24"/>
          <w:highlight w:val="none"/>
        </w:rPr>
      </w:pPr>
      <w:r>
        <w:rPr>
          <w:rFonts w:hint="eastAsia" w:ascii="宋体" w:hAnsi="宋体" w:cs="宋体"/>
          <w:sz w:val="24"/>
          <w:highlight w:val="none"/>
        </w:rPr>
        <w:t>4.3.2投标人修改或撤回已递交投标文件的通知，应按照本章第3.7.3项的要求加盖电子印章。电子招标投标交易平台收到通知后，即时向投标人发出确认回执通知。</w:t>
      </w:r>
    </w:p>
    <w:p>
      <w:pPr>
        <w:spacing w:line="360" w:lineRule="auto"/>
        <w:rPr>
          <w:rFonts w:ascii="宋体" w:hAnsi="宋体" w:cs="宋体"/>
          <w:sz w:val="24"/>
          <w:highlight w:val="none"/>
        </w:rPr>
      </w:pPr>
      <w:r>
        <w:rPr>
          <w:rFonts w:hint="eastAsia" w:ascii="宋体" w:hAnsi="宋体" w:cs="宋体"/>
          <w:sz w:val="24"/>
          <w:highlight w:val="none"/>
        </w:rPr>
        <w:t>4.3.</w:t>
      </w:r>
      <w:bookmarkStart w:id="186" w:name="_Toc247513977"/>
      <w:bookmarkStart w:id="187" w:name="_Toc352691497"/>
      <w:bookmarkStart w:id="188" w:name="_Toc384308235"/>
      <w:bookmarkStart w:id="189" w:name="_Toc369531541"/>
      <w:bookmarkStart w:id="190" w:name="_Toc247527578"/>
      <w:bookmarkStart w:id="191" w:name="_Toc19203"/>
      <w:bookmarkStart w:id="192" w:name="_Toc361508610"/>
      <w:bookmarkStart w:id="193" w:name="_Toc152045553"/>
      <w:bookmarkStart w:id="194" w:name="_Toc300834974"/>
      <w:bookmarkStart w:id="195" w:name="_Toc152042329"/>
      <w:bookmarkStart w:id="196" w:name="_Toc144974521"/>
      <w:r>
        <w:rPr>
          <w:rFonts w:hint="eastAsia" w:ascii="宋体" w:hAnsi="宋体" w:cs="宋体"/>
          <w:sz w:val="24"/>
          <w:highlight w:val="none"/>
          <w:lang w:val="en-US" w:eastAsia="zh-CN"/>
        </w:rPr>
        <w:t>3</w:t>
      </w:r>
      <w:r>
        <w:rPr>
          <w:rFonts w:hint="eastAsia" w:ascii="宋体" w:hAnsi="宋体" w:cs="宋体"/>
          <w:sz w:val="24"/>
          <w:highlight w:val="none"/>
        </w:rPr>
        <w:t xml:space="preserve"> 修改的内容为投标</w:t>
      </w:r>
      <w:bookmarkEnd w:id="186"/>
      <w:bookmarkEnd w:id="187"/>
      <w:bookmarkEnd w:id="188"/>
      <w:bookmarkEnd w:id="189"/>
      <w:bookmarkEnd w:id="190"/>
      <w:bookmarkEnd w:id="191"/>
      <w:bookmarkEnd w:id="192"/>
      <w:bookmarkEnd w:id="193"/>
      <w:bookmarkEnd w:id="194"/>
      <w:bookmarkEnd w:id="195"/>
      <w:bookmarkEnd w:id="196"/>
      <w:r>
        <w:rPr>
          <w:rFonts w:hint="eastAsia" w:ascii="宋体" w:hAnsi="宋体" w:cs="宋体"/>
          <w:sz w:val="24"/>
          <w:highlight w:val="none"/>
        </w:rPr>
        <w:t>文件的组成部分。修改的投标文件应按照本章第3条、第4条的规定进行编制、密封、标记和递交，并标明“修改”字样。</w:t>
      </w:r>
    </w:p>
    <w:p>
      <w:pPr>
        <w:pStyle w:val="4"/>
        <w:spacing w:before="0" w:after="0" w:line="360" w:lineRule="auto"/>
        <w:rPr>
          <w:rFonts w:ascii="宋体" w:hAnsi="宋体" w:cs="宋体"/>
          <w:highlight w:val="none"/>
        </w:rPr>
      </w:pPr>
      <w:bookmarkStart w:id="197" w:name="_Toc529196551"/>
      <w:bookmarkStart w:id="198" w:name="_Toc102997601"/>
      <w:bookmarkStart w:id="199" w:name="_Toc515205224"/>
      <w:r>
        <w:rPr>
          <w:rFonts w:hint="eastAsia" w:ascii="宋体" w:hAnsi="宋体" w:cs="宋体"/>
          <w:highlight w:val="none"/>
        </w:rPr>
        <w:t>5. 开标</w:t>
      </w:r>
      <w:bookmarkEnd w:id="197"/>
      <w:bookmarkEnd w:id="198"/>
      <w:bookmarkEnd w:id="199"/>
    </w:p>
    <w:p>
      <w:pPr>
        <w:pStyle w:val="4"/>
        <w:spacing w:before="0" w:after="0" w:line="360" w:lineRule="auto"/>
        <w:rPr>
          <w:rFonts w:ascii="宋体" w:hAnsi="宋体" w:cs="宋体"/>
          <w:sz w:val="28"/>
          <w:highlight w:val="none"/>
        </w:rPr>
      </w:pPr>
      <w:bookmarkStart w:id="200" w:name="_Toc102997602"/>
      <w:bookmarkStart w:id="201" w:name="_Toc515205226"/>
      <w:bookmarkStart w:id="202" w:name="_Toc529196553"/>
      <w:r>
        <w:rPr>
          <w:rFonts w:hint="eastAsia" w:ascii="宋体" w:hAnsi="宋体" w:cs="宋体"/>
          <w:sz w:val="28"/>
          <w:highlight w:val="none"/>
        </w:rPr>
        <w:t>5.1 开标时间和地点</w:t>
      </w:r>
      <w:bookmarkEnd w:id="200"/>
      <w:bookmarkEnd w:id="201"/>
      <w:bookmarkEnd w:id="202"/>
    </w:p>
    <w:p>
      <w:pPr>
        <w:spacing w:line="360" w:lineRule="auto"/>
        <w:rPr>
          <w:rFonts w:ascii="宋体" w:hAnsi="宋体" w:cs="宋体"/>
          <w:sz w:val="24"/>
          <w:highlight w:val="none"/>
        </w:rPr>
      </w:pPr>
      <w:r>
        <w:rPr>
          <w:rFonts w:hint="eastAsia" w:ascii="宋体" w:hAnsi="宋体" w:cs="宋体"/>
          <w:sz w:val="24"/>
          <w:highlight w:val="none"/>
        </w:rPr>
        <w:t>招标人在本章第4.2.1项规定的投标截止时间（开标时间）,通过电子招标投标交易平台公开开标，所有投标人的法定代表人或其委托代理人应当准时参加。</w:t>
      </w:r>
    </w:p>
    <w:p>
      <w:pPr>
        <w:pStyle w:val="4"/>
        <w:spacing w:before="0" w:after="0" w:line="360" w:lineRule="auto"/>
        <w:rPr>
          <w:rFonts w:ascii="宋体" w:hAnsi="宋体" w:cs="宋体"/>
          <w:highlight w:val="none"/>
        </w:rPr>
      </w:pPr>
      <w:bookmarkStart w:id="203" w:name="_Toc102997603"/>
      <w:bookmarkStart w:id="204" w:name="_Toc529196554"/>
      <w:bookmarkStart w:id="205" w:name="_Toc515205227"/>
      <w:r>
        <w:rPr>
          <w:rFonts w:hint="eastAsia" w:ascii="宋体" w:hAnsi="宋体" w:cs="宋体"/>
          <w:highlight w:val="none"/>
        </w:rPr>
        <w:t>5.2 开标程序</w:t>
      </w:r>
      <w:bookmarkEnd w:id="203"/>
      <w:bookmarkEnd w:id="204"/>
      <w:bookmarkEnd w:id="205"/>
    </w:p>
    <w:p>
      <w:pPr>
        <w:spacing w:line="360" w:lineRule="auto"/>
        <w:rPr>
          <w:rFonts w:ascii="宋体" w:hAnsi="宋体" w:cs="宋体"/>
          <w:sz w:val="24"/>
          <w:highlight w:val="none"/>
        </w:rPr>
      </w:pPr>
      <w:r>
        <w:rPr>
          <w:rFonts w:hint="eastAsia" w:ascii="宋体" w:hAnsi="宋体" w:cs="宋体"/>
          <w:sz w:val="24"/>
          <w:highlight w:val="none"/>
        </w:rPr>
        <w:t>主持人按下列程序进行开标：</w:t>
      </w:r>
    </w:p>
    <w:p>
      <w:pPr>
        <w:spacing w:line="360" w:lineRule="auto"/>
        <w:rPr>
          <w:rFonts w:ascii="宋体" w:hAnsi="宋体" w:cs="宋体"/>
          <w:sz w:val="24"/>
          <w:highlight w:val="none"/>
        </w:rPr>
      </w:pPr>
      <w:r>
        <w:rPr>
          <w:rFonts w:hint="eastAsia" w:ascii="宋体" w:hAnsi="宋体" w:cs="宋体"/>
          <w:sz w:val="24"/>
          <w:highlight w:val="none"/>
        </w:rPr>
        <w:t>（1）宣布开标纪律；</w:t>
      </w:r>
    </w:p>
    <w:p>
      <w:pPr>
        <w:spacing w:line="360" w:lineRule="auto"/>
        <w:rPr>
          <w:rFonts w:ascii="宋体" w:hAnsi="宋体" w:cs="宋体"/>
          <w:sz w:val="24"/>
          <w:highlight w:val="none"/>
        </w:rPr>
      </w:pPr>
      <w:r>
        <w:rPr>
          <w:rFonts w:hint="eastAsia" w:ascii="宋体" w:hAnsi="宋体" w:cs="宋体"/>
          <w:sz w:val="24"/>
          <w:highlight w:val="none"/>
        </w:rPr>
        <w:t>（2）公布在投标截止时间前递交投标文件的投标人名称；</w:t>
      </w:r>
    </w:p>
    <w:p>
      <w:pPr>
        <w:spacing w:line="360" w:lineRule="auto"/>
        <w:rPr>
          <w:rFonts w:ascii="宋体" w:hAnsi="宋体" w:cs="宋体"/>
          <w:sz w:val="24"/>
          <w:highlight w:val="none"/>
        </w:rPr>
      </w:pPr>
      <w:r>
        <w:rPr>
          <w:rFonts w:hint="eastAsia" w:ascii="宋体" w:hAnsi="宋体" w:cs="宋体"/>
          <w:sz w:val="24"/>
          <w:highlight w:val="none"/>
        </w:rPr>
        <w:t>（3）宣布</w:t>
      </w:r>
      <w:bookmarkStart w:id="206" w:name="_Toc144974522"/>
      <w:bookmarkStart w:id="207" w:name="_Toc152045554"/>
      <w:bookmarkStart w:id="208" w:name="_Toc152042330"/>
      <w:bookmarkStart w:id="209" w:name="_Toc369531542"/>
      <w:bookmarkStart w:id="210" w:name="_Toc361508611"/>
      <w:bookmarkStart w:id="211" w:name="_Toc247513978"/>
      <w:bookmarkStart w:id="212" w:name="_Toc22119"/>
      <w:bookmarkStart w:id="213" w:name="_Toc300834975"/>
      <w:bookmarkStart w:id="214" w:name="_Toc247527579"/>
      <w:bookmarkStart w:id="215" w:name="_Toc352691498"/>
      <w:bookmarkStart w:id="216" w:name="_Toc384308236"/>
      <w:r>
        <w:rPr>
          <w:rFonts w:hint="eastAsia" w:ascii="宋体" w:hAnsi="宋体" w:cs="宋体"/>
          <w:sz w:val="24"/>
          <w:highlight w:val="none"/>
        </w:rPr>
        <w:t>开标人、唱标人、记录人</w:t>
      </w:r>
      <w:bookmarkEnd w:id="206"/>
      <w:bookmarkEnd w:id="207"/>
      <w:bookmarkEnd w:id="208"/>
      <w:bookmarkEnd w:id="209"/>
      <w:bookmarkEnd w:id="210"/>
      <w:bookmarkEnd w:id="211"/>
      <w:bookmarkEnd w:id="212"/>
      <w:bookmarkEnd w:id="213"/>
      <w:bookmarkEnd w:id="214"/>
      <w:bookmarkEnd w:id="215"/>
      <w:bookmarkEnd w:id="216"/>
      <w:r>
        <w:rPr>
          <w:rFonts w:hint="eastAsia" w:ascii="宋体" w:hAnsi="宋体" w:cs="宋体"/>
          <w:sz w:val="24"/>
          <w:highlight w:val="none"/>
        </w:rPr>
        <w:t>、监标人等有关人员姓名；</w:t>
      </w:r>
    </w:p>
    <w:p>
      <w:pPr>
        <w:spacing w:line="360" w:lineRule="auto"/>
        <w:rPr>
          <w:rFonts w:ascii="宋体" w:hAnsi="宋体" w:cs="宋体"/>
          <w:sz w:val="24"/>
          <w:highlight w:val="none"/>
        </w:rPr>
      </w:pPr>
      <w:r>
        <w:rPr>
          <w:rFonts w:hint="eastAsia" w:ascii="宋体" w:hAnsi="宋体" w:cs="宋体"/>
          <w:sz w:val="24"/>
          <w:highlight w:val="none"/>
        </w:rPr>
        <w:t>（4）投标人通过电子招标投标交易平台对已递交的电子投标文件进行解密，公布招标项目名称、投标人名称、投标报价、检测服务期限及其他内容，并记录在案；</w:t>
      </w:r>
    </w:p>
    <w:p>
      <w:pPr>
        <w:spacing w:line="360" w:lineRule="auto"/>
        <w:rPr>
          <w:rFonts w:ascii="宋体" w:hAnsi="宋体" w:cs="宋体"/>
          <w:sz w:val="24"/>
          <w:highlight w:val="none"/>
        </w:rPr>
      </w:pPr>
      <w:r>
        <w:rPr>
          <w:rFonts w:hint="eastAsia" w:ascii="宋体" w:hAnsi="宋体" w:cs="宋体"/>
          <w:sz w:val="24"/>
          <w:highlight w:val="none"/>
        </w:rPr>
        <w:t>（5）投标人代表、招标人代表、监标人、记录人等有关人员使用本人的电子印章在开标记录上签字确认；</w:t>
      </w:r>
    </w:p>
    <w:p>
      <w:pPr>
        <w:spacing w:line="360" w:lineRule="auto"/>
        <w:rPr>
          <w:rFonts w:ascii="宋体" w:hAnsi="宋体" w:cs="宋体"/>
          <w:sz w:val="24"/>
          <w:highlight w:val="none"/>
        </w:rPr>
      </w:pPr>
      <w:r>
        <w:rPr>
          <w:rFonts w:hint="eastAsia" w:ascii="宋体" w:hAnsi="宋体" w:cs="宋体"/>
          <w:sz w:val="24"/>
          <w:highlight w:val="none"/>
        </w:rPr>
        <w:t>（6）开标结束。</w:t>
      </w:r>
    </w:p>
    <w:p>
      <w:pPr>
        <w:pStyle w:val="4"/>
        <w:spacing w:before="0" w:after="0" w:line="360" w:lineRule="auto"/>
        <w:rPr>
          <w:rFonts w:ascii="宋体" w:hAnsi="宋体" w:cs="宋体"/>
          <w:highlight w:val="none"/>
        </w:rPr>
      </w:pPr>
      <w:bookmarkStart w:id="217" w:name="_Toc102997604"/>
      <w:bookmarkStart w:id="218" w:name="_Toc515205228"/>
      <w:bookmarkStart w:id="219" w:name="_Toc529196555"/>
      <w:r>
        <w:rPr>
          <w:rFonts w:hint="eastAsia" w:ascii="宋体" w:hAnsi="宋体" w:cs="宋体"/>
          <w:highlight w:val="none"/>
        </w:rPr>
        <w:t>5.3 开标异议</w:t>
      </w:r>
      <w:bookmarkEnd w:id="217"/>
      <w:bookmarkEnd w:id="218"/>
      <w:bookmarkEnd w:id="219"/>
    </w:p>
    <w:p>
      <w:pPr>
        <w:spacing w:line="360" w:lineRule="auto"/>
        <w:rPr>
          <w:rFonts w:ascii="宋体" w:hAnsi="宋体" w:cs="宋体"/>
          <w:sz w:val="24"/>
          <w:highlight w:val="none"/>
        </w:rPr>
      </w:pPr>
      <w:r>
        <w:rPr>
          <w:rFonts w:hint="eastAsia" w:ascii="宋体" w:hAnsi="宋体" w:cs="宋体"/>
          <w:sz w:val="24"/>
          <w:highlight w:val="none"/>
        </w:rPr>
        <w:t>投标人对开标有异议的，应当在开标现场提出，招标人当场作出答复，并制作记录。</w:t>
      </w:r>
    </w:p>
    <w:p>
      <w:pPr>
        <w:pStyle w:val="4"/>
        <w:spacing w:before="0" w:after="0" w:line="360" w:lineRule="auto"/>
        <w:rPr>
          <w:rFonts w:ascii="宋体" w:hAnsi="宋体" w:cs="宋体"/>
          <w:highlight w:val="none"/>
        </w:rPr>
      </w:pPr>
      <w:bookmarkStart w:id="220" w:name="_Toc102997605"/>
      <w:bookmarkStart w:id="221" w:name="_Toc515205229"/>
      <w:bookmarkStart w:id="222" w:name="_Toc529196556"/>
      <w:r>
        <w:rPr>
          <w:rFonts w:hint="eastAsia" w:ascii="宋体" w:hAnsi="宋体" w:cs="宋体"/>
          <w:highlight w:val="none"/>
        </w:rPr>
        <w:t>6. 评标</w:t>
      </w:r>
      <w:bookmarkEnd w:id="220"/>
      <w:bookmarkEnd w:id="221"/>
      <w:bookmarkEnd w:id="222"/>
    </w:p>
    <w:p>
      <w:pPr>
        <w:pStyle w:val="4"/>
        <w:spacing w:before="0" w:after="0" w:line="360" w:lineRule="auto"/>
        <w:rPr>
          <w:rFonts w:ascii="宋体" w:hAnsi="宋体" w:cs="宋体"/>
          <w:highlight w:val="none"/>
        </w:rPr>
      </w:pPr>
      <w:bookmarkStart w:id="223" w:name="_Toc515205230"/>
      <w:bookmarkStart w:id="224" w:name="_Toc529196557"/>
      <w:bookmarkStart w:id="225" w:name="_Toc102997606"/>
      <w:r>
        <w:rPr>
          <w:rFonts w:hint="eastAsia" w:ascii="宋体" w:hAnsi="宋体" w:cs="宋体"/>
          <w:highlight w:val="none"/>
        </w:rPr>
        <w:t>6.1 评标委员会</w:t>
      </w:r>
      <w:bookmarkEnd w:id="223"/>
      <w:bookmarkEnd w:id="224"/>
      <w:bookmarkEnd w:id="225"/>
    </w:p>
    <w:p>
      <w:pPr>
        <w:spacing w:line="360" w:lineRule="auto"/>
        <w:rPr>
          <w:rFonts w:ascii="宋体" w:hAnsi="宋体" w:cs="宋体"/>
          <w:sz w:val="24"/>
          <w:highlight w:val="none"/>
        </w:rPr>
      </w:pPr>
      <w:r>
        <w:rPr>
          <w:rFonts w:hint="eastAsia" w:ascii="宋体" w:hAnsi="宋体" w:cs="宋体"/>
          <w:sz w:val="24"/>
          <w:highlight w:val="none"/>
        </w:rPr>
        <w:t>6.1.1 评标由招标人依法组建的评标委员会负责。评标委员会成员人数以及技术、经济等方面专家的确定方式见投标人须知前附表。</w:t>
      </w:r>
    </w:p>
    <w:p>
      <w:pPr>
        <w:spacing w:line="360" w:lineRule="auto"/>
        <w:rPr>
          <w:rFonts w:ascii="宋体" w:hAnsi="宋体" w:cs="宋体"/>
          <w:sz w:val="24"/>
          <w:highlight w:val="none"/>
        </w:rPr>
      </w:pPr>
      <w:r>
        <w:rPr>
          <w:rFonts w:hint="eastAsia" w:ascii="宋体" w:hAnsi="宋体" w:cs="宋体"/>
          <w:sz w:val="24"/>
          <w:highlight w:val="none"/>
        </w:rPr>
        <w:t>6.1.2 评标委员会成员有下列情形之一的，应当回避：</w:t>
      </w:r>
    </w:p>
    <w:p>
      <w:pPr>
        <w:spacing w:line="360" w:lineRule="auto"/>
        <w:rPr>
          <w:rFonts w:ascii="宋体" w:hAnsi="宋体" w:cs="宋体"/>
          <w:sz w:val="24"/>
          <w:highlight w:val="none"/>
        </w:rPr>
      </w:pPr>
      <w:r>
        <w:rPr>
          <w:rFonts w:hint="eastAsia" w:ascii="宋体" w:hAnsi="宋体" w:cs="宋体"/>
          <w:sz w:val="24"/>
          <w:highlight w:val="none"/>
        </w:rPr>
        <w:t>（1）投标人或投标人主要负责人的近亲属；</w:t>
      </w:r>
    </w:p>
    <w:p>
      <w:pPr>
        <w:spacing w:line="360" w:lineRule="auto"/>
        <w:rPr>
          <w:rFonts w:ascii="宋体" w:hAnsi="宋体" w:cs="宋体"/>
          <w:sz w:val="24"/>
          <w:highlight w:val="none"/>
        </w:rPr>
      </w:pPr>
      <w:r>
        <w:rPr>
          <w:rFonts w:hint="eastAsia" w:ascii="宋体" w:hAnsi="宋体" w:cs="宋体"/>
          <w:sz w:val="24"/>
          <w:highlight w:val="none"/>
        </w:rPr>
        <w:t>（2）项目主管部门或者行政监督部门的人员；</w:t>
      </w:r>
    </w:p>
    <w:p>
      <w:pPr>
        <w:spacing w:line="360" w:lineRule="auto"/>
        <w:rPr>
          <w:rFonts w:ascii="宋体" w:hAnsi="宋体" w:cs="宋体"/>
          <w:sz w:val="24"/>
          <w:highlight w:val="none"/>
        </w:rPr>
      </w:pPr>
      <w:r>
        <w:rPr>
          <w:rFonts w:hint="eastAsia" w:ascii="宋体" w:hAnsi="宋体" w:cs="宋体"/>
          <w:sz w:val="24"/>
          <w:highlight w:val="none"/>
        </w:rPr>
        <w:t>（3）与投标人有经济利益关系，可能影响对投标公正评审的；</w:t>
      </w:r>
    </w:p>
    <w:p>
      <w:pPr>
        <w:spacing w:line="360" w:lineRule="auto"/>
        <w:rPr>
          <w:rFonts w:ascii="宋体" w:hAnsi="宋体" w:cs="宋体"/>
          <w:sz w:val="24"/>
          <w:highlight w:val="none"/>
        </w:rPr>
      </w:pPr>
      <w:r>
        <w:rPr>
          <w:rFonts w:hint="eastAsia" w:ascii="宋体" w:hAnsi="宋体" w:cs="宋体"/>
          <w:sz w:val="24"/>
          <w:highlight w:val="none"/>
        </w:rPr>
        <w:t>（4）曾因在招标、评</w:t>
      </w:r>
      <w:bookmarkStart w:id="226" w:name="_Toc369531543"/>
      <w:bookmarkStart w:id="227" w:name="_Toc384308237"/>
      <w:bookmarkStart w:id="228" w:name="_Toc144974523"/>
      <w:bookmarkStart w:id="229" w:name="_Toc300834976"/>
      <w:bookmarkStart w:id="230" w:name="_Toc247527580"/>
      <w:bookmarkStart w:id="231" w:name="_Toc6230"/>
      <w:bookmarkStart w:id="232" w:name="_Toc152045555"/>
      <w:bookmarkStart w:id="233" w:name="_Toc247513979"/>
      <w:bookmarkStart w:id="234" w:name="_Toc352691499"/>
      <w:bookmarkStart w:id="235" w:name="_Toc152042331"/>
      <w:bookmarkStart w:id="236" w:name="_Toc361508612"/>
      <w:r>
        <w:rPr>
          <w:rFonts w:hint="eastAsia" w:ascii="宋体" w:hAnsi="宋体" w:cs="宋体"/>
          <w:sz w:val="24"/>
          <w:highlight w:val="none"/>
        </w:rPr>
        <w:t>标以及其他</w:t>
      </w:r>
      <w:bookmarkEnd w:id="226"/>
      <w:bookmarkEnd w:id="227"/>
      <w:bookmarkEnd w:id="228"/>
      <w:bookmarkEnd w:id="229"/>
      <w:bookmarkEnd w:id="230"/>
      <w:bookmarkEnd w:id="231"/>
      <w:bookmarkEnd w:id="232"/>
      <w:bookmarkEnd w:id="233"/>
      <w:bookmarkEnd w:id="234"/>
      <w:bookmarkEnd w:id="235"/>
      <w:bookmarkEnd w:id="236"/>
      <w:r>
        <w:rPr>
          <w:rFonts w:hint="eastAsia" w:ascii="宋体" w:hAnsi="宋体" w:cs="宋体"/>
          <w:sz w:val="24"/>
          <w:highlight w:val="none"/>
        </w:rPr>
        <w:t>与</w:t>
      </w:r>
      <w:bookmarkStart w:id="237" w:name="_Toc152042332"/>
      <w:bookmarkStart w:id="238" w:name="_Toc361508613"/>
      <w:bookmarkStart w:id="239" w:name="_Toc384308238"/>
      <w:bookmarkStart w:id="240" w:name="_Toc247527581"/>
      <w:bookmarkStart w:id="241" w:name="_Toc352691500"/>
      <w:bookmarkStart w:id="242" w:name="_Toc144974524"/>
      <w:bookmarkStart w:id="243" w:name="_Toc300834977"/>
      <w:bookmarkStart w:id="244" w:name="_Toc369531544"/>
      <w:bookmarkStart w:id="245" w:name="_Toc247513980"/>
      <w:bookmarkStart w:id="246" w:name="_Toc152045556"/>
      <w:bookmarkStart w:id="247" w:name="_Toc17703"/>
      <w:r>
        <w:rPr>
          <w:rFonts w:hint="eastAsia" w:ascii="宋体" w:hAnsi="宋体" w:cs="宋体"/>
          <w:sz w:val="24"/>
          <w:highlight w:val="none"/>
        </w:rPr>
        <w:t>招标投标有关活动中从事违法行</w:t>
      </w:r>
      <w:bookmarkEnd w:id="237"/>
      <w:bookmarkEnd w:id="238"/>
      <w:bookmarkEnd w:id="239"/>
      <w:bookmarkEnd w:id="240"/>
      <w:bookmarkEnd w:id="241"/>
      <w:bookmarkEnd w:id="242"/>
      <w:bookmarkEnd w:id="243"/>
      <w:bookmarkEnd w:id="244"/>
      <w:bookmarkEnd w:id="245"/>
      <w:bookmarkEnd w:id="246"/>
      <w:bookmarkEnd w:id="247"/>
      <w:r>
        <w:rPr>
          <w:rFonts w:hint="eastAsia" w:ascii="宋体" w:hAnsi="宋体" w:cs="宋体"/>
          <w:sz w:val="24"/>
          <w:highlight w:val="none"/>
        </w:rPr>
        <w:t>为而受过行政处罚或刑事处罚的；</w:t>
      </w:r>
    </w:p>
    <w:p>
      <w:pPr>
        <w:spacing w:line="360" w:lineRule="auto"/>
        <w:rPr>
          <w:rFonts w:ascii="宋体" w:hAnsi="宋体" w:cs="宋体"/>
          <w:sz w:val="24"/>
          <w:highlight w:val="none"/>
        </w:rPr>
      </w:pPr>
      <w:r>
        <w:rPr>
          <w:rFonts w:hint="eastAsia" w:ascii="宋体" w:hAnsi="宋体" w:cs="宋体"/>
          <w:sz w:val="24"/>
          <w:highlight w:val="none"/>
        </w:rPr>
        <w:t>（5）与投标人有其他利害关系。</w:t>
      </w:r>
    </w:p>
    <w:p>
      <w:pPr>
        <w:spacing w:line="360" w:lineRule="auto"/>
        <w:rPr>
          <w:rFonts w:ascii="宋体" w:hAnsi="宋体" w:cs="宋体"/>
          <w:sz w:val="24"/>
          <w:highlight w:val="none"/>
        </w:rPr>
      </w:pPr>
      <w:r>
        <w:rPr>
          <w:rFonts w:hint="eastAsia" w:ascii="宋体" w:hAnsi="宋体" w:cs="宋体"/>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before="0" w:after="0" w:line="360" w:lineRule="auto"/>
        <w:rPr>
          <w:rFonts w:ascii="宋体" w:hAnsi="宋体" w:cs="宋体"/>
          <w:highlight w:val="none"/>
        </w:rPr>
      </w:pPr>
      <w:bookmarkStart w:id="248" w:name="_Toc529196558"/>
      <w:bookmarkStart w:id="249" w:name="_Toc102997607"/>
      <w:bookmarkStart w:id="250" w:name="_Toc515205231"/>
      <w:r>
        <w:rPr>
          <w:rFonts w:hint="eastAsia" w:ascii="宋体" w:hAnsi="宋体" w:cs="宋体"/>
          <w:highlight w:val="none"/>
        </w:rPr>
        <w:t>6.2 评标原则</w:t>
      </w:r>
      <w:bookmarkEnd w:id="248"/>
      <w:bookmarkEnd w:id="249"/>
      <w:bookmarkEnd w:id="250"/>
    </w:p>
    <w:p>
      <w:pPr>
        <w:spacing w:line="360" w:lineRule="auto"/>
        <w:rPr>
          <w:rFonts w:ascii="宋体" w:hAnsi="宋体" w:cs="宋体"/>
          <w:sz w:val="24"/>
          <w:highlight w:val="none"/>
        </w:rPr>
      </w:pPr>
      <w:r>
        <w:rPr>
          <w:rFonts w:hint="eastAsia" w:ascii="宋体" w:hAnsi="宋体" w:cs="宋体"/>
          <w:sz w:val="24"/>
          <w:highlight w:val="none"/>
        </w:rPr>
        <w:t>评标活动遵循公平、公正、科学和择优的原</w:t>
      </w:r>
      <w:bookmarkStart w:id="251" w:name="_Toc247527582"/>
      <w:bookmarkStart w:id="252" w:name="_Toc18949"/>
      <w:bookmarkStart w:id="253" w:name="_Toc352691501"/>
      <w:bookmarkStart w:id="254" w:name="_Toc144974525"/>
      <w:bookmarkStart w:id="255" w:name="_Toc369531545"/>
      <w:bookmarkStart w:id="256" w:name="_Toc384308239"/>
      <w:bookmarkStart w:id="257" w:name="_Toc247513981"/>
      <w:bookmarkStart w:id="258" w:name="_Toc300834978"/>
      <w:bookmarkStart w:id="259" w:name="_Toc152042333"/>
      <w:bookmarkStart w:id="260" w:name="_Toc152045557"/>
      <w:bookmarkStart w:id="261" w:name="_Toc361508614"/>
      <w:r>
        <w:rPr>
          <w:rFonts w:hint="eastAsia" w:ascii="宋体" w:hAnsi="宋体" w:cs="宋体"/>
          <w:sz w:val="24"/>
          <w:highlight w:val="none"/>
        </w:rPr>
        <w:t>则。</w:t>
      </w:r>
    </w:p>
    <w:p>
      <w:pPr>
        <w:pStyle w:val="4"/>
        <w:spacing w:before="0" w:after="0" w:line="360" w:lineRule="auto"/>
        <w:rPr>
          <w:rFonts w:ascii="宋体" w:hAnsi="宋体" w:cs="宋体"/>
          <w:highlight w:val="none"/>
        </w:rPr>
      </w:pPr>
      <w:bookmarkStart w:id="262" w:name="_Toc515205232"/>
      <w:bookmarkStart w:id="263" w:name="_Toc102997608"/>
      <w:bookmarkStart w:id="264" w:name="_Toc529196559"/>
      <w:r>
        <w:rPr>
          <w:rFonts w:hint="eastAsia" w:ascii="宋体" w:hAnsi="宋体" w:cs="宋体"/>
          <w:highlight w:val="none"/>
        </w:rPr>
        <w:t>6.3 评标</w:t>
      </w:r>
      <w:bookmarkEnd w:id="262"/>
      <w:bookmarkEnd w:id="263"/>
      <w:bookmarkEnd w:id="264"/>
    </w:p>
    <w:p>
      <w:pPr>
        <w:spacing w:line="360" w:lineRule="auto"/>
        <w:rPr>
          <w:rFonts w:ascii="宋体" w:hAnsi="宋体" w:cs="宋体"/>
          <w:sz w:val="24"/>
          <w:highlight w:val="none"/>
        </w:rPr>
      </w:pPr>
      <w:r>
        <w:rPr>
          <w:rFonts w:hint="eastAsia" w:ascii="宋体" w:hAnsi="宋体" w:cs="宋体"/>
          <w:sz w:val="24"/>
          <w:highlight w:val="none"/>
        </w:rPr>
        <w:t>6</w:t>
      </w:r>
      <w:bookmarkEnd w:id="251"/>
      <w:bookmarkEnd w:id="252"/>
      <w:bookmarkEnd w:id="253"/>
      <w:bookmarkEnd w:id="254"/>
      <w:bookmarkEnd w:id="255"/>
      <w:bookmarkEnd w:id="256"/>
      <w:bookmarkEnd w:id="257"/>
      <w:bookmarkEnd w:id="258"/>
      <w:bookmarkEnd w:id="259"/>
      <w:bookmarkEnd w:id="260"/>
      <w:bookmarkEnd w:id="261"/>
      <w:r>
        <w:rPr>
          <w:rFonts w:hint="eastAsia" w:ascii="宋体" w:hAnsi="宋体" w:cs="宋体"/>
          <w:sz w:val="24"/>
          <w:highlight w:val="none"/>
        </w:rPr>
        <w:t>.3.1评标委员会按照第三章“评标办法”规定的方法、评审因素、标准和程序对投标文件进行评审。第三章“评标办法”没有规定的方法、评审因素和标准，不作为评标依据。</w:t>
      </w:r>
    </w:p>
    <w:p>
      <w:pPr>
        <w:spacing w:line="360" w:lineRule="auto"/>
        <w:rPr>
          <w:rFonts w:ascii="宋体" w:hAnsi="宋体" w:cs="宋体"/>
          <w:sz w:val="24"/>
          <w:highlight w:val="none"/>
        </w:rPr>
      </w:pPr>
      <w:r>
        <w:rPr>
          <w:rFonts w:hint="eastAsia" w:ascii="宋体" w:hAnsi="宋体" w:cs="宋体"/>
          <w:sz w:val="24"/>
          <w:highlight w:val="none"/>
        </w:rPr>
        <w:t>6.3.2评标完成后，评标委员会应当向招标人提交书面评标报告和中标候选人名单。评标委员会推荐中标</w:t>
      </w:r>
      <w:bookmarkStart w:id="265" w:name="_Toc152042334"/>
      <w:bookmarkStart w:id="266" w:name="_Toc384308240"/>
      <w:bookmarkStart w:id="267" w:name="_Toc369531546"/>
      <w:bookmarkStart w:id="268" w:name="_Toc247527583"/>
      <w:bookmarkStart w:id="269" w:name="_Toc361508615"/>
      <w:bookmarkStart w:id="270" w:name="_Toc144974526"/>
      <w:bookmarkStart w:id="271" w:name="_Toc300834979"/>
      <w:bookmarkStart w:id="272" w:name="_Toc12259"/>
      <w:bookmarkStart w:id="273" w:name="_Toc152045558"/>
      <w:bookmarkStart w:id="274" w:name="_Toc352691502"/>
      <w:bookmarkStart w:id="275" w:name="_Toc247513982"/>
      <w:r>
        <w:rPr>
          <w:rFonts w:hint="eastAsia" w:ascii="宋体" w:hAnsi="宋体" w:cs="宋体"/>
          <w:sz w:val="24"/>
          <w:highlight w:val="none"/>
        </w:rPr>
        <w:t>候选人的人数见投标人须知前附</w:t>
      </w:r>
      <w:bookmarkEnd w:id="265"/>
      <w:bookmarkEnd w:id="266"/>
      <w:bookmarkEnd w:id="267"/>
      <w:bookmarkEnd w:id="268"/>
      <w:bookmarkEnd w:id="269"/>
      <w:bookmarkEnd w:id="270"/>
      <w:bookmarkEnd w:id="271"/>
      <w:bookmarkEnd w:id="272"/>
      <w:bookmarkEnd w:id="273"/>
      <w:bookmarkEnd w:id="274"/>
      <w:bookmarkEnd w:id="275"/>
      <w:r>
        <w:rPr>
          <w:rFonts w:hint="eastAsia" w:ascii="宋体" w:hAnsi="宋体" w:cs="宋体"/>
          <w:sz w:val="24"/>
          <w:highlight w:val="none"/>
        </w:rPr>
        <w:t>表。</w:t>
      </w:r>
    </w:p>
    <w:p>
      <w:pPr>
        <w:pStyle w:val="4"/>
        <w:spacing w:before="0" w:after="0" w:line="360" w:lineRule="auto"/>
        <w:rPr>
          <w:rFonts w:ascii="宋体" w:hAnsi="宋体" w:cs="宋体"/>
          <w:highlight w:val="none"/>
        </w:rPr>
      </w:pPr>
      <w:bookmarkStart w:id="276" w:name="_Toc529196560"/>
      <w:bookmarkStart w:id="277" w:name="_Toc102997609"/>
      <w:bookmarkStart w:id="278" w:name="_Toc515205233"/>
      <w:r>
        <w:rPr>
          <w:rFonts w:hint="eastAsia" w:ascii="宋体" w:hAnsi="宋体" w:cs="宋体"/>
          <w:highlight w:val="none"/>
        </w:rPr>
        <w:t>7. 合同授予</w:t>
      </w:r>
      <w:bookmarkEnd w:id="276"/>
      <w:bookmarkEnd w:id="277"/>
      <w:bookmarkEnd w:id="278"/>
    </w:p>
    <w:p>
      <w:pPr>
        <w:pStyle w:val="4"/>
        <w:spacing w:before="0" w:after="0" w:line="360" w:lineRule="auto"/>
        <w:rPr>
          <w:rFonts w:ascii="宋体" w:hAnsi="宋体" w:cs="宋体"/>
          <w:highlight w:val="none"/>
        </w:rPr>
      </w:pPr>
      <w:bookmarkStart w:id="279" w:name="_Toc515205234"/>
      <w:bookmarkStart w:id="280" w:name="_Toc102997610"/>
      <w:bookmarkStart w:id="281" w:name="_Toc529196561"/>
      <w:r>
        <w:rPr>
          <w:rFonts w:hint="eastAsia" w:ascii="宋体" w:hAnsi="宋体" w:cs="宋体"/>
          <w:highlight w:val="none"/>
        </w:rPr>
        <w:t>7.1 中标候选人公示</w:t>
      </w:r>
      <w:bookmarkEnd w:id="279"/>
      <w:bookmarkEnd w:id="280"/>
      <w:bookmarkEnd w:id="281"/>
    </w:p>
    <w:p>
      <w:pPr>
        <w:spacing w:line="360" w:lineRule="auto"/>
        <w:rPr>
          <w:rFonts w:ascii="宋体" w:hAnsi="宋体" w:cs="宋体"/>
          <w:sz w:val="24"/>
          <w:highlight w:val="none"/>
        </w:rPr>
      </w:pPr>
      <w:r>
        <w:rPr>
          <w:rFonts w:hint="eastAsia" w:ascii="宋体" w:hAnsi="宋体" w:cs="宋体"/>
          <w:sz w:val="24"/>
          <w:highlight w:val="none"/>
        </w:rPr>
        <w:t>招标人在收到评标报告之日起3日内，按照投标人须知前附表规定的公示媒介和期限公示中标候选人，公示期不得少于3天。</w:t>
      </w:r>
    </w:p>
    <w:p>
      <w:pPr>
        <w:pStyle w:val="4"/>
        <w:spacing w:before="0" w:after="0" w:line="360" w:lineRule="auto"/>
        <w:rPr>
          <w:rFonts w:ascii="宋体" w:hAnsi="宋体" w:cs="宋体"/>
          <w:highlight w:val="none"/>
        </w:rPr>
      </w:pPr>
      <w:bookmarkStart w:id="282" w:name="_Toc515205235"/>
      <w:bookmarkStart w:id="283" w:name="_Toc529196562"/>
      <w:bookmarkStart w:id="284" w:name="_Toc102997611"/>
      <w:r>
        <w:rPr>
          <w:rFonts w:hint="eastAsia" w:ascii="宋体" w:hAnsi="宋体" w:cs="宋体"/>
          <w:highlight w:val="none"/>
        </w:rPr>
        <w:t>7.2 评标结果异议</w:t>
      </w:r>
      <w:bookmarkEnd w:id="282"/>
      <w:bookmarkEnd w:id="283"/>
      <w:bookmarkEnd w:id="284"/>
    </w:p>
    <w:p>
      <w:pPr>
        <w:spacing w:line="360" w:lineRule="auto"/>
        <w:rPr>
          <w:rFonts w:ascii="宋体" w:hAnsi="宋体" w:cs="宋体"/>
          <w:sz w:val="24"/>
          <w:highlight w:val="none"/>
        </w:rPr>
      </w:pPr>
      <w:r>
        <w:rPr>
          <w:rFonts w:hint="eastAsia" w:ascii="宋体" w:hAnsi="宋体" w:cs="宋体"/>
          <w:sz w:val="24"/>
          <w:highlight w:val="none"/>
        </w:rPr>
        <w:t>投标人或者其他利</w:t>
      </w:r>
      <w:bookmarkStart w:id="285" w:name="_Toc144974529"/>
      <w:bookmarkStart w:id="286" w:name="_Toc300834982"/>
      <w:bookmarkStart w:id="287" w:name="_Toc152045561"/>
      <w:bookmarkStart w:id="288" w:name="_Toc152042337"/>
      <w:bookmarkStart w:id="289" w:name="_Toc247513985"/>
      <w:bookmarkStart w:id="290" w:name="_Toc247527586"/>
      <w:bookmarkStart w:id="291" w:name="_Toc352691505"/>
      <w:bookmarkStart w:id="292" w:name="_Toc369531549"/>
      <w:bookmarkStart w:id="293" w:name="_Toc30095"/>
      <w:bookmarkStart w:id="294" w:name="_Toc361508618"/>
      <w:bookmarkStart w:id="295" w:name="_Toc384308243"/>
      <w:r>
        <w:rPr>
          <w:rFonts w:hint="eastAsia" w:ascii="宋体" w:hAnsi="宋体" w:cs="宋体"/>
          <w:sz w:val="24"/>
          <w:highlight w:val="none"/>
        </w:rPr>
        <w:t>害关系人对评标结</w:t>
      </w:r>
      <w:bookmarkEnd w:id="285"/>
      <w:bookmarkEnd w:id="286"/>
      <w:bookmarkEnd w:id="287"/>
      <w:bookmarkEnd w:id="288"/>
      <w:bookmarkEnd w:id="289"/>
      <w:bookmarkEnd w:id="290"/>
      <w:bookmarkEnd w:id="291"/>
      <w:bookmarkEnd w:id="292"/>
      <w:bookmarkEnd w:id="293"/>
      <w:bookmarkEnd w:id="294"/>
      <w:bookmarkEnd w:id="295"/>
      <w:r>
        <w:rPr>
          <w:rFonts w:hint="eastAsia" w:ascii="宋体" w:hAnsi="宋体" w:cs="宋体"/>
          <w:sz w:val="24"/>
          <w:highlight w:val="none"/>
        </w:rPr>
        <w:t>果有异议的，应当在中标候选人公示期间提出。招标人将在收到异议之日起3日内作出答复；作出答复前，将暂停招标投标活动。</w:t>
      </w:r>
    </w:p>
    <w:p>
      <w:pPr>
        <w:pStyle w:val="4"/>
        <w:spacing w:before="0" w:after="0" w:line="360" w:lineRule="auto"/>
        <w:rPr>
          <w:rFonts w:ascii="宋体" w:hAnsi="宋体" w:cs="宋体"/>
          <w:highlight w:val="none"/>
        </w:rPr>
      </w:pPr>
      <w:bookmarkStart w:id="296" w:name="_Toc102997612"/>
      <w:bookmarkStart w:id="297" w:name="_Toc515205236"/>
      <w:bookmarkStart w:id="298" w:name="_Toc529196563"/>
      <w:r>
        <w:rPr>
          <w:rFonts w:hint="eastAsia" w:ascii="宋体" w:hAnsi="宋体" w:cs="宋体"/>
          <w:highlight w:val="none"/>
        </w:rPr>
        <w:t>7.3 中标候选人履约能力审查</w:t>
      </w:r>
      <w:bookmarkEnd w:id="296"/>
      <w:bookmarkEnd w:id="297"/>
      <w:bookmarkEnd w:id="298"/>
    </w:p>
    <w:p>
      <w:pPr>
        <w:spacing w:line="360" w:lineRule="auto"/>
        <w:rPr>
          <w:rFonts w:ascii="宋体" w:hAnsi="宋体" w:cs="宋体"/>
          <w:sz w:val="24"/>
          <w:highlight w:val="none"/>
        </w:rPr>
      </w:pPr>
      <w:r>
        <w:rPr>
          <w:rFonts w:hint="eastAsia" w:ascii="宋体" w:hAnsi="宋体" w:cs="宋体"/>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before="0" w:after="0" w:line="360" w:lineRule="auto"/>
        <w:rPr>
          <w:rFonts w:ascii="宋体" w:hAnsi="宋体" w:cs="宋体"/>
          <w:highlight w:val="none"/>
        </w:rPr>
      </w:pPr>
      <w:bookmarkStart w:id="299" w:name="_Toc102997613"/>
      <w:bookmarkStart w:id="300" w:name="_Toc515205237"/>
      <w:bookmarkStart w:id="301" w:name="_Toc529196564"/>
      <w:r>
        <w:rPr>
          <w:rFonts w:hint="eastAsia" w:ascii="宋体" w:hAnsi="宋体" w:cs="宋体"/>
          <w:highlight w:val="none"/>
        </w:rPr>
        <w:t>7.4 定标</w:t>
      </w:r>
      <w:bookmarkEnd w:id="299"/>
      <w:bookmarkEnd w:id="300"/>
      <w:bookmarkEnd w:id="301"/>
    </w:p>
    <w:p>
      <w:pPr>
        <w:spacing w:line="360" w:lineRule="auto"/>
        <w:rPr>
          <w:rFonts w:ascii="宋体" w:hAnsi="宋体" w:cs="宋体"/>
          <w:sz w:val="24"/>
          <w:highlight w:val="none"/>
        </w:rPr>
      </w:pPr>
      <w:r>
        <w:rPr>
          <w:rFonts w:hint="eastAsia" w:ascii="宋体" w:hAnsi="宋体" w:cs="宋体"/>
          <w:sz w:val="24"/>
          <w:highlight w:val="none"/>
        </w:rPr>
        <w:t>按照投标人须知前附表的规定，招标人或招标人授权的评标委员会依法确定中标人。</w:t>
      </w:r>
    </w:p>
    <w:p>
      <w:pPr>
        <w:pStyle w:val="4"/>
        <w:spacing w:before="0" w:after="0" w:line="360" w:lineRule="auto"/>
        <w:rPr>
          <w:rFonts w:ascii="宋体" w:hAnsi="宋体" w:cs="宋体"/>
          <w:highlight w:val="none"/>
        </w:rPr>
      </w:pPr>
      <w:bookmarkStart w:id="302" w:name="_Toc529196565"/>
      <w:bookmarkStart w:id="303" w:name="_Toc515205238"/>
      <w:bookmarkStart w:id="304" w:name="_Toc102997614"/>
      <w:r>
        <w:rPr>
          <w:rFonts w:hint="eastAsia" w:ascii="宋体" w:hAnsi="宋体" w:cs="宋体"/>
          <w:highlight w:val="none"/>
        </w:rPr>
        <w:t>7.5 中标通知</w:t>
      </w:r>
      <w:bookmarkEnd w:id="302"/>
      <w:bookmarkEnd w:id="303"/>
      <w:bookmarkEnd w:id="304"/>
    </w:p>
    <w:p>
      <w:pPr>
        <w:spacing w:line="360" w:lineRule="auto"/>
        <w:rPr>
          <w:rFonts w:ascii="宋体" w:hAnsi="宋体" w:cs="宋体"/>
          <w:sz w:val="24"/>
          <w:highlight w:val="none"/>
        </w:rPr>
      </w:pPr>
      <w:r>
        <w:rPr>
          <w:rFonts w:hint="eastAsia" w:ascii="宋体" w:hAnsi="宋体" w:cs="宋体"/>
          <w:sz w:val="24"/>
          <w:highlight w:val="none"/>
        </w:rPr>
        <w:t>在本章第3.3款规定的投标有效期内，招标人以书面形式向中标人发出中标</w:t>
      </w:r>
      <w:bookmarkStart w:id="305" w:name="_Toc300834983"/>
      <w:bookmarkStart w:id="306" w:name="_Toc369531550"/>
      <w:bookmarkStart w:id="307" w:name="_Toc361508619"/>
      <w:bookmarkStart w:id="308" w:name="_Toc5668"/>
      <w:bookmarkStart w:id="309" w:name="_Toc384308244"/>
      <w:bookmarkStart w:id="310" w:name="_Toc352691506"/>
      <w:r>
        <w:rPr>
          <w:rFonts w:hint="eastAsia" w:ascii="宋体" w:hAnsi="宋体" w:cs="宋体"/>
          <w:sz w:val="24"/>
          <w:highlight w:val="none"/>
        </w:rPr>
        <w:t>通知书，同时将中</w:t>
      </w:r>
      <w:bookmarkEnd w:id="305"/>
      <w:bookmarkEnd w:id="306"/>
      <w:bookmarkEnd w:id="307"/>
      <w:bookmarkEnd w:id="308"/>
      <w:bookmarkEnd w:id="309"/>
      <w:bookmarkEnd w:id="310"/>
      <w:r>
        <w:rPr>
          <w:rFonts w:hint="eastAsia" w:ascii="宋体" w:hAnsi="宋体" w:cs="宋体"/>
          <w:sz w:val="24"/>
          <w:highlight w:val="none"/>
        </w:rPr>
        <w:t>标结果通知未中标的投标人。</w:t>
      </w:r>
    </w:p>
    <w:p>
      <w:pPr>
        <w:pStyle w:val="4"/>
        <w:spacing w:before="0" w:after="0" w:line="360" w:lineRule="auto"/>
        <w:rPr>
          <w:rFonts w:ascii="宋体" w:hAnsi="宋体" w:cs="宋体"/>
          <w:highlight w:val="none"/>
        </w:rPr>
      </w:pPr>
      <w:bookmarkStart w:id="311" w:name="_Toc515205239"/>
      <w:bookmarkStart w:id="312" w:name="_Toc102997615"/>
      <w:bookmarkStart w:id="313" w:name="_Toc529196566"/>
      <w:r>
        <w:rPr>
          <w:rFonts w:hint="eastAsia" w:ascii="宋体" w:hAnsi="宋体" w:cs="宋体"/>
          <w:highlight w:val="none"/>
        </w:rPr>
        <w:t>7.6 履约保证金</w:t>
      </w:r>
      <w:bookmarkEnd w:id="311"/>
      <w:bookmarkEnd w:id="312"/>
      <w:bookmarkEnd w:id="313"/>
    </w:p>
    <w:p>
      <w:pPr>
        <w:tabs>
          <w:tab w:val="left" w:pos="1050"/>
        </w:tabs>
        <w:spacing w:line="360" w:lineRule="auto"/>
        <w:rPr>
          <w:rFonts w:ascii="宋体" w:hAnsi="宋体" w:cs="宋体"/>
          <w:sz w:val="24"/>
          <w:highlight w:val="none"/>
        </w:rPr>
      </w:pPr>
      <w:r>
        <w:rPr>
          <w:rFonts w:hint="eastAsia" w:ascii="宋体" w:hAnsi="宋体" w:cs="宋体"/>
          <w:sz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Pr>
          <w:rFonts w:hint="eastAsia" w:ascii="宋体" w:hAnsi="宋体" w:cs="宋体"/>
          <w:sz w:val="24"/>
          <w:highlight w:val="none"/>
          <w:lang w:val="en-US" w:eastAsia="zh-CN"/>
        </w:rPr>
        <w:t>5</w:t>
      </w:r>
      <w:r>
        <w:rPr>
          <w:rFonts w:hint="eastAsia" w:ascii="宋体" w:hAnsi="宋体" w:cs="宋体"/>
          <w:sz w:val="24"/>
          <w:highlight w:val="none"/>
        </w:rPr>
        <w:t>%。联合体中标的，其履约保证金以联合体各方或者联合体中牵头人的名义提交。</w:t>
      </w:r>
    </w:p>
    <w:p>
      <w:pPr>
        <w:spacing w:line="360" w:lineRule="auto"/>
        <w:rPr>
          <w:rFonts w:ascii="宋体" w:hAnsi="宋体" w:cs="宋体"/>
          <w:sz w:val="24"/>
          <w:highlight w:val="none"/>
        </w:rPr>
      </w:pPr>
      <w:r>
        <w:rPr>
          <w:rFonts w:hint="eastAsia" w:ascii="宋体" w:hAnsi="宋体" w:cs="宋体"/>
          <w:sz w:val="24"/>
          <w:highlight w:val="none"/>
        </w:rPr>
        <w:t>7.6.2 中标人不能按本章第7.6.1项要求提交履约保证金的，视为放弃中标</w:t>
      </w:r>
      <w:r>
        <w:rPr>
          <w:rFonts w:hint="eastAsia" w:ascii="宋体" w:hAnsi="宋体" w:cs="宋体"/>
          <w:sz w:val="24"/>
          <w:highlight w:val="none"/>
          <w:lang w:eastAsia="zh-CN"/>
        </w:rPr>
        <w:t>，</w:t>
      </w:r>
      <w:r>
        <w:rPr>
          <w:rFonts w:hint="eastAsia" w:ascii="宋体" w:hAnsi="宋体" w:cs="宋体"/>
          <w:sz w:val="24"/>
          <w:highlight w:val="none"/>
        </w:rPr>
        <w:t>给招标人造成的损失，中标人还应当予以赔偿。</w:t>
      </w:r>
    </w:p>
    <w:p>
      <w:pPr>
        <w:pStyle w:val="4"/>
        <w:spacing w:before="0" w:after="0" w:line="360" w:lineRule="auto"/>
        <w:rPr>
          <w:rFonts w:ascii="宋体" w:hAnsi="宋体" w:cs="宋体"/>
          <w:highlight w:val="none"/>
        </w:rPr>
      </w:pPr>
      <w:bookmarkStart w:id="314" w:name="_Toc515205240"/>
      <w:bookmarkStart w:id="315" w:name="_Toc529196567"/>
      <w:bookmarkStart w:id="316" w:name="_Toc102997616"/>
      <w:r>
        <w:rPr>
          <w:rFonts w:hint="eastAsia" w:ascii="宋体" w:hAnsi="宋体" w:cs="宋体"/>
          <w:highlight w:val="none"/>
        </w:rPr>
        <w:t>7.7 签订合同</w:t>
      </w:r>
      <w:bookmarkEnd w:id="314"/>
      <w:bookmarkEnd w:id="315"/>
      <w:bookmarkEnd w:id="316"/>
    </w:p>
    <w:p>
      <w:pPr>
        <w:spacing w:line="360" w:lineRule="auto"/>
        <w:rPr>
          <w:rFonts w:ascii="宋体" w:hAnsi="宋体" w:cs="宋体"/>
          <w:sz w:val="24"/>
          <w:highlight w:val="none"/>
        </w:rPr>
      </w:pPr>
      <w:r>
        <w:rPr>
          <w:rFonts w:hint="eastAsia" w:ascii="宋体" w:hAnsi="宋体" w:cs="宋体"/>
          <w:sz w:val="24"/>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给招标人造成的损失，中标人还应当予以赔偿。</w:t>
      </w:r>
    </w:p>
    <w:p>
      <w:pPr>
        <w:spacing w:line="360" w:lineRule="auto"/>
        <w:rPr>
          <w:rFonts w:ascii="宋体" w:hAnsi="宋体" w:cs="宋体"/>
          <w:sz w:val="24"/>
          <w:highlight w:val="none"/>
        </w:rPr>
      </w:pPr>
      <w:r>
        <w:rPr>
          <w:rFonts w:hint="eastAsia" w:ascii="宋体" w:hAnsi="宋体" w:cs="宋体"/>
          <w:sz w:val="24"/>
          <w:highlight w:val="none"/>
        </w:rPr>
        <w:t>7.7.2 发出中标通知书后，招标人无正当理由拒签合同，或者在签订合同时向中标人提出附加条件的</w:t>
      </w:r>
      <w:r>
        <w:rPr>
          <w:rFonts w:hint="eastAsia" w:ascii="宋体" w:hAnsi="宋体" w:cs="宋体"/>
          <w:sz w:val="24"/>
          <w:highlight w:val="none"/>
          <w:lang w:eastAsia="zh-CN"/>
        </w:rPr>
        <w:t>；</w:t>
      </w:r>
      <w:r>
        <w:rPr>
          <w:rFonts w:hint="eastAsia" w:ascii="宋体" w:hAnsi="宋体" w:cs="宋体"/>
          <w:sz w:val="24"/>
          <w:highlight w:val="none"/>
        </w:rPr>
        <w:t>给中标人造成损失的，还应当赔偿损失。</w:t>
      </w:r>
    </w:p>
    <w:p>
      <w:pPr>
        <w:spacing w:line="360" w:lineRule="auto"/>
        <w:rPr>
          <w:rFonts w:ascii="宋体" w:hAnsi="宋体" w:cs="宋体"/>
          <w:sz w:val="24"/>
          <w:highlight w:val="none"/>
        </w:rPr>
      </w:pPr>
      <w:r>
        <w:rPr>
          <w:rFonts w:hint="eastAsia" w:ascii="宋体" w:hAnsi="宋体" w:cs="宋体"/>
          <w:sz w:val="24"/>
          <w:highlight w:val="none"/>
        </w:rPr>
        <w:t>7.7.3联合体中标的，联合体各方应当共同与招标人签订合同，就中标项目向招标人承担连带责任。</w:t>
      </w:r>
    </w:p>
    <w:p>
      <w:pPr>
        <w:pStyle w:val="4"/>
        <w:spacing w:before="0" w:after="0" w:line="360" w:lineRule="auto"/>
        <w:rPr>
          <w:rFonts w:ascii="宋体" w:hAnsi="宋体" w:cs="宋体"/>
          <w:highlight w:val="none"/>
        </w:rPr>
      </w:pPr>
      <w:bookmarkStart w:id="317" w:name="_Toc384308252"/>
      <w:bookmarkStart w:id="318" w:name="_Toc361508627"/>
      <w:bookmarkStart w:id="319" w:name="_Toc24067"/>
      <w:bookmarkStart w:id="320" w:name="_Toc102997617"/>
      <w:bookmarkStart w:id="321" w:name="_Toc515205241"/>
      <w:bookmarkStart w:id="322" w:name="_Toc529196568"/>
      <w:bookmarkStart w:id="323" w:name="_Toc152042344"/>
      <w:bookmarkStart w:id="324" w:name="_Toc144974536"/>
      <w:bookmarkStart w:id="325" w:name="_Toc247513992"/>
      <w:bookmarkStart w:id="326" w:name="_Toc300834991"/>
      <w:bookmarkStart w:id="327" w:name="_Toc247527593"/>
      <w:bookmarkStart w:id="328" w:name="_Toc152045568"/>
      <w:r>
        <w:rPr>
          <w:rFonts w:hint="eastAsia" w:ascii="宋体" w:hAnsi="宋体" w:cs="宋体"/>
          <w:highlight w:val="none"/>
        </w:rPr>
        <w:t>8.</w:t>
      </w:r>
      <w:bookmarkEnd w:id="317"/>
      <w:bookmarkEnd w:id="318"/>
      <w:bookmarkEnd w:id="319"/>
      <w:r>
        <w:rPr>
          <w:rFonts w:hint="eastAsia" w:ascii="宋体" w:hAnsi="宋体" w:cs="宋体"/>
          <w:highlight w:val="none"/>
        </w:rPr>
        <w:t>纪律和监督</w:t>
      </w:r>
      <w:bookmarkEnd w:id="320"/>
      <w:bookmarkEnd w:id="321"/>
      <w:bookmarkEnd w:id="322"/>
    </w:p>
    <w:p>
      <w:pPr>
        <w:pStyle w:val="4"/>
        <w:spacing w:before="0" w:after="0" w:line="360" w:lineRule="auto"/>
        <w:rPr>
          <w:rFonts w:ascii="宋体" w:hAnsi="宋体" w:cs="宋体"/>
          <w:highlight w:val="none"/>
        </w:rPr>
      </w:pPr>
      <w:bookmarkStart w:id="329" w:name="_Toc515205242"/>
      <w:bookmarkStart w:id="330" w:name="_Toc529196569"/>
      <w:bookmarkStart w:id="331" w:name="_Toc102997618"/>
      <w:r>
        <w:rPr>
          <w:rFonts w:hint="eastAsia" w:ascii="宋体" w:hAnsi="宋体" w:cs="宋体"/>
          <w:highlight w:val="none"/>
        </w:rPr>
        <w:t>8.1 对招标人的纪律要求</w:t>
      </w:r>
      <w:bookmarkEnd w:id="329"/>
      <w:bookmarkEnd w:id="330"/>
      <w:bookmarkEnd w:id="331"/>
    </w:p>
    <w:p>
      <w:pPr>
        <w:spacing w:line="360" w:lineRule="auto"/>
        <w:rPr>
          <w:rFonts w:ascii="宋体" w:hAnsi="宋体" w:cs="宋体"/>
          <w:sz w:val="24"/>
          <w:highlight w:val="none"/>
        </w:rPr>
      </w:pPr>
      <w:r>
        <w:rPr>
          <w:rFonts w:hint="eastAsia" w:ascii="宋体" w:hAnsi="宋体" w:cs="宋体"/>
          <w:sz w:val="24"/>
          <w:highlight w:val="none"/>
        </w:rPr>
        <w:t>招标人不得泄露招标投标活动中应当保密的情况和资料，不得与投标人串通损害国家利益、社会公共利益或者他人合法权益。</w:t>
      </w:r>
    </w:p>
    <w:p>
      <w:pPr>
        <w:pStyle w:val="4"/>
        <w:spacing w:before="0" w:after="0" w:line="360" w:lineRule="auto"/>
        <w:rPr>
          <w:rFonts w:ascii="宋体" w:hAnsi="宋体" w:cs="宋体"/>
          <w:highlight w:val="none"/>
        </w:rPr>
      </w:pPr>
      <w:bookmarkStart w:id="332" w:name="_Toc515205243"/>
      <w:bookmarkStart w:id="333" w:name="_Toc102997619"/>
      <w:bookmarkStart w:id="334" w:name="_Toc529196570"/>
      <w:r>
        <w:rPr>
          <w:rFonts w:hint="eastAsia" w:ascii="宋体" w:hAnsi="宋体" w:cs="宋体"/>
          <w:highlight w:val="none"/>
        </w:rPr>
        <w:t>8.2 对投标人的纪律要求</w:t>
      </w:r>
      <w:bookmarkEnd w:id="332"/>
      <w:bookmarkEnd w:id="333"/>
      <w:bookmarkEnd w:id="334"/>
    </w:p>
    <w:p>
      <w:pPr>
        <w:spacing w:line="360" w:lineRule="auto"/>
        <w:rPr>
          <w:rFonts w:ascii="宋体" w:hAnsi="宋体" w:cs="宋体"/>
          <w:sz w:val="24"/>
          <w:highlight w:val="none"/>
        </w:rPr>
      </w:pPr>
      <w:r>
        <w:rPr>
          <w:rFonts w:hint="eastAsia" w:ascii="宋体" w:hAnsi="宋体" w:cs="宋体"/>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0" w:after="0" w:line="360" w:lineRule="auto"/>
        <w:rPr>
          <w:rFonts w:ascii="宋体" w:hAnsi="宋体" w:cs="宋体"/>
          <w:highlight w:val="none"/>
        </w:rPr>
      </w:pPr>
      <w:bookmarkStart w:id="335" w:name="_Toc515205244"/>
      <w:bookmarkStart w:id="336" w:name="_Toc102997620"/>
      <w:bookmarkStart w:id="337" w:name="_Toc529196571"/>
      <w:r>
        <w:rPr>
          <w:rFonts w:hint="eastAsia" w:ascii="宋体" w:hAnsi="宋体" w:cs="宋体"/>
          <w:highlight w:val="none"/>
        </w:rPr>
        <w:t>8.3 对评标委员会成员的纪律要求</w:t>
      </w:r>
      <w:bookmarkEnd w:id="335"/>
      <w:bookmarkEnd w:id="336"/>
      <w:bookmarkEnd w:id="337"/>
    </w:p>
    <w:p>
      <w:pPr>
        <w:spacing w:line="360" w:lineRule="auto"/>
        <w:rPr>
          <w:rFonts w:ascii="宋体" w:hAnsi="宋体" w:cs="宋体"/>
          <w:sz w:val="24"/>
          <w:highlight w:val="none"/>
        </w:rPr>
      </w:pPr>
      <w:r>
        <w:rPr>
          <w:rFonts w:hint="eastAsia" w:ascii="宋体" w:hAnsi="宋体" w:cs="宋体"/>
          <w:sz w:val="24"/>
          <w:highlight w:val="none"/>
        </w:rPr>
        <w:t>评标委员会成员不得收受他人的财物或者其他好处，不得向他人透露对投标文件的评审</w:t>
      </w:r>
      <w:bookmarkStart w:id="338" w:name="_Toc13644"/>
      <w:bookmarkStart w:id="339" w:name="_Toc361508628"/>
      <w:bookmarkStart w:id="340" w:name="_Toc369531559"/>
      <w:bookmarkStart w:id="341" w:name="_Toc384308253"/>
      <w:bookmarkStart w:id="342" w:name="_Toc352691515"/>
      <w:r>
        <w:rPr>
          <w:rFonts w:hint="eastAsia" w:ascii="宋体" w:hAnsi="宋体" w:cs="宋体"/>
          <w:sz w:val="24"/>
          <w:highlight w:val="none"/>
        </w:rPr>
        <w:t>和比较、中标候选人</w:t>
      </w:r>
      <w:bookmarkEnd w:id="323"/>
      <w:bookmarkEnd w:id="324"/>
      <w:bookmarkEnd w:id="325"/>
      <w:bookmarkEnd w:id="326"/>
      <w:bookmarkEnd w:id="327"/>
      <w:bookmarkEnd w:id="328"/>
      <w:bookmarkEnd w:id="338"/>
      <w:bookmarkEnd w:id="339"/>
      <w:bookmarkEnd w:id="340"/>
      <w:bookmarkEnd w:id="341"/>
      <w:bookmarkEnd w:id="342"/>
      <w:r>
        <w:rPr>
          <w:rFonts w:hint="eastAsia" w:ascii="宋体" w:hAnsi="宋体" w:cs="宋体"/>
          <w:sz w:val="24"/>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before="0" w:after="0" w:line="360" w:lineRule="auto"/>
        <w:rPr>
          <w:rFonts w:ascii="宋体" w:hAnsi="宋体" w:cs="宋体"/>
          <w:highlight w:val="none"/>
        </w:rPr>
      </w:pPr>
      <w:bookmarkStart w:id="343" w:name="_Toc515205245"/>
      <w:bookmarkStart w:id="344" w:name="_Toc529196572"/>
      <w:bookmarkStart w:id="345" w:name="_Toc102997621"/>
      <w:r>
        <w:rPr>
          <w:rFonts w:hint="eastAsia" w:ascii="宋体" w:hAnsi="宋体" w:cs="宋体"/>
          <w:highlight w:val="none"/>
        </w:rPr>
        <w:t>8.4 对与评标活动有关的工作人员的纪律要求</w:t>
      </w:r>
      <w:bookmarkEnd w:id="343"/>
      <w:bookmarkEnd w:id="344"/>
      <w:bookmarkEnd w:id="345"/>
    </w:p>
    <w:p>
      <w:pPr>
        <w:spacing w:line="360" w:lineRule="auto"/>
        <w:rPr>
          <w:rFonts w:ascii="宋体" w:hAnsi="宋体" w:cs="宋体"/>
          <w:sz w:val="24"/>
          <w:highlight w:val="none"/>
        </w:rPr>
      </w:pPr>
      <w:r>
        <w:rPr>
          <w:rFonts w:hint="eastAsia" w:ascii="宋体" w:hAnsi="宋体" w:cs="宋体"/>
          <w:sz w:val="24"/>
          <w:highlight w:val="none"/>
        </w:rPr>
        <w:t>与评标活动有关的工作人员不得收受他人的财物或者其他好处，不得向他人透露对投标文件</w:t>
      </w:r>
      <w:bookmarkStart w:id="346" w:name="_Toc19429"/>
      <w:bookmarkStart w:id="347" w:name="_Toc247513993"/>
      <w:bookmarkStart w:id="348" w:name="_Toc144974537"/>
      <w:bookmarkStart w:id="349" w:name="_Toc152045569"/>
      <w:bookmarkStart w:id="350" w:name="_Toc300834992"/>
      <w:bookmarkStart w:id="351" w:name="_Toc361508629"/>
      <w:bookmarkStart w:id="352" w:name="_Toc384308254"/>
      <w:bookmarkStart w:id="353" w:name="_Toc247527594"/>
      <w:bookmarkStart w:id="354" w:name="_Toc369531560"/>
      <w:bookmarkStart w:id="355" w:name="_Toc152042345"/>
      <w:bookmarkStart w:id="356" w:name="_Toc352691516"/>
      <w:r>
        <w:rPr>
          <w:rFonts w:hint="eastAsia" w:ascii="宋体" w:hAnsi="宋体" w:cs="宋体"/>
          <w:sz w:val="24"/>
          <w:highlight w:val="none"/>
        </w:rPr>
        <w:t>的评审和比较、中标</w:t>
      </w:r>
      <w:bookmarkEnd w:id="346"/>
      <w:bookmarkEnd w:id="347"/>
      <w:bookmarkEnd w:id="348"/>
      <w:bookmarkEnd w:id="349"/>
      <w:bookmarkEnd w:id="350"/>
      <w:bookmarkEnd w:id="351"/>
      <w:bookmarkEnd w:id="352"/>
      <w:bookmarkEnd w:id="353"/>
      <w:bookmarkEnd w:id="354"/>
      <w:bookmarkEnd w:id="355"/>
      <w:bookmarkEnd w:id="356"/>
      <w:r>
        <w:rPr>
          <w:rFonts w:hint="eastAsia" w:ascii="宋体" w:hAnsi="宋体" w:cs="宋体"/>
          <w:sz w:val="24"/>
          <w:highlight w:val="none"/>
        </w:rPr>
        <w:t>候选人的推荐情况以及评标有关的其他情况。在评标活动中，与评标活动有关的工作人员不得擅离职守，影响评标程序正常进行。</w:t>
      </w:r>
    </w:p>
    <w:p>
      <w:pPr>
        <w:pStyle w:val="4"/>
        <w:spacing w:before="0" w:after="0" w:line="360" w:lineRule="auto"/>
        <w:rPr>
          <w:rFonts w:ascii="宋体" w:hAnsi="宋体" w:cs="宋体"/>
          <w:highlight w:val="none"/>
        </w:rPr>
      </w:pPr>
      <w:bookmarkStart w:id="357" w:name="_Toc102997622"/>
      <w:bookmarkStart w:id="358" w:name="_Toc515205246"/>
      <w:bookmarkStart w:id="359" w:name="_Toc529196573"/>
      <w:r>
        <w:rPr>
          <w:rFonts w:hint="eastAsia" w:ascii="宋体" w:hAnsi="宋体" w:cs="宋体"/>
          <w:highlight w:val="none"/>
        </w:rPr>
        <w:t>8.5 投诉</w:t>
      </w:r>
      <w:bookmarkEnd w:id="357"/>
      <w:bookmarkEnd w:id="358"/>
      <w:bookmarkEnd w:id="359"/>
    </w:p>
    <w:p>
      <w:pPr>
        <w:spacing w:line="360" w:lineRule="auto"/>
        <w:rPr>
          <w:rFonts w:ascii="宋体" w:hAnsi="宋体" w:cs="宋体"/>
          <w:sz w:val="24"/>
          <w:highlight w:val="none"/>
        </w:rPr>
      </w:pPr>
      <w:r>
        <w:rPr>
          <w:rFonts w:hint="eastAsia" w:ascii="宋体" w:hAnsi="宋体" w:cs="宋体"/>
          <w:sz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rPr>
          <w:rFonts w:ascii="宋体" w:hAnsi="宋体" w:cs="宋体"/>
          <w:sz w:val="24"/>
          <w:highlight w:val="none"/>
        </w:rPr>
      </w:pPr>
      <w:r>
        <w:rPr>
          <w:rFonts w:hint="eastAsia" w:ascii="宋体" w:hAnsi="宋体" w:cs="宋体"/>
          <w:sz w:val="24"/>
          <w:highlight w:val="none"/>
        </w:rPr>
        <w:t>8.5.2 投标人或者其他利害关系人对招标文件、开标和评标结果提出投诉的，应当按照投标人须知第2.4款、第5.3款和第7.2款的规定先向招标人提出异议。异议答复期间</w:t>
      </w:r>
      <w:bookmarkStart w:id="360" w:name="_Toc12776"/>
      <w:bookmarkStart w:id="361" w:name="_Toc247527595"/>
      <w:bookmarkStart w:id="362" w:name="_Toc144974538"/>
      <w:bookmarkStart w:id="363" w:name="_Toc352691517"/>
      <w:bookmarkStart w:id="364" w:name="_Toc300834993"/>
      <w:bookmarkStart w:id="365" w:name="_Toc384308255"/>
      <w:bookmarkStart w:id="366" w:name="_Toc247513994"/>
      <w:bookmarkStart w:id="367" w:name="_Toc152042346"/>
      <w:bookmarkStart w:id="368" w:name="_Toc152045570"/>
      <w:bookmarkStart w:id="369" w:name="_Toc369531561"/>
      <w:bookmarkStart w:id="370" w:name="_Toc361508630"/>
      <w:r>
        <w:rPr>
          <w:rFonts w:hint="eastAsia" w:ascii="宋体" w:hAnsi="宋体" w:cs="宋体"/>
          <w:sz w:val="24"/>
          <w:highlight w:val="none"/>
        </w:rPr>
        <w:t>不计算在第8.5.</w:t>
      </w:r>
      <w:bookmarkEnd w:id="360"/>
      <w:bookmarkEnd w:id="361"/>
      <w:bookmarkEnd w:id="362"/>
      <w:bookmarkEnd w:id="363"/>
      <w:bookmarkEnd w:id="364"/>
      <w:bookmarkEnd w:id="365"/>
      <w:bookmarkEnd w:id="366"/>
      <w:bookmarkEnd w:id="367"/>
      <w:bookmarkEnd w:id="368"/>
      <w:bookmarkEnd w:id="369"/>
      <w:bookmarkEnd w:id="370"/>
      <w:r>
        <w:rPr>
          <w:rFonts w:hint="eastAsia" w:ascii="宋体" w:hAnsi="宋体" w:cs="宋体"/>
          <w:sz w:val="24"/>
          <w:highlight w:val="none"/>
        </w:rPr>
        <w:t>1项规定的期限内。</w:t>
      </w:r>
    </w:p>
    <w:p>
      <w:pPr>
        <w:pStyle w:val="4"/>
        <w:spacing w:before="0" w:after="0" w:line="360" w:lineRule="auto"/>
        <w:rPr>
          <w:rFonts w:ascii="宋体" w:hAnsi="宋体" w:cs="宋体"/>
          <w:highlight w:val="none"/>
        </w:rPr>
      </w:pPr>
      <w:bookmarkStart w:id="371" w:name="_Toc477134992"/>
      <w:bookmarkStart w:id="372" w:name="_Toc515205247"/>
      <w:bookmarkStart w:id="373" w:name="_Toc102997623"/>
      <w:bookmarkStart w:id="374" w:name="_Toc529196574"/>
      <w:r>
        <w:rPr>
          <w:rFonts w:hint="eastAsia" w:ascii="宋体" w:hAnsi="宋体" w:cs="宋体"/>
          <w:highlight w:val="none"/>
        </w:rPr>
        <w:t>9. 是否采用电子招标投标</w:t>
      </w:r>
      <w:bookmarkEnd w:id="371"/>
      <w:bookmarkEnd w:id="372"/>
      <w:bookmarkEnd w:id="373"/>
      <w:bookmarkEnd w:id="374"/>
    </w:p>
    <w:p>
      <w:pPr>
        <w:spacing w:line="360" w:lineRule="auto"/>
        <w:rPr>
          <w:rFonts w:ascii="宋体" w:hAnsi="宋体" w:cs="宋体"/>
          <w:sz w:val="24"/>
          <w:highlight w:val="none"/>
        </w:rPr>
      </w:pPr>
      <w:r>
        <w:rPr>
          <w:rFonts w:hint="eastAsia" w:ascii="宋体" w:hAnsi="宋体" w:cs="宋体"/>
          <w:sz w:val="24"/>
          <w:highlight w:val="none"/>
        </w:rPr>
        <w:t>本招标项目是否采用电子招标投标方式，见投标人须知前附表。</w:t>
      </w:r>
    </w:p>
    <w:p>
      <w:pPr>
        <w:pStyle w:val="4"/>
        <w:spacing w:before="0" w:after="0" w:line="360" w:lineRule="auto"/>
        <w:rPr>
          <w:rFonts w:ascii="宋体" w:hAnsi="宋体" w:cs="宋体"/>
          <w:highlight w:val="none"/>
        </w:rPr>
      </w:pPr>
      <w:bookmarkStart w:id="375" w:name="_Toc102997624"/>
      <w:bookmarkStart w:id="376" w:name="_Toc515205248"/>
      <w:bookmarkStart w:id="377" w:name="_Toc529196575"/>
      <w:r>
        <w:rPr>
          <w:rFonts w:hint="eastAsia" w:ascii="宋体" w:hAnsi="宋体" w:cs="宋体"/>
          <w:highlight w:val="none"/>
        </w:rPr>
        <w:t>10. 需要补充的其他内容</w:t>
      </w:r>
      <w:bookmarkEnd w:id="375"/>
      <w:bookmarkEnd w:id="376"/>
      <w:bookmarkEnd w:id="377"/>
    </w:p>
    <w:p>
      <w:pPr>
        <w:spacing w:line="360" w:lineRule="auto"/>
        <w:rPr>
          <w:rFonts w:ascii="宋体" w:hAnsi="宋体" w:cs="宋体"/>
          <w:b/>
          <w:bCs/>
          <w:sz w:val="28"/>
          <w:szCs w:val="20"/>
          <w:highlight w:val="none"/>
        </w:rPr>
      </w:pPr>
      <w:r>
        <w:rPr>
          <w:rFonts w:hint="eastAsia" w:ascii="宋体" w:hAnsi="宋体" w:cs="宋体"/>
          <w:sz w:val="24"/>
          <w:highlight w:val="none"/>
        </w:rPr>
        <w:t>见投标人须知前附表。</w:t>
      </w:r>
      <w:r>
        <w:rPr>
          <w:rFonts w:hint="eastAsia" w:ascii="宋体" w:hAnsi="宋体" w:cs="宋体"/>
          <w:b/>
          <w:bCs/>
          <w:sz w:val="28"/>
          <w:szCs w:val="20"/>
          <w:highlight w:val="none"/>
        </w:rPr>
        <w:br w:type="page"/>
      </w:r>
      <w:bookmarkStart w:id="378" w:name="_Toc530728900"/>
      <w:r>
        <w:rPr>
          <w:rFonts w:hint="eastAsia" w:ascii="宋体" w:hAnsi="宋体" w:cs="宋体"/>
          <w:b/>
          <w:bCs/>
          <w:sz w:val="28"/>
          <w:szCs w:val="20"/>
          <w:highlight w:val="none"/>
        </w:rPr>
        <w:t>附件一：开标记录表</w:t>
      </w:r>
      <w:bookmarkEnd w:id="378"/>
    </w:p>
    <w:p>
      <w:pPr>
        <w:spacing w:line="440" w:lineRule="exact"/>
        <w:jc w:val="center"/>
        <w:rPr>
          <w:rFonts w:ascii="宋体" w:hAnsi="宋体" w:cs="宋体"/>
          <w:sz w:val="28"/>
          <w:highlight w:val="none"/>
        </w:rPr>
      </w:pPr>
      <w:r>
        <w:rPr>
          <w:rFonts w:hint="eastAsia" w:ascii="宋体" w:hAnsi="宋体" w:cs="宋体"/>
          <w:sz w:val="28"/>
          <w:highlight w:val="none"/>
        </w:rPr>
        <w:t>开标记录表</w:t>
      </w:r>
    </w:p>
    <w:p>
      <w:pPr>
        <w:wordWrap w:val="0"/>
        <w:spacing w:before="120" w:beforeLines="50" w:after="120" w:afterLines="50" w:line="400" w:lineRule="exact"/>
        <w:ind w:right="420"/>
        <w:jc w:val="right"/>
        <w:rPr>
          <w:rFonts w:ascii="宋体" w:hAnsi="宋体" w:cs="宋体"/>
          <w:highlight w:val="none"/>
        </w:rPr>
      </w:pPr>
      <w:r>
        <w:rPr>
          <w:rFonts w:hint="eastAsia" w:ascii="宋体" w:hAnsi="宋体" w:cs="宋体"/>
          <w:highlight w:val="none"/>
        </w:rPr>
        <w:t>开标时间：  年  月  日  时  分</w:t>
      </w:r>
    </w:p>
    <w:p>
      <w:pPr>
        <w:spacing w:before="120" w:beforeLines="50" w:after="120" w:afterLines="50" w:line="400" w:lineRule="exact"/>
        <w:ind w:right="420"/>
        <w:rPr>
          <w:rFonts w:ascii="宋体" w:hAnsi="宋体" w:cs="宋体"/>
          <w:highlight w:val="none"/>
        </w:rPr>
      </w:pPr>
      <w:r>
        <w:rPr>
          <w:rFonts w:hint="eastAsia" w:ascii="宋体" w:hAnsi="宋体" w:cs="宋体"/>
          <w:highlight w:val="none"/>
        </w:rPr>
        <w:t>项目名称：</w:t>
      </w:r>
    </w:p>
    <w:tbl>
      <w:tblPr>
        <w:tblStyle w:val="19"/>
        <w:tblW w:w="8877" w:type="dxa"/>
        <w:tblInd w:w="-459" w:type="dxa"/>
        <w:tblLayout w:type="fixed"/>
        <w:tblCellMar>
          <w:top w:w="0" w:type="dxa"/>
          <w:left w:w="108" w:type="dxa"/>
          <w:bottom w:w="0" w:type="dxa"/>
          <w:right w:w="108" w:type="dxa"/>
        </w:tblCellMar>
      </w:tblPr>
      <w:tblGrid>
        <w:gridCol w:w="510"/>
        <w:gridCol w:w="622"/>
        <w:gridCol w:w="735"/>
        <w:gridCol w:w="869"/>
        <w:gridCol w:w="961"/>
        <w:gridCol w:w="961"/>
        <w:gridCol w:w="1188"/>
        <w:gridCol w:w="1188"/>
        <w:gridCol w:w="851"/>
        <w:gridCol w:w="991"/>
        <w:gridCol w:w="1"/>
      </w:tblGrid>
      <w:tr>
        <w:tc>
          <w:tcPr>
            <w:tcW w:w="5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18"/>
                <w:highlight w:val="none"/>
              </w:rPr>
            </w:pPr>
            <w:r>
              <w:rPr>
                <w:rFonts w:hint="eastAsia" w:ascii="宋体" w:hAnsi="宋体" w:cs="宋体"/>
                <w:sz w:val="18"/>
                <w:highlight w:val="none"/>
              </w:rPr>
              <w:t>序号</w:t>
            </w:r>
          </w:p>
        </w:tc>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18"/>
                <w:highlight w:val="none"/>
              </w:rPr>
            </w:pPr>
            <w:r>
              <w:rPr>
                <w:rFonts w:hint="eastAsia" w:ascii="宋体" w:hAnsi="宋体" w:cs="宋体"/>
                <w:sz w:val="18"/>
                <w:highlight w:val="none"/>
              </w:rPr>
              <w:t>投标人</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18"/>
                <w:highlight w:val="none"/>
              </w:rPr>
            </w:pPr>
            <w:r>
              <w:rPr>
                <w:rFonts w:hint="eastAsia" w:ascii="宋体" w:hAnsi="宋体" w:cs="宋体"/>
                <w:sz w:val="18"/>
                <w:highlight w:val="none"/>
              </w:rPr>
              <w:t>密封情况</w:t>
            </w:r>
          </w:p>
        </w:tc>
        <w:tc>
          <w:tcPr>
            <w:tcW w:w="8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18"/>
                <w:highlight w:val="none"/>
              </w:rPr>
            </w:pPr>
            <w:r>
              <w:rPr>
                <w:rFonts w:hint="eastAsia" w:ascii="宋体" w:hAnsi="宋体" w:cs="宋体"/>
                <w:sz w:val="18"/>
                <w:highlight w:val="none"/>
              </w:rPr>
              <w:t>投标报价</w:t>
            </w:r>
          </w:p>
          <w:p>
            <w:pPr>
              <w:spacing w:line="360" w:lineRule="auto"/>
              <w:jc w:val="center"/>
              <w:rPr>
                <w:rFonts w:ascii="宋体" w:hAnsi="宋体" w:cs="宋体"/>
                <w:sz w:val="18"/>
                <w:highlight w:val="none"/>
              </w:rPr>
            </w:pPr>
            <w:r>
              <w:rPr>
                <w:rFonts w:hint="eastAsia" w:ascii="宋体" w:hAnsi="宋体" w:cs="宋体"/>
                <w:sz w:val="18"/>
                <w:highlight w:val="none"/>
              </w:rPr>
              <w:t>（元）</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18"/>
                <w:highlight w:val="none"/>
              </w:rPr>
            </w:pPr>
            <w:r>
              <w:rPr>
                <w:rFonts w:hint="eastAsia" w:ascii="宋体" w:hAnsi="宋体" w:cs="宋体"/>
                <w:sz w:val="18"/>
                <w:highlight w:val="none"/>
              </w:rPr>
              <w:t>项目负责人</w:t>
            </w: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18"/>
                <w:highlight w:val="none"/>
              </w:rPr>
            </w:pPr>
            <w:r>
              <w:rPr>
                <w:rFonts w:hint="eastAsia" w:ascii="宋体" w:hAnsi="宋体" w:cs="宋体"/>
                <w:sz w:val="18"/>
                <w:highlight w:val="none"/>
              </w:rPr>
              <w:t>服务期限</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18"/>
                <w:highlight w:val="none"/>
              </w:rPr>
            </w:pPr>
            <w:r>
              <w:rPr>
                <w:rFonts w:hint="eastAsia" w:ascii="宋体" w:hAnsi="宋体" w:cs="宋体"/>
                <w:sz w:val="18"/>
                <w:highlight w:val="none"/>
              </w:rPr>
              <w:t>投标文件递交情况</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18"/>
                <w:highlight w:val="none"/>
              </w:rPr>
            </w:pPr>
            <w:r>
              <w:rPr>
                <w:rFonts w:hint="eastAsia" w:ascii="宋体" w:hAnsi="宋体" w:cs="宋体"/>
                <w:sz w:val="18"/>
                <w:highlight w:val="none"/>
              </w:rPr>
              <w:t>投标文件解密情况</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18"/>
                <w:highlight w:val="none"/>
              </w:rPr>
            </w:pPr>
            <w:r>
              <w:rPr>
                <w:rFonts w:hint="eastAsia" w:ascii="宋体" w:hAnsi="宋体" w:cs="宋体"/>
                <w:sz w:val="18"/>
                <w:highlight w:val="none"/>
              </w:rPr>
              <w:t>备注</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18"/>
                <w:highlight w:val="none"/>
              </w:rPr>
            </w:pPr>
            <w:r>
              <w:rPr>
                <w:rFonts w:hint="eastAsia" w:ascii="宋体" w:hAnsi="宋体" w:cs="宋体"/>
                <w:sz w:val="18"/>
                <w:highlight w:val="none"/>
              </w:rPr>
              <w:t>投标人代表签名</w:t>
            </w: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r>
        <w:tblPrEx>
          <w:tblCellMar>
            <w:top w:w="0" w:type="dxa"/>
            <w:left w:w="108" w:type="dxa"/>
            <w:bottom w:w="0" w:type="dxa"/>
            <w:right w:w="108" w:type="dxa"/>
          </w:tblCellMar>
        </w:tblPrEx>
        <w:trPr>
          <w:trHeight w:val="502" w:hRule="atLeast"/>
        </w:trPr>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r>
        <w:tblPrEx>
          <w:tblCellMar>
            <w:top w:w="0" w:type="dxa"/>
            <w:left w:w="108" w:type="dxa"/>
            <w:bottom w:w="0" w:type="dxa"/>
            <w:right w:w="108" w:type="dxa"/>
          </w:tblCellMar>
        </w:tblPrEx>
        <w:tc>
          <w:tcPr>
            <w:tcW w:w="5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62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r>
        <w:tblPrEx>
          <w:tblCellMar>
            <w:top w:w="0" w:type="dxa"/>
            <w:left w:w="108" w:type="dxa"/>
            <w:bottom w:w="0" w:type="dxa"/>
            <w:right w:w="108" w:type="dxa"/>
          </w:tblCellMar>
        </w:tblPrEx>
        <w:trPr>
          <w:gridAfter w:val="1"/>
          <w:wAfter w:w="1" w:type="dxa"/>
        </w:trPr>
        <w:tc>
          <w:tcPr>
            <w:tcW w:w="1867"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r>
              <w:rPr>
                <w:rFonts w:hint="eastAsia" w:ascii="宋体" w:hAnsi="宋体" w:cs="宋体"/>
                <w:highlight w:val="none"/>
              </w:rPr>
              <w:t>最高投标限价：</w:t>
            </w:r>
          </w:p>
        </w:tc>
        <w:tc>
          <w:tcPr>
            <w:tcW w:w="7009"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highlight w:val="none"/>
              </w:rPr>
            </w:pPr>
          </w:p>
        </w:tc>
      </w:tr>
    </w:tbl>
    <w:p>
      <w:pPr>
        <w:spacing w:before="120" w:beforeLines="50" w:after="120" w:afterLines="50" w:line="400" w:lineRule="exact"/>
        <w:ind w:right="420"/>
        <w:jc w:val="right"/>
        <w:rPr>
          <w:rFonts w:ascii="宋体" w:hAnsi="宋体" w:cs="宋体"/>
          <w:highlight w:val="none"/>
        </w:rPr>
      </w:pPr>
    </w:p>
    <w:p>
      <w:pPr>
        <w:spacing w:line="440" w:lineRule="exact"/>
        <w:rPr>
          <w:rFonts w:ascii="宋体" w:hAnsi="宋体" w:cs="宋体"/>
          <w:highlight w:val="none"/>
        </w:rPr>
      </w:pPr>
      <w:r>
        <w:rPr>
          <w:rFonts w:hint="eastAsia" w:ascii="宋体" w:hAnsi="宋体" w:cs="宋体"/>
          <w:highlight w:val="none"/>
        </w:rPr>
        <w:t>　　　</w:t>
      </w:r>
    </w:p>
    <w:p>
      <w:pPr>
        <w:spacing w:line="620" w:lineRule="exact"/>
        <w:rPr>
          <w:rFonts w:ascii="宋体" w:hAnsi="宋体" w:cs="宋体"/>
          <w:highlight w:val="none"/>
        </w:rPr>
      </w:pPr>
      <w:r>
        <w:rPr>
          <w:rFonts w:hint="eastAsia" w:ascii="宋体" w:hAnsi="宋体" w:cs="宋体"/>
          <w:highlight w:val="none"/>
        </w:rPr>
        <w:t>招标人代表：       记录人：              监标人：</w:t>
      </w:r>
    </w:p>
    <w:p>
      <w:pPr>
        <w:wordWrap w:val="0"/>
        <w:spacing w:line="620" w:lineRule="exact"/>
        <w:jc w:val="right"/>
        <w:rPr>
          <w:rFonts w:ascii="宋体" w:hAnsi="宋体" w:cs="宋体"/>
          <w:highlight w:val="none"/>
        </w:rPr>
      </w:pPr>
      <w:r>
        <w:rPr>
          <w:rFonts w:hint="eastAsia" w:ascii="宋体" w:hAnsi="宋体" w:cs="宋体"/>
          <w:highlight w:val="none"/>
        </w:rPr>
        <w:t xml:space="preserve">   年    月    日</w:t>
      </w:r>
    </w:p>
    <w:p>
      <w:pPr>
        <w:pStyle w:val="9"/>
        <w:rPr>
          <w:rFonts w:hint="default" w:hAnsi="宋体" w:cs="宋体"/>
          <w:highlight w:val="none"/>
        </w:rPr>
      </w:pPr>
      <w:bookmarkStart w:id="379" w:name="_Toc530728901"/>
    </w:p>
    <w:p>
      <w:pPr>
        <w:widowControl/>
        <w:jc w:val="left"/>
        <w:rPr>
          <w:rFonts w:ascii="宋体" w:hAnsi="宋体" w:cs="宋体"/>
          <w:highlight w:val="none"/>
        </w:rPr>
      </w:pPr>
      <w:r>
        <w:rPr>
          <w:rFonts w:hint="eastAsia" w:ascii="宋体" w:hAnsi="宋体" w:cs="宋体"/>
          <w:highlight w:val="none"/>
        </w:rPr>
        <w:br w:type="page"/>
      </w:r>
    </w:p>
    <w:p>
      <w:pPr>
        <w:rPr>
          <w:rFonts w:ascii="宋体" w:hAnsi="宋体" w:cs="宋体"/>
          <w:highlight w:val="none"/>
        </w:rPr>
      </w:pPr>
    </w:p>
    <w:p>
      <w:pPr>
        <w:pStyle w:val="4"/>
        <w:spacing w:line="412" w:lineRule="auto"/>
        <w:rPr>
          <w:rFonts w:ascii="宋体" w:hAnsi="宋体" w:cs="宋体"/>
          <w:sz w:val="28"/>
          <w:szCs w:val="28"/>
          <w:highlight w:val="none"/>
        </w:rPr>
      </w:pPr>
      <w:bookmarkStart w:id="380" w:name="_Toc102997625"/>
      <w:r>
        <w:rPr>
          <w:rFonts w:hint="eastAsia" w:ascii="宋体" w:hAnsi="宋体" w:cs="宋体"/>
          <w:sz w:val="28"/>
          <w:szCs w:val="28"/>
          <w:highlight w:val="none"/>
        </w:rPr>
        <w:t>附件二：问题澄清通知（按广州公共资源交易中心版式为准）</w:t>
      </w:r>
      <w:bookmarkEnd w:id="379"/>
      <w:bookmarkEnd w:id="380"/>
    </w:p>
    <w:p>
      <w:pPr>
        <w:spacing w:line="400" w:lineRule="exact"/>
        <w:rPr>
          <w:rFonts w:ascii="宋体" w:hAnsi="宋体" w:cs="宋体"/>
          <w:b/>
          <w:bCs/>
          <w:sz w:val="28"/>
          <w:szCs w:val="28"/>
          <w:highlight w:val="none"/>
        </w:rPr>
      </w:pPr>
    </w:p>
    <w:p>
      <w:pPr>
        <w:spacing w:line="400" w:lineRule="exact"/>
        <w:rPr>
          <w:rFonts w:ascii="宋体" w:hAnsi="宋体" w:cs="宋体"/>
          <w:b/>
          <w:bCs/>
          <w:sz w:val="28"/>
          <w:szCs w:val="28"/>
          <w:highlight w:val="none"/>
        </w:rPr>
      </w:pPr>
    </w:p>
    <w:p>
      <w:pPr>
        <w:pStyle w:val="4"/>
        <w:spacing w:line="412" w:lineRule="auto"/>
        <w:rPr>
          <w:rFonts w:ascii="宋体" w:hAnsi="宋体" w:cs="宋体"/>
          <w:sz w:val="28"/>
          <w:szCs w:val="28"/>
          <w:highlight w:val="none"/>
        </w:rPr>
      </w:pPr>
      <w:bookmarkStart w:id="381" w:name="_Toc102997626"/>
      <w:bookmarkStart w:id="382" w:name="_Toc530728902"/>
      <w:r>
        <w:rPr>
          <w:rFonts w:hint="eastAsia" w:ascii="宋体" w:hAnsi="宋体" w:cs="宋体"/>
          <w:sz w:val="28"/>
          <w:szCs w:val="28"/>
          <w:highlight w:val="none"/>
        </w:rPr>
        <w:t>附件三：问题的澄清（按广州公共资源交易中心版式为准）</w:t>
      </w:r>
      <w:bookmarkEnd w:id="381"/>
      <w:bookmarkEnd w:id="382"/>
    </w:p>
    <w:p>
      <w:pPr>
        <w:spacing w:line="400" w:lineRule="exact"/>
        <w:rPr>
          <w:rFonts w:ascii="宋体" w:hAnsi="宋体" w:cs="宋体"/>
          <w:b/>
          <w:bCs/>
          <w:sz w:val="28"/>
          <w:szCs w:val="28"/>
          <w:highlight w:val="none"/>
        </w:rPr>
      </w:pPr>
    </w:p>
    <w:p>
      <w:pPr>
        <w:spacing w:line="400" w:lineRule="exact"/>
        <w:rPr>
          <w:rFonts w:ascii="宋体" w:hAnsi="宋体" w:cs="宋体"/>
          <w:b/>
          <w:bCs/>
          <w:sz w:val="28"/>
          <w:szCs w:val="28"/>
          <w:highlight w:val="none"/>
        </w:rPr>
      </w:pPr>
    </w:p>
    <w:p>
      <w:pPr>
        <w:pStyle w:val="4"/>
        <w:spacing w:line="412" w:lineRule="auto"/>
        <w:rPr>
          <w:rFonts w:ascii="宋体" w:hAnsi="宋体" w:cs="宋体"/>
          <w:sz w:val="28"/>
          <w:szCs w:val="28"/>
          <w:highlight w:val="none"/>
        </w:rPr>
      </w:pPr>
      <w:bookmarkStart w:id="383" w:name="_Toc102997627"/>
      <w:bookmarkStart w:id="384" w:name="_Toc530728903"/>
      <w:r>
        <w:rPr>
          <w:rFonts w:hint="eastAsia" w:ascii="宋体" w:hAnsi="宋体" w:cs="宋体"/>
          <w:sz w:val="28"/>
          <w:szCs w:val="28"/>
          <w:highlight w:val="none"/>
        </w:rPr>
        <w:t>附件四：中标通知书（按广州公共资源交易中心中标通知书格式）</w:t>
      </w:r>
      <w:bookmarkEnd w:id="383"/>
      <w:bookmarkEnd w:id="384"/>
    </w:p>
    <w:p>
      <w:pPr>
        <w:spacing w:line="440" w:lineRule="exact"/>
        <w:rPr>
          <w:rFonts w:ascii="宋体" w:hAnsi="宋体" w:cs="宋体"/>
          <w:b/>
          <w:bCs/>
          <w:sz w:val="28"/>
          <w:szCs w:val="28"/>
          <w:highlight w:val="none"/>
        </w:rPr>
      </w:pPr>
    </w:p>
    <w:p>
      <w:pPr>
        <w:spacing w:line="440" w:lineRule="exact"/>
        <w:rPr>
          <w:rFonts w:ascii="宋体" w:hAnsi="宋体" w:cs="宋体"/>
          <w:b/>
          <w:bCs/>
          <w:sz w:val="28"/>
          <w:szCs w:val="28"/>
          <w:highlight w:val="none"/>
        </w:rPr>
      </w:pPr>
    </w:p>
    <w:p>
      <w:pPr>
        <w:rPr>
          <w:rFonts w:ascii="宋体" w:hAnsi="宋体" w:cs="宋体"/>
          <w:highlight w:val="none"/>
        </w:rPr>
      </w:pPr>
    </w:p>
    <w:p>
      <w:pPr>
        <w:spacing w:line="502" w:lineRule="exact"/>
        <w:jc w:val="center"/>
        <w:outlineLvl w:val="1"/>
        <w:rPr>
          <w:rFonts w:ascii="宋体" w:hAnsi="宋体" w:cs="宋体"/>
          <w:b/>
          <w:sz w:val="44"/>
          <w:highlight w:val="none"/>
        </w:rPr>
      </w:pPr>
      <w:r>
        <w:rPr>
          <w:rFonts w:hint="eastAsia" w:ascii="宋体" w:hAnsi="宋体" w:cs="宋体"/>
          <w:b/>
          <w:sz w:val="32"/>
          <w:highlight w:val="none"/>
        </w:rPr>
        <w:br w:type="page"/>
      </w:r>
      <w:bookmarkStart w:id="385" w:name="_Toc102997628"/>
      <w:r>
        <w:rPr>
          <w:rFonts w:hint="eastAsia" w:ascii="宋体" w:hAnsi="宋体" w:cs="宋体"/>
          <w:b/>
          <w:sz w:val="44"/>
          <w:highlight w:val="none"/>
        </w:rPr>
        <w:t>第三章 评标办法</w:t>
      </w:r>
      <w:bookmarkEnd w:id="385"/>
    </w:p>
    <w:p>
      <w:pPr>
        <w:spacing w:before="120" w:beforeLines="50" w:after="120" w:afterLines="50" w:line="366" w:lineRule="exact"/>
        <w:jc w:val="center"/>
        <w:rPr>
          <w:rFonts w:ascii="宋体" w:hAnsi="宋体" w:cs="宋体"/>
          <w:b/>
          <w:sz w:val="32"/>
          <w:highlight w:val="none"/>
        </w:rPr>
      </w:pPr>
      <w:r>
        <w:rPr>
          <w:rFonts w:hint="eastAsia" w:ascii="宋体" w:hAnsi="宋体" w:cs="宋体"/>
          <w:b/>
          <w:sz w:val="32"/>
          <w:highlight w:val="none"/>
        </w:rPr>
        <w:t>评标办法前附表</w:t>
      </w:r>
    </w:p>
    <w:tbl>
      <w:tblPr>
        <w:tblStyle w:val="19"/>
        <w:tblW w:w="935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2"/>
        <w:gridCol w:w="1315"/>
        <w:gridCol w:w="1945"/>
        <w:gridCol w:w="5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7"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条款号</w:t>
            </w: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评审因素</w:t>
            </w:r>
          </w:p>
        </w:tc>
        <w:tc>
          <w:tcPr>
            <w:tcW w:w="5284"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12"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3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评标方法</w:t>
            </w: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中标候选人排序方法</w:t>
            </w:r>
          </w:p>
        </w:tc>
        <w:tc>
          <w:tcPr>
            <w:tcW w:w="5284" w:type="dxa"/>
            <w:tcBorders>
              <w:top w:val="single" w:color="auto" w:sz="4" w:space="0"/>
              <w:left w:val="single" w:color="auto" w:sz="4" w:space="0"/>
              <w:bottom w:val="single" w:color="auto" w:sz="4" w:space="0"/>
            </w:tcBorders>
            <w:vAlign w:val="center"/>
          </w:tcPr>
          <w:p>
            <w:pPr>
              <w:spacing w:line="360" w:lineRule="auto"/>
              <w:rPr>
                <w:rFonts w:ascii="宋体" w:hAnsi="宋体" w:cs="宋体"/>
                <w:sz w:val="24"/>
                <w:szCs w:val="24"/>
                <w:highlight w:val="none"/>
                <w:u w:val="single"/>
              </w:rPr>
            </w:pPr>
            <w:r>
              <w:rPr>
                <w:rFonts w:hint="eastAsia" w:ascii="宋体" w:hAnsi="宋体" w:cs="宋体"/>
                <w:sz w:val="24"/>
                <w:szCs w:val="24"/>
                <w:highlight w:val="none"/>
                <w:u w:val="single"/>
              </w:rPr>
              <w:t>1、本次评标采用综合评估法。</w:t>
            </w:r>
          </w:p>
          <w:p>
            <w:pPr>
              <w:spacing w:line="360" w:lineRule="auto"/>
              <w:rPr>
                <w:rFonts w:ascii="宋体" w:hAnsi="宋体" w:cs="宋体"/>
                <w:sz w:val="24"/>
                <w:szCs w:val="24"/>
                <w:highlight w:val="none"/>
              </w:rPr>
            </w:pPr>
            <w:r>
              <w:rPr>
                <w:rFonts w:hint="eastAsia" w:ascii="宋体" w:hAnsi="宋体" w:cs="宋体"/>
                <w:sz w:val="24"/>
                <w:szCs w:val="24"/>
                <w:highlight w:val="none"/>
                <w:u w:val="single"/>
              </w:rPr>
              <w:t>2、评标委员会对满足招标文件实质性要求的投标文件，按照评分标准进行打分，并按得分由高到低顺序推荐中标候选人，排序的前一～三名分别为第一中标候选人、第二中标候选人和第三中标候选人。总分相等时，以服务方案得分高的优先；投标服务方案得分也相等的，以投标总报价低的优先；如果投标总报价得分也相等，由评标委员会采用记名投票方式，以得票多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restart"/>
            <w:tcBorders>
              <w:top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2.1.1</w:t>
            </w:r>
          </w:p>
        </w:tc>
        <w:tc>
          <w:tcPr>
            <w:tcW w:w="1315" w:type="dxa"/>
            <w:vMerge w:val="restart"/>
            <w:tcBorders>
              <w:top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形式评审标准</w:t>
            </w: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投标人名称</w:t>
            </w:r>
          </w:p>
        </w:tc>
        <w:tc>
          <w:tcPr>
            <w:tcW w:w="5284" w:type="dxa"/>
            <w:tcBorders>
              <w:top w:val="single" w:color="auto" w:sz="4" w:space="0"/>
              <w:left w:val="single" w:color="auto" w:sz="4" w:space="0"/>
              <w:bottom w:val="single" w:color="auto" w:sz="4"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与营业执照</w:t>
            </w:r>
            <w:r>
              <w:rPr>
                <w:rFonts w:hint="eastAsia" w:ascii="宋体" w:hAnsi="宋体" w:cs="宋体"/>
                <w:sz w:val="24"/>
                <w:szCs w:val="24"/>
                <w:highlight w:val="none"/>
                <w:u w:val="single"/>
              </w:rPr>
              <w:t>（或事业单位法人证书）</w:t>
            </w:r>
            <w:r>
              <w:rPr>
                <w:rFonts w:hint="eastAsia" w:ascii="宋体" w:hAnsi="宋体" w:cs="宋体"/>
                <w:sz w:val="24"/>
                <w:szCs w:val="24"/>
                <w:highlight w:val="none"/>
              </w:rPr>
              <w:t>、资质证书一致；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top w:val="nil"/>
              <w:bottom w:val="single" w:color="auto" w:sz="4" w:space="0"/>
              <w:right w:val="single" w:color="auto" w:sz="4" w:space="0"/>
            </w:tcBorders>
            <w:vAlign w:val="center"/>
          </w:tcPr>
          <w:p>
            <w:pPr>
              <w:spacing w:line="360" w:lineRule="auto"/>
              <w:rPr>
                <w:rFonts w:ascii="宋体" w:hAnsi="宋体" w:cs="宋体"/>
                <w:sz w:val="24"/>
                <w:szCs w:val="24"/>
                <w:highlight w:val="none"/>
              </w:rPr>
            </w:pPr>
          </w:p>
        </w:tc>
        <w:tc>
          <w:tcPr>
            <w:tcW w:w="1315" w:type="dxa"/>
            <w:vMerge w:val="continue"/>
            <w:tcBorders>
              <w:right w:val="single" w:color="auto" w:sz="4" w:space="0"/>
            </w:tcBorders>
            <w:vAlign w:val="center"/>
          </w:tcPr>
          <w:p>
            <w:pPr>
              <w:spacing w:line="360" w:lineRule="auto"/>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投标函及投标函附录签字盖章</w:t>
            </w:r>
          </w:p>
        </w:tc>
        <w:tc>
          <w:tcPr>
            <w:tcW w:w="5284" w:type="dxa"/>
            <w:tcBorders>
              <w:top w:val="single" w:color="auto" w:sz="4" w:space="0"/>
              <w:left w:val="single" w:color="auto" w:sz="4" w:space="0"/>
              <w:bottom w:val="single" w:color="auto" w:sz="4"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有法定代表人或被授权人签字（或盖章）并加盖单位章。由法定代表人签字（或盖章）的，应附法定代表人身份证明；由被授权人签字（或盖章）的，应附法定代表人身份证明及授权委托书。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top w:val="nil"/>
              <w:bottom w:val="single" w:color="auto" w:sz="4" w:space="0"/>
              <w:right w:val="single" w:color="auto" w:sz="4" w:space="0"/>
            </w:tcBorders>
            <w:vAlign w:val="center"/>
          </w:tcPr>
          <w:p>
            <w:pPr>
              <w:spacing w:line="360" w:lineRule="auto"/>
              <w:rPr>
                <w:rFonts w:ascii="宋体" w:hAnsi="宋体" w:cs="宋体"/>
                <w:sz w:val="24"/>
                <w:szCs w:val="24"/>
                <w:highlight w:val="none"/>
              </w:rPr>
            </w:pPr>
          </w:p>
        </w:tc>
        <w:tc>
          <w:tcPr>
            <w:tcW w:w="1315" w:type="dxa"/>
            <w:vMerge w:val="continue"/>
            <w:tcBorders>
              <w:right w:val="single" w:color="auto" w:sz="4" w:space="0"/>
            </w:tcBorders>
            <w:vAlign w:val="center"/>
          </w:tcPr>
          <w:p>
            <w:pPr>
              <w:spacing w:line="360" w:lineRule="auto"/>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投标文件格式</w:t>
            </w:r>
          </w:p>
        </w:tc>
        <w:tc>
          <w:tcPr>
            <w:tcW w:w="5284" w:type="dxa"/>
            <w:tcBorders>
              <w:top w:val="single" w:color="auto" w:sz="4" w:space="0"/>
              <w:left w:val="single" w:color="auto" w:sz="4" w:space="0"/>
              <w:bottom w:val="single" w:color="auto" w:sz="4" w:space="0"/>
            </w:tcBorders>
            <w:vAlign w:val="center"/>
          </w:tcPr>
          <w:p>
            <w:pPr>
              <w:spacing w:line="360" w:lineRule="auto"/>
              <w:rPr>
                <w:rFonts w:ascii="宋体" w:hAnsi="宋体" w:cs="宋体"/>
                <w:kern w:val="0"/>
                <w:sz w:val="24"/>
                <w:szCs w:val="24"/>
                <w:highlight w:val="none"/>
                <w:u w:val="single"/>
              </w:rPr>
            </w:pPr>
            <w:r>
              <w:rPr>
                <w:rFonts w:hint="eastAsia" w:ascii="宋体" w:hAnsi="宋体" w:cs="宋体"/>
                <w:b/>
                <w:kern w:val="0"/>
                <w:sz w:val="24"/>
                <w:szCs w:val="24"/>
                <w:highlight w:val="none"/>
                <w:u w:val="single"/>
              </w:rPr>
              <w:t>《投标人声明》、《投标函及其附录》、《技术响应承诺书》</w:t>
            </w:r>
            <w:r>
              <w:rPr>
                <w:rFonts w:hint="eastAsia" w:ascii="宋体" w:hAnsi="宋体" w:cs="宋体"/>
                <w:kern w:val="0"/>
                <w:sz w:val="24"/>
                <w:szCs w:val="24"/>
                <w:highlight w:val="none"/>
                <w:u w:val="single"/>
              </w:rPr>
              <w:t>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top w:val="nil"/>
              <w:bottom w:val="single" w:color="auto" w:sz="4" w:space="0"/>
              <w:right w:val="single" w:color="auto" w:sz="4" w:space="0"/>
            </w:tcBorders>
            <w:vAlign w:val="center"/>
          </w:tcPr>
          <w:p>
            <w:pPr>
              <w:spacing w:line="360" w:lineRule="auto"/>
              <w:rPr>
                <w:rFonts w:ascii="宋体" w:hAnsi="宋体" w:cs="宋体"/>
                <w:sz w:val="24"/>
                <w:szCs w:val="24"/>
                <w:highlight w:val="none"/>
              </w:rPr>
            </w:pPr>
          </w:p>
        </w:tc>
        <w:tc>
          <w:tcPr>
            <w:tcW w:w="1315" w:type="dxa"/>
            <w:vMerge w:val="continue"/>
            <w:tcBorders>
              <w:right w:val="single" w:color="auto" w:sz="4" w:space="0"/>
            </w:tcBorders>
            <w:vAlign w:val="center"/>
          </w:tcPr>
          <w:p>
            <w:pPr>
              <w:spacing w:line="360" w:lineRule="auto"/>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highlight w:val="none"/>
              </w:rPr>
            </w:pPr>
            <w:r>
              <w:rPr>
                <w:rFonts w:hint="eastAsia" w:ascii="宋体" w:hAnsi="宋体" w:cs="宋体"/>
                <w:spacing w:val="-7"/>
                <w:sz w:val="24"/>
                <w:szCs w:val="24"/>
                <w:highlight w:val="none"/>
              </w:rPr>
              <w:t>备选投标方案</w:t>
            </w:r>
          </w:p>
        </w:tc>
        <w:tc>
          <w:tcPr>
            <w:tcW w:w="5284" w:type="dxa"/>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12" w:type="dxa"/>
            <w:vMerge w:val="continue"/>
            <w:tcBorders>
              <w:top w:val="nil"/>
              <w:bottom w:val="single" w:color="auto" w:sz="4" w:space="0"/>
              <w:right w:val="single" w:color="auto" w:sz="4" w:space="0"/>
            </w:tcBorders>
            <w:vAlign w:val="center"/>
          </w:tcPr>
          <w:p>
            <w:pPr>
              <w:spacing w:line="360" w:lineRule="auto"/>
              <w:rPr>
                <w:rFonts w:ascii="宋体" w:hAnsi="宋体" w:cs="宋体"/>
                <w:sz w:val="24"/>
                <w:szCs w:val="24"/>
                <w:highlight w:val="none"/>
              </w:rPr>
            </w:pPr>
          </w:p>
        </w:tc>
        <w:tc>
          <w:tcPr>
            <w:tcW w:w="1315" w:type="dxa"/>
            <w:vMerge w:val="continue"/>
            <w:tcBorders>
              <w:right w:val="single" w:color="auto" w:sz="4" w:space="0"/>
            </w:tcBorders>
            <w:vAlign w:val="center"/>
          </w:tcPr>
          <w:p>
            <w:pPr>
              <w:spacing w:line="360" w:lineRule="auto"/>
              <w:rPr>
                <w:rFonts w:ascii="宋体" w:hAnsi="宋体" w:cs="宋体"/>
                <w:sz w:val="24"/>
                <w:szCs w:val="24"/>
                <w:highlight w:val="none"/>
              </w:rPr>
            </w:pPr>
          </w:p>
        </w:tc>
        <w:tc>
          <w:tcPr>
            <w:tcW w:w="1945"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投标人机器码</w:t>
            </w:r>
          </w:p>
        </w:tc>
        <w:tc>
          <w:tcPr>
            <w:tcW w:w="5284" w:type="dxa"/>
            <w:tcBorders>
              <w:top w:val="single" w:color="auto" w:sz="4" w:space="0"/>
              <w:left w:val="single" w:color="auto" w:sz="4"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投标人与其他投标人加密打包投标文件电脑机器特征码一致的(以广州公共资源交易中心评标系统的检索信息为准)将被否决。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restart"/>
            <w:tcBorders>
              <w:top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2.1.2</w:t>
            </w:r>
          </w:p>
        </w:tc>
        <w:tc>
          <w:tcPr>
            <w:tcW w:w="131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kern w:val="0"/>
                <w:sz w:val="24"/>
                <w:szCs w:val="24"/>
                <w:highlight w:val="none"/>
              </w:rPr>
              <w:t>资格评审标准</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highlight w:val="none"/>
                <w:u w:val="single"/>
              </w:rPr>
            </w:pPr>
            <w:r>
              <w:rPr>
                <w:rFonts w:hint="eastAsia" w:ascii="宋体" w:hAnsi="宋体" w:cs="宋体"/>
                <w:sz w:val="24"/>
                <w:szCs w:val="24"/>
                <w:highlight w:val="none"/>
              </w:rPr>
              <w:t>营业执照（或事业单位法人证书）</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line="360" w:lineRule="auto"/>
              <w:ind w:right="71" w:rightChars="34"/>
              <w:rPr>
                <w:rFonts w:ascii="宋体" w:hAnsi="宋体" w:cs="宋体"/>
                <w:kern w:val="0"/>
                <w:sz w:val="24"/>
                <w:szCs w:val="24"/>
                <w:highlight w:val="none"/>
              </w:rPr>
            </w:pPr>
            <w:r>
              <w:rPr>
                <w:rFonts w:hint="eastAsia" w:ascii="宋体" w:hAnsi="宋体" w:cs="宋体"/>
                <w:kern w:val="0"/>
                <w:sz w:val="24"/>
                <w:szCs w:val="24"/>
                <w:highlight w:val="none"/>
              </w:rPr>
              <w:t>持有事业单位登记管理部门核发的事业单位法人证书且在有效期内或工商行政</w:t>
            </w:r>
            <w:r>
              <w:rPr>
                <w:rFonts w:hint="eastAsia" w:ascii="宋体" w:hAnsi="宋体" w:cs="宋体"/>
                <w:sz w:val="24"/>
                <w:szCs w:val="24"/>
                <w:highlight w:val="none"/>
                <w:u w:val="single"/>
              </w:rPr>
              <w:t>（或市场监督）</w:t>
            </w:r>
            <w:r>
              <w:rPr>
                <w:rFonts w:hint="eastAsia" w:ascii="宋体" w:hAnsi="宋体" w:cs="宋体"/>
                <w:kern w:val="0"/>
                <w:sz w:val="24"/>
                <w:szCs w:val="24"/>
                <w:highlight w:val="none"/>
              </w:rPr>
              <w:t>管理部门核发的企业法人营业执照且在有效期内；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360" w:lineRule="auto"/>
              <w:jc w:val="center"/>
              <w:rPr>
                <w:rFonts w:ascii="宋体" w:hAnsi="宋体" w:cs="宋体"/>
                <w:sz w:val="24"/>
                <w:szCs w:val="24"/>
                <w:highlight w:val="none"/>
              </w:rPr>
            </w:pPr>
          </w:p>
        </w:tc>
        <w:tc>
          <w:tcPr>
            <w:tcW w:w="1315"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highlight w:val="none"/>
              </w:rPr>
            </w:pPr>
            <w:r>
              <w:rPr>
                <w:rFonts w:hint="eastAsia" w:ascii="宋体" w:hAnsi="宋体" w:cs="宋体"/>
                <w:sz w:val="24"/>
                <w:szCs w:val="24"/>
                <w:highlight w:val="none"/>
              </w:rPr>
              <w:t>资质要求</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line="360" w:lineRule="auto"/>
              <w:rPr>
                <w:rFonts w:ascii="宋体" w:hAnsi="宋体" w:cs="宋体"/>
                <w:kern w:val="0"/>
                <w:sz w:val="24"/>
                <w:szCs w:val="24"/>
                <w:highlight w:val="none"/>
              </w:rPr>
            </w:pPr>
            <w:r>
              <w:rPr>
                <w:rFonts w:hint="eastAsia" w:ascii="宋体" w:hAnsi="宋体" w:cs="宋体"/>
                <w:kern w:val="0"/>
                <w:sz w:val="24"/>
                <w:szCs w:val="24"/>
                <w:highlight w:val="none"/>
              </w:rPr>
              <w:t>满足招标公告第3.2的要求。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360" w:lineRule="auto"/>
              <w:jc w:val="center"/>
              <w:rPr>
                <w:rFonts w:ascii="宋体" w:hAnsi="宋体" w:cs="宋体"/>
                <w:sz w:val="24"/>
                <w:szCs w:val="24"/>
                <w:highlight w:val="none"/>
              </w:rPr>
            </w:pPr>
          </w:p>
        </w:tc>
        <w:tc>
          <w:tcPr>
            <w:tcW w:w="1315"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highlight w:val="none"/>
              </w:rPr>
            </w:pPr>
            <w:r>
              <w:rPr>
                <w:rFonts w:hint="eastAsia" w:ascii="宋体" w:hAnsi="宋体" w:cs="宋体"/>
                <w:sz w:val="24"/>
                <w:szCs w:val="24"/>
                <w:highlight w:val="none"/>
              </w:rPr>
              <w:t>项目负责人</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line="360" w:lineRule="auto"/>
              <w:rPr>
                <w:rFonts w:ascii="宋体" w:hAnsi="宋体" w:cs="宋体"/>
                <w:kern w:val="0"/>
                <w:sz w:val="24"/>
                <w:szCs w:val="24"/>
                <w:highlight w:val="none"/>
              </w:rPr>
            </w:pPr>
            <w:r>
              <w:rPr>
                <w:rFonts w:hint="eastAsia" w:ascii="宋体" w:hAnsi="宋体" w:cs="宋体"/>
                <w:kern w:val="0"/>
                <w:sz w:val="24"/>
                <w:szCs w:val="24"/>
                <w:highlight w:val="none"/>
              </w:rPr>
              <w:t>满足</w:t>
            </w:r>
            <w:r>
              <w:rPr>
                <w:rFonts w:hint="eastAsia" w:ascii="宋体" w:hAnsi="宋体" w:cs="宋体"/>
                <w:sz w:val="24"/>
                <w:szCs w:val="24"/>
                <w:highlight w:val="none"/>
              </w:rPr>
              <w:t>招标公告第3.3点要求。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360" w:lineRule="auto"/>
              <w:jc w:val="center"/>
              <w:rPr>
                <w:rFonts w:ascii="宋体" w:hAnsi="宋体" w:cs="宋体"/>
                <w:sz w:val="24"/>
                <w:szCs w:val="24"/>
                <w:highlight w:val="none"/>
              </w:rPr>
            </w:pPr>
          </w:p>
        </w:tc>
        <w:tc>
          <w:tcPr>
            <w:tcW w:w="1315"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联合体投标人</w:t>
            </w:r>
          </w:p>
        </w:tc>
        <w:tc>
          <w:tcPr>
            <w:tcW w:w="5284" w:type="dxa"/>
            <w:tcBorders>
              <w:top w:val="single" w:color="auto" w:sz="4" w:space="0"/>
              <w:left w:val="single" w:color="auto" w:sz="4" w:space="0"/>
              <w:bottom w:val="single" w:color="auto" w:sz="4" w:space="0"/>
            </w:tcBorders>
            <w:vAlign w:val="center"/>
          </w:tcPr>
          <w:p>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满足招标公告第3.4点要求。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360" w:lineRule="auto"/>
              <w:jc w:val="center"/>
              <w:rPr>
                <w:rFonts w:ascii="宋体" w:hAnsi="宋体" w:cs="宋体"/>
                <w:sz w:val="24"/>
                <w:szCs w:val="24"/>
                <w:highlight w:val="none"/>
              </w:rPr>
            </w:pPr>
          </w:p>
        </w:tc>
        <w:tc>
          <w:tcPr>
            <w:tcW w:w="1315"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highlight w:val="none"/>
              </w:rPr>
            </w:pPr>
            <w:r>
              <w:rPr>
                <w:rFonts w:hint="eastAsia" w:ascii="宋体" w:hAnsi="宋体" w:cs="宋体"/>
                <w:sz w:val="24"/>
                <w:szCs w:val="24"/>
                <w:highlight w:val="none"/>
              </w:rPr>
              <w:t>其他要求</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line="360" w:lineRule="auto"/>
              <w:rPr>
                <w:rFonts w:ascii="宋体" w:hAnsi="宋体" w:cs="宋体"/>
                <w:kern w:val="0"/>
                <w:sz w:val="24"/>
                <w:szCs w:val="24"/>
                <w:highlight w:val="none"/>
              </w:rPr>
            </w:pPr>
            <w:r>
              <w:rPr>
                <w:rFonts w:hint="eastAsia" w:ascii="宋体" w:hAnsi="宋体" w:cs="宋体"/>
                <w:sz w:val="24"/>
                <w:szCs w:val="24"/>
                <w:highlight w:val="none"/>
              </w:rPr>
              <w:t>满足招标公告第3.1、3.4、3.5点要求。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315"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kern w:val="0"/>
                <w:sz w:val="24"/>
                <w:szCs w:val="24"/>
                <w:highlight w:val="none"/>
              </w:rPr>
            </w:pPr>
            <w:r>
              <w:rPr>
                <w:rFonts w:hint="eastAsia" w:ascii="宋体" w:hAnsi="宋体" w:cs="宋体"/>
                <w:sz w:val="24"/>
                <w:szCs w:val="24"/>
                <w:highlight w:val="none"/>
              </w:rPr>
              <w:t>不存在禁止投标的情形</w:t>
            </w:r>
          </w:p>
        </w:tc>
        <w:tc>
          <w:tcPr>
            <w:tcW w:w="5284" w:type="dxa"/>
            <w:tcBorders>
              <w:top w:val="single" w:color="auto" w:sz="4" w:space="0"/>
              <w:left w:val="single" w:color="auto" w:sz="4" w:space="0"/>
              <w:bottom w:val="single" w:color="auto" w:sz="4" w:space="0"/>
            </w:tcBorders>
            <w:vAlign w:val="center"/>
          </w:tcPr>
          <w:p>
            <w:pPr>
              <w:widowControl/>
              <w:spacing w:before="100" w:beforeAutospacing="1" w:after="100" w:afterAutospacing="1" w:line="360" w:lineRule="auto"/>
              <w:jc w:val="left"/>
              <w:rPr>
                <w:rFonts w:ascii="宋体" w:hAnsi="宋体" w:cs="宋体"/>
                <w:kern w:val="0"/>
                <w:sz w:val="24"/>
                <w:szCs w:val="24"/>
                <w:highlight w:val="none"/>
              </w:rPr>
            </w:pPr>
            <w:r>
              <w:rPr>
                <w:rFonts w:hint="eastAsia" w:ascii="宋体" w:hAnsi="宋体" w:cs="宋体"/>
                <w:sz w:val="24"/>
                <w:szCs w:val="24"/>
                <w:highlight w:val="none"/>
              </w:rPr>
              <w:t>不存在第二章“投标人须知”第1.4.3项规定的任何一种情形（详见《投标函及其附录》）。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812" w:type="dxa"/>
            <w:vMerge w:val="restart"/>
            <w:tcBorders>
              <w:top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2.1.3</w:t>
            </w:r>
          </w:p>
        </w:tc>
        <w:tc>
          <w:tcPr>
            <w:tcW w:w="1315"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响应性评审标准</w:t>
            </w: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w:t>
            </w:r>
          </w:p>
        </w:tc>
        <w:tc>
          <w:tcPr>
            <w:tcW w:w="5284" w:type="dxa"/>
            <w:tcBorders>
              <w:top w:val="single" w:color="auto" w:sz="4" w:space="0"/>
              <w:left w:val="single" w:color="auto" w:sz="4" w:space="0"/>
              <w:bottom w:val="single" w:color="auto" w:sz="4"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投标文件所列投标人名称、项目负责人与投标登记时一致；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360" w:lineRule="auto"/>
              <w:jc w:val="center"/>
              <w:rPr>
                <w:rFonts w:ascii="宋体" w:hAnsi="宋体" w:cs="宋体"/>
                <w:sz w:val="24"/>
                <w:szCs w:val="24"/>
                <w:highlight w:val="none"/>
              </w:rPr>
            </w:pPr>
          </w:p>
        </w:tc>
        <w:tc>
          <w:tcPr>
            <w:tcW w:w="1315"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投标报价</w:t>
            </w:r>
          </w:p>
        </w:tc>
        <w:tc>
          <w:tcPr>
            <w:tcW w:w="5284" w:type="dxa"/>
            <w:tcBorders>
              <w:top w:val="single" w:color="auto" w:sz="4" w:space="0"/>
              <w:left w:val="single" w:color="auto" w:sz="4" w:space="0"/>
              <w:bottom w:val="single" w:color="auto" w:sz="4"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符合第二章“投标人须知”第3.2款规定进行投标报价的；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360" w:lineRule="auto"/>
              <w:jc w:val="center"/>
              <w:rPr>
                <w:rFonts w:ascii="宋体" w:hAnsi="宋体" w:cs="宋体"/>
                <w:sz w:val="24"/>
                <w:szCs w:val="24"/>
                <w:highlight w:val="none"/>
              </w:rPr>
            </w:pPr>
          </w:p>
        </w:tc>
        <w:tc>
          <w:tcPr>
            <w:tcW w:w="1315"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投标内容</w:t>
            </w:r>
          </w:p>
        </w:tc>
        <w:tc>
          <w:tcPr>
            <w:tcW w:w="5284" w:type="dxa"/>
            <w:tcBorders>
              <w:top w:val="single" w:color="auto" w:sz="4" w:space="0"/>
              <w:left w:val="single" w:color="auto" w:sz="4" w:space="0"/>
              <w:bottom w:val="single" w:color="auto" w:sz="4"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符合第二章“投标人须知”第1.3.1项规定，有《技术响应承诺书》（详见第六章“投标文件格式”）；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360" w:lineRule="auto"/>
              <w:jc w:val="center"/>
              <w:rPr>
                <w:rFonts w:ascii="宋体" w:hAnsi="宋体" w:cs="宋体"/>
                <w:sz w:val="24"/>
                <w:szCs w:val="24"/>
                <w:highlight w:val="none"/>
              </w:rPr>
            </w:pPr>
          </w:p>
        </w:tc>
        <w:tc>
          <w:tcPr>
            <w:tcW w:w="1315"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服务期限</w:t>
            </w:r>
          </w:p>
        </w:tc>
        <w:tc>
          <w:tcPr>
            <w:tcW w:w="5284" w:type="dxa"/>
            <w:tcBorders>
              <w:top w:val="single" w:color="auto" w:sz="4" w:space="0"/>
              <w:left w:val="single" w:color="auto" w:sz="4" w:space="0"/>
              <w:bottom w:val="single" w:color="auto" w:sz="4"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360" w:lineRule="auto"/>
              <w:jc w:val="center"/>
              <w:rPr>
                <w:rFonts w:ascii="宋体" w:hAnsi="宋体" w:cs="宋体"/>
                <w:sz w:val="24"/>
                <w:szCs w:val="24"/>
                <w:highlight w:val="none"/>
              </w:rPr>
            </w:pPr>
          </w:p>
        </w:tc>
        <w:tc>
          <w:tcPr>
            <w:tcW w:w="1315" w:type="dxa"/>
            <w:vMerge w:val="continue"/>
            <w:tcBorders>
              <w:left w:val="single" w:color="auto" w:sz="4" w:space="0"/>
              <w:right w:val="single" w:color="auto" w:sz="4" w:space="0"/>
            </w:tcBorders>
            <w:vAlign w:val="center"/>
          </w:tcPr>
          <w:p>
            <w:pPr>
              <w:spacing w:line="360" w:lineRule="auto"/>
              <w:jc w:val="center"/>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质量标准</w:t>
            </w:r>
          </w:p>
        </w:tc>
        <w:tc>
          <w:tcPr>
            <w:tcW w:w="5284" w:type="dxa"/>
            <w:tcBorders>
              <w:top w:val="single" w:color="auto" w:sz="4" w:space="0"/>
              <w:left w:val="single" w:color="auto" w:sz="4" w:space="0"/>
              <w:bottom w:val="single" w:color="auto" w:sz="4" w:space="0"/>
            </w:tcBorders>
            <w:vAlign w:val="center"/>
          </w:tcPr>
          <w:p>
            <w:pPr>
              <w:spacing w:line="360" w:lineRule="auto"/>
              <w:rPr>
                <w:rFonts w:ascii="宋体" w:hAnsi="宋体" w:cs="宋体"/>
                <w:sz w:val="24"/>
                <w:szCs w:val="24"/>
                <w:highlight w:val="none"/>
              </w:rPr>
            </w:pPr>
            <w:r>
              <w:rPr>
                <w:rFonts w:hint="eastAsia" w:ascii="宋体" w:hAnsi="宋体" w:cs="宋体"/>
                <w:sz w:val="24"/>
                <w:szCs w:val="24"/>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2" w:type="dxa"/>
            <w:vMerge w:val="continue"/>
            <w:tcBorders>
              <w:right w:val="single" w:color="auto" w:sz="4" w:space="0"/>
            </w:tcBorders>
            <w:vAlign w:val="center"/>
          </w:tcPr>
          <w:p>
            <w:pPr>
              <w:spacing w:line="360" w:lineRule="auto"/>
              <w:rPr>
                <w:rFonts w:ascii="宋体" w:hAnsi="宋体" w:cs="宋体"/>
                <w:sz w:val="24"/>
                <w:szCs w:val="24"/>
                <w:highlight w:val="none"/>
              </w:rPr>
            </w:pPr>
          </w:p>
        </w:tc>
        <w:tc>
          <w:tcPr>
            <w:tcW w:w="1315" w:type="dxa"/>
            <w:vMerge w:val="continue"/>
            <w:tcBorders>
              <w:left w:val="single" w:color="auto" w:sz="4" w:space="0"/>
              <w:right w:val="single" w:color="auto" w:sz="4" w:space="0"/>
            </w:tcBorders>
            <w:vAlign w:val="center"/>
          </w:tcPr>
          <w:p>
            <w:pPr>
              <w:spacing w:line="360" w:lineRule="auto"/>
              <w:rPr>
                <w:rFonts w:ascii="宋体" w:hAnsi="宋体" w:cs="宋体"/>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投标有效期</w:t>
            </w:r>
          </w:p>
        </w:tc>
        <w:tc>
          <w:tcPr>
            <w:tcW w:w="5284" w:type="dxa"/>
            <w:tcBorders>
              <w:top w:val="single" w:color="auto" w:sz="4" w:space="0"/>
              <w:left w:val="single" w:color="auto" w:sz="4" w:space="0"/>
              <w:bottom w:val="single" w:color="auto" w:sz="4" w:space="0"/>
            </w:tcBorders>
          </w:tcPr>
          <w:p>
            <w:pPr>
              <w:spacing w:line="360" w:lineRule="auto"/>
              <w:rPr>
                <w:rFonts w:ascii="宋体" w:hAnsi="宋体" w:cs="宋体"/>
                <w:sz w:val="24"/>
                <w:szCs w:val="24"/>
                <w:highlight w:val="none"/>
              </w:rPr>
            </w:pPr>
            <w:r>
              <w:rPr>
                <w:rFonts w:hint="eastAsia" w:ascii="宋体" w:hAnsi="宋体" w:cs="宋体"/>
                <w:sz w:val="24"/>
                <w:szCs w:val="24"/>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7" w:hRule="atLeast"/>
        </w:trPr>
        <w:tc>
          <w:tcPr>
            <w:tcW w:w="812" w:type="dxa"/>
            <w:vMerge w:val="continue"/>
            <w:tcBorders>
              <w:bottom w:val="single" w:color="auto" w:sz="4" w:space="0"/>
              <w:right w:val="single" w:color="auto" w:sz="4" w:space="0"/>
            </w:tcBorders>
            <w:vAlign w:val="center"/>
          </w:tcPr>
          <w:p>
            <w:pPr>
              <w:spacing w:line="360" w:lineRule="auto"/>
              <w:rPr>
                <w:rFonts w:ascii="宋体" w:hAnsi="宋体" w:cs="宋体"/>
                <w:sz w:val="24"/>
                <w:szCs w:val="24"/>
                <w:highlight w:val="none"/>
              </w:rPr>
            </w:pPr>
          </w:p>
        </w:tc>
        <w:tc>
          <w:tcPr>
            <w:tcW w:w="1315"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 w:val="24"/>
                <w:szCs w:val="24"/>
                <w:highlight w:val="none"/>
              </w:rPr>
            </w:pPr>
          </w:p>
        </w:tc>
        <w:tc>
          <w:tcPr>
            <w:tcW w:w="1945" w:type="dxa"/>
            <w:tcBorders>
              <w:top w:val="single" w:color="auto" w:sz="4" w:space="0"/>
              <w:left w:val="single" w:color="auto" w:sz="4" w:space="0"/>
              <w:right w:val="single" w:color="auto" w:sz="4" w:space="0"/>
            </w:tcBorders>
            <w:vAlign w:val="center"/>
          </w:tcPr>
          <w:p>
            <w:pPr>
              <w:widowControl/>
              <w:spacing w:before="100" w:beforeAutospacing="1" w:after="100" w:afterAutospacing="1" w:line="360" w:lineRule="auto"/>
              <w:jc w:val="center"/>
              <w:rPr>
                <w:rFonts w:ascii="宋体" w:hAnsi="宋体" w:cs="宋体"/>
                <w:sz w:val="24"/>
                <w:szCs w:val="24"/>
                <w:highlight w:val="none"/>
              </w:rPr>
            </w:pPr>
            <w:r>
              <w:rPr>
                <w:rFonts w:hint="eastAsia" w:ascii="宋体" w:hAnsi="宋体" w:cs="宋体"/>
                <w:kern w:val="0"/>
                <w:sz w:val="24"/>
                <w:szCs w:val="24"/>
                <w:highlight w:val="none"/>
              </w:rPr>
              <w:t>串通投标情形</w:t>
            </w:r>
          </w:p>
        </w:tc>
        <w:tc>
          <w:tcPr>
            <w:tcW w:w="5284" w:type="dxa"/>
            <w:tcBorders>
              <w:top w:val="single" w:color="auto" w:sz="4" w:space="0"/>
              <w:left w:val="single" w:color="auto" w:sz="4" w:space="0"/>
            </w:tcBorders>
          </w:tcPr>
          <w:p>
            <w:pPr>
              <w:widowControl/>
              <w:spacing w:before="100" w:beforeAutospacing="1" w:after="100" w:afterAutospacing="1" w:line="360" w:lineRule="auto"/>
              <w:jc w:val="left"/>
              <w:rPr>
                <w:rFonts w:ascii="宋体" w:hAnsi="宋体" w:cs="宋体"/>
                <w:sz w:val="24"/>
                <w:szCs w:val="24"/>
                <w:highlight w:val="none"/>
              </w:rPr>
            </w:pPr>
            <w:r>
              <w:rPr>
                <w:rFonts w:hint="eastAsia" w:ascii="宋体" w:hAnsi="宋体" w:cs="宋体"/>
                <w:sz w:val="24"/>
                <w:szCs w:val="24"/>
                <w:highlight w:val="none"/>
              </w:rPr>
              <w:t>不存在串通投标情形（串通投标情形以《广东省实施&lt;中华人民共和国招标投标法&gt;办法》第十六条的规定为准）。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7"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条款号</w:t>
            </w: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条款内容</w:t>
            </w:r>
          </w:p>
        </w:tc>
        <w:tc>
          <w:tcPr>
            <w:tcW w:w="5284" w:type="dxa"/>
            <w:tcBorders>
              <w:top w:val="single" w:color="auto" w:sz="4" w:space="0"/>
              <w:left w:val="single" w:color="auto" w:sz="4" w:space="0"/>
              <w:bottom w:val="single" w:color="auto" w:sz="4" w:space="0"/>
            </w:tcBorders>
            <w:vAlign w:val="center"/>
          </w:tcPr>
          <w:p>
            <w:pPr>
              <w:spacing w:line="360" w:lineRule="auto"/>
              <w:jc w:val="center"/>
              <w:rPr>
                <w:rFonts w:ascii="宋体" w:hAnsi="宋体" w:cs="宋体"/>
                <w:b/>
                <w:sz w:val="24"/>
                <w:szCs w:val="24"/>
                <w:highlight w:val="none"/>
              </w:rPr>
            </w:pPr>
            <w:r>
              <w:rPr>
                <w:rFonts w:hint="eastAsia" w:ascii="宋体" w:hAnsi="宋体" w:cs="宋体"/>
                <w:b/>
                <w:sz w:val="24"/>
                <w:szCs w:val="24"/>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27" w:type="dxa"/>
            <w:gridSpan w:val="2"/>
            <w:tcBorders>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2.2.1</w:t>
            </w: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分值构成</w:t>
            </w:r>
          </w:p>
          <w:p>
            <w:pPr>
              <w:spacing w:line="360" w:lineRule="auto"/>
              <w:jc w:val="center"/>
              <w:rPr>
                <w:rFonts w:ascii="宋体" w:hAnsi="宋体" w:cs="宋体"/>
                <w:sz w:val="24"/>
                <w:szCs w:val="24"/>
                <w:highlight w:val="none"/>
              </w:rPr>
            </w:pPr>
            <w:r>
              <w:rPr>
                <w:rFonts w:hint="eastAsia" w:ascii="宋体" w:hAnsi="宋体" w:cs="宋体"/>
                <w:sz w:val="24"/>
                <w:szCs w:val="24"/>
                <w:highlight w:val="none"/>
              </w:rPr>
              <w:t>(总分100分)</w:t>
            </w:r>
          </w:p>
        </w:tc>
        <w:tc>
          <w:tcPr>
            <w:tcW w:w="5284" w:type="dxa"/>
            <w:tcBorders>
              <w:top w:val="single" w:color="auto" w:sz="4" w:space="0"/>
              <w:left w:val="single" w:color="auto" w:sz="4" w:space="0"/>
              <w:bottom w:val="single" w:color="auto" w:sz="4" w:space="0"/>
            </w:tcBorders>
            <w:vAlign w:val="center"/>
          </w:tcPr>
          <w:p>
            <w:pPr>
              <w:spacing w:line="360" w:lineRule="auto"/>
              <w:jc w:val="left"/>
              <w:rPr>
                <w:rFonts w:ascii="宋体" w:hAnsi="宋体" w:cs="宋体"/>
                <w:sz w:val="24"/>
                <w:szCs w:val="24"/>
                <w:highlight w:val="none"/>
                <w:u w:val="single"/>
              </w:rPr>
            </w:pPr>
            <w:r>
              <w:rPr>
                <w:rFonts w:hint="eastAsia" w:ascii="宋体" w:hAnsi="宋体" w:cs="宋体"/>
                <w:sz w:val="24"/>
                <w:szCs w:val="24"/>
                <w:highlight w:val="none"/>
                <w:u w:val="single"/>
              </w:rPr>
              <w:t>资信业绩部分：55分</w:t>
            </w:r>
          </w:p>
          <w:p>
            <w:pPr>
              <w:spacing w:line="360" w:lineRule="auto"/>
              <w:jc w:val="left"/>
              <w:rPr>
                <w:rFonts w:ascii="宋体" w:hAnsi="宋体" w:cs="宋体"/>
                <w:sz w:val="24"/>
                <w:szCs w:val="24"/>
                <w:highlight w:val="none"/>
                <w:u w:val="single"/>
              </w:rPr>
            </w:pPr>
            <w:r>
              <w:rPr>
                <w:rFonts w:hint="eastAsia" w:ascii="宋体" w:hAnsi="宋体" w:cs="宋体"/>
                <w:sz w:val="24"/>
                <w:szCs w:val="24"/>
                <w:highlight w:val="none"/>
                <w:u w:val="single"/>
              </w:rPr>
              <w:t>检测方案部分：25分</w:t>
            </w:r>
          </w:p>
          <w:p>
            <w:pPr>
              <w:spacing w:line="360" w:lineRule="auto"/>
              <w:jc w:val="left"/>
              <w:rPr>
                <w:rFonts w:ascii="宋体" w:hAnsi="宋体" w:cs="宋体"/>
                <w:sz w:val="24"/>
                <w:szCs w:val="24"/>
                <w:highlight w:val="none"/>
                <w:u w:val="single"/>
              </w:rPr>
            </w:pPr>
            <w:r>
              <w:rPr>
                <w:rFonts w:hint="eastAsia" w:ascii="宋体" w:hAnsi="宋体" w:cs="宋体"/>
                <w:sz w:val="24"/>
                <w:szCs w:val="24"/>
                <w:highlight w:val="none"/>
                <w:u w:val="single"/>
              </w:rPr>
              <w:t>投标报价：20分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2127"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2.2.2</w:t>
            </w: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评标基准价计算方法</w:t>
            </w:r>
          </w:p>
        </w:tc>
        <w:tc>
          <w:tcPr>
            <w:tcW w:w="5284" w:type="dxa"/>
            <w:tcBorders>
              <w:top w:val="single" w:color="auto" w:sz="4" w:space="0"/>
              <w:left w:val="single" w:color="auto" w:sz="4" w:space="0"/>
              <w:bottom w:val="single" w:color="auto" w:sz="4" w:space="0"/>
            </w:tcBorders>
            <w:vAlign w:val="center"/>
          </w:tcPr>
          <w:p>
            <w:pPr>
              <w:numPr>
                <w:ilvl w:val="-1"/>
                <w:numId w:val="0"/>
              </w:numPr>
              <w:spacing w:line="360" w:lineRule="auto"/>
              <w:rPr>
                <w:rFonts w:ascii="宋体" w:hAnsi="宋体" w:cs="宋体"/>
                <w:sz w:val="24"/>
                <w:szCs w:val="24"/>
                <w:highlight w:val="none"/>
              </w:rPr>
            </w:pPr>
            <w:r>
              <w:rPr>
                <w:rFonts w:hint="eastAsia" w:ascii="宋体" w:hAnsi="宋体" w:cs="宋体"/>
                <w:sz w:val="24"/>
                <w:szCs w:val="24"/>
                <w:highlight w:val="none"/>
              </w:rPr>
              <w:t>当通过初步评审且投标总报价位于[最高投标限价×90%，最高投标限价]的有效投标人大于5名时，去掉一个最高价和一个最低价，取余下有效投标人的投标总报价的算术平均值的作为评标基准价；当通过初步评审且投标总报价位于[最高投标限价×90%，最高投标限价]的有效投标人小于或等于5名时，取所有入围的有效投标人的投标总报价的算术平均值的作为评标基准价。</w:t>
            </w:r>
          </w:p>
          <w:p>
            <w:pPr>
              <w:pStyle w:val="2"/>
              <w:ind w:firstLine="0"/>
              <w:rPr>
                <w:highlight w:val="none"/>
              </w:rPr>
            </w:pPr>
            <w:r>
              <w:rPr>
                <w:rFonts w:hint="eastAsia" w:ascii="宋体" w:hAnsi="宋体" w:cs="宋体"/>
                <w:sz w:val="24"/>
                <w:szCs w:val="24"/>
                <w:highlight w:val="none"/>
              </w:rPr>
              <w:t>(有效报价的范围为最高投标限价的[90%，100%]，超过此范围的报价不参与评标基准价的计算)。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127" w:type="dxa"/>
            <w:gridSpan w:val="2"/>
            <w:tcBorders>
              <w:top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2.2.3</w:t>
            </w: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highlight w:val="none"/>
              </w:rPr>
            </w:pPr>
            <w:r>
              <w:rPr>
                <w:rFonts w:hint="eastAsia" w:ascii="宋体" w:hAnsi="宋体" w:cs="宋体"/>
                <w:sz w:val="24"/>
                <w:szCs w:val="24"/>
                <w:highlight w:val="none"/>
              </w:rPr>
              <w:t>投标报价的偏差率计算公式</w:t>
            </w:r>
          </w:p>
        </w:tc>
        <w:tc>
          <w:tcPr>
            <w:tcW w:w="5284" w:type="dxa"/>
            <w:tcBorders>
              <w:top w:val="single" w:color="auto" w:sz="4" w:space="0"/>
              <w:left w:val="single" w:color="auto" w:sz="4" w:space="0"/>
              <w:bottom w:val="single" w:color="auto" w:sz="4" w:space="0"/>
            </w:tcBorders>
            <w:vAlign w:val="center"/>
          </w:tcPr>
          <w:p>
            <w:pPr>
              <w:spacing w:line="360" w:lineRule="auto"/>
              <w:jc w:val="left"/>
              <w:rPr>
                <w:rFonts w:ascii="宋体" w:hAnsi="宋体" w:cs="宋体"/>
                <w:sz w:val="24"/>
                <w:szCs w:val="24"/>
                <w:highlight w:val="none"/>
              </w:rPr>
            </w:pPr>
            <w:r>
              <w:rPr>
                <w:rFonts w:hint="eastAsia" w:ascii="宋体" w:hAnsi="宋体" w:cs="宋体"/>
                <w:sz w:val="24"/>
                <w:szCs w:val="24"/>
                <w:highlight w:val="none"/>
              </w:rPr>
              <w:t>偏差率=（投标报价-评标基准价）/评标基准价*100%</w:t>
            </w:r>
          </w:p>
          <w:p>
            <w:pPr>
              <w:spacing w:line="360" w:lineRule="auto"/>
              <w:rPr>
                <w:rFonts w:ascii="宋体" w:hAnsi="宋体" w:cs="宋体"/>
                <w:b/>
                <w:sz w:val="24"/>
                <w:szCs w:val="24"/>
                <w:highlight w:val="none"/>
                <w:u w:val="single"/>
              </w:rPr>
            </w:pPr>
            <w:r>
              <w:rPr>
                <w:rFonts w:hint="eastAsia" w:ascii="宋体" w:hAnsi="宋体" w:cs="宋体"/>
                <w:sz w:val="24"/>
                <w:szCs w:val="24"/>
                <w:highlight w:val="none"/>
              </w:rPr>
              <w:t>偏差率四舍五入保留2位小数。</w:t>
            </w:r>
          </w:p>
        </w:tc>
      </w:tr>
    </w:tbl>
    <w:p>
      <w:pPr>
        <w:rPr>
          <w:rFonts w:ascii="宋体" w:hAnsi="宋体" w:cs="宋体"/>
          <w:highlight w:val="none"/>
        </w:rPr>
      </w:pPr>
      <w:r>
        <w:rPr>
          <w:rFonts w:hint="eastAsia" w:ascii="宋体" w:hAnsi="宋体" w:cs="宋体"/>
          <w:highlight w:val="none"/>
        </w:rPr>
        <w:br w:type="page"/>
      </w:r>
    </w:p>
    <w:tbl>
      <w:tblPr>
        <w:tblStyle w:val="19"/>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32"/>
        <w:gridCol w:w="1575"/>
        <w:gridCol w:w="6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083" w:type="dxa"/>
            <w:gridSpan w:val="2"/>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条款号</w:t>
            </w:r>
          </w:p>
        </w:tc>
        <w:tc>
          <w:tcPr>
            <w:tcW w:w="1575" w:type="dxa"/>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评分因素</w:t>
            </w:r>
          </w:p>
        </w:tc>
        <w:tc>
          <w:tcPr>
            <w:tcW w:w="6107" w:type="dxa"/>
            <w:vAlign w:val="center"/>
          </w:tcPr>
          <w:p>
            <w:pPr>
              <w:snapToGrid w:val="0"/>
              <w:spacing w:line="360" w:lineRule="auto"/>
              <w:jc w:val="center"/>
              <w:rPr>
                <w:rFonts w:ascii="宋体" w:hAnsi="宋体" w:cs="宋体"/>
                <w:b/>
                <w:sz w:val="24"/>
                <w:szCs w:val="24"/>
                <w:highlight w:val="none"/>
              </w:rPr>
            </w:pPr>
            <w:r>
              <w:rPr>
                <w:rFonts w:hint="eastAsia" w:ascii="宋体" w:hAnsi="宋体" w:cs="宋体"/>
                <w:b/>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Merge w:val="restart"/>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232" w:type="dxa"/>
            <w:vMerge w:val="restart"/>
            <w:vAlign w:val="center"/>
          </w:tcPr>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资信业绩评分标准</w:t>
            </w:r>
          </w:p>
          <w:p>
            <w:pPr>
              <w:tabs>
                <w:tab w:val="left" w:pos="720"/>
              </w:tabs>
              <w:snapToGrid w:val="0"/>
              <w:spacing w:line="360" w:lineRule="auto"/>
              <w:ind w:right="63" w:rightChars="30"/>
              <w:rPr>
                <w:rFonts w:ascii="宋体" w:hAnsi="宋体" w:cs="宋体"/>
                <w:sz w:val="24"/>
                <w:szCs w:val="24"/>
                <w:highlight w:val="none"/>
              </w:rPr>
            </w:pPr>
            <w:r>
              <w:rPr>
                <w:rFonts w:hint="eastAsia" w:ascii="宋体" w:hAnsi="宋体" w:cs="宋体"/>
                <w:sz w:val="24"/>
                <w:szCs w:val="24"/>
                <w:highlight w:val="none"/>
              </w:rPr>
              <w:t>（55分）</w:t>
            </w:r>
          </w:p>
        </w:tc>
        <w:tc>
          <w:tcPr>
            <w:tcW w:w="1575" w:type="dxa"/>
            <w:vAlign w:val="center"/>
          </w:tcPr>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类似项目业绩（10分）</w:t>
            </w:r>
          </w:p>
        </w:tc>
        <w:tc>
          <w:tcPr>
            <w:tcW w:w="6107" w:type="dxa"/>
            <w:vAlign w:val="center"/>
          </w:tcPr>
          <w:p>
            <w:pPr>
              <w:tabs>
                <w:tab w:val="left" w:pos="720"/>
              </w:tabs>
              <w:snapToGrid w:val="0"/>
              <w:spacing w:line="360" w:lineRule="auto"/>
              <w:ind w:right="63" w:rightChars="30"/>
              <w:rPr>
                <w:rFonts w:ascii="宋体" w:hAnsi="宋体" w:cs="宋体"/>
                <w:sz w:val="24"/>
                <w:szCs w:val="24"/>
                <w:highlight w:val="none"/>
              </w:rPr>
            </w:pPr>
            <w:r>
              <w:rPr>
                <w:rFonts w:hint="eastAsia" w:ascii="宋体" w:hAnsi="宋体" w:cs="宋体"/>
                <w:sz w:val="24"/>
                <w:szCs w:val="24"/>
                <w:highlight w:val="none"/>
              </w:rPr>
              <w:t>2020年1月1日至今承接单个合同金额大于或等于</w:t>
            </w:r>
            <w:r>
              <w:rPr>
                <w:rFonts w:hint="eastAsia" w:ascii="宋体" w:hAnsi="宋体" w:cs="宋体"/>
                <w:b/>
                <w:bCs/>
                <w:color w:val="002060"/>
                <w:sz w:val="24"/>
                <w:szCs w:val="24"/>
                <w:highlight w:val="none"/>
              </w:rPr>
              <w:t>140</w:t>
            </w:r>
            <w:r>
              <w:rPr>
                <w:rFonts w:hint="eastAsia" w:ascii="宋体" w:hAnsi="宋体" w:cs="宋体"/>
                <w:sz w:val="24"/>
                <w:szCs w:val="24"/>
                <w:highlight w:val="none"/>
              </w:rPr>
              <w:t>万元的类似检测业绩，每项得2分。</w:t>
            </w:r>
          </w:p>
          <w:p>
            <w:pPr>
              <w:tabs>
                <w:tab w:val="left" w:pos="720"/>
              </w:tabs>
              <w:snapToGrid w:val="0"/>
              <w:spacing w:line="360" w:lineRule="auto"/>
              <w:ind w:right="63" w:rightChars="30"/>
              <w:rPr>
                <w:rFonts w:ascii="宋体" w:hAnsi="宋体" w:cs="宋体"/>
                <w:b/>
                <w:sz w:val="24"/>
                <w:szCs w:val="24"/>
                <w:highlight w:val="none"/>
              </w:rPr>
            </w:pPr>
            <w:r>
              <w:rPr>
                <w:rFonts w:hint="eastAsia" w:ascii="宋体" w:hAnsi="宋体" w:cs="宋体"/>
                <w:sz w:val="24"/>
                <w:szCs w:val="24"/>
                <w:highlight w:val="none"/>
              </w:rPr>
              <w:t>注：本项最多得10分。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Merge w:val="continue"/>
            <w:vAlign w:val="center"/>
          </w:tcPr>
          <w:p>
            <w:pPr>
              <w:snapToGrid w:val="0"/>
              <w:spacing w:line="360" w:lineRule="auto"/>
              <w:ind w:firstLine="420"/>
              <w:jc w:val="center"/>
              <w:rPr>
                <w:rFonts w:ascii="宋体" w:hAnsi="宋体" w:cs="宋体"/>
                <w:sz w:val="24"/>
                <w:szCs w:val="24"/>
                <w:highlight w:val="none"/>
              </w:rPr>
            </w:pPr>
          </w:p>
        </w:tc>
        <w:tc>
          <w:tcPr>
            <w:tcW w:w="1232" w:type="dxa"/>
            <w:vMerge w:val="continue"/>
            <w:vAlign w:val="center"/>
          </w:tcPr>
          <w:p>
            <w:pPr>
              <w:tabs>
                <w:tab w:val="left" w:pos="720"/>
              </w:tabs>
              <w:snapToGrid w:val="0"/>
              <w:spacing w:line="360" w:lineRule="auto"/>
              <w:ind w:right="63" w:rightChars="30" w:firstLine="420"/>
              <w:jc w:val="center"/>
              <w:rPr>
                <w:rFonts w:ascii="宋体" w:hAnsi="宋体" w:cs="宋体"/>
                <w:sz w:val="24"/>
                <w:szCs w:val="24"/>
                <w:highlight w:val="none"/>
              </w:rPr>
            </w:pPr>
          </w:p>
        </w:tc>
        <w:tc>
          <w:tcPr>
            <w:tcW w:w="1575" w:type="dxa"/>
            <w:vAlign w:val="center"/>
          </w:tcPr>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管理体系认证（6分）</w:t>
            </w:r>
          </w:p>
        </w:tc>
        <w:tc>
          <w:tcPr>
            <w:tcW w:w="6107" w:type="dxa"/>
            <w:vAlign w:val="center"/>
          </w:tcPr>
          <w:p>
            <w:pPr>
              <w:tabs>
                <w:tab w:val="left" w:pos="720"/>
              </w:tabs>
              <w:snapToGrid w:val="0"/>
              <w:spacing w:line="360" w:lineRule="auto"/>
              <w:ind w:right="63" w:rightChars="30"/>
              <w:rPr>
                <w:rFonts w:ascii="宋体" w:hAnsi="宋体" w:cs="宋体"/>
                <w:sz w:val="24"/>
                <w:szCs w:val="24"/>
                <w:highlight w:val="none"/>
              </w:rPr>
            </w:pPr>
            <w:r>
              <w:rPr>
                <w:rFonts w:hint="eastAsia" w:ascii="宋体" w:hAnsi="宋体" w:cs="宋体"/>
                <w:sz w:val="24"/>
                <w:szCs w:val="24"/>
                <w:highlight w:val="none"/>
              </w:rPr>
              <w:t>投标人同时通过质量管理体系、环境管理体系、职业健康安全管理体系、知识产权管理体系、信息安全管理体系及信息技术服务管理体系认证的，得6分；</w:t>
            </w:r>
          </w:p>
          <w:p>
            <w:pPr>
              <w:tabs>
                <w:tab w:val="left" w:pos="720"/>
              </w:tabs>
              <w:snapToGrid w:val="0"/>
              <w:spacing w:line="360" w:lineRule="auto"/>
              <w:ind w:right="63" w:rightChars="30"/>
              <w:rPr>
                <w:rFonts w:ascii="宋体" w:hAnsi="宋体" w:cs="宋体"/>
                <w:sz w:val="24"/>
                <w:szCs w:val="24"/>
                <w:highlight w:val="none"/>
              </w:rPr>
            </w:pPr>
            <w:r>
              <w:rPr>
                <w:rFonts w:hint="eastAsia" w:ascii="宋体" w:hAnsi="宋体" w:cs="宋体"/>
                <w:sz w:val="24"/>
                <w:szCs w:val="24"/>
                <w:highlight w:val="none"/>
              </w:rPr>
              <w:t>同时通过其中4-5项认证的，得3分；</w:t>
            </w:r>
          </w:p>
          <w:p>
            <w:pPr>
              <w:tabs>
                <w:tab w:val="left" w:pos="720"/>
              </w:tabs>
              <w:snapToGrid w:val="0"/>
              <w:spacing w:line="360" w:lineRule="auto"/>
              <w:ind w:right="63" w:rightChars="30"/>
              <w:rPr>
                <w:rFonts w:ascii="宋体" w:hAnsi="宋体" w:cs="宋体"/>
                <w:sz w:val="24"/>
                <w:szCs w:val="24"/>
                <w:highlight w:val="none"/>
              </w:rPr>
            </w:pPr>
            <w:r>
              <w:rPr>
                <w:rFonts w:hint="eastAsia" w:ascii="宋体" w:hAnsi="宋体" w:cs="宋体"/>
                <w:sz w:val="24"/>
                <w:szCs w:val="24"/>
                <w:highlight w:val="none"/>
              </w:rPr>
              <w:t>同时通过其中1-3项认证的，得2分；</w:t>
            </w:r>
          </w:p>
          <w:p>
            <w:pPr>
              <w:tabs>
                <w:tab w:val="left" w:pos="720"/>
              </w:tabs>
              <w:snapToGrid w:val="0"/>
              <w:spacing w:line="360" w:lineRule="auto"/>
              <w:ind w:right="63" w:rightChars="30"/>
              <w:rPr>
                <w:rFonts w:ascii="宋体" w:hAnsi="宋体" w:cs="宋体"/>
                <w:sz w:val="24"/>
                <w:szCs w:val="24"/>
                <w:highlight w:val="none"/>
              </w:rPr>
            </w:pPr>
            <w:r>
              <w:rPr>
                <w:rFonts w:hint="eastAsia" w:ascii="宋体" w:hAnsi="宋体" w:cs="宋体"/>
                <w:sz w:val="24"/>
                <w:szCs w:val="24"/>
                <w:highlight w:val="none"/>
              </w:rPr>
              <w:t>无则不得分。</w:t>
            </w:r>
          </w:p>
          <w:p>
            <w:pPr>
              <w:tabs>
                <w:tab w:val="left" w:pos="720"/>
              </w:tabs>
              <w:snapToGrid w:val="0"/>
              <w:spacing w:line="360" w:lineRule="auto"/>
              <w:ind w:right="63" w:rightChars="30"/>
              <w:rPr>
                <w:rFonts w:ascii="宋体" w:hAnsi="宋体" w:cs="宋体"/>
                <w:sz w:val="24"/>
                <w:szCs w:val="24"/>
                <w:highlight w:val="none"/>
              </w:rPr>
            </w:pPr>
            <w:r>
              <w:rPr>
                <w:rFonts w:hint="eastAsia" w:ascii="宋体" w:hAnsi="宋体" w:cs="宋体"/>
                <w:sz w:val="24"/>
                <w:szCs w:val="24"/>
                <w:highlight w:val="none"/>
              </w:rPr>
              <w:t>注：本项最多得6分。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51" w:type="dxa"/>
            <w:vMerge w:val="continue"/>
            <w:vAlign w:val="center"/>
          </w:tcPr>
          <w:p>
            <w:pPr>
              <w:snapToGrid w:val="0"/>
              <w:spacing w:line="360" w:lineRule="auto"/>
              <w:ind w:firstLine="420"/>
              <w:jc w:val="center"/>
              <w:rPr>
                <w:rFonts w:ascii="宋体" w:hAnsi="宋体" w:cs="宋体"/>
                <w:sz w:val="24"/>
                <w:szCs w:val="24"/>
                <w:highlight w:val="none"/>
              </w:rPr>
            </w:pPr>
          </w:p>
        </w:tc>
        <w:tc>
          <w:tcPr>
            <w:tcW w:w="1232" w:type="dxa"/>
            <w:vMerge w:val="continue"/>
            <w:vAlign w:val="center"/>
          </w:tcPr>
          <w:p>
            <w:pPr>
              <w:snapToGrid w:val="0"/>
              <w:spacing w:line="360" w:lineRule="auto"/>
              <w:ind w:firstLine="420"/>
              <w:jc w:val="center"/>
              <w:rPr>
                <w:rFonts w:ascii="宋体" w:hAnsi="宋体" w:cs="宋体"/>
                <w:sz w:val="24"/>
                <w:szCs w:val="24"/>
                <w:highlight w:val="none"/>
              </w:rPr>
            </w:pPr>
          </w:p>
        </w:tc>
        <w:tc>
          <w:tcPr>
            <w:tcW w:w="1575" w:type="dxa"/>
            <w:vMerge w:val="restart"/>
            <w:vAlign w:val="center"/>
          </w:tcPr>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企业资信（17分）</w:t>
            </w:r>
          </w:p>
        </w:tc>
        <w:tc>
          <w:tcPr>
            <w:tcW w:w="6107" w:type="dxa"/>
          </w:tcPr>
          <w:p>
            <w:pPr>
              <w:tabs>
                <w:tab w:val="left" w:pos="720"/>
              </w:tabs>
              <w:snapToGrid w:val="0"/>
              <w:spacing w:line="360" w:lineRule="auto"/>
              <w:ind w:right="63" w:rightChars="30"/>
              <w:jc w:val="left"/>
              <w:rPr>
                <w:rFonts w:ascii="宋体" w:hAnsi="宋体" w:cs="宋体"/>
                <w:sz w:val="24"/>
                <w:szCs w:val="24"/>
                <w:highlight w:val="none"/>
              </w:rPr>
            </w:pPr>
            <w:r>
              <w:rPr>
                <w:rFonts w:hint="eastAsia" w:ascii="宋体" w:hAnsi="宋体" w:cs="宋体"/>
                <w:sz w:val="24"/>
                <w:szCs w:val="24"/>
                <w:highlight w:val="none"/>
              </w:rPr>
              <w:t>投标人获得省级（或以上）行业协会授予“（检测单位）”信用等级评价“AAAAA”级的得5分，“AAAA”级的得3分，“AAA”级的得1分，其它不得分。</w:t>
            </w:r>
          </w:p>
          <w:p>
            <w:pPr>
              <w:tabs>
                <w:tab w:val="left" w:pos="720"/>
              </w:tabs>
              <w:snapToGrid w:val="0"/>
              <w:spacing w:line="360" w:lineRule="auto"/>
              <w:ind w:right="63" w:rightChars="30"/>
              <w:jc w:val="left"/>
              <w:rPr>
                <w:rFonts w:ascii="宋体" w:hAnsi="宋体" w:cs="宋体"/>
                <w:sz w:val="24"/>
                <w:szCs w:val="24"/>
                <w:highlight w:val="none"/>
              </w:rPr>
            </w:pPr>
            <w:r>
              <w:rPr>
                <w:rFonts w:hint="eastAsia" w:ascii="宋体" w:hAnsi="宋体" w:cs="宋体"/>
                <w:sz w:val="24"/>
                <w:szCs w:val="24"/>
                <w:highlight w:val="none"/>
              </w:rPr>
              <w:t>注：本项最多得5分。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51" w:type="dxa"/>
            <w:vMerge w:val="continue"/>
            <w:vAlign w:val="center"/>
          </w:tcPr>
          <w:p>
            <w:pPr>
              <w:snapToGrid w:val="0"/>
              <w:spacing w:line="360" w:lineRule="auto"/>
              <w:ind w:firstLine="420"/>
              <w:jc w:val="center"/>
              <w:rPr>
                <w:rFonts w:ascii="宋体" w:hAnsi="宋体" w:cs="宋体"/>
                <w:sz w:val="24"/>
                <w:szCs w:val="24"/>
                <w:highlight w:val="none"/>
              </w:rPr>
            </w:pPr>
          </w:p>
        </w:tc>
        <w:tc>
          <w:tcPr>
            <w:tcW w:w="1232" w:type="dxa"/>
            <w:vMerge w:val="continue"/>
            <w:vAlign w:val="center"/>
          </w:tcPr>
          <w:p>
            <w:pPr>
              <w:snapToGrid w:val="0"/>
              <w:spacing w:line="360" w:lineRule="auto"/>
              <w:ind w:firstLine="420"/>
              <w:jc w:val="center"/>
              <w:rPr>
                <w:rFonts w:ascii="宋体" w:hAnsi="宋体" w:cs="宋体"/>
                <w:sz w:val="24"/>
                <w:szCs w:val="24"/>
                <w:highlight w:val="none"/>
              </w:rPr>
            </w:pPr>
          </w:p>
        </w:tc>
        <w:tc>
          <w:tcPr>
            <w:tcW w:w="1575" w:type="dxa"/>
            <w:vMerge w:val="continue"/>
            <w:vAlign w:val="center"/>
          </w:tcPr>
          <w:p>
            <w:pPr>
              <w:tabs>
                <w:tab w:val="left" w:pos="720"/>
              </w:tabs>
              <w:snapToGrid w:val="0"/>
              <w:spacing w:line="360" w:lineRule="auto"/>
              <w:ind w:left="63" w:leftChars="30" w:right="63" w:rightChars="30" w:firstLine="420"/>
              <w:jc w:val="center"/>
              <w:rPr>
                <w:rFonts w:ascii="宋体" w:hAnsi="宋体" w:cs="宋体"/>
                <w:sz w:val="24"/>
                <w:szCs w:val="24"/>
                <w:highlight w:val="none"/>
              </w:rPr>
            </w:pPr>
          </w:p>
        </w:tc>
        <w:tc>
          <w:tcPr>
            <w:tcW w:w="6107" w:type="dxa"/>
          </w:tcPr>
          <w:p>
            <w:pPr>
              <w:tabs>
                <w:tab w:val="left" w:pos="720"/>
              </w:tabs>
              <w:snapToGrid w:val="0"/>
              <w:spacing w:line="360" w:lineRule="auto"/>
              <w:ind w:right="63" w:rightChars="30"/>
              <w:jc w:val="left"/>
              <w:rPr>
                <w:rFonts w:ascii="宋体" w:hAnsi="宋体" w:cs="宋体"/>
                <w:sz w:val="24"/>
                <w:szCs w:val="24"/>
                <w:highlight w:val="none"/>
              </w:rPr>
            </w:pPr>
            <w:r>
              <w:rPr>
                <w:rFonts w:hint="eastAsia" w:ascii="宋体" w:hAnsi="宋体" w:cs="宋体"/>
                <w:sz w:val="24"/>
                <w:szCs w:val="24"/>
                <w:highlight w:val="none"/>
              </w:rPr>
              <w:t>投标人获得过市级或以上“科学技术进步奖”（不限等级）的，每次得2分，本项最多得6分。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51" w:type="dxa"/>
            <w:vMerge w:val="continue"/>
            <w:vAlign w:val="center"/>
          </w:tcPr>
          <w:p>
            <w:pPr>
              <w:snapToGrid w:val="0"/>
              <w:spacing w:line="360" w:lineRule="auto"/>
              <w:ind w:firstLine="420"/>
              <w:jc w:val="center"/>
              <w:rPr>
                <w:rFonts w:ascii="宋体" w:hAnsi="宋体" w:cs="宋体"/>
                <w:sz w:val="24"/>
                <w:szCs w:val="24"/>
                <w:highlight w:val="none"/>
              </w:rPr>
            </w:pPr>
          </w:p>
        </w:tc>
        <w:tc>
          <w:tcPr>
            <w:tcW w:w="1232" w:type="dxa"/>
            <w:vMerge w:val="continue"/>
            <w:vAlign w:val="center"/>
          </w:tcPr>
          <w:p>
            <w:pPr>
              <w:snapToGrid w:val="0"/>
              <w:spacing w:line="360" w:lineRule="auto"/>
              <w:ind w:firstLine="420"/>
              <w:jc w:val="center"/>
              <w:rPr>
                <w:rFonts w:ascii="宋体" w:hAnsi="宋体" w:cs="宋体"/>
                <w:sz w:val="24"/>
                <w:szCs w:val="24"/>
                <w:highlight w:val="none"/>
              </w:rPr>
            </w:pPr>
          </w:p>
        </w:tc>
        <w:tc>
          <w:tcPr>
            <w:tcW w:w="1575" w:type="dxa"/>
            <w:vMerge w:val="continue"/>
            <w:vAlign w:val="center"/>
          </w:tcPr>
          <w:p>
            <w:pPr>
              <w:tabs>
                <w:tab w:val="left" w:pos="720"/>
              </w:tabs>
              <w:snapToGrid w:val="0"/>
              <w:spacing w:line="360" w:lineRule="auto"/>
              <w:ind w:left="63" w:leftChars="30" w:right="63" w:rightChars="30" w:firstLine="420"/>
              <w:jc w:val="center"/>
              <w:rPr>
                <w:rFonts w:ascii="宋体" w:hAnsi="宋体" w:cs="宋体"/>
                <w:sz w:val="24"/>
                <w:szCs w:val="24"/>
                <w:highlight w:val="none"/>
              </w:rPr>
            </w:pPr>
          </w:p>
        </w:tc>
        <w:tc>
          <w:tcPr>
            <w:tcW w:w="6107" w:type="dxa"/>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投标人获得过中国建筑业协会工程建设质量监督与检测分会“全国建设工程质量检测行业先进单位”表彰的，一次得3分，最多得6分。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51" w:type="dxa"/>
            <w:vMerge w:val="continue"/>
            <w:vAlign w:val="center"/>
          </w:tcPr>
          <w:p>
            <w:pPr>
              <w:snapToGrid w:val="0"/>
              <w:spacing w:line="360" w:lineRule="auto"/>
              <w:ind w:firstLine="420"/>
              <w:jc w:val="center"/>
              <w:rPr>
                <w:rFonts w:ascii="宋体" w:hAnsi="宋体" w:cs="宋体"/>
                <w:sz w:val="24"/>
                <w:szCs w:val="24"/>
                <w:highlight w:val="none"/>
              </w:rPr>
            </w:pPr>
          </w:p>
        </w:tc>
        <w:tc>
          <w:tcPr>
            <w:tcW w:w="1232" w:type="dxa"/>
            <w:vMerge w:val="continue"/>
            <w:vAlign w:val="center"/>
          </w:tcPr>
          <w:p>
            <w:pPr>
              <w:snapToGrid w:val="0"/>
              <w:spacing w:line="360" w:lineRule="auto"/>
              <w:ind w:firstLine="420"/>
              <w:jc w:val="center"/>
              <w:rPr>
                <w:rFonts w:ascii="宋体" w:hAnsi="宋体" w:cs="宋体"/>
                <w:sz w:val="24"/>
                <w:szCs w:val="24"/>
                <w:highlight w:val="none"/>
              </w:rPr>
            </w:pPr>
          </w:p>
        </w:tc>
        <w:tc>
          <w:tcPr>
            <w:tcW w:w="1575" w:type="dxa"/>
            <w:vAlign w:val="center"/>
          </w:tcPr>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项目负责人</w:t>
            </w:r>
          </w:p>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（5分）</w:t>
            </w:r>
          </w:p>
        </w:tc>
        <w:tc>
          <w:tcPr>
            <w:tcW w:w="6107" w:type="dxa"/>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1、具有工程类高级（或以上）工程师职称的得3分。</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2、具有检测员岗位证或检测鉴定培训合格证的得2分。</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注：本项最多得5分。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51" w:type="dxa"/>
            <w:vMerge w:val="continue"/>
            <w:vAlign w:val="center"/>
          </w:tcPr>
          <w:p>
            <w:pPr>
              <w:snapToGrid w:val="0"/>
              <w:spacing w:line="360" w:lineRule="auto"/>
              <w:ind w:firstLine="420"/>
              <w:jc w:val="center"/>
              <w:rPr>
                <w:rFonts w:ascii="宋体" w:hAnsi="宋体" w:cs="宋体"/>
                <w:sz w:val="24"/>
                <w:szCs w:val="24"/>
                <w:highlight w:val="none"/>
              </w:rPr>
            </w:pPr>
          </w:p>
        </w:tc>
        <w:tc>
          <w:tcPr>
            <w:tcW w:w="1232" w:type="dxa"/>
            <w:vMerge w:val="continue"/>
            <w:vAlign w:val="center"/>
          </w:tcPr>
          <w:p>
            <w:pPr>
              <w:snapToGrid w:val="0"/>
              <w:spacing w:line="360" w:lineRule="auto"/>
              <w:ind w:firstLine="420"/>
              <w:jc w:val="center"/>
              <w:rPr>
                <w:rFonts w:ascii="宋体" w:hAnsi="宋体" w:cs="宋体"/>
                <w:sz w:val="24"/>
                <w:szCs w:val="24"/>
                <w:highlight w:val="none"/>
              </w:rPr>
            </w:pPr>
          </w:p>
        </w:tc>
        <w:tc>
          <w:tcPr>
            <w:tcW w:w="1575" w:type="dxa"/>
            <w:vAlign w:val="center"/>
          </w:tcPr>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技术负责人</w:t>
            </w:r>
          </w:p>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(5分)</w:t>
            </w:r>
          </w:p>
        </w:tc>
        <w:tc>
          <w:tcPr>
            <w:tcW w:w="6107" w:type="dxa"/>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1、具有工程类高级（或以上）工程师职称的得3分。</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2、具有检测员岗位证或检测鉴定培训合格证的得2分。</w:t>
            </w:r>
          </w:p>
          <w:p>
            <w:pPr>
              <w:spacing w:line="360" w:lineRule="auto"/>
              <w:rPr>
                <w:rFonts w:ascii="宋体" w:hAnsi="宋体" w:cs="宋体"/>
                <w:sz w:val="24"/>
                <w:szCs w:val="24"/>
                <w:highlight w:val="none"/>
              </w:rPr>
            </w:pPr>
            <w:r>
              <w:rPr>
                <w:rFonts w:hint="eastAsia" w:ascii="宋体" w:hAnsi="宋体" w:cs="宋体"/>
                <w:sz w:val="24"/>
                <w:szCs w:val="24"/>
                <w:highlight w:val="none"/>
              </w:rPr>
              <w:t>注：本项最多得5分。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51" w:type="dxa"/>
            <w:vMerge w:val="continue"/>
            <w:vAlign w:val="center"/>
          </w:tcPr>
          <w:p>
            <w:pPr>
              <w:snapToGrid w:val="0"/>
              <w:spacing w:line="360" w:lineRule="auto"/>
              <w:ind w:firstLine="420"/>
              <w:jc w:val="center"/>
              <w:rPr>
                <w:rFonts w:ascii="宋体" w:hAnsi="宋体" w:cs="宋体"/>
                <w:sz w:val="24"/>
                <w:szCs w:val="24"/>
                <w:highlight w:val="none"/>
              </w:rPr>
            </w:pPr>
          </w:p>
        </w:tc>
        <w:tc>
          <w:tcPr>
            <w:tcW w:w="1232" w:type="dxa"/>
            <w:vMerge w:val="continue"/>
            <w:vAlign w:val="center"/>
          </w:tcPr>
          <w:p>
            <w:pPr>
              <w:snapToGrid w:val="0"/>
              <w:spacing w:line="360" w:lineRule="auto"/>
              <w:ind w:firstLine="420"/>
              <w:jc w:val="center"/>
              <w:rPr>
                <w:rFonts w:ascii="宋体" w:hAnsi="宋体" w:cs="宋体"/>
                <w:sz w:val="24"/>
                <w:szCs w:val="24"/>
                <w:highlight w:val="none"/>
              </w:rPr>
            </w:pPr>
          </w:p>
        </w:tc>
        <w:tc>
          <w:tcPr>
            <w:tcW w:w="1575" w:type="dxa"/>
            <w:vAlign w:val="center"/>
          </w:tcPr>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主要技术人员（7分）</w:t>
            </w:r>
          </w:p>
        </w:tc>
        <w:tc>
          <w:tcPr>
            <w:tcW w:w="6107" w:type="dxa"/>
            <w:vAlign w:val="center"/>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配备主要检测技术人员（不含项目负责人及技术负责人）：</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1、具有工程类高级（或以上）工程师职称的，每人得1分；具有工程类中级工程师职称的，每人得得0.5分。本小项最多得7</w:t>
            </w:r>
            <w:bookmarkStart w:id="527" w:name="_GoBack"/>
            <w:bookmarkEnd w:id="527"/>
            <w:r>
              <w:rPr>
                <w:rFonts w:hint="eastAsia" w:ascii="宋体" w:hAnsi="宋体" w:cs="宋体"/>
                <w:sz w:val="24"/>
                <w:szCs w:val="24"/>
                <w:highlight w:val="none"/>
              </w:rPr>
              <w:t>分。</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2、具有检测员岗位证或检测鉴定培训合格证的，每人得0.5分。本小项最多得2分。</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注：本项最多得</w:t>
            </w:r>
            <w:r>
              <w:rPr>
                <w:rFonts w:hint="eastAsia" w:ascii="宋体" w:hAnsi="宋体" w:cs="宋体"/>
                <w:sz w:val="24"/>
                <w:szCs w:val="24"/>
                <w:highlight w:val="none"/>
                <w:lang w:val="en-US" w:eastAsia="zh-CN"/>
              </w:rPr>
              <w:t>7</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1" w:type="dxa"/>
            <w:vMerge w:val="continue"/>
            <w:vAlign w:val="center"/>
          </w:tcPr>
          <w:p>
            <w:pPr>
              <w:snapToGrid w:val="0"/>
              <w:spacing w:line="360" w:lineRule="auto"/>
              <w:ind w:firstLine="420"/>
              <w:jc w:val="center"/>
              <w:rPr>
                <w:rFonts w:ascii="宋体" w:hAnsi="宋体" w:cs="宋体"/>
                <w:sz w:val="24"/>
                <w:szCs w:val="24"/>
                <w:highlight w:val="none"/>
              </w:rPr>
            </w:pPr>
          </w:p>
        </w:tc>
        <w:tc>
          <w:tcPr>
            <w:tcW w:w="1232" w:type="dxa"/>
            <w:vMerge w:val="continue"/>
            <w:vAlign w:val="center"/>
          </w:tcPr>
          <w:p>
            <w:pPr>
              <w:tabs>
                <w:tab w:val="left" w:pos="720"/>
              </w:tabs>
              <w:snapToGrid w:val="0"/>
              <w:spacing w:line="360" w:lineRule="auto"/>
              <w:ind w:left="63" w:leftChars="30" w:right="63" w:rightChars="30" w:firstLine="420"/>
              <w:jc w:val="left"/>
              <w:rPr>
                <w:rFonts w:ascii="宋体" w:hAnsi="宋体" w:cs="宋体"/>
                <w:sz w:val="24"/>
                <w:szCs w:val="24"/>
                <w:highlight w:val="none"/>
              </w:rPr>
            </w:pPr>
          </w:p>
        </w:tc>
        <w:tc>
          <w:tcPr>
            <w:tcW w:w="1575" w:type="dxa"/>
            <w:vAlign w:val="center"/>
          </w:tcPr>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拟投入本项目的检测</w:t>
            </w:r>
            <w:r>
              <w:rPr>
                <w:rFonts w:hint="eastAsia" w:ascii="宋体" w:hAnsi="宋体" w:cs="宋体"/>
                <w:sz w:val="24"/>
                <w:szCs w:val="24"/>
                <w:highlight w:val="none"/>
                <w:lang w:val="en-US" w:eastAsia="zh-CN"/>
              </w:rPr>
              <w:t>监测</w:t>
            </w:r>
            <w:r>
              <w:rPr>
                <w:rFonts w:hint="eastAsia" w:ascii="宋体" w:hAnsi="宋体" w:cs="宋体"/>
                <w:sz w:val="24"/>
                <w:szCs w:val="24"/>
                <w:highlight w:val="none"/>
              </w:rPr>
              <w:t>仪器设备（5分）</w:t>
            </w:r>
          </w:p>
        </w:tc>
        <w:tc>
          <w:tcPr>
            <w:tcW w:w="6107" w:type="dxa"/>
          </w:tcPr>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1、优：设备满足检测</w:t>
            </w:r>
            <w:r>
              <w:rPr>
                <w:rFonts w:hint="eastAsia" w:ascii="宋体" w:hAnsi="宋体" w:cs="宋体"/>
                <w:sz w:val="24"/>
                <w:szCs w:val="24"/>
                <w:highlight w:val="none"/>
                <w:lang w:val="en-US" w:eastAsia="zh-CN"/>
              </w:rPr>
              <w:t>监测</w:t>
            </w:r>
            <w:r>
              <w:rPr>
                <w:rFonts w:hint="eastAsia" w:ascii="宋体" w:hAnsi="宋体" w:cs="宋体"/>
                <w:sz w:val="24"/>
                <w:szCs w:val="24"/>
                <w:highlight w:val="none"/>
              </w:rPr>
              <w:t>和工期需要，设备年检合格，并且全部设备属于自有，得5分；</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2、良：设备满足检测</w:t>
            </w:r>
            <w:r>
              <w:rPr>
                <w:rFonts w:hint="eastAsia" w:ascii="宋体" w:hAnsi="宋体" w:cs="宋体"/>
                <w:sz w:val="24"/>
                <w:szCs w:val="24"/>
                <w:highlight w:val="none"/>
                <w:lang w:val="en-US" w:eastAsia="zh-CN"/>
              </w:rPr>
              <w:t>监测</w:t>
            </w:r>
            <w:r>
              <w:rPr>
                <w:rFonts w:hint="eastAsia" w:ascii="宋体" w:hAnsi="宋体" w:cs="宋体"/>
                <w:sz w:val="24"/>
                <w:szCs w:val="24"/>
                <w:highlight w:val="none"/>
              </w:rPr>
              <w:t>和工期需要，设备年检合格，90%（含90%）以上设备属于自有，得4分；</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3、中：设备满足检测</w:t>
            </w:r>
            <w:r>
              <w:rPr>
                <w:rFonts w:hint="eastAsia" w:ascii="宋体" w:hAnsi="宋体" w:cs="宋体"/>
                <w:sz w:val="24"/>
                <w:szCs w:val="24"/>
                <w:highlight w:val="none"/>
                <w:lang w:val="en-US" w:eastAsia="zh-CN"/>
              </w:rPr>
              <w:t>监测</w:t>
            </w:r>
            <w:r>
              <w:rPr>
                <w:rFonts w:hint="eastAsia" w:ascii="宋体" w:hAnsi="宋体" w:cs="宋体"/>
                <w:sz w:val="24"/>
                <w:szCs w:val="24"/>
                <w:highlight w:val="none"/>
              </w:rPr>
              <w:t>和工期需要，设备年检合格，60%（含60%）以上设备属于自有，得3分；</w:t>
            </w:r>
          </w:p>
          <w:p>
            <w:pPr>
              <w:snapToGrid w:val="0"/>
              <w:spacing w:line="360" w:lineRule="auto"/>
              <w:jc w:val="left"/>
              <w:rPr>
                <w:rFonts w:ascii="宋体" w:hAnsi="宋体" w:cs="宋体"/>
                <w:sz w:val="24"/>
                <w:szCs w:val="24"/>
                <w:highlight w:val="none"/>
              </w:rPr>
            </w:pPr>
            <w:r>
              <w:rPr>
                <w:rFonts w:hint="eastAsia" w:ascii="宋体" w:hAnsi="宋体" w:cs="宋体"/>
                <w:sz w:val="24"/>
                <w:szCs w:val="24"/>
                <w:highlight w:val="none"/>
              </w:rPr>
              <w:t>4、差：设备满足检测</w:t>
            </w:r>
            <w:r>
              <w:rPr>
                <w:rFonts w:hint="eastAsia" w:ascii="宋体" w:hAnsi="宋体" w:cs="宋体"/>
                <w:sz w:val="24"/>
                <w:szCs w:val="24"/>
                <w:highlight w:val="none"/>
                <w:lang w:val="en-US" w:eastAsia="zh-CN"/>
              </w:rPr>
              <w:t>监测</w:t>
            </w:r>
            <w:r>
              <w:rPr>
                <w:rFonts w:hint="eastAsia" w:ascii="宋体" w:hAnsi="宋体" w:cs="宋体"/>
                <w:sz w:val="24"/>
                <w:szCs w:val="24"/>
                <w:highlight w:val="none"/>
              </w:rPr>
              <w:t>和工期需要，设备年检合格，60%（不含60%）以下设备属于自有，得2分。</w:t>
            </w:r>
          </w:p>
          <w:p>
            <w:pPr>
              <w:spacing w:line="360" w:lineRule="auto"/>
              <w:rPr>
                <w:rFonts w:ascii="宋体" w:hAnsi="宋体" w:cs="宋体"/>
                <w:sz w:val="24"/>
                <w:szCs w:val="24"/>
                <w:highlight w:val="none"/>
              </w:rPr>
            </w:pPr>
            <w:r>
              <w:rPr>
                <w:rFonts w:hint="eastAsia" w:ascii="宋体" w:hAnsi="宋体" w:cs="宋体"/>
                <w:sz w:val="24"/>
                <w:szCs w:val="24"/>
                <w:highlight w:val="none"/>
              </w:rPr>
              <w:t>注：本项最多得5分。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1" w:type="dxa"/>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232" w:type="dxa"/>
            <w:vAlign w:val="center"/>
          </w:tcPr>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检测</w:t>
            </w:r>
            <w:r>
              <w:rPr>
                <w:rFonts w:hint="eastAsia" w:ascii="宋体" w:hAnsi="宋体" w:cs="宋体"/>
                <w:sz w:val="24"/>
                <w:szCs w:val="24"/>
                <w:highlight w:val="none"/>
                <w:lang w:val="en-US" w:eastAsia="zh-CN"/>
              </w:rPr>
              <w:t>监测</w:t>
            </w:r>
            <w:r>
              <w:rPr>
                <w:rFonts w:hint="eastAsia" w:ascii="宋体" w:hAnsi="宋体" w:cs="宋体"/>
                <w:sz w:val="24"/>
                <w:szCs w:val="24"/>
                <w:highlight w:val="none"/>
              </w:rPr>
              <w:t>方案评分标准</w:t>
            </w:r>
          </w:p>
          <w:p>
            <w:pPr>
              <w:tabs>
                <w:tab w:val="left" w:pos="720"/>
              </w:tabs>
              <w:snapToGrid w:val="0"/>
              <w:spacing w:line="360" w:lineRule="auto"/>
              <w:ind w:right="63" w:rightChars="30"/>
              <w:jc w:val="center"/>
              <w:rPr>
                <w:rFonts w:ascii="宋体" w:hAnsi="宋体" w:cs="宋体"/>
                <w:sz w:val="24"/>
                <w:szCs w:val="24"/>
                <w:highlight w:val="none"/>
                <w:lang w:val="zh-CN"/>
              </w:rPr>
            </w:pPr>
            <w:r>
              <w:rPr>
                <w:rFonts w:hint="eastAsia" w:ascii="宋体" w:hAnsi="宋体" w:cs="宋体"/>
                <w:sz w:val="24"/>
                <w:szCs w:val="24"/>
                <w:highlight w:val="none"/>
              </w:rPr>
              <w:t>（25分）</w:t>
            </w:r>
          </w:p>
        </w:tc>
        <w:tc>
          <w:tcPr>
            <w:tcW w:w="1575" w:type="dxa"/>
            <w:vAlign w:val="center"/>
          </w:tcPr>
          <w:p>
            <w:pPr>
              <w:tabs>
                <w:tab w:val="left" w:pos="720"/>
              </w:tabs>
              <w:snapToGrid w:val="0"/>
              <w:spacing w:line="360" w:lineRule="auto"/>
              <w:ind w:right="63" w:rightChars="30"/>
              <w:jc w:val="center"/>
              <w:rPr>
                <w:rFonts w:ascii="宋体" w:hAnsi="宋体" w:cs="宋体"/>
                <w:sz w:val="24"/>
                <w:szCs w:val="24"/>
                <w:highlight w:val="none"/>
              </w:rPr>
            </w:pPr>
            <w:r>
              <w:rPr>
                <w:rFonts w:hint="eastAsia" w:ascii="宋体" w:hAnsi="宋体" w:cs="宋体"/>
                <w:sz w:val="24"/>
                <w:szCs w:val="24"/>
                <w:highlight w:val="none"/>
              </w:rPr>
              <w:t>检测</w:t>
            </w:r>
            <w:r>
              <w:rPr>
                <w:rFonts w:hint="eastAsia" w:ascii="宋体" w:hAnsi="宋体" w:cs="宋体"/>
                <w:sz w:val="24"/>
                <w:szCs w:val="24"/>
                <w:highlight w:val="none"/>
                <w:lang w:val="en-US" w:eastAsia="zh-CN"/>
              </w:rPr>
              <w:t>监测</w:t>
            </w:r>
            <w:r>
              <w:rPr>
                <w:rFonts w:hint="eastAsia" w:ascii="宋体" w:hAnsi="宋体" w:cs="宋体"/>
                <w:sz w:val="24"/>
                <w:szCs w:val="24"/>
                <w:highlight w:val="none"/>
              </w:rPr>
              <w:t>方案部分（25分）</w:t>
            </w:r>
          </w:p>
        </w:tc>
        <w:tc>
          <w:tcPr>
            <w:tcW w:w="6107" w:type="dxa"/>
          </w:tcPr>
          <w:p>
            <w:pPr>
              <w:tabs>
                <w:tab w:val="left" w:pos="720"/>
              </w:tabs>
              <w:snapToGrid w:val="0"/>
              <w:spacing w:line="360" w:lineRule="auto"/>
              <w:ind w:right="63" w:rightChars="30"/>
              <w:jc w:val="left"/>
              <w:rPr>
                <w:rFonts w:ascii="宋体" w:hAnsi="宋体" w:cs="宋体"/>
                <w:sz w:val="24"/>
                <w:szCs w:val="24"/>
                <w:highlight w:val="none"/>
              </w:rPr>
            </w:pPr>
            <w:r>
              <w:rPr>
                <w:rFonts w:hint="eastAsia" w:ascii="宋体" w:hAnsi="宋体" w:cs="宋体"/>
                <w:sz w:val="24"/>
                <w:szCs w:val="24"/>
                <w:highlight w:val="none"/>
              </w:rPr>
              <w:t>优：检测</w:t>
            </w:r>
            <w:r>
              <w:rPr>
                <w:rFonts w:hint="eastAsia" w:ascii="宋体" w:hAnsi="宋体" w:cs="宋体"/>
                <w:sz w:val="24"/>
                <w:szCs w:val="24"/>
                <w:highlight w:val="none"/>
                <w:lang w:val="en-US" w:eastAsia="zh-CN"/>
              </w:rPr>
              <w:t>监测</w:t>
            </w:r>
            <w:r>
              <w:rPr>
                <w:rFonts w:hint="eastAsia" w:ascii="宋体" w:hAnsi="宋体" w:cs="宋体"/>
                <w:sz w:val="24"/>
                <w:szCs w:val="24"/>
                <w:highlight w:val="none"/>
              </w:rPr>
              <w:t>方案详细、具体，内容齐全，方法合理可行，能满足本工程提出的所有项目，有合理可行的保证通过相关验收、满足工程进度、质量和安全确保措施，得(20,25]分；</w:t>
            </w:r>
          </w:p>
          <w:p>
            <w:pPr>
              <w:tabs>
                <w:tab w:val="left" w:pos="720"/>
              </w:tabs>
              <w:snapToGrid w:val="0"/>
              <w:spacing w:line="360" w:lineRule="auto"/>
              <w:ind w:right="63" w:rightChars="30"/>
              <w:jc w:val="left"/>
              <w:rPr>
                <w:rFonts w:ascii="宋体" w:hAnsi="宋体" w:cs="宋体"/>
                <w:sz w:val="24"/>
                <w:szCs w:val="24"/>
                <w:highlight w:val="none"/>
              </w:rPr>
            </w:pPr>
            <w:r>
              <w:rPr>
                <w:rFonts w:hint="eastAsia" w:ascii="宋体" w:hAnsi="宋体" w:cs="宋体"/>
                <w:sz w:val="24"/>
                <w:szCs w:val="24"/>
                <w:highlight w:val="none"/>
              </w:rPr>
              <w:t>良：检测</w:t>
            </w:r>
            <w:r>
              <w:rPr>
                <w:rFonts w:hint="eastAsia" w:ascii="宋体" w:hAnsi="宋体" w:cs="宋体"/>
                <w:sz w:val="24"/>
                <w:szCs w:val="24"/>
                <w:highlight w:val="none"/>
                <w:lang w:val="en-US" w:eastAsia="zh-CN"/>
              </w:rPr>
              <w:t>监测</w:t>
            </w:r>
            <w:r>
              <w:rPr>
                <w:rFonts w:hint="eastAsia" w:ascii="宋体" w:hAnsi="宋体" w:cs="宋体"/>
                <w:sz w:val="24"/>
                <w:szCs w:val="24"/>
                <w:highlight w:val="none"/>
              </w:rPr>
              <w:t>方案较详细、较具体，内容较齐全，方法较合理可行，有比较可行的保证通过相关验收、满足工程进度、质量和安全确保措施，得(15,20]分；</w:t>
            </w:r>
          </w:p>
          <w:p>
            <w:pPr>
              <w:tabs>
                <w:tab w:val="left" w:pos="720"/>
              </w:tabs>
              <w:snapToGrid w:val="0"/>
              <w:spacing w:line="360" w:lineRule="auto"/>
              <w:ind w:right="63" w:rightChars="30"/>
              <w:jc w:val="left"/>
              <w:rPr>
                <w:rFonts w:ascii="宋体" w:hAnsi="宋体" w:cs="宋体"/>
                <w:sz w:val="24"/>
                <w:szCs w:val="24"/>
                <w:highlight w:val="none"/>
              </w:rPr>
            </w:pPr>
            <w:r>
              <w:rPr>
                <w:rFonts w:hint="eastAsia" w:ascii="宋体" w:hAnsi="宋体" w:cs="宋体"/>
                <w:sz w:val="24"/>
                <w:szCs w:val="24"/>
                <w:highlight w:val="none"/>
              </w:rPr>
              <w:t>中：检测</w:t>
            </w:r>
            <w:r>
              <w:rPr>
                <w:rFonts w:hint="eastAsia" w:ascii="宋体" w:hAnsi="宋体" w:cs="宋体"/>
                <w:sz w:val="24"/>
                <w:szCs w:val="24"/>
                <w:highlight w:val="none"/>
                <w:lang w:val="en-US" w:eastAsia="zh-CN"/>
              </w:rPr>
              <w:t>监测</w:t>
            </w:r>
            <w:r>
              <w:rPr>
                <w:rFonts w:hint="eastAsia" w:ascii="宋体" w:hAnsi="宋体" w:cs="宋体"/>
                <w:sz w:val="24"/>
                <w:szCs w:val="24"/>
                <w:highlight w:val="none"/>
              </w:rPr>
              <w:t>方案基本内容满足要求，方法基本符合规范要求，有基本能通过相关验收、满足工程进度、质量和安全的确保措施，得(10,15]分；</w:t>
            </w:r>
          </w:p>
          <w:p>
            <w:pPr>
              <w:tabs>
                <w:tab w:val="left" w:pos="720"/>
              </w:tabs>
              <w:snapToGrid w:val="0"/>
              <w:spacing w:line="360" w:lineRule="auto"/>
              <w:ind w:right="63" w:rightChars="30"/>
              <w:jc w:val="left"/>
              <w:rPr>
                <w:rFonts w:ascii="宋体" w:hAnsi="宋体" w:cs="宋体"/>
                <w:sz w:val="24"/>
                <w:szCs w:val="24"/>
                <w:highlight w:val="none"/>
              </w:rPr>
            </w:pPr>
            <w:r>
              <w:rPr>
                <w:rFonts w:hint="eastAsia" w:ascii="宋体" w:hAnsi="宋体" w:cs="宋体"/>
                <w:sz w:val="24"/>
                <w:szCs w:val="24"/>
                <w:highlight w:val="none"/>
              </w:rPr>
              <w:t>差：检测</w:t>
            </w:r>
            <w:r>
              <w:rPr>
                <w:rFonts w:hint="eastAsia" w:ascii="宋体" w:hAnsi="宋体" w:cs="宋体"/>
                <w:sz w:val="24"/>
                <w:szCs w:val="24"/>
                <w:highlight w:val="none"/>
                <w:lang w:val="en-US" w:eastAsia="zh-CN"/>
              </w:rPr>
              <w:t>监测</w:t>
            </w:r>
            <w:r>
              <w:rPr>
                <w:rFonts w:hint="eastAsia" w:ascii="宋体" w:hAnsi="宋体" w:cs="宋体"/>
                <w:sz w:val="24"/>
                <w:szCs w:val="24"/>
                <w:highlight w:val="none"/>
              </w:rPr>
              <w:t>方案基本内容阐述缺项，方法基本不能满足检测、要求，得(0,10]分。</w:t>
            </w:r>
          </w:p>
          <w:p>
            <w:pPr>
              <w:spacing w:line="360" w:lineRule="auto"/>
              <w:rPr>
                <w:rFonts w:ascii="宋体" w:hAnsi="宋体" w:cs="宋体"/>
                <w:sz w:val="24"/>
                <w:szCs w:val="24"/>
                <w:highlight w:val="none"/>
              </w:rPr>
            </w:pPr>
            <w:r>
              <w:rPr>
                <w:rFonts w:hint="eastAsia" w:ascii="宋体" w:hAnsi="宋体" w:cs="宋体"/>
                <w:sz w:val="24"/>
                <w:szCs w:val="24"/>
                <w:highlight w:val="none"/>
              </w:rPr>
              <w:t>注：“[”、“]”是指包含本数，“（”、“）”是指不包含本数。本项最多得25分。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851" w:type="dxa"/>
            <w:vMerge w:val="restart"/>
            <w:vAlign w:val="center"/>
          </w:tcPr>
          <w:p>
            <w:pPr>
              <w:snapToGrid w:val="0"/>
              <w:spacing w:line="360" w:lineRule="auto"/>
              <w:rPr>
                <w:rFonts w:ascii="宋体" w:hAnsi="宋体" w:cs="宋体"/>
                <w:sz w:val="24"/>
                <w:szCs w:val="24"/>
                <w:highlight w:val="none"/>
              </w:rPr>
            </w:pPr>
            <w:r>
              <w:rPr>
                <w:rFonts w:hint="eastAsia" w:ascii="宋体" w:hAnsi="宋体" w:cs="宋体"/>
                <w:sz w:val="24"/>
                <w:szCs w:val="24"/>
                <w:highlight w:val="none"/>
              </w:rPr>
              <w:t>3</w:t>
            </w:r>
          </w:p>
        </w:tc>
        <w:tc>
          <w:tcPr>
            <w:tcW w:w="1232" w:type="dxa"/>
            <w:vMerge w:val="restart"/>
            <w:vAlign w:val="center"/>
          </w:tcPr>
          <w:p>
            <w:pPr>
              <w:snapToGrid w:val="0"/>
              <w:spacing w:line="360" w:lineRule="auto"/>
              <w:rPr>
                <w:rFonts w:ascii="宋体" w:hAnsi="宋体" w:cs="宋体"/>
                <w:sz w:val="24"/>
                <w:szCs w:val="24"/>
                <w:highlight w:val="none"/>
              </w:rPr>
            </w:pPr>
            <w:r>
              <w:rPr>
                <w:rFonts w:hint="eastAsia" w:ascii="宋体" w:hAnsi="宋体" w:cs="宋体"/>
                <w:sz w:val="24"/>
                <w:szCs w:val="24"/>
                <w:highlight w:val="none"/>
              </w:rPr>
              <w:t>投标报价评分标准（20分）</w:t>
            </w:r>
          </w:p>
        </w:tc>
        <w:tc>
          <w:tcPr>
            <w:tcW w:w="1575" w:type="dxa"/>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偏差率</w:t>
            </w:r>
          </w:p>
        </w:tc>
        <w:tc>
          <w:tcPr>
            <w:tcW w:w="6107" w:type="dxa"/>
            <w:vAlign w:val="center"/>
          </w:tcPr>
          <w:p>
            <w:pPr>
              <w:snapToGrid w:val="0"/>
              <w:spacing w:line="360" w:lineRule="auto"/>
              <w:rPr>
                <w:rFonts w:ascii="宋体" w:hAnsi="宋体" w:cs="宋体"/>
                <w:sz w:val="24"/>
                <w:szCs w:val="24"/>
                <w:highlight w:val="none"/>
              </w:rPr>
            </w:pPr>
            <w:r>
              <w:rPr>
                <w:rFonts w:hint="eastAsia" w:ascii="宋体" w:hAnsi="宋体" w:cs="宋体"/>
                <w:sz w:val="24"/>
                <w:szCs w:val="24"/>
                <w:highlight w:val="none"/>
              </w:rPr>
              <w:t>偏差率=∣投标总报价-评标基准价∣/评标基准价*100%</w:t>
            </w:r>
          </w:p>
          <w:p>
            <w:pPr>
              <w:snapToGrid w:val="0"/>
              <w:spacing w:line="360" w:lineRule="auto"/>
              <w:rPr>
                <w:rFonts w:ascii="宋体" w:hAnsi="宋体" w:cs="宋体"/>
                <w:sz w:val="24"/>
                <w:szCs w:val="24"/>
                <w:highlight w:val="none"/>
              </w:rPr>
            </w:pPr>
            <w:r>
              <w:rPr>
                <w:rFonts w:hint="eastAsia" w:ascii="宋体" w:hAnsi="宋体" w:cs="宋体"/>
                <w:sz w:val="24"/>
                <w:szCs w:val="24"/>
                <w:highlight w:val="none"/>
              </w:rPr>
              <w:t>偏差率四舍五入保留2位小数。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51" w:type="dxa"/>
            <w:vMerge w:val="continue"/>
            <w:vAlign w:val="center"/>
          </w:tcPr>
          <w:p>
            <w:pPr>
              <w:snapToGrid w:val="0"/>
              <w:spacing w:line="360" w:lineRule="auto"/>
              <w:ind w:firstLine="420"/>
              <w:jc w:val="center"/>
              <w:rPr>
                <w:rFonts w:ascii="宋体" w:hAnsi="宋体" w:cs="宋体"/>
                <w:sz w:val="24"/>
                <w:szCs w:val="24"/>
                <w:highlight w:val="none"/>
              </w:rPr>
            </w:pPr>
          </w:p>
        </w:tc>
        <w:tc>
          <w:tcPr>
            <w:tcW w:w="1232" w:type="dxa"/>
            <w:vMerge w:val="continue"/>
            <w:vAlign w:val="center"/>
          </w:tcPr>
          <w:p>
            <w:pPr>
              <w:snapToGrid w:val="0"/>
              <w:spacing w:line="360" w:lineRule="auto"/>
              <w:ind w:firstLine="420"/>
              <w:jc w:val="center"/>
              <w:rPr>
                <w:rFonts w:ascii="宋体" w:hAnsi="宋体" w:cs="宋体"/>
                <w:sz w:val="24"/>
                <w:szCs w:val="24"/>
                <w:highlight w:val="none"/>
              </w:rPr>
            </w:pPr>
          </w:p>
        </w:tc>
        <w:tc>
          <w:tcPr>
            <w:tcW w:w="1575" w:type="dxa"/>
            <w:vAlign w:val="center"/>
          </w:tcPr>
          <w:p>
            <w:pPr>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计算方法</w:t>
            </w:r>
          </w:p>
        </w:tc>
        <w:tc>
          <w:tcPr>
            <w:tcW w:w="6107" w:type="dxa"/>
            <w:vAlign w:val="center"/>
          </w:tcPr>
          <w:p>
            <w:pPr>
              <w:snapToGrid w:val="0"/>
              <w:spacing w:line="360" w:lineRule="auto"/>
              <w:rPr>
                <w:rFonts w:ascii="宋体" w:hAnsi="宋体" w:cs="宋体"/>
                <w:sz w:val="24"/>
                <w:szCs w:val="24"/>
                <w:highlight w:val="none"/>
              </w:rPr>
            </w:pPr>
            <w:r>
              <w:rPr>
                <w:rFonts w:hint="eastAsia" w:ascii="宋体" w:hAnsi="宋体" w:cs="宋体"/>
                <w:sz w:val="24"/>
                <w:szCs w:val="24"/>
                <w:highlight w:val="none"/>
              </w:rPr>
              <w:t>投标报价得分以评标基准价作为计算各有效投标报价得分的基础，当有效投标报价等于评标基准价时得20分；有效投标报价每高出评标参考价1%减1分，每低于评标参考价1%减0.8分，最多减至0分止。得分精确到小数点后两位。</w:t>
            </w:r>
          </w:p>
        </w:tc>
      </w:tr>
    </w:tbl>
    <w:p>
      <w:pPr>
        <w:snapToGrid w:val="0"/>
        <w:spacing w:line="400" w:lineRule="exact"/>
        <w:rPr>
          <w:rFonts w:ascii="宋体" w:hAnsi="宋体" w:cs="宋体"/>
          <w:sz w:val="24"/>
          <w:szCs w:val="24"/>
          <w:highlight w:val="none"/>
        </w:rPr>
      </w:pPr>
      <w:r>
        <w:rPr>
          <w:rFonts w:hint="eastAsia" w:ascii="宋体" w:hAnsi="宋体" w:cs="宋体"/>
          <w:sz w:val="24"/>
          <w:szCs w:val="24"/>
          <w:highlight w:val="none"/>
        </w:rPr>
        <w:t>说明：1、类似项目业绩：检测业绩是指包含本次招标内容中的一项或多项的建设工程质量检测内容的业绩，需同时提供中标通知书（或免招标证明）和技术服务合同等证明材料原件清晰扫描件并加盖电子印章。类似业绩时间及金额均以合同为准。</w:t>
      </w:r>
    </w:p>
    <w:p>
      <w:pPr>
        <w:snapToGrid w:val="0"/>
        <w:spacing w:line="400" w:lineRule="exact"/>
        <w:ind w:firstLine="720" w:firstLineChars="300"/>
        <w:rPr>
          <w:rFonts w:ascii="宋体" w:hAnsi="宋体" w:cs="宋体"/>
          <w:sz w:val="24"/>
          <w:szCs w:val="24"/>
          <w:highlight w:val="none"/>
        </w:rPr>
      </w:pPr>
      <w:r>
        <w:rPr>
          <w:rFonts w:hint="eastAsia" w:ascii="宋体" w:hAnsi="宋体" w:cs="宋体"/>
          <w:sz w:val="24"/>
          <w:szCs w:val="24"/>
          <w:highlight w:val="none"/>
        </w:rPr>
        <w:t>2、管理体系认证证书：投标人需提供有效期内的认证证书清晰扫描件并加盖电子印章，及在国家认证认可监督管理委员会官网（http://www.cnca.gov.cn）上查询到的有效期内的截图打印件并加盖电子印章。</w:t>
      </w:r>
    </w:p>
    <w:p>
      <w:pPr>
        <w:snapToGrid w:val="0"/>
        <w:spacing w:line="400" w:lineRule="exact"/>
        <w:ind w:firstLine="720" w:firstLineChars="300"/>
        <w:rPr>
          <w:rFonts w:ascii="宋体" w:hAnsi="宋体" w:cs="宋体"/>
          <w:sz w:val="24"/>
          <w:szCs w:val="24"/>
          <w:highlight w:val="none"/>
        </w:rPr>
      </w:pPr>
      <w:r>
        <w:rPr>
          <w:rFonts w:hint="eastAsia" w:ascii="宋体" w:hAnsi="宋体" w:cs="宋体"/>
          <w:sz w:val="24"/>
          <w:szCs w:val="24"/>
          <w:highlight w:val="none"/>
        </w:rPr>
        <w:t>3、信用等级评价：提供评价证书扫描件并加盖电子印章。</w:t>
      </w:r>
    </w:p>
    <w:p>
      <w:pPr>
        <w:snapToGrid w:val="0"/>
        <w:spacing w:line="400" w:lineRule="exact"/>
        <w:ind w:firstLine="720" w:firstLineChars="300"/>
        <w:rPr>
          <w:rFonts w:ascii="宋体" w:hAnsi="宋体" w:cs="宋体"/>
          <w:sz w:val="24"/>
          <w:szCs w:val="24"/>
          <w:highlight w:val="none"/>
        </w:rPr>
      </w:pPr>
      <w:r>
        <w:rPr>
          <w:rFonts w:hint="eastAsia" w:ascii="宋体" w:hAnsi="宋体" w:cs="宋体"/>
          <w:sz w:val="24"/>
          <w:szCs w:val="24"/>
          <w:highlight w:val="none"/>
        </w:rPr>
        <w:t>4、科学技术进步奖证书：同一项目获得多个奖项的，按最高奖项计取，不重复计算。需提供获奖证书扫描件并加盖电子印章，科学技术进步奖证书颁发部门为国务院、省、市人民政府。个人奖项不计分。</w:t>
      </w:r>
    </w:p>
    <w:p>
      <w:pPr>
        <w:snapToGrid w:val="0"/>
        <w:spacing w:line="400" w:lineRule="exact"/>
        <w:ind w:firstLine="720" w:firstLineChars="300"/>
        <w:rPr>
          <w:rFonts w:ascii="宋体" w:hAnsi="宋体" w:cs="宋体"/>
          <w:sz w:val="24"/>
          <w:szCs w:val="24"/>
          <w:highlight w:val="none"/>
        </w:rPr>
      </w:pPr>
      <w:r>
        <w:rPr>
          <w:rFonts w:hint="eastAsia" w:ascii="宋体" w:hAnsi="宋体" w:cs="宋体"/>
          <w:sz w:val="24"/>
          <w:szCs w:val="24"/>
          <w:highlight w:val="none"/>
        </w:rPr>
        <w:t>5、全国建设工程质量检测行业先进单位证书，需提供证书扫描件并加盖电子印章。</w:t>
      </w:r>
    </w:p>
    <w:p>
      <w:pPr>
        <w:snapToGrid w:val="0"/>
        <w:spacing w:line="400" w:lineRule="exact"/>
        <w:ind w:firstLine="720" w:firstLineChars="300"/>
        <w:rPr>
          <w:rFonts w:ascii="宋体" w:hAnsi="宋体" w:cs="宋体"/>
          <w:sz w:val="24"/>
          <w:szCs w:val="24"/>
          <w:highlight w:val="none"/>
        </w:rPr>
      </w:pPr>
      <w:r>
        <w:rPr>
          <w:rFonts w:hint="eastAsia" w:ascii="宋体" w:hAnsi="宋体" w:cs="宋体"/>
          <w:sz w:val="24"/>
          <w:szCs w:val="24"/>
          <w:highlight w:val="none"/>
        </w:rPr>
        <w:t>6、项目负责人、技术负责人、项目组技术人员：拟投入本项目的项目负责人、技术负责人及项目组技术人员之间不得兼任，且须为投标单位在职职工（以社保证明为准），需提供相应证书、身份证等证明文件，以及近六个月中任意一个月的社保证明（社保证明需能反映参保人在该投标单位缴纳社保），否则不得分。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w:t>
      </w:r>
    </w:p>
    <w:p>
      <w:pPr>
        <w:snapToGrid w:val="0"/>
        <w:spacing w:line="400" w:lineRule="exact"/>
        <w:ind w:firstLine="720" w:firstLineChars="300"/>
        <w:rPr>
          <w:rFonts w:ascii="宋体" w:hAnsi="宋体" w:cs="宋体"/>
          <w:sz w:val="24"/>
          <w:szCs w:val="24"/>
          <w:highlight w:val="none"/>
        </w:rPr>
      </w:pPr>
      <w:r>
        <w:rPr>
          <w:rFonts w:hint="eastAsia" w:ascii="宋体" w:hAnsi="宋体" w:cs="宋体"/>
          <w:sz w:val="24"/>
          <w:szCs w:val="24"/>
          <w:highlight w:val="none"/>
        </w:rPr>
        <w:t>7、拟投入本项目的设备：若为自有，需提供检测仪器设备的检定证书或发票的原件清晰扫描件并加盖电子印章，若为租赁，则需提供租赁合同原件清晰扫描件并加盖电子印章。</w:t>
      </w:r>
    </w:p>
    <w:p>
      <w:pPr>
        <w:snapToGrid w:val="0"/>
        <w:spacing w:line="400" w:lineRule="exact"/>
        <w:ind w:firstLine="720" w:firstLineChars="300"/>
        <w:rPr>
          <w:rFonts w:ascii="宋体" w:hAnsi="宋体" w:cs="宋体"/>
          <w:sz w:val="24"/>
          <w:szCs w:val="24"/>
          <w:highlight w:val="none"/>
        </w:rPr>
      </w:pPr>
      <w:r>
        <w:rPr>
          <w:rFonts w:hint="eastAsia" w:ascii="宋体" w:hAnsi="宋体" w:cs="宋体"/>
          <w:sz w:val="24"/>
          <w:szCs w:val="24"/>
          <w:highlight w:val="none"/>
        </w:rPr>
        <w:t>8、若以联合体方式参与投标的，资信业绩部分评分标准中的管理体系认证、企业资信、项目负责人、技术负责人的评分内容以联合体牵头方信息为准，其他成员单位不进行累计计分；资信业绩部分评分标准中的类似项目业绩、主要技术人员、拟投入本项目的检测仪器设备的评分内容联合体各成员可以累计加分。</w:t>
      </w:r>
    </w:p>
    <w:p>
      <w:pPr>
        <w:snapToGrid w:val="0"/>
        <w:spacing w:line="400" w:lineRule="exact"/>
        <w:ind w:firstLine="720" w:firstLineChars="300"/>
        <w:rPr>
          <w:rFonts w:ascii="宋体" w:hAnsi="宋体" w:cs="宋体"/>
          <w:sz w:val="24"/>
          <w:szCs w:val="24"/>
          <w:highlight w:val="none"/>
        </w:rPr>
      </w:pPr>
      <w:r>
        <w:rPr>
          <w:rFonts w:hint="eastAsia" w:ascii="宋体" w:hAnsi="宋体" w:cs="宋体"/>
          <w:sz w:val="24"/>
          <w:szCs w:val="24"/>
          <w:highlight w:val="none"/>
        </w:rPr>
        <w:t>9、投标人的综合得分为所有评委评分的算术平均分（分数出现小数点时，保留小数点后二位，第三位小数四舍五入）。</w:t>
      </w:r>
    </w:p>
    <w:p>
      <w:pPr>
        <w:snapToGrid w:val="0"/>
        <w:spacing w:line="400" w:lineRule="exact"/>
        <w:ind w:firstLine="720" w:firstLineChars="300"/>
        <w:rPr>
          <w:rFonts w:ascii="宋体" w:hAnsi="宋体" w:cs="宋体"/>
          <w:sz w:val="24"/>
          <w:szCs w:val="24"/>
          <w:highlight w:val="none"/>
        </w:rPr>
      </w:pPr>
      <w:r>
        <w:rPr>
          <w:rFonts w:hint="eastAsia" w:ascii="宋体" w:hAnsi="宋体" w:cs="宋体"/>
          <w:sz w:val="24"/>
          <w:szCs w:val="24"/>
          <w:highlight w:val="none"/>
        </w:rPr>
        <w:t>10、本评分表中所附所有证明材料均须提供扫描件或网页截图打印件，投标人提供的扫描件或网页截图打印件必须加盖投标人电子印章且内容必须清晰可辨，如因提供资料内容模糊导致评标时无法判断的，后果由投标人自负。上述资料不提供或提供不完整或提供不符合要求的不得分。</w:t>
      </w:r>
    </w:p>
    <w:p>
      <w:pPr>
        <w:pStyle w:val="2"/>
        <w:ind w:firstLine="720" w:firstLineChars="300"/>
        <w:rPr>
          <w:rFonts w:ascii="宋体" w:hAnsi="宋体" w:cs="宋体"/>
          <w:sz w:val="24"/>
          <w:szCs w:val="24"/>
          <w:highlight w:val="none"/>
        </w:rPr>
      </w:pPr>
      <w:r>
        <w:rPr>
          <w:rFonts w:hint="eastAsia" w:ascii="宋体" w:hAnsi="宋体" w:cs="宋体"/>
          <w:sz w:val="24"/>
          <w:szCs w:val="24"/>
          <w:highlight w:val="none"/>
        </w:rPr>
        <w:t>11、上述资料不提供或提供不完整或提供不符合要求的不得分。中标单位需准备投标文件涉及的所有原件待查，如原件不齐或与原件不符的，招标人有权取消其中标人资格，并上报建设行政主管部门。</w:t>
      </w:r>
    </w:p>
    <w:p>
      <w:pPr>
        <w:spacing w:before="120" w:beforeLines="50" w:after="120" w:afterLines="50" w:line="366" w:lineRule="exact"/>
        <w:rPr>
          <w:rFonts w:ascii="宋体" w:hAnsi="宋体" w:cs="宋体"/>
          <w:szCs w:val="21"/>
          <w:highlight w:val="none"/>
        </w:rPr>
      </w:pPr>
    </w:p>
    <w:p>
      <w:pPr>
        <w:spacing w:before="120" w:beforeLines="50" w:after="120" w:afterLines="50" w:line="366" w:lineRule="exact"/>
        <w:rPr>
          <w:rFonts w:ascii="宋体" w:hAnsi="宋体" w:cs="宋体"/>
          <w:highlight w:val="none"/>
        </w:rPr>
      </w:pPr>
      <w:r>
        <w:rPr>
          <w:rFonts w:hint="eastAsia" w:ascii="宋体" w:hAnsi="宋体" w:cs="宋体"/>
          <w:szCs w:val="21"/>
          <w:highlight w:val="none"/>
        </w:rPr>
        <w:t>评标委员（签名）：                                       日期：</w:t>
      </w:r>
    </w:p>
    <w:p>
      <w:pPr>
        <w:jc w:val="center"/>
        <w:rPr>
          <w:rFonts w:ascii="宋体" w:hAnsi="宋体" w:cs="宋体"/>
          <w:highlight w:val="none"/>
        </w:rPr>
      </w:pPr>
      <w:r>
        <w:rPr>
          <w:rFonts w:hint="eastAsia" w:ascii="宋体" w:hAnsi="宋体" w:cs="宋体"/>
          <w:highlight w:val="none"/>
        </w:rPr>
        <w:br w:type="page"/>
      </w:r>
    </w:p>
    <w:p>
      <w:pPr>
        <w:pStyle w:val="4"/>
        <w:rPr>
          <w:rFonts w:ascii="宋体" w:hAnsi="宋体" w:cs="宋体"/>
          <w:highlight w:val="none"/>
        </w:rPr>
      </w:pPr>
      <w:bookmarkStart w:id="386" w:name="_Toc529196583"/>
      <w:bookmarkStart w:id="387" w:name="_Toc515205256"/>
      <w:bookmarkStart w:id="388" w:name="_Toc102997630"/>
      <w:r>
        <w:rPr>
          <w:rFonts w:hint="eastAsia" w:ascii="宋体" w:hAnsi="宋体" w:cs="宋体"/>
          <w:highlight w:val="none"/>
        </w:rPr>
        <w:t>1. 评标方法</w:t>
      </w:r>
      <w:bookmarkEnd w:id="386"/>
      <w:bookmarkEnd w:id="387"/>
      <w:bookmarkEnd w:id="388"/>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89" w:name="_Toc152042375"/>
      <w:bookmarkStart w:id="390" w:name="_Toc300835008"/>
      <w:bookmarkStart w:id="391" w:name="_Toc247514022"/>
      <w:bookmarkStart w:id="392" w:name="_Toc152045598"/>
      <w:bookmarkStart w:id="393" w:name="_Toc144974565"/>
      <w:bookmarkStart w:id="394" w:name="_Toc361508646"/>
      <w:bookmarkStart w:id="395" w:name="_Toc384308272"/>
      <w:bookmarkStart w:id="396" w:name="_Toc247527623"/>
      <w:bookmarkStart w:id="397" w:name="_Toc369531577"/>
      <w:bookmarkStart w:id="398" w:name="_Toc4497"/>
      <w:bookmarkStart w:id="399" w:name="_Toc352691533"/>
      <w:r>
        <w:rPr>
          <w:rFonts w:hint="eastAsia" w:ascii="宋体" w:hAnsi="宋体" w:cs="宋体"/>
          <w:sz w:val="24"/>
          <w:highlight w:val="none"/>
        </w:rPr>
        <w:t>外。综合评分相等</w:t>
      </w:r>
      <w:bookmarkEnd w:id="389"/>
      <w:bookmarkEnd w:id="390"/>
      <w:bookmarkEnd w:id="391"/>
      <w:bookmarkEnd w:id="392"/>
      <w:bookmarkEnd w:id="393"/>
      <w:bookmarkEnd w:id="394"/>
      <w:bookmarkEnd w:id="395"/>
      <w:bookmarkEnd w:id="396"/>
      <w:r>
        <w:rPr>
          <w:rFonts w:hint="eastAsia" w:ascii="宋体" w:hAnsi="宋体" w:cs="宋体"/>
          <w:sz w:val="24"/>
          <w:highlight w:val="none"/>
        </w:rPr>
        <w:t>时，</w:t>
      </w:r>
      <w:bookmarkEnd w:id="397"/>
      <w:bookmarkEnd w:id="398"/>
      <w:bookmarkEnd w:id="399"/>
      <w:r>
        <w:rPr>
          <w:rFonts w:hint="eastAsia" w:ascii="宋体" w:hAnsi="宋体" w:cs="宋体"/>
          <w:sz w:val="24"/>
          <w:highlight w:val="none"/>
        </w:rPr>
        <w:t>按照评标办法前附表的规定确定中标候选人顺序。</w:t>
      </w:r>
    </w:p>
    <w:p>
      <w:pPr>
        <w:pStyle w:val="4"/>
        <w:rPr>
          <w:rFonts w:ascii="宋体" w:hAnsi="宋体" w:cs="宋体"/>
          <w:highlight w:val="none"/>
        </w:rPr>
      </w:pPr>
      <w:bookmarkStart w:id="400" w:name="_Toc515205257"/>
      <w:bookmarkStart w:id="401" w:name="_Toc102997631"/>
      <w:bookmarkStart w:id="402" w:name="_Toc529196584"/>
      <w:r>
        <w:rPr>
          <w:rFonts w:hint="eastAsia" w:ascii="宋体" w:hAnsi="宋体" w:cs="宋体"/>
          <w:highlight w:val="none"/>
        </w:rPr>
        <w:t>2. 评审标准</w:t>
      </w:r>
      <w:bookmarkEnd w:id="400"/>
      <w:bookmarkEnd w:id="401"/>
      <w:bookmarkEnd w:id="402"/>
    </w:p>
    <w:p>
      <w:pPr>
        <w:pStyle w:val="4"/>
        <w:rPr>
          <w:rFonts w:ascii="宋体" w:hAnsi="宋体" w:cs="宋体"/>
          <w:highlight w:val="none"/>
        </w:rPr>
      </w:pPr>
      <w:bookmarkStart w:id="403" w:name="_Toc529196585"/>
      <w:bookmarkStart w:id="404" w:name="_Toc515205258"/>
      <w:bookmarkStart w:id="405" w:name="_Toc102997632"/>
      <w:r>
        <w:rPr>
          <w:rFonts w:hint="eastAsia" w:ascii="宋体" w:hAnsi="宋体" w:cs="宋体"/>
          <w:highlight w:val="none"/>
        </w:rPr>
        <w:t>2.1 初步评审标准</w:t>
      </w:r>
      <w:bookmarkEnd w:id="403"/>
      <w:bookmarkEnd w:id="404"/>
      <w:bookmarkEnd w:id="405"/>
    </w:p>
    <w:p>
      <w:pPr>
        <w:spacing w:line="360" w:lineRule="auto"/>
        <w:rPr>
          <w:rFonts w:ascii="宋体" w:hAnsi="宋体" w:cs="宋体"/>
          <w:sz w:val="24"/>
          <w:highlight w:val="none"/>
        </w:rPr>
      </w:pPr>
      <w:r>
        <w:rPr>
          <w:rFonts w:hint="eastAsia" w:ascii="宋体" w:hAnsi="宋体" w:cs="宋体"/>
          <w:sz w:val="24"/>
          <w:highlight w:val="none"/>
        </w:rPr>
        <w:t>2.1.1 形式评审标准：见评标办法前附表。</w:t>
      </w:r>
    </w:p>
    <w:p>
      <w:pPr>
        <w:spacing w:line="360" w:lineRule="auto"/>
        <w:rPr>
          <w:rFonts w:ascii="宋体" w:hAnsi="宋体" w:cs="宋体"/>
          <w:sz w:val="24"/>
          <w:highlight w:val="none"/>
        </w:rPr>
      </w:pPr>
      <w:r>
        <w:rPr>
          <w:rFonts w:hint="eastAsia" w:ascii="宋体" w:hAnsi="宋体" w:cs="宋体"/>
          <w:sz w:val="24"/>
          <w:highlight w:val="none"/>
        </w:rPr>
        <w:t>2.1.2 资格评审标准：见评标办法前附表。</w:t>
      </w:r>
    </w:p>
    <w:p>
      <w:pPr>
        <w:spacing w:line="360" w:lineRule="auto"/>
        <w:rPr>
          <w:rFonts w:ascii="宋体" w:hAnsi="宋体" w:cs="宋体"/>
          <w:sz w:val="24"/>
          <w:highlight w:val="none"/>
        </w:rPr>
      </w:pPr>
      <w:r>
        <w:rPr>
          <w:rFonts w:hint="eastAsia" w:ascii="宋体" w:hAnsi="宋体" w:cs="宋体"/>
          <w:sz w:val="24"/>
          <w:highlight w:val="none"/>
        </w:rPr>
        <w:t>2.1.3 响应性评审标准：见评标办法前附表。</w:t>
      </w:r>
    </w:p>
    <w:p>
      <w:pPr>
        <w:pStyle w:val="4"/>
        <w:rPr>
          <w:rFonts w:ascii="宋体" w:hAnsi="宋体" w:cs="宋体"/>
          <w:highlight w:val="none"/>
        </w:rPr>
      </w:pPr>
      <w:bookmarkStart w:id="406" w:name="_Toc102997633"/>
      <w:bookmarkStart w:id="407" w:name="_Toc529196586"/>
      <w:bookmarkStart w:id="408" w:name="_Toc515205259"/>
      <w:r>
        <w:rPr>
          <w:rFonts w:hint="eastAsia" w:ascii="宋体" w:hAnsi="宋体" w:cs="宋体"/>
          <w:highlight w:val="none"/>
        </w:rPr>
        <w:t>2.2 分值构成与评分标准</w:t>
      </w:r>
      <w:bookmarkEnd w:id="406"/>
      <w:bookmarkEnd w:id="407"/>
      <w:bookmarkEnd w:id="408"/>
    </w:p>
    <w:p>
      <w:pPr>
        <w:spacing w:line="360" w:lineRule="auto"/>
        <w:rPr>
          <w:rFonts w:ascii="宋体" w:hAnsi="宋体" w:cs="宋体"/>
          <w:sz w:val="24"/>
          <w:highlight w:val="none"/>
        </w:rPr>
      </w:pPr>
      <w:r>
        <w:rPr>
          <w:rFonts w:hint="eastAsia" w:ascii="宋体" w:hAnsi="宋体" w:cs="宋体"/>
          <w:sz w:val="24"/>
          <w:highlight w:val="none"/>
        </w:rPr>
        <w:t>2.2.1 分值构成：</w:t>
      </w:r>
    </w:p>
    <w:p>
      <w:pPr>
        <w:spacing w:line="360" w:lineRule="auto"/>
        <w:rPr>
          <w:rFonts w:ascii="宋体" w:hAnsi="宋体" w:cs="宋体"/>
          <w:sz w:val="24"/>
          <w:highlight w:val="none"/>
        </w:rPr>
      </w:pPr>
      <w:r>
        <w:rPr>
          <w:rFonts w:hint="eastAsia" w:ascii="宋体" w:hAnsi="宋体" w:cs="宋体"/>
          <w:sz w:val="24"/>
          <w:highlight w:val="none"/>
        </w:rPr>
        <w:t>（1）资信业绩部分：见评标办法前附表；</w:t>
      </w:r>
    </w:p>
    <w:p>
      <w:pPr>
        <w:spacing w:line="360" w:lineRule="auto"/>
        <w:rPr>
          <w:rFonts w:ascii="宋体" w:hAnsi="宋体" w:cs="宋体"/>
          <w:sz w:val="24"/>
          <w:highlight w:val="none"/>
        </w:rPr>
      </w:pPr>
      <w:r>
        <w:rPr>
          <w:rFonts w:hint="eastAsia" w:ascii="宋体" w:hAnsi="宋体" w:cs="宋体"/>
          <w:sz w:val="24"/>
          <w:highlight w:val="none"/>
        </w:rPr>
        <w:t>（2）方案部分：见评标办法前附表；</w:t>
      </w:r>
    </w:p>
    <w:p>
      <w:pPr>
        <w:spacing w:line="360" w:lineRule="auto"/>
        <w:rPr>
          <w:rFonts w:ascii="宋体" w:hAnsi="宋体" w:cs="宋体"/>
          <w:sz w:val="24"/>
          <w:highlight w:val="none"/>
        </w:rPr>
      </w:pPr>
      <w:r>
        <w:rPr>
          <w:rFonts w:hint="eastAsia" w:ascii="宋体" w:hAnsi="宋体" w:cs="宋体"/>
          <w:sz w:val="24"/>
          <w:highlight w:val="none"/>
        </w:rPr>
        <w:t>（3）投标报价：见评标办法前附表。</w:t>
      </w:r>
    </w:p>
    <w:p>
      <w:pPr>
        <w:spacing w:line="360" w:lineRule="auto"/>
        <w:rPr>
          <w:rFonts w:ascii="宋体" w:hAnsi="宋体" w:cs="宋体"/>
          <w:sz w:val="24"/>
          <w:highlight w:val="none"/>
        </w:rPr>
      </w:pPr>
      <w:r>
        <w:rPr>
          <w:rFonts w:hint="eastAsia" w:ascii="宋体" w:hAnsi="宋体" w:cs="宋体"/>
          <w:sz w:val="24"/>
          <w:highlight w:val="none"/>
        </w:rPr>
        <w:t>2.2.2 评标基准价计算</w:t>
      </w:r>
    </w:p>
    <w:p>
      <w:pPr>
        <w:spacing w:line="360" w:lineRule="auto"/>
        <w:rPr>
          <w:rFonts w:ascii="宋体" w:hAnsi="宋体" w:cs="宋体"/>
          <w:sz w:val="24"/>
          <w:highlight w:val="none"/>
        </w:rPr>
      </w:pPr>
      <w:r>
        <w:rPr>
          <w:rFonts w:hint="eastAsia" w:ascii="宋体" w:hAnsi="宋体" w:cs="宋体"/>
          <w:sz w:val="24"/>
          <w:highlight w:val="none"/>
        </w:rPr>
        <w:t>评标基准价计算方法：见评标办法前附表。</w:t>
      </w:r>
    </w:p>
    <w:p>
      <w:pPr>
        <w:spacing w:line="360" w:lineRule="auto"/>
        <w:rPr>
          <w:rFonts w:ascii="宋体" w:hAnsi="宋体" w:cs="宋体"/>
          <w:sz w:val="24"/>
          <w:highlight w:val="none"/>
        </w:rPr>
      </w:pPr>
      <w:r>
        <w:rPr>
          <w:rFonts w:hint="eastAsia" w:ascii="宋体" w:hAnsi="宋体" w:cs="宋体"/>
          <w:sz w:val="24"/>
          <w:highlight w:val="none"/>
        </w:rPr>
        <w:t>2.2.3 投标报价的偏差率计算</w:t>
      </w:r>
    </w:p>
    <w:p>
      <w:pPr>
        <w:spacing w:line="360" w:lineRule="auto"/>
        <w:rPr>
          <w:rFonts w:ascii="宋体" w:hAnsi="宋体" w:cs="宋体"/>
          <w:sz w:val="24"/>
          <w:highlight w:val="none"/>
        </w:rPr>
      </w:pPr>
      <w:r>
        <w:rPr>
          <w:rFonts w:hint="eastAsia" w:ascii="宋体" w:hAnsi="宋体" w:cs="宋体"/>
          <w:sz w:val="24"/>
          <w:highlight w:val="none"/>
        </w:rPr>
        <w:t>投标报价的偏差率计算公式：见评标办法前附表。</w:t>
      </w:r>
    </w:p>
    <w:p>
      <w:pPr>
        <w:spacing w:line="360" w:lineRule="auto"/>
        <w:rPr>
          <w:rFonts w:ascii="宋体" w:hAnsi="宋体" w:cs="宋体"/>
          <w:sz w:val="24"/>
          <w:highlight w:val="none"/>
        </w:rPr>
      </w:pPr>
      <w:r>
        <w:rPr>
          <w:rFonts w:hint="eastAsia" w:ascii="宋体" w:hAnsi="宋体" w:cs="宋体"/>
          <w:sz w:val="24"/>
          <w:highlight w:val="none"/>
        </w:rPr>
        <w:t>2.2.4 评分标准</w:t>
      </w:r>
    </w:p>
    <w:p>
      <w:pPr>
        <w:spacing w:line="360" w:lineRule="auto"/>
        <w:rPr>
          <w:rFonts w:ascii="宋体" w:hAnsi="宋体" w:cs="宋体"/>
          <w:sz w:val="24"/>
          <w:highlight w:val="none"/>
        </w:rPr>
      </w:pPr>
      <w:r>
        <w:rPr>
          <w:rFonts w:hint="eastAsia" w:ascii="宋体" w:hAnsi="宋体" w:cs="宋体"/>
          <w:sz w:val="24"/>
          <w:highlight w:val="none"/>
        </w:rPr>
        <w:t>（1）资信业绩部分：见评标办法前附表；</w:t>
      </w:r>
    </w:p>
    <w:p>
      <w:pPr>
        <w:spacing w:line="360" w:lineRule="auto"/>
        <w:rPr>
          <w:rFonts w:ascii="宋体" w:hAnsi="宋体" w:cs="宋体"/>
          <w:sz w:val="24"/>
          <w:highlight w:val="none"/>
        </w:rPr>
      </w:pPr>
      <w:r>
        <w:rPr>
          <w:rFonts w:hint="eastAsia" w:ascii="宋体" w:hAnsi="宋体" w:cs="宋体"/>
          <w:sz w:val="24"/>
          <w:highlight w:val="none"/>
        </w:rPr>
        <w:t>（2）方案部分：见评标办法前附表；</w:t>
      </w:r>
    </w:p>
    <w:p>
      <w:pPr>
        <w:spacing w:line="360" w:lineRule="auto"/>
        <w:rPr>
          <w:rFonts w:ascii="宋体" w:hAnsi="宋体" w:cs="宋体"/>
          <w:sz w:val="24"/>
          <w:highlight w:val="none"/>
        </w:rPr>
      </w:pPr>
      <w:r>
        <w:rPr>
          <w:rFonts w:hint="eastAsia" w:ascii="宋体" w:hAnsi="宋体" w:cs="宋体"/>
          <w:sz w:val="24"/>
          <w:highlight w:val="none"/>
        </w:rPr>
        <w:t>（3）投标报价：见评标办法前附表。</w:t>
      </w:r>
    </w:p>
    <w:p>
      <w:pPr>
        <w:pStyle w:val="4"/>
        <w:rPr>
          <w:rFonts w:ascii="宋体" w:hAnsi="宋体" w:cs="宋体"/>
          <w:highlight w:val="none"/>
        </w:rPr>
      </w:pPr>
      <w:bookmarkStart w:id="409" w:name="_Toc102997634"/>
      <w:bookmarkStart w:id="410" w:name="_Toc529196587"/>
      <w:bookmarkStart w:id="411" w:name="_Toc515205260"/>
      <w:r>
        <w:rPr>
          <w:rFonts w:hint="eastAsia" w:ascii="宋体" w:hAnsi="宋体" w:cs="宋体"/>
          <w:highlight w:val="none"/>
        </w:rPr>
        <w:t>3. 评标程序</w:t>
      </w:r>
      <w:bookmarkEnd w:id="409"/>
      <w:bookmarkEnd w:id="410"/>
      <w:bookmarkEnd w:id="411"/>
    </w:p>
    <w:p>
      <w:pPr>
        <w:pStyle w:val="4"/>
        <w:rPr>
          <w:rFonts w:ascii="宋体" w:hAnsi="宋体" w:cs="宋体"/>
          <w:highlight w:val="none"/>
        </w:rPr>
      </w:pPr>
      <w:bookmarkStart w:id="412" w:name="_Toc529196588"/>
      <w:bookmarkStart w:id="413" w:name="_Toc102997635"/>
      <w:bookmarkStart w:id="414" w:name="_Toc515205261"/>
      <w:r>
        <w:rPr>
          <w:rFonts w:hint="eastAsia" w:ascii="宋体" w:hAnsi="宋体" w:cs="宋体"/>
          <w:highlight w:val="none"/>
        </w:rPr>
        <w:t>3.1 初步评审</w:t>
      </w:r>
      <w:bookmarkEnd w:id="412"/>
      <w:bookmarkEnd w:id="413"/>
      <w:bookmarkEnd w:id="414"/>
    </w:p>
    <w:p>
      <w:pPr>
        <w:spacing w:line="360" w:lineRule="auto"/>
        <w:rPr>
          <w:rFonts w:ascii="宋体" w:hAnsi="宋体" w:cs="宋体"/>
          <w:sz w:val="24"/>
          <w:highlight w:val="none"/>
        </w:rPr>
      </w:pPr>
      <w:r>
        <w:rPr>
          <w:rFonts w:hint="eastAsia" w:ascii="宋体" w:hAnsi="宋体" w:cs="宋体"/>
          <w:sz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rPr>
          <w:rFonts w:ascii="宋体" w:hAnsi="宋体" w:cs="宋体"/>
          <w:sz w:val="24"/>
          <w:highlight w:val="none"/>
        </w:rPr>
      </w:pPr>
      <w:r>
        <w:rPr>
          <w:rFonts w:hint="eastAsia" w:ascii="宋体" w:hAnsi="宋体" w:cs="宋体"/>
          <w:sz w:val="24"/>
          <w:highlight w:val="none"/>
        </w:rPr>
        <w:t>3.1.2 投标人有以下情形之一的，评标委员会应当否决其投标：</w:t>
      </w:r>
    </w:p>
    <w:p>
      <w:pPr>
        <w:spacing w:line="360" w:lineRule="auto"/>
        <w:rPr>
          <w:rFonts w:ascii="宋体" w:hAnsi="宋体" w:cs="宋体"/>
          <w:sz w:val="24"/>
          <w:highlight w:val="none"/>
        </w:rPr>
      </w:pPr>
      <w:r>
        <w:rPr>
          <w:rFonts w:hint="eastAsia" w:ascii="宋体" w:hAnsi="宋体" w:cs="宋体"/>
          <w:sz w:val="24"/>
          <w:highlight w:val="none"/>
        </w:rPr>
        <w:t>（1）投标文件没有对招标文件的实质性要求和条件作出响应，或者对招标文件的偏差超出招标文件规定的偏差范围或最高项数；</w:t>
      </w:r>
    </w:p>
    <w:p>
      <w:pPr>
        <w:spacing w:line="360" w:lineRule="auto"/>
        <w:rPr>
          <w:rFonts w:ascii="宋体" w:hAnsi="宋体" w:cs="宋体"/>
          <w:sz w:val="24"/>
          <w:highlight w:val="none"/>
        </w:rPr>
      </w:pPr>
      <w:r>
        <w:rPr>
          <w:rFonts w:hint="eastAsia" w:ascii="宋体" w:hAnsi="宋体" w:cs="宋体"/>
          <w:sz w:val="24"/>
          <w:highlight w:val="none"/>
        </w:rPr>
        <w:t>（2）有串通投标、弄虚作假、行贿等违法行为。</w:t>
      </w:r>
    </w:p>
    <w:p>
      <w:pPr>
        <w:spacing w:line="360" w:lineRule="auto"/>
        <w:rPr>
          <w:rFonts w:ascii="宋体" w:hAnsi="宋体" w:cs="宋体"/>
          <w:sz w:val="24"/>
          <w:highlight w:val="none"/>
        </w:rPr>
      </w:pPr>
      <w:r>
        <w:rPr>
          <w:rFonts w:hint="eastAsia" w:ascii="宋体" w:hAnsi="宋体" w:cs="宋体"/>
          <w:sz w:val="24"/>
          <w:highlight w:val="none"/>
        </w:rPr>
        <w:t>3.1.3 投标报价有算术错误及其他错误的，评标委员会按以下原则要求投标人对投标报价进</w:t>
      </w:r>
      <w:bookmarkStart w:id="415" w:name="_Toc144974570"/>
      <w:bookmarkStart w:id="416" w:name="_Toc352691538"/>
      <w:bookmarkStart w:id="417" w:name="_Toc2907"/>
      <w:bookmarkStart w:id="418" w:name="_Toc369531582"/>
      <w:bookmarkStart w:id="419" w:name="_Toc384308277"/>
      <w:bookmarkStart w:id="420" w:name="_Toc300835013"/>
      <w:bookmarkStart w:id="421" w:name="_Toc247514027"/>
      <w:bookmarkStart w:id="422" w:name="_Toc152045603"/>
      <w:bookmarkStart w:id="423" w:name="_Toc247527628"/>
      <w:bookmarkStart w:id="424" w:name="_Toc361508651"/>
      <w:bookmarkStart w:id="425" w:name="_Toc152042380"/>
      <w:r>
        <w:rPr>
          <w:rFonts w:hint="eastAsia" w:ascii="宋体" w:hAnsi="宋体" w:cs="宋体"/>
          <w:sz w:val="24"/>
          <w:highlight w:val="none"/>
        </w:rPr>
        <w:t>行修正，并要求投标人书面澄清确认。</w:t>
      </w:r>
      <w:bookmarkEnd w:id="415"/>
      <w:bookmarkEnd w:id="416"/>
      <w:bookmarkEnd w:id="417"/>
      <w:bookmarkEnd w:id="418"/>
      <w:bookmarkEnd w:id="419"/>
      <w:bookmarkEnd w:id="420"/>
      <w:bookmarkEnd w:id="421"/>
      <w:bookmarkEnd w:id="422"/>
      <w:bookmarkEnd w:id="423"/>
      <w:bookmarkEnd w:id="424"/>
      <w:bookmarkEnd w:id="425"/>
      <w:r>
        <w:rPr>
          <w:rFonts w:hint="eastAsia" w:ascii="宋体" w:hAnsi="宋体" w:cs="宋体"/>
          <w:sz w:val="24"/>
          <w:highlight w:val="none"/>
        </w:rPr>
        <w:t>投标人拒不澄清确认的，评标委员会应当否决其投标：</w:t>
      </w:r>
    </w:p>
    <w:p>
      <w:pPr>
        <w:spacing w:line="360" w:lineRule="auto"/>
        <w:rPr>
          <w:rFonts w:ascii="宋体" w:hAnsi="宋体" w:cs="宋体"/>
          <w:sz w:val="24"/>
          <w:highlight w:val="none"/>
        </w:rPr>
      </w:pPr>
      <w:r>
        <w:rPr>
          <w:rFonts w:hint="eastAsia" w:ascii="宋体" w:hAnsi="宋体" w:cs="宋体"/>
          <w:sz w:val="24"/>
          <w:highlight w:val="none"/>
        </w:rPr>
        <w:t>（1）投标人投标报价以投标函中投标总价的人民币大写金额为准。</w:t>
      </w:r>
    </w:p>
    <w:p>
      <w:pPr>
        <w:spacing w:line="360" w:lineRule="auto"/>
        <w:rPr>
          <w:rFonts w:ascii="宋体" w:hAnsi="宋体" w:cs="宋体"/>
          <w:sz w:val="24"/>
          <w:highlight w:val="none"/>
        </w:rPr>
      </w:pPr>
      <w:r>
        <w:rPr>
          <w:rFonts w:hint="eastAsia" w:ascii="宋体" w:hAnsi="宋体" w:cs="宋体"/>
          <w:sz w:val="24"/>
          <w:highlight w:val="none"/>
        </w:rPr>
        <w:t>（2）总价金额与单价金额不一致的，以单价金额为准，但单价金额小数点有明显错误的除外。</w:t>
      </w:r>
    </w:p>
    <w:p>
      <w:pPr>
        <w:pStyle w:val="4"/>
        <w:rPr>
          <w:rFonts w:ascii="宋体" w:hAnsi="宋体" w:cs="宋体"/>
          <w:highlight w:val="none"/>
        </w:rPr>
      </w:pPr>
      <w:bookmarkStart w:id="426" w:name="_Toc529196589"/>
      <w:bookmarkStart w:id="427" w:name="_Toc515205262"/>
      <w:bookmarkStart w:id="428" w:name="_Toc102997636"/>
      <w:r>
        <w:rPr>
          <w:rFonts w:hint="eastAsia" w:ascii="宋体" w:hAnsi="宋体" w:cs="宋体"/>
          <w:highlight w:val="none"/>
        </w:rPr>
        <w:t>3.2 详细评审</w:t>
      </w:r>
      <w:bookmarkEnd w:id="426"/>
      <w:bookmarkEnd w:id="427"/>
      <w:bookmarkEnd w:id="428"/>
    </w:p>
    <w:p>
      <w:pPr>
        <w:spacing w:line="360" w:lineRule="auto"/>
        <w:rPr>
          <w:rFonts w:ascii="宋体" w:hAnsi="宋体" w:cs="宋体"/>
          <w:sz w:val="24"/>
          <w:highlight w:val="none"/>
        </w:rPr>
      </w:pPr>
      <w:r>
        <w:rPr>
          <w:rFonts w:hint="eastAsia" w:ascii="宋体" w:hAnsi="宋体" w:cs="宋体"/>
          <w:sz w:val="24"/>
          <w:highlight w:val="none"/>
        </w:rPr>
        <w:t>3.2.1 评标委员会按本章第2.2款规定的量化因素和分值进行打分，并计算出综合评估得分。</w:t>
      </w:r>
    </w:p>
    <w:p>
      <w:pPr>
        <w:spacing w:line="360" w:lineRule="auto"/>
        <w:rPr>
          <w:rFonts w:ascii="宋体" w:hAnsi="宋体" w:cs="宋体"/>
          <w:sz w:val="24"/>
          <w:szCs w:val="24"/>
          <w:highlight w:val="none"/>
        </w:rPr>
      </w:pPr>
      <w:r>
        <w:rPr>
          <w:rFonts w:hint="eastAsia" w:ascii="宋体" w:hAnsi="宋体" w:cs="宋体"/>
          <w:sz w:val="24"/>
          <w:szCs w:val="24"/>
          <w:highlight w:val="none"/>
        </w:rPr>
        <w:t>（1）按本章第2.2.4（1）目规定的评审因素和分值对资信业绩部分计算出得分A；</w:t>
      </w:r>
    </w:p>
    <w:p>
      <w:pPr>
        <w:spacing w:line="360" w:lineRule="auto"/>
        <w:rPr>
          <w:rFonts w:ascii="宋体" w:hAnsi="宋体" w:cs="宋体"/>
          <w:sz w:val="24"/>
          <w:szCs w:val="24"/>
          <w:highlight w:val="none"/>
        </w:rPr>
      </w:pPr>
      <w:r>
        <w:rPr>
          <w:rFonts w:hint="eastAsia" w:ascii="宋体" w:hAnsi="宋体" w:cs="宋体"/>
          <w:sz w:val="24"/>
          <w:szCs w:val="24"/>
          <w:highlight w:val="none"/>
        </w:rPr>
        <w:t>（2）按本章第2.2.4（2）目规定的评审因素和分值对方案部分计算出得分B；</w:t>
      </w:r>
    </w:p>
    <w:p>
      <w:pPr>
        <w:spacing w:line="360" w:lineRule="auto"/>
        <w:rPr>
          <w:rFonts w:ascii="宋体" w:hAnsi="宋体" w:cs="宋体"/>
          <w:sz w:val="24"/>
          <w:szCs w:val="24"/>
          <w:highlight w:val="none"/>
        </w:rPr>
      </w:pPr>
      <w:r>
        <w:rPr>
          <w:rFonts w:hint="eastAsia" w:ascii="宋体" w:hAnsi="宋体" w:cs="宋体"/>
          <w:sz w:val="24"/>
          <w:szCs w:val="24"/>
          <w:highlight w:val="none"/>
        </w:rPr>
        <w:t>（3）按本章第2.2.4（3）目规定的评审因素和分值对投标报价部分计算出得分C。</w:t>
      </w:r>
    </w:p>
    <w:p>
      <w:pPr>
        <w:spacing w:line="360" w:lineRule="auto"/>
        <w:rPr>
          <w:rFonts w:ascii="宋体" w:hAnsi="宋体" w:cs="宋体"/>
          <w:sz w:val="24"/>
          <w:highlight w:val="none"/>
        </w:rPr>
      </w:pPr>
      <w:r>
        <w:rPr>
          <w:rFonts w:hint="eastAsia" w:ascii="宋体" w:hAnsi="宋体" w:cs="宋体"/>
          <w:sz w:val="24"/>
          <w:highlight w:val="none"/>
        </w:rPr>
        <w:t>3.2.2 评分分值计算保留小数点后两位，小数点后第三位“四舍五入”。</w:t>
      </w:r>
    </w:p>
    <w:p>
      <w:pPr>
        <w:spacing w:line="360" w:lineRule="auto"/>
        <w:rPr>
          <w:rFonts w:ascii="宋体" w:hAnsi="宋体" w:cs="宋体"/>
          <w:sz w:val="24"/>
          <w:highlight w:val="none"/>
          <w:u w:val="single"/>
        </w:rPr>
      </w:pPr>
      <w:r>
        <w:rPr>
          <w:rFonts w:hint="eastAsia" w:ascii="宋体" w:hAnsi="宋体" w:cs="宋体"/>
          <w:sz w:val="24"/>
          <w:highlight w:val="none"/>
        </w:rPr>
        <w:t>3.2.3</w:t>
      </w:r>
      <w:r>
        <w:rPr>
          <w:rFonts w:hint="eastAsia" w:ascii="宋体" w:hAnsi="宋体" w:cs="宋体"/>
          <w:sz w:val="24"/>
          <w:highlight w:val="none"/>
          <w:u w:val="single"/>
        </w:rPr>
        <w:t>投标人得分=A+B+C。</w:t>
      </w:r>
    </w:p>
    <w:p>
      <w:pPr>
        <w:spacing w:line="360" w:lineRule="auto"/>
        <w:rPr>
          <w:rFonts w:ascii="宋体" w:hAnsi="宋体" w:cs="宋体"/>
          <w:sz w:val="24"/>
          <w:highlight w:val="none"/>
        </w:rPr>
      </w:pPr>
      <w:r>
        <w:rPr>
          <w:rFonts w:hint="eastAsia" w:ascii="宋体" w:hAnsi="宋体" w:cs="宋体"/>
          <w:sz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4"/>
        <w:rPr>
          <w:rFonts w:ascii="宋体" w:hAnsi="宋体" w:cs="宋体"/>
          <w:highlight w:val="none"/>
        </w:rPr>
      </w:pPr>
      <w:bookmarkStart w:id="429" w:name="_Toc515205263"/>
      <w:bookmarkStart w:id="430" w:name="_Toc529196590"/>
      <w:bookmarkStart w:id="431" w:name="_Toc102997637"/>
      <w:r>
        <w:rPr>
          <w:rFonts w:hint="eastAsia" w:ascii="宋体" w:hAnsi="宋体" w:cs="宋体"/>
          <w:highlight w:val="none"/>
        </w:rPr>
        <w:t>3.3 投标文件的澄清</w:t>
      </w:r>
      <w:bookmarkEnd w:id="429"/>
      <w:bookmarkEnd w:id="430"/>
      <w:bookmarkEnd w:id="431"/>
    </w:p>
    <w:p>
      <w:pPr>
        <w:spacing w:line="360" w:lineRule="auto"/>
        <w:rPr>
          <w:rFonts w:ascii="宋体" w:hAnsi="宋体" w:cs="宋体"/>
          <w:sz w:val="24"/>
          <w:highlight w:val="none"/>
        </w:rPr>
      </w:pPr>
      <w:r>
        <w:rPr>
          <w:rFonts w:hint="eastAsia" w:ascii="宋体" w:hAnsi="宋体" w:cs="宋体"/>
          <w:sz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rPr>
          <w:rFonts w:ascii="宋体" w:hAnsi="宋体" w:cs="宋体"/>
          <w:sz w:val="24"/>
          <w:highlight w:val="none"/>
        </w:rPr>
      </w:pPr>
      <w:r>
        <w:rPr>
          <w:rFonts w:hint="eastAsia" w:ascii="宋体" w:hAnsi="宋体" w:cs="宋体"/>
          <w:sz w:val="24"/>
          <w:highlight w:val="none"/>
        </w:rPr>
        <w:t>3.3.2 澄清、说明或补正不得超出投标文件的范围且不得改变投标文件的实质性内容，并构成投标文件的组成部分。</w:t>
      </w:r>
    </w:p>
    <w:p>
      <w:pPr>
        <w:spacing w:line="360" w:lineRule="auto"/>
        <w:rPr>
          <w:rFonts w:ascii="宋体" w:hAnsi="宋体" w:cs="宋体"/>
          <w:sz w:val="24"/>
          <w:highlight w:val="none"/>
        </w:rPr>
      </w:pPr>
      <w:r>
        <w:rPr>
          <w:rFonts w:hint="eastAsia" w:ascii="宋体" w:hAnsi="宋体" w:cs="宋体"/>
          <w:sz w:val="24"/>
          <w:highlight w:val="none"/>
        </w:rPr>
        <w:t>3.3.3 评标委员会对投标人提交的澄清、说明或补正有疑问的，可以要求投标人进一步澄清、说明或补正，直至满足评标委员会的要求。</w:t>
      </w:r>
    </w:p>
    <w:p>
      <w:pPr>
        <w:pStyle w:val="4"/>
        <w:rPr>
          <w:rFonts w:ascii="宋体" w:hAnsi="宋体" w:cs="宋体"/>
          <w:highlight w:val="none"/>
        </w:rPr>
      </w:pPr>
      <w:bookmarkStart w:id="432" w:name="_Toc529196591"/>
      <w:bookmarkStart w:id="433" w:name="_Toc102997638"/>
      <w:bookmarkStart w:id="434" w:name="_Toc515205264"/>
      <w:r>
        <w:rPr>
          <w:rFonts w:hint="eastAsia" w:ascii="宋体" w:hAnsi="宋体" w:cs="宋体"/>
          <w:highlight w:val="none"/>
        </w:rPr>
        <w:t>3.4 评标结果</w:t>
      </w:r>
      <w:bookmarkEnd w:id="432"/>
      <w:bookmarkEnd w:id="433"/>
      <w:bookmarkEnd w:id="434"/>
    </w:p>
    <w:p>
      <w:pPr>
        <w:spacing w:line="360" w:lineRule="auto"/>
        <w:rPr>
          <w:rFonts w:ascii="宋体" w:hAnsi="宋体" w:cs="宋体"/>
          <w:b/>
          <w:sz w:val="24"/>
          <w:highlight w:val="none"/>
        </w:rPr>
      </w:pPr>
      <w:r>
        <w:rPr>
          <w:rFonts w:hint="eastAsia" w:ascii="宋体" w:hAnsi="宋体" w:cs="宋体"/>
          <w:sz w:val="24"/>
          <w:highlight w:val="none"/>
        </w:rPr>
        <w:t>3.4.1 除第二章“投标人须知”前附表授权直接确定中标人外，评标委员会按照得分由高到低的顺序推荐中标候选人，并标明排序。</w:t>
      </w:r>
    </w:p>
    <w:p>
      <w:pPr>
        <w:spacing w:line="360" w:lineRule="auto"/>
        <w:rPr>
          <w:rFonts w:ascii="宋体" w:hAnsi="宋体" w:cs="宋体"/>
          <w:sz w:val="24"/>
          <w:highlight w:val="none"/>
        </w:rPr>
      </w:pPr>
      <w:r>
        <w:rPr>
          <w:rFonts w:hint="eastAsia" w:ascii="宋体" w:hAnsi="宋体" w:cs="宋体"/>
          <w:sz w:val="24"/>
          <w:highlight w:val="none"/>
        </w:rPr>
        <w:t>3.4.2 评标委员会完成评标后，应当向招标人提交书面评标报告和中标候选人名单。</w:t>
      </w:r>
    </w:p>
    <w:p>
      <w:pPr>
        <w:rPr>
          <w:rFonts w:ascii="宋体" w:hAnsi="宋体" w:cs="宋体"/>
          <w:highlight w:val="none"/>
        </w:rPr>
      </w:pPr>
      <w:r>
        <w:rPr>
          <w:rFonts w:hint="eastAsia" w:ascii="宋体" w:hAnsi="宋体" w:cs="宋体"/>
          <w:highlight w:val="none"/>
        </w:rPr>
        <w:br w:type="page"/>
      </w:r>
    </w:p>
    <w:p>
      <w:pPr>
        <w:spacing w:line="200" w:lineRule="exact"/>
        <w:rPr>
          <w:rFonts w:ascii="宋体" w:hAnsi="宋体" w:cs="宋体"/>
          <w:highlight w:val="none"/>
        </w:rPr>
      </w:pPr>
    </w:p>
    <w:p>
      <w:pPr>
        <w:spacing w:line="502" w:lineRule="exact"/>
        <w:jc w:val="center"/>
        <w:outlineLvl w:val="1"/>
        <w:rPr>
          <w:rFonts w:ascii="宋体" w:hAnsi="宋体" w:cs="宋体"/>
          <w:b/>
          <w:sz w:val="44"/>
          <w:highlight w:val="none"/>
        </w:rPr>
      </w:pPr>
      <w:bookmarkStart w:id="435" w:name="_Toc102997639"/>
      <w:r>
        <w:rPr>
          <w:rFonts w:hint="eastAsia" w:ascii="宋体" w:hAnsi="宋体" w:cs="宋体"/>
          <w:b/>
          <w:sz w:val="44"/>
          <w:highlight w:val="none"/>
        </w:rPr>
        <w:t>第四章 合同条款及格式</w:t>
      </w:r>
      <w:bookmarkEnd w:id="435"/>
    </w:p>
    <w:p>
      <w:pPr>
        <w:spacing w:line="324" w:lineRule="exact"/>
        <w:rPr>
          <w:rFonts w:ascii="宋体" w:hAnsi="宋体" w:cs="宋体"/>
          <w:highlight w:val="none"/>
        </w:rPr>
      </w:pPr>
    </w:p>
    <w:p>
      <w:pPr>
        <w:spacing w:before="120" w:after="120" w:line="360" w:lineRule="auto"/>
        <w:jc w:val="center"/>
        <w:rPr>
          <w:rFonts w:ascii="宋体" w:hAnsi="宋体" w:cs="宋体"/>
          <w:highlight w:val="none"/>
        </w:rPr>
        <w:sectPr>
          <w:pgSz w:w="11907" w:h="16839"/>
          <w:pgMar w:top="1440" w:right="1440" w:bottom="1418" w:left="1440" w:header="993" w:footer="749" w:gutter="0"/>
          <w:cols w:space="720" w:num="1"/>
          <w:titlePg/>
          <w:docGrid w:linePitch="360" w:charSpace="0"/>
        </w:sectPr>
      </w:pPr>
      <w:r>
        <w:rPr>
          <w:rFonts w:hint="eastAsia" w:ascii="宋体" w:hAnsi="宋体" w:cs="宋体"/>
          <w:b/>
          <w:bCs/>
          <w:sz w:val="32"/>
          <w:szCs w:val="32"/>
          <w:highlight w:val="none"/>
        </w:rPr>
        <w:t>（另册）</w:t>
      </w:r>
    </w:p>
    <w:p>
      <w:pPr>
        <w:widowControl/>
        <w:jc w:val="left"/>
        <w:rPr>
          <w:rFonts w:ascii="宋体" w:hAnsi="宋体" w:cs="宋体"/>
          <w:b/>
          <w:sz w:val="43"/>
          <w:highlight w:val="none"/>
        </w:rPr>
      </w:pPr>
      <w:bookmarkStart w:id="436" w:name="_Toc102997640"/>
      <w:r>
        <w:rPr>
          <w:rFonts w:hint="eastAsia" w:ascii="宋体" w:hAnsi="宋体" w:cs="宋体"/>
          <w:b/>
          <w:sz w:val="43"/>
          <w:highlight w:val="none"/>
        </w:rPr>
        <w:br w:type="page"/>
      </w:r>
    </w:p>
    <w:p>
      <w:pPr>
        <w:spacing w:line="491" w:lineRule="exact"/>
        <w:jc w:val="center"/>
        <w:outlineLvl w:val="1"/>
        <w:rPr>
          <w:rFonts w:ascii="宋体" w:hAnsi="宋体" w:cs="宋体"/>
          <w:b/>
          <w:sz w:val="43"/>
          <w:highlight w:val="none"/>
        </w:rPr>
      </w:pPr>
      <w:r>
        <w:rPr>
          <w:rFonts w:hint="eastAsia" w:ascii="宋体" w:hAnsi="宋体" w:cs="宋体"/>
          <w:b/>
          <w:sz w:val="43"/>
          <w:highlight w:val="none"/>
        </w:rPr>
        <w:t>第五章 委托人要求</w:t>
      </w:r>
      <w:bookmarkEnd w:id="436"/>
    </w:p>
    <w:p>
      <w:pPr>
        <w:adjustRightInd w:val="0"/>
        <w:spacing w:line="360" w:lineRule="auto"/>
        <w:rPr>
          <w:rFonts w:ascii="宋体" w:hAnsi="宋体" w:cs="宋体"/>
          <w:sz w:val="24"/>
          <w:szCs w:val="24"/>
          <w:highlight w:val="none"/>
        </w:rPr>
      </w:pPr>
      <w:bookmarkStart w:id="437" w:name="_Toc102997642"/>
    </w:p>
    <w:p>
      <w:pPr>
        <w:adjustRightInd w:val="0"/>
        <w:spacing w:line="360" w:lineRule="auto"/>
        <w:rPr>
          <w:rFonts w:ascii="宋体" w:hAnsi="宋体" w:cs="宋体"/>
          <w:sz w:val="24"/>
          <w:szCs w:val="24"/>
          <w:highlight w:val="none"/>
        </w:rPr>
      </w:pPr>
      <w:r>
        <w:rPr>
          <w:rFonts w:hint="eastAsia" w:ascii="宋体" w:hAnsi="宋体" w:cs="宋体"/>
          <w:sz w:val="24"/>
          <w:szCs w:val="24"/>
          <w:highlight w:val="none"/>
        </w:rPr>
        <w:t>一、服务范围：</w:t>
      </w:r>
    </w:p>
    <w:p>
      <w:pPr>
        <w:shd w:val="clear" w:color="auto" w:fill="FFFFFF"/>
        <w:adjustRightInd w:val="0"/>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检测监测服务的工作内容：</w:t>
      </w:r>
      <w:r>
        <w:rPr>
          <w:rFonts w:hint="eastAsia" w:ascii="宋体" w:hAnsi="宋体" w:cs="宋体"/>
          <w:bCs/>
          <w:sz w:val="24"/>
          <w:szCs w:val="24"/>
          <w:highlight w:val="none"/>
          <w:u w:val="single"/>
        </w:rPr>
        <w:t>建设项目第三方检测监测，编制检测及监测方案,检测项目及数量经甲方、监理单位以及当地质量监督部门确认实施检测监测并出具检测、监测报告。检测监测工作内容主要包含但不限于：地基基础及基坑支护工程检测、主体结构工程现场检测、钢结构工程检测、建筑幕墙工程检测、人防结构检测、电气检测、防雷检测、消防检测、道路及连廊桥工程检测、建筑材料及设备检测、见证取样材料检测、节能检测、环境检测、智能化检测、园林绿化检测、基坑监测、主体沉降观测、高支模监测等按规范和验收要求必须检测</w:t>
      </w:r>
      <w:r>
        <w:rPr>
          <w:rFonts w:hint="eastAsia" w:ascii="宋体" w:hAnsi="宋体" w:cs="宋体"/>
          <w:bCs/>
          <w:sz w:val="24"/>
          <w:szCs w:val="24"/>
          <w:highlight w:val="none"/>
          <w:u w:val="single"/>
          <w:lang w:val="en-US" w:eastAsia="zh-CN"/>
        </w:rPr>
        <w:t>监测</w:t>
      </w:r>
      <w:r>
        <w:rPr>
          <w:rFonts w:hint="eastAsia" w:ascii="宋体" w:hAnsi="宋体" w:cs="宋体"/>
          <w:bCs/>
          <w:sz w:val="24"/>
          <w:szCs w:val="24"/>
          <w:highlight w:val="none"/>
          <w:u w:val="single"/>
        </w:rPr>
        <w:t>的项目，具体检测监测项目以最终业主要求、设计图纸及相关规范要求为准。</w:t>
      </w:r>
    </w:p>
    <w:p>
      <w:pPr>
        <w:shd w:val="clear" w:color="auto" w:fill="FFFFFF"/>
        <w:adjustRightInd w:val="0"/>
        <w:spacing w:line="360" w:lineRule="auto"/>
        <w:ind w:firstLine="420" w:firstLineChars="175"/>
        <w:rPr>
          <w:rFonts w:ascii="宋体" w:hAnsi="宋体" w:cs="宋体"/>
          <w:sz w:val="24"/>
          <w:szCs w:val="24"/>
          <w:highlight w:val="none"/>
        </w:rPr>
      </w:pPr>
      <w:r>
        <w:rPr>
          <w:rFonts w:hint="eastAsia" w:ascii="宋体" w:hAnsi="宋体" w:cs="宋体"/>
          <w:sz w:val="24"/>
          <w:szCs w:val="24"/>
          <w:highlight w:val="none"/>
        </w:rPr>
        <w:t>服务范围除以上工作外，还包括但不限于以下内容：</w:t>
      </w:r>
    </w:p>
    <w:p>
      <w:pPr>
        <w:spacing w:line="360" w:lineRule="auto"/>
        <w:ind w:firstLine="480" w:firstLineChars="200"/>
        <w:rPr>
          <w:rFonts w:ascii="宋体" w:hAnsi="宋体" w:cs="宋体"/>
          <w:bCs/>
          <w:sz w:val="24"/>
          <w:szCs w:val="24"/>
          <w:highlight w:val="none"/>
          <w:u w:val="single"/>
        </w:rPr>
      </w:pPr>
      <w:r>
        <w:rPr>
          <w:rFonts w:hint="eastAsia" w:ascii="宋体" w:hAnsi="宋体" w:cs="宋体"/>
          <w:bCs/>
          <w:sz w:val="24"/>
          <w:szCs w:val="24"/>
          <w:highlight w:val="none"/>
          <w:u w:val="single"/>
        </w:rPr>
        <w:t>（1）根据设计文件、施工组织设计、相关规范和相关行政职能部门要求和招标人要求，结合项目实际情况，编制检测、监测方案，并确保检测、监测方案符合有关规范要求及通过工程所在行政区域的相关建设行政主管部门和监督部门的审批，</w:t>
      </w:r>
      <w:r>
        <w:rPr>
          <w:rFonts w:hint="eastAsia" w:ascii="宋体" w:hAnsi="宋体" w:cs="宋体"/>
          <w:sz w:val="24"/>
          <w:szCs w:val="24"/>
          <w:highlight w:val="none"/>
          <w:u w:val="single"/>
        </w:rPr>
        <w:t>同时负责协调上述相关部门工作，并负责申报检测及检测技术成果的审批，保证技术成果能够一次通过相关部门认可，确保不因检测及监测工作影响本工程项目的建设进度、竣工验收。</w:t>
      </w:r>
    </w:p>
    <w:p>
      <w:pPr>
        <w:spacing w:line="360" w:lineRule="auto"/>
        <w:ind w:firstLine="480" w:firstLineChars="200"/>
        <w:rPr>
          <w:rFonts w:ascii="宋体" w:hAnsi="宋体" w:cs="宋体"/>
          <w:bCs/>
          <w:sz w:val="24"/>
          <w:highlight w:val="none"/>
          <w:u w:val="single"/>
        </w:rPr>
      </w:pPr>
      <w:r>
        <w:rPr>
          <w:rFonts w:hint="eastAsia" w:ascii="宋体" w:hAnsi="宋体" w:cs="宋体"/>
          <w:bCs/>
          <w:sz w:val="24"/>
          <w:highlight w:val="none"/>
          <w:u w:val="single"/>
        </w:rPr>
        <w:t>（2）在进行检测、监测任务的过程中与该工程相关的施工单位、监理单位、设计单位、甲方、</w:t>
      </w:r>
      <w:r>
        <w:rPr>
          <w:rFonts w:hint="eastAsia" w:ascii="宋体" w:hAnsi="宋体" w:cs="宋体"/>
          <w:bCs/>
          <w:sz w:val="24"/>
          <w:highlight w:val="none"/>
          <w:u w:val="single"/>
          <w:lang w:val="en-US" w:eastAsia="zh-CN"/>
        </w:rPr>
        <w:t>项目管理咨询单位</w:t>
      </w:r>
      <w:r>
        <w:rPr>
          <w:rFonts w:hint="eastAsia" w:ascii="宋体" w:hAnsi="宋体" w:cs="宋体"/>
          <w:bCs/>
          <w:sz w:val="24"/>
          <w:highlight w:val="none"/>
          <w:u w:val="single"/>
        </w:rPr>
        <w:t>、建设主管部门等相关单位的协调工作，且合同价中已经综合考虑了该项协调工作的费用。</w:t>
      </w:r>
    </w:p>
    <w:p>
      <w:pPr>
        <w:spacing w:line="360" w:lineRule="auto"/>
        <w:ind w:firstLine="480" w:firstLineChars="200"/>
        <w:rPr>
          <w:rFonts w:ascii="宋体" w:hAnsi="宋体" w:cs="宋体"/>
          <w:bCs/>
          <w:sz w:val="24"/>
          <w:highlight w:val="none"/>
          <w:u w:val="single"/>
        </w:rPr>
      </w:pPr>
      <w:r>
        <w:rPr>
          <w:rFonts w:hint="eastAsia" w:ascii="宋体" w:hAnsi="宋体" w:cs="宋体"/>
          <w:bCs/>
          <w:sz w:val="24"/>
          <w:highlight w:val="none"/>
          <w:u w:val="single"/>
        </w:rPr>
        <w:t>（3）本项目已包含监督抽检的工作内容，监督抽检数量按建设行政主管部门要求实施，需在合同价中综合考虑该部分费用。</w:t>
      </w:r>
    </w:p>
    <w:p>
      <w:pPr>
        <w:spacing w:line="360" w:lineRule="auto"/>
        <w:ind w:firstLine="480" w:firstLineChars="200"/>
        <w:rPr>
          <w:rFonts w:ascii="宋体" w:hAnsi="宋体" w:cs="宋体"/>
          <w:bCs/>
          <w:sz w:val="24"/>
          <w:highlight w:val="none"/>
          <w:u w:val="single"/>
        </w:rPr>
      </w:pPr>
      <w:r>
        <w:rPr>
          <w:rFonts w:hint="eastAsia" w:ascii="宋体" w:hAnsi="宋体" w:cs="宋体"/>
          <w:bCs/>
          <w:sz w:val="24"/>
          <w:highlight w:val="none"/>
          <w:u w:val="single"/>
        </w:rPr>
        <w:t>（4）因按相关规定须与行业、行政监督部门传输报送检测数据信息的工作，且合同价中已经综合考虑了该项协调工作的费用。</w:t>
      </w:r>
    </w:p>
    <w:p>
      <w:pPr>
        <w:spacing w:line="360" w:lineRule="auto"/>
        <w:ind w:firstLine="480" w:firstLineChars="200"/>
        <w:rPr>
          <w:rFonts w:ascii="宋体" w:hAnsi="宋体" w:cs="宋体"/>
          <w:bCs/>
          <w:sz w:val="24"/>
          <w:highlight w:val="none"/>
          <w:u w:val="single"/>
        </w:rPr>
      </w:pPr>
      <w:r>
        <w:rPr>
          <w:rFonts w:hint="eastAsia" w:ascii="宋体" w:hAnsi="宋体" w:cs="宋体"/>
          <w:bCs/>
          <w:sz w:val="24"/>
          <w:highlight w:val="none"/>
          <w:u w:val="single"/>
        </w:rPr>
        <w:t>（5）根据相关规范和标准、主管部门文件的规定以及设计图纸的有关要求，结合工程实际情况编制相关项目的《检测方案》和《监测方案》，并报质监部门备案（如需要）。</w:t>
      </w:r>
    </w:p>
    <w:p>
      <w:pPr>
        <w:spacing w:line="360" w:lineRule="auto"/>
        <w:ind w:firstLine="480" w:firstLineChars="200"/>
        <w:rPr>
          <w:rFonts w:ascii="宋体" w:hAnsi="宋体" w:cs="宋体"/>
          <w:bCs/>
          <w:sz w:val="24"/>
          <w:highlight w:val="none"/>
          <w:u w:val="single"/>
        </w:rPr>
      </w:pPr>
      <w:r>
        <w:rPr>
          <w:rFonts w:hint="eastAsia" w:ascii="宋体" w:hAnsi="宋体" w:cs="宋体"/>
          <w:bCs/>
          <w:sz w:val="24"/>
          <w:highlight w:val="none"/>
          <w:u w:val="single"/>
        </w:rPr>
        <w:t>（6）负责检测的工程质量需符合《建设工程质量管理条例》等国家相关管理要求。</w:t>
      </w:r>
    </w:p>
    <w:p>
      <w:pPr>
        <w:spacing w:line="360" w:lineRule="auto"/>
        <w:ind w:firstLine="480" w:firstLineChars="200"/>
        <w:rPr>
          <w:rFonts w:ascii="宋体" w:hAnsi="宋体" w:cs="宋体"/>
          <w:bCs/>
          <w:sz w:val="24"/>
          <w:highlight w:val="none"/>
          <w:u w:val="single"/>
        </w:rPr>
      </w:pPr>
      <w:r>
        <w:rPr>
          <w:rFonts w:hint="eastAsia" w:ascii="宋体" w:hAnsi="宋体" w:cs="宋体"/>
          <w:bCs/>
          <w:sz w:val="24"/>
          <w:highlight w:val="none"/>
          <w:u w:val="single"/>
        </w:rPr>
        <w:t>（7）本项目实施期间，如果因本项目验收需要，按规范和经批准的检测方案，经甲方确认需增加《材料检测清单表》中没有的检测项目，且乙方也具备相应资质，则乙方不得以任何原因拒绝为招标人提供检测，并按要求出具符合验收要求的检测报告。若有乙方检测资质不能涵盖的项目，必须报甲方批准后可委托具有相应资质的第三方实施，乙方应对该第三方出具的结果负责，并取得相应管理部门的确认。</w:t>
      </w:r>
    </w:p>
    <w:p>
      <w:pPr>
        <w:widowControl/>
        <w:shd w:val="clear" w:color="auto" w:fill="FFFFFF"/>
        <w:spacing w:line="360" w:lineRule="auto"/>
        <w:ind w:firstLine="424" w:firstLineChars="177"/>
        <w:jc w:val="left"/>
        <w:rPr>
          <w:rFonts w:hint="eastAsia" w:ascii="宋体" w:hAnsi="宋体" w:cs="宋体"/>
          <w:bCs/>
          <w:sz w:val="24"/>
          <w:szCs w:val="24"/>
          <w:highlight w:val="none"/>
          <w:u w:val="single"/>
        </w:rPr>
      </w:pPr>
      <w:r>
        <w:rPr>
          <w:rFonts w:hint="eastAsia" w:ascii="宋体" w:hAnsi="宋体" w:cs="宋体"/>
          <w:bCs/>
          <w:sz w:val="24"/>
          <w:szCs w:val="24"/>
          <w:highlight w:val="none"/>
          <w:u w:val="single"/>
        </w:rPr>
        <w:t>（8）根据《广州市城乡建设委员会关于启用地下工程及深基坑安全监测信息管理系统的通知》要求，乙方需配合做好信息化管理工作。乙方需按广州市住房和城乡建设局的规定，开通基坑监测数据管理系统账号，配备能实时上传监测数据的相关仪器设备，并具备将监测数据实时上传至广州市地下工程和深基坑安全监测信息管理系统的能力及经验。</w:t>
      </w:r>
    </w:p>
    <w:p>
      <w:pPr>
        <w:widowControl/>
        <w:shd w:val="clear" w:color="auto" w:fill="FFFFFF"/>
        <w:spacing w:line="360" w:lineRule="auto"/>
        <w:ind w:firstLine="424" w:firstLineChars="177"/>
        <w:jc w:val="left"/>
        <w:rPr>
          <w:rFonts w:hint="eastAsia" w:ascii="宋体" w:hAnsi="宋体" w:cs="宋体"/>
          <w:bCs/>
          <w:sz w:val="24"/>
          <w:szCs w:val="24"/>
          <w:highlight w:val="none"/>
          <w:u w:val="single"/>
        </w:rPr>
      </w:pPr>
      <w:r>
        <w:rPr>
          <w:rFonts w:hint="eastAsia" w:ascii="宋体" w:hAnsi="宋体" w:cs="宋体"/>
          <w:bCs/>
          <w:sz w:val="24"/>
          <w:szCs w:val="24"/>
          <w:highlight w:val="none"/>
          <w:u w:val="single"/>
        </w:rPr>
        <w:t>（9）根据《广州市住房和城乡建设委员会关于启用高大模板实时监测管理平台的通知》要求，乙方需配合做好信息化管理工作。乙方需按广州市住房和城乡建设局的规定，开通高大模板自动化监测数据管理系统账号，配备能实时上传监测数据的相关仪器设备，并具备将监测数据实时上传至广州市高大模板实时监测管理平台的能力及经验。</w:t>
      </w:r>
    </w:p>
    <w:p>
      <w:pPr>
        <w:widowControl/>
        <w:shd w:val="clear" w:color="auto" w:fill="FFFFFF"/>
        <w:spacing w:line="360" w:lineRule="auto"/>
        <w:ind w:firstLine="424" w:firstLineChars="177"/>
        <w:jc w:val="left"/>
        <w:rPr>
          <w:rFonts w:hint="eastAsia" w:ascii="宋体" w:hAnsi="宋体" w:cs="宋体"/>
          <w:bCs/>
          <w:sz w:val="24"/>
          <w:szCs w:val="24"/>
          <w:highlight w:val="none"/>
          <w:u w:val="single"/>
        </w:rPr>
      </w:pPr>
      <w:r>
        <w:rPr>
          <w:rFonts w:hint="eastAsia" w:ascii="宋体" w:hAnsi="宋体" w:cs="宋体"/>
          <w:bCs/>
          <w:sz w:val="24"/>
          <w:szCs w:val="24"/>
          <w:highlight w:val="none"/>
          <w:u w:val="single"/>
        </w:rPr>
        <w:t>（10）与工程所在行政区域的相关建设行政主管部门和监督部门进行监测工作的协调，申报监测技术成果的审批。保证技术成果能够通过相关部门认可，确保不因监测和建筑物主体沉降观工作影响本工程项目的建设进度、项目竣工验收和在城建档案馆备案。</w:t>
      </w:r>
    </w:p>
    <w:p>
      <w:pPr>
        <w:widowControl/>
        <w:shd w:val="clear" w:color="auto" w:fill="FFFFFF"/>
        <w:spacing w:line="360" w:lineRule="auto"/>
        <w:ind w:firstLine="424" w:firstLineChars="177"/>
        <w:jc w:val="left"/>
        <w:rPr>
          <w:rFonts w:ascii="宋体" w:hAnsi="宋体" w:cs="宋体"/>
          <w:highlight w:val="none"/>
        </w:rPr>
      </w:pPr>
      <w:r>
        <w:rPr>
          <w:rFonts w:hint="eastAsia" w:ascii="宋体" w:hAnsi="宋体" w:cs="宋体"/>
          <w:bCs/>
          <w:sz w:val="24"/>
          <w:szCs w:val="24"/>
          <w:highlight w:val="none"/>
          <w:u w:val="single"/>
        </w:rPr>
        <w:t>（具体以招标文件、施工图纸、检测</w:t>
      </w:r>
      <w:r>
        <w:rPr>
          <w:rFonts w:hint="eastAsia" w:ascii="宋体" w:hAnsi="宋体" w:cs="宋体"/>
          <w:sz w:val="24"/>
          <w:szCs w:val="24"/>
          <w:highlight w:val="none"/>
          <w:u w:val="single"/>
        </w:rPr>
        <w:t>监测</w:t>
      </w:r>
      <w:r>
        <w:rPr>
          <w:rFonts w:hint="eastAsia" w:ascii="宋体" w:hAnsi="宋体" w:cs="宋体"/>
          <w:bCs/>
          <w:sz w:val="24"/>
          <w:szCs w:val="24"/>
          <w:highlight w:val="none"/>
          <w:u w:val="single"/>
        </w:rPr>
        <w:t>方案为准）。</w:t>
      </w:r>
      <w:bookmarkEnd w:id="437"/>
    </w:p>
    <w:p>
      <w:pPr>
        <w:pStyle w:val="9"/>
        <w:rPr>
          <w:rFonts w:hint="default" w:hAnsi="宋体" w:cs="宋体"/>
          <w:highlight w:val="none"/>
        </w:rPr>
        <w:sectPr>
          <w:type w:val="continuous"/>
          <w:pgSz w:w="11907" w:h="16839"/>
          <w:pgMar w:top="1440" w:right="1440" w:bottom="1418" w:left="1440" w:header="0" w:footer="595" w:gutter="0"/>
          <w:cols w:space="720" w:num="1"/>
          <w:docGrid w:linePitch="360" w:charSpace="0"/>
        </w:sectPr>
      </w:pPr>
    </w:p>
    <w:p>
      <w:pPr>
        <w:widowControl/>
        <w:textAlignment w:val="center"/>
        <w:rPr>
          <w:rFonts w:ascii="宋体" w:hAnsi="宋体" w:cs="宋体"/>
          <w:b/>
          <w:sz w:val="43"/>
          <w:highlight w:val="none"/>
        </w:rPr>
      </w:pPr>
    </w:p>
    <w:p>
      <w:pPr>
        <w:pStyle w:val="9"/>
        <w:rPr>
          <w:rFonts w:hint="default" w:hAnsi="宋体" w:cs="宋体"/>
          <w:highlight w:val="none"/>
        </w:rPr>
      </w:pPr>
    </w:p>
    <w:p>
      <w:pPr>
        <w:pStyle w:val="9"/>
        <w:rPr>
          <w:rFonts w:hint="default" w:hAnsi="宋体" w:cs="宋体"/>
          <w:highlight w:val="none"/>
        </w:rPr>
      </w:pPr>
    </w:p>
    <w:p>
      <w:pPr>
        <w:spacing w:line="491" w:lineRule="exact"/>
        <w:jc w:val="center"/>
        <w:outlineLvl w:val="1"/>
        <w:rPr>
          <w:rFonts w:ascii="宋体" w:hAnsi="宋体" w:cs="宋体"/>
          <w:b/>
          <w:sz w:val="43"/>
          <w:highlight w:val="none"/>
        </w:rPr>
      </w:pPr>
      <w:bookmarkStart w:id="438" w:name="_Toc102997644"/>
      <w:r>
        <w:rPr>
          <w:rFonts w:hint="eastAsia" w:ascii="宋体" w:hAnsi="宋体" w:cs="宋体"/>
          <w:b/>
          <w:sz w:val="43"/>
          <w:highlight w:val="none"/>
        </w:rPr>
        <w:t>第六章 投标文件格式</w:t>
      </w:r>
      <w:bookmarkEnd w:id="438"/>
    </w:p>
    <w:p>
      <w:pPr>
        <w:spacing w:line="491" w:lineRule="exact"/>
        <w:jc w:val="center"/>
        <w:rPr>
          <w:rFonts w:ascii="宋体" w:hAnsi="宋体" w:cs="宋体"/>
          <w:b/>
          <w:sz w:val="43"/>
          <w:highlight w:val="none"/>
        </w:rPr>
        <w:sectPr>
          <w:pgSz w:w="11907" w:h="16839"/>
          <w:pgMar w:top="1440" w:right="1440" w:bottom="1418" w:left="1440" w:header="0" w:footer="736" w:gutter="0"/>
          <w:cols w:space="720" w:num="1"/>
          <w:docGrid w:linePitch="360" w:charSpace="0"/>
        </w:sectPr>
      </w:pPr>
    </w:p>
    <w:p>
      <w:pPr>
        <w:spacing w:line="200" w:lineRule="exact"/>
        <w:rPr>
          <w:rFonts w:ascii="宋体" w:hAnsi="宋体" w:cs="宋体"/>
          <w:highlight w:val="none"/>
        </w:rPr>
      </w:pPr>
    </w:p>
    <w:p>
      <w:pPr>
        <w:spacing w:line="0" w:lineRule="atLeast"/>
        <w:jc w:val="center"/>
        <w:rPr>
          <w:rFonts w:ascii="宋体" w:hAnsi="宋体" w:cs="宋体"/>
          <w:sz w:val="18"/>
          <w:highlight w:val="none"/>
        </w:rPr>
        <w:sectPr>
          <w:type w:val="continuous"/>
          <w:pgSz w:w="11907" w:h="16839"/>
          <w:pgMar w:top="1440" w:right="1440" w:bottom="1418" w:left="1440" w:header="0" w:footer="736" w:gutter="0"/>
          <w:cols w:space="720" w:num="1"/>
          <w:docGrid w:linePitch="360" w:charSpace="0"/>
        </w:sect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jc w:val="center"/>
        <w:rPr>
          <w:rFonts w:ascii="宋体" w:hAnsi="宋体" w:cs="宋体"/>
          <w:b/>
          <w:sz w:val="24"/>
          <w:highlight w:val="none"/>
        </w:rPr>
      </w:pPr>
      <w:r>
        <w:rPr>
          <w:rFonts w:hint="eastAsia" w:ascii="宋体" w:hAnsi="宋体" w:cs="宋体"/>
          <w:b/>
          <w:bCs/>
          <w:sz w:val="36"/>
          <w:szCs w:val="30"/>
          <w:highlight w:val="none"/>
        </w:rPr>
        <w:t>广东省人民医院白云院区项目第三方检测监测服务</w:t>
      </w: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jc w:val="center"/>
        <w:rPr>
          <w:rFonts w:ascii="宋体" w:hAnsi="宋体" w:cs="宋体"/>
          <w:sz w:val="44"/>
          <w:highlight w:val="none"/>
        </w:rPr>
      </w:pPr>
    </w:p>
    <w:p>
      <w:pPr>
        <w:spacing w:line="360" w:lineRule="auto"/>
        <w:jc w:val="center"/>
        <w:rPr>
          <w:rFonts w:ascii="宋体" w:hAnsi="宋体" w:cs="宋体"/>
          <w:b/>
          <w:sz w:val="44"/>
          <w:highlight w:val="none"/>
        </w:rPr>
      </w:pPr>
      <w:r>
        <w:rPr>
          <w:rFonts w:hint="eastAsia" w:ascii="宋体" w:hAnsi="宋体" w:cs="宋体"/>
          <w:b/>
          <w:sz w:val="44"/>
          <w:highlight w:val="none"/>
        </w:rPr>
        <w:t>投 标 文 件</w:t>
      </w: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spacing w:line="200" w:lineRule="exact"/>
        <w:rPr>
          <w:rFonts w:ascii="宋体" w:hAnsi="宋体" w:cs="宋体"/>
          <w:highlight w:val="none"/>
        </w:rPr>
      </w:pPr>
    </w:p>
    <w:p>
      <w:pPr>
        <w:tabs>
          <w:tab w:val="left" w:pos="7200"/>
        </w:tabs>
        <w:spacing w:line="308" w:lineRule="exact"/>
        <w:rPr>
          <w:rFonts w:ascii="宋体" w:hAnsi="宋体" w:cs="宋体"/>
          <w:sz w:val="27"/>
          <w:highlight w:val="none"/>
        </w:rPr>
      </w:pPr>
      <w:r>
        <w:rPr>
          <w:rFonts w:hint="eastAsia" w:ascii="宋体" w:hAnsi="宋体" w:cs="宋体"/>
          <w:sz w:val="27"/>
          <w:highlight w:val="none"/>
        </w:rPr>
        <w:t>投标人：（盖单位章）</w:t>
      </w:r>
    </w:p>
    <w:p>
      <w:pPr>
        <w:spacing w:line="20" w:lineRule="exact"/>
        <w:rPr>
          <w:rFonts w:ascii="宋体" w:hAnsi="宋体" w:cs="宋体"/>
          <w:highlight w:val="none"/>
        </w:rPr>
      </w:pPr>
      <w:r>
        <w:rPr>
          <w:rFonts w:ascii="宋体" w:hAnsi="宋体" w:cs="宋体"/>
          <w:highlight w:val="none"/>
        </w:rPr>
        <mc:AlternateContent>
          <mc:Choice Requires="wps">
            <w:drawing>
              <wp:anchor distT="0" distB="0" distL="114300" distR="114300" simplePos="0" relativeHeight="251662336"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2932430" cy="0"/>
                        </a:xfrm>
                        <a:prstGeom prst="line">
                          <a:avLst/>
                        </a:prstGeom>
                        <a:noFill/>
                        <a:ln w="6095">
                          <a:solidFill>
                            <a:srgbClr val="000000"/>
                          </a:solidFill>
                          <a:round/>
                        </a:ln>
                        <a:effectLst/>
                      </wps:spPr>
                      <wps:bodyPr/>
                    </wps:wsp>
                  </a:graphicData>
                </a:graphic>
              </wp:anchor>
            </w:drawing>
          </mc:Choice>
          <mc:Fallback>
            <w:pict>
              <v:line id="_x0000_s1026" o:spid="_x0000_s1026" o:spt="20" style="position:absolute;left:0pt;margin-left:130.2pt;margin-top:-0.45pt;height:0pt;width:230.9pt;z-index:-251654144;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jLRc0wAA&#10;AAcBAAAPAAAAAAAAAAEAIAAAACIAAABkcnMvZG93bnJldi54bWxQSwECFAAUAAAACACHTuJAusjr&#10;qOoBAAC6AwAADgAAAAAAAAABACAAAAAiAQAAZHJzL2Uyb0RvYy54bWxQSwUGAAAAAAYABgBZAQAA&#10;fgUAAAAA&#10;">
                <v:fill on="f" focussize="0,0"/>
                <v:stroke weight="0.47992125984252pt" color="#000000" joinstyle="round"/>
                <v:imagedata o:title=""/>
                <o:lock v:ext="edit" aspectratio="f"/>
              </v:line>
            </w:pict>
          </mc:Fallback>
        </mc:AlternateContent>
      </w:r>
    </w:p>
    <w:p>
      <w:pPr>
        <w:spacing w:line="205" w:lineRule="exact"/>
        <w:rPr>
          <w:rFonts w:ascii="宋体" w:hAnsi="宋体" w:cs="宋体"/>
          <w:highlight w:val="none"/>
        </w:rPr>
      </w:pPr>
    </w:p>
    <w:p>
      <w:pPr>
        <w:tabs>
          <w:tab w:val="left" w:pos="5840"/>
        </w:tabs>
        <w:spacing w:line="320" w:lineRule="exact"/>
        <w:rPr>
          <w:rFonts w:ascii="宋体" w:hAnsi="宋体" w:cs="宋体"/>
          <w:sz w:val="28"/>
          <w:highlight w:val="none"/>
        </w:rPr>
      </w:pPr>
      <w:r>
        <w:rPr>
          <w:rFonts w:hint="eastAsia" w:ascii="宋体" w:hAnsi="宋体" w:cs="宋体"/>
          <w:sz w:val="28"/>
          <w:highlight w:val="none"/>
        </w:rPr>
        <w:t xml:space="preserve">法定代表人或其被授权人：（签字或盖章）      </w:t>
      </w:r>
    </w:p>
    <w:p>
      <w:pPr>
        <w:spacing w:line="20" w:lineRule="exact"/>
        <w:rPr>
          <w:rFonts w:ascii="宋体" w:hAnsi="宋体" w:cs="宋体"/>
          <w:highlight w:val="none"/>
        </w:rPr>
      </w:pPr>
      <w:r>
        <w:rPr>
          <w:rFonts w:ascii="宋体" w:hAnsi="宋体" w:cs="宋体"/>
          <w:highlight w:val="none"/>
        </w:rPr>
        <mc:AlternateContent>
          <mc:Choice Requires="wps">
            <w:drawing>
              <wp:anchor distT="0" distB="0" distL="114300" distR="114300" simplePos="0" relativeHeight="251663360" behindDoc="1" locked="0" layoutInCell="0" allowOverlap="1">
                <wp:simplePos x="0" y="0"/>
                <wp:positionH relativeFrom="column">
                  <wp:posOffset>3252470</wp:posOffset>
                </wp:positionH>
                <wp:positionV relativeFrom="paragraph">
                  <wp:posOffset>-5715</wp:posOffset>
                </wp:positionV>
                <wp:extent cx="466725" cy="0"/>
                <wp:effectExtent l="0" t="4445" r="0" b="508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6">
                          <a:solidFill>
                            <a:srgbClr val="000000"/>
                          </a:solidFill>
                          <a:round/>
                        </a:ln>
                        <a:effectLst/>
                      </wps:spPr>
                      <wps:bodyPr/>
                    </wps:wsp>
                  </a:graphicData>
                </a:graphic>
              </wp:anchor>
            </w:drawing>
          </mc:Choice>
          <mc:Fallback>
            <w:pict>
              <v:line id="_x0000_s1026" o:spid="_x0000_s1026" o:spt="20" style="position:absolute;left:0pt;margin-left:256.1pt;margin-top:-0.45pt;height:0pt;width:36.75pt;z-index:-251653120;mso-width-relative:page;mso-height-relative:page;" filled="f" stroked="t" coordsize="21600,21600" o:allowincell="f" o:gfxdata="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U5IKLW&#10;AAAABwEAAA8AAAAAAAAAAQAgAAAAIgAAAGRycy9kb3ducmV2LnhtbFBLAQIUABQAAAAIAIdO4kBl&#10;1nNG6QEAALkDAAAOAAAAAAAAAAEAIAAAACUBAABkcnMvZTJvRG9jLnhtbFBLBQYAAAAABgAGAFkB&#10;AACABQAAAAA=&#10;">
                <v:fill on="f" focussize="0,0"/>
                <v:stroke weight="0.48pt" color="#000000" joinstyle="round"/>
                <v:imagedata o:title=""/>
                <o:lock v:ext="edit" aspectratio="f"/>
              </v:line>
            </w:pict>
          </mc:Fallback>
        </mc:AlternateContent>
      </w:r>
    </w:p>
    <w:p>
      <w:pPr>
        <w:spacing w:line="200" w:lineRule="exact"/>
        <w:rPr>
          <w:rFonts w:ascii="宋体" w:hAnsi="宋体" w:cs="宋体"/>
          <w:highlight w:val="none"/>
        </w:rPr>
      </w:pPr>
    </w:p>
    <w:p>
      <w:pPr>
        <w:tabs>
          <w:tab w:val="left" w:pos="4880"/>
          <w:tab w:val="left" w:pos="5900"/>
        </w:tabs>
        <w:spacing w:line="320" w:lineRule="exact"/>
        <w:rPr>
          <w:rFonts w:ascii="宋体" w:hAnsi="宋体" w:cs="宋体"/>
          <w:highlight w:val="none"/>
        </w:rPr>
      </w:pPr>
      <w:r>
        <w:rPr>
          <w:rFonts w:hint="eastAsia" w:ascii="宋体" w:hAnsi="宋体" w:cs="宋体"/>
          <w:sz w:val="28"/>
          <w:highlight w:val="none"/>
        </w:rPr>
        <w:t>年   月   日</w:t>
      </w:r>
    </w:p>
    <w:p>
      <w:pPr>
        <w:spacing w:line="225" w:lineRule="exact"/>
        <w:rPr>
          <w:rFonts w:ascii="宋体" w:hAnsi="宋体" w:cs="宋体"/>
          <w:highlight w:val="none"/>
        </w:rPr>
      </w:pPr>
    </w:p>
    <w:p>
      <w:pPr>
        <w:spacing w:line="0" w:lineRule="atLeast"/>
        <w:jc w:val="center"/>
        <w:rPr>
          <w:rFonts w:ascii="宋体" w:hAnsi="宋体" w:cs="宋体"/>
          <w:sz w:val="18"/>
          <w:highlight w:val="none"/>
        </w:rPr>
        <w:sectPr>
          <w:pgSz w:w="11907" w:h="16839"/>
          <w:pgMar w:top="1440" w:right="1440" w:bottom="1418" w:left="1440" w:header="0" w:footer="736" w:gutter="0"/>
          <w:cols w:space="720" w:num="1"/>
          <w:docGrid w:linePitch="360" w:charSpace="0"/>
        </w:sectPr>
      </w:pPr>
    </w:p>
    <w:p>
      <w:pPr>
        <w:spacing w:line="1" w:lineRule="exact"/>
        <w:rPr>
          <w:rFonts w:ascii="宋体" w:hAnsi="宋体" w:cs="宋体"/>
          <w:highlight w:val="none"/>
        </w:rPr>
      </w:pPr>
    </w:p>
    <w:p>
      <w:pPr>
        <w:spacing w:line="366" w:lineRule="exact"/>
        <w:jc w:val="center"/>
        <w:rPr>
          <w:rFonts w:ascii="宋体" w:hAnsi="宋体" w:cs="宋体"/>
          <w:b/>
          <w:sz w:val="36"/>
          <w:highlight w:val="none"/>
        </w:rPr>
      </w:pPr>
      <w:r>
        <w:rPr>
          <w:rFonts w:hint="eastAsia" w:ascii="宋体" w:hAnsi="宋体" w:cs="宋体"/>
          <w:b/>
          <w:sz w:val="36"/>
          <w:highlight w:val="none"/>
        </w:rPr>
        <w:t>目 录</w:t>
      </w:r>
    </w:p>
    <w:p>
      <w:pPr>
        <w:spacing w:line="360" w:lineRule="auto"/>
        <w:rPr>
          <w:rFonts w:ascii="宋体" w:hAnsi="宋体" w:cs="宋体"/>
          <w:sz w:val="24"/>
          <w:highlight w:val="none"/>
        </w:rPr>
      </w:pPr>
      <w:bookmarkStart w:id="439" w:name="_Toc7039"/>
      <w:bookmarkStart w:id="440" w:name="_Toc352691655"/>
      <w:bookmarkStart w:id="441" w:name="_Toc369531691"/>
    </w:p>
    <w:p>
      <w:pPr>
        <w:spacing w:line="360" w:lineRule="auto"/>
        <w:rPr>
          <w:rFonts w:ascii="宋体" w:hAnsi="宋体" w:cs="宋体"/>
          <w:sz w:val="24"/>
          <w:highlight w:val="none"/>
        </w:rPr>
      </w:pPr>
      <w:r>
        <w:rPr>
          <w:rFonts w:hint="eastAsia" w:ascii="宋体" w:hAnsi="宋体" w:cs="宋体"/>
          <w:sz w:val="24"/>
          <w:highlight w:val="none"/>
        </w:rPr>
        <w:t>一、投标函及其附录</w:t>
      </w:r>
    </w:p>
    <w:p>
      <w:pPr>
        <w:spacing w:line="360" w:lineRule="auto"/>
        <w:rPr>
          <w:rFonts w:ascii="宋体" w:hAnsi="宋体" w:cs="宋体"/>
          <w:sz w:val="24"/>
          <w:highlight w:val="none"/>
        </w:rPr>
      </w:pPr>
      <w:r>
        <w:rPr>
          <w:rFonts w:hint="eastAsia" w:ascii="宋体" w:hAnsi="宋体" w:cs="宋体"/>
          <w:sz w:val="24"/>
          <w:highlight w:val="none"/>
        </w:rPr>
        <w:t>二、法定代表人身份证明（适用于无委托代理人的情况）、授权委托书（适用于有委托代理人的情况）</w:t>
      </w:r>
    </w:p>
    <w:p>
      <w:pPr>
        <w:spacing w:line="360" w:lineRule="auto"/>
        <w:rPr>
          <w:rFonts w:ascii="宋体" w:hAnsi="宋体" w:cs="宋体"/>
          <w:sz w:val="24"/>
          <w:highlight w:val="none"/>
        </w:rPr>
      </w:pPr>
      <w:r>
        <w:rPr>
          <w:rFonts w:hint="eastAsia" w:ascii="宋体" w:hAnsi="宋体" w:cs="宋体"/>
          <w:sz w:val="24"/>
          <w:highlight w:val="none"/>
        </w:rPr>
        <w:t>三、投标报价表</w:t>
      </w:r>
    </w:p>
    <w:p>
      <w:pPr>
        <w:spacing w:line="360" w:lineRule="auto"/>
        <w:rPr>
          <w:rFonts w:ascii="宋体" w:hAnsi="宋体" w:cs="宋体"/>
          <w:sz w:val="24"/>
          <w:highlight w:val="none"/>
        </w:rPr>
      </w:pPr>
      <w:r>
        <w:rPr>
          <w:rFonts w:hint="eastAsia" w:ascii="宋体" w:hAnsi="宋体" w:cs="宋体"/>
          <w:sz w:val="24"/>
          <w:highlight w:val="none"/>
        </w:rPr>
        <w:t>四、资格审查资料</w:t>
      </w:r>
    </w:p>
    <w:p>
      <w:pPr>
        <w:spacing w:line="360" w:lineRule="auto"/>
        <w:rPr>
          <w:rFonts w:ascii="宋体" w:hAnsi="宋体" w:cs="宋体"/>
          <w:sz w:val="24"/>
          <w:highlight w:val="none"/>
        </w:rPr>
      </w:pPr>
      <w:r>
        <w:rPr>
          <w:rFonts w:hint="eastAsia" w:ascii="宋体" w:hAnsi="宋体" w:cs="宋体"/>
          <w:sz w:val="24"/>
          <w:highlight w:val="none"/>
        </w:rPr>
        <w:t>五、企业资信业绩证明资料</w:t>
      </w:r>
    </w:p>
    <w:p>
      <w:pPr>
        <w:spacing w:line="360" w:lineRule="auto"/>
        <w:rPr>
          <w:rFonts w:ascii="宋体" w:hAnsi="宋体" w:cs="宋体"/>
          <w:sz w:val="24"/>
          <w:highlight w:val="none"/>
        </w:rPr>
      </w:pPr>
      <w:r>
        <w:rPr>
          <w:rFonts w:hint="eastAsia" w:ascii="宋体" w:hAnsi="宋体" w:cs="宋体"/>
          <w:sz w:val="24"/>
          <w:highlight w:val="none"/>
        </w:rPr>
        <w:t>六、检测方案</w:t>
      </w:r>
    </w:p>
    <w:p>
      <w:pPr>
        <w:spacing w:line="360" w:lineRule="auto"/>
        <w:rPr>
          <w:rFonts w:ascii="宋体" w:hAnsi="宋体" w:cs="宋体"/>
          <w:sz w:val="24"/>
          <w:highlight w:val="none"/>
        </w:rPr>
      </w:pPr>
      <w:r>
        <w:rPr>
          <w:rFonts w:hint="eastAsia" w:ascii="宋体" w:hAnsi="宋体" w:cs="宋体"/>
          <w:sz w:val="24"/>
          <w:highlight w:val="none"/>
        </w:rPr>
        <w:t>七、技术响应承诺书</w:t>
      </w:r>
    </w:p>
    <w:p>
      <w:pPr>
        <w:widowControl/>
        <w:spacing w:line="360" w:lineRule="auto"/>
        <w:jc w:val="left"/>
        <w:rPr>
          <w:rFonts w:ascii="宋体" w:hAnsi="宋体" w:cs="宋体"/>
          <w:sz w:val="20"/>
          <w:highlight w:val="none"/>
        </w:rPr>
      </w:pPr>
      <w:r>
        <w:rPr>
          <w:rFonts w:hint="eastAsia" w:ascii="宋体" w:hAnsi="宋体" w:cs="宋体"/>
          <w:sz w:val="24"/>
          <w:highlight w:val="none"/>
        </w:rPr>
        <w:t>八、其他资料（投标人认为需提交的其他资料）。</w:t>
      </w:r>
      <w:r>
        <w:rPr>
          <w:rFonts w:hint="eastAsia" w:ascii="宋体" w:hAnsi="宋体" w:cs="宋体"/>
          <w:sz w:val="20"/>
          <w:highlight w:val="none"/>
        </w:rPr>
        <w:br w:type="page"/>
      </w:r>
    </w:p>
    <w:bookmarkEnd w:id="439"/>
    <w:bookmarkEnd w:id="440"/>
    <w:bookmarkEnd w:id="441"/>
    <w:p>
      <w:pPr>
        <w:pStyle w:val="3"/>
        <w:spacing w:line="360" w:lineRule="auto"/>
        <w:rPr>
          <w:rFonts w:ascii="宋体" w:hAnsi="宋体" w:eastAsia="宋体" w:cs="宋体"/>
          <w:sz w:val="30"/>
          <w:szCs w:val="30"/>
          <w:highlight w:val="none"/>
        </w:rPr>
      </w:pPr>
      <w:bookmarkStart w:id="442" w:name="_Toc530470642"/>
      <w:bookmarkStart w:id="443" w:name="_Toc529196600"/>
      <w:bookmarkStart w:id="444" w:name="_Toc535938751"/>
      <w:bookmarkStart w:id="445" w:name="_Toc102997645"/>
      <w:r>
        <w:rPr>
          <w:rFonts w:hint="eastAsia" w:ascii="宋体" w:hAnsi="宋体" w:eastAsia="宋体" w:cs="宋体"/>
          <w:sz w:val="30"/>
          <w:szCs w:val="30"/>
          <w:highlight w:val="none"/>
        </w:rPr>
        <w:t>一、投标</w:t>
      </w:r>
      <w:bookmarkStart w:id="446" w:name="_Toc352691656"/>
      <w:bookmarkStart w:id="447" w:name="_Toc369531692"/>
      <w:bookmarkStart w:id="448" w:name="_Toc6931"/>
      <w:r>
        <w:rPr>
          <w:rFonts w:hint="eastAsia" w:ascii="宋体" w:hAnsi="宋体" w:eastAsia="宋体" w:cs="宋体"/>
          <w:sz w:val="30"/>
          <w:szCs w:val="30"/>
          <w:highlight w:val="none"/>
        </w:rPr>
        <w:t>函及其附录</w:t>
      </w:r>
      <w:bookmarkEnd w:id="442"/>
      <w:bookmarkEnd w:id="443"/>
      <w:bookmarkEnd w:id="444"/>
      <w:bookmarkEnd w:id="445"/>
    </w:p>
    <w:bookmarkEnd w:id="446"/>
    <w:bookmarkEnd w:id="447"/>
    <w:bookmarkEnd w:id="448"/>
    <w:p>
      <w:pPr>
        <w:spacing w:line="360" w:lineRule="auto"/>
        <w:jc w:val="center"/>
        <w:rPr>
          <w:rFonts w:ascii="宋体" w:hAnsi="宋体" w:cs="宋体"/>
          <w:b/>
          <w:sz w:val="32"/>
          <w:szCs w:val="32"/>
          <w:highlight w:val="none"/>
        </w:rPr>
      </w:pPr>
      <w:bookmarkStart w:id="449" w:name="_Toc370676426"/>
      <w:bookmarkStart w:id="450" w:name="_Toc535938752"/>
      <w:bookmarkStart w:id="451" w:name="_Toc482188651"/>
      <w:bookmarkStart w:id="452" w:name="_Toc359594235"/>
      <w:bookmarkStart w:id="453" w:name="_Toc529196601"/>
      <w:bookmarkStart w:id="454" w:name="_Toc385943065"/>
      <w:bookmarkStart w:id="455" w:name="_Toc391394111"/>
      <w:bookmarkStart w:id="456" w:name="_Toc530470643"/>
      <w:r>
        <w:rPr>
          <w:rFonts w:hint="eastAsia" w:ascii="宋体" w:hAnsi="宋体" w:cs="宋体"/>
          <w:b/>
          <w:sz w:val="32"/>
          <w:szCs w:val="32"/>
          <w:highlight w:val="none"/>
        </w:rPr>
        <w:t>投标函及其附录</w:t>
      </w:r>
    </w:p>
    <w:p>
      <w:pPr>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致：</w:t>
      </w:r>
      <w:r>
        <w:rPr>
          <w:rFonts w:hint="eastAsia" w:ascii="宋体" w:hAnsi="宋体" w:cs="宋体"/>
          <w:sz w:val="24"/>
          <w:szCs w:val="24"/>
          <w:highlight w:val="none"/>
          <w:u w:val="single"/>
        </w:rPr>
        <w:t>广东省人民医院</w:t>
      </w:r>
    </w:p>
    <w:p>
      <w:pPr>
        <w:tabs>
          <w:tab w:val="left" w:pos="0"/>
          <w:tab w:val="left" w:pos="180"/>
        </w:tabs>
        <w:adjustRightInd w:val="0"/>
        <w:snapToGrid w:val="0"/>
        <w:spacing w:line="360" w:lineRule="auto"/>
        <w:ind w:firstLine="566" w:firstLineChars="236"/>
        <w:rPr>
          <w:rFonts w:ascii="宋体" w:hAnsi="宋体" w:cs="宋体"/>
          <w:sz w:val="24"/>
          <w:szCs w:val="21"/>
          <w:highlight w:val="none"/>
        </w:rPr>
      </w:pPr>
      <w:r>
        <w:rPr>
          <w:rFonts w:hint="eastAsia" w:ascii="宋体" w:hAnsi="宋体" w:cs="宋体"/>
          <w:sz w:val="24"/>
          <w:szCs w:val="21"/>
          <w:highlight w:val="none"/>
        </w:rPr>
        <w:t>经考察现场并研究贵单位提供的有关资料后，我单位愿以：总报价¥元（大写：），并按招标文件和合同规定的工期，完成</w:t>
      </w:r>
      <w:r>
        <w:rPr>
          <w:rFonts w:hint="eastAsia" w:ascii="宋体" w:hAnsi="宋体" w:cs="宋体"/>
          <w:sz w:val="24"/>
          <w:szCs w:val="21"/>
          <w:highlight w:val="none"/>
          <w:u w:val="single"/>
        </w:rPr>
        <w:t xml:space="preserve">      项目名称  </w:t>
      </w:r>
      <w:r>
        <w:rPr>
          <w:rFonts w:hint="eastAsia" w:ascii="宋体" w:hAnsi="宋体" w:cs="宋体"/>
          <w:sz w:val="24"/>
          <w:szCs w:val="21"/>
          <w:highlight w:val="none"/>
        </w:rPr>
        <w:t>的全部工作内容。</w:t>
      </w:r>
    </w:p>
    <w:p>
      <w:pPr>
        <w:tabs>
          <w:tab w:val="left" w:pos="0"/>
          <w:tab w:val="left" w:pos="180"/>
        </w:tabs>
        <w:adjustRightInd w:val="0"/>
        <w:snapToGrid w:val="0"/>
        <w:spacing w:line="360" w:lineRule="auto"/>
        <w:ind w:firstLine="566" w:firstLineChars="236"/>
        <w:rPr>
          <w:rFonts w:ascii="宋体" w:hAnsi="宋体" w:cs="宋体"/>
          <w:sz w:val="24"/>
          <w:szCs w:val="21"/>
          <w:highlight w:val="none"/>
        </w:rPr>
      </w:pPr>
      <w:r>
        <w:rPr>
          <w:rFonts w:hint="eastAsia" w:ascii="宋体" w:hAnsi="宋体" w:cs="宋体"/>
          <w:kern w:val="0"/>
          <w:sz w:val="24"/>
          <w:szCs w:val="21"/>
          <w:highlight w:val="none"/>
        </w:rPr>
        <w:t>我方完全愿意接受本项目招标文件中的合同条款，如我方中标，我们将在招标人要求的时间内签订技术服务合同。</w:t>
      </w:r>
    </w:p>
    <w:p>
      <w:pPr>
        <w:tabs>
          <w:tab w:val="left" w:pos="0"/>
          <w:tab w:val="left" w:pos="180"/>
        </w:tabs>
        <w:adjustRightInd w:val="0"/>
        <w:snapToGrid w:val="0"/>
        <w:spacing w:line="360" w:lineRule="auto"/>
        <w:ind w:firstLine="566" w:firstLineChars="236"/>
        <w:rPr>
          <w:rFonts w:ascii="宋体" w:hAnsi="宋体" w:cs="宋体"/>
          <w:sz w:val="24"/>
          <w:szCs w:val="21"/>
          <w:highlight w:val="none"/>
        </w:rPr>
      </w:pPr>
      <w:r>
        <w:rPr>
          <w:rFonts w:hint="eastAsia" w:ascii="宋体" w:hAnsi="宋体" w:cs="宋体"/>
          <w:sz w:val="24"/>
          <w:szCs w:val="21"/>
          <w:highlight w:val="none"/>
        </w:rPr>
        <w:t>我单位承诺，如果我单位中标，我单位保证在接到委托人开工指令后，按承诺工期完成并交付合同规定的全部工作内容；若委托人在工程实施过程中根据项目实际需要提出增加</w:t>
      </w:r>
      <w:r>
        <w:rPr>
          <w:rFonts w:hint="eastAsia" w:ascii="宋体" w:hAnsi="宋体" w:cs="宋体"/>
          <w:snapToGrid w:val="0"/>
          <w:kern w:val="28"/>
          <w:sz w:val="24"/>
          <w:szCs w:val="21"/>
          <w:highlight w:val="none"/>
        </w:rPr>
        <w:t>检测</w:t>
      </w:r>
      <w:r>
        <w:rPr>
          <w:rFonts w:hint="eastAsia" w:ascii="宋体" w:hAnsi="宋体" w:cs="宋体"/>
          <w:sz w:val="24"/>
          <w:szCs w:val="21"/>
          <w:highlight w:val="none"/>
        </w:rPr>
        <w:t>工作（包括增加</w:t>
      </w:r>
      <w:r>
        <w:rPr>
          <w:rFonts w:hint="eastAsia" w:ascii="宋体" w:hAnsi="宋体" w:cs="宋体"/>
          <w:snapToGrid w:val="0"/>
          <w:kern w:val="28"/>
          <w:sz w:val="24"/>
          <w:szCs w:val="21"/>
          <w:highlight w:val="none"/>
        </w:rPr>
        <w:t>检测</w:t>
      </w:r>
      <w:r>
        <w:rPr>
          <w:rFonts w:hint="eastAsia" w:ascii="宋体" w:hAnsi="宋体" w:cs="宋体"/>
          <w:sz w:val="24"/>
          <w:szCs w:val="21"/>
          <w:highlight w:val="none"/>
        </w:rPr>
        <w:t>项目等）的指令，我单位将无条件按委托人要求开展相关工作。</w:t>
      </w:r>
    </w:p>
    <w:p>
      <w:pPr>
        <w:tabs>
          <w:tab w:val="left" w:pos="0"/>
          <w:tab w:val="left" w:pos="180"/>
        </w:tabs>
        <w:adjustRightInd w:val="0"/>
        <w:snapToGrid w:val="0"/>
        <w:spacing w:line="360" w:lineRule="auto"/>
        <w:ind w:firstLine="566" w:firstLineChars="236"/>
        <w:rPr>
          <w:rFonts w:ascii="宋体" w:hAnsi="宋体" w:cs="宋体"/>
          <w:sz w:val="24"/>
          <w:szCs w:val="21"/>
          <w:highlight w:val="none"/>
        </w:rPr>
      </w:pPr>
      <w:r>
        <w:rPr>
          <w:rFonts w:hint="eastAsia" w:ascii="宋体" w:hAnsi="宋体" w:cs="宋体"/>
          <w:sz w:val="24"/>
          <w:szCs w:val="21"/>
          <w:highlight w:val="none"/>
        </w:rPr>
        <w:t>我单位承诺，如果我单位中标，我单位将按本投标文件的承诺为上述工作投入足够的设备、仪器、软件以及项目管理人员和技术人员等，并按要求驻场服务。</w:t>
      </w:r>
    </w:p>
    <w:p>
      <w:pPr>
        <w:tabs>
          <w:tab w:val="left" w:pos="0"/>
          <w:tab w:val="left" w:pos="180"/>
        </w:tabs>
        <w:adjustRightInd w:val="0"/>
        <w:snapToGrid w:val="0"/>
        <w:spacing w:line="360" w:lineRule="auto"/>
        <w:ind w:firstLine="566" w:firstLineChars="236"/>
        <w:rPr>
          <w:rFonts w:ascii="宋体" w:hAnsi="宋体" w:cs="宋体"/>
          <w:sz w:val="24"/>
          <w:szCs w:val="21"/>
          <w:highlight w:val="none"/>
        </w:rPr>
      </w:pPr>
      <w:r>
        <w:rPr>
          <w:rFonts w:hint="eastAsia" w:ascii="宋体" w:hAnsi="宋体" w:cs="宋体"/>
          <w:sz w:val="24"/>
          <w:szCs w:val="21"/>
          <w:highlight w:val="none"/>
        </w:rPr>
        <w:t>我单位同意在规定的投标有效期内严格遵守本投标书，本投标书对我单位始终有约束力，且随时接受中标。</w:t>
      </w:r>
    </w:p>
    <w:p>
      <w:pPr>
        <w:adjustRightInd w:val="0"/>
        <w:snapToGrid w:val="0"/>
        <w:spacing w:line="360" w:lineRule="auto"/>
        <w:ind w:firstLine="566" w:firstLineChars="236"/>
        <w:rPr>
          <w:rFonts w:ascii="宋体" w:hAnsi="宋体" w:cs="宋体"/>
          <w:sz w:val="24"/>
          <w:szCs w:val="21"/>
          <w:highlight w:val="none"/>
        </w:rPr>
      </w:pPr>
      <w:r>
        <w:rPr>
          <w:rFonts w:hint="eastAsia" w:ascii="宋体" w:hAnsi="宋体" w:cs="宋体"/>
          <w:sz w:val="24"/>
          <w:szCs w:val="21"/>
          <w:highlight w:val="none"/>
        </w:rPr>
        <w:t>我单位理解，贵单位不一定接受最低标价的投标或贵单位可能接受其他任何单位中标，同时也理解贵单位不负担我单位的任何投标费用。</w:t>
      </w:r>
    </w:p>
    <w:p>
      <w:pPr>
        <w:adjustRightInd w:val="0"/>
        <w:snapToGrid w:val="0"/>
        <w:spacing w:line="360" w:lineRule="auto"/>
        <w:ind w:firstLine="566" w:firstLineChars="236"/>
        <w:rPr>
          <w:rFonts w:ascii="宋体" w:hAnsi="宋体" w:cs="宋体"/>
          <w:sz w:val="24"/>
          <w:szCs w:val="21"/>
          <w:highlight w:val="none"/>
        </w:rPr>
      </w:pPr>
      <w:r>
        <w:rPr>
          <w:rFonts w:hint="eastAsia" w:ascii="宋体" w:hAnsi="宋体" w:cs="宋体"/>
          <w:sz w:val="24"/>
          <w:szCs w:val="21"/>
          <w:highlight w:val="none"/>
        </w:rPr>
        <w:t>我单位承诺，不存在第二章“投标人须知”第1.4.3项规定的任何一种情形。</w:t>
      </w:r>
    </w:p>
    <w:p>
      <w:pPr>
        <w:spacing w:line="360" w:lineRule="auto"/>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投标函附录：</w:t>
      </w:r>
    </w:p>
    <w:tbl>
      <w:tblPr>
        <w:tblStyle w:val="19"/>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7"/>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    目</w:t>
            </w:r>
          </w:p>
        </w:tc>
        <w:tc>
          <w:tcPr>
            <w:tcW w:w="528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服务周期</w:t>
            </w:r>
          </w:p>
        </w:tc>
        <w:tc>
          <w:tcPr>
            <w:tcW w:w="5283"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质量标准</w:t>
            </w:r>
          </w:p>
        </w:tc>
        <w:tc>
          <w:tcPr>
            <w:tcW w:w="5283"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7"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投标有效期</w:t>
            </w:r>
          </w:p>
        </w:tc>
        <w:tc>
          <w:tcPr>
            <w:tcW w:w="5283"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项目负责人</w:t>
            </w:r>
          </w:p>
        </w:tc>
        <w:tc>
          <w:tcPr>
            <w:tcW w:w="52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52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9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52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身份证号码：</w:t>
            </w:r>
          </w:p>
        </w:tc>
      </w:tr>
    </w:tbl>
    <w:p>
      <w:pPr>
        <w:widowControl/>
        <w:jc w:val="left"/>
        <w:rPr>
          <w:rFonts w:ascii="宋体" w:hAnsi="宋体" w:cs="宋体"/>
          <w:szCs w:val="20"/>
          <w:highlight w:val="none"/>
        </w:rPr>
      </w:pPr>
    </w:p>
    <w:bookmarkEnd w:id="449"/>
    <w:bookmarkEnd w:id="450"/>
    <w:bookmarkEnd w:id="451"/>
    <w:bookmarkEnd w:id="452"/>
    <w:bookmarkEnd w:id="453"/>
    <w:bookmarkEnd w:id="454"/>
    <w:bookmarkEnd w:id="455"/>
    <w:bookmarkEnd w:id="456"/>
    <w:p>
      <w:pPr>
        <w:rPr>
          <w:rFonts w:ascii="宋体" w:hAnsi="宋体" w:cs="宋体"/>
          <w:sz w:val="24"/>
          <w:szCs w:val="24"/>
          <w:highlight w:val="none"/>
        </w:rPr>
      </w:pPr>
      <w:bookmarkStart w:id="457" w:name="_Toc482188652"/>
      <w:bookmarkStart w:id="458" w:name="_Toc529196602"/>
      <w:bookmarkStart w:id="459" w:name="_Toc391394112"/>
      <w:bookmarkStart w:id="460" w:name="_Toc359594236"/>
      <w:bookmarkStart w:id="461" w:name="_Toc385943066"/>
      <w:bookmarkStart w:id="462" w:name="_Toc370676427"/>
      <w:bookmarkStart w:id="463" w:name="_Toc535938753"/>
      <w:bookmarkStart w:id="464" w:name="_Toc530470645"/>
      <w:bookmarkStart w:id="465" w:name="_Toc361508752"/>
      <w:bookmarkStart w:id="466" w:name="_Toc369531697"/>
      <w:bookmarkStart w:id="467" w:name="_Toc352691661"/>
      <w:bookmarkStart w:id="468" w:name="_Toc152042576"/>
      <w:bookmarkStart w:id="469" w:name="_Toc300835209"/>
      <w:bookmarkStart w:id="470" w:name="_Toc384308375"/>
      <w:bookmarkStart w:id="471" w:name="_Toc247527827"/>
      <w:bookmarkStart w:id="472" w:name="_Toc152045787"/>
      <w:bookmarkStart w:id="473" w:name="_Toc247514246"/>
      <w:bookmarkStart w:id="474" w:name="_Toc144974856"/>
      <w:bookmarkStart w:id="475" w:name="_Toc17960"/>
    </w:p>
    <w:p>
      <w:pPr>
        <w:spacing w:line="360" w:lineRule="auto"/>
        <w:rPr>
          <w:rFonts w:ascii="宋体" w:hAnsi="宋体" w:cs="宋体"/>
          <w:sz w:val="24"/>
          <w:highlight w:val="none"/>
        </w:rPr>
      </w:pPr>
      <w:r>
        <w:rPr>
          <w:rFonts w:hint="eastAsia" w:ascii="宋体" w:hAnsi="宋体" w:cs="宋体"/>
          <w:sz w:val="24"/>
          <w:highlight w:val="none"/>
        </w:rPr>
        <w:t>投标人（公章）：</w:t>
      </w:r>
    </w:p>
    <w:p>
      <w:pPr>
        <w:spacing w:line="360" w:lineRule="auto"/>
        <w:rPr>
          <w:rFonts w:ascii="宋体" w:hAnsi="宋体" w:cs="宋体"/>
          <w:sz w:val="24"/>
          <w:highlight w:val="none"/>
          <w:u w:val="single"/>
        </w:rPr>
      </w:pPr>
      <w:r>
        <w:rPr>
          <w:rFonts w:hint="eastAsia" w:ascii="宋体" w:hAnsi="宋体" w:cs="宋体"/>
          <w:sz w:val="24"/>
          <w:highlight w:val="none"/>
        </w:rPr>
        <w:t>法定代表人（签字或盖章或签章）：</w:t>
      </w:r>
    </w:p>
    <w:p>
      <w:pPr>
        <w:spacing w:line="360" w:lineRule="auto"/>
        <w:jc w:val="left"/>
        <w:rPr>
          <w:rFonts w:ascii="宋体" w:hAnsi="宋体" w:cs="宋体"/>
          <w:szCs w:val="21"/>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年   月   日</w:t>
      </w:r>
    </w:p>
    <w:p>
      <w:pPr>
        <w:pStyle w:val="4"/>
        <w:spacing w:line="480" w:lineRule="auto"/>
        <w:rPr>
          <w:rFonts w:ascii="宋体" w:hAnsi="宋体" w:cs="宋体"/>
          <w:sz w:val="30"/>
          <w:szCs w:val="30"/>
          <w:highlight w:val="none"/>
        </w:rPr>
      </w:pPr>
      <w:r>
        <w:rPr>
          <w:rFonts w:hint="eastAsia" w:ascii="宋体" w:hAnsi="宋体" w:cs="宋体"/>
          <w:highlight w:val="none"/>
        </w:rPr>
        <w:br w:type="page"/>
      </w:r>
      <w:bookmarkEnd w:id="457"/>
      <w:bookmarkEnd w:id="458"/>
      <w:bookmarkEnd w:id="459"/>
      <w:bookmarkEnd w:id="460"/>
      <w:bookmarkEnd w:id="461"/>
      <w:bookmarkEnd w:id="462"/>
      <w:bookmarkEnd w:id="463"/>
      <w:bookmarkEnd w:id="464"/>
      <w:bookmarkStart w:id="476" w:name="_Toc529196603"/>
      <w:bookmarkStart w:id="477" w:name="_Toc530470646"/>
      <w:bookmarkStart w:id="478" w:name="_Toc102997646"/>
      <w:bookmarkStart w:id="479" w:name="_Toc535938754"/>
      <w:r>
        <w:rPr>
          <w:rFonts w:hint="eastAsia" w:ascii="宋体" w:hAnsi="宋体" w:cs="宋体"/>
          <w:sz w:val="30"/>
          <w:szCs w:val="30"/>
          <w:highlight w:val="none"/>
        </w:rPr>
        <w:t>二</w:t>
      </w:r>
      <w:bookmarkEnd w:id="465"/>
      <w:bookmarkEnd w:id="466"/>
      <w:bookmarkEnd w:id="467"/>
      <w:bookmarkEnd w:id="468"/>
      <w:bookmarkEnd w:id="469"/>
      <w:bookmarkEnd w:id="470"/>
      <w:bookmarkEnd w:id="471"/>
      <w:bookmarkEnd w:id="472"/>
      <w:bookmarkEnd w:id="473"/>
      <w:bookmarkEnd w:id="474"/>
      <w:bookmarkEnd w:id="475"/>
      <w:r>
        <w:rPr>
          <w:rFonts w:hint="eastAsia" w:ascii="宋体" w:hAnsi="宋体" w:cs="宋体"/>
          <w:sz w:val="30"/>
          <w:szCs w:val="30"/>
          <w:highlight w:val="none"/>
        </w:rPr>
        <w:t>、法定代表人身份证明或授权委托书（格式可自定）</w:t>
      </w:r>
      <w:bookmarkEnd w:id="476"/>
      <w:bookmarkEnd w:id="477"/>
      <w:bookmarkEnd w:id="478"/>
      <w:bookmarkEnd w:id="479"/>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法定代表人身份证明</w:t>
      </w:r>
    </w:p>
    <w:p>
      <w:pPr>
        <w:spacing w:line="440" w:lineRule="exact"/>
        <w:rPr>
          <w:rFonts w:ascii="宋体" w:hAnsi="宋体" w:cs="宋体"/>
          <w:sz w:val="24"/>
          <w:highlight w:val="none"/>
        </w:rPr>
      </w:pPr>
      <w:r>
        <w:rPr>
          <w:rFonts w:hint="eastAsia" w:ascii="宋体" w:hAnsi="宋体" w:cs="宋体"/>
          <w:sz w:val="24"/>
          <w:highlight w:val="none"/>
        </w:rPr>
        <w:t>投标人名称：</w:t>
      </w:r>
    </w:p>
    <w:p>
      <w:pPr>
        <w:spacing w:line="440" w:lineRule="exact"/>
        <w:rPr>
          <w:rFonts w:ascii="宋体" w:hAnsi="宋体" w:cs="宋体"/>
          <w:sz w:val="24"/>
          <w:highlight w:val="none"/>
        </w:rPr>
      </w:pPr>
      <w:r>
        <w:rPr>
          <w:rFonts w:hint="eastAsia" w:ascii="宋体" w:hAnsi="宋体" w:cs="宋体"/>
          <w:sz w:val="24"/>
          <w:highlight w:val="none"/>
        </w:rPr>
        <w:t>姓名：性别：</w:t>
      </w:r>
      <w:bookmarkStart w:id="480" w:name="_Toc27897"/>
      <w:bookmarkStart w:id="481" w:name="_Toc369531698"/>
      <w:bookmarkStart w:id="482" w:name="_Toc352691662"/>
      <w:r>
        <w:rPr>
          <w:rFonts w:hint="eastAsia" w:ascii="宋体" w:hAnsi="宋体" w:cs="宋体"/>
          <w:sz w:val="24"/>
          <w:highlight w:val="none"/>
        </w:rPr>
        <w:t>年</w:t>
      </w:r>
      <w:bookmarkEnd w:id="480"/>
      <w:bookmarkEnd w:id="481"/>
      <w:bookmarkEnd w:id="482"/>
      <w:r>
        <w:rPr>
          <w:rFonts w:hint="eastAsia" w:ascii="宋体" w:hAnsi="宋体" w:cs="宋体"/>
          <w:sz w:val="24"/>
          <w:highlight w:val="none"/>
        </w:rPr>
        <w:t>龄</w:t>
      </w:r>
      <w:bookmarkStart w:id="483" w:name="_Toc384308377"/>
      <w:bookmarkStart w:id="484" w:name="_Toc15573"/>
      <w:bookmarkStart w:id="485" w:name="_Toc152045789"/>
      <w:bookmarkStart w:id="486" w:name="_Toc144974858"/>
      <w:bookmarkStart w:id="487" w:name="_Toc300835211"/>
      <w:bookmarkStart w:id="488" w:name="_Toc247514248"/>
      <w:bookmarkStart w:id="489" w:name="_Toc152042578"/>
      <w:bookmarkStart w:id="490" w:name="_Toc352691663"/>
      <w:bookmarkStart w:id="491" w:name="_Toc361508754"/>
      <w:bookmarkStart w:id="492" w:name="_Toc247527829"/>
      <w:bookmarkStart w:id="493" w:name="_Toc369531699"/>
      <w:r>
        <w:rPr>
          <w:rFonts w:hint="eastAsia" w:ascii="宋体" w:hAnsi="宋体" w:cs="宋体"/>
          <w:sz w:val="24"/>
          <w:highlight w:val="none"/>
        </w:rPr>
        <w:t>：</w:t>
      </w:r>
      <w:bookmarkEnd w:id="483"/>
      <w:bookmarkEnd w:id="484"/>
      <w:bookmarkEnd w:id="485"/>
      <w:bookmarkEnd w:id="486"/>
      <w:bookmarkEnd w:id="487"/>
      <w:bookmarkEnd w:id="488"/>
      <w:bookmarkEnd w:id="489"/>
      <w:bookmarkEnd w:id="490"/>
      <w:bookmarkEnd w:id="491"/>
      <w:bookmarkEnd w:id="492"/>
      <w:bookmarkEnd w:id="493"/>
      <w:r>
        <w:rPr>
          <w:rFonts w:hint="eastAsia" w:ascii="宋体" w:hAnsi="宋体" w:cs="宋体"/>
          <w:sz w:val="24"/>
          <w:highlight w:val="none"/>
        </w:rPr>
        <w:t>职务：</w:t>
      </w:r>
    </w:p>
    <w:p>
      <w:pPr>
        <w:spacing w:line="440" w:lineRule="exact"/>
        <w:rPr>
          <w:rFonts w:ascii="宋体" w:hAnsi="宋体" w:cs="宋体"/>
          <w:sz w:val="24"/>
          <w:highlight w:val="none"/>
        </w:rPr>
      </w:pPr>
      <w:r>
        <w:rPr>
          <w:rFonts w:hint="eastAsia" w:ascii="宋体" w:hAnsi="宋体" w:cs="宋体"/>
          <w:sz w:val="24"/>
          <w:highlight w:val="none"/>
        </w:rPr>
        <w:t>系（投标人名称）的法定代表人。</w:t>
      </w:r>
    </w:p>
    <w:p>
      <w:pPr>
        <w:spacing w:line="440" w:lineRule="exact"/>
        <w:rPr>
          <w:rFonts w:ascii="宋体" w:hAnsi="宋体" w:cs="宋体"/>
          <w:sz w:val="24"/>
          <w:highlight w:val="none"/>
        </w:rPr>
      </w:pPr>
      <w:r>
        <w:rPr>
          <w:rFonts w:hint="eastAsia" w:ascii="宋体" w:hAnsi="宋体" w:cs="宋体"/>
          <w:sz w:val="24"/>
          <w:highlight w:val="none"/>
        </w:rPr>
        <w:t>特此证明。</w:t>
      </w: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附：法定代表人身份证扫描件。</w:t>
      </w: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注：本身份证明需由投标人加盖单位公章。</w:t>
      </w:r>
    </w:p>
    <w:p>
      <w:pPr>
        <w:spacing w:line="440" w:lineRule="exact"/>
        <w:rPr>
          <w:rFonts w:ascii="宋体" w:hAnsi="宋体" w:cs="宋体"/>
          <w:sz w:val="24"/>
          <w:highlight w:val="none"/>
        </w:rPr>
      </w:pPr>
    </w:p>
    <w:p>
      <w:pPr>
        <w:spacing w:line="440" w:lineRule="exact"/>
        <w:rPr>
          <w:rFonts w:ascii="宋体" w:hAnsi="宋体" w:cs="宋体"/>
          <w:sz w:val="24"/>
          <w:highlight w:val="none"/>
        </w:rPr>
      </w:pPr>
    </w:p>
    <w:p>
      <w:pPr>
        <w:spacing w:line="440" w:lineRule="exact"/>
        <w:jc w:val="center"/>
        <w:rPr>
          <w:rFonts w:ascii="宋体" w:hAnsi="宋体" w:cs="宋体"/>
          <w:sz w:val="24"/>
          <w:highlight w:val="none"/>
        </w:rPr>
      </w:pPr>
      <w:r>
        <w:rPr>
          <w:rFonts w:hint="eastAsia" w:ascii="宋体" w:hAnsi="宋体" w:cs="宋体"/>
          <w:sz w:val="24"/>
          <w:highlight w:val="none"/>
        </w:rPr>
        <w:t xml:space="preserve">                              投标人：</w:t>
      </w:r>
      <w:r>
        <w:rPr>
          <w:rFonts w:hint="eastAsia" w:ascii="宋体" w:hAnsi="宋体" w:cs="宋体"/>
          <w:sz w:val="24"/>
          <w:highlight w:val="none"/>
          <w:u w:val="single"/>
        </w:rPr>
        <w:tab/>
      </w:r>
      <w:r>
        <w:rPr>
          <w:rFonts w:hint="eastAsia" w:ascii="宋体" w:hAnsi="宋体" w:cs="宋体"/>
          <w:sz w:val="24"/>
          <w:highlight w:val="none"/>
        </w:rPr>
        <w:t>（盖单位章）</w:t>
      </w:r>
    </w:p>
    <w:p>
      <w:pPr>
        <w:spacing w:line="440" w:lineRule="exact"/>
        <w:rPr>
          <w:rFonts w:ascii="宋体" w:hAnsi="宋体" w:cs="宋体"/>
          <w:sz w:val="24"/>
          <w:highlight w:val="none"/>
        </w:rPr>
      </w:pPr>
    </w:p>
    <w:p>
      <w:pPr>
        <w:spacing w:line="440" w:lineRule="exact"/>
        <w:ind w:firstLine="4560" w:firstLineChars="1900"/>
        <w:rPr>
          <w:rFonts w:ascii="宋体" w:hAnsi="宋体" w:cs="宋体"/>
          <w:sz w:val="24"/>
          <w:highlight w:val="none"/>
        </w:rPr>
      </w:pPr>
      <w:r>
        <w:rPr>
          <w:rFonts w:hint="eastAsia" w:ascii="宋体" w:hAnsi="宋体" w:cs="宋体"/>
          <w:sz w:val="24"/>
          <w:highlight w:val="none"/>
        </w:rPr>
        <w:t>年月日</w:t>
      </w:r>
    </w:p>
    <w:p>
      <w:pPr>
        <w:spacing w:line="440" w:lineRule="exact"/>
        <w:rPr>
          <w:rFonts w:ascii="宋体" w:hAnsi="宋体" w:cs="宋体"/>
          <w:sz w:val="24"/>
          <w:highlight w:val="none"/>
        </w:rPr>
      </w:pPr>
    </w:p>
    <w:p>
      <w:pPr>
        <w:spacing w:line="360" w:lineRule="auto"/>
        <w:jc w:val="center"/>
        <w:rPr>
          <w:rFonts w:ascii="宋体" w:hAnsi="宋体" w:cs="宋体"/>
          <w:b/>
          <w:sz w:val="28"/>
          <w:szCs w:val="28"/>
          <w:highlight w:val="none"/>
        </w:rPr>
      </w:pPr>
      <w:bookmarkStart w:id="494" w:name="_Toc529196604"/>
      <w:bookmarkStart w:id="495" w:name="_Toc530470647"/>
      <w:r>
        <w:rPr>
          <w:rFonts w:hint="eastAsia" w:ascii="宋体" w:hAnsi="宋体" w:cs="宋体"/>
          <w:b/>
          <w:bCs/>
          <w:sz w:val="20"/>
          <w:highlight w:val="none"/>
        </w:rPr>
        <w:br w:type="page"/>
      </w:r>
      <w:bookmarkEnd w:id="494"/>
      <w:bookmarkEnd w:id="495"/>
      <w:bookmarkStart w:id="496" w:name="_Toc535938755"/>
      <w:bookmarkEnd w:id="496"/>
      <w:r>
        <w:rPr>
          <w:rFonts w:hint="eastAsia" w:ascii="宋体" w:hAnsi="宋体" w:cs="宋体"/>
          <w:b/>
          <w:sz w:val="28"/>
          <w:szCs w:val="28"/>
          <w:highlight w:val="none"/>
        </w:rPr>
        <w:t>授权委托书</w:t>
      </w:r>
    </w:p>
    <w:p>
      <w:pPr>
        <w:topLinePunct/>
        <w:spacing w:line="440" w:lineRule="exact"/>
        <w:ind w:firstLine="424" w:firstLineChars="177"/>
        <w:rPr>
          <w:rFonts w:ascii="宋体" w:hAnsi="宋体" w:cs="宋体"/>
          <w:sz w:val="24"/>
          <w:highlight w:val="none"/>
        </w:rPr>
      </w:pPr>
      <w:r>
        <w:rPr>
          <w:rFonts w:hint="eastAsia" w:ascii="宋体" w:hAnsi="宋体" w:cs="宋体"/>
          <w:sz w:val="24"/>
          <w:highlight w:val="none"/>
        </w:rPr>
        <w:t>本人（姓名）系（投标人名称）的法定代表人，现委托（姓名）为我方代理人。代理人根据授权，以我方名义签署、澄清确认、递交、撤回、修改招标项目投标文件、签订合同和处理有关事宜，其法律后果由我方承担。</w:t>
      </w:r>
    </w:p>
    <w:p>
      <w:pPr>
        <w:spacing w:line="440" w:lineRule="exact"/>
        <w:ind w:firstLine="283" w:firstLineChars="118"/>
        <w:rPr>
          <w:rFonts w:ascii="宋体" w:hAnsi="宋体" w:cs="宋体"/>
          <w:sz w:val="24"/>
          <w:highlight w:val="none"/>
        </w:rPr>
      </w:pPr>
      <w:r>
        <w:rPr>
          <w:rFonts w:hint="eastAsia" w:ascii="宋体" w:hAnsi="宋体" w:cs="宋体"/>
          <w:sz w:val="24"/>
          <w:highlight w:val="none"/>
        </w:rPr>
        <w:t>委托期限：。</w:t>
      </w:r>
    </w:p>
    <w:p>
      <w:pPr>
        <w:spacing w:line="440" w:lineRule="exact"/>
        <w:rPr>
          <w:rFonts w:ascii="宋体" w:hAnsi="宋体" w:cs="宋体"/>
          <w:sz w:val="24"/>
          <w:highlight w:val="none"/>
        </w:rPr>
      </w:pPr>
      <w:r>
        <w:rPr>
          <w:rFonts w:hint="eastAsia" w:ascii="宋体" w:hAnsi="宋体" w:cs="宋体"/>
          <w:sz w:val="24"/>
          <w:highlight w:val="none"/>
        </w:rPr>
        <w:t>代理人无转委托权。</w:t>
      </w: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附：法定代表人身份证扫描件及委托代理人身份证扫描件</w:t>
      </w: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注：本授权委托书需由投标人加盖单位公章并由其法定代表人和委托代理人签字。</w:t>
      </w: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（盖单位章）</w:t>
      </w: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（签字）</w:t>
      </w: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p>
    <w:p>
      <w:pPr>
        <w:spacing w:line="440" w:lineRule="exact"/>
        <w:rPr>
          <w:rFonts w:ascii="宋体" w:hAnsi="宋体" w:cs="宋体"/>
          <w:sz w:val="24"/>
          <w:highlight w:val="none"/>
        </w:rPr>
      </w:pPr>
    </w:p>
    <w:p>
      <w:pPr>
        <w:spacing w:line="440" w:lineRule="exac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rPr>
        <w:t>（签字）</w:t>
      </w:r>
    </w:p>
    <w:p>
      <w:pPr>
        <w:spacing w:line="440" w:lineRule="exact"/>
        <w:rPr>
          <w:rFonts w:ascii="宋体" w:hAnsi="宋体" w:cs="宋体"/>
          <w:sz w:val="24"/>
          <w:highlight w:val="none"/>
        </w:rPr>
      </w:pPr>
    </w:p>
    <w:p>
      <w:pPr>
        <w:spacing w:line="440" w:lineRule="exact"/>
        <w:rPr>
          <w:rFonts w:ascii="宋体" w:hAnsi="宋体" w:cs="宋体"/>
          <w:highlight w:val="none"/>
        </w:rPr>
      </w:pPr>
      <w:r>
        <w:rPr>
          <w:rFonts w:hint="eastAsia" w:ascii="宋体" w:hAnsi="宋体" w:cs="宋体"/>
          <w:sz w:val="24"/>
          <w:highlight w:val="none"/>
        </w:rPr>
        <w:t>身份证号码：</w:t>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r>
        <w:rPr>
          <w:rFonts w:hint="eastAsia" w:ascii="宋体" w:hAnsi="宋体" w:cs="宋体"/>
          <w:sz w:val="24"/>
          <w:highlight w:val="none"/>
          <w:u w:val="single"/>
        </w:rPr>
        <w:tab/>
      </w:r>
    </w:p>
    <w:p>
      <w:pPr>
        <w:spacing w:line="440" w:lineRule="exact"/>
        <w:rPr>
          <w:rFonts w:ascii="宋体" w:hAnsi="宋体" w:cs="宋体"/>
          <w:highlight w:val="none"/>
        </w:rPr>
      </w:pPr>
    </w:p>
    <w:p>
      <w:pPr>
        <w:spacing w:line="440" w:lineRule="exact"/>
        <w:jc w:val="right"/>
        <w:rPr>
          <w:rFonts w:ascii="宋体" w:hAnsi="宋体" w:cs="宋体"/>
          <w:highlight w:val="none"/>
        </w:rPr>
      </w:pPr>
      <w:r>
        <w:rPr>
          <w:rFonts w:hint="eastAsia" w:ascii="宋体" w:hAnsi="宋体" w:cs="宋体"/>
          <w:highlight w:val="none"/>
        </w:rPr>
        <w:t>年月日</w:t>
      </w:r>
    </w:p>
    <w:p>
      <w:pPr>
        <w:spacing w:line="440" w:lineRule="exact"/>
        <w:jc w:val="right"/>
        <w:rPr>
          <w:rFonts w:ascii="宋体" w:hAnsi="宋体" w:cs="宋体"/>
          <w:highlight w:val="none"/>
        </w:rPr>
      </w:pPr>
    </w:p>
    <w:p>
      <w:pPr>
        <w:pStyle w:val="3"/>
        <w:adjustRightInd w:val="0"/>
        <w:snapToGrid w:val="0"/>
        <w:spacing w:before="0" w:after="0" w:line="360" w:lineRule="auto"/>
        <w:rPr>
          <w:rFonts w:ascii="宋体" w:hAnsi="宋体" w:eastAsia="宋体" w:cs="宋体"/>
          <w:sz w:val="30"/>
          <w:szCs w:val="30"/>
          <w:highlight w:val="none"/>
        </w:rPr>
      </w:pPr>
      <w:r>
        <w:rPr>
          <w:rFonts w:hint="eastAsia" w:ascii="宋体" w:hAnsi="宋体" w:eastAsia="宋体" w:cs="宋体"/>
          <w:highlight w:val="none"/>
        </w:rPr>
        <w:br w:type="page"/>
      </w:r>
      <w:bookmarkStart w:id="497" w:name="_Toc529196605"/>
      <w:bookmarkEnd w:id="497"/>
      <w:bookmarkStart w:id="498" w:name="_Toc535938756"/>
      <w:bookmarkEnd w:id="498"/>
      <w:bookmarkStart w:id="499" w:name="_Toc530470648"/>
      <w:bookmarkEnd w:id="499"/>
      <w:bookmarkStart w:id="500" w:name="_Toc529196606"/>
      <w:bookmarkStart w:id="501" w:name="_Toc530470649"/>
      <w:bookmarkStart w:id="502" w:name="_Toc535938757"/>
      <w:bookmarkStart w:id="503" w:name="_Toc102997647"/>
      <w:r>
        <w:rPr>
          <w:rFonts w:hint="eastAsia" w:ascii="宋体" w:hAnsi="宋体" w:eastAsia="宋体" w:cs="宋体"/>
          <w:sz w:val="30"/>
          <w:szCs w:val="30"/>
          <w:highlight w:val="none"/>
        </w:rPr>
        <w:t>三、</w:t>
      </w:r>
      <w:bookmarkEnd w:id="500"/>
      <w:bookmarkEnd w:id="501"/>
      <w:bookmarkEnd w:id="502"/>
      <w:r>
        <w:rPr>
          <w:rFonts w:hint="eastAsia" w:ascii="宋体" w:hAnsi="宋体" w:eastAsia="宋体" w:cs="宋体"/>
          <w:sz w:val="30"/>
          <w:szCs w:val="30"/>
          <w:highlight w:val="none"/>
        </w:rPr>
        <w:t>投标报价表</w:t>
      </w:r>
      <w:bookmarkEnd w:id="503"/>
    </w:p>
    <w:p>
      <w:pPr>
        <w:spacing w:line="360" w:lineRule="auto"/>
        <w:jc w:val="center"/>
        <w:rPr>
          <w:rFonts w:ascii="宋体" w:hAnsi="宋体" w:cs="宋体"/>
          <w:b/>
          <w:sz w:val="28"/>
          <w:szCs w:val="28"/>
          <w:highlight w:val="none"/>
        </w:rPr>
      </w:pPr>
      <w:bookmarkStart w:id="504" w:name="_Toc361508760"/>
      <w:r>
        <w:rPr>
          <w:rFonts w:hint="eastAsia" w:ascii="宋体" w:hAnsi="宋体" w:cs="宋体"/>
          <w:b/>
          <w:sz w:val="28"/>
          <w:szCs w:val="28"/>
          <w:highlight w:val="none"/>
        </w:rPr>
        <w:t>投标报价表</w:t>
      </w:r>
    </w:p>
    <w:p>
      <w:pPr>
        <w:spacing w:line="360" w:lineRule="auto"/>
        <w:rPr>
          <w:rFonts w:ascii="宋体" w:hAnsi="宋体" w:cs="宋体"/>
          <w:sz w:val="24"/>
          <w:szCs w:val="24"/>
          <w:highlight w:val="none"/>
          <w:u w:val="single"/>
        </w:rPr>
      </w:pPr>
      <w:r>
        <w:rPr>
          <w:rFonts w:hint="eastAsia" w:ascii="宋体" w:hAnsi="宋体" w:cs="宋体"/>
          <w:sz w:val="24"/>
          <w:szCs w:val="24"/>
          <w:highlight w:val="none"/>
        </w:rPr>
        <w:t>项目名称：</w:t>
      </w:r>
      <w:r>
        <w:rPr>
          <w:rFonts w:hint="eastAsia" w:ascii="宋体" w:hAnsi="宋体" w:cs="宋体"/>
          <w:sz w:val="24"/>
          <w:szCs w:val="24"/>
          <w:highlight w:val="none"/>
          <w:u w:val="single"/>
        </w:rPr>
        <w:t>广东省人民医院白云院区项目第三方检测监测服务</w:t>
      </w:r>
    </w:p>
    <w:tbl>
      <w:tblPr>
        <w:tblStyle w:val="19"/>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3450"/>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472" w:type="dxa"/>
            <w:vAlign w:val="center"/>
          </w:tcPr>
          <w:p>
            <w:pPr>
              <w:widowControl/>
              <w:jc w:val="center"/>
              <w:textAlignment w:val="auto"/>
              <w:rPr>
                <w:rFonts w:ascii="宋体" w:hAnsi="宋体" w:cs="宋体"/>
                <w:kern w:val="0"/>
                <w:sz w:val="24"/>
                <w:szCs w:val="24"/>
                <w:highlight w:val="none"/>
              </w:rPr>
            </w:pPr>
            <w:r>
              <w:rPr>
                <w:rFonts w:hint="eastAsia" w:ascii="宋体" w:hAnsi="宋体" w:cs="宋体"/>
                <w:b/>
                <w:sz w:val="24"/>
                <w:szCs w:val="24"/>
                <w:highlight w:val="none"/>
              </w:rPr>
              <w:t>投标下浮率</w:t>
            </w:r>
          </w:p>
        </w:tc>
        <w:tc>
          <w:tcPr>
            <w:tcW w:w="3450" w:type="dxa"/>
            <w:vAlign w:val="center"/>
          </w:tcPr>
          <w:p>
            <w:pPr>
              <w:widowControl/>
              <w:tabs>
                <w:tab w:val="left" w:pos="1620"/>
                <w:tab w:val="left" w:pos="1800"/>
                <w:tab w:val="left" w:pos="2520"/>
              </w:tabs>
              <w:jc w:val="center"/>
              <w:textAlignment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lang w:val="en-US" w:eastAsia="zh-CN"/>
              </w:rPr>
              <w:t>%</w:t>
            </w:r>
          </w:p>
        </w:tc>
        <w:tc>
          <w:tcPr>
            <w:tcW w:w="2544" w:type="dxa"/>
            <w:vAlign w:val="center"/>
          </w:tcPr>
          <w:p>
            <w:pPr>
              <w:widowControl/>
              <w:tabs>
                <w:tab w:val="left" w:pos="1620"/>
                <w:tab w:val="left" w:pos="1800"/>
                <w:tab w:val="left" w:pos="2520"/>
              </w:tabs>
              <w:jc w:val="center"/>
              <w:textAlignment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exact"/>
        </w:trPr>
        <w:tc>
          <w:tcPr>
            <w:tcW w:w="2472" w:type="dxa"/>
            <w:vAlign w:val="center"/>
          </w:tcPr>
          <w:p>
            <w:pPr>
              <w:tabs>
                <w:tab w:val="left" w:pos="1620"/>
                <w:tab w:val="left" w:pos="1800"/>
                <w:tab w:val="left" w:pos="2520"/>
              </w:tabs>
              <w:snapToGrid w:val="0"/>
              <w:spacing w:before="120" w:beforeLines="50" w:after="120" w:line="360" w:lineRule="auto"/>
              <w:jc w:val="center"/>
              <w:rPr>
                <w:rFonts w:ascii="宋体" w:hAnsi="宋体" w:cs="宋体"/>
                <w:b/>
                <w:sz w:val="24"/>
                <w:szCs w:val="24"/>
                <w:highlight w:val="none"/>
              </w:rPr>
            </w:pPr>
            <w:r>
              <w:rPr>
                <w:rFonts w:hint="eastAsia" w:ascii="宋体" w:hAnsi="宋体" w:cs="宋体"/>
                <w:b/>
                <w:sz w:val="24"/>
                <w:szCs w:val="24"/>
                <w:highlight w:val="none"/>
              </w:rPr>
              <w:t>投标报价金额</w:t>
            </w:r>
          </w:p>
        </w:tc>
        <w:tc>
          <w:tcPr>
            <w:tcW w:w="3450" w:type="dxa"/>
            <w:vAlign w:val="center"/>
          </w:tcPr>
          <w:p>
            <w:pPr>
              <w:pStyle w:val="33"/>
              <w:rPr>
                <w:rFonts w:hint="default"/>
                <w:b w:val="0"/>
                <w:bCs w:val="0"/>
                <w:sz w:val="24"/>
                <w:szCs w:val="24"/>
                <w:highlight w:val="none"/>
                <w:lang w:val="en-US"/>
              </w:rPr>
            </w:pPr>
            <w:r>
              <w:rPr>
                <w:rFonts w:hint="eastAsia"/>
                <w:b w:val="0"/>
                <w:bCs w:val="0"/>
                <w:sz w:val="24"/>
                <w:szCs w:val="24"/>
                <w:highlight w:val="none"/>
              </w:rPr>
              <w:t>大写：人民币</w:t>
            </w:r>
            <w:r>
              <w:rPr>
                <w:rFonts w:hint="eastAsia" w:ascii="Arial" w:hAnsi="Arial" w:cs="Arial"/>
                <w:b w:val="0"/>
                <w:bCs w:val="0"/>
                <w:sz w:val="24"/>
                <w:szCs w:val="24"/>
                <w:highlight w:val="none"/>
                <w:u w:val="single"/>
                <w:lang w:val="en-US" w:eastAsia="zh-CN"/>
              </w:rPr>
              <w:t xml:space="preserve">            </w:t>
            </w:r>
          </w:p>
          <w:p>
            <w:pPr>
              <w:tabs>
                <w:tab w:val="left" w:pos="1620"/>
                <w:tab w:val="left" w:pos="1800"/>
                <w:tab w:val="left" w:pos="2520"/>
              </w:tabs>
              <w:snapToGrid w:val="0"/>
              <w:spacing w:before="120" w:beforeLines="50" w:after="120" w:line="360" w:lineRule="auto"/>
              <w:jc w:val="both"/>
              <w:rPr>
                <w:rFonts w:hint="eastAsia" w:ascii="宋体" w:hAnsi="宋体" w:cs="宋体"/>
                <w:b/>
                <w:sz w:val="24"/>
                <w:szCs w:val="24"/>
                <w:highlight w:val="none"/>
              </w:rPr>
            </w:pPr>
            <w:r>
              <w:rPr>
                <w:rFonts w:hint="eastAsia"/>
                <w:b w:val="0"/>
                <w:bCs w:val="0"/>
                <w:sz w:val="24"/>
                <w:szCs w:val="24"/>
                <w:highlight w:val="none"/>
              </w:rPr>
              <w:t>小写：</w:t>
            </w:r>
            <w:r>
              <w:rPr>
                <w:rFonts w:hint="default" w:ascii="Arial" w:hAnsi="Arial" w:cs="Arial"/>
                <w:b w:val="0"/>
                <w:bCs w:val="0"/>
                <w:sz w:val="24"/>
                <w:szCs w:val="24"/>
                <w:highlight w:val="none"/>
              </w:rPr>
              <w:t>¥</w:t>
            </w:r>
            <w:r>
              <w:rPr>
                <w:rFonts w:hint="eastAsia" w:ascii="Arial" w:hAnsi="Arial" w:cs="Arial"/>
                <w:b w:val="0"/>
                <w:bCs w:val="0"/>
                <w:sz w:val="24"/>
                <w:szCs w:val="24"/>
                <w:highlight w:val="none"/>
                <w:u w:val="single"/>
                <w:lang w:val="en-US" w:eastAsia="zh-CN"/>
              </w:rPr>
              <w:t xml:space="preserve">               </w:t>
            </w:r>
            <w:r>
              <w:rPr>
                <w:rFonts w:hint="eastAsia"/>
                <w:b w:val="0"/>
                <w:bCs w:val="0"/>
                <w:sz w:val="24"/>
                <w:szCs w:val="24"/>
                <w:highlight w:val="none"/>
              </w:rPr>
              <w:t>元。</w:t>
            </w:r>
          </w:p>
        </w:tc>
        <w:tc>
          <w:tcPr>
            <w:tcW w:w="2544" w:type="dxa"/>
            <w:vAlign w:val="center"/>
          </w:tcPr>
          <w:p>
            <w:pPr>
              <w:pStyle w:val="8"/>
              <w:tabs>
                <w:tab w:val="left" w:pos="1620"/>
                <w:tab w:val="left" w:pos="1800"/>
                <w:tab w:val="left" w:pos="2320"/>
              </w:tabs>
              <w:snapToGrid w:val="0"/>
              <w:spacing w:before="120" w:beforeLines="50" w:after="156" w:line="360" w:lineRule="auto"/>
              <w:ind w:left="0" w:leftChars="0" w:right="8" w:rightChars="0" w:firstLine="0"/>
              <w:jc w:val="center"/>
              <w:rPr>
                <w:rFonts w:ascii="宋体" w:hAnsi="宋体" w:cs="宋体"/>
                <w:b/>
                <w:sz w:val="24"/>
                <w:szCs w:val="24"/>
                <w:highlight w:val="none"/>
              </w:rPr>
            </w:pPr>
            <w:r>
              <w:rPr>
                <w:rFonts w:hint="eastAsia" w:ascii="宋体" w:hAnsi="宋体" w:eastAsia="宋体" w:cs="宋体"/>
                <w:sz w:val="24"/>
                <w:szCs w:val="24"/>
                <w:highlight w:val="none"/>
              </w:rPr>
              <w:t>投标报价=最高投标限价</w:t>
            </w:r>
            <w:r>
              <w:rPr>
                <w:rFonts w:hint="default" w:ascii="Arial" w:hAnsi="Arial" w:eastAsia="宋体" w:cs="Arial"/>
                <w:sz w:val="24"/>
                <w:szCs w:val="24"/>
                <w:highlight w:val="none"/>
              </w:rPr>
              <w:t>×</w:t>
            </w:r>
            <w:r>
              <w:rPr>
                <w:rFonts w:hint="eastAsia" w:ascii="宋体" w:hAnsi="宋体" w:eastAsia="宋体" w:cs="宋体"/>
                <w:sz w:val="24"/>
                <w:szCs w:val="24"/>
                <w:highlight w:val="none"/>
              </w:rPr>
              <w:t>(1-投标下浮率)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6" w:type="dxa"/>
            <w:gridSpan w:val="3"/>
            <w:vAlign w:val="center"/>
          </w:tcPr>
          <w:p>
            <w:pPr>
              <w:widowControl/>
              <w:tabs>
                <w:tab w:val="left" w:pos="1620"/>
                <w:tab w:val="left" w:pos="1800"/>
                <w:tab w:val="left" w:pos="2520"/>
              </w:tabs>
              <w:jc w:val="center"/>
              <w:textAlignment w:val="center"/>
              <w:rPr>
                <w:rFonts w:hint="eastAsia" w:ascii="宋体" w:hAnsi="宋体" w:cs="宋体"/>
                <w:sz w:val="24"/>
                <w:szCs w:val="24"/>
                <w:highlight w:val="none"/>
              </w:rPr>
            </w:pPr>
            <w:r>
              <w:rPr>
                <w:rFonts w:hint="eastAsia" w:ascii="宋体" w:hAnsi="宋体" w:cs="宋体"/>
                <w:b/>
                <w:sz w:val="24"/>
                <w:szCs w:val="24"/>
                <w:highlight w:val="none"/>
              </w:rPr>
              <w:t>备注</w:t>
            </w:r>
            <w:r>
              <w:rPr>
                <w:rFonts w:hint="eastAsia" w:ascii="宋体" w:hAnsi="宋体" w:cs="宋体"/>
                <w:b/>
                <w:sz w:val="24"/>
                <w:szCs w:val="24"/>
                <w:highlight w:val="none"/>
                <w:lang w:val="en-US" w:eastAsia="zh-CN"/>
              </w:rPr>
              <w:t>：</w:t>
            </w:r>
            <w:r>
              <w:rPr>
                <w:rFonts w:hint="eastAsia" w:ascii="宋体" w:hAnsi="宋体" w:cs="宋体"/>
                <w:sz w:val="24"/>
                <w:szCs w:val="24"/>
                <w:highlight w:val="none"/>
              </w:rPr>
              <w:t>投标报价不得超过最高投标限价。</w:t>
            </w:r>
          </w:p>
        </w:tc>
      </w:tr>
    </w:tbl>
    <w:p>
      <w:pPr>
        <w:adjustRightInd w:val="0"/>
        <w:snapToGrid w:val="0"/>
        <w:spacing w:before="120" w:beforeLines="50" w:line="360" w:lineRule="auto"/>
        <w:rPr>
          <w:rFonts w:ascii="宋体" w:hAnsi="宋体" w:cs="宋体"/>
          <w:sz w:val="24"/>
          <w:szCs w:val="24"/>
          <w:highlight w:val="none"/>
        </w:rPr>
      </w:pPr>
      <w:r>
        <w:rPr>
          <w:rFonts w:hint="eastAsia" w:ascii="宋体" w:hAnsi="宋体" w:cs="宋体"/>
          <w:sz w:val="24"/>
          <w:szCs w:val="24"/>
          <w:highlight w:val="none"/>
        </w:rPr>
        <w:t>说明：1、</w:t>
      </w:r>
      <w:r>
        <w:rPr>
          <w:rFonts w:hint="eastAsia" w:ascii="宋体" w:hAnsi="宋体" w:eastAsia="宋体" w:cs="宋体"/>
          <w:sz w:val="24"/>
          <w:szCs w:val="24"/>
          <w:highlight w:val="none"/>
        </w:rPr>
        <w:t>采用固定下浮率报价方式报价，并依据所报下浮率列明投标报价，以元为单位精确到小数点后2位。如下浮20%，填写</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20%。</w:t>
      </w:r>
    </w:p>
    <w:p>
      <w:pPr>
        <w:numPr>
          <w:ilvl w:val="0"/>
          <w:numId w:val="1"/>
        </w:numPr>
        <w:adjustRightInd w:val="0"/>
        <w:snapToGrid w:val="0"/>
        <w:spacing w:before="120" w:before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若所填报的投标报价没有根据“投标报价=最高投标限价</w:t>
      </w:r>
      <w:r>
        <w:rPr>
          <w:rFonts w:hint="default" w:ascii="Arial" w:hAnsi="Arial" w:eastAsia="宋体" w:cs="Arial"/>
          <w:sz w:val="24"/>
          <w:szCs w:val="24"/>
          <w:highlight w:val="none"/>
        </w:rPr>
        <w:t>×</w:t>
      </w:r>
      <w:r>
        <w:rPr>
          <w:rFonts w:hint="eastAsia" w:ascii="宋体" w:hAnsi="宋体" w:eastAsia="宋体" w:cs="宋体"/>
          <w:sz w:val="24"/>
          <w:szCs w:val="24"/>
          <w:highlight w:val="none"/>
        </w:rPr>
        <w:t>(1-投标下浮率)”公式计算的，则由评标专家按该</w:t>
      </w:r>
      <w:r>
        <w:rPr>
          <w:rFonts w:hint="eastAsia" w:ascii="宋体" w:hAnsi="宋体" w:cs="宋体"/>
          <w:sz w:val="24"/>
          <w:szCs w:val="24"/>
          <w:highlight w:val="none"/>
          <w:lang w:val="en-US" w:eastAsia="zh-CN"/>
        </w:rPr>
        <w:t>公式计算方式予以修正。</w:t>
      </w:r>
    </w:p>
    <w:p>
      <w:pPr>
        <w:numPr>
          <w:ilvl w:val="0"/>
          <w:numId w:val="1"/>
        </w:numPr>
        <w:adjustRightInd w:val="0"/>
        <w:snapToGrid w:val="0"/>
        <w:spacing w:before="120" w:before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bidi="ar"/>
        </w:rPr>
        <w:t>综合单价的计取应依据《关于印发〈广东省房屋建筑和市政工程质量安全检测收费指导价（第一批）〉、〈广东省既有房屋建筑安全性鉴定收费指导价〉的通知》（粤建检协〔2015〕8号）相适用的单价下浮40%后再乘以（1-投标下浮率）（投标下浮率＝1-投标报价/最高投标限价总价的百分比，下同）计算，上述计费文件没有的单价，按以下优先顺序参照《关于建筑工程质量检测收费问题的复函》（粤价函〔2004〕428号）、粤价函〔2012〕1490号文件、勘察设计收费标准〔2002〕10号文件相适用的单价下浮40%后再乘以（1-投标下浮率），上述计费文件均没有的单价，按由甲乙双方参照市场价格协商确定。最终结算以政府或甲方的终审部门审定为准，结算金额不得超过投标报价的10%，并不得超过概算批复的金额。</w:t>
      </w:r>
    </w:p>
    <w:p>
      <w:pPr>
        <w:numPr>
          <w:ilvl w:val="-1"/>
          <w:numId w:val="0"/>
        </w:numPr>
        <w:spacing w:line="360" w:lineRule="auto"/>
        <w:ind w:right="960"/>
        <w:jc w:val="left"/>
        <w:rPr>
          <w:rFonts w:hint="eastAsia" w:ascii="宋体" w:hAnsi="宋体" w:cs="宋体"/>
          <w:sz w:val="24"/>
          <w:szCs w:val="24"/>
          <w:highlight w:val="none"/>
        </w:rPr>
      </w:pPr>
    </w:p>
    <w:p>
      <w:pPr>
        <w:numPr>
          <w:ilvl w:val="-1"/>
          <w:numId w:val="0"/>
        </w:numPr>
        <w:spacing w:line="360" w:lineRule="auto"/>
        <w:ind w:right="960"/>
        <w:jc w:val="left"/>
        <w:rPr>
          <w:rFonts w:ascii="宋体" w:hAnsi="宋体" w:cs="宋体"/>
          <w:sz w:val="24"/>
          <w:szCs w:val="24"/>
          <w:highlight w:val="none"/>
        </w:rPr>
      </w:pPr>
      <w:r>
        <w:rPr>
          <w:rFonts w:hint="eastAsia" w:ascii="宋体" w:hAnsi="宋体" w:cs="宋体"/>
          <w:sz w:val="24"/>
          <w:szCs w:val="24"/>
          <w:highlight w:val="none"/>
        </w:rPr>
        <w:t>投标人（盖章）：</w:t>
      </w:r>
    </w:p>
    <w:p>
      <w:pPr>
        <w:spacing w:line="360" w:lineRule="auto"/>
        <w:jc w:val="left"/>
        <w:rPr>
          <w:rFonts w:ascii="宋体" w:hAnsi="宋体" w:cs="宋体"/>
          <w:sz w:val="24"/>
          <w:szCs w:val="24"/>
          <w:highlight w:val="none"/>
        </w:rPr>
      </w:pPr>
      <w:r>
        <w:rPr>
          <w:rFonts w:hint="eastAsia" w:ascii="宋体" w:hAnsi="宋体" w:cs="宋体"/>
          <w:spacing w:val="18"/>
          <w:sz w:val="24"/>
          <w:szCs w:val="24"/>
          <w:highlight w:val="none"/>
        </w:rPr>
        <w:t>法定代表人(或被授权人)签字或盖章</w:t>
      </w:r>
      <w:r>
        <w:rPr>
          <w:rFonts w:hint="eastAsia" w:ascii="宋体" w:hAnsi="宋体" w:cs="宋体"/>
          <w:sz w:val="24"/>
          <w:szCs w:val="24"/>
          <w:highlight w:val="none"/>
        </w:rPr>
        <w:t>：</w:t>
      </w:r>
    </w:p>
    <w:p>
      <w:pPr>
        <w:spacing w:line="360" w:lineRule="auto"/>
        <w:ind w:right="960"/>
        <w:jc w:val="left"/>
        <w:rPr>
          <w:rFonts w:ascii="宋体" w:hAnsi="宋体" w:cs="宋体"/>
          <w:sz w:val="24"/>
          <w:szCs w:val="24"/>
          <w:highlight w:val="none"/>
        </w:rPr>
        <w:sectPr>
          <w:footerReference r:id="rId9" w:type="default"/>
          <w:pgSz w:w="11906" w:h="16838"/>
          <w:pgMar w:top="1440" w:right="1797" w:bottom="1440" w:left="1797" w:header="851" w:footer="554" w:gutter="0"/>
          <w:cols w:space="720" w:num="1"/>
          <w:titlePg/>
          <w:docGrid w:linePitch="312" w:charSpace="0"/>
        </w:sectPr>
      </w:pPr>
      <w:r>
        <w:rPr>
          <w:rFonts w:hint="eastAsia" w:ascii="宋体" w:hAnsi="宋体" w:cs="宋体"/>
          <w:sz w:val="24"/>
          <w:szCs w:val="24"/>
          <w:highlight w:val="none"/>
        </w:rPr>
        <w:t>2023年  月  日</w:t>
      </w:r>
    </w:p>
    <w:p>
      <w:pPr>
        <w:pStyle w:val="3"/>
        <w:spacing w:line="600" w:lineRule="auto"/>
        <w:rPr>
          <w:rFonts w:ascii="宋体" w:hAnsi="宋体" w:eastAsia="宋体" w:cs="宋体"/>
          <w:sz w:val="30"/>
          <w:szCs w:val="30"/>
          <w:highlight w:val="none"/>
        </w:rPr>
      </w:pPr>
      <w:bookmarkStart w:id="505" w:name="_Toc102997650"/>
      <w:r>
        <w:rPr>
          <w:rFonts w:hint="eastAsia" w:ascii="宋体" w:hAnsi="宋体" w:eastAsia="宋体" w:cs="宋体"/>
          <w:sz w:val="24"/>
          <w:highlight w:val="none"/>
        </w:rPr>
        <w:t>四</w:t>
      </w:r>
      <w:r>
        <w:rPr>
          <w:rFonts w:hint="eastAsia" w:ascii="宋体" w:hAnsi="宋体" w:eastAsia="宋体" w:cs="宋体"/>
          <w:sz w:val="30"/>
          <w:szCs w:val="30"/>
          <w:highlight w:val="none"/>
        </w:rPr>
        <w:t>、资格审查资料</w:t>
      </w:r>
      <w:bookmarkEnd w:id="505"/>
    </w:p>
    <w:p>
      <w:pPr>
        <w:spacing w:line="360" w:lineRule="auto"/>
        <w:rPr>
          <w:rFonts w:ascii="宋体" w:hAnsi="宋体" w:cs="宋体"/>
          <w:highlight w:val="none"/>
        </w:rPr>
      </w:pPr>
      <w:bookmarkStart w:id="506" w:name="_Toc2154383"/>
      <w:bookmarkStart w:id="507" w:name="_Toc536042816"/>
      <w:r>
        <w:rPr>
          <w:rFonts w:hint="eastAsia" w:ascii="宋体" w:hAnsi="宋体" w:cs="宋体"/>
          <w:sz w:val="28"/>
          <w:szCs w:val="28"/>
          <w:highlight w:val="none"/>
        </w:rPr>
        <w:t>（一）</w:t>
      </w:r>
      <w:bookmarkEnd w:id="506"/>
      <w:bookmarkEnd w:id="507"/>
      <w:r>
        <w:rPr>
          <w:rFonts w:hint="eastAsia" w:ascii="宋体" w:hAnsi="宋体" w:cs="宋体"/>
          <w:sz w:val="28"/>
          <w:szCs w:val="28"/>
          <w:highlight w:val="none"/>
        </w:rPr>
        <w:t>事业单位登记管理部门核发的事业单位法人证书或工商行政</w:t>
      </w:r>
      <w:r>
        <w:rPr>
          <w:rFonts w:hint="eastAsia" w:ascii="宋体" w:hAnsi="宋体" w:cs="宋体"/>
          <w:sz w:val="28"/>
          <w:szCs w:val="28"/>
          <w:highlight w:val="none"/>
          <w:u w:val="single"/>
        </w:rPr>
        <w:t>（或市场监督）</w:t>
      </w:r>
      <w:r>
        <w:rPr>
          <w:rFonts w:hint="eastAsia" w:ascii="宋体" w:hAnsi="宋体" w:cs="宋体"/>
          <w:sz w:val="28"/>
          <w:szCs w:val="28"/>
          <w:highlight w:val="none"/>
        </w:rPr>
        <w:t>管理部门核发的企业法人营业执照</w:t>
      </w:r>
    </w:p>
    <w:p>
      <w:pPr>
        <w:snapToGrid w:val="0"/>
        <w:spacing w:line="276" w:lineRule="auto"/>
        <w:rPr>
          <w:rFonts w:ascii="宋体" w:hAnsi="宋体" w:cs="宋体"/>
          <w:sz w:val="28"/>
          <w:szCs w:val="28"/>
          <w:highlight w:val="none"/>
        </w:rPr>
      </w:pPr>
      <w:bookmarkStart w:id="508" w:name="_Toc536042817"/>
      <w:bookmarkStart w:id="509" w:name="_Toc2154384"/>
      <w:r>
        <w:rPr>
          <w:rFonts w:hint="eastAsia" w:ascii="宋体" w:hAnsi="宋体" w:cs="宋体"/>
          <w:b/>
          <w:sz w:val="28"/>
          <w:szCs w:val="28"/>
          <w:highlight w:val="none"/>
        </w:rPr>
        <w:br w:type="page"/>
      </w:r>
      <w:r>
        <w:rPr>
          <w:rFonts w:hint="eastAsia" w:ascii="宋体" w:hAnsi="宋体" w:cs="宋体"/>
          <w:sz w:val="28"/>
          <w:szCs w:val="28"/>
          <w:highlight w:val="none"/>
        </w:rPr>
        <w:t>（二）资质证书（检测、勘察）</w:t>
      </w:r>
    </w:p>
    <w:p>
      <w:pPr>
        <w:spacing w:line="360" w:lineRule="auto"/>
        <w:rPr>
          <w:rFonts w:ascii="宋体" w:hAnsi="宋体" w:cs="宋体"/>
          <w:sz w:val="28"/>
          <w:szCs w:val="28"/>
          <w:highlight w:val="none"/>
        </w:rPr>
      </w:pPr>
      <w:r>
        <w:rPr>
          <w:rFonts w:hint="eastAsia" w:ascii="宋体" w:hAnsi="宋体" w:cs="宋体"/>
          <w:b/>
          <w:sz w:val="28"/>
          <w:szCs w:val="28"/>
          <w:highlight w:val="none"/>
        </w:rPr>
        <w:br w:type="page"/>
      </w:r>
      <w:r>
        <w:rPr>
          <w:rFonts w:hint="eastAsia" w:ascii="宋体" w:hAnsi="宋体" w:cs="宋体"/>
          <w:sz w:val="28"/>
          <w:szCs w:val="28"/>
          <w:highlight w:val="none"/>
        </w:rPr>
        <w:t>（三）</w:t>
      </w:r>
      <w:bookmarkEnd w:id="508"/>
      <w:bookmarkEnd w:id="509"/>
      <w:r>
        <w:rPr>
          <w:rFonts w:hint="eastAsia" w:ascii="宋体" w:hAnsi="宋体" w:cs="宋体"/>
          <w:sz w:val="28"/>
          <w:szCs w:val="28"/>
          <w:highlight w:val="none"/>
        </w:rPr>
        <w:t>质量技术监督管理部门颁发的CMA计量认证合格证书（或CMA检验检测机构资质认定证书）</w:t>
      </w:r>
    </w:p>
    <w:p>
      <w:pPr>
        <w:rPr>
          <w:rFonts w:ascii="宋体" w:hAnsi="宋体" w:cs="宋体"/>
          <w:highlight w:val="none"/>
        </w:rPr>
      </w:pPr>
    </w:p>
    <w:p>
      <w:pPr>
        <w:rPr>
          <w:rFonts w:ascii="宋体" w:hAnsi="宋体" w:cs="宋体"/>
          <w:sz w:val="28"/>
          <w:szCs w:val="28"/>
          <w:highlight w:val="none"/>
        </w:rPr>
      </w:pPr>
      <w:bookmarkStart w:id="510" w:name="_Toc536042818"/>
      <w:bookmarkStart w:id="511" w:name="_Toc2154385"/>
      <w:r>
        <w:rPr>
          <w:rFonts w:hint="eastAsia" w:ascii="宋体" w:hAnsi="宋体" w:cs="宋体"/>
          <w:b/>
          <w:sz w:val="28"/>
          <w:szCs w:val="28"/>
          <w:highlight w:val="none"/>
        </w:rPr>
        <w:br w:type="page"/>
      </w:r>
      <w:r>
        <w:rPr>
          <w:rFonts w:hint="eastAsia" w:ascii="宋体" w:hAnsi="宋体" w:cs="宋体"/>
          <w:sz w:val="28"/>
          <w:szCs w:val="28"/>
          <w:highlight w:val="none"/>
        </w:rPr>
        <w:t>（四）项目负责人职称证</w:t>
      </w:r>
    </w:p>
    <w:p>
      <w:pPr>
        <w:rPr>
          <w:rFonts w:ascii="宋体" w:hAnsi="宋体" w:cs="宋体"/>
          <w:sz w:val="28"/>
          <w:szCs w:val="28"/>
          <w:highlight w:val="none"/>
        </w:rPr>
      </w:pPr>
      <w:r>
        <w:rPr>
          <w:rFonts w:hint="eastAsia" w:ascii="宋体" w:hAnsi="宋体" w:cs="宋体"/>
          <w:b/>
          <w:sz w:val="28"/>
          <w:szCs w:val="28"/>
          <w:highlight w:val="none"/>
        </w:rPr>
        <w:br w:type="page"/>
      </w:r>
      <w:r>
        <w:rPr>
          <w:rFonts w:hint="eastAsia" w:ascii="宋体" w:hAnsi="宋体" w:cs="宋体"/>
          <w:sz w:val="28"/>
          <w:szCs w:val="28"/>
          <w:highlight w:val="none"/>
        </w:rPr>
        <w:t>（五）投标人声明</w:t>
      </w:r>
      <w:bookmarkEnd w:id="510"/>
      <w:bookmarkEnd w:id="511"/>
      <w:r>
        <w:rPr>
          <w:rFonts w:hint="eastAsia" w:ascii="宋体" w:hAnsi="宋体" w:cs="宋体"/>
          <w:sz w:val="28"/>
          <w:szCs w:val="28"/>
          <w:highlight w:val="none"/>
        </w:rPr>
        <w:t>（按招标公告附件一提供）</w:t>
      </w:r>
    </w:p>
    <w:p>
      <w:pPr>
        <w:rPr>
          <w:rFonts w:ascii="宋体" w:hAnsi="宋体" w:cs="宋体"/>
          <w:sz w:val="28"/>
          <w:szCs w:val="28"/>
          <w:highlight w:val="none"/>
        </w:rPr>
      </w:pPr>
      <w:r>
        <w:rPr>
          <w:rFonts w:hint="eastAsia" w:ascii="宋体" w:hAnsi="宋体" w:cs="宋体"/>
          <w:b/>
          <w:sz w:val="28"/>
          <w:szCs w:val="28"/>
          <w:highlight w:val="none"/>
        </w:rPr>
        <w:br w:type="page"/>
      </w:r>
      <w:r>
        <w:rPr>
          <w:rFonts w:hint="eastAsia" w:ascii="宋体" w:hAnsi="宋体" w:cs="宋体"/>
          <w:sz w:val="28"/>
          <w:szCs w:val="28"/>
          <w:highlight w:val="none"/>
        </w:rPr>
        <w:t>（六）联合体协议书</w:t>
      </w:r>
    </w:p>
    <w:p>
      <w:pPr>
        <w:pStyle w:val="14"/>
        <w:wordWrap w:val="0"/>
        <w:snapToGrid w:val="0"/>
        <w:spacing w:line="360" w:lineRule="auto"/>
        <w:ind w:left="120" w:leftChars="57" w:firstLine="480" w:firstLineChars="200"/>
        <w:rPr>
          <w:rFonts w:ascii="宋体" w:hAnsi="宋体" w:cs="宋体"/>
          <w:highlight w:val="none"/>
        </w:rPr>
      </w:pPr>
      <w:r>
        <w:rPr>
          <w:rFonts w:hint="eastAsia" w:ascii="宋体" w:hAnsi="宋体" w:cs="宋体"/>
          <w:highlight w:val="none"/>
        </w:rPr>
        <w:t>（联合体牵头方）、（联合体成员）自愿组成联合体，参加投标。现就有关事宜订立协议如下：</w:t>
      </w:r>
    </w:p>
    <w:p>
      <w:pPr>
        <w:pStyle w:val="14"/>
        <w:wordWrap w:val="0"/>
        <w:snapToGrid w:val="0"/>
        <w:spacing w:line="360" w:lineRule="auto"/>
        <w:rPr>
          <w:rFonts w:ascii="宋体" w:hAnsi="宋体" w:cs="宋体"/>
          <w:highlight w:val="none"/>
        </w:rPr>
      </w:pPr>
      <w:r>
        <w:rPr>
          <w:rFonts w:hint="eastAsia" w:ascii="宋体" w:hAnsi="宋体" w:cs="宋体"/>
          <w:highlight w:val="none"/>
        </w:rPr>
        <w:t>1．为联合体牵头方,为联合体成员；</w:t>
      </w:r>
    </w:p>
    <w:p>
      <w:pPr>
        <w:pStyle w:val="14"/>
        <w:wordWrap w:val="0"/>
        <w:snapToGrid w:val="0"/>
        <w:spacing w:line="360" w:lineRule="auto"/>
        <w:rPr>
          <w:rFonts w:ascii="宋体" w:hAnsi="宋体" w:cs="宋体"/>
          <w:highlight w:val="none"/>
        </w:rPr>
      </w:pPr>
      <w:r>
        <w:rPr>
          <w:rFonts w:hint="eastAsia" w:ascii="宋体" w:hAnsi="宋体" w:cs="宋体"/>
          <w:highlight w:val="none"/>
        </w:rPr>
        <w:t>2．联合体内部有关事项规定如下：</w:t>
      </w:r>
    </w:p>
    <w:tbl>
      <w:tblPr>
        <w:tblStyle w:val="1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4521"/>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pct"/>
            <w:noWrap/>
            <w:vAlign w:val="center"/>
          </w:tcPr>
          <w:p>
            <w:pPr>
              <w:pStyle w:val="14"/>
              <w:wordWrap w:val="0"/>
              <w:snapToGrid w:val="0"/>
              <w:jc w:val="center"/>
              <w:rPr>
                <w:rFonts w:ascii="宋体" w:hAnsi="宋体" w:cs="宋体"/>
                <w:kern w:val="2"/>
                <w:highlight w:val="none"/>
              </w:rPr>
            </w:pPr>
            <w:r>
              <w:rPr>
                <w:rFonts w:hint="eastAsia" w:ascii="宋体" w:hAnsi="宋体" w:cs="宋体"/>
                <w:kern w:val="2"/>
                <w:highlight w:val="none"/>
              </w:rPr>
              <w:t>联合体投标人</w:t>
            </w:r>
          </w:p>
        </w:tc>
        <w:tc>
          <w:tcPr>
            <w:tcW w:w="2348" w:type="pct"/>
            <w:noWrap/>
            <w:vAlign w:val="center"/>
          </w:tcPr>
          <w:p>
            <w:pPr>
              <w:pStyle w:val="14"/>
              <w:wordWrap w:val="0"/>
              <w:snapToGrid w:val="0"/>
              <w:jc w:val="center"/>
              <w:rPr>
                <w:rFonts w:ascii="宋体" w:hAnsi="宋体" w:cs="宋体"/>
                <w:kern w:val="2"/>
                <w:highlight w:val="none"/>
              </w:rPr>
            </w:pPr>
            <w:r>
              <w:rPr>
                <w:rFonts w:hint="eastAsia" w:ascii="宋体" w:hAnsi="宋体" w:cs="宋体"/>
                <w:kern w:val="2"/>
                <w:highlight w:val="none"/>
              </w:rPr>
              <w:t>承担的工作内容</w:t>
            </w:r>
          </w:p>
        </w:tc>
        <w:tc>
          <w:tcPr>
            <w:tcW w:w="1441" w:type="pct"/>
            <w:noWrap/>
            <w:vAlign w:val="center"/>
          </w:tcPr>
          <w:p>
            <w:pPr>
              <w:pStyle w:val="14"/>
              <w:wordWrap w:val="0"/>
              <w:snapToGrid w:val="0"/>
              <w:jc w:val="center"/>
              <w:rPr>
                <w:rFonts w:ascii="宋体" w:hAnsi="宋体" w:cs="宋体"/>
                <w:kern w:val="2"/>
                <w:highlight w:val="none"/>
              </w:rPr>
            </w:pPr>
            <w:r>
              <w:rPr>
                <w:rFonts w:hint="eastAsia" w:ascii="宋体" w:hAnsi="宋体" w:cs="宋体"/>
                <w:kern w:val="2"/>
                <w:highlight w:val="none"/>
              </w:rPr>
              <w:t>具备的资质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0" w:type="pct"/>
            <w:noWrap/>
            <w:vAlign w:val="center"/>
          </w:tcPr>
          <w:p>
            <w:pPr>
              <w:pStyle w:val="14"/>
              <w:wordWrap w:val="0"/>
              <w:snapToGrid w:val="0"/>
              <w:jc w:val="center"/>
              <w:rPr>
                <w:rFonts w:ascii="宋体" w:hAnsi="宋体" w:cs="宋体"/>
                <w:kern w:val="2"/>
                <w:highlight w:val="none"/>
              </w:rPr>
            </w:pPr>
            <w:r>
              <w:rPr>
                <w:rFonts w:hint="eastAsia" w:ascii="宋体" w:hAnsi="宋体" w:cs="宋体"/>
                <w:kern w:val="2"/>
                <w:highlight w:val="none"/>
              </w:rPr>
              <w:t>联合体牵头方</w:t>
            </w:r>
          </w:p>
        </w:tc>
        <w:tc>
          <w:tcPr>
            <w:tcW w:w="2348" w:type="pct"/>
            <w:noWrap/>
            <w:vAlign w:val="center"/>
          </w:tcPr>
          <w:p>
            <w:pPr>
              <w:pStyle w:val="14"/>
              <w:wordWrap w:val="0"/>
              <w:snapToGrid w:val="0"/>
              <w:jc w:val="center"/>
              <w:rPr>
                <w:rFonts w:ascii="宋体" w:hAnsi="宋体" w:cs="宋体"/>
                <w:kern w:val="2"/>
                <w:highlight w:val="none"/>
              </w:rPr>
            </w:pPr>
          </w:p>
        </w:tc>
        <w:tc>
          <w:tcPr>
            <w:tcW w:w="1441" w:type="pct"/>
            <w:noWrap/>
            <w:vAlign w:val="center"/>
          </w:tcPr>
          <w:p>
            <w:pPr>
              <w:pStyle w:val="14"/>
              <w:wordWrap w:val="0"/>
              <w:snapToGrid w:val="0"/>
              <w:jc w:val="center"/>
              <w:rPr>
                <w:rFonts w:ascii="宋体" w:hAnsi="宋体" w:cs="宋体"/>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10" w:type="pct"/>
            <w:noWrap/>
            <w:vAlign w:val="center"/>
          </w:tcPr>
          <w:p>
            <w:pPr>
              <w:pStyle w:val="14"/>
              <w:wordWrap w:val="0"/>
              <w:snapToGrid w:val="0"/>
              <w:jc w:val="center"/>
              <w:rPr>
                <w:rFonts w:ascii="宋体" w:hAnsi="宋体" w:cs="宋体"/>
                <w:kern w:val="2"/>
                <w:highlight w:val="none"/>
              </w:rPr>
            </w:pPr>
            <w:r>
              <w:rPr>
                <w:rFonts w:hint="eastAsia" w:ascii="宋体" w:hAnsi="宋体" w:cs="宋体"/>
                <w:kern w:val="2"/>
                <w:highlight w:val="none"/>
              </w:rPr>
              <w:t>联合体成员方</w:t>
            </w:r>
          </w:p>
        </w:tc>
        <w:tc>
          <w:tcPr>
            <w:tcW w:w="2348" w:type="pct"/>
            <w:noWrap/>
            <w:vAlign w:val="center"/>
          </w:tcPr>
          <w:p>
            <w:pPr>
              <w:pStyle w:val="14"/>
              <w:wordWrap w:val="0"/>
              <w:snapToGrid w:val="0"/>
              <w:jc w:val="center"/>
              <w:rPr>
                <w:rFonts w:ascii="宋体" w:hAnsi="宋体" w:cs="宋体"/>
                <w:kern w:val="2"/>
                <w:highlight w:val="none"/>
              </w:rPr>
            </w:pPr>
          </w:p>
        </w:tc>
        <w:tc>
          <w:tcPr>
            <w:tcW w:w="1441" w:type="pct"/>
            <w:noWrap/>
            <w:vAlign w:val="center"/>
          </w:tcPr>
          <w:p>
            <w:pPr>
              <w:pStyle w:val="14"/>
              <w:wordWrap w:val="0"/>
              <w:snapToGrid w:val="0"/>
              <w:jc w:val="center"/>
              <w:rPr>
                <w:rFonts w:ascii="宋体" w:hAnsi="宋体" w:cs="宋体"/>
                <w:kern w:val="2"/>
                <w:highlight w:val="none"/>
              </w:rPr>
            </w:pPr>
          </w:p>
        </w:tc>
      </w:tr>
    </w:tbl>
    <w:p>
      <w:pPr>
        <w:pStyle w:val="14"/>
        <w:wordWrap w:val="0"/>
        <w:snapToGrid w:val="0"/>
        <w:spacing w:before="156" w:beforeLines="50" w:line="360" w:lineRule="auto"/>
        <w:rPr>
          <w:rFonts w:ascii="宋体" w:hAnsi="宋体" w:cs="宋体"/>
          <w:highlight w:val="none"/>
        </w:rPr>
      </w:pPr>
      <w:r>
        <w:rPr>
          <w:rFonts w:hint="eastAsia" w:ascii="宋体" w:hAnsi="宋体" w:cs="宋体"/>
          <w:highlight w:val="none"/>
        </w:rPr>
        <w:t>（1）联合体由牵头方负责与招标人联系。</w:t>
      </w:r>
    </w:p>
    <w:p>
      <w:pPr>
        <w:pStyle w:val="14"/>
        <w:wordWrap w:val="0"/>
        <w:snapToGrid w:val="0"/>
        <w:spacing w:line="360" w:lineRule="auto"/>
        <w:rPr>
          <w:rFonts w:ascii="宋体" w:hAnsi="宋体" w:cs="宋体"/>
          <w:highlight w:val="none"/>
        </w:rPr>
      </w:pPr>
      <w:r>
        <w:rPr>
          <w:rFonts w:hint="eastAsia" w:ascii="宋体" w:hAnsi="宋体" w:cs="宋体"/>
          <w:highlight w:val="none"/>
        </w:rPr>
        <w:t>（2）投标工作由联合体牵头方负责，由联合体组成的投标小组具体实施；联合体牵头方代表联合体办理投标事宜，联合体牵头方在投标文件中的所有承诺均代表了联合体各成员。</w:t>
      </w:r>
    </w:p>
    <w:p>
      <w:pPr>
        <w:pStyle w:val="14"/>
        <w:wordWrap w:val="0"/>
        <w:snapToGrid w:val="0"/>
        <w:spacing w:line="360" w:lineRule="auto"/>
        <w:rPr>
          <w:rFonts w:ascii="宋体" w:hAnsi="宋体" w:cs="宋体"/>
          <w:highlight w:val="none"/>
        </w:rPr>
      </w:pPr>
      <w:r>
        <w:rPr>
          <w:rFonts w:hint="eastAsia" w:ascii="宋体" w:hAnsi="宋体" w:cs="宋体"/>
          <w:highlight w:val="none"/>
        </w:rPr>
        <w:t>（3）联合体将严格按照招标文件的各项要求，递交投标文件，切实执行一切合同文件，共同承担合同规定的一切义务和责任，同时按照内部职责的划分，承担自身所负的责任和风险，在法律方面承担连带责任。</w:t>
      </w:r>
    </w:p>
    <w:p>
      <w:pPr>
        <w:pStyle w:val="14"/>
        <w:wordWrap w:val="0"/>
        <w:snapToGrid w:val="0"/>
        <w:spacing w:line="360" w:lineRule="auto"/>
        <w:rPr>
          <w:rFonts w:ascii="宋体" w:hAnsi="宋体" w:cs="宋体"/>
          <w:highlight w:val="none"/>
        </w:rPr>
      </w:pPr>
      <w:r>
        <w:rPr>
          <w:rFonts w:hint="eastAsia" w:ascii="宋体" w:hAnsi="宋体" w:cs="宋体"/>
          <w:highlight w:val="none"/>
        </w:rPr>
        <w:t>（4）如中标，联合体内部将遵守以下规定：</w:t>
      </w:r>
    </w:p>
    <w:p>
      <w:pPr>
        <w:pStyle w:val="14"/>
        <w:wordWrap w:val="0"/>
        <w:snapToGrid w:val="0"/>
        <w:spacing w:line="360" w:lineRule="auto"/>
        <w:rPr>
          <w:rFonts w:ascii="宋体" w:hAnsi="宋体" w:cs="宋体"/>
          <w:highlight w:val="none"/>
        </w:rPr>
      </w:pPr>
      <w:r>
        <w:rPr>
          <w:rFonts w:hint="eastAsia" w:ascii="宋体" w:hAnsi="宋体" w:cs="宋体"/>
          <w:highlight w:val="none"/>
        </w:rPr>
        <w:t>a．联合体牵头方和成员共同与招标人签订合同书，并就中标项目向招标人负有连带的和各自的法律责任；</w:t>
      </w:r>
    </w:p>
    <w:p>
      <w:pPr>
        <w:pStyle w:val="14"/>
        <w:wordWrap w:val="0"/>
        <w:snapToGrid w:val="0"/>
        <w:spacing w:line="360" w:lineRule="auto"/>
        <w:rPr>
          <w:rFonts w:ascii="宋体" w:hAnsi="宋体" w:cs="宋体"/>
          <w:highlight w:val="none"/>
        </w:rPr>
      </w:pPr>
      <w:r>
        <w:rPr>
          <w:rFonts w:hint="eastAsia" w:ascii="宋体" w:hAnsi="宋体" w:cs="宋体"/>
          <w:highlight w:val="none"/>
        </w:rPr>
        <w:t>b．联合体牵头方代表联合体成员承担责任和接受招标人的指令、指示和通知。</w:t>
      </w:r>
    </w:p>
    <w:p>
      <w:pPr>
        <w:pStyle w:val="14"/>
        <w:wordWrap w:val="0"/>
        <w:snapToGrid w:val="0"/>
        <w:spacing w:line="360" w:lineRule="auto"/>
        <w:rPr>
          <w:rFonts w:ascii="宋体" w:hAnsi="宋体" w:cs="宋体"/>
          <w:highlight w:val="none"/>
        </w:rPr>
      </w:pPr>
      <w:r>
        <w:rPr>
          <w:rFonts w:hint="eastAsia" w:ascii="宋体" w:hAnsi="宋体" w:cs="宋体"/>
          <w:highlight w:val="none"/>
        </w:rPr>
        <w:t>（5）投标工作和联合体在中标后工程实施过程中的有关费用按各自承担的工作量分摊。</w:t>
      </w:r>
    </w:p>
    <w:p>
      <w:pPr>
        <w:pStyle w:val="14"/>
        <w:wordWrap w:val="0"/>
        <w:snapToGrid w:val="0"/>
        <w:spacing w:line="360" w:lineRule="auto"/>
        <w:rPr>
          <w:rFonts w:ascii="宋体" w:hAnsi="宋体" w:cs="宋体"/>
          <w:highlight w:val="none"/>
        </w:rPr>
      </w:pPr>
      <w:r>
        <w:rPr>
          <w:rFonts w:hint="eastAsia" w:ascii="宋体" w:hAnsi="宋体" w:cs="宋体"/>
          <w:highlight w:val="none"/>
        </w:rPr>
        <w:t>3．本协议书自签署之日起生效，在上述（4）a所述的合同书规定的期限之后自行失效；如中标后，联合体内部另有协议的，联合体牵头方应将该协议书送交招标人。</w:t>
      </w:r>
    </w:p>
    <w:p>
      <w:pPr>
        <w:pStyle w:val="14"/>
        <w:wordWrap w:val="0"/>
        <w:snapToGrid w:val="0"/>
        <w:spacing w:line="360" w:lineRule="auto"/>
        <w:rPr>
          <w:rFonts w:ascii="宋体" w:hAnsi="宋体" w:cs="宋体"/>
          <w:highlight w:val="none"/>
        </w:rPr>
      </w:pPr>
    </w:p>
    <w:p>
      <w:pPr>
        <w:pStyle w:val="14"/>
        <w:wordWrap w:val="0"/>
        <w:snapToGrid w:val="0"/>
        <w:spacing w:line="360" w:lineRule="auto"/>
        <w:rPr>
          <w:rFonts w:ascii="宋体" w:hAnsi="宋体" w:cs="宋体"/>
          <w:highlight w:val="none"/>
        </w:rPr>
      </w:pPr>
      <w:r>
        <w:rPr>
          <w:rFonts w:hint="eastAsia" w:ascii="宋体" w:hAnsi="宋体" w:cs="宋体"/>
          <w:highlight w:val="none"/>
        </w:rPr>
        <w:t xml:space="preserve">联合体牵头方：（盖章）            联合体成员：（盖章） </w:t>
      </w:r>
    </w:p>
    <w:p>
      <w:pPr>
        <w:pStyle w:val="14"/>
        <w:wordWrap w:val="0"/>
        <w:snapToGrid w:val="0"/>
        <w:spacing w:line="360" w:lineRule="auto"/>
        <w:rPr>
          <w:rFonts w:ascii="宋体" w:hAnsi="宋体" w:cs="宋体"/>
          <w:highlight w:val="none"/>
        </w:rPr>
      </w:pPr>
      <w:r>
        <w:rPr>
          <w:rFonts w:hint="eastAsia" w:ascii="宋体" w:hAnsi="宋体" w:cs="宋体"/>
          <w:highlight w:val="none"/>
        </w:rPr>
        <w:t>法定代表人：（签字或盖章）           法定代表人： （签字或盖章）</w:t>
      </w:r>
    </w:p>
    <w:p>
      <w:pPr>
        <w:pStyle w:val="14"/>
        <w:wordWrap w:val="0"/>
        <w:snapToGrid w:val="0"/>
        <w:spacing w:line="360" w:lineRule="auto"/>
        <w:rPr>
          <w:rFonts w:ascii="宋体" w:hAnsi="宋体" w:cs="宋体"/>
          <w:highlight w:val="none"/>
        </w:rPr>
      </w:pPr>
      <w:r>
        <w:rPr>
          <w:rFonts w:hint="eastAsia" w:ascii="宋体" w:hAnsi="宋体" w:cs="宋体"/>
          <w:highlight w:val="none"/>
        </w:rPr>
        <w:t xml:space="preserve">        年    月    日                              年   月    日</w:t>
      </w:r>
    </w:p>
    <w:p>
      <w:pPr>
        <w:wordWrap w:val="0"/>
        <w:spacing w:line="360" w:lineRule="auto"/>
        <w:rPr>
          <w:rFonts w:ascii="宋体" w:hAnsi="宋体"/>
          <w:sz w:val="24"/>
          <w:highlight w:val="none"/>
        </w:rPr>
        <w:sectPr>
          <w:footerReference r:id="rId10" w:type="default"/>
          <w:pgSz w:w="11906" w:h="16838"/>
          <w:pgMar w:top="1247" w:right="1247" w:bottom="1247" w:left="1247" w:header="851" w:footer="680" w:gutter="0"/>
          <w:pgNumType w:start="1"/>
          <w:cols w:space="720" w:num="1"/>
          <w:docGrid w:type="lines" w:linePitch="312" w:charSpace="0"/>
        </w:sectPr>
      </w:pPr>
      <w:r>
        <w:rPr>
          <w:rFonts w:hint="eastAsia" w:ascii="宋体" w:hAnsi="宋体"/>
          <w:sz w:val="24"/>
          <w:highlight w:val="none"/>
        </w:rPr>
        <w:t>注：单独投标的，无需提交本协议书。</w:t>
      </w:r>
    </w:p>
    <w:p>
      <w:pPr>
        <w:rPr>
          <w:rFonts w:ascii="宋体" w:hAnsi="宋体" w:cs="宋体"/>
          <w:highlight w:val="none"/>
        </w:rPr>
      </w:pPr>
      <w:r>
        <w:rPr>
          <w:rFonts w:hint="eastAsia" w:ascii="宋体" w:hAnsi="宋体" w:cs="宋体"/>
          <w:sz w:val="28"/>
          <w:szCs w:val="28"/>
          <w:highlight w:val="none"/>
        </w:rPr>
        <w:t>（七）投标人认为需提供的其他材料</w:t>
      </w:r>
    </w:p>
    <w:p>
      <w:pPr>
        <w:spacing w:before="20" w:line="415" w:lineRule="auto"/>
        <w:outlineLvl w:val="2"/>
        <w:rPr>
          <w:rFonts w:ascii="宋体" w:hAnsi="宋体" w:cs="宋体"/>
          <w:b/>
          <w:bCs/>
          <w:sz w:val="28"/>
          <w:szCs w:val="28"/>
          <w:highlight w:val="none"/>
        </w:rPr>
      </w:pPr>
      <w:r>
        <w:rPr>
          <w:rFonts w:hint="eastAsia" w:ascii="宋体" w:hAnsi="宋体" w:cs="宋体"/>
          <w:b/>
          <w:bCs/>
          <w:sz w:val="32"/>
          <w:szCs w:val="32"/>
          <w:highlight w:val="none"/>
        </w:rPr>
        <w:br w:type="page"/>
      </w:r>
      <w:bookmarkStart w:id="512" w:name="_Toc102997651"/>
      <w:r>
        <w:rPr>
          <w:rFonts w:hint="eastAsia" w:ascii="宋体" w:hAnsi="宋体" w:cs="宋体"/>
          <w:sz w:val="30"/>
          <w:szCs w:val="30"/>
          <w:highlight w:val="none"/>
        </w:rPr>
        <w:t>五、</w:t>
      </w:r>
      <w:r>
        <w:rPr>
          <w:rFonts w:hint="eastAsia" w:ascii="宋体" w:hAnsi="宋体" w:cs="宋体"/>
          <w:b/>
          <w:bCs/>
          <w:sz w:val="28"/>
          <w:szCs w:val="28"/>
          <w:highlight w:val="none"/>
        </w:rPr>
        <w:t>企业资信业绩证明资料</w:t>
      </w:r>
      <w:bookmarkEnd w:id="512"/>
    </w:p>
    <w:p>
      <w:pPr>
        <w:spacing w:before="20" w:line="415" w:lineRule="auto"/>
        <w:outlineLvl w:val="2"/>
        <w:rPr>
          <w:rFonts w:ascii="宋体" w:hAnsi="宋体" w:cs="宋体"/>
          <w:b/>
          <w:bCs/>
          <w:sz w:val="28"/>
          <w:szCs w:val="28"/>
          <w:highlight w:val="none"/>
        </w:rPr>
      </w:pPr>
      <w:bookmarkStart w:id="513" w:name="_Toc102997652"/>
      <w:r>
        <w:rPr>
          <w:rFonts w:hint="eastAsia" w:ascii="宋体" w:hAnsi="宋体" w:cs="宋体"/>
          <w:b/>
          <w:bCs/>
          <w:sz w:val="28"/>
          <w:szCs w:val="28"/>
          <w:highlight w:val="none"/>
        </w:rPr>
        <w:t>（一）企业资信证明资料</w:t>
      </w:r>
      <w:bookmarkEnd w:id="513"/>
    </w:p>
    <w:p>
      <w:pPr>
        <w:spacing w:before="20" w:line="415" w:lineRule="auto"/>
        <w:outlineLvl w:val="2"/>
        <w:rPr>
          <w:rFonts w:ascii="宋体" w:hAnsi="宋体" w:cs="宋体"/>
          <w:b/>
          <w:bCs/>
          <w:sz w:val="28"/>
          <w:szCs w:val="28"/>
          <w:highlight w:val="none"/>
        </w:rPr>
      </w:pPr>
      <w:bookmarkStart w:id="514" w:name="_Toc102997653"/>
      <w:r>
        <w:rPr>
          <w:rFonts w:hint="eastAsia" w:ascii="宋体" w:hAnsi="宋体" w:cs="宋体"/>
          <w:spacing w:val="4"/>
          <w:sz w:val="24"/>
          <w:highlight w:val="none"/>
        </w:rPr>
        <w:t>（</w:t>
      </w:r>
      <w:r>
        <w:rPr>
          <w:rFonts w:hint="eastAsia" w:ascii="宋体" w:hAnsi="宋体" w:cs="宋体"/>
          <w:sz w:val="24"/>
          <w:highlight w:val="none"/>
        </w:rPr>
        <w:t>注：投标人可根据评标办法前附表的要求附相关证明材料。</w:t>
      </w:r>
      <w:r>
        <w:rPr>
          <w:rFonts w:hint="eastAsia" w:ascii="宋体" w:hAnsi="宋体" w:cs="宋体"/>
          <w:spacing w:val="4"/>
          <w:sz w:val="24"/>
          <w:highlight w:val="none"/>
        </w:rPr>
        <w:t>）</w:t>
      </w:r>
      <w:bookmarkEnd w:id="514"/>
      <w:r>
        <w:rPr>
          <w:rFonts w:hint="eastAsia" w:ascii="宋体" w:hAnsi="宋体" w:cs="宋体"/>
          <w:b/>
          <w:bCs/>
          <w:sz w:val="28"/>
          <w:szCs w:val="28"/>
          <w:highlight w:val="none"/>
        </w:rPr>
        <w:br w:type="page"/>
      </w:r>
      <w:bookmarkStart w:id="515" w:name="_Toc102997654"/>
      <w:r>
        <w:rPr>
          <w:rFonts w:hint="eastAsia" w:ascii="宋体" w:hAnsi="宋体" w:cs="宋体"/>
          <w:b/>
          <w:bCs/>
          <w:sz w:val="28"/>
          <w:szCs w:val="28"/>
          <w:highlight w:val="none"/>
        </w:rPr>
        <w:t>（二）近年完成的类似项目情况表（格式可自定）</w:t>
      </w:r>
      <w:bookmarkEnd w:id="515"/>
    </w:p>
    <w:tbl>
      <w:tblPr>
        <w:tblStyle w:val="19"/>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highlight w:val="none"/>
              </w:rPr>
              <w:t>项目名称</w:t>
            </w:r>
          </w:p>
        </w:tc>
        <w:tc>
          <w:tcPr>
            <w:tcW w:w="6092"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highlight w:val="none"/>
              </w:rPr>
              <w:t>项目所在地</w:t>
            </w:r>
          </w:p>
        </w:tc>
        <w:tc>
          <w:tcPr>
            <w:tcW w:w="6092"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highlight w:val="none"/>
              </w:rPr>
              <w:t>委托人名称</w:t>
            </w:r>
          </w:p>
        </w:tc>
        <w:tc>
          <w:tcPr>
            <w:tcW w:w="6092"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highlight w:val="none"/>
              </w:rPr>
              <w:t>委托人地址</w:t>
            </w:r>
          </w:p>
        </w:tc>
        <w:tc>
          <w:tcPr>
            <w:tcW w:w="6092"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highlight w:val="none"/>
              </w:rPr>
              <w:t>委托人电话</w:t>
            </w:r>
          </w:p>
        </w:tc>
        <w:tc>
          <w:tcPr>
            <w:tcW w:w="6092"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highlight w:val="none"/>
              </w:rPr>
              <w:t>合同价格</w:t>
            </w:r>
          </w:p>
        </w:tc>
        <w:tc>
          <w:tcPr>
            <w:tcW w:w="6092"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highlight w:val="none"/>
              </w:rPr>
              <w:t>服务期限</w:t>
            </w:r>
          </w:p>
        </w:tc>
        <w:tc>
          <w:tcPr>
            <w:tcW w:w="6092"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highlight w:val="none"/>
              </w:rPr>
              <w:t>检测内容</w:t>
            </w:r>
          </w:p>
        </w:tc>
        <w:tc>
          <w:tcPr>
            <w:tcW w:w="6092"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highlight w:val="none"/>
              </w:rPr>
              <w:t>项目负责人</w:t>
            </w:r>
          </w:p>
        </w:tc>
        <w:tc>
          <w:tcPr>
            <w:tcW w:w="6092"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highlight w:val="none"/>
              </w:rPr>
              <w:t>项目描述</w:t>
            </w:r>
          </w:p>
        </w:tc>
        <w:tc>
          <w:tcPr>
            <w:tcW w:w="6092"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highlight w:val="none"/>
              </w:rPr>
            </w:pPr>
          </w:p>
          <w:p>
            <w:pPr>
              <w:topLinePunct/>
              <w:spacing w:line="440" w:lineRule="exact"/>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highlight w:val="none"/>
              </w:rPr>
            </w:pPr>
            <w:r>
              <w:rPr>
                <w:rFonts w:hint="eastAsia" w:ascii="宋体" w:hAnsi="宋体" w:cs="宋体"/>
                <w:highlight w:val="none"/>
              </w:rPr>
              <w:t>备注</w:t>
            </w:r>
          </w:p>
        </w:tc>
        <w:tc>
          <w:tcPr>
            <w:tcW w:w="6092" w:type="dxa"/>
            <w:tcBorders>
              <w:top w:val="single" w:color="auto" w:sz="4" w:space="0"/>
              <w:left w:val="single" w:color="auto" w:sz="4" w:space="0"/>
              <w:bottom w:val="single" w:color="auto" w:sz="4" w:space="0"/>
              <w:right w:val="single" w:color="auto" w:sz="4" w:space="0"/>
            </w:tcBorders>
          </w:tcPr>
          <w:p>
            <w:pPr>
              <w:topLinePunct/>
              <w:spacing w:line="440" w:lineRule="exact"/>
              <w:rPr>
                <w:rFonts w:ascii="宋体" w:hAnsi="宋体" w:cs="宋体"/>
                <w:highlight w:val="none"/>
              </w:rPr>
            </w:pPr>
          </w:p>
        </w:tc>
      </w:tr>
    </w:tbl>
    <w:p>
      <w:pPr>
        <w:spacing w:line="440" w:lineRule="exact"/>
        <w:rPr>
          <w:rFonts w:ascii="宋体" w:hAnsi="宋体" w:cs="宋体"/>
          <w:highlight w:val="none"/>
        </w:rPr>
      </w:pPr>
      <w:r>
        <w:rPr>
          <w:rFonts w:hint="eastAsia" w:ascii="宋体" w:hAnsi="宋体" w:cs="宋体"/>
          <w:sz w:val="24"/>
          <w:highlight w:val="none"/>
        </w:rPr>
        <w:t>注：投标人可根据评标办法前附表的要求在本表后附相关证明材料。</w:t>
      </w:r>
    </w:p>
    <w:p>
      <w:pPr>
        <w:spacing w:line="440" w:lineRule="exact"/>
        <w:rPr>
          <w:rFonts w:ascii="宋体" w:hAnsi="宋体" w:cs="宋体"/>
          <w:highlight w:val="none"/>
        </w:rPr>
      </w:pPr>
    </w:p>
    <w:p>
      <w:pPr>
        <w:spacing w:before="20" w:line="415" w:lineRule="auto"/>
        <w:outlineLvl w:val="2"/>
        <w:rPr>
          <w:rFonts w:ascii="宋体" w:hAnsi="宋体" w:cs="宋体"/>
          <w:b/>
          <w:bCs/>
          <w:sz w:val="28"/>
          <w:szCs w:val="28"/>
          <w:highlight w:val="none"/>
        </w:rPr>
      </w:pPr>
      <w:r>
        <w:rPr>
          <w:rFonts w:hint="eastAsia" w:ascii="宋体" w:hAnsi="宋体" w:cs="宋体"/>
          <w:b/>
          <w:bCs/>
          <w:sz w:val="32"/>
          <w:szCs w:val="32"/>
          <w:highlight w:val="none"/>
        </w:rPr>
        <w:br w:type="page"/>
      </w:r>
      <w:bookmarkStart w:id="516" w:name="_Toc102997655"/>
      <w:r>
        <w:rPr>
          <w:rFonts w:hint="eastAsia" w:ascii="宋体" w:hAnsi="宋体" w:cs="宋体"/>
          <w:b/>
          <w:bCs/>
          <w:sz w:val="28"/>
          <w:szCs w:val="28"/>
          <w:highlight w:val="none"/>
        </w:rPr>
        <w:t>（三）拟投入本项目主要技术人员一览表（格式可自定）</w:t>
      </w:r>
      <w:bookmarkEnd w:id="516"/>
    </w:p>
    <w:tbl>
      <w:tblPr>
        <w:tblStyle w:val="19"/>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06"/>
        <w:gridCol w:w="701"/>
        <w:gridCol w:w="616"/>
        <w:gridCol w:w="709"/>
        <w:gridCol w:w="672"/>
        <w:gridCol w:w="624"/>
        <w:gridCol w:w="722"/>
        <w:gridCol w:w="965"/>
        <w:gridCol w:w="965"/>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19" w:type="dxa"/>
            <w:vAlign w:val="center"/>
          </w:tcPr>
          <w:p>
            <w:pPr>
              <w:jc w:val="center"/>
              <w:rPr>
                <w:rFonts w:ascii="宋体" w:hAnsi="宋体" w:cs="宋体"/>
                <w:highlight w:val="none"/>
              </w:rPr>
            </w:pPr>
            <w:r>
              <w:rPr>
                <w:rFonts w:hint="eastAsia" w:ascii="宋体" w:hAnsi="宋体" w:cs="宋体"/>
                <w:highlight w:val="none"/>
              </w:rPr>
              <w:t>序号</w:t>
            </w:r>
          </w:p>
        </w:tc>
        <w:tc>
          <w:tcPr>
            <w:tcW w:w="1106" w:type="dxa"/>
            <w:vAlign w:val="center"/>
          </w:tcPr>
          <w:p>
            <w:pPr>
              <w:jc w:val="center"/>
              <w:rPr>
                <w:rFonts w:ascii="宋体" w:hAnsi="宋体" w:cs="宋体"/>
                <w:highlight w:val="none"/>
              </w:rPr>
            </w:pPr>
            <w:r>
              <w:rPr>
                <w:rFonts w:hint="eastAsia" w:ascii="宋体" w:hAnsi="宋体" w:cs="宋体"/>
                <w:highlight w:val="none"/>
              </w:rPr>
              <w:t>本项目任职</w:t>
            </w:r>
          </w:p>
        </w:tc>
        <w:tc>
          <w:tcPr>
            <w:tcW w:w="701" w:type="dxa"/>
            <w:vAlign w:val="center"/>
          </w:tcPr>
          <w:p>
            <w:pPr>
              <w:jc w:val="center"/>
              <w:rPr>
                <w:rFonts w:ascii="宋体" w:hAnsi="宋体" w:cs="宋体"/>
                <w:highlight w:val="none"/>
              </w:rPr>
            </w:pPr>
            <w:r>
              <w:rPr>
                <w:rFonts w:hint="eastAsia" w:ascii="宋体" w:hAnsi="宋体" w:cs="宋体"/>
                <w:highlight w:val="none"/>
              </w:rPr>
              <w:t>姓名</w:t>
            </w:r>
          </w:p>
        </w:tc>
        <w:tc>
          <w:tcPr>
            <w:tcW w:w="616" w:type="dxa"/>
            <w:vAlign w:val="center"/>
          </w:tcPr>
          <w:p>
            <w:pPr>
              <w:jc w:val="center"/>
              <w:rPr>
                <w:rFonts w:ascii="宋体" w:hAnsi="宋体" w:cs="宋体"/>
                <w:highlight w:val="none"/>
              </w:rPr>
            </w:pPr>
            <w:r>
              <w:rPr>
                <w:rFonts w:hint="eastAsia" w:ascii="宋体" w:hAnsi="宋体" w:cs="宋体"/>
                <w:highlight w:val="none"/>
              </w:rPr>
              <w:t>年龄</w:t>
            </w:r>
          </w:p>
        </w:tc>
        <w:tc>
          <w:tcPr>
            <w:tcW w:w="709" w:type="dxa"/>
            <w:vAlign w:val="center"/>
          </w:tcPr>
          <w:p>
            <w:pPr>
              <w:jc w:val="center"/>
              <w:rPr>
                <w:rFonts w:ascii="宋体" w:hAnsi="宋体" w:cs="宋体"/>
                <w:highlight w:val="none"/>
              </w:rPr>
            </w:pPr>
            <w:r>
              <w:rPr>
                <w:rFonts w:hint="eastAsia" w:ascii="宋体" w:hAnsi="宋体" w:cs="宋体"/>
                <w:highlight w:val="none"/>
              </w:rPr>
              <w:t>学历</w:t>
            </w:r>
          </w:p>
        </w:tc>
        <w:tc>
          <w:tcPr>
            <w:tcW w:w="672" w:type="dxa"/>
            <w:vAlign w:val="center"/>
          </w:tcPr>
          <w:p>
            <w:pPr>
              <w:jc w:val="center"/>
              <w:rPr>
                <w:rFonts w:ascii="宋体" w:hAnsi="宋体" w:cs="宋体"/>
                <w:highlight w:val="none"/>
              </w:rPr>
            </w:pPr>
            <w:r>
              <w:rPr>
                <w:rFonts w:hint="eastAsia" w:ascii="宋体" w:hAnsi="宋体" w:cs="宋体"/>
                <w:highlight w:val="none"/>
              </w:rPr>
              <w:t>专业</w:t>
            </w:r>
          </w:p>
        </w:tc>
        <w:tc>
          <w:tcPr>
            <w:tcW w:w="624" w:type="dxa"/>
            <w:vAlign w:val="center"/>
          </w:tcPr>
          <w:p>
            <w:pPr>
              <w:jc w:val="center"/>
              <w:rPr>
                <w:rFonts w:ascii="宋体" w:hAnsi="宋体" w:cs="宋体"/>
                <w:highlight w:val="none"/>
              </w:rPr>
            </w:pPr>
            <w:r>
              <w:rPr>
                <w:rFonts w:hint="eastAsia" w:ascii="宋体" w:hAnsi="宋体" w:cs="宋体"/>
                <w:highlight w:val="none"/>
              </w:rPr>
              <w:t>职称</w:t>
            </w:r>
          </w:p>
        </w:tc>
        <w:tc>
          <w:tcPr>
            <w:tcW w:w="722" w:type="dxa"/>
            <w:vAlign w:val="center"/>
          </w:tcPr>
          <w:p>
            <w:pPr>
              <w:jc w:val="center"/>
              <w:rPr>
                <w:rFonts w:ascii="宋体" w:hAnsi="宋体" w:cs="宋体"/>
                <w:szCs w:val="21"/>
                <w:highlight w:val="none"/>
              </w:rPr>
            </w:pPr>
            <w:r>
              <w:rPr>
                <w:rFonts w:hint="eastAsia" w:ascii="宋体" w:hAnsi="宋体" w:cs="宋体"/>
                <w:szCs w:val="21"/>
                <w:highlight w:val="none"/>
              </w:rPr>
              <w:t>上岗证</w:t>
            </w:r>
          </w:p>
        </w:tc>
        <w:tc>
          <w:tcPr>
            <w:tcW w:w="965" w:type="dxa"/>
            <w:vAlign w:val="center"/>
          </w:tcPr>
          <w:p>
            <w:pPr>
              <w:jc w:val="center"/>
              <w:rPr>
                <w:rFonts w:ascii="宋体" w:hAnsi="宋体" w:cs="宋体"/>
                <w:szCs w:val="21"/>
                <w:highlight w:val="none"/>
              </w:rPr>
            </w:pPr>
            <w:r>
              <w:rPr>
                <w:rFonts w:hint="eastAsia" w:ascii="宋体" w:hAnsi="宋体" w:cs="宋体"/>
                <w:szCs w:val="21"/>
                <w:highlight w:val="none"/>
              </w:rPr>
              <w:t>参加</w:t>
            </w:r>
          </w:p>
          <w:p>
            <w:pPr>
              <w:jc w:val="center"/>
              <w:rPr>
                <w:rFonts w:ascii="宋体" w:hAnsi="宋体" w:cs="宋体"/>
                <w:szCs w:val="21"/>
                <w:highlight w:val="none"/>
              </w:rPr>
            </w:pPr>
            <w:r>
              <w:rPr>
                <w:rFonts w:hint="eastAsia" w:ascii="宋体" w:hAnsi="宋体" w:cs="宋体"/>
                <w:szCs w:val="21"/>
                <w:highlight w:val="none"/>
              </w:rPr>
              <w:t>工作时间</w:t>
            </w:r>
          </w:p>
        </w:tc>
        <w:tc>
          <w:tcPr>
            <w:tcW w:w="965" w:type="dxa"/>
            <w:vAlign w:val="center"/>
          </w:tcPr>
          <w:p>
            <w:pPr>
              <w:jc w:val="center"/>
              <w:rPr>
                <w:rFonts w:ascii="宋体" w:hAnsi="宋体" w:cs="宋体"/>
                <w:szCs w:val="21"/>
                <w:highlight w:val="none"/>
              </w:rPr>
            </w:pPr>
            <w:r>
              <w:rPr>
                <w:rFonts w:hint="eastAsia" w:ascii="宋体" w:hAnsi="宋体" w:cs="宋体"/>
                <w:szCs w:val="21"/>
                <w:highlight w:val="none"/>
              </w:rPr>
              <w:t>从事相关工作年限</w:t>
            </w:r>
          </w:p>
        </w:tc>
        <w:tc>
          <w:tcPr>
            <w:tcW w:w="603" w:type="dxa"/>
            <w:vAlign w:val="center"/>
          </w:tcPr>
          <w:p>
            <w:pPr>
              <w:jc w:val="center"/>
              <w:rPr>
                <w:rFonts w:ascii="宋体" w:hAnsi="宋体" w:cs="宋体"/>
                <w:highlight w:val="none"/>
              </w:rPr>
            </w:pPr>
            <w:r>
              <w:rPr>
                <w:rFonts w:hint="eastAsia" w:ascii="宋体" w:hAnsi="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vAlign w:val="center"/>
          </w:tcPr>
          <w:p>
            <w:pPr>
              <w:spacing w:line="440" w:lineRule="exact"/>
              <w:jc w:val="center"/>
              <w:rPr>
                <w:rFonts w:ascii="宋体" w:hAnsi="宋体" w:cs="宋体"/>
                <w:highlight w:val="none"/>
              </w:rPr>
            </w:pPr>
          </w:p>
        </w:tc>
        <w:tc>
          <w:tcPr>
            <w:tcW w:w="1106" w:type="dxa"/>
          </w:tcPr>
          <w:p>
            <w:pPr>
              <w:spacing w:line="440" w:lineRule="exact"/>
              <w:jc w:val="center"/>
              <w:rPr>
                <w:rFonts w:ascii="宋体" w:hAnsi="宋体" w:cs="宋体"/>
                <w:highlight w:val="none"/>
              </w:rPr>
            </w:pPr>
          </w:p>
        </w:tc>
        <w:tc>
          <w:tcPr>
            <w:tcW w:w="701" w:type="dxa"/>
            <w:vAlign w:val="center"/>
          </w:tcPr>
          <w:p>
            <w:pPr>
              <w:spacing w:line="440" w:lineRule="exact"/>
              <w:jc w:val="center"/>
              <w:rPr>
                <w:rFonts w:ascii="宋体" w:hAnsi="宋体" w:cs="宋体"/>
                <w:highlight w:val="none"/>
              </w:rPr>
            </w:pPr>
          </w:p>
        </w:tc>
        <w:tc>
          <w:tcPr>
            <w:tcW w:w="616" w:type="dxa"/>
          </w:tcPr>
          <w:p>
            <w:pPr>
              <w:spacing w:line="440" w:lineRule="exact"/>
              <w:jc w:val="center"/>
              <w:rPr>
                <w:rFonts w:ascii="宋体" w:hAnsi="宋体" w:cs="宋体"/>
                <w:highlight w:val="none"/>
              </w:rPr>
            </w:pPr>
          </w:p>
        </w:tc>
        <w:tc>
          <w:tcPr>
            <w:tcW w:w="709" w:type="dxa"/>
          </w:tcPr>
          <w:p>
            <w:pPr>
              <w:spacing w:line="440" w:lineRule="exact"/>
              <w:jc w:val="center"/>
              <w:rPr>
                <w:rFonts w:ascii="宋体" w:hAnsi="宋体" w:cs="宋体"/>
                <w:highlight w:val="none"/>
              </w:rPr>
            </w:pPr>
          </w:p>
        </w:tc>
        <w:tc>
          <w:tcPr>
            <w:tcW w:w="672" w:type="dxa"/>
            <w:vAlign w:val="center"/>
          </w:tcPr>
          <w:p>
            <w:pPr>
              <w:spacing w:line="440" w:lineRule="exact"/>
              <w:jc w:val="center"/>
              <w:rPr>
                <w:rFonts w:ascii="宋体" w:hAnsi="宋体" w:cs="宋体"/>
                <w:highlight w:val="none"/>
              </w:rPr>
            </w:pPr>
          </w:p>
        </w:tc>
        <w:tc>
          <w:tcPr>
            <w:tcW w:w="624" w:type="dxa"/>
            <w:vAlign w:val="center"/>
          </w:tcPr>
          <w:p>
            <w:pPr>
              <w:spacing w:line="440" w:lineRule="exact"/>
              <w:jc w:val="center"/>
              <w:rPr>
                <w:rFonts w:ascii="宋体" w:hAnsi="宋体" w:cs="宋体"/>
                <w:highlight w:val="none"/>
              </w:rPr>
            </w:pPr>
          </w:p>
        </w:tc>
        <w:tc>
          <w:tcPr>
            <w:tcW w:w="722"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603" w:type="dxa"/>
            <w:vAlign w:val="center"/>
          </w:tcPr>
          <w:p>
            <w:pPr>
              <w:spacing w:line="44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tcPr>
          <w:p>
            <w:pPr>
              <w:spacing w:line="440" w:lineRule="exact"/>
              <w:jc w:val="center"/>
              <w:rPr>
                <w:rFonts w:ascii="宋体" w:hAnsi="宋体" w:cs="宋体"/>
                <w:highlight w:val="none"/>
              </w:rPr>
            </w:pPr>
          </w:p>
        </w:tc>
        <w:tc>
          <w:tcPr>
            <w:tcW w:w="1106" w:type="dxa"/>
          </w:tcPr>
          <w:p>
            <w:pPr>
              <w:spacing w:line="440" w:lineRule="exact"/>
              <w:jc w:val="center"/>
              <w:rPr>
                <w:rFonts w:ascii="宋体" w:hAnsi="宋体" w:cs="宋体"/>
                <w:highlight w:val="none"/>
              </w:rPr>
            </w:pPr>
          </w:p>
        </w:tc>
        <w:tc>
          <w:tcPr>
            <w:tcW w:w="701" w:type="dxa"/>
          </w:tcPr>
          <w:p>
            <w:pPr>
              <w:spacing w:line="440" w:lineRule="exact"/>
              <w:jc w:val="center"/>
              <w:rPr>
                <w:rFonts w:ascii="宋体" w:hAnsi="宋体" w:cs="宋体"/>
                <w:highlight w:val="none"/>
              </w:rPr>
            </w:pPr>
          </w:p>
        </w:tc>
        <w:tc>
          <w:tcPr>
            <w:tcW w:w="616" w:type="dxa"/>
          </w:tcPr>
          <w:p>
            <w:pPr>
              <w:spacing w:line="440" w:lineRule="exact"/>
              <w:jc w:val="center"/>
              <w:rPr>
                <w:rFonts w:ascii="宋体" w:hAnsi="宋体" w:cs="宋体"/>
                <w:highlight w:val="none"/>
              </w:rPr>
            </w:pPr>
          </w:p>
        </w:tc>
        <w:tc>
          <w:tcPr>
            <w:tcW w:w="709" w:type="dxa"/>
          </w:tcPr>
          <w:p>
            <w:pPr>
              <w:spacing w:line="440" w:lineRule="exact"/>
              <w:jc w:val="center"/>
              <w:rPr>
                <w:rFonts w:ascii="宋体" w:hAnsi="宋体" w:cs="宋体"/>
                <w:highlight w:val="none"/>
              </w:rPr>
            </w:pPr>
          </w:p>
        </w:tc>
        <w:tc>
          <w:tcPr>
            <w:tcW w:w="672" w:type="dxa"/>
          </w:tcPr>
          <w:p>
            <w:pPr>
              <w:spacing w:line="440" w:lineRule="exact"/>
              <w:jc w:val="center"/>
              <w:rPr>
                <w:rFonts w:ascii="宋体" w:hAnsi="宋体" w:cs="宋体"/>
                <w:highlight w:val="none"/>
              </w:rPr>
            </w:pPr>
          </w:p>
        </w:tc>
        <w:tc>
          <w:tcPr>
            <w:tcW w:w="624" w:type="dxa"/>
          </w:tcPr>
          <w:p>
            <w:pPr>
              <w:spacing w:line="440" w:lineRule="exact"/>
              <w:jc w:val="center"/>
              <w:rPr>
                <w:rFonts w:ascii="宋体" w:hAnsi="宋体" w:cs="宋体"/>
                <w:highlight w:val="none"/>
              </w:rPr>
            </w:pPr>
          </w:p>
        </w:tc>
        <w:tc>
          <w:tcPr>
            <w:tcW w:w="722"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603" w:type="dxa"/>
          </w:tcPr>
          <w:p>
            <w:pPr>
              <w:spacing w:line="44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tcPr>
          <w:p>
            <w:pPr>
              <w:spacing w:line="440" w:lineRule="exact"/>
              <w:jc w:val="center"/>
              <w:rPr>
                <w:rFonts w:ascii="宋体" w:hAnsi="宋体" w:cs="宋体"/>
                <w:highlight w:val="none"/>
              </w:rPr>
            </w:pPr>
          </w:p>
        </w:tc>
        <w:tc>
          <w:tcPr>
            <w:tcW w:w="1106" w:type="dxa"/>
          </w:tcPr>
          <w:p>
            <w:pPr>
              <w:spacing w:line="440" w:lineRule="exact"/>
              <w:jc w:val="center"/>
              <w:rPr>
                <w:rFonts w:ascii="宋体" w:hAnsi="宋体" w:cs="宋体"/>
                <w:highlight w:val="none"/>
              </w:rPr>
            </w:pPr>
          </w:p>
        </w:tc>
        <w:tc>
          <w:tcPr>
            <w:tcW w:w="701" w:type="dxa"/>
          </w:tcPr>
          <w:p>
            <w:pPr>
              <w:spacing w:line="440" w:lineRule="exact"/>
              <w:jc w:val="center"/>
              <w:rPr>
                <w:rFonts w:ascii="宋体" w:hAnsi="宋体" w:cs="宋体"/>
                <w:highlight w:val="none"/>
              </w:rPr>
            </w:pPr>
          </w:p>
        </w:tc>
        <w:tc>
          <w:tcPr>
            <w:tcW w:w="616" w:type="dxa"/>
          </w:tcPr>
          <w:p>
            <w:pPr>
              <w:spacing w:line="440" w:lineRule="exact"/>
              <w:jc w:val="center"/>
              <w:rPr>
                <w:rFonts w:ascii="宋体" w:hAnsi="宋体" w:cs="宋体"/>
                <w:highlight w:val="none"/>
              </w:rPr>
            </w:pPr>
          </w:p>
        </w:tc>
        <w:tc>
          <w:tcPr>
            <w:tcW w:w="709" w:type="dxa"/>
          </w:tcPr>
          <w:p>
            <w:pPr>
              <w:spacing w:line="440" w:lineRule="exact"/>
              <w:jc w:val="center"/>
              <w:rPr>
                <w:rFonts w:ascii="宋体" w:hAnsi="宋体" w:cs="宋体"/>
                <w:highlight w:val="none"/>
              </w:rPr>
            </w:pPr>
          </w:p>
        </w:tc>
        <w:tc>
          <w:tcPr>
            <w:tcW w:w="672" w:type="dxa"/>
          </w:tcPr>
          <w:p>
            <w:pPr>
              <w:spacing w:line="440" w:lineRule="exact"/>
              <w:jc w:val="center"/>
              <w:rPr>
                <w:rFonts w:ascii="宋体" w:hAnsi="宋体" w:cs="宋体"/>
                <w:highlight w:val="none"/>
              </w:rPr>
            </w:pPr>
          </w:p>
        </w:tc>
        <w:tc>
          <w:tcPr>
            <w:tcW w:w="624" w:type="dxa"/>
          </w:tcPr>
          <w:p>
            <w:pPr>
              <w:spacing w:line="440" w:lineRule="exact"/>
              <w:jc w:val="center"/>
              <w:rPr>
                <w:rFonts w:ascii="宋体" w:hAnsi="宋体" w:cs="宋体"/>
                <w:highlight w:val="none"/>
              </w:rPr>
            </w:pPr>
          </w:p>
        </w:tc>
        <w:tc>
          <w:tcPr>
            <w:tcW w:w="722"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603" w:type="dxa"/>
          </w:tcPr>
          <w:p>
            <w:pPr>
              <w:spacing w:line="44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tcPr>
          <w:p>
            <w:pPr>
              <w:spacing w:line="440" w:lineRule="exact"/>
              <w:jc w:val="center"/>
              <w:rPr>
                <w:rFonts w:ascii="宋体" w:hAnsi="宋体" w:cs="宋体"/>
                <w:highlight w:val="none"/>
              </w:rPr>
            </w:pPr>
          </w:p>
        </w:tc>
        <w:tc>
          <w:tcPr>
            <w:tcW w:w="1106" w:type="dxa"/>
          </w:tcPr>
          <w:p>
            <w:pPr>
              <w:spacing w:line="440" w:lineRule="exact"/>
              <w:jc w:val="center"/>
              <w:rPr>
                <w:rFonts w:ascii="宋体" w:hAnsi="宋体" w:cs="宋体"/>
                <w:highlight w:val="none"/>
              </w:rPr>
            </w:pPr>
          </w:p>
        </w:tc>
        <w:tc>
          <w:tcPr>
            <w:tcW w:w="701" w:type="dxa"/>
          </w:tcPr>
          <w:p>
            <w:pPr>
              <w:spacing w:line="440" w:lineRule="exact"/>
              <w:jc w:val="center"/>
              <w:rPr>
                <w:rFonts w:ascii="宋体" w:hAnsi="宋体" w:cs="宋体"/>
                <w:highlight w:val="none"/>
              </w:rPr>
            </w:pPr>
          </w:p>
        </w:tc>
        <w:tc>
          <w:tcPr>
            <w:tcW w:w="616" w:type="dxa"/>
          </w:tcPr>
          <w:p>
            <w:pPr>
              <w:spacing w:line="440" w:lineRule="exact"/>
              <w:jc w:val="center"/>
              <w:rPr>
                <w:rFonts w:ascii="宋体" w:hAnsi="宋体" w:cs="宋体"/>
                <w:highlight w:val="none"/>
              </w:rPr>
            </w:pPr>
          </w:p>
        </w:tc>
        <w:tc>
          <w:tcPr>
            <w:tcW w:w="709" w:type="dxa"/>
          </w:tcPr>
          <w:p>
            <w:pPr>
              <w:spacing w:line="440" w:lineRule="exact"/>
              <w:jc w:val="center"/>
              <w:rPr>
                <w:rFonts w:ascii="宋体" w:hAnsi="宋体" w:cs="宋体"/>
                <w:highlight w:val="none"/>
              </w:rPr>
            </w:pPr>
          </w:p>
        </w:tc>
        <w:tc>
          <w:tcPr>
            <w:tcW w:w="672" w:type="dxa"/>
          </w:tcPr>
          <w:p>
            <w:pPr>
              <w:spacing w:line="440" w:lineRule="exact"/>
              <w:jc w:val="center"/>
              <w:rPr>
                <w:rFonts w:ascii="宋体" w:hAnsi="宋体" w:cs="宋体"/>
                <w:highlight w:val="none"/>
              </w:rPr>
            </w:pPr>
          </w:p>
        </w:tc>
        <w:tc>
          <w:tcPr>
            <w:tcW w:w="624" w:type="dxa"/>
          </w:tcPr>
          <w:p>
            <w:pPr>
              <w:spacing w:line="440" w:lineRule="exact"/>
              <w:jc w:val="center"/>
              <w:rPr>
                <w:rFonts w:ascii="宋体" w:hAnsi="宋体" w:cs="宋体"/>
                <w:highlight w:val="none"/>
              </w:rPr>
            </w:pPr>
          </w:p>
        </w:tc>
        <w:tc>
          <w:tcPr>
            <w:tcW w:w="722"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603" w:type="dxa"/>
          </w:tcPr>
          <w:p>
            <w:pPr>
              <w:spacing w:line="44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tcPr>
          <w:p>
            <w:pPr>
              <w:spacing w:line="440" w:lineRule="exact"/>
              <w:jc w:val="center"/>
              <w:rPr>
                <w:rFonts w:ascii="宋体" w:hAnsi="宋体" w:cs="宋体"/>
                <w:highlight w:val="none"/>
              </w:rPr>
            </w:pPr>
          </w:p>
        </w:tc>
        <w:tc>
          <w:tcPr>
            <w:tcW w:w="1106" w:type="dxa"/>
          </w:tcPr>
          <w:p>
            <w:pPr>
              <w:spacing w:line="440" w:lineRule="exact"/>
              <w:jc w:val="center"/>
              <w:rPr>
                <w:rFonts w:ascii="宋体" w:hAnsi="宋体" w:cs="宋体"/>
                <w:highlight w:val="none"/>
              </w:rPr>
            </w:pPr>
          </w:p>
        </w:tc>
        <w:tc>
          <w:tcPr>
            <w:tcW w:w="701" w:type="dxa"/>
          </w:tcPr>
          <w:p>
            <w:pPr>
              <w:spacing w:line="440" w:lineRule="exact"/>
              <w:jc w:val="center"/>
              <w:rPr>
                <w:rFonts w:ascii="宋体" w:hAnsi="宋体" w:cs="宋体"/>
                <w:highlight w:val="none"/>
              </w:rPr>
            </w:pPr>
          </w:p>
        </w:tc>
        <w:tc>
          <w:tcPr>
            <w:tcW w:w="616" w:type="dxa"/>
          </w:tcPr>
          <w:p>
            <w:pPr>
              <w:spacing w:line="440" w:lineRule="exact"/>
              <w:jc w:val="center"/>
              <w:rPr>
                <w:rFonts w:ascii="宋体" w:hAnsi="宋体" w:cs="宋体"/>
                <w:highlight w:val="none"/>
              </w:rPr>
            </w:pPr>
          </w:p>
        </w:tc>
        <w:tc>
          <w:tcPr>
            <w:tcW w:w="709" w:type="dxa"/>
          </w:tcPr>
          <w:p>
            <w:pPr>
              <w:spacing w:line="440" w:lineRule="exact"/>
              <w:jc w:val="center"/>
              <w:rPr>
                <w:rFonts w:ascii="宋体" w:hAnsi="宋体" w:cs="宋体"/>
                <w:highlight w:val="none"/>
              </w:rPr>
            </w:pPr>
          </w:p>
        </w:tc>
        <w:tc>
          <w:tcPr>
            <w:tcW w:w="672" w:type="dxa"/>
          </w:tcPr>
          <w:p>
            <w:pPr>
              <w:spacing w:line="440" w:lineRule="exact"/>
              <w:jc w:val="center"/>
              <w:rPr>
                <w:rFonts w:ascii="宋体" w:hAnsi="宋体" w:cs="宋体"/>
                <w:highlight w:val="none"/>
              </w:rPr>
            </w:pPr>
          </w:p>
        </w:tc>
        <w:tc>
          <w:tcPr>
            <w:tcW w:w="624" w:type="dxa"/>
          </w:tcPr>
          <w:p>
            <w:pPr>
              <w:spacing w:line="440" w:lineRule="exact"/>
              <w:jc w:val="center"/>
              <w:rPr>
                <w:rFonts w:ascii="宋体" w:hAnsi="宋体" w:cs="宋体"/>
                <w:highlight w:val="none"/>
              </w:rPr>
            </w:pPr>
          </w:p>
        </w:tc>
        <w:tc>
          <w:tcPr>
            <w:tcW w:w="722"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603" w:type="dxa"/>
          </w:tcPr>
          <w:p>
            <w:pPr>
              <w:spacing w:line="44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tcPr>
          <w:p>
            <w:pPr>
              <w:spacing w:line="440" w:lineRule="exact"/>
              <w:jc w:val="center"/>
              <w:rPr>
                <w:rFonts w:ascii="宋体" w:hAnsi="宋体" w:cs="宋体"/>
                <w:highlight w:val="none"/>
              </w:rPr>
            </w:pPr>
          </w:p>
        </w:tc>
        <w:tc>
          <w:tcPr>
            <w:tcW w:w="1106" w:type="dxa"/>
          </w:tcPr>
          <w:p>
            <w:pPr>
              <w:spacing w:line="440" w:lineRule="exact"/>
              <w:jc w:val="center"/>
              <w:rPr>
                <w:rFonts w:ascii="宋体" w:hAnsi="宋体" w:cs="宋体"/>
                <w:highlight w:val="none"/>
              </w:rPr>
            </w:pPr>
          </w:p>
        </w:tc>
        <w:tc>
          <w:tcPr>
            <w:tcW w:w="701" w:type="dxa"/>
          </w:tcPr>
          <w:p>
            <w:pPr>
              <w:spacing w:line="440" w:lineRule="exact"/>
              <w:jc w:val="center"/>
              <w:rPr>
                <w:rFonts w:ascii="宋体" w:hAnsi="宋体" w:cs="宋体"/>
                <w:highlight w:val="none"/>
              </w:rPr>
            </w:pPr>
          </w:p>
        </w:tc>
        <w:tc>
          <w:tcPr>
            <w:tcW w:w="616" w:type="dxa"/>
          </w:tcPr>
          <w:p>
            <w:pPr>
              <w:spacing w:line="440" w:lineRule="exact"/>
              <w:jc w:val="center"/>
              <w:rPr>
                <w:rFonts w:ascii="宋体" w:hAnsi="宋体" w:cs="宋体"/>
                <w:highlight w:val="none"/>
              </w:rPr>
            </w:pPr>
          </w:p>
        </w:tc>
        <w:tc>
          <w:tcPr>
            <w:tcW w:w="709" w:type="dxa"/>
          </w:tcPr>
          <w:p>
            <w:pPr>
              <w:spacing w:line="440" w:lineRule="exact"/>
              <w:jc w:val="center"/>
              <w:rPr>
                <w:rFonts w:ascii="宋体" w:hAnsi="宋体" w:cs="宋体"/>
                <w:highlight w:val="none"/>
              </w:rPr>
            </w:pPr>
          </w:p>
        </w:tc>
        <w:tc>
          <w:tcPr>
            <w:tcW w:w="672" w:type="dxa"/>
          </w:tcPr>
          <w:p>
            <w:pPr>
              <w:spacing w:line="440" w:lineRule="exact"/>
              <w:jc w:val="center"/>
              <w:rPr>
                <w:rFonts w:ascii="宋体" w:hAnsi="宋体" w:cs="宋体"/>
                <w:highlight w:val="none"/>
              </w:rPr>
            </w:pPr>
          </w:p>
        </w:tc>
        <w:tc>
          <w:tcPr>
            <w:tcW w:w="624" w:type="dxa"/>
          </w:tcPr>
          <w:p>
            <w:pPr>
              <w:spacing w:line="440" w:lineRule="exact"/>
              <w:jc w:val="center"/>
              <w:rPr>
                <w:rFonts w:ascii="宋体" w:hAnsi="宋体" w:cs="宋体"/>
                <w:highlight w:val="none"/>
              </w:rPr>
            </w:pPr>
          </w:p>
        </w:tc>
        <w:tc>
          <w:tcPr>
            <w:tcW w:w="722"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603" w:type="dxa"/>
          </w:tcPr>
          <w:p>
            <w:pPr>
              <w:spacing w:line="440" w:lineRule="exact"/>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dxa"/>
          </w:tcPr>
          <w:p>
            <w:pPr>
              <w:spacing w:line="440" w:lineRule="exact"/>
              <w:jc w:val="center"/>
              <w:rPr>
                <w:rFonts w:ascii="宋体" w:hAnsi="宋体" w:cs="宋体"/>
                <w:highlight w:val="none"/>
              </w:rPr>
            </w:pPr>
          </w:p>
        </w:tc>
        <w:tc>
          <w:tcPr>
            <w:tcW w:w="1106" w:type="dxa"/>
          </w:tcPr>
          <w:p>
            <w:pPr>
              <w:spacing w:line="440" w:lineRule="exact"/>
              <w:jc w:val="center"/>
              <w:rPr>
                <w:rFonts w:ascii="宋体" w:hAnsi="宋体" w:cs="宋体"/>
                <w:highlight w:val="none"/>
              </w:rPr>
            </w:pPr>
          </w:p>
        </w:tc>
        <w:tc>
          <w:tcPr>
            <w:tcW w:w="701" w:type="dxa"/>
          </w:tcPr>
          <w:p>
            <w:pPr>
              <w:spacing w:line="440" w:lineRule="exact"/>
              <w:jc w:val="center"/>
              <w:rPr>
                <w:rFonts w:ascii="宋体" w:hAnsi="宋体" w:cs="宋体"/>
                <w:highlight w:val="none"/>
              </w:rPr>
            </w:pPr>
          </w:p>
        </w:tc>
        <w:tc>
          <w:tcPr>
            <w:tcW w:w="616" w:type="dxa"/>
          </w:tcPr>
          <w:p>
            <w:pPr>
              <w:spacing w:line="440" w:lineRule="exact"/>
              <w:jc w:val="center"/>
              <w:rPr>
                <w:rFonts w:ascii="宋体" w:hAnsi="宋体" w:cs="宋体"/>
                <w:highlight w:val="none"/>
              </w:rPr>
            </w:pPr>
          </w:p>
        </w:tc>
        <w:tc>
          <w:tcPr>
            <w:tcW w:w="709" w:type="dxa"/>
          </w:tcPr>
          <w:p>
            <w:pPr>
              <w:spacing w:line="440" w:lineRule="exact"/>
              <w:jc w:val="center"/>
              <w:rPr>
                <w:rFonts w:ascii="宋体" w:hAnsi="宋体" w:cs="宋体"/>
                <w:highlight w:val="none"/>
              </w:rPr>
            </w:pPr>
          </w:p>
        </w:tc>
        <w:tc>
          <w:tcPr>
            <w:tcW w:w="672" w:type="dxa"/>
          </w:tcPr>
          <w:p>
            <w:pPr>
              <w:spacing w:line="440" w:lineRule="exact"/>
              <w:jc w:val="center"/>
              <w:rPr>
                <w:rFonts w:ascii="宋体" w:hAnsi="宋体" w:cs="宋体"/>
                <w:highlight w:val="none"/>
              </w:rPr>
            </w:pPr>
          </w:p>
        </w:tc>
        <w:tc>
          <w:tcPr>
            <w:tcW w:w="624" w:type="dxa"/>
          </w:tcPr>
          <w:p>
            <w:pPr>
              <w:spacing w:line="440" w:lineRule="exact"/>
              <w:jc w:val="center"/>
              <w:rPr>
                <w:rFonts w:ascii="宋体" w:hAnsi="宋体" w:cs="宋体"/>
                <w:highlight w:val="none"/>
              </w:rPr>
            </w:pPr>
          </w:p>
        </w:tc>
        <w:tc>
          <w:tcPr>
            <w:tcW w:w="722"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965" w:type="dxa"/>
          </w:tcPr>
          <w:p>
            <w:pPr>
              <w:spacing w:line="440" w:lineRule="exact"/>
              <w:jc w:val="center"/>
              <w:rPr>
                <w:rFonts w:ascii="宋体" w:hAnsi="宋体" w:cs="宋体"/>
                <w:highlight w:val="none"/>
              </w:rPr>
            </w:pPr>
          </w:p>
        </w:tc>
        <w:tc>
          <w:tcPr>
            <w:tcW w:w="603" w:type="dxa"/>
          </w:tcPr>
          <w:p>
            <w:pPr>
              <w:spacing w:line="440" w:lineRule="exact"/>
              <w:jc w:val="center"/>
              <w:rPr>
                <w:rFonts w:ascii="宋体" w:hAnsi="宋体" w:cs="宋体"/>
                <w:highlight w:val="none"/>
              </w:rPr>
            </w:pPr>
          </w:p>
        </w:tc>
      </w:tr>
    </w:tbl>
    <w:p>
      <w:pPr>
        <w:spacing w:line="440" w:lineRule="exact"/>
        <w:rPr>
          <w:rFonts w:ascii="宋体" w:hAnsi="宋体" w:cs="宋体"/>
          <w:sz w:val="24"/>
          <w:szCs w:val="24"/>
          <w:highlight w:val="none"/>
        </w:rPr>
      </w:pPr>
      <w:r>
        <w:rPr>
          <w:rFonts w:hint="eastAsia" w:ascii="宋体" w:hAnsi="宋体" w:cs="宋体"/>
          <w:sz w:val="24"/>
          <w:szCs w:val="24"/>
          <w:highlight w:val="none"/>
        </w:rPr>
        <w:t>注：投标人可根据评标办法前附表的要求附相关证明材料</w:t>
      </w:r>
    </w:p>
    <w:p>
      <w:pPr>
        <w:spacing w:line="440" w:lineRule="exact"/>
        <w:rPr>
          <w:rFonts w:ascii="宋体" w:hAnsi="宋体" w:cs="宋体"/>
          <w:szCs w:val="21"/>
          <w:highlight w:val="none"/>
        </w:rPr>
      </w:pPr>
    </w:p>
    <w:p>
      <w:pPr>
        <w:spacing w:line="440" w:lineRule="exact"/>
        <w:rPr>
          <w:rFonts w:ascii="宋体" w:hAnsi="宋体" w:cs="宋体"/>
          <w:b/>
          <w:bCs/>
          <w:sz w:val="28"/>
          <w:szCs w:val="28"/>
          <w:highlight w:val="none"/>
        </w:rPr>
      </w:pPr>
      <w:r>
        <w:rPr>
          <w:rFonts w:hint="eastAsia" w:ascii="宋体" w:hAnsi="宋体" w:cs="宋体"/>
          <w:highlight w:val="none"/>
        </w:rPr>
        <w:br w:type="page"/>
      </w:r>
      <w:r>
        <w:rPr>
          <w:rFonts w:hint="eastAsia" w:ascii="宋体" w:hAnsi="宋体" w:cs="宋体"/>
          <w:b/>
          <w:bCs/>
          <w:sz w:val="28"/>
          <w:szCs w:val="28"/>
          <w:highlight w:val="none"/>
        </w:rPr>
        <w:t>（四）主要人员简历表（格式可自定）</w:t>
      </w:r>
    </w:p>
    <w:p>
      <w:pPr>
        <w:topLinePunct/>
        <w:spacing w:line="440" w:lineRule="exact"/>
        <w:jc w:val="center"/>
        <w:rPr>
          <w:rFonts w:ascii="宋体" w:hAnsi="宋体" w:cs="宋体"/>
          <w:sz w:val="23"/>
          <w:szCs w:val="23"/>
          <w:highlight w:val="none"/>
        </w:rPr>
      </w:pPr>
    </w:p>
    <w:tbl>
      <w:tblPr>
        <w:tblStyle w:val="19"/>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363"/>
        <w:gridCol w:w="171"/>
        <w:gridCol w:w="681"/>
        <w:gridCol w:w="782"/>
        <w:gridCol w:w="810"/>
        <w:gridCol w:w="624"/>
        <w:gridCol w:w="682"/>
        <w:gridCol w:w="68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125" w:type="dxa"/>
            <w:tcBorders>
              <w:top w:val="single" w:color="auto" w:sz="12" w:space="0"/>
              <w:left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姓名</w:t>
            </w:r>
          </w:p>
        </w:tc>
        <w:tc>
          <w:tcPr>
            <w:tcW w:w="1363" w:type="dxa"/>
            <w:tcBorders>
              <w:top w:val="single" w:color="auto" w:sz="12" w:space="0"/>
            </w:tcBorders>
            <w:vAlign w:val="center"/>
          </w:tcPr>
          <w:p>
            <w:pPr>
              <w:jc w:val="center"/>
              <w:rPr>
                <w:rFonts w:ascii="宋体" w:hAnsi="宋体" w:cs="宋体"/>
                <w:position w:val="-30"/>
                <w:sz w:val="24"/>
                <w:highlight w:val="none"/>
              </w:rPr>
            </w:pPr>
          </w:p>
        </w:tc>
        <w:tc>
          <w:tcPr>
            <w:tcW w:w="852" w:type="dxa"/>
            <w:gridSpan w:val="2"/>
            <w:tcBorders>
              <w:top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性别</w:t>
            </w:r>
          </w:p>
        </w:tc>
        <w:tc>
          <w:tcPr>
            <w:tcW w:w="782" w:type="dxa"/>
            <w:tcBorders>
              <w:top w:val="single" w:color="auto" w:sz="12" w:space="0"/>
            </w:tcBorders>
            <w:vAlign w:val="center"/>
          </w:tcPr>
          <w:p>
            <w:pPr>
              <w:jc w:val="center"/>
              <w:rPr>
                <w:rFonts w:ascii="宋体" w:hAnsi="宋体" w:cs="宋体"/>
                <w:position w:val="-30"/>
                <w:sz w:val="24"/>
                <w:highlight w:val="none"/>
              </w:rPr>
            </w:pPr>
          </w:p>
        </w:tc>
        <w:tc>
          <w:tcPr>
            <w:tcW w:w="810" w:type="dxa"/>
            <w:tcBorders>
              <w:top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出生</w:t>
            </w:r>
          </w:p>
          <w:p>
            <w:pPr>
              <w:jc w:val="center"/>
              <w:rPr>
                <w:rFonts w:ascii="宋体" w:hAnsi="宋体" w:cs="宋体"/>
                <w:position w:val="-30"/>
                <w:sz w:val="24"/>
                <w:highlight w:val="none"/>
              </w:rPr>
            </w:pPr>
            <w:r>
              <w:rPr>
                <w:rFonts w:hint="eastAsia" w:ascii="宋体" w:hAnsi="宋体" w:cs="宋体"/>
                <w:position w:val="-30"/>
                <w:sz w:val="24"/>
                <w:highlight w:val="none"/>
              </w:rPr>
              <w:t>年月</w:t>
            </w:r>
          </w:p>
        </w:tc>
        <w:tc>
          <w:tcPr>
            <w:tcW w:w="1306" w:type="dxa"/>
            <w:gridSpan w:val="2"/>
            <w:tcBorders>
              <w:top w:val="single" w:color="auto" w:sz="12" w:space="0"/>
            </w:tcBorders>
            <w:vAlign w:val="center"/>
          </w:tcPr>
          <w:p>
            <w:pPr>
              <w:jc w:val="center"/>
              <w:rPr>
                <w:rFonts w:ascii="宋体" w:hAnsi="宋体" w:cs="宋体"/>
                <w:position w:val="-30"/>
                <w:sz w:val="24"/>
                <w:highlight w:val="none"/>
              </w:rPr>
            </w:pPr>
          </w:p>
        </w:tc>
        <w:tc>
          <w:tcPr>
            <w:tcW w:w="682" w:type="dxa"/>
            <w:tcBorders>
              <w:top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文化程度</w:t>
            </w:r>
          </w:p>
        </w:tc>
        <w:tc>
          <w:tcPr>
            <w:tcW w:w="1362" w:type="dxa"/>
            <w:tcBorders>
              <w:top w:val="single" w:color="auto" w:sz="12" w:space="0"/>
              <w:right w:val="single" w:color="auto" w:sz="12" w:space="0"/>
            </w:tcBorders>
            <w:vAlign w:val="center"/>
          </w:tcPr>
          <w:p>
            <w:pPr>
              <w:jc w:val="center"/>
              <w:rPr>
                <w:rFonts w:ascii="宋体" w:hAnsi="宋体" w:cs="宋体"/>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125" w:type="dxa"/>
            <w:tcBorders>
              <w:left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毕业院校</w:t>
            </w:r>
          </w:p>
        </w:tc>
        <w:tc>
          <w:tcPr>
            <w:tcW w:w="2215" w:type="dxa"/>
            <w:gridSpan w:val="3"/>
            <w:vAlign w:val="center"/>
          </w:tcPr>
          <w:p>
            <w:pPr>
              <w:jc w:val="center"/>
              <w:rPr>
                <w:rFonts w:ascii="宋体" w:hAnsi="宋体" w:cs="宋体"/>
                <w:position w:val="-30"/>
                <w:sz w:val="24"/>
                <w:highlight w:val="none"/>
              </w:rPr>
            </w:pPr>
          </w:p>
        </w:tc>
        <w:tc>
          <w:tcPr>
            <w:tcW w:w="782" w:type="dxa"/>
            <w:vAlign w:val="center"/>
          </w:tcPr>
          <w:p>
            <w:pPr>
              <w:jc w:val="center"/>
              <w:rPr>
                <w:rFonts w:ascii="宋体" w:hAnsi="宋体" w:cs="宋体"/>
                <w:position w:val="-30"/>
                <w:sz w:val="24"/>
                <w:highlight w:val="none"/>
              </w:rPr>
            </w:pPr>
            <w:r>
              <w:rPr>
                <w:rFonts w:hint="eastAsia" w:ascii="宋体" w:hAnsi="宋体" w:cs="宋体"/>
                <w:position w:val="-30"/>
                <w:sz w:val="24"/>
                <w:highlight w:val="none"/>
              </w:rPr>
              <w:t>专业</w:t>
            </w:r>
          </w:p>
        </w:tc>
        <w:tc>
          <w:tcPr>
            <w:tcW w:w="1434" w:type="dxa"/>
            <w:gridSpan w:val="2"/>
            <w:vAlign w:val="center"/>
          </w:tcPr>
          <w:p>
            <w:pPr>
              <w:jc w:val="center"/>
              <w:rPr>
                <w:rFonts w:ascii="宋体" w:hAnsi="宋体" w:cs="宋体"/>
                <w:position w:val="-30"/>
                <w:sz w:val="24"/>
                <w:highlight w:val="none"/>
              </w:rPr>
            </w:pPr>
          </w:p>
        </w:tc>
        <w:tc>
          <w:tcPr>
            <w:tcW w:w="1364" w:type="dxa"/>
            <w:gridSpan w:val="2"/>
            <w:vAlign w:val="center"/>
          </w:tcPr>
          <w:p>
            <w:pPr>
              <w:jc w:val="center"/>
              <w:rPr>
                <w:rFonts w:ascii="宋体" w:hAnsi="宋体" w:cs="宋体"/>
                <w:position w:val="-30"/>
                <w:sz w:val="24"/>
                <w:highlight w:val="none"/>
              </w:rPr>
            </w:pPr>
            <w:r>
              <w:rPr>
                <w:rFonts w:hint="eastAsia" w:ascii="宋体" w:hAnsi="宋体" w:cs="宋体"/>
                <w:position w:val="-30"/>
                <w:sz w:val="24"/>
                <w:highlight w:val="none"/>
              </w:rPr>
              <w:t>毕业时间</w:t>
            </w:r>
          </w:p>
        </w:tc>
        <w:tc>
          <w:tcPr>
            <w:tcW w:w="1362" w:type="dxa"/>
            <w:tcBorders>
              <w:right w:val="single" w:color="auto" w:sz="12" w:space="0"/>
            </w:tcBorders>
            <w:vAlign w:val="center"/>
          </w:tcPr>
          <w:p>
            <w:pPr>
              <w:jc w:val="center"/>
              <w:rPr>
                <w:rFonts w:ascii="宋体" w:hAnsi="宋体" w:cs="宋体"/>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125" w:type="dxa"/>
            <w:tcBorders>
              <w:left w:val="single" w:color="auto" w:sz="12" w:space="0"/>
              <w:bottom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技术职称</w:t>
            </w:r>
          </w:p>
        </w:tc>
        <w:tc>
          <w:tcPr>
            <w:tcW w:w="1534" w:type="dxa"/>
            <w:gridSpan w:val="2"/>
            <w:tcBorders>
              <w:bottom w:val="single" w:color="auto" w:sz="12" w:space="0"/>
            </w:tcBorders>
            <w:vAlign w:val="center"/>
          </w:tcPr>
          <w:p>
            <w:pPr>
              <w:jc w:val="center"/>
              <w:rPr>
                <w:rFonts w:ascii="宋体" w:hAnsi="宋体" w:cs="宋体"/>
                <w:position w:val="-30"/>
                <w:sz w:val="24"/>
                <w:highlight w:val="none"/>
              </w:rPr>
            </w:pPr>
          </w:p>
        </w:tc>
        <w:tc>
          <w:tcPr>
            <w:tcW w:w="1463" w:type="dxa"/>
            <w:gridSpan w:val="2"/>
            <w:tcBorders>
              <w:bottom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从事检测工作年限</w:t>
            </w:r>
          </w:p>
        </w:tc>
        <w:tc>
          <w:tcPr>
            <w:tcW w:w="1434" w:type="dxa"/>
            <w:gridSpan w:val="2"/>
            <w:tcBorders>
              <w:bottom w:val="single" w:color="auto" w:sz="12" w:space="0"/>
            </w:tcBorders>
            <w:vAlign w:val="center"/>
          </w:tcPr>
          <w:p>
            <w:pPr>
              <w:jc w:val="center"/>
              <w:rPr>
                <w:rFonts w:ascii="宋体" w:hAnsi="宋体" w:cs="宋体"/>
                <w:position w:val="-30"/>
                <w:sz w:val="24"/>
                <w:highlight w:val="none"/>
              </w:rPr>
            </w:pPr>
          </w:p>
        </w:tc>
        <w:tc>
          <w:tcPr>
            <w:tcW w:w="1364" w:type="dxa"/>
            <w:gridSpan w:val="2"/>
            <w:tcBorders>
              <w:bottom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拟在本项目担任的职务</w:t>
            </w:r>
          </w:p>
        </w:tc>
        <w:tc>
          <w:tcPr>
            <w:tcW w:w="1362" w:type="dxa"/>
            <w:tcBorders>
              <w:bottom w:val="single" w:color="auto" w:sz="12" w:space="0"/>
              <w:right w:val="single" w:color="auto" w:sz="12" w:space="0"/>
            </w:tcBorders>
            <w:vAlign w:val="center"/>
          </w:tcPr>
          <w:p>
            <w:pPr>
              <w:jc w:val="center"/>
              <w:rPr>
                <w:rFonts w:ascii="宋体" w:hAnsi="宋体" w:cs="宋体"/>
                <w:position w:val="-3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125" w:type="dxa"/>
            <w:vMerge w:val="restart"/>
            <w:tcBorders>
              <w:top w:val="single" w:color="auto" w:sz="12" w:space="0"/>
              <w:left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检测</w:t>
            </w:r>
          </w:p>
          <w:p>
            <w:pPr>
              <w:jc w:val="center"/>
              <w:rPr>
                <w:rFonts w:ascii="宋体" w:hAnsi="宋体" w:cs="宋体"/>
                <w:position w:val="-30"/>
                <w:sz w:val="24"/>
                <w:highlight w:val="none"/>
              </w:rPr>
            </w:pPr>
            <w:r>
              <w:rPr>
                <w:rFonts w:hint="eastAsia" w:ascii="宋体" w:hAnsi="宋体" w:cs="宋体"/>
                <w:position w:val="-30"/>
                <w:sz w:val="24"/>
                <w:highlight w:val="none"/>
              </w:rPr>
              <w:t>主要经历</w:t>
            </w:r>
          </w:p>
        </w:tc>
        <w:tc>
          <w:tcPr>
            <w:tcW w:w="1534" w:type="dxa"/>
            <w:gridSpan w:val="2"/>
            <w:tcBorders>
              <w:top w:val="single" w:color="auto" w:sz="12" w:space="0"/>
            </w:tcBorders>
            <w:vAlign w:val="center"/>
          </w:tcPr>
          <w:p>
            <w:pPr>
              <w:jc w:val="center"/>
              <w:rPr>
                <w:rFonts w:ascii="宋体" w:hAnsi="宋体" w:cs="宋体"/>
                <w:position w:val="-30"/>
                <w:sz w:val="24"/>
                <w:highlight w:val="none"/>
              </w:rPr>
            </w:pPr>
            <w:bookmarkStart w:id="517" w:name="OLE_LINK3"/>
            <w:r>
              <w:rPr>
                <w:rFonts w:hint="eastAsia" w:ascii="宋体" w:hAnsi="宋体" w:cs="宋体"/>
                <w:position w:val="-30"/>
                <w:sz w:val="24"/>
                <w:highlight w:val="none"/>
              </w:rPr>
              <w:t>起讫</w:t>
            </w:r>
            <w:bookmarkEnd w:id="517"/>
            <w:r>
              <w:rPr>
                <w:rFonts w:hint="eastAsia" w:ascii="宋体" w:hAnsi="宋体" w:cs="宋体"/>
                <w:position w:val="-30"/>
                <w:sz w:val="24"/>
                <w:highlight w:val="none"/>
              </w:rPr>
              <w:t>时间</w:t>
            </w:r>
          </w:p>
        </w:tc>
        <w:tc>
          <w:tcPr>
            <w:tcW w:w="1463" w:type="dxa"/>
            <w:gridSpan w:val="2"/>
            <w:tcBorders>
              <w:top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任  职</w:t>
            </w:r>
          </w:p>
        </w:tc>
        <w:tc>
          <w:tcPr>
            <w:tcW w:w="1434" w:type="dxa"/>
            <w:gridSpan w:val="2"/>
            <w:tcBorders>
              <w:top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工程名称</w:t>
            </w:r>
          </w:p>
        </w:tc>
        <w:tc>
          <w:tcPr>
            <w:tcW w:w="2726" w:type="dxa"/>
            <w:gridSpan w:val="3"/>
            <w:tcBorders>
              <w:top w:val="single" w:color="auto" w:sz="12" w:space="0"/>
              <w:right w:val="single" w:color="auto" w:sz="12" w:space="0"/>
            </w:tcBorders>
            <w:vAlign w:val="center"/>
          </w:tcPr>
          <w:p>
            <w:pPr>
              <w:jc w:val="center"/>
              <w:rPr>
                <w:rFonts w:ascii="宋体" w:hAnsi="宋体" w:cs="宋体"/>
                <w:position w:val="-30"/>
                <w:sz w:val="24"/>
                <w:highlight w:val="none"/>
              </w:rPr>
            </w:pPr>
            <w:r>
              <w:rPr>
                <w:rFonts w:hint="eastAsia" w:ascii="宋体" w:hAnsi="宋体" w:cs="宋体"/>
                <w:position w:val="-30"/>
                <w:sz w:val="24"/>
                <w:highlight w:val="no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6" w:hRule="atLeast"/>
        </w:trPr>
        <w:tc>
          <w:tcPr>
            <w:tcW w:w="1125" w:type="dxa"/>
            <w:vMerge w:val="continue"/>
            <w:tcBorders>
              <w:left w:val="single" w:color="auto" w:sz="12" w:space="0"/>
              <w:bottom w:val="single" w:color="auto" w:sz="12" w:space="0"/>
            </w:tcBorders>
          </w:tcPr>
          <w:p>
            <w:pPr>
              <w:rPr>
                <w:rFonts w:ascii="宋体" w:hAnsi="宋体" w:cs="宋体"/>
                <w:position w:val="-30"/>
                <w:sz w:val="24"/>
                <w:highlight w:val="none"/>
              </w:rPr>
            </w:pPr>
          </w:p>
        </w:tc>
        <w:tc>
          <w:tcPr>
            <w:tcW w:w="1534" w:type="dxa"/>
            <w:gridSpan w:val="2"/>
            <w:tcBorders>
              <w:bottom w:val="single" w:color="auto" w:sz="12" w:space="0"/>
            </w:tcBorders>
          </w:tcPr>
          <w:p>
            <w:pPr>
              <w:rPr>
                <w:rFonts w:ascii="宋体" w:hAnsi="宋体" w:cs="宋体"/>
                <w:position w:val="-30"/>
                <w:sz w:val="24"/>
                <w:highlight w:val="none"/>
              </w:rPr>
            </w:pPr>
          </w:p>
        </w:tc>
        <w:tc>
          <w:tcPr>
            <w:tcW w:w="1463" w:type="dxa"/>
            <w:gridSpan w:val="2"/>
            <w:tcBorders>
              <w:bottom w:val="single" w:color="auto" w:sz="12" w:space="0"/>
            </w:tcBorders>
          </w:tcPr>
          <w:p>
            <w:pPr>
              <w:rPr>
                <w:rFonts w:ascii="宋体" w:hAnsi="宋体" w:cs="宋体"/>
                <w:position w:val="-30"/>
                <w:sz w:val="24"/>
                <w:highlight w:val="none"/>
              </w:rPr>
            </w:pPr>
          </w:p>
        </w:tc>
        <w:tc>
          <w:tcPr>
            <w:tcW w:w="1434" w:type="dxa"/>
            <w:gridSpan w:val="2"/>
            <w:tcBorders>
              <w:bottom w:val="single" w:color="auto" w:sz="12" w:space="0"/>
            </w:tcBorders>
          </w:tcPr>
          <w:p>
            <w:pPr>
              <w:rPr>
                <w:rFonts w:ascii="宋体" w:hAnsi="宋体" w:cs="宋体"/>
                <w:position w:val="-30"/>
                <w:sz w:val="24"/>
                <w:highlight w:val="none"/>
              </w:rPr>
            </w:pPr>
          </w:p>
        </w:tc>
        <w:tc>
          <w:tcPr>
            <w:tcW w:w="2726" w:type="dxa"/>
            <w:gridSpan w:val="3"/>
            <w:tcBorders>
              <w:bottom w:val="single" w:color="auto" w:sz="12" w:space="0"/>
              <w:right w:val="single" w:color="auto" w:sz="12" w:space="0"/>
            </w:tcBorders>
          </w:tcPr>
          <w:p>
            <w:pPr>
              <w:rPr>
                <w:rFonts w:ascii="宋体" w:hAnsi="宋体" w:cs="宋体"/>
                <w:position w:val="-30"/>
                <w:sz w:val="24"/>
                <w:highlight w:val="none"/>
              </w:rPr>
            </w:pPr>
          </w:p>
        </w:tc>
      </w:tr>
    </w:tbl>
    <w:p>
      <w:pPr>
        <w:spacing w:line="440" w:lineRule="exact"/>
        <w:rPr>
          <w:rFonts w:ascii="宋体" w:hAnsi="宋体" w:cs="宋体"/>
          <w:sz w:val="24"/>
          <w:highlight w:val="none"/>
        </w:rPr>
      </w:pPr>
    </w:p>
    <w:p>
      <w:pPr>
        <w:spacing w:line="440" w:lineRule="exact"/>
        <w:rPr>
          <w:rFonts w:ascii="宋体" w:hAnsi="宋体" w:cs="宋体"/>
          <w:sz w:val="24"/>
          <w:szCs w:val="24"/>
          <w:highlight w:val="none"/>
        </w:rPr>
      </w:pPr>
      <w:r>
        <w:rPr>
          <w:rFonts w:hint="eastAsia" w:ascii="宋体" w:hAnsi="宋体" w:cs="宋体"/>
          <w:sz w:val="24"/>
          <w:szCs w:val="24"/>
          <w:highlight w:val="none"/>
        </w:rPr>
        <w:t>注：投标人可根据评标办法前附表的要求附相关证明材料</w:t>
      </w:r>
    </w:p>
    <w:p>
      <w:pPr>
        <w:spacing w:line="440" w:lineRule="exact"/>
        <w:rPr>
          <w:rFonts w:ascii="宋体" w:hAnsi="宋体" w:cs="宋体"/>
          <w:b/>
          <w:bCs/>
          <w:sz w:val="28"/>
          <w:szCs w:val="28"/>
          <w:highlight w:val="none"/>
        </w:rPr>
      </w:pPr>
      <w:r>
        <w:rPr>
          <w:rFonts w:hint="eastAsia" w:ascii="宋体" w:hAnsi="宋体" w:cs="宋体"/>
          <w:sz w:val="24"/>
          <w:highlight w:val="none"/>
        </w:rPr>
        <w:br w:type="page"/>
      </w:r>
      <w:r>
        <w:rPr>
          <w:rFonts w:hint="eastAsia" w:ascii="宋体" w:hAnsi="宋体" w:cs="宋体"/>
          <w:b/>
          <w:bCs/>
          <w:sz w:val="28"/>
          <w:szCs w:val="28"/>
          <w:highlight w:val="none"/>
        </w:rPr>
        <w:t>（五）拟投入本项目的主要仪器设备一览表（格式可自定）</w:t>
      </w:r>
    </w:p>
    <w:p>
      <w:pPr>
        <w:spacing w:line="440" w:lineRule="exact"/>
        <w:rPr>
          <w:rFonts w:ascii="宋体" w:hAnsi="宋体" w:cs="宋体"/>
          <w:b/>
          <w:bCs/>
          <w:sz w:val="28"/>
          <w:szCs w:val="28"/>
          <w:highlight w:val="none"/>
        </w:rPr>
      </w:pPr>
    </w:p>
    <w:tbl>
      <w:tblPr>
        <w:tblStyle w:val="19"/>
        <w:tblW w:w="8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30"/>
        <w:gridCol w:w="1236"/>
        <w:gridCol w:w="780"/>
        <w:gridCol w:w="979"/>
        <w:gridCol w:w="694"/>
        <w:gridCol w:w="1125"/>
        <w:gridCol w:w="571"/>
        <w:gridCol w:w="729"/>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26" w:type="dxa"/>
            <w:tcBorders>
              <w:top w:val="single" w:color="auto" w:sz="12" w:space="0"/>
              <w:left w:val="single" w:color="auto" w:sz="12" w:space="0"/>
              <w:bottom w:val="single" w:color="auto" w:sz="12" w:space="0"/>
            </w:tcBorders>
            <w:vAlign w:val="center"/>
          </w:tcPr>
          <w:p>
            <w:pPr>
              <w:jc w:val="center"/>
              <w:rPr>
                <w:rFonts w:ascii="宋体" w:hAnsi="宋体" w:cs="宋体"/>
                <w:szCs w:val="21"/>
                <w:highlight w:val="none"/>
              </w:rPr>
            </w:pPr>
            <w:r>
              <w:rPr>
                <w:rFonts w:hint="eastAsia" w:ascii="宋体" w:hAnsi="宋体" w:cs="宋体"/>
                <w:szCs w:val="21"/>
                <w:highlight w:val="none"/>
              </w:rPr>
              <w:t>序号</w:t>
            </w:r>
          </w:p>
        </w:tc>
        <w:tc>
          <w:tcPr>
            <w:tcW w:w="830" w:type="dxa"/>
            <w:tcBorders>
              <w:top w:val="single" w:color="auto" w:sz="12" w:space="0"/>
              <w:bottom w:val="single" w:color="auto" w:sz="12" w:space="0"/>
            </w:tcBorders>
            <w:vAlign w:val="center"/>
          </w:tcPr>
          <w:p>
            <w:pPr>
              <w:jc w:val="center"/>
              <w:rPr>
                <w:rFonts w:ascii="宋体" w:hAnsi="宋体" w:cs="宋体"/>
                <w:szCs w:val="21"/>
                <w:highlight w:val="none"/>
              </w:rPr>
            </w:pPr>
            <w:r>
              <w:rPr>
                <w:rFonts w:hint="eastAsia" w:ascii="宋体" w:hAnsi="宋体" w:cs="宋体"/>
                <w:szCs w:val="21"/>
                <w:highlight w:val="none"/>
              </w:rPr>
              <w:t>被检产品名称</w:t>
            </w:r>
          </w:p>
        </w:tc>
        <w:tc>
          <w:tcPr>
            <w:tcW w:w="1236" w:type="dxa"/>
            <w:tcBorders>
              <w:top w:val="single" w:color="auto" w:sz="12" w:space="0"/>
              <w:bottom w:val="single" w:color="auto" w:sz="12" w:space="0"/>
            </w:tcBorders>
            <w:vAlign w:val="center"/>
          </w:tcPr>
          <w:p>
            <w:pPr>
              <w:jc w:val="center"/>
              <w:rPr>
                <w:rFonts w:ascii="宋体" w:hAnsi="宋体" w:cs="宋体"/>
                <w:szCs w:val="21"/>
                <w:highlight w:val="none"/>
              </w:rPr>
            </w:pPr>
            <w:r>
              <w:rPr>
                <w:rFonts w:hint="eastAsia" w:ascii="宋体" w:hAnsi="宋体" w:cs="宋体"/>
                <w:szCs w:val="21"/>
                <w:highlight w:val="none"/>
              </w:rPr>
              <w:t>检定此产品</w:t>
            </w:r>
          </w:p>
          <w:p>
            <w:pPr>
              <w:jc w:val="center"/>
              <w:rPr>
                <w:rFonts w:ascii="宋体" w:hAnsi="宋体" w:cs="宋体"/>
                <w:szCs w:val="21"/>
                <w:highlight w:val="none"/>
              </w:rPr>
            </w:pPr>
            <w:r>
              <w:rPr>
                <w:rFonts w:hint="eastAsia" w:ascii="宋体" w:hAnsi="宋体" w:cs="宋体"/>
                <w:szCs w:val="21"/>
                <w:highlight w:val="none"/>
              </w:rPr>
              <w:t>所用的仪器名称</w:t>
            </w:r>
          </w:p>
        </w:tc>
        <w:tc>
          <w:tcPr>
            <w:tcW w:w="780" w:type="dxa"/>
            <w:tcBorders>
              <w:top w:val="single" w:color="auto" w:sz="12" w:space="0"/>
              <w:bottom w:val="single" w:color="auto" w:sz="12" w:space="0"/>
            </w:tcBorders>
            <w:vAlign w:val="center"/>
          </w:tcPr>
          <w:p>
            <w:pPr>
              <w:jc w:val="center"/>
              <w:rPr>
                <w:rFonts w:ascii="宋体" w:hAnsi="宋体" w:cs="宋体"/>
                <w:szCs w:val="21"/>
                <w:highlight w:val="none"/>
              </w:rPr>
            </w:pPr>
            <w:r>
              <w:rPr>
                <w:rFonts w:hint="eastAsia" w:ascii="宋体" w:hAnsi="宋体" w:cs="宋体"/>
                <w:szCs w:val="21"/>
                <w:highlight w:val="none"/>
              </w:rPr>
              <w:t>制造厂</w:t>
            </w:r>
          </w:p>
        </w:tc>
        <w:tc>
          <w:tcPr>
            <w:tcW w:w="979" w:type="dxa"/>
            <w:tcBorders>
              <w:top w:val="single" w:color="auto" w:sz="12" w:space="0"/>
              <w:bottom w:val="single" w:color="auto" w:sz="12" w:space="0"/>
            </w:tcBorders>
            <w:vAlign w:val="center"/>
          </w:tcPr>
          <w:p>
            <w:pPr>
              <w:jc w:val="center"/>
              <w:rPr>
                <w:rFonts w:ascii="宋体" w:hAnsi="宋体" w:cs="宋体"/>
                <w:szCs w:val="21"/>
                <w:highlight w:val="none"/>
              </w:rPr>
            </w:pPr>
            <w:r>
              <w:rPr>
                <w:rFonts w:hint="eastAsia" w:ascii="宋体" w:hAnsi="宋体" w:cs="宋体"/>
                <w:szCs w:val="21"/>
                <w:highlight w:val="none"/>
              </w:rPr>
              <w:t>检定/校准机构</w:t>
            </w:r>
          </w:p>
        </w:tc>
        <w:tc>
          <w:tcPr>
            <w:tcW w:w="694" w:type="dxa"/>
            <w:tcBorders>
              <w:top w:val="single" w:color="auto" w:sz="12" w:space="0"/>
              <w:bottom w:val="single" w:color="auto" w:sz="12" w:space="0"/>
            </w:tcBorders>
            <w:vAlign w:val="center"/>
          </w:tcPr>
          <w:p>
            <w:pPr>
              <w:jc w:val="center"/>
              <w:rPr>
                <w:rFonts w:ascii="宋体" w:hAnsi="宋体" w:cs="宋体"/>
                <w:szCs w:val="21"/>
                <w:highlight w:val="none"/>
              </w:rPr>
            </w:pPr>
            <w:r>
              <w:rPr>
                <w:rFonts w:hint="eastAsia" w:ascii="宋体" w:hAnsi="宋体" w:cs="宋体"/>
                <w:szCs w:val="21"/>
                <w:highlight w:val="none"/>
              </w:rPr>
              <w:t>有效期</w:t>
            </w:r>
          </w:p>
        </w:tc>
        <w:tc>
          <w:tcPr>
            <w:tcW w:w="1125" w:type="dxa"/>
            <w:tcBorders>
              <w:top w:val="single" w:color="auto" w:sz="12" w:space="0"/>
              <w:bottom w:val="single" w:color="auto" w:sz="12" w:space="0"/>
            </w:tcBorders>
            <w:vAlign w:val="center"/>
          </w:tcPr>
          <w:p>
            <w:pPr>
              <w:jc w:val="center"/>
              <w:rPr>
                <w:rFonts w:ascii="宋体" w:hAnsi="宋体" w:cs="宋体"/>
                <w:szCs w:val="21"/>
                <w:highlight w:val="none"/>
              </w:rPr>
            </w:pPr>
            <w:r>
              <w:rPr>
                <w:rFonts w:hint="eastAsia" w:ascii="宋体" w:hAnsi="宋体" w:cs="宋体"/>
                <w:szCs w:val="21"/>
                <w:highlight w:val="none"/>
              </w:rPr>
              <w:t>检定/校准周期</w:t>
            </w:r>
          </w:p>
        </w:tc>
        <w:tc>
          <w:tcPr>
            <w:tcW w:w="571" w:type="dxa"/>
            <w:tcBorders>
              <w:top w:val="single" w:color="auto" w:sz="12" w:space="0"/>
              <w:bottom w:val="single" w:color="auto" w:sz="12" w:space="0"/>
              <w:right w:val="single" w:color="auto" w:sz="12" w:space="0"/>
            </w:tcBorders>
            <w:vAlign w:val="center"/>
          </w:tcPr>
          <w:p>
            <w:pPr>
              <w:jc w:val="center"/>
              <w:rPr>
                <w:rFonts w:ascii="宋体" w:hAnsi="宋体" w:cs="宋体"/>
                <w:szCs w:val="21"/>
                <w:highlight w:val="none"/>
              </w:rPr>
            </w:pPr>
            <w:r>
              <w:rPr>
                <w:rFonts w:hint="eastAsia" w:ascii="宋体" w:hAnsi="宋体" w:cs="宋体"/>
                <w:szCs w:val="21"/>
                <w:highlight w:val="none"/>
              </w:rPr>
              <w:t>自有</w:t>
            </w:r>
          </w:p>
        </w:tc>
        <w:tc>
          <w:tcPr>
            <w:tcW w:w="729" w:type="dxa"/>
            <w:tcBorders>
              <w:top w:val="single" w:color="auto" w:sz="12" w:space="0"/>
              <w:bottom w:val="single" w:color="auto" w:sz="12" w:space="0"/>
              <w:right w:val="single" w:color="auto" w:sz="12" w:space="0"/>
            </w:tcBorders>
            <w:vAlign w:val="center"/>
          </w:tcPr>
          <w:p>
            <w:pPr>
              <w:jc w:val="center"/>
              <w:rPr>
                <w:rFonts w:ascii="宋体" w:hAnsi="宋体" w:cs="宋体"/>
                <w:szCs w:val="21"/>
                <w:highlight w:val="none"/>
              </w:rPr>
            </w:pPr>
            <w:r>
              <w:rPr>
                <w:rFonts w:hint="eastAsia" w:ascii="宋体" w:hAnsi="宋体" w:cs="宋体"/>
                <w:szCs w:val="21"/>
                <w:highlight w:val="none"/>
              </w:rPr>
              <w:t>租赁</w:t>
            </w:r>
          </w:p>
        </w:tc>
        <w:tc>
          <w:tcPr>
            <w:tcW w:w="912" w:type="dxa"/>
            <w:tcBorders>
              <w:top w:val="single" w:color="auto" w:sz="12" w:space="0"/>
              <w:bottom w:val="single" w:color="auto" w:sz="12" w:space="0"/>
              <w:right w:val="single" w:color="auto" w:sz="12" w:space="0"/>
            </w:tcBorders>
            <w:vAlign w:val="center"/>
          </w:tcPr>
          <w:p>
            <w:pPr>
              <w:jc w:val="center"/>
              <w:rPr>
                <w:rFonts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12" w:space="0"/>
              <w:left w:val="single" w:color="auto" w:sz="12" w:space="0"/>
            </w:tcBorders>
            <w:vAlign w:val="center"/>
          </w:tcPr>
          <w:p>
            <w:pPr>
              <w:rPr>
                <w:rFonts w:ascii="宋体" w:hAnsi="宋体" w:cs="宋体"/>
                <w:szCs w:val="21"/>
                <w:highlight w:val="none"/>
              </w:rPr>
            </w:pPr>
          </w:p>
        </w:tc>
        <w:tc>
          <w:tcPr>
            <w:tcW w:w="830" w:type="dxa"/>
            <w:tcBorders>
              <w:top w:val="single" w:color="auto" w:sz="12" w:space="0"/>
            </w:tcBorders>
            <w:vAlign w:val="center"/>
          </w:tcPr>
          <w:p>
            <w:pPr>
              <w:rPr>
                <w:rFonts w:ascii="宋体" w:hAnsi="宋体" w:cs="宋体"/>
                <w:szCs w:val="21"/>
                <w:highlight w:val="none"/>
              </w:rPr>
            </w:pPr>
          </w:p>
        </w:tc>
        <w:tc>
          <w:tcPr>
            <w:tcW w:w="1236" w:type="dxa"/>
            <w:tcBorders>
              <w:top w:val="single" w:color="auto" w:sz="12" w:space="0"/>
            </w:tcBorders>
            <w:vAlign w:val="center"/>
          </w:tcPr>
          <w:p>
            <w:pPr>
              <w:rPr>
                <w:rFonts w:ascii="宋体" w:hAnsi="宋体" w:cs="宋体"/>
                <w:szCs w:val="21"/>
                <w:highlight w:val="none"/>
              </w:rPr>
            </w:pPr>
          </w:p>
        </w:tc>
        <w:tc>
          <w:tcPr>
            <w:tcW w:w="780" w:type="dxa"/>
            <w:tcBorders>
              <w:top w:val="single" w:color="auto" w:sz="12" w:space="0"/>
            </w:tcBorders>
            <w:vAlign w:val="center"/>
          </w:tcPr>
          <w:p>
            <w:pPr>
              <w:rPr>
                <w:rFonts w:ascii="宋体" w:hAnsi="宋体" w:cs="宋体"/>
                <w:szCs w:val="21"/>
                <w:highlight w:val="none"/>
              </w:rPr>
            </w:pPr>
          </w:p>
        </w:tc>
        <w:tc>
          <w:tcPr>
            <w:tcW w:w="979" w:type="dxa"/>
            <w:tcBorders>
              <w:top w:val="single" w:color="auto" w:sz="12" w:space="0"/>
            </w:tcBorders>
            <w:vAlign w:val="center"/>
          </w:tcPr>
          <w:p>
            <w:pPr>
              <w:rPr>
                <w:rFonts w:ascii="宋体" w:hAnsi="宋体" w:cs="宋体"/>
                <w:szCs w:val="21"/>
                <w:highlight w:val="none"/>
              </w:rPr>
            </w:pPr>
          </w:p>
        </w:tc>
        <w:tc>
          <w:tcPr>
            <w:tcW w:w="694" w:type="dxa"/>
            <w:tcBorders>
              <w:top w:val="single" w:color="auto" w:sz="12" w:space="0"/>
            </w:tcBorders>
            <w:vAlign w:val="center"/>
          </w:tcPr>
          <w:p>
            <w:pPr>
              <w:rPr>
                <w:rFonts w:ascii="宋体" w:hAnsi="宋体" w:cs="宋体"/>
                <w:szCs w:val="21"/>
                <w:highlight w:val="none"/>
              </w:rPr>
            </w:pPr>
          </w:p>
        </w:tc>
        <w:tc>
          <w:tcPr>
            <w:tcW w:w="1125" w:type="dxa"/>
            <w:tcBorders>
              <w:top w:val="single" w:color="auto" w:sz="12" w:space="0"/>
            </w:tcBorders>
            <w:vAlign w:val="center"/>
          </w:tcPr>
          <w:p>
            <w:pPr>
              <w:rPr>
                <w:rFonts w:ascii="宋体" w:hAnsi="宋体" w:cs="宋体"/>
                <w:szCs w:val="21"/>
                <w:highlight w:val="none"/>
              </w:rPr>
            </w:pPr>
          </w:p>
        </w:tc>
        <w:tc>
          <w:tcPr>
            <w:tcW w:w="571" w:type="dxa"/>
            <w:tcBorders>
              <w:top w:val="single" w:color="auto" w:sz="12" w:space="0"/>
              <w:right w:val="single" w:color="auto" w:sz="12" w:space="0"/>
            </w:tcBorders>
            <w:vAlign w:val="center"/>
          </w:tcPr>
          <w:p>
            <w:pPr>
              <w:rPr>
                <w:rFonts w:ascii="宋体" w:hAnsi="宋体" w:cs="宋体"/>
                <w:szCs w:val="21"/>
                <w:highlight w:val="none"/>
              </w:rPr>
            </w:pPr>
          </w:p>
        </w:tc>
        <w:tc>
          <w:tcPr>
            <w:tcW w:w="729" w:type="dxa"/>
            <w:tcBorders>
              <w:top w:val="single" w:color="auto" w:sz="12" w:space="0"/>
              <w:right w:val="single" w:color="auto" w:sz="12" w:space="0"/>
            </w:tcBorders>
            <w:vAlign w:val="center"/>
          </w:tcPr>
          <w:p>
            <w:pPr>
              <w:rPr>
                <w:rFonts w:ascii="宋体" w:hAnsi="宋体" w:cs="宋体"/>
                <w:szCs w:val="21"/>
                <w:highlight w:val="none"/>
              </w:rPr>
            </w:pPr>
          </w:p>
        </w:tc>
        <w:tc>
          <w:tcPr>
            <w:tcW w:w="912" w:type="dxa"/>
            <w:tcBorders>
              <w:top w:val="single" w:color="auto" w:sz="12" w:space="0"/>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left w:val="single" w:color="auto" w:sz="12" w:space="0"/>
            </w:tcBorders>
            <w:vAlign w:val="center"/>
          </w:tcPr>
          <w:p>
            <w:pPr>
              <w:rPr>
                <w:rFonts w:ascii="宋体" w:hAnsi="宋体" w:cs="宋体"/>
                <w:szCs w:val="21"/>
                <w:highlight w:val="none"/>
              </w:rPr>
            </w:pPr>
          </w:p>
        </w:tc>
        <w:tc>
          <w:tcPr>
            <w:tcW w:w="830" w:type="dxa"/>
            <w:vAlign w:val="center"/>
          </w:tcPr>
          <w:p>
            <w:pPr>
              <w:rPr>
                <w:rFonts w:ascii="宋体" w:hAnsi="宋体" w:cs="宋体"/>
                <w:szCs w:val="21"/>
                <w:highlight w:val="none"/>
              </w:rPr>
            </w:pPr>
          </w:p>
        </w:tc>
        <w:tc>
          <w:tcPr>
            <w:tcW w:w="1236" w:type="dxa"/>
            <w:vAlign w:val="center"/>
          </w:tcPr>
          <w:p>
            <w:pPr>
              <w:rPr>
                <w:rFonts w:ascii="宋体" w:hAnsi="宋体" w:cs="宋体"/>
                <w:szCs w:val="21"/>
                <w:highlight w:val="none"/>
              </w:rPr>
            </w:pPr>
          </w:p>
        </w:tc>
        <w:tc>
          <w:tcPr>
            <w:tcW w:w="780" w:type="dxa"/>
            <w:vAlign w:val="center"/>
          </w:tcPr>
          <w:p>
            <w:pPr>
              <w:rPr>
                <w:rFonts w:ascii="宋体" w:hAnsi="宋体" w:cs="宋体"/>
                <w:szCs w:val="21"/>
                <w:highlight w:val="none"/>
              </w:rPr>
            </w:pPr>
          </w:p>
        </w:tc>
        <w:tc>
          <w:tcPr>
            <w:tcW w:w="979" w:type="dxa"/>
            <w:vAlign w:val="center"/>
          </w:tcPr>
          <w:p>
            <w:pPr>
              <w:rPr>
                <w:rFonts w:ascii="宋体" w:hAnsi="宋体" w:cs="宋体"/>
                <w:szCs w:val="21"/>
                <w:highlight w:val="none"/>
              </w:rPr>
            </w:pPr>
          </w:p>
        </w:tc>
        <w:tc>
          <w:tcPr>
            <w:tcW w:w="694" w:type="dxa"/>
            <w:vAlign w:val="center"/>
          </w:tcPr>
          <w:p>
            <w:pPr>
              <w:rPr>
                <w:rFonts w:ascii="宋体" w:hAnsi="宋体" w:cs="宋体"/>
                <w:szCs w:val="21"/>
                <w:highlight w:val="none"/>
              </w:rPr>
            </w:pPr>
          </w:p>
        </w:tc>
        <w:tc>
          <w:tcPr>
            <w:tcW w:w="1125" w:type="dxa"/>
            <w:vAlign w:val="center"/>
          </w:tcPr>
          <w:p>
            <w:pPr>
              <w:rPr>
                <w:rFonts w:ascii="宋体" w:hAnsi="宋体" w:cs="宋体"/>
                <w:szCs w:val="21"/>
                <w:highlight w:val="none"/>
              </w:rPr>
            </w:pPr>
          </w:p>
        </w:tc>
        <w:tc>
          <w:tcPr>
            <w:tcW w:w="571" w:type="dxa"/>
            <w:tcBorders>
              <w:right w:val="single" w:color="auto" w:sz="12" w:space="0"/>
            </w:tcBorders>
            <w:vAlign w:val="center"/>
          </w:tcPr>
          <w:p>
            <w:pPr>
              <w:rPr>
                <w:rFonts w:ascii="宋体" w:hAnsi="宋体" w:cs="宋体"/>
                <w:szCs w:val="21"/>
                <w:highlight w:val="none"/>
              </w:rPr>
            </w:pPr>
          </w:p>
        </w:tc>
        <w:tc>
          <w:tcPr>
            <w:tcW w:w="729" w:type="dxa"/>
            <w:tcBorders>
              <w:right w:val="single" w:color="auto" w:sz="12" w:space="0"/>
            </w:tcBorders>
            <w:vAlign w:val="center"/>
          </w:tcPr>
          <w:p>
            <w:pPr>
              <w:rPr>
                <w:rFonts w:ascii="宋体" w:hAnsi="宋体" w:cs="宋体"/>
                <w:szCs w:val="21"/>
                <w:highlight w:val="none"/>
              </w:rPr>
            </w:pPr>
          </w:p>
        </w:tc>
        <w:tc>
          <w:tcPr>
            <w:tcW w:w="912" w:type="dxa"/>
            <w:tcBorders>
              <w:right w:val="single" w:color="auto" w:sz="12"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2" w:type="dxa"/>
            <w:gridSpan w:val="10"/>
            <w:tcBorders>
              <w:left w:val="single" w:color="auto" w:sz="12" w:space="0"/>
              <w:right w:val="single" w:color="auto" w:sz="12" w:space="0"/>
            </w:tcBorders>
            <w:vAlign w:val="center"/>
          </w:tcPr>
          <w:p>
            <w:pPr>
              <w:rPr>
                <w:rFonts w:ascii="宋体" w:hAnsi="宋体" w:cs="宋体"/>
                <w:szCs w:val="21"/>
                <w:highlight w:val="none"/>
              </w:rPr>
            </w:pPr>
            <w:r>
              <w:rPr>
                <w:rFonts w:hint="eastAsia" w:ascii="宋体" w:hAnsi="宋体" w:cs="宋体"/>
                <w:szCs w:val="21"/>
                <w:highlight w:val="none"/>
              </w:rPr>
              <w:t>申请单位能达到的程度简述（由申请单位填写）</w:t>
            </w:r>
          </w:p>
        </w:tc>
      </w:tr>
    </w:tbl>
    <w:p>
      <w:pPr>
        <w:spacing w:line="440" w:lineRule="exact"/>
        <w:rPr>
          <w:rFonts w:ascii="宋体" w:hAnsi="宋体" w:cs="宋体"/>
          <w:sz w:val="24"/>
          <w:szCs w:val="24"/>
          <w:highlight w:val="none"/>
        </w:rPr>
      </w:pPr>
      <w:r>
        <w:rPr>
          <w:rFonts w:hint="eastAsia" w:ascii="宋体" w:hAnsi="宋体" w:cs="宋体"/>
          <w:sz w:val="24"/>
          <w:szCs w:val="24"/>
          <w:highlight w:val="none"/>
        </w:rPr>
        <w:t>注：投标人可根据评标办法前附表的要求附相关证明材料</w:t>
      </w:r>
    </w:p>
    <w:p>
      <w:pPr>
        <w:topLinePunct/>
        <w:spacing w:line="360" w:lineRule="auto"/>
        <w:rPr>
          <w:rFonts w:ascii="宋体" w:hAnsi="宋体" w:cs="宋体"/>
          <w:spacing w:val="18"/>
          <w:sz w:val="24"/>
          <w:highlight w:val="none"/>
        </w:rPr>
      </w:pPr>
    </w:p>
    <w:p>
      <w:pPr>
        <w:topLinePunct/>
        <w:spacing w:line="360" w:lineRule="auto"/>
        <w:rPr>
          <w:rFonts w:ascii="宋体" w:hAnsi="宋体" w:cs="宋体"/>
          <w:spacing w:val="18"/>
          <w:sz w:val="24"/>
          <w:highlight w:val="none"/>
        </w:rPr>
      </w:pPr>
    </w:p>
    <w:p>
      <w:pPr>
        <w:topLinePunct/>
        <w:spacing w:line="360" w:lineRule="auto"/>
        <w:rPr>
          <w:rFonts w:ascii="宋体" w:hAnsi="宋体" w:cs="宋体"/>
          <w:spacing w:val="18"/>
          <w:sz w:val="24"/>
          <w:highlight w:val="none"/>
        </w:rPr>
      </w:pPr>
    </w:p>
    <w:p>
      <w:pPr>
        <w:topLinePunct/>
        <w:spacing w:line="360" w:lineRule="auto"/>
        <w:rPr>
          <w:rFonts w:ascii="宋体" w:hAnsi="宋体" w:cs="宋体"/>
          <w:b/>
          <w:bCs/>
          <w:sz w:val="28"/>
          <w:szCs w:val="28"/>
          <w:highlight w:val="none"/>
        </w:rPr>
      </w:pPr>
      <w:r>
        <w:rPr>
          <w:rFonts w:hint="eastAsia" w:ascii="宋体" w:hAnsi="宋体" w:cs="宋体"/>
          <w:spacing w:val="18"/>
          <w:sz w:val="24"/>
          <w:highlight w:val="none"/>
        </w:rPr>
        <w:br w:type="page"/>
      </w:r>
      <w:bookmarkEnd w:id="504"/>
      <w:bookmarkStart w:id="518" w:name="_Toc530470651"/>
      <w:bookmarkStart w:id="519" w:name="_Toc529196610"/>
      <w:bookmarkStart w:id="520" w:name="_Toc535938758"/>
      <w:r>
        <w:rPr>
          <w:rFonts w:hint="eastAsia" w:ascii="宋体" w:hAnsi="宋体" w:cs="宋体"/>
          <w:b/>
          <w:bCs/>
          <w:sz w:val="28"/>
          <w:szCs w:val="28"/>
          <w:highlight w:val="none"/>
        </w:rPr>
        <w:t>六、</w:t>
      </w:r>
      <w:bookmarkEnd w:id="518"/>
      <w:bookmarkEnd w:id="519"/>
      <w:bookmarkEnd w:id="520"/>
      <w:r>
        <w:rPr>
          <w:rFonts w:hint="eastAsia" w:ascii="宋体" w:hAnsi="宋体" w:cs="宋体"/>
          <w:b/>
          <w:bCs/>
          <w:sz w:val="28"/>
          <w:szCs w:val="28"/>
          <w:highlight w:val="none"/>
        </w:rPr>
        <w:t>检测方案</w:t>
      </w:r>
    </w:p>
    <w:p>
      <w:pPr>
        <w:spacing w:line="440" w:lineRule="exact"/>
        <w:rPr>
          <w:rFonts w:ascii="宋体" w:hAnsi="宋体" w:cs="宋体"/>
          <w:sz w:val="24"/>
          <w:szCs w:val="24"/>
          <w:highlight w:val="none"/>
        </w:rPr>
      </w:pPr>
      <w:bookmarkStart w:id="521" w:name="_Toc530470652"/>
      <w:bookmarkStart w:id="522" w:name="_Toc529196611"/>
      <w:r>
        <w:rPr>
          <w:rFonts w:hint="eastAsia" w:ascii="宋体" w:hAnsi="宋体" w:cs="宋体"/>
          <w:sz w:val="24"/>
          <w:szCs w:val="24"/>
          <w:highlight w:val="none"/>
        </w:rPr>
        <w:t>投标人根据评标办法前附表的要求自行编制</w:t>
      </w:r>
    </w:p>
    <w:p>
      <w:pPr>
        <w:pStyle w:val="3"/>
        <w:spacing w:before="240" w:line="480" w:lineRule="auto"/>
        <w:rPr>
          <w:rFonts w:ascii="宋体" w:hAnsi="宋体" w:eastAsia="宋体" w:cs="宋体"/>
          <w:sz w:val="30"/>
          <w:szCs w:val="30"/>
          <w:highlight w:val="none"/>
        </w:rPr>
      </w:pPr>
      <w:r>
        <w:rPr>
          <w:rFonts w:hint="eastAsia" w:ascii="宋体" w:hAnsi="宋体" w:eastAsia="宋体" w:cs="宋体"/>
          <w:highlight w:val="none"/>
        </w:rPr>
        <w:br w:type="page"/>
      </w:r>
      <w:bookmarkStart w:id="523" w:name="_Toc102997656"/>
      <w:bookmarkStart w:id="524" w:name="_Toc535938759"/>
      <w:r>
        <w:rPr>
          <w:rFonts w:hint="eastAsia" w:ascii="宋体" w:hAnsi="宋体" w:eastAsia="宋体" w:cs="宋体"/>
          <w:sz w:val="30"/>
          <w:szCs w:val="30"/>
          <w:highlight w:val="none"/>
        </w:rPr>
        <w:t>七、技术响应承诺书</w:t>
      </w:r>
      <w:bookmarkEnd w:id="523"/>
    </w:p>
    <w:p>
      <w:pPr>
        <w:adjustRightInd w:val="0"/>
        <w:snapToGrid w:val="0"/>
        <w:spacing w:line="360" w:lineRule="auto"/>
        <w:jc w:val="center"/>
        <w:rPr>
          <w:rFonts w:ascii="宋体" w:hAnsi="宋体" w:cs="宋体"/>
          <w:highlight w:val="none"/>
        </w:rPr>
      </w:pPr>
      <w:r>
        <w:rPr>
          <w:rFonts w:hint="eastAsia" w:ascii="宋体" w:hAnsi="宋体" w:cs="宋体"/>
          <w:b/>
          <w:sz w:val="28"/>
          <w:szCs w:val="28"/>
          <w:highlight w:val="none"/>
        </w:rPr>
        <w:t>技术响应承诺书</w:t>
      </w:r>
    </w:p>
    <w:p>
      <w:pPr>
        <w:adjustRightInd w:val="0"/>
        <w:snapToGrid w:val="0"/>
        <w:spacing w:before="156" w:beforeLines="50" w:line="360" w:lineRule="auto"/>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致：广东省人民医院</w:t>
      </w:r>
    </w:p>
    <w:p>
      <w:pPr>
        <w:adjustRightInd w:val="0"/>
        <w:snapToGrid w:val="0"/>
        <w:spacing w:line="360" w:lineRule="auto"/>
        <w:ind w:firstLine="480" w:firstLineChars="200"/>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我方承诺：</w:t>
      </w:r>
    </w:p>
    <w:p>
      <w:pPr>
        <w:adjustRightInd w:val="0"/>
        <w:snapToGrid w:val="0"/>
        <w:spacing w:line="360" w:lineRule="auto"/>
        <w:ind w:firstLine="480" w:firstLineChars="200"/>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1、检测</w:t>
      </w:r>
      <w:r>
        <w:rPr>
          <w:rFonts w:hint="eastAsia" w:ascii="宋体" w:hAnsi="宋体" w:cs="宋体"/>
          <w:snapToGrid w:val="0"/>
          <w:kern w:val="28"/>
          <w:sz w:val="24"/>
          <w:szCs w:val="24"/>
          <w:highlight w:val="none"/>
          <w:lang w:val="en-US" w:eastAsia="zh-CN"/>
        </w:rPr>
        <w:t>监测</w:t>
      </w:r>
      <w:r>
        <w:rPr>
          <w:rFonts w:hint="eastAsia" w:ascii="宋体" w:hAnsi="宋体" w:cs="宋体"/>
          <w:snapToGrid w:val="0"/>
          <w:kern w:val="28"/>
          <w:sz w:val="24"/>
          <w:szCs w:val="24"/>
          <w:highlight w:val="none"/>
        </w:rPr>
        <w:t>工作必须满足国家、广东省、广州市相关检测</w:t>
      </w:r>
      <w:r>
        <w:rPr>
          <w:rFonts w:hint="eastAsia" w:ascii="宋体" w:hAnsi="宋体" w:cs="宋体"/>
          <w:snapToGrid w:val="0"/>
          <w:kern w:val="28"/>
          <w:sz w:val="24"/>
          <w:szCs w:val="24"/>
          <w:highlight w:val="none"/>
          <w:lang w:val="en-US" w:eastAsia="zh-CN"/>
        </w:rPr>
        <w:t>监测</w:t>
      </w:r>
      <w:r>
        <w:rPr>
          <w:rFonts w:hint="eastAsia" w:ascii="宋体" w:hAnsi="宋体" w:cs="宋体"/>
          <w:snapToGrid w:val="0"/>
          <w:kern w:val="28"/>
          <w:sz w:val="24"/>
          <w:szCs w:val="24"/>
          <w:highlight w:val="none"/>
        </w:rPr>
        <w:t>规范、强制性标准。</w:t>
      </w:r>
    </w:p>
    <w:p>
      <w:pPr>
        <w:adjustRightInd w:val="0"/>
        <w:snapToGrid w:val="0"/>
        <w:spacing w:line="360" w:lineRule="auto"/>
        <w:ind w:firstLine="480" w:firstLineChars="200"/>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2、除按要求完成本次招标范围内的检测</w:t>
      </w:r>
      <w:r>
        <w:rPr>
          <w:rFonts w:hint="eastAsia" w:ascii="宋体" w:hAnsi="宋体" w:cs="宋体"/>
          <w:snapToGrid w:val="0"/>
          <w:kern w:val="28"/>
          <w:sz w:val="24"/>
          <w:szCs w:val="24"/>
          <w:highlight w:val="none"/>
          <w:lang w:val="en-US" w:eastAsia="zh-CN"/>
        </w:rPr>
        <w:t>监测</w:t>
      </w:r>
      <w:r>
        <w:rPr>
          <w:rFonts w:hint="eastAsia" w:ascii="宋体" w:hAnsi="宋体" w:cs="宋体"/>
          <w:snapToGrid w:val="0"/>
          <w:kern w:val="28"/>
          <w:sz w:val="24"/>
          <w:szCs w:val="24"/>
          <w:highlight w:val="none"/>
        </w:rPr>
        <w:t>工作外，还根据贵单位要求完成以下工作：</w:t>
      </w:r>
    </w:p>
    <w:p>
      <w:pPr>
        <w:adjustRightInd w:val="0"/>
        <w:snapToGrid w:val="0"/>
        <w:spacing w:line="360" w:lineRule="auto"/>
        <w:ind w:firstLine="480" w:firstLineChars="200"/>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（1）与工程所在行政区域的相关建设行政主管部门和监督部门进行检测</w:t>
      </w:r>
      <w:r>
        <w:rPr>
          <w:rFonts w:hint="eastAsia" w:ascii="宋体" w:hAnsi="宋体" w:cs="宋体"/>
          <w:snapToGrid w:val="0"/>
          <w:kern w:val="28"/>
          <w:sz w:val="24"/>
          <w:szCs w:val="24"/>
          <w:highlight w:val="none"/>
          <w:lang w:val="en-US" w:eastAsia="zh-CN"/>
        </w:rPr>
        <w:t>监测</w:t>
      </w:r>
      <w:r>
        <w:rPr>
          <w:rFonts w:hint="eastAsia" w:ascii="宋体" w:hAnsi="宋体" w:cs="宋体"/>
          <w:snapToGrid w:val="0"/>
          <w:kern w:val="28"/>
          <w:sz w:val="24"/>
          <w:szCs w:val="24"/>
          <w:highlight w:val="none"/>
        </w:rPr>
        <w:t>工作的协调，申报检测</w:t>
      </w:r>
      <w:r>
        <w:rPr>
          <w:rFonts w:hint="eastAsia" w:ascii="宋体" w:hAnsi="宋体" w:cs="宋体"/>
          <w:snapToGrid w:val="0"/>
          <w:kern w:val="28"/>
          <w:sz w:val="24"/>
          <w:szCs w:val="24"/>
          <w:highlight w:val="none"/>
          <w:lang w:val="en-US" w:eastAsia="zh-CN"/>
        </w:rPr>
        <w:t>监测</w:t>
      </w:r>
      <w:r>
        <w:rPr>
          <w:rFonts w:hint="eastAsia" w:ascii="宋体" w:hAnsi="宋体" w:cs="宋体"/>
          <w:snapToGrid w:val="0"/>
          <w:kern w:val="28"/>
          <w:sz w:val="24"/>
          <w:szCs w:val="24"/>
          <w:highlight w:val="none"/>
        </w:rPr>
        <w:t>技术成果的审批，保证技术成果能够通过相关部门认可，确保不因检测工作影响本工程项目的建设进度和竣工验收。</w:t>
      </w:r>
    </w:p>
    <w:p>
      <w:pPr>
        <w:adjustRightInd w:val="0"/>
        <w:snapToGrid w:val="0"/>
        <w:spacing w:line="360" w:lineRule="auto"/>
        <w:ind w:firstLine="480" w:firstLineChars="200"/>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（2）在进行检测</w:t>
      </w:r>
      <w:r>
        <w:rPr>
          <w:rFonts w:hint="eastAsia" w:ascii="宋体" w:hAnsi="宋体" w:cs="宋体"/>
          <w:snapToGrid w:val="0"/>
          <w:kern w:val="28"/>
          <w:sz w:val="24"/>
          <w:szCs w:val="24"/>
          <w:highlight w:val="none"/>
          <w:lang w:val="en-US" w:eastAsia="zh-CN"/>
        </w:rPr>
        <w:t>监测</w:t>
      </w:r>
      <w:r>
        <w:rPr>
          <w:rFonts w:hint="eastAsia" w:ascii="宋体" w:hAnsi="宋体" w:cs="宋体"/>
          <w:snapToGrid w:val="0"/>
          <w:kern w:val="28"/>
          <w:sz w:val="24"/>
          <w:szCs w:val="24"/>
          <w:highlight w:val="none"/>
        </w:rPr>
        <w:t>任务的过程中与该工程相关的项目管理单位、施工单位、监理单位、设计单位、建设主管部门等相关单位的协调工作。</w:t>
      </w:r>
    </w:p>
    <w:p>
      <w:pPr>
        <w:widowControl/>
        <w:shd w:val="clear" w:color="auto" w:fill="FFFFFF"/>
        <w:spacing w:line="360" w:lineRule="auto"/>
        <w:ind w:firstLine="480" w:firstLineChars="200"/>
        <w:jc w:val="left"/>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（3）负责检测</w:t>
      </w:r>
      <w:r>
        <w:rPr>
          <w:rFonts w:hint="eastAsia" w:ascii="宋体" w:hAnsi="宋体" w:cs="宋体"/>
          <w:snapToGrid w:val="0"/>
          <w:kern w:val="28"/>
          <w:sz w:val="24"/>
          <w:szCs w:val="24"/>
          <w:highlight w:val="none"/>
          <w:lang w:val="en-US" w:eastAsia="zh-CN"/>
        </w:rPr>
        <w:t>监测</w:t>
      </w:r>
      <w:r>
        <w:rPr>
          <w:rFonts w:hint="eastAsia" w:ascii="宋体" w:hAnsi="宋体" w:cs="宋体"/>
          <w:snapToGrid w:val="0"/>
          <w:kern w:val="28"/>
          <w:sz w:val="24"/>
          <w:szCs w:val="24"/>
          <w:highlight w:val="none"/>
        </w:rPr>
        <w:t>数据的有关信息通过广州市建设工程质量检测监管信息网报送；</w:t>
      </w:r>
      <w:r>
        <w:rPr>
          <w:rFonts w:hint="eastAsia" w:ascii="宋体" w:hAnsi="宋体" w:cs="宋体"/>
          <w:sz w:val="24"/>
          <w:szCs w:val="24"/>
          <w:highlight w:val="none"/>
        </w:rPr>
        <w:t>按贵单位要求实时或及时对接贵单位的相关信息化（数字化）监管平台，要求上传贵单位平台的相关内容包括但不限于合同、方案、过程结果、报告、验收结算资料等。</w:t>
      </w:r>
    </w:p>
    <w:p>
      <w:pPr>
        <w:adjustRightInd w:val="0"/>
        <w:snapToGrid w:val="0"/>
        <w:spacing w:line="360" w:lineRule="auto"/>
        <w:ind w:firstLine="480" w:firstLineChars="200"/>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3、用于完成本项目检测</w:t>
      </w:r>
      <w:r>
        <w:rPr>
          <w:rFonts w:hint="eastAsia" w:ascii="宋体" w:hAnsi="宋体" w:cs="宋体"/>
          <w:snapToGrid w:val="0"/>
          <w:kern w:val="28"/>
          <w:sz w:val="24"/>
          <w:szCs w:val="24"/>
          <w:highlight w:val="none"/>
          <w:lang w:val="en-US" w:eastAsia="zh-CN"/>
        </w:rPr>
        <w:t>监测</w:t>
      </w:r>
      <w:r>
        <w:rPr>
          <w:rFonts w:hint="eastAsia" w:ascii="宋体" w:hAnsi="宋体" w:cs="宋体"/>
          <w:snapToGrid w:val="0"/>
          <w:kern w:val="28"/>
          <w:sz w:val="24"/>
          <w:szCs w:val="24"/>
          <w:highlight w:val="none"/>
        </w:rPr>
        <w:t>的仪器、设备和材料由我方自行运输，存管。仪器、设备和材料应有产品出厂合格证，检定/校准证书，同时符合相关技术标准和检定要求。</w:t>
      </w:r>
    </w:p>
    <w:p>
      <w:pPr>
        <w:adjustRightInd w:val="0"/>
        <w:snapToGrid w:val="0"/>
        <w:spacing w:line="360" w:lineRule="auto"/>
        <w:ind w:firstLine="480" w:firstLineChars="200"/>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4、我方在进场前，将根据施工图纸及现场实际情况编制检测</w:t>
      </w:r>
      <w:r>
        <w:rPr>
          <w:rFonts w:hint="eastAsia" w:ascii="宋体" w:hAnsi="宋体" w:cs="宋体"/>
          <w:snapToGrid w:val="0"/>
          <w:kern w:val="28"/>
          <w:sz w:val="24"/>
          <w:szCs w:val="24"/>
          <w:highlight w:val="none"/>
          <w:lang w:val="en-US" w:eastAsia="zh-CN"/>
        </w:rPr>
        <w:t>监测</w:t>
      </w:r>
      <w:r>
        <w:rPr>
          <w:rFonts w:hint="eastAsia" w:ascii="宋体" w:hAnsi="宋体" w:cs="宋体"/>
          <w:snapToGrid w:val="0"/>
          <w:kern w:val="28"/>
          <w:sz w:val="24"/>
          <w:szCs w:val="24"/>
          <w:highlight w:val="none"/>
        </w:rPr>
        <w:t>方案，方案必须满足设计文件以及国家、广东省及广州市监督部门现行技术规范的要求；并报监理工程师、贵单位、项目所在行政区域的相关建设行政主管部门和监督部门等审批同意后实施。</w:t>
      </w:r>
    </w:p>
    <w:p>
      <w:pPr>
        <w:adjustRightInd w:val="0"/>
        <w:snapToGrid w:val="0"/>
        <w:spacing w:line="360" w:lineRule="auto"/>
        <w:ind w:firstLine="480" w:firstLineChars="200"/>
        <w:rPr>
          <w:rFonts w:ascii="宋体" w:hAnsi="宋体" w:cs="宋体"/>
          <w:snapToGrid w:val="0"/>
          <w:kern w:val="28"/>
          <w:sz w:val="24"/>
          <w:szCs w:val="24"/>
          <w:highlight w:val="none"/>
        </w:rPr>
      </w:pPr>
      <w:r>
        <w:rPr>
          <w:rFonts w:hint="eastAsia" w:ascii="宋体" w:hAnsi="宋体" w:cs="宋体"/>
          <w:snapToGrid w:val="0"/>
          <w:kern w:val="28"/>
          <w:sz w:val="24"/>
          <w:szCs w:val="24"/>
          <w:highlight w:val="none"/>
        </w:rPr>
        <w:t>5、我方投入的检测</w:t>
      </w:r>
      <w:r>
        <w:rPr>
          <w:rFonts w:hint="eastAsia" w:ascii="宋体" w:hAnsi="宋体" w:cs="宋体"/>
          <w:snapToGrid w:val="0"/>
          <w:kern w:val="28"/>
          <w:sz w:val="24"/>
          <w:szCs w:val="24"/>
          <w:highlight w:val="none"/>
          <w:lang w:val="en-US" w:eastAsia="zh-CN"/>
        </w:rPr>
        <w:t>监测</w:t>
      </w:r>
      <w:r>
        <w:rPr>
          <w:rFonts w:hint="eastAsia" w:ascii="宋体" w:hAnsi="宋体" w:cs="宋体"/>
          <w:snapToGrid w:val="0"/>
          <w:kern w:val="28"/>
          <w:sz w:val="24"/>
          <w:szCs w:val="24"/>
          <w:highlight w:val="none"/>
        </w:rPr>
        <w:t>人员、设备符合国家、省市相关规范要求，符合本项目需求。如贵单位认为我司投入的人员有不满足的情况，我司将无条件更换符合项目要求的人员，不增加任何费用。</w:t>
      </w:r>
    </w:p>
    <w:p>
      <w:pPr>
        <w:adjustRightInd w:val="0"/>
        <w:snapToGrid w:val="0"/>
        <w:spacing w:line="360" w:lineRule="auto"/>
        <w:rPr>
          <w:rFonts w:ascii="宋体" w:hAnsi="宋体" w:cs="宋体"/>
          <w:sz w:val="24"/>
          <w:szCs w:val="24"/>
          <w:highlight w:val="none"/>
        </w:rPr>
      </w:pP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投标人（盖章）：</w:t>
      </w:r>
    </w:p>
    <w:p>
      <w:pPr>
        <w:adjustRightInd w:val="0"/>
        <w:snapToGrid w:val="0"/>
        <w:spacing w:line="360" w:lineRule="auto"/>
        <w:rPr>
          <w:rFonts w:ascii="宋体" w:hAnsi="宋体" w:cs="宋体"/>
          <w:sz w:val="24"/>
          <w:szCs w:val="24"/>
          <w:highlight w:val="none"/>
        </w:rPr>
      </w:pPr>
      <w:r>
        <w:rPr>
          <w:rFonts w:hint="eastAsia" w:ascii="宋体" w:hAnsi="宋体" w:cs="宋体"/>
          <w:spacing w:val="18"/>
          <w:sz w:val="24"/>
          <w:szCs w:val="24"/>
          <w:highlight w:val="none"/>
        </w:rPr>
        <w:t>法定代表人(或被授权人)签字或盖章</w:t>
      </w:r>
      <w:r>
        <w:rPr>
          <w:rFonts w:hint="eastAsia" w:ascii="宋体" w:hAnsi="宋体" w:cs="宋体"/>
          <w:sz w:val="24"/>
          <w:szCs w:val="24"/>
          <w:highlight w:val="none"/>
        </w:rPr>
        <w:t>：</w:t>
      </w:r>
    </w:p>
    <w:p>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2023年   月   日</w:t>
      </w:r>
      <w:r>
        <w:rPr>
          <w:rFonts w:hint="eastAsia" w:ascii="宋体" w:hAnsi="宋体" w:cs="宋体"/>
          <w:sz w:val="24"/>
          <w:szCs w:val="24"/>
          <w:highlight w:val="none"/>
        </w:rPr>
        <w:br w:type="page"/>
      </w:r>
      <w:bookmarkEnd w:id="521"/>
      <w:bookmarkEnd w:id="522"/>
      <w:bookmarkEnd w:id="524"/>
      <w:bookmarkStart w:id="525" w:name="_Toc2154396"/>
    </w:p>
    <w:p>
      <w:pPr>
        <w:pStyle w:val="3"/>
        <w:spacing w:line="480" w:lineRule="auto"/>
        <w:rPr>
          <w:rFonts w:ascii="宋体" w:hAnsi="宋体" w:eastAsia="宋体" w:cs="宋体"/>
          <w:highlight w:val="none"/>
        </w:rPr>
      </w:pPr>
      <w:bookmarkStart w:id="526" w:name="_Toc102997657"/>
      <w:r>
        <w:rPr>
          <w:rFonts w:hint="eastAsia" w:ascii="宋体" w:hAnsi="宋体" w:eastAsia="宋体" w:cs="宋体"/>
          <w:sz w:val="30"/>
          <w:szCs w:val="30"/>
          <w:highlight w:val="none"/>
        </w:rPr>
        <w:t>八、其他资料</w:t>
      </w:r>
      <w:bookmarkEnd w:id="525"/>
      <w:bookmarkEnd w:id="526"/>
    </w:p>
    <w:p>
      <w:pPr>
        <w:spacing w:line="360" w:lineRule="auto"/>
        <w:jc w:val="left"/>
        <w:rPr>
          <w:rFonts w:ascii="宋体" w:hAnsi="宋体" w:cs="宋体"/>
          <w:sz w:val="24"/>
          <w:szCs w:val="44"/>
          <w:highlight w:val="none"/>
        </w:rPr>
      </w:pPr>
      <w:r>
        <w:rPr>
          <w:rFonts w:hint="eastAsia" w:ascii="宋体" w:hAnsi="宋体" w:cs="宋体"/>
          <w:sz w:val="24"/>
          <w:szCs w:val="24"/>
          <w:highlight w:val="none"/>
        </w:rPr>
        <w:t>投标人认为需提交的其他资料，格式自定。</w:t>
      </w:r>
    </w:p>
    <w:p>
      <w:pPr>
        <w:rPr>
          <w:rFonts w:ascii="宋体" w:hAnsi="宋体" w:cs="宋体"/>
          <w:highlight w:val="none"/>
        </w:rPr>
      </w:pPr>
    </w:p>
    <w:p>
      <w:pPr>
        <w:pStyle w:val="18"/>
        <w:ind w:left="0" w:leftChars="0" w:firstLine="0" w:firstLineChars="0"/>
        <w:rPr>
          <w:rFonts w:ascii="宋体" w:hAnsi="宋体" w:eastAsia="宋体" w:cs="宋体"/>
          <w:color w:val="auto"/>
          <w:highlight w:val="none"/>
        </w:rPr>
      </w:pPr>
    </w:p>
    <w:p>
      <w:pPr>
        <w:rPr>
          <w:rFonts w:ascii="宋体" w:hAnsi="宋体" w:cs="宋体"/>
          <w:highlight w:val="none"/>
        </w:rPr>
      </w:pPr>
    </w:p>
    <w:sectPr>
      <w:headerReference r:id="rId11" w:type="default"/>
      <w:footerReference r:id="rId12" w:type="default"/>
      <w:pgSz w:w="11906" w:h="16838"/>
      <w:pgMar w:top="1440" w:right="1803" w:bottom="1440" w:left="1803" w:header="851" w:footer="5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3</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14</w:t>
    </w:r>
    <w:r>
      <w:fldChar w:fldCharType="end"/>
    </w:r>
  </w:p>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rPr>
        <w:lang w:val="zh-CN"/>
      </w:rPr>
      <w:t>5</w:t>
    </w:r>
    <w:r>
      <w:fldChar w:fldCharType="end"/>
    </w:r>
  </w:p>
  <w:p>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&#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1i3luA4CAAAQBAAADgAAAAAAAAABACAAAAAf&#10;AQAAZHJzL2Uyb0RvYy54bWxQSwUGAAAAAAYABgBZAQAAnwUAAAAA&#10;">
              <v:fill on="f" focussize="0,0"/>
              <v:stroke on="f"/>
              <v:imagedata o:title=""/>
              <o:lock v:ext="edit" aspectratio="f"/>
              <v:textbox inset="0mm,0mm,0mm,0mm" style="mso-fit-shape-to-text:t;">
                <w:txbxContent>
                  <w:p>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3022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302260"/>
                      </a:xfrm>
                      <a:prstGeom prst="rect">
                        <a:avLst/>
                      </a:prstGeom>
                      <a:noFill/>
                      <a:ln>
                        <a:noFill/>
                      </a:ln>
                      <a:effectLst/>
                    </wps:spPr>
                    <wps:txbx>
                      <w:txbxContent>
                        <w:p>
                          <w:pPr>
                            <w:jc w:val="center"/>
                          </w:pPr>
                        </w:p>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3.8pt;width:9.05pt;mso-position-horizontal:center;mso-position-horizontal-relative:margin;mso-wrap-style:none;z-index:251659264;mso-width-relative:page;mso-height-relative:page;" filled="f" stroked="f" coordsize="21600,21600" o:gfxdata="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sblidEAAAADAQAADwAAAAAAAAABACAAAAAiAAAA&#10;ZHJzL2Rvd25yZXYueG1sUEsBAhQAFAAAAAgAh07iQHZfZLIOAgAAEAQAAA4AAAAAAAAAAQAgAAAA&#10;IAEAAGRycy9lMm9Eb2MueG1sUEsFBgAAAAAGAAYAWQEAAKAFAAAAAA==&#10;">
              <v:fill on="f" focussize="0,0"/>
              <v:stroke on="f"/>
              <v:imagedata o:title=""/>
              <o:lock v:ext="edit" aspectratio="f"/>
              <v:textbox inset="0mm,0mm,0mm,0mm" style="mso-fit-shape-to-text:t;">
                <w:txbxContent>
                  <w:p>
                    <w:pPr>
                      <w:jc w:val="center"/>
                    </w:pPr>
                  </w:p>
                  <w:p/>
                </w:txbxContent>
              </v:textbox>
            </v:shape>
          </w:pict>
        </mc:Fallback>
      </mc:AlternateConten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jc w:val="right"/>
      <w:rPr>
        <w:b/>
        <w:bCs/>
        <w:sz w:val="24"/>
        <w:szCs w:val="24"/>
      </w:rPr>
    </w:pPr>
  </w:p>
  <w:p>
    <w:pPr>
      <w:ind w:left="420"/>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ind w:firstLine="402"/>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4A9653"/>
    <w:multiLevelType w:val="singleLevel"/>
    <w:tmpl w:val="CB4A965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YTljYjAxOTgwM2JiYTcyZWZiMjRlZGFmZDViYzEifQ=="/>
  </w:docVars>
  <w:rsids>
    <w:rsidRoot w:val="00890B99"/>
    <w:rsid w:val="00002C90"/>
    <w:rsid w:val="00010E9B"/>
    <w:rsid w:val="00021E0E"/>
    <w:rsid w:val="00027257"/>
    <w:rsid w:val="000509C7"/>
    <w:rsid w:val="000514AA"/>
    <w:rsid w:val="00077563"/>
    <w:rsid w:val="00077C6C"/>
    <w:rsid w:val="00087139"/>
    <w:rsid w:val="000909F6"/>
    <w:rsid w:val="000D44F2"/>
    <w:rsid w:val="000E64B1"/>
    <w:rsid w:val="000F648B"/>
    <w:rsid w:val="0010240E"/>
    <w:rsid w:val="00110188"/>
    <w:rsid w:val="001142B2"/>
    <w:rsid w:val="00133A0E"/>
    <w:rsid w:val="00145EF6"/>
    <w:rsid w:val="00156CA0"/>
    <w:rsid w:val="0017470C"/>
    <w:rsid w:val="00177D53"/>
    <w:rsid w:val="001B0132"/>
    <w:rsid w:val="001B7729"/>
    <w:rsid w:val="001C45D1"/>
    <w:rsid w:val="0021111B"/>
    <w:rsid w:val="00213BB2"/>
    <w:rsid w:val="002217C8"/>
    <w:rsid w:val="00226C73"/>
    <w:rsid w:val="00232796"/>
    <w:rsid w:val="002439C1"/>
    <w:rsid w:val="00244310"/>
    <w:rsid w:val="002446DD"/>
    <w:rsid w:val="00263001"/>
    <w:rsid w:val="00265FB8"/>
    <w:rsid w:val="00283E9D"/>
    <w:rsid w:val="00287D51"/>
    <w:rsid w:val="002B0915"/>
    <w:rsid w:val="002B13AD"/>
    <w:rsid w:val="002D18AF"/>
    <w:rsid w:val="002D26C8"/>
    <w:rsid w:val="00303576"/>
    <w:rsid w:val="00307429"/>
    <w:rsid w:val="0033655F"/>
    <w:rsid w:val="0034285A"/>
    <w:rsid w:val="003736C5"/>
    <w:rsid w:val="003A4EEF"/>
    <w:rsid w:val="003B5F54"/>
    <w:rsid w:val="003D750C"/>
    <w:rsid w:val="003E18C2"/>
    <w:rsid w:val="003F7ACD"/>
    <w:rsid w:val="00426C3F"/>
    <w:rsid w:val="004347A9"/>
    <w:rsid w:val="00437A26"/>
    <w:rsid w:val="004503F5"/>
    <w:rsid w:val="00471EF8"/>
    <w:rsid w:val="0047432B"/>
    <w:rsid w:val="004B3832"/>
    <w:rsid w:val="004B4D5B"/>
    <w:rsid w:val="004C28DE"/>
    <w:rsid w:val="004E7B1D"/>
    <w:rsid w:val="004F7E5D"/>
    <w:rsid w:val="00520DDA"/>
    <w:rsid w:val="00534B96"/>
    <w:rsid w:val="00535668"/>
    <w:rsid w:val="00551024"/>
    <w:rsid w:val="005C370D"/>
    <w:rsid w:val="00610DC5"/>
    <w:rsid w:val="00613A3C"/>
    <w:rsid w:val="006227D5"/>
    <w:rsid w:val="0064405D"/>
    <w:rsid w:val="00680F01"/>
    <w:rsid w:val="006A0728"/>
    <w:rsid w:val="006B31DA"/>
    <w:rsid w:val="006D1C60"/>
    <w:rsid w:val="006D64C2"/>
    <w:rsid w:val="006E0960"/>
    <w:rsid w:val="00714745"/>
    <w:rsid w:val="007517D3"/>
    <w:rsid w:val="00761F69"/>
    <w:rsid w:val="00767555"/>
    <w:rsid w:val="00781047"/>
    <w:rsid w:val="007C35A1"/>
    <w:rsid w:val="007F74B9"/>
    <w:rsid w:val="00801B65"/>
    <w:rsid w:val="00813DCC"/>
    <w:rsid w:val="008348A3"/>
    <w:rsid w:val="00881044"/>
    <w:rsid w:val="00890B99"/>
    <w:rsid w:val="008E6923"/>
    <w:rsid w:val="00900DED"/>
    <w:rsid w:val="00900EA7"/>
    <w:rsid w:val="00907644"/>
    <w:rsid w:val="00912A51"/>
    <w:rsid w:val="00920217"/>
    <w:rsid w:val="009269E4"/>
    <w:rsid w:val="009308D8"/>
    <w:rsid w:val="00956472"/>
    <w:rsid w:val="009A61C4"/>
    <w:rsid w:val="009A745E"/>
    <w:rsid w:val="009B2E27"/>
    <w:rsid w:val="009B6402"/>
    <w:rsid w:val="009E29E3"/>
    <w:rsid w:val="009E6EAF"/>
    <w:rsid w:val="00A068CC"/>
    <w:rsid w:val="00A0778F"/>
    <w:rsid w:val="00A46790"/>
    <w:rsid w:val="00A47300"/>
    <w:rsid w:val="00AC1C81"/>
    <w:rsid w:val="00AD35A4"/>
    <w:rsid w:val="00AF5306"/>
    <w:rsid w:val="00B110E2"/>
    <w:rsid w:val="00B37761"/>
    <w:rsid w:val="00B51629"/>
    <w:rsid w:val="00B5772F"/>
    <w:rsid w:val="00B6225C"/>
    <w:rsid w:val="00B6350F"/>
    <w:rsid w:val="00B84E8A"/>
    <w:rsid w:val="00B95667"/>
    <w:rsid w:val="00BB4171"/>
    <w:rsid w:val="00BC2AE5"/>
    <w:rsid w:val="00BD28AA"/>
    <w:rsid w:val="00C2543D"/>
    <w:rsid w:val="00C54650"/>
    <w:rsid w:val="00C57F2D"/>
    <w:rsid w:val="00CB21B5"/>
    <w:rsid w:val="00CC6081"/>
    <w:rsid w:val="00D065A7"/>
    <w:rsid w:val="00D24F6F"/>
    <w:rsid w:val="00D62EDB"/>
    <w:rsid w:val="00D643DB"/>
    <w:rsid w:val="00D65C06"/>
    <w:rsid w:val="00D70D8D"/>
    <w:rsid w:val="00D76685"/>
    <w:rsid w:val="00D90A06"/>
    <w:rsid w:val="00DF46B1"/>
    <w:rsid w:val="00E00A5A"/>
    <w:rsid w:val="00E325EA"/>
    <w:rsid w:val="00E86E49"/>
    <w:rsid w:val="00E95CB1"/>
    <w:rsid w:val="00EE2B57"/>
    <w:rsid w:val="00EE5F19"/>
    <w:rsid w:val="00F13180"/>
    <w:rsid w:val="00F36084"/>
    <w:rsid w:val="00F42BF5"/>
    <w:rsid w:val="00F673F6"/>
    <w:rsid w:val="00F71F38"/>
    <w:rsid w:val="00F7216F"/>
    <w:rsid w:val="00F74696"/>
    <w:rsid w:val="00F7577B"/>
    <w:rsid w:val="00F76C2B"/>
    <w:rsid w:val="00F904E8"/>
    <w:rsid w:val="00FA6719"/>
    <w:rsid w:val="00FA72E2"/>
    <w:rsid w:val="00FE32AF"/>
    <w:rsid w:val="00FF2076"/>
    <w:rsid w:val="0123016A"/>
    <w:rsid w:val="04400304"/>
    <w:rsid w:val="04F857AE"/>
    <w:rsid w:val="05F74C81"/>
    <w:rsid w:val="07391479"/>
    <w:rsid w:val="0A9D1260"/>
    <w:rsid w:val="0CBF06A6"/>
    <w:rsid w:val="0DDF432E"/>
    <w:rsid w:val="0DE370AD"/>
    <w:rsid w:val="0F47681B"/>
    <w:rsid w:val="11510D2A"/>
    <w:rsid w:val="11580336"/>
    <w:rsid w:val="12780AC2"/>
    <w:rsid w:val="13522283"/>
    <w:rsid w:val="13611C3D"/>
    <w:rsid w:val="16566633"/>
    <w:rsid w:val="17B6418E"/>
    <w:rsid w:val="181179B1"/>
    <w:rsid w:val="1A6C259C"/>
    <w:rsid w:val="1C384E5A"/>
    <w:rsid w:val="1EB74845"/>
    <w:rsid w:val="1F0A3ECA"/>
    <w:rsid w:val="1FF967B9"/>
    <w:rsid w:val="232F70D2"/>
    <w:rsid w:val="2376267A"/>
    <w:rsid w:val="23C26642"/>
    <w:rsid w:val="254716DD"/>
    <w:rsid w:val="298B3C5F"/>
    <w:rsid w:val="29BF438A"/>
    <w:rsid w:val="2DA52013"/>
    <w:rsid w:val="2EFFDDAA"/>
    <w:rsid w:val="2F177725"/>
    <w:rsid w:val="2F9741F9"/>
    <w:rsid w:val="30DE1192"/>
    <w:rsid w:val="30EA3353"/>
    <w:rsid w:val="33187DA3"/>
    <w:rsid w:val="33E908A2"/>
    <w:rsid w:val="36AD097B"/>
    <w:rsid w:val="39270753"/>
    <w:rsid w:val="3A3D50BE"/>
    <w:rsid w:val="3A836C33"/>
    <w:rsid w:val="3B822F41"/>
    <w:rsid w:val="3B881A3E"/>
    <w:rsid w:val="3BF358DF"/>
    <w:rsid w:val="3D7F8341"/>
    <w:rsid w:val="3DC7137D"/>
    <w:rsid w:val="3F7FCDD0"/>
    <w:rsid w:val="3F8FA4E8"/>
    <w:rsid w:val="3F922241"/>
    <w:rsid w:val="3FAB20E7"/>
    <w:rsid w:val="3FBC0574"/>
    <w:rsid w:val="3FDF11E9"/>
    <w:rsid w:val="3FEDE334"/>
    <w:rsid w:val="3FFD9182"/>
    <w:rsid w:val="42164036"/>
    <w:rsid w:val="428F11A3"/>
    <w:rsid w:val="430020BB"/>
    <w:rsid w:val="44542059"/>
    <w:rsid w:val="457CBE2D"/>
    <w:rsid w:val="467B3D09"/>
    <w:rsid w:val="478011A0"/>
    <w:rsid w:val="480E207F"/>
    <w:rsid w:val="4A7E09F0"/>
    <w:rsid w:val="4B5F82E3"/>
    <w:rsid w:val="4C749610"/>
    <w:rsid w:val="4CD14F82"/>
    <w:rsid w:val="4D555A28"/>
    <w:rsid w:val="4D8E7176"/>
    <w:rsid w:val="4E1E04FA"/>
    <w:rsid w:val="4ED212E5"/>
    <w:rsid w:val="4EF58FFD"/>
    <w:rsid w:val="4F97E128"/>
    <w:rsid w:val="4FBD36A1"/>
    <w:rsid w:val="4FFF0EEB"/>
    <w:rsid w:val="514E14CD"/>
    <w:rsid w:val="51FB0B52"/>
    <w:rsid w:val="54807945"/>
    <w:rsid w:val="54F0348C"/>
    <w:rsid w:val="55F1E074"/>
    <w:rsid w:val="565B30F5"/>
    <w:rsid w:val="56EB3FA6"/>
    <w:rsid w:val="571C524E"/>
    <w:rsid w:val="572052E3"/>
    <w:rsid w:val="57903E36"/>
    <w:rsid w:val="57A16A07"/>
    <w:rsid w:val="58A00B29"/>
    <w:rsid w:val="58A43CF2"/>
    <w:rsid w:val="5901039F"/>
    <w:rsid w:val="5AE633F4"/>
    <w:rsid w:val="5B237E93"/>
    <w:rsid w:val="5B7E05FA"/>
    <w:rsid w:val="5BBF791F"/>
    <w:rsid w:val="5C167092"/>
    <w:rsid w:val="5D234A68"/>
    <w:rsid w:val="5FF7D7CC"/>
    <w:rsid w:val="62595B4D"/>
    <w:rsid w:val="62E73159"/>
    <w:rsid w:val="684814A6"/>
    <w:rsid w:val="693B39B1"/>
    <w:rsid w:val="69FB33E1"/>
    <w:rsid w:val="6AA60A9A"/>
    <w:rsid w:val="6AEC366C"/>
    <w:rsid w:val="6BA37D93"/>
    <w:rsid w:val="6BFF043A"/>
    <w:rsid w:val="6D616D04"/>
    <w:rsid w:val="6D9E3515"/>
    <w:rsid w:val="6EFFCFAE"/>
    <w:rsid w:val="6FB74BFA"/>
    <w:rsid w:val="6FBE0FA4"/>
    <w:rsid w:val="6FBF4139"/>
    <w:rsid w:val="6FEDD00F"/>
    <w:rsid w:val="6FFF011B"/>
    <w:rsid w:val="706C50A2"/>
    <w:rsid w:val="708239E7"/>
    <w:rsid w:val="70874D6B"/>
    <w:rsid w:val="70FB3D10"/>
    <w:rsid w:val="72B92643"/>
    <w:rsid w:val="74C55474"/>
    <w:rsid w:val="75BD2FD8"/>
    <w:rsid w:val="771E0F22"/>
    <w:rsid w:val="77FDCCF7"/>
    <w:rsid w:val="7BE7A6C8"/>
    <w:rsid w:val="7BF638B3"/>
    <w:rsid w:val="7BF7DF74"/>
    <w:rsid w:val="7CFB0C64"/>
    <w:rsid w:val="7DBD32C9"/>
    <w:rsid w:val="7DD620CC"/>
    <w:rsid w:val="7DD7A304"/>
    <w:rsid w:val="7E447410"/>
    <w:rsid w:val="7F271312"/>
    <w:rsid w:val="7F5DF83F"/>
    <w:rsid w:val="7F7F7B28"/>
    <w:rsid w:val="7FDD8D14"/>
    <w:rsid w:val="7FE7EE66"/>
    <w:rsid w:val="7FEB3646"/>
    <w:rsid w:val="7FF6601D"/>
    <w:rsid w:val="7FFF7B31"/>
    <w:rsid w:val="97F8EF05"/>
    <w:rsid w:val="9E9F1B0F"/>
    <w:rsid w:val="9FE62076"/>
    <w:rsid w:val="9FEF61CF"/>
    <w:rsid w:val="9FFE352B"/>
    <w:rsid w:val="AFFFD7BF"/>
    <w:rsid w:val="B7FF42C2"/>
    <w:rsid w:val="B97C8042"/>
    <w:rsid w:val="BA37311A"/>
    <w:rsid w:val="BFE27215"/>
    <w:rsid w:val="CF7B5DF8"/>
    <w:rsid w:val="CF95E846"/>
    <w:rsid w:val="D274059A"/>
    <w:rsid w:val="D7FE2BA8"/>
    <w:rsid w:val="DFBFAD81"/>
    <w:rsid w:val="DFFF9D2F"/>
    <w:rsid w:val="E3BF1B68"/>
    <w:rsid w:val="E6DF196A"/>
    <w:rsid w:val="E7CCAC85"/>
    <w:rsid w:val="EBE9EB35"/>
    <w:rsid w:val="EBFF857D"/>
    <w:rsid w:val="EFDDE029"/>
    <w:rsid w:val="EFFD611B"/>
    <w:rsid w:val="F52F22B5"/>
    <w:rsid w:val="F57AA447"/>
    <w:rsid w:val="F5AF2F6B"/>
    <w:rsid w:val="F7BD654D"/>
    <w:rsid w:val="FADC3C11"/>
    <w:rsid w:val="FB5D8A7B"/>
    <w:rsid w:val="FB7E3CCD"/>
    <w:rsid w:val="FBEB4BC8"/>
    <w:rsid w:val="FCE7796F"/>
    <w:rsid w:val="FE2FF410"/>
    <w:rsid w:val="FE7EE62F"/>
    <w:rsid w:val="FED296F0"/>
    <w:rsid w:val="FFB72CFF"/>
    <w:rsid w:val="FFDC118E"/>
    <w:rsid w:val="FFE7EF1F"/>
    <w:rsid w:val="FFFEF181"/>
    <w:rsid w:val="FFFF37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name="table of authorities"/>
    <w:lsdException w:uiPriority="0" w:name="macro"/>
    <w:lsdException w:uiPriority="0" w:name="toa heading"/>
    <w:lsdException w:unhideWhenUsed="0" w:uiPriority="0" w:name="List"/>
    <w:lsdException w:unhideWhenUsed="0"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nhideWhenUsed="0" w:uiPriority="0" w:name="List Continue 2"/>
    <w:lsdException w:unhideWhenUsed="0" w:uiPriority="0" w:name="List Continue 3"/>
    <w:lsdException w:unhideWhenUsed="0" w:uiPriority="0" w:name="List Continue 4"/>
    <w:lsdException w:unhideWhenUsed="0"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27"/>
    <w:qFormat/>
    <w:uiPriority w:val="0"/>
    <w:pPr>
      <w:keepNext/>
      <w:keepLines/>
      <w:spacing w:before="260" w:after="260" w:line="412" w:lineRule="auto"/>
      <w:outlineLvl w:val="1"/>
    </w:pPr>
    <w:rPr>
      <w:rFonts w:ascii="Arial" w:hAnsi="Arial" w:eastAsia="黑体"/>
      <w:b/>
      <w:kern w:val="0"/>
      <w:sz w:val="32"/>
      <w:szCs w:val="20"/>
    </w:rPr>
  </w:style>
  <w:style w:type="paragraph" w:styleId="4">
    <w:name w:val="heading 3"/>
    <w:basedOn w:val="1"/>
    <w:next w:val="1"/>
    <w:link w:val="28"/>
    <w:qFormat/>
    <w:uiPriority w:val="0"/>
    <w:pPr>
      <w:keepNext/>
      <w:keepLines/>
      <w:spacing w:before="260" w:after="260" w:line="416" w:lineRule="auto"/>
      <w:outlineLvl w:val="2"/>
    </w:pPr>
    <w:rPr>
      <w:rFonts w:ascii="Times New Roman" w:hAnsi="Times New Roman"/>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sz w:val="34"/>
    </w:rPr>
  </w:style>
  <w:style w:type="paragraph" w:styleId="5">
    <w:name w:val="annotation text"/>
    <w:basedOn w:val="1"/>
    <w:link w:val="39"/>
    <w:qFormat/>
    <w:uiPriority w:val="0"/>
    <w:pPr>
      <w:widowControl/>
      <w:spacing w:line="360" w:lineRule="auto"/>
      <w:ind w:firstLine="200" w:firstLineChars="200"/>
      <w:jc w:val="left"/>
    </w:pPr>
    <w:rPr>
      <w:rFonts w:hint="eastAsia" w:ascii="宋体" w:hAnsi="Times New Roman"/>
      <w:kern w:val="0"/>
      <w:sz w:val="24"/>
      <w:szCs w:val="20"/>
    </w:rPr>
  </w:style>
  <w:style w:type="paragraph" w:styleId="6">
    <w:name w:val="Body Text"/>
    <w:basedOn w:val="1"/>
    <w:next w:val="1"/>
    <w:link w:val="30"/>
    <w:qFormat/>
    <w:uiPriority w:val="0"/>
    <w:pPr>
      <w:spacing w:after="120"/>
    </w:pPr>
  </w:style>
  <w:style w:type="paragraph" w:styleId="7">
    <w:name w:val="Body Text Indent"/>
    <w:basedOn w:val="1"/>
    <w:link w:val="36"/>
    <w:semiHidden/>
    <w:unhideWhenUsed/>
    <w:qFormat/>
    <w:uiPriority w:val="0"/>
    <w:pPr>
      <w:spacing w:after="120"/>
      <w:ind w:left="420" w:leftChars="200"/>
    </w:pPr>
  </w:style>
  <w:style w:type="paragraph" w:styleId="8">
    <w:name w:val="Block Text"/>
    <w:basedOn w:val="1"/>
    <w:qFormat/>
    <w:uiPriority w:val="0"/>
    <w:pPr>
      <w:spacing w:line="440" w:lineRule="exact"/>
      <w:ind w:left="-540" w:leftChars="-257" w:right="-334" w:rightChars="-159" w:firstLine="1140"/>
    </w:pPr>
    <w:rPr>
      <w:rFonts w:ascii="Times New Roman" w:hAnsi="Times New Roman"/>
      <w:sz w:val="24"/>
      <w:szCs w:val="20"/>
    </w:rPr>
  </w:style>
  <w:style w:type="paragraph" w:styleId="9">
    <w:name w:val="Plain Text"/>
    <w:basedOn w:val="1"/>
    <w:next w:val="1"/>
    <w:link w:val="34"/>
    <w:qFormat/>
    <w:uiPriority w:val="0"/>
    <w:rPr>
      <w:rFonts w:hint="eastAsia" w:ascii="宋体" w:hAnsi="Courier New"/>
      <w:kern w:val="0"/>
      <w:sz w:val="20"/>
      <w:szCs w:val="21"/>
    </w:rPr>
  </w:style>
  <w:style w:type="paragraph" w:styleId="10">
    <w:name w:val="Balloon Text"/>
    <w:basedOn w:val="1"/>
    <w:link w:val="24"/>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unhideWhenUsed/>
    <w:qFormat/>
    <w:uiPriority w:val="39"/>
    <w:pPr>
      <w:ind w:left="420" w:leftChars="200"/>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15">
    <w:name w:val="Normal (Web)"/>
    <w:basedOn w:val="1"/>
    <w:qFormat/>
    <w:uiPriority w:val="99"/>
    <w:pPr>
      <w:widowControl/>
      <w:spacing w:before="100" w:beforeAutospacing="1" w:after="100" w:afterAutospacing="1"/>
      <w:jc w:val="left"/>
    </w:pPr>
    <w:rPr>
      <w:rFonts w:hint="eastAsia" w:ascii="宋体" w:hAnsi="宋体"/>
      <w:kern w:val="0"/>
      <w:sz w:val="24"/>
      <w:szCs w:val="24"/>
    </w:rPr>
  </w:style>
  <w:style w:type="paragraph" w:styleId="16">
    <w:name w:val="annotation subject"/>
    <w:basedOn w:val="5"/>
    <w:next w:val="5"/>
    <w:link w:val="31"/>
    <w:qFormat/>
    <w:uiPriority w:val="0"/>
    <w:rPr>
      <w:b/>
      <w:bCs/>
      <w:sz w:val="20"/>
    </w:rPr>
  </w:style>
  <w:style w:type="paragraph" w:styleId="17">
    <w:name w:val="Body Text First Indent"/>
    <w:basedOn w:val="6"/>
    <w:next w:val="18"/>
    <w:link w:val="32"/>
    <w:qFormat/>
    <w:uiPriority w:val="0"/>
    <w:pPr>
      <w:ind w:firstLine="420" w:firstLineChars="100"/>
    </w:pPr>
    <w:rPr>
      <w:rFonts w:ascii="Times New Roman" w:hAnsi="Times New Roman"/>
    </w:rPr>
  </w:style>
  <w:style w:type="paragraph" w:styleId="18">
    <w:name w:val="Body Text First Indent 2"/>
    <w:basedOn w:val="7"/>
    <w:link w:val="37"/>
    <w:unhideWhenUsed/>
    <w:qFormat/>
    <w:uiPriority w:val="99"/>
    <w:pPr>
      <w:widowControl/>
      <w:spacing w:after="120" w:line="256" w:lineRule="auto"/>
      <w:ind w:left="420" w:leftChars="200" w:firstLine="420" w:firstLineChars="200"/>
      <w:jc w:val="left"/>
    </w:pPr>
    <w:rPr>
      <w:rFonts w:eastAsia="Calibri"/>
      <w:color w:val="000000"/>
      <w:sz w:val="22"/>
    </w:rPr>
  </w:style>
  <w:style w:type="character" w:styleId="21">
    <w:name w:val="Hyperlink"/>
    <w:unhideWhenUsed/>
    <w:qFormat/>
    <w:uiPriority w:val="99"/>
    <w:rPr>
      <w:color w:val="0563C1"/>
      <w:u w:val="single"/>
    </w:rPr>
  </w:style>
  <w:style w:type="character" w:styleId="22">
    <w:name w:val="annotation reference"/>
    <w:basedOn w:val="20"/>
    <w:semiHidden/>
    <w:unhideWhenUsed/>
    <w:qFormat/>
    <w:uiPriority w:val="0"/>
    <w:rPr>
      <w:sz w:val="21"/>
      <w:szCs w:val="21"/>
    </w:rPr>
  </w:style>
  <w:style w:type="paragraph" w:customStyle="1" w:styleId="23">
    <w:name w:val="首行缩进"/>
    <w:basedOn w:val="1"/>
    <w:qFormat/>
    <w:uiPriority w:val="0"/>
    <w:pPr>
      <w:spacing w:line="300" w:lineRule="auto"/>
      <w:ind w:firstLine="420"/>
    </w:pPr>
    <w:rPr>
      <w:rFonts w:eastAsia="方正书宋简体"/>
    </w:rPr>
  </w:style>
  <w:style w:type="character" w:customStyle="1" w:styleId="24">
    <w:name w:val="批注框文本 字符"/>
    <w:basedOn w:val="20"/>
    <w:link w:val="10"/>
    <w:qFormat/>
    <w:uiPriority w:val="0"/>
    <w:rPr>
      <w:rFonts w:ascii="Calibri" w:hAnsi="Calibri" w:eastAsia="宋体" w:cs="Times New Roman"/>
      <w:kern w:val="2"/>
      <w:sz w:val="18"/>
      <w:szCs w:val="18"/>
    </w:rPr>
  </w:style>
  <w:style w:type="character" w:customStyle="1" w:styleId="25">
    <w:name w:val="页眉 字符"/>
    <w:basedOn w:val="20"/>
    <w:link w:val="12"/>
    <w:qFormat/>
    <w:uiPriority w:val="0"/>
    <w:rPr>
      <w:rFonts w:ascii="Calibri" w:hAnsi="Calibri" w:eastAsia="宋体" w:cs="Times New Roman"/>
      <w:kern w:val="2"/>
      <w:sz w:val="18"/>
      <w:szCs w:val="18"/>
    </w:rPr>
  </w:style>
  <w:style w:type="character" w:customStyle="1" w:styleId="26">
    <w:name w:val="页脚 字符"/>
    <w:basedOn w:val="20"/>
    <w:link w:val="11"/>
    <w:qFormat/>
    <w:uiPriority w:val="0"/>
    <w:rPr>
      <w:rFonts w:ascii="Calibri" w:hAnsi="Calibri" w:eastAsia="宋体" w:cs="Times New Roman"/>
      <w:kern w:val="2"/>
      <w:sz w:val="18"/>
      <w:szCs w:val="18"/>
    </w:rPr>
  </w:style>
  <w:style w:type="character" w:customStyle="1" w:styleId="27">
    <w:name w:val="标题 2 字符"/>
    <w:basedOn w:val="20"/>
    <w:link w:val="3"/>
    <w:qFormat/>
    <w:uiPriority w:val="0"/>
    <w:rPr>
      <w:rFonts w:ascii="Arial" w:hAnsi="Arial" w:eastAsia="黑体" w:cs="Times New Roman"/>
      <w:b/>
      <w:sz w:val="32"/>
    </w:rPr>
  </w:style>
  <w:style w:type="character" w:customStyle="1" w:styleId="28">
    <w:name w:val="标题 3 字符"/>
    <w:basedOn w:val="20"/>
    <w:link w:val="4"/>
    <w:qFormat/>
    <w:uiPriority w:val="0"/>
    <w:rPr>
      <w:rFonts w:ascii="Times New Roman" w:hAnsi="Times New Roman" w:eastAsia="宋体" w:cs="Times New Roman"/>
      <w:b/>
      <w:bCs/>
      <w:kern w:val="2"/>
      <w:sz w:val="32"/>
      <w:szCs w:val="32"/>
    </w:rPr>
  </w:style>
  <w:style w:type="character" w:customStyle="1" w:styleId="29">
    <w:name w:val="批注文字 字符"/>
    <w:basedOn w:val="20"/>
    <w:qFormat/>
    <w:uiPriority w:val="0"/>
    <w:rPr>
      <w:rFonts w:ascii="Calibri" w:hAnsi="Calibri" w:eastAsia="宋体" w:cs="Times New Roman"/>
      <w:kern w:val="2"/>
      <w:sz w:val="21"/>
      <w:szCs w:val="22"/>
    </w:rPr>
  </w:style>
  <w:style w:type="character" w:customStyle="1" w:styleId="30">
    <w:name w:val="正文文本 字符"/>
    <w:basedOn w:val="20"/>
    <w:link w:val="6"/>
    <w:qFormat/>
    <w:uiPriority w:val="0"/>
    <w:rPr>
      <w:rFonts w:ascii="Calibri" w:hAnsi="Calibri" w:eastAsia="宋体" w:cs="Times New Roman"/>
      <w:kern w:val="2"/>
      <w:sz w:val="21"/>
      <w:szCs w:val="22"/>
    </w:rPr>
  </w:style>
  <w:style w:type="character" w:customStyle="1" w:styleId="31">
    <w:name w:val="批注主题 字符"/>
    <w:basedOn w:val="29"/>
    <w:link w:val="16"/>
    <w:qFormat/>
    <w:uiPriority w:val="0"/>
    <w:rPr>
      <w:rFonts w:ascii="Calibri" w:hAnsi="Calibri" w:eastAsia="宋体" w:cs="Times New Roman"/>
      <w:b/>
      <w:bCs/>
      <w:kern w:val="2"/>
      <w:sz w:val="21"/>
      <w:szCs w:val="22"/>
    </w:rPr>
  </w:style>
  <w:style w:type="character" w:customStyle="1" w:styleId="32">
    <w:name w:val="正文首行缩进 字符"/>
    <w:basedOn w:val="30"/>
    <w:link w:val="17"/>
    <w:qFormat/>
    <w:uiPriority w:val="0"/>
    <w:rPr>
      <w:rFonts w:ascii="Times New Roman" w:hAnsi="Times New Roman" w:eastAsia="宋体" w:cs="Times New Roman"/>
      <w:kern w:val="2"/>
      <w:sz w:val="21"/>
      <w:szCs w:val="22"/>
    </w:rPr>
  </w:style>
  <w:style w:type="paragraph" w:customStyle="1" w:styleId="33">
    <w:name w:val="xl84"/>
    <w:basedOn w:val="1"/>
    <w:qFormat/>
    <w:uiPriority w:val="0"/>
    <w:pPr>
      <w:widowControl/>
      <w:spacing w:before="100" w:beforeAutospacing="1" w:after="100" w:afterAutospacing="1"/>
      <w:jc w:val="left"/>
    </w:pPr>
    <w:rPr>
      <w:rFonts w:ascii="宋体" w:hAnsi="宋体" w:cs="宋体"/>
      <w:b/>
      <w:bCs/>
      <w:kern w:val="0"/>
      <w:sz w:val="18"/>
      <w:szCs w:val="18"/>
    </w:rPr>
  </w:style>
  <w:style w:type="character" w:customStyle="1" w:styleId="34">
    <w:name w:val="纯文本 字符"/>
    <w:basedOn w:val="20"/>
    <w:link w:val="9"/>
    <w:qFormat/>
    <w:uiPriority w:val="0"/>
    <w:rPr>
      <w:rFonts w:ascii="宋体" w:hAnsi="Courier New" w:eastAsia="宋体" w:cs="Times New Roman"/>
      <w:szCs w:val="21"/>
    </w:rPr>
  </w:style>
  <w:style w:type="paragraph" w:customStyle="1" w:styleId="35">
    <w:name w:val="_Style 44"/>
    <w:basedOn w:val="6"/>
    <w:next w:val="17"/>
    <w:qFormat/>
    <w:uiPriority w:val="99"/>
    <w:pPr>
      <w:spacing w:before="100" w:beforeAutospacing="1"/>
      <w:ind w:firstLine="420"/>
    </w:pPr>
    <w:rPr>
      <w:rFonts w:ascii="Times New Roman" w:hAnsi="Times New Roman"/>
    </w:rPr>
  </w:style>
  <w:style w:type="character" w:customStyle="1" w:styleId="36">
    <w:name w:val="正文文本缩进 字符"/>
    <w:basedOn w:val="20"/>
    <w:link w:val="7"/>
    <w:qFormat/>
    <w:uiPriority w:val="0"/>
    <w:rPr>
      <w:rFonts w:hint="default" w:ascii="Calibri" w:hAnsi="Calibri" w:eastAsia="宋体" w:cs="Times New Roman"/>
      <w:kern w:val="2"/>
      <w:sz w:val="21"/>
      <w:szCs w:val="22"/>
    </w:rPr>
  </w:style>
  <w:style w:type="character" w:customStyle="1" w:styleId="37">
    <w:name w:val="正文首行缩进 2 字符"/>
    <w:basedOn w:val="36"/>
    <w:link w:val="18"/>
    <w:qFormat/>
    <w:uiPriority w:val="0"/>
    <w:rPr>
      <w:rFonts w:hint="default" w:ascii="Calibri" w:hAnsi="Calibri" w:eastAsia="宋体" w:cs="Times New Roman"/>
      <w:kern w:val="2"/>
      <w:sz w:val="21"/>
      <w:szCs w:val="22"/>
    </w:rPr>
  </w:style>
  <w:style w:type="paragraph" w:customStyle="1" w:styleId="38">
    <w:name w:val="CM6"/>
    <w:basedOn w:val="1"/>
    <w:next w:val="1"/>
    <w:qFormat/>
    <w:uiPriority w:val="0"/>
    <w:pPr>
      <w:autoSpaceDE w:val="0"/>
      <w:autoSpaceDN w:val="0"/>
      <w:adjustRightInd w:val="0"/>
      <w:spacing w:line="626" w:lineRule="atLeast"/>
      <w:jc w:val="left"/>
    </w:pPr>
    <w:rPr>
      <w:rFonts w:ascii="隶书" w:hAnsi="Times New Roman" w:eastAsia="隶书"/>
      <w:kern w:val="0"/>
      <w:sz w:val="24"/>
      <w:szCs w:val="24"/>
    </w:rPr>
  </w:style>
  <w:style w:type="character" w:customStyle="1" w:styleId="39">
    <w:name w:val="批注文字 字符1"/>
    <w:basedOn w:val="20"/>
    <w:link w:val="5"/>
    <w:qFormat/>
    <w:uiPriority w:val="0"/>
    <w:rPr>
      <w:rFonts w:hint="eastAsia" w:ascii="宋体"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92C03-75D9-452D-8939-760C355E19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23079</Words>
  <Characters>24331</Characters>
  <Lines>186</Lines>
  <Paragraphs>52</Paragraphs>
  <TotalTime>36</TotalTime>
  <ScaleCrop>false</ScaleCrop>
  <LinksUpToDate>false</LinksUpToDate>
  <CharactersWithSpaces>24818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2023-03-09T06:15:00Z</dcterms:created>
  <dc:creator>广东工程经办人</dc:creator>
  <cp:lastModifiedBy>◕‿◕ 丁﹏]</cp:lastModifiedBy>
  <dcterms:modified xsi:type="dcterms:W3CDTF">2023-10-27T05:59:54Z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5887A8BCB33C4015816BE3AE82591F07_13</vt:lpwstr>
  </property>
</Properties>
</file>