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spacing w:line="480" w:lineRule="auto"/>
        <w:jc w:val="center"/>
        <w:rPr>
          <w:b/>
          <w:bCs/>
          <w:sz w:val="32"/>
          <w:szCs w:val="32"/>
        </w:rPr>
      </w:pPr>
      <w:r>
        <w:rPr>
          <w:rFonts w:hint="eastAsia"/>
          <w:b/>
          <w:bCs/>
          <w:sz w:val="32"/>
          <w:szCs w:val="32"/>
        </w:rPr>
        <w:t>广州白云国际机场三期扩建工程配套供冷工程</w:t>
      </w:r>
    </w:p>
    <w:p>
      <w:pPr>
        <w:pStyle w:val="31"/>
        <w:spacing w:line="480" w:lineRule="auto"/>
        <w:jc w:val="center"/>
        <w:rPr>
          <w:b/>
          <w:bCs/>
          <w:sz w:val="32"/>
          <w:szCs w:val="32"/>
        </w:rPr>
      </w:pPr>
      <w:r>
        <w:rPr>
          <w:rFonts w:hint="eastAsia"/>
          <w:b/>
          <w:bCs/>
          <w:sz w:val="32"/>
          <w:szCs w:val="32"/>
        </w:rPr>
        <w:t>招标公告</w:t>
      </w:r>
    </w:p>
    <w:p>
      <w:pPr>
        <w:spacing w:line="480" w:lineRule="auto"/>
        <w:ind w:firstLine="537" w:firstLineChars="224"/>
        <w:jc w:val="center"/>
        <w:rPr>
          <w:sz w:val="24"/>
        </w:rPr>
      </w:pPr>
    </w:p>
    <w:p>
      <w:pPr>
        <w:spacing w:line="480" w:lineRule="auto"/>
        <w:ind w:left="120" w:leftChars="57" w:firstLine="417" w:firstLineChars="174"/>
        <w:rPr>
          <w:rFonts w:ascii="宋体" w:hAnsi="宋体"/>
          <w:sz w:val="24"/>
        </w:rPr>
      </w:pPr>
      <w:r>
        <w:rPr>
          <w:rFonts w:hint="eastAsia"/>
          <w:sz w:val="24"/>
        </w:rPr>
        <w:t>广州白云国际机场三期扩建工程已获得立项批准</w:t>
      </w:r>
      <w:r>
        <w:rPr>
          <w:rFonts w:hint="eastAsia" w:ascii="宋体" w:hAnsi="宋体"/>
          <w:sz w:val="24"/>
        </w:rPr>
        <w:t>，广州白云国际机场三期扩建工程配套供冷工程图纸和技术资料满足施工需要，</w:t>
      </w:r>
      <w:r>
        <w:rPr>
          <w:rFonts w:hint="eastAsia" w:ascii="宋体" w:hAnsi="宋体"/>
          <w:sz w:val="24"/>
          <w:u w:val="single"/>
        </w:rPr>
        <w:t>广东省机场管理集团有限公司工程建设指挥部</w:t>
      </w:r>
      <w:r>
        <w:rPr>
          <w:rFonts w:hint="eastAsia" w:ascii="宋体" w:hAnsi="宋体"/>
          <w:sz w:val="24"/>
        </w:rPr>
        <w:t>现对广州白云国际机场三期扩建工程配套供冷工程进行公开招标，选定承包人。</w:t>
      </w:r>
    </w:p>
    <w:p>
      <w:pPr>
        <w:tabs>
          <w:tab w:val="center" w:pos="4415"/>
        </w:tabs>
        <w:spacing w:line="480" w:lineRule="auto"/>
        <w:ind w:firstLine="537" w:firstLineChars="224"/>
        <w:rPr>
          <w:rFonts w:ascii="宋体" w:hAnsi="宋体"/>
          <w:sz w:val="24"/>
          <w:u w:val="single"/>
        </w:rPr>
      </w:pPr>
      <w:r>
        <w:rPr>
          <w:rFonts w:hint="eastAsia" w:ascii="宋体" w:hAnsi="宋体"/>
          <w:sz w:val="24"/>
        </w:rPr>
        <w:t>一、工程名称：广州白云国际机场三期扩建工程配套供冷工程</w:t>
      </w:r>
    </w:p>
    <w:p>
      <w:pPr>
        <w:tabs>
          <w:tab w:val="center" w:pos="4415"/>
        </w:tabs>
        <w:spacing w:line="480" w:lineRule="auto"/>
        <w:ind w:firstLine="1017" w:firstLineChars="424"/>
        <w:rPr>
          <w:rFonts w:ascii="宋体" w:hAnsi="宋体"/>
          <w:sz w:val="24"/>
          <w:u w:val="single"/>
        </w:rPr>
      </w:pPr>
      <w:r>
        <w:rPr>
          <w:rFonts w:hint="eastAsia" w:ascii="宋体"/>
          <w:sz w:val="24"/>
        </w:rPr>
        <w:t>项目代码：</w:t>
      </w:r>
      <w:r>
        <w:rPr>
          <w:rFonts w:hint="eastAsia" w:ascii="宋体"/>
          <w:sz w:val="24"/>
          <w:u w:val="single"/>
        </w:rPr>
        <w:t>2019-000052-56-01-001744</w:t>
      </w:r>
    </w:p>
    <w:p>
      <w:pPr>
        <w:spacing w:line="480" w:lineRule="auto"/>
        <w:ind w:firstLine="537" w:firstLineChars="224"/>
        <w:rPr>
          <w:rFonts w:ascii="宋体"/>
          <w:sz w:val="24"/>
          <w:u w:val="single"/>
        </w:rPr>
      </w:pPr>
      <w:r>
        <w:rPr>
          <w:rFonts w:hint="eastAsia" w:ascii="宋体" w:hAnsi="宋体"/>
          <w:sz w:val="24"/>
        </w:rPr>
        <w:t>二、招标单位：</w:t>
      </w:r>
      <w:r>
        <w:rPr>
          <w:rFonts w:hint="eastAsia" w:ascii="宋体" w:hAnsi="宋体"/>
          <w:sz w:val="24"/>
          <w:u w:val="single"/>
        </w:rPr>
        <w:t>广东省机场管理集团有限公司工程建设指挥部</w:t>
      </w:r>
    </w:p>
    <w:p>
      <w:pPr>
        <w:spacing w:line="480" w:lineRule="auto"/>
        <w:ind w:firstLine="537" w:firstLineChars="224"/>
        <w:rPr>
          <w:rFonts w:ascii="宋体" w:hAnsi="宋体"/>
          <w:sz w:val="24"/>
          <w:u w:val="single"/>
        </w:rPr>
      </w:pPr>
      <w:r>
        <w:rPr>
          <w:rFonts w:ascii="宋体" w:hAnsi="宋体"/>
          <w:sz w:val="24"/>
        </w:rPr>
        <w:t xml:space="preserve">    </w:t>
      </w:r>
      <w:r>
        <w:rPr>
          <w:rFonts w:hint="eastAsia" w:ascii="宋体" w:hAnsi="宋体"/>
          <w:sz w:val="24"/>
        </w:rPr>
        <w:t>联系人：</w:t>
      </w:r>
      <w:r>
        <w:rPr>
          <w:rFonts w:ascii="宋体" w:hAnsi="宋体"/>
          <w:sz w:val="24"/>
          <w:u w:val="single"/>
        </w:rPr>
        <w:t xml:space="preserve">    </w:t>
      </w:r>
      <w:r>
        <w:rPr>
          <w:rFonts w:hint="eastAsia" w:ascii="宋体" w:hAnsi="宋体"/>
          <w:sz w:val="24"/>
          <w:u w:val="single"/>
        </w:rPr>
        <w:t>老先生</w:t>
      </w:r>
      <w:r>
        <w:rPr>
          <w:rFonts w:ascii="宋体" w:hAnsi="宋体"/>
          <w:sz w:val="24"/>
          <w:u w:val="single"/>
        </w:rPr>
        <w:t xml:space="preserve">     </w:t>
      </w:r>
      <w:r>
        <w:rPr>
          <w:rFonts w:ascii="宋体" w:hAnsi="宋体"/>
          <w:sz w:val="24"/>
        </w:rPr>
        <w:t xml:space="preserve">      </w:t>
      </w:r>
      <w:r>
        <w:rPr>
          <w:rFonts w:hint="eastAsia" w:ascii="宋体" w:hAnsi="宋体"/>
          <w:sz w:val="24"/>
        </w:rPr>
        <w:t>联系电话：</w:t>
      </w:r>
      <w:r>
        <w:rPr>
          <w:rFonts w:ascii="宋体" w:hAnsi="宋体"/>
          <w:sz w:val="24"/>
          <w:u w:val="single"/>
        </w:rPr>
        <w:t xml:space="preserve"> 020-</w:t>
      </w:r>
      <w:r>
        <w:rPr>
          <w:rFonts w:hint="eastAsia" w:ascii="宋体" w:hAnsi="宋体"/>
          <w:sz w:val="24"/>
          <w:u w:val="single"/>
        </w:rPr>
        <w:t>36063049</w:t>
      </w:r>
      <w:r>
        <w:rPr>
          <w:rFonts w:ascii="宋体" w:hAnsi="宋体"/>
          <w:sz w:val="24"/>
          <w:u w:val="single"/>
        </w:rPr>
        <w:t xml:space="preserve">  </w:t>
      </w:r>
    </w:p>
    <w:p>
      <w:pPr>
        <w:spacing w:line="480" w:lineRule="auto"/>
        <w:ind w:firstLine="1015" w:firstLineChars="423"/>
        <w:rPr>
          <w:rFonts w:ascii="宋体" w:hAnsi="宋体"/>
          <w:sz w:val="24"/>
          <w:u w:val="single"/>
        </w:rPr>
      </w:pPr>
      <w:r>
        <w:rPr>
          <w:rFonts w:hint="eastAsia" w:ascii="宋体" w:hAnsi="宋体"/>
          <w:sz w:val="24"/>
        </w:rPr>
        <w:t>联系地址：</w:t>
      </w:r>
      <w:r>
        <w:rPr>
          <w:rFonts w:hint="eastAsia" w:ascii="宋体" w:hAnsi="宋体"/>
          <w:sz w:val="24"/>
          <w:u w:val="single"/>
        </w:rPr>
        <w:t>广州市白云区人和镇广州白云国际机场东南工作区</w:t>
      </w:r>
    </w:p>
    <w:p>
      <w:pPr>
        <w:spacing w:line="480" w:lineRule="auto"/>
        <w:ind w:left="420" w:leftChars="200" w:firstLine="537" w:firstLineChars="224"/>
        <w:rPr>
          <w:rFonts w:ascii="宋体"/>
          <w:sz w:val="24"/>
          <w:u w:val="single"/>
        </w:rPr>
      </w:pPr>
      <w:r>
        <w:rPr>
          <w:rFonts w:hint="eastAsia" w:ascii="宋体" w:hAnsi="宋体"/>
          <w:sz w:val="24"/>
        </w:rPr>
        <w:t>招标代理机构：</w:t>
      </w:r>
      <w:r>
        <w:rPr>
          <w:rFonts w:hint="eastAsia" w:ascii="宋体" w:hAnsi="宋体"/>
          <w:sz w:val="24"/>
          <w:u w:val="single"/>
        </w:rPr>
        <w:t>国义招标股份有限公司</w:t>
      </w:r>
    </w:p>
    <w:p>
      <w:pPr>
        <w:keepNext w:val="0"/>
        <w:keepLines w:val="0"/>
        <w:pageBreakBefore w:val="0"/>
        <w:widowControl w:val="0"/>
        <w:kinsoku/>
        <w:wordWrap/>
        <w:overflowPunct/>
        <w:topLinePunct w:val="0"/>
        <w:autoSpaceDE/>
        <w:autoSpaceDN/>
        <w:bidi w:val="0"/>
        <w:adjustRightInd/>
        <w:snapToGrid/>
        <w:spacing w:line="480" w:lineRule="auto"/>
        <w:ind w:left="5565" w:leftChars="250" w:hanging="5040" w:hangingChars="2100"/>
        <w:textAlignment w:val="auto"/>
        <w:rPr>
          <w:rFonts w:hint="eastAsia" w:ascii="宋体" w:hAnsi="宋体" w:eastAsia="宋体"/>
          <w:sz w:val="24"/>
          <w:highlight w:val="yellow"/>
          <w:u w:val="single"/>
          <w:lang w:eastAsia="zh-CN"/>
        </w:rPr>
      </w:pPr>
      <w:r>
        <w:rPr>
          <w:rFonts w:ascii="宋体" w:hAnsi="宋体"/>
          <w:sz w:val="24"/>
        </w:rPr>
        <w:t xml:space="preserve">    </w:t>
      </w:r>
      <w:r>
        <w:rPr>
          <w:rFonts w:hint="eastAsia" w:ascii="宋体" w:hAnsi="宋体"/>
          <w:sz w:val="24"/>
        </w:rPr>
        <w:t>联系人：欧工、李工、黄工</w:t>
      </w:r>
      <w:r>
        <w:rPr>
          <w:rFonts w:ascii="宋体" w:hAnsi="宋体"/>
          <w:sz w:val="24"/>
        </w:rPr>
        <w:t xml:space="preserve">    </w:t>
      </w:r>
      <w:r>
        <w:rPr>
          <w:rFonts w:hint="eastAsia" w:ascii="宋体" w:hAnsi="宋体"/>
          <w:sz w:val="24"/>
        </w:rPr>
        <w:t>联系电话：020-66357238、62718393、66358319</w:t>
      </w:r>
      <w:r>
        <w:rPr>
          <w:rFonts w:hint="eastAsia" w:ascii="宋体" w:hAnsi="宋体"/>
          <w:sz w:val="24"/>
          <w:lang w:eastAsia="zh-CN"/>
        </w:rPr>
        <w:t>、18124271391</w:t>
      </w:r>
    </w:p>
    <w:p>
      <w:pPr>
        <w:spacing w:line="480" w:lineRule="auto"/>
        <w:ind w:firstLine="1015" w:firstLineChars="423"/>
      </w:pPr>
      <w:r>
        <w:rPr>
          <w:rFonts w:hint="eastAsia" w:ascii="宋体" w:hAnsi="宋体"/>
          <w:sz w:val="24"/>
        </w:rPr>
        <w:t>联系地址：</w:t>
      </w:r>
      <w:r>
        <w:rPr>
          <w:rFonts w:hint="eastAsia" w:ascii="宋体" w:hAnsi="宋体" w:cs="新宋体"/>
          <w:kern w:val="0"/>
          <w:sz w:val="24"/>
          <w:szCs w:val="24"/>
          <w:u w:val="single"/>
        </w:rPr>
        <w:t>广州市东风东路726号7楼</w:t>
      </w:r>
    </w:p>
    <w:p>
      <w:pPr>
        <w:spacing w:line="480" w:lineRule="auto"/>
        <w:ind w:firstLine="537" w:firstLineChars="224"/>
        <w:rPr>
          <w:rFonts w:ascii="宋体"/>
          <w:sz w:val="24"/>
        </w:rPr>
      </w:pPr>
      <w:r>
        <w:rPr>
          <w:rFonts w:ascii="宋体" w:hAnsi="宋体"/>
          <w:sz w:val="24"/>
        </w:rPr>
        <w:t xml:space="preserve">    </w:t>
      </w:r>
      <w:r>
        <w:rPr>
          <w:rFonts w:hint="eastAsia" w:ascii="宋体" w:hAnsi="宋体"/>
          <w:sz w:val="24"/>
        </w:rPr>
        <w:t>招标监督机构：</w:t>
      </w:r>
      <w:r>
        <w:rPr>
          <w:rFonts w:hint="eastAsia" w:ascii="宋体" w:hAnsi="宋体" w:cs="新宋体"/>
          <w:kern w:val="0"/>
          <w:sz w:val="24"/>
          <w:szCs w:val="24"/>
          <w:u w:val="single"/>
        </w:rPr>
        <w:t>广州空港经济区管理委员会国土规划和建设局</w:t>
      </w:r>
    </w:p>
    <w:p>
      <w:pPr>
        <w:spacing w:line="480" w:lineRule="auto"/>
        <w:ind w:firstLine="537" w:firstLineChars="224"/>
        <w:rPr>
          <w:rFonts w:ascii="宋体" w:hAnsi="宋体"/>
          <w:sz w:val="24"/>
          <w:u w:val="single"/>
        </w:rPr>
      </w:pPr>
      <w:r>
        <w:rPr>
          <w:rFonts w:ascii="宋体" w:hAnsi="宋体"/>
          <w:sz w:val="24"/>
        </w:rPr>
        <w:t xml:space="preserve">    </w:t>
      </w:r>
      <w:r>
        <w:rPr>
          <w:rFonts w:hint="eastAsia" w:ascii="宋体" w:hAnsi="宋体"/>
          <w:sz w:val="24"/>
        </w:rPr>
        <w:t>监督电话：</w:t>
      </w:r>
      <w:r>
        <w:rPr>
          <w:rFonts w:hint="eastAsia" w:ascii="宋体" w:hAnsi="宋体"/>
          <w:sz w:val="24"/>
          <w:u w:val="single"/>
        </w:rPr>
        <w:t>020-36069209</w:t>
      </w:r>
    </w:p>
    <w:p>
      <w:pPr>
        <w:spacing w:line="480" w:lineRule="auto"/>
        <w:ind w:firstLine="1015" w:firstLineChars="423"/>
      </w:pPr>
      <w:r>
        <w:rPr>
          <w:rFonts w:hint="eastAsia" w:ascii="宋体" w:hAnsi="宋体"/>
          <w:sz w:val="24"/>
        </w:rPr>
        <w:t>联系地址：</w:t>
      </w:r>
      <w:r>
        <w:rPr>
          <w:rFonts w:hint="eastAsia" w:ascii="宋体" w:hAnsi="宋体" w:cs="新宋体"/>
          <w:kern w:val="0"/>
          <w:sz w:val="24"/>
          <w:szCs w:val="24"/>
          <w:u w:val="single"/>
        </w:rPr>
        <w:t>广州市越秀区人民北路686号广东广播电视台大楼7楼</w:t>
      </w:r>
    </w:p>
    <w:p>
      <w:pPr>
        <w:spacing w:line="480" w:lineRule="auto"/>
        <w:ind w:firstLine="537" w:firstLineChars="224"/>
        <w:rPr>
          <w:rFonts w:ascii="宋体"/>
          <w:sz w:val="24"/>
          <w:u w:val="single"/>
        </w:rPr>
      </w:pPr>
      <w:r>
        <w:rPr>
          <w:rFonts w:hint="eastAsia" w:ascii="宋体" w:hAnsi="宋体"/>
          <w:sz w:val="24"/>
        </w:rPr>
        <w:t>三、建设地点：</w:t>
      </w:r>
      <w:r>
        <w:rPr>
          <w:rFonts w:hint="eastAsia" w:ascii="宋体" w:hAnsi="宋体"/>
          <w:sz w:val="24"/>
          <w:u w:val="single"/>
        </w:rPr>
        <w:t>广州白云国际机场东南侧</w:t>
      </w:r>
    </w:p>
    <w:p>
      <w:pPr>
        <w:spacing w:line="480" w:lineRule="auto"/>
        <w:ind w:firstLine="537" w:firstLineChars="224"/>
        <w:rPr>
          <w:rFonts w:ascii="宋体" w:hAnsi="宋体"/>
          <w:sz w:val="24"/>
        </w:rPr>
      </w:pPr>
      <w:r>
        <w:rPr>
          <w:rFonts w:hint="eastAsia" w:ascii="宋体" w:hAnsi="宋体"/>
          <w:sz w:val="24"/>
        </w:rPr>
        <w:t>四、项目概况</w:t>
      </w:r>
    </w:p>
    <w:p>
      <w:pPr>
        <w:spacing w:line="480" w:lineRule="auto"/>
        <w:ind w:firstLine="537" w:firstLineChars="224"/>
        <w:rPr>
          <w:rFonts w:ascii="宋体" w:hAnsi="宋体"/>
          <w:sz w:val="24"/>
        </w:rPr>
      </w:pPr>
      <w:r>
        <w:rPr>
          <w:rFonts w:hint="eastAsia" w:ascii="宋体" w:hAnsi="宋体"/>
          <w:sz w:val="24"/>
        </w:rPr>
        <w:t>本项目为广州白云国际机场三期扩建工程配套供冷工程,位于广州市花都区,绿色建筑星级为二星级。</w:t>
      </w:r>
    </w:p>
    <w:p>
      <w:pPr>
        <w:spacing w:line="480" w:lineRule="auto"/>
        <w:ind w:firstLine="537" w:firstLineChars="224"/>
        <w:rPr>
          <w:rFonts w:ascii="宋体" w:hAnsi="宋体"/>
          <w:sz w:val="24"/>
        </w:rPr>
      </w:pPr>
      <w:r>
        <w:rPr>
          <w:rFonts w:hint="eastAsia" w:ascii="宋体" w:hAnsi="宋体"/>
          <w:sz w:val="24"/>
        </w:rPr>
        <w:t>制冷站计划本期供冷建筑为T3 航站楼、综合交通中心(GTC)、旅客过夜酒店、南工作区E10 地块办公楼；预留后期为航站区南部商业区、T3 航站楼二期南指廊、南工作区E05、E06、E07、E07供冷的能力。</w:t>
      </w:r>
    </w:p>
    <w:p>
      <w:pPr>
        <w:spacing w:line="480" w:lineRule="auto"/>
        <w:ind w:firstLine="537" w:firstLineChars="224"/>
        <w:rPr>
          <w:rFonts w:ascii="宋体" w:hAnsi="宋体"/>
          <w:sz w:val="24"/>
        </w:rPr>
      </w:pPr>
      <w:r>
        <w:rPr>
          <w:rFonts w:hint="eastAsia" w:ascii="宋体" w:hAnsi="宋体"/>
          <w:sz w:val="24"/>
        </w:rPr>
        <w:t>制冷站地上2层,建筑高度约10.3米,总建筑面积约7217m2。其中,首层为制冷机房、电房、消防水泵房、卫生间等；二层为电房、监控室、值班室等。</w:t>
      </w:r>
    </w:p>
    <w:p>
      <w:pPr>
        <w:spacing w:line="480" w:lineRule="auto"/>
        <w:ind w:firstLine="537" w:firstLineChars="224"/>
        <w:rPr>
          <w:rFonts w:ascii="宋体" w:hAnsi="宋体"/>
          <w:sz w:val="24"/>
        </w:rPr>
      </w:pPr>
      <w:r>
        <w:rPr>
          <w:rFonts w:hint="eastAsia" w:ascii="宋体" w:hAnsi="宋体"/>
          <w:sz w:val="24"/>
        </w:rPr>
        <w:t>（详见技术条件）</w:t>
      </w:r>
    </w:p>
    <w:p>
      <w:pPr>
        <w:spacing w:line="480" w:lineRule="auto"/>
        <w:ind w:firstLine="537" w:firstLineChars="224"/>
        <w:rPr>
          <w:rFonts w:ascii="宋体"/>
          <w:sz w:val="24"/>
        </w:rPr>
      </w:pPr>
      <w:r>
        <w:rPr>
          <w:rFonts w:hint="eastAsia" w:ascii="宋体" w:hAnsi="宋体"/>
          <w:sz w:val="24"/>
        </w:rPr>
        <w:t>五、标段划分及各标段招标内容、规模、最高投标限价和工期</w:t>
      </w:r>
    </w:p>
    <w:p>
      <w:pPr>
        <w:spacing w:line="480" w:lineRule="auto"/>
        <w:ind w:firstLine="537" w:firstLineChars="224"/>
        <w:rPr>
          <w:rFonts w:ascii="宋体" w:hAnsi="宋体"/>
          <w:sz w:val="24"/>
        </w:rPr>
      </w:pPr>
      <w:r>
        <w:rPr>
          <w:rFonts w:hint="eastAsia" w:ascii="宋体" w:hAnsi="宋体"/>
          <w:sz w:val="24"/>
        </w:rPr>
        <w:t>1、招标内容及范围：</w:t>
      </w:r>
    </w:p>
    <w:p>
      <w:pPr>
        <w:spacing w:line="480" w:lineRule="auto"/>
        <w:ind w:firstLine="537" w:firstLineChars="224"/>
        <w:rPr>
          <w:rFonts w:ascii="宋体" w:hAnsi="宋体"/>
          <w:sz w:val="24"/>
        </w:rPr>
      </w:pPr>
      <w:r>
        <w:rPr>
          <w:rFonts w:hint="eastAsia" w:ascii="宋体" w:hAnsi="宋体"/>
          <w:sz w:val="24"/>
        </w:rPr>
        <w:t>1.1 招标范围：</w:t>
      </w:r>
    </w:p>
    <w:p>
      <w:pPr>
        <w:spacing w:line="480" w:lineRule="auto"/>
        <w:ind w:firstLine="537" w:firstLineChars="224"/>
        <w:rPr>
          <w:rFonts w:ascii="宋体" w:hAnsi="宋体"/>
          <w:sz w:val="24"/>
        </w:rPr>
      </w:pPr>
      <w:r>
        <w:rPr>
          <w:rFonts w:hint="eastAsia" w:ascii="宋体" w:hAnsi="宋体"/>
          <w:sz w:val="24"/>
        </w:rPr>
        <w:t>按发包人提供的招标文件、招标答疑、施工图、工程量清单及相关资料，承包广州白云国际机场三期扩建工程配套供冷工程，以及按《广州白云国际机场三期扩建工程配套供冷工程</w:t>
      </w:r>
      <w:r>
        <w:rPr>
          <w:rFonts w:hint="eastAsia" w:ascii="宋体" w:hAnsi="宋体"/>
          <w:sz w:val="24"/>
          <w:lang w:eastAsia="zh-Hans"/>
        </w:rPr>
        <w:t>智能建造工</w:t>
      </w:r>
      <w:r>
        <w:rPr>
          <w:rFonts w:hint="eastAsia" w:ascii="宋体" w:hAnsi="宋体"/>
          <w:sz w:val="24"/>
        </w:rPr>
        <w:t>作要求》完成相关工作。工程范围及内容参考施工图及工程量清单，主要包括但不限于：</w:t>
      </w:r>
    </w:p>
    <w:p>
      <w:pPr>
        <w:spacing w:line="480" w:lineRule="auto"/>
        <w:ind w:firstLine="537" w:firstLineChars="224"/>
        <w:rPr>
          <w:rFonts w:ascii="宋体" w:hAnsi="宋体"/>
          <w:sz w:val="24"/>
        </w:rPr>
      </w:pPr>
      <w:r>
        <w:rPr>
          <w:rFonts w:hint="eastAsia" w:ascii="宋体" w:hAnsi="宋体"/>
          <w:sz w:val="24"/>
        </w:rPr>
        <w:t>1.1.1配套供冷工程施工内容包括：地基与基础工程、基坑支护工程、主体结构工程、墙体砌筑工程、建筑装饰装修工程、建筑给水排水、蓄冷罐安装工程、通风与空调工程、电气工程、照明工程、建筑节能工程、室外工程、消防工程、道路工程、园林绿化工程、标识标牌、甲购设备安装等。</w:t>
      </w:r>
    </w:p>
    <w:p>
      <w:pPr>
        <w:spacing w:line="480" w:lineRule="auto"/>
        <w:ind w:firstLine="537" w:firstLineChars="224"/>
        <w:rPr>
          <w:rFonts w:ascii="宋体" w:hAnsi="宋体"/>
          <w:sz w:val="24"/>
        </w:rPr>
      </w:pPr>
      <w:r>
        <w:rPr>
          <w:rFonts w:hint="eastAsia" w:ascii="宋体" w:hAnsi="宋体"/>
          <w:sz w:val="24"/>
        </w:rPr>
        <w:t>1.1.2负责牵头组织制冷站水蓄冷调试工作，配合T3航站楼、GTC停车楼、工作区等区域的空调调试。</w:t>
      </w:r>
    </w:p>
    <w:p>
      <w:pPr>
        <w:spacing w:line="480" w:lineRule="auto"/>
        <w:ind w:firstLine="537" w:firstLineChars="224"/>
        <w:rPr>
          <w:rFonts w:ascii="宋体" w:hAnsi="宋体"/>
          <w:sz w:val="24"/>
        </w:rPr>
      </w:pPr>
      <w:r>
        <w:rPr>
          <w:rFonts w:hint="eastAsia" w:ascii="宋体" w:hAnsi="宋体"/>
          <w:sz w:val="24"/>
        </w:rPr>
        <w:t xml:space="preserve">1.1.3负责本标段范围内的海绵城市建设效果评估工作，编制评估报告。 </w:t>
      </w:r>
    </w:p>
    <w:p>
      <w:pPr>
        <w:spacing w:line="480" w:lineRule="auto"/>
        <w:ind w:firstLine="537" w:firstLineChars="224"/>
        <w:rPr>
          <w:rFonts w:ascii="宋体" w:hAnsi="宋体"/>
          <w:sz w:val="24"/>
        </w:rPr>
      </w:pPr>
      <w:r>
        <w:rPr>
          <w:rFonts w:hint="eastAsia" w:ascii="宋体" w:hAnsi="宋体"/>
          <w:sz w:val="24"/>
        </w:rPr>
        <w:t>1.1.4本工程范围内白蚁防治。</w:t>
      </w:r>
    </w:p>
    <w:p>
      <w:pPr>
        <w:spacing w:line="480" w:lineRule="auto"/>
        <w:ind w:firstLine="537" w:firstLineChars="224"/>
        <w:rPr>
          <w:rFonts w:ascii="宋体" w:hAnsi="宋体"/>
          <w:sz w:val="24"/>
        </w:rPr>
      </w:pPr>
      <w:r>
        <w:rPr>
          <w:rFonts w:hint="eastAsia" w:ascii="宋体" w:hAnsi="宋体"/>
          <w:sz w:val="24"/>
        </w:rPr>
        <w:t>1.1.5承包人须负责本项目场地区域内的各专业管理工作（含发包人、关联单位等另行发包工程）以及与其他项目承包单位（含T3航站楼、GTC停车楼、工作区房建、工作区市政、景观河、树木迁移等项目）沟通协调等工作。</w:t>
      </w:r>
    </w:p>
    <w:p>
      <w:pPr>
        <w:spacing w:line="480" w:lineRule="auto"/>
        <w:ind w:firstLine="537" w:firstLineChars="224"/>
        <w:rPr>
          <w:rFonts w:ascii="宋体" w:hAnsi="宋体"/>
          <w:sz w:val="24"/>
        </w:rPr>
      </w:pPr>
      <w:r>
        <w:rPr>
          <w:rFonts w:hint="eastAsia" w:ascii="宋体" w:hAnsi="宋体"/>
          <w:sz w:val="24"/>
        </w:rPr>
        <w:t>1.1.6 深化设计BIM模型创建、各专业项目BIM模型合模。本项目实施全过程、全专业、全员参与的基于BIM（建筑信息模型building information modeling，以下简称BIM）的智能建造，中标单位须在总承包单位的组织和协调下，在约定的范围内采用BIM及有关技术，按照业主（或三期工程BIM咨询）提供的BIM模型要求，完成本项目的BIM深化设计，完成BIM施工模型和竣工模型，并提交机场智能建造审核，审图通过才可进行施工（详见附件：机电设备产品BIM技术要求）。本项目需按数据中台、数据治理标准、以及数字孪生机场系统提供的数据采集、数据获取的标准和要求，通过融合集成平台或接口方式，开放并提供数据中台和数字孪生机场系统要求的相关数据等。费用综合考虑。（详见《智能建造工作要求》）</w:t>
      </w:r>
    </w:p>
    <w:p>
      <w:pPr>
        <w:spacing w:line="480" w:lineRule="auto"/>
        <w:ind w:firstLine="537" w:firstLineChars="224"/>
        <w:rPr>
          <w:rFonts w:ascii="宋体" w:hAnsi="宋体"/>
          <w:sz w:val="24"/>
        </w:rPr>
      </w:pPr>
      <w:r>
        <w:rPr>
          <w:rFonts w:hint="eastAsia" w:ascii="宋体" w:hAnsi="宋体"/>
          <w:sz w:val="24"/>
        </w:rPr>
        <w:t>1.1.7上述工程内容未列出，但属于本项目范围内新增的其他工作，如设计变更及临时、零星工程等。包含但不限于：管线迁改、临时围蔽、临时排水、临时道路、临时交通疏解等。</w:t>
      </w:r>
    </w:p>
    <w:p>
      <w:pPr>
        <w:spacing w:line="480" w:lineRule="auto"/>
        <w:ind w:firstLine="537" w:firstLineChars="224"/>
        <w:rPr>
          <w:rFonts w:ascii="宋体" w:hAnsi="宋体"/>
          <w:sz w:val="24"/>
        </w:rPr>
      </w:pPr>
      <w:r>
        <w:rPr>
          <w:rFonts w:hint="eastAsia" w:ascii="宋体" w:hAnsi="宋体"/>
          <w:sz w:val="24"/>
        </w:rPr>
        <w:t>1.1.8以上概述不应认为是完整的。除招标人指定承包的工程范围外，承包人不得拒绝执行为完成全部工程而须执行的可能遗漏的工程。</w:t>
      </w:r>
    </w:p>
    <w:p>
      <w:pPr>
        <w:spacing w:line="480" w:lineRule="auto"/>
        <w:ind w:firstLine="537" w:firstLineChars="224"/>
        <w:rPr>
          <w:rFonts w:ascii="宋体" w:hAnsi="宋体"/>
          <w:sz w:val="24"/>
        </w:rPr>
      </w:pPr>
      <w:r>
        <w:rPr>
          <w:rFonts w:hint="eastAsia" w:ascii="宋体" w:hAnsi="宋体"/>
          <w:sz w:val="24"/>
        </w:rPr>
        <w:t>（具体详见技术条件、智能建造工作要求、施工图纸以及工程量清单）</w:t>
      </w:r>
    </w:p>
    <w:p>
      <w:pPr>
        <w:spacing w:line="480" w:lineRule="auto"/>
        <w:ind w:firstLine="537" w:firstLineChars="224"/>
        <w:rPr>
          <w:rFonts w:ascii="宋体" w:hAnsi="宋体"/>
          <w:sz w:val="24"/>
        </w:rPr>
      </w:pPr>
      <w:r>
        <w:rPr>
          <w:rFonts w:hint="eastAsia" w:ascii="宋体" w:hAnsi="宋体"/>
          <w:sz w:val="24"/>
        </w:rPr>
        <w:t>2、标段划分</w:t>
      </w:r>
    </w:p>
    <w:p>
      <w:pPr>
        <w:spacing w:line="480" w:lineRule="auto"/>
        <w:ind w:firstLine="537" w:firstLineChars="224"/>
        <w:rPr>
          <w:rFonts w:ascii="宋体" w:hAnsi="宋体"/>
          <w:sz w:val="24"/>
        </w:rPr>
      </w:pPr>
      <w:r>
        <w:rPr>
          <w:rFonts w:hint="eastAsia" w:ascii="宋体" w:hAnsi="宋体"/>
          <w:sz w:val="24"/>
        </w:rPr>
        <w:t>本次招标划分为1个标段。</w:t>
      </w:r>
    </w:p>
    <w:p>
      <w:pPr>
        <w:spacing w:line="480" w:lineRule="auto"/>
        <w:ind w:firstLine="537" w:firstLineChars="224"/>
        <w:rPr>
          <w:rFonts w:ascii="宋体" w:hAnsi="宋体"/>
          <w:sz w:val="24"/>
        </w:rPr>
      </w:pPr>
      <w:r>
        <w:rPr>
          <w:rFonts w:hint="eastAsia" w:ascii="宋体" w:hAnsi="宋体"/>
          <w:sz w:val="24"/>
        </w:rPr>
        <w:t>3、最高投标限价（招标控制价）：</w:t>
      </w:r>
    </w:p>
    <w:p>
      <w:pPr>
        <w:pStyle w:val="147"/>
        <w:tabs>
          <w:tab w:val="left" w:pos="0"/>
          <w:tab w:val="left" w:pos="210"/>
          <w:tab w:val="left" w:pos="420"/>
          <w:tab w:val="left" w:pos="845"/>
        </w:tabs>
        <w:spacing w:line="360" w:lineRule="auto"/>
        <w:ind w:left="420" w:leftChars="200" w:firstLine="480" w:firstLineChars="200"/>
        <w:rPr>
          <w:rFonts w:ascii="宋体" w:hAnsi="宋体"/>
          <w:sz w:val="24"/>
          <w:szCs w:val="22"/>
        </w:rPr>
      </w:pPr>
      <w:r>
        <w:rPr>
          <w:rFonts w:hint="eastAsia" w:ascii="宋体" w:hAnsi="宋体"/>
          <w:sz w:val="24"/>
          <w:szCs w:val="22"/>
        </w:rPr>
        <w:t>最高投标限价</w:t>
      </w:r>
      <w:r>
        <w:rPr>
          <w:rFonts w:hint="eastAsia" w:ascii="宋体" w:hAnsi="宋体"/>
          <w:sz w:val="24"/>
        </w:rPr>
        <w:t>（招标控制价）</w:t>
      </w:r>
      <w:r>
        <w:rPr>
          <w:rFonts w:hint="eastAsia" w:ascii="宋体" w:hAnsi="宋体"/>
          <w:sz w:val="24"/>
          <w:szCs w:val="22"/>
        </w:rPr>
        <w:t>为</w:t>
      </w:r>
      <w:r>
        <w:rPr>
          <w:rFonts w:hint="eastAsia" w:ascii="宋体" w:hAnsi="宋体" w:cs="宋体"/>
          <w:sz w:val="24"/>
          <w:u w:val="single"/>
        </w:rPr>
        <w:t>198,909,091.00</w:t>
      </w:r>
      <w:r>
        <w:rPr>
          <w:rFonts w:hint="eastAsia" w:ascii="宋体" w:hAnsi="宋体"/>
          <w:sz w:val="24"/>
          <w:szCs w:val="22"/>
        </w:rPr>
        <w:t>元(</w:t>
      </w:r>
      <w:r>
        <w:rPr>
          <w:rFonts w:hint="eastAsia" w:ascii="宋体" w:hAnsi="宋体"/>
          <w:sz w:val="24"/>
          <w:szCs w:val="22"/>
          <w:lang w:val="en-US" w:eastAsia="zh-CN"/>
        </w:rPr>
        <w:t>其中：</w:t>
      </w:r>
      <w:r>
        <w:rPr>
          <w:rFonts w:hint="eastAsia" w:ascii="宋体" w:hAnsi="宋体"/>
          <w:sz w:val="24"/>
          <w:szCs w:val="22"/>
        </w:rPr>
        <w:t>绿色施工安全防护措施费</w:t>
      </w:r>
      <w:r>
        <w:rPr>
          <w:rFonts w:hint="eastAsia" w:ascii="宋体" w:hAnsi="宋体" w:cs="宋体"/>
          <w:sz w:val="24"/>
          <w:u w:val="single"/>
        </w:rPr>
        <w:t>4,335,633.18</w:t>
      </w:r>
      <w:r>
        <w:rPr>
          <w:rFonts w:hint="eastAsia" w:ascii="宋体" w:hAnsi="宋体"/>
          <w:sz w:val="24"/>
          <w:szCs w:val="22"/>
        </w:rPr>
        <w:t>元、暂列金额</w:t>
      </w:r>
      <w:r>
        <w:rPr>
          <w:rFonts w:hint="eastAsia" w:ascii="宋体" w:hAnsi="宋体" w:cs="宋体"/>
          <w:sz w:val="24"/>
          <w:u w:val="single"/>
        </w:rPr>
        <w:t>15,267,251.21</w:t>
      </w:r>
      <w:r>
        <w:rPr>
          <w:rFonts w:hint="eastAsia" w:ascii="宋体" w:hAnsi="宋体"/>
          <w:sz w:val="24"/>
          <w:szCs w:val="22"/>
        </w:rPr>
        <w:t>元，</w:t>
      </w:r>
      <w:r>
        <w:rPr>
          <w:rFonts w:hint="eastAsia" w:ascii="宋体" w:hAnsi="宋体" w:cs="Times New Roman"/>
          <w:bCs w:val="0"/>
          <w:sz w:val="24"/>
          <w:szCs w:val="22"/>
        </w:rPr>
        <w:t>联合调试试运行电费</w:t>
      </w:r>
      <w:r>
        <w:rPr>
          <w:rFonts w:ascii="宋体" w:hAnsi="宋体" w:cs="Times New Roman"/>
          <w:bCs w:val="0"/>
          <w:sz w:val="24"/>
          <w:szCs w:val="22"/>
        </w:rPr>
        <w:t>4,587,155.96元</w:t>
      </w:r>
      <w:r>
        <w:rPr>
          <w:rFonts w:hint="eastAsia" w:ascii="宋体" w:hAnsi="宋体"/>
          <w:sz w:val="24"/>
          <w:szCs w:val="22"/>
        </w:rPr>
        <w:t>）。</w:t>
      </w:r>
    </w:p>
    <w:p>
      <w:pPr>
        <w:spacing w:line="480" w:lineRule="auto"/>
        <w:ind w:firstLine="537" w:firstLineChars="224"/>
        <w:rPr>
          <w:rFonts w:ascii="宋体" w:hAnsi="宋体"/>
          <w:sz w:val="24"/>
        </w:rPr>
      </w:pPr>
      <w:r>
        <w:rPr>
          <w:rFonts w:hint="eastAsia" w:ascii="宋体" w:hAnsi="宋体"/>
          <w:sz w:val="24"/>
        </w:rPr>
        <w:t>4、工期：</w:t>
      </w:r>
    </w:p>
    <w:p>
      <w:pPr>
        <w:spacing w:line="480" w:lineRule="auto"/>
        <w:ind w:firstLine="537" w:firstLineChars="224"/>
        <w:rPr>
          <w:rFonts w:ascii="宋体" w:hAnsi="宋体"/>
          <w:sz w:val="24"/>
        </w:rPr>
      </w:pPr>
      <w:r>
        <w:rPr>
          <w:rFonts w:hint="eastAsia" w:ascii="宋体" w:hAnsi="宋体"/>
          <w:sz w:val="24"/>
        </w:rPr>
        <w:t>本招标工程工期为 487 日历天，开工日期以发包人批准开工报告为准，计划2023年11月30日开工，2025年3月30日竣工。工程竣工验收通过、承包人送交竣工验收资料的日期作为实际竣工日（其中节假日、雨天以及由承包人施工质量或施工程序不合格所造成的耽误日期也并记在内，不能后延）。</w:t>
      </w:r>
    </w:p>
    <w:p>
      <w:pPr>
        <w:spacing w:line="480" w:lineRule="auto"/>
        <w:ind w:firstLine="537" w:firstLineChars="224"/>
        <w:rPr>
          <w:rFonts w:ascii="宋体" w:hAnsi="宋体"/>
          <w:sz w:val="24"/>
        </w:rPr>
      </w:pPr>
      <w:r>
        <w:rPr>
          <w:rFonts w:hint="eastAsia" w:ascii="宋体" w:hAnsi="宋体"/>
          <w:sz w:val="24"/>
        </w:rPr>
        <w:t>（详见技术条件与智能建造工作要求）</w:t>
      </w:r>
    </w:p>
    <w:p>
      <w:pPr>
        <w:spacing w:line="480" w:lineRule="auto"/>
        <w:ind w:firstLine="537" w:firstLineChars="224"/>
        <w:rPr>
          <w:rFonts w:ascii="宋体" w:hAnsi="宋体"/>
          <w:sz w:val="24"/>
          <w:u w:val="single"/>
        </w:rPr>
      </w:pPr>
      <w:r>
        <w:rPr>
          <w:rFonts w:hint="eastAsia" w:ascii="宋体" w:hAnsi="宋体"/>
          <w:sz w:val="24"/>
        </w:rPr>
        <w:t>六、资金来源：</w:t>
      </w:r>
      <w:r>
        <w:rPr>
          <w:rFonts w:hint="eastAsia" w:ascii="宋体" w:hAnsi="宋体"/>
          <w:sz w:val="24"/>
          <w:u w:val="single"/>
        </w:rPr>
        <w:t>企业自筹和政府资本金</w:t>
      </w:r>
    </w:p>
    <w:p>
      <w:pPr>
        <w:snapToGrid w:val="0"/>
        <w:spacing w:line="480" w:lineRule="auto"/>
        <w:ind w:left="435"/>
        <w:rPr>
          <w:rFonts w:ascii="宋体" w:hAnsi="宋体" w:cs="宋体"/>
          <w:sz w:val="24"/>
          <w:szCs w:val="24"/>
        </w:rPr>
      </w:pPr>
      <w:r>
        <w:rPr>
          <w:rFonts w:hint="eastAsia" w:ascii="宋体" w:hAnsi="宋体" w:cs="宋体"/>
          <w:kern w:val="0"/>
          <w:sz w:val="24"/>
          <w:szCs w:val="24"/>
        </w:rPr>
        <w:t>七、</w:t>
      </w:r>
      <w:r>
        <w:rPr>
          <w:rFonts w:hint="eastAsia" w:ascii="宋体" w:hAnsi="宋体"/>
          <w:sz w:val="24"/>
        </w:rPr>
        <w:t>公告发布日期、</w:t>
      </w:r>
      <w:r>
        <w:rPr>
          <w:rFonts w:hint="eastAsia" w:ascii="宋体" w:hAnsi="宋体" w:cs="宋体"/>
          <w:sz w:val="24"/>
          <w:szCs w:val="24"/>
        </w:rPr>
        <w:t>递交投标文件时间与开标时间：</w:t>
      </w:r>
    </w:p>
    <w:p>
      <w:pPr>
        <w:snapToGrid w:val="0"/>
        <w:spacing w:line="480" w:lineRule="auto"/>
        <w:ind w:left="435"/>
        <w:rPr>
          <w:rFonts w:ascii="宋体" w:hAnsi="宋体"/>
          <w:sz w:val="24"/>
        </w:rPr>
      </w:pPr>
      <w:r>
        <w:rPr>
          <w:rFonts w:hint="eastAsia" w:ascii="宋体" w:hAnsi="宋体" w:cs="宋体"/>
          <w:sz w:val="24"/>
          <w:szCs w:val="24"/>
        </w:rPr>
        <w:t>1、</w:t>
      </w:r>
      <w:r>
        <w:rPr>
          <w:rFonts w:hint="eastAsia" w:ascii="宋体" w:hAnsi="宋体"/>
          <w:sz w:val="24"/>
        </w:rPr>
        <w:t>公告发布日期（含本日）：</w:t>
      </w:r>
      <w:r>
        <w:rPr>
          <w:rFonts w:hint="eastAsia" w:ascii="宋体" w:hAnsi="宋体"/>
          <w:sz w:val="24"/>
          <w:u w:val="single"/>
        </w:rPr>
        <w:t>2023</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2023</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napToGrid w:val="0"/>
        <w:spacing w:line="480" w:lineRule="auto"/>
        <w:ind w:left="435"/>
        <w:rPr>
          <w:rFonts w:ascii="宋体" w:cs="宋体"/>
          <w:kern w:val="0"/>
          <w:sz w:val="24"/>
          <w:szCs w:val="24"/>
        </w:rPr>
      </w:pPr>
      <w:r>
        <w:rPr>
          <w:rFonts w:hint="eastAsia" w:ascii="宋体" w:hAnsi="宋体"/>
          <w:sz w:val="24"/>
        </w:rPr>
        <w:t>凡有意参加投标者，请登录</w:t>
      </w:r>
      <w:r>
        <w:rPr>
          <w:rFonts w:hint="eastAsia" w:ascii="宋体" w:hAnsi="宋体" w:cs="宋体"/>
          <w:sz w:val="24"/>
          <w:szCs w:val="24"/>
          <w:u w:val="single"/>
        </w:rPr>
        <w:t>广州公共资源交易中心</w:t>
      </w:r>
      <w:r>
        <w:rPr>
          <w:rFonts w:hint="eastAsia" w:ascii="宋体" w:hAnsi="宋体"/>
          <w:sz w:val="24"/>
          <w:szCs w:val="24"/>
        </w:rPr>
        <w:t>交易平台</w:t>
      </w:r>
      <w:r>
        <w:rPr>
          <w:rFonts w:hint="eastAsia" w:ascii="宋体" w:hAnsi="宋体"/>
          <w:sz w:val="24"/>
        </w:rPr>
        <w:t>网站下载电子招标文件。</w:t>
      </w:r>
    </w:p>
    <w:p>
      <w:pPr>
        <w:widowControl/>
        <w:shd w:val="clear" w:color="auto" w:fill="FFFFFF"/>
        <w:snapToGrid w:val="0"/>
        <w:spacing w:line="480" w:lineRule="auto"/>
        <w:jc w:val="left"/>
        <w:rPr>
          <w:rFonts w:ascii="宋体" w:hAns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注：发布招标公告的时间为招标公告发出之日起至投标截止时间止。</w:t>
      </w:r>
    </w:p>
    <w:p>
      <w:pPr>
        <w:widowControl/>
        <w:shd w:val="clear" w:color="auto" w:fill="FFFFFF"/>
        <w:snapToGrid w:val="0"/>
        <w:spacing w:line="480" w:lineRule="auto"/>
        <w:ind w:left="809" w:leftChars="214" w:hanging="360" w:hangingChars="150"/>
        <w:jc w:val="left"/>
        <w:rPr>
          <w:rFonts w:ascii="宋体" w:hAnsi="宋体" w:cs="宋体"/>
          <w:sz w:val="24"/>
          <w:szCs w:val="24"/>
        </w:rPr>
      </w:pPr>
      <w:r>
        <w:rPr>
          <w:rFonts w:hint="eastAsia" w:ascii="宋体" w:hAnsi="宋体" w:cs="宋体"/>
          <w:sz w:val="24"/>
          <w:szCs w:val="24"/>
        </w:rPr>
        <w:t>2、递交投标文件起始时间：</w:t>
      </w:r>
      <w:r>
        <w:rPr>
          <w:rFonts w:hint="eastAsia" w:ascii="宋体" w:hAnsi="宋体"/>
          <w:sz w:val="24"/>
          <w:szCs w:val="24"/>
          <w:u w:val="single"/>
        </w:rPr>
        <w:t>2023</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00</w:t>
      </w:r>
      <w:r>
        <w:rPr>
          <w:rFonts w:hint="eastAsia" w:ascii="宋体" w:hAnsi="宋体"/>
          <w:sz w:val="24"/>
          <w:szCs w:val="24"/>
        </w:rPr>
        <w:t xml:space="preserve"> 时</w:t>
      </w:r>
      <w:r>
        <w:rPr>
          <w:rFonts w:hint="eastAsia" w:ascii="宋体" w:hAnsi="宋体"/>
          <w:sz w:val="24"/>
          <w:szCs w:val="24"/>
          <w:u w:val="single"/>
        </w:rPr>
        <w:t>00</w:t>
      </w:r>
      <w:r>
        <w:rPr>
          <w:rFonts w:hint="eastAsia" w:ascii="宋体" w:hAnsi="宋体"/>
          <w:sz w:val="24"/>
          <w:szCs w:val="24"/>
        </w:rPr>
        <w:t>分</w:t>
      </w:r>
      <w:r>
        <w:rPr>
          <w:rFonts w:hint="eastAsia" w:ascii="宋体" w:hAnsi="宋体" w:cs="宋体"/>
          <w:sz w:val="24"/>
          <w:szCs w:val="24"/>
        </w:rPr>
        <w:t>；</w:t>
      </w:r>
    </w:p>
    <w:p>
      <w:pPr>
        <w:widowControl/>
        <w:shd w:val="clear" w:color="auto" w:fill="FFFFFF"/>
        <w:snapToGrid w:val="0"/>
        <w:spacing w:line="480" w:lineRule="auto"/>
        <w:ind w:left="764" w:leftChars="364" w:firstLine="1440" w:firstLineChars="600"/>
        <w:jc w:val="left"/>
        <w:rPr>
          <w:rFonts w:ascii="宋体" w:hAnsi="宋体" w:cs="宋体"/>
          <w:sz w:val="24"/>
          <w:szCs w:val="24"/>
        </w:rPr>
      </w:pPr>
      <w:r>
        <w:rPr>
          <w:rFonts w:hint="eastAsia" w:ascii="宋体" w:hAnsi="宋体" w:cs="宋体"/>
          <w:sz w:val="24"/>
          <w:szCs w:val="24"/>
        </w:rPr>
        <w:t>截止时间：</w:t>
      </w:r>
      <w:r>
        <w:rPr>
          <w:rFonts w:hint="eastAsia" w:ascii="宋体" w:hAnsi="宋体"/>
          <w:sz w:val="24"/>
          <w:szCs w:val="24"/>
          <w:u w:val="single"/>
        </w:rPr>
        <w:t>2023</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lang w:val="en-US" w:eastAsia="zh-CN"/>
        </w:rPr>
        <w:t>9</w:t>
      </w:r>
      <w:r>
        <w:rPr>
          <w:rFonts w:hint="eastAsia" w:ascii="宋体" w:hAnsi="宋体"/>
          <w:sz w:val="24"/>
          <w:szCs w:val="24"/>
        </w:rPr>
        <w:t>时</w:t>
      </w:r>
      <w:r>
        <w:rPr>
          <w:rFonts w:hint="eastAsia" w:ascii="宋体" w:hAnsi="宋体"/>
          <w:sz w:val="24"/>
          <w:szCs w:val="24"/>
          <w:u w:val="single"/>
        </w:rPr>
        <w:t>30</w:t>
      </w:r>
      <w:r>
        <w:rPr>
          <w:rFonts w:hint="eastAsia" w:ascii="宋体" w:hAnsi="宋体"/>
          <w:sz w:val="24"/>
          <w:szCs w:val="24"/>
        </w:rPr>
        <w:t>分</w:t>
      </w:r>
      <w:r>
        <w:rPr>
          <w:rFonts w:hint="eastAsia" w:ascii="宋体" w:hAnsi="宋体" w:cs="宋体"/>
          <w:sz w:val="24"/>
          <w:szCs w:val="24"/>
        </w:rPr>
        <w:t>。</w:t>
      </w:r>
    </w:p>
    <w:p>
      <w:pPr>
        <w:widowControl/>
        <w:shd w:val="clear" w:color="auto" w:fill="FFFFFF"/>
        <w:snapToGrid w:val="0"/>
        <w:spacing w:line="480" w:lineRule="auto"/>
        <w:ind w:firstLine="480"/>
        <w:jc w:val="left"/>
        <w:rPr>
          <w:rFonts w:ascii="宋体" w:hAnsi="宋体" w:cs="宋体"/>
          <w:sz w:val="24"/>
          <w:szCs w:val="24"/>
          <w:u w:val="single"/>
        </w:rPr>
      </w:pPr>
      <w:r>
        <w:rPr>
          <w:rFonts w:hint="eastAsia" w:ascii="宋体" w:hAnsi="宋体" w:cs="宋体"/>
          <w:sz w:val="24"/>
          <w:szCs w:val="24"/>
        </w:rPr>
        <w:t>3、开标开始时间：</w:t>
      </w:r>
      <w:r>
        <w:rPr>
          <w:rFonts w:hint="eastAsia" w:ascii="宋体" w:hAnsi="宋体"/>
          <w:sz w:val="24"/>
          <w:szCs w:val="24"/>
          <w:u w:val="single"/>
        </w:rPr>
        <w:t>2023</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lang w:val="en-US" w:eastAsia="zh-CN"/>
        </w:rPr>
        <w:t>9</w:t>
      </w:r>
      <w:bookmarkStart w:id="743" w:name="_GoBack"/>
      <w:bookmarkEnd w:id="743"/>
      <w:r>
        <w:rPr>
          <w:rFonts w:hint="eastAsia" w:ascii="宋体" w:hAnsi="宋体"/>
          <w:sz w:val="24"/>
          <w:szCs w:val="24"/>
        </w:rPr>
        <w:t>时</w:t>
      </w:r>
      <w:r>
        <w:rPr>
          <w:rFonts w:hint="eastAsia" w:ascii="宋体" w:hAnsi="宋体"/>
          <w:sz w:val="24"/>
          <w:szCs w:val="24"/>
          <w:u w:val="single"/>
        </w:rPr>
        <w:t>30</w:t>
      </w:r>
      <w:r>
        <w:rPr>
          <w:rFonts w:hint="eastAsia" w:ascii="宋体" w:hAnsi="宋体"/>
          <w:sz w:val="24"/>
          <w:szCs w:val="24"/>
        </w:rPr>
        <w:t>分</w:t>
      </w:r>
      <w:r>
        <w:rPr>
          <w:rFonts w:hint="eastAsia" w:ascii="宋体" w:hAnsi="宋体" w:cs="宋体"/>
          <w:sz w:val="24"/>
          <w:szCs w:val="24"/>
        </w:rPr>
        <w:t>。</w:t>
      </w:r>
    </w:p>
    <w:p>
      <w:pPr>
        <w:widowControl/>
        <w:shd w:val="clear" w:color="auto" w:fill="FFFFFF"/>
        <w:snapToGrid w:val="0"/>
        <w:spacing w:line="480" w:lineRule="auto"/>
        <w:jc w:val="lef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480" w:lineRule="auto"/>
        <w:ind w:firstLine="480" w:firstLineChars="200"/>
        <w:rPr>
          <w:rFonts w:ascii="宋体" w:hAnsi="宋体" w:cs="仿宋_GB2312"/>
          <w:sz w:val="24"/>
          <w:szCs w:val="24"/>
        </w:rPr>
      </w:pPr>
      <w:r>
        <w:rPr>
          <w:rFonts w:hint="eastAsia" w:ascii="宋体" w:hAnsi="宋体" w:cs="宋体"/>
          <w:sz w:val="24"/>
          <w:szCs w:val="24"/>
        </w:rPr>
        <w:t>5、</w:t>
      </w:r>
      <w:r>
        <w:rPr>
          <w:rFonts w:hint="eastAsia" w:ascii="宋体" w:hAnsi="宋体"/>
          <w:bCs/>
          <w:sz w:val="24"/>
        </w:rPr>
        <w:t>投标人通过</w:t>
      </w:r>
      <w:r>
        <w:rPr>
          <w:rFonts w:hint="eastAsia" w:ascii="宋体" w:hAnsi="宋体" w:cs="宋体"/>
          <w:sz w:val="24"/>
          <w:szCs w:val="24"/>
          <w:u w:val="single"/>
        </w:rPr>
        <w:t>广州公共资源交易中心</w:t>
      </w:r>
      <w:r>
        <w:rPr>
          <w:rFonts w:hint="eastAsia" w:ascii="宋体" w:hAnsi="宋体"/>
          <w:sz w:val="24"/>
          <w:szCs w:val="24"/>
        </w:rPr>
        <w:t>交易平台</w:t>
      </w:r>
      <w:r>
        <w:rPr>
          <w:rFonts w:hint="eastAsia" w:ascii="宋体" w:hAnsi="宋体"/>
          <w:sz w:val="24"/>
        </w:rPr>
        <w:t>递交电子投标文件。</w:t>
      </w:r>
      <w:r>
        <w:rPr>
          <w:rFonts w:hint="eastAsia" w:ascii="宋体" w:hAnsi="宋体" w:cs="仿宋_GB2312"/>
          <w:sz w:val="24"/>
          <w:szCs w:val="24"/>
        </w:rPr>
        <w:t>投标人应在递交投标文件截止时间前，登录</w:t>
      </w:r>
      <w:r>
        <w:rPr>
          <w:rFonts w:hint="eastAsia" w:ascii="宋体" w:hAnsi="宋体" w:cs="宋体"/>
          <w:sz w:val="24"/>
          <w:szCs w:val="24"/>
          <w:u w:val="single"/>
        </w:rPr>
        <w:t>广州公共资源交易中心</w:t>
      </w:r>
      <w:r>
        <w:rPr>
          <w:rFonts w:hint="eastAsia" w:ascii="宋体" w:hAnsi="宋体"/>
          <w:sz w:val="24"/>
          <w:szCs w:val="24"/>
        </w:rPr>
        <w:t>交易平台</w:t>
      </w:r>
      <w:r>
        <w:rPr>
          <w:rFonts w:hint="eastAsia" w:ascii="宋体" w:hAnsi="宋体" w:cs="仿宋_GB2312"/>
          <w:sz w:val="24"/>
          <w:szCs w:val="24"/>
        </w:rPr>
        <w:t>网站办理网上投标登记手续。按照交易平台关于全流程电子化项目的相关指南进行操作。详见：</w:t>
      </w:r>
      <w:r>
        <w:rPr>
          <w:rFonts w:hint="eastAsia" w:ascii="宋体" w:hAnsi="宋体"/>
          <w:bCs/>
          <w:sz w:val="24"/>
          <w:u w:val="single"/>
        </w:rPr>
        <w:t>广州公共资源交易中心网站</w:t>
      </w:r>
      <w:r>
        <w:rPr>
          <w:rFonts w:hint="eastAsia" w:ascii="宋体" w:hAnsi="宋体" w:cs="仿宋_GB2312"/>
          <w:sz w:val="24"/>
          <w:szCs w:val="24"/>
        </w:rPr>
        <w:t>。</w:t>
      </w:r>
    </w:p>
    <w:p>
      <w:pPr>
        <w:snapToGrid w:val="0"/>
        <w:spacing w:line="480" w:lineRule="auto"/>
        <w:ind w:firstLine="480" w:firstLineChars="200"/>
        <w:rPr>
          <w:rFonts w:ascii="宋体" w:hAnsi="宋体"/>
          <w:sz w:val="24"/>
          <w:szCs w:val="24"/>
          <w:u w:val="single"/>
        </w:rPr>
      </w:pPr>
      <w:r>
        <w:rPr>
          <w:rFonts w:hint="eastAsia" w:ascii="宋体" w:hAnsi="宋体" w:cs="仿宋_GB2312"/>
          <w:sz w:val="24"/>
          <w:szCs w:val="24"/>
        </w:rPr>
        <w:t>6</w:t>
      </w:r>
      <w:r>
        <w:rPr>
          <w:rFonts w:hint="eastAsia" w:ascii="宋体" w:hAnsi="宋体" w:cs="宋体"/>
          <w:sz w:val="24"/>
          <w:szCs w:val="24"/>
        </w:rPr>
        <w:t>、</w:t>
      </w:r>
      <w:r>
        <w:rPr>
          <w:rFonts w:hint="eastAsia" w:ascii="宋体" w:hAnsi="宋体" w:cs="仿宋_GB2312"/>
          <w:sz w:val="24"/>
          <w:szCs w:val="24"/>
        </w:rPr>
        <w:t>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pPr>
        <w:widowControl/>
        <w:snapToGrid w:val="0"/>
        <w:spacing w:line="480" w:lineRule="auto"/>
        <w:ind w:firstLine="480" w:firstLineChars="200"/>
        <w:jc w:val="left"/>
        <w:rPr>
          <w:rFonts w:ascii="宋体" w:cs="宋体"/>
          <w:kern w:val="0"/>
          <w:sz w:val="24"/>
          <w:szCs w:val="24"/>
        </w:rPr>
      </w:pPr>
      <w:r>
        <w:rPr>
          <w:rFonts w:ascii="宋体" w:hAnsi="宋体" w:cs="宋体"/>
          <w:sz w:val="24"/>
          <w:szCs w:val="24"/>
        </w:rPr>
        <w:t xml:space="preserve">    </w:t>
      </w:r>
      <w:r>
        <w:rPr>
          <w:rFonts w:hint="eastAsia" w:ascii="宋体" w:hAnsi="宋体" w:cs="宋体"/>
          <w:kern w:val="0"/>
          <w:sz w:val="24"/>
          <w:szCs w:val="24"/>
        </w:rPr>
        <w:t>八、招标文件获取方式：</w:t>
      </w:r>
    </w:p>
    <w:p>
      <w:pPr>
        <w:widowControl/>
        <w:shd w:val="clear" w:color="auto" w:fill="FFFFFF"/>
        <w:snapToGrid w:val="0"/>
        <w:spacing w:line="480" w:lineRule="auto"/>
        <w:ind w:firstLine="480" w:firstLineChars="200"/>
        <w:jc w:val="left"/>
        <w:rPr>
          <w:rFonts w:ascii="宋体" w:cs="宋体"/>
          <w:kern w:val="0"/>
          <w:sz w:val="24"/>
          <w:szCs w:val="24"/>
        </w:rPr>
      </w:pPr>
      <w:r>
        <w:rPr>
          <w:rFonts w:hint="eastAsia" w:ascii="宋体" w:hAnsi="宋体" w:cs="宋体"/>
          <w:kern w:val="0"/>
          <w:sz w:val="24"/>
          <w:szCs w:val="24"/>
        </w:rPr>
        <w:t>本项目招标文件随招标公告一并在</w:t>
      </w:r>
      <w:r>
        <w:rPr>
          <w:rFonts w:hint="eastAsia" w:ascii="宋体" w:hAnsi="宋体"/>
          <w:bCs/>
          <w:sz w:val="24"/>
          <w:u w:val="single"/>
        </w:rPr>
        <w:t>广州公共资源交易中心</w:t>
      </w:r>
      <w:r>
        <w:rPr>
          <w:rFonts w:hint="eastAsia" w:ascii="宋体" w:hAnsi="宋体"/>
          <w:sz w:val="24"/>
          <w:szCs w:val="24"/>
        </w:rPr>
        <w:t>交易平台</w:t>
      </w:r>
      <w:r>
        <w:rPr>
          <w:rFonts w:hint="eastAsia" w:ascii="宋体" w:hAnsi="宋体"/>
          <w:sz w:val="24"/>
        </w:rPr>
        <w:t>网站发布。招标文件</w:t>
      </w:r>
      <w:r>
        <w:rPr>
          <w:rFonts w:hint="eastAsia" w:ascii="宋体" w:hAnsi="宋体" w:cs="宋体"/>
          <w:kern w:val="0"/>
          <w:sz w:val="24"/>
          <w:szCs w:val="24"/>
        </w:rPr>
        <w:t>一经在</w:t>
      </w:r>
      <w:r>
        <w:rPr>
          <w:rFonts w:hint="eastAsia" w:ascii="宋体" w:hAnsi="宋体"/>
          <w:bCs/>
          <w:sz w:val="24"/>
          <w:u w:val="single"/>
        </w:rPr>
        <w:t>广州公共资源交易中心</w:t>
      </w:r>
      <w:r>
        <w:rPr>
          <w:rFonts w:hint="eastAsia" w:ascii="宋体" w:hAnsi="宋体"/>
          <w:sz w:val="24"/>
          <w:szCs w:val="24"/>
        </w:rPr>
        <w:t>交易平台</w:t>
      </w:r>
      <w:r>
        <w:rPr>
          <w:rFonts w:hint="eastAsia" w:ascii="宋体" w:hAnsi="宋体" w:cs="宋体"/>
          <w:kern w:val="0"/>
          <w:sz w:val="24"/>
          <w:szCs w:val="24"/>
        </w:rPr>
        <w:t>发布，视为发售给投标人，招标文件由投标人自行在</w:t>
      </w:r>
      <w:r>
        <w:rPr>
          <w:rFonts w:hint="eastAsia" w:ascii="宋体" w:hAnsi="宋体"/>
          <w:bCs/>
          <w:sz w:val="24"/>
          <w:u w:val="single"/>
        </w:rPr>
        <w:t>广州公共资源交易中心</w:t>
      </w:r>
      <w:r>
        <w:rPr>
          <w:rFonts w:hint="eastAsia" w:ascii="宋体" w:hAnsi="宋体"/>
          <w:sz w:val="24"/>
          <w:szCs w:val="24"/>
        </w:rPr>
        <w:t>交易平台</w:t>
      </w:r>
      <w:r>
        <w:rPr>
          <w:rFonts w:hint="eastAsia" w:ascii="宋体" w:hAnsi="宋体" w:cs="宋体"/>
          <w:kern w:val="0"/>
          <w:sz w:val="24"/>
          <w:szCs w:val="24"/>
        </w:rPr>
        <w:t>网站下载。</w:t>
      </w:r>
    </w:p>
    <w:p>
      <w:pPr>
        <w:spacing w:line="480" w:lineRule="auto"/>
        <w:ind w:firstLine="537" w:firstLineChars="224"/>
        <w:rPr>
          <w:rFonts w:ascii="宋体"/>
          <w:sz w:val="24"/>
        </w:rPr>
      </w:pPr>
      <w:r>
        <w:rPr>
          <w:rFonts w:hint="eastAsia" w:ascii="宋体" w:hAnsi="宋体"/>
          <w:sz w:val="24"/>
        </w:rPr>
        <w:t>九、投标人合格条件：</w:t>
      </w:r>
    </w:p>
    <w:p>
      <w:pPr>
        <w:spacing w:line="480" w:lineRule="auto"/>
        <w:ind w:firstLine="537" w:firstLineChars="224"/>
        <w:rPr>
          <w:rFonts w:ascii="宋体"/>
          <w:sz w:val="24"/>
        </w:rPr>
      </w:pPr>
      <w:r>
        <w:rPr>
          <w:rFonts w:ascii="宋体" w:hAnsi="宋体"/>
          <w:sz w:val="24"/>
        </w:rPr>
        <w:t>1</w:t>
      </w:r>
      <w:r>
        <w:rPr>
          <w:rFonts w:hint="eastAsia" w:ascii="宋体" w:hAnsi="宋体"/>
          <w:sz w:val="24"/>
        </w:rPr>
        <w:t>、投标人参加投标的意思表达清楚，投标人代表被授权有效。</w:t>
      </w:r>
    </w:p>
    <w:p>
      <w:pPr>
        <w:spacing w:line="480" w:lineRule="auto"/>
        <w:ind w:firstLine="537" w:firstLineChars="224"/>
        <w:rPr>
          <w:rFonts w:ascii="宋体"/>
          <w:sz w:val="24"/>
        </w:rPr>
      </w:pPr>
      <w:r>
        <w:rPr>
          <w:rFonts w:ascii="宋体" w:hAnsi="宋体"/>
          <w:sz w:val="24"/>
        </w:rPr>
        <w:t>2</w:t>
      </w:r>
      <w:r>
        <w:rPr>
          <w:rFonts w:hint="eastAsia" w:ascii="宋体" w:hAnsi="宋体"/>
          <w:sz w:val="24"/>
        </w:rPr>
        <w:t>、投标人均具有独立法人资格，按国家法律经营。</w:t>
      </w:r>
    </w:p>
    <w:p>
      <w:pPr>
        <w:spacing w:line="480" w:lineRule="auto"/>
        <w:ind w:firstLine="537" w:firstLineChars="224"/>
        <w:rPr>
          <w:rFonts w:ascii="宋体"/>
          <w:sz w:val="24"/>
        </w:rPr>
      </w:pPr>
      <w:r>
        <w:rPr>
          <w:rFonts w:ascii="宋体" w:hAnsi="宋体"/>
          <w:sz w:val="24"/>
        </w:rPr>
        <w:t>3</w:t>
      </w:r>
      <w:r>
        <w:rPr>
          <w:rFonts w:hint="eastAsia" w:ascii="宋体" w:hAnsi="宋体"/>
          <w:sz w:val="24"/>
        </w:rPr>
        <w:t>、投标人均持有建设行政主管部门颁发的企业资质证书及安全生产许可证；</w:t>
      </w:r>
    </w:p>
    <w:p>
      <w:pPr>
        <w:pStyle w:val="99"/>
        <w:spacing w:line="480" w:lineRule="auto"/>
        <w:ind w:firstLine="480" w:firstLineChars="200"/>
        <w:rPr>
          <w:rFonts w:ascii="宋体" w:hAnsi="宋体"/>
          <w:color w:val="auto"/>
          <w:sz w:val="24"/>
          <w:szCs w:val="24"/>
        </w:rPr>
      </w:pPr>
      <w:r>
        <w:rPr>
          <w:rFonts w:ascii="宋体" w:hAnsi="宋体" w:eastAsia="宋体"/>
          <w:color w:val="auto"/>
          <w:sz w:val="24"/>
          <w:szCs w:val="24"/>
        </w:rPr>
        <w:t>4</w:t>
      </w:r>
      <w:r>
        <w:rPr>
          <w:rFonts w:hint="eastAsia" w:ascii="宋体" w:hAnsi="宋体" w:eastAsia="宋体"/>
          <w:color w:val="auto"/>
          <w:sz w:val="24"/>
          <w:szCs w:val="24"/>
        </w:rPr>
        <w:t>、投标人应具备以下资质：①投标人具有承接本工程所需的建筑机电安装工程专业承包一级资质。②投标人具有承接本工程所需的建筑工程施工总承包三级或以上资质（以资质证书许可范围为准，在有效期内）；投标人拟担任本工程项目负责人的人员为：</w:t>
      </w:r>
      <w:r>
        <w:rPr>
          <w:rFonts w:hint="eastAsia" w:ascii="宋体" w:hAnsi="宋体" w:eastAsia="宋体" w:cs="宋体"/>
          <w:color w:val="auto"/>
          <w:sz w:val="24"/>
          <w:szCs w:val="24"/>
          <w:u w:val="single"/>
        </w:rPr>
        <w:t>机电工程</w:t>
      </w:r>
      <w:r>
        <w:rPr>
          <w:rFonts w:hint="eastAsia" w:ascii="宋体" w:hAnsi="宋体" w:eastAsia="宋体"/>
          <w:color w:val="auto"/>
          <w:sz w:val="24"/>
          <w:szCs w:val="24"/>
        </w:rPr>
        <w:t>专业</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一</w:t>
      </w:r>
      <w:r>
        <w:rPr>
          <w:rFonts w:ascii="宋体" w:hAnsi="宋体" w:eastAsia="宋体"/>
          <w:color w:val="auto"/>
          <w:sz w:val="24"/>
          <w:szCs w:val="24"/>
          <w:u w:val="single"/>
        </w:rPr>
        <w:t xml:space="preserve"> </w:t>
      </w:r>
      <w:r>
        <w:rPr>
          <w:rFonts w:hint="eastAsia" w:ascii="宋体" w:hAnsi="宋体" w:eastAsia="宋体"/>
          <w:color w:val="auto"/>
          <w:sz w:val="24"/>
          <w:szCs w:val="24"/>
        </w:rPr>
        <w:t>级注册建造师</w:t>
      </w:r>
      <w:r>
        <w:rPr>
          <w:rFonts w:hint="eastAsia" w:ascii="宋体" w:hAnsi="宋体"/>
          <w:color w:val="auto"/>
          <w:sz w:val="24"/>
          <w:szCs w:val="24"/>
        </w:rPr>
        <w:t>，</w:t>
      </w:r>
      <w:r>
        <w:rPr>
          <w:rFonts w:hint="eastAsia" w:ascii="宋体" w:hAnsi="宋体" w:eastAsia="宋体"/>
          <w:color w:val="auto"/>
          <w:sz w:val="24"/>
          <w:szCs w:val="24"/>
        </w:rPr>
        <w:t>需提供附件</w:t>
      </w:r>
      <w:r>
        <w:rPr>
          <w:rFonts w:hint="eastAsia" w:ascii="宋体" w:hAnsi="宋体" w:eastAsia="宋体" w:cs="宋体"/>
          <w:color w:val="auto"/>
          <w:sz w:val="24"/>
          <w:szCs w:val="24"/>
        </w:rPr>
        <w:t>三</w:t>
      </w:r>
      <w:r>
        <w:rPr>
          <w:rFonts w:hint="eastAsia" w:ascii="宋体" w:hAnsi="宋体" w:eastAsia="宋体"/>
          <w:color w:val="auto"/>
          <w:sz w:val="24"/>
          <w:szCs w:val="24"/>
        </w:rPr>
        <w:t>《关于拟委派项目负责人承诺书》</w:t>
      </w:r>
      <w:r>
        <w:rPr>
          <w:rFonts w:hint="eastAsia" w:ascii="宋体" w:hAnsi="宋体" w:eastAsia="宋体" w:cs="宋体"/>
          <w:color w:val="auto"/>
          <w:sz w:val="24"/>
          <w:szCs w:val="24"/>
        </w:rPr>
        <w:t>。</w:t>
      </w:r>
    </w:p>
    <w:p>
      <w:pPr>
        <w:spacing w:line="480" w:lineRule="auto"/>
        <w:ind w:firstLine="480" w:firstLineChars="200"/>
        <w:rPr>
          <w:rFonts w:ascii="宋体" w:hAnsi="宋体"/>
          <w:sz w:val="24"/>
          <w:szCs w:val="24"/>
        </w:rPr>
      </w:pPr>
      <w:r>
        <w:rPr>
          <w:rFonts w:hint="eastAsia" w:ascii="宋体" w:hAnsi="宋体"/>
          <w:sz w:val="24"/>
          <w:szCs w:val="24"/>
        </w:rPr>
        <w:t>①资质内容按照建市</w:t>
      </w:r>
      <w:r>
        <w:rPr>
          <w:rFonts w:ascii="宋体" w:hAnsi="宋体"/>
          <w:sz w:val="24"/>
          <w:szCs w:val="24"/>
        </w:rPr>
        <w:t>[2014]159</w:t>
      </w:r>
      <w:r>
        <w:rPr>
          <w:rFonts w:hint="eastAsia" w:ascii="宋体" w:hAnsi="宋体"/>
          <w:sz w:val="24"/>
          <w:szCs w:val="24"/>
        </w:rPr>
        <w:t>号文颁布的新版《建筑业企业资质标准》中对应的资质类别及等级的承包工程范围和《住房城乡建设部关于建筑业企业资质管理有关问题的通知》（建市</w:t>
      </w:r>
      <w:r>
        <w:rPr>
          <w:rFonts w:ascii="宋体" w:hAnsi="宋体"/>
          <w:sz w:val="24"/>
          <w:szCs w:val="24"/>
        </w:rPr>
        <w:t>[2015]154</w:t>
      </w:r>
      <w:r>
        <w:rPr>
          <w:rFonts w:hint="eastAsia" w:ascii="宋体" w:hAnsi="宋体"/>
          <w:sz w:val="24"/>
          <w:szCs w:val="24"/>
        </w:rPr>
        <w:t>号）、《住房城乡建设部关于简化建筑业企业资质标准部分指标的通知》</w:t>
      </w:r>
      <w:r>
        <w:rPr>
          <w:rFonts w:ascii="宋体" w:hAnsi="宋体"/>
          <w:sz w:val="24"/>
          <w:szCs w:val="24"/>
        </w:rPr>
        <w:t>(</w:t>
      </w:r>
      <w:r>
        <w:rPr>
          <w:rFonts w:hint="eastAsia" w:ascii="宋体" w:hAnsi="宋体"/>
          <w:sz w:val="24"/>
          <w:szCs w:val="24"/>
        </w:rPr>
        <w:t>建市</w:t>
      </w:r>
      <w:r>
        <w:rPr>
          <w:rFonts w:ascii="宋体" w:hAnsi="宋体"/>
          <w:sz w:val="24"/>
          <w:szCs w:val="24"/>
        </w:rPr>
        <w:t>[2016]226</w:t>
      </w:r>
      <w:r>
        <w:rPr>
          <w:rFonts w:hint="eastAsia" w:ascii="宋体" w:hAnsi="宋体"/>
          <w:sz w:val="24"/>
          <w:szCs w:val="24"/>
        </w:rPr>
        <w:t>号</w:t>
      </w:r>
      <w:r>
        <w:rPr>
          <w:rFonts w:ascii="宋体" w:hAnsi="宋体"/>
          <w:sz w:val="24"/>
          <w:szCs w:val="24"/>
        </w:rPr>
        <w:t>)</w:t>
      </w:r>
      <w:r>
        <w:rPr>
          <w:rFonts w:hint="eastAsia" w:ascii="宋体" w:hAnsi="宋体"/>
          <w:sz w:val="24"/>
          <w:szCs w:val="24"/>
        </w:rPr>
        <w:t>、《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spacing w:line="480" w:lineRule="auto"/>
        <w:ind w:firstLine="537" w:firstLineChars="224"/>
        <w:rPr>
          <w:rFonts w:ascii="宋体" w:hAnsi="宋体"/>
          <w:b/>
          <w:bCs/>
          <w:sz w:val="24"/>
          <w:szCs w:val="24"/>
        </w:rPr>
      </w:pPr>
      <w:r>
        <w:rPr>
          <w:rFonts w:hint="eastAsia"/>
          <w:sz w:val="24"/>
        </w:rPr>
        <w:t>②</w:t>
      </w:r>
      <w:r>
        <w:rPr>
          <w:rFonts w:hint="eastAsia" w:ascii="宋体" w:hAnsi="宋体"/>
          <w:sz w:val="24"/>
          <w:szCs w:val="24"/>
        </w:rPr>
        <w:t>项目负责人在任职期间不得担任专职安全员，项目专职安全员在任职期间也不得担任项目负责人，项目负责人和专职安全员不为同一人。</w:t>
      </w:r>
      <w:r>
        <w:rPr>
          <w:rFonts w:hint="eastAsia" w:ascii="宋体" w:hAnsi="宋体"/>
          <w:b/>
          <w:bCs/>
          <w:sz w:val="24"/>
          <w:szCs w:val="24"/>
        </w:rPr>
        <w:t>打印建造师电子证书后，应在个人签名处手写本人签名再上传广州市住建行业信用平台，上传件未手写签名或与签名图像笔迹不一致的，该电子证书无效。</w:t>
      </w:r>
    </w:p>
    <w:p>
      <w:pPr>
        <w:pStyle w:val="99"/>
        <w:spacing w:line="480" w:lineRule="auto"/>
        <w:ind w:firstLine="480" w:firstLineChars="200"/>
        <w:rPr>
          <w:rFonts w:ascii="宋体" w:hAnsi="宋体" w:eastAsia="宋体"/>
          <w:color w:val="auto"/>
          <w:sz w:val="24"/>
          <w:szCs w:val="24"/>
        </w:rPr>
      </w:pPr>
      <w:r>
        <w:rPr>
          <w:rFonts w:ascii="宋体" w:hAnsi="宋体" w:eastAsia="宋体"/>
          <w:color w:val="auto"/>
          <w:sz w:val="24"/>
          <w:szCs w:val="24"/>
        </w:rPr>
        <w:t>5</w:t>
      </w:r>
      <w:r>
        <w:rPr>
          <w:rFonts w:hint="eastAsia" w:ascii="宋体" w:hAnsi="宋体" w:eastAsia="宋体"/>
          <w:color w:val="auto"/>
          <w:sz w:val="24"/>
          <w:szCs w:val="24"/>
        </w:rPr>
        <w:t>、项目负责人持有有效期内的安全生产考核合格证（</w:t>
      </w:r>
      <w:r>
        <w:rPr>
          <w:rFonts w:ascii="宋体" w:hAnsi="宋体" w:eastAsia="宋体"/>
          <w:color w:val="auto"/>
          <w:sz w:val="24"/>
          <w:szCs w:val="24"/>
        </w:rPr>
        <w:t>B</w:t>
      </w:r>
      <w:r>
        <w:rPr>
          <w:rFonts w:hint="eastAsia" w:ascii="宋体" w:hAnsi="宋体" w:eastAsia="宋体"/>
          <w:color w:val="auto"/>
          <w:sz w:val="24"/>
          <w:szCs w:val="24"/>
        </w:rPr>
        <w:t>类）或建筑施工企业项目负责人安全生产考核合格证书；</w:t>
      </w:r>
      <w:r>
        <w:rPr>
          <w:rFonts w:ascii="宋体" w:hAnsi="宋体" w:eastAsia="宋体"/>
          <w:color w:val="auto"/>
          <w:sz w:val="24"/>
          <w:szCs w:val="24"/>
        </w:rPr>
        <w:t xml:space="preserve"> </w:t>
      </w:r>
    </w:p>
    <w:p>
      <w:pPr>
        <w:pStyle w:val="99"/>
        <w:adjustRightInd w:val="0"/>
        <w:snapToGrid w:val="0"/>
        <w:spacing w:line="480" w:lineRule="auto"/>
        <w:ind w:firstLine="480" w:firstLineChars="200"/>
        <w:rPr>
          <w:rFonts w:ascii="宋体" w:hAnsi="宋体" w:eastAsia="宋体"/>
          <w:color w:val="auto"/>
          <w:sz w:val="24"/>
          <w:szCs w:val="24"/>
          <w:u w:val="single"/>
        </w:rPr>
      </w:pPr>
      <w:r>
        <w:rPr>
          <w:rFonts w:hint="eastAsia" w:ascii="宋体" w:hAnsi="宋体" w:eastAsia="宋体"/>
          <w:color w:val="auto"/>
          <w:sz w:val="24"/>
          <w:szCs w:val="24"/>
        </w:rPr>
        <w:t>6、投标人拟担任本工程技术负责人的资格要求为：</w:t>
      </w:r>
      <w:r>
        <w:rPr>
          <w:rFonts w:hint="eastAsia" w:ascii="宋体" w:hAnsi="宋体" w:eastAsia="宋体"/>
          <w:color w:val="auto"/>
          <w:sz w:val="24"/>
          <w:szCs w:val="24"/>
          <w:u w:val="single"/>
        </w:rPr>
        <w:t>机电工程相关专业高级或以上职称；拟投入工程技术负责人应为本单位正式员工，且工程技术负责人和项目负责人不为同一人。</w:t>
      </w:r>
    </w:p>
    <w:p>
      <w:pPr>
        <w:adjustRightInd w:val="0"/>
        <w:snapToGrid w:val="0"/>
        <w:spacing w:line="480" w:lineRule="auto"/>
        <w:ind w:firstLine="537" w:firstLineChars="224"/>
        <w:rPr>
          <w:rFonts w:ascii="宋体"/>
          <w:kern w:val="0"/>
          <w:sz w:val="24"/>
        </w:rPr>
      </w:pPr>
      <w:r>
        <w:rPr>
          <w:rFonts w:hint="eastAsia" w:ascii="宋体" w:hAnsi="宋体"/>
          <w:kern w:val="0"/>
          <w:sz w:val="24"/>
        </w:rPr>
        <w:t>7、</w:t>
      </w:r>
      <w:r>
        <w:rPr>
          <w:rFonts w:hint="eastAsia" w:ascii="宋体" w:hAnsi="宋体"/>
          <w:sz w:val="24"/>
          <w:szCs w:val="24"/>
        </w:rPr>
        <w:t>专职安全员须具有有效期内的安全生产考核合格证（</w:t>
      </w:r>
      <w:r>
        <w:rPr>
          <w:rFonts w:ascii="宋体" w:hAnsi="宋体"/>
          <w:sz w:val="24"/>
          <w:szCs w:val="24"/>
        </w:rPr>
        <w:t>C</w:t>
      </w:r>
      <w:r>
        <w:rPr>
          <w:rFonts w:hint="eastAsia" w:ascii="宋体" w:hAnsi="宋体"/>
          <w:sz w:val="24"/>
          <w:szCs w:val="24"/>
        </w:rPr>
        <w:t>类）</w:t>
      </w:r>
      <w:r>
        <w:rPr>
          <w:rFonts w:hint="eastAsia" w:ascii="宋体" w:hAnsi="宋体"/>
          <w:kern w:val="0"/>
          <w:sz w:val="24"/>
        </w:rPr>
        <w:t>或建筑施工企业专职安全生产管理人员安全生产考核合格证书（C3）。</w:t>
      </w:r>
    </w:p>
    <w:p>
      <w:pPr>
        <w:tabs>
          <w:tab w:val="left" w:pos="1260"/>
        </w:tabs>
        <w:adjustRightInd w:val="0"/>
        <w:snapToGrid w:val="0"/>
        <w:spacing w:line="480" w:lineRule="auto"/>
        <w:ind w:firstLine="537" w:firstLineChars="224"/>
        <w:rPr>
          <w:rFonts w:ascii="宋体" w:hAnsi="宋体"/>
          <w:sz w:val="24"/>
        </w:rPr>
      </w:pPr>
      <w:r>
        <w:rPr>
          <w:rFonts w:hint="eastAsia" w:ascii="宋体" w:hAnsi="宋体"/>
          <w:sz w:val="24"/>
        </w:rPr>
        <w:t>8、</w:t>
      </w:r>
      <w:r>
        <w:rPr>
          <w:rFonts w:hint="eastAsia" w:ascii="宋体" w:hAnsi="宋体"/>
          <w:sz w:val="24"/>
          <w:u w:val="single"/>
        </w:rPr>
        <w:t>投标人自2018年7月1日至今完成过质量合格的合同金额不低于6000万元的水蓄冷或冰蓄冷工程施工业绩</w:t>
      </w:r>
      <w:r>
        <w:rPr>
          <w:rFonts w:hint="eastAsia" w:ascii="宋体" w:hAnsi="宋体"/>
          <w:sz w:val="24"/>
        </w:rPr>
        <w:t>（需提供建设单位颁发的中标通知书、相关合同、建设单位（业主）出具的业绩证明、竣工验收报</w:t>
      </w:r>
      <w:r>
        <w:rPr>
          <w:rFonts w:hint="eastAsia" w:ascii="宋体" w:hAnsi="宋体"/>
          <w:sz w:val="24"/>
          <w:highlight w:val="none"/>
          <w:lang w:val="en-US" w:eastAsia="zh-CN"/>
        </w:rPr>
        <w:t>.</w:t>
      </w:r>
      <w:r>
        <w:rPr>
          <w:rFonts w:hint="eastAsia" w:ascii="宋体" w:hAnsi="宋体"/>
          <w:sz w:val="24"/>
        </w:rPr>
        <w:t>施工业绩。业绩时间以竣工验收报告或竣工验收备案证书时间为准，金额以合同金额为准。联合体投标的，指联合体主办方的业绩。）</w:t>
      </w:r>
    </w:p>
    <w:p>
      <w:pPr>
        <w:adjustRightInd w:val="0"/>
        <w:snapToGrid w:val="0"/>
        <w:spacing w:line="480" w:lineRule="auto"/>
        <w:ind w:firstLine="537" w:firstLineChars="224"/>
        <w:rPr>
          <w:rFonts w:ascii="宋体"/>
          <w:sz w:val="24"/>
        </w:rPr>
      </w:pPr>
      <w:r>
        <w:rPr>
          <w:rFonts w:hint="eastAsia" w:ascii="宋体" w:hAnsi="宋体"/>
          <w:sz w:val="24"/>
        </w:rPr>
        <w:t>9、投标人已按照附件一的内容签署盖章的投标人声明。</w:t>
      </w:r>
    </w:p>
    <w:p>
      <w:pPr>
        <w:adjustRightInd w:val="0"/>
        <w:snapToGrid w:val="0"/>
        <w:spacing w:line="480" w:lineRule="auto"/>
        <w:ind w:firstLine="537" w:firstLineChars="224"/>
        <w:rPr>
          <w:rFonts w:ascii="宋体"/>
          <w:sz w:val="24"/>
        </w:rPr>
      </w:pPr>
      <w:r>
        <w:rPr>
          <w:rFonts w:hint="eastAsia" w:ascii="宋体" w:hAnsi="宋体"/>
          <w:sz w:val="24"/>
          <w:szCs w:val="24"/>
        </w:rPr>
        <w:t>10、关于联合体投标：本项目接受联合体投标（联合体成员不应超过2家）。如投标人组成联合体，应以承接机电安装工程的单位为主办方，并签定联合体工作协议（格式详见附件四）。投标人拟任本工程项目负责人、技术负责人应为主办方正式员工。联合体工作协议应明确约定各方拟承担的工作和责任。</w:t>
      </w:r>
    </w:p>
    <w:p>
      <w:pPr>
        <w:adjustRightInd w:val="0"/>
        <w:snapToGrid w:val="0"/>
        <w:spacing w:line="480" w:lineRule="auto"/>
        <w:ind w:firstLine="480" w:firstLineChars="200"/>
        <w:rPr>
          <w:rFonts w:ascii="宋体" w:hAnsi="宋体"/>
          <w:sz w:val="24"/>
        </w:rPr>
      </w:pPr>
      <w:r>
        <w:rPr>
          <w:rFonts w:ascii="宋体" w:hAnsi="宋体"/>
          <w:sz w:val="24"/>
        </w:rPr>
        <w:t>1</w:t>
      </w:r>
      <w:r>
        <w:rPr>
          <w:rFonts w:hint="eastAsia" w:ascii="宋体" w:hAnsi="宋体"/>
          <w:sz w:val="24"/>
        </w:rPr>
        <w:t>1、资格审查前，投标人须在广州市住房和城乡建设局建立企业信用档案及拟担任本工程项目负责人、专职安全员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 》</w:t>
      </w:r>
    </w:p>
    <w:p>
      <w:pPr>
        <w:spacing w:line="480" w:lineRule="auto"/>
        <w:ind w:firstLine="537" w:firstLineChars="224"/>
        <w:rPr>
          <w:rFonts w:ascii="宋体"/>
          <w:sz w:val="24"/>
        </w:rPr>
      </w:pPr>
      <w:r>
        <w:rPr>
          <w:rFonts w:hint="eastAsia" w:ascii="宋体" w:hAnsi="宋体"/>
          <w:sz w:val="24"/>
        </w:rPr>
        <w:t>http://zfcj.gz.gov.cn/zwgk/zsdwxxgkzl/gzsjzyglfwzx/bszy/content/post_8484886.html</w:t>
      </w:r>
    </w:p>
    <w:p>
      <w:pPr>
        <w:spacing w:line="480" w:lineRule="auto"/>
        <w:ind w:firstLine="537" w:firstLineChars="224"/>
        <w:rPr>
          <w:rFonts w:ascii="宋体" w:hAnsi="宋体"/>
          <w:sz w:val="24"/>
        </w:rPr>
      </w:pPr>
      <w:r>
        <w:rPr>
          <w:rFonts w:hint="eastAsia" w:ascii="宋体" w:hAnsi="宋体"/>
          <w:sz w:val="24"/>
        </w:rPr>
        <w:t>12、未在以往工程中因不诚信行为或不充分履约行为被本项目招标人书面拒绝投标的（招标人不接受投标的单位名单见本公告附件五）。</w:t>
      </w:r>
    </w:p>
    <w:p>
      <w:pPr>
        <w:spacing w:line="480" w:lineRule="auto"/>
        <w:ind w:firstLine="537" w:firstLineChars="224"/>
        <w:rPr>
          <w:rFonts w:ascii="宋体" w:hAnsi="宋体"/>
          <w:sz w:val="24"/>
          <w:szCs w:val="24"/>
        </w:rPr>
      </w:pPr>
      <w:r>
        <w:rPr>
          <w:rFonts w:hint="eastAsia" w:ascii="宋体" w:hAnsi="宋体"/>
          <w:sz w:val="24"/>
        </w:rPr>
        <w:t>13、</w:t>
      </w:r>
      <w:r>
        <w:rPr>
          <w:rFonts w:hint="eastAsia" w:ascii="宋体" w:hAnsi="宋体"/>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sz w:val="24"/>
          <w:szCs w:val="24"/>
          <w:u w:val="single"/>
        </w:rPr>
        <w:t>均为无效投标文件</w:t>
      </w:r>
      <w:r>
        <w:rPr>
          <w:rFonts w:hint="eastAsia" w:ascii="宋体" w:hAnsi="宋体"/>
          <w:sz w:val="24"/>
          <w:szCs w:val="24"/>
        </w:rPr>
        <w:t>。</w:t>
      </w:r>
    </w:p>
    <w:p>
      <w:pPr>
        <w:pStyle w:val="35"/>
        <w:tabs>
          <w:tab w:val="left" w:pos="7380"/>
        </w:tabs>
        <w:spacing w:after="0" w:line="480" w:lineRule="auto"/>
        <w:ind w:firstLine="523" w:firstLineChars="218"/>
        <w:rPr>
          <w:rFonts w:ascii="宋体" w:hAnsi="宋体"/>
          <w:sz w:val="24"/>
        </w:rPr>
      </w:pPr>
      <w:r>
        <w:rPr>
          <w:rFonts w:hint="eastAsia" w:ascii="宋体" w:hAnsi="宋体"/>
          <w:sz w:val="24"/>
        </w:rPr>
        <w:t>14、未被列入拖欠农民工工资失信联合惩戒对象名单。</w:t>
      </w:r>
    </w:p>
    <w:p>
      <w:pPr>
        <w:pStyle w:val="35"/>
        <w:tabs>
          <w:tab w:val="left" w:pos="7380"/>
        </w:tabs>
        <w:spacing w:after="0" w:line="480" w:lineRule="auto"/>
        <w:ind w:firstLine="523" w:firstLineChars="218"/>
        <w:rPr>
          <w:rFonts w:ascii="宋体"/>
          <w:sz w:val="24"/>
        </w:rPr>
      </w:pPr>
      <w:r>
        <w:rPr>
          <w:rFonts w:hint="eastAsia" w:ascii="宋体" w:hAnsi="宋体"/>
          <w:sz w:val="24"/>
        </w:rPr>
        <w:t>注：未在招标公告第九条单列的资审合格条件，不作为资审不合格的依据。</w:t>
      </w:r>
    </w:p>
    <w:p>
      <w:pPr>
        <w:snapToGrid w:val="0"/>
        <w:spacing w:line="480" w:lineRule="auto"/>
        <w:ind w:firstLine="480" w:firstLineChars="200"/>
        <w:rPr>
          <w:rFonts w:ascii="宋体" w:cs="宋体"/>
          <w:sz w:val="24"/>
          <w:szCs w:val="24"/>
        </w:rPr>
      </w:pPr>
      <w:r>
        <w:rPr>
          <w:rFonts w:hint="eastAsia" w:ascii="宋体" w:hAnsi="宋体" w:cs="宋体"/>
          <w:sz w:val="24"/>
          <w:szCs w:val="24"/>
        </w:rPr>
        <w:t>十、资格审查方式：</w:t>
      </w:r>
    </w:p>
    <w:p>
      <w:pPr>
        <w:widowControl/>
        <w:snapToGrid w:val="0"/>
        <w:spacing w:line="480" w:lineRule="auto"/>
        <w:ind w:firstLine="480" w:firstLineChars="200"/>
        <w:rPr>
          <w:rFonts w:ascii="宋体" w:cs="宋体"/>
          <w:sz w:val="24"/>
          <w:szCs w:val="24"/>
        </w:rPr>
      </w:pPr>
      <w:r>
        <w:rPr>
          <w:rFonts w:hint="eastAsia" w:ascii="宋体" w:hAnsi="宋体" w:cs="宋体"/>
          <w:sz w:val="24"/>
          <w:szCs w:val="24"/>
        </w:rPr>
        <w:t>本工程采用资格后审方式，由评标委员会负责资格审查。</w:t>
      </w:r>
    </w:p>
    <w:p>
      <w:pPr>
        <w:snapToGrid w:val="0"/>
        <w:spacing w:line="480" w:lineRule="auto"/>
        <w:rPr>
          <w:rFonts w:ascii="宋体" w:hAnsi="宋体"/>
          <w:sz w:val="24"/>
        </w:rPr>
      </w:pPr>
      <w:r>
        <w:rPr>
          <w:rFonts w:hint="eastAsia" w:ascii="宋体" w:hAnsi="宋体"/>
          <w:sz w:val="24"/>
        </w:rPr>
        <w:t xml:space="preserve">    十一、资格审查结果将在</w:t>
      </w:r>
      <w:r>
        <w:rPr>
          <w:rFonts w:hint="eastAsia" w:ascii="宋体" w:hAnsi="宋体" w:cs="宋体"/>
          <w:sz w:val="24"/>
          <w:szCs w:val="24"/>
          <w:u w:val="single"/>
        </w:rPr>
        <w:t>广州公共资源交易中心</w:t>
      </w:r>
      <w:r>
        <w:rPr>
          <w:rFonts w:hint="eastAsia" w:ascii="宋体" w:hAnsi="宋体"/>
          <w:sz w:val="24"/>
          <w:szCs w:val="24"/>
        </w:rPr>
        <w:t>交易平台</w:t>
      </w:r>
      <w:r>
        <w:rPr>
          <w:rFonts w:hint="eastAsia" w:ascii="宋体" w:hAnsi="宋体"/>
          <w:sz w:val="24"/>
        </w:rPr>
        <w:t>和广东省招标投标监管网公示，</w:t>
      </w:r>
      <w:r>
        <w:rPr>
          <w:rFonts w:hint="eastAsia" w:ascii="宋体" w:hAnsi="宋体"/>
          <w:bCs/>
          <w:sz w:val="24"/>
        </w:rPr>
        <w:t>公示时间不得少于3日。</w:t>
      </w:r>
    </w:p>
    <w:p>
      <w:pPr>
        <w:snapToGrid w:val="0"/>
        <w:spacing w:line="480" w:lineRule="auto"/>
        <w:rPr>
          <w:rFonts w:ascii="宋体" w:hAnsi="宋体"/>
          <w:sz w:val="24"/>
        </w:rPr>
      </w:pPr>
      <w:r>
        <w:rPr>
          <w:rFonts w:hint="eastAsia" w:ascii="宋体" w:hAnsi="宋体"/>
          <w:sz w:val="24"/>
        </w:rPr>
        <w:t xml:space="preserve">    十二、满足资格审查合格条件的投标人不足 3 名或通过有效性审查的投标人不足3名时为招标失败。招标人分析招标失败原因，修正招标方案，重新组织招标。</w:t>
      </w:r>
    </w:p>
    <w:p>
      <w:pPr>
        <w:spacing w:line="480" w:lineRule="auto"/>
        <w:ind w:firstLine="537" w:firstLineChars="224"/>
        <w:rPr>
          <w:rFonts w:ascii="宋体"/>
          <w:sz w:val="24"/>
        </w:rPr>
      </w:pPr>
      <w:r>
        <w:rPr>
          <w:rFonts w:hint="eastAsia" w:ascii="宋体" w:hAnsi="宋体"/>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80" w:lineRule="auto"/>
        <w:ind w:firstLine="480" w:firstLineChars="200"/>
        <w:rPr>
          <w:rFonts w:ascii="宋体"/>
          <w:sz w:val="24"/>
          <w:szCs w:val="24"/>
        </w:rPr>
      </w:pPr>
      <w:r>
        <w:rPr>
          <w:rFonts w:hint="eastAsia" w:ascii="宋体" w:hAnsi="宋体"/>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80" w:lineRule="auto"/>
        <w:ind w:left="538" w:leftChars="256"/>
        <w:rPr>
          <w:rFonts w:ascii="宋体"/>
          <w:sz w:val="24"/>
          <w:u w:val="single"/>
        </w:rPr>
      </w:pPr>
      <w:r>
        <w:rPr>
          <w:rFonts w:hint="eastAsia" w:ascii="宋体" w:hAnsi="宋体"/>
          <w:sz w:val="24"/>
        </w:rPr>
        <w:t>十五、潜在投标人或利害关系人对本招标公告及招标文件有异议的，向招标人书面提出。异议受理部门：</w:t>
      </w:r>
      <w:r>
        <w:rPr>
          <w:rFonts w:hint="eastAsia" w:ascii="宋体" w:hAnsi="宋体"/>
          <w:sz w:val="24"/>
          <w:u w:val="single"/>
        </w:rPr>
        <w:t>广东省机场管理集团有限公司工程建设指挥部</w:t>
      </w:r>
    </w:p>
    <w:p>
      <w:pPr>
        <w:spacing w:line="480" w:lineRule="auto"/>
        <w:ind w:firstLine="537" w:firstLineChars="224"/>
        <w:rPr>
          <w:rFonts w:ascii="宋体"/>
          <w:sz w:val="24"/>
          <w:u w:val="single"/>
        </w:rPr>
      </w:pPr>
      <w:r>
        <w:rPr>
          <w:rFonts w:hint="eastAsia" w:ascii="宋体" w:hAnsi="宋体"/>
          <w:sz w:val="24"/>
        </w:rPr>
        <w:t>异议受理电话：</w:t>
      </w:r>
      <w:r>
        <w:rPr>
          <w:rFonts w:hint="eastAsia" w:ascii="宋体" w:hAnsi="宋体"/>
          <w:sz w:val="24"/>
          <w:u w:val="single"/>
        </w:rPr>
        <w:t>020-</w:t>
      </w:r>
      <w:r>
        <w:rPr>
          <w:rFonts w:ascii="宋体" w:hAnsi="宋体"/>
          <w:sz w:val="24"/>
          <w:u w:val="single"/>
        </w:rPr>
        <w:t>36063</w:t>
      </w:r>
      <w:r>
        <w:rPr>
          <w:rFonts w:hint="eastAsia" w:ascii="宋体" w:hAnsi="宋体"/>
          <w:sz w:val="24"/>
          <w:u w:val="single"/>
        </w:rPr>
        <w:t>049</w:t>
      </w:r>
    </w:p>
    <w:p>
      <w:pPr>
        <w:spacing w:line="480" w:lineRule="auto"/>
        <w:ind w:firstLine="537" w:firstLineChars="224"/>
        <w:rPr>
          <w:rFonts w:ascii="宋体"/>
          <w:sz w:val="24"/>
          <w:u w:val="single"/>
        </w:rPr>
      </w:pPr>
      <w:r>
        <w:rPr>
          <w:rFonts w:hint="eastAsia" w:ascii="宋体" w:hAnsi="宋体"/>
          <w:sz w:val="24"/>
        </w:rPr>
        <w:t>地址：</w:t>
      </w:r>
      <w:r>
        <w:rPr>
          <w:rFonts w:hint="eastAsia" w:ascii="宋体" w:hAnsi="宋体"/>
          <w:sz w:val="24"/>
          <w:u w:val="single"/>
        </w:rPr>
        <w:t>广州市白云区人和镇广州白云国际机场东南工作区</w:t>
      </w:r>
    </w:p>
    <w:p>
      <w:pPr>
        <w:spacing w:line="480" w:lineRule="auto"/>
        <w:ind w:left="239" w:leftChars="114" w:firstLine="297" w:firstLineChars="124"/>
        <w:rPr>
          <w:rFonts w:ascii="宋体" w:hAnsi="宋体"/>
          <w:sz w:val="24"/>
        </w:rPr>
      </w:pPr>
      <w:r>
        <w:rPr>
          <w:rFonts w:hint="eastAsia" w:ascii="宋体" w:hAnsi="宋体"/>
          <w:sz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480" w:lineRule="auto"/>
        <w:ind w:left="239" w:leftChars="114" w:firstLine="297" w:firstLineChars="124"/>
        <w:rPr>
          <w:rFonts w:ascii="宋体"/>
          <w:sz w:val="24"/>
        </w:rPr>
      </w:pPr>
      <w:r>
        <w:rPr>
          <w:rFonts w:hint="eastAsia" w:ascii="宋体" w:hAnsi="宋体"/>
          <w:sz w:val="24"/>
        </w:rPr>
        <w:t>十六、本公告在广州公共资源交易网、广东省招标投标监管网、中国招标投标公共服务平台和广东省机场管理集团有限公司资源交易信息平台发布，本公告的修改、补充，在广州公共资源交易网发布。</w:t>
      </w:r>
    </w:p>
    <w:p>
      <w:pPr>
        <w:spacing w:line="480" w:lineRule="auto"/>
        <w:ind w:firstLine="537" w:firstLineChars="224"/>
        <w:rPr>
          <w:rFonts w:ascii="宋体"/>
          <w:sz w:val="24"/>
        </w:rPr>
      </w:pPr>
      <w:r>
        <w:rPr>
          <w:rFonts w:hint="eastAsia" w:ascii="宋体" w:hAnsi="宋体"/>
          <w:sz w:val="24"/>
        </w:rPr>
        <w:t>十七、本招标公告及招标文件使用GZZB2018-3招标文件范本。本公告与范本内容不同之处均以下划线标明，所有标明下划线部分属于本公告的组成部分，同其他部分具有同样的效力。</w:t>
      </w:r>
    </w:p>
    <w:p>
      <w:pPr>
        <w:spacing w:line="480" w:lineRule="auto"/>
        <w:ind w:firstLine="537" w:firstLineChars="224"/>
        <w:rPr>
          <w:rFonts w:ascii="宋体" w:hAnsi="宋体"/>
          <w:sz w:val="24"/>
        </w:rPr>
      </w:pPr>
      <w:r>
        <w:rPr>
          <w:rFonts w:hint="eastAsia" w:ascii="宋体" w:hAnsi="宋体"/>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480" w:lineRule="auto"/>
        <w:ind w:firstLine="537" w:firstLineChars="224"/>
        <w:rPr>
          <w:rFonts w:ascii="宋体"/>
          <w:sz w:val="24"/>
        </w:rPr>
      </w:pPr>
      <w:r>
        <w:rPr>
          <w:rFonts w:hint="eastAsia" w:ascii="宋体"/>
          <w:sz w:val="24"/>
        </w:rPr>
        <w:t>十九、《投诉处理决定书》和《行政处理决定书》在</w:t>
      </w:r>
      <w:r>
        <w:rPr>
          <w:rFonts w:hint="eastAsia" w:ascii="宋体" w:hAnsi="宋体"/>
          <w:sz w:val="24"/>
        </w:rPr>
        <w:t>广州市住房和城乡建设局</w:t>
      </w:r>
      <w:r>
        <w:rPr>
          <w:rFonts w:hint="eastAsia" w:ascii="宋体"/>
          <w:sz w:val="24"/>
        </w:rPr>
        <w:t>网站上公布的，视为送达其他与决定书有关的当事人。</w:t>
      </w:r>
    </w:p>
    <w:p>
      <w:pPr>
        <w:spacing w:line="480" w:lineRule="auto"/>
        <w:ind w:firstLine="537" w:firstLineChars="224"/>
        <w:rPr>
          <w:rFonts w:ascii="宋体"/>
          <w:sz w:val="24"/>
        </w:rPr>
      </w:pPr>
      <w:r>
        <w:rPr>
          <w:rFonts w:hint="eastAsia" w:ascii="宋体"/>
          <w:sz w:val="24"/>
        </w:rPr>
        <w:t>特别提示：投标人在本项目招标人的工程项目中存在下列行为的，将被拒绝一</w:t>
      </w:r>
      <w:r>
        <w:rPr>
          <w:rFonts w:ascii="宋体"/>
          <w:sz w:val="24"/>
        </w:rPr>
        <w:t>定时期</w:t>
      </w:r>
      <w:r>
        <w:rPr>
          <w:rFonts w:hint="eastAsia" w:ascii="宋体"/>
          <w:sz w:val="24"/>
        </w:rPr>
        <w:t>内（详见招标人相关制度）参与招标人后续工程投标。（注：拒绝投标时限由招标人视严重程度确定，最低三个月起，自招标人发出通知之日起计）：</w:t>
      </w:r>
    </w:p>
    <w:p>
      <w:pPr>
        <w:spacing w:line="480" w:lineRule="auto"/>
        <w:ind w:firstLine="537" w:firstLineChars="224"/>
        <w:rPr>
          <w:rFonts w:ascii="宋体"/>
          <w:sz w:val="24"/>
        </w:rPr>
      </w:pPr>
      <w:r>
        <w:rPr>
          <w:rFonts w:hint="eastAsia" w:ascii="宋体"/>
          <w:sz w:val="24"/>
        </w:rPr>
        <w:t>1.将中标工程转包或者违法分包的;</w:t>
      </w:r>
    </w:p>
    <w:p>
      <w:pPr>
        <w:spacing w:line="480" w:lineRule="auto"/>
        <w:ind w:firstLine="537" w:firstLineChars="224"/>
        <w:rPr>
          <w:rFonts w:ascii="宋体"/>
          <w:sz w:val="24"/>
        </w:rPr>
      </w:pPr>
      <w:r>
        <w:rPr>
          <w:rFonts w:hint="eastAsia" w:ascii="宋体"/>
          <w:sz w:val="24"/>
        </w:rPr>
        <w:t>2.在中标工程中不执行质量、安全生产相关规定的，造成质量或安全事故的；</w:t>
      </w:r>
    </w:p>
    <w:p>
      <w:pPr>
        <w:spacing w:line="480" w:lineRule="auto"/>
        <w:ind w:firstLine="537" w:firstLineChars="224"/>
        <w:rPr>
          <w:rFonts w:ascii="宋体"/>
          <w:sz w:val="24"/>
        </w:rPr>
      </w:pPr>
      <w:r>
        <w:rPr>
          <w:rFonts w:hint="eastAsia" w:ascii="宋体"/>
          <w:sz w:val="24"/>
        </w:rPr>
        <w:t>3.存在围标或串标情形的;</w:t>
      </w:r>
    </w:p>
    <w:p>
      <w:pPr>
        <w:spacing w:line="480" w:lineRule="auto"/>
        <w:ind w:firstLine="537" w:firstLineChars="224"/>
        <w:rPr>
          <w:rFonts w:ascii="宋体"/>
          <w:sz w:val="24"/>
        </w:rPr>
      </w:pPr>
      <w:r>
        <w:rPr>
          <w:rFonts w:ascii="宋体"/>
          <w:sz w:val="24"/>
        </w:rPr>
        <w:t>4.在投标文件中提供虚假材料的；</w:t>
      </w:r>
    </w:p>
    <w:p>
      <w:pPr>
        <w:spacing w:line="480" w:lineRule="auto"/>
        <w:ind w:firstLine="537" w:firstLineChars="224"/>
        <w:rPr>
          <w:rFonts w:ascii="宋体"/>
          <w:sz w:val="24"/>
        </w:rPr>
      </w:pPr>
      <w:r>
        <w:rPr>
          <w:rFonts w:ascii="宋体"/>
          <w:sz w:val="24"/>
        </w:rPr>
        <w:t>5.存在行贿情形的;</w:t>
      </w:r>
    </w:p>
    <w:p>
      <w:pPr>
        <w:spacing w:line="480" w:lineRule="auto"/>
        <w:ind w:firstLine="537" w:firstLineChars="224"/>
        <w:rPr>
          <w:rFonts w:ascii="宋体"/>
          <w:sz w:val="24"/>
        </w:rPr>
      </w:pPr>
      <w:r>
        <w:rPr>
          <w:rFonts w:hint="eastAsia" w:ascii="宋体"/>
          <w:sz w:val="24"/>
        </w:rPr>
        <w:t>6.拖欠农民工工资的；</w:t>
      </w:r>
    </w:p>
    <w:p>
      <w:pPr>
        <w:spacing w:line="480" w:lineRule="auto"/>
        <w:ind w:firstLine="537" w:firstLineChars="224"/>
        <w:rPr>
          <w:rFonts w:ascii="宋体"/>
          <w:sz w:val="24"/>
        </w:rPr>
      </w:pPr>
      <w:r>
        <w:rPr>
          <w:rFonts w:hint="eastAsia" w:ascii="宋体"/>
          <w:sz w:val="24"/>
        </w:rPr>
        <w:t>7.未按照国家、省、市有关建筑施工实名制管理和工人工资支付分账管理的规定执行，被行政监管部门处罚的；</w:t>
      </w:r>
    </w:p>
    <w:p>
      <w:pPr>
        <w:spacing w:line="480" w:lineRule="auto"/>
        <w:ind w:firstLine="537" w:firstLineChars="224"/>
        <w:rPr>
          <w:rFonts w:ascii="宋体"/>
          <w:sz w:val="24"/>
        </w:rPr>
      </w:pPr>
      <w:r>
        <w:rPr>
          <w:rFonts w:hint="eastAsia" w:ascii="宋体"/>
          <w:sz w:val="24"/>
        </w:rPr>
        <w:t>8.中标人在项目实施过程中选取的专业分包单位或劳务企业或劳务班组长与投标时不一致的（如有）。</w:t>
      </w:r>
    </w:p>
    <w:p>
      <w:pPr>
        <w:spacing w:line="480" w:lineRule="auto"/>
        <w:ind w:firstLine="537" w:firstLineChars="224"/>
        <w:rPr>
          <w:rFonts w:ascii="宋体"/>
          <w:sz w:val="24"/>
        </w:rPr>
      </w:pPr>
    </w:p>
    <w:p>
      <w:pPr>
        <w:spacing w:line="480" w:lineRule="auto"/>
        <w:ind w:right="1348" w:rightChars="642" w:firstLine="5760" w:firstLineChars="2400"/>
        <w:rPr>
          <w:rFonts w:ascii="宋体" w:hAnsi="宋体"/>
          <w:sz w:val="24"/>
        </w:rPr>
      </w:pPr>
    </w:p>
    <w:p>
      <w:pPr>
        <w:snapToGrid w:val="0"/>
        <w:spacing w:line="480" w:lineRule="auto"/>
        <w:ind w:right="1348" w:rightChars="642"/>
        <w:jc w:val="right"/>
        <w:rPr>
          <w:rFonts w:ascii="宋体"/>
          <w:sz w:val="24"/>
        </w:rPr>
      </w:pPr>
      <w:r>
        <w:rPr>
          <w:rFonts w:hint="eastAsia" w:ascii="宋体" w:hAnsi="宋体"/>
          <w:sz w:val="24"/>
        </w:rPr>
        <w:t xml:space="preserve">   广东省机场管理集团有限公司工程建设指挥部</w:t>
      </w:r>
    </w:p>
    <w:p>
      <w:pPr>
        <w:snapToGrid w:val="0"/>
        <w:spacing w:line="480" w:lineRule="auto"/>
        <w:ind w:right="1348" w:rightChars="642" w:firstLine="3840" w:firstLineChars="1600"/>
        <w:jc w:val="center"/>
        <w:rPr>
          <w:rFonts w:ascii="宋体" w:hAnsi="宋体"/>
          <w:sz w:val="24"/>
          <w:u w:val="single"/>
        </w:rPr>
      </w:pPr>
      <w:r>
        <w:rPr>
          <w:rFonts w:hint="eastAsia" w:ascii="宋体" w:hAnsi="宋体"/>
          <w:sz w:val="24"/>
        </w:rPr>
        <w:t>国义招标股份有限公司</w:t>
      </w:r>
    </w:p>
    <w:p>
      <w:pPr>
        <w:spacing w:line="480" w:lineRule="auto"/>
        <w:ind w:right="1348" w:rightChars="642" w:firstLine="4860" w:firstLineChars="2025"/>
        <w:rPr>
          <w:rFonts w:ascii="宋体"/>
          <w:sz w:val="24"/>
        </w:rPr>
      </w:pP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480" w:lineRule="auto"/>
        <w:ind w:firstLine="537" w:firstLineChars="224"/>
        <w:rPr>
          <w:rFonts w:ascii="宋体"/>
          <w:sz w:val="24"/>
        </w:rPr>
        <w:sectPr>
          <w:footerReference r:id="rId3" w:type="default"/>
          <w:footerReference r:id="rId4" w:type="even"/>
          <w:endnotePr>
            <w:numFmt w:val="decimal"/>
          </w:endnotePr>
          <w:pgSz w:w="11906" w:h="16838"/>
          <w:pgMar w:top="1440" w:right="1134" w:bottom="1440" w:left="1134" w:header="851" w:footer="992" w:gutter="0"/>
          <w:cols w:space="425" w:num="1"/>
          <w:docGrid w:type="lines" w:linePitch="312" w:charSpace="0"/>
        </w:sectPr>
      </w:pPr>
    </w:p>
    <w:p>
      <w:pPr>
        <w:spacing w:line="360" w:lineRule="auto"/>
        <w:rPr>
          <w:b/>
          <w:sz w:val="44"/>
        </w:rPr>
      </w:pPr>
      <w:r>
        <w:rPr>
          <w:rFonts w:hint="eastAsia" w:ascii="宋体" w:hAnsi="宋体"/>
          <w:sz w:val="24"/>
        </w:rPr>
        <w:t>附件一：</w:t>
      </w:r>
    </w:p>
    <w:p>
      <w:pPr>
        <w:jc w:val="center"/>
        <w:rPr>
          <w:b/>
          <w:sz w:val="44"/>
          <w:szCs w:val="44"/>
        </w:rPr>
      </w:pPr>
      <w:r>
        <w:rPr>
          <w:rFonts w:hint="eastAsia"/>
          <w:b/>
          <w:kern w:val="0"/>
          <w:sz w:val="44"/>
          <w:szCs w:val="44"/>
        </w:rPr>
        <w:t>投标人</w:t>
      </w:r>
      <w:r>
        <w:rPr>
          <w:rFonts w:hint="eastAsia"/>
          <w:b/>
          <w:sz w:val="44"/>
          <w:szCs w:val="44"/>
        </w:rPr>
        <w:t>声明</w:t>
      </w:r>
    </w:p>
    <w:p>
      <w:pPr>
        <w:pStyle w:val="99"/>
        <w:spacing w:line="480" w:lineRule="auto"/>
        <w:ind w:firstLine="0"/>
        <w:rPr>
          <w:rFonts w:ascii="宋体" w:hAnsi="宋体" w:eastAsia="宋体"/>
          <w:color w:val="auto"/>
          <w:sz w:val="21"/>
          <w:szCs w:val="21"/>
        </w:rPr>
      </w:pPr>
      <w:r>
        <w:rPr>
          <w:rFonts w:hint="eastAsia" w:ascii="宋体" w:hAnsi="宋体" w:eastAsia="宋体"/>
          <w:color w:val="auto"/>
          <w:sz w:val="21"/>
          <w:szCs w:val="21"/>
        </w:rPr>
        <w:t>广州市住房和城乡建设局、本招标项目招标人及招标监管机构：</w:t>
      </w:r>
    </w:p>
    <w:p>
      <w:pPr>
        <w:pStyle w:val="99"/>
        <w:spacing w:line="480" w:lineRule="auto"/>
        <w:rPr>
          <w:rFonts w:ascii="宋体" w:hAnsi="宋体" w:eastAsia="宋体"/>
          <w:color w:val="auto"/>
          <w:sz w:val="21"/>
          <w:szCs w:val="21"/>
        </w:rPr>
      </w:pPr>
      <w:r>
        <w:rPr>
          <w:rFonts w:hint="eastAsia" w:ascii="宋体" w:hAnsi="宋体" w:eastAsia="宋体"/>
          <w:color w:val="auto"/>
          <w:sz w:val="21"/>
          <w:szCs w:val="21"/>
        </w:rPr>
        <w:t>本公司就参加</w:t>
      </w:r>
      <w:r>
        <w:rPr>
          <w:rFonts w:ascii="宋体" w:hAnsi="宋体" w:eastAsia="宋体"/>
          <w:color w:val="auto"/>
          <w:sz w:val="21"/>
          <w:szCs w:val="21"/>
          <w:u w:val="single"/>
        </w:rPr>
        <w:t xml:space="preserve">                        </w:t>
      </w:r>
      <w:r>
        <w:rPr>
          <w:rFonts w:hint="eastAsia" w:ascii="宋体" w:hAnsi="宋体" w:eastAsia="宋体"/>
          <w:color w:val="auto"/>
          <w:sz w:val="21"/>
          <w:szCs w:val="21"/>
        </w:rPr>
        <w:t>投标工作，作出郑重声明：</w:t>
      </w:r>
    </w:p>
    <w:p>
      <w:pPr>
        <w:pStyle w:val="99"/>
        <w:spacing w:line="480" w:lineRule="auto"/>
        <w:rPr>
          <w:rFonts w:ascii="宋体" w:hAnsi="宋体" w:eastAsia="宋体"/>
          <w:color w:val="auto"/>
          <w:sz w:val="21"/>
          <w:szCs w:val="21"/>
        </w:rPr>
      </w:pPr>
      <w:r>
        <w:rPr>
          <w:rFonts w:hint="eastAsia" w:ascii="宋体" w:hAnsi="宋体" w:eastAsia="宋体"/>
          <w:color w:val="auto"/>
          <w:sz w:val="21"/>
          <w:szCs w:val="21"/>
        </w:rPr>
        <w:t>一、本公司保证投标文件及其后提供的一切材料都是真实的。如我司成为本项目中标候选人，我司同意并授权招标人将我司投标文件商务部分的人员、业绩、奖项等资料进行公开。</w:t>
      </w:r>
    </w:p>
    <w:p>
      <w:pPr>
        <w:pStyle w:val="99"/>
        <w:spacing w:line="480" w:lineRule="auto"/>
        <w:rPr>
          <w:rFonts w:ascii="宋体" w:hAnsi="宋体" w:eastAsia="宋体"/>
          <w:color w:val="auto"/>
          <w:sz w:val="21"/>
          <w:szCs w:val="21"/>
        </w:rPr>
      </w:pPr>
      <w:r>
        <w:rPr>
          <w:rFonts w:hint="eastAsia" w:ascii="宋体" w:hAnsi="宋体" w:eastAsia="宋体"/>
          <w:color w:val="auto"/>
          <w:sz w:val="21"/>
          <w:szCs w:val="21"/>
        </w:rPr>
        <w:t>二、本公司保证在本项目投标中不与其他单位围标、串标，不出让投标资格，不向招标人或评标委员会成员行贿。</w:t>
      </w:r>
    </w:p>
    <w:p>
      <w:pPr>
        <w:pStyle w:val="99"/>
        <w:spacing w:line="480" w:lineRule="auto"/>
        <w:rPr>
          <w:rFonts w:ascii="宋体" w:hAnsi="宋体" w:eastAsia="宋体"/>
          <w:color w:val="auto"/>
          <w:sz w:val="21"/>
          <w:szCs w:val="21"/>
        </w:rPr>
      </w:pPr>
      <w:r>
        <w:rPr>
          <w:rFonts w:hint="eastAsia" w:ascii="宋体" w:hAnsi="宋体" w:eastAsia="宋体"/>
          <w:color w:val="auto"/>
          <w:sz w:val="21"/>
          <w:szCs w:val="21"/>
        </w:rPr>
        <w:t>三、本公司不存在下列情形之一：</w:t>
      </w:r>
    </w:p>
    <w:p>
      <w:pPr>
        <w:pStyle w:val="99"/>
        <w:spacing w:line="480" w:lineRule="auto"/>
        <w:rPr>
          <w:rFonts w:ascii="宋体" w:hAnsi="宋体" w:eastAsia="宋体"/>
          <w:color w:val="auto"/>
          <w:sz w:val="21"/>
          <w:szCs w:val="21"/>
        </w:rPr>
      </w:pPr>
      <w:r>
        <w:rPr>
          <w:rFonts w:hint="eastAsia" w:ascii="宋体" w:hAnsi="宋体" w:eastAsia="宋体"/>
          <w:color w:val="auto"/>
          <w:sz w:val="21"/>
          <w:szCs w:val="21"/>
        </w:rPr>
        <w:t>（1）为招标人不具有独立法人资格的附属机构（单位）；</w:t>
      </w:r>
    </w:p>
    <w:p>
      <w:pPr>
        <w:pStyle w:val="99"/>
        <w:spacing w:line="480" w:lineRule="auto"/>
        <w:rPr>
          <w:rFonts w:ascii="宋体" w:hAnsi="宋体" w:eastAsia="宋体"/>
          <w:color w:val="auto"/>
          <w:sz w:val="21"/>
          <w:szCs w:val="21"/>
        </w:rPr>
      </w:pPr>
      <w:r>
        <w:rPr>
          <w:rFonts w:hint="eastAsia" w:ascii="宋体" w:hAnsi="宋体" w:eastAsia="宋体"/>
          <w:color w:val="auto"/>
          <w:sz w:val="21"/>
          <w:szCs w:val="21"/>
        </w:rPr>
        <w:t>（2）为本标段前期准备提供设计或咨询服务或者与本项目设计人或提供咨询服务的机构存在附属关系的；</w:t>
      </w:r>
    </w:p>
    <w:p>
      <w:pPr>
        <w:pStyle w:val="99"/>
        <w:spacing w:line="480" w:lineRule="auto"/>
        <w:rPr>
          <w:rFonts w:ascii="宋体" w:hAnsi="宋体" w:eastAsia="宋体"/>
          <w:color w:val="auto"/>
          <w:sz w:val="21"/>
          <w:szCs w:val="21"/>
        </w:rPr>
      </w:pPr>
      <w:r>
        <w:rPr>
          <w:rFonts w:hint="eastAsia" w:ascii="宋体" w:hAnsi="宋体" w:eastAsia="宋体"/>
          <w:color w:val="auto"/>
          <w:sz w:val="21"/>
          <w:szCs w:val="21"/>
        </w:rPr>
        <w:t>（3）为本标段监理人或者与本标段监理人存在隶属关系或者其他利害关系；</w:t>
      </w:r>
    </w:p>
    <w:p>
      <w:pPr>
        <w:pStyle w:val="99"/>
        <w:spacing w:line="480" w:lineRule="auto"/>
        <w:rPr>
          <w:rFonts w:ascii="宋体" w:hAnsi="宋体" w:eastAsia="宋体"/>
          <w:color w:val="auto"/>
          <w:sz w:val="21"/>
          <w:szCs w:val="21"/>
        </w:rPr>
      </w:pPr>
      <w:r>
        <w:rPr>
          <w:rFonts w:hint="eastAsia" w:ascii="宋体" w:hAnsi="宋体" w:eastAsia="宋体"/>
          <w:color w:val="auto"/>
          <w:sz w:val="21"/>
          <w:szCs w:val="21"/>
        </w:rPr>
        <w:t>（4）为本标段的代建人；</w:t>
      </w:r>
    </w:p>
    <w:p>
      <w:pPr>
        <w:pStyle w:val="99"/>
        <w:spacing w:line="480" w:lineRule="auto"/>
        <w:rPr>
          <w:rFonts w:ascii="宋体" w:hAnsi="宋体" w:eastAsia="宋体"/>
          <w:color w:val="auto"/>
          <w:sz w:val="21"/>
          <w:szCs w:val="21"/>
        </w:rPr>
      </w:pPr>
      <w:r>
        <w:rPr>
          <w:rFonts w:hint="eastAsia" w:ascii="宋体" w:hAnsi="宋体" w:eastAsia="宋体"/>
          <w:color w:val="auto"/>
          <w:sz w:val="21"/>
          <w:szCs w:val="21"/>
        </w:rPr>
        <w:t>（5）为本标段提供招标代理服务的；</w:t>
      </w:r>
    </w:p>
    <w:p>
      <w:pPr>
        <w:pStyle w:val="99"/>
        <w:spacing w:line="480" w:lineRule="auto"/>
        <w:rPr>
          <w:rFonts w:ascii="宋体" w:hAnsi="宋体" w:eastAsia="宋体"/>
          <w:color w:val="auto"/>
          <w:sz w:val="21"/>
          <w:szCs w:val="21"/>
        </w:rPr>
      </w:pPr>
      <w:r>
        <w:rPr>
          <w:rFonts w:hint="eastAsia" w:ascii="宋体" w:hAnsi="宋体" w:eastAsia="宋体"/>
          <w:color w:val="auto"/>
          <w:sz w:val="21"/>
          <w:szCs w:val="21"/>
        </w:rPr>
        <w:t>（6）与本标段的监理人或代建人或招标代理机构同为一个法定代表人的；</w:t>
      </w:r>
    </w:p>
    <w:p>
      <w:pPr>
        <w:pStyle w:val="99"/>
        <w:spacing w:line="480" w:lineRule="auto"/>
        <w:rPr>
          <w:rFonts w:ascii="宋体" w:hAnsi="宋体" w:eastAsia="宋体"/>
          <w:color w:val="auto"/>
          <w:sz w:val="21"/>
          <w:szCs w:val="21"/>
        </w:rPr>
      </w:pPr>
      <w:r>
        <w:rPr>
          <w:rFonts w:hint="eastAsia" w:ascii="宋体" w:hAnsi="宋体" w:eastAsia="宋体"/>
          <w:color w:val="auto"/>
          <w:sz w:val="21"/>
          <w:szCs w:val="21"/>
        </w:rPr>
        <w:t>（7）与本标段的监理人或代建人或招标代理机构互相控股或参股的；</w:t>
      </w:r>
    </w:p>
    <w:p>
      <w:pPr>
        <w:pStyle w:val="99"/>
        <w:spacing w:line="480" w:lineRule="auto"/>
        <w:rPr>
          <w:rFonts w:ascii="宋体" w:hAnsi="宋体" w:eastAsia="宋体"/>
          <w:color w:val="auto"/>
          <w:sz w:val="21"/>
          <w:szCs w:val="21"/>
        </w:rPr>
      </w:pPr>
      <w:r>
        <w:rPr>
          <w:rFonts w:hint="eastAsia" w:ascii="宋体" w:hAnsi="宋体" w:eastAsia="宋体"/>
          <w:color w:val="auto"/>
          <w:sz w:val="21"/>
          <w:szCs w:val="21"/>
        </w:rPr>
        <w:t>（8）与本标段的监理人或代建人或招标代理机构相互任职或工作的；</w:t>
      </w:r>
    </w:p>
    <w:p>
      <w:pPr>
        <w:pStyle w:val="99"/>
        <w:spacing w:line="480" w:lineRule="auto"/>
        <w:rPr>
          <w:rFonts w:ascii="宋体" w:hAnsi="宋体" w:eastAsia="宋体"/>
          <w:color w:val="auto"/>
          <w:sz w:val="21"/>
          <w:szCs w:val="21"/>
        </w:rPr>
      </w:pPr>
      <w:r>
        <w:rPr>
          <w:rFonts w:hint="eastAsia" w:ascii="宋体" w:hAnsi="宋体" w:eastAsia="宋体"/>
          <w:color w:val="auto"/>
          <w:sz w:val="21"/>
          <w:szCs w:val="21"/>
        </w:rPr>
        <w:t>（9）与本标段的检测机构有隶属关系或者其他利害关系；</w:t>
      </w:r>
    </w:p>
    <w:p>
      <w:pPr>
        <w:pStyle w:val="99"/>
        <w:spacing w:line="480" w:lineRule="auto"/>
        <w:rPr>
          <w:rFonts w:ascii="宋体" w:hAnsi="宋体" w:eastAsia="宋体"/>
          <w:color w:val="auto"/>
          <w:sz w:val="21"/>
          <w:szCs w:val="21"/>
        </w:rPr>
      </w:pPr>
      <w:r>
        <w:rPr>
          <w:rFonts w:hint="eastAsia" w:ascii="宋体" w:hAnsi="宋体" w:eastAsia="宋体"/>
          <w:color w:val="auto"/>
          <w:sz w:val="21"/>
          <w:szCs w:val="21"/>
        </w:rPr>
        <w:t>（10）与招标人存在利害关系且可能影响招标公正性；</w:t>
      </w:r>
      <w:r>
        <w:rPr>
          <w:rFonts w:ascii="宋体" w:hAnsi="宋体" w:eastAsia="宋体"/>
          <w:color w:val="auto"/>
          <w:sz w:val="21"/>
          <w:szCs w:val="21"/>
        </w:rPr>
        <w:t xml:space="preserve"> </w:t>
      </w:r>
    </w:p>
    <w:p>
      <w:pPr>
        <w:pStyle w:val="99"/>
        <w:spacing w:line="480" w:lineRule="auto"/>
        <w:rPr>
          <w:rFonts w:ascii="宋体" w:hAnsi="宋体" w:eastAsia="宋体"/>
          <w:color w:val="auto"/>
          <w:sz w:val="21"/>
          <w:szCs w:val="21"/>
        </w:rPr>
      </w:pPr>
      <w:r>
        <w:rPr>
          <w:rFonts w:hint="eastAsia" w:ascii="宋体" w:hAnsi="宋体" w:eastAsia="宋体"/>
          <w:color w:val="auto"/>
          <w:sz w:val="21"/>
          <w:szCs w:val="21"/>
        </w:rPr>
        <w:t xml:space="preserve">（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99"/>
        <w:spacing w:line="480" w:lineRule="auto"/>
        <w:rPr>
          <w:rFonts w:ascii="宋体" w:hAnsi="宋体" w:eastAsia="宋体"/>
          <w:color w:val="auto"/>
          <w:sz w:val="21"/>
          <w:szCs w:val="21"/>
        </w:rPr>
      </w:pPr>
      <w:r>
        <w:rPr>
          <w:rFonts w:hint="eastAsia" w:ascii="宋体" w:hAnsi="宋体" w:eastAsia="宋体"/>
          <w:color w:val="auto"/>
          <w:sz w:val="21"/>
          <w:szCs w:val="21"/>
        </w:rPr>
        <w:t>（12）被责令停产停业、暂扣或者吊销许可证、暂扣或者吊销执照的；（本项事实应当以根据《中华人民共和国行政处罚法》依法作出并已经生效的行政处罚决定为认定依据。）</w:t>
      </w:r>
    </w:p>
    <w:p>
      <w:pPr>
        <w:pStyle w:val="99"/>
        <w:spacing w:line="480" w:lineRule="auto"/>
        <w:rPr>
          <w:rFonts w:ascii="宋体" w:hAnsi="宋体" w:eastAsia="宋体"/>
          <w:color w:val="auto"/>
          <w:sz w:val="21"/>
          <w:szCs w:val="21"/>
        </w:rPr>
      </w:pPr>
      <w:r>
        <w:rPr>
          <w:rFonts w:hint="eastAsia" w:ascii="宋体" w:hAnsi="宋体" w:eastAsia="宋体"/>
          <w:color w:val="auto"/>
          <w:sz w:val="21"/>
          <w:szCs w:val="21"/>
        </w:rPr>
        <w:t>（13）进入清算程序，或被宣布破产，或其他丧失履约能力的情形；</w:t>
      </w:r>
    </w:p>
    <w:p>
      <w:pPr>
        <w:pStyle w:val="99"/>
        <w:spacing w:line="480" w:lineRule="auto"/>
        <w:rPr>
          <w:rFonts w:ascii="宋体" w:hAnsi="宋体" w:eastAsia="宋体"/>
          <w:color w:val="auto"/>
          <w:sz w:val="21"/>
          <w:szCs w:val="21"/>
        </w:rPr>
      </w:pPr>
      <w:r>
        <w:rPr>
          <w:rFonts w:hint="eastAsia" w:ascii="宋体" w:hAnsi="宋体" w:eastAsia="宋体"/>
          <w:color w:val="auto"/>
          <w:sz w:val="21"/>
          <w:szCs w:val="21"/>
        </w:rPr>
        <w:t>（14）在最近三年内有骗取中标或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99"/>
        <w:spacing w:line="480" w:lineRule="auto"/>
        <w:rPr>
          <w:rFonts w:ascii="宋体" w:hAnsi="宋体" w:eastAsia="宋体"/>
          <w:color w:val="auto"/>
          <w:sz w:val="21"/>
          <w:szCs w:val="21"/>
        </w:rPr>
      </w:pPr>
      <w:r>
        <w:rPr>
          <w:rFonts w:hint="eastAsia" w:ascii="宋体" w:hAnsi="宋体" w:eastAsia="宋体"/>
          <w:color w:val="auto"/>
          <w:sz w:val="21"/>
          <w:szCs w:val="21"/>
        </w:rPr>
        <w:t>（15）法律法规规定的其他情形。</w:t>
      </w:r>
    </w:p>
    <w:p>
      <w:pPr>
        <w:pStyle w:val="99"/>
        <w:numPr>
          <w:ilvl w:val="0"/>
          <w:numId w:val="5"/>
        </w:numPr>
        <w:spacing w:line="480" w:lineRule="auto"/>
        <w:rPr>
          <w:rFonts w:ascii="宋体" w:hAnsi="宋体" w:eastAsia="宋体"/>
          <w:color w:val="auto"/>
          <w:sz w:val="21"/>
          <w:szCs w:val="21"/>
        </w:rPr>
      </w:pPr>
      <w:r>
        <w:rPr>
          <w:rFonts w:hint="eastAsia" w:ascii="宋体" w:hAnsi="宋体" w:eastAsia="宋体"/>
          <w:color w:val="auto"/>
          <w:sz w:val="21"/>
          <w:szCs w:val="21"/>
        </w:rPr>
        <w:t>本公司保证：本项目拟派的项目负责人没有在其他在建项目中任施工单位项目负责人，本项目拟派的专职安全员没有在其他在建项目中任职。</w:t>
      </w:r>
    </w:p>
    <w:p>
      <w:pPr>
        <w:pStyle w:val="99"/>
        <w:numPr>
          <w:ilvl w:val="0"/>
          <w:numId w:val="5"/>
        </w:numPr>
        <w:spacing w:line="480" w:lineRule="auto"/>
        <w:rPr>
          <w:rFonts w:ascii="宋体" w:hAnsi="宋体" w:eastAsia="宋体"/>
          <w:color w:val="auto"/>
          <w:sz w:val="21"/>
          <w:szCs w:val="21"/>
        </w:rPr>
      </w:pPr>
      <w:r>
        <w:rPr>
          <w:rFonts w:hint="eastAsia" w:ascii="宋体" w:hAnsi="宋体" w:eastAsia="宋体"/>
          <w:color w:val="auto"/>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99"/>
        <w:spacing w:line="480" w:lineRule="auto"/>
        <w:rPr>
          <w:rFonts w:ascii="宋体" w:hAnsi="宋体" w:eastAsia="宋体"/>
          <w:color w:val="auto"/>
          <w:sz w:val="21"/>
          <w:szCs w:val="21"/>
        </w:rPr>
      </w:pPr>
      <w:r>
        <w:rPr>
          <w:rFonts w:hint="eastAsia" w:ascii="宋体" w:hAnsi="宋体" w:eastAsia="宋体"/>
          <w:color w:val="auto"/>
          <w:sz w:val="21"/>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99"/>
        <w:spacing w:line="480" w:lineRule="auto"/>
        <w:rPr>
          <w:rFonts w:ascii="宋体" w:hAnsi="宋体" w:eastAsia="宋体"/>
          <w:color w:val="auto"/>
          <w:sz w:val="21"/>
          <w:szCs w:val="21"/>
        </w:rPr>
      </w:pPr>
      <w:r>
        <w:rPr>
          <w:rFonts w:hint="eastAsia" w:ascii="宋体" w:hAnsi="宋体" w:eastAsia="宋体"/>
          <w:color w:val="auto"/>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w:t>
      </w:r>
    </w:p>
    <w:p>
      <w:pPr>
        <w:pStyle w:val="99"/>
        <w:spacing w:line="480" w:lineRule="auto"/>
        <w:rPr>
          <w:rFonts w:ascii="宋体" w:hAnsi="宋体" w:eastAsia="宋体"/>
          <w:color w:val="auto"/>
          <w:sz w:val="21"/>
          <w:szCs w:val="21"/>
        </w:rPr>
      </w:pPr>
      <w:r>
        <w:rPr>
          <w:rFonts w:hint="eastAsia" w:ascii="宋体" w:hAnsi="宋体" w:eastAsia="宋体"/>
          <w:color w:val="auto"/>
          <w:sz w:val="21"/>
          <w:szCs w:val="21"/>
        </w:rPr>
        <w:t>八、与本公司单位负责人为同一人或者与本公司存在控股、管理关系的其他单位包括：</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。（注：本条由投标人如实填写，如有，应列出全部满足招标公告资质要求的相关单位的名称；如无，则填写“无”。）</w:t>
      </w:r>
    </w:p>
    <w:p>
      <w:pPr>
        <w:pStyle w:val="99"/>
        <w:spacing w:line="480" w:lineRule="auto"/>
        <w:rPr>
          <w:rFonts w:ascii="宋体" w:hAnsi="宋体" w:eastAsia="宋体"/>
          <w:color w:val="auto"/>
          <w:sz w:val="21"/>
          <w:szCs w:val="21"/>
        </w:rPr>
      </w:pPr>
      <w:r>
        <w:rPr>
          <w:rFonts w:hint="eastAsia" w:ascii="宋体" w:hAnsi="宋体" w:eastAsia="宋体"/>
          <w:color w:val="auto"/>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99"/>
        <w:spacing w:line="480" w:lineRule="auto"/>
        <w:ind w:firstLine="420" w:firstLineChars="200"/>
        <w:rPr>
          <w:rFonts w:ascii="宋体" w:hAnsi="宋体" w:eastAsia="宋体"/>
          <w:color w:val="auto"/>
          <w:sz w:val="21"/>
          <w:szCs w:val="21"/>
        </w:rPr>
      </w:pPr>
      <w:r>
        <w:rPr>
          <w:rFonts w:hint="eastAsia" w:ascii="宋体" w:hAnsi="宋体" w:eastAsia="宋体"/>
          <w:color w:val="auto"/>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99"/>
        <w:spacing w:line="480" w:lineRule="auto"/>
        <w:jc w:val="left"/>
        <w:rPr>
          <w:rFonts w:ascii="宋体" w:hAnsi="宋体" w:eastAsia="宋体"/>
          <w:color w:val="auto"/>
          <w:sz w:val="21"/>
          <w:szCs w:val="21"/>
        </w:rPr>
      </w:pPr>
      <w:r>
        <w:rPr>
          <w:rFonts w:hint="eastAsia" w:ascii="宋体" w:hAnsi="宋体" w:eastAsia="宋体"/>
          <w:color w:val="auto"/>
          <w:sz w:val="21"/>
          <w:szCs w:val="21"/>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99"/>
        <w:rPr>
          <w:rFonts w:ascii="宋体" w:hAnsi="宋体" w:eastAsia="宋体"/>
          <w:color w:val="auto"/>
          <w:sz w:val="21"/>
          <w:szCs w:val="21"/>
        </w:rPr>
      </w:pPr>
      <w:r>
        <w:rPr>
          <w:rFonts w:hint="eastAsia" w:ascii="宋体" w:hAnsi="宋体" w:eastAsia="宋体"/>
          <w:color w:val="auto"/>
          <w:sz w:val="21"/>
          <w:szCs w:val="21"/>
        </w:rPr>
        <w:t>特此声明</w:t>
      </w:r>
    </w:p>
    <w:p>
      <w:pPr>
        <w:pStyle w:val="101"/>
        <w:ind w:left="629" w:right="1449"/>
        <w:jc w:val="both"/>
        <w:rPr>
          <w:rFonts w:ascii="宋体" w:hAnsi="宋体" w:eastAsia="宋体"/>
          <w:color w:val="auto"/>
          <w:sz w:val="21"/>
          <w:szCs w:val="21"/>
        </w:rPr>
      </w:pPr>
      <w:r>
        <w:rPr>
          <w:rFonts w:hint="eastAsia" w:ascii="宋体" w:hAnsi="宋体" w:eastAsia="宋体"/>
          <w:color w:val="auto"/>
          <w:sz w:val="21"/>
          <w:szCs w:val="21"/>
        </w:rPr>
        <w:t xml:space="preserve">   </w:t>
      </w:r>
      <w:r>
        <w:rPr>
          <w:rFonts w:ascii="宋体" w:hAnsi="宋体" w:eastAsia="宋体"/>
          <w:color w:val="auto"/>
          <w:sz w:val="21"/>
          <w:szCs w:val="21"/>
        </w:rPr>
        <w:t xml:space="preserve">          </w:t>
      </w:r>
      <w:r>
        <w:rPr>
          <w:rFonts w:hint="eastAsia" w:ascii="宋体" w:hAnsi="宋体" w:eastAsia="宋体"/>
          <w:color w:val="auto"/>
          <w:sz w:val="21"/>
          <w:szCs w:val="21"/>
        </w:rPr>
        <w:t xml:space="preserve">            声明企业：</w:t>
      </w:r>
    </w:p>
    <w:p>
      <w:pPr>
        <w:pStyle w:val="99"/>
        <w:ind w:right="1179" w:firstLine="0"/>
        <w:rPr>
          <w:rFonts w:ascii="宋体" w:hAnsi="宋体" w:eastAsia="宋体"/>
          <w:color w:val="auto"/>
          <w:sz w:val="21"/>
          <w:szCs w:val="21"/>
        </w:rPr>
      </w:pPr>
      <w:r>
        <w:rPr>
          <w:rFonts w:hint="eastAsia" w:ascii="宋体" w:hAnsi="宋体" w:eastAsia="宋体"/>
          <w:color w:val="auto"/>
          <w:sz w:val="21"/>
          <w:szCs w:val="21"/>
        </w:rPr>
        <w:t xml:space="preserve">                             法定代表人</w:t>
      </w:r>
      <w:r>
        <w:rPr>
          <w:rFonts w:hint="eastAsia" w:ascii="宋体" w:hAnsi="宋体" w:eastAsia="宋体"/>
          <w:b/>
          <w:bCs/>
          <w:color w:val="auto"/>
          <w:sz w:val="21"/>
          <w:szCs w:val="21"/>
        </w:rPr>
        <w:t>签字</w:t>
      </w:r>
      <w:r>
        <w:rPr>
          <w:rFonts w:hint="eastAsia" w:ascii="宋体" w:hAnsi="宋体" w:eastAsia="宋体"/>
          <w:color w:val="auto"/>
          <w:sz w:val="21"/>
          <w:szCs w:val="21"/>
        </w:rPr>
        <w:t>：</w:t>
      </w:r>
    </w:p>
    <w:p>
      <w:pPr>
        <w:pStyle w:val="99"/>
        <w:ind w:right="1179" w:firstLine="0"/>
        <w:rPr>
          <w:rFonts w:ascii="宋体" w:hAnsi="宋体" w:eastAsia="宋体"/>
          <w:color w:val="auto"/>
          <w:sz w:val="21"/>
          <w:szCs w:val="21"/>
        </w:rPr>
      </w:pPr>
      <w:r>
        <w:rPr>
          <w:rFonts w:hint="eastAsia" w:ascii="宋体" w:hAnsi="宋体" w:eastAsia="宋体"/>
          <w:color w:val="auto"/>
          <w:sz w:val="21"/>
          <w:szCs w:val="21"/>
        </w:rPr>
        <w:t xml:space="preserve">                             项目负责人</w:t>
      </w:r>
      <w:r>
        <w:rPr>
          <w:rFonts w:hint="eastAsia" w:ascii="宋体" w:hAnsi="宋体" w:eastAsia="宋体"/>
          <w:b/>
          <w:bCs/>
          <w:color w:val="auto"/>
          <w:sz w:val="21"/>
          <w:szCs w:val="21"/>
        </w:rPr>
        <w:t>签字</w:t>
      </w:r>
      <w:r>
        <w:rPr>
          <w:rFonts w:hint="eastAsia" w:ascii="宋体" w:hAnsi="宋体" w:eastAsia="宋体"/>
          <w:color w:val="auto"/>
          <w:sz w:val="21"/>
          <w:szCs w:val="21"/>
        </w:rPr>
        <w:t>:</w:t>
      </w:r>
    </w:p>
    <w:p>
      <w:pPr>
        <w:pStyle w:val="99"/>
        <w:ind w:right="879" w:firstLine="1890" w:firstLineChars="900"/>
        <w:jc w:val="left"/>
        <w:rPr>
          <w:rFonts w:ascii="宋体" w:hAnsi="宋体" w:eastAsia="宋体"/>
          <w:color w:val="auto"/>
          <w:sz w:val="21"/>
          <w:szCs w:val="21"/>
        </w:rPr>
      </w:pPr>
      <w:r>
        <w:rPr>
          <w:rFonts w:hint="eastAsia" w:ascii="宋体" w:hAnsi="宋体" w:eastAsia="宋体"/>
          <w:color w:val="auto"/>
          <w:sz w:val="21"/>
          <w:szCs w:val="21"/>
        </w:rPr>
        <w:t xml:space="preserve">           技术负责人</w:t>
      </w:r>
      <w:r>
        <w:rPr>
          <w:rFonts w:hint="eastAsia" w:ascii="宋体" w:hAnsi="宋体" w:eastAsia="宋体"/>
          <w:b/>
          <w:bCs/>
          <w:color w:val="auto"/>
          <w:sz w:val="21"/>
          <w:szCs w:val="21"/>
        </w:rPr>
        <w:t>签字</w:t>
      </w:r>
      <w:r>
        <w:rPr>
          <w:rFonts w:hint="eastAsia" w:ascii="宋体" w:hAnsi="宋体" w:eastAsia="宋体"/>
          <w:color w:val="auto"/>
          <w:sz w:val="21"/>
          <w:szCs w:val="21"/>
        </w:rPr>
        <w:t>：</w:t>
      </w:r>
    </w:p>
    <w:p>
      <w:pPr>
        <w:pStyle w:val="99"/>
        <w:ind w:right="879" w:firstLine="1890" w:firstLineChars="900"/>
        <w:jc w:val="right"/>
        <w:rPr>
          <w:rFonts w:ascii="宋体" w:hAnsi="宋体" w:eastAsia="宋体"/>
          <w:color w:val="auto"/>
          <w:sz w:val="21"/>
          <w:szCs w:val="21"/>
        </w:rPr>
      </w:pPr>
      <w:r>
        <w:rPr>
          <w:rFonts w:hint="eastAsia" w:ascii="宋体" w:hAnsi="宋体" w:eastAsia="宋体"/>
          <w:color w:val="auto"/>
          <w:sz w:val="21"/>
          <w:szCs w:val="21"/>
        </w:rPr>
        <w:t>年</w:t>
      </w:r>
      <w:r>
        <w:rPr>
          <w:rFonts w:ascii="宋体" w:hAnsi="宋体" w:eastAsia="宋体"/>
          <w:color w:val="auto"/>
          <w:sz w:val="21"/>
          <w:szCs w:val="21"/>
        </w:rPr>
        <w:t xml:space="preserve">   </w:t>
      </w:r>
      <w:r>
        <w:rPr>
          <w:rFonts w:hint="eastAsia" w:ascii="宋体" w:hAnsi="宋体" w:eastAsia="宋体"/>
          <w:color w:val="auto"/>
          <w:sz w:val="21"/>
          <w:szCs w:val="21"/>
        </w:rPr>
        <w:t>月</w:t>
      </w:r>
      <w:r>
        <w:rPr>
          <w:rFonts w:ascii="宋体" w:hAnsi="宋体" w:eastAsia="宋体"/>
          <w:color w:val="auto"/>
          <w:sz w:val="21"/>
          <w:szCs w:val="21"/>
        </w:rPr>
        <w:t xml:space="preserve">   </w:t>
      </w:r>
      <w:r>
        <w:rPr>
          <w:rFonts w:hint="eastAsia" w:ascii="宋体" w:hAnsi="宋体" w:eastAsia="宋体"/>
          <w:color w:val="auto"/>
          <w:sz w:val="21"/>
          <w:szCs w:val="21"/>
        </w:rPr>
        <w:t>日</w:t>
      </w:r>
    </w:p>
    <w:p>
      <w:pPr>
        <w:spacing w:line="360" w:lineRule="auto"/>
        <w:rPr>
          <w:rFonts w:ascii="宋体"/>
          <w:szCs w:val="21"/>
        </w:rPr>
      </w:pPr>
      <w:r>
        <w:rPr>
          <w:rFonts w:hint="eastAsia" w:ascii="宋体" w:hAnsi="宋体"/>
          <w:szCs w:val="21"/>
        </w:rPr>
        <w:t xml:space="preserve">                                                       </w:t>
      </w:r>
      <w:r>
        <w:rPr>
          <w:rFonts w:hint="eastAsia" w:ascii="宋体" w:hAnsi="宋体"/>
          <w:kern w:val="0"/>
          <w:szCs w:val="21"/>
        </w:rPr>
        <w:t>（企业公章）</w:t>
      </w:r>
    </w:p>
    <w:p>
      <w:pPr>
        <w:widowControl/>
        <w:snapToGrid w:val="0"/>
        <w:spacing w:line="480" w:lineRule="auto"/>
        <w:ind w:right="102"/>
        <w:jc w:val="left"/>
        <w:rPr>
          <w:rFonts w:ascii="宋体" w:hAnsi="宋体"/>
          <w:b/>
          <w:bCs/>
          <w:sz w:val="30"/>
          <w:szCs w:val="30"/>
        </w:rPr>
      </w:pPr>
    </w:p>
    <w:p>
      <w:pPr>
        <w:widowControl/>
        <w:snapToGrid w:val="0"/>
        <w:spacing w:line="480" w:lineRule="auto"/>
        <w:ind w:right="102"/>
        <w:jc w:val="left"/>
        <w:rPr>
          <w:rFonts w:ascii="宋体" w:hAnsi="宋体"/>
          <w:b/>
          <w:bCs/>
          <w:sz w:val="28"/>
          <w:szCs w:val="30"/>
        </w:rPr>
      </w:pPr>
      <w:r>
        <w:rPr>
          <w:rFonts w:hint="eastAsia" w:ascii="宋体" w:hAnsi="宋体"/>
          <w:b/>
          <w:bCs/>
          <w:sz w:val="28"/>
          <w:szCs w:val="30"/>
        </w:rPr>
        <w:t>注：招标人应当要求投标人的法定代表人、项目负责人和技术负责人签字。</w:t>
      </w:r>
    </w:p>
    <w:p>
      <w:pPr>
        <w:widowControl/>
        <w:jc w:val="left"/>
        <w:rPr>
          <w:rFonts w:ascii="宋体" w:hAnsi="宋体"/>
          <w:szCs w:val="21"/>
        </w:rPr>
      </w:pPr>
      <w:r>
        <w:rPr>
          <w:rFonts w:ascii="宋体" w:hAnsi="宋体"/>
          <w:szCs w:val="21"/>
        </w:rPr>
        <w:br w:type="page"/>
      </w:r>
    </w:p>
    <w:tbl>
      <w:tblPr>
        <w:tblStyle w:val="36"/>
        <w:tblW w:w="5000" w:type="pct"/>
        <w:tblInd w:w="0" w:type="dxa"/>
        <w:tblLayout w:type="autofit"/>
        <w:tblCellMar>
          <w:top w:w="0" w:type="dxa"/>
          <w:left w:w="108" w:type="dxa"/>
          <w:bottom w:w="0" w:type="dxa"/>
          <w:right w:w="108" w:type="dxa"/>
        </w:tblCellMar>
      </w:tblPr>
      <w:tblGrid>
        <w:gridCol w:w="427"/>
        <w:gridCol w:w="1173"/>
        <w:gridCol w:w="3366"/>
        <w:gridCol w:w="1654"/>
        <w:gridCol w:w="2666"/>
      </w:tblGrid>
      <w:tr>
        <w:tblPrEx>
          <w:tblCellMar>
            <w:top w:w="0" w:type="dxa"/>
            <w:left w:w="108" w:type="dxa"/>
            <w:bottom w:w="0" w:type="dxa"/>
            <w:right w:w="108" w:type="dxa"/>
          </w:tblCellMar>
        </w:tblPrEx>
        <w:trPr>
          <w:trHeight w:val="420" w:hRule="atLeast"/>
        </w:trPr>
        <w:tc>
          <w:tcPr>
            <w:tcW w:w="5000" w:type="pct"/>
            <w:gridSpan w:val="5"/>
            <w:tcBorders>
              <w:top w:val="nil"/>
              <w:left w:val="nil"/>
              <w:bottom w:val="nil"/>
              <w:right w:val="nil"/>
            </w:tcBorders>
            <w:shd w:val="clear" w:color="auto" w:fill="auto"/>
            <w:noWrap/>
            <w:vAlign w:val="center"/>
          </w:tcPr>
          <w:p>
            <w:pPr>
              <w:widowControl/>
              <w:jc w:val="left"/>
              <w:textAlignment w:val="center"/>
              <w:rPr>
                <w:rFonts w:ascii="黑体" w:hAnsi="宋体" w:eastAsia="黑体" w:cs="黑体"/>
                <w:szCs w:val="21"/>
              </w:rPr>
            </w:pPr>
            <w:r>
              <w:rPr>
                <w:rFonts w:hint="eastAsia" w:ascii="黑体" w:hAnsi="宋体" w:eastAsia="黑体" w:cs="黑体"/>
                <w:kern w:val="0"/>
                <w:szCs w:val="21"/>
                <w:lang w:bidi="ar"/>
              </w:rPr>
              <w:t>附件二</w:t>
            </w:r>
          </w:p>
        </w:tc>
      </w:tr>
      <w:tr>
        <w:tblPrEx>
          <w:tblCellMar>
            <w:top w:w="0" w:type="dxa"/>
            <w:left w:w="108" w:type="dxa"/>
            <w:bottom w:w="0" w:type="dxa"/>
            <w:right w:w="108" w:type="dxa"/>
          </w:tblCellMar>
        </w:tblPrEx>
        <w:trPr>
          <w:trHeight w:val="1160" w:hRule="atLeast"/>
        </w:trPr>
        <w:tc>
          <w:tcPr>
            <w:tcW w:w="5000" w:type="pct"/>
            <w:gridSpan w:val="5"/>
            <w:tcBorders>
              <w:top w:val="nil"/>
              <w:left w:val="nil"/>
              <w:bottom w:val="single" w:color="000000" w:sz="4" w:space="0"/>
              <w:right w:val="nil"/>
            </w:tcBorders>
            <w:shd w:val="clear" w:color="auto" w:fill="auto"/>
            <w:noWrap/>
            <w:vAlign w:val="center"/>
          </w:tcPr>
          <w:p>
            <w:pPr>
              <w:widowControl/>
              <w:jc w:val="center"/>
              <w:textAlignment w:val="center"/>
              <w:rPr>
                <w:rFonts w:ascii="方正大标宋简体" w:hAnsi="方正大标宋简体" w:eastAsia="方正大标宋简体" w:cs="方正大标宋简体"/>
                <w:b/>
                <w:bCs/>
                <w:szCs w:val="21"/>
              </w:rPr>
            </w:pPr>
            <w:r>
              <w:rPr>
                <w:rFonts w:ascii="方正大标宋简体" w:hAnsi="方正大标宋简体" w:eastAsia="方正大标宋简体" w:cs="方正大标宋简体"/>
                <w:b/>
                <w:bCs/>
                <w:kern w:val="0"/>
                <w:sz w:val="28"/>
                <w:szCs w:val="28"/>
                <w:lang w:bidi="ar"/>
              </w:rPr>
              <w:t>施工项目管理团队人员信息表</w:t>
            </w:r>
          </w:p>
        </w:tc>
      </w:tr>
      <w:tr>
        <w:tblPrEx>
          <w:tblCellMar>
            <w:top w:w="0" w:type="dxa"/>
            <w:left w:w="108" w:type="dxa"/>
            <w:bottom w:w="0" w:type="dxa"/>
            <w:right w:w="108" w:type="dxa"/>
          </w:tblCellMar>
        </w:tblPrEx>
        <w:trPr>
          <w:trHeight w:val="97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序号</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姓名</w:t>
            </w: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岗位</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职称</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职称证书或资格证书编号</w:t>
            </w:r>
          </w:p>
        </w:tc>
      </w:tr>
      <w:tr>
        <w:tblPrEx>
          <w:tblCellMar>
            <w:top w:w="0" w:type="dxa"/>
            <w:left w:w="108" w:type="dxa"/>
            <w:bottom w:w="0" w:type="dxa"/>
            <w:right w:w="108" w:type="dxa"/>
          </w:tblCellMar>
        </w:tblPrEx>
        <w:trPr>
          <w:trHeight w:val="55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Cs w:val="21"/>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3"/>
              <w:ind w:firstLine="0" w:firstLineChars="0"/>
              <w:outlineLvl w:val="3"/>
              <w:rPr>
                <w:rFonts w:ascii="宋体" w:hAnsi="宋体" w:cs="宋体"/>
                <w:szCs w:val="21"/>
              </w:rPr>
            </w:pPr>
            <w:r>
              <w:rPr>
                <w:rFonts w:hint="eastAsia" w:hAnsi="宋体"/>
                <w:szCs w:val="21"/>
              </w:rPr>
              <w:t>指挥长</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Cs w:val="21"/>
              </w:rPr>
            </w:pPr>
          </w:p>
        </w:tc>
        <w:tc>
          <w:tcPr>
            <w:tcW w:w="1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Cs w:val="21"/>
              </w:rPr>
            </w:pPr>
          </w:p>
        </w:tc>
      </w:tr>
      <w:tr>
        <w:tblPrEx>
          <w:tblCellMar>
            <w:top w:w="0" w:type="dxa"/>
            <w:left w:w="108" w:type="dxa"/>
            <w:bottom w:w="0" w:type="dxa"/>
            <w:right w:w="108" w:type="dxa"/>
          </w:tblCellMar>
        </w:tblPrEx>
        <w:trPr>
          <w:trHeight w:val="55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2</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Cs w:val="21"/>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3"/>
              <w:ind w:firstLine="0" w:firstLineChars="0"/>
              <w:outlineLvl w:val="3"/>
              <w:rPr>
                <w:rFonts w:hAnsi="宋体"/>
                <w:szCs w:val="21"/>
              </w:rPr>
            </w:pPr>
            <w:r>
              <w:rPr>
                <w:rFonts w:hAnsi="宋体"/>
                <w:szCs w:val="21"/>
              </w:rPr>
              <w:t>项目总工程师</w:t>
            </w:r>
            <w:r>
              <w:rPr>
                <w:rFonts w:hint="eastAsia" w:hAnsi="宋体"/>
                <w:szCs w:val="21"/>
              </w:rPr>
              <w:t>（项目技术负责人）</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Cs w:val="21"/>
              </w:rPr>
            </w:pPr>
          </w:p>
        </w:tc>
        <w:tc>
          <w:tcPr>
            <w:tcW w:w="1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Cs w:val="21"/>
              </w:rPr>
            </w:pPr>
          </w:p>
        </w:tc>
      </w:tr>
      <w:tr>
        <w:tblPrEx>
          <w:tblCellMar>
            <w:top w:w="0" w:type="dxa"/>
            <w:left w:w="108" w:type="dxa"/>
            <w:bottom w:w="0" w:type="dxa"/>
            <w:right w:w="108" w:type="dxa"/>
          </w:tblCellMar>
        </w:tblPrEx>
        <w:trPr>
          <w:trHeight w:val="55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3</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Cs w:val="21"/>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left" w:pos="8712"/>
              </w:tabs>
              <w:adjustRightInd w:val="0"/>
              <w:snapToGrid w:val="0"/>
              <w:rPr>
                <w:rFonts w:ascii="宋体" w:hAnsi="宋体" w:cs="宋体"/>
                <w:szCs w:val="21"/>
              </w:rPr>
            </w:pPr>
            <w:r>
              <w:rPr>
                <w:rFonts w:hAnsi="宋体"/>
                <w:szCs w:val="21"/>
              </w:rPr>
              <w:t>商务经理（造价负责人）</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Cs w:val="21"/>
              </w:rPr>
            </w:pPr>
          </w:p>
        </w:tc>
        <w:tc>
          <w:tcPr>
            <w:tcW w:w="1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Cs w:val="21"/>
              </w:rPr>
            </w:pPr>
          </w:p>
        </w:tc>
      </w:tr>
      <w:tr>
        <w:tblPrEx>
          <w:tblCellMar>
            <w:top w:w="0" w:type="dxa"/>
            <w:left w:w="108" w:type="dxa"/>
            <w:bottom w:w="0" w:type="dxa"/>
            <w:right w:w="108" w:type="dxa"/>
          </w:tblCellMar>
        </w:tblPrEx>
        <w:trPr>
          <w:trHeight w:val="90"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4</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Cs w:val="21"/>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3"/>
              <w:ind w:firstLine="0" w:firstLineChars="0"/>
              <w:outlineLvl w:val="3"/>
              <w:rPr>
                <w:rFonts w:ascii="宋体" w:hAnsi="宋体" w:cs="宋体"/>
                <w:szCs w:val="21"/>
              </w:rPr>
            </w:pPr>
            <w:r>
              <w:rPr>
                <w:rFonts w:hAnsi="宋体"/>
                <w:szCs w:val="21"/>
              </w:rPr>
              <w:t>质量经理（质量负责人）</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Cs w:val="21"/>
              </w:rPr>
            </w:pPr>
          </w:p>
        </w:tc>
        <w:tc>
          <w:tcPr>
            <w:tcW w:w="1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Cs w:val="21"/>
              </w:rPr>
            </w:pPr>
          </w:p>
        </w:tc>
      </w:tr>
      <w:tr>
        <w:tblPrEx>
          <w:tblCellMar>
            <w:top w:w="0" w:type="dxa"/>
            <w:left w:w="108" w:type="dxa"/>
            <w:bottom w:w="0" w:type="dxa"/>
            <w:right w:w="108" w:type="dxa"/>
          </w:tblCellMar>
        </w:tblPrEx>
        <w:trPr>
          <w:trHeight w:val="55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5</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Cs w:val="21"/>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13"/>
              <w:ind w:firstLine="0" w:firstLineChars="0"/>
              <w:outlineLvl w:val="3"/>
              <w:rPr>
                <w:rFonts w:ascii="宋体" w:hAnsi="宋体" w:cs="宋体"/>
                <w:szCs w:val="21"/>
              </w:rPr>
            </w:pPr>
            <w:r>
              <w:rPr>
                <w:rFonts w:hAnsi="宋体"/>
                <w:szCs w:val="21"/>
              </w:rPr>
              <w:t>安全经理</w:t>
            </w:r>
            <w:r>
              <w:rPr>
                <w:rFonts w:hint="eastAsia" w:hAnsi="宋体"/>
                <w:szCs w:val="21"/>
              </w:rPr>
              <w:t>（安全负责人）</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Cs w:val="21"/>
              </w:rPr>
            </w:pPr>
          </w:p>
        </w:tc>
        <w:tc>
          <w:tcPr>
            <w:tcW w:w="1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Cs w:val="21"/>
              </w:rPr>
            </w:pPr>
          </w:p>
        </w:tc>
      </w:tr>
      <w:tr>
        <w:tblPrEx>
          <w:tblCellMar>
            <w:top w:w="0" w:type="dxa"/>
            <w:left w:w="108" w:type="dxa"/>
            <w:bottom w:w="0" w:type="dxa"/>
            <w:right w:w="108" w:type="dxa"/>
          </w:tblCellMar>
        </w:tblPrEx>
        <w:trPr>
          <w:trHeight w:val="55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6</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Cs w:val="21"/>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2"/>
              <w:widowControl w:val="0"/>
              <w:spacing w:beforeAutospacing="0" w:afterAutospacing="0" w:line="360" w:lineRule="auto"/>
              <w:jc w:val="both"/>
              <w:outlineLvl w:val="3"/>
              <w:rPr>
                <w:rFonts w:ascii="仿宋" w:hAnsi="仿宋" w:eastAsia="仿宋" w:cs="仿宋"/>
                <w:kern w:val="2"/>
                <w:sz w:val="21"/>
                <w:szCs w:val="21"/>
              </w:rPr>
            </w:pPr>
            <w:r>
              <w:rPr>
                <w:rFonts w:hint="eastAsia" w:cs="宋体"/>
                <w:kern w:val="2"/>
                <w:sz w:val="21"/>
                <w:szCs w:val="21"/>
                <w:lang w:bidi="ar"/>
              </w:rPr>
              <w:t>……</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Cs w:val="21"/>
              </w:rPr>
            </w:pPr>
          </w:p>
        </w:tc>
        <w:tc>
          <w:tcPr>
            <w:tcW w:w="1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szCs w:val="21"/>
              </w:rPr>
            </w:pPr>
          </w:p>
        </w:tc>
      </w:tr>
      <w:tr>
        <w:tblPrEx>
          <w:tblCellMar>
            <w:top w:w="0" w:type="dxa"/>
            <w:left w:w="108" w:type="dxa"/>
            <w:bottom w:w="0" w:type="dxa"/>
            <w:right w:w="108" w:type="dxa"/>
          </w:tblCellMar>
        </w:tblPrEx>
        <w:trPr>
          <w:trHeight w:val="472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115"/>
                <w:rFonts w:hint="default"/>
                <w:color w:val="auto"/>
                <w:sz w:val="21"/>
                <w:szCs w:val="21"/>
                <w:lang w:bidi="ar"/>
              </w:rPr>
            </w:pPr>
            <w:r>
              <w:rPr>
                <w:rStyle w:val="115"/>
                <w:rFonts w:hint="default"/>
                <w:color w:val="auto"/>
                <w:sz w:val="21"/>
                <w:szCs w:val="21"/>
                <w:lang w:bidi="ar"/>
              </w:rPr>
              <w:t>备注：</w:t>
            </w:r>
            <w:r>
              <w:rPr>
                <w:rStyle w:val="115"/>
                <w:rFonts w:hint="default"/>
                <w:color w:val="auto"/>
                <w:sz w:val="21"/>
                <w:szCs w:val="21"/>
                <w:lang w:bidi="ar"/>
              </w:rPr>
              <w:br w:type="textWrapping"/>
            </w:r>
            <w:r>
              <w:rPr>
                <w:rStyle w:val="115"/>
                <w:rFonts w:hint="default"/>
                <w:color w:val="auto"/>
                <w:sz w:val="21"/>
                <w:szCs w:val="21"/>
                <w:lang w:bidi="ar"/>
              </w:rPr>
              <w:t>1、“岗位”要求</w:t>
            </w:r>
            <w:r>
              <w:rPr>
                <w:rStyle w:val="116"/>
                <w:rFonts w:hint="default"/>
                <w:color w:val="auto"/>
                <w:sz w:val="21"/>
                <w:szCs w:val="21"/>
                <w:lang w:bidi="ar"/>
              </w:rPr>
              <w:t>（除项目负责人和专职安全员外）</w:t>
            </w:r>
            <w:r>
              <w:rPr>
                <w:rStyle w:val="115"/>
                <w:rFonts w:hint="default"/>
                <w:color w:val="auto"/>
                <w:sz w:val="21"/>
                <w:szCs w:val="21"/>
                <w:lang w:bidi="ar"/>
              </w:rPr>
              <w:t>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r>
              <w:rPr>
                <w:rStyle w:val="115"/>
                <w:rFonts w:hint="default"/>
                <w:color w:val="auto"/>
                <w:sz w:val="21"/>
                <w:szCs w:val="21"/>
                <w:lang w:bidi="ar"/>
              </w:rPr>
              <w:br w:type="textWrapping"/>
            </w:r>
            <w:r>
              <w:rPr>
                <w:rStyle w:val="115"/>
                <w:rFonts w:hint="default"/>
                <w:color w:val="auto"/>
                <w:sz w:val="21"/>
                <w:szCs w:val="21"/>
                <w:lang w:bidi="ar"/>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r>
              <w:rPr>
                <w:rStyle w:val="115"/>
                <w:rFonts w:hint="default"/>
                <w:color w:val="auto"/>
                <w:sz w:val="21"/>
                <w:szCs w:val="21"/>
                <w:lang w:bidi="ar"/>
              </w:rPr>
              <w:br w:type="textWrapping"/>
            </w:r>
            <w:r>
              <w:rPr>
                <w:rStyle w:val="115"/>
                <w:rFonts w:hint="default"/>
                <w:color w:val="auto"/>
                <w:sz w:val="21"/>
                <w:szCs w:val="21"/>
                <w:lang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widowControl/>
              <w:jc w:val="left"/>
              <w:textAlignment w:val="center"/>
              <w:rPr>
                <w:rFonts w:ascii="仿宋" w:hAnsi="仿宋" w:eastAsia="仿宋" w:cs="仿宋"/>
                <w:szCs w:val="21"/>
              </w:rPr>
            </w:pPr>
            <w:r>
              <w:rPr>
                <w:rFonts w:hint="eastAsia"/>
                <w:b/>
                <w:bCs/>
              </w:rPr>
              <w:t>4</w:t>
            </w:r>
            <w:r>
              <w:rPr>
                <w:b/>
                <w:bCs/>
              </w:rPr>
              <w:t>、</w:t>
            </w:r>
            <w:r>
              <w:rPr>
                <w:rFonts w:hint="eastAsia"/>
                <w:b/>
                <w:bCs/>
              </w:rPr>
              <w:t>岗位及人数详见招标文件第五章“技术条件”。</w:t>
            </w:r>
          </w:p>
        </w:tc>
      </w:tr>
    </w:tbl>
    <w:p>
      <w:pPr>
        <w:jc w:val="left"/>
        <w:rPr>
          <w:rFonts w:ascii="宋体" w:hAnsi="宋体"/>
          <w:sz w:val="24"/>
        </w:rPr>
      </w:pPr>
      <w:r>
        <w:rPr>
          <w:rFonts w:hint="eastAsia" w:ascii="宋体" w:hAnsi="宋体"/>
          <w:sz w:val="24"/>
        </w:rPr>
        <w:br w:type="page"/>
      </w:r>
    </w:p>
    <w:p>
      <w:pPr>
        <w:spacing w:line="400" w:lineRule="exact"/>
        <w:jc w:val="left"/>
        <w:rPr>
          <w:rFonts w:ascii="宋体" w:hAnsi="宋体"/>
          <w:sz w:val="24"/>
        </w:rPr>
      </w:pPr>
      <w:r>
        <w:rPr>
          <w:rFonts w:hint="eastAsia" w:ascii="宋体" w:hAnsi="宋体"/>
          <w:sz w:val="24"/>
        </w:rPr>
        <w:t>附件三</w:t>
      </w:r>
    </w:p>
    <w:p>
      <w:pPr>
        <w:spacing w:line="400" w:lineRule="exact"/>
        <w:jc w:val="left"/>
        <w:rPr>
          <w:rFonts w:ascii="宋体" w:hAnsi="宋体"/>
          <w:sz w:val="24"/>
        </w:rPr>
      </w:pPr>
    </w:p>
    <w:p>
      <w:pPr>
        <w:spacing w:line="400" w:lineRule="exact"/>
        <w:jc w:val="center"/>
        <w:rPr>
          <w:rFonts w:ascii="宋体" w:hAnsi="宋体"/>
          <w:b/>
          <w:color w:val="000000"/>
          <w:sz w:val="28"/>
          <w:szCs w:val="28"/>
        </w:rPr>
      </w:pPr>
      <w:r>
        <w:rPr>
          <w:rFonts w:hint="eastAsia" w:ascii="宋体" w:hAnsi="宋体"/>
          <w:b/>
          <w:color w:val="000000"/>
          <w:sz w:val="28"/>
          <w:szCs w:val="28"/>
        </w:rPr>
        <w:t>关于拟委派项目负责人承诺书</w:t>
      </w:r>
    </w:p>
    <w:p>
      <w:pPr>
        <w:spacing w:line="400" w:lineRule="exact"/>
        <w:ind w:firstLine="420" w:firstLineChars="200"/>
        <w:rPr>
          <w:rFonts w:ascii="宋体" w:hAnsi="宋体"/>
          <w:color w:val="000000"/>
          <w:szCs w:val="21"/>
        </w:rPr>
      </w:pPr>
    </w:p>
    <w:p>
      <w:pPr>
        <w:spacing w:line="400" w:lineRule="exact"/>
        <w:ind w:firstLine="420" w:firstLineChars="200"/>
        <w:rPr>
          <w:rFonts w:ascii="宋体" w:hAnsi="宋体"/>
          <w:color w:val="000000"/>
          <w:szCs w:val="21"/>
        </w:rPr>
      </w:pPr>
    </w:p>
    <w:p>
      <w:pPr>
        <w:spacing w:line="400" w:lineRule="exact"/>
        <w:ind w:firstLine="420" w:firstLineChars="200"/>
        <w:rPr>
          <w:rFonts w:ascii="宋体" w:hAnsi="宋体"/>
          <w:color w:val="000000"/>
          <w:szCs w:val="21"/>
        </w:rPr>
      </w:pPr>
      <w:r>
        <w:rPr>
          <w:rFonts w:hint="eastAsia" w:ascii="宋体" w:hAnsi="宋体"/>
          <w:color w:val="000000"/>
          <w:szCs w:val="21"/>
        </w:rPr>
        <w:t>我公司承诺拟委派项目负责人没有担任其他尚未竣工验收的在建项目的项目负责人。如有造假行为，愿意无条件接受招标人和建设行政主管部门的以下处理：</w:t>
      </w:r>
    </w:p>
    <w:p>
      <w:pPr>
        <w:spacing w:line="400" w:lineRule="exact"/>
        <w:ind w:firstLine="420" w:firstLineChars="200"/>
        <w:rPr>
          <w:rFonts w:ascii="宋体" w:hAnsi="宋体"/>
          <w:color w:val="000000"/>
          <w:szCs w:val="21"/>
        </w:rPr>
      </w:pPr>
      <w:r>
        <w:rPr>
          <w:rFonts w:hint="eastAsia" w:ascii="宋体" w:hAnsi="宋体"/>
          <w:color w:val="000000"/>
          <w:szCs w:val="21"/>
        </w:rPr>
        <w:t>1、取消投标、中标资格；</w:t>
      </w:r>
    </w:p>
    <w:p>
      <w:pPr>
        <w:spacing w:line="400" w:lineRule="exact"/>
        <w:ind w:firstLine="420" w:firstLineChars="200"/>
        <w:rPr>
          <w:rFonts w:ascii="宋体" w:hAnsi="宋体"/>
          <w:color w:val="000000"/>
          <w:szCs w:val="21"/>
        </w:rPr>
      </w:pPr>
      <w:r>
        <w:rPr>
          <w:rFonts w:hint="eastAsia" w:ascii="宋体" w:hAnsi="宋体"/>
          <w:color w:val="000000"/>
          <w:szCs w:val="21"/>
        </w:rPr>
        <w:t>2、招标人不予退还已递交的投标保证金或合同履约保证金</w:t>
      </w:r>
    </w:p>
    <w:p>
      <w:pPr>
        <w:spacing w:line="400" w:lineRule="exact"/>
        <w:ind w:firstLine="420" w:firstLineChars="200"/>
        <w:rPr>
          <w:rFonts w:ascii="宋体" w:hAnsi="宋体"/>
          <w:color w:val="000000"/>
          <w:szCs w:val="21"/>
        </w:rPr>
      </w:pPr>
      <w:r>
        <w:rPr>
          <w:rFonts w:hint="eastAsia" w:ascii="宋体" w:hAnsi="宋体"/>
          <w:color w:val="000000"/>
          <w:szCs w:val="21"/>
        </w:rPr>
        <w:t>3、按招标人有关制度进行处理；</w:t>
      </w:r>
    </w:p>
    <w:p>
      <w:pPr>
        <w:spacing w:line="400" w:lineRule="exact"/>
        <w:ind w:firstLine="420" w:firstLineChars="200"/>
        <w:rPr>
          <w:rFonts w:ascii="宋体" w:hAnsi="宋体"/>
          <w:color w:val="000000"/>
          <w:szCs w:val="21"/>
        </w:rPr>
      </w:pPr>
      <w:r>
        <w:rPr>
          <w:rFonts w:hint="eastAsia" w:ascii="宋体" w:hAnsi="宋体"/>
          <w:color w:val="000000"/>
          <w:szCs w:val="21"/>
        </w:rPr>
        <w:t>4、报当地建设行政主管部门；</w:t>
      </w:r>
    </w:p>
    <w:p>
      <w:pPr>
        <w:spacing w:line="400" w:lineRule="exact"/>
        <w:ind w:firstLine="420" w:firstLineChars="200"/>
        <w:rPr>
          <w:rFonts w:ascii="宋体" w:hAnsi="宋体"/>
          <w:color w:val="000000"/>
          <w:szCs w:val="21"/>
        </w:rPr>
      </w:pPr>
      <w:r>
        <w:rPr>
          <w:rFonts w:hint="eastAsia" w:ascii="宋体" w:hAnsi="宋体"/>
          <w:color w:val="000000"/>
          <w:szCs w:val="21"/>
        </w:rPr>
        <w:t>5、其他行政处理决定。</w:t>
      </w:r>
    </w:p>
    <w:p>
      <w:pPr>
        <w:spacing w:line="400" w:lineRule="exact"/>
        <w:rPr>
          <w:rFonts w:ascii="宋体" w:hAnsi="宋体"/>
          <w:color w:val="000000"/>
          <w:szCs w:val="21"/>
        </w:rPr>
      </w:pPr>
    </w:p>
    <w:p>
      <w:pPr>
        <w:spacing w:line="400" w:lineRule="exact"/>
        <w:rPr>
          <w:rFonts w:ascii="宋体" w:hAnsi="宋体"/>
          <w:color w:val="000000"/>
          <w:szCs w:val="21"/>
        </w:rPr>
      </w:pPr>
    </w:p>
    <w:p>
      <w:pPr>
        <w:snapToGrid w:val="0"/>
        <w:spacing w:line="400" w:lineRule="exact"/>
        <w:rPr>
          <w:rFonts w:ascii="宋体" w:hAnsi="宋体"/>
          <w:snapToGrid w:val="0"/>
          <w:color w:val="000000"/>
          <w:szCs w:val="21"/>
        </w:rPr>
      </w:pPr>
    </w:p>
    <w:p>
      <w:pPr>
        <w:snapToGrid w:val="0"/>
        <w:spacing w:line="400" w:lineRule="exact"/>
        <w:rPr>
          <w:rFonts w:ascii="宋体" w:hAnsi="宋体"/>
          <w:snapToGrid w:val="0"/>
          <w:color w:val="000000"/>
          <w:szCs w:val="21"/>
        </w:rPr>
      </w:pPr>
    </w:p>
    <w:p>
      <w:pPr>
        <w:snapToGrid w:val="0"/>
        <w:spacing w:line="400" w:lineRule="exact"/>
        <w:rPr>
          <w:rFonts w:ascii="宋体" w:hAnsi="宋体"/>
          <w:snapToGrid w:val="0"/>
          <w:color w:val="000000"/>
          <w:szCs w:val="21"/>
          <w:u w:val="single"/>
        </w:rPr>
      </w:pPr>
      <w:r>
        <w:rPr>
          <w:rFonts w:hint="eastAsia" w:ascii="宋体" w:hAnsi="宋体"/>
          <w:snapToGrid w:val="0"/>
          <w:color w:val="000000"/>
          <w:szCs w:val="21"/>
        </w:rPr>
        <w:t>投  标  单  位：</w:t>
      </w:r>
      <w:r>
        <w:rPr>
          <w:rFonts w:hint="eastAsia" w:ascii="宋体" w:hAnsi="宋体"/>
          <w:snapToGrid w:val="0"/>
          <w:color w:val="000000"/>
          <w:szCs w:val="21"/>
          <w:u w:val="single"/>
        </w:rPr>
        <w:t xml:space="preserve">       （盖章）       </w:t>
      </w:r>
    </w:p>
    <w:p>
      <w:pPr>
        <w:snapToGrid w:val="0"/>
        <w:spacing w:line="400" w:lineRule="exact"/>
        <w:rPr>
          <w:rFonts w:ascii="宋体" w:hAnsi="宋体"/>
          <w:snapToGrid w:val="0"/>
          <w:color w:val="000000"/>
          <w:szCs w:val="21"/>
        </w:rPr>
      </w:pPr>
    </w:p>
    <w:p>
      <w:pPr>
        <w:snapToGrid w:val="0"/>
        <w:spacing w:line="400" w:lineRule="exact"/>
        <w:rPr>
          <w:rFonts w:ascii="宋体" w:hAnsi="宋体"/>
          <w:snapToGrid w:val="0"/>
          <w:color w:val="000000"/>
          <w:szCs w:val="21"/>
        </w:rPr>
      </w:pPr>
      <w:r>
        <w:rPr>
          <w:rFonts w:hint="eastAsia" w:ascii="宋体" w:hAnsi="宋体"/>
          <w:snapToGrid w:val="0"/>
          <w:color w:val="000000"/>
          <w:szCs w:val="21"/>
        </w:rPr>
        <w:t>授    权    人：</w:t>
      </w:r>
      <w:r>
        <w:rPr>
          <w:rFonts w:hint="eastAsia" w:ascii="宋体" w:hAnsi="宋体"/>
          <w:snapToGrid w:val="0"/>
          <w:color w:val="000000"/>
          <w:szCs w:val="21"/>
          <w:u w:val="single"/>
        </w:rPr>
        <w:t xml:space="preserve">     （签字</w:t>
      </w:r>
      <w:r>
        <w:rPr>
          <w:rFonts w:hint="eastAsia" w:ascii="宋体" w:hAnsi="宋体"/>
          <w:color w:val="000000"/>
          <w:szCs w:val="21"/>
          <w:u w:val="single"/>
        </w:rPr>
        <w:t>或印鉴</w:t>
      </w:r>
      <w:r>
        <w:rPr>
          <w:rFonts w:hint="eastAsia" w:ascii="宋体" w:hAnsi="宋体"/>
          <w:snapToGrid w:val="0"/>
          <w:color w:val="000000"/>
          <w:szCs w:val="21"/>
          <w:u w:val="single"/>
        </w:rPr>
        <w:t xml:space="preserve">）   </w:t>
      </w:r>
    </w:p>
    <w:p>
      <w:pPr>
        <w:snapToGrid w:val="0"/>
        <w:spacing w:line="400" w:lineRule="exact"/>
        <w:rPr>
          <w:rFonts w:ascii="宋体" w:hAnsi="宋体"/>
          <w:snapToGrid w:val="0"/>
          <w:color w:val="000000"/>
          <w:szCs w:val="21"/>
        </w:rPr>
      </w:pPr>
    </w:p>
    <w:p>
      <w:pPr>
        <w:pStyle w:val="2"/>
        <w:ind w:left="0" w:leftChars="0"/>
        <w:rPr>
          <w:rFonts w:ascii="宋体" w:hAnsi="宋体"/>
          <w:b/>
          <w:sz w:val="28"/>
          <w:szCs w:val="28"/>
        </w:rPr>
      </w:pPr>
      <w:r>
        <w:rPr>
          <w:rFonts w:hint="eastAsia" w:ascii="宋体" w:hAnsi="宋体"/>
          <w:snapToGrid w:val="0"/>
          <w:color w:val="000000"/>
        </w:rPr>
        <w:t>日          期：</w:t>
      </w:r>
      <w:r>
        <w:rPr>
          <w:rFonts w:hint="eastAsia" w:ascii="宋体" w:hAnsi="宋体"/>
          <w:snapToGrid w:val="0"/>
          <w:color w:val="000000"/>
          <w:u w:val="single"/>
        </w:rPr>
        <w:t xml:space="preserve">       </w:t>
      </w:r>
      <w:r>
        <w:rPr>
          <w:rFonts w:hint="eastAsia" w:ascii="宋体" w:hAnsi="宋体"/>
          <w:snapToGrid w:val="0"/>
          <w:color w:val="000000"/>
        </w:rPr>
        <w:t xml:space="preserve"> 年</w:t>
      </w:r>
      <w:r>
        <w:rPr>
          <w:rFonts w:hint="eastAsia" w:ascii="宋体" w:hAnsi="宋体"/>
          <w:snapToGrid w:val="0"/>
          <w:color w:val="000000"/>
          <w:u w:val="single"/>
        </w:rPr>
        <w:t xml:space="preserve">     </w:t>
      </w:r>
      <w:r>
        <w:rPr>
          <w:rFonts w:hint="eastAsia" w:ascii="宋体" w:hAnsi="宋体"/>
          <w:snapToGrid w:val="0"/>
          <w:color w:val="000000"/>
        </w:rPr>
        <w:t xml:space="preserve"> 月</w:t>
      </w:r>
      <w:r>
        <w:rPr>
          <w:rFonts w:hint="eastAsia" w:ascii="宋体" w:hAnsi="宋体"/>
          <w:snapToGrid w:val="0"/>
          <w:color w:val="000000"/>
          <w:u w:val="single"/>
        </w:rPr>
        <w:t xml:space="preserve">       </w:t>
      </w:r>
    </w:p>
    <w:p>
      <w:pPr>
        <w:spacing w:line="400" w:lineRule="exact"/>
        <w:jc w:val="left"/>
        <w:rPr>
          <w:rFonts w:ascii="宋体" w:hAnsi="宋体"/>
          <w:sz w:val="24"/>
        </w:rPr>
      </w:pPr>
    </w:p>
    <w:p>
      <w:pPr>
        <w:jc w:val="left"/>
        <w:rPr>
          <w:rFonts w:ascii="宋体" w:hAnsi="宋体"/>
          <w:sz w:val="24"/>
        </w:rPr>
      </w:pPr>
      <w:r>
        <w:rPr>
          <w:rFonts w:hint="eastAsia" w:ascii="宋体" w:hAnsi="宋体"/>
          <w:sz w:val="24"/>
        </w:rPr>
        <w:br w:type="page"/>
      </w:r>
    </w:p>
    <w:p>
      <w:pPr>
        <w:rPr>
          <w:rFonts w:ascii="宋体" w:hAnsi="宋体"/>
          <w:snapToGrid w:val="0"/>
          <w:szCs w:val="21"/>
          <w:u w:val="single"/>
        </w:rPr>
      </w:pPr>
      <w:r>
        <w:rPr>
          <w:rFonts w:hint="eastAsia" w:ascii="宋体" w:hAnsi="宋体"/>
          <w:sz w:val="24"/>
        </w:rPr>
        <w:t>附件四</w:t>
      </w:r>
    </w:p>
    <w:p>
      <w:pPr>
        <w:jc w:val="center"/>
        <w:rPr>
          <w:rFonts w:ascii="宋体" w:hAnsi="宋体"/>
          <w:b/>
          <w:bCs/>
          <w:sz w:val="32"/>
        </w:rPr>
      </w:pPr>
    </w:p>
    <w:p>
      <w:pPr>
        <w:jc w:val="center"/>
        <w:rPr>
          <w:rFonts w:ascii="宋体" w:hAnsi="宋体"/>
          <w:sz w:val="24"/>
        </w:rPr>
      </w:pPr>
      <w:r>
        <w:rPr>
          <w:rFonts w:hint="eastAsia" w:ascii="宋体" w:hAnsi="宋体"/>
          <w:b/>
          <w:bCs/>
          <w:sz w:val="32"/>
        </w:rPr>
        <w:t>联合体工作协议（适用于联合体投标）</w:t>
      </w:r>
    </w:p>
    <w:p>
      <w:pPr>
        <w:rPr>
          <w:rFonts w:ascii="宋体" w:hAnsi="宋体"/>
          <w:sz w:val="24"/>
        </w:rPr>
      </w:pPr>
    </w:p>
    <w:p>
      <w:pPr>
        <w:jc w:val="left"/>
        <w:rPr>
          <w:rFonts w:ascii="宋体" w:hAnsi="宋体"/>
        </w:rPr>
      </w:pPr>
      <w:r>
        <w:rPr>
          <w:rFonts w:hint="eastAsia" w:ascii="宋体" w:hAnsi="宋体"/>
        </w:rPr>
        <w:t>投标项目名称：</w:t>
      </w:r>
      <w:r>
        <w:rPr>
          <w:rFonts w:hint="eastAsia" w:ascii="宋体" w:hAnsi="宋体"/>
          <w:u w:val="single"/>
        </w:rPr>
        <w:t xml:space="preserve">                                           </w:t>
      </w:r>
    </w:p>
    <w:p>
      <w:pPr>
        <w:pStyle w:val="19"/>
        <w:rPr>
          <w:rFonts w:hAnsi="宋体"/>
        </w:rPr>
      </w:pPr>
    </w:p>
    <w:p>
      <w:pPr>
        <w:pStyle w:val="19"/>
        <w:rPr>
          <w:rFonts w:hAnsi="宋体"/>
        </w:rPr>
      </w:pPr>
      <w:r>
        <w:rPr>
          <w:rFonts w:hint="eastAsia" w:hAnsi="宋体"/>
        </w:rPr>
        <w:t>致：</w:t>
      </w:r>
      <w:r>
        <w:rPr>
          <w:rFonts w:hint="eastAsia" w:hAnsi="宋体"/>
          <w:u w:val="single"/>
        </w:rPr>
        <w:t xml:space="preserve">                                    </w:t>
      </w:r>
      <w:r>
        <w:rPr>
          <w:rFonts w:hint="eastAsia" w:hAnsi="宋体"/>
        </w:rPr>
        <w:t>（招标人、招标代理机构名称）</w:t>
      </w:r>
    </w:p>
    <w:p>
      <w:pPr>
        <w:jc w:val="left"/>
        <w:rPr>
          <w:rFonts w:ascii="宋体" w:hAnsi="宋体"/>
          <w:sz w:val="24"/>
        </w:rPr>
      </w:pPr>
    </w:p>
    <w:p>
      <w:pPr>
        <w:pStyle w:val="19"/>
        <w:rPr>
          <w:rFonts w:hAnsi="宋体"/>
        </w:rPr>
      </w:pPr>
      <w:r>
        <w:rPr>
          <w:rFonts w:hint="eastAsia" w:hAnsi="宋体"/>
        </w:rPr>
        <w:t xml:space="preserve">    我方决定组成联合体共同参加以上项目的投标，若中标，联合体各方向招标人承担连带责任。我方授权委托本协议牵头人，代表所有联合体成员参加投标、提交投标文件，以及与招标人签订合同，负责整个合同实施阶段的协调工作。</w:t>
      </w:r>
    </w:p>
    <w:p>
      <w:pPr>
        <w:rPr>
          <w:rFonts w:ascii="宋体" w:hAnsi="宋体"/>
        </w:rPr>
      </w:pPr>
      <w:r>
        <w:rPr>
          <w:rFonts w:hint="eastAsia" w:ascii="宋体" w:hAnsi="宋体"/>
        </w:rPr>
        <w:t xml:space="preserve">    本投标协议同时作为法人证明书或法人授权委托书。</w:t>
      </w:r>
    </w:p>
    <w:p>
      <w:pPr>
        <w:pStyle w:val="19"/>
        <w:rPr>
          <w:rFonts w:hAnsi="宋体"/>
        </w:rPr>
      </w:pPr>
    </w:p>
    <w:p>
      <w:pPr>
        <w:pStyle w:val="19"/>
        <w:spacing w:line="360" w:lineRule="auto"/>
        <w:rPr>
          <w:rFonts w:hAnsi="宋体"/>
        </w:rPr>
      </w:pPr>
      <w:r>
        <w:rPr>
          <w:rFonts w:hint="eastAsia" w:hAnsi="宋体"/>
        </w:rPr>
        <w:t xml:space="preserve">    投标牵头人：（盖章）</w:t>
      </w:r>
      <w:r>
        <w:rPr>
          <w:rFonts w:hint="eastAsia" w:hAnsi="宋体"/>
          <w:u w:val="single"/>
        </w:rPr>
        <w:t xml:space="preserve">                                                             </w:t>
      </w:r>
    </w:p>
    <w:p>
      <w:pPr>
        <w:pStyle w:val="19"/>
        <w:spacing w:line="360" w:lineRule="auto"/>
        <w:rPr>
          <w:rFonts w:hAnsi="宋体"/>
        </w:rPr>
      </w:pPr>
      <w:r>
        <w:rPr>
          <w:rFonts w:hint="eastAsia" w:hAnsi="宋体"/>
        </w:rPr>
        <w:t xml:space="preserve">    法定代表人：（签字或盖章）</w:t>
      </w:r>
      <w:r>
        <w:rPr>
          <w:rFonts w:hint="eastAsia" w:hAnsi="宋体"/>
          <w:u w:val="single"/>
        </w:rPr>
        <w:t xml:space="preserve">                                                       </w:t>
      </w:r>
    </w:p>
    <w:p>
      <w:pPr>
        <w:pStyle w:val="19"/>
        <w:spacing w:line="360" w:lineRule="auto"/>
        <w:rPr>
          <w:rFonts w:hAnsi="宋体"/>
        </w:rPr>
      </w:pPr>
      <w:r>
        <w:rPr>
          <w:rFonts w:hint="eastAsia" w:hAnsi="宋体"/>
        </w:rPr>
        <w:t xml:space="preserve">    委托代理人：（签字或盖章）</w:t>
      </w:r>
      <w:r>
        <w:rPr>
          <w:rFonts w:hint="eastAsia" w:hAnsi="宋体"/>
          <w:u w:val="single"/>
        </w:rPr>
        <w:t xml:space="preserve">                                                       </w:t>
      </w:r>
    </w:p>
    <w:p>
      <w:pPr>
        <w:pStyle w:val="19"/>
        <w:spacing w:line="360" w:lineRule="auto"/>
        <w:rPr>
          <w:rFonts w:hAnsi="宋体"/>
        </w:rPr>
      </w:pPr>
      <w:r>
        <w:rPr>
          <w:rFonts w:hint="eastAsia" w:hAnsi="宋体"/>
        </w:rPr>
        <w:t xml:space="preserve">    地址：</w:t>
      </w:r>
      <w:r>
        <w:rPr>
          <w:rFonts w:hint="eastAsia" w:hAnsi="宋体"/>
          <w:u w:val="single"/>
        </w:rPr>
        <w:t xml:space="preserve">                                                                          </w:t>
      </w:r>
    </w:p>
    <w:p>
      <w:pPr>
        <w:pStyle w:val="19"/>
        <w:spacing w:line="360" w:lineRule="auto"/>
        <w:rPr>
          <w:rFonts w:hAnsi="宋体"/>
        </w:rPr>
      </w:pPr>
      <w:r>
        <w:rPr>
          <w:rFonts w:hint="eastAsia" w:hAnsi="宋体"/>
        </w:rPr>
        <w:t xml:space="preserve">    邮政编码：</w:t>
      </w:r>
      <w:r>
        <w:rPr>
          <w:rFonts w:hint="eastAsia" w:hAnsi="宋体"/>
          <w:u w:val="single"/>
        </w:rPr>
        <w:t xml:space="preserve">                    </w:t>
      </w:r>
      <w:r>
        <w:rPr>
          <w:rFonts w:hint="eastAsia" w:hAnsi="宋体"/>
        </w:rPr>
        <w:t>电话/传真：</w:t>
      </w:r>
      <w:r>
        <w:rPr>
          <w:rFonts w:hint="eastAsia" w:hAnsi="宋体"/>
          <w:u w:val="single"/>
        </w:rPr>
        <w:t xml:space="preserve">                                       </w:t>
      </w:r>
    </w:p>
    <w:p>
      <w:pPr>
        <w:pStyle w:val="19"/>
        <w:spacing w:line="360" w:lineRule="auto"/>
        <w:rPr>
          <w:rFonts w:hAnsi="宋体"/>
        </w:rPr>
      </w:pPr>
      <w:r>
        <w:rPr>
          <w:rFonts w:hint="eastAsia" w:hAnsi="宋体"/>
        </w:rPr>
        <w:t xml:space="preserve">    分工内容：</w:t>
      </w:r>
      <w:r>
        <w:rPr>
          <w:rFonts w:hint="eastAsia" w:hAnsi="宋体"/>
          <w:u w:val="single"/>
        </w:rPr>
        <w:t xml:space="preserve">                                                                      </w:t>
      </w:r>
    </w:p>
    <w:p>
      <w:pPr>
        <w:pStyle w:val="19"/>
        <w:spacing w:line="360" w:lineRule="auto"/>
        <w:rPr>
          <w:rFonts w:hAnsi="宋体"/>
        </w:rPr>
      </w:pPr>
    </w:p>
    <w:p>
      <w:pPr>
        <w:pStyle w:val="19"/>
        <w:spacing w:line="360" w:lineRule="auto"/>
        <w:rPr>
          <w:rFonts w:hAnsi="宋体"/>
        </w:rPr>
      </w:pPr>
      <w:r>
        <w:rPr>
          <w:rFonts w:hint="eastAsia" w:hAnsi="宋体"/>
        </w:rPr>
        <w:t xml:space="preserve">    联合体成员：（盖章）</w:t>
      </w:r>
      <w:r>
        <w:rPr>
          <w:rFonts w:hint="eastAsia" w:hAnsi="宋体"/>
          <w:u w:val="single"/>
        </w:rPr>
        <w:t xml:space="preserve">                                                             </w:t>
      </w:r>
    </w:p>
    <w:p>
      <w:pPr>
        <w:pStyle w:val="19"/>
        <w:spacing w:line="360" w:lineRule="auto"/>
        <w:rPr>
          <w:rFonts w:hAnsi="宋体"/>
        </w:rPr>
      </w:pPr>
      <w:r>
        <w:rPr>
          <w:rFonts w:hint="eastAsia" w:hAnsi="宋体"/>
        </w:rPr>
        <w:t xml:space="preserve">    法定代表人：（签字或盖章）</w:t>
      </w:r>
      <w:r>
        <w:rPr>
          <w:rFonts w:hint="eastAsia" w:hAnsi="宋体"/>
          <w:u w:val="single"/>
        </w:rPr>
        <w:t xml:space="preserve">                                                       </w:t>
      </w:r>
    </w:p>
    <w:p>
      <w:pPr>
        <w:pStyle w:val="19"/>
        <w:spacing w:line="360" w:lineRule="auto"/>
        <w:rPr>
          <w:rFonts w:hAnsi="宋体"/>
        </w:rPr>
      </w:pPr>
      <w:r>
        <w:rPr>
          <w:rFonts w:hint="eastAsia" w:hAnsi="宋体"/>
        </w:rPr>
        <w:t xml:space="preserve">    委托代理人：（签字或盖章）</w:t>
      </w:r>
      <w:r>
        <w:rPr>
          <w:rFonts w:hint="eastAsia" w:hAnsi="宋体"/>
          <w:u w:val="single"/>
        </w:rPr>
        <w:t xml:space="preserve">                                                       </w:t>
      </w:r>
    </w:p>
    <w:p>
      <w:pPr>
        <w:pStyle w:val="19"/>
        <w:spacing w:line="360" w:lineRule="auto"/>
        <w:rPr>
          <w:rFonts w:hAnsi="宋体"/>
        </w:rPr>
      </w:pPr>
      <w:r>
        <w:rPr>
          <w:rFonts w:hint="eastAsia" w:hAnsi="宋体"/>
        </w:rPr>
        <w:t xml:space="preserve">    地址：</w:t>
      </w:r>
      <w:r>
        <w:rPr>
          <w:rFonts w:hint="eastAsia" w:hAnsi="宋体"/>
          <w:u w:val="single"/>
        </w:rPr>
        <w:t xml:space="preserve">                                                                          </w:t>
      </w:r>
    </w:p>
    <w:p>
      <w:pPr>
        <w:pStyle w:val="19"/>
        <w:spacing w:line="360" w:lineRule="auto"/>
        <w:rPr>
          <w:rFonts w:hAnsi="宋体"/>
        </w:rPr>
      </w:pPr>
      <w:r>
        <w:rPr>
          <w:rFonts w:hint="eastAsia" w:hAnsi="宋体"/>
        </w:rPr>
        <w:t xml:space="preserve">    邮政编码：</w:t>
      </w:r>
      <w:r>
        <w:rPr>
          <w:rFonts w:hint="eastAsia" w:hAnsi="宋体"/>
          <w:u w:val="single"/>
        </w:rPr>
        <w:t xml:space="preserve">                    </w:t>
      </w:r>
      <w:r>
        <w:rPr>
          <w:rFonts w:hint="eastAsia" w:hAnsi="宋体"/>
        </w:rPr>
        <w:t>电话/传真：</w:t>
      </w:r>
      <w:r>
        <w:rPr>
          <w:rFonts w:hint="eastAsia" w:hAnsi="宋体"/>
          <w:u w:val="single"/>
        </w:rPr>
        <w:t xml:space="preserve">                                       </w:t>
      </w:r>
    </w:p>
    <w:p>
      <w:pPr>
        <w:pStyle w:val="19"/>
        <w:spacing w:line="360" w:lineRule="auto"/>
        <w:rPr>
          <w:rFonts w:hAnsi="宋体"/>
        </w:rPr>
      </w:pPr>
      <w:r>
        <w:rPr>
          <w:rFonts w:hint="eastAsia" w:hAnsi="宋体"/>
        </w:rPr>
        <w:t xml:space="preserve">    分工内容：</w:t>
      </w:r>
      <w:r>
        <w:rPr>
          <w:rFonts w:hint="eastAsia" w:hAnsi="宋体"/>
          <w:u w:val="single"/>
        </w:rPr>
        <w:t xml:space="preserve">                                                                      </w:t>
      </w:r>
    </w:p>
    <w:p>
      <w:pPr>
        <w:pStyle w:val="19"/>
        <w:spacing w:line="360" w:lineRule="auto"/>
        <w:rPr>
          <w:rFonts w:hAnsi="宋体"/>
        </w:rPr>
      </w:pPr>
    </w:p>
    <w:p>
      <w:pPr>
        <w:pStyle w:val="19"/>
        <w:spacing w:line="360" w:lineRule="auto"/>
        <w:rPr>
          <w:rFonts w:hAnsi="宋体"/>
        </w:rPr>
      </w:pPr>
    </w:p>
    <w:p>
      <w:pPr>
        <w:pStyle w:val="19"/>
        <w:spacing w:line="360" w:lineRule="auto"/>
        <w:rPr>
          <w:rFonts w:hAnsi="宋体"/>
        </w:rPr>
      </w:pPr>
    </w:p>
    <w:p>
      <w:pPr>
        <w:jc w:val="left"/>
        <w:rPr>
          <w:rFonts w:ascii="宋体" w:hAnsi="宋体"/>
          <w:sz w:val="24"/>
        </w:rPr>
      </w:pPr>
      <w:r>
        <w:rPr>
          <w:rFonts w:hint="eastAsia" w:ascii="宋体" w:hAnsi="宋体"/>
        </w:rPr>
        <w:t xml:space="preserve">                                 签订日期：       年    月    日</w:t>
      </w:r>
      <w:r>
        <w:rPr>
          <w:rFonts w:hint="eastAsia" w:ascii="宋体" w:hAnsi="宋体"/>
          <w:sz w:val="24"/>
        </w:rPr>
        <w:br w:type="page"/>
      </w:r>
    </w:p>
    <w:p>
      <w:pPr>
        <w:jc w:val="left"/>
        <w:rPr>
          <w:rFonts w:ascii="宋体" w:hAnsi="宋体"/>
          <w:sz w:val="24"/>
        </w:rPr>
      </w:pPr>
      <w:r>
        <w:rPr>
          <w:rFonts w:hint="eastAsia" w:ascii="宋体" w:hAnsi="宋体"/>
          <w:sz w:val="24"/>
        </w:rPr>
        <w:t>附件五</w:t>
      </w:r>
    </w:p>
    <w:p>
      <w:pPr>
        <w:spacing w:line="400" w:lineRule="exact"/>
        <w:jc w:val="center"/>
        <w:rPr>
          <w:rFonts w:ascii="宋体" w:hAnsi="宋体"/>
          <w:b/>
          <w:sz w:val="28"/>
          <w:szCs w:val="28"/>
        </w:rPr>
      </w:pPr>
      <w:r>
        <w:rPr>
          <w:rFonts w:hint="eastAsia" w:ascii="宋体" w:hAnsi="宋体"/>
          <w:b/>
          <w:sz w:val="28"/>
          <w:szCs w:val="28"/>
        </w:rPr>
        <w:t>招标人不接受投标的单位名单</w:t>
      </w:r>
    </w:p>
    <w:p>
      <w:pPr>
        <w:spacing w:line="400" w:lineRule="exact"/>
        <w:jc w:val="center"/>
        <w:rPr>
          <w:rFonts w:ascii="宋体" w:hAnsi="宋体"/>
          <w:b/>
          <w:sz w:val="28"/>
          <w:szCs w:val="28"/>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526" w:type="dxa"/>
            <w:vAlign w:val="center"/>
          </w:tcPr>
          <w:p>
            <w:pPr>
              <w:jc w:val="center"/>
              <w:rPr>
                <w:rFonts w:ascii="宋体" w:hAnsi="宋体"/>
                <w:szCs w:val="21"/>
              </w:rPr>
            </w:pPr>
            <w:r>
              <w:rPr>
                <w:rFonts w:hint="eastAsia" w:ascii="宋体" w:hAnsi="宋体"/>
                <w:szCs w:val="21"/>
              </w:rPr>
              <w:t>序号</w:t>
            </w:r>
          </w:p>
        </w:tc>
        <w:tc>
          <w:tcPr>
            <w:tcW w:w="7371" w:type="dxa"/>
            <w:vAlign w:val="center"/>
          </w:tcPr>
          <w:p>
            <w:pPr>
              <w:jc w:val="center"/>
              <w:rPr>
                <w:rFonts w:ascii="宋体" w:hAnsi="宋体"/>
                <w:szCs w:val="21"/>
              </w:rPr>
            </w:pPr>
            <w:r>
              <w:rPr>
                <w:rFonts w:hint="eastAsia" w:ascii="宋体" w:hAnsi="宋体"/>
                <w:szCs w:val="21"/>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526" w:type="dxa"/>
            <w:vAlign w:val="center"/>
          </w:tcPr>
          <w:p>
            <w:pPr>
              <w:jc w:val="center"/>
              <w:rPr>
                <w:rFonts w:ascii="宋体" w:hAnsi="宋体"/>
                <w:szCs w:val="21"/>
              </w:rPr>
            </w:pPr>
            <w:r>
              <w:rPr>
                <w:rFonts w:hint="eastAsia" w:ascii="宋体" w:hAnsi="宋体"/>
                <w:szCs w:val="21"/>
              </w:rPr>
              <w:t>1</w:t>
            </w:r>
          </w:p>
        </w:tc>
        <w:tc>
          <w:tcPr>
            <w:tcW w:w="7371" w:type="dxa"/>
            <w:vAlign w:val="center"/>
          </w:tcPr>
          <w:p>
            <w:pPr>
              <w:jc w:val="center"/>
              <w:rPr>
                <w:rFonts w:ascii="宋体" w:hAnsi="宋体"/>
                <w:szCs w:val="21"/>
              </w:rPr>
            </w:pPr>
            <w:r>
              <w:rPr>
                <w:rFonts w:hint="eastAsia" w:ascii="宋体" w:hAnsi="宋体"/>
                <w:szCs w:val="21"/>
                <w:shd w:val="clear" w:color="auto" w:fill="FFFFFF"/>
              </w:rPr>
              <w:t>中铁一局集团有限公司</w:t>
            </w:r>
          </w:p>
        </w:tc>
      </w:tr>
    </w:tbl>
    <w:p>
      <w:pPr>
        <w:widowControl/>
        <w:snapToGrid w:val="0"/>
        <w:spacing w:line="360" w:lineRule="auto"/>
        <w:rPr>
          <w:rFonts w:ascii="宋体" w:hAnsi="宋体" w:cs="仿宋"/>
          <w:szCs w:val="24"/>
        </w:rPr>
      </w:pPr>
    </w:p>
    <w:p>
      <w:pPr>
        <w:widowControl/>
        <w:jc w:val="left"/>
        <w:rPr>
          <w:rFonts w:ascii="宋体" w:hAnsi="宋体"/>
          <w:szCs w:val="21"/>
        </w:rPr>
      </w:pPr>
      <w:r>
        <w:rPr>
          <w:rFonts w:ascii="宋体" w:hAnsi="宋体"/>
          <w:szCs w:val="21"/>
        </w:rPr>
        <w:br w:type="page"/>
      </w:r>
    </w:p>
    <w:p>
      <w:pPr>
        <w:widowControl/>
        <w:jc w:val="left"/>
        <w:rPr>
          <w:rFonts w:ascii="宋体" w:hAnsi="宋体"/>
          <w:szCs w:val="21"/>
        </w:rPr>
      </w:pPr>
      <w:r>
        <w:rPr>
          <w:rFonts w:hint="eastAsia" w:ascii="宋体" w:hAnsi="宋体"/>
          <w:szCs w:val="21"/>
        </w:rPr>
        <w:t xml:space="preserve"> </w:t>
      </w:r>
    </w:p>
    <w:p>
      <w:pPr>
        <w:spacing w:line="360" w:lineRule="auto"/>
        <w:ind w:left="359" w:leftChars="171"/>
        <w:jc w:val="left"/>
        <w:rPr>
          <w:rFonts w:ascii="宋体"/>
          <w:b/>
          <w:bCs/>
          <w:spacing w:val="40"/>
          <w:sz w:val="44"/>
          <w:szCs w:val="44"/>
        </w:rPr>
      </w:pPr>
    </w:p>
    <w:p>
      <w:pPr>
        <w:spacing w:line="360" w:lineRule="auto"/>
        <w:jc w:val="center"/>
        <w:rPr>
          <w:rFonts w:eastAsia="楷体_GB2312"/>
          <w:b/>
          <w:bCs/>
          <w:spacing w:val="26"/>
          <w:sz w:val="52"/>
          <w:szCs w:val="52"/>
        </w:rPr>
      </w:pPr>
      <w:r>
        <w:rPr>
          <w:rFonts w:hint="eastAsia" w:eastAsia="楷体_GB2312"/>
          <w:b/>
          <w:bCs/>
          <w:spacing w:val="26"/>
          <w:sz w:val="52"/>
          <w:szCs w:val="52"/>
        </w:rPr>
        <w:t>广州白云国际机场三期扩建工程</w:t>
      </w:r>
    </w:p>
    <w:p>
      <w:pPr>
        <w:spacing w:line="360" w:lineRule="auto"/>
        <w:jc w:val="center"/>
        <w:rPr>
          <w:rFonts w:eastAsia="楷体_GB2312"/>
          <w:b/>
          <w:bCs/>
          <w:spacing w:val="26"/>
          <w:sz w:val="52"/>
          <w:szCs w:val="52"/>
        </w:rPr>
      </w:pPr>
      <w:r>
        <w:rPr>
          <w:rFonts w:hint="eastAsia" w:eastAsia="楷体_GB2312"/>
          <w:b/>
          <w:bCs/>
          <w:spacing w:val="26"/>
          <w:sz w:val="52"/>
          <w:szCs w:val="52"/>
        </w:rPr>
        <w:t>配套供冷工程</w:t>
      </w:r>
    </w:p>
    <w:p>
      <w:pPr>
        <w:spacing w:line="360" w:lineRule="auto"/>
        <w:jc w:val="center"/>
        <w:rPr>
          <w:rFonts w:eastAsia="楷体_GB2312"/>
          <w:b/>
          <w:bCs/>
          <w:spacing w:val="26"/>
          <w:sz w:val="110"/>
          <w:szCs w:val="110"/>
        </w:rPr>
      </w:pPr>
    </w:p>
    <w:p>
      <w:pPr>
        <w:spacing w:line="360" w:lineRule="auto"/>
        <w:jc w:val="center"/>
        <w:rPr>
          <w:rFonts w:eastAsia="楷体_GB2312"/>
          <w:b/>
          <w:bCs/>
          <w:spacing w:val="26"/>
          <w:sz w:val="110"/>
          <w:szCs w:val="110"/>
        </w:rPr>
      </w:pPr>
      <w:r>
        <w:rPr>
          <w:rFonts w:hint="eastAsia" w:eastAsia="楷体_GB2312"/>
          <w:b/>
          <w:bCs/>
          <w:spacing w:val="26"/>
          <w:sz w:val="110"/>
          <w:szCs w:val="110"/>
        </w:rPr>
        <w:t>招标文件</w:t>
      </w:r>
    </w:p>
    <w:p>
      <w:pPr>
        <w:ind w:right="-11"/>
        <w:jc w:val="center"/>
        <w:rPr>
          <w:rFonts w:ascii="宋体" w:hAnsi="宋体" w:cs="宋体"/>
          <w:sz w:val="32"/>
        </w:rPr>
      </w:pPr>
      <w:r>
        <w:rPr>
          <w:rFonts w:hint="eastAsia" w:ascii="宋体" w:hAnsi="宋体" w:cs="宋体"/>
          <w:sz w:val="32"/>
        </w:rPr>
        <w:t>招标编号：by37-100-32-2023z</w:t>
      </w:r>
    </w:p>
    <w:p>
      <w:pPr>
        <w:spacing w:line="360" w:lineRule="auto"/>
        <w:jc w:val="center"/>
        <w:rPr>
          <w:sz w:val="32"/>
        </w:rPr>
      </w:pPr>
    </w:p>
    <w:p>
      <w:pPr>
        <w:spacing w:line="360" w:lineRule="auto"/>
        <w:ind w:firstLine="2560" w:firstLineChars="800"/>
        <w:rPr>
          <w:sz w:val="32"/>
        </w:rPr>
      </w:pPr>
    </w:p>
    <w:p>
      <w:pPr>
        <w:spacing w:line="360" w:lineRule="auto"/>
        <w:rPr>
          <w:sz w:val="52"/>
        </w:rPr>
      </w:pPr>
    </w:p>
    <w:p>
      <w:pPr>
        <w:spacing w:line="360" w:lineRule="auto"/>
        <w:rPr>
          <w:sz w:val="52"/>
        </w:rPr>
      </w:pPr>
    </w:p>
    <w:p>
      <w:pPr>
        <w:spacing w:line="360" w:lineRule="auto"/>
        <w:ind w:firstLine="900" w:firstLineChars="300"/>
        <w:rPr>
          <w:sz w:val="30"/>
          <w:szCs w:val="30"/>
          <w:u w:val="single"/>
        </w:rPr>
      </w:pPr>
      <w:r>
        <w:rPr>
          <w:rFonts w:hint="eastAsia"/>
          <w:sz w:val="30"/>
          <w:szCs w:val="30"/>
        </w:rPr>
        <w:t>招</w:t>
      </w:r>
      <w:r>
        <w:rPr>
          <w:sz w:val="30"/>
          <w:szCs w:val="30"/>
        </w:rPr>
        <w:t xml:space="preserve">  </w:t>
      </w:r>
      <w:r>
        <w:rPr>
          <w:rFonts w:hint="eastAsia"/>
          <w:sz w:val="30"/>
          <w:szCs w:val="30"/>
        </w:rPr>
        <w:t>标</w:t>
      </w:r>
      <w:r>
        <w:rPr>
          <w:sz w:val="30"/>
          <w:szCs w:val="30"/>
        </w:rPr>
        <w:t xml:space="preserve"> </w:t>
      </w:r>
      <w:r>
        <w:rPr>
          <w:rFonts w:hint="eastAsia"/>
          <w:sz w:val="30"/>
          <w:szCs w:val="30"/>
        </w:rPr>
        <w:t>单</w:t>
      </w:r>
      <w:r>
        <w:rPr>
          <w:sz w:val="30"/>
          <w:szCs w:val="30"/>
        </w:rPr>
        <w:t xml:space="preserve"> </w:t>
      </w:r>
      <w:r>
        <w:rPr>
          <w:rFonts w:hint="eastAsia"/>
          <w:sz w:val="30"/>
          <w:szCs w:val="30"/>
        </w:rPr>
        <w:t>位：广东省机场管理集团有限公司工程建设指挥部</w:t>
      </w:r>
    </w:p>
    <w:p>
      <w:pPr>
        <w:spacing w:line="360" w:lineRule="auto"/>
        <w:ind w:firstLine="945"/>
        <w:rPr>
          <w:sz w:val="30"/>
          <w:szCs w:val="30"/>
          <w:u w:val="single"/>
        </w:rPr>
      </w:pPr>
      <w:r>
        <w:rPr>
          <w:rFonts w:hint="eastAsia"/>
          <w:sz w:val="30"/>
          <w:szCs w:val="30"/>
        </w:rPr>
        <w:t>招标代理单位：国义招标股份有限公司</w:t>
      </w:r>
    </w:p>
    <w:p>
      <w:pPr>
        <w:spacing w:line="360" w:lineRule="auto"/>
        <w:ind w:firstLine="945"/>
        <w:rPr>
          <w:sz w:val="32"/>
        </w:rPr>
      </w:pPr>
      <w:r>
        <w:rPr>
          <w:rFonts w:hint="eastAsia"/>
          <w:sz w:val="32"/>
        </w:rPr>
        <w:t>日</w:t>
      </w:r>
      <w:r>
        <w:rPr>
          <w:sz w:val="32"/>
        </w:rPr>
        <w:t xml:space="preserve">        </w:t>
      </w:r>
      <w:r>
        <w:rPr>
          <w:rFonts w:hint="eastAsia"/>
          <w:sz w:val="32"/>
        </w:rPr>
        <w:t>期：</w:t>
      </w:r>
      <w:r>
        <w:rPr>
          <w:sz w:val="32"/>
          <w:u w:val="single"/>
        </w:rPr>
        <w:t xml:space="preserve"> </w:t>
      </w:r>
      <w:r>
        <w:rPr>
          <w:rFonts w:hint="eastAsia"/>
          <w:sz w:val="32"/>
          <w:u w:val="single"/>
        </w:rPr>
        <w:t>2023</w:t>
      </w:r>
      <w:r>
        <w:rPr>
          <w:sz w:val="32"/>
          <w:u w:val="single"/>
        </w:rPr>
        <w:t xml:space="preserve"> </w:t>
      </w:r>
      <w:r>
        <w:rPr>
          <w:rFonts w:hint="eastAsia"/>
          <w:sz w:val="32"/>
        </w:rPr>
        <w:t>年</w:t>
      </w:r>
      <w:r>
        <w:rPr>
          <w:rFonts w:hint="eastAsia"/>
          <w:sz w:val="32"/>
          <w:u w:val="single"/>
          <w:lang w:val="en-US" w:eastAsia="zh-CN"/>
        </w:rPr>
        <w:t>10</w:t>
      </w:r>
      <w:r>
        <w:rPr>
          <w:rFonts w:hint="eastAsia"/>
          <w:sz w:val="32"/>
        </w:rPr>
        <w:t>月</w:t>
      </w:r>
    </w:p>
    <w:p>
      <w:pPr>
        <w:jc w:val="center"/>
        <w:rPr>
          <w:rFonts w:ascii="宋体" w:hAnsi="宋体"/>
          <w:b/>
          <w:caps/>
          <w:kern w:val="0"/>
        </w:rPr>
      </w:pPr>
      <w:r>
        <w:rPr>
          <w:rStyle w:val="44"/>
          <w:b/>
          <w:bCs/>
          <w:color w:val="auto"/>
        </w:rPr>
        <w:br w:type="page"/>
      </w:r>
      <w:r>
        <w:rPr>
          <w:rStyle w:val="44"/>
          <w:rFonts w:hint="eastAsia"/>
          <w:b/>
          <w:bCs/>
          <w:color w:val="auto"/>
          <w:sz w:val="28"/>
          <w:szCs w:val="28"/>
        </w:rPr>
        <w:t>目录</w:t>
      </w:r>
    </w:p>
    <w:p>
      <w:pPr>
        <w:pStyle w:val="26"/>
        <w:rPr>
          <w:rFonts w:asciiTheme="minorHAnsi" w:hAnsiTheme="minorHAnsi" w:eastAsiaTheme="minorEastAsia" w:cstheme="minorBidi"/>
          <w:caps w:val="0"/>
          <w:kern w:val="2"/>
          <w:sz w:val="21"/>
          <w:szCs w:val="22"/>
        </w:rPr>
      </w:pPr>
      <w:r>
        <w:fldChar w:fldCharType="begin"/>
      </w:r>
      <w:r>
        <w:instrText xml:space="preserve"> TOC \o "1-3" \h \z \u </w:instrText>
      </w:r>
      <w:r>
        <w:fldChar w:fldCharType="separate"/>
      </w:r>
      <w:r>
        <w:fldChar w:fldCharType="begin"/>
      </w:r>
      <w:r>
        <w:instrText xml:space="preserve"> HYPERLINK \l "_Toc21525489" </w:instrText>
      </w:r>
      <w:r>
        <w:fldChar w:fldCharType="separate"/>
      </w:r>
      <w:r>
        <w:rPr>
          <w:rStyle w:val="44"/>
          <w:color w:val="auto"/>
        </w:rPr>
        <w:t>第一章  投标须知</w:t>
      </w:r>
      <w:r>
        <w:tab/>
      </w:r>
      <w:r>
        <w:fldChar w:fldCharType="begin"/>
      </w:r>
      <w:r>
        <w:instrText xml:space="preserve"> PAGEREF _Toc21525489 \h </w:instrText>
      </w:r>
      <w:r>
        <w:fldChar w:fldCharType="separate"/>
      </w:r>
      <w:r>
        <w:t>19</w:t>
      </w:r>
      <w:r>
        <w:fldChar w:fldCharType="end"/>
      </w:r>
      <w:r>
        <w:fldChar w:fldCharType="end"/>
      </w:r>
    </w:p>
    <w:p>
      <w:pPr>
        <w:pStyle w:val="30"/>
        <w:rPr>
          <w:rFonts w:asciiTheme="minorHAnsi" w:hAnsiTheme="minorHAnsi" w:eastAsiaTheme="minorEastAsia" w:cstheme="minorBidi"/>
          <w:sz w:val="21"/>
          <w:szCs w:val="22"/>
        </w:rPr>
      </w:pPr>
      <w:r>
        <w:fldChar w:fldCharType="begin"/>
      </w:r>
      <w:r>
        <w:instrText xml:space="preserve"> HYPERLINK \l "_Toc21525490" </w:instrText>
      </w:r>
      <w:r>
        <w:fldChar w:fldCharType="separate"/>
      </w:r>
      <w:r>
        <w:rPr>
          <w:rStyle w:val="44"/>
          <w:color w:val="auto"/>
        </w:rPr>
        <w:t>一、投标须知前附表</w:t>
      </w:r>
      <w:r>
        <w:tab/>
      </w:r>
      <w:r>
        <w:rPr>
          <w:rFonts w:hint="eastAsia" w:ascii="宋体" w:hAnsi="宋体"/>
          <w:caps/>
          <w:kern w:val="0"/>
          <w:szCs w:val="32"/>
        </w:rPr>
        <w:fldChar w:fldCharType="begin"/>
      </w:r>
      <w:r>
        <w:rPr>
          <w:rFonts w:hint="eastAsia" w:ascii="宋体" w:hAnsi="宋体"/>
          <w:caps/>
          <w:kern w:val="0"/>
          <w:szCs w:val="32"/>
        </w:rPr>
        <w:instrText xml:space="preserve"> PAGEREF _Toc21525490 \h </w:instrText>
      </w:r>
      <w:r>
        <w:rPr>
          <w:rFonts w:hint="eastAsia" w:ascii="宋体" w:hAnsi="宋体"/>
          <w:caps/>
          <w:kern w:val="0"/>
          <w:szCs w:val="32"/>
        </w:rPr>
        <w:fldChar w:fldCharType="separate"/>
      </w:r>
      <w:r>
        <w:rPr>
          <w:rFonts w:hint="eastAsia" w:ascii="宋体" w:hAnsi="宋体"/>
          <w:caps/>
          <w:kern w:val="0"/>
          <w:szCs w:val="32"/>
        </w:rPr>
        <w:t>19</w:t>
      </w:r>
      <w:r>
        <w:rPr>
          <w:rFonts w:hint="eastAsia" w:ascii="宋体" w:hAnsi="宋体"/>
          <w:caps/>
          <w:kern w:val="0"/>
          <w:szCs w:val="32"/>
        </w:rPr>
        <w:fldChar w:fldCharType="end"/>
      </w:r>
      <w:r>
        <w:rPr>
          <w:rFonts w:hint="eastAsia" w:ascii="宋体" w:hAnsi="宋体"/>
          <w:caps/>
          <w:kern w:val="0"/>
          <w:szCs w:val="32"/>
        </w:rPr>
        <w:fldChar w:fldCharType="end"/>
      </w:r>
    </w:p>
    <w:p>
      <w:pPr>
        <w:pStyle w:val="30"/>
        <w:rPr>
          <w:rFonts w:asciiTheme="minorHAnsi" w:hAnsiTheme="minorHAnsi" w:eastAsiaTheme="minorEastAsia" w:cstheme="minorBidi"/>
          <w:sz w:val="21"/>
          <w:szCs w:val="22"/>
        </w:rPr>
      </w:pPr>
      <w:r>
        <w:fldChar w:fldCharType="begin"/>
      </w:r>
      <w:r>
        <w:instrText xml:space="preserve"> HYPERLINK \l "_Toc21525491" </w:instrText>
      </w:r>
      <w:r>
        <w:fldChar w:fldCharType="separate"/>
      </w:r>
      <w:r>
        <w:rPr>
          <w:rStyle w:val="44"/>
          <w:color w:val="auto"/>
        </w:rPr>
        <w:t>二、投标须知修改表</w:t>
      </w:r>
      <w:r>
        <w:tab/>
      </w:r>
      <w:r>
        <w:rPr>
          <w:rFonts w:hint="eastAsia" w:ascii="宋体" w:hAnsi="宋体"/>
          <w:caps/>
          <w:kern w:val="0"/>
          <w:szCs w:val="32"/>
        </w:rPr>
        <w:fldChar w:fldCharType="begin"/>
      </w:r>
      <w:r>
        <w:rPr>
          <w:rFonts w:hint="eastAsia" w:ascii="宋体" w:hAnsi="宋体"/>
          <w:caps/>
          <w:kern w:val="0"/>
          <w:szCs w:val="32"/>
        </w:rPr>
        <w:instrText xml:space="preserve"> PAGEREF _Toc21525491 \h </w:instrText>
      </w:r>
      <w:r>
        <w:rPr>
          <w:rFonts w:hint="eastAsia" w:ascii="宋体" w:hAnsi="宋体"/>
          <w:caps/>
          <w:kern w:val="0"/>
          <w:szCs w:val="32"/>
        </w:rPr>
        <w:fldChar w:fldCharType="separate"/>
      </w:r>
      <w:r>
        <w:rPr>
          <w:rFonts w:hint="eastAsia" w:ascii="宋体" w:hAnsi="宋体"/>
          <w:caps/>
          <w:kern w:val="0"/>
          <w:szCs w:val="32"/>
        </w:rPr>
        <w:t>30</w:t>
      </w:r>
      <w:r>
        <w:rPr>
          <w:rFonts w:hint="eastAsia" w:ascii="宋体" w:hAnsi="宋体"/>
          <w:caps/>
          <w:kern w:val="0"/>
          <w:szCs w:val="32"/>
        </w:rPr>
        <w:fldChar w:fldCharType="end"/>
      </w:r>
      <w:r>
        <w:rPr>
          <w:rFonts w:hint="eastAsia" w:ascii="宋体" w:hAnsi="宋体"/>
          <w:caps/>
          <w:kern w:val="0"/>
          <w:szCs w:val="32"/>
        </w:rPr>
        <w:fldChar w:fldCharType="end"/>
      </w:r>
    </w:p>
    <w:p>
      <w:pPr>
        <w:pStyle w:val="26"/>
        <w:rPr>
          <w:rFonts w:asciiTheme="minorHAnsi" w:hAnsiTheme="minorHAnsi" w:cstheme="minorBidi"/>
          <w:caps w:val="0"/>
          <w:kern w:val="2"/>
          <w:sz w:val="21"/>
          <w:szCs w:val="22"/>
        </w:rPr>
      </w:pPr>
      <w:r>
        <w:fldChar w:fldCharType="begin"/>
      </w:r>
      <w:r>
        <w:instrText xml:space="preserve"> HYPERLINK \l "_Toc21525498" </w:instrText>
      </w:r>
      <w:r>
        <w:fldChar w:fldCharType="separate"/>
      </w:r>
      <w:r>
        <w:rPr>
          <w:rStyle w:val="44"/>
          <w:color w:val="auto"/>
        </w:rPr>
        <w:t>第二章  开标、评标及定标办法</w:t>
      </w:r>
      <w:r>
        <w:tab/>
      </w:r>
      <w:r>
        <w:rPr>
          <w:rFonts w:hint="eastAsia"/>
        </w:rPr>
        <w:t>4</w:t>
      </w:r>
      <w:r>
        <w:rPr>
          <w:rFonts w:hint="eastAsia"/>
        </w:rPr>
        <w:fldChar w:fldCharType="end"/>
      </w:r>
      <w:r>
        <w:rPr>
          <w:rFonts w:hint="eastAsia"/>
        </w:rPr>
        <w:t>7</w:t>
      </w:r>
    </w:p>
    <w:p>
      <w:pPr>
        <w:pStyle w:val="30"/>
        <w:rPr>
          <w:rFonts w:asciiTheme="minorHAnsi" w:hAnsiTheme="minorHAnsi" w:cstheme="minorBidi"/>
          <w:sz w:val="21"/>
          <w:szCs w:val="22"/>
        </w:rPr>
      </w:pPr>
      <w:r>
        <w:fldChar w:fldCharType="begin"/>
      </w:r>
      <w:r>
        <w:instrText xml:space="preserve"> HYPERLINK \l "_Toc21525499" </w:instrText>
      </w:r>
      <w:r>
        <w:fldChar w:fldCharType="separate"/>
      </w:r>
      <w:r>
        <w:rPr>
          <w:rStyle w:val="44"/>
          <w:color w:val="auto"/>
        </w:rPr>
        <w:t>一、开标、评标及定标办法修改表</w:t>
      </w:r>
      <w:r>
        <w:tab/>
      </w:r>
      <w:r>
        <w:rPr>
          <w:rFonts w:hint="eastAsia" w:ascii="宋体" w:hAnsi="宋体"/>
          <w:caps/>
          <w:kern w:val="0"/>
          <w:szCs w:val="32"/>
        </w:rPr>
        <w:t>4</w:t>
      </w:r>
      <w:r>
        <w:rPr>
          <w:rFonts w:hint="eastAsia" w:ascii="宋体" w:hAnsi="宋体"/>
          <w:caps/>
          <w:kern w:val="0"/>
          <w:szCs w:val="32"/>
        </w:rPr>
        <w:fldChar w:fldCharType="end"/>
      </w:r>
      <w:r>
        <w:rPr>
          <w:rFonts w:hint="eastAsia" w:ascii="宋体" w:hAnsi="宋体"/>
          <w:caps/>
          <w:kern w:val="0"/>
          <w:szCs w:val="32"/>
        </w:rPr>
        <w:t>7</w:t>
      </w:r>
    </w:p>
    <w:p>
      <w:pPr>
        <w:pStyle w:val="26"/>
        <w:rPr>
          <w:rFonts w:asciiTheme="minorHAnsi" w:hAnsiTheme="minorHAnsi" w:cstheme="minorBidi"/>
          <w:caps w:val="0"/>
          <w:kern w:val="2"/>
          <w:sz w:val="21"/>
          <w:szCs w:val="22"/>
        </w:rPr>
      </w:pPr>
      <w:r>
        <w:fldChar w:fldCharType="begin"/>
      </w:r>
      <w:r>
        <w:instrText xml:space="preserve"> HYPERLINK \l "_Toc21525511" </w:instrText>
      </w:r>
      <w:r>
        <w:fldChar w:fldCharType="separate"/>
      </w:r>
      <w:r>
        <w:rPr>
          <w:rStyle w:val="44"/>
          <w:color w:val="auto"/>
        </w:rPr>
        <w:t>第三章  合同条款</w:t>
      </w:r>
      <w:r>
        <w:tab/>
      </w:r>
      <w:r>
        <w:rPr>
          <w:rFonts w:hint="eastAsia"/>
        </w:rPr>
        <w:t>6</w:t>
      </w:r>
      <w:r>
        <w:rPr>
          <w:rFonts w:hint="eastAsia"/>
        </w:rPr>
        <w:fldChar w:fldCharType="end"/>
      </w:r>
      <w:r>
        <w:rPr>
          <w:rFonts w:hint="eastAsia"/>
        </w:rPr>
        <w:t>5</w:t>
      </w:r>
    </w:p>
    <w:p>
      <w:pPr>
        <w:pStyle w:val="26"/>
        <w:rPr>
          <w:rFonts w:asciiTheme="minorHAnsi" w:hAnsiTheme="minorHAnsi" w:cstheme="minorBidi"/>
          <w:caps w:val="0"/>
          <w:kern w:val="2"/>
          <w:sz w:val="21"/>
          <w:szCs w:val="22"/>
        </w:rPr>
      </w:pPr>
      <w:r>
        <w:fldChar w:fldCharType="begin"/>
      </w:r>
      <w:r>
        <w:instrText xml:space="preserve"> HYPERLINK \l "_Toc21525512" </w:instrText>
      </w:r>
      <w:r>
        <w:fldChar w:fldCharType="separate"/>
      </w:r>
      <w:r>
        <w:rPr>
          <w:rStyle w:val="44"/>
          <w:color w:val="auto"/>
        </w:rPr>
        <w:t>第四章  投标文件格式</w:t>
      </w:r>
      <w:r>
        <w:tab/>
      </w:r>
      <w:r>
        <w:rPr>
          <w:rFonts w:hint="eastAsia"/>
        </w:rPr>
        <w:t>2</w:t>
      </w:r>
      <w:r>
        <w:rPr>
          <w:rFonts w:hint="eastAsia"/>
        </w:rPr>
        <w:fldChar w:fldCharType="end"/>
      </w:r>
      <w:r>
        <w:rPr>
          <w:rFonts w:hint="eastAsia"/>
        </w:rPr>
        <w:t>30</w:t>
      </w:r>
    </w:p>
    <w:p>
      <w:pPr>
        <w:pStyle w:val="26"/>
        <w:rPr>
          <w:rFonts w:asciiTheme="minorHAnsi" w:hAnsiTheme="minorHAnsi" w:cstheme="minorBidi"/>
          <w:caps w:val="0"/>
          <w:kern w:val="2"/>
          <w:sz w:val="21"/>
          <w:szCs w:val="22"/>
        </w:rPr>
      </w:pPr>
      <w:r>
        <w:fldChar w:fldCharType="begin"/>
      </w:r>
      <w:r>
        <w:instrText xml:space="preserve"> HYPERLINK \l "_Toc21525513" </w:instrText>
      </w:r>
      <w:r>
        <w:fldChar w:fldCharType="separate"/>
      </w:r>
      <w:r>
        <w:rPr>
          <w:rStyle w:val="44"/>
          <w:color w:val="auto"/>
        </w:rPr>
        <w:t>第五章  技术条件（工程建设标准）</w:t>
      </w:r>
      <w:r>
        <w:tab/>
      </w:r>
      <w:r>
        <w:rPr>
          <w:rFonts w:hint="eastAsia"/>
        </w:rPr>
        <w:t>2</w:t>
      </w:r>
      <w:r>
        <w:rPr>
          <w:rFonts w:hint="eastAsia"/>
        </w:rPr>
        <w:fldChar w:fldCharType="end"/>
      </w:r>
      <w:r>
        <w:rPr>
          <w:rFonts w:hint="eastAsia"/>
        </w:rPr>
        <w:t>61</w:t>
      </w:r>
    </w:p>
    <w:p>
      <w:pPr>
        <w:pStyle w:val="26"/>
      </w:pPr>
      <w:r>
        <w:fldChar w:fldCharType="begin"/>
      </w:r>
      <w:r>
        <w:instrText xml:space="preserve"> HYPERLINK \l "_Toc21525513" </w:instrText>
      </w:r>
      <w:r>
        <w:fldChar w:fldCharType="separate"/>
      </w:r>
      <w:r>
        <w:rPr>
          <w:rStyle w:val="44"/>
          <w:color w:val="auto"/>
        </w:rPr>
        <w:t>第</w:t>
      </w:r>
      <w:r>
        <w:rPr>
          <w:rStyle w:val="44"/>
          <w:rFonts w:hint="eastAsia"/>
          <w:color w:val="auto"/>
        </w:rPr>
        <w:t>六</w:t>
      </w:r>
      <w:r>
        <w:rPr>
          <w:rStyle w:val="44"/>
          <w:color w:val="auto"/>
        </w:rPr>
        <w:t xml:space="preserve">章  </w:t>
      </w:r>
      <w:r>
        <w:rPr>
          <w:rStyle w:val="44"/>
          <w:rFonts w:hint="eastAsia"/>
          <w:color w:val="auto"/>
        </w:rPr>
        <w:t>智能建造要求</w:t>
      </w:r>
      <w:r>
        <w:tab/>
      </w:r>
      <w:r>
        <w:rPr>
          <w:rFonts w:hint="eastAsia"/>
        </w:rPr>
        <w:t>3</w:t>
      </w:r>
      <w:r>
        <w:rPr>
          <w:rFonts w:hint="eastAsia"/>
        </w:rPr>
        <w:fldChar w:fldCharType="end"/>
      </w:r>
      <w:r>
        <w:rPr>
          <w:rFonts w:hint="eastAsia"/>
        </w:rPr>
        <w:t>08</w:t>
      </w:r>
    </w:p>
    <w:p>
      <w:pPr>
        <w:pStyle w:val="26"/>
        <w:rPr>
          <w:rFonts w:asciiTheme="minorHAnsi" w:hAnsiTheme="minorHAnsi" w:cstheme="minorBidi"/>
          <w:caps w:val="0"/>
          <w:kern w:val="2"/>
          <w:sz w:val="21"/>
          <w:szCs w:val="22"/>
        </w:rPr>
      </w:pPr>
      <w:r>
        <w:fldChar w:fldCharType="begin"/>
      </w:r>
      <w:r>
        <w:instrText xml:space="preserve"> HYPERLINK \l "_Toc21525514" </w:instrText>
      </w:r>
      <w:r>
        <w:fldChar w:fldCharType="separate"/>
      </w:r>
      <w:r>
        <w:rPr>
          <w:rStyle w:val="44"/>
          <w:color w:val="auto"/>
        </w:rPr>
        <w:t>第</w:t>
      </w:r>
      <w:r>
        <w:rPr>
          <w:rStyle w:val="44"/>
          <w:rFonts w:hint="eastAsia"/>
          <w:color w:val="auto"/>
        </w:rPr>
        <w:t>七</w:t>
      </w:r>
      <w:r>
        <w:rPr>
          <w:rStyle w:val="44"/>
          <w:color w:val="auto"/>
        </w:rPr>
        <w:t>章  图纸及勘察资料</w:t>
      </w:r>
      <w:r>
        <w:tab/>
      </w:r>
      <w:r>
        <w:rPr>
          <w:rFonts w:hint="eastAsia"/>
        </w:rPr>
        <w:t>3</w:t>
      </w:r>
      <w:r>
        <w:rPr>
          <w:rFonts w:hint="eastAsia"/>
        </w:rPr>
        <w:fldChar w:fldCharType="end"/>
      </w:r>
      <w:r>
        <w:rPr>
          <w:rFonts w:hint="eastAsia"/>
        </w:rPr>
        <w:t>21</w:t>
      </w:r>
    </w:p>
    <w:p>
      <w:pPr>
        <w:pStyle w:val="26"/>
        <w:rPr>
          <w:rFonts w:asciiTheme="minorHAnsi" w:hAnsiTheme="minorHAnsi" w:cstheme="minorBidi"/>
          <w:caps w:val="0"/>
          <w:kern w:val="2"/>
          <w:sz w:val="21"/>
          <w:szCs w:val="22"/>
        </w:rPr>
      </w:pPr>
      <w:r>
        <w:fldChar w:fldCharType="begin"/>
      </w:r>
      <w:r>
        <w:instrText xml:space="preserve"> HYPERLINK \l "_Toc21525515" </w:instrText>
      </w:r>
      <w:r>
        <w:fldChar w:fldCharType="separate"/>
      </w:r>
      <w:r>
        <w:rPr>
          <w:rStyle w:val="44"/>
          <w:color w:val="auto"/>
        </w:rPr>
        <w:t>第</w:t>
      </w:r>
      <w:r>
        <w:rPr>
          <w:rStyle w:val="44"/>
          <w:rFonts w:hint="eastAsia"/>
          <w:color w:val="auto"/>
        </w:rPr>
        <w:t>八</w:t>
      </w:r>
      <w:r>
        <w:rPr>
          <w:rStyle w:val="44"/>
          <w:color w:val="auto"/>
        </w:rPr>
        <w:t>章  工程量清单</w:t>
      </w:r>
      <w:r>
        <w:tab/>
      </w:r>
      <w:r>
        <w:rPr>
          <w:rFonts w:hint="eastAsia"/>
        </w:rPr>
        <w:t>3</w:t>
      </w:r>
      <w:r>
        <w:rPr>
          <w:rFonts w:hint="eastAsia"/>
        </w:rPr>
        <w:fldChar w:fldCharType="end"/>
      </w:r>
      <w:r>
        <w:rPr>
          <w:rFonts w:hint="eastAsia"/>
        </w:rPr>
        <w:t>22</w:t>
      </w:r>
    </w:p>
    <w:p>
      <w:pPr>
        <w:pStyle w:val="26"/>
      </w:pPr>
      <w:r>
        <w:fldChar w:fldCharType="begin"/>
      </w:r>
      <w:r>
        <w:instrText xml:space="preserve"> HYPERLINK \l "_Toc21525516" </w:instrText>
      </w:r>
      <w:r>
        <w:fldChar w:fldCharType="separate"/>
      </w:r>
      <w:r>
        <w:rPr>
          <w:rStyle w:val="44"/>
          <w:color w:val="auto"/>
        </w:rPr>
        <w:t>第</w:t>
      </w:r>
      <w:r>
        <w:rPr>
          <w:rStyle w:val="44"/>
          <w:rFonts w:hint="eastAsia"/>
          <w:color w:val="auto"/>
        </w:rPr>
        <w:t>九</w:t>
      </w:r>
      <w:r>
        <w:rPr>
          <w:rStyle w:val="44"/>
          <w:color w:val="auto"/>
        </w:rPr>
        <w:t>章  最高投标限价</w:t>
      </w:r>
      <w:r>
        <w:tab/>
      </w:r>
      <w:r>
        <w:rPr>
          <w:rFonts w:hint="eastAsia"/>
        </w:rPr>
        <w:t>3</w:t>
      </w:r>
      <w:r>
        <w:rPr>
          <w:rFonts w:hint="eastAsia"/>
        </w:rPr>
        <w:fldChar w:fldCharType="end"/>
      </w:r>
      <w:r>
        <w:rPr>
          <w:rFonts w:hint="eastAsia"/>
        </w:rPr>
        <w:t>23</w:t>
      </w:r>
    </w:p>
    <w:p>
      <w:r>
        <w:br w:type="page"/>
      </w:r>
    </w:p>
    <w:p/>
    <w:p>
      <w:pPr>
        <w:pStyle w:val="3"/>
        <w:jc w:val="center"/>
        <w:rPr>
          <w:b/>
          <w:bCs/>
        </w:rPr>
      </w:pPr>
      <w:r>
        <w:fldChar w:fldCharType="end"/>
      </w:r>
      <w:bookmarkStart w:id="0" w:name="_Toc21525489"/>
      <w:bookmarkStart w:id="1" w:name="_Toc2272545"/>
      <w:r>
        <w:rPr>
          <w:rFonts w:hint="eastAsia"/>
          <w:b/>
          <w:bCs/>
        </w:rPr>
        <w:t>第一章</w:t>
      </w:r>
      <w:r>
        <w:rPr>
          <w:b/>
          <w:bCs/>
        </w:rPr>
        <w:t xml:space="preserve">  </w:t>
      </w:r>
      <w:r>
        <w:rPr>
          <w:rFonts w:hint="eastAsia"/>
          <w:b/>
          <w:bCs/>
        </w:rPr>
        <w:t>投标须知</w:t>
      </w:r>
      <w:bookmarkEnd w:id="0"/>
      <w:bookmarkEnd w:id="1"/>
    </w:p>
    <w:p>
      <w:pPr>
        <w:pStyle w:val="4"/>
        <w:rPr>
          <w:color w:val="auto"/>
        </w:rPr>
      </w:pPr>
      <w:bookmarkStart w:id="2" w:name="_Toc2272546"/>
      <w:bookmarkStart w:id="3" w:name="_Toc21525490"/>
      <w:r>
        <w:rPr>
          <w:rFonts w:hint="eastAsia"/>
          <w:color w:val="auto"/>
        </w:rPr>
        <w:t>一、投标须知前附表</w:t>
      </w:r>
      <w:bookmarkEnd w:id="2"/>
      <w:bookmarkEnd w:id="3"/>
    </w:p>
    <w:p>
      <w:pPr>
        <w:pStyle w:val="8"/>
        <w:spacing w:line="360" w:lineRule="auto"/>
        <w:ind w:firstLine="0"/>
        <w:rPr>
          <w:rFonts w:ascii="宋体" w:hAnsi="宋体"/>
          <w:b/>
          <w:sz w:val="24"/>
          <w:szCs w:val="24"/>
        </w:rPr>
      </w:pPr>
      <w:r>
        <w:rPr>
          <w:rFonts w:hint="eastAsia" w:ascii="宋体" w:hAnsi="宋体"/>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szCs w:val="21"/>
              </w:rPr>
            </w:pPr>
            <w:r>
              <w:rPr>
                <w:rFonts w:hint="eastAsia" w:ascii="宋体" w:hAnsi="宋体"/>
                <w:szCs w:val="21"/>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0"/>
              <w:ind w:firstLine="458"/>
              <w:jc w:val="center"/>
              <w:rPr>
                <w:rFonts w:ascii="宋体" w:hAnsi="宋体"/>
                <w:szCs w:val="21"/>
              </w:rPr>
            </w:pPr>
            <w:r>
              <w:rPr>
                <w:rFonts w:hint="eastAsia" w:ascii="宋体" w:hAnsi="宋体"/>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招标人（即发包人）：</w:t>
            </w:r>
            <w:r>
              <w:rPr>
                <w:rFonts w:hint="eastAsia" w:ascii="宋体" w:hAnsi="宋体"/>
                <w:szCs w:val="21"/>
                <w:u w:val="single"/>
              </w:rPr>
              <w:t>广东省机场管理集团有限公司工程建设指挥部</w:t>
            </w:r>
          </w:p>
          <w:p>
            <w:pPr>
              <w:rPr>
                <w:rFonts w:ascii="宋体" w:hAnsi="宋体"/>
                <w:szCs w:val="21"/>
              </w:rPr>
            </w:pPr>
            <w:r>
              <w:rPr>
                <w:rFonts w:hint="eastAsia" w:ascii="宋体" w:hAnsi="宋体"/>
                <w:szCs w:val="21"/>
              </w:rPr>
              <w:t>招标代理：</w:t>
            </w:r>
            <w:r>
              <w:rPr>
                <w:rFonts w:hint="eastAsia" w:ascii="宋体" w:hAnsi="宋体"/>
                <w:szCs w:val="21"/>
                <w:u w:val="single"/>
              </w:rPr>
              <w:t>国义招标股份有限公司</w:t>
            </w:r>
          </w:p>
          <w:p>
            <w:pPr>
              <w:rPr>
                <w:rFonts w:ascii="宋体" w:hAnsi="宋体"/>
                <w:szCs w:val="21"/>
              </w:rPr>
            </w:pPr>
            <w:r>
              <w:rPr>
                <w:rFonts w:hint="eastAsia" w:ascii="宋体" w:hAnsi="宋体"/>
                <w:szCs w:val="21"/>
                <w:highlight w:val="none"/>
              </w:rPr>
              <w:t>设计单位：</w:t>
            </w:r>
            <w:r>
              <w:rPr>
                <w:rFonts w:hint="eastAsia" w:ascii="宋体" w:hAnsi="宋体"/>
                <w:szCs w:val="21"/>
                <w:highlight w:val="none"/>
                <w:u w:val="single"/>
              </w:rPr>
              <w:t>广东省建筑设计研究院有限公司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szCs w:val="21"/>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szCs w:val="21"/>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szCs w:val="21"/>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依据建设工程工程量清单计价规范（GB50500-2013）,包工、包料、包工期、包质量、包安全、包文明施工。分部分项工程和单价措施项目采用综合单价计价；合价措施项目采用综合合价包干；以系数计算的绿色施工安全防护措施费按合同相应条款执行。当措施项目费及其他项目费中某子项目实际无发生时，该单项费用业主有权取消，承包人不得有异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（1）工程质量目标：合格。</w:t>
            </w:r>
          </w:p>
          <w:p>
            <w:pPr>
              <w:rPr>
                <w:rFonts w:ascii="宋体" w:hAnsi="宋体"/>
                <w:szCs w:val="21"/>
              </w:rPr>
            </w:pPr>
            <w:r>
              <w:rPr>
                <w:rFonts w:hint="eastAsia" w:ascii="宋体" w:hAnsi="宋体"/>
                <w:szCs w:val="21"/>
              </w:rPr>
              <w:t>（2）工程安全目标：年负伤率控制在0.3%内，年死亡事故为0，火灾、交通及其他较大以上生产安全事故为0；争创省、市安全文明施工工地。若发生死亡事故，每死亡一人，罚款500万元。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szCs w:val="21"/>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详见招标公告</w:t>
            </w:r>
            <w:r>
              <w:rPr>
                <w:rFonts w:ascii="宋体" w:hAnsi="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szCs w:val="21"/>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120</w:t>
            </w:r>
            <w:r>
              <w:rPr>
                <w:rFonts w:hint="eastAsia" w:ascii="宋体" w:hAnsi="宋体"/>
                <w:szCs w:val="21"/>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ind w:firstLine="420" w:firstLineChars="200"/>
            </w:pPr>
            <w:r>
              <w:t xml:space="preserve">  </w:t>
            </w:r>
            <w:r>
              <w:rPr>
                <w:rFonts w:hint="eastAsia"/>
              </w:rPr>
              <w:t>50</w:t>
            </w:r>
            <w:r>
              <w:t xml:space="preserve">  </w:t>
            </w:r>
            <w:r>
              <w:rPr>
                <w:rFonts w:hint="eastAsia"/>
              </w:rPr>
              <w:t>万元人民币，缴纳时间在</w:t>
            </w:r>
            <w:r>
              <w:t xml:space="preserve">  </w:t>
            </w:r>
            <w:r>
              <w:rPr>
                <w:rFonts w:hint="eastAsia"/>
              </w:rPr>
              <w:t>开标</w:t>
            </w:r>
            <w:r>
              <w:t xml:space="preserve">  </w:t>
            </w:r>
            <w:r>
              <w:rPr>
                <w:rFonts w:hint="eastAsia"/>
              </w:rPr>
              <w:t>之前。</w:t>
            </w:r>
          </w:p>
          <w:p>
            <w:pPr>
              <w:snapToGrid w:val="0"/>
            </w:pPr>
            <w:r>
              <w:rPr>
                <w:rFonts w:hint="eastAsia"/>
              </w:rPr>
              <w:t>1.投标保证金可采用现金、支票、投标保函、投标保证保险的形式，须在递交投标文件截止时间前完成缴纳。</w:t>
            </w:r>
          </w:p>
          <w:p>
            <w:pPr>
              <w:snapToGrid w:val="0"/>
            </w:pPr>
            <w:r>
              <w:rPr>
                <w:rFonts w:hint="eastAsia"/>
              </w:rPr>
              <w:t>（1）如采用现金、支票或汇票形式提交的，投标保证金从投标人基本账户递交，由广州公共资源交易中心代收。具体操作要求请详细阅读广州公共资源交易中心网站，递交事宜请自行咨询交易中心；请各投标人在投标文件递交截止时间前按上述金额递交至广州公共资源交易中心，到账情况以开标时广州公共资源交易中心数据库査询的信息为准。</w:t>
            </w:r>
          </w:p>
          <w:p>
            <w:r>
              <w:rPr>
                <w:rFonts w:hint="eastAsia"/>
              </w:rPr>
              <w:t>（2）如采用保函（纸质版）或保险（专业工程担保公司担保）等形式提交的，投标人须在开标当天提交纸质原件。投标人应在投标文件中提交保函、担保或保证保险扫描件并加盖投标人电子印章。银行保函需开具给招标人，银行保函有效期不少于投标有效期。保证保险（专业工程担保公司担保）需开具给招标人（受益人也必须是招标人），保证保险（专业工程担保公司担保）有效期不少于投标有效期。</w:t>
            </w:r>
          </w:p>
          <w:p>
            <w:r>
              <w:rPr>
                <w:rFonts w:hint="eastAsia"/>
              </w:rPr>
              <w:t>（3）本项目允许递交电子保函，具体操作详见广州公共资源交易中心电子保函操作指引。</w:t>
            </w:r>
          </w:p>
          <w:p>
            <w:pPr>
              <w:pStyle w:val="19"/>
            </w:pPr>
            <w:r>
              <w:rPr>
                <w:rFonts w:hint="eastAsia"/>
              </w:rPr>
              <w:t>（4）若为联合体投标的，投标保证金由主办方提交。</w:t>
            </w:r>
          </w:p>
          <w:p>
            <w:pPr>
              <w:pStyle w:val="2"/>
              <w:ind w:left="0" w:leftChars="0"/>
              <w:rPr>
                <w:b/>
                <w:bCs/>
              </w:rPr>
            </w:pPr>
            <w:r>
              <w:rPr>
                <w:rFonts w:hint="eastAsia"/>
                <w:b/>
                <w:bCs/>
              </w:rPr>
              <w:t>投标保证金退还方式：</w:t>
            </w:r>
          </w:p>
          <w:p>
            <w:pPr>
              <w:pStyle w:val="2"/>
              <w:ind w:left="0" w:leftChars="0"/>
            </w:pPr>
            <w:r>
              <w:rPr>
                <w:rFonts w:hint="eastAsia"/>
              </w:rPr>
              <w:t>（1）如采用现金、支票或汇票形式提交的，由广州公共资源交易中心代退还，退还规定详见广州公共资源交易中心网站；</w:t>
            </w:r>
          </w:p>
          <w:p>
            <w:pPr>
              <w:pStyle w:val="2"/>
              <w:ind w:left="0" w:leftChars="0"/>
            </w:pPr>
            <w:r>
              <w:rPr>
                <w:rFonts w:hint="eastAsia"/>
              </w:rPr>
              <w:t>（2）如投标保证金提交形式为保函（纸质版）或保险（专业工程担保公司担保）的，非中标单位可在中标通知书发出后5日内联系招标代理进行取回，中标单位可在书面合同签订后5日内联系招标代理进行取回，逾期将视为放弃；</w:t>
            </w:r>
          </w:p>
          <w:p>
            <w:pPr>
              <w:pStyle w:val="2"/>
              <w:ind w:left="0" w:leftChars="0"/>
            </w:pPr>
            <w:r>
              <w:rPr>
                <w:rFonts w:hint="eastAsia"/>
              </w:rPr>
              <w:t>（3）如投标保证金递交形式为电子保函的，退还情况及操作流程详见广州公共资源交易中心电子保函操作指引。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20"/>
              <w:rPr>
                <w:rFonts w:ascii="宋体" w:hAnsi="宋体"/>
                <w:szCs w:val="21"/>
              </w:rPr>
            </w:pPr>
            <w:r>
              <w:rPr>
                <w:rFonts w:hint="eastAsia" w:ascii="宋体" w:hAnsi="宋体" w:cs="等线"/>
                <w:kern w:val="2"/>
                <w:sz w:val="21"/>
                <w:szCs w:val="21"/>
              </w:rPr>
              <w:t>招标人不集中组织，由投标人自行踏勘。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疑问提交时间：</w:t>
            </w:r>
            <w:r>
              <w:rPr>
                <w:rFonts w:hint="eastAsia" w:ascii="宋体" w:hAnsi="宋体"/>
                <w:szCs w:val="21"/>
                <w:u w:val="single"/>
              </w:rPr>
              <w:t>2023</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r>
              <w:rPr>
                <w:rFonts w:hint="eastAsia" w:ascii="宋体" w:hAnsi="宋体"/>
                <w:szCs w:val="21"/>
              </w:rPr>
              <w:t>时前；</w:t>
            </w:r>
          </w:p>
          <w:p>
            <w:pPr>
              <w:rPr>
                <w:rFonts w:ascii="宋体" w:hAnsi="宋体"/>
                <w:szCs w:val="21"/>
              </w:rPr>
            </w:pPr>
            <w:r>
              <w:rPr>
                <w:rFonts w:hint="eastAsia" w:ascii="宋体" w:hAnsi="宋体"/>
                <w:szCs w:val="21"/>
              </w:rPr>
              <w:t>形式：投标人的疑问通过</w:t>
            </w:r>
            <w:r>
              <w:rPr>
                <w:rFonts w:hint="eastAsia" w:ascii="宋体" w:hAnsi="宋体"/>
                <w:szCs w:val="21"/>
                <w:u w:val="single"/>
              </w:rPr>
              <w:t>广州公共资源交易中心</w:t>
            </w:r>
            <w:r>
              <w:rPr>
                <w:rFonts w:ascii="宋体" w:hAnsi="宋体"/>
                <w:sz w:val="24"/>
                <w:szCs w:val="24"/>
                <w:u w:val="single"/>
              </w:rPr>
              <w:t xml:space="preserve"> </w:t>
            </w:r>
            <w:r>
              <w:rPr>
                <w:rFonts w:hint="eastAsia" w:ascii="宋体" w:hAnsi="宋体"/>
                <w:sz w:val="24"/>
                <w:szCs w:val="24"/>
              </w:rPr>
              <w:t>交易平台</w:t>
            </w:r>
            <w:r>
              <w:rPr>
                <w:rFonts w:hint="eastAsia" w:ascii="宋体" w:hAnsi="宋体"/>
                <w:szCs w:val="21"/>
              </w:rPr>
              <w:t>提交。</w:t>
            </w:r>
          </w:p>
          <w:p>
            <w:pPr>
              <w:rPr>
                <w:rFonts w:ascii="宋体" w:hAnsi="宋体"/>
                <w:szCs w:val="21"/>
              </w:rPr>
            </w:pPr>
            <w:r>
              <w:rPr>
                <w:rFonts w:hint="eastAsia" w:ascii="宋体" w:hAnsi="宋体"/>
                <w:szCs w:val="21"/>
              </w:rPr>
              <w:t>具体要求：按照交易平台关于全流程电子化项目的相关指南进行操作，详见：</w:t>
            </w:r>
            <w:r>
              <w:rPr>
                <w:rFonts w:hint="eastAsia" w:ascii="宋体" w:hAnsi="宋体"/>
                <w:szCs w:val="21"/>
                <w:u w:val="single"/>
              </w:rPr>
              <w:t>广州公共资源交易中心网站</w:t>
            </w:r>
            <w:r>
              <w:rPr>
                <w:rFonts w:hint="eastAsia" w:ascii="宋体" w:hAnsi="宋体"/>
                <w:szCs w:val="21"/>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r>
              <w:rPr>
                <w:rFonts w:hint="eastAsia"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20</w:t>
            </w: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ascii="宋体" w:hAnsi="宋体"/>
                <w:szCs w:val="21"/>
                <w:u w:val="single"/>
              </w:rPr>
              <w:t>2023</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w:t>
            </w:r>
            <w:r>
              <w:rPr>
                <w:rFonts w:hint="eastAsia" w:ascii="宋体" w:hAnsi="宋体"/>
                <w:szCs w:val="21"/>
              </w:rPr>
              <w:t>分（北京时间）。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（技术标和经济标同时开标）</w:t>
            </w:r>
          </w:p>
          <w:p>
            <w:pPr>
              <w:rPr>
                <w:rFonts w:ascii="宋体" w:hAnsi="宋体"/>
                <w:szCs w:val="21"/>
                <w:u w:val="single"/>
              </w:rPr>
            </w:pPr>
            <w:r>
              <w:rPr>
                <w:rFonts w:hint="eastAsia" w:ascii="宋体" w:hAnsi="宋体"/>
                <w:szCs w:val="21"/>
              </w:rPr>
              <w:t>1、开标开始时间：</w:t>
            </w:r>
            <w:r>
              <w:rPr>
                <w:rFonts w:hint="eastAsia" w:ascii="宋体" w:hAnsi="宋体"/>
                <w:szCs w:val="21"/>
                <w:u w:val="single"/>
              </w:rPr>
              <w:t>2023</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w:t>
            </w:r>
            <w:r>
              <w:rPr>
                <w:rFonts w:hint="eastAsia" w:ascii="宋体" w:hAnsi="宋体"/>
                <w:szCs w:val="21"/>
              </w:rPr>
              <w:t>分（与</w:t>
            </w:r>
            <w:r>
              <w:rPr>
                <w:rFonts w:ascii="宋体" w:hAnsi="宋体"/>
                <w:szCs w:val="21"/>
              </w:rPr>
              <w:t>投标截止时间</w:t>
            </w:r>
            <w:r>
              <w:rPr>
                <w:rFonts w:hint="eastAsia" w:ascii="宋体" w:hAnsi="宋体"/>
                <w:szCs w:val="21"/>
              </w:rPr>
              <w:t>为</w:t>
            </w:r>
            <w:r>
              <w:rPr>
                <w:rFonts w:ascii="宋体" w:hAnsi="宋体"/>
                <w:szCs w:val="21"/>
              </w:rPr>
              <w:t>同一时间</w:t>
            </w:r>
            <w:r>
              <w:rPr>
                <w:rFonts w:hint="eastAsia" w:ascii="宋体" w:hAnsi="宋体"/>
                <w:szCs w:val="21"/>
              </w:rPr>
              <w:t>），地点：</w:t>
            </w:r>
            <w:r>
              <w:rPr>
                <w:rFonts w:hint="eastAsia" w:ascii="宋体" w:hAnsi="宋体"/>
                <w:szCs w:val="21"/>
                <w:u w:val="single"/>
              </w:rPr>
              <w:t>广州公共资源交易中</w:t>
            </w:r>
            <w:r>
              <w:rPr>
                <w:rFonts w:hint="eastAsia" w:ascii="宋体" w:hAnsi="宋体"/>
                <w:u w:val="single"/>
              </w:rPr>
              <w:t xml:space="preserve">第  </w:t>
            </w:r>
            <w:r>
              <w:rPr>
                <w:rFonts w:hint="eastAsia" w:ascii="宋体" w:hAnsi="宋体"/>
                <w:szCs w:val="21"/>
                <w:u w:val="single"/>
              </w:rPr>
              <w:t>开标室，投标人也可选择参加在线开标，具体按照交易平台相关指南进行操作。详见：广州公共资源交易中心平台。</w:t>
            </w:r>
          </w:p>
          <w:p>
            <w:pPr>
              <w:rPr>
                <w:rFonts w:ascii="宋体" w:hAnsi="宋体"/>
                <w:szCs w:val="21"/>
              </w:rPr>
            </w:pPr>
            <w:r>
              <w:rPr>
                <w:rFonts w:hint="eastAsia" w:ascii="宋体" w:hAnsi="宋体"/>
                <w:szCs w:val="21"/>
              </w:rPr>
              <w:t>注：投标文件解密问题。投标人只用执行一次解密，招标人执行解密次数根据招标文件开标次数确定。</w:t>
            </w:r>
          </w:p>
          <w:p>
            <w:pPr>
              <w:rPr>
                <w:rFonts w:ascii="宋体" w:hAnsi="宋体"/>
              </w:rPr>
            </w:pPr>
            <w:r>
              <w:rPr>
                <w:rFonts w:hint="eastAsia" w:ascii="宋体" w:hAnsi="宋体"/>
                <w:szCs w:val="21"/>
              </w:rPr>
              <w:t>2、递交投标文件备用光盘时间：</w:t>
            </w:r>
            <w:r>
              <w:rPr>
                <w:rFonts w:hint="eastAsia" w:ascii="宋体" w:hAnsi="宋体"/>
                <w:szCs w:val="21"/>
                <w:u w:val="single"/>
              </w:rPr>
              <w:t>2023</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w:t>
            </w:r>
            <w:r>
              <w:rPr>
                <w:rFonts w:hint="eastAsia" w:ascii="宋体" w:hAnsi="宋体"/>
                <w:szCs w:val="21"/>
              </w:rPr>
              <w:t>分至</w:t>
            </w:r>
            <w:r>
              <w:rPr>
                <w:rFonts w:hint="eastAsia" w:ascii="宋体" w:hAnsi="宋体"/>
                <w:szCs w:val="21"/>
                <w:u w:val="single"/>
              </w:rPr>
              <w:t>2023</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w:t>
            </w:r>
            <w:r>
              <w:rPr>
                <w:rFonts w:hint="eastAsia" w:ascii="宋体" w:hAnsi="宋体"/>
                <w:szCs w:val="21"/>
              </w:rPr>
              <w:t>分；递交地点</w:t>
            </w:r>
            <w:r>
              <w:rPr>
                <w:rFonts w:hint="eastAsia" w:ascii="宋体" w:hAnsi="宋体"/>
                <w:szCs w:val="21"/>
                <w:u w:val="single"/>
              </w:rPr>
              <w:t>广州公共资源交易中</w:t>
            </w:r>
            <w:r>
              <w:rPr>
                <w:rFonts w:hint="eastAsia" w:ascii="宋体" w:hAnsi="宋体"/>
                <w:u w:val="single"/>
              </w:rPr>
              <w:t xml:space="preserve">第  </w:t>
            </w:r>
            <w:r>
              <w:rPr>
                <w:rFonts w:hint="eastAsia" w:ascii="宋体" w:hAnsi="宋体"/>
                <w:szCs w:val="21"/>
                <w:u w:val="single"/>
              </w:rPr>
              <w:t>开标室</w:t>
            </w:r>
            <w:r>
              <w:rPr>
                <w:rFonts w:hint="eastAsia" w:ascii="宋体" w:hAnsi="宋体"/>
              </w:rPr>
              <w:t>。(建议安排在投标文件截止时间前15分钟至投标文件截止时间）</w:t>
            </w:r>
          </w:p>
          <w:p>
            <w:pPr>
              <w:rPr>
                <w:rFonts w:ascii="宋体" w:hAnsi="宋体"/>
                <w:szCs w:val="21"/>
              </w:rPr>
            </w:pPr>
            <w:r>
              <w:rPr>
                <w:rFonts w:hint="eastAsia" w:ascii="宋体" w:hAnsi="宋体" w:cs="仿宋_GB2312"/>
              </w:rPr>
              <w:t>上述时间及地点是否有改变，请密切留意招标答疑纪要的相关信息。若投标人不参加开标会的，其投标文件在开标现场的投标人或招标人代表、招标代理机构代表及交易中心代表见证下公开开启、解密、公布，并视同该投标人认可开标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35"/>
              <w:ind w:firstLine="0"/>
              <w:rPr>
                <w:rFonts w:ascii="宋体" w:hAnsi="宋体"/>
                <w:szCs w:val="21"/>
              </w:rPr>
            </w:pPr>
            <w:r>
              <w:rPr>
                <w:rFonts w:hint="eastAsia" w:ascii="宋体" w:hAnsi="宋体"/>
                <w:szCs w:val="21"/>
              </w:rPr>
              <w:t>方式一：选取方法</w:t>
            </w:r>
            <w:r>
              <w:rPr>
                <w:rFonts w:hint="eastAsia" w:ascii="宋体" w:hAnsi="宋体"/>
                <w:szCs w:val="21"/>
                <w:u w:val="single"/>
              </w:rPr>
              <w:t xml:space="preserve"> </w:t>
            </w:r>
            <w:r>
              <w:rPr>
                <w:rFonts w:hint="eastAsia" w:ascii="宋体" w:hAnsi="宋体" w:cs="等线"/>
                <w:b/>
                <w:szCs w:val="21"/>
                <w:u w:val="single"/>
              </w:rPr>
              <w:t>六</w:t>
            </w:r>
            <w:r>
              <w:rPr>
                <w:rFonts w:hint="eastAsia" w:ascii="宋体" w:hAnsi="宋体"/>
                <w:szCs w:val="21"/>
                <w:u w:val="single"/>
              </w:rPr>
              <w:t xml:space="preserve">  </w:t>
            </w:r>
            <w:r>
              <w:rPr>
                <w:rFonts w:hint="eastAsia" w:ascii="宋体" w:hAnsi="宋体"/>
                <w:szCs w:val="21"/>
              </w:rPr>
              <w:t>；</w:t>
            </w:r>
            <w:r>
              <w:rPr>
                <w:rFonts w:hint="eastAsia" w:ascii="宋体" w:hAnsi="宋体" w:cs="等线"/>
                <w:szCs w:val="21"/>
              </w:rPr>
              <w:t>（适合综合评分法三，技术标与经济标同时开启）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rPr>
            </w:pPr>
            <w:r>
              <w:rPr>
                <w:rFonts w:hint="eastAsia" w:ascii="宋体" w:hAnsi="宋体"/>
              </w:rPr>
              <w:t>具体要求见合同相关条款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rPr>
              <w:t>绿色施工安全防护措施</w:t>
            </w:r>
            <w:r>
              <w:rPr>
                <w:rFonts w:hint="eastAsia" w:ascii="宋体" w:hAnsi="宋体"/>
              </w:rPr>
              <w:t>费为4,335,633.18元，暂列金额为15,267,251.21元，联合调试试运行电费4,587,155.96元。（未按</w:t>
            </w:r>
            <w:r>
              <w:rPr>
                <w:rFonts w:hint="eastAsia"/>
              </w:rPr>
              <w:t>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35"/>
              <w:ind w:firstLine="0"/>
              <w:rPr>
                <w:rFonts w:ascii="宋体" w:hAnsi="宋体"/>
                <w:szCs w:val="21"/>
              </w:rPr>
            </w:pPr>
            <w:r>
              <w:rPr>
                <w:rFonts w:hint="eastAsia" w:ascii="宋体" w:hAnsi="宋体"/>
                <w:szCs w:val="21"/>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u w:val="single"/>
              </w:rPr>
              <w:t>计算评标参考价的投标人数量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szCs w:val="21"/>
                <w:u w:val="single"/>
              </w:rPr>
              <w:t>招标人开标现场抽取确定技术标得分前N（N值从5、6、7中随机抽取）名的投标人数量计算评标参考价</w:t>
            </w:r>
            <w:r>
              <w:rPr>
                <w:rFonts w:ascii="宋体" w:hAnsi="宋体"/>
                <w:szCs w:val="21"/>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1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hint="eastAsia" w:ascii="宋体" w:hAnsi="宋体"/>
                <w:szCs w:val="21"/>
              </w:rPr>
              <w:t>通过技术有效性审查的投标人均进入第二阶段（适用于通过技术有效性审查家数在[3,</w:t>
            </w:r>
            <w:r>
              <w:rPr>
                <w:rFonts w:hint="eastAsia" w:ascii="宋体" w:hAnsi="宋体"/>
                <w:szCs w:val="21"/>
                <w:u w:val="single"/>
              </w:rPr>
              <w:t>9</w:t>
            </w:r>
            <w:r>
              <w:rPr>
                <w:rFonts w:hint="eastAsia" w:ascii="宋体" w:hAnsi="宋体"/>
                <w:szCs w:val="21"/>
              </w:rPr>
              <w:t>]中的）。</w:t>
            </w:r>
          </w:p>
          <w:p>
            <w:pPr>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2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szCs w:val="21"/>
              </w:rPr>
              <w:t>将第一阶段得分由高至低排序，前</w:t>
            </w:r>
            <w:r>
              <w:rPr>
                <w:rFonts w:hint="eastAsia" w:ascii="宋体" w:hAnsi="宋体"/>
                <w:szCs w:val="21"/>
                <w:u w:val="single"/>
              </w:rPr>
              <w:t xml:space="preserve"> 9 </w:t>
            </w:r>
            <w:r>
              <w:rPr>
                <w:rFonts w:hint="eastAsia" w:ascii="宋体" w:hAnsi="宋体"/>
                <w:szCs w:val="21"/>
              </w:rPr>
              <w:t>名投标人进入第二阶段评审（适用于通过技术有效性审查家数大于</w:t>
            </w:r>
            <w:r>
              <w:rPr>
                <w:rFonts w:hint="eastAsia" w:ascii="宋体" w:hAnsi="宋体"/>
                <w:szCs w:val="21"/>
                <w:u w:val="single"/>
              </w:rPr>
              <w:t xml:space="preserve"> 9 </w:t>
            </w:r>
            <w:r>
              <w:rPr>
                <w:rFonts w:hint="eastAsia" w:ascii="宋体" w:hAnsi="宋体"/>
                <w:szCs w:val="21"/>
              </w:rPr>
              <w:t>家的，招标人可根据工程具体情况，确定不少于</w:t>
            </w:r>
            <w:r>
              <w:rPr>
                <w:rFonts w:hint="eastAsia" w:ascii="宋体" w:hAnsi="宋体"/>
                <w:szCs w:val="21"/>
                <w:u w:val="single"/>
              </w:rPr>
              <w:t xml:space="preserve"> 9  </w:t>
            </w:r>
            <w:r>
              <w:rPr>
                <w:rFonts w:hint="eastAsia" w:ascii="宋体" w:hAnsi="宋体"/>
                <w:szCs w:val="21"/>
              </w:rPr>
              <w:t>家进入第二阶段）。</w:t>
            </w:r>
          </w:p>
          <w:p>
            <w:pPr>
              <w:rPr>
                <w:rFonts w:ascii="宋体" w:hAnsi="宋体"/>
                <w:szCs w:val="21"/>
              </w:rPr>
            </w:pPr>
            <w:r>
              <w:rPr>
                <w:rFonts w:hint="eastAsia" w:ascii="宋体" w:hAnsi="宋体"/>
                <w:szCs w:val="21"/>
              </w:rPr>
              <w:t>注：本款适用于选择评标办法一至评标办法六。进入第二阶段的投标人家数应符合</w:t>
            </w:r>
            <w:r>
              <w:rPr>
                <w:rFonts w:hint="eastAsia" w:ascii="宋体" w:hAnsi="宋体" w:cs="仿宋_GB2312"/>
                <w:szCs w:val="21"/>
              </w:rPr>
              <w:t>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ascii="宋体" w:hAnsi="宋体"/>
                <w:szCs w:val="21"/>
                <w:u w:val="single"/>
              </w:rPr>
              <w:t>本项目投标成</w:t>
            </w:r>
            <w:r>
              <w:rPr>
                <w:rFonts w:ascii="宋体" w:hAnsi="宋体"/>
                <w:szCs w:val="21"/>
                <w:highlight w:val="none"/>
                <w:u w:val="single"/>
              </w:rPr>
              <w:t>本警戒线为</w:t>
            </w:r>
            <w:r>
              <w:rPr>
                <w:rFonts w:hint="eastAsia" w:ascii="宋体" w:hAnsi="宋体" w:cs="宋体"/>
                <w:bCs/>
                <w:szCs w:val="21"/>
                <w:highlight w:val="none"/>
              </w:rPr>
              <w:t>159127272.8</w:t>
            </w:r>
            <w:r>
              <w:rPr>
                <w:rFonts w:ascii="宋体" w:hAnsi="宋体"/>
                <w:szCs w:val="21"/>
                <w:highlight w:val="none"/>
                <w:u w:val="single"/>
              </w:rPr>
              <w:t>元（本项目的成本警戒价为相应最高投标限价</w:t>
            </w:r>
            <w:r>
              <w:rPr>
                <w:rFonts w:hint="eastAsia" w:ascii="宋体" w:hAnsi="宋体"/>
                <w:szCs w:val="21"/>
                <w:highlight w:val="none"/>
                <w:u w:val="single"/>
                <w:lang w:eastAsia="zh-CN"/>
              </w:rPr>
              <w:t>（</w:t>
            </w:r>
            <w:r>
              <w:rPr>
                <w:rFonts w:hint="eastAsia" w:cs="宋体"/>
                <w:bCs/>
                <w:szCs w:val="21"/>
                <w:highlight w:val="none"/>
                <w:lang w:bidi="ar"/>
              </w:rPr>
              <w:t>招标控制价</w:t>
            </w:r>
            <w:r>
              <w:rPr>
                <w:rFonts w:hint="eastAsia" w:cs="宋体"/>
                <w:bCs/>
                <w:szCs w:val="21"/>
                <w:highlight w:val="none"/>
                <w:lang w:eastAsia="zh-CN" w:bidi="ar"/>
              </w:rPr>
              <w:t>）</w:t>
            </w:r>
            <w:r>
              <w:rPr>
                <w:rFonts w:ascii="宋体" w:hAnsi="宋体"/>
                <w:szCs w:val="21"/>
                <w:highlight w:val="none"/>
                <w:u w:val="single"/>
              </w:rPr>
              <w:t>的80%）</w:t>
            </w:r>
            <w:r>
              <w:rPr>
                <w:rFonts w:ascii="宋体" w:hAnsi="宋体"/>
                <w:szCs w:val="21"/>
                <w:u w:val="single"/>
              </w:rPr>
              <w:t>。</w:t>
            </w:r>
          </w:p>
          <w:p>
            <w:pPr>
              <w:rPr>
                <w:rFonts w:cs="宋体"/>
                <w:bCs/>
                <w:szCs w:val="21"/>
                <w:lang w:bidi="ar"/>
              </w:rPr>
            </w:pPr>
            <w:r>
              <w:rPr>
                <w:rFonts w:hint="eastAsia" w:cs="宋体"/>
                <w:bCs/>
                <w:szCs w:val="21"/>
                <w:lang w:bidi="ar"/>
              </w:rPr>
              <w:t>本项目除设置总价招标控制价外，同时设置单项工程招标控制价，总价及单项工程投标报价均不得超过招标控制价；</w:t>
            </w:r>
          </w:p>
          <w:p>
            <w:pPr>
              <w:pStyle w:val="2"/>
              <w:ind w:left="0" w:leftChars="0"/>
            </w:pPr>
            <w:r>
              <w:rPr>
                <w:rFonts w:hint="eastAsia" w:cs="宋体"/>
                <w:bCs/>
                <w:lang w:bidi="ar"/>
              </w:rPr>
              <w:t>本项目的工程成本警戒价为招标控制价的80%，除设置总价工程成本警戒价外，同时设置单项工程成本警戒价，具体详见下表：</w:t>
            </w:r>
          </w:p>
          <w:tbl>
            <w:tblPr>
              <w:tblStyle w:val="36"/>
              <w:tblW w:w="5400" w:type="dxa"/>
              <w:tblInd w:w="236" w:type="dxa"/>
              <w:tblLayout w:type="fixed"/>
              <w:tblCellMar>
                <w:top w:w="0" w:type="dxa"/>
                <w:left w:w="108" w:type="dxa"/>
                <w:bottom w:w="0" w:type="dxa"/>
                <w:right w:w="108" w:type="dxa"/>
              </w:tblCellMar>
            </w:tblPr>
            <w:tblGrid>
              <w:gridCol w:w="463"/>
              <w:gridCol w:w="1775"/>
              <w:gridCol w:w="1675"/>
              <w:gridCol w:w="1487"/>
            </w:tblGrid>
            <w:tr>
              <w:tblPrEx>
                <w:tblCellMar>
                  <w:top w:w="0" w:type="dxa"/>
                  <w:left w:w="108" w:type="dxa"/>
                  <w:bottom w:w="0" w:type="dxa"/>
                  <w:right w:w="108" w:type="dxa"/>
                </w:tblCellMar>
              </w:tblPrEx>
              <w:trPr>
                <w:trHeight w:val="500" w:hRule="atLeast"/>
              </w:trPr>
              <w:tc>
                <w:tcPr>
                  <w:tcW w:w="4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17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单项工程名称</w:t>
                  </w:r>
                </w:p>
              </w:tc>
              <w:tc>
                <w:tcPr>
                  <w:tcW w:w="1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招标控制价（元）</w:t>
                  </w:r>
                </w:p>
              </w:tc>
              <w:tc>
                <w:tcPr>
                  <w:tcW w:w="14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工程成本警戒价（元）</w:t>
                  </w:r>
                </w:p>
              </w:tc>
            </w:tr>
            <w:tr>
              <w:tblPrEx>
                <w:tblCellMar>
                  <w:top w:w="0" w:type="dxa"/>
                  <w:left w:w="108" w:type="dxa"/>
                  <w:bottom w:w="0" w:type="dxa"/>
                  <w:right w:w="108" w:type="dxa"/>
                </w:tblCellMar>
              </w:tblPrEx>
              <w:trPr>
                <w:trHeight w:val="500" w:hRule="atLeast"/>
              </w:trPr>
              <w:tc>
                <w:tcPr>
                  <w:tcW w:w="463" w:type="dxa"/>
                  <w:tcBorders>
                    <w:top w:val="single" w:color="000000" w:sz="4" w:space="0"/>
                    <w:left w:val="single" w:color="000000" w:sz="4" w:space="0"/>
                    <w:bottom w:val="single" w:color="000000" w:sz="4" w:space="0"/>
                    <w:right w:val="single" w:color="000000" w:sz="4" w:space="0"/>
                  </w:tcBorders>
                  <w:noWrap/>
                  <w:vAlign w:val="bottom"/>
                </w:tcPr>
                <w:p>
                  <w:pPr>
                    <w:jc w:val="center"/>
                    <w:rPr>
                      <w:rFonts w:ascii="宋体" w:hAnsi="宋体" w:cs="宋体"/>
                      <w:b/>
                      <w:bCs/>
                      <w:color w:val="000000"/>
                      <w:sz w:val="18"/>
                      <w:szCs w:val="18"/>
                    </w:rPr>
                  </w:pPr>
                </w:p>
              </w:tc>
              <w:tc>
                <w:tcPr>
                  <w:tcW w:w="17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8"/>
                      <w:szCs w:val="18"/>
                    </w:rPr>
                  </w:pPr>
                  <w:r>
                    <w:rPr>
                      <w:rFonts w:ascii="宋体" w:hAnsi="宋体" w:cs="宋体"/>
                      <w:b/>
                      <w:bCs/>
                      <w:color w:val="000000"/>
                      <w:kern w:val="0"/>
                      <w:sz w:val="18"/>
                      <w:szCs w:val="18"/>
                      <w:lang w:bidi="ar"/>
                    </w:rPr>
                    <w:t>合计</w:t>
                  </w:r>
                </w:p>
              </w:tc>
              <w:tc>
                <w:tcPr>
                  <w:tcW w:w="1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sz w:val="18"/>
                      <w:szCs w:val="18"/>
                    </w:rPr>
                    <w:t xml:space="preserve">198,909,091.00 </w:t>
                  </w:r>
                </w:p>
              </w:tc>
              <w:tc>
                <w:tcPr>
                  <w:tcW w:w="14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Arial" w:hAnsi="Arial" w:cs="Arial"/>
                      <w:color w:val="000000"/>
                      <w:sz w:val="18"/>
                      <w:szCs w:val="18"/>
                    </w:rPr>
                  </w:pPr>
                  <w:r>
                    <w:rPr>
                      <w:rFonts w:hint="eastAsia" w:ascii="宋体" w:hAnsi="宋体" w:cs="宋体"/>
                      <w:b/>
                      <w:bCs/>
                      <w:color w:val="000000"/>
                      <w:kern w:val="0"/>
                      <w:sz w:val="18"/>
                      <w:szCs w:val="18"/>
                      <w:lang w:bidi="ar"/>
                    </w:rPr>
                    <w:t xml:space="preserve">159,127,272.80 </w:t>
                  </w:r>
                </w:p>
              </w:tc>
            </w:tr>
            <w:tr>
              <w:tblPrEx>
                <w:tblCellMar>
                  <w:top w:w="0" w:type="dxa"/>
                  <w:left w:w="108" w:type="dxa"/>
                  <w:bottom w:w="0" w:type="dxa"/>
                  <w:right w:w="108" w:type="dxa"/>
                </w:tblCellMar>
              </w:tblPrEx>
              <w:trPr>
                <w:trHeight w:val="500" w:hRule="atLeast"/>
              </w:trPr>
              <w:tc>
                <w:tcPr>
                  <w:tcW w:w="4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8"/>
                      <w:szCs w:val="18"/>
                    </w:rPr>
                  </w:pPr>
                  <w:r>
                    <w:rPr>
                      <w:rFonts w:hint="eastAsia" w:ascii="宋体" w:hAnsi="宋体" w:cs="宋体"/>
                      <w:color w:val="000000"/>
                      <w:kern w:val="0"/>
                      <w:sz w:val="18"/>
                      <w:szCs w:val="18"/>
                      <w:lang w:bidi="ar"/>
                    </w:rPr>
                    <w:t>1</w:t>
                  </w:r>
                </w:p>
              </w:tc>
              <w:tc>
                <w:tcPr>
                  <w:tcW w:w="17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8"/>
                      <w:szCs w:val="18"/>
                    </w:rPr>
                  </w:pPr>
                  <w:r>
                    <w:rPr>
                      <w:rFonts w:hint="eastAsia" w:ascii="宋体" w:hAnsi="宋体" w:cs="宋体"/>
                      <w:color w:val="262626"/>
                      <w:kern w:val="0"/>
                      <w:sz w:val="18"/>
                      <w:szCs w:val="18"/>
                      <w:lang w:bidi="ar"/>
                    </w:rPr>
                    <w:t>室外空调冷水管</w:t>
                  </w:r>
                </w:p>
              </w:tc>
              <w:tc>
                <w:tcPr>
                  <w:tcW w:w="1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8"/>
                      <w:szCs w:val="18"/>
                    </w:rPr>
                  </w:pPr>
                  <w:r>
                    <w:rPr>
                      <w:rFonts w:hint="eastAsia" w:ascii="宋体" w:hAnsi="宋体" w:cs="宋体"/>
                      <w:color w:val="262626"/>
                      <w:kern w:val="0"/>
                      <w:sz w:val="18"/>
                      <w:szCs w:val="18"/>
                      <w:lang w:bidi="ar"/>
                    </w:rPr>
                    <w:t xml:space="preserve">24,789,096.80 </w:t>
                  </w:r>
                </w:p>
              </w:tc>
              <w:tc>
                <w:tcPr>
                  <w:tcW w:w="14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262626"/>
                      <w:kern w:val="0"/>
                      <w:sz w:val="18"/>
                      <w:szCs w:val="18"/>
                      <w:lang w:bidi="ar"/>
                    </w:rPr>
                    <w:t xml:space="preserve">19,831,277.44 </w:t>
                  </w:r>
                </w:p>
              </w:tc>
            </w:tr>
            <w:tr>
              <w:tblPrEx>
                <w:tblCellMar>
                  <w:top w:w="0" w:type="dxa"/>
                  <w:left w:w="108" w:type="dxa"/>
                  <w:bottom w:w="0" w:type="dxa"/>
                  <w:right w:w="108" w:type="dxa"/>
                </w:tblCellMar>
              </w:tblPrEx>
              <w:trPr>
                <w:trHeight w:val="500" w:hRule="atLeast"/>
              </w:trPr>
              <w:tc>
                <w:tcPr>
                  <w:tcW w:w="4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8"/>
                      <w:szCs w:val="18"/>
                    </w:rPr>
                  </w:pPr>
                  <w:r>
                    <w:rPr>
                      <w:rFonts w:hint="eastAsia" w:ascii="宋体" w:hAnsi="宋体" w:cs="宋体"/>
                      <w:color w:val="000000"/>
                      <w:kern w:val="0"/>
                      <w:sz w:val="18"/>
                      <w:szCs w:val="18"/>
                      <w:lang w:bidi="ar"/>
                    </w:rPr>
                    <w:t>2</w:t>
                  </w:r>
                </w:p>
              </w:tc>
              <w:tc>
                <w:tcPr>
                  <w:tcW w:w="1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color w:val="262626"/>
                      <w:kern w:val="0"/>
                      <w:sz w:val="18"/>
                      <w:szCs w:val="18"/>
                      <w:lang w:bidi="ar"/>
                    </w:rPr>
                    <w:t>冷站建筑装饰工程</w:t>
                  </w:r>
                </w:p>
              </w:tc>
              <w:tc>
                <w:tcPr>
                  <w:tcW w:w="1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8"/>
                      <w:szCs w:val="18"/>
                    </w:rPr>
                  </w:pPr>
                  <w:r>
                    <w:rPr>
                      <w:rFonts w:hint="eastAsia" w:ascii="宋体" w:hAnsi="宋体" w:cs="宋体"/>
                      <w:color w:val="262626"/>
                      <w:kern w:val="0"/>
                      <w:sz w:val="18"/>
                      <w:szCs w:val="18"/>
                      <w:lang w:bidi="ar"/>
                    </w:rPr>
                    <w:t xml:space="preserve">35,012,801.13 </w:t>
                  </w:r>
                </w:p>
              </w:tc>
              <w:tc>
                <w:tcPr>
                  <w:tcW w:w="14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262626"/>
                      <w:kern w:val="0"/>
                      <w:sz w:val="18"/>
                      <w:szCs w:val="18"/>
                      <w:lang w:bidi="ar"/>
                    </w:rPr>
                    <w:t xml:space="preserve">28,010,240.90 </w:t>
                  </w:r>
                </w:p>
              </w:tc>
            </w:tr>
            <w:tr>
              <w:tblPrEx>
                <w:tblCellMar>
                  <w:top w:w="0" w:type="dxa"/>
                  <w:left w:w="108" w:type="dxa"/>
                  <w:bottom w:w="0" w:type="dxa"/>
                  <w:right w:w="108" w:type="dxa"/>
                </w:tblCellMar>
              </w:tblPrEx>
              <w:trPr>
                <w:trHeight w:val="500" w:hRule="atLeast"/>
              </w:trPr>
              <w:tc>
                <w:tcPr>
                  <w:tcW w:w="4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8"/>
                      <w:szCs w:val="18"/>
                    </w:rPr>
                  </w:pPr>
                  <w:r>
                    <w:rPr>
                      <w:rFonts w:hint="eastAsia" w:ascii="宋体" w:hAnsi="宋体" w:cs="宋体"/>
                      <w:color w:val="000000"/>
                      <w:kern w:val="0"/>
                      <w:sz w:val="18"/>
                      <w:szCs w:val="18"/>
                      <w:lang w:bidi="ar"/>
                    </w:rPr>
                    <w:t>3</w:t>
                  </w:r>
                </w:p>
              </w:tc>
              <w:tc>
                <w:tcPr>
                  <w:tcW w:w="1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color w:val="262626"/>
                      <w:kern w:val="0"/>
                      <w:sz w:val="18"/>
                      <w:szCs w:val="18"/>
                      <w:lang w:bidi="ar"/>
                    </w:rPr>
                    <w:t>冷站机电安装工程</w:t>
                  </w:r>
                </w:p>
              </w:tc>
              <w:tc>
                <w:tcPr>
                  <w:tcW w:w="1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8"/>
                      <w:szCs w:val="18"/>
                    </w:rPr>
                  </w:pPr>
                  <w:r>
                    <w:rPr>
                      <w:rFonts w:hint="eastAsia" w:ascii="宋体" w:hAnsi="宋体" w:cs="宋体"/>
                      <w:color w:val="262626"/>
                      <w:kern w:val="0"/>
                      <w:sz w:val="18"/>
                      <w:szCs w:val="18"/>
                      <w:lang w:bidi="ar"/>
                    </w:rPr>
                    <w:t xml:space="preserve">76,781,370.53 </w:t>
                  </w:r>
                </w:p>
              </w:tc>
              <w:tc>
                <w:tcPr>
                  <w:tcW w:w="14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262626"/>
                      <w:kern w:val="0"/>
                      <w:sz w:val="18"/>
                      <w:szCs w:val="18"/>
                      <w:lang w:bidi="ar"/>
                    </w:rPr>
                    <w:t xml:space="preserve">61,425,096.42 </w:t>
                  </w:r>
                </w:p>
              </w:tc>
            </w:tr>
            <w:tr>
              <w:tblPrEx>
                <w:tblCellMar>
                  <w:top w:w="0" w:type="dxa"/>
                  <w:left w:w="108" w:type="dxa"/>
                  <w:bottom w:w="0" w:type="dxa"/>
                  <w:right w:w="108" w:type="dxa"/>
                </w:tblCellMar>
              </w:tblPrEx>
              <w:trPr>
                <w:trHeight w:val="500" w:hRule="atLeast"/>
              </w:trPr>
              <w:tc>
                <w:tcPr>
                  <w:tcW w:w="4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8"/>
                      <w:szCs w:val="18"/>
                    </w:rPr>
                  </w:pPr>
                  <w:r>
                    <w:rPr>
                      <w:rFonts w:hint="eastAsia" w:ascii="宋体" w:hAnsi="宋体" w:cs="宋体"/>
                      <w:color w:val="000000"/>
                      <w:kern w:val="0"/>
                      <w:sz w:val="18"/>
                      <w:szCs w:val="18"/>
                      <w:lang w:bidi="ar"/>
                    </w:rPr>
                    <w:t>4</w:t>
                  </w:r>
                </w:p>
              </w:tc>
              <w:tc>
                <w:tcPr>
                  <w:tcW w:w="1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color w:val="262626"/>
                      <w:kern w:val="0"/>
                      <w:sz w:val="18"/>
                      <w:szCs w:val="18"/>
                      <w:lang w:bidi="ar"/>
                    </w:rPr>
                    <w:t>冷罐</w:t>
                  </w:r>
                </w:p>
              </w:tc>
              <w:tc>
                <w:tcPr>
                  <w:tcW w:w="1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8"/>
                      <w:szCs w:val="18"/>
                    </w:rPr>
                  </w:pPr>
                  <w:r>
                    <w:rPr>
                      <w:rFonts w:hint="eastAsia" w:ascii="宋体" w:hAnsi="宋体" w:cs="宋体"/>
                      <w:color w:val="262626"/>
                      <w:kern w:val="0"/>
                      <w:sz w:val="18"/>
                      <w:szCs w:val="18"/>
                      <w:lang w:bidi="ar"/>
                    </w:rPr>
                    <w:t xml:space="preserve">49,567,308.85 </w:t>
                  </w:r>
                </w:p>
              </w:tc>
              <w:tc>
                <w:tcPr>
                  <w:tcW w:w="14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262626"/>
                      <w:kern w:val="0"/>
                      <w:sz w:val="18"/>
                      <w:szCs w:val="18"/>
                      <w:lang w:bidi="ar"/>
                    </w:rPr>
                    <w:t xml:space="preserve">39,653,847.08 </w:t>
                  </w:r>
                </w:p>
              </w:tc>
            </w:tr>
            <w:tr>
              <w:tblPrEx>
                <w:tblCellMar>
                  <w:top w:w="0" w:type="dxa"/>
                  <w:left w:w="108" w:type="dxa"/>
                  <w:bottom w:w="0" w:type="dxa"/>
                  <w:right w:w="108" w:type="dxa"/>
                </w:tblCellMar>
              </w:tblPrEx>
              <w:trPr>
                <w:trHeight w:val="500" w:hRule="atLeast"/>
              </w:trPr>
              <w:tc>
                <w:tcPr>
                  <w:tcW w:w="46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8"/>
                      <w:szCs w:val="18"/>
                    </w:rPr>
                  </w:pPr>
                  <w:r>
                    <w:rPr>
                      <w:rFonts w:hint="eastAsia" w:ascii="宋体" w:hAnsi="宋体" w:cs="宋体"/>
                      <w:color w:val="000000"/>
                      <w:kern w:val="0"/>
                      <w:sz w:val="18"/>
                      <w:szCs w:val="18"/>
                      <w:lang w:bidi="ar"/>
                    </w:rPr>
                    <w:t>5</w:t>
                  </w:r>
                </w:p>
              </w:tc>
              <w:tc>
                <w:tcPr>
                  <w:tcW w:w="1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color w:val="262626"/>
                      <w:kern w:val="0"/>
                      <w:sz w:val="18"/>
                      <w:szCs w:val="18"/>
                      <w:lang w:bidi="ar"/>
                    </w:rPr>
                    <w:t>室外配套工程</w:t>
                  </w:r>
                </w:p>
              </w:tc>
              <w:tc>
                <w:tcPr>
                  <w:tcW w:w="1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8"/>
                      <w:szCs w:val="18"/>
                    </w:rPr>
                  </w:pPr>
                  <w:r>
                    <w:rPr>
                      <w:rFonts w:hint="eastAsia" w:ascii="宋体" w:hAnsi="宋体" w:cs="宋体"/>
                      <w:color w:val="262626"/>
                      <w:kern w:val="0"/>
                      <w:sz w:val="18"/>
                      <w:szCs w:val="18"/>
                      <w:lang w:bidi="ar"/>
                    </w:rPr>
                    <w:t xml:space="preserve">12,758,513.69 </w:t>
                  </w:r>
                </w:p>
              </w:tc>
              <w:tc>
                <w:tcPr>
                  <w:tcW w:w="14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262626"/>
                      <w:kern w:val="0"/>
                      <w:sz w:val="18"/>
                      <w:szCs w:val="18"/>
                      <w:lang w:bidi="ar"/>
                    </w:rPr>
                    <w:t xml:space="preserve">10,206,810.95 </w:t>
                  </w:r>
                </w:p>
              </w:tc>
            </w:tr>
          </w:tbl>
          <w:p>
            <w:pPr>
              <w:rPr>
                <w:rFonts w:ascii="宋体" w:hAnsi="宋体"/>
                <w:szCs w:val="21"/>
                <w:u w:val="single"/>
              </w:rPr>
            </w:pPr>
            <w:r>
              <w:rPr>
                <w:rFonts w:ascii="宋体" w:hAnsi="宋体"/>
                <w:szCs w:val="21"/>
                <w:u w:val="single"/>
              </w:rPr>
              <w:t>在评标过程中，评标委员会发现投标人的报价明显低于其他投标报价或者低于成本警戒价，使得其投标报价可能低于其个别成本的，应当要求该投标人作出书面说明并提供相关证明材料。投标人必须提供详细的施工组织设计、单价、措施性费用、单价分析表、主要材料价格表、投标人成本分析供评标委员会评审。投标人不能合理说明或者不能提供相关证明材料，由评标委员会认定该投标人以低于成本报价竞标，应当否决其投标。</w:t>
            </w:r>
          </w:p>
          <w:p>
            <w:pPr>
              <w:rPr>
                <w:rFonts w:ascii="宋体" w:hAnsi="宋体"/>
                <w:szCs w:val="21"/>
                <w:u w:val="single"/>
              </w:rPr>
            </w:pPr>
            <w:r>
              <w:rPr>
                <w:rFonts w:ascii="宋体" w:hAnsi="宋体"/>
                <w:szCs w:val="21"/>
                <w:u w:val="singl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技术分权重为</w:t>
            </w:r>
            <w:r>
              <w:rPr>
                <w:rFonts w:hint="eastAsia" w:ascii="宋体" w:hAnsi="宋体"/>
                <w:szCs w:val="21"/>
                <w:u w:val="single"/>
              </w:rPr>
              <w:t xml:space="preserve"> 100 </w:t>
            </w:r>
            <w:r>
              <w:rPr>
                <w:rFonts w:hint="eastAsia" w:ascii="宋体" w:hAnsi="宋体"/>
                <w:szCs w:val="21"/>
              </w:rPr>
              <w:t>%，综合诚信评价分数权重为</w:t>
            </w:r>
            <w:r>
              <w:rPr>
                <w:rFonts w:hint="eastAsia" w:ascii="宋体" w:hAnsi="宋体"/>
                <w:szCs w:val="21"/>
                <w:u w:val="single"/>
              </w:rPr>
              <w:t xml:space="preserve"> 0 </w:t>
            </w:r>
            <w:r>
              <w:rPr>
                <w:rFonts w:hint="eastAsia" w:ascii="宋体" w:hAnsi="宋体"/>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评标委员会由招标人依法组建。评标委员会共7人，由招标人依法组建。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本项目的企业综合诚信评价分数，以</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r>
              <w:rPr>
                <w:rFonts w:hint="eastAsia" w:ascii="宋体" w:hAnsi="宋体"/>
                <w:szCs w:val="21"/>
              </w:rPr>
              <w:t>排名为准。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r>
              <w:rPr>
                <w:rFonts w:hint="eastAsia" w:ascii="宋体" w:hAnsi="宋体"/>
                <w:szCs w:val="21"/>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 xml:space="preserve">本款不适用。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选取方法</w:t>
            </w:r>
            <w:r>
              <w:rPr>
                <w:rFonts w:hint="eastAsia" w:ascii="宋体" w:hAnsi="宋体"/>
                <w:szCs w:val="21"/>
                <w:u w:val="single"/>
              </w:rPr>
              <w:t xml:space="preserve">  一 </w:t>
            </w:r>
          </w:p>
          <w:p>
            <w:pPr>
              <w:rPr>
                <w:rFonts w:ascii="宋体" w:hAnsi="宋体"/>
                <w:szCs w:val="21"/>
              </w:rPr>
            </w:pPr>
            <w:r>
              <w:rPr>
                <w:rFonts w:hint="eastAsia" w:ascii="宋体" w:hAnsi="宋体"/>
                <w:szCs w:val="21"/>
              </w:rPr>
              <w:t>方法一：评标委员会按照“总分=</w:t>
            </w:r>
            <w:r>
              <w:rPr>
                <w:rFonts w:hint="eastAsia" w:ascii="宋体" w:hAnsi="宋体"/>
                <w:szCs w:val="21"/>
                <w:u w:val="single"/>
              </w:rPr>
              <w:t xml:space="preserve">第一阶段技术得分（满分100分）×40% + 第二阶段经济得分（满分100分）×60% </w:t>
            </w:r>
            <w:r>
              <w:rPr>
                <w:rFonts w:hint="eastAsia" w:ascii="宋体" w:hAnsi="宋体"/>
                <w:szCs w:val="21"/>
              </w:rPr>
              <w:t>的公式，计算各有效投标文件的总分，并按照总分从高到低排序。总得分相同的投标文件，以报价较低的排前；总得分与报价均相同的投标文件，以</w:t>
            </w:r>
            <w:r>
              <w:rPr>
                <w:rFonts w:hint="eastAsia" w:ascii="宋体" w:hAnsi="宋体"/>
                <w:szCs w:val="21"/>
                <w:u w:val="single"/>
              </w:rPr>
              <w:t xml:space="preserve"> 第一阶段技术得分  </w:t>
            </w:r>
            <w:r>
              <w:rPr>
                <w:rFonts w:hint="eastAsia" w:ascii="宋体" w:hAnsi="宋体"/>
                <w:szCs w:val="21"/>
              </w:rPr>
              <w:t>较高的排前；如仍存在相同情况，则对具有相同情况的投标人，由评标委员会采用</w:t>
            </w:r>
            <w:r>
              <w:rPr>
                <w:rFonts w:hint="eastAsia"/>
                <w:b/>
                <w:bCs/>
              </w:rPr>
              <w:t>记名投票</w:t>
            </w:r>
            <w:r>
              <w:rPr>
                <w:rFonts w:hint="eastAsia" w:ascii="宋体" w:hAnsi="宋体"/>
                <w:szCs w:val="21"/>
              </w:rPr>
              <w:t>方式，确定投标人的排序。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13.4</w:t>
            </w:r>
            <w:r>
              <w:rPr>
                <w:rFonts w:hint="eastAsia" w:ascii="宋体" w:hAnsi="宋体"/>
                <w:szCs w:val="21"/>
              </w:rPr>
              <w:t>、</w:t>
            </w:r>
            <w:r>
              <w:rPr>
                <w:rFonts w:ascii="宋体" w:hAnsi="宋体"/>
                <w:szCs w:val="21"/>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详见合同条款。</w:t>
            </w:r>
            <w:r>
              <w:rPr>
                <w:rFonts w:ascii="宋体" w:hAnsi="宋体"/>
                <w:szCs w:val="21"/>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lang w:val="zh-CN"/>
              </w:rPr>
            </w:pPr>
            <w:r>
              <w:rPr>
                <w:rFonts w:ascii="宋体" w:hAnsi="宋体"/>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lang w:val="zh-CN"/>
              </w:rPr>
            </w:pPr>
            <w:r>
              <w:rPr>
                <w:rFonts w:hint="eastAsia" w:ascii="宋体" w:hAnsi="宋体"/>
                <w:kern w:val="0"/>
                <w:szCs w:val="21"/>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lang w:val="zh-CN"/>
              </w:rPr>
            </w:pPr>
            <w:r>
              <w:rPr>
                <w:rFonts w:hint="eastAsia" w:ascii="宋体" w:hAnsi="宋体"/>
                <w:kern w:val="0"/>
                <w:szCs w:val="21"/>
                <w:bdr w:val="single" w:color="auto" w:sz="4" w:space="0"/>
                <w:lang w:val="zh-CN"/>
              </w:rPr>
              <w:t>√</w:t>
            </w:r>
            <w:r>
              <w:rPr>
                <w:rFonts w:hint="eastAsia" w:ascii="宋体" w:hAnsi="宋体"/>
                <w:kern w:val="0"/>
                <w:szCs w:val="21"/>
                <w:lang w:val="zh-CN"/>
              </w:rPr>
              <w:t>不允许；</w:t>
            </w:r>
          </w:p>
          <w:p>
            <w:pPr>
              <w:rPr>
                <w:rFonts w:ascii="宋体" w:hAnsi="宋体"/>
                <w:kern w:val="0"/>
                <w:szCs w:val="21"/>
                <w:lang w:val="zh-CN"/>
              </w:rPr>
            </w:pPr>
            <w:r>
              <w:rPr>
                <w:rFonts w:hint="eastAsia" w:ascii="宋体" w:hAnsi="宋体"/>
                <w:kern w:val="0"/>
                <w:szCs w:val="21"/>
                <w:lang w:val="zh-CN"/>
              </w:rPr>
              <w:t>□允许：分包内容要要求：详见技术条件章节</w:t>
            </w:r>
          </w:p>
          <w:p>
            <w:pPr>
              <w:rPr>
                <w:rFonts w:ascii="宋体" w:hAnsi="宋体"/>
                <w:kern w:val="0"/>
                <w:szCs w:val="21"/>
                <w:lang w:val="zh-CN"/>
              </w:rPr>
            </w:pPr>
            <w:r>
              <w:rPr>
                <w:rFonts w:hint="eastAsia" w:ascii="宋体" w:hAnsi="宋体"/>
                <w:kern w:val="0"/>
                <w:szCs w:val="21"/>
                <w:lang w:val="zh-CN"/>
              </w:rPr>
              <w:t xml:space="preserve">        分包金额要求：详见技术条件章节</w:t>
            </w:r>
          </w:p>
          <w:p>
            <w:pPr>
              <w:rPr>
                <w:rFonts w:ascii="宋体" w:hAnsi="宋体"/>
                <w:kern w:val="0"/>
                <w:szCs w:val="21"/>
                <w:lang w:val="zh-CN"/>
              </w:rPr>
            </w:pPr>
            <w:r>
              <w:rPr>
                <w:rFonts w:hint="eastAsia" w:ascii="宋体" w:hAnsi="宋体"/>
                <w:kern w:val="0"/>
                <w:szCs w:val="21"/>
                <w:lang w:val="zh-CN"/>
              </w:rPr>
              <w:t xml:space="preserve">        对分包人的资质要求：详见技术条件章节</w:t>
            </w:r>
          </w:p>
          <w:p>
            <w:pPr>
              <w:rPr>
                <w:rFonts w:ascii="宋体" w:hAnsi="宋体"/>
                <w:kern w:val="0"/>
                <w:szCs w:val="21"/>
                <w:lang w:val="zh-CN"/>
              </w:rPr>
            </w:pPr>
            <w:r>
              <w:rPr>
                <w:rFonts w:hint="eastAsia" w:ascii="宋体" w:hAnsi="宋体"/>
                <w:kern w:val="0"/>
                <w:szCs w:val="21"/>
                <w:lang w:val="zh-CN"/>
              </w:rPr>
              <w:t xml:space="preserve">        对分包人的其他要求：详见技术条件章节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rPr>
            </w:pPr>
            <w:r>
              <w:rPr>
                <w:rFonts w:hint="eastAsia" w:ascii="宋体" w:hAnsi="宋体" w:cs="Courier New"/>
                <w:szCs w:val="21"/>
              </w:rPr>
              <w:t>1、按照交易平台关于全流程电子化项目的相关指南进行操作。详见：</w:t>
            </w:r>
            <w:r>
              <w:rPr>
                <w:rFonts w:hint="eastAsia" w:ascii="宋体" w:hAnsi="宋体"/>
                <w:szCs w:val="21"/>
                <w:u w:val="single"/>
              </w:rPr>
              <w:t>广州公共资源交易中心网站</w:t>
            </w:r>
            <w:r>
              <w:rPr>
                <w:rFonts w:hint="eastAsia" w:ascii="宋体" w:hAnsi="宋体" w:cs="Courier New"/>
                <w:szCs w:val="21"/>
              </w:rPr>
              <w:t xml:space="preserve">。  </w:t>
            </w:r>
          </w:p>
          <w:p>
            <w:pPr>
              <w:rPr>
                <w:rFonts w:ascii="宋体" w:hAnsi="宋体" w:cs="Courier New"/>
                <w:szCs w:val="21"/>
              </w:rPr>
            </w:pPr>
            <w:r>
              <w:rPr>
                <w:rFonts w:hint="eastAsia" w:ascii="宋体" w:hAnsi="宋体" w:cs="Courier New"/>
                <w:szCs w:val="21"/>
              </w:rPr>
              <w:t>2、提交投标文件光盘备用</w:t>
            </w:r>
          </w:p>
          <w:p>
            <w:pPr>
              <w:rPr>
                <w:rFonts w:ascii="宋体" w:hAnsi="宋体" w:cs="Courier New"/>
                <w:szCs w:val="21"/>
              </w:rPr>
            </w:pPr>
            <w:r>
              <w:rPr>
                <w:rFonts w:hint="eastAsia" w:ascii="宋体" w:hAnsi="宋体" w:cs="Courier New"/>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szCs w:val="21"/>
              </w:rPr>
            </w:pPr>
            <w:r>
              <w:rPr>
                <w:rFonts w:hint="eastAsia" w:ascii="宋体" w:hAnsi="宋体" w:cs="Courier New"/>
                <w:szCs w:val="21"/>
              </w:rPr>
              <w:t xml:space="preserve"> 3、补救方案</w:t>
            </w:r>
          </w:p>
          <w:p>
            <w:pPr>
              <w:rPr>
                <w:rFonts w:ascii="宋体" w:hAnsi="宋体" w:cs="Courier New"/>
                <w:szCs w:val="21"/>
              </w:rPr>
            </w:pPr>
            <w:r>
              <w:rPr>
                <w:rFonts w:hint="eastAsia" w:ascii="宋体" w:hAnsi="宋体" w:cs="Courier New"/>
                <w:szCs w:val="21"/>
              </w:rPr>
              <w:t>（1）投标文件解密失败的补救方案：</w:t>
            </w:r>
          </w:p>
          <w:p>
            <w:pPr>
              <w:rPr>
                <w:rFonts w:ascii="宋体" w:hAnsi="宋体" w:cs="Courier New"/>
                <w:szCs w:val="21"/>
              </w:rPr>
            </w:pPr>
            <w:r>
              <w:rPr>
                <w:rFonts w:hint="eastAsia" w:ascii="宋体" w:hAnsi="宋体" w:cs="Courier New"/>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szCs w:val="21"/>
              </w:rPr>
            </w:pPr>
            <w:r>
              <w:rPr>
                <w:rFonts w:hint="eastAsia" w:ascii="宋体" w:hAnsi="宋体" w:cs="Courier New"/>
                <w:szCs w:val="21"/>
              </w:rPr>
              <w:t>（2）评标时突发情况的补救方案</w:t>
            </w:r>
          </w:p>
          <w:p>
            <w:pPr>
              <w:rPr>
                <w:rFonts w:ascii="宋体" w:hAnsi="宋体" w:cs="Courier New"/>
                <w:szCs w:val="21"/>
              </w:rPr>
            </w:pPr>
            <w:r>
              <w:rPr>
                <w:rFonts w:hint="eastAsia" w:ascii="宋体" w:hAnsi="宋体" w:cs="Courier New"/>
                <w:szCs w:val="21"/>
              </w:rPr>
              <w:t>若遇不可抗力发生（指网络瘫痪、服务器损坏、交易系统故障短期无法恢复等因素），由评标委员会开启投标人递交的全部投标文件光盘，并按光盘内容进行评审。</w:t>
            </w:r>
          </w:p>
          <w:p>
            <w:pPr>
              <w:rPr>
                <w:rFonts w:ascii="宋体" w:hAnsi="宋体" w:cs="Courier New"/>
                <w:szCs w:val="21"/>
              </w:rPr>
            </w:pPr>
            <w:r>
              <w:rPr>
                <w:rFonts w:hint="eastAsia" w:ascii="宋体" w:hAnsi="宋体" w:cs="Courier New"/>
                <w:szCs w:val="21"/>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37</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rPr>
            </w:pPr>
            <w:r>
              <w:rPr>
                <w:rFonts w:hint="eastAsia"/>
                <w:szCs w:val="21"/>
                <w:u w:val="single"/>
              </w:rPr>
              <w:t>合同</w:t>
            </w:r>
          </w:p>
        </w:tc>
        <w:tc>
          <w:tcPr>
            <w:tcW w:w="5857" w:type="dxa"/>
            <w:tcBorders>
              <w:top w:val="single" w:color="auto" w:sz="4" w:space="0"/>
              <w:left w:val="single" w:color="auto" w:sz="4" w:space="0"/>
              <w:bottom w:val="single" w:color="auto" w:sz="4" w:space="0"/>
              <w:right w:val="double" w:color="auto" w:sz="4" w:space="0"/>
            </w:tcBorders>
            <w:vAlign w:val="center"/>
          </w:tcPr>
          <w:p>
            <w:pPr>
              <w:snapToGrid w:val="0"/>
              <w:spacing w:line="400" w:lineRule="exact"/>
              <w:rPr>
                <w:rFonts w:ascii="宋体" w:hAnsi="宋体" w:cs="Courier New"/>
                <w:szCs w:val="21"/>
              </w:rPr>
            </w:pPr>
            <w:r>
              <w:t>中标人将与招标人签订双方合同，另与招标人、业主（广东省机场管理集团有限公司）签署三方补充协议，开具以业主为抬头的增值税专用发票。中标人与招标人签订合同生效后，根据招标人现场管理要求需与招标人另行签订《劳动竞赛活动协议书》、《安全生产合同》以及施工管理相关的《安全责任书》等协议，相关内容可通过关注“广东机场集团工程建设指挥部”微信公众号，在对话框中输入“制度”查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38</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szCs w:val="21"/>
                <w:u w:val="single"/>
              </w:rPr>
            </w:pPr>
            <w:r>
              <w:rPr>
                <w:rFonts w:hint="eastAsia" w:ascii="宋体" w:hAnsi="宋体"/>
                <w:szCs w:val="21"/>
              </w:rPr>
              <w:t>廉政监督座谈会</w:t>
            </w:r>
          </w:p>
        </w:tc>
        <w:tc>
          <w:tcPr>
            <w:tcW w:w="5857" w:type="dxa"/>
            <w:tcBorders>
              <w:top w:val="single" w:color="auto" w:sz="4" w:space="0"/>
              <w:left w:val="single" w:color="auto" w:sz="4" w:space="0"/>
              <w:bottom w:val="single" w:color="auto" w:sz="4" w:space="0"/>
              <w:right w:val="double" w:color="auto" w:sz="4" w:space="0"/>
            </w:tcBorders>
            <w:vAlign w:val="center"/>
          </w:tcPr>
          <w:p>
            <w:pPr>
              <w:jc w:val="left"/>
              <w:rPr>
                <w:rFonts w:ascii="宋体" w:hAnsi="宋体"/>
                <w:szCs w:val="21"/>
              </w:rPr>
            </w:pPr>
            <w:r>
              <w:rPr>
                <w:rFonts w:hint="eastAsia" w:ascii="宋体" w:hAnsi="宋体"/>
                <w:szCs w:val="21"/>
              </w:rPr>
              <w:t>根据广东省机场管理集团有限公司关于加强监督推进机场建设工程廉洁控制的若干措施的要求，加强与机场工程参建单位开展联合监督，参建单位签订廉洁承诺书（投标人按招标文件附件格式填写），召开廉政监督座谈会，参加人员为工程项目的设计、施工、监理和咨询服务等中标单位公司领导、项目经理、廉洁风险防控工作联络员及指挥部具体负责工程管理的部门领导及管理人员。廉政监督座谈会</w:t>
            </w:r>
            <w:r>
              <w:rPr>
                <w:rFonts w:ascii="宋体" w:hAnsi="宋体"/>
                <w:szCs w:val="21"/>
              </w:rPr>
              <w:t>的内容如下：</w:t>
            </w:r>
          </w:p>
          <w:p>
            <w:pPr>
              <w:jc w:val="left"/>
              <w:rPr>
                <w:rFonts w:ascii="宋体" w:hAnsi="宋体"/>
                <w:szCs w:val="21"/>
              </w:rPr>
            </w:pPr>
            <w:r>
              <w:rPr>
                <w:rFonts w:ascii="宋体" w:hAnsi="宋体"/>
                <w:szCs w:val="21"/>
              </w:rPr>
              <w:t>（一）介绍</w:t>
            </w:r>
            <w:r>
              <w:rPr>
                <w:rFonts w:hint="eastAsia" w:ascii="宋体" w:hAnsi="宋体"/>
                <w:szCs w:val="21"/>
              </w:rPr>
              <w:t>廉政监督座谈</w:t>
            </w:r>
            <w:r>
              <w:rPr>
                <w:rFonts w:ascii="宋体" w:hAnsi="宋体"/>
                <w:szCs w:val="21"/>
              </w:rPr>
              <w:t>相关</w:t>
            </w:r>
            <w:r>
              <w:rPr>
                <w:rFonts w:hint="eastAsia" w:ascii="宋体" w:hAnsi="宋体"/>
                <w:szCs w:val="21"/>
              </w:rPr>
              <w:t>工作</w:t>
            </w:r>
            <w:r>
              <w:rPr>
                <w:rFonts w:ascii="宋体" w:hAnsi="宋体"/>
                <w:szCs w:val="21"/>
              </w:rPr>
              <w:t>情况及信访投诉渠道和方式方法，</w:t>
            </w:r>
            <w:r>
              <w:rPr>
                <w:rFonts w:hint="eastAsia" w:ascii="宋体" w:hAnsi="宋体"/>
                <w:szCs w:val="21"/>
              </w:rPr>
              <w:t>召开廉政监督座谈会</w:t>
            </w:r>
            <w:r>
              <w:rPr>
                <w:rFonts w:ascii="宋体" w:hAnsi="宋体"/>
                <w:szCs w:val="21"/>
              </w:rPr>
              <w:t>的目的、意义等；</w:t>
            </w:r>
          </w:p>
          <w:p>
            <w:pPr>
              <w:snapToGrid w:val="0"/>
              <w:spacing w:line="400" w:lineRule="exact"/>
              <w:rPr>
                <w:szCs w:val="21"/>
                <w:u w:val="single"/>
              </w:rPr>
            </w:pPr>
            <w:r>
              <w:rPr>
                <w:rFonts w:ascii="宋体" w:hAnsi="宋体"/>
                <w:szCs w:val="21"/>
              </w:rPr>
              <w:t>（二）中标单位</w:t>
            </w:r>
            <w:r>
              <w:rPr>
                <w:rFonts w:hint="eastAsia" w:ascii="宋体" w:hAnsi="宋体"/>
                <w:szCs w:val="21"/>
              </w:rPr>
              <w:t>公司领导</w:t>
            </w:r>
            <w:r>
              <w:rPr>
                <w:rFonts w:ascii="宋体" w:hAnsi="宋体"/>
                <w:szCs w:val="21"/>
              </w:rPr>
              <w:t>介绍本单位基本情况，参与工程项目主要廉洁自律思路和举措，项目部廉洁风险防控工作</w:t>
            </w:r>
            <w:r>
              <w:rPr>
                <w:rFonts w:hint="eastAsia" w:ascii="宋体" w:hAnsi="宋体"/>
                <w:szCs w:val="21"/>
              </w:rPr>
              <w:t>联络员</w:t>
            </w:r>
            <w:r>
              <w:rPr>
                <w:rFonts w:ascii="宋体" w:hAnsi="宋体"/>
                <w:szCs w:val="21"/>
              </w:rPr>
              <w:t>基本情况及工作思路</w:t>
            </w:r>
            <w:r>
              <w:rPr>
                <w:rFonts w:hint="eastAsia" w:ascii="宋体" w:hAnsi="宋体"/>
                <w:szCs w:val="21"/>
              </w:rPr>
              <w:t>，作廉洁自律表态。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39</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参考</w:t>
            </w:r>
          </w:p>
          <w:p>
            <w:pPr>
              <w:adjustRightInd w:val="0"/>
              <w:spacing w:line="300" w:lineRule="exact"/>
              <w:jc w:val="center"/>
              <w:textAlignment w:val="baseline"/>
              <w:rPr>
                <w:rFonts w:ascii="宋体" w:hAnsi="宋体"/>
                <w:szCs w:val="21"/>
              </w:rPr>
            </w:pPr>
            <w:r>
              <w:rPr>
                <w:rFonts w:hint="eastAsia"/>
                <w:szCs w:val="21"/>
              </w:rPr>
              <w:t>品牌</w:t>
            </w:r>
          </w:p>
        </w:tc>
        <w:tc>
          <w:tcPr>
            <w:tcW w:w="5857" w:type="dxa"/>
            <w:tcBorders>
              <w:top w:val="single" w:color="auto" w:sz="4" w:space="0"/>
              <w:left w:val="single" w:color="auto" w:sz="4" w:space="0"/>
              <w:bottom w:val="single" w:color="auto" w:sz="4" w:space="0"/>
              <w:right w:val="double" w:color="auto" w:sz="4" w:space="0"/>
            </w:tcBorders>
          </w:tcPr>
          <w:p>
            <w:pPr>
              <w:adjustRightInd w:val="0"/>
              <w:spacing w:line="300" w:lineRule="exact"/>
              <w:ind w:firstLine="420" w:firstLineChars="200"/>
              <w:textAlignment w:val="baseline"/>
              <w:rPr>
                <w:rFonts w:ascii="宋体" w:hAnsi="宋体"/>
                <w:szCs w:val="21"/>
              </w:rPr>
            </w:pPr>
            <w:r>
              <w:rPr>
                <w:rFonts w:hint="eastAsia" w:hAnsi="宋体"/>
                <w:szCs w:val="18"/>
              </w:rPr>
              <w:t>投标人所投材料、设备、元器件和配件等产品不在招标文件相应参考品牌范围之内的，投标文件需提供关于所投产品相当或优于参考品牌档次的证明材料以及主要技术规格、参数表。若所投产品不满足招标文件相关要求，则投标人承担其投标文件被否决的风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40</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Ansi="宋体"/>
                <w:szCs w:val="18"/>
              </w:rPr>
            </w:pPr>
            <w:r>
              <w:rPr>
                <w:rFonts w:hint="eastAsia" w:hAnsi="宋体"/>
                <w:szCs w:val="18"/>
              </w:rPr>
              <w:t>相关</w:t>
            </w:r>
          </w:p>
          <w:p>
            <w:pPr>
              <w:adjustRightInd w:val="0"/>
              <w:spacing w:line="300" w:lineRule="exact"/>
              <w:jc w:val="center"/>
              <w:textAlignment w:val="baseline"/>
              <w:rPr>
                <w:szCs w:val="21"/>
              </w:rPr>
            </w:pPr>
            <w:r>
              <w:rPr>
                <w:rFonts w:hint="eastAsia" w:hAnsi="宋体"/>
                <w:szCs w:val="18"/>
              </w:rPr>
              <w:t>制度</w:t>
            </w:r>
          </w:p>
        </w:tc>
        <w:tc>
          <w:tcPr>
            <w:tcW w:w="5857" w:type="dxa"/>
            <w:tcBorders>
              <w:top w:val="single" w:color="auto" w:sz="4" w:space="0"/>
              <w:left w:val="single" w:color="auto" w:sz="4" w:space="0"/>
              <w:bottom w:val="single" w:color="auto" w:sz="4" w:space="0"/>
              <w:right w:val="double" w:color="auto" w:sz="4" w:space="0"/>
            </w:tcBorders>
          </w:tcPr>
          <w:p>
            <w:pPr>
              <w:adjustRightInd w:val="0"/>
              <w:spacing w:line="300" w:lineRule="exact"/>
              <w:ind w:firstLine="420" w:firstLineChars="200"/>
              <w:textAlignment w:val="baseline"/>
              <w:rPr>
                <w:rFonts w:hAnsi="宋体"/>
                <w:szCs w:val="18"/>
              </w:rPr>
            </w:pPr>
            <w:r>
              <w:rPr>
                <w:rFonts w:hint="eastAsia" w:hAnsi="宋体"/>
                <w:szCs w:val="18"/>
              </w:rPr>
              <w:t xml:space="preserve">中标人在投标和履约过程中应遵守指挥部有关工程管理制度，相关制度可通过关注“广东机场集团工程建设指挥部”微信公众号，在对话框中输入“制度”查阅。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41</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Ansi="宋体"/>
                <w:szCs w:val="18"/>
              </w:rPr>
            </w:pPr>
            <w:r>
              <w:rPr>
                <w:rFonts w:hint="eastAsia"/>
                <w:szCs w:val="21"/>
                <w:u w:val="single"/>
              </w:rPr>
              <w:t>供应商登记</w:t>
            </w:r>
          </w:p>
        </w:tc>
        <w:tc>
          <w:tcPr>
            <w:tcW w:w="5857" w:type="dxa"/>
            <w:tcBorders>
              <w:top w:val="single" w:color="auto" w:sz="4" w:space="0"/>
              <w:left w:val="single" w:color="auto" w:sz="4" w:space="0"/>
              <w:bottom w:val="single" w:color="auto" w:sz="4" w:space="0"/>
              <w:right w:val="double" w:color="auto" w:sz="4" w:space="0"/>
            </w:tcBorders>
            <w:vAlign w:val="center"/>
          </w:tcPr>
          <w:p>
            <w:pPr>
              <w:snapToGrid w:val="0"/>
              <w:spacing w:line="400" w:lineRule="exact"/>
              <w:rPr>
                <w:rFonts w:hAnsi="宋体"/>
                <w:szCs w:val="18"/>
              </w:rPr>
            </w:pPr>
            <w:r>
              <w:rPr>
                <w:rFonts w:hint="eastAsia"/>
                <w:bCs/>
                <w:szCs w:val="21"/>
                <w:u w:val="single"/>
              </w:rPr>
              <w:t>中标人领取中标通知书前必须在广东省机场管理集团有限公司资源交易信息平台(http://wz.gdairport.com/)主页中“合作商管理”模块，按规定格式填写正确的“合作商”登记信息，登记为合格的候选“合作商”。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42</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szCs w:val="21"/>
                <w:u w:val="single"/>
              </w:rPr>
            </w:pPr>
            <w:r>
              <w:rPr>
                <w:rFonts w:hint="eastAsia"/>
                <w:szCs w:val="21"/>
                <w:u w:val="single"/>
              </w:rPr>
              <w:t>第一中标候选人或中标人以外的投标人违法违规不影响中标结果</w:t>
            </w:r>
          </w:p>
        </w:tc>
        <w:tc>
          <w:tcPr>
            <w:tcW w:w="5857" w:type="dxa"/>
            <w:tcBorders>
              <w:top w:val="single" w:color="auto" w:sz="4" w:space="0"/>
              <w:left w:val="single" w:color="auto" w:sz="4" w:space="0"/>
              <w:bottom w:val="single" w:color="auto" w:sz="4" w:space="0"/>
              <w:right w:val="double" w:color="auto" w:sz="4" w:space="0"/>
            </w:tcBorders>
            <w:vAlign w:val="center"/>
          </w:tcPr>
          <w:p>
            <w:pPr>
              <w:snapToGrid w:val="0"/>
              <w:spacing w:line="400" w:lineRule="exact"/>
              <w:rPr>
                <w:bCs/>
                <w:szCs w:val="21"/>
                <w:u w:val="single"/>
              </w:rPr>
            </w:pPr>
            <w:r>
              <w:rPr>
                <w:rFonts w:hint="eastAsia"/>
                <w:bCs/>
                <w:szCs w:val="21"/>
                <w:u w:val="single"/>
              </w:rPr>
              <w:t>除第一中标候选人或中标人以外，其他投标人存在串通投标、弄虚作假、贿赂以及其他违法违规情形且在评标过程中未被发现的，视为对中标结果没有造成实质性影响，招标人可以继续开展招标活动。相关投标人的违法行为由行政监督部门依法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43</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szCs w:val="21"/>
                <w:u w:val="single"/>
              </w:rPr>
            </w:pPr>
            <w:r>
              <w:rPr>
                <w:rFonts w:hint="eastAsia" w:ascii="Times New Roman"/>
                <w:szCs w:val="21"/>
                <w:u w:val="single"/>
              </w:rPr>
              <w:t>中标服务费</w:t>
            </w:r>
          </w:p>
        </w:tc>
        <w:tc>
          <w:tcPr>
            <w:tcW w:w="5857" w:type="dxa"/>
            <w:tcBorders>
              <w:top w:val="single" w:color="auto" w:sz="4" w:space="0"/>
              <w:left w:val="single" w:color="auto" w:sz="4" w:space="0"/>
              <w:bottom w:val="single" w:color="auto" w:sz="4" w:space="0"/>
              <w:right w:val="double" w:color="auto" w:sz="4" w:space="0"/>
            </w:tcBorders>
            <w:vAlign w:val="center"/>
          </w:tcPr>
          <w:p>
            <w:pPr>
              <w:snapToGrid w:val="0"/>
              <w:spacing w:line="400" w:lineRule="exact"/>
              <w:rPr>
                <w:szCs w:val="21"/>
                <w:u w:val="single"/>
              </w:rPr>
            </w:pPr>
            <w:r>
              <w:rPr>
                <w:szCs w:val="21"/>
                <w:u w:val="single"/>
              </w:rPr>
              <w:t>中标人应向招标代理机构支付中标服务费</w:t>
            </w:r>
            <w:r>
              <w:rPr>
                <w:rFonts w:hint="eastAsia"/>
                <w:szCs w:val="21"/>
                <w:u w:val="single"/>
              </w:rPr>
              <w:t>，以中标通知书（或成交通知书）中确定的中标（或成交）总金额为基数按以下服务招标类收费标准以差额定率累进法计算：</w:t>
            </w:r>
          </w:p>
          <w:tbl>
            <w:tblPr>
              <w:tblStyle w:val="36"/>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127" w:type="dxa"/>
                  <w:tcBorders>
                    <w:top w:val="single" w:color="auto" w:sz="4" w:space="0"/>
                    <w:left w:val="single" w:color="auto" w:sz="4" w:space="0"/>
                    <w:bottom w:val="single" w:color="auto" w:sz="4" w:space="0"/>
                    <w:right w:val="single" w:color="auto" w:sz="4" w:space="0"/>
                  </w:tcBorders>
                </w:tcPr>
                <w:p>
                  <w:pPr>
                    <w:snapToGrid w:val="0"/>
                    <w:spacing w:line="400" w:lineRule="exact"/>
                    <w:rPr>
                      <w:rFonts w:ascii="宋体" w:hAnsi="宋体"/>
                      <w:u w:val="single"/>
                    </w:rPr>
                  </w:pPr>
                  <w:r>
                    <w:rPr>
                      <w:rFonts w:hint="eastAsia" w:ascii="宋体" w:hAnsi="宋体"/>
                      <w:u w:val="single"/>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-6350</wp:posOffset>
                            </wp:positionV>
                            <wp:extent cx="1344930" cy="390525"/>
                            <wp:effectExtent l="1270" t="4445" r="12700" b="11430"/>
                            <wp:wrapNone/>
                            <wp:docPr id="32" name="直接连接符 32"/>
                            <wp:cNvGraphicFramePr/>
                            <a:graphic xmlns:a="http://schemas.openxmlformats.org/drawingml/2006/main">
                              <a:graphicData uri="http://schemas.microsoft.com/office/word/2010/wordprocessingShape">
                                <wps:wsp>
                                  <wps:cNvCnPr/>
                                  <wps:spPr>
                                    <a:xfrm>
                                      <a:off x="0" y="0"/>
                                      <a:ext cx="1344930" cy="39052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5.4pt;margin-top:-0.5pt;height:30.75pt;width:105.9pt;z-index:251659264;mso-width-relative:page;mso-height-relative:page;" filled="f" stroked="t" coordsize="21600,21600" o:gfxdata="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Cu+2R1gAAAAkBAAAPAAAAAAAAAAEAIAAA&#10;ACIAAABkcnMvZG93bnJldi54bWxQSwECFAAUAAAACACHTuJAjU2q79UBAACRAwAADgAAAAAAAAAB&#10;ACAAAAAlAQAAZHJzL2Uyb0RvYy54bWxQSwUGAAAAAAYABgBZAQAAbAUAAAAA&#10;">
                            <v:fill on="f" focussize="0,0"/>
                            <v:stroke color="#000000" joinstyle="round"/>
                            <v:imagedata o:title=""/>
                            <o:lock v:ext="edit" aspectratio="f"/>
                          </v:line>
                        </w:pict>
                      </mc:Fallback>
                    </mc:AlternateContent>
                  </w:r>
                  <w:r>
                    <w:rPr>
                      <w:rFonts w:hint="eastAsia" w:ascii="宋体" w:hAnsi="宋体"/>
                      <w:u w:val="single"/>
                    </w:rPr>
                    <w:t xml:space="preserve">          费率</w:t>
                  </w:r>
                </w:p>
                <w:p>
                  <w:pPr>
                    <w:snapToGrid w:val="0"/>
                    <w:spacing w:line="400" w:lineRule="exact"/>
                    <w:rPr>
                      <w:rFonts w:ascii="宋体" w:hAnsi="宋体"/>
                      <w:u w:val="single"/>
                    </w:rPr>
                  </w:pPr>
                  <w:r>
                    <w:rPr>
                      <w:rFonts w:hint="eastAsia" w:ascii="宋体" w:hAnsi="宋体"/>
                      <w:u w:val="single"/>
                    </w:rPr>
                    <w:t>中标金额</w:t>
                  </w:r>
                </w:p>
              </w:tc>
              <w:tc>
                <w:tcPr>
                  <w:tcW w:w="1417"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宋体" w:hAnsi="宋体"/>
                      <w:u w:val="single"/>
                    </w:rPr>
                  </w:pPr>
                  <w:r>
                    <w:rPr>
                      <w:rFonts w:hint="eastAsia" w:ascii="宋体" w:hAnsi="宋体"/>
                      <w:u w:val="singl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1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u w:val="single"/>
                    </w:rPr>
                  </w:pPr>
                  <w:r>
                    <w:rPr>
                      <w:rFonts w:hint="eastAsia" w:ascii="宋体" w:hAnsi="宋体"/>
                      <w:u w:val="single"/>
                    </w:rPr>
                    <w:t>100万元以下</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u w:val="single"/>
                    </w:rPr>
                  </w:pPr>
                  <w:r>
                    <w:rPr>
                      <w:rFonts w:hint="eastAsia" w:ascii="宋体" w:hAnsi="宋体"/>
                      <w:u w:val="single"/>
                    </w:rPr>
                    <w:t>0.8</w:t>
                  </w:r>
                  <w:r>
                    <w:rPr>
                      <w:rFonts w:ascii="宋体" w:hAnsi="宋体"/>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1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u w:val="single"/>
                    </w:rPr>
                  </w:pPr>
                  <w:r>
                    <w:rPr>
                      <w:rFonts w:hint="eastAsia" w:ascii="宋体" w:hAnsi="宋体"/>
                      <w:u w:val="single"/>
                    </w:rPr>
                    <w:t>100～500万元</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u w:val="single"/>
                    </w:rPr>
                  </w:pPr>
                  <w:r>
                    <w:rPr>
                      <w:rFonts w:ascii="宋体" w:hAnsi="宋体"/>
                      <w:u w:val="single"/>
                    </w:rPr>
                    <w:t>0.</w:t>
                  </w:r>
                  <w:r>
                    <w:rPr>
                      <w:rFonts w:hint="eastAsia" w:ascii="宋体" w:hAnsi="宋体"/>
                      <w:u w:val="single"/>
                    </w:rPr>
                    <w:t>56</w:t>
                  </w:r>
                  <w:r>
                    <w:rPr>
                      <w:rFonts w:ascii="宋体" w:hAnsi="宋体"/>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1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u w:val="single"/>
                    </w:rPr>
                  </w:pPr>
                  <w:r>
                    <w:rPr>
                      <w:rFonts w:hint="eastAsia" w:ascii="宋体" w:hAnsi="宋体"/>
                      <w:u w:val="single"/>
                    </w:rPr>
                    <w:t>500～1000万元</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u w:val="single"/>
                    </w:rPr>
                  </w:pPr>
                  <w:r>
                    <w:rPr>
                      <w:rFonts w:ascii="宋体" w:hAnsi="宋体"/>
                      <w:u w:val="single"/>
                    </w:rPr>
                    <w:t>0.</w:t>
                  </w:r>
                  <w:r>
                    <w:rPr>
                      <w:rFonts w:hint="eastAsia" w:ascii="宋体" w:hAnsi="宋体"/>
                      <w:u w:val="single"/>
                    </w:rPr>
                    <w:t>44</w:t>
                  </w:r>
                  <w:r>
                    <w:rPr>
                      <w:rFonts w:ascii="宋体" w:hAnsi="宋体"/>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1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u w:val="single"/>
                    </w:rPr>
                  </w:pPr>
                  <w:r>
                    <w:rPr>
                      <w:rFonts w:hint="eastAsia" w:ascii="宋体" w:hAnsi="宋体"/>
                      <w:u w:val="single"/>
                    </w:rPr>
                    <w:t>1000～5000万元</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u w:val="single"/>
                    </w:rPr>
                  </w:pPr>
                  <w:r>
                    <w:rPr>
                      <w:rFonts w:hint="eastAsia" w:ascii="宋体" w:hAnsi="宋体"/>
                      <w:u w:val="single"/>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1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u w:val="single"/>
                    </w:rPr>
                  </w:pPr>
                  <w:r>
                    <w:rPr>
                      <w:rFonts w:hint="eastAsia" w:ascii="宋体" w:hAnsi="宋体"/>
                      <w:u w:val="single"/>
                    </w:rPr>
                    <w:t>5000～10000万元</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u w:val="single"/>
                    </w:rPr>
                  </w:pPr>
                  <w:r>
                    <w:rPr>
                      <w:rFonts w:hint="eastAsia" w:ascii="宋体" w:hAnsi="宋体"/>
                      <w:u w:val="single"/>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1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u w:val="single"/>
                    </w:rPr>
                  </w:pPr>
                  <w:r>
                    <w:rPr>
                      <w:rFonts w:hint="eastAsia" w:ascii="宋体" w:hAnsi="宋体"/>
                      <w:u w:val="single"/>
                    </w:rPr>
                    <w:t>10000～100000万元</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u w:val="single"/>
                    </w:rPr>
                  </w:pPr>
                  <w:r>
                    <w:rPr>
                      <w:rFonts w:hint="eastAsia" w:ascii="宋体" w:hAnsi="宋体"/>
                      <w:u w:val="single"/>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1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u w:val="single"/>
                    </w:rPr>
                  </w:pPr>
                  <w:r>
                    <w:rPr>
                      <w:rFonts w:hint="eastAsia" w:ascii="宋体" w:hAnsi="宋体"/>
                      <w:u w:val="single"/>
                    </w:rPr>
                    <w:t>100000万元以上</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u w:val="single"/>
                    </w:rPr>
                  </w:pPr>
                  <w:r>
                    <w:rPr>
                      <w:rFonts w:hint="eastAsia" w:ascii="宋体" w:hAnsi="宋体"/>
                      <w:u w:val="single"/>
                    </w:rPr>
                    <w:t>0.008%</w:t>
                  </w:r>
                </w:p>
              </w:tc>
            </w:tr>
          </w:tbl>
          <w:p>
            <w:pPr>
              <w:snapToGrid w:val="0"/>
              <w:spacing w:line="400" w:lineRule="exact"/>
              <w:rPr>
                <w:szCs w:val="21"/>
                <w:u w:val="single"/>
              </w:rPr>
            </w:pPr>
          </w:p>
          <w:p>
            <w:pPr>
              <w:snapToGrid w:val="0"/>
              <w:spacing w:line="400" w:lineRule="exact"/>
              <w:rPr>
                <w:bCs/>
                <w:szCs w:val="21"/>
                <w:u w:val="single"/>
              </w:rPr>
            </w:pPr>
            <w:r>
              <w:rPr>
                <w:szCs w:val="21"/>
                <w:u w:val="single"/>
              </w:rPr>
              <w:t>中标服务费</w:t>
            </w:r>
            <w:r>
              <w:rPr>
                <w:rFonts w:hint="eastAsia"/>
                <w:szCs w:val="21"/>
                <w:u w:val="single"/>
              </w:rPr>
              <w:t>计入投标总价但不在报价表中单列，中标人在领取中标通知书之前一次性向招标代理机构支付。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44</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Times New Roman"/>
                <w:szCs w:val="21"/>
                <w:u w:val="single"/>
              </w:rPr>
            </w:pPr>
            <w:r>
              <w:rPr>
                <w:rFonts w:hint="eastAsia" w:ascii="Times New Roman"/>
                <w:szCs w:val="21"/>
                <w:u w:val="single"/>
              </w:rPr>
              <w:t>交易费用</w:t>
            </w:r>
          </w:p>
        </w:tc>
        <w:tc>
          <w:tcPr>
            <w:tcW w:w="5857" w:type="dxa"/>
            <w:tcBorders>
              <w:top w:val="single" w:color="auto" w:sz="4" w:space="0"/>
              <w:left w:val="single" w:color="auto" w:sz="4" w:space="0"/>
              <w:bottom w:val="single" w:color="auto" w:sz="4" w:space="0"/>
              <w:right w:val="double" w:color="auto" w:sz="4" w:space="0"/>
            </w:tcBorders>
            <w:vAlign w:val="center"/>
          </w:tcPr>
          <w:p>
            <w:pPr>
              <w:snapToGrid w:val="0"/>
              <w:spacing w:line="400" w:lineRule="exact"/>
              <w:rPr>
                <w:szCs w:val="21"/>
                <w:u w:val="single"/>
              </w:rPr>
            </w:pPr>
            <w:r>
              <w:rPr>
                <w:rFonts w:hint="eastAsia" w:ascii="Times New Roman"/>
                <w:szCs w:val="21"/>
                <w:u w:val="single"/>
              </w:rPr>
              <w:t>投标人自行承担所有与参加投标有关的费用，其中交易服务费收费标准详见广州公共资源交易中心网站</w:t>
            </w:r>
            <w:r>
              <w:rPr>
                <w:rFonts w:ascii="Times New Roman"/>
                <w:szCs w:val="21"/>
                <w:u w:val="single"/>
              </w:rPr>
              <w:t>，由中标人向广州公共资源交易中心支付</w:t>
            </w:r>
            <w:r>
              <w:rPr>
                <w:rFonts w:hint="eastAsia" w:ascii="Times New Roman"/>
                <w:szCs w:val="21"/>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45</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Times New Roman"/>
                <w:szCs w:val="21"/>
                <w:u w:val="single"/>
              </w:rPr>
            </w:pPr>
            <w:r>
              <w:rPr>
                <w:rFonts w:hint="eastAsia" w:ascii="Times New Roman"/>
                <w:szCs w:val="21"/>
                <w:u w:val="single"/>
              </w:rPr>
              <w:t>施工现场</w:t>
            </w:r>
          </w:p>
          <w:p>
            <w:pPr>
              <w:snapToGrid w:val="0"/>
              <w:spacing w:line="400" w:lineRule="exact"/>
              <w:jc w:val="center"/>
              <w:rPr>
                <w:rFonts w:ascii="Times New Roman"/>
                <w:szCs w:val="21"/>
                <w:u w:val="single"/>
              </w:rPr>
            </w:pPr>
            <w:r>
              <w:rPr>
                <w:rFonts w:hint="eastAsia" w:ascii="Times New Roman"/>
                <w:szCs w:val="21"/>
                <w:u w:val="single"/>
              </w:rPr>
              <w:t>实名管理</w:t>
            </w:r>
          </w:p>
        </w:tc>
        <w:tc>
          <w:tcPr>
            <w:tcW w:w="5857" w:type="dxa"/>
            <w:tcBorders>
              <w:top w:val="single" w:color="auto" w:sz="4" w:space="0"/>
              <w:left w:val="single" w:color="auto" w:sz="4" w:space="0"/>
              <w:bottom w:val="single" w:color="auto" w:sz="4" w:space="0"/>
              <w:right w:val="double" w:color="auto" w:sz="4" w:space="0"/>
            </w:tcBorders>
            <w:vAlign w:val="center"/>
          </w:tcPr>
          <w:p>
            <w:pPr>
              <w:snapToGrid w:val="0"/>
              <w:spacing w:line="400" w:lineRule="exact"/>
              <w:rPr>
                <w:rFonts w:ascii="Times New Roman"/>
                <w:szCs w:val="21"/>
                <w:u w:val="single"/>
              </w:rPr>
            </w:pPr>
            <w:r>
              <w:rPr>
                <w:rFonts w:hint="eastAsia" w:ascii="宋体" w:hAnsi="宋体"/>
                <w:szCs w:val="21"/>
                <w:u w:val="single"/>
              </w:rPr>
              <w:t>投标人须服从招标人施工现场实名管理相关要求，承诺项目经理通过实名系统进行考核，如考核未达要求则自愿接受合同相关条款的处罚。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46</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pacing w:after="156" w:afterLines="50"/>
              <w:jc w:val="left"/>
              <w:textAlignment w:val="bottom"/>
              <w:rPr>
                <w:rFonts w:ascii="Times New Roman"/>
                <w:szCs w:val="21"/>
                <w:u w:val="single"/>
              </w:rPr>
            </w:pPr>
            <w:r>
              <w:rPr>
                <w:rFonts w:hint="eastAsia" w:ascii="宋体" w:hAnsi="宋体"/>
                <w:szCs w:val="24"/>
                <w:u w:val="single"/>
              </w:rPr>
              <w:t>项目经理、安全经理、技术负责人、BIM工作管理规定</w:t>
            </w:r>
          </w:p>
        </w:tc>
        <w:tc>
          <w:tcPr>
            <w:tcW w:w="5857" w:type="dxa"/>
            <w:tcBorders>
              <w:top w:val="single" w:color="auto" w:sz="4" w:space="0"/>
              <w:left w:val="single" w:color="auto" w:sz="4" w:space="0"/>
              <w:bottom w:val="single" w:color="auto" w:sz="4" w:space="0"/>
              <w:right w:val="double" w:color="auto" w:sz="4" w:space="0"/>
            </w:tcBorders>
            <w:vAlign w:val="center"/>
          </w:tcPr>
          <w:p>
            <w:pPr>
              <w:pStyle w:val="35"/>
              <w:ind w:firstLine="0"/>
            </w:pPr>
            <w:r>
              <w:rPr>
                <w:rFonts w:hint="eastAsia"/>
              </w:rPr>
              <w:t>项目经理或安全经理或技术负责人短期离开施工场地，应事先征得监理工程师和发包人同意（两天及两天以上须获得书面批准意见），并委派代表代行其职责。发包人定期、不定期对承包人的人员履约情况进行检查，项目经理或安全经理或技术负责人未经监理工程师和发包人同意擅自离开施工场地的，按以下约定支付违约金：</w:t>
            </w:r>
          </w:p>
          <w:p>
            <w:pPr>
              <w:pStyle w:val="35"/>
              <w:ind w:firstLine="0"/>
            </w:pPr>
            <w:r>
              <w:rPr>
                <w:rFonts w:hint="eastAsia"/>
              </w:rPr>
              <w:t>项目经理擅自离开施工场地一天以内（含一天），承包人需向发包人支付违约金5万元/次；项目经理擅自离开施工场地连续两天及以上的，自第二天起承包人每天需向发包人支付合同总价（不含暂列金和暂估价）的万分之三作为违约金，违约金分次累计计算；以上违约金累计金额以合同总价（不含暂列金和暂估价）的4%为限。</w:t>
            </w:r>
          </w:p>
          <w:p>
            <w:pPr>
              <w:pStyle w:val="35"/>
              <w:ind w:firstLine="0"/>
            </w:pPr>
            <w:r>
              <w:rPr>
                <w:rFonts w:hint="eastAsia" w:ascii="宋体" w:hAnsi="宋体"/>
                <w:szCs w:val="21"/>
              </w:rPr>
              <w:t>安全经理擅自离开施工场地一天以内（含一天），承包人需向发包人支付违约金2万元/次，安全经理擅自离开施工场地连续两天及以上的，自第二天起承包人每天需向发包人支付合同总价（不含暂列金和暂估价）的万分之一作为违约金，违约金分次累计计算；以上违约金累计金额以合同总价（不含暂列金和暂估价）的2%为限。</w:t>
            </w:r>
          </w:p>
          <w:p>
            <w:pPr>
              <w:pStyle w:val="35"/>
              <w:ind w:firstLine="0"/>
            </w:pPr>
            <w:r>
              <w:rPr>
                <w:rFonts w:hint="eastAsia"/>
              </w:rPr>
              <w:t>技术负责人擅自离开施工场地一天以内（含一天），承包人需向发包人支付违约金2万元/次，技术负责人擅自离开施工场地连续两天及以上的，自第二天起承包人每天需向发包人支付合同总价（不含暂列金和暂估价）的万分之一作为违约金，违约金分次累计计算；以上违约金累计金额以合同总价（不含暂列金和暂估价）的1%为限。</w:t>
            </w:r>
          </w:p>
          <w:p>
            <w:pPr>
              <w:pStyle w:val="35"/>
              <w:ind w:firstLine="0"/>
            </w:pPr>
            <w:r>
              <w:rPr>
                <w:rFonts w:hint="eastAsia"/>
              </w:rPr>
              <w:t>发包人将委托BIM咨询单位对承包人的BIM工作进行检查，对违反工作要求的行为要求支付违约金，以合同总价（不含暂列金和暂估价）的3%为限。</w:t>
            </w:r>
          </w:p>
          <w:p>
            <w:pPr>
              <w:pStyle w:val="35"/>
              <w:ind w:firstLine="0"/>
              <w:rPr>
                <w:rFonts w:ascii="宋体" w:hAnsi="宋体"/>
                <w:szCs w:val="21"/>
                <w:u w:val="single"/>
              </w:rPr>
            </w:pPr>
            <w:r>
              <w:rPr>
                <w:rFonts w:hint="eastAsia"/>
              </w:rPr>
              <w:t>以上违约金结算时累计计算，具体扣罚办法按照本合同相关条款执行。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47</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u w:val="single"/>
              </w:rPr>
            </w:pPr>
            <w:r>
              <w:rPr>
                <w:rFonts w:hint="eastAsia" w:ascii="宋体" w:hAnsi="宋体"/>
                <w:szCs w:val="21"/>
                <w:u w:val="single"/>
              </w:rPr>
              <w:t>竣工图标注</w:t>
            </w:r>
          </w:p>
        </w:tc>
        <w:tc>
          <w:tcPr>
            <w:tcW w:w="5857" w:type="dxa"/>
            <w:tcBorders>
              <w:top w:val="single" w:color="auto" w:sz="4" w:space="0"/>
              <w:left w:val="single" w:color="auto" w:sz="4" w:space="0"/>
              <w:bottom w:val="single" w:color="auto" w:sz="4" w:space="0"/>
              <w:right w:val="double" w:color="auto" w:sz="4" w:space="0"/>
            </w:tcBorders>
            <w:vAlign w:val="center"/>
          </w:tcPr>
          <w:p>
            <w:pPr>
              <w:snapToGrid w:val="0"/>
              <w:spacing w:line="400" w:lineRule="exact"/>
              <w:rPr>
                <w:rFonts w:ascii="宋体" w:hAnsi="宋体"/>
                <w:szCs w:val="21"/>
              </w:rPr>
            </w:pPr>
            <w:r>
              <w:rPr>
                <w:rFonts w:hint="eastAsia" w:ascii="宋体" w:hAnsi="宋体"/>
                <w:szCs w:val="21"/>
              </w:rPr>
              <w:t>所有地下管线需按规范要求进行隐蔽验收，除按照指挥部档案管理要求提供相关资料外，同时必须在竣工图中标注清楚以下内容：</w:t>
            </w:r>
          </w:p>
          <w:p>
            <w:pPr>
              <w:snapToGrid w:val="0"/>
              <w:spacing w:line="400" w:lineRule="exact"/>
              <w:rPr>
                <w:rFonts w:ascii="宋体" w:hAnsi="宋体"/>
                <w:szCs w:val="21"/>
              </w:rPr>
            </w:pPr>
            <w:r>
              <w:rPr>
                <w:rFonts w:hint="eastAsia" w:ascii="宋体" w:hAnsi="宋体"/>
                <w:szCs w:val="21"/>
              </w:rPr>
              <w:t>1、管线起始点及转折点坐标；</w:t>
            </w:r>
          </w:p>
          <w:p>
            <w:r>
              <w:rPr>
                <w:rFonts w:hint="eastAsia" w:ascii="宋体" w:hAnsi="宋体"/>
                <w:szCs w:val="21"/>
              </w:rPr>
              <w:t>2、管线起始点及转折点的埋深，并用绝对标高与相对标高表示。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48</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u w:val="single"/>
              </w:rPr>
            </w:pPr>
            <w:r>
              <w:rPr>
                <w:rFonts w:hint="eastAsia" w:ascii="宋体" w:hAnsi="宋体"/>
                <w:b/>
                <w:bCs/>
                <w:szCs w:val="21"/>
                <w:u w:val="single"/>
              </w:rPr>
              <w:t>特别提示</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rPr>
              <w:t>投标人投标时应结合招标文件、合同条款、技术规范及图纸报价，投标人对比招标施工图发现招标清单有缺漏项、及招标清单项目特征描述不全、描述与图纸及技术规范不符、材料设备价格存在与市场严重偏差，应在答疑时提出具体明细项，未在招标答疑提出视为在报价时已综合考虑上述因素，除调整设计变更变化费用外，其余在结算时不予计算。答疑时发包人回复不予调整的，结算时不予计算，相关费用由投标人考虑在报价内。（注：①清单有开项的，结算可以根据图纸调整工程量，单价不调整；②招标施工图有体现但清单未开项的且答疑未提出，结算时不增加相应费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49</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u w:val="single"/>
              </w:rPr>
            </w:pPr>
            <w:r>
              <w:rPr>
                <w:rStyle w:val="44"/>
                <w:rFonts w:hint="eastAsia"/>
                <w:color w:val="auto"/>
              </w:rPr>
              <w:t>智能建造要求</w:t>
            </w:r>
          </w:p>
        </w:tc>
        <w:tc>
          <w:tcPr>
            <w:tcW w:w="5857" w:type="dxa"/>
            <w:tcBorders>
              <w:top w:val="single" w:color="auto" w:sz="4" w:space="0"/>
              <w:left w:val="single" w:color="auto" w:sz="4" w:space="0"/>
              <w:bottom w:val="single" w:color="auto" w:sz="4" w:space="0"/>
              <w:right w:val="double" w:color="auto" w:sz="4" w:space="0"/>
            </w:tcBorders>
            <w:vAlign w:val="center"/>
          </w:tcPr>
          <w:p>
            <w:pPr>
              <w:adjustRightInd w:val="0"/>
              <w:snapToGrid w:val="0"/>
              <w:rPr>
                <w:rFonts w:ascii="宋体" w:hAnsi="宋体" w:cs="宋体"/>
                <w:szCs w:val="21"/>
              </w:rPr>
            </w:pPr>
            <w:r>
              <w:rPr>
                <w:rFonts w:hint="eastAsia" w:ascii="宋体" w:hAnsi="宋体" w:cs="宋体"/>
                <w:szCs w:val="21"/>
              </w:rPr>
              <w:t>在发包人约定的范围内采用BIM及有关技术，实施智能建造与数字化施工、按模施工、BIM计量支付、建设智慧工地系统，各参建单位使用发包人提供的智能建造协同管理平台进行协同工作。</w:t>
            </w:r>
          </w:p>
          <w:p>
            <w:r>
              <w:rPr>
                <w:rFonts w:hint="eastAsia" w:ascii="宋体" w:hAnsi="宋体" w:cs="宋体"/>
                <w:szCs w:val="21"/>
              </w:rPr>
              <w:t>（具体要求详见：</w:t>
            </w:r>
            <w:r>
              <w:rPr>
                <w:rStyle w:val="44"/>
                <w:color w:val="auto"/>
              </w:rPr>
              <w:t>第</w:t>
            </w:r>
            <w:r>
              <w:rPr>
                <w:rStyle w:val="44"/>
                <w:rFonts w:hint="eastAsia"/>
                <w:color w:val="auto"/>
              </w:rPr>
              <w:t>六</w:t>
            </w:r>
            <w:r>
              <w:rPr>
                <w:rStyle w:val="44"/>
                <w:color w:val="auto"/>
              </w:rPr>
              <w:t xml:space="preserve">章  </w:t>
            </w:r>
            <w:r>
              <w:rPr>
                <w:rStyle w:val="44"/>
                <w:rFonts w:hint="eastAsia"/>
                <w:color w:val="auto"/>
              </w:rPr>
              <w:t>智能建造要求</w:t>
            </w:r>
            <w:r>
              <w:rPr>
                <w:rFonts w:hint="eastAsia" w:ascii="宋体" w:hAnsi="宋体" w:cs="宋体"/>
                <w:szCs w:val="21"/>
              </w:rPr>
              <w:t>专篇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50</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Style w:val="44"/>
                <w:color w:val="auto"/>
              </w:rPr>
            </w:pPr>
            <w:r>
              <w:rPr>
                <w:rStyle w:val="44"/>
                <w:rFonts w:hint="eastAsia"/>
                <w:color w:val="auto"/>
              </w:rPr>
              <w:t>3D扫描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按招标人相关要求执行。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51</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u w:val="single"/>
              </w:rPr>
            </w:pPr>
            <w:r>
              <w:rPr>
                <w:rFonts w:hint="eastAsia" w:ascii="宋体" w:hAnsi="宋体"/>
                <w:szCs w:val="21"/>
                <w:u w:val="single"/>
              </w:rPr>
              <w:t>科技创新要求</w:t>
            </w:r>
          </w:p>
        </w:tc>
        <w:tc>
          <w:tcPr>
            <w:tcW w:w="5857" w:type="dxa"/>
            <w:tcBorders>
              <w:top w:val="single" w:color="auto" w:sz="4" w:space="0"/>
              <w:left w:val="single" w:color="auto" w:sz="4" w:space="0"/>
              <w:bottom w:val="single" w:color="auto" w:sz="4" w:space="0"/>
              <w:right w:val="double" w:color="auto" w:sz="4" w:space="0"/>
            </w:tcBorders>
            <w:vAlign w:val="center"/>
          </w:tcPr>
          <w:p>
            <w:pPr>
              <w:numPr>
                <w:ilvl w:val="0"/>
                <w:numId w:val="6"/>
              </w:numPr>
            </w:pPr>
            <w:r>
              <w:rPr>
                <w:rFonts w:hint="eastAsia"/>
              </w:rPr>
              <w:t>要求本项目中标人积极开展科研创新工作，鼓励承包单位在满足国家规范的前提下进行技术创新。项目科研创新的具体要求包括不限于：选题、制定科研创新工作方案、成果确认、目标。</w:t>
            </w:r>
          </w:p>
          <w:p>
            <w:pPr>
              <w:numPr>
                <w:ilvl w:val="0"/>
                <w:numId w:val="6"/>
              </w:numPr>
            </w:pPr>
            <w:r>
              <w:rPr>
                <w:rFonts w:hint="eastAsia"/>
              </w:rPr>
              <w:t>科研创新工作的具体开展根据招标人专项工作的要求进行，并服从招标人对科研创新工作的安排。中标人因本项目获得的科研创新成果，相关资料应提交给发包人存档（文字、图文材料可以是复印件）。</w:t>
            </w:r>
          </w:p>
          <w:p>
            <w:pPr>
              <w:numPr>
                <w:ilvl w:val="0"/>
                <w:numId w:val="6"/>
              </w:numPr>
            </w:pPr>
            <w:r>
              <w:rPr>
                <w:rFonts w:hint="eastAsia"/>
              </w:rPr>
              <w:t>投标时施工单位可以根据自身情况制定有关创新计划、创新措施及奖项承诺，若施工阶段计划未按承诺实施，结算时将以50-200万元/项扣除有关款项。</w:t>
            </w:r>
          </w:p>
          <w:p>
            <w:pPr>
              <w:numPr>
                <w:ilvl w:val="0"/>
                <w:numId w:val="6"/>
              </w:numPr>
              <w:rPr>
                <w:highlight w:val="none"/>
              </w:rPr>
            </w:pPr>
            <w:r>
              <w:rPr>
                <w:rFonts w:hint="eastAsia"/>
                <w:highlight w:val="none"/>
              </w:rPr>
              <w:t>该项目</w:t>
            </w:r>
            <w:r>
              <w:rPr>
                <w:rFonts w:hint="eastAsia" w:ascii="宋体" w:hAnsi="宋体"/>
                <w:highlight w:val="none"/>
              </w:rPr>
              <w:t>投标数量不低于此要求：专利≥2个及</w:t>
            </w:r>
            <w:r>
              <w:rPr>
                <w:rFonts w:hint="eastAsia" w:ascii="宋体" w:hAnsi="宋体" w:cs="宋体"/>
                <w:szCs w:val="21"/>
                <w:highlight w:val="none"/>
              </w:rPr>
              <w:t>国家核心期刊</w:t>
            </w:r>
            <w:r>
              <w:rPr>
                <w:rFonts w:hint="eastAsia" w:ascii="宋体" w:hAnsi="宋体"/>
                <w:highlight w:val="none"/>
              </w:rPr>
              <w:t>论文≥3个。</w:t>
            </w:r>
          </w:p>
          <w:p>
            <w:pPr>
              <w:pStyle w:val="32"/>
              <w:tabs>
                <w:tab w:val="left" w:pos="420"/>
              </w:tabs>
              <w:autoSpaceDE w:val="0"/>
              <w:adjustRightInd w:val="0"/>
              <w:snapToGrid w:val="0"/>
              <w:spacing w:beforeAutospacing="0" w:afterAutospacing="0"/>
              <w:outlineLvl w:val="1"/>
            </w:pPr>
            <w:r>
              <w:rPr>
                <w:rFonts w:hint="eastAsia" w:cs="宋体"/>
                <w:sz w:val="21"/>
                <w:szCs w:val="21"/>
              </w:rPr>
              <w:t>（</w:t>
            </w:r>
            <w:r>
              <w:rPr>
                <w:rFonts w:hint="eastAsia" w:ascii="Calibri" w:hAnsi="Calibri"/>
                <w:kern w:val="2"/>
                <w:sz w:val="21"/>
                <w:szCs w:val="22"/>
              </w:rPr>
              <w:t>具体要求详见：第五章 技术条件</w:t>
            </w:r>
            <w:r>
              <w:rPr>
                <w:rFonts w:hint="eastAsia" w:ascii="Calibri" w:hAnsi="Calibri"/>
                <w:spacing w:val="-20"/>
                <w:kern w:val="2"/>
                <w:sz w:val="21"/>
                <w:szCs w:val="22"/>
              </w:rPr>
              <w:t xml:space="preserve"> </w:t>
            </w:r>
            <w:r>
              <w:rPr>
                <w:rFonts w:hint="eastAsia" w:cs="宋体"/>
                <w:sz w:val="21"/>
                <w:szCs w:val="21"/>
              </w:rPr>
              <w:t>）</w:t>
            </w:r>
          </w:p>
          <w:p>
            <w:pPr>
              <w:pStyle w:val="2"/>
              <w:adjustRightInd w:val="0"/>
              <w:snapToGrid w:val="0"/>
              <w:ind w:left="0" w:leftChars="0"/>
            </w:pPr>
            <w:r>
              <w:rPr>
                <w:rFonts w:hint="eastAsia" w:ascii="宋体" w:hAnsi="Times New Roman"/>
                <w:b/>
                <w:bCs/>
                <w:u w:val="single"/>
              </w:rPr>
              <w:t>按投标格式十三科研创新工作承诺书予以承诺。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52</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u w:val="single"/>
              </w:rPr>
            </w:pPr>
            <w:r>
              <w:rPr>
                <w:rFonts w:hint="eastAsia" w:ascii="宋体" w:hAnsi="宋体"/>
                <w:szCs w:val="21"/>
                <w:u w:val="single"/>
              </w:rPr>
              <w:t>施工用电安全</w:t>
            </w:r>
          </w:p>
          <w:p>
            <w:pPr>
              <w:jc w:val="center"/>
              <w:rPr>
                <w:rFonts w:ascii="宋体" w:hAnsi="宋体"/>
                <w:szCs w:val="21"/>
                <w:u w:val="single"/>
              </w:rPr>
            </w:pPr>
            <w:r>
              <w:rPr>
                <w:rFonts w:hint="eastAsia" w:ascii="宋体" w:hAnsi="宋体"/>
                <w:szCs w:val="21"/>
                <w:u w:val="single"/>
              </w:rPr>
              <w:t>责任处罚</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rPr>
            </w:pPr>
            <w:r>
              <w:rPr>
                <w:rFonts w:hint="eastAsia" w:ascii="宋体" w:hAnsi="宋体" w:cs="宋体"/>
                <w:szCs w:val="21"/>
              </w:rPr>
              <w:t>1、因中标单位责任原因导致机场电压波动，造成航站楼部分设施设备停用，影响航站楼部分区域正常运行保障，未引起旅客或者航司有效投诉的，每次处罚 50万元。</w:t>
            </w:r>
          </w:p>
          <w:p>
            <w:pPr>
              <w:rPr>
                <w:rFonts w:ascii="宋体" w:hAnsi="宋体" w:cs="宋体"/>
                <w:szCs w:val="21"/>
              </w:rPr>
            </w:pPr>
            <w:r>
              <w:rPr>
                <w:rFonts w:hint="eastAsia" w:ascii="宋体" w:hAnsi="宋体" w:cs="宋体"/>
                <w:szCs w:val="21"/>
              </w:rPr>
              <w:t>2、因中标单位责任原因导致机场电压波动，造成航站楼重要设施设备停用，导致航班、行李延误或者引起旅客、航司有效投诉的，每次处罚 100万元;</w:t>
            </w:r>
          </w:p>
          <w:p>
            <w:pPr>
              <w:rPr>
                <w:rFonts w:ascii="宋体" w:hAnsi="宋体" w:cs="宋体"/>
                <w:szCs w:val="21"/>
              </w:rPr>
            </w:pPr>
            <w:r>
              <w:rPr>
                <w:rFonts w:hint="eastAsia" w:ascii="宋体" w:hAnsi="宋体" w:cs="宋体"/>
                <w:szCs w:val="21"/>
              </w:rPr>
              <w:t>施工用电安全责任处罚</w:t>
            </w:r>
          </w:p>
          <w:p>
            <w:pPr>
              <w:rPr>
                <w:rFonts w:ascii="宋体" w:hAnsi="宋体" w:cs="宋体"/>
                <w:szCs w:val="21"/>
              </w:rPr>
            </w:pPr>
            <w:r>
              <w:rPr>
                <w:rFonts w:hint="eastAsia" w:ascii="宋体" w:hAnsi="宋体" w:cs="宋体"/>
                <w:szCs w:val="21"/>
              </w:rPr>
              <w:t>3、因中标单位责任原因，导致股份公司被民航监管单位、集团公司等上级单位通报批评的，每次处罚 200万元。4、因中标单位责任原因，导致股份公司被民航监管单位、集团公司等上级单位考核扣分或行政处罚的,每次处罚300 万元5、因中标单位责任原因，造成机场 110kV 电站跳闸全站停电每次处罚 500万元。</w:t>
            </w:r>
          </w:p>
          <w:p>
            <w:r>
              <w:rPr>
                <w:rFonts w:hint="eastAsia" w:ascii="宋体" w:hAnsi="宋体" w:cs="宋体"/>
                <w:szCs w:val="21"/>
              </w:rPr>
              <w:t>6、如出现上述白云机场三期扩建工程用电异常情况，中标单位主动报告的处罚按照 50%执行，中标单位瞒报的则按处罚条款加倍执行。</w:t>
            </w:r>
          </w:p>
        </w:tc>
      </w:tr>
    </w:tbl>
    <w:p>
      <w:pPr>
        <w:spacing w:line="480" w:lineRule="auto"/>
        <w:rPr>
          <w:rFonts w:ascii="宋体"/>
          <w:sz w:val="24"/>
        </w:rPr>
      </w:pPr>
      <w:r>
        <w:rPr>
          <w:rFonts w:hint="eastAsia" w:ascii="宋体" w:hAnsi="宋体"/>
          <w:sz w:val="24"/>
        </w:rPr>
        <w:t>注：企业</w:t>
      </w:r>
      <w:r>
        <w:rPr>
          <w:rFonts w:hint="eastAsia" w:ascii="宋体" w:hAnsi="宋体" w:cs="宋体"/>
          <w:kern w:val="0"/>
          <w:sz w:val="24"/>
        </w:rPr>
        <w:t>综合诚信评价得分即</w:t>
      </w:r>
      <w:r>
        <w:rPr>
          <w:rFonts w:hint="eastAsia" w:ascii="宋体" w:hAnsi="宋体"/>
          <w:sz w:val="24"/>
        </w:rPr>
        <w:t>企业</w:t>
      </w:r>
      <w:r>
        <w:rPr>
          <w:rFonts w:hint="eastAsia" w:ascii="宋体" w:hAnsi="宋体" w:cs="宋体"/>
          <w:kern w:val="0"/>
          <w:sz w:val="24"/>
        </w:rPr>
        <w:t>综合诚信评价</w:t>
      </w:r>
      <w:r>
        <w:rPr>
          <w:rFonts w:ascii="宋体" w:hAnsi="宋体" w:cs="宋体"/>
          <w:kern w:val="0"/>
          <w:sz w:val="24"/>
        </w:rPr>
        <w:t>60</w:t>
      </w:r>
      <w:r>
        <w:rPr>
          <w:rFonts w:hint="eastAsia" w:ascii="宋体" w:hAnsi="宋体" w:cs="宋体"/>
          <w:kern w:val="0"/>
          <w:sz w:val="24"/>
        </w:rPr>
        <w:t>日诚信分，以下同。（本项目不适用）</w:t>
      </w:r>
    </w:p>
    <w:p>
      <w:pPr>
        <w:pStyle w:val="4"/>
        <w:rPr>
          <w:color w:val="auto"/>
        </w:rPr>
      </w:pPr>
      <w:r>
        <w:rPr>
          <w:color w:val="auto"/>
        </w:rPr>
        <w:br w:type="page"/>
      </w:r>
      <w:bookmarkStart w:id="4" w:name="_Toc2272547"/>
      <w:bookmarkStart w:id="5" w:name="_Toc21525491"/>
      <w:r>
        <w:rPr>
          <w:rFonts w:hint="eastAsia"/>
          <w:color w:val="auto"/>
        </w:rPr>
        <w:t>二、投标须知修改表</w:t>
      </w:r>
      <w:bookmarkEnd w:id="4"/>
      <w:bookmarkEnd w:id="5"/>
    </w:p>
    <w:p>
      <w:pPr>
        <w:pStyle w:val="35"/>
        <w:spacing w:line="360" w:lineRule="auto"/>
        <w:rPr>
          <w:b/>
          <w:szCs w:val="21"/>
        </w:rPr>
      </w:pPr>
      <w:r>
        <w:rPr>
          <w:rFonts w:hint="eastAsia"/>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360" w:lineRule="auto"/>
        <w:ind w:firstLine="472" w:firstLineChars="224"/>
        <w:rPr>
          <w:rFonts w:ascii="宋体" w:hAnsi="宋体"/>
          <w:b/>
          <w:szCs w:val="21"/>
        </w:rPr>
      </w:pPr>
      <w:r>
        <w:rPr>
          <w:rFonts w:hint="eastAsia" w:ascii="宋体" w:hAnsi="宋体"/>
          <w:b/>
          <w:szCs w:val="21"/>
        </w:rPr>
        <w:t xml:space="preserve">条款号：7.1 </w:t>
      </w:r>
      <w:r>
        <w:rPr>
          <w:rFonts w:ascii="宋体" w:hAnsi="宋体"/>
          <w:b/>
          <w:szCs w:val="21"/>
        </w:rPr>
        <w:t xml:space="preserve">              </w:t>
      </w:r>
      <w:r>
        <w:rPr>
          <w:rFonts w:hint="eastAsia" w:ascii="宋体" w:hAnsi="宋体"/>
          <w:b/>
          <w:szCs w:val="21"/>
        </w:rPr>
        <w:t>修改类型：修改</w:t>
      </w:r>
    </w:p>
    <w:p>
      <w:pPr>
        <w:tabs>
          <w:tab w:val="left" w:pos="105"/>
        </w:tabs>
        <w:spacing w:line="360" w:lineRule="auto"/>
        <w:ind w:firstLine="422" w:firstLineChars="200"/>
        <w:rPr>
          <w:rFonts w:ascii="宋体"/>
          <w:szCs w:val="21"/>
        </w:rPr>
      </w:pPr>
      <w:r>
        <w:rPr>
          <w:rFonts w:hint="eastAsia" w:ascii="宋体" w:hAnsi="宋体"/>
          <w:b/>
          <w:szCs w:val="21"/>
        </w:rPr>
        <w:t>原文：</w:t>
      </w:r>
      <w:r>
        <w:rPr>
          <w:rFonts w:ascii="宋体" w:hAnsi="宋体"/>
          <w:bCs/>
          <w:szCs w:val="21"/>
        </w:rPr>
        <w:t>7.1</w:t>
      </w:r>
      <w:r>
        <w:rPr>
          <w:rFonts w:hint="eastAsia" w:ascii="宋体" w:hAnsi="宋体"/>
          <w:szCs w:val="21"/>
        </w:rPr>
        <w:t>本招标文件包括下列文件，以及所有按本须知第</w:t>
      </w:r>
      <w:r>
        <w:rPr>
          <w:rFonts w:ascii="宋体" w:hAnsi="宋体"/>
          <w:szCs w:val="21"/>
        </w:rPr>
        <w:t>8</w:t>
      </w:r>
      <w:r>
        <w:rPr>
          <w:rFonts w:hint="eastAsia" w:ascii="宋体" w:hAnsi="宋体"/>
          <w:szCs w:val="21"/>
        </w:rPr>
        <w:t>条发出的招标答疑会会议纪要和按本须知第</w:t>
      </w:r>
      <w:r>
        <w:rPr>
          <w:rFonts w:ascii="宋体" w:hAnsi="宋体"/>
          <w:szCs w:val="21"/>
        </w:rPr>
        <w:t>9</w:t>
      </w:r>
      <w:r>
        <w:rPr>
          <w:rFonts w:hint="eastAsia" w:ascii="宋体" w:hAnsi="宋体"/>
          <w:szCs w:val="21"/>
        </w:rPr>
        <w:t>条发出的澄清或修改：</w:t>
      </w:r>
    </w:p>
    <w:p>
      <w:pPr>
        <w:pStyle w:val="35"/>
        <w:spacing w:after="0" w:line="360" w:lineRule="auto"/>
        <w:ind w:left="-2" w:firstLineChars="200"/>
        <w:rPr>
          <w:rFonts w:ascii="宋体"/>
          <w:szCs w:val="21"/>
        </w:rPr>
      </w:pPr>
      <w:r>
        <w:rPr>
          <w:rFonts w:hint="eastAsia" w:ascii="宋体" w:hAnsi="宋体"/>
          <w:bCs/>
          <w:szCs w:val="21"/>
        </w:rPr>
        <w:t>第一章</w:t>
      </w:r>
      <w:r>
        <w:rPr>
          <w:rFonts w:ascii="宋体" w:hAnsi="宋体"/>
          <w:bCs/>
          <w:szCs w:val="21"/>
        </w:rPr>
        <w:t xml:space="preserve">  </w:t>
      </w:r>
      <w:r>
        <w:rPr>
          <w:rFonts w:hint="eastAsia" w:ascii="宋体" w:hAnsi="宋体"/>
          <w:szCs w:val="21"/>
        </w:rPr>
        <w:t>投标须知</w:t>
      </w:r>
    </w:p>
    <w:p>
      <w:pPr>
        <w:pStyle w:val="35"/>
        <w:spacing w:after="0" w:line="360" w:lineRule="auto"/>
        <w:ind w:left="-2" w:firstLineChars="200"/>
        <w:rPr>
          <w:rFonts w:ascii="宋体"/>
          <w:szCs w:val="21"/>
        </w:rPr>
      </w:pPr>
      <w:r>
        <w:rPr>
          <w:rFonts w:hint="eastAsia" w:ascii="宋体" w:hAnsi="宋体"/>
          <w:bCs/>
          <w:szCs w:val="21"/>
        </w:rPr>
        <w:t>第二章</w:t>
      </w:r>
      <w:r>
        <w:rPr>
          <w:rFonts w:ascii="宋体" w:hAnsi="宋体"/>
          <w:bCs/>
          <w:szCs w:val="21"/>
        </w:rPr>
        <w:t xml:space="preserve">  </w:t>
      </w:r>
      <w:r>
        <w:rPr>
          <w:rFonts w:hint="eastAsia" w:ascii="宋体" w:hAnsi="宋体"/>
          <w:szCs w:val="21"/>
        </w:rPr>
        <w:t>开标、评标及定标办法</w:t>
      </w:r>
    </w:p>
    <w:p>
      <w:pPr>
        <w:pStyle w:val="35"/>
        <w:spacing w:after="0" w:line="360" w:lineRule="auto"/>
        <w:ind w:firstLineChars="200"/>
        <w:rPr>
          <w:rFonts w:ascii="宋体"/>
          <w:szCs w:val="21"/>
        </w:rPr>
      </w:pPr>
      <w:r>
        <w:rPr>
          <w:rFonts w:hint="eastAsia" w:ascii="宋体" w:hAnsi="宋体"/>
          <w:szCs w:val="21"/>
        </w:rPr>
        <w:t>第三章</w:t>
      </w:r>
      <w:r>
        <w:rPr>
          <w:rFonts w:ascii="宋体" w:hAnsi="宋体"/>
          <w:szCs w:val="21"/>
        </w:rPr>
        <w:t xml:space="preserve">  </w:t>
      </w:r>
      <w:r>
        <w:rPr>
          <w:rFonts w:hint="eastAsia" w:ascii="宋体" w:hAnsi="宋体"/>
          <w:szCs w:val="21"/>
        </w:rPr>
        <w:t>合同条款</w:t>
      </w:r>
    </w:p>
    <w:p>
      <w:pPr>
        <w:pStyle w:val="35"/>
        <w:spacing w:after="0" w:line="360" w:lineRule="auto"/>
        <w:ind w:firstLineChars="200"/>
        <w:rPr>
          <w:rFonts w:ascii="宋体"/>
          <w:szCs w:val="21"/>
        </w:rPr>
      </w:pPr>
      <w:r>
        <w:rPr>
          <w:rFonts w:hint="eastAsia" w:ascii="宋体" w:hAnsi="宋体"/>
          <w:bCs/>
          <w:szCs w:val="21"/>
        </w:rPr>
        <w:t>第四章</w:t>
      </w:r>
      <w:r>
        <w:rPr>
          <w:rFonts w:ascii="宋体" w:hAnsi="宋体"/>
          <w:bCs/>
          <w:szCs w:val="21"/>
        </w:rPr>
        <w:t xml:space="preserve">  </w:t>
      </w:r>
      <w:r>
        <w:rPr>
          <w:rFonts w:hint="eastAsia" w:ascii="宋体" w:hAnsi="宋体"/>
          <w:szCs w:val="21"/>
        </w:rPr>
        <w:t>投标文件格式</w:t>
      </w:r>
    </w:p>
    <w:p>
      <w:pPr>
        <w:pStyle w:val="35"/>
        <w:spacing w:after="0" w:line="360" w:lineRule="auto"/>
        <w:ind w:left="-2" w:firstLineChars="200"/>
        <w:rPr>
          <w:rFonts w:ascii="宋体"/>
          <w:szCs w:val="21"/>
        </w:rPr>
      </w:pPr>
      <w:r>
        <w:rPr>
          <w:rFonts w:hint="eastAsia" w:ascii="宋体" w:hAnsi="宋体"/>
          <w:bCs/>
          <w:szCs w:val="21"/>
        </w:rPr>
        <w:t>第五章</w:t>
      </w:r>
      <w:r>
        <w:rPr>
          <w:rFonts w:ascii="宋体" w:hAnsi="宋体"/>
          <w:bCs/>
          <w:szCs w:val="21"/>
        </w:rPr>
        <w:t xml:space="preserve">  </w:t>
      </w:r>
      <w:r>
        <w:rPr>
          <w:rFonts w:hint="eastAsia" w:ascii="宋体" w:hAnsi="宋体"/>
          <w:szCs w:val="21"/>
        </w:rPr>
        <w:t>技术条件（工程建设标准）（另册）</w:t>
      </w:r>
    </w:p>
    <w:p>
      <w:pPr>
        <w:pStyle w:val="35"/>
        <w:spacing w:after="0" w:line="360" w:lineRule="auto"/>
        <w:ind w:left="-2" w:firstLineChars="200"/>
        <w:rPr>
          <w:rFonts w:ascii="宋体"/>
          <w:szCs w:val="21"/>
        </w:rPr>
      </w:pPr>
      <w:r>
        <w:rPr>
          <w:rFonts w:hint="eastAsia" w:ascii="宋体" w:hAnsi="宋体"/>
          <w:bCs/>
          <w:szCs w:val="21"/>
        </w:rPr>
        <w:t>第六章</w:t>
      </w:r>
      <w:r>
        <w:rPr>
          <w:rFonts w:ascii="宋体" w:hAnsi="宋体"/>
          <w:bCs/>
          <w:szCs w:val="21"/>
        </w:rPr>
        <w:t xml:space="preserve">  </w:t>
      </w:r>
      <w:r>
        <w:rPr>
          <w:rFonts w:hint="eastAsia" w:ascii="宋体" w:hAnsi="宋体"/>
          <w:szCs w:val="21"/>
        </w:rPr>
        <w:t>图纸及勘察资料（另册）</w:t>
      </w:r>
    </w:p>
    <w:p>
      <w:pPr>
        <w:pStyle w:val="35"/>
        <w:spacing w:after="0" w:line="360" w:lineRule="auto"/>
        <w:ind w:left="-2" w:firstLineChars="200"/>
        <w:rPr>
          <w:rFonts w:ascii="宋体"/>
          <w:szCs w:val="21"/>
        </w:rPr>
      </w:pPr>
      <w:r>
        <w:rPr>
          <w:rFonts w:hint="eastAsia" w:ascii="宋体" w:hAnsi="宋体"/>
          <w:bCs/>
          <w:szCs w:val="21"/>
        </w:rPr>
        <w:t>第七章</w:t>
      </w:r>
      <w:r>
        <w:rPr>
          <w:rFonts w:ascii="宋体" w:hAnsi="宋体"/>
          <w:bCs/>
          <w:szCs w:val="21"/>
        </w:rPr>
        <w:t xml:space="preserve">  </w:t>
      </w:r>
      <w:r>
        <w:rPr>
          <w:rFonts w:hint="eastAsia" w:ascii="宋体" w:hAnsi="宋体"/>
          <w:bCs/>
          <w:szCs w:val="21"/>
        </w:rPr>
        <w:t>招标</w:t>
      </w:r>
      <w:r>
        <w:rPr>
          <w:rFonts w:hint="eastAsia" w:ascii="宋体" w:hAnsi="宋体"/>
          <w:szCs w:val="21"/>
        </w:rPr>
        <w:t>工程量清单（另册）</w:t>
      </w:r>
    </w:p>
    <w:p>
      <w:pPr>
        <w:pStyle w:val="35"/>
        <w:spacing w:after="0" w:line="360" w:lineRule="auto"/>
        <w:ind w:left="-2" w:firstLineChars="200"/>
        <w:rPr>
          <w:rFonts w:ascii="宋体"/>
          <w:szCs w:val="21"/>
        </w:rPr>
      </w:pPr>
      <w:r>
        <w:rPr>
          <w:rFonts w:hint="eastAsia" w:ascii="宋体" w:hAnsi="宋体"/>
          <w:szCs w:val="21"/>
        </w:rPr>
        <w:t>第八章</w:t>
      </w:r>
      <w:r>
        <w:rPr>
          <w:rFonts w:ascii="宋体" w:hAnsi="宋体"/>
          <w:szCs w:val="21"/>
        </w:rPr>
        <w:t xml:space="preserve">  </w:t>
      </w:r>
      <w:r>
        <w:rPr>
          <w:rFonts w:hint="eastAsia" w:ascii="宋体" w:hAnsi="宋体"/>
          <w:szCs w:val="21"/>
        </w:rPr>
        <w:t>最高投标限价</w:t>
      </w:r>
    </w:p>
    <w:p>
      <w:pPr>
        <w:spacing w:line="360" w:lineRule="auto"/>
        <w:ind w:firstLine="422" w:firstLineChars="200"/>
        <w:rPr>
          <w:rFonts w:ascii="宋体"/>
          <w:szCs w:val="21"/>
        </w:rPr>
      </w:pPr>
      <w:r>
        <w:rPr>
          <w:rFonts w:hint="eastAsia" w:ascii="宋体" w:hAnsi="宋体"/>
          <w:b/>
          <w:szCs w:val="21"/>
        </w:rPr>
        <w:t>现文：</w:t>
      </w:r>
      <w:r>
        <w:rPr>
          <w:rFonts w:hint="eastAsia" w:ascii="宋体" w:hAnsi="宋体"/>
          <w:bCs/>
          <w:szCs w:val="21"/>
        </w:rPr>
        <w:t>7.1</w:t>
      </w:r>
      <w:r>
        <w:rPr>
          <w:rFonts w:hint="eastAsia" w:ascii="宋体" w:hAnsi="宋体"/>
          <w:b/>
          <w:szCs w:val="21"/>
        </w:rPr>
        <w:t xml:space="preserve"> </w:t>
      </w:r>
      <w:r>
        <w:rPr>
          <w:rFonts w:hint="eastAsia" w:ascii="宋体" w:hAnsi="宋体"/>
          <w:szCs w:val="21"/>
        </w:rPr>
        <w:t>本招标文件包括下列文件，以及所有按本须知第</w:t>
      </w:r>
      <w:r>
        <w:rPr>
          <w:rFonts w:ascii="宋体" w:hAnsi="宋体"/>
          <w:szCs w:val="21"/>
        </w:rPr>
        <w:t>8</w:t>
      </w:r>
      <w:r>
        <w:rPr>
          <w:rFonts w:hint="eastAsia" w:ascii="宋体" w:hAnsi="宋体"/>
          <w:szCs w:val="21"/>
        </w:rPr>
        <w:t>条发出的招标答疑会会议纪要和按本须知第</w:t>
      </w:r>
      <w:r>
        <w:rPr>
          <w:rFonts w:ascii="宋体" w:hAnsi="宋体"/>
          <w:szCs w:val="21"/>
        </w:rPr>
        <w:t>9</w:t>
      </w:r>
      <w:r>
        <w:rPr>
          <w:rFonts w:hint="eastAsia" w:ascii="宋体" w:hAnsi="宋体"/>
          <w:szCs w:val="21"/>
        </w:rPr>
        <w:t>条发出的澄清或修改：</w:t>
      </w:r>
    </w:p>
    <w:p>
      <w:pPr>
        <w:pStyle w:val="35"/>
        <w:spacing w:after="0" w:line="360" w:lineRule="auto"/>
        <w:ind w:left="-2" w:firstLineChars="200"/>
        <w:rPr>
          <w:rFonts w:ascii="宋体"/>
          <w:szCs w:val="21"/>
        </w:rPr>
      </w:pPr>
      <w:r>
        <w:rPr>
          <w:rFonts w:hint="eastAsia" w:ascii="宋体" w:hAnsi="宋体"/>
          <w:bCs/>
          <w:szCs w:val="21"/>
        </w:rPr>
        <w:t>第一章</w:t>
      </w:r>
      <w:r>
        <w:rPr>
          <w:rFonts w:ascii="宋体" w:hAnsi="宋体"/>
          <w:bCs/>
          <w:szCs w:val="21"/>
        </w:rPr>
        <w:t xml:space="preserve">  </w:t>
      </w:r>
      <w:r>
        <w:rPr>
          <w:rFonts w:hint="eastAsia" w:ascii="宋体" w:hAnsi="宋体"/>
          <w:szCs w:val="21"/>
        </w:rPr>
        <w:t>投标须知</w:t>
      </w:r>
    </w:p>
    <w:p>
      <w:pPr>
        <w:pStyle w:val="35"/>
        <w:spacing w:after="0" w:line="360" w:lineRule="auto"/>
        <w:ind w:left="-2" w:firstLineChars="200"/>
        <w:rPr>
          <w:rFonts w:ascii="宋体"/>
          <w:szCs w:val="21"/>
        </w:rPr>
      </w:pPr>
      <w:r>
        <w:rPr>
          <w:rFonts w:hint="eastAsia" w:ascii="宋体" w:hAnsi="宋体"/>
          <w:bCs/>
          <w:szCs w:val="21"/>
        </w:rPr>
        <w:t>第二章</w:t>
      </w:r>
      <w:r>
        <w:rPr>
          <w:rFonts w:ascii="宋体" w:hAnsi="宋体"/>
          <w:bCs/>
          <w:szCs w:val="21"/>
        </w:rPr>
        <w:t xml:space="preserve">  </w:t>
      </w:r>
      <w:r>
        <w:rPr>
          <w:rFonts w:hint="eastAsia" w:ascii="宋体" w:hAnsi="宋体"/>
          <w:szCs w:val="21"/>
        </w:rPr>
        <w:t>开标、评标及定标办法</w:t>
      </w:r>
    </w:p>
    <w:p>
      <w:pPr>
        <w:pStyle w:val="35"/>
        <w:spacing w:after="0" w:line="360" w:lineRule="auto"/>
        <w:ind w:firstLineChars="200"/>
        <w:rPr>
          <w:rFonts w:ascii="宋体"/>
          <w:szCs w:val="21"/>
        </w:rPr>
      </w:pPr>
      <w:r>
        <w:rPr>
          <w:rFonts w:hint="eastAsia" w:ascii="宋体" w:hAnsi="宋体"/>
          <w:szCs w:val="21"/>
        </w:rPr>
        <w:t>第三章</w:t>
      </w:r>
      <w:r>
        <w:rPr>
          <w:rFonts w:ascii="宋体" w:hAnsi="宋体"/>
          <w:szCs w:val="21"/>
        </w:rPr>
        <w:t xml:space="preserve">  </w:t>
      </w:r>
      <w:r>
        <w:rPr>
          <w:rFonts w:hint="eastAsia" w:ascii="宋体" w:hAnsi="宋体"/>
          <w:szCs w:val="21"/>
        </w:rPr>
        <w:t>合同条款</w:t>
      </w:r>
    </w:p>
    <w:p>
      <w:pPr>
        <w:pStyle w:val="35"/>
        <w:spacing w:after="0" w:line="360" w:lineRule="auto"/>
        <w:ind w:firstLineChars="200"/>
        <w:rPr>
          <w:rFonts w:ascii="宋体"/>
          <w:szCs w:val="21"/>
        </w:rPr>
      </w:pPr>
      <w:r>
        <w:rPr>
          <w:rFonts w:hint="eastAsia" w:ascii="宋体" w:hAnsi="宋体"/>
          <w:bCs/>
          <w:szCs w:val="21"/>
        </w:rPr>
        <w:t>第四章</w:t>
      </w:r>
      <w:r>
        <w:rPr>
          <w:rFonts w:ascii="宋体" w:hAnsi="宋体"/>
          <w:bCs/>
          <w:szCs w:val="21"/>
        </w:rPr>
        <w:t xml:space="preserve">  </w:t>
      </w:r>
      <w:r>
        <w:rPr>
          <w:rFonts w:hint="eastAsia" w:ascii="宋体" w:hAnsi="宋体"/>
          <w:szCs w:val="21"/>
        </w:rPr>
        <w:t>投标文件格式</w:t>
      </w:r>
    </w:p>
    <w:p>
      <w:pPr>
        <w:pStyle w:val="35"/>
        <w:spacing w:after="0" w:line="360" w:lineRule="auto"/>
        <w:ind w:left="-2" w:firstLineChars="200"/>
        <w:rPr>
          <w:rFonts w:ascii="宋体"/>
          <w:szCs w:val="21"/>
        </w:rPr>
      </w:pPr>
      <w:r>
        <w:rPr>
          <w:rFonts w:hint="eastAsia" w:ascii="宋体" w:hAnsi="宋体"/>
          <w:bCs/>
          <w:szCs w:val="21"/>
        </w:rPr>
        <w:t>第五章</w:t>
      </w:r>
      <w:r>
        <w:rPr>
          <w:rFonts w:ascii="宋体" w:hAnsi="宋体"/>
          <w:bCs/>
          <w:szCs w:val="21"/>
        </w:rPr>
        <w:t xml:space="preserve">  </w:t>
      </w:r>
      <w:r>
        <w:rPr>
          <w:rFonts w:hint="eastAsia" w:ascii="宋体" w:hAnsi="宋体"/>
          <w:szCs w:val="21"/>
          <w:u w:val="single"/>
        </w:rPr>
        <w:t>技术条件（工程建设标准）</w:t>
      </w:r>
    </w:p>
    <w:p>
      <w:pPr>
        <w:pStyle w:val="35"/>
        <w:spacing w:after="0" w:line="360" w:lineRule="auto"/>
        <w:ind w:left="-2" w:firstLineChars="200"/>
        <w:rPr>
          <w:rFonts w:ascii="宋体" w:hAnsi="宋体"/>
          <w:bCs/>
          <w:szCs w:val="21"/>
        </w:rPr>
      </w:pPr>
      <w:r>
        <w:rPr>
          <w:rFonts w:hint="eastAsia" w:ascii="宋体" w:hAnsi="宋体"/>
          <w:bCs/>
          <w:szCs w:val="21"/>
        </w:rPr>
        <w:t>第六章</w:t>
      </w:r>
      <w:r>
        <w:rPr>
          <w:rFonts w:ascii="宋体" w:hAnsi="宋体"/>
          <w:bCs/>
          <w:szCs w:val="21"/>
        </w:rPr>
        <w:t xml:space="preserve">  </w:t>
      </w:r>
      <w:r>
        <w:rPr>
          <w:rFonts w:hint="eastAsia" w:ascii="宋体" w:hAnsi="宋体"/>
          <w:bCs/>
          <w:szCs w:val="21"/>
          <w:u w:val="single"/>
        </w:rPr>
        <w:t>智能建造要求</w:t>
      </w:r>
    </w:p>
    <w:p>
      <w:pPr>
        <w:pStyle w:val="35"/>
        <w:spacing w:after="0" w:line="360" w:lineRule="auto"/>
        <w:ind w:left="-2" w:firstLineChars="200"/>
        <w:rPr>
          <w:rFonts w:ascii="宋体"/>
          <w:szCs w:val="21"/>
        </w:rPr>
      </w:pPr>
      <w:r>
        <w:rPr>
          <w:rFonts w:hint="eastAsia" w:ascii="宋体" w:hAnsi="宋体"/>
          <w:bCs/>
          <w:szCs w:val="21"/>
        </w:rPr>
        <w:t>第七章</w:t>
      </w:r>
      <w:r>
        <w:rPr>
          <w:rFonts w:ascii="宋体" w:hAnsi="宋体"/>
          <w:bCs/>
          <w:szCs w:val="21"/>
        </w:rPr>
        <w:t xml:space="preserve">  </w:t>
      </w:r>
      <w:r>
        <w:rPr>
          <w:rFonts w:hint="eastAsia" w:ascii="宋体" w:hAnsi="宋体"/>
          <w:szCs w:val="21"/>
          <w:u w:val="single"/>
        </w:rPr>
        <w:t>图纸及勘察资料（另册）</w:t>
      </w:r>
    </w:p>
    <w:p>
      <w:pPr>
        <w:pStyle w:val="35"/>
        <w:spacing w:after="0" w:line="360" w:lineRule="auto"/>
        <w:ind w:left="-2" w:firstLineChars="200"/>
        <w:rPr>
          <w:rFonts w:ascii="宋体"/>
          <w:szCs w:val="21"/>
        </w:rPr>
      </w:pPr>
      <w:r>
        <w:rPr>
          <w:rFonts w:hint="eastAsia" w:ascii="宋体" w:hAnsi="宋体"/>
          <w:bCs/>
          <w:szCs w:val="21"/>
        </w:rPr>
        <w:t>第八章</w:t>
      </w:r>
      <w:r>
        <w:rPr>
          <w:rFonts w:ascii="宋体" w:hAnsi="宋体"/>
          <w:bCs/>
          <w:szCs w:val="21"/>
        </w:rPr>
        <w:t xml:space="preserve">  </w:t>
      </w:r>
      <w:r>
        <w:rPr>
          <w:rFonts w:hint="eastAsia" w:ascii="宋体" w:hAnsi="宋体"/>
          <w:bCs/>
          <w:szCs w:val="21"/>
          <w:u w:val="single"/>
        </w:rPr>
        <w:t>招标</w:t>
      </w:r>
      <w:r>
        <w:rPr>
          <w:rFonts w:hint="eastAsia" w:ascii="宋体" w:hAnsi="宋体"/>
          <w:szCs w:val="21"/>
          <w:u w:val="single"/>
        </w:rPr>
        <w:t>工程量清单（另册）</w:t>
      </w:r>
    </w:p>
    <w:p>
      <w:pPr>
        <w:pStyle w:val="35"/>
        <w:spacing w:after="0" w:line="360" w:lineRule="auto"/>
        <w:ind w:left="-2" w:firstLineChars="200"/>
        <w:rPr>
          <w:rFonts w:ascii="宋体"/>
          <w:szCs w:val="21"/>
        </w:rPr>
      </w:pPr>
      <w:r>
        <w:rPr>
          <w:rFonts w:hint="eastAsia" w:ascii="宋体" w:hAnsi="宋体"/>
          <w:szCs w:val="21"/>
        </w:rPr>
        <w:t>第九章</w:t>
      </w:r>
      <w:r>
        <w:rPr>
          <w:rFonts w:ascii="宋体" w:hAnsi="宋体"/>
          <w:szCs w:val="21"/>
        </w:rPr>
        <w:t xml:space="preserve">  </w:t>
      </w:r>
      <w:r>
        <w:rPr>
          <w:rFonts w:hint="eastAsia" w:ascii="宋体" w:hAnsi="宋体"/>
          <w:szCs w:val="21"/>
          <w:u w:val="single"/>
        </w:rPr>
        <w:t>最高投标限价</w:t>
      </w:r>
    </w:p>
    <w:p>
      <w:pPr>
        <w:pBdr>
          <w:bottom w:val="single" w:color="auto" w:sz="6" w:space="1"/>
        </w:pBdr>
        <w:spacing w:line="360" w:lineRule="auto"/>
        <w:ind w:firstLine="472" w:firstLineChars="224"/>
        <w:rPr>
          <w:b/>
          <w:szCs w:val="21"/>
        </w:rPr>
      </w:pPr>
      <w:r>
        <w:rPr>
          <w:rFonts w:hint="eastAsia"/>
          <w:b/>
          <w:szCs w:val="21"/>
        </w:rPr>
        <w:t>注：招标人应在技术条件（工程建设标准）中明确施工现场建筑垃圾源头减量的具体要求和建筑垃圾综合利用产品的使用要求。</w:t>
      </w:r>
    </w:p>
    <w:p>
      <w:pPr>
        <w:spacing w:line="360" w:lineRule="auto"/>
        <w:ind w:firstLine="472" w:firstLineChars="224"/>
        <w:rPr>
          <w:rFonts w:ascii="宋体" w:hAnsi="宋体"/>
          <w:b/>
          <w:szCs w:val="21"/>
        </w:rPr>
      </w:pPr>
      <w:r>
        <w:rPr>
          <w:rFonts w:hint="eastAsia" w:ascii="宋体" w:hAnsi="宋体"/>
          <w:b/>
          <w:szCs w:val="21"/>
        </w:rPr>
        <w:t>条款号：</w:t>
      </w:r>
      <w:r>
        <w:rPr>
          <w:rFonts w:ascii="宋体" w:hAnsi="宋体"/>
          <w:b/>
          <w:szCs w:val="21"/>
        </w:rPr>
        <w:t xml:space="preserve">8.1              </w:t>
      </w:r>
      <w:r>
        <w:rPr>
          <w:rFonts w:hint="eastAsia" w:ascii="宋体" w:hAnsi="宋体"/>
          <w:b/>
          <w:szCs w:val="21"/>
        </w:rPr>
        <w:t>修改类型：修改</w:t>
      </w:r>
    </w:p>
    <w:p>
      <w:pPr>
        <w:pBdr>
          <w:bottom w:val="single" w:color="auto" w:sz="6" w:space="1"/>
        </w:pBdr>
        <w:spacing w:line="360" w:lineRule="auto"/>
        <w:ind w:firstLine="472" w:firstLineChars="224"/>
        <w:rPr>
          <w:rFonts w:ascii="宋体" w:hAnsi="宋体"/>
          <w:szCs w:val="21"/>
        </w:rPr>
      </w:pPr>
      <w:r>
        <w:rPr>
          <w:rFonts w:hint="eastAsia" w:ascii="宋体" w:hAnsi="宋体"/>
          <w:b/>
          <w:szCs w:val="21"/>
        </w:rPr>
        <w:t>原文：</w:t>
      </w:r>
      <w:r>
        <w:rPr>
          <w:rFonts w:hint="eastAsia" w:ascii="宋体" w:hAnsi="宋体"/>
          <w:bCs/>
          <w:szCs w:val="21"/>
        </w:rPr>
        <w:t xml:space="preserve">8.1 </w:t>
      </w:r>
      <w:r>
        <w:rPr>
          <w:rFonts w:hint="eastAsia" w:ascii="宋体" w:hAnsi="宋体"/>
          <w:szCs w:val="21"/>
        </w:rPr>
        <w:t>投标人若对招标文件（包括招标图纸）中有疑问，可以书面形式通过</w:t>
      </w:r>
      <w:r>
        <w:rPr>
          <w:rFonts w:ascii="宋体" w:hAnsi="宋体"/>
          <w:szCs w:val="21"/>
          <w:u w:val="single"/>
        </w:rPr>
        <w:t xml:space="preserve">        </w:t>
      </w:r>
      <w:r>
        <w:rPr>
          <w:rFonts w:hint="eastAsia" w:ascii="宋体" w:hAnsi="宋体"/>
          <w:szCs w:val="21"/>
        </w:rPr>
        <w:t>交易平台提交给招标人或招标代理人，提交形式见本须知前附表第</w:t>
      </w:r>
      <w:r>
        <w:rPr>
          <w:rFonts w:ascii="宋体" w:hAnsi="宋体"/>
          <w:szCs w:val="21"/>
        </w:rPr>
        <w:t>16</w:t>
      </w:r>
      <w:r>
        <w:rPr>
          <w:rFonts w:hint="eastAsia" w:ascii="宋体" w:hAnsi="宋体"/>
          <w:szCs w:val="21"/>
        </w:rPr>
        <w:t>项。</w:t>
      </w:r>
    </w:p>
    <w:p>
      <w:pPr>
        <w:pBdr>
          <w:bottom w:val="single" w:color="auto" w:sz="6" w:space="1"/>
        </w:pBdr>
        <w:spacing w:line="360" w:lineRule="auto"/>
        <w:ind w:firstLine="472" w:firstLineChars="224"/>
        <w:rPr>
          <w:b/>
          <w:szCs w:val="21"/>
        </w:rPr>
      </w:pPr>
      <w:r>
        <w:rPr>
          <w:rFonts w:hint="eastAsia" w:ascii="宋体" w:hAnsi="宋体"/>
          <w:b/>
          <w:szCs w:val="21"/>
        </w:rPr>
        <w:t>现文：</w:t>
      </w:r>
      <w:r>
        <w:rPr>
          <w:rFonts w:hint="eastAsia" w:ascii="宋体" w:hAnsi="宋体"/>
          <w:bCs/>
          <w:szCs w:val="21"/>
        </w:rPr>
        <w:t xml:space="preserve">8.1 </w:t>
      </w:r>
      <w:r>
        <w:rPr>
          <w:rFonts w:hint="eastAsia" w:ascii="宋体" w:hAnsi="宋体"/>
          <w:szCs w:val="21"/>
        </w:rPr>
        <w:t>投标人若对招标文件（包括招标图纸）中有疑问，可以通过</w:t>
      </w:r>
      <w:r>
        <w:rPr>
          <w:rFonts w:ascii="宋体" w:hAnsi="宋体"/>
          <w:szCs w:val="21"/>
          <w:u w:val="single"/>
        </w:rPr>
        <w:t xml:space="preserve"> </w:t>
      </w:r>
      <w:bookmarkStart w:id="6" w:name="_Hlk46647428"/>
      <w:r>
        <w:rPr>
          <w:rFonts w:hint="eastAsia" w:ascii="宋体" w:hAnsi="宋体"/>
          <w:szCs w:val="21"/>
          <w:u w:val="single"/>
        </w:rPr>
        <w:t>广州</w:t>
      </w:r>
      <w:r>
        <w:rPr>
          <w:rFonts w:ascii="宋体" w:hAnsi="宋体"/>
          <w:szCs w:val="21"/>
          <w:u w:val="single"/>
        </w:rPr>
        <w:t>公共资源交易中心</w:t>
      </w:r>
      <w:bookmarkEnd w:id="6"/>
      <w:r>
        <w:rPr>
          <w:rFonts w:ascii="宋体" w:hAnsi="宋体"/>
          <w:szCs w:val="21"/>
          <w:u w:val="single"/>
        </w:rPr>
        <w:t xml:space="preserve"> </w:t>
      </w:r>
      <w:r>
        <w:rPr>
          <w:rFonts w:hint="eastAsia" w:ascii="宋体" w:hAnsi="宋体"/>
          <w:szCs w:val="21"/>
        </w:rPr>
        <w:t>交易平台提交给招标人或招标代理人，提交形式见本须知前附表第</w:t>
      </w:r>
      <w:r>
        <w:rPr>
          <w:rFonts w:ascii="宋体" w:hAnsi="宋体"/>
          <w:szCs w:val="21"/>
        </w:rPr>
        <w:t>16</w:t>
      </w:r>
      <w:r>
        <w:rPr>
          <w:rFonts w:hint="eastAsia" w:ascii="宋体" w:hAnsi="宋体"/>
          <w:szCs w:val="21"/>
        </w:rPr>
        <w:t>项。</w:t>
      </w:r>
    </w:p>
    <w:p>
      <w:pPr>
        <w:spacing w:line="360" w:lineRule="auto"/>
        <w:ind w:firstLine="472" w:firstLineChars="224"/>
        <w:rPr>
          <w:rFonts w:ascii="宋体" w:hAnsi="宋体"/>
          <w:b/>
          <w:szCs w:val="21"/>
        </w:rPr>
      </w:pPr>
      <w:r>
        <w:rPr>
          <w:rFonts w:hint="eastAsia" w:ascii="宋体" w:hAnsi="宋体"/>
          <w:b/>
          <w:szCs w:val="21"/>
        </w:rPr>
        <w:t>条款号：</w:t>
      </w:r>
      <w:r>
        <w:rPr>
          <w:rFonts w:ascii="宋体" w:hAnsi="宋体"/>
          <w:b/>
          <w:szCs w:val="21"/>
        </w:rPr>
        <w:t>8.</w:t>
      </w:r>
      <w:r>
        <w:rPr>
          <w:rFonts w:hint="eastAsia" w:ascii="宋体" w:hAnsi="宋体"/>
          <w:b/>
          <w:szCs w:val="21"/>
        </w:rPr>
        <w:t>2</w:t>
      </w:r>
      <w:r>
        <w:rPr>
          <w:rFonts w:ascii="宋体" w:hAnsi="宋体"/>
          <w:b/>
          <w:szCs w:val="21"/>
        </w:rPr>
        <w:t xml:space="preserve">              </w:t>
      </w:r>
      <w:r>
        <w:rPr>
          <w:rFonts w:hint="eastAsia" w:ascii="宋体" w:hAnsi="宋体"/>
          <w:b/>
          <w:szCs w:val="21"/>
        </w:rPr>
        <w:t>修改类型：修改</w:t>
      </w:r>
    </w:p>
    <w:p>
      <w:pPr>
        <w:pStyle w:val="35"/>
        <w:spacing w:after="0" w:line="360" w:lineRule="auto"/>
        <w:ind w:firstLine="422" w:firstLineChars="200"/>
        <w:rPr>
          <w:rFonts w:ascii="宋体" w:hAnsi="宋体"/>
          <w:szCs w:val="21"/>
        </w:rPr>
      </w:pPr>
      <w:r>
        <w:rPr>
          <w:rFonts w:hint="eastAsia" w:ascii="宋体" w:hAnsi="宋体"/>
          <w:b/>
          <w:szCs w:val="21"/>
        </w:rPr>
        <w:t>原文：</w:t>
      </w:r>
      <w:r>
        <w:rPr>
          <w:rFonts w:hint="eastAsia" w:ascii="宋体" w:hAnsi="宋体"/>
          <w:bCs/>
          <w:szCs w:val="21"/>
        </w:rPr>
        <w:t xml:space="preserve">8.2 </w:t>
      </w:r>
      <w:r>
        <w:rPr>
          <w:rFonts w:hint="eastAsia" w:ascii="宋体" w:hAnsi="宋体"/>
          <w:szCs w:val="21"/>
        </w:rPr>
        <w:t>招标答疑会会议纪要将在提交投标文件截止时间15日前在</w:t>
      </w:r>
      <w:r>
        <w:rPr>
          <w:rFonts w:ascii="宋体" w:hAnsi="宋体"/>
          <w:szCs w:val="21"/>
          <w:u w:val="single"/>
        </w:rPr>
        <w:t xml:space="preserve">        </w:t>
      </w:r>
      <w:r>
        <w:rPr>
          <w:rFonts w:hint="eastAsia" w:ascii="宋体" w:hAnsi="宋体"/>
          <w:szCs w:val="21"/>
        </w:rPr>
        <w:t>交易平台 “项目答疑纪要”专区公开发布。答疑纪要一经在</w:t>
      </w:r>
      <w:r>
        <w:rPr>
          <w:rFonts w:ascii="宋体" w:hAnsi="宋体"/>
          <w:szCs w:val="21"/>
          <w:u w:val="single"/>
        </w:rPr>
        <w:t xml:space="preserve">        </w:t>
      </w:r>
      <w:r>
        <w:rPr>
          <w:rFonts w:hint="eastAsia" w:ascii="宋体" w:hAnsi="宋体"/>
          <w:szCs w:val="21"/>
        </w:rPr>
        <w:t>交易平台发布，视作已发放给所有投标人。</w:t>
      </w:r>
    </w:p>
    <w:p>
      <w:pPr>
        <w:pBdr>
          <w:bottom w:val="single" w:color="auto" w:sz="6" w:space="1"/>
        </w:pBdr>
        <w:spacing w:line="480" w:lineRule="auto"/>
        <w:ind w:firstLine="472" w:firstLineChars="224"/>
        <w:rPr>
          <w:b/>
          <w:szCs w:val="21"/>
        </w:rPr>
      </w:pPr>
      <w:r>
        <w:rPr>
          <w:rFonts w:hint="eastAsia" w:ascii="宋体" w:hAnsi="宋体"/>
          <w:b/>
          <w:szCs w:val="21"/>
        </w:rPr>
        <w:t>现文：</w:t>
      </w:r>
      <w:r>
        <w:rPr>
          <w:rFonts w:hint="eastAsia" w:ascii="宋体" w:hAnsi="宋体"/>
          <w:bCs/>
          <w:szCs w:val="21"/>
        </w:rPr>
        <w:t xml:space="preserve">8.2 </w:t>
      </w:r>
      <w:r>
        <w:rPr>
          <w:rFonts w:hint="eastAsia" w:ascii="宋体" w:hAnsi="宋体"/>
          <w:szCs w:val="21"/>
        </w:rPr>
        <w:t>招标答疑会会议纪要将在提交投标文件截止时间15日前在</w:t>
      </w:r>
      <w:r>
        <w:rPr>
          <w:rFonts w:hint="eastAsia" w:ascii="宋体" w:hAnsi="宋体"/>
          <w:szCs w:val="21"/>
          <w:u w:val="single"/>
        </w:rPr>
        <w:t>广州</w:t>
      </w:r>
      <w:r>
        <w:rPr>
          <w:rFonts w:ascii="宋体" w:hAnsi="宋体"/>
          <w:szCs w:val="21"/>
          <w:u w:val="single"/>
        </w:rPr>
        <w:t xml:space="preserve">公共资源交易中心  </w:t>
      </w:r>
      <w:r>
        <w:rPr>
          <w:rFonts w:hint="eastAsia" w:ascii="宋体" w:hAnsi="宋体"/>
          <w:szCs w:val="21"/>
        </w:rPr>
        <w:t>交易平台 “项目答疑纪要”专区公开发布。答疑纪要一经在</w:t>
      </w:r>
      <w:r>
        <w:rPr>
          <w:rFonts w:hint="eastAsia" w:ascii="宋体" w:hAnsi="宋体"/>
          <w:szCs w:val="21"/>
          <w:u w:val="single"/>
        </w:rPr>
        <w:t>广州</w:t>
      </w:r>
      <w:r>
        <w:rPr>
          <w:rFonts w:ascii="宋体" w:hAnsi="宋体"/>
          <w:szCs w:val="21"/>
          <w:u w:val="single"/>
        </w:rPr>
        <w:t>公共资源交易中心</w:t>
      </w:r>
      <w:r>
        <w:rPr>
          <w:rFonts w:hint="eastAsia" w:ascii="宋体" w:hAnsi="宋体"/>
          <w:szCs w:val="21"/>
        </w:rPr>
        <w:t>交易平台发布，视作已发放给所有投标人。</w:t>
      </w:r>
    </w:p>
    <w:p>
      <w:pPr>
        <w:spacing w:line="360" w:lineRule="auto"/>
        <w:ind w:firstLine="472" w:firstLineChars="224"/>
        <w:rPr>
          <w:rFonts w:ascii="宋体" w:hAnsi="宋体"/>
          <w:b/>
          <w:szCs w:val="21"/>
        </w:rPr>
      </w:pPr>
      <w:r>
        <w:rPr>
          <w:rFonts w:hint="eastAsia" w:ascii="宋体" w:hAnsi="宋体"/>
          <w:b/>
          <w:szCs w:val="21"/>
        </w:rPr>
        <w:t>条款号：9.2</w:t>
      </w:r>
      <w:r>
        <w:rPr>
          <w:rFonts w:ascii="宋体" w:hAnsi="宋体"/>
          <w:b/>
          <w:szCs w:val="21"/>
        </w:rPr>
        <w:t xml:space="preserve">            </w:t>
      </w:r>
      <w:r>
        <w:rPr>
          <w:rFonts w:hint="eastAsia" w:ascii="宋体" w:hAnsi="宋体"/>
          <w:b/>
          <w:szCs w:val="21"/>
        </w:rPr>
        <w:t>修改类型：修改</w:t>
      </w:r>
    </w:p>
    <w:p>
      <w:pPr>
        <w:pBdr>
          <w:bottom w:val="single" w:color="auto" w:sz="6" w:space="1"/>
        </w:pBdr>
        <w:spacing w:line="360" w:lineRule="auto"/>
        <w:ind w:firstLine="472" w:firstLineChars="224"/>
        <w:rPr>
          <w:rFonts w:ascii="宋体" w:hAnsi="宋体"/>
          <w:szCs w:val="21"/>
        </w:rPr>
      </w:pPr>
      <w:r>
        <w:rPr>
          <w:rFonts w:hint="eastAsia" w:ascii="宋体" w:hAnsi="宋体"/>
          <w:b/>
          <w:szCs w:val="21"/>
        </w:rPr>
        <w:t>原文：</w:t>
      </w:r>
      <w:r>
        <w:rPr>
          <w:rFonts w:hint="eastAsia" w:ascii="宋体" w:hAnsi="宋体"/>
          <w:bCs/>
          <w:szCs w:val="21"/>
        </w:rPr>
        <w:t>9.2</w:t>
      </w:r>
      <w:r>
        <w:rPr>
          <w:rFonts w:hint="eastAsia" w:ascii="宋体" w:hAnsi="宋体"/>
          <w:b/>
          <w:szCs w:val="21"/>
        </w:rPr>
        <w:t xml:space="preserve"> </w:t>
      </w:r>
      <w:r>
        <w:rPr>
          <w:rFonts w:hint="eastAsia" w:ascii="宋体" w:hAnsi="宋体"/>
          <w:szCs w:val="21"/>
        </w:rPr>
        <w:t>招标文件的澄清或修改将在</w:t>
      </w:r>
      <w:r>
        <w:rPr>
          <w:rFonts w:ascii="宋体" w:hAnsi="宋体"/>
          <w:szCs w:val="21"/>
          <w:u w:val="single"/>
        </w:rPr>
        <w:t xml:space="preserve">        </w:t>
      </w:r>
      <w:r>
        <w:rPr>
          <w:rFonts w:hint="eastAsia" w:ascii="宋体" w:hAnsi="宋体"/>
          <w:szCs w:val="21"/>
        </w:rPr>
        <w:t>交易平台“项目答疑纪要”专区公开发布。答疑纪要一经在</w:t>
      </w:r>
      <w:r>
        <w:rPr>
          <w:rFonts w:ascii="宋体" w:hAnsi="宋体"/>
          <w:szCs w:val="21"/>
          <w:u w:val="single"/>
        </w:rPr>
        <w:t xml:space="preserve">        </w:t>
      </w:r>
      <w:r>
        <w:rPr>
          <w:rFonts w:hint="eastAsia" w:ascii="宋体" w:hAnsi="宋体"/>
          <w:szCs w:val="21"/>
        </w:rPr>
        <w:t>交易平台发布，视作已发放给所有投标人，以</w:t>
      </w:r>
      <w:r>
        <w:rPr>
          <w:rFonts w:ascii="宋体" w:hAnsi="宋体"/>
          <w:szCs w:val="21"/>
          <w:u w:val="single"/>
        </w:rPr>
        <w:t xml:space="preserve">        </w:t>
      </w:r>
      <w:r>
        <w:rPr>
          <w:rFonts w:hint="eastAsia" w:ascii="宋体" w:hAnsi="宋体"/>
          <w:szCs w:val="21"/>
        </w:rPr>
        <w:t>交易平台上网发布时间作为送达时间。</w:t>
      </w:r>
    </w:p>
    <w:p>
      <w:pPr>
        <w:pBdr>
          <w:bottom w:val="single" w:color="auto" w:sz="6" w:space="1"/>
        </w:pBdr>
        <w:spacing w:line="360" w:lineRule="auto"/>
        <w:ind w:firstLine="527" w:firstLineChars="250"/>
      </w:pPr>
      <w:r>
        <w:rPr>
          <w:rFonts w:hint="eastAsia" w:ascii="宋体" w:hAnsi="宋体"/>
          <w:b/>
          <w:szCs w:val="21"/>
        </w:rPr>
        <w:t>现文：</w:t>
      </w:r>
      <w:r>
        <w:rPr>
          <w:rFonts w:hint="eastAsia" w:ascii="宋体" w:hAnsi="宋体"/>
          <w:bCs/>
          <w:szCs w:val="21"/>
        </w:rPr>
        <w:t xml:space="preserve">9.2 </w:t>
      </w:r>
      <w:r>
        <w:rPr>
          <w:rFonts w:hint="eastAsia" w:ascii="宋体" w:hAnsi="宋体"/>
          <w:szCs w:val="21"/>
        </w:rPr>
        <w:t>招标文件的澄清或修改将在</w:t>
      </w:r>
      <w:r>
        <w:rPr>
          <w:rFonts w:ascii="宋体" w:hAnsi="宋体"/>
          <w:szCs w:val="21"/>
          <w:u w:val="single"/>
        </w:rPr>
        <w:t xml:space="preserve">  </w:t>
      </w:r>
      <w:r>
        <w:rPr>
          <w:rFonts w:hint="eastAsia" w:ascii="宋体" w:hAnsi="宋体"/>
          <w:szCs w:val="21"/>
          <w:u w:val="single"/>
        </w:rPr>
        <w:t>广州</w:t>
      </w:r>
      <w:r>
        <w:rPr>
          <w:rFonts w:ascii="宋体" w:hAnsi="宋体"/>
          <w:szCs w:val="21"/>
          <w:u w:val="single"/>
        </w:rPr>
        <w:t xml:space="preserve">公共资源交易中心 </w:t>
      </w:r>
      <w:r>
        <w:rPr>
          <w:rFonts w:hint="eastAsia" w:ascii="宋体" w:hAnsi="宋体"/>
          <w:szCs w:val="21"/>
        </w:rPr>
        <w:t>交易平台“项目答疑纪要”专区公开发布。答疑纪要一经在</w:t>
      </w:r>
      <w:r>
        <w:rPr>
          <w:rFonts w:ascii="宋体" w:hAnsi="宋体"/>
          <w:szCs w:val="21"/>
          <w:u w:val="single"/>
        </w:rPr>
        <w:t xml:space="preserve"> </w:t>
      </w:r>
      <w:r>
        <w:rPr>
          <w:rFonts w:hint="eastAsia" w:ascii="宋体" w:hAnsi="宋体"/>
          <w:szCs w:val="21"/>
          <w:u w:val="single"/>
        </w:rPr>
        <w:t>广州</w:t>
      </w:r>
      <w:r>
        <w:rPr>
          <w:rFonts w:ascii="宋体" w:hAnsi="宋体"/>
          <w:szCs w:val="21"/>
          <w:u w:val="single"/>
        </w:rPr>
        <w:t>公共资源交易中心</w:t>
      </w:r>
      <w:r>
        <w:rPr>
          <w:rFonts w:hint="eastAsia" w:ascii="宋体" w:hAnsi="宋体"/>
          <w:szCs w:val="21"/>
        </w:rPr>
        <w:t>交易平台发布，视作已发放给所有投标人，以</w:t>
      </w:r>
      <w:r>
        <w:rPr>
          <w:rFonts w:ascii="宋体" w:hAnsi="宋体"/>
          <w:szCs w:val="21"/>
          <w:u w:val="single"/>
        </w:rPr>
        <w:t xml:space="preserve"> </w:t>
      </w:r>
      <w:r>
        <w:rPr>
          <w:rFonts w:hint="eastAsia" w:ascii="宋体" w:hAnsi="宋体"/>
          <w:szCs w:val="21"/>
          <w:u w:val="single"/>
        </w:rPr>
        <w:t>广州</w:t>
      </w:r>
      <w:r>
        <w:rPr>
          <w:rFonts w:ascii="宋体" w:hAnsi="宋体"/>
          <w:szCs w:val="21"/>
          <w:u w:val="single"/>
        </w:rPr>
        <w:t xml:space="preserve">公共资源交易中心 </w:t>
      </w:r>
      <w:r>
        <w:rPr>
          <w:rFonts w:hint="eastAsia" w:ascii="宋体" w:hAnsi="宋体"/>
          <w:szCs w:val="21"/>
        </w:rPr>
        <w:t>交易平台上网发布时间作为送达时间。</w:t>
      </w:r>
    </w:p>
    <w:p>
      <w:pPr>
        <w:spacing w:line="360" w:lineRule="auto"/>
        <w:ind w:firstLine="472" w:firstLineChars="224"/>
        <w:rPr>
          <w:rFonts w:ascii="宋体" w:hAnsi="宋体"/>
          <w:b/>
          <w:szCs w:val="21"/>
        </w:rPr>
      </w:pPr>
      <w:r>
        <w:rPr>
          <w:rFonts w:hint="eastAsia" w:ascii="宋体" w:hAnsi="宋体"/>
          <w:b/>
          <w:szCs w:val="21"/>
        </w:rPr>
        <w:t>条款号：</w:t>
      </w:r>
      <w:r>
        <w:rPr>
          <w:rFonts w:ascii="宋体" w:hAnsi="宋体"/>
          <w:b/>
          <w:szCs w:val="21"/>
        </w:rPr>
        <w:t xml:space="preserve">9.4           </w:t>
      </w:r>
      <w:r>
        <w:rPr>
          <w:rFonts w:hint="eastAsia" w:ascii="宋体" w:hAnsi="宋体"/>
          <w:b/>
          <w:szCs w:val="21"/>
        </w:rPr>
        <w:t>修改类型：修改</w:t>
      </w:r>
    </w:p>
    <w:p>
      <w:pPr>
        <w:spacing w:line="360" w:lineRule="auto"/>
        <w:ind w:firstLine="472" w:firstLineChars="224"/>
        <w:rPr>
          <w:rFonts w:ascii="宋体" w:hAnsi="宋体"/>
          <w:b/>
          <w:szCs w:val="21"/>
        </w:rPr>
      </w:pPr>
      <w:r>
        <w:rPr>
          <w:rFonts w:hint="eastAsia" w:ascii="宋体" w:hAnsi="宋体"/>
          <w:b/>
          <w:szCs w:val="21"/>
        </w:rPr>
        <w:t>原文：</w:t>
      </w:r>
      <w:r>
        <w:rPr>
          <w:rFonts w:ascii="宋体" w:hAnsi="宋体"/>
          <w:szCs w:val="21"/>
        </w:rPr>
        <w:t>9.4</w:t>
      </w:r>
      <w:r>
        <w:rPr>
          <w:rFonts w:hint="eastAsia" w:ascii="宋体" w:hAnsi="宋体"/>
          <w:szCs w:val="21"/>
        </w:rPr>
        <w:t xml:space="preserve"> 招标文件的澄清或修改均以书面形式明确的内容为准。当招标文件的澄清、修改、补充等在同一内容的表述不一致时，以最后发出的文件为准。</w:t>
      </w:r>
    </w:p>
    <w:p>
      <w:pPr>
        <w:pBdr>
          <w:bottom w:val="single" w:color="auto" w:sz="6" w:space="1"/>
        </w:pBdr>
        <w:spacing w:line="360" w:lineRule="auto"/>
        <w:ind w:firstLine="527" w:firstLineChars="250"/>
        <w:rPr>
          <w:rFonts w:ascii="宋体" w:hAnsi="宋体"/>
          <w:szCs w:val="21"/>
          <w:u w:val="single"/>
        </w:rPr>
      </w:pPr>
      <w:r>
        <w:rPr>
          <w:rFonts w:hint="eastAsia" w:ascii="宋体" w:hAnsi="宋体"/>
          <w:b/>
          <w:szCs w:val="21"/>
        </w:rPr>
        <w:t>现文：</w:t>
      </w:r>
      <w:r>
        <w:rPr>
          <w:rFonts w:ascii="宋体" w:hAnsi="宋体"/>
          <w:szCs w:val="21"/>
          <w:u w:val="single"/>
        </w:rPr>
        <w:t>9.4</w:t>
      </w:r>
      <w:r>
        <w:rPr>
          <w:rFonts w:hint="eastAsia" w:ascii="宋体" w:hAnsi="宋体"/>
          <w:szCs w:val="21"/>
          <w:u w:val="single"/>
        </w:rPr>
        <w:t>招标文件的澄清或修改均以网上答疑公布的内容为准。当招标文件的澄清、修改、补充等在同一内容的表述不一致时，以最后发出的文件为准。</w:t>
      </w:r>
    </w:p>
    <w:p>
      <w:pPr>
        <w:spacing w:line="360" w:lineRule="auto"/>
        <w:ind w:firstLine="211" w:firstLineChars="100"/>
        <w:rPr>
          <w:b/>
          <w:szCs w:val="21"/>
        </w:rPr>
      </w:pPr>
    </w:p>
    <w:p>
      <w:pPr>
        <w:spacing w:line="360" w:lineRule="auto"/>
        <w:ind w:firstLine="472" w:firstLineChars="224"/>
        <w:rPr>
          <w:rFonts w:ascii="宋体" w:hAnsi="宋体"/>
          <w:b/>
          <w:szCs w:val="21"/>
        </w:rPr>
      </w:pPr>
      <w:r>
        <w:rPr>
          <w:rFonts w:hint="eastAsia" w:ascii="宋体" w:hAnsi="宋体"/>
          <w:b/>
          <w:szCs w:val="21"/>
        </w:rPr>
        <w:t>条款号：11.2</w:t>
      </w:r>
      <w:r>
        <w:rPr>
          <w:rFonts w:ascii="宋体" w:hAnsi="宋体"/>
          <w:b/>
          <w:szCs w:val="21"/>
        </w:rPr>
        <w:t xml:space="preserve">            </w:t>
      </w:r>
      <w:r>
        <w:rPr>
          <w:rFonts w:hint="eastAsia" w:ascii="宋体" w:hAnsi="宋体"/>
          <w:b/>
          <w:szCs w:val="21"/>
        </w:rPr>
        <w:t>修改类型：修改</w:t>
      </w:r>
    </w:p>
    <w:p>
      <w:pPr>
        <w:spacing w:line="360" w:lineRule="auto"/>
        <w:ind w:firstLine="422" w:firstLineChars="200"/>
        <w:rPr>
          <w:rFonts w:ascii="宋体" w:hAnsi="宋体"/>
          <w:bCs/>
          <w:szCs w:val="21"/>
        </w:rPr>
      </w:pPr>
      <w:r>
        <w:rPr>
          <w:rFonts w:hint="eastAsia" w:ascii="宋体" w:hAnsi="宋体"/>
          <w:b/>
          <w:szCs w:val="21"/>
        </w:rPr>
        <w:t>原文：</w:t>
      </w:r>
      <w:r>
        <w:rPr>
          <w:rFonts w:hint="eastAsia" w:ascii="宋体" w:hAnsi="宋体"/>
          <w:bCs/>
          <w:szCs w:val="21"/>
        </w:rPr>
        <w:t>11.2投标文件技术标部分主要包括下列内容:</w:t>
      </w:r>
    </w:p>
    <w:p>
      <w:pPr>
        <w:spacing w:line="360" w:lineRule="auto"/>
        <w:ind w:firstLine="420" w:firstLineChars="200"/>
        <w:rPr>
          <w:rFonts w:ascii="宋体" w:hAnsi="宋体"/>
          <w:bCs/>
          <w:szCs w:val="21"/>
        </w:rPr>
      </w:pPr>
      <w:r>
        <w:rPr>
          <w:rFonts w:hint="eastAsia" w:ascii="宋体" w:hAnsi="宋体"/>
          <w:bCs/>
          <w:szCs w:val="21"/>
        </w:rPr>
        <w:t>11.2.1 技术投标文件(按招标文件的要求填写)；</w:t>
      </w:r>
    </w:p>
    <w:p>
      <w:pPr>
        <w:spacing w:line="360" w:lineRule="auto"/>
        <w:ind w:firstLine="420" w:firstLineChars="200"/>
        <w:rPr>
          <w:rFonts w:ascii="宋体" w:hAnsi="宋体"/>
          <w:bCs/>
          <w:szCs w:val="21"/>
        </w:rPr>
      </w:pPr>
      <w:r>
        <w:rPr>
          <w:rFonts w:hint="eastAsia" w:ascii="宋体" w:hAnsi="宋体"/>
          <w:bCs/>
          <w:szCs w:val="21"/>
        </w:rPr>
        <w:t>11.2.2 资格审查文件：</w:t>
      </w:r>
    </w:p>
    <w:p>
      <w:pPr>
        <w:spacing w:line="360" w:lineRule="auto"/>
        <w:ind w:firstLine="420" w:firstLineChars="200"/>
        <w:rPr>
          <w:rFonts w:ascii="宋体" w:hAnsi="宋体"/>
          <w:bCs/>
          <w:szCs w:val="21"/>
        </w:rPr>
      </w:pPr>
      <w:r>
        <w:rPr>
          <w:rFonts w:hint="eastAsia" w:ascii="宋体" w:hAnsi="宋体"/>
          <w:bCs/>
          <w:szCs w:val="21"/>
        </w:rPr>
        <w:t xml:space="preserve">（1）投标人声明； </w:t>
      </w:r>
    </w:p>
    <w:p>
      <w:pPr>
        <w:spacing w:line="360" w:lineRule="auto"/>
        <w:ind w:firstLine="420" w:firstLineChars="200"/>
        <w:rPr>
          <w:rFonts w:ascii="宋体" w:hAnsi="宋体"/>
          <w:bCs/>
          <w:szCs w:val="21"/>
        </w:rPr>
      </w:pPr>
      <w:r>
        <w:rPr>
          <w:rFonts w:hint="eastAsia" w:ascii="宋体" w:hAnsi="宋体"/>
          <w:bCs/>
          <w:szCs w:val="21"/>
        </w:rPr>
        <w:t>（2）法定代表人证明书、法定代表人签字或盖章的本投标文件授权委托证明书；</w:t>
      </w:r>
    </w:p>
    <w:p>
      <w:pPr>
        <w:spacing w:line="360" w:lineRule="auto"/>
        <w:ind w:firstLine="420" w:firstLineChars="200"/>
        <w:rPr>
          <w:rFonts w:ascii="宋体" w:hAnsi="宋体"/>
          <w:bCs/>
          <w:szCs w:val="21"/>
        </w:rPr>
      </w:pPr>
      <w:r>
        <w:rPr>
          <w:rFonts w:hint="eastAsia" w:ascii="宋体" w:hAnsi="宋体"/>
          <w:bCs/>
          <w:szCs w:val="21"/>
        </w:rPr>
        <w:t>（3）企业营业执照（取自平台内上传件）；</w:t>
      </w:r>
    </w:p>
    <w:p>
      <w:pPr>
        <w:spacing w:line="360" w:lineRule="auto"/>
        <w:ind w:firstLine="420" w:firstLineChars="200"/>
        <w:rPr>
          <w:rFonts w:ascii="宋体" w:hAnsi="宋体"/>
          <w:bCs/>
          <w:szCs w:val="21"/>
        </w:rPr>
      </w:pPr>
      <w:r>
        <w:rPr>
          <w:rFonts w:hint="eastAsia" w:ascii="宋体" w:hAnsi="宋体"/>
          <w:bCs/>
          <w:szCs w:val="21"/>
        </w:rPr>
        <w:t>（4）企业资质证书（取自平台内上传件）；</w:t>
      </w:r>
    </w:p>
    <w:p>
      <w:pPr>
        <w:spacing w:line="360" w:lineRule="auto"/>
        <w:ind w:firstLine="420" w:firstLineChars="200"/>
        <w:rPr>
          <w:rFonts w:ascii="宋体" w:hAnsi="宋体"/>
          <w:bCs/>
          <w:szCs w:val="21"/>
        </w:rPr>
      </w:pPr>
      <w:r>
        <w:rPr>
          <w:rFonts w:hint="eastAsia" w:ascii="宋体" w:hAnsi="宋体"/>
          <w:bCs/>
          <w:szCs w:val="21"/>
        </w:rPr>
        <w:t>（5）建筑施工企业安全生产许可证（取自平台内上传件）；</w:t>
      </w:r>
    </w:p>
    <w:p>
      <w:pPr>
        <w:spacing w:line="360" w:lineRule="auto"/>
        <w:ind w:firstLine="420" w:firstLineChars="200"/>
        <w:rPr>
          <w:rFonts w:ascii="宋体" w:hAnsi="宋体"/>
          <w:bCs/>
          <w:szCs w:val="21"/>
        </w:rPr>
      </w:pPr>
      <w:r>
        <w:rPr>
          <w:rFonts w:hint="eastAsia" w:ascii="宋体" w:hAnsi="宋体"/>
          <w:bCs/>
          <w:szCs w:val="21"/>
        </w:rPr>
        <w:t>（6）项目负责人（按网上投标登记时选择拟投标的项目负责人）</w:t>
      </w:r>
    </w:p>
    <w:p>
      <w:pPr>
        <w:spacing w:line="360" w:lineRule="auto"/>
        <w:ind w:firstLine="420" w:firstLineChars="200"/>
        <w:rPr>
          <w:rFonts w:ascii="宋体" w:hAnsi="宋体"/>
          <w:bCs/>
          <w:szCs w:val="21"/>
        </w:rPr>
      </w:pPr>
      <w:r>
        <w:rPr>
          <w:rFonts w:hint="eastAsia" w:ascii="宋体" w:hAnsi="宋体"/>
          <w:bCs/>
          <w:szCs w:val="21"/>
        </w:rPr>
        <w:t>（7）专职安全员（按网上投标登记时选择拟投标的专职安全员）</w:t>
      </w:r>
    </w:p>
    <w:p>
      <w:pPr>
        <w:spacing w:line="360" w:lineRule="auto"/>
        <w:ind w:firstLine="420" w:firstLineChars="200"/>
        <w:rPr>
          <w:rFonts w:ascii="宋体" w:hAnsi="宋体"/>
          <w:bCs/>
          <w:szCs w:val="21"/>
        </w:rPr>
      </w:pPr>
      <w:r>
        <w:rPr>
          <w:rFonts w:hint="eastAsia" w:ascii="宋体" w:hAnsi="宋体"/>
          <w:bCs/>
          <w:szCs w:val="21"/>
        </w:rPr>
        <w:t>（8）拟委托技术负责人的相关证书、资料（具体要求由招标人明确）</w:t>
      </w:r>
    </w:p>
    <w:p>
      <w:pPr>
        <w:spacing w:line="360" w:lineRule="auto"/>
        <w:ind w:firstLine="420" w:firstLineChars="200"/>
        <w:rPr>
          <w:rFonts w:ascii="宋体" w:hAnsi="宋体"/>
          <w:bCs/>
          <w:szCs w:val="21"/>
        </w:rPr>
      </w:pPr>
      <w:r>
        <w:rPr>
          <w:rFonts w:hint="eastAsia" w:ascii="宋体" w:hAnsi="宋体"/>
          <w:bCs/>
          <w:szCs w:val="21"/>
        </w:rPr>
        <w:t xml:space="preserve">（9）拟委派项目负责人的建造师注册证书或小型项目负责人相关证明（取自平台内上传件）； </w:t>
      </w:r>
    </w:p>
    <w:p>
      <w:pPr>
        <w:spacing w:line="360" w:lineRule="auto"/>
        <w:ind w:firstLine="420" w:firstLineChars="200"/>
        <w:rPr>
          <w:rFonts w:ascii="宋体" w:hAnsi="宋体"/>
          <w:bCs/>
          <w:szCs w:val="21"/>
        </w:rPr>
      </w:pPr>
      <w:r>
        <w:rPr>
          <w:rFonts w:hint="eastAsia" w:ascii="宋体" w:hAnsi="宋体"/>
          <w:bCs/>
          <w:szCs w:val="21"/>
        </w:rPr>
        <w:t>（10）项目负责人安全生产考核合格证明或在有效期内的安全考核合格证书（B类）或建筑施工企业项目负责人安全生产考核合格证书（取自平台内上传件）；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bCs/>
          <w:szCs w:val="21"/>
        </w:rPr>
      </w:pPr>
      <w:r>
        <w:rPr>
          <w:rFonts w:hint="eastAsia" w:ascii="宋体" w:hAnsi="宋体"/>
          <w:bCs/>
          <w:szCs w:val="21"/>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hAnsi="宋体"/>
          <w:bCs/>
          <w:szCs w:val="21"/>
        </w:rPr>
      </w:pPr>
      <w:r>
        <w:rPr>
          <w:rFonts w:hint="eastAsia" w:ascii="宋体" w:hAnsi="宋体"/>
          <w:bCs/>
          <w:szCs w:val="21"/>
        </w:rPr>
        <w:t>（12）用于资格审查的业绩（设置业绩要求时选择此项，投标人须提供类似工程业绩的项目名称及项目编号，具体格式由招标人自定）；</w:t>
      </w:r>
    </w:p>
    <w:p>
      <w:pPr>
        <w:spacing w:line="360" w:lineRule="auto"/>
        <w:ind w:firstLine="420" w:firstLineChars="200"/>
        <w:rPr>
          <w:rFonts w:ascii="宋体" w:hAnsi="宋体"/>
          <w:bCs/>
          <w:szCs w:val="21"/>
        </w:rPr>
      </w:pPr>
      <w:r>
        <w:rPr>
          <w:rFonts w:hint="eastAsia" w:ascii="宋体" w:hAnsi="宋体"/>
          <w:bCs/>
          <w:szCs w:val="21"/>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bCs/>
          <w:szCs w:val="21"/>
        </w:rPr>
      </w:pPr>
      <w:r>
        <w:rPr>
          <w:rFonts w:hint="eastAsia" w:ascii="宋体" w:hAnsi="宋体"/>
          <w:bCs/>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420" w:firstLineChars="200"/>
        <w:rPr>
          <w:rFonts w:ascii="宋体" w:hAnsi="宋体"/>
          <w:bCs/>
          <w:szCs w:val="21"/>
        </w:rPr>
      </w:pPr>
      <w:r>
        <w:rPr>
          <w:rFonts w:hint="eastAsia" w:ascii="宋体" w:hAnsi="宋体"/>
          <w:bCs/>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bCs/>
          <w:szCs w:val="21"/>
        </w:rPr>
      </w:pPr>
      <w:r>
        <w:rPr>
          <w:rFonts w:hint="eastAsia" w:ascii="宋体" w:hAnsi="宋体"/>
          <w:bCs/>
          <w:szCs w:val="21"/>
        </w:rPr>
        <w:t>11.2.3项目管理机构配备。</w:t>
      </w:r>
    </w:p>
    <w:p>
      <w:pPr>
        <w:spacing w:line="360" w:lineRule="auto"/>
        <w:ind w:firstLine="420" w:firstLineChars="200"/>
        <w:rPr>
          <w:rFonts w:ascii="宋体" w:hAnsi="宋体"/>
          <w:bCs/>
          <w:szCs w:val="21"/>
        </w:rPr>
      </w:pPr>
      <w:r>
        <w:rPr>
          <w:rFonts w:hint="eastAsia" w:ascii="宋体" w:hAnsi="宋体"/>
          <w:bCs/>
          <w:szCs w:val="21"/>
        </w:rPr>
        <w:t>（1）投标人应列出该项目工程的施工组织机构构成和画出机构框架图及其负责人；</w:t>
      </w:r>
    </w:p>
    <w:p>
      <w:pPr>
        <w:spacing w:line="360" w:lineRule="auto"/>
        <w:ind w:firstLine="420" w:firstLineChars="200"/>
        <w:rPr>
          <w:rFonts w:ascii="宋体" w:hAnsi="宋体"/>
          <w:bCs/>
          <w:szCs w:val="21"/>
        </w:rPr>
      </w:pPr>
      <w:r>
        <w:rPr>
          <w:rFonts w:hint="eastAsia" w:ascii="宋体" w:hAnsi="宋体"/>
          <w:bCs/>
          <w:szCs w:val="21"/>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bCs/>
          <w:szCs w:val="21"/>
        </w:rPr>
      </w:pPr>
      <w:r>
        <w:rPr>
          <w:rFonts w:hint="eastAsia" w:ascii="宋体" w:hAnsi="宋体"/>
          <w:bCs/>
          <w:szCs w:val="21"/>
        </w:rPr>
        <w:t>（3）其他辅助说明资料。</w:t>
      </w:r>
    </w:p>
    <w:p>
      <w:pPr>
        <w:spacing w:line="360" w:lineRule="auto"/>
        <w:ind w:firstLine="420" w:firstLineChars="200"/>
        <w:rPr>
          <w:rFonts w:ascii="宋体" w:hAnsi="宋体"/>
          <w:bCs/>
          <w:szCs w:val="21"/>
        </w:rPr>
      </w:pPr>
      <w:r>
        <w:rPr>
          <w:rFonts w:hint="eastAsia" w:ascii="宋体" w:hAnsi="宋体"/>
          <w:bCs/>
          <w:szCs w:val="21"/>
        </w:rPr>
        <w:t>11.2.4投标人在广州市可使用适合本工程的机械设备（附：机械设备为自有或租赁的说明；及承诺机械设备如属于租赁的，其租赁是不属于重复租赁）。</w:t>
      </w:r>
    </w:p>
    <w:p>
      <w:pPr>
        <w:spacing w:line="360" w:lineRule="auto"/>
        <w:ind w:firstLine="420" w:firstLineChars="200"/>
        <w:rPr>
          <w:rFonts w:ascii="宋体" w:hAnsi="宋体"/>
          <w:bCs/>
          <w:szCs w:val="21"/>
        </w:rPr>
      </w:pPr>
      <w:r>
        <w:rPr>
          <w:rFonts w:hint="eastAsia" w:ascii="宋体" w:hAnsi="宋体"/>
          <w:bCs/>
          <w:szCs w:val="21"/>
        </w:rPr>
        <w:t>11.2.5施工组织设计或施工方案。</w:t>
      </w:r>
    </w:p>
    <w:p>
      <w:pPr>
        <w:spacing w:line="360" w:lineRule="auto"/>
        <w:ind w:firstLine="420" w:firstLineChars="200"/>
        <w:rPr>
          <w:rFonts w:ascii="宋体" w:hAnsi="宋体"/>
          <w:b/>
          <w:szCs w:val="21"/>
        </w:rPr>
      </w:pPr>
      <w:r>
        <w:rPr>
          <w:rFonts w:hint="eastAsia" w:ascii="宋体" w:hAnsi="宋体"/>
          <w:bCs/>
          <w:szCs w:val="21"/>
        </w:rPr>
        <w:t>11.2.6按照招标文件要求填写的《参与编制技术标投标文件人员名单》。</w:t>
      </w:r>
    </w:p>
    <w:p>
      <w:pPr>
        <w:spacing w:line="360" w:lineRule="auto"/>
        <w:ind w:firstLine="422" w:firstLineChars="200"/>
        <w:rPr>
          <w:rFonts w:ascii="宋体" w:hAnsi="宋体"/>
          <w:bCs/>
          <w:szCs w:val="21"/>
        </w:rPr>
      </w:pPr>
      <w:r>
        <w:rPr>
          <w:rFonts w:hint="eastAsia" w:ascii="宋体" w:hAnsi="宋体"/>
          <w:b/>
          <w:szCs w:val="21"/>
        </w:rPr>
        <w:t>现文：</w:t>
      </w:r>
      <w:r>
        <w:rPr>
          <w:rFonts w:hint="eastAsia"/>
          <w:bCs/>
          <w:szCs w:val="21"/>
        </w:rPr>
        <w:t>11.2投标文件技术标部分主要包括下列内容</w:t>
      </w:r>
      <w:r>
        <w:rPr>
          <w:rFonts w:hint="eastAsia" w:ascii="宋体" w:hAnsi="宋体"/>
          <w:bCs/>
          <w:szCs w:val="21"/>
        </w:rPr>
        <w:t>：</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11.2.1 投标函（见招标文件第四章格式二）；</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广州建设工程施工招标投标书（见招标文件第四章格式三）；</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11.2.2资格审查文件：</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 xml:space="preserve">（1）投标人声明（按招标公告附件一的格式及内容提交）； </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（2）法定代表人证明书、法定代表人签字或盖章的本投标文件授权委托证明书（见招标文件第四章格式四）；</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（3）企业营业执照（取自广州市住建行业信用管理平台内上传件）；</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（4）企业资质证书（取自广州市住建行业信用管理平台内上传件）；</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（5）建筑施工企业安全生产许可证（取自广州市住建行业信用管理平台内上传件）；</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（6）项目负责人（按网上投标登记时选择拟投标的项目负责人，并提供《关于拟委派项目负责人承诺书》（按招标公告附件三的格式及内容提交））</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（7）专职安全员（按网上投标登记时选择拟投标的专职安全员）</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（8）拟委派技术负责人的职称证书（提交原件扫描件）；</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 xml:space="preserve">（9）拟委派项目负责人的建造师证书（取自广州市住建行业信用管理平台内上传件）； </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（10）项目负责人持有在有效期内的安全生产考核合格证（B类）或建筑施工企业项目负责人安全生产考核合格证书（取自广州市住建行业信用管理平台内上传件）；</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（11）专职安全员须具有有效期内的安全生产考核合格证（C类）或建筑施工企业专职安全生产管理人员安全生产考核合格证书（C3）（取自广州市住建行业信用管理平台内上传件）；</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（12）用于资格审查的业绩（提交业绩证明文件原件扫描件（见招标文件第四章格式五））；</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13）资格审查前，投标人须在广州市住房和城乡建设局建立企业诚信档案，拟担任本工程项目负责人、专职安全员须是本企业诚信档案中的在册人员。企业诚信档案取自投标截止时间投标人在企业库内的信息，投标人无需提交相关资料，若招标人延长投标登记时间，诚信档案信息的评审时点也相应延长。</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11.2.3投标人提供基本账户开户证明（基本账户开户许可证复印件或有效的基本账户证明文件复印件）</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11.2.4如采用保函或保险等形式提交的，投标人应在投标文件中提交投标保函或投标保证保险复印件并加盖投标人电子印章；（见招标文件第四章格式六）</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11.2.5 2022年财务报表（包括资产负债表、现金流量表、利润表和财务情况说明书）；</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11.2.6项目管理机构配置（见招标文件第四章格式七）</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 投标人应提供企业的组织架构形式以及准备派驻本工程的管理组织机构及其机构图表，并在图中表明与投标人总部的关系，以及总部对项目现场的支持措施；</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 指挥长履职方案，及相关证明文件；</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 投标人应列出该项目工程的施工组织机构构成和画出机构框架图及其负责人；投标人应详细列出该施工组织机构中主要成员的名单、简历资料、职务职称和在本项目中拟担任的职务等资料，并附上相关证书（扫描件）及近1个月在本单位购买社保的证明（扫描件）加盖投标人公章；</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 项目经理建造师执业资格证（扫描件）、注册证书（扫描件）、职称证书（扫描件）、安全生产考核合格证（B类）或建筑施工企业项目负责人安全生产考核合格证书（扫描件）、近1个月在本单位购买社保的证明（扫描件）加盖投标人公章，业绩经验情况（扫描件，提供有效证明，格式不限）；</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拟派驻本工程项目机构管理人员一览表（要求附相关资料扫描件及近1个月在本单位购买社保的证明（扫描件）加盖投标人公章，其中拟派的人员需按要求提供相关证明文件扫描件，拟派的项目经理的相关资料可以不附在本表后，见投标格式）</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11.2.7企业业绩（见招标文件第四章格式五）：</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●投标人业绩一览表，提供业绩证明材料。</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●企业工程奖项证明材料；</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●第三方评价证明材料；</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11.2.8为完成本工程所需要投入不构成工程实体的施工机械、设备及车辆一览表（附购置发票或租赁合同扫描件等详细资料，机械设备为自有或租赁的说明；及承诺机械设备如属于租赁的，其租赁是不属于重复租赁，见招标文件第四章格式八）；</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11.2.9施工组织设计（见招标文件第四章格式九）：</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施工组织设计须响应本招标工程要求，应含如下（但不限于）各项完整详细的内容：</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●施工准备计划；</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●施工方案和主要分项工程的施工方法；</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●施工进度控制网络计划；</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●施工资源供应计划（劳动力、材料、施工主要机械、机具及检测设备的型号、规格、数量等，主要选用的设备材料表及设备品牌）；</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●施工平面布置图；</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●质量保证措施；</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●工期保证措施；</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●安全施工措施；</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●临时生产、生活设施情况；</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●文明施工、保护环境措施；</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●工程保修承诺和措施。</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（投标人在编制施工组织设计或施工方案时应按照招标人提出的施工现场建筑垃圾源头减量的具体要求以及建筑垃圾综合利用产品的使用要求提供相应措施。）</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11.2.10智能建造实施方案（见招标文件第四章格式十）：</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●智能建造实施目标；</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●智能建造实施范围和内容；</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●项目重难点分析及应对措施；</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●人员组织架构和相应职责（其中项目及技术负责人和高峰期的管理团队人数不得少于第二（1）条款的要求）；</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●模型创建（深化）及应用进度计划；</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●模型应用内容、方法及流程；</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●模型质量控制和信息安全要求；</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●智能建造实施成果提交计划；</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●智能建造实施风险防范与保障措施；</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●报奖创优计划。</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11.2.11属于本工程实体项目内的主要材料和设备表（见招标文件第四章格式十一）；</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11.2.12关于提交资料真实性的承诺书（见招标文件第四章格式十二）；</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11.2.13科研创新工作承诺书（见招标文件第四章格式十三）；</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11.2.14按照招标文件要求填写的《参与编制技术标投标文件人员名单》（见招标文件第四章格式十四）。</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11.2.15投标保证书（见招标文件第四章格式</w:t>
      </w:r>
      <w:r>
        <w:rPr>
          <w:rFonts w:hint="eastAsia" w:ascii="宋体" w:hAnsi="宋体"/>
          <w:bCs/>
          <w:kern w:val="0"/>
          <w:szCs w:val="21"/>
        </w:rPr>
        <w:t>十五</w:t>
      </w:r>
      <w:r>
        <w:rPr>
          <w:rFonts w:hint="eastAsia" w:ascii="宋体" w:hAnsi="宋体"/>
          <w:bCs/>
          <w:szCs w:val="21"/>
        </w:rPr>
        <w:t>）</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11.2.16投标人拟派项目负责人、技术负责人签字确认书（见招标文件第四章格式</w:t>
      </w:r>
      <w:r>
        <w:rPr>
          <w:rFonts w:hint="eastAsia" w:ascii="宋体" w:hAnsi="宋体"/>
          <w:bCs/>
          <w:kern w:val="0"/>
          <w:szCs w:val="21"/>
        </w:rPr>
        <w:t>十六</w:t>
      </w:r>
      <w:r>
        <w:rPr>
          <w:rFonts w:hint="eastAsia" w:ascii="宋体" w:hAnsi="宋体"/>
          <w:bCs/>
          <w:szCs w:val="21"/>
        </w:rPr>
        <w:t>）</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11.2.17危险性较大的分部分项工程清单及超过一定规模的危险性较大的分部分项工程清单(见招标文件第四章格式</w:t>
      </w:r>
      <w:r>
        <w:rPr>
          <w:rFonts w:hint="eastAsia" w:ascii="宋体" w:hAnsi="宋体"/>
          <w:bCs/>
          <w:kern w:val="0"/>
          <w:szCs w:val="21"/>
        </w:rPr>
        <w:t>十七</w:t>
      </w:r>
      <w:r>
        <w:rPr>
          <w:rFonts w:hint="eastAsia" w:ascii="宋体" w:hAnsi="宋体"/>
          <w:bCs/>
          <w:szCs w:val="21"/>
        </w:rPr>
        <w:t>，补充完善危大工程清单并明确相应的安全管理措施)</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11.2.18 廉洁承诺书(见招标文件第四章格式</w:t>
      </w:r>
      <w:r>
        <w:rPr>
          <w:rFonts w:hint="eastAsia" w:ascii="宋体" w:hAnsi="宋体"/>
          <w:bCs/>
          <w:kern w:val="0"/>
          <w:szCs w:val="21"/>
        </w:rPr>
        <w:t>十八</w:t>
      </w:r>
      <w:r>
        <w:rPr>
          <w:rFonts w:hint="eastAsia" w:ascii="宋体" w:hAnsi="宋体"/>
          <w:bCs/>
          <w:szCs w:val="21"/>
        </w:rPr>
        <w:t>)</w:t>
      </w: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11.2.19 其他材料（投标人根据文件认为应当补充的材料，格式自拟）</w:t>
      </w:r>
    </w:p>
    <w:p>
      <w:pPr>
        <w:spacing w:line="360" w:lineRule="auto"/>
        <w:ind w:firstLine="472" w:firstLineChars="224"/>
        <w:rPr>
          <w:rFonts w:ascii="宋体" w:hAnsi="宋体"/>
          <w:b/>
          <w:szCs w:val="21"/>
        </w:rPr>
      </w:pPr>
      <w:r>
        <w:rPr>
          <w:rFonts w:hint="eastAsia" w:ascii="宋体" w:hAnsi="宋体"/>
          <w:b/>
          <w:szCs w:val="21"/>
        </w:rPr>
        <w:t>条款号：</w:t>
      </w:r>
      <w:r>
        <w:rPr>
          <w:rFonts w:ascii="宋体" w:hAnsi="宋体"/>
          <w:b/>
          <w:szCs w:val="21"/>
        </w:rPr>
        <w:t xml:space="preserve"> </w:t>
      </w:r>
      <w:r>
        <w:rPr>
          <w:rFonts w:hint="eastAsia" w:ascii="宋体" w:hAnsi="宋体"/>
          <w:b/>
          <w:szCs w:val="21"/>
        </w:rPr>
        <w:t>11.3.</w:t>
      </w:r>
      <w:r>
        <w:rPr>
          <w:rFonts w:ascii="宋体" w:hAnsi="宋体"/>
          <w:b/>
          <w:szCs w:val="21"/>
        </w:rPr>
        <w:t xml:space="preserve">1           </w:t>
      </w:r>
      <w:r>
        <w:rPr>
          <w:rFonts w:hint="eastAsia" w:ascii="宋体" w:hAnsi="宋体"/>
          <w:b/>
          <w:szCs w:val="21"/>
        </w:rPr>
        <w:t>修改类型：删除</w:t>
      </w:r>
    </w:p>
    <w:p>
      <w:pPr>
        <w:pBdr>
          <w:bottom w:val="single" w:color="auto" w:sz="4" w:space="1"/>
        </w:pBdr>
        <w:spacing w:line="360" w:lineRule="auto"/>
        <w:ind w:firstLine="472" w:firstLineChars="224"/>
        <w:rPr>
          <w:rFonts w:ascii="宋体" w:hAnsi="宋体"/>
          <w:b/>
          <w:szCs w:val="21"/>
        </w:rPr>
      </w:pPr>
      <w:r>
        <w:rPr>
          <w:rFonts w:hint="eastAsia" w:ascii="宋体" w:hAnsi="宋体"/>
          <w:b/>
          <w:szCs w:val="21"/>
        </w:rPr>
        <w:t>原文：</w:t>
      </w:r>
      <w:r>
        <w:rPr>
          <w:rFonts w:hint="eastAsia" w:ascii="宋体" w:hAnsi="宋体"/>
          <w:szCs w:val="21"/>
        </w:rPr>
        <w:t>11.3.1 经济投标文件(按招标文件的要求填写)。</w:t>
      </w:r>
    </w:p>
    <w:p>
      <w:pPr>
        <w:spacing w:line="360" w:lineRule="auto"/>
        <w:ind w:firstLine="472" w:firstLineChars="224"/>
        <w:rPr>
          <w:rFonts w:ascii="宋体" w:hAnsi="宋体"/>
          <w:b/>
          <w:szCs w:val="21"/>
        </w:rPr>
      </w:pPr>
      <w:r>
        <w:rPr>
          <w:rFonts w:hint="eastAsia" w:ascii="宋体" w:hAnsi="宋体"/>
          <w:b/>
          <w:szCs w:val="21"/>
        </w:rPr>
        <w:t>条款号：11.3.3</w:t>
      </w:r>
      <w:r>
        <w:rPr>
          <w:rFonts w:ascii="宋体" w:hAnsi="宋体"/>
          <w:b/>
          <w:szCs w:val="21"/>
        </w:rPr>
        <w:t xml:space="preserve">           </w:t>
      </w:r>
      <w:r>
        <w:rPr>
          <w:rFonts w:hint="eastAsia" w:ascii="宋体" w:hAnsi="宋体"/>
          <w:b/>
          <w:szCs w:val="21"/>
        </w:rPr>
        <w:t>修改类型：修改</w:t>
      </w:r>
    </w:p>
    <w:p>
      <w:pPr>
        <w:pBdr>
          <w:bottom w:val="single" w:color="auto" w:sz="6" w:space="1"/>
        </w:pBdr>
        <w:spacing w:line="360" w:lineRule="auto"/>
        <w:ind w:firstLine="472" w:firstLineChars="224"/>
        <w:rPr>
          <w:rFonts w:ascii="宋体" w:hAnsi="宋体"/>
          <w:b/>
          <w:szCs w:val="21"/>
        </w:rPr>
      </w:pPr>
      <w:r>
        <w:rPr>
          <w:rFonts w:hint="eastAsia" w:ascii="宋体" w:hAnsi="宋体"/>
          <w:b/>
          <w:szCs w:val="21"/>
        </w:rPr>
        <w:t>原文：</w:t>
      </w:r>
      <w:r>
        <w:rPr>
          <w:rFonts w:hint="eastAsia" w:ascii="宋体" w:hAnsi="宋体"/>
          <w:bCs/>
          <w:szCs w:val="21"/>
        </w:rPr>
        <w:t xml:space="preserve">11.3.3 </w:t>
      </w:r>
      <w:r>
        <w:rPr>
          <w:rFonts w:hint="eastAsia" w:ascii="宋体" w:hAnsi="宋体"/>
          <w:szCs w:val="21"/>
        </w:rPr>
        <w:t>按照</w:t>
      </w:r>
      <w:r>
        <w:rPr>
          <w:rFonts w:hint="eastAsia" w:ascii="宋体" w:hAnsi="宋体"/>
          <w:bCs/>
          <w:szCs w:val="21"/>
        </w:rPr>
        <w:t>招标文件要求</w:t>
      </w:r>
      <w:r>
        <w:rPr>
          <w:rFonts w:hint="eastAsia" w:ascii="宋体" w:hAnsi="宋体"/>
          <w:szCs w:val="21"/>
        </w:rPr>
        <w:t>填写的《参与编制经济标投标文件人员名单》。</w:t>
      </w:r>
    </w:p>
    <w:p>
      <w:pPr>
        <w:pBdr>
          <w:bottom w:val="single" w:color="auto" w:sz="6" w:space="1"/>
        </w:pBdr>
        <w:spacing w:line="360" w:lineRule="auto"/>
        <w:ind w:firstLine="472" w:firstLineChars="224"/>
        <w:rPr>
          <w:rFonts w:ascii="宋体" w:hAnsi="宋体"/>
          <w:b/>
          <w:szCs w:val="21"/>
        </w:rPr>
      </w:pPr>
      <w:r>
        <w:rPr>
          <w:rFonts w:hint="eastAsia" w:ascii="宋体" w:hAnsi="宋体"/>
          <w:b/>
          <w:szCs w:val="21"/>
        </w:rPr>
        <w:t>现文：</w:t>
      </w:r>
      <w:r>
        <w:rPr>
          <w:rFonts w:hint="eastAsia" w:ascii="宋体" w:hAnsi="宋体"/>
          <w:bCs/>
          <w:szCs w:val="21"/>
        </w:rPr>
        <w:t xml:space="preserve">11.3.3 </w:t>
      </w:r>
      <w:r>
        <w:rPr>
          <w:rFonts w:hint="eastAsia" w:ascii="宋体" w:hAnsi="宋体"/>
          <w:szCs w:val="21"/>
        </w:rPr>
        <w:t>按照</w:t>
      </w:r>
      <w:r>
        <w:rPr>
          <w:rFonts w:hint="eastAsia" w:ascii="宋体" w:hAnsi="宋体"/>
          <w:bCs/>
          <w:szCs w:val="21"/>
        </w:rPr>
        <w:t>招标文件要求</w:t>
      </w:r>
      <w:r>
        <w:rPr>
          <w:rFonts w:hint="eastAsia" w:ascii="宋体" w:hAnsi="宋体"/>
          <w:szCs w:val="21"/>
        </w:rPr>
        <w:t>填写的《参与编制经济标投标文件人员名单》</w:t>
      </w:r>
      <w:r>
        <w:rPr>
          <w:rFonts w:hint="eastAsia" w:ascii="宋体" w:hAnsi="宋体"/>
          <w:bCs/>
          <w:szCs w:val="21"/>
          <w:u w:val="single"/>
        </w:rPr>
        <w:t>（见</w:t>
      </w:r>
      <w:r>
        <w:rPr>
          <w:rFonts w:hint="eastAsia" w:ascii="宋体" w:hAnsi="宋体"/>
          <w:szCs w:val="21"/>
          <w:u w:val="single"/>
        </w:rPr>
        <w:t>招标文件第四章</w:t>
      </w:r>
      <w:r>
        <w:rPr>
          <w:rFonts w:hint="eastAsia" w:ascii="宋体" w:hAnsi="宋体"/>
          <w:bCs/>
          <w:szCs w:val="21"/>
          <w:u w:val="single"/>
        </w:rPr>
        <w:t>格式</w:t>
      </w:r>
      <w:r>
        <w:rPr>
          <w:rFonts w:hint="eastAsia" w:ascii="宋体" w:hAnsi="宋体"/>
          <w:szCs w:val="21"/>
          <w:u w:val="single"/>
        </w:rPr>
        <w:t>二十</w:t>
      </w:r>
      <w:r>
        <w:rPr>
          <w:rFonts w:hint="eastAsia" w:ascii="宋体" w:hAnsi="宋体"/>
          <w:bCs/>
          <w:szCs w:val="21"/>
          <w:u w:val="single"/>
        </w:rPr>
        <w:t>）。</w:t>
      </w:r>
    </w:p>
    <w:p>
      <w:pPr>
        <w:spacing w:line="360" w:lineRule="auto"/>
        <w:ind w:firstLine="472" w:firstLineChars="224"/>
        <w:rPr>
          <w:rFonts w:ascii="宋体" w:hAnsi="宋体"/>
          <w:b/>
          <w:szCs w:val="21"/>
        </w:rPr>
      </w:pPr>
      <w:r>
        <w:rPr>
          <w:rFonts w:hint="eastAsia" w:ascii="宋体" w:hAnsi="宋体"/>
          <w:b/>
          <w:szCs w:val="21"/>
        </w:rPr>
        <w:t>条款号：11.3.5</w:t>
      </w:r>
      <w:r>
        <w:rPr>
          <w:rFonts w:ascii="宋体" w:hAnsi="宋体"/>
          <w:b/>
          <w:szCs w:val="21"/>
        </w:rPr>
        <w:t xml:space="preserve">          </w:t>
      </w:r>
      <w:r>
        <w:rPr>
          <w:rFonts w:hint="eastAsia" w:ascii="宋体" w:hAnsi="宋体"/>
          <w:b/>
          <w:szCs w:val="21"/>
        </w:rPr>
        <w:t>修改类型：增加</w:t>
      </w:r>
    </w:p>
    <w:p>
      <w:pPr>
        <w:pBdr>
          <w:bottom w:val="single" w:color="auto" w:sz="6" w:space="1"/>
        </w:pBdr>
        <w:spacing w:line="360" w:lineRule="auto"/>
        <w:ind w:firstLine="472" w:firstLineChars="224"/>
        <w:rPr>
          <w:rFonts w:ascii="宋体" w:hAnsi="宋体"/>
          <w:b/>
          <w:szCs w:val="21"/>
        </w:rPr>
      </w:pPr>
      <w:r>
        <w:rPr>
          <w:rFonts w:hint="eastAsia" w:ascii="宋体" w:hAnsi="宋体"/>
          <w:b/>
          <w:szCs w:val="21"/>
        </w:rPr>
        <w:t>现文：</w:t>
      </w:r>
      <w:r>
        <w:rPr>
          <w:rFonts w:hint="eastAsia" w:ascii="宋体" w:hAnsi="宋体"/>
          <w:bCs/>
          <w:szCs w:val="21"/>
        </w:rPr>
        <w:t>11.3.5</w:t>
      </w:r>
      <w:r>
        <w:rPr>
          <w:rFonts w:hint="eastAsia" w:ascii="宋体" w:hAnsi="宋体"/>
          <w:szCs w:val="21"/>
        </w:rPr>
        <w:t>《</w:t>
      </w:r>
      <w:r>
        <w:rPr>
          <w:rFonts w:hint="eastAsia" w:ascii="宋体" w:hAnsi="宋体"/>
          <w:bCs/>
          <w:szCs w:val="21"/>
          <w:u w:val="single"/>
        </w:rPr>
        <w:t>对投标文件编制的承诺</w:t>
      </w:r>
      <w:r>
        <w:rPr>
          <w:rFonts w:hint="eastAsia" w:ascii="宋体" w:hAnsi="宋体"/>
          <w:szCs w:val="21"/>
        </w:rPr>
        <w:t>》</w:t>
      </w:r>
      <w:r>
        <w:rPr>
          <w:rFonts w:hint="eastAsia" w:ascii="宋体" w:hAnsi="宋体"/>
          <w:bCs/>
          <w:szCs w:val="21"/>
          <w:u w:val="single"/>
        </w:rPr>
        <w:t>（见</w:t>
      </w:r>
      <w:r>
        <w:rPr>
          <w:rFonts w:hint="eastAsia" w:ascii="宋体" w:hAnsi="宋体"/>
          <w:szCs w:val="21"/>
          <w:u w:val="single"/>
        </w:rPr>
        <w:t>招标文件第四章</w:t>
      </w:r>
      <w:r>
        <w:rPr>
          <w:rFonts w:hint="eastAsia" w:ascii="宋体" w:hAnsi="宋体"/>
          <w:bCs/>
          <w:szCs w:val="21"/>
          <w:u w:val="single"/>
        </w:rPr>
        <w:t>格式</w:t>
      </w:r>
      <w:r>
        <w:rPr>
          <w:rFonts w:hint="eastAsia" w:ascii="宋体" w:hAnsi="宋体"/>
          <w:szCs w:val="21"/>
          <w:u w:val="single"/>
        </w:rPr>
        <w:t>二十一</w:t>
      </w:r>
      <w:r>
        <w:rPr>
          <w:rFonts w:hint="eastAsia" w:ascii="宋体" w:hAnsi="宋体"/>
          <w:bCs/>
          <w:szCs w:val="21"/>
        </w:rPr>
        <w:t>）</w:t>
      </w:r>
    </w:p>
    <w:p>
      <w:pPr>
        <w:spacing w:line="360" w:lineRule="auto"/>
        <w:ind w:firstLine="472" w:firstLineChars="224"/>
        <w:rPr>
          <w:rFonts w:ascii="宋体" w:hAnsi="宋体"/>
          <w:b/>
          <w:szCs w:val="21"/>
        </w:rPr>
      </w:pPr>
      <w:r>
        <w:rPr>
          <w:rFonts w:hint="eastAsia" w:ascii="宋体" w:hAnsi="宋体"/>
          <w:b/>
          <w:szCs w:val="21"/>
        </w:rPr>
        <w:t>条款号：</w:t>
      </w:r>
      <w:r>
        <w:rPr>
          <w:rFonts w:hint="eastAsia" w:ascii="宋体" w:hAnsi="宋体"/>
          <w:szCs w:val="21"/>
        </w:rPr>
        <w:t xml:space="preserve">12.2 </w:t>
      </w:r>
      <w:r>
        <w:rPr>
          <w:rFonts w:ascii="宋体" w:hAnsi="宋体"/>
          <w:b/>
          <w:szCs w:val="21"/>
        </w:rPr>
        <w:t xml:space="preserve">             </w:t>
      </w:r>
      <w:r>
        <w:rPr>
          <w:rFonts w:hint="eastAsia" w:ascii="宋体" w:hAnsi="宋体"/>
          <w:b/>
          <w:szCs w:val="21"/>
        </w:rPr>
        <w:t>修改类型：修改</w:t>
      </w:r>
    </w:p>
    <w:p>
      <w:pPr>
        <w:pStyle w:val="35"/>
        <w:spacing w:after="0" w:line="360" w:lineRule="auto"/>
        <w:ind w:firstLine="422" w:firstLineChars="200"/>
        <w:rPr>
          <w:rFonts w:ascii="宋体" w:hAnsi="宋体"/>
          <w:szCs w:val="21"/>
        </w:rPr>
      </w:pPr>
      <w:r>
        <w:rPr>
          <w:rFonts w:hint="eastAsia" w:ascii="宋体" w:hAnsi="宋体"/>
          <w:b/>
          <w:szCs w:val="21"/>
        </w:rPr>
        <w:t>原文：</w:t>
      </w:r>
      <w:r>
        <w:rPr>
          <w:rFonts w:hint="eastAsia" w:ascii="宋体" w:hAnsi="宋体"/>
          <w:bCs/>
          <w:szCs w:val="21"/>
        </w:rPr>
        <w:t xml:space="preserve">12.2 </w:t>
      </w:r>
      <w:r>
        <w:rPr>
          <w:rFonts w:hint="eastAsia" w:ascii="宋体" w:hAnsi="宋体"/>
          <w:szCs w:val="21"/>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 xml:space="preserve"> 。</w:t>
      </w:r>
    </w:p>
    <w:p>
      <w:pPr>
        <w:pBdr>
          <w:bottom w:val="single" w:color="auto" w:sz="6" w:space="1"/>
        </w:pBdr>
        <w:spacing w:line="360" w:lineRule="auto"/>
        <w:ind w:firstLine="527" w:firstLineChars="250"/>
        <w:rPr>
          <w:rFonts w:ascii="宋体" w:hAnsi="宋体"/>
          <w:b/>
          <w:szCs w:val="21"/>
        </w:rPr>
      </w:pPr>
      <w:r>
        <w:rPr>
          <w:rFonts w:hint="eastAsia" w:ascii="宋体" w:hAnsi="宋体"/>
          <w:b/>
          <w:szCs w:val="21"/>
        </w:rPr>
        <w:t>现文：</w:t>
      </w:r>
      <w:r>
        <w:rPr>
          <w:rFonts w:hint="eastAsia" w:ascii="宋体" w:hAnsi="宋体"/>
          <w:bCs/>
          <w:szCs w:val="21"/>
        </w:rPr>
        <w:t xml:space="preserve">12.2 </w:t>
      </w:r>
      <w:r>
        <w:rPr>
          <w:rFonts w:hint="eastAsia" w:ascii="宋体" w:hAnsi="宋体"/>
          <w:szCs w:val="21"/>
        </w:rPr>
        <w:t>投标文件全部采用电子文档，投标文件所附证书证件均为原件扫描件，并采用单位数字证书，按招标文件要求在相应位置加盖电子印章。</w:t>
      </w:r>
      <w:r>
        <w:rPr>
          <w:rFonts w:hint="eastAsia" w:ascii="宋体" w:hAnsi="宋体" w:cs="宋体"/>
          <w:szCs w:val="21"/>
        </w:rPr>
        <w:t>投标文件中需个人签字或盖章的，应加盖个人电子印章或在线下完成</w:t>
      </w:r>
      <w:r>
        <w:rPr>
          <w:rFonts w:hint="eastAsia" w:ascii="宋体" w:hAnsi="宋体" w:cs="宋体"/>
          <w:b/>
          <w:bCs/>
          <w:szCs w:val="21"/>
          <w:u w:val="single"/>
        </w:rPr>
        <w:t>手签或盖章和加盖单位公章后扫描上传</w:t>
      </w:r>
      <w:r>
        <w:rPr>
          <w:rFonts w:hint="eastAsia" w:ascii="宋体" w:hAnsi="宋体" w:cs="宋体"/>
          <w:szCs w:val="21"/>
        </w:rPr>
        <w:t>。</w:t>
      </w:r>
      <w:r>
        <w:rPr>
          <w:rFonts w:hint="eastAsia" w:ascii="宋体" w:hAnsi="宋体"/>
          <w:szCs w:val="21"/>
        </w:rPr>
        <w:t>按照交易平台关于全流程电子化项目的相关指南进行操作。详见：</w:t>
      </w:r>
      <w:r>
        <w:rPr>
          <w:rFonts w:hint="eastAsia" w:ascii="宋体" w:hAnsi="宋体"/>
          <w:szCs w:val="21"/>
          <w:u w:val="single"/>
        </w:rPr>
        <w:t>广州</w:t>
      </w:r>
      <w:r>
        <w:rPr>
          <w:rFonts w:ascii="宋体" w:hAnsi="宋体"/>
          <w:szCs w:val="21"/>
          <w:u w:val="single"/>
        </w:rPr>
        <w:t>公共资源交易中心</w:t>
      </w:r>
      <w:r>
        <w:rPr>
          <w:rFonts w:hint="eastAsia" w:ascii="宋体" w:hAnsi="宋体"/>
          <w:szCs w:val="21"/>
          <w:u w:val="single"/>
        </w:rPr>
        <w:t>网站</w:t>
      </w:r>
      <w:r>
        <w:rPr>
          <w:rFonts w:hint="eastAsia" w:ascii="宋体" w:hAnsi="宋体"/>
          <w:bCs/>
          <w:kern w:val="0"/>
          <w:szCs w:val="21"/>
          <w:u w:val="single"/>
        </w:rPr>
        <w:t>。</w:t>
      </w:r>
    </w:p>
    <w:p>
      <w:pPr>
        <w:spacing w:line="360" w:lineRule="auto"/>
        <w:ind w:firstLine="472" w:firstLineChars="224"/>
        <w:rPr>
          <w:rFonts w:ascii="宋体" w:hAnsi="宋体"/>
          <w:b/>
          <w:szCs w:val="21"/>
        </w:rPr>
      </w:pPr>
      <w:r>
        <w:rPr>
          <w:rFonts w:hint="eastAsia" w:ascii="宋体" w:hAnsi="宋体"/>
          <w:b/>
          <w:szCs w:val="21"/>
        </w:rPr>
        <w:t>条款号：</w:t>
      </w:r>
      <w:r>
        <w:rPr>
          <w:rFonts w:ascii="宋体" w:hAnsi="宋体"/>
          <w:b/>
          <w:szCs w:val="21"/>
        </w:rPr>
        <w:t xml:space="preserve"> </w:t>
      </w:r>
      <w:r>
        <w:rPr>
          <w:rFonts w:hint="eastAsia" w:ascii="宋体" w:hAnsi="宋体"/>
          <w:szCs w:val="21"/>
        </w:rPr>
        <w:t>12.3</w:t>
      </w:r>
      <w:r>
        <w:rPr>
          <w:rFonts w:ascii="宋体" w:hAnsi="宋体"/>
          <w:b/>
          <w:szCs w:val="21"/>
        </w:rPr>
        <w:t xml:space="preserve">            </w:t>
      </w:r>
      <w:r>
        <w:rPr>
          <w:rFonts w:hint="eastAsia" w:ascii="宋体" w:hAnsi="宋体"/>
          <w:b/>
          <w:szCs w:val="21"/>
        </w:rPr>
        <w:t>修改类型：修改</w:t>
      </w:r>
    </w:p>
    <w:p>
      <w:pPr>
        <w:spacing w:line="360" w:lineRule="auto"/>
        <w:ind w:firstLine="472" w:firstLineChars="224"/>
        <w:rPr>
          <w:rFonts w:ascii="宋体" w:hAnsi="宋体"/>
          <w:b/>
          <w:szCs w:val="21"/>
        </w:rPr>
      </w:pPr>
      <w:r>
        <w:rPr>
          <w:rFonts w:hint="eastAsia" w:ascii="宋体" w:hAnsi="宋体"/>
          <w:b/>
          <w:szCs w:val="21"/>
        </w:rPr>
        <w:t>原文：</w:t>
      </w:r>
      <w:r>
        <w:rPr>
          <w:rFonts w:hint="eastAsia" w:ascii="宋体" w:hAnsi="宋体"/>
          <w:szCs w:val="21"/>
        </w:rPr>
        <w:t xml:space="preserve"> </w:t>
      </w:r>
      <w:r>
        <w:rPr>
          <w:rFonts w:hint="eastAsia" w:ascii="宋体" w:hAnsi="宋体"/>
          <w:bCs/>
          <w:szCs w:val="21"/>
        </w:rPr>
        <w:t>投标文件应按</w:t>
      </w:r>
      <w:r>
        <w:rPr>
          <w:rFonts w:hint="eastAsia" w:ascii="宋体" w:hAnsi="宋体"/>
          <w:szCs w:val="21"/>
        </w:rPr>
        <w:t>照交易平台关于全流程电子化项目的相关指南进行编制，详见：</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pBdr>
          <w:bottom w:val="single" w:color="auto" w:sz="6" w:space="1"/>
        </w:pBdr>
        <w:spacing w:line="360" w:lineRule="auto"/>
        <w:ind w:firstLine="527" w:firstLineChars="250"/>
        <w:rPr>
          <w:rFonts w:ascii="宋体" w:hAnsi="宋体"/>
          <w:szCs w:val="21"/>
        </w:rPr>
      </w:pPr>
      <w:r>
        <w:rPr>
          <w:rFonts w:hint="eastAsia" w:ascii="宋体" w:hAnsi="宋体"/>
          <w:b/>
          <w:szCs w:val="21"/>
        </w:rPr>
        <w:t>现文：</w:t>
      </w:r>
      <w:r>
        <w:rPr>
          <w:rFonts w:hint="eastAsia" w:ascii="宋体" w:hAnsi="宋体"/>
          <w:bCs/>
          <w:szCs w:val="21"/>
        </w:rPr>
        <w:t>投标文件应按</w:t>
      </w:r>
      <w:r>
        <w:rPr>
          <w:rFonts w:hint="eastAsia" w:ascii="宋体" w:hAnsi="宋体"/>
          <w:szCs w:val="21"/>
        </w:rPr>
        <w:t>照交易平台关于全流程电子化项目的相关指南进行编制，详见：</w:t>
      </w:r>
      <w:r>
        <w:rPr>
          <w:rFonts w:hint="eastAsia" w:ascii="宋体" w:hAnsi="宋体"/>
          <w:szCs w:val="21"/>
          <w:u w:val="single"/>
        </w:rPr>
        <w:t>广州</w:t>
      </w:r>
      <w:r>
        <w:rPr>
          <w:rFonts w:ascii="宋体" w:hAnsi="宋体"/>
          <w:szCs w:val="21"/>
          <w:u w:val="single"/>
        </w:rPr>
        <w:t>公共资源交易中心</w:t>
      </w:r>
      <w:r>
        <w:rPr>
          <w:rFonts w:hint="eastAsia" w:ascii="宋体" w:hAnsi="宋体"/>
          <w:szCs w:val="21"/>
          <w:u w:val="single"/>
        </w:rPr>
        <w:t>网站</w:t>
      </w:r>
      <w:r>
        <w:rPr>
          <w:rFonts w:hint="eastAsia" w:ascii="宋体" w:hAnsi="宋体"/>
          <w:bCs/>
          <w:kern w:val="0"/>
          <w:szCs w:val="21"/>
          <w:u w:val="single"/>
        </w:rPr>
        <w:t>。</w:t>
      </w:r>
    </w:p>
    <w:p>
      <w:pPr>
        <w:spacing w:line="360" w:lineRule="auto"/>
        <w:ind w:firstLine="472" w:firstLineChars="224"/>
        <w:rPr>
          <w:rFonts w:ascii="宋体" w:hAnsi="宋体"/>
          <w:b/>
          <w:szCs w:val="21"/>
        </w:rPr>
      </w:pPr>
      <w:r>
        <w:rPr>
          <w:rFonts w:hint="eastAsia" w:ascii="宋体" w:hAnsi="宋体"/>
          <w:b/>
          <w:szCs w:val="21"/>
        </w:rPr>
        <w:t>条款号：</w:t>
      </w:r>
      <w:r>
        <w:rPr>
          <w:rFonts w:hint="eastAsia" w:ascii="宋体" w:hAnsi="宋体"/>
          <w:b/>
          <w:bCs/>
          <w:szCs w:val="21"/>
        </w:rPr>
        <w:t>13.2</w:t>
      </w:r>
      <w:r>
        <w:rPr>
          <w:rFonts w:ascii="宋体" w:hAnsi="宋体"/>
          <w:b/>
          <w:szCs w:val="21"/>
        </w:rPr>
        <w:t xml:space="preserve">            </w:t>
      </w:r>
      <w:r>
        <w:rPr>
          <w:rFonts w:hint="eastAsia" w:ascii="宋体" w:hAnsi="宋体"/>
          <w:b/>
          <w:szCs w:val="21"/>
        </w:rPr>
        <w:t>修改类型：修改</w:t>
      </w:r>
    </w:p>
    <w:p>
      <w:pPr>
        <w:spacing w:line="360" w:lineRule="auto"/>
        <w:ind w:firstLine="472" w:firstLineChars="224"/>
        <w:rPr>
          <w:rFonts w:ascii="宋体" w:hAnsi="宋体"/>
          <w:b/>
          <w:szCs w:val="21"/>
        </w:rPr>
      </w:pPr>
      <w:r>
        <w:rPr>
          <w:rFonts w:hint="eastAsia" w:ascii="宋体" w:hAnsi="宋体"/>
          <w:b/>
          <w:szCs w:val="21"/>
        </w:rPr>
        <w:t>原文：</w:t>
      </w:r>
      <w:r>
        <w:rPr>
          <w:rFonts w:hint="eastAsia" w:ascii="宋体" w:hAnsi="宋体"/>
          <w:bCs/>
          <w:szCs w:val="21"/>
        </w:rPr>
        <w:t>13.2</w:t>
      </w:r>
      <w:r>
        <w:rPr>
          <w:rFonts w:hint="eastAsia" w:ascii="宋体" w:hAnsi="宋体"/>
          <w:color w:val="000000" w:themeColor="text1"/>
          <w:szCs w:val="21"/>
          <w14:textFill>
            <w14:solidFill>
              <w14:schemeClr w14:val="tx1"/>
            </w14:solidFill>
          </w14:textFill>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r>
        <w:rPr>
          <w:rFonts w:hint="eastAsia" w:ascii="宋体" w:hAnsi="宋体"/>
          <w:szCs w:val="21"/>
        </w:rPr>
        <w:t>。</w:t>
      </w:r>
    </w:p>
    <w:p>
      <w:pPr>
        <w:pBdr>
          <w:bottom w:val="single" w:color="auto" w:sz="6" w:space="1"/>
        </w:pBdr>
        <w:spacing w:line="360" w:lineRule="auto"/>
        <w:ind w:firstLine="527" w:firstLineChars="250"/>
        <w:rPr>
          <w:rFonts w:ascii="宋体" w:hAnsi="宋体"/>
          <w:szCs w:val="21"/>
        </w:rPr>
      </w:pPr>
      <w:r>
        <w:rPr>
          <w:rFonts w:hint="eastAsia" w:ascii="宋体" w:hAnsi="宋体"/>
          <w:b/>
          <w:szCs w:val="21"/>
        </w:rPr>
        <w:t>现文：</w:t>
      </w:r>
      <w:r>
        <w:rPr>
          <w:rFonts w:hint="eastAsia" w:ascii="宋体" w:hAnsi="宋体"/>
          <w:bCs/>
          <w:szCs w:val="21"/>
        </w:rPr>
        <w:t>13.2</w:t>
      </w:r>
      <w:r>
        <w:rPr>
          <w:rFonts w:hint="eastAsia" w:ascii="宋体" w:hAnsi="宋体"/>
          <w:color w:val="000000" w:themeColor="text1"/>
          <w:szCs w:val="21"/>
          <w14:textFill>
            <w14:solidFill>
              <w14:schemeClr w14:val="tx1"/>
            </w14:solidFill>
          </w14:textFill>
        </w:rPr>
        <w:t>招标人按照招标图纸制定招标工程量清单，该清单载于本招标文件第</w:t>
      </w:r>
      <w:r>
        <w:rPr>
          <w:rFonts w:hint="eastAsia" w:ascii="宋体" w:hAnsi="宋体"/>
          <w:color w:val="000000" w:themeColor="text1"/>
          <w:szCs w:val="21"/>
          <w:u w:val="single"/>
          <w14:textFill>
            <w14:solidFill>
              <w14:schemeClr w14:val="tx1"/>
            </w14:solidFill>
          </w14:textFill>
        </w:rPr>
        <w:t>八</w:t>
      </w:r>
      <w:r>
        <w:rPr>
          <w:rFonts w:hint="eastAsia" w:ascii="宋体" w:hAnsi="宋体"/>
          <w:color w:val="000000" w:themeColor="text1"/>
          <w:szCs w:val="21"/>
          <w14:textFill>
            <w14:solidFill>
              <w14:schemeClr w14:val="tx1"/>
            </w14:solidFill>
          </w14:textFill>
        </w:rPr>
        <w:t>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r>
        <w:rPr>
          <w:rFonts w:hint="eastAsia" w:ascii="宋体" w:hAnsi="宋体"/>
          <w:szCs w:val="21"/>
        </w:rPr>
        <w:t>。</w:t>
      </w:r>
    </w:p>
    <w:p>
      <w:pPr>
        <w:spacing w:line="360" w:lineRule="auto"/>
        <w:ind w:firstLine="472" w:firstLineChars="224"/>
        <w:rPr>
          <w:rFonts w:ascii="宋体" w:hAnsi="宋体"/>
          <w:b/>
          <w:szCs w:val="21"/>
        </w:rPr>
      </w:pPr>
      <w:r>
        <w:rPr>
          <w:rFonts w:hint="eastAsia" w:ascii="宋体" w:hAnsi="宋体"/>
          <w:b/>
          <w:szCs w:val="21"/>
        </w:rPr>
        <w:t>条款号：</w:t>
      </w:r>
      <w:r>
        <w:rPr>
          <w:rFonts w:ascii="宋体" w:hAnsi="宋体"/>
          <w:b/>
          <w:szCs w:val="21"/>
        </w:rPr>
        <w:t xml:space="preserve"> </w:t>
      </w:r>
      <w:r>
        <w:rPr>
          <w:rFonts w:hint="eastAsia" w:ascii="宋体" w:hAnsi="宋体"/>
          <w:szCs w:val="21"/>
        </w:rPr>
        <w:t>13.4</w:t>
      </w:r>
      <w:r>
        <w:rPr>
          <w:rFonts w:ascii="宋体" w:hAnsi="宋体"/>
          <w:b/>
          <w:szCs w:val="21"/>
        </w:rPr>
        <w:t xml:space="preserve">            </w:t>
      </w:r>
      <w:r>
        <w:rPr>
          <w:rFonts w:hint="eastAsia" w:ascii="宋体" w:hAnsi="宋体"/>
          <w:b/>
          <w:szCs w:val="21"/>
        </w:rPr>
        <w:t>修改类型：修改</w:t>
      </w:r>
    </w:p>
    <w:p>
      <w:pPr>
        <w:spacing w:line="360" w:lineRule="auto"/>
        <w:ind w:firstLine="472" w:firstLineChars="224"/>
        <w:rPr>
          <w:rFonts w:ascii="宋体" w:hAnsi="宋体"/>
          <w:b/>
          <w:szCs w:val="21"/>
        </w:rPr>
      </w:pPr>
      <w:r>
        <w:rPr>
          <w:rFonts w:hint="eastAsia" w:ascii="宋体" w:hAnsi="宋体"/>
          <w:b/>
          <w:szCs w:val="21"/>
        </w:rPr>
        <w:t>原文：</w:t>
      </w:r>
      <w:r>
        <w:rPr>
          <w:rFonts w:ascii="宋体" w:hAnsi="宋体"/>
          <w:szCs w:val="21"/>
        </w:rPr>
        <w:t>13.4</w:t>
      </w:r>
      <w:r>
        <w:rPr>
          <w:rFonts w:hint="eastAsia" w:ascii="宋体" w:hAnsi="宋体"/>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527" w:firstLineChars="250"/>
        <w:rPr>
          <w:rFonts w:ascii="宋体" w:hAnsi="宋体"/>
          <w:szCs w:val="21"/>
        </w:rPr>
      </w:pPr>
      <w:r>
        <w:rPr>
          <w:rFonts w:hint="eastAsia" w:ascii="宋体" w:hAnsi="宋体"/>
          <w:b/>
          <w:szCs w:val="21"/>
        </w:rPr>
        <w:t>现文：</w:t>
      </w:r>
      <w:r>
        <w:rPr>
          <w:rFonts w:ascii="宋体" w:hAnsi="宋体"/>
          <w:szCs w:val="21"/>
        </w:rPr>
        <w:t>13.4</w:t>
      </w:r>
      <w:r>
        <w:rPr>
          <w:rFonts w:hint="eastAsia" w:ascii="宋体" w:hAnsi="宋体"/>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ascii="宋体" w:hAnsi="宋体"/>
          <w:szCs w:val="21"/>
          <w:u w:val="single"/>
        </w:rPr>
        <w:t>按合同条款相关约定调整。</w:t>
      </w:r>
    </w:p>
    <w:p>
      <w:pPr>
        <w:spacing w:line="360" w:lineRule="auto"/>
        <w:ind w:firstLine="472" w:firstLineChars="224"/>
        <w:rPr>
          <w:rFonts w:ascii="宋体" w:hAnsi="宋体"/>
          <w:b/>
          <w:szCs w:val="21"/>
        </w:rPr>
      </w:pPr>
      <w:r>
        <w:rPr>
          <w:rFonts w:hint="eastAsia" w:ascii="宋体" w:hAnsi="宋体"/>
          <w:b/>
          <w:szCs w:val="21"/>
        </w:rPr>
        <w:t>条款号：</w:t>
      </w:r>
      <w:r>
        <w:rPr>
          <w:rFonts w:ascii="宋体" w:hAnsi="宋体"/>
          <w:b/>
          <w:szCs w:val="21"/>
        </w:rPr>
        <w:t>13</w:t>
      </w:r>
      <w:r>
        <w:rPr>
          <w:rFonts w:hint="eastAsia" w:ascii="宋体" w:hAnsi="宋体"/>
          <w:b/>
          <w:szCs w:val="21"/>
        </w:rPr>
        <w:t>.5</w:t>
      </w:r>
      <w:r>
        <w:rPr>
          <w:rFonts w:ascii="宋体" w:hAnsi="宋体"/>
          <w:b/>
          <w:szCs w:val="21"/>
        </w:rPr>
        <w:t xml:space="preserve">             </w:t>
      </w:r>
      <w:r>
        <w:rPr>
          <w:rFonts w:hint="eastAsia" w:ascii="宋体" w:hAnsi="宋体"/>
          <w:b/>
          <w:szCs w:val="21"/>
        </w:rPr>
        <w:t>修改类型：修改</w:t>
      </w:r>
    </w:p>
    <w:p>
      <w:pPr>
        <w:pBdr>
          <w:bottom w:val="single" w:color="auto" w:sz="6" w:space="1"/>
        </w:pBdr>
        <w:spacing w:line="360" w:lineRule="auto"/>
        <w:ind w:firstLine="472" w:firstLineChars="224"/>
        <w:rPr>
          <w:rFonts w:ascii="宋体" w:hAnsi="宋体"/>
          <w:szCs w:val="21"/>
        </w:rPr>
      </w:pPr>
      <w:r>
        <w:rPr>
          <w:rFonts w:hint="eastAsia" w:ascii="宋体" w:hAnsi="宋体"/>
          <w:b/>
          <w:szCs w:val="21"/>
        </w:rPr>
        <w:t>原文：</w:t>
      </w:r>
      <w:r>
        <w:rPr>
          <w:rFonts w:ascii="宋体" w:hAnsi="宋体"/>
          <w:szCs w:val="21"/>
        </w:rPr>
        <w:t>13.5</w:t>
      </w:r>
      <w:r>
        <w:rPr>
          <w:rFonts w:hint="eastAsia" w:ascii="宋体" w:hAnsi="宋体"/>
          <w:szCs w:val="21"/>
        </w:rPr>
        <w:t>工程项目实施期间和结算时，招标文件工程量清单中漏列而由监理单位和招标人现场签证确认的工程项目、原设计没有而由招标人批准设计变更产生的工程项目，视为新增项目，按以下顺序确定价格：</w:t>
      </w:r>
    </w:p>
    <w:p>
      <w:pPr>
        <w:pBdr>
          <w:bottom w:val="single" w:color="auto" w:sz="6" w:space="1"/>
        </w:pBdr>
        <w:spacing w:line="360" w:lineRule="auto"/>
        <w:ind w:firstLine="470" w:firstLineChars="224"/>
        <w:rPr>
          <w:rFonts w:ascii="宋体" w:hAnsi="宋体"/>
          <w:szCs w:val="21"/>
        </w:rPr>
      </w:pPr>
      <w:r>
        <w:rPr>
          <w:rFonts w:hint="eastAsia" w:ascii="宋体" w:hAnsi="宋体"/>
          <w:szCs w:val="21"/>
        </w:rPr>
        <w:t>13.5.1中标的投标文件工程量清单中已有相同项目的适用综合单价，则沿用；</w:t>
      </w:r>
    </w:p>
    <w:p>
      <w:pPr>
        <w:pBdr>
          <w:bottom w:val="single" w:color="auto" w:sz="6" w:space="1"/>
        </w:pBdr>
        <w:spacing w:line="360" w:lineRule="auto"/>
        <w:ind w:firstLine="470" w:firstLineChars="224"/>
        <w:rPr>
          <w:rFonts w:ascii="宋体" w:hAnsi="宋体"/>
          <w:szCs w:val="21"/>
        </w:rPr>
      </w:pPr>
      <w:r>
        <w:rPr>
          <w:rFonts w:hint="eastAsia" w:ascii="宋体" w:hAnsi="宋体"/>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360" w:lineRule="auto"/>
        <w:ind w:firstLine="470" w:firstLineChars="224"/>
        <w:rPr>
          <w:rFonts w:ascii="宋体" w:hAnsi="宋体"/>
          <w:szCs w:val="21"/>
        </w:rPr>
      </w:pPr>
      <w:r>
        <w:rPr>
          <w:rFonts w:hint="eastAsia" w:ascii="宋体" w:hAnsi="宋体"/>
          <w:szCs w:val="21"/>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pPr>
        <w:pBdr>
          <w:bottom w:val="single" w:color="auto" w:sz="6" w:space="1"/>
        </w:pBdr>
        <w:spacing w:line="360" w:lineRule="auto"/>
        <w:ind w:firstLine="470" w:firstLineChars="224"/>
        <w:rPr>
          <w:rFonts w:ascii="宋体" w:hAnsi="宋体"/>
          <w:szCs w:val="21"/>
        </w:rPr>
      </w:pPr>
      <w:r>
        <w:rPr>
          <w:rFonts w:hint="eastAsia" w:ascii="宋体" w:hAnsi="宋体"/>
          <w:szCs w:val="21"/>
        </w:rPr>
        <w:t>13.5.4 如相关定额没有相应子目的，其计价方式由招标人在本招标文件第三章中另行规定。未规定的，中标后双方协商约定。</w:t>
      </w:r>
    </w:p>
    <w:p>
      <w:pPr>
        <w:pBdr>
          <w:bottom w:val="single" w:color="auto" w:sz="6" w:space="1"/>
        </w:pBdr>
        <w:spacing w:line="360" w:lineRule="auto"/>
        <w:ind w:firstLine="472" w:firstLineChars="224"/>
        <w:rPr>
          <w:rFonts w:ascii="宋体" w:hAnsi="宋体"/>
          <w:szCs w:val="21"/>
        </w:rPr>
      </w:pPr>
      <w:r>
        <w:rPr>
          <w:rFonts w:hint="eastAsia" w:ascii="宋体" w:hAnsi="宋体"/>
          <w:b/>
          <w:szCs w:val="21"/>
        </w:rPr>
        <w:t>现文：</w:t>
      </w:r>
      <w:r>
        <w:rPr>
          <w:rFonts w:hint="eastAsia" w:ascii="宋体" w:hAnsi="宋体"/>
          <w:szCs w:val="21"/>
          <w:u w:val="single"/>
        </w:rPr>
        <w:t>13.5 按本招标文件第八章《工程量清单》相关要求及本工程施工合同条款约定执行。</w:t>
      </w:r>
    </w:p>
    <w:p>
      <w:pPr>
        <w:spacing w:line="360" w:lineRule="auto"/>
        <w:ind w:firstLine="472" w:firstLineChars="224"/>
        <w:rPr>
          <w:rFonts w:ascii="宋体" w:hAnsi="宋体"/>
          <w:b/>
          <w:szCs w:val="21"/>
        </w:rPr>
      </w:pPr>
      <w:r>
        <w:rPr>
          <w:rFonts w:hint="eastAsia" w:ascii="宋体" w:hAnsi="宋体"/>
          <w:b/>
          <w:szCs w:val="21"/>
        </w:rPr>
        <w:t>条款号：</w:t>
      </w:r>
      <w:r>
        <w:rPr>
          <w:rFonts w:ascii="宋体" w:hAnsi="宋体"/>
          <w:b/>
          <w:bCs/>
          <w:szCs w:val="21"/>
        </w:rPr>
        <w:t>16</w:t>
      </w:r>
      <w:r>
        <w:rPr>
          <w:rFonts w:hint="eastAsia" w:ascii="宋体" w:hAnsi="宋体"/>
          <w:b/>
          <w:bCs/>
          <w:szCs w:val="21"/>
        </w:rPr>
        <w:t>.1.2</w:t>
      </w:r>
      <w:r>
        <w:rPr>
          <w:rFonts w:hint="eastAsia" w:ascii="宋体" w:hAnsi="宋体"/>
          <w:szCs w:val="21"/>
        </w:rPr>
        <w:t xml:space="preserve"> </w:t>
      </w:r>
      <w:r>
        <w:rPr>
          <w:rFonts w:ascii="宋体" w:hAnsi="宋体"/>
          <w:b/>
          <w:szCs w:val="21"/>
        </w:rPr>
        <w:t xml:space="preserve">             </w:t>
      </w:r>
      <w:r>
        <w:rPr>
          <w:rFonts w:hint="eastAsia" w:ascii="宋体" w:hAnsi="宋体"/>
          <w:b/>
          <w:szCs w:val="21"/>
        </w:rPr>
        <w:t>修改类型：修改</w:t>
      </w:r>
    </w:p>
    <w:p>
      <w:pPr>
        <w:spacing w:line="360" w:lineRule="auto"/>
        <w:ind w:firstLine="422" w:firstLineChars="200"/>
        <w:rPr>
          <w:rFonts w:ascii="宋体" w:hAnsi="宋体"/>
          <w:sz w:val="24"/>
        </w:rPr>
      </w:pPr>
      <w:r>
        <w:rPr>
          <w:rFonts w:hint="eastAsia" w:ascii="宋体" w:hAnsi="宋体"/>
          <w:b/>
          <w:szCs w:val="21"/>
        </w:rPr>
        <w:t>原文：</w:t>
      </w:r>
      <w:r>
        <w:rPr>
          <w:rFonts w:hint="eastAsia" w:ascii="宋体" w:hAnsi="宋体"/>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Bdr>
          <w:bottom w:val="single" w:color="auto" w:sz="6" w:space="1"/>
        </w:pBdr>
        <w:spacing w:line="360" w:lineRule="auto"/>
        <w:ind w:firstLine="527" w:firstLineChars="250"/>
        <w:rPr>
          <w:rFonts w:ascii="宋体" w:hAnsi="宋体"/>
          <w:b/>
          <w:szCs w:val="21"/>
        </w:rPr>
      </w:pPr>
      <w:r>
        <w:rPr>
          <w:rFonts w:hint="eastAsia" w:ascii="宋体" w:hAnsi="宋体"/>
          <w:b/>
          <w:szCs w:val="21"/>
        </w:rPr>
        <w:t>现文：</w:t>
      </w:r>
      <w:r>
        <w:rPr>
          <w:rFonts w:hint="eastAsia" w:ascii="宋体" w:hAnsi="宋体"/>
          <w:szCs w:val="21"/>
        </w:rPr>
        <w:t>16.1.2 依法必须招标的房屋建筑工程如采用非电子形式的银行保函、专业工程担保公司担保或保证保险提交投标保证金的，</w:t>
      </w:r>
      <w:r>
        <w:rPr>
          <w:rFonts w:hint="eastAsia" w:ascii="宋体" w:hAnsi="宋体"/>
          <w:szCs w:val="21"/>
          <w:u w:val="single"/>
        </w:rPr>
        <w:t>投标人须在开标当天提交纸质原件</w:t>
      </w:r>
      <w:r>
        <w:rPr>
          <w:rFonts w:hint="eastAsia" w:ascii="宋体" w:hAnsi="宋体"/>
          <w:szCs w:val="21"/>
        </w:rPr>
        <w:t>，并在网上公示，投标人应在投标文件中提交保函、担保或保证保险扫描件并加盖投标人电子印章。如投标人存在16.4条款所列情形的，应将纸质原件提交给招标人。</w:t>
      </w:r>
    </w:p>
    <w:p>
      <w:pPr>
        <w:spacing w:line="360" w:lineRule="auto"/>
        <w:ind w:firstLine="472" w:firstLineChars="224"/>
        <w:rPr>
          <w:rFonts w:ascii="宋体" w:hAnsi="宋体"/>
          <w:b/>
          <w:szCs w:val="21"/>
        </w:rPr>
      </w:pPr>
      <w:r>
        <w:rPr>
          <w:rFonts w:hint="eastAsia" w:ascii="宋体" w:hAnsi="宋体"/>
          <w:b/>
          <w:szCs w:val="21"/>
        </w:rPr>
        <w:t>条款号：</w:t>
      </w:r>
      <w:r>
        <w:rPr>
          <w:rFonts w:ascii="宋体" w:hAnsi="宋体"/>
          <w:b/>
          <w:bCs/>
          <w:szCs w:val="21"/>
        </w:rPr>
        <w:t>16</w:t>
      </w:r>
      <w:r>
        <w:rPr>
          <w:rFonts w:hint="eastAsia" w:ascii="宋体" w:hAnsi="宋体"/>
          <w:b/>
          <w:bCs/>
          <w:szCs w:val="21"/>
        </w:rPr>
        <w:t>.4</w:t>
      </w:r>
      <w:r>
        <w:rPr>
          <w:rFonts w:hint="eastAsia" w:ascii="宋体" w:hAnsi="宋体"/>
          <w:szCs w:val="21"/>
        </w:rPr>
        <w:t xml:space="preserve">    </w:t>
      </w:r>
      <w:r>
        <w:rPr>
          <w:rFonts w:ascii="宋体" w:hAnsi="宋体"/>
          <w:b/>
          <w:szCs w:val="21"/>
        </w:rPr>
        <w:t xml:space="preserve">             </w:t>
      </w:r>
      <w:r>
        <w:rPr>
          <w:rFonts w:hint="eastAsia" w:ascii="宋体" w:hAnsi="宋体"/>
          <w:b/>
          <w:szCs w:val="21"/>
        </w:rPr>
        <w:t>修改类型：修改</w:t>
      </w:r>
    </w:p>
    <w:p>
      <w:pPr>
        <w:spacing w:line="360" w:lineRule="auto"/>
        <w:ind w:firstLine="422" w:firstLineChars="200"/>
        <w:rPr>
          <w:rFonts w:ascii="宋体" w:hAnsi="宋体"/>
          <w:bCs/>
          <w:sz w:val="24"/>
        </w:rPr>
      </w:pPr>
      <w:r>
        <w:rPr>
          <w:rFonts w:hint="eastAsia" w:ascii="宋体" w:hAnsi="宋体"/>
          <w:b/>
          <w:szCs w:val="21"/>
        </w:rPr>
        <w:t>原文：</w:t>
      </w:r>
      <w:r>
        <w:rPr>
          <w:rFonts w:hint="eastAsia" w:ascii="宋体" w:hAnsi="宋体"/>
          <w:bCs/>
          <w:szCs w:val="21"/>
        </w:rPr>
        <w:t>16.4如有下列情况之一的，招标人可以不予退还投标保证金（是否退还投标保证金由招标人在招标文件中规定）：</w:t>
      </w:r>
    </w:p>
    <w:p>
      <w:pPr>
        <w:pBdr>
          <w:bottom w:val="single" w:color="auto" w:sz="6" w:space="1"/>
        </w:pBdr>
        <w:spacing w:line="360" w:lineRule="auto"/>
        <w:ind w:firstLine="527" w:firstLineChars="250"/>
        <w:rPr>
          <w:rFonts w:ascii="宋体" w:hAnsi="宋体"/>
          <w:b/>
          <w:szCs w:val="21"/>
        </w:rPr>
      </w:pPr>
      <w:r>
        <w:rPr>
          <w:rFonts w:hint="eastAsia" w:ascii="宋体" w:hAnsi="宋体"/>
          <w:b/>
          <w:szCs w:val="21"/>
        </w:rPr>
        <w:t>现文：</w:t>
      </w:r>
      <w:r>
        <w:rPr>
          <w:rFonts w:hint="eastAsia" w:ascii="宋体" w:hAnsi="宋体"/>
          <w:bCs/>
          <w:szCs w:val="21"/>
        </w:rPr>
        <w:t>16.4如有下列情况之一的，招标人</w:t>
      </w:r>
      <w:r>
        <w:rPr>
          <w:rFonts w:hint="eastAsia" w:ascii="宋体" w:hAnsi="宋体"/>
          <w:bCs/>
          <w:strike/>
          <w:szCs w:val="21"/>
        </w:rPr>
        <w:t>可以</w:t>
      </w:r>
      <w:r>
        <w:rPr>
          <w:rFonts w:hint="eastAsia" w:ascii="宋体" w:hAnsi="宋体"/>
          <w:bCs/>
          <w:szCs w:val="21"/>
        </w:rPr>
        <w:t>不予退还投标保证金（是否退还投标保证金由招标人在招标文件中规定）：</w:t>
      </w:r>
    </w:p>
    <w:p>
      <w:pPr>
        <w:spacing w:line="360" w:lineRule="auto"/>
        <w:ind w:firstLine="472" w:firstLineChars="224"/>
        <w:rPr>
          <w:rFonts w:ascii="宋体" w:hAnsi="宋体"/>
          <w:b/>
          <w:szCs w:val="21"/>
        </w:rPr>
      </w:pPr>
      <w:r>
        <w:rPr>
          <w:rFonts w:hint="eastAsia" w:ascii="宋体" w:hAnsi="宋体"/>
          <w:b/>
          <w:szCs w:val="21"/>
        </w:rPr>
        <w:t>条款号：</w:t>
      </w:r>
      <w:r>
        <w:rPr>
          <w:rFonts w:ascii="宋体" w:hAnsi="宋体"/>
          <w:b/>
          <w:bCs/>
          <w:szCs w:val="21"/>
        </w:rPr>
        <w:t>16</w:t>
      </w:r>
      <w:r>
        <w:rPr>
          <w:rFonts w:hint="eastAsia" w:ascii="宋体" w:hAnsi="宋体"/>
          <w:b/>
          <w:bCs/>
          <w:szCs w:val="21"/>
        </w:rPr>
        <w:t xml:space="preserve">.5 </w:t>
      </w:r>
      <w:r>
        <w:rPr>
          <w:rFonts w:hint="eastAsia" w:ascii="宋体" w:hAnsi="宋体"/>
          <w:szCs w:val="21"/>
        </w:rPr>
        <w:t xml:space="preserve">   </w:t>
      </w:r>
      <w:r>
        <w:rPr>
          <w:rFonts w:ascii="宋体" w:hAnsi="宋体"/>
          <w:b/>
          <w:szCs w:val="21"/>
        </w:rPr>
        <w:t xml:space="preserve">             </w:t>
      </w:r>
      <w:r>
        <w:rPr>
          <w:rFonts w:hint="eastAsia" w:ascii="宋体" w:hAnsi="宋体"/>
          <w:b/>
          <w:szCs w:val="21"/>
        </w:rPr>
        <w:t>修改类型：修改</w:t>
      </w:r>
    </w:p>
    <w:p>
      <w:pPr>
        <w:spacing w:line="360" w:lineRule="auto"/>
        <w:ind w:firstLine="422" w:firstLineChars="200"/>
        <w:rPr>
          <w:rFonts w:ascii="宋体" w:hAnsi="宋体"/>
          <w:sz w:val="24"/>
        </w:rPr>
      </w:pPr>
      <w:r>
        <w:rPr>
          <w:rFonts w:hint="eastAsia" w:ascii="宋体" w:hAnsi="宋体"/>
          <w:b/>
          <w:szCs w:val="21"/>
        </w:rPr>
        <w:t>原文：</w:t>
      </w:r>
      <w:r>
        <w:rPr>
          <w:rFonts w:ascii="宋体" w:hAnsi="宋体"/>
          <w:szCs w:val="21"/>
        </w:rPr>
        <w:t>16</w:t>
      </w:r>
      <w:r>
        <w:rPr>
          <w:rFonts w:hint="eastAsia" w:ascii="宋体" w:hAnsi="宋体"/>
          <w:szCs w:val="21"/>
        </w:rPr>
        <w:t xml:space="preserve">.5 </w:t>
      </w:r>
      <w:r>
        <w:rPr>
          <w:rFonts w:hint="eastAsia" w:ascii="宋体" w:hAnsi="宋体"/>
          <w:bCs/>
          <w:szCs w:val="21"/>
        </w:rPr>
        <w:t>投标人如存在下列情况之一的，将被拒绝在一定时期内参与招标人后续工程投标（拒绝时限需在招标文件中明确）：</w:t>
      </w:r>
    </w:p>
    <w:p>
      <w:pPr>
        <w:pBdr>
          <w:bottom w:val="single" w:color="auto" w:sz="6" w:space="1"/>
        </w:pBdr>
        <w:spacing w:line="360" w:lineRule="auto"/>
        <w:ind w:firstLine="527" w:firstLineChars="250"/>
        <w:rPr>
          <w:rFonts w:ascii="宋体" w:hAnsi="宋体"/>
          <w:b/>
          <w:szCs w:val="21"/>
        </w:rPr>
      </w:pPr>
      <w:r>
        <w:rPr>
          <w:rFonts w:hint="eastAsia" w:ascii="宋体" w:hAnsi="宋体"/>
          <w:b/>
          <w:szCs w:val="21"/>
        </w:rPr>
        <w:t>现文：</w:t>
      </w:r>
      <w:r>
        <w:rPr>
          <w:rFonts w:ascii="宋体" w:hAnsi="宋体"/>
          <w:szCs w:val="21"/>
        </w:rPr>
        <w:t>16</w:t>
      </w:r>
      <w:r>
        <w:rPr>
          <w:rFonts w:hint="eastAsia" w:ascii="宋体" w:hAnsi="宋体"/>
          <w:szCs w:val="21"/>
        </w:rPr>
        <w:t>.5 投标人如存在下列情况之一的，将被拒绝在一定时期内（一年内）参与招标人后续工程投标（拒绝时限需在招标文件中明确）：</w:t>
      </w:r>
    </w:p>
    <w:p>
      <w:pPr>
        <w:spacing w:line="360" w:lineRule="auto"/>
        <w:ind w:firstLine="472" w:firstLineChars="224"/>
        <w:rPr>
          <w:rFonts w:ascii="宋体" w:hAnsi="宋体"/>
          <w:b/>
          <w:szCs w:val="21"/>
        </w:rPr>
      </w:pPr>
      <w:r>
        <w:rPr>
          <w:rFonts w:hint="eastAsia" w:ascii="宋体" w:hAnsi="宋体"/>
          <w:b/>
          <w:szCs w:val="21"/>
        </w:rPr>
        <w:t>条款号：</w:t>
      </w:r>
      <w:r>
        <w:rPr>
          <w:rFonts w:ascii="宋体" w:hAnsi="宋体"/>
          <w:b/>
          <w:bCs/>
          <w:szCs w:val="21"/>
        </w:rPr>
        <w:t>16</w:t>
      </w:r>
      <w:r>
        <w:rPr>
          <w:rFonts w:hint="eastAsia" w:ascii="宋体" w:hAnsi="宋体"/>
          <w:b/>
          <w:bCs/>
          <w:szCs w:val="21"/>
        </w:rPr>
        <w:t xml:space="preserve">.5.3 </w:t>
      </w:r>
      <w:r>
        <w:rPr>
          <w:rFonts w:ascii="宋体" w:hAnsi="宋体"/>
          <w:b/>
          <w:bCs/>
          <w:szCs w:val="21"/>
        </w:rPr>
        <w:t xml:space="preserve"> </w:t>
      </w:r>
      <w:r>
        <w:rPr>
          <w:rFonts w:ascii="宋体" w:hAnsi="宋体"/>
          <w:b/>
          <w:szCs w:val="21"/>
        </w:rPr>
        <w:t xml:space="preserve">            </w:t>
      </w:r>
      <w:r>
        <w:rPr>
          <w:rFonts w:hint="eastAsia" w:ascii="宋体" w:hAnsi="宋体"/>
          <w:b/>
          <w:szCs w:val="21"/>
        </w:rPr>
        <w:t>修改类型：修改</w:t>
      </w:r>
    </w:p>
    <w:p>
      <w:pPr>
        <w:spacing w:line="360" w:lineRule="auto"/>
        <w:ind w:firstLine="422" w:firstLineChars="200"/>
        <w:rPr>
          <w:rFonts w:ascii="宋体" w:hAnsi="宋体"/>
          <w:bCs/>
          <w:szCs w:val="21"/>
        </w:rPr>
      </w:pPr>
      <w:r>
        <w:rPr>
          <w:rFonts w:hint="eastAsia" w:ascii="宋体" w:hAnsi="宋体"/>
          <w:b/>
          <w:szCs w:val="21"/>
        </w:rPr>
        <w:t>原文：</w:t>
      </w:r>
      <w:r>
        <w:rPr>
          <w:rFonts w:hint="eastAsia" w:ascii="宋体" w:hAnsi="宋体"/>
          <w:bCs/>
          <w:szCs w:val="21"/>
        </w:rPr>
        <w:t>16.5.3按招标文件要求免于提供投标保证金的投标人存在16.4条款所列情形，且未按招标人要求补交投标保证金的；</w:t>
      </w:r>
    </w:p>
    <w:p>
      <w:pPr>
        <w:spacing w:line="360" w:lineRule="auto"/>
        <w:ind w:firstLine="420" w:firstLineChars="200"/>
        <w:rPr>
          <w:rFonts w:ascii="宋体" w:hAnsi="宋体"/>
          <w:bCs/>
          <w:szCs w:val="21"/>
        </w:rPr>
      </w:pPr>
      <w:r>
        <w:rPr>
          <w:rFonts w:hint="eastAsia" w:ascii="宋体" w:hAnsi="宋体"/>
          <w:bCs/>
          <w:szCs w:val="21"/>
        </w:rPr>
        <w:t>16.5.3按招标文件要求免于提供投标保证金的投标人存在16.4条款所列情形的。</w:t>
      </w:r>
    </w:p>
    <w:p>
      <w:pPr>
        <w:spacing w:line="360" w:lineRule="auto"/>
        <w:ind w:firstLine="420" w:firstLineChars="200"/>
        <w:rPr>
          <w:rFonts w:ascii="宋体" w:hAnsi="宋体"/>
          <w:bCs/>
          <w:sz w:val="24"/>
        </w:rPr>
      </w:pPr>
      <w:r>
        <w:rPr>
          <w:rFonts w:hint="eastAsia" w:ascii="宋体" w:hAnsi="宋体"/>
          <w:bCs/>
          <w:szCs w:val="21"/>
        </w:rPr>
        <w:t>注：16.5.3款由招标人二选一，需在招标文件中明确。</w:t>
      </w:r>
    </w:p>
    <w:p>
      <w:pPr>
        <w:pBdr>
          <w:bottom w:val="single" w:color="auto" w:sz="6" w:space="1"/>
        </w:pBdr>
        <w:spacing w:line="360" w:lineRule="auto"/>
        <w:ind w:firstLine="527" w:firstLineChars="250"/>
        <w:rPr>
          <w:rFonts w:ascii="宋体" w:hAnsi="宋体"/>
          <w:b/>
          <w:szCs w:val="21"/>
        </w:rPr>
      </w:pPr>
      <w:r>
        <w:rPr>
          <w:rFonts w:hint="eastAsia" w:ascii="宋体" w:hAnsi="宋体"/>
          <w:b/>
          <w:szCs w:val="21"/>
        </w:rPr>
        <w:t>现文：</w:t>
      </w:r>
      <w:r>
        <w:rPr>
          <w:rFonts w:hint="eastAsia" w:ascii="宋体" w:hAnsi="宋体"/>
          <w:szCs w:val="21"/>
        </w:rPr>
        <w:t>16.5.3 按招标文件要求免于提供投标保证金的投标人存在16.4条款所列情形的。</w:t>
      </w:r>
    </w:p>
    <w:p>
      <w:pPr>
        <w:spacing w:line="360" w:lineRule="auto"/>
        <w:ind w:firstLine="472" w:firstLineChars="224"/>
        <w:rPr>
          <w:rFonts w:ascii="宋体" w:hAnsi="宋体"/>
          <w:b/>
          <w:szCs w:val="21"/>
        </w:rPr>
      </w:pPr>
      <w:r>
        <w:rPr>
          <w:rFonts w:hint="eastAsia" w:ascii="宋体" w:hAnsi="宋体"/>
          <w:b/>
          <w:szCs w:val="21"/>
        </w:rPr>
        <w:t>条款号：</w:t>
      </w:r>
      <w:r>
        <w:rPr>
          <w:rFonts w:ascii="宋体" w:hAnsi="宋体"/>
          <w:b/>
          <w:bCs/>
          <w:szCs w:val="21"/>
        </w:rPr>
        <w:t>1</w:t>
      </w:r>
      <w:r>
        <w:rPr>
          <w:rFonts w:hint="eastAsia" w:ascii="宋体" w:hAnsi="宋体"/>
          <w:b/>
          <w:bCs/>
          <w:szCs w:val="21"/>
        </w:rPr>
        <w:t xml:space="preserve">7.1 </w:t>
      </w:r>
      <w:r>
        <w:rPr>
          <w:rFonts w:hint="eastAsia" w:ascii="宋体" w:hAnsi="宋体"/>
          <w:szCs w:val="21"/>
        </w:rPr>
        <w:t xml:space="preserve">  </w:t>
      </w:r>
      <w:r>
        <w:rPr>
          <w:rFonts w:ascii="宋体" w:hAnsi="宋体"/>
          <w:b/>
          <w:szCs w:val="21"/>
        </w:rPr>
        <w:t xml:space="preserve">             </w:t>
      </w:r>
      <w:r>
        <w:rPr>
          <w:rFonts w:hint="eastAsia" w:ascii="宋体" w:hAnsi="宋体"/>
          <w:b/>
          <w:szCs w:val="21"/>
        </w:rPr>
        <w:t>修改类型：修改</w:t>
      </w:r>
    </w:p>
    <w:p>
      <w:pPr>
        <w:spacing w:line="360" w:lineRule="auto"/>
        <w:ind w:firstLine="422" w:firstLineChars="200"/>
        <w:rPr>
          <w:rFonts w:ascii="宋体" w:hAnsi="宋体"/>
          <w:bCs/>
          <w:szCs w:val="21"/>
        </w:rPr>
      </w:pPr>
      <w:r>
        <w:rPr>
          <w:rFonts w:hint="eastAsia" w:ascii="宋体" w:hAnsi="宋体"/>
          <w:b/>
          <w:szCs w:val="21"/>
        </w:rPr>
        <w:t>原文：</w:t>
      </w:r>
      <w:r>
        <w:rPr>
          <w:rFonts w:ascii="宋体" w:hAnsi="宋体"/>
          <w:szCs w:val="21"/>
        </w:rPr>
        <w:t>1</w:t>
      </w:r>
      <w:r>
        <w:rPr>
          <w:rFonts w:hint="eastAsia" w:ascii="宋体" w:hAnsi="宋体"/>
          <w:szCs w:val="21"/>
        </w:rPr>
        <w:t xml:space="preserve">7.1 </w:t>
      </w:r>
      <w:r>
        <w:rPr>
          <w:rFonts w:hint="eastAsia" w:ascii="宋体" w:hAnsi="宋体"/>
          <w:bCs/>
          <w:szCs w:val="21"/>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bCs/>
          <w:szCs w:val="21"/>
          <w:u w:val="single"/>
        </w:rPr>
        <w:t xml:space="preserve">             </w:t>
      </w:r>
      <w:r>
        <w:rPr>
          <w:rFonts w:hint="eastAsia" w:ascii="宋体" w:hAnsi="宋体"/>
          <w:bCs/>
          <w:szCs w:val="21"/>
        </w:rPr>
        <w:t>。</w:t>
      </w:r>
    </w:p>
    <w:p>
      <w:pPr>
        <w:pBdr>
          <w:bottom w:val="single" w:color="auto" w:sz="6" w:space="1"/>
        </w:pBdr>
        <w:spacing w:line="360" w:lineRule="auto"/>
        <w:ind w:firstLine="527" w:firstLineChars="250"/>
        <w:rPr>
          <w:rFonts w:ascii="宋体" w:hAnsi="宋体"/>
          <w:b/>
          <w:szCs w:val="21"/>
        </w:rPr>
      </w:pPr>
      <w:r>
        <w:rPr>
          <w:rFonts w:hint="eastAsia" w:ascii="宋体" w:hAnsi="宋体"/>
          <w:b/>
          <w:szCs w:val="21"/>
        </w:rPr>
        <w:t>现文：</w:t>
      </w:r>
      <w:r>
        <w:rPr>
          <w:rFonts w:ascii="宋体" w:hAnsi="宋体"/>
          <w:szCs w:val="21"/>
        </w:rPr>
        <w:t>1</w:t>
      </w:r>
      <w:r>
        <w:rPr>
          <w:rFonts w:hint="eastAsia" w:ascii="宋体" w:hAnsi="宋体"/>
          <w:szCs w:val="21"/>
        </w:rPr>
        <w:t xml:space="preserve">7.1 </w:t>
      </w:r>
      <w:r>
        <w:rPr>
          <w:rFonts w:hint="eastAsia" w:ascii="宋体" w:hAnsi="宋体"/>
          <w:bCs/>
          <w:szCs w:val="21"/>
        </w:rPr>
        <w:t>投标人应采用单位数字证书，按招标文件要求在相应位置加盖电子印章。投标文件中需个人签字或盖章的，应加盖个人电子印章或在线下完成</w:t>
      </w:r>
      <w:r>
        <w:rPr>
          <w:rFonts w:hint="eastAsia" w:ascii="宋体" w:hAnsi="宋体" w:cs="宋体"/>
          <w:b/>
          <w:bCs/>
          <w:sz w:val="22"/>
          <w:u w:val="single"/>
        </w:rPr>
        <w:t>手签或盖章和加盖单位公章</w:t>
      </w:r>
      <w:r>
        <w:rPr>
          <w:rFonts w:hint="eastAsia" w:ascii="宋体" w:hAnsi="宋体"/>
          <w:bCs/>
          <w:szCs w:val="21"/>
        </w:rPr>
        <w:t>后扫描上传。按照交易平台关于全流程电子化项目的相关指南进行操作。详见：</w:t>
      </w:r>
      <w:r>
        <w:rPr>
          <w:rFonts w:hint="eastAsia" w:ascii="宋体" w:hAnsi="宋体"/>
          <w:bCs/>
          <w:szCs w:val="21"/>
          <w:u w:val="single"/>
        </w:rPr>
        <w:t xml:space="preserve">  广州公共资源交易中心网站   </w:t>
      </w:r>
      <w:r>
        <w:rPr>
          <w:rFonts w:hint="eastAsia" w:ascii="宋体" w:hAnsi="宋体"/>
          <w:bCs/>
          <w:szCs w:val="21"/>
        </w:rPr>
        <w:t>。</w:t>
      </w:r>
    </w:p>
    <w:p>
      <w:pPr>
        <w:spacing w:line="360" w:lineRule="auto"/>
        <w:ind w:firstLine="472" w:firstLineChars="224"/>
        <w:rPr>
          <w:rFonts w:ascii="宋体" w:hAnsi="宋体"/>
          <w:b/>
          <w:szCs w:val="21"/>
        </w:rPr>
      </w:pPr>
      <w:r>
        <w:rPr>
          <w:rFonts w:hint="eastAsia" w:ascii="宋体" w:hAnsi="宋体"/>
          <w:b/>
          <w:szCs w:val="21"/>
        </w:rPr>
        <w:t>条款号：</w:t>
      </w:r>
      <w:r>
        <w:rPr>
          <w:rFonts w:ascii="宋体" w:hAnsi="宋体"/>
          <w:bCs/>
          <w:szCs w:val="21"/>
        </w:rPr>
        <w:t xml:space="preserve"> 1</w:t>
      </w:r>
      <w:r>
        <w:rPr>
          <w:rFonts w:hint="eastAsia" w:ascii="宋体" w:hAnsi="宋体"/>
          <w:bCs/>
          <w:szCs w:val="21"/>
        </w:rPr>
        <w:t>8</w:t>
      </w:r>
      <w:r>
        <w:rPr>
          <w:rFonts w:ascii="宋体" w:hAnsi="宋体"/>
          <w:bCs/>
          <w:szCs w:val="21"/>
        </w:rPr>
        <w:t>.1</w:t>
      </w:r>
      <w:r>
        <w:rPr>
          <w:rFonts w:ascii="宋体" w:hAnsi="宋体"/>
          <w:b/>
          <w:szCs w:val="21"/>
        </w:rPr>
        <w:t xml:space="preserve">            </w:t>
      </w:r>
      <w:r>
        <w:rPr>
          <w:rFonts w:hint="eastAsia" w:ascii="宋体" w:hAnsi="宋体"/>
          <w:b/>
          <w:szCs w:val="21"/>
        </w:rPr>
        <w:t>修改类型：修改</w:t>
      </w:r>
    </w:p>
    <w:p>
      <w:pPr>
        <w:spacing w:line="360" w:lineRule="auto"/>
        <w:ind w:firstLine="472" w:firstLineChars="224"/>
        <w:rPr>
          <w:rFonts w:ascii="宋体" w:hAnsi="宋体"/>
          <w:b/>
          <w:szCs w:val="21"/>
        </w:rPr>
      </w:pPr>
      <w:r>
        <w:rPr>
          <w:rFonts w:hint="eastAsia" w:ascii="宋体" w:hAnsi="宋体"/>
          <w:b/>
          <w:szCs w:val="21"/>
        </w:rPr>
        <w:t>原文：</w:t>
      </w:r>
      <w:r>
        <w:rPr>
          <w:rFonts w:ascii="宋体" w:hAnsi="宋体"/>
          <w:bCs/>
          <w:szCs w:val="21"/>
        </w:rPr>
        <w:t>1</w:t>
      </w:r>
      <w:r>
        <w:rPr>
          <w:rFonts w:hint="eastAsia" w:ascii="宋体" w:hAnsi="宋体"/>
          <w:bCs/>
          <w:szCs w:val="21"/>
        </w:rPr>
        <w:t>8</w:t>
      </w:r>
      <w:r>
        <w:rPr>
          <w:rFonts w:ascii="宋体" w:hAnsi="宋体"/>
          <w:bCs/>
          <w:szCs w:val="21"/>
        </w:rPr>
        <w:t>.1</w:t>
      </w:r>
      <w:r>
        <w:rPr>
          <w:rFonts w:ascii="宋体" w:hAnsi="宋体"/>
          <w:b/>
          <w:szCs w:val="21"/>
        </w:rPr>
        <w:t xml:space="preserve"> </w:t>
      </w:r>
      <w:r>
        <w:rPr>
          <w:rFonts w:hint="eastAsia" w:ascii="宋体" w:hAnsi="宋体"/>
          <w:bCs/>
          <w:szCs w:val="21"/>
        </w:rPr>
        <w:t>递交的电子投标文件（不含备用光盘）必须进行加密。按照交易平台关于</w:t>
      </w:r>
      <w:r>
        <w:rPr>
          <w:rFonts w:hint="eastAsia" w:ascii="宋体" w:hAnsi="宋体"/>
          <w:szCs w:val="21"/>
        </w:rPr>
        <w:t>全流程电子化项目的相关指南进行操作。详见：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 xml:space="preserve"> 。</w:t>
      </w:r>
    </w:p>
    <w:p>
      <w:pPr>
        <w:pBdr>
          <w:bottom w:val="single" w:color="auto" w:sz="6" w:space="1"/>
        </w:pBdr>
        <w:spacing w:line="360" w:lineRule="auto"/>
        <w:ind w:firstLine="527" w:firstLineChars="250"/>
        <w:rPr>
          <w:rFonts w:ascii="宋体" w:hAnsi="宋体"/>
          <w:b/>
          <w:szCs w:val="21"/>
        </w:rPr>
      </w:pPr>
      <w:r>
        <w:rPr>
          <w:rFonts w:hint="eastAsia" w:ascii="宋体" w:hAnsi="宋体"/>
          <w:b/>
          <w:szCs w:val="21"/>
        </w:rPr>
        <w:t>现文：</w:t>
      </w:r>
      <w:r>
        <w:rPr>
          <w:rFonts w:ascii="宋体" w:hAnsi="宋体"/>
          <w:bCs/>
          <w:szCs w:val="21"/>
        </w:rPr>
        <w:t>1</w:t>
      </w:r>
      <w:r>
        <w:rPr>
          <w:rFonts w:hint="eastAsia" w:ascii="宋体" w:hAnsi="宋体"/>
          <w:bCs/>
          <w:szCs w:val="21"/>
        </w:rPr>
        <w:t>8</w:t>
      </w:r>
      <w:r>
        <w:rPr>
          <w:rFonts w:ascii="宋体" w:hAnsi="宋体"/>
          <w:bCs/>
          <w:szCs w:val="21"/>
        </w:rPr>
        <w:t>.1</w:t>
      </w:r>
      <w:r>
        <w:rPr>
          <w:rFonts w:hint="eastAsia" w:ascii="宋体" w:hAnsi="宋体"/>
          <w:bCs/>
          <w:szCs w:val="21"/>
        </w:rPr>
        <w:t xml:space="preserve"> 递交的电子投标文件（不含备用光盘）必须进行加密。按照交易平台关于</w:t>
      </w:r>
      <w:r>
        <w:rPr>
          <w:rFonts w:hint="eastAsia" w:ascii="宋体" w:hAnsi="宋体"/>
          <w:szCs w:val="21"/>
        </w:rPr>
        <w:t>全流程电子化项目的相关指南进行操作。详见：</w:t>
      </w:r>
      <w:r>
        <w:rPr>
          <w:rFonts w:hint="eastAsia" w:ascii="宋体" w:hAnsi="宋体"/>
          <w:szCs w:val="21"/>
          <w:u w:val="single"/>
        </w:rPr>
        <w:t>广州</w:t>
      </w:r>
      <w:r>
        <w:rPr>
          <w:rFonts w:ascii="宋体" w:hAnsi="宋体"/>
          <w:szCs w:val="21"/>
          <w:u w:val="single"/>
        </w:rPr>
        <w:t>公共资源交易中心</w:t>
      </w:r>
      <w:r>
        <w:rPr>
          <w:rFonts w:hint="eastAsia" w:ascii="宋体" w:hAnsi="宋体"/>
          <w:szCs w:val="21"/>
          <w:u w:val="single"/>
        </w:rPr>
        <w:t>网站</w:t>
      </w:r>
      <w:r>
        <w:rPr>
          <w:rFonts w:ascii="宋体" w:hAnsi="宋体" w:cs="仿宋_GB2312"/>
          <w:szCs w:val="21"/>
          <w:u w:val="single"/>
        </w:rPr>
        <w:t xml:space="preserve"> </w:t>
      </w:r>
      <w:r>
        <w:rPr>
          <w:rFonts w:hint="eastAsia" w:ascii="宋体" w:hAnsi="宋体"/>
          <w:szCs w:val="21"/>
        </w:rPr>
        <w:t xml:space="preserve"> 。</w:t>
      </w:r>
    </w:p>
    <w:p>
      <w:pPr>
        <w:spacing w:line="360" w:lineRule="auto"/>
        <w:ind w:firstLine="472" w:firstLineChars="224"/>
        <w:rPr>
          <w:rFonts w:ascii="宋体" w:hAnsi="宋体"/>
          <w:b/>
          <w:szCs w:val="21"/>
        </w:rPr>
      </w:pPr>
      <w:r>
        <w:rPr>
          <w:rFonts w:hint="eastAsia" w:ascii="宋体" w:hAnsi="宋体"/>
          <w:b/>
          <w:szCs w:val="21"/>
        </w:rPr>
        <w:t>条款号：</w:t>
      </w:r>
      <w:r>
        <w:rPr>
          <w:rFonts w:ascii="宋体" w:hAnsi="宋体"/>
          <w:b/>
          <w:szCs w:val="21"/>
        </w:rPr>
        <w:t xml:space="preserve"> 1</w:t>
      </w:r>
      <w:r>
        <w:rPr>
          <w:rFonts w:hint="eastAsia" w:ascii="宋体" w:hAnsi="宋体"/>
          <w:b/>
          <w:szCs w:val="21"/>
        </w:rPr>
        <w:t>8</w:t>
      </w:r>
      <w:r>
        <w:rPr>
          <w:rFonts w:ascii="宋体" w:hAnsi="宋体"/>
          <w:b/>
          <w:szCs w:val="21"/>
        </w:rPr>
        <w:t xml:space="preserve">.2             </w:t>
      </w:r>
      <w:r>
        <w:rPr>
          <w:rFonts w:hint="eastAsia" w:ascii="宋体" w:hAnsi="宋体"/>
          <w:b/>
          <w:szCs w:val="21"/>
        </w:rPr>
        <w:t>修改类型：修改</w:t>
      </w:r>
    </w:p>
    <w:p>
      <w:pPr>
        <w:spacing w:line="360" w:lineRule="auto"/>
        <w:ind w:firstLine="422" w:firstLineChars="200"/>
        <w:rPr>
          <w:rFonts w:ascii="宋体" w:hAnsi="宋体"/>
          <w:bCs/>
          <w:szCs w:val="21"/>
        </w:rPr>
      </w:pPr>
      <w:r>
        <w:rPr>
          <w:rFonts w:hint="eastAsia" w:ascii="宋体" w:hAnsi="宋体"/>
          <w:b/>
          <w:szCs w:val="21"/>
        </w:rPr>
        <w:t>原文：</w:t>
      </w:r>
      <w:r>
        <w:rPr>
          <w:rFonts w:ascii="宋体" w:hAnsi="宋体"/>
          <w:b/>
          <w:szCs w:val="21"/>
        </w:rPr>
        <w:t xml:space="preserve"> </w:t>
      </w:r>
      <w:r>
        <w:rPr>
          <w:rFonts w:ascii="宋体" w:hAnsi="宋体"/>
          <w:bCs/>
          <w:szCs w:val="21"/>
        </w:rPr>
        <w:t>1</w:t>
      </w:r>
      <w:r>
        <w:rPr>
          <w:rFonts w:hint="eastAsia" w:ascii="宋体" w:hAnsi="宋体"/>
          <w:bCs/>
          <w:szCs w:val="21"/>
        </w:rPr>
        <w:t>8</w:t>
      </w:r>
      <w:r>
        <w:rPr>
          <w:rFonts w:ascii="宋体" w:hAnsi="宋体"/>
          <w:bCs/>
          <w:szCs w:val="21"/>
        </w:rPr>
        <w:t xml:space="preserve">.2 </w:t>
      </w:r>
      <w:r>
        <w:rPr>
          <w:rFonts w:hint="eastAsia" w:ascii="宋体" w:hAnsi="宋体"/>
          <w:bCs/>
          <w:szCs w:val="21"/>
        </w:rPr>
        <w:t>未按要求加密的投标文件，</w:t>
      </w:r>
      <w:r>
        <w:rPr>
          <w:rFonts w:ascii="宋体" w:hAnsi="宋体"/>
          <w:szCs w:val="21"/>
          <w:u w:val="single"/>
        </w:rPr>
        <w:t xml:space="preserve">        </w:t>
      </w:r>
      <w:r>
        <w:rPr>
          <w:rFonts w:hint="eastAsia" w:ascii="宋体" w:hAnsi="宋体"/>
          <w:szCs w:val="21"/>
        </w:rPr>
        <w:t>交易平台</w:t>
      </w:r>
      <w:r>
        <w:rPr>
          <w:rFonts w:hint="eastAsia" w:ascii="宋体" w:hAnsi="宋体"/>
          <w:bCs/>
          <w:szCs w:val="21"/>
        </w:rPr>
        <w:t>将予以拒收。</w:t>
      </w:r>
    </w:p>
    <w:p>
      <w:pPr>
        <w:pBdr>
          <w:bottom w:val="single" w:color="auto" w:sz="6" w:space="1"/>
        </w:pBdr>
        <w:spacing w:line="360" w:lineRule="auto"/>
        <w:ind w:firstLine="527" w:firstLineChars="250"/>
        <w:rPr>
          <w:rFonts w:ascii="宋体" w:hAnsi="宋体"/>
          <w:szCs w:val="21"/>
        </w:rPr>
      </w:pPr>
      <w:r>
        <w:rPr>
          <w:rFonts w:hint="eastAsia" w:ascii="宋体" w:hAnsi="宋体"/>
          <w:b/>
          <w:szCs w:val="21"/>
        </w:rPr>
        <w:t>现文：</w:t>
      </w:r>
      <w:r>
        <w:rPr>
          <w:rFonts w:ascii="宋体" w:hAnsi="宋体"/>
          <w:b/>
          <w:szCs w:val="21"/>
        </w:rPr>
        <w:t xml:space="preserve"> </w:t>
      </w:r>
      <w:r>
        <w:rPr>
          <w:rFonts w:ascii="宋体" w:hAnsi="宋体"/>
          <w:bCs/>
          <w:szCs w:val="21"/>
        </w:rPr>
        <w:t>1</w:t>
      </w:r>
      <w:r>
        <w:rPr>
          <w:rFonts w:hint="eastAsia" w:ascii="宋体" w:hAnsi="宋体"/>
          <w:bCs/>
          <w:szCs w:val="21"/>
        </w:rPr>
        <w:t>8</w:t>
      </w:r>
      <w:r>
        <w:rPr>
          <w:rFonts w:ascii="宋体" w:hAnsi="宋体"/>
          <w:bCs/>
          <w:szCs w:val="21"/>
        </w:rPr>
        <w:t xml:space="preserve">.2 </w:t>
      </w:r>
      <w:r>
        <w:rPr>
          <w:rFonts w:hint="eastAsia" w:ascii="宋体" w:hAnsi="宋体"/>
          <w:bCs/>
          <w:szCs w:val="21"/>
        </w:rPr>
        <w:t>未按要求加密的投标文件，</w:t>
      </w:r>
      <w:r>
        <w:rPr>
          <w:rFonts w:ascii="宋体" w:hAnsi="宋体"/>
          <w:szCs w:val="21"/>
          <w:u w:val="single"/>
        </w:rPr>
        <w:t xml:space="preserve">  </w:t>
      </w:r>
      <w:r>
        <w:rPr>
          <w:rFonts w:hint="eastAsia" w:ascii="宋体" w:hAnsi="宋体"/>
          <w:szCs w:val="21"/>
          <w:u w:val="single"/>
        </w:rPr>
        <w:t>广州</w:t>
      </w:r>
      <w:r>
        <w:rPr>
          <w:rFonts w:ascii="宋体" w:hAnsi="宋体"/>
          <w:szCs w:val="21"/>
          <w:u w:val="single"/>
        </w:rPr>
        <w:t>公共资源交易中心</w:t>
      </w:r>
      <w:r>
        <w:rPr>
          <w:rFonts w:hint="eastAsia" w:ascii="宋体" w:hAnsi="宋体"/>
          <w:szCs w:val="21"/>
        </w:rPr>
        <w:t>交易平台</w:t>
      </w:r>
      <w:r>
        <w:rPr>
          <w:rFonts w:hint="eastAsia" w:ascii="宋体" w:hAnsi="宋体"/>
          <w:bCs/>
          <w:szCs w:val="21"/>
        </w:rPr>
        <w:t>将予以拒收。</w:t>
      </w:r>
    </w:p>
    <w:p>
      <w:pPr>
        <w:spacing w:line="360" w:lineRule="auto"/>
        <w:ind w:firstLine="472" w:firstLineChars="224"/>
        <w:rPr>
          <w:rFonts w:ascii="宋体" w:hAnsi="宋体"/>
          <w:b/>
          <w:szCs w:val="21"/>
        </w:rPr>
      </w:pPr>
      <w:r>
        <w:rPr>
          <w:rFonts w:hint="eastAsia" w:ascii="宋体" w:hAnsi="宋体"/>
          <w:b/>
          <w:szCs w:val="21"/>
        </w:rPr>
        <w:t>条款号：</w:t>
      </w:r>
      <w:r>
        <w:rPr>
          <w:rFonts w:ascii="宋体" w:hAnsi="宋体"/>
          <w:b/>
          <w:szCs w:val="21"/>
        </w:rPr>
        <w:t xml:space="preserve"> </w:t>
      </w:r>
      <w:r>
        <w:rPr>
          <w:rFonts w:ascii="宋体" w:hAnsi="宋体"/>
          <w:b/>
          <w:bCs/>
          <w:szCs w:val="21"/>
        </w:rPr>
        <w:t>19</w:t>
      </w:r>
      <w:r>
        <w:rPr>
          <w:rFonts w:hint="eastAsia" w:ascii="宋体" w:hAnsi="宋体"/>
          <w:b/>
          <w:bCs/>
          <w:szCs w:val="21"/>
        </w:rPr>
        <w:t>．</w:t>
      </w:r>
      <w:r>
        <w:rPr>
          <w:rFonts w:ascii="宋体" w:hAnsi="宋体"/>
          <w:b/>
          <w:szCs w:val="21"/>
        </w:rPr>
        <w:t xml:space="preserve">            </w:t>
      </w:r>
      <w:r>
        <w:rPr>
          <w:rFonts w:hint="eastAsia" w:ascii="宋体" w:hAnsi="宋体"/>
          <w:b/>
          <w:szCs w:val="21"/>
        </w:rPr>
        <w:t>修改类型：修改</w:t>
      </w:r>
    </w:p>
    <w:p>
      <w:pPr>
        <w:spacing w:line="360" w:lineRule="auto"/>
        <w:ind w:firstLine="422" w:firstLineChars="200"/>
        <w:rPr>
          <w:rFonts w:ascii="宋体" w:hAnsi="宋体"/>
          <w:bCs/>
          <w:szCs w:val="21"/>
        </w:rPr>
      </w:pPr>
      <w:r>
        <w:rPr>
          <w:rFonts w:hint="eastAsia" w:ascii="宋体" w:hAnsi="宋体"/>
          <w:b/>
          <w:szCs w:val="21"/>
        </w:rPr>
        <w:t>原文：</w:t>
      </w:r>
      <w:r>
        <w:rPr>
          <w:rFonts w:ascii="宋体" w:hAnsi="宋体"/>
          <w:szCs w:val="21"/>
        </w:rPr>
        <w:t>19</w:t>
      </w:r>
      <w:r>
        <w:rPr>
          <w:rFonts w:hint="eastAsia" w:ascii="宋体" w:hAnsi="宋体"/>
          <w:b/>
          <w:bCs/>
          <w:szCs w:val="21"/>
        </w:rPr>
        <w:t xml:space="preserve"> </w:t>
      </w:r>
      <w:r>
        <w:rPr>
          <w:rFonts w:hint="eastAsia" w:ascii="宋体" w:hAnsi="宋体"/>
          <w:bCs/>
          <w:szCs w:val="21"/>
        </w:rPr>
        <w:t>投标文件的递交和接收</w:t>
      </w:r>
    </w:p>
    <w:p>
      <w:pPr>
        <w:spacing w:line="360" w:lineRule="auto"/>
        <w:ind w:firstLine="420" w:firstLineChars="200"/>
        <w:rPr>
          <w:rFonts w:ascii="宋体" w:hAnsi="宋体"/>
          <w:bCs/>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1投标人通过</w:t>
      </w:r>
      <w:r>
        <w:rPr>
          <w:rFonts w:ascii="宋体" w:hAnsi="宋体"/>
          <w:szCs w:val="21"/>
          <w:u w:val="single"/>
        </w:rPr>
        <w:t xml:space="preserve">        </w:t>
      </w:r>
      <w:r>
        <w:rPr>
          <w:rFonts w:hint="eastAsia" w:ascii="宋体" w:hAnsi="宋体"/>
          <w:szCs w:val="21"/>
        </w:rPr>
        <w:t>交易平台递交电子投标文件。</w:t>
      </w:r>
    </w:p>
    <w:p>
      <w:pPr>
        <w:spacing w:line="360" w:lineRule="auto"/>
        <w:ind w:firstLine="420" w:firstLineChars="200"/>
        <w:rPr>
          <w:rFonts w:ascii="宋体" w:hAnsi="宋体"/>
          <w:bCs/>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2投标人完成电子</w:t>
      </w:r>
      <w:r>
        <w:rPr>
          <w:rFonts w:hint="eastAsia" w:ascii="宋体" w:hAnsi="宋体"/>
          <w:szCs w:val="21"/>
        </w:rPr>
        <w:t>投标文件</w:t>
      </w:r>
      <w:r>
        <w:rPr>
          <w:rFonts w:hint="eastAsia" w:ascii="宋体" w:hAnsi="宋体"/>
          <w:bCs/>
          <w:szCs w:val="21"/>
        </w:rPr>
        <w:t>上传后，</w:t>
      </w:r>
      <w:r>
        <w:rPr>
          <w:rFonts w:ascii="宋体" w:hAnsi="宋体"/>
          <w:szCs w:val="21"/>
          <w:u w:val="single"/>
        </w:rPr>
        <w:t xml:space="preserve">        </w:t>
      </w:r>
      <w:r>
        <w:rPr>
          <w:rFonts w:hint="eastAsia" w:ascii="宋体" w:hAnsi="宋体"/>
          <w:szCs w:val="21"/>
        </w:rPr>
        <w:t>交易平台即时向投标人发出递交回执通知。递交时间以递交回执通知载明的传输完成时间为准。</w:t>
      </w:r>
    </w:p>
    <w:p>
      <w:pPr>
        <w:spacing w:line="360" w:lineRule="auto"/>
        <w:ind w:firstLine="420" w:firstLineChars="200"/>
        <w:rPr>
          <w:rFonts w:ascii="宋体" w:hAnsi="宋体"/>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3逾期送达的电子投标文件，</w:t>
      </w:r>
      <w:r>
        <w:rPr>
          <w:rFonts w:ascii="宋体" w:hAnsi="宋体"/>
          <w:szCs w:val="21"/>
          <w:u w:val="single"/>
        </w:rPr>
        <w:t xml:space="preserve">        </w:t>
      </w:r>
      <w:r>
        <w:rPr>
          <w:rFonts w:hint="eastAsia" w:ascii="宋体" w:hAnsi="宋体"/>
          <w:szCs w:val="21"/>
        </w:rPr>
        <w:t>交易平台将予以拒收。</w:t>
      </w:r>
    </w:p>
    <w:p>
      <w:pPr>
        <w:spacing w:line="360" w:lineRule="auto"/>
        <w:ind w:firstLine="420" w:firstLineChars="200"/>
        <w:rPr>
          <w:rFonts w:ascii="宋体" w:hAnsi="宋体"/>
          <w:szCs w:val="21"/>
        </w:rPr>
      </w:pPr>
      <w:r>
        <w:rPr>
          <w:rFonts w:ascii="宋体" w:hAnsi="宋体"/>
          <w:szCs w:val="21"/>
        </w:rPr>
        <w:t>19.</w:t>
      </w:r>
      <w:r>
        <w:rPr>
          <w:rFonts w:hint="eastAsia" w:ascii="宋体" w:hAnsi="宋体"/>
          <w:szCs w:val="21"/>
        </w:rPr>
        <w:t>4</w:t>
      </w:r>
      <w:r>
        <w:rPr>
          <w:rFonts w:ascii="宋体" w:hAnsi="宋体"/>
          <w:szCs w:val="21"/>
        </w:rPr>
        <w:t xml:space="preserve"> </w:t>
      </w:r>
      <w:r>
        <w:rPr>
          <w:rFonts w:hint="eastAsia" w:ascii="宋体" w:hAnsi="宋体"/>
          <w:szCs w:val="21"/>
        </w:rPr>
        <w:t>投标截止前，招标人拒绝接收符合条件的投标文件，投标人可向招标投标监督机构投诉。</w:t>
      </w:r>
    </w:p>
    <w:p>
      <w:pPr>
        <w:spacing w:line="360" w:lineRule="auto"/>
        <w:ind w:firstLine="420" w:firstLineChars="200"/>
        <w:rPr>
          <w:rFonts w:ascii="宋体" w:hAnsi="宋体"/>
          <w:szCs w:val="21"/>
        </w:rPr>
      </w:pPr>
      <w:r>
        <w:rPr>
          <w:rFonts w:ascii="宋体" w:hAnsi="宋体"/>
          <w:szCs w:val="21"/>
        </w:rPr>
        <w:t>19.</w:t>
      </w:r>
      <w:r>
        <w:rPr>
          <w:rFonts w:hint="eastAsia" w:ascii="宋体" w:hAnsi="宋体"/>
          <w:szCs w:val="21"/>
        </w:rPr>
        <w:t>5如技术标和经济标先后分别开启，</w:t>
      </w:r>
      <w:r>
        <w:rPr>
          <w:rFonts w:ascii="宋体" w:hAnsi="宋体"/>
          <w:szCs w:val="21"/>
          <w:u w:val="single"/>
        </w:rPr>
        <w:t xml:space="preserve">        </w:t>
      </w:r>
      <w:r>
        <w:rPr>
          <w:rFonts w:hint="eastAsia" w:ascii="宋体" w:hAnsi="宋体"/>
          <w:szCs w:val="21"/>
        </w:rPr>
        <w:t>交易平台将按招标文件规定的时间分别开启技术标和经济标。</w:t>
      </w:r>
    </w:p>
    <w:p>
      <w:pPr>
        <w:spacing w:line="360" w:lineRule="auto"/>
        <w:ind w:firstLine="470" w:firstLineChars="224"/>
        <w:rPr>
          <w:rFonts w:ascii="宋体" w:hAnsi="宋体"/>
          <w:b/>
          <w:szCs w:val="21"/>
        </w:rPr>
      </w:pPr>
      <w:r>
        <w:rPr>
          <w:rFonts w:ascii="宋体" w:hAnsi="宋体"/>
          <w:szCs w:val="21"/>
        </w:rPr>
        <w:t>19.6</w:t>
      </w:r>
      <w:r>
        <w:rPr>
          <w:rFonts w:hint="eastAsia" w:ascii="宋体" w:hAnsi="宋体"/>
          <w:szCs w:val="21"/>
        </w:rPr>
        <w:t>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22" w:firstLineChars="200"/>
        <w:rPr>
          <w:rFonts w:ascii="宋体" w:hAnsi="宋体"/>
          <w:b/>
          <w:szCs w:val="21"/>
        </w:rPr>
      </w:pPr>
      <w:r>
        <w:rPr>
          <w:rFonts w:hint="eastAsia" w:ascii="宋体" w:hAnsi="宋体"/>
          <w:b/>
          <w:szCs w:val="21"/>
        </w:rPr>
        <w:t>现文：</w:t>
      </w:r>
      <w:r>
        <w:rPr>
          <w:rFonts w:hint="eastAsia" w:ascii="宋体" w:hAnsi="宋体"/>
          <w:bCs/>
          <w:szCs w:val="21"/>
        </w:rPr>
        <w:t>19.投标文件的递交和接收</w:t>
      </w:r>
    </w:p>
    <w:p>
      <w:pPr>
        <w:spacing w:line="360" w:lineRule="auto"/>
        <w:ind w:firstLine="420" w:firstLineChars="200"/>
        <w:rPr>
          <w:rFonts w:ascii="宋体" w:hAnsi="宋体"/>
          <w:bCs/>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1投标人通过</w:t>
      </w:r>
      <w:r>
        <w:rPr>
          <w:rFonts w:ascii="宋体" w:hAnsi="宋体"/>
          <w:szCs w:val="21"/>
          <w:u w:val="single"/>
        </w:rPr>
        <w:t xml:space="preserve"> </w:t>
      </w:r>
      <w:r>
        <w:rPr>
          <w:rFonts w:hint="eastAsia" w:ascii="宋体" w:hAnsi="宋体"/>
          <w:szCs w:val="21"/>
          <w:u w:val="single"/>
        </w:rPr>
        <w:t>广州</w:t>
      </w:r>
      <w:r>
        <w:rPr>
          <w:rFonts w:ascii="宋体" w:hAnsi="宋体"/>
          <w:szCs w:val="21"/>
          <w:u w:val="single"/>
        </w:rPr>
        <w:t xml:space="preserve">公共资源交易中心 </w:t>
      </w:r>
      <w:r>
        <w:rPr>
          <w:rFonts w:hint="eastAsia" w:ascii="宋体" w:hAnsi="宋体"/>
          <w:szCs w:val="21"/>
        </w:rPr>
        <w:t>交易平台递交电子投标文件。</w:t>
      </w:r>
    </w:p>
    <w:p>
      <w:pPr>
        <w:spacing w:line="360" w:lineRule="auto"/>
        <w:ind w:firstLine="420" w:firstLineChars="200"/>
        <w:rPr>
          <w:rFonts w:ascii="宋体" w:hAnsi="宋体"/>
          <w:bCs/>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2投标人完成电子</w:t>
      </w:r>
      <w:r>
        <w:rPr>
          <w:rFonts w:hint="eastAsia" w:ascii="宋体" w:hAnsi="宋体"/>
          <w:szCs w:val="21"/>
        </w:rPr>
        <w:t>投标文件</w:t>
      </w:r>
      <w:r>
        <w:rPr>
          <w:rFonts w:hint="eastAsia" w:ascii="宋体" w:hAnsi="宋体"/>
          <w:bCs/>
          <w:szCs w:val="21"/>
        </w:rPr>
        <w:t>上传后，</w:t>
      </w:r>
      <w:r>
        <w:rPr>
          <w:rFonts w:ascii="宋体" w:hAnsi="宋体"/>
          <w:szCs w:val="21"/>
          <w:u w:val="single"/>
        </w:rPr>
        <w:t xml:space="preserve">  </w:t>
      </w:r>
      <w:r>
        <w:rPr>
          <w:rFonts w:hint="eastAsia" w:ascii="宋体" w:hAnsi="宋体"/>
          <w:szCs w:val="21"/>
          <w:u w:val="single"/>
        </w:rPr>
        <w:t>广州</w:t>
      </w:r>
      <w:r>
        <w:rPr>
          <w:rFonts w:ascii="宋体" w:hAnsi="宋体"/>
          <w:szCs w:val="21"/>
          <w:u w:val="single"/>
        </w:rPr>
        <w:t>公共资源交易中心</w:t>
      </w:r>
      <w:r>
        <w:rPr>
          <w:rFonts w:hint="eastAsia" w:ascii="宋体" w:hAnsi="宋体"/>
          <w:szCs w:val="21"/>
        </w:rPr>
        <w:t>交易平台即时向投标人发出递交回执通知。递交时间以递交回执通知载明的传输完成时间为准。</w:t>
      </w:r>
    </w:p>
    <w:p>
      <w:pPr>
        <w:spacing w:line="360" w:lineRule="auto"/>
        <w:ind w:firstLine="420" w:firstLineChars="200"/>
        <w:rPr>
          <w:rFonts w:ascii="宋体" w:hAnsi="宋体"/>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3逾期送达的电子投标文件，</w:t>
      </w:r>
      <w:r>
        <w:rPr>
          <w:rFonts w:ascii="宋体" w:hAnsi="宋体"/>
          <w:szCs w:val="21"/>
          <w:u w:val="single"/>
        </w:rPr>
        <w:t xml:space="preserve">  </w:t>
      </w:r>
      <w:r>
        <w:rPr>
          <w:rFonts w:hint="eastAsia" w:ascii="宋体" w:hAnsi="宋体"/>
          <w:szCs w:val="21"/>
          <w:u w:val="single"/>
        </w:rPr>
        <w:t>广州</w:t>
      </w:r>
      <w:r>
        <w:rPr>
          <w:rFonts w:ascii="宋体" w:hAnsi="宋体"/>
          <w:szCs w:val="21"/>
          <w:u w:val="single"/>
        </w:rPr>
        <w:t xml:space="preserve">公共资源交易中心 </w:t>
      </w:r>
      <w:r>
        <w:rPr>
          <w:rFonts w:hint="eastAsia" w:ascii="宋体" w:hAnsi="宋体"/>
          <w:szCs w:val="21"/>
        </w:rPr>
        <w:t>交易平台将予以拒收。</w:t>
      </w:r>
    </w:p>
    <w:p>
      <w:pPr>
        <w:spacing w:line="360" w:lineRule="auto"/>
        <w:ind w:firstLine="420" w:firstLineChars="200"/>
        <w:rPr>
          <w:rFonts w:ascii="宋体" w:hAnsi="宋体"/>
          <w:szCs w:val="21"/>
        </w:rPr>
      </w:pPr>
      <w:r>
        <w:rPr>
          <w:rFonts w:ascii="宋体" w:hAnsi="宋体"/>
          <w:szCs w:val="21"/>
        </w:rPr>
        <w:t>19.</w:t>
      </w:r>
      <w:r>
        <w:rPr>
          <w:rFonts w:hint="eastAsia" w:ascii="宋体" w:hAnsi="宋体"/>
          <w:szCs w:val="21"/>
        </w:rPr>
        <w:t>4</w:t>
      </w:r>
      <w:r>
        <w:rPr>
          <w:rFonts w:ascii="宋体" w:hAnsi="宋体"/>
          <w:szCs w:val="21"/>
        </w:rPr>
        <w:t xml:space="preserve"> </w:t>
      </w:r>
      <w:r>
        <w:rPr>
          <w:rFonts w:hint="eastAsia" w:ascii="宋体" w:hAnsi="宋体"/>
          <w:szCs w:val="21"/>
        </w:rPr>
        <w:t>投标截止前，招标人拒绝接收符合条件的投标文件，投标人可向招标投标监督机构投诉。</w:t>
      </w:r>
    </w:p>
    <w:p>
      <w:pPr>
        <w:pBdr>
          <w:bottom w:val="single" w:color="auto" w:sz="6" w:space="1"/>
        </w:pBdr>
        <w:spacing w:line="360" w:lineRule="auto"/>
        <w:ind w:firstLine="525" w:firstLineChars="250"/>
        <w:rPr>
          <w:rFonts w:ascii="宋体" w:hAnsi="宋体"/>
          <w:szCs w:val="21"/>
        </w:rPr>
      </w:pPr>
      <w:r>
        <w:rPr>
          <w:rFonts w:ascii="宋体" w:hAnsi="宋体"/>
          <w:szCs w:val="21"/>
        </w:rPr>
        <w:t>19.</w:t>
      </w:r>
      <w:r>
        <w:rPr>
          <w:rFonts w:hint="eastAsia" w:ascii="宋体" w:hAnsi="宋体"/>
          <w:szCs w:val="21"/>
        </w:rPr>
        <w:t>5</w:t>
      </w:r>
      <w:r>
        <w:rPr>
          <w:rFonts w:hint="eastAsia" w:ascii="宋体" w:hAnsi="宋体"/>
          <w:szCs w:val="21"/>
          <w:u w:val="single"/>
        </w:rPr>
        <w:t>技术标和经济标同时开启，广州</w:t>
      </w:r>
      <w:r>
        <w:rPr>
          <w:rFonts w:ascii="宋体" w:hAnsi="宋体"/>
          <w:szCs w:val="21"/>
          <w:u w:val="single"/>
        </w:rPr>
        <w:t xml:space="preserve">公共资源交易中心 </w:t>
      </w:r>
      <w:r>
        <w:rPr>
          <w:rFonts w:hint="eastAsia" w:ascii="宋体" w:hAnsi="宋体"/>
          <w:szCs w:val="21"/>
          <w:u w:val="single"/>
        </w:rPr>
        <w:t>交易平台将按招标文件规定的时间同时开启技术标和经济标。</w:t>
      </w:r>
    </w:p>
    <w:p>
      <w:pPr>
        <w:spacing w:line="360" w:lineRule="auto"/>
        <w:ind w:firstLine="472" w:firstLineChars="224"/>
        <w:rPr>
          <w:rFonts w:ascii="宋体" w:hAnsi="宋体"/>
          <w:b/>
          <w:szCs w:val="21"/>
        </w:rPr>
      </w:pPr>
      <w:r>
        <w:rPr>
          <w:rFonts w:hint="eastAsia" w:ascii="宋体" w:hAnsi="宋体"/>
          <w:b/>
          <w:szCs w:val="21"/>
        </w:rPr>
        <w:t>条款号：</w:t>
      </w:r>
      <w:r>
        <w:rPr>
          <w:rFonts w:ascii="宋体" w:hAnsi="宋体"/>
          <w:b/>
          <w:bCs/>
          <w:szCs w:val="21"/>
        </w:rPr>
        <w:t>21.1</w:t>
      </w:r>
      <w:r>
        <w:rPr>
          <w:rFonts w:ascii="宋体" w:hAnsi="宋体"/>
          <w:b/>
          <w:szCs w:val="21"/>
        </w:rPr>
        <w:t xml:space="preserve">            </w:t>
      </w:r>
      <w:r>
        <w:rPr>
          <w:rFonts w:hint="eastAsia" w:ascii="宋体" w:hAnsi="宋体"/>
          <w:b/>
          <w:szCs w:val="21"/>
        </w:rPr>
        <w:t>修改类型：修改</w:t>
      </w:r>
    </w:p>
    <w:p>
      <w:pPr>
        <w:spacing w:line="360" w:lineRule="auto"/>
        <w:ind w:firstLine="422" w:firstLineChars="200"/>
        <w:rPr>
          <w:rFonts w:ascii="宋体" w:hAnsi="宋体"/>
          <w:szCs w:val="21"/>
        </w:rPr>
      </w:pPr>
      <w:r>
        <w:rPr>
          <w:rFonts w:hint="eastAsia" w:ascii="宋体" w:hAnsi="宋体"/>
          <w:b/>
          <w:szCs w:val="21"/>
        </w:rPr>
        <w:t>原文：</w:t>
      </w:r>
      <w:r>
        <w:rPr>
          <w:rFonts w:ascii="宋体" w:hAnsi="宋体"/>
          <w:color w:val="000000" w:themeColor="text1"/>
          <w:szCs w:val="21"/>
          <w14:textFill>
            <w14:solidFill>
              <w14:schemeClr w14:val="tx1"/>
            </w14:solidFill>
          </w14:textFill>
        </w:rPr>
        <w:t>21.1</w:t>
      </w:r>
      <w:r>
        <w:rPr>
          <w:rFonts w:ascii="宋体" w:hAnsi="宋体"/>
          <w:b/>
          <w:color w:val="000000" w:themeColor="text1"/>
          <w:szCs w:val="21"/>
          <w14:textFill>
            <w14:solidFill>
              <w14:schemeClr w14:val="tx1"/>
            </w14:solidFill>
          </w14:textFill>
        </w:rPr>
        <w:t xml:space="preserve"> </w:t>
      </w:r>
      <w:r>
        <w:rPr>
          <w:rFonts w:hint="eastAsia" w:ascii="宋体" w:hAnsi="宋体"/>
          <w:szCs w:val="21"/>
        </w:rPr>
        <w:t>本须知前附表第</w:t>
      </w:r>
      <w:r>
        <w:rPr>
          <w:rFonts w:ascii="宋体" w:hAnsi="宋体"/>
          <w:szCs w:val="21"/>
        </w:rPr>
        <w:t>1</w:t>
      </w:r>
      <w:r>
        <w:rPr>
          <w:rFonts w:hint="eastAsia" w:ascii="宋体" w:hAnsi="宋体"/>
          <w:szCs w:val="21"/>
        </w:rPr>
        <w:t>7项规定的投标截止时间</w:t>
      </w:r>
      <w:r>
        <w:rPr>
          <w:rFonts w:hint="eastAsia" w:ascii="宋体" w:hAnsi="宋体"/>
          <w:bCs/>
          <w:szCs w:val="21"/>
        </w:rPr>
        <w:t>后送达的电子投标文件，</w:t>
      </w:r>
      <w:r>
        <w:rPr>
          <w:rFonts w:ascii="宋体" w:hAnsi="宋体"/>
          <w:szCs w:val="21"/>
          <w:u w:val="single"/>
        </w:rPr>
        <w:t xml:space="preserve">       </w:t>
      </w:r>
      <w:r>
        <w:rPr>
          <w:rFonts w:hint="eastAsia" w:ascii="宋体" w:hAnsi="宋体"/>
          <w:szCs w:val="21"/>
        </w:rPr>
        <w:t>交易平台将予以拒收。</w:t>
      </w:r>
    </w:p>
    <w:p>
      <w:pPr>
        <w:pBdr>
          <w:bottom w:val="single" w:color="auto" w:sz="6" w:space="1"/>
        </w:pBdr>
        <w:spacing w:line="360" w:lineRule="auto"/>
        <w:ind w:firstLine="527" w:firstLineChars="250"/>
        <w:rPr>
          <w:rFonts w:ascii="宋体" w:hAnsi="宋体"/>
          <w:szCs w:val="21"/>
        </w:rPr>
      </w:pPr>
      <w:r>
        <w:rPr>
          <w:rFonts w:hint="eastAsia" w:ascii="宋体" w:hAnsi="宋体"/>
          <w:b/>
          <w:szCs w:val="21"/>
        </w:rPr>
        <w:t>现文：</w:t>
      </w:r>
      <w:r>
        <w:rPr>
          <w:rFonts w:ascii="宋体" w:hAnsi="宋体"/>
          <w:color w:val="000000" w:themeColor="text1"/>
          <w:szCs w:val="21"/>
          <w14:textFill>
            <w14:solidFill>
              <w14:schemeClr w14:val="tx1"/>
            </w14:solidFill>
          </w14:textFill>
        </w:rPr>
        <w:t>21.1</w:t>
      </w:r>
      <w:r>
        <w:rPr>
          <w:rFonts w:ascii="宋体" w:hAnsi="宋体"/>
          <w:b/>
          <w:color w:val="000000" w:themeColor="text1"/>
          <w:szCs w:val="21"/>
          <w14:textFill>
            <w14:solidFill>
              <w14:schemeClr w14:val="tx1"/>
            </w14:solidFill>
          </w14:textFill>
        </w:rPr>
        <w:t xml:space="preserve"> </w:t>
      </w:r>
      <w:r>
        <w:rPr>
          <w:rFonts w:hint="eastAsia" w:ascii="宋体" w:hAnsi="宋体"/>
          <w:szCs w:val="21"/>
        </w:rPr>
        <w:t>本须知前附表第</w:t>
      </w:r>
      <w:r>
        <w:rPr>
          <w:rFonts w:ascii="宋体" w:hAnsi="宋体"/>
          <w:szCs w:val="21"/>
        </w:rPr>
        <w:t>1</w:t>
      </w:r>
      <w:r>
        <w:rPr>
          <w:rFonts w:hint="eastAsia" w:ascii="宋体" w:hAnsi="宋体"/>
          <w:szCs w:val="21"/>
        </w:rPr>
        <w:t>7项规定的投标截止时间</w:t>
      </w:r>
      <w:r>
        <w:rPr>
          <w:rFonts w:hint="eastAsia" w:ascii="宋体" w:hAnsi="宋体"/>
          <w:bCs/>
          <w:szCs w:val="21"/>
        </w:rPr>
        <w:t>后送达的电子投标文件，</w:t>
      </w:r>
      <w:r>
        <w:rPr>
          <w:rFonts w:hint="eastAsia" w:ascii="宋体" w:hAnsi="宋体"/>
          <w:szCs w:val="21"/>
          <w:u w:val="single"/>
        </w:rPr>
        <w:t>广州</w:t>
      </w:r>
      <w:r>
        <w:rPr>
          <w:rFonts w:ascii="宋体" w:hAnsi="宋体"/>
          <w:szCs w:val="21"/>
          <w:u w:val="single"/>
        </w:rPr>
        <w:t>公共资源交易中心</w:t>
      </w:r>
      <w:r>
        <w:rPr>
          <w:rFonts w:hint="eastAsia" w:ascii="宋体" w:hAnsi="宋体"/>
          <w:szCs w:val="21"/>
        </w:rPr>
        <w:t>交易平台将予以拒收。</w:t>
      </w:r>
    </w:p>
    <w:p>
      <w:pPr>
        <w:spacing w:line="360" w:lineRule="auto"/>
        <w:ind w:firstLine="472" w:firstLineChars="224"/>
        <w:rPr>
          <w:rFonts w:ascii="宋体" w:hAnsi="宋体"/>
          <w:b/>
          <w:szCs w:val="21"/>
        </w:rPr>
      </w:pPr>
      <w:r>
        <w:rPr>
          <w:rFonts w:hint="eastAsia" w:ascii="宋体" w:hAnsi="宋体"/>
          <w:b/>
          <w:szCs w:val="21"/>
        </w:rPr>
        <w:t>条款号：</w:t>
      </w:r>
      <w:r>
        <w:rPr>
          <w:rFonts w:ascii="宋体" w:hAnsi="宋体"/>
          <w:b/>
          <w:bCs/>
          <w:szCs w:val="21"/>
        </w:rPr>
        <w:t xml:space="preserve">27.1 </w:t>
      </w:r>
      <w:r>
        <w:rPr>
          <w:rFonts w:ascii="宋体" w:hAnsi="宋体"/>
          <w:b/>
          <w:szCs w:val="21"/>
        </w:rPr>
        <w:t xml:space="preserve">            </w:t>
      </w:r>
      <w:r>
        <w:rPr>
          <w:rFonts w:hint="eastAsia" w:ascii="宋体" w:hAnsi="宋体"/>
          <w:b/>
          <w:szCs w:val="21"/>
        </w:rPr>
        <w:t>修改类型：修改</w:t>
      </w:r>
    </w:p>
    <w:p>
      <w:pPr>
        <w:spacing w:line="360" w:lineRule="auto"/>
        <w:ind w:firstLine="472" w:firstLineChars="224"/>
        <w:rPr>
          <w:rFonts w:ascii="宋体" w:hAnsi="宋体"/>
          <w:b/>
          <w:szCs w:val="21"/>
        </w:rPr>
      </w:pPr>
      <w:r>
        <w:rPr>
          <w:rFonts w:hint="eastAsia" w:ascii="宋体" w:hAnsi="宋体"/>
          <w:b/>
          <w:szCs w:val="21"/>
        </w:rPr>
        <w:t>原文：</w:t>
      </w:r>
      <w:r>
        <w:rPr>
          <w:rFonts w:ascii="宋体" w:hAnsi="宋体"/>
          <w:szCs w:val="21"/>
        </w:rPr>
        <w:t>27.1</w:t>
      </w:r>
      <w:r>
        <w:rPr>
          <w:rFonts w:ascii="宋体" w:hAnsi="宋体"/>
          <w:b/>
          <w:szCs w:val="21"/>
        </w:rPr>
        <w:t xml:space="preserve"> </w:t>
      </w:r>
      <w:r>
        <w:rPr>
          <w:rFonts w:hint="eastAsia" w:ascii="宋体" w:hAnsi="宋体"/>
          <w:szCs w:val="21"/>
        </w:rPr>
        <w:t>招标人将在</w:t>
      </w:r>
      <w:r>
        <w:rPr>
          <w:rFonts w:ascii="宋体" w:hAnsi="宋体"/>
          <w:szCs w:val="21"/>
          <w:u w:val="single"/>
        </w:rPr>
        <w:t xml:space="preserve">        </w:t>
      </w:r>
      <w:r>
        <w:rPr>
          <w:rFonts w:hint="eastAsia" w:ascii="宋体" w:hAnsi="宋体"/>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527" w:firstLineChars="250"/>
        <w:rPr>
          <w:rFonts w:ascii="宋体" w:hAnsi="宋体"/>
          <w:szCs w:val="21"/>
        </w:rPr>
      </w:pPr>
      <w:r>
        <w:rPr>
          <w:rFonts w:hint="eastAsia" w:ascii="宋体" w:hAnsi="宋体"/>
          <w:b/>
          <w:szCs w:val="21"/>
        </w:rPr>
        <w:t>现文：</w:t>
      </w:r>
      <w:r>
        <w:rPr>
          <w:rFonts w:ascii="宋体" w:hAnsi="宋体"/>
          <w:szCs w:val="21"/>
        </w:rPr>
        <w:t>27.1</w:t>
      </w:r>
      <w:r>
        <w:rPr>
          <w:rFonts w:ascii="宋体" w:hAnsi="宋体"/>
          <w:b/>
          <w:szCs w:val="21"/>
        </w:rPr>
        <w:t xml:space="preserve"> </w:t>
      </w:r>
      <w:r>
        <w:rPr>
          <w:rFonts w:hint="eastAsia" w:ascii="宋体" w:hAnsi="宋体"/>
          <w:szCs w:val="21"/>
        </w:rPr>
        <w:t>招标人将在</w:t>
      </w:r>
      <w:r>
        <w:rPr>
          <w:rFonts w:ascii="宋体" w:hAnsi="宋体"/>
          <w:szCs w:val="21"/>
          <w:u w:val="single"/>
        </w:rPr>
        <w:t xml:space="preserve"> </w:t>
      </w:r>
      <w:r>
        <w:rPr>
          <w:rFonts w:hint="eastAsia" w:ascii="宋体" w:hAnsi="宋体"/>
          <w:szCs w:val="21"/>
          <w:u w:val="single"/>
        </w:rPr>
        <w:t>广州</w:t>
      </w:r>
      <w:r>
        <w:rPr>
          <w:rFonts w:ascii="宋体" w:hAnsi="宋体"/>
          <w:szCs w:val="21"/>
          <w:u w:val="single"/>
        </w:rPr>
        <w:t xml:space="preserve">公共资源交易中心 </w:t>
      </w:r>
      <w:r>
        <w:rPr>
          <w:rFonts w:hint="eastAsia" w:ascii="宋体" w:hAnsi="宋体"/>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72" w:firstLineChars="224"/>
        <w:rPr>
          <w:rFonts w:ascii="宋体" w:hAnsi="宋体"/>
          <w:b/>
          <w:szCs w:val="21"/>
        </w:rPr>
      </w:pPr>
      <w:r>
        <w:rPr>
          <w:rFonts w:hint="eastAsia" w:ascii="宋体" w:hAnsi="宋体"/>
          <w:b/>
          <w:szCs w:val="21"/>
        </w:rPr>
        <w:t>条款号：</w:t>
      </w:r>
      <w:r>
        <w:rPr>
          <w:rFonts w:hint="eastAsia" w:ascii="宋体" w:hAnsi="宋体"/>
          <w:b/>
          <w:bCs/>
          <w:szCs w:val="21"/>
        </w:rPr>
        <w:t>27.4</w:t>
      </w:r>
      <w:r>
        <w:rPr>
          <w:rFonts w:ascii="宋体" w:hAnsi="宋体"/>
          <w:b/>
          <w:szCs w:val="21"/>
        </w:rPr>
        <w:t xml:space="preserve">             </w:t>
      </w:r>
      <w:r>
        <w:rPr>
          <w:rFonts w:hint="eastAsia" w:ascii="宋体" w:hAnsi="宋体"/>
          <w:b/>
          <w:szCs w:val="21"/>
        </w:rPr>
        <w:t>修改类型：修改</w:t>
      </w:r>
    </w:p>
    <w:p>
      <w:pPr>
        <w:spacing w:line="360" w:lineRule="auto"/>
        <w:ind w:firstLine="472" w:firstLineChars="224"/>
        <w:rPr>
          <w:rFonts w:ascii="宋体" w:hAnsi="宋体"/>
          <w:b/>
          <w:szCs w:val="21"/>
        </w:rPr>
      </w:pPr>
      <w:r>
        <w:rPr>
          <w:rFonts w:hint="eastAsia" w:ascii="宋体" w:hAnsi="宋体"/>
          <w:b/>
          <w:szCs w:val="21"/>
        </w:rPr>
        <w:t>原文：</w:t>
      </w:r>
      <w:r>
        <w:rPr>
          <w:rFonts w:hint="eastAsia" w:ascii="宋体" w:hAnsi="宋体"/>
          <w:color w:val="000000" w:themeColor="text1"/>
          <w:szCs w:val="21"/>
          <w14:textFill>
            <w14:solidFill>
              <w14:schemeClr w14:val="tx1"/>
            </w14:solidFill>
          </w14:textFill>
        </w:rPr>
        <w:t>27.4</w:t>
      </w:r>
      <w:r>
        <w:rPr>
          <w:rFonts w:ascii="宋体" w:hAnsi="宋体"/>
          <w:b/>
          <w:color w:val="000000" w:themeColor="text1"/>
          <w:szCs w:val="21"/>
          <w14:textFill>
            <w14:solidFill>
              <w14:schemeClr w14:val="tx1"/>
            </w14:solidFill>
          </w14:textFill>
        </w:rPr>
        <w:t xml:space="preserve"> </w:t>
      </w:r>
      <w:r>
        <w:rPr>
          <w:rFonts w:hint="eastAsia" w:ascii="宋体" w:hAnsi="宋体"/>
          <w:szCs w:val="21"/>
        </w:rPr>
        <w:t>在产生中标候选人后，招标人将中标候选人的投标文件商务部分文件的所有内容（包括人员、业绩、奖项等资料）在</w:t>
      </w:r>
      <w:r>
        <w:rPr>
          <w:rFonts w:ascii="宋体" w:hAnsi="宋体"/>
          <w:szCs w:val="21"/>
          <w:u w:val="single"/>
        </w:rPr>
        <w:t xml:space="preserve">        </w:t>
      </w:r>
      <w:r>
        <w:rPr>
          <w:rFonts w:hint="eastAsia" w:ascii="宋体" w:hAnsi="宋体"/>
          <w:szCs w:val="21"/>
        </w:rPr>
        <w:t>交易平台和广东省招标投标监管网公开。</w:t>
      </w:r>
    </w:p>
    <w:p>
      <w:pPr>
        <w:pBdr>
          <w:bottom w:val="single" w:color="auto" w:sz="6" w:space="1"/>
        </w:pBdr>
        <w:spacing w:line="360" w:lineRule="auto"/>
        <w:ind w:firstLine="527" w:firstLineChars="250"/>
        <w:rPr>
          <w:rFonts w:ascii="宋体" w:hAnsi="宋体"/>
          <w:szCs w:val="21"/>
        </w:rPr>
      </w:pPr>
      <w:r>
        <w:rPr>
          <w:rFonts w:hint="eastAsia" w:ascii="宋体" w:hAnsi="宋体"/>
          <w:b/>
          <w:szCs w:val="21"/>
        </w:rPr>
        <w:t>现文：</w:t>
      </w:r>
      <w:r>
        <w:rPr>
          <w:rFonts w:hint="eastAsia" w:ascii="宋体" w:hAnsi="宋体"/>
          <w:color w:val="000000" w:themeColor="text1"/>
          <w:szCs w:val="21"/>
          <w14:textFill>
            <w14:solidFill>
              <w14:schemeClr w14:val="tx1"/>
            </w14:solidFill>
          </w14:textFill>
        </w:rPr>
        <w:t>27.4</w:t>
      </w:r>
      <w:r>
        <w:rPr>
          <w:rFonts w:ascii="宋体" w:hAnsi="宋体"/>
          <w:b/>
          <w:color w:val="000000" w:themeColor="text1"/>
          <w:szCs w:val="21"/>
          <w14:textFill>
            <w14:solidFill>
              <w14:schemeClr w14:val="tx1"/>
            </w14:solidFill>
          </w14:textFill>
        </w:rPr>
        <w:t xml:space="preserve"> </w:t>
      </w:r>
      <w:r>
        <w:rPr>
          <w:rFonts w:hint="eastAsia" w:ascii="宋体" w:hAnsi="宋体"/>
          <w:szCs w:val="21"/>
        </w:rPr>
        <w:t>在产生中标候选人后，招标人将中标候选人的投标文件商务部分文件的所有内容（包括人员、业绩、奖项等资料）在</w:t>
      </w:r>
      <w:r>
        <w:rPr>
          <w:rFonts w:hint="eastAsia" w:ascii="宋体" w:hAnsi="宋体"/>
          <w:szCs w:val="21"/>
          <w:u w:val="single"/>
        </w:rPr>
        <w:t>广州</w:t>
      </w:r>
      <w:r>
        <w:rPr>
          <w:rFonts w:ascii="宋体" w:hAnsi="宋体"/>
          <w:szCs w:val="21"/>
          <w:u w:val="single"/>
        </w:rPr>
        <w:t>公共资源交易中心</w:t>
      </w:r>
      <w:r>
        <w:rPr>
          <w:rFonts w:hint="eastAsia" w:ascii="宋体" w:hAnsi="宋体"/>
          <w:szCs w:val="21"/>
        </w:rPr>
        <w:t>交易平台和广东省招标投标监管网公开。</w:t>
      </w:r>
    </w:p>
    <w:p>
      <w:pPr>
        <w:spacing w:line="360" w:lineRule="auto"/>
        <w:ind w:firstLine="472" w:firstLineChars="224"/>
        <w:rPr>
          <w:rFonts w:ascii="宋体" w:hAnsi="宋体"/>
          <w:b/>
          <w:szCs w:val="21"/>
        </w:rPr>
      </w:pPr>
      <w:r>
        <w:rPr>
          <w:rFonts w:hint="eastAsia" w:ascii="宋体" w:hAnsi="宋体"/>
          <w:b/>
          <w:szCs w:val="21"/>
        </w:rPr>
        <w:t>条款号：29.1</w:t>
      </w:r>
      <w:r>
        <w:rPr>
          <w:rFonts w:ascii="宋体" w:hAnsi="宋体"/>
          <w:b/>
          <w:szCs w:val="21"/>
        </w:rPr>
        <w:t xml:space="preserve">            </w:t>
      </w:r>
      <w:r>
        <w:rPr>
          <w:rFonts w:hint="eastAsia" w:ascii="宋体" w:hAnsi="宋体"/>
          <w:b/>
          <w:szCs w:val="21"/>
        </w:rPr>
        <w:t>修改类型：修改</w:t>
      </w:r>
    </w:p>
    <w:p>
      <w:pPr>
        <w:snapToGrid w:val="0"/>
        <w:spacing w:line="360" w:lineRule="auto"/>
        <w:ind w:firstLine="422" w:firstLineChars="200"/>
        <w:rPr>
          <w:rFonts w:ascii="宋体" w:hAnsi="宋体"/>
          <w:szCs w:val="21"/>
        </w:rPr>
      </w:pPr>
      <w:r>
        <w:rPr>
          <w:rFonts w:hint="eastAsia" w:ascii="宋体" w:hAnsi="宋体"/>
          <w:b/>
          <w:szCs w:val="21"/>
        </w:rPr>
        <w:t>原文：</w:t>
      </w:r>
      <w:r>
        <w:rPr>
          <w:rFonts w:ascii="宋体" w:hAnsi="宋体"/>
          <w:b/>
          <w:szCs w:val="21"/>
        </w:rPr>
        <w:t xml:space="preserve"> </w:t>
      </w:r>
      <w:r>
        <w:rPr>
          <w:rFonts w:ascii="宋体" w:hAnsi="宋体"/>
          <w:szCs w:val="21"/>
        </w:rPr>
        <w:t xml:space="preserve">29.1 </w:t>
      </w:r>
      <w:r>
        <w:rPr>
          <w:rFonts w:hint="eastAsia" w:ascii="宋体" w:hAnsi="宋体"/>
          <w:szCs w:val="21"/>
        </w:rPr>
        <w:t>在收到中标通知书后的</w:t>
      </w:r>
      <w:r>
        <w:rPr>
          <w:rFonts w:ascii="宋体" w:hAnsi="宋体"/>
          <w:szCs w:val="21"/>
        </w:rPr>
        <w:t>15</w:t>
      </w:r>
      <w:r>
        <w:rPr>
          <w:rFonts w:hint="eastAsia" w:ascii="宋体" w:hAnsi="宋体"/>
          <w:szCs w:val="21"/>
        </w:rPr>
        <w:t>日内，中标人应按本须知前附表第</w:t>
      </w:r>
      <w:r>
        <w:rPr>
          <w:rFonts w:ascii="宋体" w:hAnsi="宋体"/>
          <w:szCs w:val="21"/>
        </w:rPr>
        <w:t>2</w:t>
      </w:r>
      <w:r>
        <w:rPr>
          <w:rFonts w:hint="eastAsia" w:ascii="宋体" w:hAnsi="宋体"/>
          <w:szCs w:val="21"/>
        </w:rPr>
        <w:t>0项的规定向招标人提交履约担保。</w:t>
      </w:r>
    </w:p>
    <w:p>
      <w:pPr>
        <w:pBdr>
          <w:bottom w:val="single" w:color="auto" w:sz="6" w:space="1"/>
        </w:pBdr>
        <w:spacing w:line="360" w:lineRule="auto"/>
        <w:ind w:firstLine="472" w:firstLineChars="224"/>
        <w:rPr>
          <w:rFonts w:ascii="宋体" w:hAnsi="宋体"/>
          <w:b/>
          <w:szCs w:val="21"/>
          <w:u w:val="single"/>
        </w:rPr>
      </w:pPr>
      <w:r>
        <w:rPr>
          <w:rFonts w:hint="eastAsia" w:ascii="宋体" w:hAnsi="宋体"/>
          <w:b/>
          <w:szCs w:val="21"/>
        </w:rPr>
        <w:t>现文：</w:t>
      </w:r>
      <w:r>
        <w:rPr>
          <w:rFonts w:ascii="宋体" w:hAnsi="宋体"/>
          <w:szCs w:val="21"/>
        </w:rPr>
        <w:t xml:space="preserve">29.1 </w:t>
      </w:r>
      <w:r>
        <w:rPr>
          <w:rFonts w:hint="eastAsia" w:ascii="宋体" w:hAnsi="宋体"/>
          <w:szCs w:val="21"/>
          <w:u w:val="single"/>
        </w:rPr>
        <w:t>在合同条款要求时间内，</w:t>
      </w:r>
      <w:r>
        <w:rPr>
          <w:rFonts w:hint="eastAsia" w:ascii="宋体" w:hAnsi="宋体"/>
          <w:szCs w:val="21"/>
        </w:rPr>
        <w:t>中标人应按本须知前附表第</w:t>
      </w:r>
      <w:r>
        <w:rPr>
          <w:rFonts w:ascii="宋体" w:hAnsi="宋体"/>
          <w:szCs w:val="21"/>
        </w:rPr>
        <w:t>2</w:t>
      </w:r>
      <w:r>
        <w:rPr>
          <w:rFonts w:hint="eastAsia" w:ascii="宋体" w:hAnsi="宋体"/>
          <w:szCs w:val="21"/>
        </w:rPr>
        <w:t>0项的规定向招标人提交履约担保</w:t>
      </w:r>
      <w:r>
        <w:rPr>
          <w:rFonts w:ascii="宋体" w:hAnsi="宋体" w:cs="宋体"/>
          <w:szCs w:val="21"/>
        </w:rPr>
        <w:t>。</w:t>
      </w:r>
    </w:p>
    <w:p>
      <w:pPr>
        <w:spacing w:line="360" w:lineRule="auto"/>
        <w:ind w:firstLine="472" w:firstLineChars="224"/>
        <w:rPr>
          <w:rFonts w:ascii="宋体" w:hAnsi="宋体"/>
          <w:b/>
          <w:szCs w:val="21"/>
        </w:rPr>
      </w:pPr>
      <w:r>
        <w:rPr>
          <w:rFonts w:hint="eastAsia" w:ascii="宋体" w:hAnsi="宋体"/>
          <w:b/>
          <w:szCs w:val="21"/>
        </w:rPr>
        <w:t>条款号：29.2</w:t>
      </w:r>
      <w:r>
        <w:rPr>
          <w:rFonts w:ascii="宋体" w:hAnsi="宋体"/>
          <w:b/>
          <w:szCs w:val="21"/>
        </w:rPr>
        <w:t xml:space="preserve">            </w:t>
      </w:r>
      <w:r>
        <w:rPr>
          <w:rFonts w:hint="eastAsia" w:ascii="宋体" w:hAnsi="宋体"/>
          <w:b/>
          <w:szCs w:val="21"/>
        </w:rPr>
        <w:t>修改类型：修改</w:t>
      </w:r>
    </w:p>
    <w:p>
      <w:pPr>
        <w:snapToGrid w:val="0"/>
        <w:spacing w:line="360" w:lineRule="auto"/>
        <w:ind w:firstLine="422" w:firstLineChars="200"/>
        <w:rPr>
          <w:rFonts w:ascii="宋体" w:hAnsi="宋体"/>
          <w:szCs w:val="21"/>
        </w:rPr>
      </w:pPr>
      <w:r>
        <w:rPr>
          <w:rFonts w:hint="eastAsia" w:ascii="宋体" w:hAnsi="宋体"/>
          <w:b/>
          <w:szCs w:val="21"/>
        </w:rPr>
        <w:t>原文：</w:t>
      </w:r>
      <w:r>
        <w:rPr>
          <w:rFonts w:ascii="宋体" w:hAnsi="宋体"/>
          <w:szCs w:val="21"/>
        </w:rPr>
        <w:t>29.</w:t>
      </w:r>
      <w:r>
        <w:rPr>
          <w:rFonts w:hint="eastAsia" w:ascii="宋体" w:hAnsi="宋体"/>
          <w:szCs w:val="21"/>
        </w:rPr>
        <w:t>2</w:t>
      </w:r>
      <w:r>
        <w:rPr>
          <w:rFonts w:ascii="宋体" w:hAnsi="宋体"/>
          <w:szCs w:val="21"/>
        </w:rPr>
        <w:t xml:space="preserve"> </w:t>
      </w:r>
      <w:r>
        <w:rPr>
          <w:rFonts w:hint="eastAsia" w:ascii="宋体" w:hAnsi="宋体"/>
          <w:szCs w:val="21"/>
        </w:rPr>
        <w:t>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72" w:firstLineChars="224"/>
        <w:rPr>
          <w:rFonts w:ascii="宋体" w:hAnsi="宋体"/>
          <w:b/>
          <w:szCs w:val="21"/>
          <w:u w:val="single"/>
        </w:rPr>
      </w:pPr>
      <w:r>
        <w:rPr>
          <w:rFonts w:hint="eastAsia" w:ascii="宋体" w:hAnsi="宋体"/>
          <w:b/>
          <w:szCs w:val="21"/>
        </w:rPr>
        <w:t>现文：</w:t>
      </w:r>
      <w:r>
        <w:rPr>
          <w:rFonts w:ascii="宋体" w:hAnsi="宋体"/>
          <w:szCs w:val="21"/>
        </w:rPr>
        <w:t>29.</w:t>
      </w:r>
      <w:r>
        <w:rPr>
          <w:rFonts w:hint="eastAsia" w:ascii="宋体" w:hAnsi="宋体"/>
          <w:szCs w:val="21"/>
        </w:rPr>
        <w:t>2</w:t>
      </w:r>
      <w:r>
        <w:rPr>
          <w:rFonts w:ascii="宋体" w:hAnsi="宋体"/>
          <w:szCs w:val="21"/>
        </w:rPr>
        <w:t xml:space="preserve"> </w:t>
      </w:r>
      <w:r>
        <w:rPr>
          <w:rFonts w:hint="eastAsia" w:ascii="宋体" w:hAnsi="宋体"/>
          <w:szCs w:val="21"/>
        </w:rPr>
        <w:t>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72" w:firstLineChars="224"/>
        <w:rPr>
          <w:rFonts w:ascii="宋体" w:hAnsi="宋体"/>
          <w:b/>
          <w:szCs w:val="21"/>
        </w:rPr>
      </w:pPr>
      <w:r>
        <w:rPr>
          <w:rFonts w:hint="eastAsia" w:ascii="宋体" w:hAnsi="宋体"/>
          <w:b/>
          <w:szCs w:val="21"/>
        </w:rPr>
        <w:t>条款号：32.3</w:t>
      </w:r>
      <w:r>
        <w:rPr>
          <w:rFonts w:ascii="宋体" w:hAnsi="宋体"/>
          <w:b/>
          <w:szCs w:val="21"/>
        </w:rPr>
        <w:t xml:space="preserve">            </w:t>
      </w:r>
      <w:r>
        <w:rPr>
          <w:rFonts w:hint="eastAsia" w:ascii="宋体" w:hAnsi="宋体"/>
          <w:b/>
          <w:szCs w:val="21"/>
        </w:rPr>
        <w:t>修改类型：修改</w:t>
      </w:r>
    </w:p>
    <w:p>
      <w:pPr>
        <w:snapToGrid w:val="0"/>
        <w:spacing w:line="360" w:lineRule="auto"/>
        <w:ind w:firstLine="422" w:firstLineChars="200"/>
        <w:rPr>
          <w:rFonts w:ascii="宋体" w:hAnsi="宋体"/>
          <w:bCs/>
          <w:szCs w:val="21"/>
        </w:rPr>
      </w:pPr>
      <w:r>
        <w:rPr>
          <w:rFonts w:hint="eastAsia" w:ascii="宋体" w:hAnsi="宋体"/>
          <w:b/>
          <w:szCs w:val="21"/>
        </w:rPr>
        <w:t>原文：</w:t>
      </w:r>
      <w:r>
        <w:rPr>
          <w:rFonts w:hint="eastAsia" w:ascii="宋体" w:hAnsi="宋体"/>
          <w:bCs/>
          <w:szCs w:val="21"/>
        </w:rPr>
        <w:t>32.3投标人如在本项目中存在串通投标、弄虚作假、行贿情形的，中标无效，行政监督部门将对其违法行为进行政处罚并通报。该投标人将被招标人列入黑名单并限制其参与招标人后续项目的投标。</w:t>
      </w:r>
    </w:p>
    <w:p>
      <w:pPr>
        <w:pBdr>
          <w:bottom w:val="single" w:color="auto" w:sz="6" w:space="1"/>
        </w:pBdr>
        <w:spacing w:line="360" w:lineRule="auto"/>
        <w:ind w:firstLine="472" w:firstLineChars="224"/>
        <w:rPr>
          <w:rFonts w:ascii="宋体" w:hAnsi="宋体"/>
          <w:bCs/>
          <w:szCs w:val="21"/>
          <w:u w:val="single"/>
        </w:rPr>
      </w:pPr>
      <w:r>
        <w:rPr>
          <w:rFonts w:hint="eastAsia" w:ascii="宋体" w:hAnsi="宋体"/>
          <w:b/>
          <w:szCs w:val="21"/>
        </w:rPr>
        <w:t>现文：</w:t>
      </w:r>
      <w:r>
        <w:rPr>
          <w:rFonts w:hint="eastAsia" w:ascii="宋体" w:hAnsi="宋体"/>
          <w:bCs/>
          <w:szCs w:val="21"/>
        </w:rPr>
        <w:t>32.3投标人如在本项目中存在串通投标、弄虚作假</w:t>
      </w:r>
      <w:r>
        <w:rPr>
          <w:rFonts w:hint="eastAsia" w:ascii="宋体" w:hAnsi="宋体"/>
          <w:b/>
          <w:szCs w:val="21"/>
        </w:rPr>
        <w:t>骗取中标</w:t>
      </w:r>
      <w:r>
        <w:rPr>
          <w:rFonts w:hint="eastAsia" w:ascii="宋体" w:hAnsi="宋体"/>
          <w:bCs/>
          <w:szCs w:val="21"/>
        </w:rPr>
        <w:t>、行贿情形的，中标无效，行政监督部门将对其违法行为进行政处罚。</w:t>
      </w:r>
      <w:r>
        <w:rPr>
          <w:rFonts w:hint="eastAsia" w:ascii="宋体" w:hAnsi="宋体"/>
          <w:b/>
          <w:szCs w:val="21"/>
        </w:rPr>
        <w:t>该投标人将被招标人列入黑名单并限制其参与招标人后续项目的投标。</w:t>
      </w:r>
    </w:p>
    <w:p>
      <w:pPr>
        <w:spacing w:line="360" w:lineRule="auto"/>
        <w:ind w:firstLine="472" w:firstLineChars="224"/>
        <w:rPr>
          <w:rFonts w:ascii="宋体" w:hAnsi="宋体"/>
          <w:b/>
          <w:szCs w:val="21"/>
        </w:rPr>
      </w:pPr>
      <w:r>
        <w:rPr>
          <w:rFonts w:hint="eastAsia" w:ascii="宋体" w:hAnsi="宋体"/>
          <w:b/>
          <w:szCs w:val="21"/>
        </w:rPr>
        <w:t>条款号：33</w:t>
      </w:r>
      <w:r>
        <w:rPr>
          <w:rFonts w:ascii="宋体" w:hAnsi="宋体"/>
          <w:b/>
          <w:szCs w:val="21"/>
        </w:rPr>
        <w:t xml:space="preserve">            </w:t>
      </w:r>
      <w:r>
        <w:rPr>
          <w:rFonts w:hint="eastAsia" w:ascii="宋体" w:hAnsi="宋体"/>
          <w:b/>
          <w:szCs w:val="21"/>
        </w:rPr>
        <w:t>修改类型：删除</w:t>
      </w:r>
    </w:p>
    <w:p>
      <w:pPr>
        <w:snapToGrid w:val="0"/>
        <w:spacing w:line="360" w:lineRule="auto"/>
        <w:ind w:firstLine="422" w:firstLineChars="200"/>
        <w:rPr>
          <w:rFonts w:ascii="宋体" w:hAnsi="宋体"/>
          <w:bCs/>
          <w:szCs w:val="21"/>
        </w:rPr>
      </w:pPr>
      <w:r>
        <w:rPr>
          <w:rFonts w:hint="eastAsia" w:ascii="宋体" w:hAnsi="宋体"/>
          <w:b/>
          <w:szCs w:val="21"/>
        </w:rPr>
        <w:t>原文：</w:t>
      </w:r>
      <w:r>
        <w:rPr>
          <w:rFonts w:hint="eastAsia" w:ascii="宋体" w:hAnsi="宋体"/>
          <w:bCs/>
          <w:szCs w:val="21"/>
        </w:rPr>
        <w:t>存在下列情形之一的，招标人可以限制其投标（需在招标文件中明确评定方法）</w:t>
      </w:r>
    </w:p>
    <w:p>
      <w:pPr>
        <w:snapToGrid w:val="0"/>
        <w:spacing w:line="360" w:lineRule="auto"/>
        <w:ind w:firstLine="420" w:firstLineChars="200"/>
        <w:rPr>
          <w:rFonts w:ascii="宋体" w:hAnsi="宋体"/>
          <w:bCs/>
          <w:szCs w:val="21"/>
        </w:rPr>
      </w:pPr>
      <w:r>
        <w:rPr>
          <w:rFonts w:hint="eastAsia" w:ascii="宋体" w:hAnsi="宋体"/>
          <w:bCs/>
          <w:szCs w:val="21"/>
        </w:rPr>
        <w:t>（1）被住房城乡建设行政主管部门在全国建筑市场监管一体化工作平台列入建筑市场主体“黑名单”；</w:t>
      </w:r>
    </w:p>
    <w:p>
      <w:pPr>
        <w:pBdr>
          <w:bottom w:val="single" w:color="auto" w:sz="6" w:space="1"/>
        </w:pBdr>
        <w:spacing w:line="360" w:lineRule="auto"/>
        <w:ind w:firstLine="470" w:firstLineChars="224"/>
        <w:rPr>
          <w:rFonts w:ascii="宋体" w:hAnsi="宋体"/>
          <w:bCs/>
          <w:szCs w:val="21"/>
          <w:u w:val="single"/>
        </w:rPr>
      </w:pPr>
      <w:r>
        <w:rPr>
          <w:rFonts w:hint="eastAsia" w:ascii="宋体" w:hAnsi="宋体"/>
          <w:bCs/>
          <w:szCs w:val="21"/>
        </w:rPr>
        <w:t>（2）被发改委、人力资源社会保障、质检总局等有关部门、单位在“信用中国”网站中列入联合惩戒失信黑名单</w:t>
      </w:r>
      <w:r>
        <w:rPr>
          <w:rFonts w:hint="eastAsia" w:ascii="宋体" w:hAnsi="宋体"/>
          <w:b/>
          <w:szCs w:val="21"/>
        </w:rPr>
        <w:t>。</w:t>
      </w:r>
    </w:p>
    <w:p>
      <w:pPr>
        <w:spacing w:line="360" w:lineRule="auto"/>
        <w:ind w:firstLine="472" w:firstLineChars="224"/>
        <w:rPr>
          <w:rFonts w:ascii="宋体" w:hAnsi="宋体"/>
          <w:b/>
          <w:szCs w:val="21"/>
        </w:rPr>
      </w:pPr>
      <w:r>
        <w:rPr>
          <w:rFonts w:hint="eastAsia" w:ascii="宋体" w:hAnsi="宋体"/>
          <w:b/>
          <w:szCs w:val="21"/>
        </w:rPr>
        <w:t>条款号：</w:t>
      </w:r>
      <w:r>
        <w:rPr>
          <w:rFonts w:hint="eastAsia" w:ascii="宋体" w:hAnsi="宋体"/>
          <w:b/>
          <w:bCs/>
          <w:szCs w:val="21"/>
        </w:rPr>
        <w:t>34</w:t>
      </w:r>
      <w:r>
        <w:rPr>
          <w:rFonts w:ascii="宋体" w:hAnsi="宋体"/>
          <w:b/>
          <w:szCs w:val="21"/>
        </w:rPr>
        <w:t xml:space="preserve">            </w:t>
      </w:r>
      <w:r>
        <w:rPr>
          <w:rFonts w:hint="eastAsia" w:ascii="宋体" w:hAnsi="宋体"/>
          <w:b/>
          <w:szCs w:val="21"/>
        </w:rPr>
        <w:t>修改类型：增加</w:t>
      </w:r>
    </w:p>
    <w:p>
      <w:pPr>
        <w:pBdr>
          <w:bottom w:val="single" w:color="auto" w:sz="6" w:space="1"/>
        </w:pBdr>
        <w:spacing w:line="360" w:lineRule="auto"/>
        <w:ind w:firstLine="422" w:firstLineChars="200"/>
        <w:rPr>
          <w:rFonts w:ascii="宋体" w:hAnsi="宋体"/>
          <w:szCs w:val="21"/>
          <w:u w:val="single"/>
        </w:rPr>
      </w:pPr>
      <w:r>
        <w:rPr>
          <w:rFonts w:hint="eastAsia" w:ascii="宋体" w:hAnsi="宋体"/>
          <w:b/>
          <w:szCs w:val="21"/>
        </w:rPr>
        <w:t>现文：</w:t>
      </w:r>
      <w:r>
        <w:rPr>
          <w:rFonts w:hint="eastAsia" w:ascii="宋体" w:hAnsi="宋体"/>
          <w:bCs/>
          <w:szCs w:val="21"/>
        </w:rPr>
        <w:t>34.</w:t>
      </w:r>
      <w:r>
        <w:rPr>
          <w:rFonts w:hint="eastAsia" w:ascii="宋体" w:hAnsi="宋体"/>
          <w:szCs w:val="21"/>
          <w:u w:val="single"/>
        </w:rPr>
        <w:t>中标单位在中标公示后，须提供与所递交投标电子标书内容一致且加盖单位公章的纸质文件五套及电子文件二套（不用生成投标书；包括用Microsoft Excel 软件或广州公共资源交易中心提供的投标书制作软件制作的工程量清单报价表和单价分析表，用Microsoft Word软件或广州公共资源交易中心提供的投标书制作软件制作的经济投标文件其他部分。电子文件介质使用CD-R光盘，所有电子文件不能采用压缩处理）给招标单位。</w:t>
      </w:r>
    </w:p>
    <w:p>
      <w:pPr>
        <w:spacing w:line="360" w:lineRule="auto"/>
        <w:ind w:firstLine="420" w:firstLineChars="200"/>
        <w:rPr>
          <w:rFonts w:ascii="宋体" w:hAnsi="宋体"/>
          <w:szCs w:val="21"/>
          <w:u w:val="single"/>
        </w:rPr>
      </w:pPr>
    </w:p>
    <w:p>
      <w:pPr>
        <w:spacing w:line="360" w:lineRule="auto"/>
        <w:ind w:firstLine="422" w:firstLineChars="200"/>
        <w:rPr>
          <w:b/>
          <w:szCs w:val="21"/>
        </w:rPr>
      </w:pPr>
    </w:p>
    <w:p>
      <w:pPr>
        <w:spacing w:line="360" w:lineRule="auto"/>
        <w:ind w:firstLine="211" w:firstLineChars="100"/>
        <w:rPr>
          <w:b/>
          <w:szCs w:val="21"/>
        </w:rPr>
      </w:pPr>
      <w:r>
        <w:rPr>
          <w:rFonts w:hint="eastAsia"/>
          <w:b/>
          <w:szCs w:val="21"/>
        </w:rPr>
        <w:t>注：以上修改，仅限于本范本中有可供选择条款的情形。</w:t>
      </w:r>
    </w:p>
    <w:p>
      <w:pPr>
        <w:spacing w:line="360" w:lineRule="auto"/>
      </w:pPr>
      <w:r>
        <w:rPr>
          <w:rFonts w:hint="eastAsia"/>
          <w:b/>
          <w:szCs w:val="21"/>
        </w:rPr>
        <w:t>（以下无正文）</w:t>
      </w:r>
    </w:p>
    <w:p>
      <w:r>
        <w:br w:type="page"/>
      </w:r>
    </w:p>
    <w:p>
      <w:pPr>
        <w:pStyle w:val="4"/>
        <w:rPr>
          <w:color w:val="auto"/>
        </w:rPr>
      </w:pPr>
      <w:bookmarkStart w:id="7" w:name="_Toc2272548"/>
      <w:bookmarkStart w:id="8" w:name="_Toc21525492"/>
      <w:r>
        <w:rPr>
          <w:rFonts w:hint="eastAsia"/>
          <w:color w:val="auto"/>
        </w:rPr>
        <w:t>三、投标须知通用条款</w:t>
      </w:r>
      <w:bookmarkEnd w:id="7"/>
      <w:bookmarkEnd w:id="8"/>
    </w:p>
    <w:p>
      <w:pPr>
        <w:pStyle w:val="5"/>
        <w:spacing w:before="156" w:after="156"/>
      </w:pPr>
      <w:bookmarkStart w:id="9" w:name="_Toc2272549"/>
      <w:bookmarkStart w:id="10" w:name="_Toc21525493"/>
      <w:r>
        <w:rPr>
          <w:rFonts w:hint="eastAsia"/>
        </w:rPr>
        <w:t>（一）总则</w:t>
      </w:r>
      <w:bookmarkEnd w:id="9"/>
      <w:bookmarkEnd w:id="10"/>
    </w:p>
    <w:p>
      <w:pPr>
        <w:pStyle w:val="35"/>
        <w:spacing w:after="0" w:line="360" w:lineRule="auto"/>
        <w:ind w:firstLine="482" w:firstLineChars="200"/>
        <w:rPr>
          <w:rFonts w:ascii="宋体"/>
          <w:b/>
          <w:bCs/>
          <w:sz w:val="24"/>
        </w:rPr>
      </w:pPr>
      <w:r>
        <w:rPr>
          <w:rFonts w:ascii="宋体" w:hAnsi="宋体"/>
          <w:b/>
          <w:bCs/>
          <w:sz w:val="24"/>
        </w:rPr>
        <w:t>1</w:t>
      </w:r>
      <w:r>
        <w:rPr>
          <w:rFonts w:hint="eastAsia" w:ascii="宋体" w:hAnsi="宋体"/>
          <w:b/>
          <w:bCs/>
          <w:sz w:val="24"/>
        </w:rPr>
        <w:t>、定义</w:t>
      </w:r>
    </w:p>
    <w:p>
      <w:pPr>
        <w:pStyle w:val="35"/>
        <w:spacing w:after="0" w:line="360" w:lineRule="auto"/>
        <w:ind w:firstLine="480" w:firstLineChars="200"/>
        <w:rPr>
          <w:rFonts w:ascii="宋体"/>
          <w:b/>
          <w:bCs/>
          <w:sz w:val="24"/>
        </w:rPr>
      </w:pPr>
      <w:r>
        <w:rPr>
          <w:rFonts w:hint="eastAsia" w:ascii="宋体" w:hAnsi="宋体"/>
          <w:sz w:val="24"/>
        </w:rPr>
        <w:t>本招标文件使用的下列词语具有如下规定的意义：</w:t>
      </w:r>
    </w:p>
    <w:p>
      <w:pPr>
        <w:pStyle w:val="35"/>
        <w:spacing w:after="0" w:line="360" w:lineRule="auto"/>
        <w:ind w:firstLine="480" w:firstLineChars="200"/>
        <w:rPr>
          <w:rFonts w:ascii="宋体"/>
          <w:b/>
          <w:bCs/>
          <w:sz w:val="24"/>
          <w:u w:val="single"/>
        </w:rPr>
      </w:pPr>
      <w:r>
        <w:rPr>
          <w:rFonts w:hint="eastAsia" w:ascii="宋体" w:hAnsi="宋体"/>
          <w:sz w:val="24"/>
        </w:rPr>
        <w:t>（</w:t>
      </w:r>
      <w:r>
        <w:rPr>
          <w:rFonts w:ascii="宋体" w:hAnsi="宋体"/>
          <w:sz w:val="24"/>
        </w:rPr>
        <w:t>1</w:t>
      </w:r>
      <w:r>
        <w:rPr>
          <w:rFonts w:hint="eastAsia" w:ascii="宋体" w:hAnsi="宋体"/>
          <w:sz w:val="24"/>
        </w:rPr>
        <w:t>）“招标人”（即发包人）、“项目建设管理单位</w:t>
      </w:r>
      <w:r>
        <w:rPr>
          <w:rFonts w:hint="eastAsia" w:ascii="宋体"/>
          <w:sz w:val="24"/>
        </w:rPr>
        <w:t>”</w:t>
      </w:r>
      <w:r>
        <w:rPr>
          <w:rFonts w:hint="eastAsia" w:ascii="宋体" w:hAnsi="宋体"/>
          <w:sz w:val="24"/>
        </w:rPr>
        <w:t>（或称“项目代建单位”）、“招标代理”、“设计单位”、“监理单位”均已在投标须知前附表中列明。</w:t>
      </w:r>
    </w:p>
    <w:p>
      <w:pPr>
        <w:pStyle w:val="35"/>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2</w:t>
      </w:r>
      <w:r>
        <w:rPr>
          <w:rFonts w:hint="eastAsia" w:ascii="宋体" w:hAnsi="宋体"/>
          <w:sz w:val="24"/>
        </w:rPr>
        <w:t>）“投标人”指向招标人提交投标文件的当事人。</w:t>
      </w:r>
      <w:r>
        <w:rPr>
          <w:rFonts w:ascii="宋体" w:hAnsi="宋体"/>
          <w:sz w:val="24"/>
        </w:rPr>
        <w:t xml:space="preserve">   </w:t>
      </w:r>
    </w:p>
    <w:p>
      <w:pPr>
        <w:pStyle w:val="35"/>
        <w:spacing w:after="0"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）“承包人”指其投标被招标人接受并与其签订承包合同的当事人。</w:t>
      </w:r>
    </w:p>
    <w:p>
      <w:pPr>
        <w:pStyle w:val="35"/>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4</w:t>
      </w:r>
      <w:r>
        <w:rPr>
          <w:rFonts w:hint="eastAsia" w:ascii="宋体" w:hAnsi="宋体"/>
          <w:sz w:val="24"/>
        </w:rPr>
        <w:t>）“招标文件”指由招标代理发出的本文件（包括全部章节、附件）及招标答疑会会议纪要和</w:t>
      </w:r>
      <w:r>
        <w:rPr>
          <w:rFonts w:hint="eastAsia" w:ascii="宋体" w:hAnsi="宋体"/>
          <w:bCs/>
          <w:sz w:val="24"/>
        </w:rPr>
        <w:t>招标文件的澄清与修改</w:t>
      </w:r>
      <w:r>
        <w:rPr>
          <w:rFonts w:hint="eastAsia" w:ascii="宋体" w:hAnsi="宋体"/>
          <w:sz w:val="24"/>
        </w:rPr>
        <w:t>文件。</w:t>
      </w:r>
    </w:p>
    <w:p>
      <w:pPr>
        <w:pStyle w:val="35"/>
        <w:spacing w:after="0"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）“投标文件”指投标人根据本项目招标文件向招标人提交的全部文件。</w:t>
      </w:r>
    </w:p>
    <w:p>
      <w:pPr>
        <w:pStyle w:val="35"/>
        <w:spacing w:after="0" w:line="360" w:lineRule="auto"/>
        <w:ind w:firstLine="480" w:firstLineChars="200"/>
        <w:rPr>
          <w:rFonts w:ascii="宋体"/>
          <w:sz w:val="24"/>
        </w:rPr>
      </w:pPr>
      <w:r>
        <w:rPr>
          <w:rFonts w:hint="eastAsia" w:ascii="宋体" w:hAnsi="宋体"/>
          <w:sz w:val="24"/>
        </w:rPr>
        <w:t>（</w:t>
      </w:r>
      <w:r>
        <w:rPr>
          <w:rFonts w:ascii="宋体" w:hAnsi="宋体"/>
          <w:sz w:val="24"/>
        </w:rPr>
        <w:t>6</w:t>
      </w:r>
      <w:r>
        <w:rPr>
          <w:rFonts w:hint="eastAsia" w:ascii="宋体" w:hAnsi="宋体"/>
          <w:sz w:val="24"/>
        </w:rPr>
        <w:t>）“书面形式”指打字或印刷的文件和数据电文（包括电报、电传、传真、电子数据交换和电子邮件）。</w:t>
      </w:r>
    </w:p>
    <w:p>
      <w:pPr>
        <w:spacing w:line="360" w:lineRule="auto"/>
        <w:ind w:firstLine="482" w:firstLineChars="200"/>
        <w:rPr>
          <w:rFonts w:ascii="宋体"/>
          <w:b/>
          <w:sz w:val="24"/>
        </w:rPr>
      </w:pPr>
      <w:r>
        <w:rPr>
          <w:rFonts w:ascii="宋体" w:hAnsi="宋体"/>
          <w:b/>
          <w:sz w:val="24"/>
        </w:rPr>
        <w:t>2</w:t>
      </w:r>
      <w:r>
        <w:rPr>
          <w:rFonts w:hint="eastAsia" w:ascii="宋体" w:hAnsi="宋体"/>
          <w:b/>
          <w:sz w:val="24"/>
        </w:rPr>
        <w:t>、招标说明</w:t>
      </w:r>
    </w:p>
    <w:p>
      <w:pPr>
        <w:spacing w:line="360" w:lineRule="auto"/>
        <w:ind w:firstLine="480" w:firstLineChars="200"/>
        <w:rPr>
          <w:rFonts w:ascii="宋体"/>
          <w:bCs/>
          <w:sz w:val="24"/>
        </w:rPr>
      </w:pPr>
      <w:r>
        <w:rPr>
          <w:rFonts w:ascii="宋体" w:hAnsi="宋体"/>
          <w:bCs/>
          <w:sz w:val="24"/>
        </w:rPr>
        <w:t>2.1</w:t>
      </w:r>
      <w:r>
        <w:rPr>
          <w:rFonts w:hint="eastAsia" w:ascii="宋体" w:hAnsi="宋体"/>
          <w:bCs/>
          <w:sz w:val="24"/>
        </w:rPr>
        <w:t>本招标工程项目按照《中华人民共和国招标投标法》等有关法律、行政法规、规章和规范性文件，通过招标方式选定承包人。</w:t>
      </w:r>
    </w:p>
    <w:p>
      <w:pPr>
        <w:spacing w:line="360" w:lineRule="auto"/>
        <w:ind w:firstLine="480" w:firstLineChars="200"/>
        <w:rPr>
          <w:rFonts w:ascii="宋体"/>
          <w:bCs/>
          <w:sz w:val="24"/>
        </w:rPr>
      </w:pPr>
      <w:r>
        <w:rPr>
          <w:rFonts w:ascii="宋体" w:hAnsi="宋体"/>
          <w:bCs/>
          <w:sz w:val="24"/>
        </w:rPr>
        <w:t>2.2</w:t>
      </w:r>
      <w:r>
        <w:rPr>
          <w:rFonts w:hint="eastAsia" w:ascii="宋体" w:hAnsi="宋体"/>
          <w:bCs/>
          <w:sz w:val="24"/>
        </w:rPr>
        <w:t>工程名称、建设地点、建设规模、承包方式、质量标准、招标范围、工期要求等均在投标须知前附表中列明。</w:t>
      </w:r>
    </w:p>
    <w:p>
      <w:pPr>
        <w:spacing w:line="360" w:lineRule="auto"/>
        <w:ind w:firstLine="480" w:firstLineChars="200"/>
        <w:rPr>
          <w:rFonts w:ascii="宋体"/>
          <w:bCs/>
          <w:sz w:val="24"/>
        </w:rPr>
      </w:pPr>
      <w:r>
        <w:rPr>
          <w:rFonts w:ascii="宋体" w:hAnsi="宋体"/>
          <w:bCs/>
          <w:sz w:val="24"/>
        </w:rPr>
        <w:t>2.3</w:t>
      </w:r>
      <w:r>
        <w:rPr>
          <w:rFonts w:hint="eastAsia" w:ascii="宋体" w:hAnsi="宋体"/>
          <w:bCs/>
          <w:sz w:val="24"/>
        </w:rPr>
        <w:t>设计说明：详见招标图纸。</w:t>
      </w:r>
    </w:p>
    <w:p>
      <w:pPr>
        <w:spacing w:line="360" w:lineRule="auto"/>
        <w:ind w:firstLine="480" w:firstLineChars="200"/>
        <w:rPr>
          <w:rFonts w:ascii="宋体"/>
          <w:bCs/>
          <w:sz w:val="24"/>
        </w:rPr>
      </w:pPr>
      <w:r>
        <w:rPr>
          <w:rFonts w:ascii="宋体" w:hAnsi="宋体"/>
          <w:bCs/>
          <w:sz w:val="24"/>
        </w:rPr>
        <w:t>2.4</w:t>
      </w:r>
      <w:r>
        <w:rPr>
          <w:rFonts w:hint="eastAsia" w:ascii="宋体" w:hAnsi="宋体"/>
          <w:bCs/>
          <w:sz w:val="24"/>
        </w:rPr>
        <w:t>工程施工特点：详见招标图纸。</w:t>
      </w:r>
    </w:p>
    <w:p>
      <w:pPr>
        <w:tabs>
          <w:tab w:val="left" w:pos="105"/>
        </w:tabs>
        <w:spacing w:line="360" w:lineRule="auto"/>
        <w:ind w:firstLine="482" w:firstLineChars="200"/>
        <w:rPr>
          <w:rFonts w:ascii="宋体"/>
          <w:b/>
          <w:sz w:val="24"/>
        </w:rPr>
      </w:pPr>
      <w:r>
        <w:rPr>
          <w:rFonts w:ascii="宋体" w:hAnsi="宋体"/>
          <w:b/>
          <w:sz w:val="24"/>
        </w:rPr>
        <w:t>3</w:t>
      </w:r>
      <w:r>
        <w:rPr>
          <w:rFonts w:hint="eastAsia" w:ascii="宋体" w:hAnsi="宋体"/>
          <w:b/>
          <w:sz w:val="24"/>
        </w:rPr>
        <w:t>．资金来源</w:t>
      </w:r>
    </w:p>
    <w:p>
      <w:pPr>
        <w:spacing w:line="360" w:lineRule="auto"/>
        <w:ind w:firstLine="480" w:firstLineChars="200"/>
        <w:rPr>
          <w:rFonts w:ascii="宋体"/>
          <w:bCs/>
          <w:sz w:val="24"/>
        </w:rPr>
      </w:pPr>
      <w:r>
        <w:rPr>
          <w:rFonts w:ascii="宋体" w:hAnsi="宋体"/>
          <w:bCs/>
          <w:sz w:val="24"/>
        </w:rPr>
        <w:t>3.1</w:t>
      </w:r>
      <w:r>
        <w:rPr>
          <w:rFonts w:hint="eastAsia" w:ascii="宋体" w:hAnsi="宋体"/>
          <w:bCs/>
          <w:sz w:val="24"/>
        </w:rPr>
        <w:t>本招标工程项目资金来源见投标须知前附表第</w:t>
      </w:r>
      <w:r>
        <w:rPr>
          <w:rFonts w:ascii="宋体" w:hAnsi="宋体"/>
          <w:bCs/>
          <w:sz w:val="24"/>
        </w:rPr>
        <w:t>9</w:t>
      </w:r>
      <w:r>
        <w:rPr>
          <w:rFonts w:hint="eastAsia" w:ascii="宋体" w:hAnsi="宋体"/>
          <w:bCs/>
          <w:sz w:val="24"/>
        </w:rPr>
        <w:t>项</w:t>
      </w:r>
    </w:p>
    <w:p>
      <w:pPr>
        <w:tabs>
          <w:tab w:val="left" w:pos="105"/>
        </w:tabs>
        <w:spacing w:line="360" w:lineRule="auto"/>
        <w:ind w:firstLine="482" w:firstLineChars="200"/>
        <w:rPr>
          <w:rFonts w:ascii="宋体"/>
          <w:b/>
          <w:sz w:val="24"/>
        </w:rPr>
      </w:pPr>
      <w:r>
        <w:rPr>
          <w:rFonts w:ascii="宋体" w:hAnsi="宋体"/>
          <w:b/>
          <w:sz w:val="24"/>
        </w:rPr>
        <w:t>4</w:t>
      </w:r>
      <w:r>
        <w:rPr>
          <w:rFonts w:hint="eastAsia" w:ascii="宋体" w:hAnsi="宋体"/>
          <w:b/>
          <w:sz w:val="24"/>
        </w:rPr>
        <w:t>．合格投标人的条件</w:t>
      </w:r>
    </w:p>
    <w:p>
      <w:pPr>
        <w:spacing w:line="360" w:lineRule="auto"/>
        <w:ind w:firstLine="480" w:firstLineChars="200"/>
        <w:rPr>
          <w:rFonts w:ascii="宋体"/>
          <w:bCs/>
          <w:sz w:val="24"/>
        </w:rPr>
      </w:pPr>
      <w:r>
        <w:rPr>
          <w:rFonts w:ascii="宋体" w:hAnsi="宋体"/>
          <w:bCs/>
          <w:sz w:val="24"/>
        </w:rPr>
        <w:t>4.1</w:t>
      </w:r>
      <w:r>
        <w:rPr>
          <w:rFonts w:hint="eastAsia" w:ascii="宋体" w:hAnsi="宋体"/>
          <w:bCs/>
          <w:sz w:val="24"/>
        </w:rPr>
        <w:t>详见本项目招标公告</w:t>
      </w:r>
    </w:p>
    <w:p>
      <w:pPr>
        <w:tabs>
          <w:tab w:val="left" w:pos="105"/>
        </w:tabs>
        <w:spacing w:line="360" w:lineRule="auto"/>
        <w:ind w:firstLine="482" w:firstLineChars="200"/>
        <w:rPr>
          <w:rFonts w:ascii="宋体"/>
          <w:b/>
          <w:sz w:val="24"/>
        </w:rPr>
      </w:pPr>
      <w:r>
        <w:rPr>
          <w:rFonts w:ascii="宋体" w:hAnsi="宋体"/>
          <w:b/>
          <w:sz w:val="24"/>
        </w:rPr>
        <w:t>5</w:t>
      </w:r>
      <w:r>
        <w:rPr>
          <w:rFonts w:hint="eastAsia" w:ascii="宋体" w:hAnsi="宋体"/>
          <w:b/>
          <w:sz w:val="24"/>
        </w:rPr>
        <w:t>．踏勘现场</w:t>
      </w:r>
    </w:p>
    <w:p>
      <w:pPr>
        <w:spacing w:line="360" w:lineRule="auto"/>
        <w:ind w:firstLine="480" w:firstLineChars="200"/>
        <w:rPr>
          <w:rFonts w:ascii="宋体"/>
          <w:bCs/>
          <w:sz w:val="24"/>
          <w:u w:val="single"/>
        </w:rPr>
      </w:pPr>
      <w:r>
        <w:rPr>
          <w:rFonts w:ascii="宋体" w:hAnsi="宋体"/>
          <w:bCs/>
          <w:sz w:val="24"/>
        </w:rPr>
        <w:t xml:space="preserve">5.1 </w:t>
      </w:r>
      <w:r>
        <w:rPr>
          <w:rFonts w:hint="eastAsia" w:ascii="宋体" w:hAnsi="宋体"/>
          <w:bCs/>
          <w:sz w:val="24"/>
        </w:rPr>
        <w:t>投标人应按本投标须知前附表第</w:t>
      </w:r>
      <w:r>
        <w:rPr>
          <w:rFonts w:ascii="宋体" w:hAnsi="宋体"/>
          <w:bCs/>
          <w:sz w:val="24"/>
        </w:rPr>
        <w:t>15</w:t>
      </w:r>
      <w:r>
        <w:rPr>
          <w:rFonts w:hint="eastAsia" w:ascii="宋体" w:hAnsi="宋体"/>
          <w:bCs/>
          <w:sz w:val="24"/>
        </w:rPr>
        <w:t>项所述时间和要求对工程现场及周围环境进行踏勘，</w:t>
      </w:r>
      <w:r>
        <w:rPr>
          <w:rFonts w:hint="eastAsia" w:ascii="宋体" w:hAnsi="宋体"/>
          <w:sz w:val="24"/>
        </w:rPr>
        <w:t>投标人应充分重视和仔细地进行这种考察，</w:t>
      </w:r>
      <w:r>
        <w:rPr>
          <w:rFonts w:hint="eastAsia" w:ascii="宋体" w:hAnsi="宋体"/>
          <w:bCs/>
          <w:sz w:val="24"/>
        </w:rPr>
        <w:t>以便投标人获取</w:t>
      </w:r>
      <w:r>
        <w:rPr>
          <w:rFonts w:hint="eastAsia" w:ascii="宋体" w:hAnsi="宋体"/>
          <w:sz w:val="24"/>
        </w:rPr>
        <w:t>那些须投标人自己负责的</w:t>
      </w:r>
      <w:r>
        <w:rPr>
          <w:rFonts w:hint="eastAsia" w:ascii="宋体" w:hAnsi="宋体"/>
          <w:bCs/>
          <w:sz w:val="24"/>
        </w:rPr>
        <w:t>有关编制投标文件和签署合同所涉及现场所有的资料。</w:t>
      </w:r>
      <w:r>
        <w:rPr>
          <w:rFonts w:hint="eastAsia" w:ascii="宋体" w:hAnsi="宋体"/>
          <w:sz w:val="24"/>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sz w:val="24"/>
        </w:rPr>
      </w:pPr>
      <w:r>
        <w:rPr>
          <w:rFonts w:ascii="宋体" w:hAnsi="宋体"/>
          <w:bCs/>
          <w:sz w:val="24"/>
        </w:rPr>
        <w:t xml:space="preserve">5.2 </w:t>
      </w:r>
      <w:r>
        <w:rPr>
          <w:rFonts w:hint="eastAsia" w:ascii="宋体" w:hAnsi="宋体"/>
          <w:bCs/>
          <w:sz w:val="24"/>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sz w:val="24"/>
        </w:rPr>
      </w:pPr>
      <w:r>
        <w:rPr>
          <w:rFonts w:ascii="宋体" w:hAnsi="宋体"/>
          <w:bCs/>
          <w:sz w:val="24"/>
        </w:rPr>
        <w:t xml:space="preserve">5.3 </w:t>
      </w:r>
      <w:r>
        <w:rPr>
          <w:rFonts w:hint="eastAsia" w:ascii="宋体" w:hAnsi="宋体"/>
          <w:bCs/>
          <w:sz w:val="24"/>
        </w:rPr>
        <w:t>经招标人允许，投标人可为踏勘目的进入招标人的项目现场。</w:t>
      </w:r>
      <w:r>
        <w:rPr>
          <w:rFonts w:hint="eastAsia" w:ascii="宋体" w:hAnsi="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rPr>
        <w:t>投标人不得因此使招标人承担有关的责任和蒙受损失。</w:t>
      </w:r>
    </w:p>
    <w:p>
      <w:pPr>
        <w:tabs>
          <w:tab w:val="left" w:pos="105"/>
        </w:tabs>
        <w:spacing w:line="360" w:lineRule="auto"/>
        <w:ind w:firstLine="482" w:firstLineChars="200"/>
        <w:rPr>
          <w:rFonts w:ascii="宋体"/>
          <w:b/>
          <w:sz w:val="24"/>
        </w:rPr>
      </w:pPr>
      <w:r>
        <w:rPr>
          <w:rFonts w:ascii="宋体" w:hAnsi="宋体"/>
          <w:b/>
          <w:sz w:val="24"/>
        </w:rPr>
        <w:t>6</w:t>
      </w:r>
      <w:r>
        <w:rPr>
          <w:rFonts w:hint="eastAsia" w:ascii="宋体" w:hAnsi="宋体"/>
          <w:b/>
          <w:sz w:val="24"/>
        </w:rPr>
        <w:t>．投标费用</w:t>
      </w:r>
    </w:p>
    <w:p>
      <w:pPr>
        <w:tabs>
          <w:tab w:val="left" w:pos="105"/>
        </w:tabs>
        <w:spacing w:line="360" w:lineRule="auto"/>
        <w:ind w:firstLine="480" w:firstLineChars="200"/>
        <w:rPr>
          <w:rFonts w:ascii="宋体"/>
          <w:bCs/>
          <w:sz w:val="24"/>
        </w:rPr>
      </w:pPr>
      <w:r>
        <w:rPr>
          <w:rFonts w:ascii="宋体" w:hAnsi="宋体"/>
          <w:bCs/>
          <w:sz w:val="24"/>
        </w:rPr>
        <w:t>6.1</w:t>
      </w:r>
      <w:r>
        <w:rPr>
          <w:rFonts w:hint="eastAsia" w:ascii="宋体" w:hAnsi="宋体"/>
          <w:sz w:val="24"/>
        </w:rPr>
        <w:t>不论投标结果如何，投标人应承担</w:t>
      </w:r>
      <w:r>
        <w:rPr>
          <w:rFonts w:hint="eastAsia" w:ascii="宋体" w:hAnsi="宋体"/>
          <w:bCs/>
          <w:sz w:val="24"/>
        </w:rPr>
        <w:t>自身</w:t>
      </w:r>
      <w:r>
        <w:rPr>
          <w:rFonts w:hint="eastAsia" w:ascii="宋体" w:hAnsi="宋体"/>
          <w:sz w:val="24"/>
        </w:rPr>
        <w:t>因投标文件编制、递交及其他</w:t>
      </w:r>
      <w:r>
        <w:rPr>
          <w:rFonts w:hint="eastAsia" w:ascii="宋体" w:hAnsi="宋体"/>
          <w:bCs/>
          <w:sz w:val="24"/>
        </w:rPr>
        <w:t>参加本招标活动</w:t>
      </w:r>
      <w:r>
        <w:rPr>
          <w:rFonts w:hint="eastAsia" w:ascii="宋体" w:hAnsi="宋体"/>
          <w:sz w:val="24"/>
        </w:rPr>
        <w:t>所涉及的一切费用，招标人对上述费用不负任何责任。</w:t>
      </w:r>
    </w:p>
    <w:p>
      <w:pPr>
        <w:pStyle w:val="5"/>
        <w:spacing w:before="156" w:after="156"/>
      </w:pPr>
      <w:bookmarkStart w:id="11" w:name="_Toc2272550"/>
      <w:bookmarkStart w:id="12" w:name="_Toc21525494"/>
      <w:r>
        <w:rPr>
          <w:rFonts w:hint="eastAsia"/>
        </w:rPr>
        <w:t>（二）招标文件</w:t>
      </w:r>
      <w:bookmarkEnd w:id="11"/>
      <w:bookmarkEnd w:id="12"/>
    </w:p>
    <w:p>
      <w:pPr>
        <w:tabs>
          <w:tab w:val="left" w:pos="105"/>
        </w:tabs>
        <w:spacing w:line="360" w:lineRule="auto"/>
        <w:ind w:firstLine="482" w:firstLineChars="200"/>
        <w:rPr>
          <w:rFonts w:ascii="宋体"/>
          <w:b/>
          <w:sz w:val="24"/>
        </w:rPr>
      </w:pPr>
      <w:r>
        <w:rPr>
          <w:rFonts w:ascii="宋体" w:hAnsi="宋体"/>
          <w:b/>
          <w:sz w:val="24"/>
        </w:rPr>
        <w:t>7.</w:t>
      </w:r>
      <w:r>
        <w:rPr>
          <w:rFonts w:hint="eastAsia" w:ascii="宋体" w:hAnsi="宋体"/>
          <w:b/>
          <w:sz w:val="24"/>
        </w:rPr>
        <w:t>招标文件的组成</w:t>
      </w:r>
    </w:p>
    <w:p>
      <w:pPr>
        <w:spacing w:line="360" w:lineRule="auto"/>
        <w:ind w:firstLine="480" w:firstLineChars="200"/>
        <w:rPr>
          <w:rFonts w:ascii="宋体"/>
          <w:sz w:val="24"/>
        </w:rPr>
      </w:pPr>
      <w:r>
        <w:rPr>
          <w:rFonts w:ascii="宋体" w:hAnsi="宋体"/>
          <w:bCs/>
          <w:sz w:val="24"/>
        </w:rPr>
        <w:t>7.1</w:t>
      </w:r>
      <w:r>
        <w:rPr>
          <w:rFonts w:hint="eastAsia" w:ascii="宋体" w:hAnsi="宋体"/>
          <w:sz w:val="24"/>
        </w:rPr>
        <w:t>本招标文件包括下列文件，以及所有按本须知第</w:t>
      </w:r>
      <w:r>
        <w:rPr>
          <w:rFonts w:ascii="宋体" w:hAnsi="宋体"/>
          <w:sz w:val="24"/>
        </w:rPr>
        <w:t>8</w:t>
      </w:r>
      <w:r>
        <w:rPr>
          <w:rFonts w:hint="eastAsia" w:ascii="宋体" w:hAnsi="宋体"/>
          <w:sz w:val="24"/>
        </w:rPr>
        <w:t>条发出的招标答疑会会议纪要和按本须知第</w:t>
      </w:r>
      <w:r>
        <w:rPr>
          <w:rFonts w:ascii="宋体" w:hAnsi="宋体"/>
          <w:sz w:val="24"/>
        </w:rPr>
        <w:t>9</w:t>
      </w:r>
      <w:r>
        <w:rPr>
          <w:rFonts w:hint="eastAsia" w:ascii="宋体" w:hAnsi="宋体"/>
          <w:sz w:val="24"/>
        </w:rPr>
        <w:t>条发出的澄清或修改：</w:t>
      </w:r>
    </w:p>
    <w:p>
      <w:pPr>
        <w:pStyle w:val="35"/>
        <w:spacing w:after="0" w:line="360" w:lineRule="auto"/>
        <w:ind w:left="-2" w:firstLine="480" w:firstLineChars="200"/>
        <w:rPr>
          <w:rFonts w:ascii="宋体"/>
          <w:sz w:val="24"/>
        </w:rPr>
      </w:pPr>
      <w:r>
        <w:rPr>
          <w:rFonts w:hint="eastAsia" w:ascii="宋体" w:hAnsi="宋体"/>
          <w:bCs/>
          <w:sz w:val="24"/>
        </w:rPr>
        <w:t>第一章</w:t>
      </w:r>
      <w:r>
        <w:rPr>
          <w:rFonts w:ascii="宋体" w:hAnsi="宋体"/>
          <w:bCs/>
          <w:sz w:val="24"/>
        </w:rPr>
        <w:t xml:space="preserve">  </w:t>
      </w:r>
      <w:r>
        <w:rPr>
          <w:rFonts w:hint="eastAsia" w:ascii="宋体" w:hAnsi="宋体"/>
          <w:sz w:val="24"/>
        </w:rPr>
        <w:t>投标须知</w:t>
      </w:r>
    </w:p>
    <w:p>
      <w:pPr>
        <w:pStyle w:val="35"/>
        <w:spacing w:after="0" w:line="360" w:lineRule="auto"/>
        <w:ind w:left="-2" w:firstLine="480" w:firstLineChars="200"/>
        <w:rPr>
          <w:rFonts w:ascii="宋体"/>
          <w:sz w:val="24"/>
        </w:rPr>
      </w:pPr>
      <w:r>
        <w:rPr>
          <w:rFonts w:hint="eastAsia" w:ascii="宋体" w:hAnsi="宋体"/>
          <w:bCs/>
          <w:sz w:val="24"/>
        </w:rPr>
        <w:t>第二章</w:t>
      </w:r>
      <w:r>
        <w:rPr>
          <w:rFonts w:ascii="宋体" w:hAnsi="宋体"/>
          <w:bCs/>
          <w:sz w:val="24"/>
        </w:rPr>
        <w:t xml:space="preserve">  </w:t>
      </w:r>
      <w:r>
        <w:rPr>
          <w:rFonts w:hint="eastAsia" w:ascii="宋体" w:hAnsi="宋体"/>
          <w:sz w:val="24"/>
        </w:rPr>
        <w:t>开标、评标及定标办法</w:t>
      </w:r>
    </w:p>
    <w:p>
      <w:pPr>
        <w:pStyle w:val="35"/>
        <w:spacing w:after="0" w:line="360" w:lineRule="auto"/>
        <w:ind w:firstLine="480" w:firstLineChars="200"/>
        <w:rPr>
          <w:rFonts w:ascii="宋体"/>
          <w:sz w:val="24"/>
        </w:rPr>
      </w:pPr>
      <w:r>
        <w:rPr>
          <w:rFonts w:hint="eastAsia" w:ascii="宋体" w:hAnsi="宋体"/>
          <w:sz w:val="24"/>
        </w:rPr>
        <w:t>第三章</w:t>
      </w:r>
      <w:r>
        <w:rPr>
          <w:rFonts w:ascii="宋体" w:hAnsi="宋体"/>
          <w:sz w:val="24"/>
        </w:rPr>
        <w:t xml:space="preserve">  </w:t>
      </w:r>
      <w:r>
        <w:rPr>
          <w:rFonts w:hint="eastAsia" w:ascii="宋体" w:hAnsi="宋体"/>
          <w:sz w:val="24"/>
        </w:rPr>
        <w:t>合同条款</w:t>
      </w:r>
    </w:p>
    <w:p>
      <w:pPr>
        <w:pStyle w:val="35"/>
        <w:spacing w:after="0" w:line="360" w:lineRule="auto"/>
        <w:ind w:firstLine="480" w:firstLineChars="200"/>
        <w:rPr>
          <w:rFonts w:ascii="宋体"/>
          <w:sz w:val="24"/>
        </w:rPr>
      </w:pPr>
      <w:r>
        <w:rPr>
          <w:rFonts w:hint="eastAsia" w:ascii="宋体" w:hAnsi="宋体"/>
          <w:bCs/>
          <w:sz w:val="24"/>
        </w:rPr>
        <w:t>第四章</w:t>
      </w:r>
      <w:r>
        <w:rPr>
          <w:rFonts w:ascii="宋体" w:hAnsi="宋体"/>
          <w:bCs/>
          <w:sz w:val="24"/>
        </w:rPr>
        <w:t xml:space="preserve">  </w:t>
      </w:r>
      <w:r>
        <w:rPr>
          <w:rFonts w:hint="eastAsia" w:ascii="宋体" w:hAnsi="宋体"/>
          <w:sz w:val="24"/>
        </w:rPr>
        <w:t>投标文件格式</w:t>
      </w:r>
    </w:p>
    <w:p>
      <w:pPr>
        <w:pStyle w:val="35"/>
        <w:spacing w:after="0" w:line="360" w:lineRule="auto"/>
        <w:ind w:left="-2" w:firstLine="480" w:firstLineChars="200"/>
        <w:rPr>
          <w:rFonts w:ascii="宋体"/>
          <w:sz w:val="24"/>
        </w:rPr>
      </w:pPr>
      <w:r>
        <w:rPr>
          <w:rFonts w:hint="eastAsia" w:ascii="宋体" w:hAnsi="宋体"/>
          <w:bCs/>
          <w:sz w:val="24"/>
        </w:rPr>
        <w:t>第五章</w:t>
      </w:r>
      <w:r>
        <w:rPr>
          <w:rFonts w:ascii="宋体" w:hAnsi="宋体"/>
          <w:bCs/>
          <w:sz w:val="24"/>
        </w:rPr>
        <w:t xml:space="preserve">  </w:t>
      </w:r>
      <w:r>
        <w:rPr>
          <w:rFonts w:hint="eastAsia" w:ascii="宋体" w:hAnsi="宋体"/>
          <w:sz w:val="24"/>
        </w:rPr>
        <w:t>技术条件（工程建设标准）</w:t>
      </w:r>
    </w:p>
    <w:p>
      <w:pPr>
        <w:pStyle w:val="35"/>
        <w:spacing w:after="0" w:line="360" w:lineRule="auto"/>
        <w:ind w:left="-2" w:firstLine="480" w:firstLineChars="200"/>
        <w:rPr>
          <w:rFonts w:ascii="宋体" w:hAnsi="宋体"/>
          <w:bCs/>
          <w:sz w:val="24"/>
        </w:rPr>
      </w:pPr>
      <w:r>
        <w:rPr>
          <w:rFonts w:hint="eastAsia" w:ascii="宋体" w:hAnsi="宋体"/>
          <w:bCs/>
          <w:sz w:val="24"/>
        </w:rPr>
        <w:t>第六章</w:t>
      </w:r>
      <w:r>
        <w:rPr>
          <w:rFonts w:ascii="宋体" w:hAnsi="宋体"/>
          <w:bCs/>
          <w:sz w:val="24"/>
        </w:rPr>
        <w:t xml:space="preserve"> </w:t>
      </w:r>
      <w:r>
        <w:rPr>
          <w:rFonts w:hint="eastAsia" w:ascii="宋体" w:hAnsi="宋体"/>
          <w:bCs/>
          <w:sz w:val="24"/>
        </w:rPr>
        <w:t xml:space="preserve"> </w:t>
      </w:r>
      <w:r>
        <w:rPr>
          <w:rFonts w:hint="eastAsia" w:ascii="宋体" w:hAnsi="宋体"/>
          <w:bCs/>
          <w:sz w:val="24"/>
          <w:u w:val="single"/>
        </w:rPr>
        <w:t>智能建造要求</w:t>
      </w:r>
    </w:p>
    <w:p>
      <w:pPr>
        <w:pStyle w:val="35"/>
        <w:spacing w:after="0" w:line="360" w:lineRule="auto"/>
        <w:ind w:left="-2" w:firstLine="480" w:firstLineChars="200"/>
        <w:rPr>
          <w:rFonts w:ascii="宋体"/>
          <w:sz w:val="24"/>
        </w:rPr>
      </w:pPr>
      <w:r>
        <w:rPr>
          <w:rFonts w:hint="eastAsia" w:ascii="宋体" w:hAnsi="宋体"/>
          <w:bCs/>
          <w:sz w:val="24"/>
        </w:rPr>
        <w:t>第七章</w:t>
      </w:r>
      <w:r>
        <w:rPr>
          <w:rFonts w:ascii="宋体" w:hAnsi="宋体"/>
          <w:bCs/>
          <w:sz w:val="24"/>
        </w:rPr>
        <w:t xml:space="preserve">  </w:t>
      </w:r>
      <w:r>
        <w:rPr>
          <w:rFonts w:hint="eastAsia" w:ascii="宋体" w:hAnsi="宋体"/>
          <w:sz w:val="24"/>
        </w:rPr>
        <w:t>图纸及勘察资料（另册）</w:t>
      </w:r>
    </w:p>
    <w:p>
      <w:pPr>
        <w:pStyle w:val="35"/>
        <w:spacing w:after="0" w:line="360" w:lineRule="auto"/>
        <w:ind w:left="-2" w:firstLine="480" w:firstLineChars="200"/>
        <w:rPr>
          <w:rFonts w:ascii="宋体"/>
          <w:sz w:val="24"/>
        </w:rPr>
      </w:pPr>
      <w:r>
        <w:rPr>
          <w:rFonts w:hint="eastAsia" w:ascii="宋体" w:hAnsi="宋体"/>
          <w:bCs/>
          <w:sz w:val="24"/>
        </w:rPr>
        <w:t>第八章</w:t>
      </w:r>
      <w:r>
        <w:rPr>
          <w:rFonts w:ascii="宋体" w:hAnsi="宋体"/>
          <w:bCs/>
          <w:sz w:val="24"/>
        </w:rPr>
        <w:t xml:space="preserve">  </w:t>
      </w:r>
      <w:r>
        <w:rPr>
          <w:rFonts w:hint="eastAsia" w:ascii="宋体" w:hAnsi="宋体"/>
          <w:bCs/>
          <w:sz w:val="24"/>
        </w:rPr>
        <w:t>招标</w:t>
      </w:r>
      <w:r>
        <w:rPr>
          <w:rFonts w:hint="eastAsia" w:ascii="宋体" w:hAnsi="宋体"/>
          <w:sz w:val="24"/>
        </w:rPr>
        <w:t>工程量清单（另册）</w:t>
      </w:r>
    </w:p>
    <w:p>
      <w:pPr>
        <w:pStyle w:val="35"/>
        <w:spacing w:after="0" w:line="360" w:lineRule="auto"/>
        <w:ind w:left="-2" w:firstLine="480" w:firstLineChars="200"/>
        <w:rPr>
          <w:rFonts w:ascii="宋体"/>
          <w:sz w:val="24"/>
        </w:rPr>
      </w:pPr>
      <w:r>
        <w:rPr>
          <w:rFonts w:hint="eastAsia" w:ascii="宋体" w:hAnsi="宋体"/>
          <w:sz w:val="24"/>
        </w:rPr>
        <w:t>第九章</w:t>
      </w:r>
      <w:r>
        <w:rPr>
          <w:rFonts w:ascii="宋体" w:hAnsi="宋体"/>
          <w:sz w:val="24"/>
        </w:rPr>
        <w:t xml:space="preserve">  </w:t>
      </w:r>
      <w:r>
        <w:rPr>
          <w:rFonts w:hint="eastAsia" w:ascii="宋体" w:hAnsi="宋体"/>
          <w:sz w:val="24"/>
        </w:rPr>
        <w:t>最高投标限价</w:t>
      </w:r>
    </w:p>
    <w:p>
      <w:pPr>
        <w:pStyle w:val="35"/>
        <w:spacing w:after="0" w:line="360" w:lineRule="auto"/>
        <w:ind w:firstLine="482" w:firstLineChars="200"/>
        <w:rPr>
          <w:rFonts w:ascii="宋体" w:hAnsi="宋体"/>
          <w:b/>
          <w:bCs/>
          <w:sz w:val="24"/>
        </w:rPr>
      </w:pPr>
      <w:r>
        <w:rPr>
          <w:rFonts w:hint="eastAsia" w:ascii="宋体" w:hAnsi="宋体"/>
          <w:b/>
          <w:bCs/>
          <w:sz w:val="24"/>
        </w:rPr>
        <w:t>注：招标人应在技术条件（工程建设标准）中明确施工现场建筑垃圾源头减量的具体要求和建筑垃圾综合利用产品的使用要求。</w:t>
      </w:r>
    </w:p>
    <w:p>
      <w:pPr>
        <w:pStyle w:val="35"/>
        <w:spacing w:after="0" w:line="360" w:lineRule="auto"/>
        <w:ind w:firstLine="480" w:firstLineChars="200"/>
        <w:rPr>
          <w:rFonts w:ascii="宋体"/>
          <w:sz w:val="24"/>
        </w:rPr>
      </w:pPr>
      <w:r>
        <w:rPr>
          <w:rFonts w:ascii="宋体" w:hAnsi="宋体"/>
          <w:sz w:val="24"/>
        </w:rPr>
        <w:t xml:space="preserve">7.2 </w:t>
      </w:r>
      <w:r>
        <w:rPr>
          <w:rFonts w:hint="eastAsia" w:ascii="宋体" w:hAnsi="宋体"/>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35"/>
        <w:spacing w:after="0" w:line="360" w:lineRule="auto"/>
        <w:ind w:firstLine="480" w:firstLineChars="200"/>
        <w:rPr>
          <w:rFonts w:ascii="宋体"/>
          <w:sz w:val="24"/>
        </w:rPr>
      </w:pPr>
      <w:r>
        <w:rPr>
          <w:rFonts w:ascii="宋体" w:hAnsi="宋体"/>
          <w:sz w:val="24"/>
        </w:rPr>
        <w:t xml:space="preserve">7.3 </w:t>
      </w:r>
      <w:r>
        <w:rPr>
          <w:rFonts w:hint="eastAsia" w:ascii="宋体" w:hAnsi="宋体"/>
          <w:sz w:val="24"/>
        </w:rPr>
        <w:t>投标人一旦中标，招标文件的内容对招标人和中标人双方均有约束力。</w:t>
      </w:r>
    </w:p>
    <w:p>
      <w:pPr>
        <w:pStyle w:val="35"/>
        <w:spacing w:after="0" w:line="360" w:lineRule="auto"/>
        <w:ind w:firstLine="482" w:firstLineChars="200"/>
        <w:rPr>
          <w:rFonts w:ascii="宋体"/>
          <w:b/>
          <w:bCs/>
          <w:sz w:val="24"/>
        </w:rPr>
      </w:pPr>
      <w:r>
        <w:rPr>
          <w:rFonts w:ascii="宋体" w:hAnsi="宋体"/>
          <w:b/>
          <w:bCs/>
          <w:sz w:val="24"/>
        </w:rPr>
        <w:t>8</w:t>
      </w:r>
      <w:r>
        <w:rPr>
          <w:rFonts w:hint="eastAsia" w:ascii="宋体" w:hAnsi="宋体"/>
          <w:b/>
          <w:bCs/>
          <w:sz w:val="24"/>
        </w:rPr>
        <w:t>．招标答疑</w:t>
      </w:r>
    </w:p>
    <w:p>
      <w:pPr>
        <w:pStyle w:val="35"/>
        <w:spacing w:after="0" w:line="360" w:lineRule="auto"/>
        <w:ind w:firstLine="480" w:firstLineChars="200"/>
        <w:rPr>
          <w:rFonts w:ascii="宋体"/>
          <w:sz w:val="24"/>
        </w:rPr>
      </w:pPr>
      <w:r>
        <w:rPr>
          <w:rFonts w:ascii="宋体" w:hAnsi="宋体"/>
          <w:sz w:val="24"/>
        </w:rPr>
        <w:t xml:space="preserve">8.1 </w:t>
      </w:r>
      <w:r>
        <w:rPr>
          <w:rFonts w:hint="eastAsia" w:ascii="宋体" w:hAnsi="宋体"/>
          <w:sz w:val="24"/>
        </w:rPr>
        <w:t>投标人若对招标文件（包括招标图纸）中有疑问，可以书面形式</w:t>
      </w:r>
      <w:r>
        <w:rPr>
          <w:rFonts w:hint="eastAsia"/>
          <w:sz w:val="24"/>
          <w:szCs w:val="24"/>
        </w:rPr>
        <w:t>通过</w:t>
      </w:r>
      <w:r>
        <w:rPr>
          <w:sz w:val="24"/>
          <w:szCs w:val="24"/>
          <w:u w:val="single"/>
        </w:rPr>
        <w:t xml:space="preserve"> </w:t>
      </w:r>
      <w:r>
        <w:rPr>
          <w:rFonts w:hint="eastAsia" w:ascii="宋体" w:hAnsi="宋体"/>
          <w:szCs w:val="21"/>
          <w:u w:val="single"/>
        </w:rPr>
        <w:t>广州</w:t>
      </w:r>
      <w:r>
        <w:rPr>
          <w:rFonts w:ascii="宋体" w:hAnsi="宋体"/>
          <w:szCs w:val="21"/>
          <w:u w:val="single"/>
        </w:rPr>
        <w:t>公共资源交易中心</w:t>
      </w:r>
      <w:r>
        <w:rPr>
          <w:sz w:val="24"/>
          <w:szCs w:val="24"/>
          <w:u w:val="single"/>
        </w:rPr>
        <w:t xml:space="preserve"> </w:t>
      </w:r>
      <w:r>
        <w:rPr>
          <w:rFonts w:hint="eastAsia" w:ascii="宋体" w:hAnsi="宋体"/>
          <w:sz w:val="24"/>
          <w:szCs w:val="24"/>
        </w:rPr>
        <w:t>交易平台</w:t>
      </w:r>
      <w:r>
        <w:rPr>
          <w:rFonts w:hint="eastAsia"/>
          <w:sz w:val="24"/>
          <w:szCs w:val="24"/>
        </w:rPr>
        <w:t>提交</w:t>
      </w:r>
      <w:r>
        <w:rPr>
          <w:rFonts w:hint="eastAsia" w:ascii="宋体" w:hAnsi="宋体"/>
          <w:sz w:val="24"/>
        </w:rPr>
        <w:t>给招标人或招标代理人，提交形式见本须知前附表第</w:t>
      </w:r>
      <w:r>
        <w:rPr>
          <w:rFonts w:ascii="宋体" w:hAnsi="宋体"/>
          <w:sz w:val="24"/>
        </w:rPr>
        <w:t>16</w:t>
      </w:r>
      <w:r>
        <w:rPr>
          <w:rFonts w:hint="eastAsia" w:ascii="宋体" w:hAnsi="宋体"/>
          <w:sz w:val="24"/>
        </w:rPr>
        <w:t>项。</w:t>
      </w:r>
    </w:p>
    <w:p>
      <w:pPr>
        <w:pStyle w:val="35"/>
        <w:spacing w:after="0" w:line="360" w:lineRule="auto"/>
        <w:ind w:firstLine="480" w:firstLineChars="200"/>
        <w:rPr>
          <w:rFonts w:ascii="宋体"/>
          <w:sz w:val="24"/>
        </w:rPr>
      </w:pPr>
      <w:r>
        <w:rPr>
          <w:rFonts w:ascii="宋体" w:hAnsi="宋体"/>
          <w:sz w:val="24"/>
        </w:rPr>
        <w:t>8.2</w:t>
      </w:r>
      <w:r>
        <w:rPr>
          <w:rFonts w:hint="eastAsia" w:ascii="宋体"/>
          <w:sz w:val="24"/>
        </w:rPr>
        <w:t>招标答疑会会议纪要将在提交投标文件截止时间15日前在</w:t>
      </w:r>
      <w:r>
        <w:rPr>
          <w:sz w:val="24"/>
          <w:szCs w:val="24"/>
          <w:u w:val="single"/>
        </w:rPr>
        <w:t xml:space="preserve">  </w:t>
      </w:r>
      <w:r>
        <w:rPr>
          <w:rFonts w:hint="eastAsia" w:ascii="宋体" w:hAnsi="宋体"/>
          <w:szCs w:val="21"/>
          <w:u w:val="single"/>
        </w:rPr>
        <w:t>广州</w:t>
      </w:r>
      <w:r>
        <w:rPr>
          <w:rFonts w:ascii="宋体" w:hAnsi="宋体"/>
          <w:szCs w:val="21"/>
          <w:u w:val="single"/>
        </w:rPr>
        <w:t>公共资源交易中心</w:t>
      </w:r>
      <w:r>
        <w:rPr>
          <w:sz w:val="24"/>
          <w:szCs w:val="24"/>
          <w:u w:val="single"/>
        </w:rPr>
        <w:t xml:space="preserve"> </w:t>
      </w:r>
      <w:r>
        <w:rPr>
          <w:rFonts w:hint="eastAsia" w:ascii="宋体" w:hAnsi="宋体"/>
          <w:sz w:val="24"/>
          <w:szCs w:val="24"/>
        </w:rPr>
        <w:t>交易平台</w:t>
      </w:r>
      <w:r>
        <w:rPr>
          <w:rFonts w:hint="eastAsia" w:ascii="宋体"/>
          <w:sz w:val="24"/>
        </w:rPr>
        <w:t xml:space="preserve"> “项目答疑纪要”专区公开发布。答疑纪要一经在</w:t>
      </w:r>
      <w:r>
        <w:rPr>
          <w:sz w:val="24"/>
          <w:szCs w:val="24"/>
          <w:u w:val="single"/>
        </w:rPr>
        <w:t xml:space="preserve"> </w:t>
      </w:r>
      <w:r>
        <w:rPr>
          <w:rFonts w:hint="eastAsia" w:ascii="宋体" w:hAnsi="宋体"/>
          <w:szCs w:val="21"/>
          <w:u w:val="single"/>
        </w:rPr>
        <w:t>广州</w:t>
      </w:r>
      <w:r>
        <w:rPr>
          <w:rFonts w:ascii="宋体" w:hAnsi="宋体"/>
          <w:szCs w:val="21"/>
          <w:u w:val="single"/>
        </w:rPr>
        <w:t>公共资源交易中心</w:t>
      </w:r>
      <w:r>
        <w:rPr>
          <w:sz w:val="24"/>
          <w:szCs w:val="24"/>
          <w:u w:val="single"/>
        </w:rPr>
        <w:t xml:space="preserve"> </w:t>
      </w:r>
      <w:r>
        <w:rPr>
          <w:rFonts w:hint="eastAsia" w:ascii="宋体" w:hAnsi="宋体"/>
          <w:sz w:val="24"/>
          <w:szCs w:val="24"/>
        </w:rPr>
        <w:t>交易平台</w:t>
      </w:r>
      <w:r>
        <w:rPr>
          <w:rFonts w:hint="eastAsia" w:ascii="宋体"/>
          <w:sz w:val="24"/>
        </w:rPr>
        <w:t>发布，视作已发放给所有投标人。</w:t>
      </w:r>
    </w:p>
    <w:p>
      <w:pPr>
        <w:pStyle w:val="35"/>
        <w:spacing w:after="0" w:line="360" w:lineRule="auto"/>
        <w:ind w:firstLine="480" w:firstLineChars="200"/>
        <w:rPr>
          <w:rFonts w:ascii="宋体"/>
          <w:sz w:val="24"/>
        </w:rPr>
      </w:pPr>
      <w:r>
        <w:rPr>
          <w:rFonts w:ascii="宋体" w:hAnsi="宋体"/>
          <w:sz w:val="24"/>
        </w:rPr>
        <w:t>8.3</w:t>
      </w:r>
      <w:r>
        <w:rPr>
          <w:rFonts w:hint="eastAsia" w:ascii="宋体" w:hAnsi="宋体"/>
          <w:sz w:val="24"/>
        </w:rPr>
        <w:t>答疑会会议纪要为招标文件的一部分。</w:t>
      </w:r>
    </w:p>
    <w:p>
      <w:pPr>
        <w:pStyle w:val="35"/>
        <w:spacing w:after="0" w:line="360" w:lineRule="auto"/>
        <w:ind w:firstLine="480" w:firstLineChars="200"/>
        <w:rPr>
          <w:rFonts w:ascii="宋体"/>
          <w:sz w:val="24"/>
        </w:rPr>
      </w:pPr>
      <w:r>
        <w:rPr>
          <w:rFonts w:ascii="宋体" w:hAnsi="宋体"/>
          <w:sz w:val="24"/>
        </w:rPr>
        <w:t>8.4</w:t>
      </w:r>
      <w:r>
        <w:rPr>
          <w:rFonts w:hint="eastAsia" w:ascii="宋体" w:hAnsi="宋体"/>
          <w:sz w:val="24"/>
        </w:rPr>
        <w:t>若招标答疑会会议纪要与招标文件有矛盾，以答疑会议纪要最后发出的书面形式的文件为准。</w:t>
      </w:r>
    </w:p>
    <w:p>
      <w:pPr>
        <w:pStyle w:val="35"/>
        <w:spacing w:after="0" w:line="360" w:lineRule="auto"/>
        <w:ind w:firstLine="482" w:firstLineChars="200"/>
        <w:rPr>
          <w:rFonts w:ascii="宋体"/>
          <w:b/>
          <w:bCs/>
          <w:sz w:val="24"/>
        </w:rPr>
      </w:pPr>
      <w:r>
        <w:rPr>
          <w:rFonts w:ascii="宋体" w:hAnsi="宋体"/>
          <w:b/>
          <w:bCs/>
          <w:sz w:val="24"/>
        </w:rPr>
        <w:t>9.</w:t>
      </w:r>
      <w:r>
        <w:rPr>
          <w:rFonts w:hint="eastAsia" w:ascii="宋体" w:hAnsi="宋体"/>
          <w:b/>
          <w:bCs/>
          <w:sz w:val="24"/>
        </w:rPr>
        <w:t>招标文件的澄清与修改</w:t>
      </w:r>
    </w:p>
    <w:p>
      <w:pPr>
        <w:pStyle w:val="35"/>
        <w:spacing w:after="0" w:line="360" w:lineRule="auto"/>
        <w:ind w:firstLine="480" w:firstLineChars="200"/>
        <w:rPr>
          <w:rFonts w:ascii="宋体"/>
          <w:sz w:val="24"/>
        </w:rPr>
      </w:pPr>
      <w:r>
        <w:rPr>
          <w:rFonts w:ascii="宋体" w:hAnsi="宋体"/>
          <w:sz w:val="24"/>
        </w:rPr>
        <w:t>9.1</w:t>
      </w:r>
      <w:r>
        <w:rPr>
          <w:rFonts w:hint="eastAsia" w:ascii="宋体" w:hAnsi="宋体"/>
          <w:sz w:val="24"/>
        </w:rPr>
        <w:t>招标文件发出后</w:t>
      </w:r>
      <w:r>
        <w:rPr>
          <w:rFonts w:ascii="宋体"/>
          <w:sz w:val="24"/>
        </w:rPr>
        <w:t>,</w:t>
      </w:r>
      <w:r>
        <w:rPr>
          <w:rFonts w:hint="eastAsia" w:ascii="宋体" w:hAnsi="宋体"/>
          <w:sz w:val="24"/>
        </w:rPr>
        <w:t>在提交投标文件截止时间15日前，招标人可对招标文件进行必要的澄清或修改。</w:t>
      </w:r>
    </w:p>
    <w:p>
      <w:pPr>
        <w:pStyle w:val="35"/>
        <w:spacing w:after="0" w:line="360" w:lineRule="auto"/>
        <w:ind w:firstLine="480" w:firstLineChars="200"/>
        <w:rPr>
          <w:rFonts w:ascii="宋体"/>
          <w:sz w:val="24"/>
        </w:rPr>
      </w:pPr>
      <w:r>
        <w:rPr>
          <w:rFonts w:ascii="宋体" w:hAnsi="宋体"/>
          <w:sz w:val="24"/>
        </w:rPr>
        <w:t>9.2</w:t>
      </w:r>
      <w:r>
        <w:rPr>
          <w:rFonts w:hint="eastAsia" w:ascii="宋体"/>
          <w:sz w:val="24"/>
        </w:rPr>
        <w:t>招标文件的澄清或修改将在</w:t>
      </w:r>
      <w:r>
        <w:rPr>
          <w:sz w:val="24"/>
          <w:szCs w:val="24"/>
          <w:u w:val="single"/>
        </w:rPr>
        <w:t xml:space="preserve"> </w:t>
      </w:r>
      <w:r>
        <w:rPr>
          <w:rFonts w:hint="eastAsia"/>
          <w:sz w:val="24"/>
          <w:szCs w:val="24"/>
          <w:u w:val="single"/>
        </w:rPr>
        <w:t>广州公共资源交易中心</w:t>
      </w:r>
      <w:r>
        <w:rPr>
          <w:sz w:val="24"/>
          <w:szCs w:val="24"/>
          <w:u w:val="single"/>
        </w:rPr>
        <w:t xml:space="preserve"> </w:t>
      </w:r>
      <w:r>
        <w:rPr>
          <w:rFonts w:hint="eastAsia" w:ascii="宋体" w:hAnsi="宋体"/>
          <w:sz w:val="24"/>
          <w:szCs w:val="24"/>
        </w:rPr>
        <w:t>交易平台</w:t>
      </w:r>
      <w:r>
        <w:rPr>
          <w:rFonts w:hint="eastAsia" w:ascii="宋体"/>
          <w:sz w:val="24"/>
        </w:rPr>
        <w:t>“项目答疑纪要”专区公开发布。答疑纪要一经在</w:t>
      </w:r>
      <w:r>
        <w:rPr>
          <w:sz w:val="24"/>
          <w:szCs w:val="24"/>
          <w:u w:val="single"/>
        </w:rPr>
        <w:t xml:space="preserve"> </w:t>
      </w:r>
      <w:r>
        <w:rPr>
          <w:rFonts w:hint="eastAsia"/>
          <w:sz w:val="24"/>
          <w:szCs w:val="24"/>
          <w:u w:val="single"/>
        </w:rPr>
        <w:t>广州公共资源交易中心</w:t>
      </w:r>
      <w:r>
        <w:rPr>
          <w:sz w:val="24"/>
          <w:szCs w:val="24"/>
          <w:u w:val="single"/>
        </w:rPr>
        <w:t xml:space="preserve"> </w:t>
      </w:r>
      <w:r>
        <w:rPr>
          <w:rFonts w:hint="eastAsia" w:ascii="宋体" w:hAnsi="宋体"/>
          <w:sz w:val="24"/>
          <w:szCs w:val="24"/>
        </w:rPr>
        <w:t>交易平台</w:t>
      </w:r>
      <w:r>
        <w:rPr>
          <w:rFonts w:hint="eastAsia" w:ascii="宋体"/>
          <w:sz w:val="24"/>
        </w:rPr>
        <w:t>发布，视作已发放给所有投标人，以</w:t>
      </w:r>
      <w:r>
        <w:rPr>
          <w:sz w:val="24"/>
          <w:szCs w:val="24"/>
          <w:u w:val="single"/>
        </w:rPr>
        <w:t xml:space="preserve"> </w:t>
      </w:r>
      <w:r>
        <w:rPr>
          <w:rFonts w:hint="eastAsia"/>
          <w:sz w:val="24"/>
          <w:szCs w:val="24"/>
          <w:u w:val="single"/>
        </w:rPr>
        <w:t>广州公共资源交易中心</w:t>
      </w:r>
      <w:r>
        <w:rPr>
          <w:sz w:val="24"/>
          <w:szCs w:val="24"/>
          <w:u w:val="single"/>
        </w:rPr>
        <w:t xml:space="preserve"> </w:t>
      </w:r>
      <w:r>
        <w:rPr>
          <w:rFonts w:hint="eastAsia" w:ascii="宋体" w:hAnsi="宋体"/>
          <w:sz w:val="24"/>
          <w:szCs w:val="24"/>
        </w:rPr>
        <w:t>交易平台</w:t>
      </w:r>
      <w:r>
        <w:rPr>
          <w:rFonts w:hint="eastAsia" w:ascii="宋体"/>
          <w:sz w:val="24"/>
        </w:rPr>
        <w:t>上网发布时间作为送达时间。</w:t>
      </w:r>
    </w:p>
    <w:p>
      <w:pPr>
        <w:pStyle w:val="35"/>
        <w:spacing w:after="0" w:line="360" w:lineRule="auto"/>
        <w:ind w:firstLine="480" w:firstLineChars="200"/>
        <w:rPr>
          <w:rFonts w:ascii="宋体"/>
          <w:sz w:val="24"/>
        </w:rPr>
      </w:pPr>
      <w:r>
        <w:rPr>
          <w:rFonts w:ascii="宋体" w:hAnsi="宋体"/>
          <w:sz w:val="24"/>
        </w:rPr>
        <w:t>9.3</w:t>
      </w:r>
      <w:r>
        <w:rPr>
          <w:rFonts w:hint="eastAsia" w:ascii="宋体" w:hAnsi="宋体"/>
          <w:sz w:val="24"/>
        </w:rPr>
        <w:t>招标文件的修改内容为招标文件的组成部分。</w:t>
      </w:r>
    </w:p>
    <w:p>
      <w:pPr>
        <w:pStyle w:val="35"/>
        <w:spacing w:after="0" w:line="360" w:lineRule="auto"/>
        <w:ind w:firstLine="480" w:firstLineChars="200"/>
        <w:rPr>
          <w:rFonts w:ascii="宋体"/>
          <w:sz w:val="24"/>
        </w:rPr>
      </w:pPr>
      <w:r>
        <w:rPr>
          <w:rFonts w:ascii="宋体" w:hAnsi="宋体"/>
          <w:sz w:val="24"/>
        </w:rPr>
        <w:t>9.4</w:t>
      </w:r>
      <w:r>
        <w:rPr>
          <w:rFonts w:hint="eastAsia" w:ascii="宋体" w:hAnsi="宋体"/>
          <w:sz w:val="24"/>
          <w:u w:val="single"/>
        </w:rPr>
        <w:t>招标文件的澄清或修改均以网上答疑公布的内容为准。当招标文件的澄清、修改、补充等在同一内容的表述不一致时，以最后发出的文件为准。</w:t>
      </w:r>
    </w:p>
    <w:p>
      <w:pPr>
        <w:pStyle w:val="35"/>
        <w:spacing w:after="0" w:line="360" w:lineRule="auto"/>
        <w:ind w:firstLine="480" w:firstLineChars="200"/>
        <w:rPr>
          <w:rFonts w:ascii="宋体"/>
          <w:sz w:val="24"/>
        </w:rPr>
      </w:pPr>
      <w:r>
        <w:rPr>
          <w:rFonts w:ascii="宋体" w:hAnsi="宋体"/>
          <w:sz w:val="24"/>
        </w:rPr>
        <w:t>9.5</w:t>
      </w:r>
      <w:r>
        <w:rPr>
          <w:rFonts w:hint="eastAsia" w:ascii="宋体" w:hAnsi="宋体"/>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5"/>
        <w:spacing w:before="156" w:after="156"/>
      </w:pPr>
      <w:bookmarkStart w:id="13" w:name="_Toc21525495"/>
      <w:bookmarkStart w:id="14" w:name="_Toc2272551"/>
      <w:r>
        <w:rPr>
          <w:rFonts w:hint="eastAsia"/>
        </w:rPr>
        <w:t>（三）投标文件的编制</w:t>
      </w:r>
      <w:bookmarkEnd w:id="13"/>
      <w:bookmarkEnd w:id="14"/>
    </w:p>
    <w:p>
      <w:pPr>
        <w:pStyle w:val="35"/>
        <w:spacing w:after="0" w:line="360" w:lineRule="auto"/>
        <w:ind w:firstLine="482" w:firstLineChars="200"/>
        <w:rPr>
          <w:rFonts w:ascii="宋体"/>
          <w:b/>
          <w:bCs/>
          <w:sz w:val="24"/>
        </w:rPr>
      </w:pPr>
      <w:r>
        <w:rPr>
          <w:rFonts w:ascii="宋体" w:hAnsi="宋体"/>
          <w:b/>
          <w:bCs/>
          <w:sz w:val="24"/>
        </w:rPr>
        <w:t>10</w:t>
      </w:r>
      <w:r>
        <w:rPr>
          <w:rFonts w:hint="eastAsia" w:ascii="宋体" w:hAnsi="宋体"/>
          <w:b/>
          <w:bCs/>
          <w:sz w:val="24"/>
        </w:rPr>
        <w:t>．投标文件的语言及度量衡单位</w:t>
      </w:r>
    </w:p>
    <w:p>
      <w:pPr>
        <w:pStyle w:val="35"/>
        <w:spacing w:after="0" w:line="360" w:lineRule="auto"/>
        <w:ind w:firstLine="480" w:firstLineChars="200"/>
        <w:rPr>
          <w:rFonts w:ascii="宋体"/>
          <w:sz w:val="24"/>
        </w:rPr>
      </w:pPr>
      <w:r>
        <w:rPr>
          <w:rFonts w:ascii="宋体" w:hAnsi="宋体"/>
          <w:sz w:val="24"/>
        </w:rPr>
        <w:t xml:space="preserve">10.1 </w:t>
      </w:r>
      <w:r>
        <w:rPr>
          <w:rFonts w:hint="eastAsia" w:ascii="宋体" w:hAnsi="宋体"/>
          <w:sz w:val="24"/>
        </w:rPr>
        <w:t>投标文件和与投标有关的所有文件均应使用中文。</w:t>
      </w:r>
    </w:p>
    <w:p>
      <w:pPr>
        <w:pStyle w:val="35"/>
        <w:spacing w:after="0" w:line="360" w:lineRule="auto"/>
        <w:ind w:firstLine="480" w:firstLineChars="200"/>
        <w:rPr>
          <w:rFonts w:ascii="宋体"/>
          <w:sz w:val="24"/>
        </w:rPr>
      </w:pPr>
      <w:r>
        <w:rPr>
          <w:rFonts w:ascii="宋体" w:hAnsi="宋体"/>
          <w:sz w:val="24"/>
        </w:rPr>
        <w:t xml:space="preserve">10.2 </w:t>
      </w:r>
      <w:r>
        <w:rPr>
          <w:rFonts w:hint="eastAsia" w:ascii="宋体" w:hAnsi="宋体"/>
          <w:sz w:val="24"/>
        </w:rPr>
        <w:t>除工程规范另有规定外，投标文件使用的度量衡单位，均采用中华人民共和国法定计量单位。</w:t>
      </w:r>
    </w:p>
    <w:p>
      <w:pPr>
        <w:pStyle w:val="35"/>
        <w:spacing w:after="0" w:line="360" w:lineRule="auto"/>
        <w:ind w:firstLine="482" w:firstLineChars="200"/>
        <w:rPr>
          <w:rFonts w:ascii="宋体"/>
          <w:b/>
          <w:bCs/>
          <w:sz w:val="24"/>
        </w:rPr>
      </w:pPr>
      <w:r>
        <w:rPr>
          <w:rFonts w:ascii="宋体" w:hAnsi="宋体"/>
          <w:b/>
          <w:bCs/>
          <w:sz w:val="24"/>
        </w:rPr>
        <w:t>11</w:t>
      </w:r>
      <w:r>
        <w:rPr>
          <w:rFonts w:hint="eastAsia" w:ascii="宋体" w:hAnsi="宋体"/>
          <w:b/>
          <w:bCs/>
          <w:sz w:val="24"/>
        </w:rPr>
        <w:t>．投标文件的组成</w:t>
      </w:r>
    </w:p>
    <w:p>
      <w:pPr>
        <w:pStyle w:val="35"/>
        <w:spacing w:after="0" w:line="360" w:lineRule="auto"/>
        <w:ind w:firstLine="480" w:firstLineChars="200"/>
        <w:rPr>
          <w:rFonts w:ascii="宋体"/>
          <w:b/>
          <w:sz w:val="24"/>
        </w:rPr>
      </w:pPr>
      <w:r>
        <w:rPr>
          <w:rFonts w:ascii="宋体" w:hAnsi="宋体"/>
          <w:sz w:val="24"/>
        </w:rPr>
        <w:t xml:space="preserve">11.1 </w:t>
      </w:r>
      <w:r>
        <w:rPr>
          <w:rFonts w:hint="eastAsia" w:ascii="宋体" w:hAnsi="宋体"/>
          <w:sz w:val="24"/>
        </w:rPr>
        <w:t>投标文件由技术部分（含资格审查文件）和经济部分两部分投标文件组成</w:t>
      </w:r>
      <w:r>
        <w:rPr>
          <w:rFonts w:hint="eastAsia" w:ascii="宋体" w:hAnsi="宋体"/>
          <w:b/>
          <w:sz w:val="24"/>
        </w:rPr>
        <w:t>。</w:t>
      </w:r>
    </w:p>
    <w:p>
      <w:pPr>
        <w:spacing w:line="360" w:lineRule="auto"/>
        <w:ind w:firstLine="480" w:firstLineChars="200"/>
        <w:rPr>
          <w:rFonts w:ascii="宋体" w:hAnsi="宋体"/>
          <w:bCs/>
          <w:sz w:val="24"/>
        </w:rPr>
      </w:pPr>
      <w:r>
        <w:rPr>
          <w:rFonts w:ascii="宋体" w:hAnsi="宋体"/>
          <w:bCs/>
          <w:sz w:val="24"/>
        </w:rPr>
        <w:t>11.2</w:t>
      </w:r>
      <w:r>
        <w:rPr>
          <w:rFonts w:hint="eastAsia" w:ascii="宋体" w:hAnsi="宋体"/>
          <w:bCs/>
          <w:sz w:val="24"/>
        </w:rPr>
        <w:t>投标文件技术标部分主要包括下列内容</w:t>
      </w:r>
      <w:r>
        <w:rPr>
          <w:rFonts w:ascii="宋体" w:hAnsi="宋体"/>
          <w:bCs/>
          <w:sz w:val="24"/>
        </w:rPr>
        <w:t>:</w:t>
      </w:r>
    </w:p>
    <w:p>
      <w:pPr>
        <w:tabs>
          <w:tab w:val="left" w:pos="1125"/>
        </w:tabs>
        <w:spacing w:line="360" w:lineRule="auto"/>
        <w:ind w:firstLine="480" w:firstLineChars="200"/>
        <w:rPr>
          <w:rFonts w:ascii="宋体"/>
          <w:sz w:val="24"/>
        </w:rPr>
      </w:pPr>
      <w:r>
        <w:rPr>
          <w:rFonts w:hint="eastAsia" w:ascii="宋体"/>
          <w:sz w:val="24"/>
        </w:rPr>
        <w:t>11.2.1 投标函（见招标文件第四章格式二）；</w:t>
      </w:r>
    </w:p>
    <w:p>
      <w:pPr>
        <w:tabs>
          <w:tab w:val="left" w:pos="1125"/>
        </w:tabs>
        <w:spacing w:line="360" w:lineRule="auto"/>
        <w:ind w:firstLine="480" w:firstLineChars="200"/>
        <w:rPr>
          <w:rFonts w:ascii="宋体"/>
          <w:sz w:val="24"/>
        </w:rPr>
      </w:pPr>
      <w:r>
        <w:rPr>
          <w:rFonts w:hint="eastAsia" w:ascii="宋体"/>
          <w:sz w:val="24"/>
        </w:rPr>
        <w:t>广州建设工程施工招标投标书（见招标文件第四章格式三）；</w:t>
      </w:r>
    </w:p>
    <w:p>
      <w:pPr>
        <w:tabs>
          <w:tab w:val="left" w:pos="1125"/>
        </w:tabs>
        <w:spacing w:line="360" w:lineRule="auto"/>
        <w:ind w:firstLine="480" w:firstLineChars="200"/>
        <w:rPr>
          <w:rFonts w:ascii="宋体"/>
          <w:sz w:val="24"/>
        </w:rPr>
      </w:pPr>
      <w:r>
        <w:rPr>
          <w:rFonts w:hint="eastAsia" w:ascii="宋体"/>
          <w:sz w:val="24"/>
        </w:rPr>
        <w:t>11.2.2资格审查文件：</w:t>
      </w:r>
    </w:p>
    <w:p>
      <w:pPr>
        <w:tabs>
          <w:tab w:val="left" w:pos="1125"/>
        </w:tabs>
        <w:spacing w:line="360" w:lineRule="auto"/>
        <w:ind w:firstLine="480" w:firstLineChars="200"/>
        <w:rPr>
          <w:rFonts w:ascii="宋体"/>
          <w:sz w:val="24"/>
        </w:rPr>
      </w:pPr>
      <w:r>
        <w:rPr>
          <w:rFonts w:hint="eastAsia" w:ascii="宋体"/>
          <w:sz w:val="24"/>
        </w:rPr>
        <w:t xml:space="preserve">（1）投标人声明（按招标公告附件一的格式及内容提交）； </w:t>
      </w:r>
    </w:p>
    <w:p>
      <w:pPr>
        <w:tabs>
          <w:tab w:val="left" w:pos="1125"/>
        </w:tabs>
        <w:spacing w:line="360" w:lineRule="auto"/>
        <w:ind w:firstLine="480" w:firstLineChars="200"/>
        <w:rPr>
          <w:rFonts w:ascii="宋体"/>
          <w:sz w:val="24"/>
        </w:rPr>
      </w:pPr>
      <w:r>
        <w:rPr>
          <w:rFonts w:hint="eastAsia" w:ascii="宋体"/>
          <w:sz w:val="24"/>
        </w:rPr>
        <w:t>（2）法定代表人证明书、法定代表人签字或盖章的本投标文件授权委托证明书（见招标文件第四章格式四）；</w:t>
      </w:r>
    </w:p>
    <w:p>
      <w:pPr>
        <w:tabs>
          <w:tab w:val="left" w:pos="1125"/>
        </w:tabs>
        <w:spacing w:line="360" w:lineRule="auto"/>
        <w:ind w:firstLine="480" w:firstLineChars="200"/>
        <w:rPr>
          <w:rFonts w:ascii="宋体"/>
          <w:sz w:val="24"/>
        </w:rPr>
      </w:pPr>
      <w:r>
        <w:rPr>
          <w:rFonts w:hint="eastAsia" w:ascii="宋体"/>
          <w:sz w:val="24"/>
        </w:rPr>
        <w:t>（3）企业营业执照（取自广州市住建行业信用管理平台内上传件）；</w:t>
      </w:r>
    </w:p>
    <w:p>
      <w:pPr>
        <w:tabs>
          <w:tab w:val="left" w:pos="1125"/>
        </w:tabs>
        <w:spacing w:line="360" w:lineRule="auto"/>
        <w:ind w:firstLine="480" w:firstLineChars="200"/>
        <w:rPr>
          <w:rFonts w:ascii="宋体"/>
          <w:sz w:val="24"/>
        </w:rPr>
      </w:pPr>
      <w:r>
        <w:rPr>
          <w:rFonts w:hint="eastAsia" w:ascii="宋体"/>
          <w:sz w:val="24"/>
        </w:rPr>
        <w:t>（4）企业资质证书（取自广州市住建行业信用管理平台内上传件）；</w:t>
      </w:r>
    </w:p>
    <w:p>
      <w:pPr>
        <w:tabs>
          <w:tab w:val="left" w:pos="1125"/>
        </w:tabs>
        <w:spacing w:line="360" w:lineRule="auto"/>
        <w:ind w:firstLine="480" w:firstLineChars="200"/>
        <w:rPr>
          <w:rFonts w:ascii="宋体"/>
          <w:sz w:val="24"/>
        </w:rPr>
      </w:pPr>
      <w:r>
        <w:rPr>
          <w:rFonts w:hint="eastAsia" w:ascii="宋体"/>
          <w:sz w:val="24"/>
        </w:rPr>
        <w:t>（5）建筑施工企业安全生产许可证（取自广州市住建行业信用管理平台内上传件）；</w:t>
      </w:r>
    </w:p>
    <w:p>
      <w:pPr>
        <w:tabs>
          <w:tab w:val="left" w:pos="1125"/>
        </w:tabs>
        <w:spacing w:line="360" w:lineRule="auto"/>
        <w:ind w:firstLine="480" w:firstLineChars="200"/>
        <w:rPr>
          <w:rFonts w:ascii="宋体"/>
          <w:sz w:val="24"/>
        </w:rPr>
      </w:pPr>
      <w:r>
        <w:rPr>
          <w:rFonts w:hint="eastAsia" w:ascii="宋体"/>
          <w:sz w:val="24"/>
        </w:rPr>
        <w:t>（6）项目负责人（按网上投标登记时选择拟投标的项目负责人，并提供《关于拟委派项目负责人承诺书》（按招标公告附件三的格式及内容提交））</w:t>
      </w:r>
    </w:p>
    <w:p>
      <w:pPr>
        <w:tabs>
          <w:tab w:val="left" w:pos="1125"/>
        </w:tabs>
        <w:spacing w:line="360" w:lineRule="auto"/>
        <w:ind w:firstLine="480" w:firstLineChars="200"/>
        <w:rPr>
          <w:rFonts w:ascii="宋体"/>
          <w:sz w:val="24"/>
        </w:rPr>
      </w:pPr>
      <w:r>
        <w:rPr>
          <w:rFonts w:hint="eastAsia" w:ascii="宋体"/>
          <w:sz w:val="24"/>
        </w:rPr>
        <w:t>（7）专职安全员（按网上投标登记时选择拟投标的专职安全员）</w:t>
      </w:r>
    </w:p>
    <w:p>
      <w:pPr>
        <w:tabs>
          <w:tab w:val="left" w:pos="1125"/>
        </w:tabs>
        <w:spacing w:line="360" w:lineRule="auto"/>
        <w:ind w:firstLine="480" w:firstLineChars="200"/>
        <w:rPr>
          <w:rFonts w:ascii="宋体"/>
          <w:sz w:val="24"/>
        </w:rPr>
      </w:pPr>
      <w:r>
        <w:rPr>
          <w:rFonts w:hint="eastAsia" w:ascii="宋体"/>
          <w:sz w:val="24"/>
        </w:rPr>
        <w:t>（8）拟委派技术负责人的职称证书（提交原件扫描件）；</w:t>
      </w:r>
    </w:p>
    <w:p>
      <w:pPr>
        <w:tabs>
          <w:tab w:val="left" w:pos="1125"/>
        </w:tabs>
        <w:spacing w:line="360" w:lineRule="auto"/>
        <w:ind w:firstLine="480" w:firstLineChars="200"/>
        <w:rPr>
          <w:rFonts w:ascii="宋体"/>
          <w:sz w:val="24"/>
        </w:rPr>
      </w:pPr>
      <w:r>
        <w:rPr>
          <w:rFonts w:hint="eastAsia" w:ascii="宋体"/>
          <w:sz w:val="24"/>
        </w:rPr>
        <w:t xml:space="preserve">（9）拟委派项目负责人的建造师证书（取自广州市住建行业信用管理平台内上传件）； </w:t>
      </w:r>
    </w:p>
    <w:p>
      <w:pPr>
        <w:tabs>
          <w:tab w:val="left" w:pos="1125"/>
        </w:tabs>
        <w:spacing w:line="360" w:lineRule="auto"/>
        <w:ind w:firstLine="480" w:firstLineChars="200"/>
        <w:rPr>
          <w:rFonts w:ascii="宋体"/>
          <w:sz w:val="24"/>
        </w:rPr>
      </w:pPr>
      <w:r>
        <w:rPr>
          <w:rFonts w:hint="eastAsia" w:ascii="宋体"/>
          <w:sz w:val="24"/>
        </w:rPr>
        <w:t>（10）项目负责人持有在有效期内的安全生产考核合格证（B类）或建筑施工企业项目负责人安全生产考核合格证书（取自广州市住建行业信用管理平台内上传件）；</w:t>
      </w:r>
    </w:p>
    <w:p>
      <w:pPr>
        <w:tabs>
          <w:tab w:val="left" w:pos="1125"/>
        </w:tabs>
        <w:spacing w:line="360" w:lineRule="auto"/>
        <w:ind w:firstLine="480" w:firstLineChars="200"/>
        <w:rPr>
          <w:rFonts w:ascii="宋体"/>
          <w:sz w:val="24"/>
        </w:rPr>
      </w:pPr>
      <w:r>
        <w:rPr>
          <w:rFonts w:hint="eastAsia" w:ascii="宋体"/>
          <w:sz w:val="24"/>
        </w:rPr>
        <w:t>（11）专职安全员须具有有效期内的安全生产考核合格证（C类）或建筑施工企业专职安全生产管理人员安全生产考核合格证书（C3）（取自广州市住建行业信用管理平台内上传件）；</w:t>
      </w:r>
    </w:p>
    <w:p>
      <w:pPr>
        <w:tabs>
          <w:tab w:val="left" w:pos="1125"/>
        </w:tabs>
        <w:spacing w:line="360" w:lineRule="auto"/>
        <w:ind w:firstLine="480" w:firstLineChars="200"/>
        <w:rPr>
          <w:rFonts w:ascii="宋体"/>
          <w:sz w:val="24"/>
        </w:rPr>
      </w:pPr>
      <w:r>
        <w:rPr>
          <w:rFonts w:hint="eastAsia" w:ascii="宋体"/>
          <w:sz w:val="24"/>
        </w:rPr>
        <w:t>（12）用于资格审查的业绩（提交业绩证明文件原件扫描件（见招标文件第四章格式五））；</w:t>
      </w:r>
    </w:p>
    <w:p>
      <w:pPr>
        <w:tabs>
          <w:tab w:val="left" w:pos="1125"/>
        </w:tabs>
        <w:spacing w:line="360" w:lineRule="auto"/>
        <w:ind w:firstLine="480" w:firstLineChars="200"/>
        <w:rPr>
          <w:rFonts w:ascii="宋体"/>
          <w:sz w:val="24"/>
        </w:rPr>
      </w:pPr>
      <w:r>
        <w:rPr>
          <w:rFonts w:hint="eastAsia" w:ascii="宋体"/>
          <w:sz w:val="24"/>
        </w:rPr>
        <w:t>（13）资格审查前，投标人须在广州市住房和城乡建设局建立企业诚信档案，拟担任本工程项目负责人、专职安全员须是本企业诚信档案中的在册人员。企业诚信档案取自投标截止时间投标人在企业库内的信息，投标人无需提交相关资料，若招标人延长投标登记时间，诚信档案信息的评审时点也相应延长。</w:t>
      </w:r>
    </w:p>
    <w:p>
      <w:pPr>
        <w:tabs>
          <w:tab w:val="left" w:pos="1125"/>
        </w:tabs>
        <w:spacing w:line="360" w:lineRule="auto"/>
        <w:ind w:firstLine="480" w:firstLineChars="200"/>
        <w:rPr>
          <w:rFonts w:ascii="宋体"/>
          <w:sz w:val="24"/>
        </w:rPr>
      </w:pPr>
      <w:r>
        <w:rPr>
          <w:rFonts w:hint="eastAsia" w:ascii="宋体"/>
          <w:sz w:val="24"/>
        </w:rPr>
        <w:t>11.2.3投标人提供基本账户开户证明（基本账户开户许可证复印件或有效的基本账户证明文件复印件）</w:t>
      </w:r>
    </w:p>
    <w:p>
      <w:pPr>
        <w:tabs>
          <w:tab w:val="left" w:pos="1125"/>
        </w:tabs>
        <w:spacing w:line="360" w:lineRule="auto"/>
        <w:ind w:firstLine="480" w:firstLineChars="200"/>
        <w:rPr>
          <w:rFonts w:ascii="宋体"/>
          <w:sz w:val="24"/>
        </w:rPr>
      </w:pPr>
      <w:r>
        <w:rPr>
          <w:rFonts w:hint="eastAsia" w:ascii="宋体"/>
          <w:sz w:val="24"/>
        </w:rPr>
        <w:t>11.2.4如采用保函或保险等形式提交的，投标人应在投标文件中提交投标保函或投标保证保险复印件并加盖投标人电子印章；（见招标文件第四章格式六）</w:t>
      </w:r>
    </w:p>
    <w:p>
      <w:pPr>
        <w:tabs>
          <w:tab w:val="left" w:pos="1125"/>
        </w:tabs>
        <w:spacing w:line="360" w:lineRule="auto"/>
        <w:ind w:firstLine="480" w:firstLineChars="200"/>
        <w:rPr>
          <w:rFonts w:ascii="宋体"/>
          <w:sz w:val="24"/>
        </w:rPr>
      </w:pPr>
      <w:r>
        <w:rPr>
          <w:rFonts w:hint="eastAsia" w:ascii="宋体"/>
          <w:sz w:val="24"/>
        </w:rPr>
        <w:t>11.2.5 2022年财务报表（包括资产负债表、现金流量表、利润表和财务情况说明书）；</w:t>
      </w:r>
    </w:p>
    <w:p>
      <w:pPr>
        <w:tabs>
          <w:tab w:val="left" w:pos="1125"/>
        </w:tabs>
        <w:spacing w:line="360" w:lineRule="auto"/>
        <w:ind w:firstLine="480" w:firstLineChars="200"/>
        <w:rPr>
          <w:rFonts w:ascii="宋体"/>
          <w:sz w:val="24"/>
        </w:rPr>
      </w:pPr>
      <w:r>
        <w:rPr>
          <w:rFonts w:hint="eastAsia" w:ascii="宋体"/>
          <w:sz w:val="24"/>
        </w:rPr>
        <w:t>11.2.6项目管理机构配置（见招标文件第四章格式七）</w:t>
      </w:r>
    </w:p>
    <w:p>
      <w:pPr>
        <w:tabs>
          <w:tab w:val="left" w:pos="1125"/>
        </w:tabs>
        <w:spacing w:line="360" w:lineRule="auto"/>
        <w:ind w:firstLine="480" w:firstLineChars="200"/>
        <w:rPr>
          <w:rFonts w:ascii="宋体"/>
          <w:sz w:val="24"/>
        </w:rPr>
      </w:pPr>
      <w:r>
        <w:rPr>
          <w:rFonts w:hint="eastAsia" w:ascii="宋体"/>
          <w:sz w:val="24"/>
        </w:rPr>
        <w:t>● 投标人应提供企业的组织架构形式以及准备派驻本工程的管理组织机构及其机构图表，并在图中表明与投标人总部的关系，以及总部对项目现场的支持措施；</w:t>
      </w:r>
    </w:p>
    <w:p>
      <w:pPr>
        <w:tabs>
          <w:tab w:val="left" w:pos="1125"/>
        </w:tabs>
        <w:spacing w:line="360" w:lineRule="auto"/>
        <w:ind w:firstLine="480" w:firstLineChars="200"/>
        <w:rPr>
          <w:rFonts w:ascii="宋体"/>
          <w:sz w:val="24"/>
        </w:rPr>
      </w:pPr>
      <w:r>
        <w:rPr>
          <w:rFonts w:hint="eastAsia" w:ascii="宋体"/>
          <w:sz w:val="24"/>
        </w:rPr>
        <w:t>● 指挥长履职方案，及相关证明文件；</w:t>
      </w:r>
    </w:p>
    <w:p>
      <w:pPr>
        <w:tabs>
          <w:tab w:val="left" w:pos="1125"/>
        </w:tabs>
        <w:spacing w:line="360" w:lineRule="auto"/>
        <w:ind w:firstLine="480" w:firstLineChars="200"/>
        <w:rPr>
          <w:rFonts w:ascii="宋体"/>
          <w:sz w:val="24"/>
        </w:rPr>
      </w:pPr>
      <w:r>
        <w:rPr>
          <w:rFonts w:hint="eastAsia" w:ascii="宋体"/>
          <w:sz w:val="24"/>
        </w:rPr>
        <w:t>● 投标人应列出该项目工程的施工组织机构构成和画出机构框架图及其负责人；投标人应详细列出该施工组织机构中主要成员的名单、简历资料、职务职称和在本项目中拟担任的职务等资料，并附上相关证书（扫描件）及近1个月在本单位购买社保的证明（扫描件）加盖投标人公章；</w:t>
      </w:r>
    </w:p>
    <w:p>
      <w:pPr>
        <w:tabs>
          <w:tab w:val="left" w:pos="1125"/>
        </w:tabs>
        <w:spacing w:line="360" w:lineRule="auto"/>
        <w:ind w:firstLine="480" w:firstLineChars="200"/>
        <w:rPr>
          <w:rFonts w:ascii="宋体"/>
          <w:sz w:val="24"/>
        </w:rPr>
      </w:pPr>
      <w:r>
        <w:rPr>
          <w:rFonts w:hint="eastAsia" w:ascii="宋体"/>
          <w:sz w:val="24"/>
        </w:rPr>
        <w:t>● 项目经理建造师执业资格证（扫描件）、注册证书（扫描件）、职称证书（扫描件）、安全生产考核合格证（B类）或建筑施工企业项目负责人安全生产考核合格证书（扫描件）、近1个月在本单位购买社保的证明（扫描件）加盖投标人公章，业绩经验情况（扫描件，提供有效证明，格式不限）；</w:t>
      </w:r>
    </w:p>
    <w:p>
      <w:pPr>
        <w:tabs>
          <w:tab w:val="left" w:pos="1125"/>
        </w:tabs>
        <w:spacing w:line="360" w:lineRule="auto"/>
        <w:ind w:firstLine="480" w:firstLineChars="200"/>
        <w:rPr>
          <w:rFonts w:ascii="宋体"/>
          <w:sz w:val="24"/>
        </w:rPr>
      </w:pPr>
      <w:r>
        <w:rPr>
          <w:rFonts w:hint="eastAsia" w:ascii="宋体"/>
          <w:sz w:val="24"/>
        </w:rPr>
        <w:t>●拟派驻本工程项目机构管理人员一览表（要求附相关资料扫描件及近1个月在本单位购买社保的证明（扫描件）加盖投标人公章，其中拟派的人员需按要求提供相关证明文件扫描件，拟派的项目经理的相关资料可以不附在本表后，见投标格式）</w:t>
      </w:r>
    </w:p>
    <w:p>
      <w:pPr>
        <w:tabs>
          <w:tab w:val="left" w:pos="1125"/>
        </w:tabs>
        <w:spacing w:line="360" w:lineRule="auto"/>
        <w:ind w:firstLine="480" w:firstLineChars="200"/>
        <w:rPr>
          <w:rFonts w:ascii="宋体"/>
          <w:sz w:val="24"/>
        </w:rPr>
      </w:pPr>
      <w:r>
        <w:rPr>
          <w:rFonts w:hint="eastAsia" w:ascii="宋体"/>
          <w:sz w:val="24"/>
        </w:rPr>
        <w:t>11.2.7企业业绩（见招标文件第四章格式五）：</w:t>
      </w:r>
    </w:p>
    <w:p>
      <w:pPr>
        <w:tabs>
          <w:tab w:val="left" w:pos="1125"/>
        </w:tabs>
        <w:spacing w:line="360" w:lineRule="auto"/>
        <w:ind w:firstLine="480" w:firstLineChars="200"/>
        <w:rPr>
          <w:rFonts w:ascii="宋体"/>
          <w:sz w:val="24"/>
        </w:rPr>
      </w:pPr>
      <w:r>
        <w:rPr>
          <w:rFonts w:hint="eastAsia" w:ascii="宋体"/>
          <w:sz w:val="24"/>
        </w:rPr>
        <w:t>●投标人业绩一览表，提供业绩证明材料。</w:t>
      </w:r>
    </w:p>
    <w:p>
      <w:pPr>
        <w:tabs>
          <w:tab w:val="left" w:pos="1125"/>
        </w:tabs>
        <w:spacing w:line="360" w:lineRule="auto"/>
        <w:ind w:firstLine="480" w:firstLineChars="200"/>
        <w:rPr>
          <w:rFonts w:ascii="宋体"/>
          <w:sz w:val="24"/>
        </w:rPr>
      </w:pPr>
      <w:r>
        <w:rPr>
          <w:rFonts w:hint="eastAsia" w:ascii="宋体"/>
          <w:sz w:val="24"/>
        </w:rPr>
        <w:t>●企业工程奖项证明材料；</w:t>
      </w:r>
    </w:p>
    <w:p>
      <w:pPr>
        <w:tabs>
          <w:tab w:val="left" w:pos="1125"/>
        </w:tabs>
        <w:spacing w:line="360" w:lineRule="auto"/>
        <w:ind w:firstLine="480" w:firstLineChars="200"/>
        <w:rPr>
          <w:rFonts w:ascii="宋体"/>
          <w:sz w:val="24"/>
        </w:rPr>
      </w:pPr>
      <w:r>
        <w:rPr>
          <w:rFonts w:hint="eastAsia" w:ascii="宋体"/>
          <w:sz w:val="24"/>
        </w:rPr>
        <w:t>●第三方评价证明材料；</w:t>
      </w:r>
    </w:p>
    <w:p>
      <w:pPr>
        <w:tabs>
          <w:tab w:val="left" w:pos="1125"/>
        </w:tabs>
        <w:spacing w:line="360" w:lineRule="auto"/>
        <w:ind w:firstLine="480" w:firstLineChars="200"/>
        <w:rPr>
          <w:rFonts w:ascii="宋体"/>
          <w:sz w:val="24"/>
        </w:rPr>
      </w:pPr>
      <w:r>
        <w:rPr>
          <w:rFonts w:hint="eastAsia" w:ascii="宋体"/>
          <w:sz w:val="24"/>
        </w:rPr>
        <w:t>11.2.8为完成本工程所需要投入不构成工程实体的施工机械、设备及车辆一览表（附购置发票或租赁合同扫描件等详细资料，机械设备为自有或租赁的说明；及承诺机械设备如属于租赁的，其租赁是不属于重复租赁，见招标文件第四章格式八）；</w:t>
      </w:r>
    </w:p>
    <w:p>
      <w:pPr>
        <w:tabs>
          <w:tab w:val="left" w:pos="1125"/>
        </w:tabs>
        <w:spacing w:line="360" w:lineRule="auto"/>
        <w:ind w:firstLine="480" w:firstLineChars="200"/>
        <w:rPr>
          <w:rFonts w:ascii="宋体"/>
          <w:sz w:val="24"/>
        </w:rPr>
      </w:pPr>
      <w:r>
        <w:rPr>
          <w:rFonts w:hint="eastAsia" w:ascii="宋体"/>
          <w:sz w:val="24"/>
        </w:rPr>
        <w:t>11.2.9施工组织设计（见招标文件第四章格式九）：</w:t>
      </w:r>
    </w:p>
    <w:p>
      <w:pPr>
        <w:tabs>
          <w:tab w:val="left" w:pos="1125"/>
        </w:tabs>
        <w:spacing w:line="360" w:lineRule="auto"/>
        <w:ind w:firstLine="480" w:firstLineChars="200"/>
        <w:rPr>
          <w:rFonts w:ascii="宋体"/>
          <w:sz w:val="24"/>
        </w:rPr>
      </w:pPr>
      <w:r>
        <w:rPr>
          <w:rFonts w:hint="eastAsia" w:ascii="宋体"/>
          <w:sz w:val="24"/>
        </w:rPr>
        <w:t>施工组织设计须响应本招标工程要求，应含如下（但不限于）各项完整详细的内容：</w:t>
      </w:r>
    </w:p>
    <w:p>
      <w:pPr>
        <w:tabs>
          <w:tab w:val="left" w:pos="1125"/>
        </w:tabs>
        <w:spacing w:line="360" w:lineRule="auto"/>
        <w:ind w:firstLine="480" w:firstLineChars="200"/>
        <w:rPr>
          <w:rFonts w:ascii="宋体"/>
          <w:sz w:val="24"/>
        </w:rPr>
      </w:pPr>
      <w:r>
        <w:rPr>
          <w:rFonts w:hint="eastAsia" w:ascii="宋体"/>
          <w:sz w:val="24"/>
        </w:rPr>
        <w:t>●施工准备计划；</w:t>
      </w:r>
    </w:p>
    <w:p>
      <w:pPr>
        <w:tabs>
          <w:tab w:val="left" w:pos="1125"/>
        </w:tabs>
        <w:spacing w:line="360" w:lineRule="auto"/>
        <w:ind w:firstLine="480" w:firstLineChars="200"/>
        <w:rPr>
          <w:rFonts w:ascii="宋体"/>
          <w:sz w:val="24"/>
        </w:rPr>
      </w:pPr>
      <w:r>
        <w:rPr>
          <w:rFonts w:hint="eastAsia" w:ascii="宋体"/>
          <w:sz w:val="24"/>
        </w:rPr>
        <w:t>●施工方案和主要分项工程的施工方法；</w:t>
      </w:r>
    </w:p>
    <w:p>
      <w:pPr>
        <w:tabs>
          <w:tab w:val="left" w:pos="1125"/>
        </w:tabs>
        <w:spacing w:line="360" w:lineRule="auto"/>
        <w:ind w:firstLine="480" w:firstLineChars="200"/>
        <w:rPr>
          <w:rFonts w:ascii="宋体"/>
          <w:sz w:val="24"/>
        </w:rPr>
      </w:pPr>
      <w:r>
        <w:rPr>
          <w:rFonts w:hint="eastAsia" w:ascii="宋体"/>
          <w:sz w:val="24"/>
        </w:rPr>
        <w:t>●施工进度控制网络计划；</w:t>
      </w:r>
    </w:p>
    <w:p>
      <w:pPr>
        <w:tabs>
          <w:tab w:val="left" w:pos="1125"/>
        </w:tabs>
        <w:spacing w:line="360" w:lineRule="auto"/>
        <w:ind w:firstLine="480" w:firstLineChars="200"/>
        <w:rPr>
          <w:rFonts w:ascii="宋体"/>
          <w:sz w:val="24"/>
        </w:rPr>
      </w:pPr>
      <w:r>
        <w:rPr>
          <w:rFonts w:hint="eastAsia" w:ascii="宋体"/>
          <w:sz w:val="24"/>
        </w:rPr>
        <w:t>●施工资源供应计划（劳动力、材料、施工主要机械、机具及检测设备的型号、规格、数量等，主要选用的设备材料表及设备品牌）；</w:t>
      </w:r>
    </w:p>
    <w:p>
      <w:pPr>
        <w:tabs>
          <w:tab w:val="left" w:pos="1125"/>
        </w:tabs>
        <w:spacing w:line="360" w:lineRule="auto"/>
        <w:ind w:firstLine="480" w:firstLineChars="200"/>
        <w:rPr>
          <w:rFonts w:ascii="宋体"/>
          <w:sz w:val="24"/>
        </w:rPr>
      </w:pPr>
      <w:r>
        <w:rPr>
          <w:rFonts w:hint="eastAsia" w:ascii="宋体"/>
          <w:sz w:val="24"/>
        </w:rPr>
        <w:t>●施工平面布置图；</w:t>
      </w:r>
    </w:p>
    <w:p>
      <w:pPr>
        <w:tabs>
          <w:tab w:val="left" w:pos="1125"/>
        </w:tabs>
        <w:spacing w:line="360" w:lineRule="auto"/>
        <w:ind w:firstLine="480" w:firstLineChars="200"/>
        <w:rPr>
          <w:rFonts w:ascii="宋体"/>
          <w:sz w:val="24"/>
        </w:rPr>
      </w:pPr>
      <w:r>
        <w:rPr>
          <w:rFonts w:hint="eastAsia" w:ascii="宋体"/>
          <w:sz w:val="24"/>
        </w:rPr>
        <w:t>●质量保证措施；</w:t>
      </w:r>
    </w:p>
    <w:p>
      <w:pPr>
        <w:tabs>
          <w:tab w:val="left" w:pos="1125"/>
        </w:tabs>
        <w:spacing w:line="360" w:lineRule="auto"/>
        <w:ind w:firstLine="480" w:firstLineChars="200"/>
        <w:rPr>
          <w:rFonts w:ascii="宋体"/>
          <w:sz w:val="24"/>
        </w:rPr>
      </w:pPr>
      <w:r>
        <w:rPr>
          <w:rFonts w:hint="eastAsia" w:ascii="宋体"/>
          <w:sz w:val="24"/>
        </w:rPr>
        <w:t>●工期保证措施；</w:t>
      </w:r>
    </w:p>
    <w:p>
      <w:pPr>
        <w:tabs>
          <w:tab w:val="left" w:pos="1125"/>
        </w:tabs>
        <w:spacing w:line="360" w:lineRule="auto"/>
        <w:ind w:firstLine="480" w:firstLineChars="200"/>
        <w:rPr>
          <w:rFonts w:ascii="宋体"/>
          <w:sz w:val="24"/>
        </w:rPr>
      </w:pPr>
      <w:r>
        <w:rPr>
          <w:rFonts w:hint="eastAsia" w:ascii="宋体"/>
          <w:sz w:val="24"/>
        </w:rPr>
        <w:t>●安全施工措施；</w:t>
      </w:r>
    </w:p>
    <w:p>
      <w:pPr>
        <w:tabs>
          <w:tab w:val="left" w:pos="1125"/>
        </w:tabs>
        <w:spacing w:line="360" w:lineRule="auto"/>
        <w:ind w:firstLine="480" w:firstLineChars="200"/>
        <w:rPr>
          <w:rFonts w:ascii="宋体"/>
          <w:sz w:val="24"/>
        </w:rPr>
      </w:pPr>
      <w:r>
        <w:rPr>
          <w:rFonts w:hint="eastAsia" w:ascii="宋体"/>
          <w:sz w:val="24"/>
        </w:rPr>
        <w:t>●临时生产、生活设施情况；</w:t>
      </w:r>
    </w:p>
    <w:p>
      <w:pPr>
        <w:tabs>
          <w:tab w:val="left" w:pos="1125"/>
        </w:tabs>
        <w:spacing w:line="360" w:lineRule="auto"/>
        <w:ind w:firstLine="480" w:firstLineChars="200"/>
        <w:rPr>
          <w:rFonts w:ascii="宋体"/>
          <w:sz w:val="24"/>
        </w:rPr>
      </w:pPr>
      <w:r>
        <w:rPr>
          <w:rFonts w:hint="eastAsia" w:ascii="宋体"/>
          <w:sz w:val="24"/>
        </w:rPr>
        <w:t>●文明施工、保护环境措施；</w:t>
      </w:r>
    </w:p>
    <w:p>
      <w:pPr>
        <w:tabs>
          <w:tab w:val="left" w:pos="1125"/>
        </w:tabs>
        <w:spacing w:line="360" w:lineRule="auto"/>
        <w:ind w:firstLine="480" w:firstLineChars="200"/>
        <w:rPr>
          <w:rFonts w:ascii="宋体"/>
          <w:sz w:val="24"/>
        </w:rPr>
      </w:pPr>
      <w:r>
        <w:rPr>
          <w:rFonts w:hint="eastAsia" w:ascii="宋体"/>
          <w:sz w:val="24"/>
        </w:rPr>
        <w:t>●工程保修承诺和措施。</w:t>
      </w:r>
    </w:p>
    <w:p>
      <w:pPr>
        <w:tabs>
          <w:tab w:val="left" w:pos="1125"/>
        </w:tabs>
        <w:spacing w:line="360" w:lineRule="auto"/>
        <w:ind w:firstLine="480" w:firstLineChars="200"/>
        <w:rPr>
          <w:rFonts w:ascii="宋体"/>
          <w:sz w:val="24"/>
        </w:rPr>
      </w:pPr>
      <w:r>
        <w:rPr>
          <w:rFonts w:hint="eastAsia" w:ascii="宋体"/>
          <w:sz w:val="24"/>
        </w:rPr>
        <w:t>（投标人在编制施工组织设计或施工方案时应按照招标人提出的施工现场建筑垃圾源头减量的具体要求以及建筑垃圾综合利用产品的使用要求提供相应措施。）</w:t>
      </w:r>
    </w:p>
    <w:p>
      <w:pPr>
        <w:tabs>
          <w:tab w:val="left" w:pos="1125"/>
        </w:tabs>
        <w:spacing w:line="360" w:lineRule="auto"/>
        <w:ind w:firstLine="480" w:firstLineChars="200"/>
        <w:rPr>
          <w:rFonts w:ascii="宋体"/>
          <w:sz w:val="24"/>
        </w:rPr>
      </w:pPr>
      <w:r>
        <w:rPr>
          <w:rFonts w:hint="eastAsia" w:ascii="宋体"/>
          <w:sz w:val="24"/>
        </w:rPr>
        <w:t>11.2.10智能建造实施方案（见招标文件第四章格式十）：</w:t>
      </w:r>
    </w:p>
    <w:p>
      <w:pPr>
        <w:tabs>
          <w:tab w:val="left" w:pos="1125"/>
        </w:tabs>
        <w:spacing w:line="360" w:lineRule="auto"/>
        <w:ind w:firstLine="480" w:firstLineChars="200"/>
        <w:rPr>
          <w:rFonts w:ascii="宋体"/>
          <w:sz w:val="24"/>
        </w:rPr>
      </w:pPr>
      <w:r>
        <w:rPr>
          <w:rFonts w:hint="eastAsia" w:ascii="宋体"/>
          <w:sz w:val="24"/>
        </w:rPr>
        <w:t>●智能建造实施目标；</w:t>
      </w:r>
    </w:p>
    <w:p>
      <w:pPr>
        <w:tabs>
          <w:tab w:val="left" w:pos="1125"/>
        </w:tabs>
        <w:spacing w:line="360" w:lineRule="auto"/>
        <w:ind w:firstLine="480" w:firstLineChars="200"/>
        <w:rPr>
          <w:rFonts w:ascii="宋体"/>
          <w:sz w:val="24"/>
        </w:rPr>
      </w:pPr>
      <w:r>
        <w:rPr>
          <w:rFonts w:hint="eastAsia" w:ascii="宋体"/>
          <w:sz w:val="24"/>
        </w:rPr>
        <w:t>●智能建造实施范围和内容；</w:t>
      </w:r>
    </w:p>
    <w:p>
      <w:pPr>
        <w:tabs>
          <w:tab w:val="left" w:pos="1125"/>
        </w:tabs>
        <w:spacing w:line="360" w:lineRule="auto"/>
        <w:ind w:firstLine="480" w:firstLineChars="200"/>
        <w:rPr>
          <w:rFonts w:ascii="宋体"/>
          <w:sz w:val="24"/>
        </w:rPr>
      </w:pPr>
      <w:r>
        <w:rPr>
          <w:rFonts w:hint="eastAsia" w:ascii="宋体"/>
          <w:sz w:val="24"/>
        </w:rPr>
        <w:t>●项目重难点分析及应对措施；</w:t>
      </w:r>
    </w:p>
    <w:p>
      <w:pPr>
        <w:tabs>
          <w:tab w:val="left" w:pos="1125"/>
        </w:tabs>
        <w:spacing w:line="360" w:lineRule="auto"/>
        <w:ind w:firstLine="480" w:firstLineChars="200"/>
        <w:rPr>
          <w:rFonts w:ascii="宋体"/>
          <w:sz w:val="24"/>
        </w:rPr>
      </w:pPr>
      <w:r>
        <w:rPr>
          <w:rFonts w:hint="eastAsia" w:ascii="宋体"/>
          <w:sz w:val="24"/>
        </w:rPr>
        <w:t>●人员组织架构和相应职责（其中项目及技术负责人和高峰期的管理团队人数不得少于第二（1）条款的要求）；</w:t>
      </w:r>
    </w:p>
    <w:p>
      <w:pPr>
        <w:tabs>
          <w:tab w:val="left" w:pos="1125"/>
        </w:tabs>
        <w:spacing w:line="360" w:lineRule="auto"/>
        <w:ind w:firstLine="480" w:firstLineChars="200"/>
        <w:rPr>
          <w:rFonts w:ascii="宋体"/>
          <w:sz w:val="24"/>
        </w:rPr>
      </w:pPr>
      <w:r>
        <w:rPr>
          <w:rFonts w:hint="eastAsia" w:ascii="宋体"/>
          <w:sz w:val="24"/>
        </w:rPr>
        <w:t>●模型创建（深化）及应用进度计划；</w:t>
      </w:r>
    </w:p>
    <w:p>
      <w:pPr>
        <w:tabs>
          <w:tab w:val="left" w:pos="1125"/>
        </w:tabs>
        <w:spacing w:line="360" w:lineRule="auto"/>
        <w:ind w:firstLine="480" w:firstLineChars="200"/>
        <w:rPr>
          <w:rFonts w:ascii="宋体"/>
          <w:sz w:val="24"/>
        </w:rPr>
      </w:pPr>
      <w:r>
        <w:rPr>
          <w:rFonts w:hint="eastAsia" w:ascii="宋体"/>
          <w:sz w:val="24"/>
        </w:rPr>
        <w:t>●模型应用内容、方法及流程；</w:t>
      </w:r>
    </w:p>
    <w:p>
      <w:pPr>
        <w:tabs>
          <w:tab w:val="left" w:pos="1125"/>
        </w:tabs>
        <w:spacing w:line="360" w:lineRule="auto"/>
        <w:ind w:firstLine="480" w:firstLineChars="200"/>
        <w:rPr>
          <w:rFonts w:ascii="宋体"/>
          <w:sz w:val="24"/>
        </w:rPr>
      </w:pPr>
      <w:r>
        <w:rPr>
          <w:rFonts w:hint="eastAsia" w:ascii="宋体"/>
          <w:sz w:val="24"/>
        </w:rPr>
        <w:t>●模型质量控制和信息安全要求；</w:t>
      </w:r>
    </w:p>
    <w:p>
      <w:pPr>
        <w:tabs>
          <w:tab w:val="left" w:pos="1125"/>
        </w:tabs>
        <w:spacing w:line="360" w:lineRule="auto"/>
        <w:ind w:firstLine="480" w:firstLineChars="200"/>
        <w:rPr>
          <w:rFonts w:ascii="宋体"/>
          <w:sz w:val="24"/>
        </w:rPr>
      </w:pPr>
      <w:r>
        <w:rPr>
          <w:rFonts w:hint="eastAsia" w:ascii="宋体"/>
          <w:sz w:val="24"/>
        </w:rPr>
        <w:t>●智能建造实施成果提交计划；</w:t>
      </w:r>
    </w:p>
    <w:p>
      <w:pPr>
        <w:tabs>
          <w:tab w:val="left" w:pos="1125"/>
        </w:tabs>
        <w:spacing w:line="360" w:lineRule="auto"/>
        <w:ind w:firstLine="480" w:firstLineChars="200"/>
        <w:rPr>
          <w:rFonts w:ascii="宋体"/>
          <w:sz w:val="24"/>
        </w:rPr>
      </w:pPr>
      <w:r>
        <w:rPr>
          <w:rFonts w:hint="eastAsia" w:ascii="宋体"/>
          <w:sz w:val="24"/>
        </w:rPr>
        <w:t>●智能建造实施风险防范与保障措施；</w:t>
      </w:r>
    </w:p>
    <w:p>
      <w:pPr>
        <w:tabs>
          <w:tab w:val="left" w:pos="1125"/>
        </w:tabs>
        <w:spacing w:line="360" w:lineRule="auto"/>
        <w:ind w:firstLine="480" w:firstLineChars="200"/>
        <w:rPr>
          <w:rFonts w:ascii="宋体"/>
          <w:sz w:val="24"/>
        </w:rPr>
      </w:pPr>
      <w:r>
        <w:rPr>
          <w:rFonts w:hint="eastAsia" w:ascii="宋体"/>
          <w:sz w:val="24"/>
        </w:rPr>
        <w:t>●报奖创优计划。</w:t>
      </w:r>
    </w:p>
    <w:p>
      <w:pPr>
        <w:tabs>
          <w:tab w:val="left" w:pos="1125"/>
        </w:tabs>
        <w:spacing w:line="360" w:lineRule="auto"/>
        <w:ind w:firstLine="480" w:firstLineChars="200"/>
        <w:rPr>
          <w:rFonts w:ascii="宋体"/>
          <w:sz w:val="24"/>
        </w:rPr>
      </w:pPr>
      <w:r>
        <w:rPr>
          <w:rFonts w:hint="eastAsia" w:ascii="宋体"/>
          <w:sz w:val="24"/>
        </w:rPr>
        <w:t>11.2.11属于本工程实体项目内的主要材料和设备表（见招标文件第四章格式十一）；</w:t>
      </w:r>
    </w:p>
    <w:p>
      <w:pPr>
        <w:tabs>
          <w:tab w:val="left" w:pos="1125"/>
        </w:tabs>
        <w:spacing w:line="360" w:lineRule="auto"/>
        <w:ind w:firstLine="480" w:firstLineChars="200"/>
        <w:rPr>
          <w:rFonts w:ascii="宋体"/>
          <w:sz w:val="24"/>
        </w:rPr>
      </w:pPr>
      <w:r>
        <w:rPr>
          <w:rFonts w:hint="eastAsia" w:ascii="宋体"/>
          <w:sz w:val="24"/>
        </w:rPr>
        <w:t>11.2.12关于提交资料真实性的承诺书（见招标文件第四章格式十二）；</w:t>
      </w:r>
    </w:p>
    <w:p>
      <w:pPr>
        <w:tabs>
          <w:tab w:val="left" w:pos="1125"/>
        </w:tabs>
        <w:spacing w:line="360" w:lineRule="auto"/>
        <w:ind w:firstLine="480" w:firstLineChars="200"/>
        <w:rPr>
          <w:rFonts w:ascii="宋体"/>
          <w:sz w:val="24"/>
        </w:rPr>
      </w:pPr>
      <w:r>
        <w:rPr>
          <w:rFonts w:hint="eastAsia" w:ascii="宋体"/>
          <w:sz w:val="24"/>
        </w:rPr>
        <w:t>11.2.13科研创新工作承诺书（见招标文件第四章格式十三）；</w:t>
      </w:r>
    </w:p>
    <w:p>
      <w:pPr>
        <w:tabs>
          <w:tab w:val="left" w:pos="1125"/>
        </w:tabs>
        <w:spacing w:line="360" w:lineRule="auto"/>
        <w:ind w:firstLine="480" w:firstLineChars="200"/>
        <w:rPr>
          <w:rFonts w:ascii="宋体"/>
          <w:sz w:val="24"/>
        </w:rPr>
      </w:pPr>
      <w:r>
        <w:rPr>
          <w:rFonts w:hint="eastAsia" w:ascii="宋体"/>
          <w:sz w:val="24"/>
        </w:rPr>
        <w:t>11.2.14按照招标文件要求填写的《参与编制技术标投标文件人员名单》（见招标文件第四章格式十四）。</w:t>
      </w:r>
    </w:p>
    <w:p>
      <w:pPr>
        <w:tabs>
          <w:tab w:val="left" w:pos="1125"/>
        </w:tabs>
        <w:spacing w:line="360" w:lineRule="auto"/>
        <w:ind w:firstLine="480" w:firstLineChars="200"/>
        <w:rPr>
          <w:rFonts w:ascii="宋体"/>
          <w:sz w:val="24"/>
        </w:rPr>
      </w:pPr>
      <w:r>
        <w:rPr>
          <w:rFonts w:hint="eastAsia" w:ascii="宋体"/>
          <w:sz w:val="24"/>
        </w:rPr>
        <w:t>11.2.15投标保证书（见招标文件第四章格式十五）</w:t>
      </w:r>
    </w:p>
    <w:p>
      <w:pPr>
        <w:tabs>
          <w:tab w:val="left" w:pos="1125"/>
        </w:tabs>
        <w:spacing w:line="360" w:lineRule="auto"/>
        <w:ind w:firstLine="480" w:firstLineChars="200"/>
        <w:rPr>
          <w:rFonts w:ascii="宋体"/>
          <w:sz w:val="24"/>
        </w:rPr>
      </w:pPr>
      <w:r>
        <w:rPr>
          <w:rFonts w:hint="eastAsia" w:ascii="宋体"/>
          <w:sz w:val="24"/>
        </w:rPr>
        <w:t>11.2.16投标人拟派项目负责人、技术负责人签字确认书（见招标文件第四章格式十六）</w:t>
      </w:r>
    </w:p>
    <w:p>
      <w:pPr>
        <w:tabs>
          <w:tab w:val="left" w:pos="1125"/>
        </w:tabs>
        <w:spacing w:line="360" w:lineRule="auto"/>
        <w:ind w:firstLine="480" w:firstLineChars="200"/>
        <w:rPr>
          <w:rFonts w:ascii="宋体"/>
          <w:sz w:val="24"/>
        </w:rPr>
      </w:pPr>
      <w:r>
        <w:rPr>
          <w:rFonts w:hint="eastAsia" w:ascii="宋体"/>
          <w:sz w:val="24"/>
        </w:rPr>
        <w:t>11.2.17危险性较大的分部分项工程清单及超过一定规模的危险性较大的分部分项工程清单(见招标文件第四章格式十七，补充完善危大工程清单并明确相应的安全管理措施)</w:t>
      </w:r>
    </w:p>
    <w:p>
      <w:pPr>
        <w:tabs>
          <w:tab w:val="left" w:pos="1125"/>
        </w:tabs>
        <w:spacing w:line="360" w:lineRule="auto"/>
        <w:ind w:firstLine="480" w:firstLineChars="200"/>
        <w:rPr>
          <w:rFonts w:ascii="宋体"/>
          <w:sz w:val="24"/>
        </w:rPr>
      </w:pPr>
      <w:r>
        <w:rPr>
          <w:rFonts w:hint="eastAsia" w:ascii="宋体"/>
          <w:sz w:val="24"/>
        </w:rPr>
        <w:t>11.2.18 廉洁承诺书(见招标文件第四章格式十八)</w:t>
      </w:r>
    </w:p>
    <w:p>
      <w:pPr>
        <w:tabs>
          <w:tab w:val="left" w:pos="1125"/>
        </w:tabs>
        <w:spacing w:line="360" w:lineRule="auto"/>
        <w:ind w:firstLine="480" w:firstLineChars="200"/>
        <w:rPr>
          <w:rFonts w:ascii="宋体"/>
          <w:sz w:val="24"/>
        </w:rPr>
      </w:pPr>
      <w:r>
        <w:rPr>
          <w:rFonts w:hint="eastAsia" w:ascii="宋体"/>
          <w:sz w:val="24"/>
        </w:rPr>
        <w:t>11.2.19 其他材料（投标人根据文件认为应当补充的材料，格式自拟）</w:t>
      </w:r>
    </w:p>
    <w:p>
      <w:pPr>
        <w:spacing w:line="360" w:lineRule="auto"/>
        <w:ind w:firstLine="480" w:firstLineChars="200"/>
        <w:rPr>
          <w:rFonts w:ascii="宋体"/>
          <w:bCs/>
          <w:sz w:val="24"/>
        </w:rPr>
      </w:pPr>
      <w:r>
        <w:rPr>
          <w:rFonts w:ascii="宋体" w:hAnsi="宋体"/>
          <w:bCs/>
          <w:sz w:val="24"/>
        </w:rPr>
        <w:t xml:space="preserve">11.3 </w:t>
      </w:r>
      <w:r>
        <w:rPr>
          <w:rFonts w:hint="eastAsia" w:ascii="宋体" w:hAnsi="宋体"/>
          <w:bCs/>
          <w:sz w:val="24"/>
        </w:rPr>
        <w:t>经济部分投标文件主要包括下列内容：</w:t>
      </w:r>
    </w:p>
    <w:p>
      <w:pPr>
        <w:spacing w:line="360" w:lineRule="auto"/>
        <w:ind w:firstLine="480" w:firstLineChars="200"/>
        <w:rPr>
          <w:rFonts w:ascii="宋体"/>
          <w:strike/>
          <w:sz w:val="24"/>
        </w:rPr>
      </w:pPr>
      <w:r>
        <w:rPr>
          <w:rFonts w:ascii="宋体" w:hAnsi="宋体"/>
          <w:strike/>
          <w:sz w:val="24"/>
        </w:rPr>
        <w:t xml:space="preserve">11.3.1 </w:t>
      </w:r>
      <w:r>
        <w:rPr>
          <w:rFonts w:hint="eastAsia" w:ascii="宋体" w:hAnsi="宋体"/>
          <w:strike/>
          <w:sz w:val="24"/>
        </w:rPr>
        <w:t>经济投标文件</w:t>
      </w:r>
      <w:r>
        <w:rPr>
          <w:rFonts w:ascii="宋体" w:hAnsi="宋体"/>
          <w:strike/>
          <w:sz w:val="24"/>
        </w:rPr>
        <w:t>(</w:t>
      </w:r>
      <w:r>
        <w:rPr>
          <w:rFonts w:hint="eastAsia" w:ascii="宋体" w:hAnsi="宋体"/>
          <w:strike/>
          <w:sz w:val="24"/>
        </w:rPr>
        <w:t>按招标文件的要求填写</w:t>
      </w:r>
      <w:r>
        <w:rPr>
          <w:rFonts w:ascii="宋体" w:hAnsi="宋体"/>
          <w:strike/>
          <w:sz w:val="24"/>
        </w:rPr>
        <w:t>)</w:t>
      </w:r>
      <w:r>
        <w:rPr>
          <w:rFonts w:hint="eastAsia" w:ascii="宋体" w:hAnsi="宋体"/>
          <w:strike/>
          <w:sz w:val="24"/>
        </w:rPr>
        <w:t>。</w:t>
      </w:r>
    </w:p>
    <w:p>
      <w:pPr>
        <w:spacing w:line="360" w:lineRule="auto"/>
        <w:ind w:firstLine="480" w:firstLineChars="200"/>
        <w:rPr>
          <w:rFonts w:ascii="宋体"/>
          <w:sz w:val="24"/>
        </w:rPr>
      </w:pPr>
      <w:r>
        <w:rPr>
          <w:rFonts w:ascii="宋体" w:hAnsi="宋体"/>
          <w:sz w:val="24"/>
        </w:rPr>
        <w:t>11.3.2</w:t>
      </w:r>
      <w:r>
        <w:rPr>
          <w:rFonts w:hint="eastAsia" w:ascii="宋体" w:hAnsi="宋体"/>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sz w:val="24"/>
          <w:szCs w:val="24"/>
        </w:rPr>
        <w:t>其中包括如下：</w:t>
      </w:r>
      <w:r>
        <w:rPr>
          <w:rFonts w:ascii="宋体"/>
          <w:sz w:val="24"/>
        </w:rPr>
        <w:t xml:space="preserve"> </w:t>
      </w:r>
    </w:p>
    <w:p>
      <w:pPr>
        <w:spacing w:line="360" w:lineRule="auto"/>
        <w:ind w:firstLine="566" w:firstLineChars="236"/>
        <w:rPr>
          <w:rFonts w:ascii="宋体"/>
          <w:sz w:val="24"/>
        </w:rPr>
      </w:pPr>
      <w:r>
        <w:rPr>
          <w:rFonts w:hint="eastAsia" w:ascii="宋体" w:hAnsi="宋体"/>
          <w:sz w:val="24"/>
        </w:rPr>
        <w:t>（</w:t>
      </w:r>
      <w:r>
        <w:rPr>
          <w:rFonts w:ascii="宋体" w:hAnsi="宋体"/>
          <w:sz w:val="24"/>
        </w:rPr>
        <w:t>1</w:t>
      </w:r>
      <w:r>
        <w:rPr>
          <w:rFonts w:hint="eastAsia" w:ascii="宋体" w:hAnsi="宋体"/>
          <w:sz w:val="24"/>
        </w:rPr>
        <w:t>）投标总价封面、扉页；</w:t>
      </w:r>
    </w:p>
    <w:p>
      <w:pPr>
        <w:spacing w:line="360" w:lineRule="auto"/>
        <w:ind w:firstLine="566" w:firstLineChars="236"/>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）总说明</w:t>
      </w:r>
    </w:p>
    <w:p>
      <w:pPr>
        <w:spacing w:line="360" w:lineRule="auto"/>
        <w:ind w:firstLine="566" w:firstLineChars="236"/>
        <w:rPr>
          <w:rFonts w:ascii="宋体"/>
          <w:sz w:val="24"/>
          <w:szCs w:val="24"/>
        </w:rPr>
      </w:pPr>
      <w:r>
        <w:rPr>
          <w:rFonts w:hint="eastAsia" w:ascii="宋体" w:hAnsi="宋体"/>
          <w:sz w:val="24"/>
          <w:szCs w:val="24"/>
        </w:rPr>
        <w:t>（3）工程项目投标报价汇总表；</w:t>
      </w:r>
    </w:p>
    <w:p>
      <w:pPr>
        <w:spacing w:line="360" w:lineRule="auto"/>
        <w:ind w:firstLine="566" w:firstLineChars="236"/>
        <w:rPr>
          <w:rFonts w:ascii="宋体" w:hAnsi="宋体"/>
          <w:sz w:val="24"/>
          <w:szCs w:val="24"/>
        </w:rPr>
      </w:pPr>
      <w:r>
        <w:rPr>
          <w:rFonts w:hint="eastAsia" w:ascii="宋体" w:hAnsi="宋体"/>
          <w:sz w:val="24"/>
          <w:szCs w:val="24"/>
        </w:rPr>
        <w:t>（4）单项工程投标报价汇总表；</w:t>
      </w:r>
    </w:p>
    <w:p>
      <w:pPr>
        <w:spacing w:line="360" w:lineRule="auto"/>
        <w:ind w:firstLine="566" w:firstLineChars="236"/>
        <w:rPr>
          <w:rFonts w:ascii="宋体"/>
          <w:sz w:val="24"/>
          <w:szCs w:val="24"/>
        </w:rPr>
      </w:pPr>
      <w:r>
        <w:rPr>
          <w:rFonts w:hint="eastAsia" w:ascii="宋体" w:hAnsi="宋体"/>
          <w:sz w:val="24"/>
          <w:szCs w:val="24"/>
        </w:rPr>
        <w:t>（5）单位工程投标报价汇总表；</w:t>
      </w:r>
    </w:p>
    <w:p>
      <w:pPr>
        <w:spacing w:line="360" w:lineRule="auto"/>
        <w:ind w:firstLine="566" w:firstLineChars="236"/>
        <w:rPr>
          <w:rFonts w:ascii="宋体"/>
          <w:sz w:val="24"/>
          <w:szCs w:val="24"/>
        </w:rPr>
      </w:pPr>
      <w:r>
        <w:rPr>
          <w:rFonts w:hint="eastAsia" w:ascii="宋体" w:hAnsi="宋体"/>
          <w:sz w:val="24"/>
          <w:szCs w:val="24"/>
        </w:rPr>
        <w:t>（6）分部分项工程清单与计价表；</w:t>
      </w:r>
    </w:p>
    <w:p>
      <w:pPr>
        <w:spacing w:line="360" w:lineRule="auto"/>
        <w:ind w:firstLine="566" w:firstLineChars="236"/>
        <w:rPr>
          <w:rFonts w:ascii="宋体"/>
          <w:sz w:val="24"/>
          <w:szCs w:val="24"/>
        </w:rPr>
      </w:pPr>
      <w:r>
        <w:rPr>
          <w:rFonts w:hint="eastAsia" w:ascii="宋体" w:hAnsi="宋体"/>
          <w:sz w:val="24"/>
          <w:szCs w:val="24"/>
        </w:rPr>
        <w:t>（7）单价措施项目清单与计价表；</w:t>
      </w:r>
    </w:p>
    <w:p>
      <w:pPr>
        <w:spacing w:line="360" w:lineRule="auto"/>
        <w:ind w:firstLine="566" w:firstLineChars="236"/>
        <w:rPr>
          <w:rFonts w:ascii="宋体"/>
          <w:sz w:val="24"/>
          <w:szCs w:val="24"/>
        </w:rPr>
      </w:pPr>
      <w:r>
        <w:rPr>
          <w:rFonts w:hint="eastAsia" w:ascii="宋体" w:hAnsi="宋体"/>
          <w:sz w:val="24"/>
          <w:szCs w:val="24"/>
        </w:rPr>
        <w:t>（8）总价措施项目清单与计价表；</w:t>
      </w:r>
    </w:p>
    <w:p>
      <w:pPr>
        <w:spacing w:line="360" w:lineRule="auto"/>
        <w:ind w:firstLine="566" w:firstLineChars="236"/>
        <w:rPr>
          <w:rFonts w:ascii="宋体"/>
          <w:sz w:val="24"/>
          <w:szCs w:val="24"/>
        </w:rPr>
      </w:pPr>
      <w:r>
        <w:rPr>
          <w:rFonts w:hint="eastAsia" w:ascii="宋体" w:hAnsi="宋体"/>
          <w:sz w:val="24"/>
          <w:szCs w:val="24"/>
        </w:rPr>
        <w:t>（9）综合单价分析表；</w:t>
      </w:r>
    </w:p>
    <w:p>
      <w:pPr>
        <w:spacing w:line="360" w:lineRule="auto"/>
        <w:ind w:firstLine="566" w:firstLineChars="236"/>
        <w:rPr>
          <w:rFonts w:ascii="宋体"/>
          <w:sz w:val="24"/>
          <w:szCs w:val="24"/>
        </w:rPr>
      </w:pPr>
      <w:r>
        <w:rPr>
          <w:rFonts w:hint="eastAsia" w:ascii="宋体" w:hAnsi="宋体"/>
          <w:sz w:val="24"/>
          <w:szCs w:val="24"/>
        </w:rPr>
        <w:t>（10）其他项目清单与计价汇总表；</w:t>
      </w:r>
    </w:p>
    <w:p>
      <w:pPr>
        <w:spacing w:line="360" w:lineRule="auto"/>
        <w:ind w:firstLine="566" w:firstLineChars="236"/>
        <w:rPr>
          <w:rFonts w:ascii="宋体"/>
          <w:sz w:val="24"/>
          <w:szCs w:val="24"/>
        </w:rPr>
      </w:pPr>
      <w:r>
        <w:rPr>
          <w:rFonts w:hint="eastAsia" w:ascii="宋体" w:hAnsi="宋体"/>
          <w:sz w:val="24"/>
          <w:szCs w:val="24"/>
        </w:rPr>
        <w:t>（11）暂列金额明细表；</w:t>
      </w:r>
    </w:p>
    <w:p>
      <w:pPr>
        <w:spacing w:line="360" w:lineRule="auto"/>
        <w:ind w:firstLine="566" w:firstLineChars="236"/>
        <w:rPr>
          <w:rFonts w:ascii="宋体"/>
          <w:sz w:val="24"/>
          <w:szCs w:val="24"/>
        </w:rPr>
      </w:pPr>
      <w:r>
        <w:rPr>
          <w:rFonts w:hint="eastAsia" w:ascii="宋体" w:hAnsi="宋体"/>
          <w:sz w:val="24"/>
          <w:szCs w:val="24"/>
        </w:rPr>
        <w:t>（12）材料（工程设备）暂估价明细表；</w:t>
      </w:r>
    </w:p>
    <w:p>
      <w:pPr>
        <w:spacing w:line="360" w:lineRule="auto"/>
        <w:ind w:firstLine="566" w:firstLineChars="236"/>
        <w:rPr>
          <w:rFonts w:ascii="宋体"/>
          <w:sz w:val="24"/>
          <w:szCs w:val="24"/>
        </w:rPr>
      </w:pPr>
      <w:r>
        <w:rPr>
          <w:rFonts w:hint="eastAsia" w:ascii="宋体" w:hAnsi="宋体"/>
          <w:sz w:val="24"/>
          <w:szCs w:val="24"/>
        </w:rPr>
        <w:t>（13）专业工程暂估价明细表；</w:t>
      </w:r>
    </w:p>
    <w:p>
      <w:pPr>
        <w:spacing w:line="360" w:lineRule="auto"/>
        <w:ind w:firstLine="566" w:firstLineChars="236"/>
        <w:rPr>
          <w:rFonts w:ascii="宋体"/>
          <w:sz w:val="24"/>
          <w:szCs w:val="24"/>
        </w:rPr>
      </w:pPr>
      <w:r>
        <w:rPr>
          <w:rFonts w:hint="eastAsia" w:ascii="宋体" w:hAnsi="宋体"/>
          <w:sz w:val="24"/>
          <w:szCs w:val="24"/>
        </w:rPr>
        <w:t>（14）计日工表；</w:t>
      </w:r>
    </w:p>
    <w:p>
      <w:pPr>
        <w:spacing w:line="360" w:lineRule="auto"/>
        <w:ind w:firstLine="566" w:firstLineChars="236"/>
        <w:rPr>
          <w:rFonts w:ascii="宋体"/>
          <w:sz w:val="24"/>
          <w:szCs w:val="24"/>
        </w:rPr>
      </w:pPr>
      <w:r>
        <w:rPr>
          <w:rFonts w:hint="eastAsia" w:ascii="宋体" w:hAnsi="宋体"/>
          <w:sz w:val="24"/>
          <w:szCs w:val="24"/>
        </w:rPr>
        <w:t>（15）总承包服务计价表；</w:t>
      </w:r>
    </w:p>
    <w:p>
      <w:pPr>
        <w:spacing w:line="360" w:lineRule="auto"/>
        <w:ind w:firstLine="566" w:firstLineChars="236"/>
        <w:rPr>
          <w:rFonts w:ascii="宋体"/>
          <w:sz w:val="24"/>
          <w:szCs w:val="24"/>
        </w:rPr>
      </w:pPr>
      <w:r>
        <w:rPr>
          <w:rFonts w:hint="eastAsia" w:ascii="宋体" w:hAnsi="宋体"/>
          <w:sz w:val="24"/>
          <w:szCs w:val="24"/>
        </w:rPr>
        <w:t>（16）规费和税金项目计价表；</w:t>
      </w:r>
    </w:p>
    <w:p>
      <w:pPr>
        <w:spacing w:line="360" w:lineRule="auto"/>
        <w:ind w:firstLine="480" w:firstLineChars="200"/>
        <w:rPr>
          <w:rFonts w:ascii="宋体"/>
          <w:sz w:val="24"/>
        </w:rPr>
      </w:pPr>
      <w:r>
        <w:rPr>
          <w:rFonts w:hint="eastAsia" w:ascii="宋体" w:hAnsi="宋体"/>
          <w:sz w:val="24"/>
          <w:szCs w:val="24"/>
        </w:rPr>
        <w:t xml:space="preserve"> （17）人工、主要材料和设备一览表</w:t>
      </w:r>
    </w:p>
    <w:p>
      <w:pPr>
        <w:tabs>
          <w:tab w:val="left" w:pos="1125"/>
        </w:tabs>
        <w:spacing w:line="360" w:lineRule="auto"/>
        <w:ind w:firstLine="480" w:firstLineChars="200"/>
        <w:rPr>
          <w:rFonts w:ascii="宋体" w:hAnsi="宋体"/>
          <w:sz w:val="24"/>
        </w:rPr>
      </w:pPr>
      <w:r>
        <w:rPr>
          <w:rFonts w:ascii="宋体" w:hAnsi="宋体"/>
          <w:sz w:val="24"/>
        </w:rPr>
        <w:t>11.3.</w:t>
      </w:r>
      <w:r>
        <w:rPr>
          <w:rFonts w:hint="eastAsia" w:ascii="宋体" w:hAnsi="宋体"/>
          <w:sz w:val="24"/>
        </w:rPr>
        <w:t>3按照</w:t>
      </w:r>
      <w:r>
        <w:rPr>
          <w:rFonts w:hint="eastAsia" w:ascii="宋体" w:hAnsi="宋体"/>
          <w:bCs/>
          <w:sz w:val="24"/>
        </w:rPr>
        <w:t>招标文件要求</w:t>
      </w:r>
      <w:r>
        <w:rPr>
          <w:rFonts w:hint="eastAsia" w:ascii="宋体" w:hAnsi="宋体"/>
          <w:sz w:val="24"/>
        </w:rPr>
        <w:t>填写的《参与编制经济标投标文件人员名单》（见招标文件第四章格式二十）。</w:t>
      </w:r>
    </w:p>
    <w:p>
      <w:pPr>
        <w:tabs>
          <w:tab w:val="left" w:pos="1125"/>
        </w:tabs>
        <w:spacing w:line="360" w:lineRule="auto"/>
        <w:ind w:firstLine="480" w:firstLineChars="200"/>
        <w:rPr>
          <w:rFonts w:ascii="宋体" w:hAnsi="宋体"/>
          <w:sz w:val="24"/>
        </w:rPr>
      </w:pPr>
      <w:r>
        <w:rPr>
          <w:rFonts w:hint="eastAsia" w:ascii="宋体" w:hAnsi="宋体"/>
          <w:sz w:val="24"/>
        </w:rPr>
        <w:t>11.3.4若投标人的投标报价低于工程成本警戒价的，投标人还须提供详细的施工组织设计、单价、措施性费用、单价分析表、主要材料价格表、投标人成本分析供评标委员会评审。</w:t>
      </w:r>
    </w:p>
    <w:p>
      <w:pPr>
        <w:pStyle w:val="2"/>
        <w:rPr>
          <w:rFonts w:ascii="宋体" w:hAnsi="宋体"/>
          <w:sz w:val="24"/>
          <w:szCs w:val="22"/>
        </w:rPr>
      </w:pPr>
      <w:r>
        <w:rPr>
          <w:rFonts w:hint="eastAsia" w:ascii="宋体" w:hAnsi="宋体"/>
          <w:sz w:val="24"/>
          <w:szCs w:val="22"/>
          <w:u w:val="single"/>
        </w:rPr>
        <w:t>11.3.5《对投标文件编制的承诺》（见招标文件第四章格式二十一）</w:t>
      </w:r>
    </w:p>
    <w:p>
      <w:pPr>
        <w:pStyle w:val="35"/>
        <w:spacing w:after="0" w:line="360" w:lineRule="auto"/>
        <w:ind w:firstLine="482" w:firstLineChars="200"/>
        <w:rPr>
          <w:rFonts w:ascii="宋体"/>
          <w:b/>
          <w:bCs/>
          <w:sz w:val="24"/>
        </w:rPr>
      </w:pPr>
      <w:r>
        <w:rPr>
          <w:rFonts w:ascii="宋体" w:hAnsi="宋体"/>
          <w:b/>
          <w:bCs/>
          <w:sz w:val="24"/>
        </w:rPr>
        <w:t>12</w:t>
      </w:r>
      <w:r>
        <w:rPr>
          <w:rFonts w:hint="eastAsia" w:ascii="宋体" w:hAnsi="宋体"/>
          <w:b/>
          <w:bCs/>
          <w:sz w:val="24"/>
        </w:rPr>
        <w:t>．投标文件格式</w:t>
      </w:r>
    </w:p>
    <w:p>
      <w:pPr>
        <w:pStyle w:val="35"/>
        <w:spacing w:after="0" w:line="360" w:lineRule="auto"/>
        <w:ind w:firstLine="480" w:firstLineChars="200"/>
        <w:rPr>
          <w:rFonts w:ascii="宋体" w:hAnsi="宋体"/>
          <w:sz w:val="24"/>
        </w:rPr>
      </w:pPr>
      <w:r>
        <w:rPr>
          <w:rFonts w:ascii="宋体" w:hAnsi="宋体"/>
          <w:sz w:val="24"/>
        </w:rPr>
        <w:t xml:space="preserve">12.1 </w:t>
      </w:r>
      <w:r>
        <w:rPr>
          <w:rFonts w:hint="eastAsia" w:ascii="宋体" w:hAnsi="宋体"/>
          <w:sz w:val="24"/>
        </w:rPr>
        <w:t>投标文件包括本须知第</w:t>
      </w:r>
      <w:r>
        <w:rPr>
          <w:rFonts w:ascii="宋体" w:hAnsi="宋体"/>
          <w:sz w:val="24"/>
        </w:rPr>
        <w:t>11</w:t>
      </w:r>
      <w:r>
        <w:rPr>
          <w:rFonts w:hint="eastAsia" w:ascii="宋体" w:hAnsi="宋体"/>
          <w:sz w:val="24"/>
        </w:rPr>
        <w:t>条中规定的内容，投标人提交的投标文件应当使用招标文件所提供的投标文件全部格式（表格可以按同样格式扩展）。</w:t>
      </w:r>
    </w:p>
    <w:p>
      <w:pPr>
        <w:pStyle w:val="35"/>
        <w:spacing w:after="0" w:line="360" w:lineRule="auto"/>
        <w:ind w:firstLine="480" w:firstLineChars="200"/>
        <w:rPr>
          <w:rFonts w:ascii="宋体" w:hAnsi="宋体"/>
          <w:sz w:val="24"/>
        </w:rPr>
      </w:pPr>
      <w:r>
        <w:rPr>
          <w:rFonts w:hint="eastAsia" w:ascii="宋体" w:hAnsi="宋体"/>
          <w:sz w:val="24"/>
        </w:rPr>
        <w:t>12.2 投标文件全部采用电子文档，投标文件所附证书证件均为原件扫描件，并采用单位数字证书，按招标文件要求在相应位置加盖电子印章。投标文件中需个人签字或盖章的，应加盖个人电子印章或在线下完成</w:t>
      </w:r>
      <w:r>
        <w:rPr>
          <w:rFonts w:hint="eastAsia" w:ascii="宋体" w:hAnsi="宋体"/>
          <w:sz w:val="24"/>
          <w:u w:val="single"/>
        </w:rPr>
        <w:t>手签或盖章和加盖单位公章</w:t>
      </w:r>
      <w:r>
        <w:rPr>
          <w:rFonts w:hint="eastAsia" w:ascii="宋体" w:hAnsi="宋体"/>
          <w:sz w:val="24"/>
        </w:rPr>
        <w:t>后扫描上传。按照交易平台关于</w:t>
      </w:r>
      <w:r>
        <w:rPr>
          <w:rFonts w:hint="eastAsia"/>
          <w:sz w:val="24"/>
          <w:szCs w:val="24"/>
        </w:rPr>
        <w:t>全流程电子化项目的相关指南进行操作。详见：</w:t>
      </w:r>
      <w:r>
        <w:rPr>
          <w:sz w:val="24"/>
          <w:szCs w:val="24"/>
          <w:u w:val="single"/>
        </w:rPr>
        <w:t xml:space="preserve"> </w:t>
      </w:r>
      <w:r>
        <w:rPr>
          <w:rFonts w:hint="eastAsia"/>
          <w:sz w:val="24"/>
          <w:szCs w:val="24"/>
          <w:u w:val="single"/>
        </w:rPr>
        <w:t>广州公共资源交易中心网站</w:t>
      </w:r>
      <w:r>
        <w:rPr>
          <w:rFonts w:hint="eastAsia"/>
          <w:sz w:val="24"/>
          <w:szCs w:val="24"/>
        </w:rPr>
        <w:t xml:space="preserve"> 。</w:t>
      </w:r>
    </w:p>
    <w:p>
      <w:pPr>
        <w:pStyle w:val="35"/>
        <w:spacing w:after="0" w:line="360" w:lineRule="auto"/>
        <w:ind w:firstLine="480" w:firstLineChars="200"/>
        <w:rPr>
          <w:rFonts w:ascii="宋体" w:hAnsi="宋体"/>
          <w:sz w:val="24"/>
        </w:rPr>
      </w:pPr>
      <w:r>
        <w:rPr>
          <w:rFonts w:hint="eastAsia" w:ascii="宋体" w:hAnsi="宋体"/>
          <w:sz w:val="24"/>
        </w:rPr>
        <w:t xml:space="preserve">12.3 </w:t>
      </w:r>
      <w:r>
        <w:rPr>
          <w:rFonts w:hint="eastAsia" w:ascii="宋体" w:hAnsi="宋体"/>
          <w:bCs/>
          <w:sz w:val="24"/>
          <w:szCs w:val="24"/>
        </w:rPr>
        <w:t>投标文件应按</w:t>
      </w:r>
      <w:r>
        <w:rPr>
          <w:rFonts w:hint="eastAsia" w:ascii="宋体" w:hAnsi="宋体"/>
          <w:sz w:val="24"/>
        </w:rPr>
        <w:t>照交易平台关于全流程电子化项目的相关指南进行编制，详见：</w:t>
      </w:r>
      <w:r>
        <w:rPr>
          <w:sz w:val="24"/>
          <w:szCs w:val="24"/>
          <w:u w:val="single"/>
        </w:rPr>
        <w:t xml:space="preserve">  </w:t>
      </w:r>
      <w:r>
        <w:rPr>
          <w:rFonts w:hint="eastAsia"/>
          <w:sz w:val="24"/>
          <w:szCs w:val="24"/>
          <w:u w:val="single"/>
        </w:rPr>
        <w:t xml:space="preserve">广州公共资源交易中心网站 </w:t>
      </w:r>
      <w:r>
        <w:rPr>
          <w:rFonts w:hint="eastAsia" w:ascii="宋体" w:hAnsi="宋体"/>
          <w:sz w:val="24"/>
        </w:rPr>
        <w:t xml:space="preserve">。               </w:t>
      </w:r>
    </w:p>
    <w:p>
      <w:pPr>
        <w:pStyle w:val="35"/>
        <w:spacing w:after="0" w:line="360" w:lineRule="auto"/>
        <w:ind w:firstLine="0"/>
        <w:rPr>
          <w:rFonts w:ascii="宋体" w:hAnsi="宋体"/>
          <w:sz w:val="24"/>
        </w:rPr>
      </w:pPr>
      <w:r>
        <w:rPr>
          <w:rFonts w:hint="eastAsia" w:ascii="宋体" w:hAnsi="宋体"/>
          <w:bCs/>
          <w:sz w:val="24"/>
          <w:szCs w:val="24"/>
        </w:rPr>
        <w:t>如不按上述要求编制引起系统无法检索、读取相关信息的，其后果由投标人承担。</w:t>
      </w:r>
    </w:p>
    <w:p>
      <w:pPr>
        <w:pStyle w:val="35"/>
        <w:spacing w:after="0" w:line="360" w:lineRule="auto"/>
        <w:ind w:firstLine="482" w:firstLineChars="200"/>
        <w:rPr>
          <w:rFonts w:ascii="宋体"/>
          <w:b/>
          <w:bCs/>
          <w:sz w:val="24"/>
        </w:rPr>
      </w:pPr>
      <w:r>
        <w:rPr>
          <w:rFonts w:ascii="宋体" w:hAnsi="宋体"/>
          <w:b/>
          <w:bCs/>
          <w:sz w:val="24"/>
        </w:rPr>
        <w:t>13</w:t>
      </w:r>
      <w:r>
        <w:rPr>
          <w:rFonts w:hint="eastAsia" w:ascii="宋体" w:hAnsi="宋体"/>
          <w:b/>
          <w:bCs/>
          <w:sz w:val="24"/>
        </w:rPr>
        <w:t>．投标报价及造价承包和变更结算方式</w:t>
      </w:r>
    </w:p>
    <w:p>
      <w:pPr>
        <w:pStyle w:val="35"/>
        <w:spacing w:after="0" w:line="360" w:lineRule="auto"/>
        <w:ind w:firstLine="480" w:firstLineChars="200"/>
        <w:rPr>
          <w:rFonts w:ascii="宋体"/>
          <w:sz w:val="24"/>
        </w:rPr>
      </w:pPr>
      <w:r>
        <w:rPr>
          <w:rFonts w:ascii="宋体" w:hAnsi="宋体"/>
          <w:sz w:val="24"/>
        </w:rPr>
        <w:t xml:space="preserve">13.1 </w:t>
      </w:r>
      <w:r>
        <w:rPr>
          <w:rFonts w:hint="eastAsia" w:ascii="宋体" w:hAnsi="宋体"/>
          <w:sz w:val="24"/>
        </w:rPr>
        <w:t>本工程的投标报价采用投标须知前附表第</w:t>
      </w:r>
      <w:r>
        <w:rPr>
          <w:rFonts w:ascii="宋体" w:hAnsi="宋体"/>
          <w:sz w:val="24"/>
        </w:rPr>
        <w:t>12</w:t>
      </w:r>
      <w:r>
        <w:rPr>
          <w:rFonts w:hint="eastAsia" w:ascii="宋体" w:hAnsi="宋体"/>
          <w:sz w:val="24"/>
        </w:rPr>
        <w:t>项所规定的方式。投标报价（含单价及总价）精确到“分”。</w:t>
      </w:r>
    </w:p>
    <w:p>
      <w:pPr>
        <w:pStyle w:val="35"/>
        <w:spacing w:after="0" w:line="360" w:lineRule="auto"/>
        <w:ind w:firstLine="480" w:firstLineChars="200"/>
        <w:rPr>
          <w:rFonts w:ascii="宋体"/>
          <w:sz w:val="24"/>
        </w:rPr>
      </w:pPr>
      <w:r>
        <w:rPr>
          <w:rFonts w:ascii="宋体" w:hAnsi="宋体"/>
          <w:sz w:val="24"/>
        </w:rPr>
        <w:t>13.2</w:t>
      </w:r>
      <w:r>
        <w:rPr>
          <w:rFonts w:hint="eastAsia" w:ascii="宋体" w:hAnsi="宋体"/>
          <w:sz w:val="24"/>
        </w:rPr>
        <w:t>招标人按照招标图纸制定招标工程量清单，该清单载于本招标文件第</w:t>
      </w:r>
      <w:r>
        <w:rPr>
          <w:rFonts w:hint="eastAsia" w:ascii="宋体" w:hAnsi="宋体"/>
          <w:sz w:val="24"/>
          <w:u w:val="single"/>
        </w:rPr>
        <w:t>八</w:t>
      </w:r>
      <w:r>
        <w:rPr>
          <w:rFonts w:hint="eastAsia" w:ascii="宋体" w:hAnsi="宋体"/>
          <w:sz w:val="24"/>
        </w:rPr>
        <w:t>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35"/>
        <w:spacing w:after="0" w:line="360" w:lineRule="auto"/>
        <w:ind w:firstLine="480" w:firstLineChars="200"/>
        <w:rPr>
          <w:rFonts w:ascii="宋体"/>
          <w:sz w:val="24"/>
        </w:rPr>
      </w:pPr>
      <w:r>
        <w:rPr>
          <w:rFonts w:ascii="宋体" w:hAnsi="宋体"/>
          <w:sz w:val="24"/>
        </w:rPr>
        <w:t>13.3</w:t>
      </w:r>
      <w:r>
        <w:rPr>
          <w:rFonts w:hint="eastAsia" w:ascii="宋体" w:hAnsi="宋体"/>
          <w:sz w:val="24"/>
        </w:rPr>
        <w:t>投标人的投标报价，应是按照投标须知前附表第</w:t>
      </w:r>
      <w:r>
        <w:rPr>
          <w:rFonts w:ascii="宋体" w:hAnsi="宋体"/>
          <w:sz w:val="24"/>
        </w:rPr>
        <w:t>8</w:t>
      </w:r>
      <w:r>
        <w:rPr>
          <w:rFonts w:hint="eastAsia" w:ascii="宋体" w:hAnsi="宋体"/>
          <w:sz w:val="24"/>
        </w:rPr>
        <w:t>项的工期要求，在投标须知前附表第</w:t>
      </w:r>
      <w:r>
        <w:rPr>
          <w:rFonts w:ascii="宋体" w:hAnsi="宋体"/>
          <w:sz w:val="24"/>
        </w:rPr>
        <w:t>3</w:t>
      </w:r>
      <w:r>
        <w:rPr>
          <w:rFonts w:hint="eastAsia" w:ascii="宋体" w:hAnsi="宋体"/>
          <w:sz w:val="24"/>
        </w:rPr>
        <w:t>项的建设地点，完成投标须知前附表第</w:t>
      </w:r>
      <w:r>
        <w:rPr>
          <w:rFonts w:ascii="宋体" w:hAnsi="宋体"/>
          <w:sz w:val="24"/>
        </w:rPr>
        <w:t>7</w:t>
      </w:r>
      <w:r>
        <w:rPr>
          <w:rFonts w:hint="eastAsia" w:ascii="宋体" w:hAnsi="宋体"/>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35"/>
        <w:spacing w:after="0" w:line="360" w:lineRule="auto"/>
        <w:ind w:firstLine="480" w:firstLineChars="200"/>
        <w:rPr>
          <w:rFonts w:ascii="宋体"/>
          <w:sz w:val="24"/>
        </w:rPr>
      </w:pPr>
      <w:r>
        <w:rPr>
          <w:rFonts w:ascii="宋体" w:hAnsi="宋体"/>
          <w:sz w:val="24"/>
        </w:rPr>
        <w:t>13.4</w:t>
      </w:r>
      <w:r>
        <w:rPr>
          <w:rFonts w:hint="eastAsia" w:ascii="宋体" w:hAnsi="宋体"/>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ascii="宋体" w:hAnsi="宋体"/>
          <w:sz w:val="24"/>
          <w:u w:val="single"/>
        </w:rPr>
        <w:t>按合同条款相关约定调整</w:t>
      </w:r>
      <w:r>
        <w:rPr>
          <w:rFonts w:hint="eastAsia" w:ascii="宋体" w:hAnsi="宋体"/>
          <w:sz w:val="24"/>
        </w:rPr>
        <w:t>。</w:t>
      </w:r>
    </w:p>
    <w:p>
      <w:pPr>
        <w:pStyle w:val="35"/>
        <w:spacing w:after="0" w:line="360" w:lineRule="auto"/>
        <w:ind w:firstLine="480" w:firstLineChars="200"/>
        <w:rPr>
          <w:rFonts w:ascii="宋体"/>
          <w:sz w:val="24"/>
        </w:rPr>
      </w:pPr>
      <w:r>
        <w:rPr>
          <w:rFonts w:ascii="宋体" w:hAnsi="宋体"/>
          <w:sz w:val="24"/>
        </w:rPr>
        <w:t>13.5</w:t>
      </w:r>
      <w:r>
        <w:rPr>
          <w:rFonts w:hint="eastAsia" w:ascii="宋体" w:hAnsi="宋体"/>
          <w:sz w:val="24"/>
          <w:szCs w:val="24"/>
          <w:u w:val="single"/>
        </w:rPr>
        <w:t>按本招标文件第七章《工程量清单》相关要求及本工程施工合同条款约定执行</w:t>
      </w:r>
      <w:r>
        <w:rPr>
          <w:rFonts w:hint="eastAsia" w:ascii="宋体" w:hAnsi="宋体"/>
          <w:sz w:val="24"/>
        </w:rPr>
        <w:t>。</w:t>
      </w:r>
    </w:p>
    <w:p>
      <w:pPr>
        <w:pStyle w:val="35"/>
        <w:spacing w:after="0" w:line="360" w:lineRule="auto"/>
        <w:ind w:firstLine="480" w:firstLineChars="200"/>
        <w:rPr>
          <w:rFonts w:ascii="宋体"/>
          <w:sz w:val="24"/>
        </w:rPr>
      </w:pPr>
      <w:r>
        <w:rPr>
          <w:rFonts w:ascii="宋体" w:hAnsi="宋体"/>
          <w:sz w:val="24"/>
        </w:rPr>
        <w:t>13.6</w:t>
      </w:r>
      <w:r>
        <w:rPr>
          <w:rFonts w:hint="eastAsia" w:ascii="宋体" w:hAnsi="宋体"/>
          <w:sz w:val="24"/>
        </w:rPr>
        <w:t>暂列金额、暂估价</w:t>
      </w:r>
    </w:p>
    <w:p>
      <w:pPr>
        <w:pStyle w:val="35"/>
        <w:spacing w:after="0" w:line="360" w:lineRule="auto"/>
        <w:ind w:firstLine="480" w:firstLineChars="200"/>
        <w:rPr>
          <w:rFonts w:ascii="宋体"/>
          <w:sz w:val="24"/>
        </w:rPr>
      </w:pPr>
      <w:r>
        <w:rPr>
          <w:rFonts w:ascii="宋体" w:hAnsi="宋体"/>
          <w:sz w:val="24"/>
        </w:rPr>
        <w:t>13.6.1</w:t>
      </w:r>
      <w:r>
        <w:rPr>
          <w:rFonts w:hint="eastAsia" w:ascii="宋体" w:hAnsi="宋体"/>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35"/>
        <w:spacing w:after="0" w:line="360" w:lineRule="auto"/>
        <w:ind w:firstLine="480" w:firstLineChars="200"/>
        <w:rPr>
          <w:rFonts w:ascii="宋体"/>
          <w:sz w:val="24"/>
        </w:rPr>
      </w:pPr>
      <w:r>
        <w:rPr>
          <w:rFonts w:hint="eastAsia" w:ascii="宋体" w:hAnsi="宋体"/>
          <w:sz w:val="24"/>
        </w:rPr>
        <w:t>暂估价是指招标人在工程量清单中提供的用于支付必然发生但暂时不能确定价格的材料的单价以及专业工程的金额。</w:t>
      </w:r>
    </w:p>
    <w:p>
      <w:pPr>
        <w:pStyle w:val="35"/>
        <w:spacing w:after="0" w:line="360" w:lineRule="auto"/>
        <w:ind w:firstLine="480" w:firstLineChars="200"/>
        <w:rPr>
          <w:rFonts w:ascii="宋体"/>
          <w:sz w:val="24"/>
        </w:rPr>
      </w:pPr>
      <w:r>
        <w:rPr>
          <w:rFonts w:ascii="宋体" w:hAnsi="宋体"/>
          <w:sz w:val="24"/>
        </w:rPr>
        <w:t>13.6.2</w:t>
      </w:r>
      <w:r>
        <w:rPr>
          <w:rFonts w:hint="eastAsia" w:ascii="宋体" w:hAnsi="宋体"/>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35"/>
        <w:spacing w:after="0" w:line="360" w:lineRule="auto"/>
        <w:ind w:firstLine="480" w:firstLineChars="200"/>
        <w:rPr>
          <w:rFonts w:ascii="宋体"/>
          <w:sz w:val="24"/>
        </w:rPr>
      </w:pPr>
      <w:r>
        <w:rPr>
          <w:rFonts w:ascii="宋体" w:hAnsi="宋体"/>
          <w:sz w:val="24"/>
        </w:rPr>
        <w:t>13.6.3</w:t>
      </w:r>
      <w:r>
        <w:rPr>
          <w:rFonts w:hint="eastAsia" w:ascii="宋体" w:hAnsi="宋体"/>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35"/>
        <w:spacing w:after="0" w:line="360" w:lineRule="auto"/>
        <w:ind w:firstLine="480" w:firstLineChars="200"/>
        <w:rPr>
          <w:rFonts w:ascii="宋体"/>
          <w:sz w:val="24"/>
        </w:rPr>
      </w:pPr>
      <w:r>
        <w:rPr>
          <w:rFonts w:ascii="宋体" w:hAnsi="宋体"/>
          <w:sz w:val="24"/>
        </w:rPr>
        <w:t>13.6.4</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rPr>
        <w:t>13.5</w:t>
      </w:r>
      <w:r>
        <w:rPr>
          <w:rFonts w:hint="eastAsia" w:ascii="宋体" w:hAnsi="宋体"/>
          <w:sz w:val="24"/>
        </w:rPr>
        <w:t>款规定确定。</w:t>
      </w:r>
    </w:p>
    <w:p>
      <w:pPr>
        <w:pStyle w:val="35"/>
        <w:spacing w:after="0" w:line="360" w:lineRule="auto"/>
        <w:ind w:firstLine="480" w:firstLineChars="200"/>
        <w:rPr>
          <w:rFonts w:ascii="宋体"/>
          <w:sz w:val="24"/>
        </w:rPr>
      </w:pPr>
      <w:r>
        <w:rPr>
          <w:rFonts w:ascii="宋体" w:hAnsi="宋体"/>
          <w:sz w:val="24"/>
        </w:rPr>
        <w:t>13.6.5</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35"/>
        <w:spacing w:after="0" w:line="360" w:lineRule="auto"/>
        <w:ind w:firstLine="480" w:firstLineChars="200"/>
        <w:rPr>
          <w:rFonts w:ascii="宋体"/>
          <w:sz w:val="24"/>
        </w:rPr>
      </w:pPr>
      <w:r>
        <w:rPr>
          <w:rFonts w:ascii="宋体" w:hAnsi="宋体"/>
          <w:sz w:val="24"/>
        </w:rPr>
        <w:t xml:space="preserve">13.6.6 </w:t>
      </w:r>
      <w:r>
        <w:rPr>
          <w:rFonts w:hint="eastAsia" w:ascii="宋体" w:hAnsi="宋体"/>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35"/>
        <w:spacing w:after="0" w:line="360" w:lineRule="auto"/>
        <w:ind w:firstLine="480" w:firstLineChars="200"/>
        <w:rPr>
          <w:rFonts w:ascii="宋体"/>
          <w:sz w:val="24"/>
        </w:rPr>
      </w:pPr>
      <w:r>
        <w:rPr>
          <w:rFonts w:ascii="宋体" w:hAnsi="宋体"/>
          <w:sz w:val="24"/>
        </w:rPr>
        <w:t>13.7</w:t>
      </w:r>
      <w:r>
        <w:rPr>
          <w:rFonts w:hint="eastAsia" w:ascii="宋体" w:hAnsi="宋体"/>
          <w:sz w:val="24"/>
        </w:rPr>
        <w:t>投标人可先到工地踏勘以充分了解工地位置、情况、道路、储存空间、装卸限制及任何其他足以影响承包价的情况，任何因忽视或误解工地情况而导致的索赔或工期延长申请将不被批准。</w:t>
      </w:r>
    </w:p>
    <w:p>
      <w:pPr>
        <w:pStyle w:val="35"/>
        <w:spacing w:after="0" w:line="360" w:lineRule="auto"/>
        <w:ind w:firstLine="480" w:firstLineChars="200"/>
        <w:rPr>
          <w:rFonts w:ascii="宋体"/>
          <w:sz w:val="24"/>
        </w:rPr>
      </w:pPr>
      <w:r>
        <w:rPr>
          <w:rFonts w:ascii="宋体" w:hAnsi="宋体"/>
          <w:sz w:val="24"/>
        </w:rPr>
        <w:t>13.8</w:t>
      </w:r>
      <w:r>
        <w:rPr>
          <w:rFonts w:hint="eastAsia" w:ascii="宋体" w:hAnsi="宋体"/>
          <w:sz w:val="24"/>
        </w:rPr>
        <w:t>属于承包人自行采购的主要材料、设备，招标人应当在招标文件中提出材料、设备的技术标准或者质量要求，或者提出不少于</w:t>
      </w:r>
      <w:r>
        <w:rPr>
          <w:rFonts w:ascii="宋体" w:hAnsi="宋体"/>
          <w:sz w:val="24"/>
        </w:rPr>
        <w:t>3</w:t>
      </w:r>
      <w:r>
        <w:rPr>
          <w:rFonts w:hint="eastAsia" w:ascii="宋体" w:hAnsi="宋体"/>
          <w:sz w:val="24"/>
        </w:rPr>
        <w:t>个同等档次品牌或分包商供投标人报价时选择</w:t>
      </w:r>
      <w:r>
        <w:rPr>
          <w:rFonts w:ascii="宋体"/>
          <w:sz w:val="24"/>
        </w:rPr>
        <w:t>,</w:t>
      </w:r>
      <w:r>
        <w:rPr>
          <w:rFonts w:hint="eastAsia" w:ascii="宋体" w:hAnsi="宋体"/>
          <w:sz w:val="24"/>
        </w:rPr>
        <w:t>凡招标人在招标文件中提出参考品牌的，必须在参考品牌后面加上“或相当于”字样。投标人在投标文件中应明确所选用主要材料、设备的品牌、厂家以及质量等级，并且应当符合招标文件的要求。</w:t>
      </w:r>
    </w:p>
    <w:p>
      <w:pPr>
        <w:pStyle w:val="35"/>
        <w:spacing w:after="0" w:line="360" w:lineRule="auto"/>
        <w:ind w:firstLine="480" w:firstLineChars="200"/>
        <w:rPr>
          <w:rFonts w:ascii="宋体"/>
          <w:sz w:val="24"/>
          <w:szCs w:val="24"/>
        </w:rPr>
      </w:pPr>
      <w:r>
        <w:rPr>
          <w:rFonts w:ascii="宋体" w:hAnsi="宋体"/>
          <w:sz w:val="24"/>
        </w:rPr>
        <w:t>13.9</w:t>
      </w:r>
      <w:r>
        <w:rPr>
          <w:rFonts w:hint="eastAsia" w:ascii="宋体"/>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35"/>
        <w:spacing w:after="0" w:line="360" w:lineRule="auto"/>
        <w:ind w:firstLine="482" w:firstLineChars="200"/>
        <w:rPr>
          <w:rFonts w:ascii="宋体"/>
          <w:b/>
          <w:bCs/>
          <w:sz w:val="24"/>
        </w:rPr>
      </w:pPr>
      <w:r>
        <w:rPr>
          <w:rFonts w:ascii="宋体" w:hAnsi="宋体"/>
          <w:b/>
          <w:bCs/>
          <w:sz w:val="24"/>
        </w:rPr>
        <w:t>14</w:t>
      </w:r>
      <w:r>
        <w:rPr>
          <w:rFonts w:hint="eastAsia" w:ascii="宋体" w:hAnsi="宋体"/>
          <w:b/>
          <w:bCs/>
          <w:sz w:val="24"/>
        </w:rPr>
        <w:t>．投标货币</w:t>
      </w:r>
    </w:p>
    <w:p>
      <w:pPr>
        <w:pStyle w:val="35"/>
        <w:spacing w:after="0" w:line="360" w:lineRule="auto"/>
        <w:ind w:firstLine="480" w:firstLineChars="200"/>
        <w:rPr>
          <w:rFonts w:ascii="宋体"/>
          <w:sz w:val="24"/>
        </w:rPr>
      </w:pPr>
      <w:r>
        <w:rPr>
          <w:rFonts w:ascii="宋体" w:hAnsi="宋体"/>
          <w:sz w:val="24"/>
        </w:rPr>
        <w:t xml:space="preserve">14.1 </w:t>
      </w:r>
      <w:r>
        <w:rPr>
          <w:rFonts w:hint="eastAsia" w:ascii="宋体" w:hAnsi="宋体"/>
          <w:sz w:val="24"/>
        </w:rPr>
        <w:t>本工程投标报价采用的币种为人民币。</w:t>
      </w:r>
    </w:p>
    <w:p>
      <w:pPr>
        <w:pStyle w:val="35"/>
        <w:spacing w:after="0" w:line="360" w:lineRule="auto"/>
        <w:ind w:firstLine="482" w:firstLineChars="200"/>
        <w:rPr>
          <w:rFonts w:ascii="宋体"/>
          <w:sz w:val="24"/>
        </w:rPr>
      </w:pPr>
      <w:r>
        <w:rPr>
          <w:rFonts w:ascii="宋体" w:hAnsi="宋体"/>
          <w:b/>
          <w:bCs/>
          <w:sz w:val="24"/>
        </w:rPr>
        <w:t>15</w:t>
      </w:r>
      <w:r>
        <w:rPr>
          <w:rFonts w:hint="eastAsia" w:ascii="宋体" w:hAnsi="宋体"/>
          <w:b/>
          <w:bCs/>
          <w:sz w:val="24"/>
        </w:rPr>
        <w:t>．投标有效期</w:t>
      </w:r>
    </w:p>
    <w:p>
      <w:pPr>
        <w:pStyle w:val="35"/>
        <w:spacing w:after="0" w:line="360" w:lineRule="auto"/>
        <w:ind w:firstLine="480" w:firstLineChars="200"/>
        <w:rPr>
          <w:rFonts w:ascii="宋体"/>
          <w:sz w:val="24"/>
        </w:rPr>
      </w:pPr>
      <w:r>
        <w:rPr>
          <w:rFonts w:ascii="宋体" w:hAnsi="宋体"/>
          <w:sz w:val="24"/>
        </w:rPr>
        <w:t xml:space="preserve">15.1 </w:t>
      </w:r>
      <w:r>
        <w:rPr>
          <w:rFonts w:hint="eastAsia" w:ascii="宋体" w:hAnsi="宋体"/>
          <w:sz w:val="24"/>
        </w:rPr>
        <w:t>投标有效期见投标须知前附表第</w:t>
      </w:r>
      <w:r>
        <w:rPr>
          <w:rFonts w:ascii="宋体" w:hAnsi="宋体"/>
          <w:sz w:val="24"/>
        </w:rPr>
        <w:t>13</w:t>
      </w:r>
      <w:r>
        <w:rPr>
          <w:rFonts w:hint="eastAsia" w:ascii="宋体" w:hAnsi="宋体"/>
          <w:sz w:val="24"/>
        </w:rPr>
        <w:t>项所规定的期限，在此期限内，凡符合本招标文件要求的投标文件均保持有效。</w:t>
      </w:r>
    </w:p>
    <w:p>
      <w:pPr>
        <w:pStyle w:val="35"/>
        <w:spacing w:after="0" w:line="360" w:lineRule="auto"/>
        <w:ind w:firstLine="480" w:firstLineChars="200"/>
        <w:rPr>
          <w:rFonts w:ascii="宋体"/>
          <w:sz w:val="24"/>
        </w:rPr>
      </w:pPr>
      <w:r>
        <w:rPr>
          <w:rFonts w:ascii="宋体" w:hAnsi="宋体"/>
          <w:sz w:val="24"/>
        </w:rPr>
        <w:t xml:space="preserve">15.2 </w:t>
      </w:r>
      <w:r>
        <w:rPr>
          <w:rFonts w:hint="eastAsia" w:ascii="宋体" w:hAnsi="宋体"/>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 w:val="24"/>
        </w:rPr>
        <w:t>16</w:t>
      </w:r>
      <w:r>
        <w:rPr>
          <w:rFonts w:hint="eastAsia" w:ascii="宋体" w:hAnsi="宋体"/>
          <w:sz w:val="24"/>
        </w:rPr>
        <w:t>条关于投标保证金的退还与不予退还的规定仍然适用。</w:t>
      </w:r>
    </w:p>
    <w:p>
      <w:pPr>
        <w:pStyle w:val="35"/>
        <w:spacing w:after="0" w:line="360" w:lineRule="auto"/>
        <w:ind w:firstLine="482" w:firstLineChars="200"/>
        <w:rPr>
          <w:rFonts w:ascii="宋体"/>
          <w:b/>
          <w:bCs/>
          <w:sz w:val="24"/>
        </w:rPr>
      </w:pPr>
      <w:r>
        <w:rPr>
          <w:rFonts w:ascii="宋体" w:hAnsi="宋体"/>
          <w:b/>
          <w:bCs/>
          <w:sz w:val="24"/>
        </w:rPr>
        <w:t>16</w:t>
      </w:r>
      <w:r>
        <w:rPr>
          <w:rFonts w:hint="eastAsia" w:ascii="宋体" w:hAnsi="宋体"/>
          <w:b/>
          <w:bCs/>
          <w:sz w:val="24"/>
        </w:rPr>
        <w:t>．投标保证金</w:t>
      </w:r>
    </w:p>
    <w:p>
      <w:pPr>
        <w:spacing w:line="360" w:lineRule="auto"/>
        <w:ind w:firstLine="480" w:firstLineChars="200"/>
        <w:rPr>
          <w:rFonts w:ascii="宋体" w:hAnsi="宋体"/>
          <w:sz w:val="24"/>
        </w:rPr>
      </w:pPr>
      <w:r>
        <w:rPr>
          <w:rFonts w:ascii="宋体" w:hAnsi="宋体"/>
          <w:sz w:val="24"/>
        </w:rPr>
        <w:t>16.1</w:t>
      </w:r>
      <w:r>
        <w:rPr>
          <w:rFonts w:hint="eastAsia" w:ascii="宋体" w:hAnsi="宋体"/>
          <w:sz w:val="24"/>
        </w:rPr>
        <w:t>投标人应按投标须知前附表第</w:t>
      </w:r>
      <w:r>
        <w:rPr>
          <w:rFonts w:ascii="宋体" w:hAnsi="宋体"/>
          <w:sz w:val="24"/>
        </w:rPr>
        <w:t>14</w:t>
      </w:r>
      <w:r>
        <w:rPr>
          <w:rFonts w:hint="eastAsia" w:ascii="宋体" w:hAnsi="宋体"/>
          <w:sz w:val="24"/>
        </w:rPr>
        <w:t>项所述金额和时间递交</w:t>
      </w:r>
      <w:r>
        <w:rPr>
          <w:rFonts w:hint="eastAsia" w:ascii="宋体" w:hAnsi="宋体"/>
          <w:bCs/>
          <w:sz w:val="24"/>
        </w:rPr>
        <w:t>投标保证金</w:t>
      </w:r>
      <w:r>
        <w:rPr>
          <w:rFonts w:hint="eastAsia" w:ascii="宋体" w:hAnsi="宋体"/>
          <w:sz w:val="24"/>
        </w:rPr>
        <w:t>。招标人应当允许投标人自主选择现金、银行保函、保证保险、专业工程担保公司担保等方式缴纳投标保证金。</w:t>
      </w:r>
    </w:p>
    <w:p>
      <w:pPr>
        <w:spacing w:line="360" w:lineRule="auto"/>
        <w:ind w:firstLine="480" w:firstLineChars="200"/>
        <w:rPr>
          <w:rFonts w:ascii="宋体" w:hAnsi="宋体"/>
          <w:sz w:val="24"/>
        </w:rPr>
      </w:pPr>
      <w:r>
        <w:rPr>
          <w:rFonts w:hint="eastAsia" w:ascii="宋体" w:hAnsi="宋体"/>
          <w:sz w:val="24"/>
        </w:rPr>
        <w:t>16.1.1 采用现金或者支票形式提交的，投标保证金须从投标人的银行基本账户转出。</w:t>
      </w:r>
    </w:p>
    <w:p>
      <w:pPr>
        <w:spacing w:line="360" w:lineRule="auto"/>
        <w:ind w:firstLine="480" w:firstLineChars="200"/>
        <w:rPr>
          <w:rFonts w:ascii="宋体" w:hAnsi="宋体"/>
          <w:sz w:val="24"/>
        </w:rPr>
      </w:pPr>
      <w:r>
        <w:rPr>
          <w:rFonts w:hint="eastAsia" w:ascii="宋体" w:hAnsi="宋体"/>
          <w:sz w:val="24"/>
        </w:rPr>
        <w:t>16.1.2 依法必须招标的房屋建筑工程如采用非电子形式的银行保函、专业工程担保公司担保或保证保险提交投标保证金的，</w:t>
      </w:r>
      <w:r>
        <w:rPr>
          <w:rFonts w:hint="eastAsia" w:ascii="宋体" w:hAnsi="宋体"/>
          <w:sz w:val="24"/>
          <w:u w:val="single"/>
        </w:rPr>
        <w:t>投标人须在开标当天提交纸质原件，并在网上公示</w:t>
      </w:r>
      <w:r>
        <w:rPr>
          <w:rFonts w:hint="eastAsia" w:ascii="宋体" w:hAnsi="宋体"/>
          <w:sz w:val="24"/>
        </w:rPr>
        <w:t>，投标人应在投标文件中提交保函、担保或保证保险扫描件并加盖投标人电子印章。如投标人存在16.4条款所列情形的，应将纸质原件提交给招标人。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sz w:val="24"/>
        </w:rPr>
      </w:pPr>
      <w:r>
        <w:rPr>
          <w:rFonts w:hint="eastAsia" w:ascii="宋体" w:hAnsi="宋体"/>
          <w:sz w:val="24"/>
        </w:rPr>
        <w:t>16.1.3 采用电子形式的保函、担保或保证保险提交投标保证金的，应在招标文件中明确电子递交途径。</w:t>
      </w:r>
    </w:p>
    <w:p>
      <w:pPr>
        <w:spacing w:line="360" w:lineRule="auto"/>
        <w:ind w:firstLine="480" w:firstLineChars="200"/>
        <w:rPr>
          <w:rFonts w:ascii="宋体" w:hAnsi="宋体"/>
          <w:sz w:val="24"/>
        </w:rPr>
      </w:pPr>
      <w:r>
        <w:rPr>
          <w:rFonts w:hint="eastAsia" w:ascii="宋体" w:hAnsi="宋体"/>
          <w:sz w:val="24"/>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sz w:val="24"/>
        </w:rPr>
      </w:pPr>
      <w:r>
        <w:rPr>
          <w:rFonts w:hint="eastAsia" w:ascii="宋体" w:hAnsi="宋体"/>
          <w:sz w:val="24"/>
        </w:rPr>
        <w:t>16.3投标保证金应依据法律法规的相关规定退还。</w:t>
      </w:r>
    </w:p>
    <w:p>
      <w:pPr>
        <w:spacing w:line="360" w:lineRule="auto"/>
        <w:ind w:firstLine="480" w:firstLineChars="200"/>
        <w:rPr>
          <w:rFonts w:ascii="宋体" w:hAnsi="宋体"/>
          <w:sz w:val="24"/>
        </w:rPr>
      </w:pPr>
      <w:r>
        <w:rPr>
          <w:rFonts w:hint="eastAsia" w:ascii="宋体" w:hAnsi="宋体"/>
          <w:sz w:val="24"/>
        </w:rPr>
        <w:t>16.4如有下列情况之一的，招标人</w:t>
      </w:r>
      <w:r>
        <w:rPr>
          <w:rFonts w:hint="eastAsia" w:ascii="宋体" w:hAnsi="宋体"/>
          <w:strike/>
          <w:sz w:val="24"/>
        </w:rPr>
        <w:t>可以</w:t>
      </w:r>
      <w:r>
        <w:rPr>
          <w:rFonts w:hint="eastAsia" w:ascii="宋体" w:hAnsi="宋体"/>
          <w:sz w:val="24"/>
        </w:rPr>
        <w:t>不予退还投标保证金（是否退还投标保证金由招标人在招标文件中规定）：</w:t>
      </w:r>
    </w:p>
    <w:p>
      <w:pPr>
        <w:spacing w:line="360" w:lineRule="auto"/>
        <w:ind w:firstLine="480" w:firstLineChars="200"/>
        <w:rPr>
          <w:rFonts w:ascii="宋体" w:hAnsi="宋体"/>
          <w:sz w:val="24"/>
        </w:rPr>
      </w:pPr>
      <w:r>
        <w:rPr>
          <w:rFonts w:hint="eastAsia" w:ascii="宋体" w:hAnsi="宋体"/>
          <w:sz w:val="24"/>
        </w:rPr>
        <w:t>16.4.1因投标人原因造成投标文件未解密的；</w:t>
      </w:r>
    </w:p>
    <w:p>
      <w:pPr>
        <w:spacing w:line="360" w:lineRule="auto"/>
        <w:ind w:firstLine="480" w:firstLineChars="200"/>
        <w:rPr>
          <w:rFonts w:ascii="宋体" w:hAnsi="宋体"/>
          <w:sz w:val="24"/>
        </w:rPr>
      </w:pPr>
      <w:r>
        <w:rPr>
          <w:rFonts w:hint="eastAsia" w:ascii="宋体" w:hAnsi="宋体"/>
          <w:sz w:val="24"/>
        </w:rPr>
        <w:t>16.4.2投标人在投标有效期内撤销投标文件；</w:t>
      </w:r>
    </w:p>
    <w:p>
      <w:pPr>
        <w:spacing w:line="360" w:lineRule="auto"/>
        <w:ind w:firstLine="480" w:firstLineChars="200"/>
        <w:rPr>
          <w:rFonts w:ascii="宋体" w:hAnsi="宋体"/>
          <w:sz w:val="24"/>
        </w:rPr>
      </w:pPr>
      <w:r>
        <w:rPr>
          <w:rFonts w:hint="eastAsia" w:ascii="宋体" w:hAnsi="宋体"/>
          <w:sz w:val="24"/>
        </w:rPr>
        <w:t>16.4.3中标人未能在规定期限内按要求提交履约担保；</w:t>
      </w:r>
    </w:p>
    <w:p>
      <w:pPr>
        <w:spacing w:line="360" w:lineRule="auto"/>
        <w:ind w:firstLine="480" w:firstLineChars="200"/>
        <w:rPr>
          <w:rFonts w:ascii="宋体" w:hAnsi="宋体"/>
          <w:sz w:val="24"/>
        </w:rPr>
      </w:pPr>
      <w:r>
        <w:rPr>
          <w:rFonts w:hint="eastAsia" w:ascii="宋体" w:hAnsi="宋体"/>
          <w:sz w:val="24"/>
        </w:rPr>
        <w:t>16.4.4中标人未能在规定期限内签署合同协议。</w:t>
      </w:r>
    </w:p>
    <w:p>
      <w:pPr>
        <w:spacing w:line="360" w:lineRule="auto"/>
        <w:ind w:firstLine="480" w:firstLineChars="200"/>
        <w:rPr>
          <w:rFonts w:ascii="宋体" w:hAnsi="宋体"/>
          <w:sz w:val="24"/>
        </w:rPr>
      </w:pPr>
      <w:r>
        <w:rPr>
          <w:rFonts w:hint="eastAsia" w:ascii="宋体" w:hAnsi="宋体"/>
          <w:sz w:val="24"/>
        </w:rPr>
        <w:t>16.5投标人如存在下列情况之一的，将被拒绝在一定时期内（一年内）参与招标人后续工程投标（拒绝时限需在招标文件中明确）：</w:t>
      </w:r>
    </w:p>
    <w:p>
      <w:pPr>
        <w:spacing w:line="360" w:lineRule="auto"/>
        <w:ind w:firstLine="480" w:firstLineChars="200"/>
        <w:rPr>
          <w:rFonts w:ascii="宋体" w:hAnsi="宋体"/>
          <w:sz w:val="24"/>
        </w:rPr>
      </w:pPr>
      <w:r>
        <w:rPr>
          <w:rFonts w:hint="eastAsia" w:ascii="宋体" w:hAnsi="宋体"/>
          <w:sz w:val="24"/>
        </w:rPr>
        <w:t>16.5.1投标人存在16.4条款所列情形且投标人提交的保函、担保或保证保险无法兑付的；</w:t>
      </w:r>
    </w:p>
    <w:p>
      <w:pPr>
        <w:spacing w:line="360" w:lineRule="auto"/>
        <w:ind w:firstLine="480" w:firstLineChars="200"/>
        <w:rPr>
          <w:rFonts w:ascii="宋体" w:hAnsi="宋体"/>
          <w:sz w:val="24"/>
        </w:rPr>
      </w:pPr>
      <w:r>
        <w:rPr>
          <w:rFonts w:hint="eastAsia" w:ascii="宋体" w:hAnsi="宋体"/>
          <w:sz w:val="24"/>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strike/>
          <w:sz w:val="24"/>
        </w:rPr>
      </w:pPr>
      <w:r>
        <w:rPr>
          <w:rFonts w:hint="eastAsia" w:ascii="宋体" w:hAnsi="宋体"/>
          <w:strike/>
          <w:sz w:val="24"/>
        </w:rPr>
        <w:t>16.5.3按招标文件要求免于提供投标保证金的投标人存在16.4条款所列情形，且未按招标人要求补交投标保证金的；</w:t>
      </w:r>
    </w:p>
    <w:p>
      <w:pPr>
        <w:spacing w:line="360" w:lineRule="auto"/>
        <w:ind w:firstLine="480" w:firstLineChars="200"/>
        <w:rPr>
          <w:rFonts w:ascii="宋体" w:hAnsi="宋体"/>
          <w:sz w:val="24"/>
        </w:rPr>
      </w:pPr>
      <w:r>
        <w:rPr>
          <w:rFonts w:hint="eastAsia" w:ascii="宋体" w:hAnsi="宋体"/>
          <w:sz w:val="24"/>
        </w:rPr>
        <w:t>16.5.3按招标文件要求免于提供投标保证金的投标人存在16.4条款所列情形的。</w:t>
      </w:r>
    </w:p>
    <w:p>
      <w:pPr>
        <w:spacing w:line="360" w:lineRule="auto"/>
        <w:ind w:firstLine="480" w:firstLineChars="200"/>
        <w:rPr>
          <w:rFonts w:ascii="宋体"/>
          <w:sz w:val="24"/>
        </w:rPr>
      </w:pPr>
      <w:r>
        <w:rPr>
          <w:rFonts w:hint="eastAsia" w:ascii="宋体" w:hAnsi="宋体"/>
          <w:sz w:val="24"/>
        </w:rPr>
        <w:t>注：16.5.3款由招标人二选一，需在招标文件中明确。</w:t>
      </w:r>
    </w:p>
    <w:p>
      <w:pPr>
        <w:pStyle w:val="35"/>
        <w:spacing w:after="0" w:line="360" w:lineRule="auto"/>
        <w:ind w:firstLine="482" w:firstLineChars="200"/>
        <w:rPr>
          <w:rFonts w:ascii="宋体"/>
          <w:b/>
          <w:bCs/>
          <w:sz w:val="24"/>
        </w:rPr>
      </w:pPr>
      <w:r>
        <w:rPr>
          <w:rFonts w:ascii="宋体" w:hAnsi="宋体"/>
          <w:b/>
          <w:bCs/>
          <w:sz w:val="24"/>
        </w:rPr>
        <w:t>17</w:t>
      </w:r>
      <w:r>
        <w:rPr>
          <w:rFonts w:hint="eastAsia" w:ascii="宋体" w:hAnsi="宋体"/>
          <w:b/>
          <w:bCs/>
          <w:sz w:val="24"/>
        </w:rPr>
        <w:t>．投标文件的签署</w:t>
      </w:r>
    </w:p>
    <w:p>
      <w:pPr>
        <w:spacing w:line="360" w:lineRule="auto"/>
        <w:ind w:firstLine="480" w:firstLineChars="200"/>
        <w:rPr>
          <w:rFonts w:ascii="宋体" w:hAnsi="宋体"/>
          <w:sz w:val="24"/>
        </w:rPr>
      </w:pPr>
      <w:r>
        <w:rPr>
          <w:rFonts w:ascii="宋体" w:hAnsi="宋体"/>
          <w:sz w:val="24"/>
        </w:rPr>
        <w:t>17.1</w:t>
      </w:r>
      <w:r>
        <w:rPr>
          <w:rFonts w:hint="eastAsia" w:ascii="宋体" w:hAnsi="宋体"/>
          <w:sz w:val="24"/>
        </w:rPr>
        <w:t>投标人应采用单位数字证书，按招标文件要求在相应位置加盖电子印章。投标文件中需个人签字或盖章的，应加盖个人电子印章或在线下完成</w:t>
      </w:r>
      <w:r>
        <w:rPr>
          <w:rFonts w:hint="eastAsia" w:ascii="宋体" w:hAnsi="宋体"/>
          <w:b/>
          <w:bCs/>
          <w:sz w:val="24"/>
          <w:u w:val="single"/>
        </w:rPr>
        <w:t>手签或盖章和加盖单位公章</w:t>
      </w:r>
      <w:r>
        <w:rPr>
          <w:rFonts w:hint="eastAsia" w:ascii="宋体" w:hAnsi="宋体"/>
          <w:sz w:val="24"/>
        </w:rPr>
        <w:t>后扫描上传。按照交易平台关于全流程电子化项目的相关指南进行操作。详见：</w:t>
      </w:r>
      <w:r>
        <w:rPr>
          <w:rFonts w:hint="eastAsia" w:ascii="宋体" w:hAnsi="宋体"/>
          <w:sz w:val="24"/>
          <w:u w:val="single"/>
        </w:rPr>
        <w:t xml:space="preserve"> 广州公共资源交易中心网站 </w:t>
      </w:r>
      <w:r>
        <w:rPr>
          <w:rFonts w:hint="eastAsia" w:ascii="宋体" w:hAnsi="宋体"/>
          <w:sz w:val="24"/>
        </w:rPr>
        <w:t xml:space="preserve"> 。</w:t>
      </w:r>
    </w:p>
    <w:p>
      <w:pPr>
        <w:pStyle w:val="5"/>
        <w:spacing w:before="156" w:after="156"/>
      </w:pPr>
      <w:bookmarkStart w:id="15" w:name="_Toc21525496"/>
      <w:bookmarkStart w:id="16" w:name="_Toc2272552"/>
      <w:r>
        <w:rPr>
          <w:rFonts w:hint="eastAsia"/>
        </w:rPr>
        <w:t>（四）投标文件的提交</w:t>
      </w:r>
      <w:bookmarkEnd w:id="15"/>
      <w:bookmarkEnd w:id="16"/>
    </w:p>
    <w:p>
      <w:pPr>
        <w:pStyle w:val="35"/>
        <w:spacing w:after="0" w:line="360" w:lineRule="auto"/>
        <w:ind w:firstLine="482" w:firstLineChars="200"/>
        <w:rPr>
          <w:rFonts w:ascii="宋体"/>
          <w:b/>
          <w:bCs/>
          <w:sz w:val="24"/>
        </w:rPr>
      </w:pPr>
      <w:r>
        <w:rPr>
          <w:rFonts w:ascii="宋体" w:hAnsi="宋体"/>
          <w:b/>
          <w:bCs/>
          <w:sz w:val="24"/>
        </w:rPr>
        <w:t>18</w:t>
      </w:r>
      <w:r>
        <w:rPr>
          <w:rFonts w:hint="eastAsia" w:ascii="宋体" w:hAnsi="宋体"/>
          <w:b/>
          <w:bCs/>
          <w:sz w:val="24"/>
        </w:rPr>
        <w:t>．</w:t>
      </w:r>
      <w:r>
        <w:rPr>
          <w:rFonts w:hint="eastAsia"/>
          <w:b/>
          <w:sz w:val="24"/>
          <w:szCs w:val="24"/>
        </w:rPr>
        <w:t>投标文件的密封和标记</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.1</w:t>
      </w:r>
      <w:r>
        <w:rPr>
          <w:rFonts w:hint="eastAsia" w:ascii="宋体" w:hAnsi="宋体"/>
          <w:bCs/>
          <w:sz w:val="24"/>
        </w:rPr>
        <w:t>递交的电子投标文件（不含备用光盘）必须进行加密。按照交易平台关于</w:t>
      </w:r>
      <w:r>
        <w:rPr>
          <w:rFonts w:hint="eastAsia"/>
          <w:sz w:val="24"/>
          <w:szCs w:val="24"/>
        </w:rPr>
        <w:t>全流程电子化项目的相关指南进行操作。详见：</w:t>
      </w:r>
      <w:r>
        <w:rPr>
          <w:sz w:val="24"/>
          <w:szCs w:val="24"/>
          <w:u w:val="single"/>
        </w:rPr>
        <w:t xml:space="preserve"> </w:t>
      </w:r>
      <w:r>
        <w:rPr>
          <w:rFonts w:hint="eastAsia"/>
          <w:sz w:val="24"/>
          <w:szCs w:val="24"/>
          <w:u w:val="single"/>
        </w:rPr>
        <w:t>广州公共资源交易中心网站</w:t>
      </w:r>
      <w:r>
        <w:rPr>
          <w:sz w:val="24"/>
          <w:szCs w:val="24"/>
          <w:u w:val="single"/>
        </w:rPr>
        <w:t xml:space="preserve"> </w:t>
      </w:r>
      <w:r>
        <w:rPr>
          <w:rFonts w:hint="eastAsia"/>
          <w:sz w:val="24"/>
          <w:szCs w:val="24"/>
        </w:rPr>
        <w:t xml:space="preserve"> 。</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.2</w:t>
      </w:r>
      <w:r>
        <w:rPr>
          <w:rFonts w:ascii="宋体"/>
          <w:bCs/>
          <w:sz w:val="24"/>
        </w:rPr>
        <w:t xml:space="preserve"> </w:t>
      </w:r>
      <w:r>
        <w:rPr>
          <w:rFonts w:hint="eastAsia" w:ascii="宋体"/>
          <w:bCs/>
          <w:sz w:val="24"/>
        </w:rPr>
        <w:t>未按要求加密的投标文件，</w:t>
      </w:r>
      <w:r>
        <w:rPr>
          <w:sz w:val="24"/>
          <w:szCs w:val="24"/>
          <w:u w:val="single"/>
        </w:rPr>
        <w:t xml:space="preserve">  </w:t>
      </w:r>
      <w:r>
        <w:rPr>
          <w:rFonts w:hint="eastAsia"/>
          <w:sz w:val="24"/>
          <w:szCs w:val="24"/>
          <w:u w:val="single"/>
        </w:rPr>
        <w:t>广州公共资源交易中心</w:t>
      </w:r>
      <w:r>
        <w:rPr>
          <w:sz w:val="24"/>
          <w:szCs w:val="24"/>
          <w:u w:val="single"/>
        </w:rPr>
        <w:t xml:space="preserve"> </w:t>
      </w:r>
      <w:r>
        <w:rPr>
          <w:rFonts w:hint="eastAsia" w:ascii="宋体" w:hAnsi="宋体"/>
          <w:sz w:val="24"/>
          <w:szCs w:val="24"/>
        </w:rPr>
        <w:t>交易平台</w:t>
      </w:r>
      <w:r>
        <w:rPr>
          <w:rFonts w:hint="eastAsia" w:ascii="宋体"/>
          <w:bCs/>
          <w:sz w:val="24"/>
        </w:rPr>
        <w:t>将予以拒收。</w:t>
      </w:r>
    </w:p>
    <w:p>
      <w:pPr>
        <w:spacing w:line="360" w:lineRule="auto"/>
        <w:ind w:firstLine="482" w:firstLineChars="200"/>
        <w:rPr>
          <w:rFonts w:ascii="宋体"/>
          <w:b/>
          <w:bCs/>
          <w:sz w:val="24"/>
        </w:rPr>
      </w:pPr>
      <w:r>
        <w:rPr>
          <w:rFonts w:ascii="宋体" w:hAnsi="宋体"/>
          <w:b/>
          <w:bCs/>
          <w:sz w:val="24"/>
        </w:rPr>
        <w:t>19</w:t>
      </w:r>
      <w:r>
        <w:rPr>
          <w:rFonts w:hint="eastAsia" w:ascii="宋体" w:hAnsi="宋体"/>
          <w:b/>
          <w:bCs/>
          <w:sz w:val="24"/>
        </w:rPr>
        <w:t>．投标文件的递交和接收</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1投标人通过</w:t>
      </w:r>
      <w:r>
        <w:rPr>
          <w:sz w:val="24"/>
          <w:szCs w:val="24"/>
          <w:u w:val="single"/>
        </w:rPr>
        <w:t xml:space="preserve"> </w:t>
      </w:r>
      <w:r>
        <w:rPr>
          <w:rFonts w:hint="eastAsia"/>
          <w:sz w:val="24"/>
          <w:szCs w:val="24"/>
          <w:u w:val="single"/>
        </w:rPr>
        <w:t>广州公共资源交易中心</w:t>
      </w:r>
      <w:r>
        <w:rPr>
          <w:sz w:val="24"/>
          <w:szCs w:val="24"/>
          <w:u w:val="single"/>
        </w:rPr>
        <w:t xml:space="preserve"> </w:t>
      </w:r>
      <w:r>
        <w:rPr>
          <w:rFonts w:hint="eastAsia" w:ascii="宋体" w:hAnsi="宋体"/>
          <w:sz w:val="24"/>
          <w:szCs w:val="24"/>
        </w:rPr>
        <w:t>交易平台</w:t>
      </w:r>
      <w:r>
        <w:rPr>
          <w:rFonts w:hint="eastAsia" w:ascii="宋体" w:hAnsi="宋体"/>
          <w:sz w:val="24"/>
        </w:rPr>
        <w:t>递交电子投标文件。</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2投标人完成电子</w:t>
      </w:r>
      <w:r>
        <w:rPr>
          <w:rFonts w:hint="eastAsia" w:ascii="宋体" w:hAnsi="宋体"/>
          <w:sz w:val="24"/>
        </w:rPr>
        <w:t>投标文件</w:t>
      </w:r>
      <w:r>
        <w:rPr>
          <w:rFonts w:hint="eastAsia" w:ascii="宋体" w:hAnsi="宋体"/>
          <w:bCs/>
          <w:sz w:val="24"/>
        </w:rPr>
        <w:t>上传后，</w:t>
      </w:r>
      <w:r>
        <w:rPr>
          <w:sz w:val="24"/>
          <w:szCs w:val="24"/>
          <w:u w:val="single"/>
        </w:rPr>
        <w:t xml:space="preserve"> </w:t>
      </w:r>
      <w:r>
        <w:rPr>
          <w:rFonts w:hint="eastAsia"/>
          <w:sz w:val="24"/>
          <w:szCs w:val="24"/>
          <w:u w:val="single"/>
        </w:rPr>
        <w:t>广州公共资源交易中心</w:t>
      </w:r>
      <w:r>
        <w:rPr>
          <w:sz w:val="24"/>
          <w:szCs w:val="24"/>
          <w:u w:val="single"/>
        </w:rPr>
        <w:t xml:space="preserve"> </w:t>
      </w:r>
      <w:r>
        <w:rPr>
          <w:rFonts w:hint="eastAsia" w:ascii="宋体" w:hAnsi="宋体"/>
          <w:sz w:val="24"/>
          <w:szCs w:val="24"/>
        </w:rPr>
        <w:t>交易平台</w:t>
      </w:r>
      <w:r>
        <w:rPr>
          <w:rFonts w:hint="eastAsia" w:ascii="宋体" w:hAnsi="宋体"/>
          <w:sz w:val="24"/>
        </w:rPr>
        <w:t>即时向投标人发出递交回执通知。递交时间以递交回执通知载明的传输完成时间为准。</w:t>
      </w:r>
    </w:p>
    <w:p>
      <w:pPr>
        <w:spacing w:line="360" w:lineRule="auto"/>
        <w:ind w:firstLine="480" w:firstLineChars="200"/>
        <w:rPr>
          <w:rFonts w:ascii="宋体" w:hAnsi="宋体"/>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3</w:t>
      </w:r>
      <w:r>
        <w:rPr>
          <w:rFonts w:hint="eastAsia"/>
          <w:bCs/>
          <w:sz w:val="24"/>
          <w:szCs w:val="24"/>
        </w:rPr>
        <w:t>逾期送达的</w:t>
      </w:r>
      <w:r>
        <w:rPr>
          <w:rFonts w:hint="eastAsia" w:ascii="宋体" w:hAnsi="宋体"/>
          <w:bCs/>
          <w:sz w:val="24"/>
        </w:rPr>
        <w:t>电子投标文件，</w:t>
      </w:r>
      <w:r>
        <w:rPr>
          <w:sz w:val="24"/>
          <w:szCs w:val="24"/>
          <w:u w:val="single"/>
        </w:rPr>
        <w:t xml:space="preserve"> </w:t>
      </w:r>
      <w:r>
        <w:rPr>
          <w:rFonts w:hint="eastAsia"/>
          <w:sz w:val="24"/>
          <w:szCs w:val="24"/>
          <w:u w:val="single"/>
        </w:rPr>
        <w:t>广州公共资源交易中心</w:t>
      </w:r>
      <w:r>
        <w:rPr>
          <w:sz w:val="24"/>
          <w:szCs w:val="24"/>
          <w:u w:val="single"/>
        </w:rPr>
        <w:t xml:space="preserve"> </w:t>
      </w:r>
      <w:r>
        <w:rPr>
          <w:rFonts w:hint="eastAsia" w:ascii="宋体" w:hAnsi="宋体"/>
          <w:sz w:val="24"/>
          <w:szCs w:val="24"/>
        </w:rPr>
        <w:t>交易平台</w:t>
      </w:r>
      <w:r>
        <w:rPr>
          <w:rFonts w:hint="eastAsia" w:ascii="宋体" w:hAnsi="宋体"/>
          <w:sz w:val="24"/>
        </w:rPr>
        <w:t>将予以拒收。</w:t>
      </w:r>
    </w:p>
    <w:p>
      <w:pPr>
        <w:spacing w:line="360" w:lineRule="auto"/>
        <w:ind w:firstLine="480" w:firstLineChars="200"/>
        <w:rPr>
          <w:rFonts w:ascii="宋体"/>
          <w:sz w:val="24"/>
        </w:rPr>
      </w:pPr>
      <w:r>
        <w:rPr>
          <w:rFonts w:ascii="宋体" w:hAnsi="宋体"/>
          <w:sz w:val="24"/>
        </w:rPr>
        <w:t>19.</w:t>
      </w:r>
      <w:r>
        <w:rPr>
          <w:rFonts w:hint="eastAsia" w:ascii="宋体" w:hAnsi="宋体"/>
          <w:sz w:val="24"/>
        </w:rPr>
        <w:t>4</w:t>
      </w:r>
      <w:r>
        <w:rPr>
          <w:rFonts w:ascii="宋体" w:hAnsi="宋体"/>
          <w:sz w:val="24"/>
        </w:rPr>
        <w:t xml:space="preserve"> </w:t>
      </w:r>
      <w:r>
        <w:rPr>
          <w:rFonts w:hint="eastAsia" w:ascii="宋体" w:hAnsi="宋体"/>
          <w:sz w:val="24"/>
          <w:szCs w:val="24"/>
        </w:rPr>
        <w:t>投标截止前，</w:t>
      </w:r>
      <w:r>
        <w:rPr>
          <w:rFonts w:hint="eastAsia"/>
          <w:sz w:val="24"/>
          <w:szCs w:val="24"/>
        </w:rPr>
        <w:t>招标人拒绝接收符合条件的投标文件，投标人可向招标投标监督机构投诉。</w:t>
      </w:r>
    </w:p>
    <w:p>
      <w:pPr>
        <w:spacing w:line="360" w:lineRule="auto"/>
        <w:ind w:firstLine="480" w:firstLineChars="200"/>
        <w:rPr>
          <w:rFonts w:ascii="宋体" w:hAnsi="宋体"/>
          <w:sz w:val="24"/>
        </w:rPr>
      </w:pPr>
      <w:r>
        <w:rPr>
          <w:rFonts w:ascii="宋体" w:hAnsi="宋体"/>
          <w:sz w:val="24"/>
        </w:rPr>
        <w:t>19.</w:t>
      </w:r>
      <w:r>
        <w:rPr>
          <w:rFonts w:hint="eastAsia" w:ascii="宋体" w:hAnsi="宋体"/>
          <w:sz w:val="24"/>
        </w:rPr>
        <w:t>5</w:t>
      </w:r>
      <w:r>
        <w:rPr>
          <w:rFonts w:hint="eastAsia" w:ascii="宋体" w:hAnsi="宋体"/>
          <w:szCs w:val="21"/>
          <w:u w:val="single"/>
        </w:rPr>
        <w:t>技术标和经济标同时开启，广州</w:t>
      </w:r>
      <w:r>
        <w:rPr>
          <w:rFonts w:ascii="宋体" w:hAnsi="宋体"/>
          <w:szCs w:val="21"/>
          <w:u w:val="single"/>
        </w:rPr>
        <w:t xml:space="preserve">公共资源交易中心 </w:t>
      </w:r>
      <w:r>
        <w:rPr>
          <w:rFonts w:hint="eastAsia" w:ascii="宋体" w:hAnsi="宋体"/>
          <w:szCs w:val="21"/>
          <w:u w:val="single"/>
        </w:rPr>
        <w:t>交易平台将按招标文件规定的时间同时开启技术标和经济标。</w:t>
      </w:r>
    </w:p>
    <w:p>
      <w:pPr>
        <w:spacing w:line="360" w:lineRule="auto"/>
        <w:ind w:firstLine="482" w:firstLineChars="200"/>
        <w:rPr>
          <w:rFonts w:ascii="宋体"/>
          <w:b/>
          <w:bCs/>
          <w:sz w:val="24"/>
        </w:rPr>
      </w:pPr>
      <w:r>
        <w:rPr>
          <w:rFonts w:ascii="宋体" w:hAnsi="宋体"/>
          <w:b/>
          <w:bCs/>
          <w:sz w:val="24"/>
        </w:rPr>
        <w:t>20</w:t>
      </w:r>
      <w:r>
        <w:rPr>
          <w:rFonts w:hint="eastAsia" w:ascii="宋体" w:hAnsi="宋体"/>
          <w:b/>
          <w:bCs/>
          <w:sz w:val="24"/>
        </w:rPr>
        <w:t>．投标文件提交的截止时间</w:t>
      </w:r>
    </w:p>
    <w:p>
      <w:pPr>
        <w:spacing w:line="360" w:lineRule="auto"/>
        <w:ind w:firstLine="480" w:firstLineChars="200"/>
        <w:rPr>
          <w:rFonts w:ascii="宋体"/>
          <w:b/>
          <w:bCs/>
          <w:sz w:val="24"/>
        </w:rPr>
      </w:pPr>
      <w:r>
        <w:rPr>
          <w:rFonts w:ascii="宋体" w:hAnsi="宋体"/>
          <w:sz w:val="24"/>
        </w:rPr>
        <w:t>20.1</w:t>
      </w:r>
      <w:r>
        <w:rPr>
          <w:rFonts w:hint="eastAsia" w:ascii="宋体" w:hAnsi="宋体"/>
          <w:sz w:val="24"/>
        </w:rPr>
        <w:t>投标人应在投标须知前附表第17项所述的时间前提交投标文件。</w:t>
      </w:r>
    </w:p>
    <w:p>
      <w:pPr>
        <w:spacing w:line="360" w:lineRule="auto"/>
        <w:ind w:firstLine="480" w:firstLineChars="200"/>
        <w:rPr>
          <w:rFonts w:ascii="宋体"/>
          <w:sz w:val="24"/>
        </w:rPr>
      </w:pPr>
      <w:r>
        <w:rPr>
          <w:rFonts w:ascii="宋体" w:hAnsi="宋体"/>
          <w:sz w:val="24"/>
        </w:rPr>
        <w:t>20.2</w:t>
      </w:r>
      <w:r>
        <w:rPr>
          <w:rFonts w:hint="eastAsia" w:ascii="宋体" w:hAnsi="宋体"/>
          <w:sz w:val="24"/>
        </w:rPr>
        <w:t>招标人可按本须知第</w:t>
      </w:r>
      <w:r>
        <w:rPr>
          <w:rFonts w:ascii="宋体" w:hAnsi="宋体"/>
          <w:sz w:val="24"/>
        </w:rPr>
        <w:t>9</w:t>
      </w:r>
      <w:r>
        <w:rPr>
          <w:rFonts w:hint="eastAsia" w:ascii="宋体" w:hAnsi="宋体"/>
          <w:sz w:val="24"/>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sz w:val="24"/>
        </w:rPr>
      </w:pPr>
      <w:r>
        <w:rPr>
          <w:rFonts w:ascii="宋体" w:hAnsi="宋体"/>
          <w:sz w:val="24"/>
        </w:rPr>
        <w:t xml:space="preserve">20.3 </w:t>
      </w:r>
      <w:r>
        <w:rPr>
          <w:rFonts w:hint="eastAsia" w:ascii="宋体" w:hAnsi="宋体"/>
          <w:sz w:val="24"/>
        </w:rPr>
        <w:t>到投标截止时间止，招标人收到的投标文件少于</w:t>
      </w:r>
      <w:r>
        <w:rPr>
          <w:rFonts w:hint="eastAsia" w:ascii="宋体" w:hAnsi="宋体"/>
          <w:sz w:val="24"/>
          <w:u w:val="single"/>
        </w:rPr>
        <w:t>3</w:t>
      </w:r>
      <w:r>
        <w:rPr>
          <w:rFonts w:hint="eastAsia" w:ascii="宋体" w:hAnsi="宋体"/>
          <w:sz w:val="24"/>
        </w:rPr>
        <w:t>家的，招标人将重新组织招标</w:t>
      </w:r>
      <w:r>
        <w:rPr>
          <w:rFonts w:hint="eastAsia" w:ascii="宋体" w:hAnsi="宋体"/>
          <w:sz w:val="24"/>
          <w:szCs w:val="24"/>
        </w:rPr>
        <w:t>（当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r>
        <w:rPr>
          <w:rFonts w:hint="eastAsia" w:ascii="宋体" w:hAnsi="宋体"/>
          <w:sz w:val="24"/>
        </w:rPr>
        <w:t>。</w:t>
      </w:r>
    </w:p>
    <w:p>
      <w:pPr>
        <w:spacing w:line="360" w:lineRule="auto"/>
        <w:ind w:firstLine="482" w:firstLineChars="200"/>
        <w:rPr>
          <w:rFonts w:ascii="宋体"/>
          <w:b/>
          <w:bCs/>
          <w:sz w:val="24"/>
        </w:rPr>
      </w:pPr>
      <w:r>
        <w:rPr>
          <w:rFonts w:ascii="宋体" w:hAnsi="宋体"/>
          <w:b/>
          <w:bCs/>
          <w:sz w:val="24"/>
        </w:rPr>
        <w:t>21</w:t>
      </w:r>
      <w:r>
        <w:rPr>
          <w:rFonts w:hint="eastAsia" w:ascii="宋体" w:hAnsi="宋体"/>
          <w:b/>
          <w:bCs/>
          <w:sz w:val="24"/>
        </w:rPr>
        <w:t>．迟交的投标文件</w:t>
      </w:r>
    </w:p>
    <w:p>
      <w:pPr>
        <w:spacing w:line="360" w:lineRule="auto"/>
        <w:ind w:firstLine="480" w:firstLineChars="200"/>
        <w:rPr>
          <w:rFonts w:ascii="宋体"/>
          <w:sz w:val="24"/>
        </w:rPr>
      </w:pPr>
      <w:r>
        <w:rPr>
          <w:rFonts w:ascii="宋体" w:hAnsi="宋体"/>
          <w:sz w:val="24"/>
        </w:rPr>
        <w:t xml:space="preserve">21.1 </w:t>
      </w:r>
      <w:r>
        <w:rPr>
          <w:rFonts w:hint="eastAsia" w:ascii="宋体" w:hAnsi="宋体"/>
          <w:sz w:val="24"/>
        </w:rPr>
        <w:t>本须知前附表第</w:t>
      </w:r>
      <w:r>
        <w:rPr>
          <w:rFonts w:ascii="宋体" w:hAnsi="宋体"/>
          <w:sz w:val="24"/>
        </w:rPr>
        <w:t>1</w:t>
      </w:r>
      <w:r>
        <w:rPr>
          <w:rFonts w:hint="eastAsia" w:ascii="宋体" w:hAnsi="宋体"/>
          <w:sz w:val="24"/>
        </w:rPr>
        <w:t>7项规定的投标截止时间</w:t>
      </w:r>
      <w:r>
        <w:rPr>
          <w:rFonts w:hint="eastAsia"/>
          <w:bCs/>
          <w:sz w:val="24"/>
          <w:szCs w:val="24"/>
        </w:rPr>
        <w:t>后送达的</w:t>
      </w:r>
      <w:r>
        <w:rPr>
          <w:rFonts w:hint="eastAsia" w:ascii="宋体" w:hAnsi="宋体"/>
          <w:bCs/>
          <w:sz w:val="24"/>
        </w:rPr>
        <w:t>电子投标文件，</w:t>
      </w:r>
      <w:r>
        <w:rPr>
          <w:sz w:val="24"/>
          <w:szCs w:val="24"/>
          <w:u w:val="single"/>
        </w:rPr>
        <w:t xml:space="preserve"> </w:t>
      </w:r>
      <w:r>
        <w:rPr>
          <w:rFonts w:hint="eastAsia"/>
          <w:sz w:val="24"/>
          <w:szCs w:val="24"/>
          <w:u w:val="single"/>
        </w:rPr>
        <w:t>广州公共资源交易中心</w:t>
      </w:r>
      <w:r>
        <w:rPr>
          <w:sz w:val="24"/>
          <w:szCs w:val="24"/>
          <w:u w:val="single"/>
        </w:rPr>
        <w:t xml:space="preserve"> </w:t>
      </w:r>
      <w:r>
        <w:rPr>
          <w:rFonts w:hint="eastAsia" w:ascii="宋体" w:hAnsi="宋体"/>
          <w:sz w:val="24"/>
          <w:szCs w:val="24"/>
        </w:rPr>
        <w:t>交易平台</w:t>
      </w:r>
      <w:r>
        <w:rPr>
          <w:rFonts w:hint="eastAsia" w:ascii="宋体" w:hAnsi="宋体"/>
          <w:sz w:val="24"/>
        </w:rPr>
        <w:t>将予以拒收。</w:t>
      </w:r>
    </w:p>
    <w:p>
      <w:pPr>
        <w:spacing w:line="360" w:lineRule="auto"/>
        <w:ind w:firstLine="482" w:firstLineChars="200"/>
        <w:rPr>
          <w:rFonts w:ascii="宋体"/>
          <w:b/>
          <w:bCs/>
          <w:sz w:val="24"/>
        </w:rPr>
      </w:pPr>
      <w:r>
        <w:rPr>
          <w:rFonts w:ascii="宋体" w:hAnsi="宋体"/>
          <w:b/>
          <w:bCs/>
          <w:sz w:val="24"/>
        </w:rPr>
        <w:t>22</w:t>
      </w:r>
      <w:r>
        <w:rPr>
          <w:rFonts w:hint="eastAsia" w:ascii="宋体" w:hAnsi="宋体"/>
          <w:b/>
          <w:bCs/>
          <w:sz w:val="24"/>
        </w:rPr>
        <w:t>．投标文件的修改与撤回</w:t>
      </w:r>
    </w:p>
    <w:p>
      <w:pPr>
        <w:spacing w:line="360" w:lineRule="auto"/>
        <w:ind w:firstLine="480" w:firstLineChars="200"/>
        <w:rPr>
          <w:rFonts w:ascii="宋体"/>
          <w:sz w:val="24"/>
        </w:rPr>
      </w:pPr>
      <w:r>
        <w:rPr>
          <w:rFonts w:ascii="宋体" w:hAnsi="宋体"/>
          <w:sz w:val="24"/>
        </w:rPr>
        <w:t>22.1</w:t>
      </w:r>
      <w:r>
        <w:rPr>
          <w:rFonts w:hint="eastAsia" w:ascii="宋体" w:hAnsi="宋体"/>
          <w:sz w:val="24"/>
        </w:rPr>
        <w:t>在规定的投标截止时间前，投标人可以修改或撤回已递交的投标文件，但应以书面形式通知招标人。</w:t>
      </w:r>
    </w:p>
    <w:p>
      <w:pPr>
        <w:spacing w:line="360" w:lineRule="auto"/>
        <w:ind w:firstLine="480" w:firstLineChars="200"/>
        <w:rPr>
          <w:sz w:val="24"/>
          <w:szCs w:val="24"/>
        </w:rPr>
      </w:pPr>
      <w:r>
        <w:rPr>
          <w:rFonts w:ascii="宋体" w:hAnsi="宋体"/>
          <w:sz w:val="24"/>
          <w:szCs w:val="24"/>
        </w:rPr>
        <w:t>22.2</w:t>
      </w:r>
      <w:r>
        <w:rPr>
          <w:sz w:val="24"/>
          <w:szCs w:val="24"/>
        </w:rPr>
        <w:t>投标人修改或撤回已递交</w:t>
      </w:r>
      <w:r>
        <w:rPr>
          <w:rFonts w:hint="eastAsia"/>
          <w:sz w:val="24"/>
          <w:szCs w:val="24"/>
        </w:rPr>
        <w:t>的</w:t>
      </w:r>
      <w:r>
        <w:rPr>
          <w:sz w:val="24"/>
          <w:szCs w:val="24"/>
        </w:rPr>
        <w:t>投标文件</w:t>
      </w:r>
      <w:r>
        <w:rPr>
          <w:rFonts w:hint="eastAsia"/>
          <w:sz w:val="24"/>
          <w:szCs w:val="24"/>
        </w:rPr>
        <w:t>，需在</w:t>
      </w:r>
      <w:r>
        <w:rPr>
          <w:rFonts w:hint="eastAsia" w:ascii="宋体" w:hAnsi="宋体"/>
          <w:sz w:val="24"/>
        </w:rPr>
        <w:t>交易平台发出修改或撤回</w:t>
      </w:r>
      <w:r>
        <w:rPr>
          <w:sz w:val="24"/>
          <w:szCs w:val="24"/>
        </w:rPr>
        <w:t>通知，</w:t>
      </w:r>
      <w:r>
        <w:rPr>
          <w:rFonts w:hint="eastAsia"/>
          <w:sz w:val="24"/>
          <w:szCs w:val="24"/>
        </w:rPr>
        <w:t>并按</w:t>
      </w:r>
      <w:r>
        <w:rPr>
          <w:sz w:val="24"/>
          <w:szCs w:val="24"/>
        </w:rPr>
        <w:t>要求加盖电子印章。</w:t>
      </w:r>
      <w:r>
        <w:rPr>
          <w:bCs/>
          <w:iCs/>
          <w:sz w:val="24"/>
          <w:szCs w:val="24"/>
        </w:rPr>
        <w:t>电子招标投标交易平台收到通知后，</w:t>
      </w:r>
      <w:r>
        <w:rPr>
          <w:sz w:val="24"/>
          <w:szCs w:val="24"/>
        </w:rPr>
        <w:t>即时向投标人发出确认回执通知。</w:t>
      </w:r>
    </w:p>
    <w:p>
      <w:pPr>
        <w:spacing w:line="360" w:lineRule="auto"/>
        <w:ind w:firstLine="480" w:firstLineChars="200"/>
        <w:rPr>
          <w:sz w:val="24"/>
          <w:szCs w:val="24"/>
        </w:rPr>
      </w:pPr>
      <w:r>
        <w:rPr>
          <w:rFonts w:hint="eastAsia" w:ascii="宋体" w:hAnsi="宋体"/>
          <w:sz w:val="24"/>
          <w:szCs w:val="24"/>
        </w:rPr>
        <w:t>22.3</w:t>
      </w:r>
      <w:r>
        <w:rPr>
          <w:rFonts w:hint="eastAsia"/>
          <w:sz w:val="24"/>
          <w:szCs w:val="24"/>
        </w:rPr>
        <w:t>修改后再次递交的，按19点的规定执行。</w:t>
      </w:r>
    </w:p>
    <w:p>
      <w:pPr>
        <w:spacing w:line="360" w:lineRule="auto"/>
        <w:ind w:firstLine="480" w:firstLineChars="200"/>
        <w:rPr>
          <w:rFonts w:ascii="宋体" w:hAnsi="宋体"/>
          <w:sz w:val="24"/>
        </w:rPr>
      </w:pPr>
      <w:r>
        <w:rPr>
          <w:rFonts w:ascii="宋体" w:hAnsi="宋体"/>
          <w:sz w:val="24"/>
        </w:rPr>
        <w:t>22.</w:t>
      </w:r>
      <w:r>
        <w:rPr>
          <w:rFonts w:hint="eastAsia" w:ascii="宋体" w:hAnsi="宋体"/>
          <w:sz w:val="24"/>
        </w:rPr>
        <w:t>4</w:t>
      </w:r>
      <w:r>
        <w:rPr>
          <w:rFonts w:ascii="宋体" w:hAnsi="宋体"/>
          <w:sz w:val="24"/>
        </w:rPr>
        <w:t xml:space="preserve"> </w:t>
      </w:r>
      <w:r>
        <w:rPr>
          <w:rFonts w:hint="eastAsia" w:ascii="宋体" w:hAnsi="宋体"/>
          <w:sz w:val="24"/>
        </w:rPr>
        <w:t>在投标截止时间之后，投标人不得补充、修改和更换投标文件。</w:t>
      </w:r>
    </w:p>
    <w:p>
      <w:pPr>
        <w:pStyle w:val="5"/>
        <w:spacing w:before="156" w:after="156"/>
      </w:pPr>
      <w:bookmarkStart w:id="17" w:name="_Toc2272553"/>
      <w:bookmarkStart w:id="18" w:name="_Toc21525497"/>
      <w:r>
        <w:rPr>
          <w:rFonts w:hint="eastAsia"/>
        </w:rPr>
        <w:t>（五）开标、评标、定标及合同签定</w:t>
      </w:r>
      <w:bookmarkEnd w:id="17"/>
      <w:bookmarkEnd w:id="18"/>
    </w:p>
    <w:p>
      <w:pPr>
        <w:spacing w:line="360" w:lineRule="auto"/>
        <w:ind w:firstLine="482" w:firstLineChars="200"/>
        <w:rPr>
          <w:rFonts w:ascii="宋体"/>
          <w:b/>
          <w:bCs/>
          <w:sz w:val="24"/>
        </w:rPr>
      </w:pPr>
      <w:r>
        <w:rPr>
          <w:rFonts w:ascii="宋体" w:hAnsi="宋体"/>
          <w:b/>
          <w:bCs/>
          <w:sz w:val="24"/>
        </w:rPr>
        <w:t>23</w:t>
      </w:r>
      <w:r>
        <w:rPr>
          <w:rFonts w:hint="eastAsia" w:ascii="宋体" w:hAnsi="宋体"/>
          <w:b/>
          <w:bCs/>
          <w:sz w:val="24"/>
        </w:rPr>
        <w:t>、开标。</w:t>
      </w:r>
    </w:p>
    <w:p>
      <w:pPr>
        <w:spacing w:line="360" w:lineRule="auto"/>
        <w:ind w:firstLine="480" w:firstLineChars="200"/>
        <w:rPr>
          <w:rFonts w:ascii="宋体"/>
          <w:sz w:val="24"/>
        </w:rPr>
      </w:pPr>
      <w:r>
        <w:rPr>
          <w:rFonts w:hint="eastAsia" w:ascii="宋体" w:hAnsi="宋体"/>
          <w:sz w:val="24"/>
        </w:rPr>
        <w:t>详见第二章开标、评标及定标办法</w:t>
      </w:r>
    </w:p>
    <w:p>
      <w:pPr>
        <w:spacing w:line="360" w:lineRule="auto"/>
        <w:ind w:firstLine="482" w:firstLineChars="200"/>
        <w:rPr>
          <w:rFonts w:ascii="宋体"/>
          <w:b/>
          <w:bCs/>
          <w:sz w:val="24"/>
        </w:rPr>
      </w:pPr>
      <w:r>
        <w:rPr>
          <w:rFonts w:ascii="宋体" w:hAnsi="宋体"/>
          <w:b/>
          <w:bCs/>
          <w:sz w:val="24"/>
        </w:rPr>
        <w:t>24</w:t>
      </w:r>
      <w:r>
        <w:rPr>
          <w:rFonts w:hint="eastAsia" w:ascii="宋体" w:hAnsi="宋体"/>
          <w:b/>
          <w:bCs/>
          <w:sz w:val="24"/>
        </w:rPr>
        <w:t>．评标过程的保密</w:t>
      </w:r>
    </w:p>
    <w:p>
      <w:pPr>
        <w:spacing w:line="360" w:lineRule="auto"/>
        <w:ind w:firstLine="480" w:firstLineChars="200"/>
        <w:rPr>
          <w:rFonts w:ascii="宋体"/>
          <w:sz w:val="24"/>
        </w:rPr>
      </w:pPr>
      <w:r>
        <w:rPr>
          <w:rFonts w:ascii="宋体" w:hAnsi="宋体"/>
          <w:sz w:val="24"/>
        </w:rPr>
        <w:t xml:space="preserve">24.1 </w:t>
      </w:r>
      <w:r>
        <w:rPr>
          <w:rFonts w:hint="eastAsia" w:ascii="宋体" w:hAnsi="宋体"/>
          <w:sz w:val="24"/>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sz w:val="24"/>
        </w:rPr>
      </w:pPr>
      <w:r>
        <w:rPr>
          <w:rFonts w:ascii="宋体" w:hAnsi="宋体"/>
          <w:sz w:val="24"/>
        </w:rPr>
        <w:t xml:space="preserve">24.2 </w:t>
      </w:r>
      <w:r>
        <w:rPr>
          <w:rFonts w:hint="eastAsia" w:ascii="宋体" w:hAnsi="宋体"/>
          <w:sz w:val="24"/>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sz w:val="24"/>
        </w:rPr>
      </w:pPr>
      <w:r>
        <w:rPr>
          <w:rFonts w:ascii="宋体" w:hAnsi="宋体"/>
          <w:b/>
          <w:bCs/>
          <w:sz w:val="24"/>
        </w:rPr>
        <w:t>25</w:t>
      </w:r>
      <w:r>
        <w:rPr>
          <w:rFonts w:hint="eastAsia" w:ascii="宋体" w:hAnsi="宋体"/>
          <w:b/>
          <w:bCs/>
          <w:sz w:val="24"/>
        </w:rPr>
        <w:t>．投标文件的澄清，计算错误的修正</w:t>
      </w:r>
    </w:p>
    <w:p>
      <w:pPr>
        <w:spacing w:line="360" w:lineRule="auto"/>
        <w:ind w:firstLine="480" w:firstLineChars="200"/>
        <w:rPr>
          <w:rFonts w:ascii="宋体"/>
          <w:sz w:val="24"/>
        </w:rPr>
      </w:pPr>
      <w:r>
        <w:rPr>
          <w:rFonts w:hint="eastAsia" w:ascii="宋体" w:hAnsi="宋体"/>
          <w:sz w:val="24"/>
        </w:rPr>
        <w:t>详见招标文件第二章开标、评标及定标办法</w:t>
      </w:r>
    </w:p>
    <w:p>
      <w:pPr>
        <w:spacing w:line="360" w:lineRule="auto"/>
        <w:ind w:firstLine="482" w:firstLineChars="200"/>
        <w:rPr>
          <w:rFonts w:ascii="宋体"/>
          <w:b/>
          <w:bCs/>
          <w:sz w:val="24"/>
        </w:rPr>
      </w:pPr>
      <w:r>
        <w:rPr>
          <w:rFonts w:ascii="宋体" w:hAnsi="宋体"/>
          <w:b/>
          <w:bCs/>
          <w:sz w:val="24"/>
        </w:rPr>
        <w:t>26</w:t>
      </w:r>
      <w:r>
        <w:rPr>
          <w:rFonts w:hint="eastAsia" w:ascii="宋体" w:hAnsi="宋体"/>
          <w:b/>
          <w:bCs/>
          <w:sz w:val="24"/>
        </w:rPr>
        <w:t>．投标文件的评审、比较和否决</w:t>
      </w:r>
    </w:p>
    <w:p>
      <w:pPr>
        <w:spacing w:line="360" w:lineRule="auto"/>
        <w:ind w:firstLine="480" w:firstLineChars="200"/>
        <w:rPr>
          <w:rFonts w:ascii="宋体"/>
          <w:bCs/>
          <w:sz w:val="24"/>
          <w:szCs w:val="24"/>
        </w:rPr>
      </w:pPr>
      <w:r>
        <w:rPr>
          <w:rFonts w:hint="eastAsia" w:ascii="宋体" w:hAnsi="宋体"/>
          <w:sz w:val="24"/>
        </w:rPr>
        <w:t>详见招标文件第二章开标、评标及定标办法。</w:t>
      </w:r>
    </w:p>
    <w:p>
      <w:pPr>
        <w:spacing w:line="360" w:lineRule="auto"/>
        <w:ind w:firstLine="482" w:firstLineChars="200"/>
        <w:rPr>
          <w:rFonts w:ascii="宋体"/>
          <w:b/>
          <w:bCs/>
          <w:sz w:val="24"/>
        </w:rPr>
      </w:pPr>
      <w:r>
        <w:rPr>
          <w:rFonts w:ascii="宋体" w:hAnsi="宋体"/>
          <w:b/>
          <w:bCs/>
          <w:sz w:val="24"/>
        </w:rPr>
        <w:t>27</w:t>
      </w:r>
      <w:r>
        <w:rPr>
          <w:rFonts w:hint="eastAsia" w:ascii="宋体" w:hAnsi="宋体"/>
          <w:b/>
          <w:bCs/>
          <w:sz w:val="24"/>
        </w:rPr>
        <w:t>．中标通知书</w:t>
      </w:r>
    </w:p>
    <w:p>
      <w:pPr>
        <w:spacing w:line="360" w:lineRule="auto"/>
        <w:ind w:firstLine="480" w:firstLineChars="200"/>
        <w:rPr>
          <w:rFonts w:ascii="宋体"/>
          <w:sz w:val="24"/>
        </w:rPr>
      </w:pPr>
      <w:r>
        <w:rPr>
          <w:rFonts w:ascii="宋体" w:hAnsi="宋体"/>
          <w:sz w:val="24"/>
        </w:rPr>
        <w:t>27.1</w:t>
      </w:r>
      <w:r>
        <w:rPr>
          <w:rFonts w:hint="eastAsia" w:ascii="宋体" w:hAnsi="宋体"/>
          <w:sz w:val="24"/>
        </w:rPr>
        <w:t>招标人将在</w:t>
      </w:r>
      <w:r>
        <w:rPr>
          <w:sz w:val="24"/>
          <w:szCs w:val="24"/>
          <w:u w:val="single"/>
        </w:rPr>
        <w:t xml:space="preserve"> </w:t>
      </w:r>
      <w:r>
        <w:rPr>
          <w:rFonts w:hint="eastAsia"/>
          <w:sz w:val="24"/>
          <w:szCs w:val="24"/>
          <w:u w:val="single"/>
        </w:rPr>
        <w:t>广州公共资源交易中心</w:t>
      </w:r>
      <w:r>
        <w:rPr>
          <w:sz w:val="24"/>
          <w:szCs w:val="24"/>
          <w:u w:val="single"/>
        </w:rPr>
        <w:t xml:space="preserve"> </w:t>
      </w:r>
      <w:r>
        <w:rPr>
          <w:rFonts w:hint="eastAsia" w:ascii="宋体" w:hAnsi="宋体"/>
          <w:sz w:val="24"/>
          <w:szCs w:val="24"/>
        </w:rPr>
        <w:t>交易平台</w:t>
      </w:r>
      <w:r>
        <w:rPr>
          <w:rFonts w:hint="eastAsia" w:ascii="宋体" w:hAnsi="宋体"/>
          <w:sz w:val="24"/>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仿宋_GB2312" w:hAnsi="宋体" w:eastAsia="仿宋_GB2312"/>
          <w:sz w:val="24"/>
        </w:rPr>
      </w:pPr>
      <w:r>
        <w:rPr>
          <w:rFonts w:ascii="宋体" w:hAnsi="宋体"/>
          <w:sz w:val="24"/>
        </w:rPr>
        <w:t>27.2</w:t>
      </w:r>
      <w:r>
        <w:rPr>
          <w:rFonts w:hint="eastAsia" w:ascii="宋体" w:hAnsi="宋体"/>
          <w:sz w:val="24"/>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sz w:val="24"/>
        </w:rPr>
      </w:pPr>
      <w:r>
        <w:rPr>
          <w:rFonts w:ascii="宋体" w:hAnsi="宋体"/>
          <w:sz w:val="24"/>
        </w:rPr>
        <w:t>27.3</w:t>
      </w:r>
      <w:r>
        <w:rPr>
          <w:rFonts w:hint="eastAsia" w:ascii="宋体" w:hAnsi="宋体"/>
          <w:sz w:val="24"/>
        </w:rPr>
        <w:t>中标人必须在收到中标通知书后</w:t>
      </w:r>
      <w:r>
        <w:rPr>
          <w:rFonts w:ascii="宋体" w:hAnsi="宋体"/>
          <w:sz w:val="24"/>
        </w:rPr>
        <w:t>24</w:t>
      </w:r>
      <w:r>
        <w:rPr>
          <w:rFonts w:hint="eastAsia" w:ascii="宋体" w:hAnsi="宋体"/>
          <w:sz w:val="24"/>
        </w:rPr>
        <w:t>小时之内以书面形式回复招标人，确认收到。</w:t>
      </w:r>
    </w:p>
    <w:p>
      <w:pPr>
        <w:spacing w:line="360" w:lineRule="auto"/>
        <w:ind w:firstLine="480" w:firstLineChars="200"/>
        <w:rPr>
          <w:rFonts w:ascii="宋体" w:hAnsi="宋体"/>
          <w:sz w:val="24"/>
        </w:rPr>
      </w:pPr>
      <w:r>
        <w:rPr>
          <w:rFonts w:hint="eastAsia" w:ascii="宋体" w:hAnsi="宋体"/>
          <w:sz w:val="24"/>
        </w:rPr>
        <w:t>27.4在产生中标候选人后，招标人将中标候选人的投标文件商务部分文件的所有内容（包括人员、业绩、奖项等资料）在</w:t>
      </w:r>
      <w:r>
        <w:rPr>
          <w:sz w:val="24"/>
          <w:szCs w:val="24"/>
          <w:u w:val="single"/>
        </w:rPr>
        <w:t xml:space="preserve">  </w:t>
      </w:r>
      <w:r>
        <w:rPr>
          <w:rFonts w:hint="eastAsia"/>
          <w:sz w:val="24"/>
          <w:szCs w:val="24"/>
          <w:u w:val="single"/>
        </w:rPr>
        <w:t>广州公共资源交易中心</w:t>
      </w:r>
      <w:r>
        <w:rPr>
          <w:sz w:val="24"/>
          <w:szCs w:val="24"/>
          <w:u w:val="single"/>
        </w:rPr>
        <w:t xml:space="preserve"> </w:t>
      </w:r>
      <w:r>
        <w:rPr>
          <w:rFonts w:hint="eastAsia" w:ascii="宋体" w:hAnsi="宋体"/>
          <w:sz w:val="24"/>
          <w:szCs w:val="24"/>
        </w:rPr>
        <w:t>交易平台和广东省招标投标监管网</w:t>
      </w:r>
      <w:r>
        <w:rPr>
          <w:rFonts w:hint="eastAsia" w:ascii="宋体" w:hAnsi="宋体"/>
          <w:sz w:val="24"/>
        </w:rPr>
        <w:t>公开。</w:t>
      </w:r>
    </w:p>
    <w:p>
      <w:pPr>
        <w:spacing w:line="360" w:lineRule="auto"/>
        <w:ind w:firstLine="482" w:firstLineChars="200"/>
        <w:rPr>
          <w:rFonts w:ascii="宋体"/>
          <w:b/>
          <w:bCs/>
          <w:sz w:val="24"/>
        </w:rPr>
      </w:pPr>
      <w:r>
        <w:rPr>
          <w:rFonts w:ascii="宋体" w:hAnsi="宋体"/>
          <w:b/>
          <w:bCs/>
          <w:sz w:val="24"/>
        </w:rPr>
        <w:t>28</w:t>
      </w:r>
      <w:r>
        <w:rPr>
          <w:rFonts w:hint="eastAsia" w:ascii="宋体" w:hAnsi="宋体"/>
          <w:b/>
          <w:bCs/>
          <w:sz w:val="24"/>
        </w:rPr>
        <w:t>．合同协议书的签订</w:t>
      </w:r>
    </w:p>
    <w:p>
      <w:pPr>
        <w:spacing w:line="360" w:lineRule="auto"/>
        <w:ind w:firstLine="480" w:firstLineChars="200"/>
        <w:rPr>
          <w:rFonts w:ascii="宋体"/>
          <w:sz w:val="24"/>
        </w:rPr>
      </w:pPr>
      <w:r>
        <w:rPr>
          <w:rFonts w:ascii="宋体" w:hAnsi="宋体"/>
          <w:sz w:val="24"/>
        </w:rPr>
        <w:t xml:space="preserve">28.1 </w:t>
      </w:r>
      <w:r>
        <w:rPr>
          <w:rFonts w:hint="eastAsia" w:ascii="宋体" w:hAnsi="宋体"/>
          <w:sz w:val="24"/>
        </w:rPr>
        <w:t>招标人与中标人将于中标通知书发出之日起</w:t>
      </w:r>
      <w:r>
        <w:rPr>
          <w:rFonts w:ascii="宋体" w:hAnsi="宋体"/>
          <w:sz w:val="24"/>
        </w:rPr>
        <w:t>30</w:t>
      </w:r>
      <w:r>
        <w:rPr>
          <w:rFonts w:hint="eastAsia" w:ascii="宋体" w:hAnsi="宋体"/>
          <w:sz w:val="24"/>
        </w:rPr>
        <w:t>日内，按照招标文件和中标人的投标文件商定和签订合同，招标人和中标人不得再行订立背离合同实质性内容的其他协议。</w:t>
      </w:r>
    </w:p>
    <w:p>
      <w:pPr>
        <w:spacing w:line="360" w:lineRule="auto"/>
        <w:ind w:firstLine="480" w:firstLineChars="200"/>
        <w:rPr>
          <w:rFonts w:ascii="宋体"/>
          <w:sz w:val="24"/>
        </w:rPr>
      </w:pPr>
      <w:r>
        <w:rPr>
          <w:rFonts w:ascii="宋体" w:hAnsi="宋体"/>
          <w:sz w:val="24"/>
        </w:rPr>
        <w:t>28.2</w:t>
      </w:r>
      <w:r>
        <w:rPr>
          <w:rFonts w:hint="eastAsia" w:ascii="宋体" w:hAnsi="宋体"/>
          <w:sz w:val="24"/>
        </w:rPr>
        <w:t>中标通知书发出之日起</w:t>
      </w:r>
      <w:r>
        <w:rPr>
          <w:rFonts w:ascii="宋体" w:hAnsi="宋体"/>
          <w:sz w:val="24"/>
        </w:rPr>
        <w:t>30</w:t>
      </w:r>
      <w:r>
        <w:rPr>
          <w:rFonts w:hint="eastAsia" w:ascii="宋体" w:hAnsi="宋体"/>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sz w:val="24"/>
        </w:rPr>
      </w:pPr>
      <w:r>
        <w:rPr>
          <w:rFonts w:ascii="宋体" w:hAnsi="宋体"/>
          <w:sz w:val="24"/>
        </w:rPr>
        <w:t>28.3</w:t>
      </w:r>
      <w:r>
        <w:rPr>
          <w:rFonts w:hint="eastAsia" w:ascii="宋体" w:hAnsi="宋体"/>
          <w:sz w:val="24"/>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sz w:val="24"/>
        </w:rPr>
      </w:pPr>
      <w:r>
        <w:rPr>
          <w:rFonts w:ascii="宋体" w:hAnsi="宋体"/>
          <w:sz w:val="24"/>
        </w:rPr>
        <w:t>28.4</w:t>
      </w:r>
      <w:r>
        <w:rPr>
          <w:rFonts w:hint="eastAsia" w:ascii="宋体" w:hAnsi="宋体"/>
          <w:sz w:val="24"/>
        </w:rPr>
        <w:t>招标人支付工程款时，中标人应按规定开具发票。</w:t>
      </w:r>
    </w:p>
    <w:p>
      <w:pPr>
        <w:spacing w:line="360" w:lineRule="auto"/>
        <w:ind w:firstLine="482" w:firstLineChars="200"/>
        <w:rPr>
          <w:rFonts w:ascii="宋体"/>
          <w:b/>
          <w:bCs/>
          <w:sz w:val="24"/>
        </w:rPr>
      </w:pPr>
      <w:r>
        <w:rPr>
          <w:rFonts w:ascii="宋体" w:hAnsi="宋体"/>
          <w:b/>
          <w:bCs/>
          <w:sz w:val="24"/>
        </w:rPr>
        <w:t>29</w:t>
      </w:r>
      <w:r>
        <w:rPr>
          <w:rFonts w:hint="eastAsia" w:ascii="宋体" w:hAnsi="宋体"/>
          <w:b/>
          <w:bCs/>
          <w:sz w:val="24"/>
        </w:rPr>
        <w:t>．履约担保</w:t>
      </w:r>
    </w:p>
    <w:p>
      <w:pPr>
        <w:snapToGrid w:val="0"/>
        <w:spacing w:line="360" w:lineRule="auto"/>
        <w:ind w:firstLine="480" w:firstLineChars="200"/>
        <w:rPr>
          <w:rFonts w:ascii="宋体"/>
          <w:sz w:val="24"/>
        </w:rPr>
      </w:pPr>
      <w:r>
        <w:rPr>
          <w:rFonts w:ascii="宋体" w:hAnsi="宋体"/>
          <w:sz w:val="24"/>
        </w:rPr>
        <w:t xml:space="preserve">29.1 </w:t>
      </w:r>
      <w:r>
        <w:rPr>
          <w:rFonts w:hint="eastAsia" w:ascii="宋体" w:hAnsi="宋体"/>
          <w:sz w:val="24"/>
          <w:u w:val="single"/>
        </w:rPr>
        <w:t>在合同条款要求时间内</w:t>
      </w:r>
      <w:r>
        <w:rPr>
          <w:rFonts w:hint="eastAsia" w:ascii="宋体" w:hAnsi="宋体"/>
          <w:sz w:val="24"/>
        </w:rPr>
        <w:t>，中标人应按本须知前附表第</w:t>
      </w:r>
      <w:r>
        <w:rPr>
          <w:rFonts w:ascii="宋体" w:hAnsi="宋体"/>
          <w:sz w:val="24"/>
        </w:rPr>
        <w:t>2</w:t>
      </w:r>
      <w:r>
        <w:rPr>
          <w:rFonts w:hint="eastAsia" w:ascii="宋体" w:hAnsi="宋体"/>
          <w:sz w:val="24"/>
        </w:rPr>
        <w:t>0项的规定向招标人提交履约担保。</w:t>
      </w:r>
    </w:p>
    <w:p>
      <w:pPr>
        <w:snapToGrid w:val="0"/>
        <w:spacing w:line="360" w:lineRule="auto"/>
        <w:ind w:firstLine="480" w:firstLineChars="200"/>
        <w:rPr>
          <w:rFonts w:ascii="宋体"/>
          <w:sz w:val="24"/>
        </w:rPr>
      </w:pPr>
      <w:r>
        <w:rPr>
          <w:rFonts w:ascii="宋体" w:hAnsi="宋体"/>
          <w:sz w:val="24"/>
        </w:rPr>
        <w:t>29.2</w:t>
      </w:r>
      <w:r>
        <w:rPr>
          <w:rFonts w:hint="eastAsia" w:ascii="宋体" w:hAnsi="宋体"/>
          <w:sz w:val="24"/>
        </w:rPr>
        <w:t>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b/>
          <w:bCs/>
          <w:sz w:val="24"/>
        </w:rPr>
      </w:pPr>
      <w:r>
        <w:rPr>
          <w:rFonts w:ascii="宋体" w:hAnsi="宋体"/>
          <w:b/>
          <w:bCs/>
          <w:sz w:val="24"/>
        </w:rPr>
        <w:t>30</w:t>
      </w:r>
      <w:r>
        <w:rPr>
          <w:rFonts w:hint="eastAsia" w:ascii="宋体" w:hAnsi="宋体"/>
          <w:b/>
          <w:bCs/>
          <w:sz w:val="24"/>
        </w:rPr>
        <w:t>．合同生效</w:t>
      </w:r>
    </w:p>
    <w:p>
      <w:pPr>
        <w:spacing w:line="360" w:lineRule="auto"/>
        <w:ind w:firstLine="480" w:firstLineChars="200"/>
        <w:rPr>
          <w:rFonts w:ascii="宋体"/>
          <w:sz w:val="24"/>
        </w:rPr>
      </w:pPr>
      <w:r>
        <w:rPr>
          <w:rFonts w:ascii="宋体" w:hAnsi="宋体"/>
          <w:sz w:val="24"/>
        </w:rPr>
        <w:t>30.1</w:t>
      </w:r>
      <w:r>
        <w:rPr>
          <w:rFonts w:hint="eastAsia" w:ascii="宋体" w:hAnsi="宋体"/>
          <w:sz w:val="24"/>
        </w:rPr>
        <w:t>在合同双方全权代表在合同协议书上签字，并分别加盖双方单位的公章后，合同正式生效。</w:t>
      </w:r>
    </w:p>
    <w:p>
      <w:pPr>
        <w:spacing w:line="360" w:lineRule="auto"/>
        <w:ind w:firstLine="482" w:firstLineChars="200"/>
        <w:rPr>
          <w:rFonts w:ascii="宋体"/>
          <w:b/>
          <w:bCs/>
          <w:sz w:val="24"/>
        </w:rPr>
      </w:pPr>
      <w:r>
        <w:rPr>
          <w:rFonts w:ascii="宋体" w:hAnsi="宋体"/>
          <w:b/>
          <w:bCs/>
          <w:sz w:val="24"/>
        </w:rPr>
        <w:t>31</w:t>
      </w:r>
      <w:r>
        <w:rPr>
          <w:rFonts w:hint="eastAsia" w:ascii="宋体" w:hAnsi="宋体"/>
          <w:b/>
          <w:bCs/>
          <w:sz w:val="24"/>
        </w:rPr>
        <w:t>．其它费用</w:t>
      </w:r>
    </w:p>
    <w:p>
      <w:pPr>
        <w:pStyle w:val="35"/>
        <w:spacing w:after="0" w:line="360" w:lineRule="auto"/>
        <w:ind w:firstLine="482" w:firstLineChars="200"/>
        <w:rPr>
          <w:rFonts w:ascii="宋体"/>
          <w:b/>
          <w:bCs/>
          <w:sz w:val="24"/>
        </w:rPr>
      </w:pPr>
      <w:r>
        <w:rPr>
          <w:rFonts w:ascii="宋体" w:hAnsi="宋体"/>
          <w:b/>
          <w:bCs/>
          <w:sz w:val="24"/>
        </w:rPr>
        <w:t>32</w:t>
      </w:r>
      <w:r>
        <w:rPr>
          <w:rFonts w:hint="eastAsia" w:ascii="宋体" w:hAnsi="宋体"/>
          <w:b/>
          <w:bCs/>
          <w:sz w:val="24"/>
        </w:rPr>
        <w:t>．腐败与欺诈行为</w:t>
      </w:r>
    </w:p>
    <w:p>
      <w:pPr>
        <w:pStyle w:val="35"/>
        <w:spacing w:after="0" w:line="360" w:lineRule="auto"/>
        <w:ind w:firstLine="480" w:firstLineChars="200"/>
        <w:rPr>
          <w:rFonts w:ascii="宋体"/>
          <w:sz w:val="24"/>
        </w:rPr>
      </w:pPr>
      <w:r>
        <w:rPr>
          <w:rFonts w:hint="eastAsia" w:ascii="宋体" w:hAnsi="宋体"/>
          <w:sz w:val="24"/>
        </w:rPr>
        <w:t>在招标和合同实施期间，招标人要求投标人和承包人遵守最高的道德标准。</w:t>
      </w:r>
    </w:p>
    <w:p>
      <w:pPr>
        <w:pStyle w:val="35"/>
        <w:spacing w:after="0" w:line="360" w:lineRule="auto"/>
        <w:ind w:firstLine="480" w:firstLineChars="200"/>
        <w:rPr>
          <w:rFonts w:ascii="宋体"/>
          <w:sz w:val="24"/>
        </w:rPr>
      </w:pPr>
      <w:r>
        <w:rPr>
          <w:rFonts w:ascii="宋体" w:hAnsi="宋体"/>
          <w:sz w:val="24"/>
        </w:rPr>
        <w:t>32</w:t>
      </w:r>
      <w:r>
        <w:rPr>
          <w:rFonts w:hint="eastAsia" w:ascii="宋体" w:hAnsi="宋体"/>
          <w:sz w:val="24"/>
        </w:rPr>
        <w:t>．</w:t>
      </w:r>
      <w:r>
        <w:rPr>
          <w:rFonts w:ascii="宋体" w:hAnsi="宋体"/>
          <w:sz w:val="24"/>
        </w:rPr>
        <w:t>1</w:t>
      </w:r>
      <w:r>
        <w:rPr>
          <w:rFonts w:hint="eastAsia" w:ascii="宋体" w:hAnsi="宋体"/>
          <w:sz w:val="24"/>
        </w:rPr>
        <w:t>对本条款的规定，特定义如下词汇：</w:t>
      </w:r>
    </w:p>
    <w:p>
      <w:pPr>
        <w:pStyle w:val="35"/>
        <w:spacing w:after="0" w:line="360" w:lineRule="auto"/>
        <w:ind w:firstLine="480" w:firstLineChars="200"/>
        <w:rPr>
          <w:rFonts w:ascii="宋体"/>
          <w:sz w:val="24"/>
        </w:rPr>
      </w:pPr>
      <w:r>
        <w:rPr>
          <w:rFonts w:ascii="宋体" w:hAnsi="宋体"/>
          <w:sz w:val="24"/>
        </w:rPr>
        <w:t>1</w:t>
      </w:r>
      <w:r>
        <w:rPr>
          <w:rFonts w:hint="eastAsia" w:ascii="宋体" w:hAnsi="宋体"/>
          <w:sz w:val="24"/>
        </w:rPr>
        <w:t>）、“腐败行为”是指在招标或合同执行期间，通过提供、给予、接受或索要任何有价值的东西，从而影响招标人有关人员工作的行为；</w:t>
      </w:r>
    </w:p>
    <w:p>
      <w:pPr>
        <w:pStyle w:val="35"/>
        <w:spacing w:after="0" w:line="360" w:lineRule="auto"/>
        <w:ind w:firstLine="480" w:firstLineChars="200"/>
        <w:rPr>
          <w:rFonts w:ascii="宋体"/>
          <w:sz w:val="24"/>
        </w:rPr>
      </w:pPr>
      <w:r>
        <w:rPr>
          <w:rFonts w:ascii="宋体" w:hAnsi="宋体"/>
          <w:sz w:val="24"/>
        </w:rPr>
        <w:t>2</w:t>
      </w:r>
      <w:r>
        <w:rPr>
          <w:rFonts w:hint="eastAsia" w:ascii="宋体" w:hAnsi="宋体"/>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35"/>
        <w:spacing w:after="0" w:line="360" w:lineRule="auto"/>
        <w:ind w:firstLine="480" w:firstLineChars="200"/>
        <w:rPr>
          <w:rFonts w:ascii="宋体" w:hAnsi="宋体"/>
          <w:sz w:val="24"/>
        </w:rPr>
      </w:pPr>
      <w:r>
        <w:rPr>
          <w:rFonts w:ascii="宋体" w:hAnsi="宋体"/>
          <w:sz w:val="24"/>
        </w:rPr>
        <w:t>32</w:t>
      </w:r>
      <w:r>
        <w:rPr>
          <w:rFonts w:hint="eastAsia" w:ascii="宋体" w:hAnsi="宋体"/>
          <w:sz w:val="24"/>
        </w:rPr>
        <w:t>．</w:t>
      </w:r>
      <w:r>
        <w:rPr>
          <w:rFonts w:ascii="宋体" w:hAnsi="宋体"/>
          <w:sz w:val="24"/>
        </w:rPr>
        <w:t>2</w:t>
      </w:r>
      <w:r>
        <w:rPr>
          <w:rFonts w:hint="eastAsia" w:ascii="宋体" w:hAnsi="宋体"/>
          <w:sz w:val="24"/>
        </w:rPr>
        <w:t>如果投标人被认定在本招标的竞争中有腐败或欺诈行为，则会被取消投标资格。</w:t>
      </w:r>
    </w:p>
    <w:p>
      <w:pPr>
        <w:pStyle w:val="35"/>
        <w:spacing w:after="0" w:line="360" w:lineRule="auto"/>
        <w:ind w:firstLine="480" w:firstLineChars="200"/>
        <w:rPr>
          <w:rFonts w:ascii="宋体"/>
          <w:sz w:val="24"/>
        </w:rPr>
      </w:pPr>
      <w:r>
        <w:rPr>
          <w:rFonts w:hint="eastAsia" w:ascii="宋体"/>
          <w:sz w:val="24"/>
        </w:rPr>
        <w:t>32.3投标人如在本项目中存在串通投标、弄虚作假骗取中标、行贿情形的，中标无效，行政监督部门将对其违法行为进行政处罚并通报。该投标人将被招标人列入黑名单并限制其参与招标人后续项目的投标。该投标人将被招标人列入黑名单并限制其参与招标人后续项目的投标。</w:t>
      </w:r>
    </w:p>
    <w:p>
      <w:pPr>
        <w:spacing w:line="480" w:lineRule="auto"/>
        <w:ind w:firstLine="540" w:firstLineChars="224"/>
        <w:rPr>
          <w:rFonts w:ascii="宋体" w:hAnsi="宋体"/>
          <w:b/>
          <w:sz w:val="24"/>
        </w:rPr>
      </w:pPr>
      <w:r>
        <w:rPr>
          <w:rFonts w:hint="eastAsia" w:ascii="宋体"/>
          <w:b/>
          <w:sz w:val="24"/>
        </w:rPr>
        <w:t>33.</w:t>
      </w:r>
      <w:r>
        <w:rPr>
          <w:rFonts w:hint="eastAsia" w:ascii="宋体" w:hAnsi="宋体"/>
          <w:b/>
          <w:sz w:val="24"/>
        </w:rPr>
        <w:t xml:space="preserve"> 投标人信誉的要求</w:t>
      </w:r>
    </w:p>
    <w:p>
      <w:pPr>
        <w:spacing w:line="480" w:lineRule="auto"/>
        <w:ind w:firstLine="537" w:firstLineChars="224"/>
        <w:rPr>
          <w:rFonts w:ascii="宋体" w:hAnsi="宋体"/>
          <w:strike/>
          <w:sz w:val="24"/>
        </w:rPr>
      </w:pPr>
      <w:r>
        <w:rPr>
          <w:rFonts w:hint="eastAsia" w:ascii="宋体" w:hAnsi="宋体"/>
          <w:strike/>
          <w:sz w:val="24"/>
        </w:rPr>
        <w:t>存在下列情形之一的，招标人可以限制其投标（</w:t>
      </w:r>
      <w:r>
        <w:rPr>
          <w:rFonts w:hint="eastAsia" w:ascii="宋体" w:hAnsi="宋体"/>
          <w:strike/>
          <w:sz w:val="24"/>
          <w:u w:val="single"/>
        </w:rPr>
        <w:t>根据投标人声明评审</w:t>
      </w:r>
      <w:r>
        <w:rPr>
          <w:rFonts w:hint="eastAsia" w:ascii="宋体" w:hAnsi="宋体"/>
          <w:strike/>
          <w:sz w:val="24"/>
        </w:rPr>
        <w:t>）</w:t>
      </w:r>
    </w:p>
    <w:p>
      <w:pPr>
        <w:spacing w:line="480" w:lineRule="auto"/>
        <w:ind w:firstLine="537" w:firstLineChars="224"/>
        <w:rPr>
          <w:rFonts w:ascii="宋体" w:hAnsi="宋体"/>
          <w:strike/>
          <w:sz w:val="24"/>
        </w:rPr>
      </w:pPr>
      <w:r>
        <w:rPr>
          <w:rFonts w:hint="eastAsia" w:ascii="宋体" w:hAnsi="宋体"/>
          <w:strike/>
          <w:sz w:val="24"/>
        </w:rPr>
        <w:t>（1）被住房城乡建设行政主管部门在全国建筑市场监管一体化工作平台列入建筑市场主体“黑名单”；</w:t>
      </w:r>
    </w:p>
    <w:p>
      <w:pPr>
        <w:pStyle w:val="35"/>
        <w:spacing w:after="0" w:line="360" w:lineRule="auto"/>
        <w:ind w:firstLine="480" w:firstLineChars="200"/>
        <w:rPr>
          <w:rFonts w:ascii="宋体" w:hAnsi="宋体"/>
          <w:strike/>
          <w:sz w:val="24"/>
        </w:rPr>
      </w:pPr>
      <w:r>
        <w:rPr>
          <w:rFonts w:hint="eastAsia" w:ascii="宋体" w:hAnsi="宋体"/>
          <w:strike/>
          <w:sz w:val="24"/>
        </w:rPr>
        <w:t>（2）被发改委、人力资源社会保障、质检总局等有关部门、单位在“信用中国”网站中列入联合惩戒失信黑名单。</w:t>
      </w:r>
    </w:p>
    <w:p>
      <w:pPr>
        <w:pStyle w:val="35"/>
        <w:spacing w:after="0" w:line="360" w:lineRule="auto"/>
        <w:ind w:firstLine="482" w:firstLineChars="200"/>
        <w:rPr>
          <w:rFonts w:ascii="宋体" w:hAnsi="宋体"/>
          <w:sz w:val="24"/>
          <w:u w:val="single"/>
        </w:rPr>
      </w:pPr>
      <w:r>
        <w:rPr>
          <w:rFonts w:hint="eastAsia" w:ascii="宋体"/>
          <w:b/>
          <w:sz w:val="24"/>
          <w:u w:val="single"/>
        </w:rPr>
        <w:t>34.</w:t>
      </w:r>
      <w:r>
        <w:rPr>
          <w:rFonts w:hint="eastAsia" w:ascii="宋体" w:hAnsi="宋体"/>
          <w:sz w:val="24"/>
          <w:u w:val="single"/>
        </w:rPr>
        <w:t>中标单位在中标公示后，须提供与所递交投标电子标书内容一致且加盖单位公章的纸质文件五套及电子文件二套（不用生成投标书；包括用Microsoft Excel 软件或广州公共资源交易中心提供的投标书制作软件制作的工程量清单报价表和单价分析表，用Microsoft Word软件或广州公共资源交易中心提供的投标书制作软件制作的经济投标文件其他部分。电子文件介质使用CD-R光盘，所有电子文件不能采用压缩处理）给招标单位。</w:t>
      </w:r>
    </w:p>
    <w:p>
      <w:pPr>
        <w:pStyle w:val="3"/>
        <w:jc w:val="center"/>
      </w:pPr>
      <w:r>
        <w:br w:type="page"/>
      </w:r>
      <w:bookmarkStart w:id="19" w:name="_Toc2272554"/>
      <w:bookmarkStart w:id="20" w:name="_Toc21525498"/>
      <w:r>
        <w:rPr>
          <w:rFonts w:hint="eastAsia"/>
          <w:b/>
          <w:bCs/>
        </w:rPr>
        <w:t>第二章</w:t>
      </w:r>
      <w:r>
        <w:rPr>
          <w:b/>
          <w:bCs/>
        </w:rPr>
        <w:t xml:space="preserve">  </w:t>
      </w:r>
      <w:r>
        <w:rPr>
          <w:rFonts w:hint="eastAsia"/>
          <w:b/>
          <w:bCs/>
        </w:rPr>
        <w:t>开标、评标及定标办法</w:t>
      </w:r>
      <w:bookmarkEnd w:id="19"/>
      <w:bookmarkEnd w:id="20"/>
    </w:p>
    <w:p>
      <w:pPr>
        <w:pStyle w:val="4"/>
        <w:rPr>
          <w:color w:val="auto"/>
        </w:rPr>
      </w:pPr>
      <w:bookmarkStart w:id="21" w:name="_Toc2272555"/>
      <w:bookmarkStart w:id="22" w:name="_Toc21525499"/>
      <w:r>
        <w:rPr>
          <w:rFonts w:hint="eastAsia"/>
          <w:color w:val="auto"/>
          <w:sz w:val="28"/>
          <w:szCs w:val="28"/>
        </w:rPr>
        <w:t>一、</w:t>
      </w:r>
      <w:r>
        <w:rPr>
          <w:rFonts w:hint="eastAsia"/>
          <w:color w:val="auto"/>
        </w:rPr>
        <w:t>开标、评标及定标办法修改表</w:t>
      </w:r>
      <w:bookmarkEnd w:id="21"/>
      <w:bookmarkEnd w:id="22"/>
    </w:p>
    <w:p>
      <w:pPr>
        <w:pStyle w:val="35"/>
        <w:spacing w:after="0" w:line="360" w:lineRule="auto"/>
        <w:rPr>
          <w:b/>
          <w:szCs w:val="21"/>
        </w:rPr>
      </w:pPr>
      <w:r>
        <w:rPr>
          <w:rFonts w:hint="eastAsia"/>
          <w:b/>
          <w:szCs w:val="21"/>
        </w:rPr>
        <w:t>声明：本</w:t>
      </w:r>
      <w:r>
        <w:rPr>
          <w:rFonts w:hint="eastAsia"/>
          <w:b/>
        </w:rPr>
        <w:t>开标、评标及定标办法使用GZZB2018-3招标文件范本的开标、评标及定标办法通用条款，与该通用条款不同之处，均在本表中列明，并以现文为准，原</w:t>
      </w:r>
      <w:r>
        <w:rPr>
          <w:rFonts w:hint="eastAsia"/>
          <w:b/>
          <w:szCs w:val="21"/>
        </w:rPr>
        <w:t>文不再有效。本招标文件中不再转录</w:t>
      </w:r>
      <w:r>
        <w:rPr>
          <w:rFonts w:hint="eastAsia"/>
          <w:b/>
        </w:rPr>
        <w:t>开标、评标及定标办法</w:t>
      </w:r>
      <w:r>
        <w:rPr>
          <w:rFonts w:hint="eastAsia"/>
          <w:b/>
          <w:szCs w:val="21"/>
        </w:rPr>
        <w:t>通用条款，请投标人自行到广州市住房和城乡建设局网站（网址：</w:t>
      </w:r>
      <w:r>
        <w:fldChar w:fldCharType="begin"/>
      </w:r>
      <w:r>
        <w:instrText xml:space="preserve"> HYPERLINK "http://www.gzcc.gov.cn/）下载GZZB2018-3" </w:instrText>
      </w:r>
      <w:r>
        <w:fldChar w:fldCharType="separate"/>
      </w:r>
      <w:r>
        <w:rPr>
          <w:rStyle w:val="44"/>
          <w:rFonts w:hint="eastAsia"/>
          <w:b/>
          <w:color w:val="auto"/>
          <w:szCs w:val="21"/>
          <w:u w:val="none"/>
        </w:rPr>
        <w:t>http://zfcj.gz.gov.cn/）下载GZZB2018-3</w:t>
      </w:r>
      <w:r>
        <w:rPr>
          <w:rStyle w:val="44"/>
          <w:rFonts w:hint="eastAsia"/>
          <w:b/>
          <w:color w:val="auto"/>
          <w:szCs w:val="21"/>
          <w:u w:val="none"/>
        </w:rPr>
        <w:fldChar w:fldCharType="end"/>
      </w:r>
      <w:r>
        <w:rPr>
          <w:rFonts w:hint="eastAsia"/>
          <w:b/>
          <w:szCs w:val="21"/>
        </w:rPr>
        <w:t>范本查阅。</w:t>
      </w:r>
    </w:p>
    <w:p>
      <w:pPr>
        <w:spacing w:line="360" w:lineRule="auto"/>
        <w:ind w:firstLine="472" w:firstLineChars="224"/>
        <w:rPr>
          <w:rFonts w:ascii="宋体" w:hAnsi="宋体"/>
          <w:b/>
          <w:szCs w:val="21"/>
        </w:rPr>
      </w:pPr>
      <w:bookmarkStart w:id="23" w:name="_Hlk5192280"/>
      <w:r>
        <w:rPr>
          <w:rFonts w:hint="eastAsia" w:ascii="宋体" w:hAnsi="宋体"/>
          <w:b/>
          <w:szCs w:val="21"/>
        </w:rPr>
        <w:t>条款号：</w:t>
      </w:r>
      <w:r>
        <w:rPr>
          <w:rFonts w:hint="eastAsia" w:ascii="宋体" w:hAnsi="宋体"/>
          <w:b/>
          <w:bCs/>
          <w:szCs w:val="21"/>
        </w:rPr>
        <w:t>36.3</w:t>
      </w:r>
      <w:r>
        <w:rPr>
          <w:rFonts w:ascii="宋体" w:hAnsi="宋体"/>
          <w:b/>
          <w:szCs w:val="21"/>
        </w:rPr>
        <w:t xml:space="preserve">           </w:t>
      </w:r>
      <w:r>
        <w:rPr>
          <w:rFonts w:hint="eastAsia" w:ascii="宋体" w:hAnsi="宋体"/>
          <w:b/>
          <w:szCs w:val="21"/>
        </w:rPr>
        <w:t>修改类型：删除</w:t>
      </w:r>
    </w:p>
    <w:p>
      <w:pPr>
        <w:pBdr>
          <w:bottom w:val="single" w:color="auto" w:sz="4" w:space="0"/>
        </w:pBdr>
        <w:spacing w:line="360" w:lineRule="auto"/>
        <w:ind w:firstLine="472" w:firstLineChars="224"/>
        <w:rPr>
          <w:rFonts w:ascii="宋体" w:hAnsi="宋体"/>
          <w:szCs w:val="21"/>
        </w:rPr>
      </w:pPr>
      <w:r>
        <w:rPr>
          <w:rFonts w:hint="eastAsia" w:ascii="宋体" w:hAnsi="宋体"/>
          <w:b/>
          <w:szCs w:val="21"/>
        </w:rPr>
        <w:t>原文：</w:t>
      </w:r>
      <w:r>
        <w:rPr>
          <w:rFonts w:hint="eastAsia" w:ascii="宋体" w:hAnsi="宋体"/>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bookmarkEnd w:id="23"/>
    </w:p>
    <w:p>
      <w:pPr>
        <w:spacing w:line="360" w:lineRule="auto"/>
        <w:ind w:firstLine="472" w:firstLineChars="224"/>
        <w:rPr>
          <w:rFonts w:ascii="宋体" w:hAnsi="宋体"/>
          <w:b/>
          <w:szCs w:val="21"/>
        </w:rPr>
      </w:pPr>
      <w:r>
        <w:rPr>
          <w:rFonts w:hint="eastAsia" w:ascii="宋体" w:hAnsi="宋体"/>
          <w:b/>
          <w:szCs w:val="21"/>
        </w:rPr>
        <w:t>条款号：</w:t>
      </w:r>
      <w:r>
        <w:rPr>
          <w:rFonts w:ascii="宋体" w:hAnsi="宋体"/>
          <w:b/>
          <w:szCs w:val="21"/>
        </w:rPr>
        <w:t xml:space="preserve">36.5.1             </w:t>
      </w:r>
      <w:r>
        <w:rPr>
          <w:rFonts w:hint="eastAsia" w:ascii="宋体" w:hAnsi="宋体"/>
          <w:b/>
          <w:szCs w:val="21"/>
        </w:rPr>
        <w:t>修改类型：修改</w:t>
      </w:r>
    </w:p>
    <w:p>
      <w:pPr>
        <w:spacing w:line="360" w:lineRule="auto"/>
        <w:ind w:firstLine="472" w:firstLineChars="224"/>
        <w:rPr>
          <w:rFonts w:ascii="宋体" w:hAnsi="宋体"/>
          <w:b/>
          <w:szCs w:val="21"/>
        </w:rPr>
      </w:pPr>
      <w:r>
        <w:rPr>
          <w:rFonts w:hint="eastAsia" w:ascii="宋体" w:hAnsi="宋体"/>
          <w:b/>
          <w:szCs w:val="21"/>
        </w:rPr>
        <w:t>原文：</w:t>
      </w:r>
      <w:r>
        <w:rPr>
          <w:rFonts w:hint="eastAsia" w:ascii="宋体" w:hAnsi="宋体"/>
          <w:szCs w:val="21"/>
        </w:rPr>
        <w:t>36.</w:t>
      </w:r>
      <w:r>
        <w:rPr>
          <w:rFonts w:ascii="宋体" w:hAnsi="宋体"/>
          <w:szCs w:val="21"/>
        </w:rPr>
        <w:t>5.1</w:t>
      </w:r>
      <w:bookmarkStart w:id="24" w:name="_Hlk5192324"/>
      <w:r>
        <w:rPr>
          <w:rFonts w:hint="eastAsia" w:ascii="宋体" w:hAnsi="宋体"/>
          <w:szCs w:val="21"/>
        </w:rPr>
        <w:t>在投标截止时间后半小时内，投标人通过</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交易平台对已递交的电子投标文件进行解密。投标人完成解密后，再由招标人进行解密。解密完成后，公布招标项目名称、投标人名称、投标保证金的递交情况、投标报价、工期及其他内容；</w:t>
      </w:r>
      <w:bookmarkEnd w:id="24"/>
    </w:p>
    <w:p>
      <w:pPr>
        <w:pBdr>
          <w:bottom w:val="single" w:color="auto" w:sz="6" w:space="1"/>
        </w:pBdr>
        <w:spacing w:line="360" w:lineRule="auto"/>
        <w:ind w:firstLine="527" w:firstLineChars="250"/>
        <w:rPr>
          <w:rFonts w:ascii="宋体" w:hAnsi="宋体"/>
          <w:szCs w:val="21"/>
        </w:rPr>
      </w:pPr>
      <w:r>
        <w:rPr>
          <w:rFonts w:hint="eastAsia" w:ascii="宋体" w:hAnsi="宋体"/>
          <w:b/>
          <w:szCs w:val="21"/>
        </w:rPr>
        <w:t>现文：</w:t>
      </w:r>
      <w:r>
        <w:rPr>
          <w:rFonts w:hint="eastAsia" w:ascii="宋体" w:hAnsi="宋体"/>
          <w:szCs w:val="21"/>
        </w:rPr>
        <w:t>36.</w:t>
      </w:r>
      <w:r>
        <w:rPr>
          <w:rFonts w:ascii="宋体" w:hAnsi="宋体"/>
          <w:szCs w:val="21"/>
        </w:rPr>
        <w:t>5.1</w:t>
      </w:r>
      <w:r>
        <w:rPr>
          <w:rFonts w:hint="eastAsia" w:ascii="宋体" w:hAnsi="宋体"/>
          <w:szCs w:val="21"/>
        </w:rPr>
        <w:t>在投标截止时间后一小时内，投标人通过</w:t>
      </w:r>
      <w:r>
        <w:rPr>
          <w:rFonts w:ascii="宋体" w:hAnsi="宋体"/>
          <w:szCs w:val="21"/>
          <w:u w:val="single"/>
        </w:rPr>
        <w:t xml:space="preserve"> </w:t>
      </w:r>
      <w:r>
        <w:rPr>
          <w:rFonts w:hint="eastAsia" w:ascii="宋体" w:hAnsi="宋体"/>
          <w:szCs w:val="21"/>
          <w:u w:val="single"/>
        </w:rPr>
        <w:t>广州</w:t>
      </w:r>
      <w:r>
        <w:rPr>
          <w:rFonts w:ascii="宋体" w:hAnsi="宋体"/>
          <w:szCs w:val="21"/>
          <w:u w:val="single"/>
        </w:rPr>
        <w:t xml:space="preserve">公共资源交易中心 </w:t>
      </w:r>
      <w:r>
        <w:rPr>
          <w:rFonts w:hint="eastAsia" w:ascii="宋体" w:hAnsi="宋体"/>
          <w:szCs w:val="21"/>
        </w:rPr>
        <w:t>交易平台对已递交的电子投标文件进行解密。投标人完成解密后，招标人现场抽取确定技术标得分前N（N值从5、6、7中随机抽取）名的投标人数量计算评标参考价，再由招标人进行解密。解密完成后，公布招标项目名称、投标人名称、投标保证金的递交情况、投标报价、工期及其他内容；</w:t>
      </w:r>
    </w:p>
    <w:p>
      <w:pPr>
        <w:spacing w:line="360" w:lineRule="auto"/>
        <w:ind w:firstLine="472" w:firstLineChars="224"/>
        <w:rPr>
          <w:rFonts w:ascii="宋体" w:hAnsi="宋体"/>
          <w:b/>
          <w:szCs w:val="21"/>
        </w:rPr>
      </w:pPr>
      <w:r>
        <w:rPr>
          <w:rFonts w:hint="eastAsia" w:ascii="宋体" w:hAnsi="宋体"/>
          <w:b/>
          <w:szCs w:val="21"/>
        </w:rPr>
        <w:t>条款号： 评标办法      修改类型：修改</w:t>
      </w:r>
    </w:p>
    <w:p>
      <w:pPr>
        <w:spacing w:line="360" w:lineRule="auto"/>
        <w:ind w:firstLine="472" w:firstLineChars="224"/>
        <w:rPr>
          <w:rFonts w:ascii="宋体" w:hAnsi="宋体"/>
          <w:bCs/>
          <w:szCs w:val="21"/>
        </w:rPr>
      </w:pPr>
      <w:r>
        <w:rPr>
          <w:rFonts w:hint="eastAsia" w:ascii="宋体" w:hAnsi="宋体"/>
          <w:b/>
          <w:szCs w:val="21"/>
        </w:rPr>
        <w:t>原文：</w:t>
      </w:r>
      <w:r>
        <w:rPr>
          <w:rFonts w:hint="eastAsia" w:ascii="宋体" w:hAnsi="宋体"/>
          <w:bCs/>
          <w:szCs w:val="21"/>
        </w:rPr>
        <w:t>可选办法一（适合综合评分法一，技术标与经济标先后分别开启）</w:t>
      </w:r>
    </w:p>
    <w:p>
      <w:pPr>
        <w:spacing w:line="360" w:lineRule="auto"/>
        <w:ind w:firstLine="1119" w:firstLineChars="533"/>
        <w:rPr>
          <w:rFonts w:ascii="宋体" w:hAnsi="宋体"/>
          <w:bCs/>
          <w:szCs w:val="21"/>
        </w:rPr>
      </w:pPr>
      <w:r>
        <w:rPr>
          <w:rFonts w:hint="eastAsia" w:ascii="宋体" w:hAnsi="宋体"/>
          <w:bCs/>
          <w:szCs w:val="21"/>
        </w:rPr>
        <w:t>可选办法二（适合综合评分法一，技术标与经济标同时开启）</w:t>
      </w:r>
    </w:p>
    <w:p>
      <w:pPr>
        <w:spacing w:line="360" w:lineRule="auto"/>
        <w:ind w:firstLine="1119" w:firstLineChars="533"/>
        <w:rPr>
          <w:rFonts w:ascii="宋体" w:hAnsi="宋体"/>
          <w:bCs/>
          <w:szCs w:val="21"/>
        </w:rPr>
      </w:pPr>
      <w:r>
        <w:rPr>
          <w:rFonts w:hint="eastAsia" w:ascii="宋体" w:hAnsi="宋体"/>
          <w:bCs/>
          <w:szCs w:val="21"/>
        </w:rPr>
        <w:t>可选办法三（适合综合评分法二，技术标与经济标先后分别开启）</w:t>
      </w:r>
    </w:p>
    <w:p>
      <w:pPr>
        <w:spacing w:line="360" w:lineRule="auto"/>
        <w:ind w:firstLine="1119" w:firstLineChars="533"/>
        <w:rPr>
          <w:rFonts w:ascii="宋体" w:hAnsi="宋体"/>
          <w:bCs/>
          <w:szCs w:val="21"/>
        </w:rPr>
      </w:pPr>
      <w:r>
        <w:rPr>
          <w:rFonts w:hint="eastAsia" w:ascii="宋体" w:hAnsi="宋体"/>
          <w:bCs/>
          <w:szCs w:val="21"/>
        </w:rPr>
        <w:t>可选办法四（适合综合评分法二，技术标与经济标同时开启）</w:t>
      </w:r>
    </w:p>
    <w:p>
      <w:pPr>
        <w:spacing w:line="360" w:lineRule="auto"/>
        <w:ind w:firstLine="1119" w:firstLineChars="533"/>
        <w:rPr>
          <w:rFonts w:ascii="宋体" w:hAnsi="宋体"/>
          <w:bCs/>
          <w:szCs w:val="21"/>
        </w:rPr>
      </w:pPr>
      <w:r>
        <w:rPr>
          <w:rFonts w:hint="eastAsia" w:ascii="宋体" w:hAnsi="宋体"/>
          <w:bCs/>
          <w:szCs w:val="21"/>
        </w:rPr>
        <w:t>可选办法五（适合综合评分法三，技术标与经济标先后分别开启）</w:t>
      </w:r>
    </w:p>
    <w:p>
      <w:pPr>
        <w:spacing w:line="360" w:lineRule="auto"/>
        <w:ind w:firstLine="1119" w:firstLineChars="533"/>
        <w:rPr>
          <w:rFonts w:ascii="宋体" w:hAnsi="宋体"/>
          <w:bCs/>
          <w:szCs w:val="21"/>
        </w:rPr>
      </w:pPr>
      <w:r>
        <w:rPr>
          <w:rFonts w:hint="eastAsia" w:ascii="宋体" w:hAnsi="宋体"/>
          <w:bCs/>
          <w:szCs w:val="21"/>
        </w:rPr>
        <w:t>可选办法六（适合综合评分法三，技术标与经济标同时开启）</w:t>
      </w:r>
    </w:p>
    <w:p>
      <w:pPr>
        <w:spacing w:line="360" w:lineRule="auto"/>
        <w:ind w:firstLine="1119" w:firstLineChars="533"/>
        <w:rPr>
          <w:rFonts w:ascii="宋体" w:hAnsi="宋体"/>
          <w:bCs/>
          <w:szCs w:val="21"/>
        </w:rPr>
      </w:pPr>
      <w:r>
        <w:rPr>
          <w:rFonts w:hint="eastAsia" w:ascii="宋体" w:hAnsi="宋体"/>
          <w:bCs/>
          <w:szCs w:val="21"/>
        </w:rPr>
        <w:t>可选办法七（适合综合评分法四，技术标与经济标同时开启）</w:t>
      </w:r>
    </w:p>
    <w:p>
      <w:pPr>
        <w:spacing w:line="360" w:lineRule="auto"/>
        <w:ind w:firstLine="1119" w:firstLineChars="533"/>
        <w:rPr>
          <w:rFonts w:ascii="宋体" w:hAnsi="宋体"/>
          <w:bCs/>
          <w:szCs w:val="21"/>
        </w:rPr>
      </w:pPr>
      <w:r>
        <w:rPr>
          <w:rFonts w:hint="eastAsia" w:ascii="宋体" w:hAnsi="宋体"/>
          <w:bCs/>
          <w:szCs w:val="21"/>
        </w:rPr>
        <w:t>可选办法八（适合经评审的最低投标价法，技术标与经济标同时开启）</w:t>
      </w:r>
    </w:p>
    <w:p>
      <w:pPr>
        <w:pBdr>
          <w:bottom w:val="single" w:color="auto" w:sz="6" w:space="1"/>
        </w:pBdr>
        <w:spacing w:line="360" w:lineRule="auto"/>
        <w:ind w:firstLine="527" w:firstLineChars="250"/>
      </w:pPr>
      <w:r>
        <w:rPr>
          <w:rFonts w:hint="eastAsia" w:ascii="宋体" w:hAnsi="宋体"/>
          <w:b/>
          <w:szCs w:val="21"/>
        </w:rPr>
        <w:t>现文：</w:t>
      </w:r>
      <w:r>
        <w:rPr>
          <w:rFonts w:hint="eastAsia" w:ascii="宋体" w:hAnsi="宋体"/>
          <w:bCs/>
          <w:szCs w:val="21"/>
        </w:rPr>
        <w:t>可选办法六（适合综合评分法三，技术标与经济标同时开启）</w:t>
      </w:r>
    </w:p>
    <w:p>
      <w:pPr>
        <w:spacing w:line="360" w:lineRule="auto"/>
        <w:ind w:firstLine="472" w:firstLineChars="224"/>
        <w:rPr>
          <w:rFonts w:ascii="宋体" w:hAnsi="宋体"/>
          <w:b/>
          <w:szCs w:val="21"/>
        </w:rPr>
      </w:pPr>
      <w:r>
        <w:rPr>
          <w:rFonts w:hint="eastAsia" w:ascii="宋体" w:hAnsi="宋体"/>
          <w:b/>
          <w:szCs w:val="21"/>
        </w:rPr>
        <w:t>条款号：</w:t>
      </w:r>
      <w:r>
        <w:rPr>
          <w:rFonts w:ascii="宋体" w:hAnsi="宋体"/>
          <w:b/>
          <w:szCs w:val="21"/>
        </w:rPr>
        <w:t xml:space="preserve">41.1             </w:t>
      </w:r>
      <w:r>
        <w:rPr>
          <w:rFonts w:hint="eastAsia" w:ascii="宋体" w:hAnsi="宋体"/>
          <w:b/>
          <w:szCs w:val="21"/>
        </w:rPr>
        <w:t>修改类型：修改</w:t>
      </w:r>
    </w:p>
    <w:p>
      <w:pPr>
        <w:spacing w:line="360" w:lineRule="auto"/>
        <w:ind w:firstLine="472" w:firstLineChars="224"/>
        <w:rPr>
          <w:rFonts w:ascii="宋体" w:hAnsi="宋体"/>
          <w:b/>
          <w:szCs w:val="21"/>
        </w:rPr>
      </w:pPr>
      <w:r>
        <w:rPr>
          <w:rFonts w:hint="eastAsia" w:ascii="宋体" w:hAnsi="宋体"/>
          <w:b/>
          <w:szCs w:val="21"/>
        </w:rPr>
        <w:t>原文：</w:t>
      </w:r>
      <w:r>
        <w:rPr>
          <w:rFonts w:hint="eastAsia" w:ascii="宋体" w:hAnsi="宋体"/>
          <w:szCs w:val="21"/>
        </w:rPr>
        <w:t>41.1开标由招标人主持；</w:t>
      </w:r>
    </w:p>
    <w:p>
      <w:pPr>
        <w:pBdr>
          <w:bottom w:val="single" w:color="auto" w:sz="6" w:space="1"/>
        </w:pBdr>
        <w:spacing w:line="360" w:lineRule="auto"/>
        <w:ind w:firstLine="527" w:firstLineChars="250"/>
        <w:rPr>
          <w:rFonts w:ascii="宋体" w:hAnsi="宋体"/>
          <w:szCs w:val="21"/>
          <w:u w:val="single"/>
        </w:rPr>
      </w:pPr>
      <w:r>
        <w:rPr>
          <w:rFonts w:hint="eastAsia" w:ascii="宋体" w:hAnsi="宋体"/>
          <w:b/>
          <w:szCs w:val="21"/>
        </w:rPr>
        <w:t>现文：</w:t>
      </w:r>
      <w:r>
        <w:rPr>
          <w:rFonts w:hint="eastAsia" w:ascii="宋体" w:hAnsi="宋体"/>
          <w:szCs w:val="21"/>
          <w:u w:val="single"/>
        </w:rPr>
        <w:t>4</w:t>
      </w:r>
      <w:r>
        <w:rPr>
          <w:rFonts w:ascii="宋体" w:hAnsi="宋体"/>
          <w:szCs w:val="21"/>
          <w:u w:val="single"/>
        </w:rPr>
        <w:t>1.1</w:t>
      </w:r>
      <w:r>
        <w:rPr>
          <w:rFonts w:hint="eastAsia" w:ascii="宋体" w:hAnsi="宋体"/>
          <w:szCs w:val="21"/>
          <w:u w:val="single"/>
        </w:rPr>
        <w:t>开标由招标人或招标代理主持；</w:t>
      </w:r>
    </w:p>
    <w:p>
      <w:pPr>
        <w:spacing w:line="360" w:lineRule="auto"/>
        <w:ind w:firstLine="472" w:firstLineChars="224"/>
        <w:rPr>
          <w:rFonts w:ascii="宋体" w:hAnsi="宋体"/>
          <w:b/>
          <w:szCs w:val="21"/>
        </w:rPr>
      </w:pPr>
      <w:r>
        <w:rPr>
          <w:rFonts w:hint="eastAsia" w:ascii="宋体" w:hAnsi="宋体"/>
          <w:b/>
          <w:szCs w:val="21"/>
        </w:rPr>
        <w:t>条款号：</w:t>
      </w:r>
      <w:r>
        <w:rPr>
          <w:rFonts w:hint="eastAsia" w:ascii="宋体" w:hAnsi="宋体"/>
          <w:b/>
          <w:bCs/>
          <w:szCs w:val="21"/>
        </w:rPr>
        <w:t>41.2.1</w:t>
      </w:r>
      <w:r>
        <w:rPr>
          <w:rFonts w:ascii="宋体" w:hAnsi="宋体"/>
          <w:b/>
          <w:szCs w:val="21"/>
        </w:rPr>
        <w:t xml:space="preserve">                  </w:t>
      </w:r>
      <w:r>
        <w:rPr>
          <w:rFonts w:hint="eastAsia" w:ascii="宋体" w:hAnsi="宋体"/>
          <w:b/>
          <w:szCs w:val="21"/>
        </w:rPr>
        <w:t>修改类型：修改</w:t>
      </w:r>
    </w:p>
    <w:p>
      <w:pPr>
        <w:spacing w:line="360" w:lineRule="auto"/>
        <w:ind w:firstLine="422" w:firstLineChars="200"/>
        <w:rPr>
          <w:rFonts w:ascii="宋体" w:hAnsi="宋体"/>
          <w:szCs w:val="21"/>
        </w:rPr>
      </w:pPr>
      <w:r>
        <w:rPr>
          <w:rFonts w:hint="eastAsia" w:ascii="宋体" w:hAnsi="宋体"/>
          <w:b/>
          <w:szCs w:val="21"/>
        </w:rPr>
        <w:t>原文：</w:t>
      </w:r>
      <w:r>
        <w:rPr>
          <w:rFonts w:hint="eastAsia" w:ascii="宋体" w:hAnsi="宋体"/>
          <w:szCs w:val="21"/>
        </w:rPr>
        <w:t>41.2.1</w:t>
      </w:r>
      <w:r>
        <w:rPr>
          <w:rFonts w:hint="eastAsia" w:ascii="宋体" w:hAnsi="宋体"/>
          <w:bCs/>
          <w:szCs w:val="21"/>
        </w:rPr>
        <w:t>投标截止期前，各投标人递交投标文件（包括技术标投标文件、经济标投标文件）至        交易平台。有关投标文件提交的事项详见第一章投标须知。</w:t>
      </w:r>
    </w:p>
    <w:p>
      <w:pPr>
        <w:pBdr>
          <w:bottom w:val="single" w:color="auto" w:sz="6" w:space="1"/>
        </w:pBdr>
        <w:spacing w:line="360" w:lineRule="auto"/>
        <w:ind w:firstLine="527" w:firstLineChars="250"/>
        <w:rPr>
          <w:rFonts w:ascii="宋体" w:hAnsi="宋体"/>
          <w:szCs w:val="21"/>
          <w:u w:val="single"/>
        </w:rPr>
      </w:pPr>
      <w:r>
        <w:rPr>
          <w:rFonts w:hint="eastAsia" w:ascii="宋体" w:hAnsi="宋体"/>
          <w:b/>
          <w:szCs w:val="21"/>
        </w:rPr>
        <w:t>现文：</w:t>
      </w:r>
      <w:r>
        <w:rPr>
          <w:rFonts w:hint="eastAsia" w:ascii="宋体" w:hAnsi="宋体"/>
          <w:szCs w:val="21"/>
        </w:rPr>
        <w:t>41.2.1</w:t>
      </w:r>
      <w:r>
        <w:rPr>
          <w:rFonts w:hint="eastAsia" w:ascii="宋体" w:hAnsi="宋体"/>
          <w:bCs/>
          <w:szCs w:val="21"/>
        </w:rPr>
        <w:t>投标截止期前，各投标人递交投标文件（包括技术标投标文件、经济标投标文件）至</w:t>
      </w:r>
      <w:r>
        <w:rPr>
          <w:rFonts w:hint="eastAsia" w:ascii="宋体" w:hAnsi="宋体"/>
          <w:bCs/>
          <w:szCs w:val="21"/>
          <w:u w:val="single"/>
        </w:rPr>
        <w:t>广州公共资源交易中心</w:t>
      </w:r>
      <w:r>
        <w:rPr>
          <w:rFonts w:hint="eastAsia" w:ascii="宋体" w:hAnsi="宋体"/>
          <w:bCs/>
          <w:szCs w:val="21"/>
        </w:rPr>
        <w:t>交易平台。有关投标文件提交的事项详见第一章投标须知。</w:t>
      </w:r>
    </w:p>
    <w:p>
      <w:pPr>
        <w:spacing w:line="360" w:lineRule="auto"/>
        <w:ind w:firstLine="472" w:firstLineChars="224"/>
        <w:rPr>
          <w:rFonts w:ascii="宋体" w:hAnsi="宋体"/>
          <w:b/>
          <w:szCs w:val="21"/>
        </w:rPr>
      </w:pPr>
      <w:r>
        <w:rPr>
          <w:rFonts w:hint="eastAsia" w:ascii="宋体" w:hAnsi="宋体"/>
          <w:b/>
          <w:szCs w:val="21"/>
        </w:rPr>
        <w:t>条款号：</w:t>
      </w:r>
      <w:r>
        <w:rPr>
          <w:rFonts w:hint="eastAsia" w:ascii="宋体" w:hAnsi="宋体"/>
          <w:b/>
          <w:bCs/>
          <w:szCs w:val="21"/>
        </w:rPr>
        <w:t>41.2.2</w:t>
      </w:r>
      <w:r>
        <w:rPr>
          <w:rFonts w:ascii="宋体" w:hAnsi="宋体"/>
          <w:b/>
          <w:szCs w:val="21"/>
        </w:rPr>
        <w:t xml:space="preserve">                  </w:t>
      </w:r>
      <w:r>
        <w:rPr>
          <w:rFonts w:hint="eastAsia" w:ascii="宋体" w:hAnsi="宋体"/>
          <w:b/>
          <w:szCs w:val="21"/>
        </w:rPr>
        <w:t>修改类型：修改</w:t>
      </w:r>
    </w:p>
    <w:p>
      <w:pPr>
        <w:spacing w:line="360" w:lineRule="auto"/>
        <w:ind w:firstLine="422" w:firstLineChars="200"/>
        <w:rPr>
          <w:rFonts w:ascii="宋体" w:hAnsi="宋体"/>
          <w:szCs w:val="21"/>
        </w:rPr>
      </w:pPr>
      <w:r>
        <w:rPr>
          <w:rFonts w:hint="eastAsia" w:ascii="宋体" w:hAnsi="宋体"/>
          <w:b/>
          <w:szCs w:val="21"/>
        </w:rPr>
        <w:t>原文：</w:t>
      </w:r>
      <w:r>
        <w:rPr>
          <w:rFonts w:hint="eastAsia" w:ascii="宋体" w:hAnsi="宋体"/>
          <w:szCs w:val="21"/>
        </w:rPr>
        <w:t>41.2.2开标时，投标人代表有权出席开标会，也可以自主决定不参加开标会，若投标人代表对开标过程提出异议，该投标人代表须同时出示本人身份证原件。</w:t>
      </w:r>
    </w:p>
    <w:p>
      <w:pPr>
        <w:pBdr>
          <w:bottom w:val="single" w:color="auto" w:sz="6" w:space="1"/>
        </w:pBdr>
        <w:spacing w:line="360" w:lineRule="auto"/>
        <w:ind w:firstLine="527" w:firstLineChars="250"/>
        <w:rPr>
          <w:rFonts w:ascii="宋体" w:hAnsi="宋体"/>
          <w:szCs w:val="21"/>
          <w:u w:val="single"/>
        </w:rPr>
      </w:pPr>
      <w:r>
        <w:rPr>
          <w:rFonts w:hint="eastAsia" w:ascii="宋体" w:hAnsi="宋体"/>
          <w:b/>
          <w:szCs w:val="21"/>
        </w:rPr>
        <w:t>现文：</w:t>
      </w:r>
      <w:r>
        <w:rPr>
          <w:rFonts w:hint="eastAsia" w:ascii="宋体" w:hAnsi="宋体"/>
          <w:szCs w:val="21"/>
        </w:rPr>
        <w:t>41.2.2开标时，投标人代表有权出席开标</w:t>
      </w:r>
      <w:r>
        <w:rPr>
          <w:rFonts w:hint="eastAsia" w:ascii="宋体" w:hAnsi="宋体"/>
          <w:b/>
          <w:bCs/>
          <w:szCs w:val="21"/>
        </w:rPr>
        <w:t>或在线开标</w:t>
      </w:r>
      <w:r>
        <w:rPr>
          <w:rFonts w:hint="eastAsia" w:ascii="宋体" w:hAnsi="宋体"/>
          <w:szCs w:val="21"/>
        </w:rPr>
        <w:t>，也可以自主决定不参加开标会，若投标人代表对开标过程提出异议</w:t>
      </w:r>
      <w:r>
        <w:rPr>
          <w:rFonts w:hint="eastAsia" w:ascii="宋体" w:hAnsi="宋体"/>
          <w:b/>
          <w:bCs/>
          <w:szCs w:val="21"/>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72" w:firstLineChars="224"/>
        <w:rPr>
          <w:rFonts w:ascii="宋体" w:hAnsi="宋体"/>
          <w:b/>
          <w:szCs w:val="21"/>
        </w:rPr>
      </w:pPr>
      <w:r>
        <w:rPr>
          <w:rFonts w:hint="eastAsia" w:ascii="宋体" w:hAnsi="宋体"/>
          <w:b/>
          <w:szCs w:val="21"/>
        </w:rPr>
        <w:t>条款号：</w:t>
      </w:r>
      <w:r>
        <w:rPr>
          <w:rFonts w:ascii="宋体" w:hAnsi="宋体"/>
          <w:b/>
          <w:szCs w:val="21"/>
        </w:rPr>
        <w:t>4</w:t>
      </w:r>
      <w:r>
        <w:rPr>
          <w:rFonts w:hint="eastAsia" w:ascii="宋体" w:hAnsi="宋体"/>
          <w:b/>
          <w:szCs w:val="21"/>
        </w:rPr>
        <w:t>2</w:t>
      </w:r>
      <w:r>
        <w:rPr>
          <w:rFonts w:ascii="宋体" w:hAnsi="宋体"/>
          <w:b/>
          <w:szCs w:val="21"/>
        </w:rPr>
        <w:t xml:space="preserve">.1             </w:t>
      </w:r>
      <w:r>
        <w:rPr>
          <w:rFonts w:hint="eastAsia" w:ascii="宋体" w:hAnsi="宋体"/>
          <w:b/>
          <w:szCs w:val="21"/>
        </w:rPr>
        <w:t>修改类型：修改</w:t>
      </w:r>
    </w:p>
    <w:p>
      <w:pPr>
        <w:spacing w:line="360" w:lineRule="auto"/>
        <w:ind w:firstLine="472" w:firstLineChars="224"/>
        <w:rPr>
          <w:rFonts w:ascii="宋体" w:hAnsi="宋体"/>
          <w:szCs w:val="21"/>
        </w:rPr>
      </w:pPr>
      <w:r>
        <w:rPr>
          <w:rFonts w:hint="eastAsia" w:ascii="宋体" w:hAnsi="宋体"/>
          <w:b/>
          <w:szCs w:val="21"/>
        </w:rPr>
        <w:t>原文：</w:t>
      </w:r>
      <w:bookmarkStart w:id="25" w:name="_Hlk4683128"/>
      <w:r>
        <w:rPr>
          <w:rFonts w:hint="eastAsia" w:ascii="宋体" w:hAnsi="宋体"/>
          <w:szCs w:val="21"/>
        </w:rPr>
        <w:t>42.1评标委员会的组成：方式</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spacing w:line="360" w:lineRule="auto"/>
        <w:ind w:firstLine="470" w:firstLineChars="224"/>
        <w:rPr>
          <w:rFonts w:ascii="宋体" w:hAnsi="宋体"/>
          <w:szCs w:val="21"/>
        </w:rPr>
      </w:pPr>
      <w:r>
        <w:rPr>
          <w:rFonts w:hint="eastAsia" w:ascii="宋体" w:hAnsi="宋体"/>
          <w:szCs w:val="21"/>
        </w:rPr>
        <w:t>方式一：评标委员会为综合评标委员会，负责评标工作。</w:t>
      </w:r>
    </w:p>
    <w:p>
      <w:pPr>
        <w:spacing w:line="360" w:lineRule="auto"/>
        <w:ind w:firstLine="470" w:firstLineChars="224"/>
        <w:rPr>
          <w:rFonts w:ascii="宋体" w:hAnsi="宋体"/>
          <w:b/>
          <w:szCs w:val="21"/>
        </w:rPr>
      </w:pPr>
      <w:r>
        <w:rPr>
          <w:rFonts w:hint="eastAsia" w:ascii="宋体" w:hAnsi="宋体"/>
          <w:szCs w:val="21"/>
        </w:rPr>
        <w:t>方式二：评标委员会由技术评审组和经济评审组组成。其中：资格审查、技术评审由技术评标组负责，经济评审由经济评审组负责。</w:t>
      </w:r>
      <w:bookmarkEnd w:id="25"/>
    </w:p>
    <w:p>
      <w:pPr>
        <w:pBdr>
          <w:bottom w:val="single" w:color="auto" w:sz="6" w:space="1"/>
        </w:pBdr>
        <w:spacing w:line="360" w:lineRule="auto"/>
        <w:ind w:firstLine="527" w:firstLineChars="250"/>
        <w:rPr>
          <w:rFonts w:ascii="宋体" w:hAnsi="宋体"/>
          <w:szCs w:val="21"/>
          <w:u w:val="single"/>
        </w:rPr>
      </w:pPr>
      <w:r>
        <w:rPr>
          <w:rFonts w:hint="eastAsia" w:ascii="宋体" w:hAnsi="宋体"/>
          <w:b/>
          <w:szCs w:val="21"/>
        </w:rPr>
        <w:t>现文：</w:t>
      </w:r>
      <w:r>
        <w:rPr>
          <w:rFonts w:hint="eastAsia" w:ascii="宋体" w:hAnsi="宋体"/>
          <w:szCs w:val="21"/>
          <w:u w:val="single"/>
        </w:rPr>
        <w:t>42.1评标委员会的组成：方式 一 。</w:t>
      </w:r>
    </w:p>
    <w:p>
      <w:pPr>
        <w:pBdr>
          <w:bottom w:val="single" w:color="auto" w:sz="6" w:space="1"/>
        </w:pBdr>
        <w:spacing w:line="360" w:lineRule="auto"/>
        <w:ind w:firstLine="525" w:firstLineChars="250"/>
        <w:rPr>
          <w:rFonts w:ascii="宋体" w:hAnsi="宋体"/>
          <w:szCs w:val="21"/>
          <w:u w:val="single"/>
        </w:rPr>
      </w:pPr>
      <w:r>
        <w:rPr>
          <w:rFonts w:hint="eastAsia" w:ascii="宋体" w:hAnsi="宋体"/>
          <w:szCs w:val="21"/>
          <w:u w:val="single"/>
        </w:rPr>
        <w:t>方式一：评标委员会为综合评标委员会，负责评标工作。</w:t>
      </w:r>
    </w:p>
    <w:p>
      <w:pPr>
        <w:spacing w:line="360" w:lineRule="auto"/>
        <w:ind w:firstLine="472" w:firstLineChars="224"/>
        <w:rPr>
          <w:rFonts w:ascii="宋体" w:hAnsi="宋体"/>
          <w:b/>
          <w:szCs w:val="21"/>
        </w:rPr>
      </w:pPr>
      <w:r>
        <w:rPr>
          <w:rFonts w:hint="eastAsia" w:ascii="宋体" w:hAnsi="宋体"/>
          <w:b/>
          <w:szCs w:val="21"/>
        </w:rPr>
        <w:t>条款号：</w:t>
      </w:r>
      <w:r>
        <w:rPr>
          <w:rFonts w:hint="eastAsia" w:ascii="宋体" w:hAnsi="宋体"/>
          <w:b/>
          <w:bCs/>
          <w:szCs w:val="21"/>
        </w:rPr>
        <w:t>42.2.1</w:t>
      </w:r>
      <w:r>
        <w:rPr>
          <w:rFonts w:ascii="宋体" w:hAnsi="宋体"/>
          <w:b/>
          <w:bCs/>
          <w:szCs w:val="21"/>
        </w:rPr>
        <w:t xml:space="preserve"> </w:t>
      </w:r>
      <w:r>
        <w:rPr>
          <w:rFonts w:ascii="宋体" w:hAnsi="宋体"/>
          <w:b/>
          <w:szCs w:val="21"/>
        </w:rPr>
        <w:t xml:space="preserve">                 </w:t>
      </w:r>
      <w:r>
        <w:rPr>
          <w:rFonts w:hint="eastAsia" w:ascii="宋体" w:hAnsi="宋体"/>
          <w:b/>
          <w:szCs w:val="21"/>
        </w:rPr>
        <w:t>修改类型：修改</w:t>
      </w:r>
    </w:p>
    <w:p>
      <w:pPr>
        <w:spacing w:line="360" w:lineRule="auto"/>
        <w:ind w:firstLine="422" w:firstLineChars="200"/>
        <w:rPr>
          <w:rFonts w:ascii="宋体" w:hAnsi="宋体"/>
          <w:szCs w:val="21"/>
        </w:rPr>
      </w:pPr>
      <w:r>
        <w:rPr>
          <w:rFonts w:hint="eastAsia" w:ascii="宋体" w:hAnsi="宋体"/>
          <w:b/>
          <w:szCs w:val="21"/>
        </w:rPr>
        <w:t>原文：</w:t>
      </w:r>
      <w:r>
        <w:rPr>
          <w:rFonts w:hint="eastAsia" w:ascii="宋体" w:hAnsi="宋体"/>
          <w:szCs w:val="21"/>
        </w:rPr>
        <w:t>42.2.1</w:t>
      </w:r>
      <w:r>
        <w:rPr>
          <w:rFonts w:ascii="宋体" w:hAnsi="宋体"/>
          <w:szCs w:val="21"/>
        </w:rPr>
        <w:t xml:space="preserve"> </w:t>
      </w:r>
      <w:r>
        <w:rPr>
          <w:rFonts w:hint="eastAsia" w:ascii="宋体" w:hAnsi="宋体"/>
          <w:szCs w:val="21"/>
        </w:rPr>
        <w:t>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auto" w:sz="6" w:space="1"/>
        </w:pBdr>
        <w:spacing w:line="360" w:lineRule="auto"/>
        <w:ind w:firstLine="527" w:firstLineChars="250"/>
        <w:rPr>
          <w:rFonts w:ascii="宋体" w:hAnsi="宋体"/>
          <w:szCs w:val="21"/>
          <w:u w:val="single"/>
        </w:rPr>
      </w:pPr>
      <w:r>
        <w:rPr>
          <w:rFonts w:hint="eastAsia" w:ascii="宋体" w:hAnsi="宋体"/>
          <w:b/>
          <w:szCs w:val="21"/>
        </w:rPr>
        <w:t>现文：</w:t>
      </w:r>
      <w:r>
        <w:rPr>
          <w:rFonts w:hint="eastAsia" w:ascii="宋体" w:hAnsi="宋体"/>
          <w:szCs w:val="21"/>
        </w:rPr>
        <w:t>42.2.1</w:t>
      </w:r>
      <w:r>
        <w:rPr>
          <w:rFonts w:ascii="宋体" w:hAnsi="宋体"/>
          <w:b/>
          <w:szCs w:val="21"/>
        </w:rPr>
        <w:t xml:space="preserve"> </w:t>
      </w:r>
      <w:r>
        <w:rPr>
          <w:rFonts w:hint="eastAsia" w:ascii="宋体" w:hAnsi="宋体"/>
          <w:szCs w:val="21"/>
          <w:u w:val="single"/>
        </w:rPr>
        <w:t xml:space="preserve"> 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b/>
          <w:bCs/>
          <w:szCs w:val="21"/>
          <w:u w:val="single"/>
        </w:rPr>
        <w:t>评委发现资格审查文件中含义不明确、对同类问题表述不一致、有明显文字和计算错误的，应当要求投标人作必要的澄清、说明后再判定投标人是否通过资格审查，不得直接认定其不通过资格审查。</w:t>
      </w:r>
    </w:p>
    <w:p>
      <w:pPr>
        <w:spacing w:line="360" w:lineRule="auto"/>
        <w:ind w:firstLine="472" w:firstLineChars="224"/>
        <w:rPr>
          <w:rFonts w:ascii="宋体" w:hAnsi="宋体"/>
          <w:b/>
          <w:szCs w:val="21"/>
        </w:rPr>
      </w:pPr>
      <w:r>
        <w:rPr>
          <w:rFonts w:hint="eastAsia" w:ascii="宋体" w:hAnsi="宋体"/>
          <w:b/>
          <w:szCs w:val="21"/>
        </w:rPr>
        <w:t>条款号：</w:t>
      </w:r>
      <w:r>
        <w:rPr>
          <w:rFonts w:hint="eastAsia" w:ascii="宋体" w:hAnsi="宋体"/>
          <w:b/>
          <w:bCs/>
          <w:szCs w:val="21"/>
        </w:rPr>
        <w:t>42.3.1</w:t>
      </w:r>
      <w:r>
        <w:rPr>
          <w:rFonts w:ascii="宋体" w:hAnsi="宋体"/>
          <w:b/>
          <w:bCs/>
          <w:szCs w:val="21"/>
        </w:rPr>
        <w:t xml:space="preserve"> </w:t>
      </w:r>
      <w:r>
        <w:rPr>
          <w:rFonts w:ascii="宋体" w:hAnsi="宋体"/>
          <w:b/>
          <w:szCs w:val="21"/>
        </w:rPr>
        <w:t xml:space="preserve">                 </w:t>
      </w:r>
      <w:r>
        <w:rPr>
          <w:rFonts w:hint="eastAsia" w:ascii="宋体" w:hAnsi="宋体"/>
          <w:b/>
          <w:szCs w:val="21"/>
        </w:rPr>
        <w:t>修改类型：修改</w:t>
      </w:r>
    </w:p>
    <w:p>
      <w:pPr>
        <w:spacing w:line="360" w:lineRule="auto"/>
        <w:ind w:firstLine="422" w:firstLineChars="200"/>
        <w:rPr>
          <w:rFonts w:ascii="宋体" w:hAnsi="宋体"/>
          <w:szCs w:val="21"/>
        </w:rPr>
      </w:pPr>
      <w:r>
        <w:rPr>
          <w:rFonts w:hint="eastAsia" w:ascii="宋体" w:hAnsi="宋体"/>
          <w:b/>
          <w:szCs w:val="21"/>
        </w:rPr>
        <w:t>原文：</w:t>
      </w:r>
      <w:r>
        <w:rPr>
          <w:rFonts w:hint="eastAsia" w:ascii="宋体" w:hAnsi="宋体"/>
          <w:szCs w:val="21"/>
        </w:rPr>
        <w:t>42.3.1</w:t>
      </w:r>
      <w:r>
        <w:rPr>
          <w:rFonts w:ascii="宋体" w:hAnsi="宋体"/>
          <w:b/>
          <w:szCs w:val="21"/>
        </w:rPr>
        <w:t xml:space="preserve"> </w:t>
      </w:r>
      <w:r>
        <w:rPr>
          <w:rFonts w:hint="eastAsia" w:ascii="宋体" w:hAnsi="宋体"/>
          <w:bCs/>
          <w:szCs w:val="21"/>
        </w:rPr>
        <w:t>技术标的有效性审查：投标文件中没有任一种列于本办法附表二《技术标有效性审查表》中情形的，为有效投标文件。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p>
    <w:p>
      <w:pPr>
        <w:pBdr>
          <w:bottom w:val="single" w:color="auto" w:sz="6" w:space="1"/>
        </w:pBdr>
        <w:spacing w:line="360" w:lineRule="auto"/>
        <w:ind w:firstLine="472" w:firstLineChars="224"/>
        <w:rPr>
          <w:rFonts w:ascii="宋体" w:hAnsi="宋体"/>
          <w:b/>
          <w:szCs w:val="21"/>
        </w:rPr>
      </w:pPr>
      <w:r>
        <w:rPr>
          <w:rFonts w:hint="eastAsia" w:ascii="宋体" w:hAnsi="宋体"/>
          <w:b/>
          <w:szCs w:val="21"/>
        </w:rPr>
        <w:t>现文：</w:t>
      </w:r>
      <w:r>
        <w:rPr>
          <w:rFonts w:hint="eastAsia" w:ascii="宋体" w:hAnsi="宋体"/>
          <w:szCs w:val="21"/>
        </w:rPr>
        <w:t>42.3.1</w:t>
      </w:r>
      <w:r>
        <w:rPr>
          <w:rFonts w:ascii="宋体" w:hAnsi="宋体"/>
          <w:b/>
          <w:szCs w:val="21"/>
        </w:rPr>
        <w:t xml:space="preserve"> </w:t>
      </w:r>
      <w:r>
        <w:rPr>
          <w:rFonts w:hint="eastAsia" w:ascii="宋体" w:hAnsi="宋体"/>
          <w:bCs/>
          <w:szCs w:val="21"/>
        </w:rPr>
        <w:t>技术标的有效性审查：投标文件中没有任一种列于本办法附表二《技术标有效性审查表》中情形的，为有效投标文件。否则其投标文件将被否决。如评标委员会成员的评审意见不一致时，以评标委员会过半数成员的意见作为评标委员会对该情形的认定结论。若通过技术标有效性审查的投标人不足三家，则重新招标。</w:t>
      </w:r>
      <w:r>
        <w:rPr>
          <w:rFonts w:hint="eastAsia" w:ascii="宋体" w:hAnsi="宋体"/>
          <w:b/>
          <w:szCs w:val="21"/>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72" w:firstLineChars="224"/>
        <w:rPr>
          <w:rFonts w:ascii="宋体" w:hAnsi="宋体"/>
          <w:b/>
          <w:szCs w:val="21"/>
        </w:rPr>
      </w:pPr>
      <w:r>
        <w:rPr>
          <w:rFonts w:hint="eastAsia" w:ascii="宋体" w:hAnsi="宋体"/>
          <w:b/>
          <w:szCs w:val="21"/>
        </w:rPr>
        <w:t>条款号：</w:t>
      </w:r>
      <w:r>
        <w:rPr>
          <w:rFonts w:hint="eastAsia" w:ascii="宋体" w:hAnsi="宋体"/>
          <w:b/>
          <w:bCs/>
          <w:szCs w:val="21"/>
        </w:rPr>
        <w:t>42.3.2</w:t>
      </w:r>
      <w:r>
        <w:rPr>
          <w:rFonts w:ascii="宋体" w:hAnsi="宋体"/>
          <w:b/>
          <w:bCs/>
          <w:szCs w:val="21"/>
        </w:rPr>
        <w:t xml:space="preserve"> </w:t>
      </w:r>
      <w:r>
        <w:rPr>
          <w:rFonts w:ascii="宋体" w:hAnsi="宋体"/>
          <w:b/>
          <w:szCs w:val="21"/>
        </w:rPr>
        <w:t xml:space="preserve">                 </w:t>
      </w:r>
      <w:r>
        <w:rPr>
          <w:rFonts w:hint="eastAsia" w:ascii="宋体" w:hAnsi="宋体"/>
          <w:b/>
          <w:szCs w:val="21"/>
        </w:rPr>
        <w:t>修改类型：修改</w:t>
      </w:r>
    </w:p>
    <w:p>
      <w:pPr>
        <w:spacing w:line="360" w:lineRule="auto"/>
        <w:ind w:firstLine="422" w:firstLineChars="200"/>
        <w:rPr>
          <w:rFonts w:ascii="宋体" w:hAnsi="宋体"/>
          <w:szCs w:val="21"/>
        </w:rPr>
      </w:pPr>
      <w:r>
        <w:rPr>
          <w:rFonts w:hint="eastAsia" w:ascii="宋体" w:hAnsi="宋体"/>
          <w:b/>
          <w:szCs w:val="21"/>
        </w:rPr>
        <w:t>原文：</w:t>
      </w:r>
      <w:r>
        <w:rPr>
          <w:rFonts w:hint="eastAsia" w:ascii="宋体" w:hAnsi="宋体"/>
          <w:szCs w:val="21"/>
        </w:rPr>
        <w:t>42.3.2</w:t>
      </w:r>
      <w:r>
        <w:rPr>
          <w:rFonts w:ascii="宋体" w:hAnsi="宋体"/>
          <w:b/>
          <w:szCs w:val="21"/>
        </w:rPr>
        <w:t xml:space="preserve"> </w:t>
      </w:r>
      <w:r>
        <w:rPr>
          <w:rFonts w:hint="eastAsia" w:ascii="宋体" w:hAnsi="宋体"/>
          <w:szCs w:val="21"/>
          <w:u w:val="single"/>
        </w:rPr>
        <w:t xml:space="preserve">     </w:t>
      </w:r>
      <w:r>
        <w:rPr>
          <w:rFonts w:hint="eastAsia" w:ascii="宋体" w:hAnsi="宋体"/>
          <w:szCs w:val="21"/>
        </w:rPr>
        <w:t>详细审查评分：评标委员会按照本办法附表</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详细审查评分表》对通过技术标有效性审查的投标文件进行详细审查，评出</w:t>
      </w:r>
      <w:r>
        <w:rPr>
          <w:rFonts w:hint="eastAsia" w:ascii="宋体" w:hAnsi="宋体"/>
          <w:szCs w:val="21"/>
          <w:u w:val="single"/>
        </w:rPr>
        <w:t xml:space="preserve">     </w:t>
      </w:r>
      <w:r>
        <w:rPr>
          <w:rFonts w:hint="eastAsia" w:ascii="宋体" w:hAnsi="宋体"/>
          <w:szCs w:val="21"/>
        </w:rPr>
        <w:t>得分。</w:t>
      </w:r>
    </w:p>
    <w:p>
      <w:pPr>
        <w:pBdr>
          <w:bottom w:val="single" w:color="auto" w:sz="6" w:space="1"/>
        </w:pBdr>
        <w:spacing w:line="360" w:lineRule="auto"/>
        <w:ind w:firstLine="472" w:firstLineChars="224"/>
        <w:rPr>
          <w:rFonts w:ascii="宋体" w:hAnsi="宋体"/>
          <w:b/>
          <w:szCs w:val="21"/>
        </w:rPr>
      </w:pPr>
      <w:r>
        <w:rPr>
          <w:rFonts w:hint="eastAsia" w:ascii="宋体" w:hAnsi="宋体"/>
          <w:b/>
          <w:szCs w:val="21"/>
        </w:rPr>
        <w:t>现文：</w:t>
      </w:r>
      <w:r>
        <w:rPr>
          <w:rFonts w:hint="eastAsia" w:ascii="宋体" w:hAnsi="宋体"/>
          <w:szCs w:val="21"/>
        </w:rPr>
        <w:t>42.3.2</w:t>
      </w:r>
      <w:r>
        <w:rPr>
          <w:rFonts w:ascii="宋体" w:hAnsi="宋体"/>
          <w:b/>
          <w:szCs w:val="21"/>
        </w:rPr>
        <w:t xml:space="preserve"> </w:t>
      </w:r>
      <w:r>
        <w:rPr>
          <w:rFonts w:hint="eastAsia" w:ascii="宋体" w:hAnsi="宋体"/>
          <w:szCs w:val="21"/>
          <w:u w:val="single"/>
        </w:rPr>
        <w:t xml:space="preserve"> </w:t>
      </w:r>
      <w:bookmarkStart w:id="26" w:name="_Hlk46650732"/>
      <w:r>
        <w:rPr>
          <w:rFonts w:hint="eastAsia" w:ascii="宋体" w:hAnsi="宋体"/>
          <w:szCs w:val="21"/>
          <w:u w:val="single"/>
        </w:rPr>
        <w:t>技术标</w:t>
      </w:r>
      <w:bookmarkEnd w:id="26"/>
      <w:r>
        <w:rPr>
          <w:rFonts w:hint="eastAsia" w:ascii="宋体" w:hAnsi="宋体"/>
          <w:szCs w:val="21"/>
        </w:rPr>
        <w:t>详细审查评分：评标委员会按照本办法附表</w:t>
      </w:r>
      <w:r>
        <w:rPr>
          <w:rFonts w:hint="eastAsia" w:ascii="宋体" w:hAnsi="宋体"/>
          <w:szCs w:val="21"/>
          <w:u w:val="single"/>
        </w:rPr>
        <w:t xml:space="preserve"> 四 </w:t>
      </w:r>
      <w:r>
        <w:rPr>
          <w:rFonts w:hint="eastAsia" w:ascii="宋体" w:hAnsi="宋体"/>
          <w:szCs w:val="21"/>
        </w:rPr>
        <w:t>《</w:t>
      </w:r>
      <w:r>
        <w:rPr>
          <w:rFonts w:hint="eastAsia" w:ascii="宋体" w:hAnsi="宋体"/>
          <w:szCs w:val="21"/>
          <w:u w:val="single"/>
        </w:rPr>
        <w:t>技术标</w:t>
      </w:r>
      <w:r>
        <w:rPr>
          <w:rFonts w:hint="eastAsia" w:ascii="宋体" w:hAnsi="宋体"/>
          <w:szCs w:val="21"/>
        </w:rPr>
        <w:t>详细审查评分表》对通过技术标有效性审查的投标文件进行详细审查，评出</w:t>
      </w:r>
      <w:r>
        <w:rPr>
          <w:rFonts w:hint="eastAsia" w:ascii="宋体" w:hAnsi="宋体"/>
          <w:szCs w:val="21"/>
          <w:u w:val="single"/>
        </w:rPr>
        <w:t xml:space="preserve"> 技术</w:t>
      </w:r>
      <w:r>
        <w:rPr>
          <w:rFonts w:hint="eastAsia" w:ascii="宋体" w:hAnsi="宋体"/>
          <w:szCs w:val="21"/>
        </w:rPr>
        <w:t>得分。</w:t>
      </w:r>
    </w:p>
    <w:p>
      <w:pPr>
        <w:spacing w:line="360" w:lineRule="auto"/>
        <w:ind w:firstLine="472" w:firstLineChars="224"/>
        <w:rPr>
          <w:rFonts w:ascii="宋体" w:hAnsi="宋体"/>
          <w:b/>
          <w:szCs w:val="21"/>
        </w:rPr>
      </w:pPr>
      <w:r>
        <w:rPr>
          <w:rFonts w:hint="eastAsia" w:ascii="宋体" w:hAnsi="宋体"/>
          <w:b/>
          <w:szCs w:val="21"/>
        </w:rPr>
        <w:t>条款号：</w:t>
      </w:r>
      <w:r>
        <w:rPr>
          <w:rFonts w:hint="eastAsia" w:ascii="宋体" w:hAnsi="宋体"/>
          <w:b/>
          <w:bCs/>
          <w:sz w:val="24"/>
          <w:szCs w:val="24"/>
        </w:rPr>
        <w:t>42.3.4</w:t>
      </w:r>
      <w:r>
        <w:rPr>
          <w:rFonts w:ascii="宋体" w:hAnsi="宋体"/>
          <w:b/>
          <w:szCs w:val="21"/>
        </w:rPr>
        <w:t xml:space="preserve">                </w:t>
      </w:r>
      <w:r>
        <w:rPr>
          <w:rFonts w:hint="eastAsia" w:ascii="宋体" w:hAnsi="宋体"/>
          <w:b/>
          <w:szCs w:val="21"/>
        </w:rPr>
        <w:t>修改类型：修改</w:t>
      </w:r>
    </w:p>
    <w:p>
      <w:pPr>
        <w:spacing w:line="360" w:lineRule="auto"/>
        <w:ind w:firstLine="422" w:firstLineChars="200"/>
        <w:rPr>
          <w:rFonts w:ascii="宋体" w:hAnsi="宋体"/>
          <w:szCs w:val="21"/>
        </w:rPr>
      </w:pPr>
      <w:r>
        <w:rPr>
          <w:rFonts w:hint="eastAsia" w:ascii="宋体" w:hAnsi="宋体"/>
          <w:b/>
          <w:szCs w:val="21"/>
        </w:rPr>
        <w:t>原文：</w:t>
      </w:r>
      <w:r>
        <w:rPr>
          <w:rFonts w:hint="eastAsia" w:ascii="宋体" w:hAnsi="宋体"/>
          <w:sz w:val="24"/>
          <w:szCs w:val="24"/>
        </w:rPr>
        <w:t>42.3.4</w:t>
      </w:r>
      <w:r>
        <w:rPr>
          <w:rFonts w:hint="eastAsia" w:ascii="宋体" w:hAnsi="宋体"/>
          <w:szCs w:val="21"/>
        </w:rPr>
        <w:t>评标委员会按照“第一阶段得分=</w:t>
      </w:r>
      <w:r>
        <w:rPr>
          <w:rFonts w:hint="eastAsia" w:ascii="宋体" w:hAnsi="宋体"/>
          <w:szCs w:val="21"/>
          <w:u w:val="single"/>
        </w:rPr>
        <w:t xml:space="preserve">               </w:t>
      </w:r>
      <w:r>
        <w:rPr>
          <w:rFonts w:hint="eastAsia" w:ascii="宋体" w:hAnsi="宋体"/>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pBdr>
          <w:bottom w:val="single" w:color="auto" w:sz="6" w:space="1"/>
        </w:pBdr>
        <w:spacing w:line="360" w:lineRule="auto"/>
        <w:ind w:firstLine="472" w:firstLineChars="224"/>
        <w:rPr>
          <w:rFonts w:ascii="宋体" w:hAnsi="宋体"/>
          <w:b/>
          <w:szCs w:val="21"/>
        </w:rPr>
      </w:pPr>
      <w:r>
        <w:rPr>
          <w:rFonts w:hint="eastAsia" w:ascii="宋体" w:hAnsi="宋体"/>
          <w:b/>
          <w:szCs w:val="21"/>
        </w:rPr>
        <w:t>现文：</w:t>
      </w:r>
      <w:r>
        <w:rPr>
          <w:rFonts w:hint="eastAsia" w:ascii="宋体" w:hAnsi="宋体"/>
          <w:sz w:val="24"/>
          <w:szCs w:val="24"/>
        </w:rPr>
        <w:t>42.3.4</w:t>
      </w:r>
      <w:r>
        <w:rPr>
          <w:rFonts w:hint="eastAsia" w:ascii="宋体" w:hAnsi="宋体"/>
          <w:szCs w:val="21"/>
        </w:rPr>
        <w:t>评标委员会按照“第一阶段得分=</w:t>
      </w:r>
      <w:r>
        <w:rPr>
          <w:rFonts w:hint="eastAsia"/>
          <w:u w:val="single"/>
        </w:rPr>
        <w:t>技术分×100%+综合诚信评价分×0%</w:t>
      </w:r>
      <w:r>
        <w:rPr>
          <w:rFonts w:hint="eastAsia" w:ascii="宋体" w:hAnsi="宋体"/>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72" w:firstLineChars="224"/>
        <w:rPr>
          <w:rFonts w:ascii="宋体" w:hAnsi="宋体"/>
          <w:b/>
          <w:szCs w:val="21"/>
        </w:rPr>
      </w:pPr>
      <w:r>
        <w:rPr>
          <w:rFonts w:hint="eastAsia" w:ascii="宋体" w:hAnsi="宋体"/>
          <w:b/>
          <w:szCs w:val="21"/>
        </w:rPr>
        <w:t>条款号：</w:t>
      </w:r>
      <w:r>
        <w:rPr>
          <w:rFonts w:ascii="宋体" w:hAnsi="宋体"/>
          <w:b/>
          <w:szCs w:val="21"/>
        </w:rPr>
        <w:t xml:space="preserve">42.4.2             </w:t>
      </w:r>
      <w:r>
        <w:rPr>
          <w:rFonts w:hint="eastAsia" w:ascii="宋体" w:hAnsi="宋体"/>
          <w:b/>
          <w:szCs w:val="21"/>
        </w:rPr>
        <w:t>修改类型：修改</w:t>
      </w:r>
    </w:p>
    <w:p>
      <w:pPr>
        <w:spacing w:line="360" w:lineRule="auto"/>
        <w:ind w:firstLine="472" w:firstLineChars="224"/>
        <w:rPr>
          <w:rFonts w:ascii="宋体" w:hAnsi="宋体"/>
          <w:szCs w:val="21"/>
        </w:rPr>
      </w:pPr>
      <w:r>
        <w:rPr>
          <w:rFonts w:hint="eastAsia" w:ascii="宋体" w:hAnsi="宋体"/>
          <w:b/>
          <w:szCs w:val="21"/>
        </w:rPr>
        <w:t>原文：</w:t>
      </w:r>
      <w:r>
        <w:rPr>
          <w:rFonts w:hint="eastAsia" w:ascii="宋体" w:hAnsi="宋体"/>
          <w:szCs w:val="21"/>
        </w:rPr>
        <w:t>4</w:t>
      </w:r>
      <w:r>
        <w:rPr>
          <w:rFonts w:ascii="宋体" w:hAnsi="宋体"/>
          <w:szCs w:val="21"/>
        </w:rPr>
        <w:t>2.4.2</w:t>
      </w:r>
      <w:r>
        <w:rPr>
          <w:rFonts w:hint="eastAsia" w:ascii="宋体" w:hAnsi="宋体"/>
          <w:szCs w:val="21"/>
        </w:rPr>
        <w:t>若进入第二阶段投标人中所有投标报价均大于等于最高投标限价*D%（D的取值范围为[94,100],由招标人自主确定）的（具体金额为：      元），则本项目招标失败，由招标人依法重新招标。</w:t>
      </w:r>
    </w:p>
    <w:p>
      <w:pPr>
        <w:pBdr>
          <w:bottom w:val="single" w:color="auto" w:sz="6" w:space="1"/>
        </w:pBdr>
        <w:spacing w:line="360" w:lineRule="auto"/>
        <w:ind w:firstLine="527" w:firstLineChars="250"/>
        <w:rPr>
          <w:rFonts w:ascii="宋体" w:hAnsi="宋体"/>
        </w:rPr>
      </w:pPr>
      <w:r>
        <w:rPr>
          <w:rFonts w:hint="eastAsia" w:ascii="宋体" w:hAnsi="宋体"/>
          <w:b/>
          <w:szCs w:val="21"/>
        </w:rPr>
        <w:t>现文：</w:t>
      </w:r>
      <w:r>
        <w:rPr>
          <w:rFonts w:hint="eastAsia" w:ascii="宋体" w:hAnsi="宋体"/>
          <w:szCs w:val="21"/>
        </w:rPr>
        <w:t>4</w:t>
      </w:r>
      <w:r>
        <w:rPr>
          <w:rFonts w:ascii="宋体" w:hAnsi="宋体"/>
          <w:szCs w:val="21"/>
        </w:rPr>
        <w:t>2.4.2</w:t>
      </w:r>
      <w:r>
        <w:rPr>
          <w:rFonts w:hint="eastAsia" w:ascii="宋体" w:hAnsi="宋体"/>
          <w:szCs w:val="21"/>
        </w:rPr>
        <w:t>若进入第二阶段投标人中</w:t>
      </w:r>
      <w:r>
        <w:rPr>
          <w:rFonts w:hint="eastAsia" w:ascii="宋体" w:hAnsi="宋体"/>
          <w:bCs/>
          <w:szCs w:val="21"/>
        </w:rPr>
        <w:t>所有投标报价</w:t>
      </w:r>
      <w:r>
        <w:rPr>
          <w:rFonts w:hint="eastAsia" w:ascii="宋体" w:hAnsi="宋体"/>
          <w:szCs w:val="21"/>
        </w:rPr>
        <w:t>均大于等于最高投标限价*100%的（具体金额为：人民币</w:t>
      </w:r>
      <w:r>
        <w:rPr>
          <w:rFonts w:hint="eastAsia" w:ascii="宋体" w:hAnsi="宋体"/>
          <w:bCs/>
          <w:szCs w:val="21"/>
        </w:rPr>
        <w:t>198,909,091.00</w:t>
      </w:r>
      <w:r>
        <w:rPr>
          <w:rFonts w:hint="eastAsia" w:ascii="宋体" w:hAnsi="宋体"/>
          <w:szCs w:val="21"/>
        </w:rPr>
        <w:t>元。），则本项目招标失败，由招标人依法重新招标。</w:t>
      </w:r>
      <w:r>
        <w:rPr>
          <w:rFonts w:ascii="宋体" w:hAnsi="宋体"/>
        </w:rPr>
        <w:t xml:space="preserve"> </w:t>
      </w:r>
    </w:p>
    <w:p>
      <w:pPr>
        <w:spacing w:line="360" w:lineRule="auto"/>
        <w:ind w:firstLine="211" w:firstLineChars="100"/>
        <w:rPr>
          <w:b/>
          <w:szCs w:val="21"/>
        </w:rPr>
      </w:pPr>
    </w:p>
    <w:p>
      <w:pPr>
        <w:spacing w:line="360" w:lineRule="auto"/>
        <w:ind w:firstLine="472" w:firstLineChars="224"/>
        <w:rPr>
          <w:rFonts w:ascii="宋体" w:hAnsi="宋体"/>
          <w:b/>
          <w:szCs w:val="21"/>
        </w:rPr>
      </w:pPr>
      <w:r>
        <w:rPr>
          <w:rFonts w:hint="eastAsia" w:ascii="宋体" w:hAnsi="宋体"/>
          <w:b/>
          <w:szCs w:val="21"/>
        </w:rPr>
        <w:t>条款号：</w:t>
      </w:r>
      <w:r>
        <w:rPr>
          <w:rFonts w:ascii="宋体" w:hAnsi="宋体"/>
          <w:b/>
          <w:szCs w:val="21"/>
        </w:rPr>
        <w:t xml:space="preserve">42.4.3.1~42.4.3.3             </w:t>
      </w:r>
      <w:r>
        <w:rPr>
          <w:rFonts w:hint="eastAsia" w:ascii="宋体" w:hAnsi="宋体"/>
          <w:b/>
          <w:szCs w:val="21"/>
        </w:rPr>
        <w:t>修改类型：修改</w:t>
      </w:r>
    </w:p>
    <w:p>
      <w:pPr>
        <w:spacing w:line="360" w:lineRule="auto"/>
        <w:ind w:firstLine="422" w:firstLineChars="200"/>
        <w:rPr>
          <w:rFonts w:ascii="宋体" w:hAnsi="宋体"/>
          <w:szCs w:val="24"/>
        </w:rPr>
      </w:pPr>
      <w:r>
        <w:rPr>
          <w:rFonts w:hint="eastAsia" w:ascii="宋体" w:hAnsi="宋体"/>
          <w:b/>
          <w:szCs w:val="21"/>
        </w:rPr>
        <w:t>原文：</w:t>
      </w:r>
      <w:r>
        <w:rPr>
          <w:rFonts w:hint="eastAsia" w:ascii="宋体" w:hAnsi="宋体"/>
          <w:szCs w:val="21"/>
        </w:rPr>
        <w:t>4</w:t>
      </w:r>
      <w:r>
        <w:rPr>
          <w:rFonts w:ascii="宋体" w:hAnsi="宋体"/>
          <w:szCs w:val="21"/>
        </w:rPr>
        <w:t>2.4.3.1</w:t>
      </w:r>
      <w:r>
        <w:rPr>
          <w:rFonts w:hint="eastAsia" w:ascii="宋体" w:hAnsi="宋体"/>
          <w:szCs w:val="24"/>
        </w:rPr>
        <w:t>按方法</w:t>
      </w:r>
      <w:r>
        <w:rPr>
          <w:rFonts w:hint="eastAsia" w:ascii="宋体" w:hAnsi="宋体"/>
          <w:szCs w:val="24"/>
          <w:u w:val="single"/>
        </w:rPr>
        <w:t xml:space="preserve">   </w:t>
      </w:r>
      <w:r>
        <w:rPr>
          <w:rFonts w:hint="eastAsia" w:ascii="宋体" w:hAnsi="宋体"/>
          <w:szCs w:val="24"/>
        </w:rPr>
        <w:t>计算评标参考价：</w:t>
      </w:r>
    </w:p>
    <w:p>
      <w:pPr>
        <w:widowControl/>
        <w:spacing w:line="360" w:lineRule="auto"/>
        <w:ind w:firstLine="422" w:firstLineChars="200"/>
        <w:rPr>
          <w:rFonts w:ascii="宋体" w:hAnsi="宋体"/>
          <w:b/>
          <w:bCs/>
          <w:kern w:val="0"/>
          <w:szCs w:val="24"/>
        </w:rPr>
      </w:pPr>
      <w:r>
        <w:rPr>
          <w:rFonts w:hint="eastAsia" w:ascii="宋体" w:hAnsi="宋体" w:cs="仿宋"/>
          <w:b/>
          <w:bCs/>
          <w:kern w:val="0"/>
          <w:szCs w:val="24"/>
        </w:rPr>
        <w:t>方法一：加权平均法</w:t>
      </w:r>
    </w:p>
    <w:p>
      <w:pPr>
        <w:spacing w:line="360" w:lineRule="auto"/>
        <w:ind w:firstLine="420" w:firstLineChars="200"/>
        <w:rPr>
          <w:rFonts w:ascii="宋体" w:hAnsi="宋体" w:cs="仿宋"/>
          <w:szCs w:val="24"/>
        </w:rPr>
      </w:pPr>
      <w:r>
        <w:rPr>
          <w:rFonts w:hint="eastAsia" w:ascii="宋体" w:hAnsi="宋体" w:cs="仿宋"/>
          <w:szCs w:val="24"/>
        </w:rPr>
        <w:t>技术标或技术标加诚信得分或第一阶段入围得分（具体由招标人自定）前</w:t>
      </w:r>
      <w:r>
        <w:rPr>
          <w:rFonts w:ascii="宋体" w:hAnsi="宋体" w:cs="仿宋"/>
          <w:szCs w:val="24"/>
        </w:rPr>
        <w:t>N</w:t>
      </w:r>
      <w:r>
        <w:rPr>
          <w:rFonts w:hint="eastAsia" w:ascii="宋体" w:hAnsi="宋体" w:cs="仿宋"/>
          <w:szCs w:val="24"/>
        </w:rPr>
        <w:t>名（N≥5，具体由招标人自定）的经济报价加权平均，计算评标参考价。公式如下：</w:t>
      </w:r>
    </w:p>
    <w:p>
      <w:pPr>
        <w:spacing w:line="360" w:lineRule="auto"/>
        <w:ind w:firstLine="420" w:firstLineChars="200"/>
        <w:rPr>
          <w:rFonts w:ascii="宋体" w:hAnsi="宋体" w:cs="仿宋"/>
          <w:szCs w:val="24"/>
        </w:rPr>
      </w:pPr>
      <w:r>
        <w:rPr>
          <w:rFonts w:hint="eastAsia" w:ascii="宋体" w:hAnsi="宋体" w:cs="仿宋"/>
          <w:szCs w:val="24"/>
        </w:rPr>
        <w:t>评标参考价</w:t>
      </w:r>
      <w:r>
        <w:rPr>
          <w:rFonts w:ascii="宋体" w:hAnsi="宋体" w:cs="仿宋"/>
          <w:szCs w:val="24"/>
        </w:rPr>
        <w:t>=</w:t>
      </w:r>
      <w:r>
        <w:rPr>
          <w:rFonts w:hint="eastAsia" w:ascii="宋体" w:hAnsi="宋体" w:cs="仿宋"/>
          <w:szCs w:val="24"/>
        </w:rPr>
        <w:t>Σ（投标人的投标报价</w:t>
      </w:r>
      <w:r>
        <w:rPr>
          <w:rFonts w:ascii="宋体" w:hAnsi="宋体" w:cs="仿宋"/>
          <w:szCs w:val="24"/>
        </w:rPr>
        <w:t>*</w:t>
      </w:r>
      <w:r>
        <w:rPr>
          <w:rFonts w:hint="eastAsia" w:ascii="宋体" w:hAnsi="宋体" w:cs="仿宋"/>
          <w:szCs w:val="24"/>
        </w:rPr>
        <w:t>报价权重）。</w:t>
      </w:r>
    </w:p>
    <w:p>
      <w:pPr>
        <w:spacing w:line="360" w:lineRule="auto"/>
        <w:ind w:firstLine="470" w:firstLineChars="224"/>
        <w:rPr>
          <w:rFonts w:ascii="宋体" w:hAnsi="宋体" w:cs="仿宋"/>
          <w:szCs w:val="24"/>
        </w:rPr>
      </w:pPr>
      <w:r>
        <w:rPr>
          <w:rFonts w:hint="eastAsia" w:ascii="宋体" w:hAnsi="宋体" w:cs="仿宋"/>
          <w:szCs w:val="24"/>
        </w:rPr>
        <w:t>其中：报价权重的计算方法为：将</w:t>
      </w:r>
      <w:r>
        <w:rPr>
          <w:rFonts w:ascii="宋体" w:hAnsi="宋体" w:cs="仿宋"/>
          <w:szCs w:val="24"/>
        </w:rPr>
        <w:t>N</w:t>
      </w:r>
      <w:r>
        <w:rPr>
          <w:rFonts w:hint="eastAsia" w:ascii="宋体" w:hAnsi="宋体" w:cs="仿宋"/>
          <w:szCs w:val="24"/>
        </w:rPr>
        <w:t>名投标人按技术分由高至低进行排序，第一名投标人的权重为（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sz w:val="24"/>
          <w:szCs w:val="24"/>
        </w:rPr>
        <w:drawing>
          <wp:inline distT="0" distB="0" distL="114300" distR="114300">
            <wp:extent cx="381000" cy="447675"/>
            <wp:effectExtent l="0" t="0" r="0" b="9525"/>
            <wp:docPr id="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sz w:val="24"/>
          <w:szCs w:val="24"/>
        </w:rPr>
        <w:drawing>
          <wp:inline distT="0" distB="0" distL="114300" distR="114300">
            <wp:extent cx="381000" cy="447675"/>
            <wp:effectExtent l="0" t="0" r="0" b="9525"/>
            <wp:docPr id="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Cs w:val="24"/>
        </w:rPr>
        <w:t>），第二名投标人的权重为（</w:t>
      </w:r>
      <w:r>
        <w:rPr>
          <w:rFonts w:ascii="宋体" w:hAnsi="宋体"/>
          <w:position w:val="-23"/>
          <w:sz w:val="24"/>
          <w:szCs w:val="24"/>
        </w:rPr>
        <w:drawing>
          <wp:inline distT="0" distB="0" distL="114300" distR="114300">
            <wp:extent cx="323850" cy="400050"/>
            <wp:effectExtent l="0" t="0" r="6350" b="5715"/>
            <wp:docPr id="3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
                    <pic:cNvPicPr>
                      <a:picLocks noChangeAspect="1"/>
                    </pic:cNvPicPr>
                  </pic:nvPicPr>
                  <pic:blipFill>
                    <a:blip r:embed="rId28">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仿宋"/>
          <w:sz w:val="24"/>
          <w:szCs w:val="24"/>
        </w:rPr>
        <w:t>）</w:t>
      </w:r>
      <w:r>
        <w:rPr>
          <w:rFonts w:hint="eastAsia" w:ascii="宋体" w:hAnsi="宋体" w:cs="仿宋"/>
          <w:szCs w:val="24"/>
        </w:rPr>
        <w:t>，以此类推，最后一名投标人的权重为（</w:t>
      </w:r>
      <w:r>
        <w:rPr>
          <w:rFonts w:ascii="宋体" w:hAnsi="宋体"/>
          <w:position w:val="-23"/>
          <w:sz w:val="24"/>
          <w:szCs w:val="24"/>
        </w:rPr>
        <w:drawing>
          <wp:inline distT="0" distB="0" distL="114300" distR="114300">
            <wp:extent cx="323850" cy="400050"/>
            <wp:effectExtent l="0" t="0" r="6350" b="5715"/>
            <wp:docPr id="4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
                    <pic:cNvPicPr>
                      <a:picLocks noChangeAspect="1"/>
                    </pic:cNvPicPr>
                  </pic:nvPicPr>
                  <pic:blipFill>
                    <a:blip r:embed="rId2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仿宋"/>
          <w:szCs w:val="24"/>
        </w:rPr>
        <w:t>）。</w:t>
      </w:r>
    </w:p>
    <w:p>
      <w:pPr>
        <w:widowControl/>
        <w:spacing w:line="360" w:lineRule="auto"/>
        <w:ind w:firstLine="422" w:firstLineChars="200"/>
        <w:rPr>
          <w:rFonts w:ascii="宋体" w:hAnsi="宋体"/>
          <w:b/>
          <w:bCs/>
          <w:kern w:val="0"/>
          <w:szCs w:val="24"/>
        </w:rPr>
      </w:pPr>
      <w:r>
        <w:rPr>
          <w:rFonts w:hint="eastAsia" w:ascii="宋体" w:hAnsi="宋体" w:cs="仿宋"/>
          <w:b/>
          <w:bCs/>
          <w:kern w:val="0"/>
          <w:szCs w:val="24"/>
        </w:rPr>
        <w:t>方法二：区间抽取法</w:t>
      </w:r>
    </w:p>
    <w:p>
      <w:pPr>
        <w:widowControl/>
        <w:snapToGrid w:val="0"/>
        <w:spacing w:line="360" w:lineRule="auto"/>
        <w:ind w:firstLine="420" w:firstLineChars="200"/>
        <w:rPr>
          <w:rFonts w:ascii="宋体" w:hAnsi="宋体"/>
          <w:kern w:val="0"/>
          <w:szCs w:val="24"/>
        </w:rPr>
      </w:pPr>
      <w:r>
        <w:rPr>
          <w:rFonts w:hint="eastAsia" w:ascii="宋体" w:hAnsi="宋体" w:cs="仿宋"/>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ascii="宋体" w:hAnsi="宋体"/>
          <w:kern w:val="0"/>
          <w:szCs w:val="24"/>
          <w:vertAlign w:val="subscript"/>
        </w:rPr>
      </w:pPr>
      <w:r>
        <w:rPr>
          <w:rFonts w:hint="eastAsia" w:ascii="宋体" w:hAnsi="宋体" w:cs="仿宋"/>
          <w:kern w:val="0"/>
          <w:szCs w:val="24"/>
        </w:rPr>
        <w:t>评标参考价</w:t>
      </w:r>
      <w:r>
        <w:rPr>
          <w:rFonts w:ascii="宋体" w:hAnsi="宋体" w:cs="仿宋"/>
          <w:kern w:val="0"/>
          <w:szCs w:val="24"/>
        </w:rPr>
        <w:t>=</w:t>
      </w:r>
      <w:r>
        <w:rPr>
          <w:rFonts w:hint="eastAsia" w:ascii="宋体" w:hAnsi="宋体" w:cs="仿宋"/>
          <w:kern w:val="0"/>
          <w:szCs w:val="24"/>
        </w:rPr>
        <w:t>（</w:t>
      </w:r>
      <w:r>
        <w:rPr>
          <w:rFonts w:ascii="宋体" w:hAnsi="宋体" w:cs="仿宋"/>
          <w:kern w:val="0"/>
          <w:szCs w:val="24"/>
        </w:rPr>
        <w:t>Q</w:t>
      </w:r>
      <w:r>
        <w:rPr>
          <w:rFonts w:hint="eastAsia" w:ascii="宋体" w:hAnsi="宋体" w:cs="仿宋"/>
          <w:kern w:val="0"/>
          <w:szCs w:val="24"/>
          <w:vertAlign w:val="subscript"/>
        </w:rPr>
        <w:t>高</w:t>
      </w:r>
      <w:r>
        <w:rPr>
          <w:rFonts w:ascii="宋体" w:hAnsi="宋体" w:cs="仿宋"/>
          <w:kern w:val="0"/>
          <w:szCs w:val="24"/>
        </w:rPr>
        <w:t>-Q</w:t>
      </w:r>
      <w:r>
        <w:rPr>
          <w:rFonts w:hint="eastAsia" w:ascii="宋体" w:hAnsi="宋体" w:cs="仿宋"/>
          <w:kern w:val="0"/>
          <w:szCs w:val="24"/>
          <w:vertAlign w:val="subscript"/>
        </w:rPr>
        <w:t>低</w:t>
      </w:r>
      <w:r>
        <w:rPr>
          <w:rFonts w:hint="eastAsia" w:ascii="宋体" w:hAnsi="宋体" w:cs="仿宋"/>
          <w:kern w:val="0"/>
          <w:szCs w:val="24"/>
        </w:rPr>
        <w:t>）</w:t>
      </w:r>
      <w:r>
        <w:rPr>
          <w:rFonts w:ascii="宋体" w:hAnsi="宋体" w:cs="仿宋"/>
          <w:kern w:val="0"/>
          <w:szCs w:val="24"/>
        </w:rPr>
        <w:t>/100*</w:t>
      </w:r>
      <w:r>
        <w:rPr>
          <w:rFonts w:hint="eastAsia" w:ascii="宋体" w:hAnsi="宋体" w:cs="仿宋"/>
          <w:kern w:val="0"/>
          <w:szCs w:val="24"/>
        </w:rPr>
        <w:t>Ｘ</w:t>
      </w:r>
      <w:r>
        <w:rPr>
          <w:rFonts w:ascii="宋体" w:hAnsi="宋体" w:cs="仿宋"/>
          <w:kern w:val="0"/>
          <w:szCs w:val="24"/>
        </w:rPr>
        <w:t>+Q</w:t>
      </w:r>
      <w:r>
        <w:rPr>
          <w:rFonts w:hint="eastAsia" w:ascii="宋体" w:hAnsi="宋体" w:cs="仿宋"/>
          <w:kern w:val="0"/>
          <w:szCs w:val="24"/>
          <w:vertAlign w:val="subscript"/>
        </w:rPr>
        <w:t>低</w:t>
      </w:r>
    </w:p>
    <w:p>
      <w:pPr>
        <w:widowControl/>
        <w:snapToGrid w:val="0"/>
        <w:spacing w:line="360" w:lineRule="auto"/>
        <w:ind w:firstLine="420" w:firstLineChars="200"/>
        <w:rPr>
          <w:rFonts w:ascii="宋体" w:hAnsi="宋体"/>
          <w:szCs w:val="24"/>
        </w:rPr>
      </w:pPr>
      <w:r>
        <w:rPr>
          <w:rFonts w:ascii="宋体" w:hAnsi="宋体" w:cs="仿宋"/>
          <w:szCs w:val="24"/>
        </w:rPr>
        <w:t>Q</w:t>
      </w:r>
      <w:r>
        <w:rPr>
          <w:rFonts w:hint="eastAsia" w:ascii="宋体" w:hAnsi="宋体" w:cs="仿宋"/>
          <w:szCs w:val="24"/>
          <w:vertAlign w:val="subscript"/>
        </w:rPr>
        <w:t>低</w:t>
      </w:r>
      <w:r>
        <w:rPr>
          <w:rFonts w:hint="eastAsia" w:ascii="宋体" w:hAnsi="宋体" w:cs="仿宋"/>
          <w:szCs w:val="24"/>
        </w:rPr>
        <w:t>：为达到或超过技术标及格分数线的投标人最低报价与工程成本警示价两者中的较高值；</w:t>
      </w:r>
    </w:p>
    <w:p>
      <w:pPr>
        <w:spacing w:line="360" w:lineRule="auto"/>
        <w:ind w:firstLine="420" w:firstLineChars="200"/>
        <w:rPr>
          <w:rFonts w:ascii="宋体" w:hAnsi="宋体" w:cs="仿宋"/>
          <w:szCs w:val="24"/>
        </w:rPr>
      </w:pPr>
      <w:r>
        <w:rPr>
          <w:rFonts w:ascii="宋体" w:hAnsi="宋体" w:cs="仿宋"/>
          <w:kern w:val="0"/>
          <w:szCs w:val="24"/>
        </w:rPr>
        <w:t>Q</w:t>
      </w:r>
      <w:r>
        <w:rPr>
          <w:rFonts w:hint="eastAsia" w:ascii="宋体" w:hAnsi="宋体" w:cs="仿宋"/>
          <w:kern w:val="0"/>
          <w:szCs w:val="24"/>
          <w:vertAlign w:val="subscript"/>
        </w:rPr>
        <w:t>高</w:t>
      </w:r>
      <w:r>
        <w:rPr>
          <w:rFonts w:hint="eastAsia" w:ascii="宋体" w:hAnsi="宋体" w:cs="仿宋"/>
          <w:szCs w:val="24"/>
        </w:rPr>
        <w:t>：为（最高投标限价</w:t>
      </w:r>
      <w:r>
        <w:rPr>
          <w:rFonts w:ascii="宋体" w:hAnsi="宋体" w:cs="仿宋"/>
          <w:szCs w:val="24"/>
        </w:rPr>
        <w:t>*D%</w:t>
      </w:r>
      <w:r>
        <w:rPr>
          <w:rFonts w:hint="eastAsia" w:ascii="宋体" w:hAnsi="宋体" w:cs="仿宋"/>
          <w:szCs w:val="24"/>
        </w:rPr>
        <w:t>）（</w:t>
      </w:r>
      <w:r>
        <w:rPr>
          <w:rFonts w:ascii="宋体" w:hAnsi="宋体" w:cs="仿宋"/>
          <w:szCs w:val="24"/>
        </w:rPr>
        <w:t>D</w:t>
      </w:r>
      <w:r>
        <w:rPr>
          <w:rFonts w:hint="eastAsia" w:ascii="宋体" w:hAnsi="宋体" w:cs="仿宋"/>
          <w:szCs w:val="24"/>
        </w:rPr>
        <w:t>的取值范围为</w:t>
      </w:r>
      <w:r>
        <w:rPr>
          <w:rFonts w:ascii="宋体" w:hAnsi="宋体" w:cs="仿宋"/>
          <w:szCs w:val="24"/>
        </w:rPr>
        <w:t>[94,100],</w:t>
      </w:r>
      <w:r>
        <w:rPr>
          <w:rFonts w:hint="eastAsia" w:ascii="宋体" w:hAnsi="宋体" w:cs="仿宋"/>
          <w:szCs w:val="24"/>
        </w:rPr>
        <w:t>由招标人自定）</w:t>
      </w:r>
    </w:p>
    <w:p>
      <w:pPr>
        <w:spacing w:line="360" w:lineRule="auto"/>
        <w:ind w:firstLine="470" w:firstLineChars="224"/>
        <w:rPr>
          <w:rFonts w:ascii="宋体" w:hAnsi="宋体" w:cs="仿宋"/>
          <w:szCs w:val="24"/>
        </w:rPr>
      </w:pPr>
      <w:r>
        <w:rPr>
          <w:rFonts w:hint="eastAsia" w:ascii="宋体" w:hAnsi="宋体" w:cs="仿宋"/>
          <w:szCs w:val="24"/>
        </w:rPr>
        <w:t xml:space="preserve">    </w:t>
      </w:r>
      <w:r>
        <w:rPr>
          <w:rFonts w:ascii="宋体" w:hAnsi="宋体" w:cs="仿宋"/>
          <w:szCs w:val="24"/>
        </w:rPr>
        <w:t>X:</w:t>
      </w:r>
      <w:r>
        <w:rPr>
          <w:rFonts w:hint="eastAsia" w:ascii="宋体" w:hAnsi="宋体" w:cs="仿宋"/>
          <w:szCs w:val="24"/>
        </w:rPr>
        <w:t>为等分点值，从</w:t>
      </w:r>
      <w:r>
        <w:rPr>
          <w:rFonts w:ascii="宋体" w:hAnsi="宋体" w:cs="仿宋"/>
          <w:szCs w:val="24"/>
        </w:rPr>
        <w:t>[0,100]</w:t>
      </w:r>
      <w:r>
        <w:rPr>
          <w:rFonts w:hint="eastAsia" w:ascii="宋体" w:hAnsi="宋体" w:cs="仿宋"/>
          <w:szCs w:val="24"/>
        </w:rPr>
        <w:t>整数中随机抽取</w:t>
      </w:r>
    </w:p>
    <w:p>
      <w:pPr>
        <w:spacing w:line="360" w:lineRule="auto"/>
        <w:ind w:firstLine="470" w:firstLineChars="224"/>
        <w:rPr>
          <w:rFonts w:ascii="宋体" w:hAnsi="宋体"/>
          <w:szCs w:val="21"/>
        </w:rPr>
      </w:pPr>
      <w:bookmarkStart w:id="27" w:name="_Hlk4595054"/>
      <w:r>
        <w:rPr>
          <w:rFonts w:hint="eastAsia" w:ascii="宋体" w:hAnsi="宋体"/>
          <w:szCs w:val="21"/>
        </w:rPr>
        <w:t>42.4.3.2当标价等于评标参考价时得100分，标价每高于评标参考价1%，扣1.5分，每低于评标参考价1%，扣1分，扣至0分为止，得出经济分，精确到小数点后两位。</w:t>
      </w:r>
    </w:p>
    <w:p>
      <w:pPr>
        <w:spacing w:line="360" w:lineRule="auto"/>
        <w:rPr>
          <w:rFonts w:ascii="宋体" w:hAnsi="宋体"/>
          <w:sz w:val="18"/>
        </w:rPr>
      </w:pPr>
      <w:r>
        <w:rPr>
          <w:rFonts w:hint="eastAsia" w:ascii="宋体" w:hAnsi="宋体"/>
        </w:rPr>
        <w:t>42.4.3.3评标委员会按投标须知前附表第32项的规定确定排序。</w:t>
      </w:r>
    </w:p>
    <w:bookmarkEnd w:id="27"/>
    <w:p>
      <w:pPr>
        <w:spacing w:line="360" w:lineRule="auto"/>
        <w:ind w:firstLine="422" w:firstLineChars="200"/>
        <w:rPr>
          <w:rFonts w:ascii="宋体" w:hAnsi="宋体"/>
          <w:szCs w:val="24"/>
          <w:u w:val="single"/>
        </w:rPr>
      </w:pPr>
      <w:r>
        <w:rPr>
          <w:rFonts w:hint="eastAsia" w:ascii="宋体" w:hAnsi="宋体"/>
          <w:b/>
          <w:szCs w:val="21"/>
        </w:rPr>
        <w:t>现文：</w:t>
      </w:r>
      <w:r>
        <w:rPr>
          <w:rFonts w:ascii="宋体" w:hAnsi="宋体"/>
        </w:rPr>
        <w:t xml:space="preserve"> </w:t>
      </w:r>
      <w:r>
        <w:rPr>
          <w:rFonts w:hint="eastAsia" w:ascii="宋体" w:hAnsi="宋体"/>
          <w:szCs w:val="21"/>
        </w:rPr>
        <w:t>4</w:t>
      </w:r>
      <w:r>
        <w:rPr>
          <w:rFonts w:ascii="宋体" w:hAnsi="宋体"/>
          <w:szCs w:val="21"/>
        </w:rPr>
        <w:t>2.4.3.1</w:t>
      </w:r>
      <w:r>
        <w:rPr>
          <w:rFonts w:hint="eastAsia" w:ascii="宋体" w:hAnsi="宋体"/>
          <w:szCs w:val="21"/>
        </w:rPr>
        <w:t xml:space="preserve"> </w:t>
      </w:r>
      <w:r>
        <w:rPr>
          <w:rFonts w:hint="eastAsia" w:ascii="宋体" w:hAnsi="宋体"/>
          <w:szCs w:val="24"/>
          <w:u w:val="single"/>
        </w:rPr>
        <w:t>按方法 一 计算评标参考价：</w:t>
      </w:r>
    </w:p>
    <w:p>
      <w:pPr>
        <w:widowControl/>
        <w:spacing w:line="360" w:lineRule="auto"/>
        <w:ind w:firstLine="440" w:firstLineChars="200"/>
        <w:jc w:val="left"/>
        <w:rPr>
          <w:rFonts w:ascii="宋体" w:hAnsi="宋体"/>
          <w:kern w:val="0"/>
          <w:sz w:val="22"/>
        </w:rPr>
      </w:pPr>
      <w:r>
        <w:rPr>
          <w:rFonts w:hint="eastAsia" w:ascii="宋体" w:hAnsi="宋体"/>
          <w:kern w:val="0"/>
          <w:sz w:val="22"/>
        </w:rPr>
        <w:t>方法一：加权平均法</w:t>
      </w:r>
    </w:p>
    <w:p>
      <w:pPr>
        <w:spacing w:line="360" w:lineRule="auto"/>
        <w:ind w:firstLine="420" w:firstLineChars="200"/>
        <w:rPr>
          <w:rFonts w:ascii="宋体" w:hAnsi="宋体" w:cs="仿宋"/>
          <w:szCs w:val="24"/>
        </w:rPr>
      </w:pPr>
      <w:r>
        <w:rPr>
          <w:rFonts w:hint="eastAsia" w:ascii="宋体" w:hAnsi="宋体" w:cs="仿宋"/>
          <w:szCs w:val="24"/>
          <w:u w:val="single"/>
        </w:rPr>
        <w:t>第一阶段得分前N名（N值根据投标须知前附表第24项所规定的方式确定。得分相同投标报价低者排名靠前）</w:t>
      </w:r>
      <w:r>
        <w:rPr>
          <w:rFonts w:hint="eastAsia" w:ascii="宋体" w:hAnsi="宋体" w:cs="仿宋"/>
          <w:szCs w:val="24"/>
        </w:rPr>
        <w:t>的经济报价加权平均，计算评标参考价。如果进入第二阶段的投标人不足N名，则全部作为评标参考价的依据。</w:t>
      </w:r>
    </w:p>
    <w:p>
      <w:pPr>
        <w:spacing w:line="360" w:lineRule="auto"/>
        <w:ind w:firstLine="420" w:firstLineChars="200"/>
        <w:rPr>
          <w:rFonts w:ascii="宋体" w:hAnsi="宋体" w:cs="仿宋"/>
          <w:szCs w:val="24"/>
        </w:rPr>
      </w:pPr>
      <w:r>
        <w:rPr>
          <w:rFonts w:hint="eastAsia" w:ascii="宋体" w:hAnsi="宋体" w:cs="仿宋"/>
          <w:szCs w:val="24"/>
        </w:rPr>
        <w:t>公式如下：</w:t>
      </w:r>
    </w:p>
    <w:p>
      <w:pPr>
        <w:spacing w:line="360" w:lineRule="auto"/>
        <w:ind w:firstLine="420" w:firstLineChars="200"/>
        <w:rPr>
          <w:rFonts w:ascii="宋体" w:hAnsi="宋体" w:cs="仿宋"/>
          <w:szCs w:val="24"/>
        </w:rPr>
      </w:pPr>
      <w:r>
        <w:rPr>
          <w:rFonts w:hint="eastAsia" w:ascii="宋体" w:hAnsi="宋体" w:cs="仿宋"/>
          <w:szCs w:val="24"/>
        </w:rPr>
        <w:t>评标参考价</w:t>
      </w:r>
      <w:r>
        <w:rPr>
          <w:rFonts w:ascii="宋体" w:hAnsi="宋体" w:cs="仿宋"/>
          <w:szCs w:val="24"/>
        </w:rPr>
        <w:t>=</w:t>
      </w:r>
      <w:r>
        <w:rPr>
          <w:rFonts w:hint="eastAsia" w:ascii="宋体" w:hAnsi="宋体" w:cs="仿宋"/>
          <w:szCs w:val="24"/>
        </w:rPr>
        <w:t>Σ（投标人的投标报价</w:t>
      </w:r>
      <w:r>
        <w:rPr>
          <w:rFonts w:ascii="宋体" w:hAnsi="宋体" w:cs="仿宋"/>
          <w:szCs w:val="24"/>
        </w:rPr>
        <w:t>*</w:t>
      </w:r>
      <w:r>
        <w:rPr>
          <w:rFonts w:hint="eastAsia" w:ascii="宋体" w:hAnsi="宋体" w:cs="仿宋"/>
          <w:szCs w:val="24"/>
        </w:rPr>
        <w:t>报价权重）。</w:t>
      </w:r>
    </w:p>
    <w:p>
      <w:pPr>
        <w:widowControl/>
        <w:spacing w:line="360" w:lineRule="auto"/>
        <w:ind w:firstLine="420"/>
        <w:jc w:val="left"/>
        <w:rPr>
          <w:rFonts w:ascii="宋体" w:hAnsi="宋体"/>
          <w:kern w:val="0"/>
          <w:sz w:val="22"/>
        </w:rPr>
      </w:pPr>
      <w:r>
        <w:rPr>
          <w:rFonts w:hint="eastAsia" w:ascii="宋体" w:hAnsi="宋体" w:cs="仿宋"/>
          <w:szCs w:val="24"/>
        </w:rPr>
        <w:t>其中：报价权重的计算方法为：将</w:t>
      </w:r>
      <w:r>
        <w:rPr>
          <w:rFonts w:ascii="宋体" w:hAnsi="宋体" w:cs="仿宋"/>
          <w:szCs w:val="24"/>
        </w:rPr>
        <w:t>N</w:t>
      </w:r>
      <w:r>
        <w:rPr>
          <w:rFonts w:hint="eastAsia" w:ascii="宋体" w:hAnsi="宋体" w:cs="仿宋"/>
          <w:szCs w:val="24"/>
        </w:rPr>
        <w:t>名投标人按技术分由高至低进行排序，第一名投标人的权重为（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sz w:val="24"/>
          <w:szCs w:val="24"/>
        </w:rPr>
        <w:drawing>
          <wp:inline distT="0" distB="0" distL="114300" distR="114300">
            <wp:extent cx="381000" cy="447675"/>
            <wp:effectExtent l="0" t="0" r="0" b="9525"/>
            <wp:docPr id="3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sz w:val="24"/>
          <w:szCs w:val="24"/>
        </w:rPr>
        <w:drawing>
          <wp:inline distT="0" distB="0" distL="114300" distR="114300">
            <wp:extent cx="381000" cy="447675"/>
            <wp:effectExtent l="0" t="0" r="0" b="9525"/>
            <wp:docPr id="3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6"/>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Cs w:val="24"/>
        </w:rPr>
        <w:t>），第二名投标人的权重为（</w:t>
      </w:r>
      <w:r>
        <w:rPr>
          <w:rFonts w:ascii="宋体" w:hAnsi="宋体"/>
          <w:position w:val="-23"/>
          <w:sz w:val="24"/>
          <w:szCs w:val="24"/>
        </w:rPr>
        <w:drawing>
          <wp:inline distT="0" distB="0" distL="114300" distR="114300">
            <wp:extent cx="323850" cy="400050"/>
            <wp:effectExtent l="0" t="0" r="6350" b="5715"/>
            <wp:docPr id="3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7"/>
                    <pic:cNvPicPr>
                      <a:picLocks noChangeAspect="1"/>
                    </pic:cNvPicPr>
                  </pic:nvPicPr>
                  <pic:blipFill>
                    <a:blip r:embed="rId28">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仿宋"/>
          <w:sz w:val="24"/>
          <w:szCs w:val="24"/>
        </w:rPr>
        <w:t>）</w:t>
      </w:r>
      <w:r>
        <w:rPr>
          <w:rFonts w:hint="eastAsia" w:ascii="宋体" w:hAnsi="宋体" w:cs="仿宋"/>
          <w:szCs w:val="24"/>
        </w:rPr>
        <w:t>，以此类推，最后一名投标人的权重为（</w:t>
      </w:r>
      <w:r>
        <w:rPr>
          <w:rFonts w:ascii="宋体" w:hAnsi="宋体"/>
          <w:position w:val="-23"/>
          <w:sz w:val="24"/>
          <w:szCs w:val="24"/>
        </w:rPr>
        <w:drawing>
          <wp:inline distT="0" distB="0" distL="114300" distR="114300">
            <wp:extent cx="323850" cy="400050"/>
            <wp:effectExtent l="0" t="0" r="6350" b="5715"/>
            <wp:docPr id="3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8"/>
                    <pic:cNvPicPr>
                      <a:picLocks noChangeAspect="1"/>
                    </pic:cNvPicPr>
                  </pic:nvPicPr>
                  <pic:blipFill>
                    <a:blip r:embed="rId29">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仿宋"/>
          <w:szCs w:val="24"/>
        </w:rPr>
        <w:t>）。</w:t>
      </w:r>
    </w:p>
    <w:p>
      <w:pPr>
        <w:pBdr>
          <w:bottom w:val="single" w:color="auto" w:sz="6" w:space="1"/>
        </w:pBdr>
        <w:spacing w:line="360" w:lineRule="auto"/>
        <w:rPr>
          <w:rFonts w:ascii="宋体" w:hAnsi="宋体"/>
          <w:szCs w:val="21"/>
        </w:rPr>
      </w:pPr>
      <w:r>
        <w:rPr>
          <w:rFonts w:hint="eastAsia" w:ascii="宋体" w:hAnsi="宋体"/>
          <w:szCs w:val="21"/>
        </w:rPr>
        <w:t>其中，N为计算评标参考价的投标人数量。</w:t>
      </w:r>
    </w:p>
    <w:p>
      <w:pPr>
        <w:pBdr>
          <w:bottom w:val="single" w:color="auto" w:sz="6" w:space="1"/>
        </w:pBdr>
        <w:spacing w:line="360" w:lineRule="auto"/>
        <w:rPr>
          <w:rFonts w:ascii="宋体" w:hAnsi="宋体"/>
          <w:szCs w:val="21"/>
        </w:rPr>
      </w:pPr>
      <w:r>
        <w:rPr>
          <w:rFonts w:hint="eastAsia" w:ascii="宋体" w:hAnsi="宋体"/>
          <w:szCs w:val="21"/>
        </w:rPr>
        <w:t>42.4.3.2当标价等于评标参考价时得100分，标价每高于评标参考价1%，</w:t>
      </w:r>
      <w:r>
        <w:rPr>
          <w:rFonts w:hint="eastAsia" w:ascii="宋体" w:hAnsi="宋体"/>
          <w:b/>
          <w:szCs w:val="21"/>
          <w:u w:val="single"/>
        </w:rPr>
        <w:t>扣1分</w:t>
      </w:r>
      <w:r>
        <w:rPr>
          <w:rFonts w:hint="eastAsia" w:ascii="宋体" w:hAnsi="宋体"/>
          <w:szCs w:val="21"/>
        </w:rPr>
        <w:t>，每低于评标参考价1%，</w:t>
      </w:r>
      <w:r>
        <w:rPr>
          <w:rFonts w:hint="eastAsia" w:ascii="宋体" w:hAnsi="宋体"/>
          <w:b/>
          <w:szCs w:val="21"/>
          <w:u w:val="single"/>
        </w:rPr>
        <w:t>扣0.5分</w:t>
      </w:r>
      <w:r>
        <w:rPr>
          <w:rFonts w:hint="eastAsia" w:ascii="宋体" w:hAnsi="宋体"/>
          <w:szCs w:val="21"/>
        </w:rPr>
        <w:t>，扣至0分为止，得出经济分，精确到小数点后两位。</w:t>
      </w:r>
    </w:p>
    <w:p>
      <w:pPr>
        <w:pBdr>
          <w:bottom w:val="single" w:color="auto" w:sz="6" w:space="1"/>
        </w:pBdr>
        <w:spacing w:line="360" w:lineRule="auto"/>
        <w:rPr>
          <w:rFonts w:ascii="宋体" w:hAnsi="宋体"/>
          <w:szCs w:val="21"/>
        </w:rPr>
      </w:pPr>
      <w:r>
        <w:rPr>
          <w:rFonts w:hint="eastAsia" w:ascii="宋体" w:hAnsi="宋体"/>
        </w:rPr>
        <w:t>42.4.3.3评标委员会按投标须知前附表第32项的规定确定排序。</w:t>
      </w:r>
    </w:p>
    <w:p>
      <w:pPr>
        <w:spacing w:line="360" w:lineRule="auto"/>
        <w:ind w:firstLine="472" w:firstLineChars="224"/>
        <w:rPr>
          <w:rFonts w:ascii="宋体" w:hAnsi="宋体"/>
          <w:b/>
          <w:szCs w:val="21"/>
        </w:rPr>
      </w:pPr>
      <w:r>
        <w:rPr>
          <w:rFonts w:hint="eastAsia" w:ascii="宋体" w:hAnsi="宋体"/>
          <w:b/>
          <w:szCs w:val="21"/>
        </w:rPr>
        <w:t>条款号：</w:t>
      </w:r>
      <w:r>
        <w:rPr>
          <w:rFonts w:ascii="宋体" w:hAnsi="宋体"/>
          <w:b/>
          <w:szCs w:val="21"/>
        </w:rPr>
        <w:t>42.4.</w:t>
      </w:r>
      <w:r>
        <w:rPr>
          <w:rFonts w:hint="eastAsia" w:ascii="宋体" w:hAnsi="宋体"/>
          <w:b/>
          <w:szCs w:val="21"/>
        </w:rPr>
        <w:t>4</w:t>
      </w:r>
      <w:r>
        <w:rPr>
          <w:rFonts w:ascii="宋体" w:hAnsi="宋体"/>
          <w:b/>
          <w:szCs w:val="21"/>
        </w:rPr>
        <w:t xml:space="preserve">             </w:t>
      </w:r>
      <w:r>
        <w:rPr>
          <w:rFonts w:hint="eastAsia" w:ascii="宋体" w:hAnsi="宋体"/>
          <w:b/>
          <w:szCs w:val="21"/>
        </w:rPr>
        <w:t>修改类型：修改</w:t>
      </w:r>
    </w:p>
    <w:p>
      <w:pPr>
        <w:spacing w:line="360" w:lineRule="auto"/>
        <w:ind w:firstLine="472" w:firstLineChars="224"/>
        <w:rPr>
          <w:rFonts w:ascii="宋体" w:hAnsi="宋体"/>
          <w:szCs w:val="21"/>
        </w:rPr>
      </w:pPr>
      <w:r>
        <w:rPr>
          <w:rFonts w:hint="eastAsia" w:ascii="宋体" w:hAnsi="宋体"/>
          <w:b/>
          <w:szCs w:val="21"/>
        </w:rPr>
        <w:t>原文：</w:t>
      </w:r>
      <w:r>
        <w:rPr>
          <w:rFonts w:hint="eastAsia" w:ascii="宋体" w:hAnsi="宋体"/>
          <w:szCs w:val="21"/>
        </w:rPr>
        <w:t>4</w:t>
      </w:r>
      <w:r>
        <w:rPr>
          <w:rFonts w:ascii="宋体" w:hAnsi="宋体"/>
          <w:szCs w:val="21"/>
        </w:rPr>
        <w:t>2.4.</w:t>
      </w:r>
      <w:r>
        <w:rPr>
          <w:rFonts w:hint="eastAsia" w:ascii="宋体" w:hAnsi="宋体"/>
          <w:szCs w:val="21"/>
        </w:rPr>
        <w:t>4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360" w:lineRule="auto"/>
        <w:ind w:firstLine="527" w:firstLineChars="250"/>
        <w:rPr>
          <w:rFonts w:ascii="宋体" w:hAnsi="宋体"/>
        </w:rPr>
      </w:pPr>
      <w:r>
        <w:rPr>
          <w:rFonts w:hint="eastAsia" w:ascii="宋体" w:hAnsi="宋体"/>
          <w:b/>
          <w:szCs w:val="21"/>
        </w:rPr>
        <w:t>现文：</w:t>
      </w:r>
      <w:r>
        <w:rPr>
          <w:rFonts w:hint="eastAsia" w:ascii="宋体" w:hAnsi="宋体"/>
          <w:szCs w:val="21"/>
        </w:rPr>
        <w:t>4</w:t>
      </w:r>
      <w:r>
        <w:rPr>
          <w:rFonts w:ascii="宋体" w:hAnsi="宋体"/>
          <w:szCs w:val="21"/>
        </w:rPr>
        <w:t>2.4.</w:t>
      </w:r>
      <w:r>
        <w:rPr>
          <w:rFonts w:hint="eastAsia" w:ascii="宋体" w:hAnsi="宋体"/>
          <w:szCs w:val="21"/>
        </w:rPr>
        <w:t>4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b/>
          <w:bCs/>
          <w:szCs w:val="21"/>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19"/>
      </w:pPr>
    </w:p>
    <w:p>
      <w:pPr>
        <w:spacing w:line="360" w:lineRule="auto"/>
        <w:ind w:firstLine="211" w:firstLineChars="100"/>
        <w:rPr>
          <w:b/>
          <w:szCs w:val="21"/>
        </w:rPr>
      </w:pPr>
    </w:p>
    <w:p>
      <w:pPr>
        <w:spacing w:line="360" w:lineRule="auto"/>
        <w:ind w:firstLine="211" w:firstLineChars="100"/>
        <w:rPr>
          <w:b/>
          <w:szCs w:val="21"/>
        </w:rPr>
      </w:pPr>
      <w:r>
        <w:rPr>
          <w:rFonts w:hint="eastAsia"/>
          <w:b/>
          <w:szCs w:val="21"/>
        </w:rPr>
        <w:t>注：以上修改，仅限于本范本中有可供选择条款的情形。</w:t>
      </w:r>
    </w:p>
    <w:p>
      <w:pPr>
        <w:spacing w:line="360" w:lineRule="auto"/>
      </w:pPr>
      <w:r>
        <w:rPr>
          <w:rFonts w:hint="eastAsia"/>
          <w:b/>
          <w:szCs w:val="21"/>
        </w:rPr>
        <w:t>（以下无正文）</w:t>
      </w:r>
    </w:p>
    <w:p>
      <w:pPr>
        <w:spacing w:line="360" w:lineRule="auto"/>
      </w:pPr>
      <w:r>
        <w:br w:type="page"/>
      </w:r>
    </w:p>
    <w:p>
      <w:pPr>
        <w:pStyle w:val="4"/>
        <w:ind w:firstLine="525"/>
        <w:rPr>
          <w:color w:val="auto"/>
        </w:rPr>
      </w:pPr>
      <w:bookmarkStart w:id="28" w:name="_Toc21525500"/>
      <w:bookmarkStart w:id="29" w:name="_Toc2272556"/>
      <w:r>
        <w:rPr>
          <w:rFonts w:hint="eastAsia"/>
          <w:color w:val="auto"/>
        </w:rPr>
        <w:t>二、开标、评标及定标办法</w:t>
      </w:r>
      <w:r>
        <w:rPr>
          <w:rFonts w:hint="eastAsia"/>
          <w:color w:val="auto"/>
          <w:szCs w:val="30"/>
        </w:rPr>
        <w:t>通用条款</w:t>
      </w:r>
      <w:bookmarkEnd w:id="28"/>
      <w:bookmarkEnd w:id="29"/>
    </w:p>
    <w:p>
      <w:pPr>
        <w:pStyle w:val="5"/>
        <w:spacing w:before="156" w:after="156"/>
        <w:ind w:firstLine="540" w:firstLineChars="200"/>
      </w:pPr>
      <w:bookmarkStart w:id="30" w:name="_Toc2272557"/>
      <w:bookmarkStart w:id="31" w:name="_Toc21525501"/>
      <w:r>
        <w:rPr>
          <w:rFonts w:hint="eastAsia"/>
        </w:rPr>
        <w:t>（一）总则</w:t>
      </w:r>
      <w:bookmarkEnd w:id="30"/>
      <w:bookmarkEnd w:id="31"/>
    </w:p>
    <w:p>
      <w:pPr>
        <w:spacing w:line="360" w:lineRule="auto"/>
        <w:ind w:firstLine="480" w:firstLineChars="200"/>
        <w:rPr>
          <w:rFonts w:ascii="宋体" w:hAnsi="宋体"/>
          <w:b/>
          <w:sz w:val="24"/>
          <w:szCs w:val="24"/>
        </w:rPr>
      </w:pPr>
      <w:r>
        <w:rPr>
          <w:rFonts w:ascii="宋体" w:hAnsi="宋体"/>
          <w:sz w:val="24"/>
          <w:szCs w:val="24"/>
        </w:rPr>
        <w:t xml:space="preserve">35 </w:t>
      </w:r>
      <w:r>
        <w:rPr>
          <w:rFonts w:hint="eastAsia" w:ascii="宋体" w:hAnsi="宋体"/>
          <w:sz w:val="24"/>
          <w:szCs w:val="24"/>
        </w:rPr>
        <w:t>开标、评标及定标所依据的规则</w:t>
      </w:r>
    </w:p>
    <w:p>
      <w:pPr>
        <w:spacing w:line="360" w:lineRule="auto"/>
        <w:ind w:firstLine="480" w:firstLineChars="200"/>
        <w:rPr>
          <w:rFonts w:ascii="宋体" w:hAnsi="宋体"/>
          <w:sz w:val="24"/>
          <w:szCs w:val="24"/>
        </w:rPr>
      </w:pPr>
      <w:r>
        <w:rPr>
          <w:rFonts w:ascii="宋体" w:hAnsi="宋体"/>
          <w:sz w:val="24"/>
          <w:szCs w:val="24"/>
        </w:rPr>
        <w:t>35.1</w:t>
      </w:r>
      <w:r>
        <w:rPr>
          <w:rFonts w:hint="eastAsia" w:ascii="宋体" w:hAnsi="宋体"/>
          <w:sz w:val="24"/>
          <w:szCs w:val="24"/>
        </w:rPr>
        <w:t>《中华人民共和国招标投标法》；</w:t>
      </w:r>
    </w:p>
    <w:p>
      <w:pPr>
        <w:spacing w:line="360" w:lineRule="auto"/>
        <w:ind w:firstLine="480" w:firstLineChars="200"/>
        <w:rPr>
          <w:rFonts w:ascii="宋体" w:hAnsi="宋体"/>
          <w:sz w:val="24"/>
          <w:szCs w:val="24"/>
        </w:rPr>
      </w:pPr>
      <w:r>
        <w:rPr>
          <w:rFonts w:ascii="宋体" w:hAnsi="宋体"/>
          <w:sz w:val="24"/>
          <w:szCs w:val="24"/>
        </w:rPr>
        <w:t>35.2</w:t>
      </w:r>
      <w:r>
        <w:rPr>
          <w:rFonts w:hint="eastAsia" w:ascii="宋体" w:hAnsi="宋体"/>
          <w:sz w:val="24"/>
          <w:szCs w:val="24"/>
        </w:rPr>
        <w:t>《中华人民共和国招标投标法实施条例》；</w:t>
      </w:r>
    </w:p>
    <w:p>
      <w:pPr>
        <w:spacing w:line="360" w:lineRule="auto"/>
        <w:ind w:firstLine="480" w:firstLineChars="200"/>
        <w:rPr>
          <w:rFonts w:ascii="宋体" w:hAnsi="宋体"/>
          <w:sz w:val="24"/>
          <w:szCs w:val="24"/>
        </w:rPr>
      </w:pPr>
      <w:r>
        <w:rPr>
          <w:rFonts w:ascii="宋体" w:hAnsi="宋体"/>
          <w:sz w:val="24"/>
          <w:szCs w:val="24"/>
        </w:rPr>
        <w:t>35.3</w:t>
      </w:r>
      <w:r>
        <w:rPr>
          <w:rFonts w:hint="eastAsia" w:ascii="宋体" w:hAnsi="宋体"/>
          <w:sz w:val="24"/>
          <w:szCs w:val="24"/>
        </w:rPr>
        <w:t>《评标委员会和评标方法暂行规定》（七部委第</w:t>
      </w:r>
      <w:r>
        <w:rPr>
          <w:rFonts w:ascii="宋体" w:hAnsi="宋体"/>
          <w:sz w:val="24"/>
          <w:szCs w:val="24"/>
        </w:rPr>
        <w:t>12</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35.4</w:t>
      </w:r>
      <w:r>
        <w:rPr>
          <w:rFonts w:hint="eastAsia" w:ascii="宋体" w:hAnsi="宋体"/>
          <w:sz w:val="24"/>
          <w:szCs w:val="24"/>
        </w:rPr>
        <w:t>《工程建设项目施工招标投标办法》（七部委</w:t>
      </w:r>
      <w:r>
        <w:rPr>
          <w:rFonts w:ascii="宋体" w:hAnsi="宋体"/>
          <w:sz w:val="24"/>
          <w:szCs w:val="24"/>
        </w:rPr>
        <w:t>2003</w:t>
      </w:r>
      <w:r>
        <w:rPr>
          <w:rFonts w:hint="eastAsia" w:ascii="宋体" w:hAnsi="宋体"/>
          <w:sz w:val="24"/>
          <w:szCs w:val="24"/>
        </w:rPr>
        <w:t>年第</w:t>
      </w:r>
      <w:r>
        <w:rPr>
          <w:rFonts w:ascii="宋体" w:hAnsi="宋体"/>
          <w:sz w:val="24"/>
          <w:szCs w:val="24"/>
        </w:rPr>
        <w:t>30</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35.5</w:t>
      </w:r>
      <w:r>
        <w:rPr>
          <w:rFonts w:hint="eastAsia" w:ascii="宋体" w:hAnsi="宋体"/>
          <w:sz w:val="24"/>
          <w:szCs w:val="24"/>
        </w:rPr>
        <w:t>《广东省实施〈中华人民共和国招标投标法〉办法》；</w:t>
      </w:r>
    </w:p>
    <w:p>
      <w:pPr>
        <w:spacing w:line="360" w:lineRule="auto"/>
        <w:ind w:firstLine="480" w:firstLineChars="200"/>
        <w:rPr>
          <w:rFonts w:ascii="宋体" w:hAnsi="宋体"/>
          <w:sz w:val="24"/>
          <w:szCs w:val="24"/>
        </w:rPr>
      </w:pPr>
      <w:r>
        <w:rPr>
          <w:rFonts w:ascii="宋体" w:hAnsi="宋体"/>
          <w:sz w:val="24"/>
          <w:szCs w:val="24"/>
        </w:rPr>
        <w:t>35.6</w:t>
      </w:r>
      <w:r>
        <w:rPr>
          <w:rFonts w:hint="eastAsia" w:ascii="宋体" w:hAnsi="宋体"/>
          <w:sz w:val="24"/>
          <w:szCs w:val="24"/>
        </w:rPr>
        <w:t>《房屋建筑和市政基础设施工程施工招标投标管理办法》（建设部令第</w:t>
      </w:r>
      <w:r>
        <w:rPr>
          <w:rFonts w:ascii="宋体" w:hAnsi="宋体"/>
          <w:sz w:val="24"/>
          <w:szCs w:val="24"/>
        </w:rPr>
        <w:t>89</w:t>
      </w:r>
      <w:r>
        <w:rPr>
          <w:rFonts w:hint="eastAsia" w:ascii="宋体" w:hAnsi="宋体"/>
          <w:sz w:val="24"/>
          <w:szCs w:val="24"/>
        </w:rPr>
        <w:t>号）</w:t>
      </w:r>
    </w:p>
    <w:p>
      <w:pPr>
        <w:spacing w:line="360" w:lineRule="auto"/>
        <w:ind w:firstLine="480" w:firstLineChars="200"/>
        <w:rPr>
          <w:rFonts w:ascii="宋体" w:hAnsi="宋体"/>
          <w:sz w:val="24"/>
          <w:szCs w:val="24"/>
        </w:rPr>
      </w:pPr>
      <w:r>
        <w:rPr>
          <w:rFonts w:ascii="宋体" w:hAnsi="宋体"/>
          <w:sz w:val="24"/>
          <w:szCs w:val="24"/>
        </w:rPr>
        <w:t>35.7</w:t>
      </w:r>
      <w:r>
        <w:rPr>
          <w:rFonts w:hint="eastAsia" w:ascii="宋体" w:hAnsi="宋体"/>
          <w:sz w:val="24"/>
          <w:szCs w:val="24"/>
        </w:rPr>
        <w:t>《广东省加强建设工程招标投标监督管理的若干规定》（粤发[2004]4号）；</w:t>
      </w:r>
    </w:p>
    <w:p>
      <w:pPr>
        <w:spacing w:line="360" w:lineRule="auto"/>
        <w:ind w:firstLine="480" w:firstLineChars="200"/>
        <w:rPr>
          <w:rFonts w:ascii="宋体" w:hAnsi="宋体"/>
          <w:sz w:val="24"/>
          <w:szCs w:val="24"/>
        </w:rPr>
      </w:pPr>
      <w:r>
        <w:rPr>
          <w:rFonts w:ascii="宋体" w:hAnsi="宋体"/>
          <w:sz w:val="24"/>
          <w:szCs w:val="24"/>
        </w:rPr>
        <w:t>35.</w:t>
      </w:r>
      <w:r>
        <w:rPr>
          <w:rFonts w:hint="eastAsia" w:ascii="宋体" w:hAnsi="宋体"/>
          <w:sz w:val="24"/>
          <w:szCs w:val="24"/>
        </w:rPr>
        <w:t>8《广州市工程建设项目招标投标管理办法》（穗府办规〔2017〕5号）。</w:t>
      </w:r>
    </w:p>
    <w:p>
      <w:pPr>
        <w:spacing w:line="360" w:lineRule="auto"/>
        <w:ind w:firstLine="480" w:firstLineChars="200"/>
        <w:rPr>
          <w:rFonts w:ascii="宋体" w:hAnsi="宋体"/>
          <w:sz w:val="24"/>
          <w:szCs w:val="24"/>
        </w:rPr>
      </w:pPr>
      <w:r>
        <w:rPr>
          <w:rFonts w:hint="eastAsia" w:ascii="宋体" w:hAnsi="宋体"/>
          <w:sz w:val="24"/>
          <w:szCs w:val="24"/>
        </w:rPr>
        <w:t>35.9本项目招标文件。</w:t>
      </w:r>
    </w:p>
    <w:p>
      <w:pPr>
        <w:spacing w:line="360" w:lineRule="auto"/>
        <w:ind w:firstLine="480" w:firstLineChars="200"/>
        <w:rPr>
          <w:rFonts w:ascii="宋体" w:hAnsi="宋体"/>
          <w:sz w:val="24"/>
          <w:szCs w:val="24"/>
        </w:rPr>
      </w:pPr>
      <w:r>
        <w:rPr>
          <w:rFonts w:ascii="宋体" w:hAnsi="宋体"/>
          <w:sz w:val="24"/>
          <w:szCs w:val="24"/>
        </w:rPr>
        <w:t>36</w:t>
      </w:r>
      <w:r>
        <w:rPr>
          <w:rFonts w:hint="eastAsia" w:ascii="宋体" w:hAnsi="宋体"/>
          <w:sz w:val="24"/>
          <w:szCs w:val="24"/>
        </w:rPr>
        <w:t>．开标</w:t>
      </w:r>
    </w:p>
    <w:p>
      <w:pPr>
        <w:spacing w:line="360" w:lineRule="auto"/>
        <w:ind w:firstLine="480" w:firstLineChars="200"/>
        <w:rPr>
          <w:rFonts w:ascii="宋体" w:hAnsi="宋体"/>
          <w:sz w:val="24"/>
          <w:szCs w:val="24"/>
        </w:rPr>
      </w:pPr>
      <w:r>
        <w:rPr>
          <w:rFonts w:ascii="宋体" w:hAnsi="宋体"/>
          <w:sz w:val="24"/>
          <w:szCs w:val="24"/>
        </w:rPr>
        <w:t xml:space="preserve">36.1 </w:t>
      </w:r>
      <w:r>
        <w:rPr>
          <w:rFonts w:hint="eastAsia" w:ascii="宋体" w:hAnsi="宋体"/>
          <w:sz w:val="24"/>
          <w:szCs w:val="24"/>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sz w:val="24"/>
          <w:szCs w:val="24"/>
        </w:rPr>
      </w:pPr>
      <w:r>
        <w:rPr>
          <w:rFonts w:ascii="宋体" w:hAnsi="宋体"/>
          <w:sz w:val="24"/>
          <w:szCs w:val="24"/>
        </w:rPr>
        <w:t>36.2</w:t>
      </w:r>
      <w:r>
        <w:rPr>
          <w:rFonts w:hint="eastAsia" w:ascii="宋体" w:hAnsi="宋体"/>
          <w:sz w:val="24"/>
          <w:szCs w:val="24"/>
        </w:rPr>
        <w:t xml:space="preserve"> 招标人在招标文件要求提交投标文件的截止时间前收到的投标文件，开标时都当众予以解密、公布。</w:t>
      </w:r>
    </w:p>
    <w:p>
      <w:pPr>
        <w:spacing w:line="360" w:lineRule="auto"/>
        <w:ind w:firstLine="480" w:firstLineChars="200"/>
        <w:rPr>
          <w:rFonts w:ascii="宋体" w:hAnsi="宋体"/>
          <w:strike/>
          <w:sz w:val="24"/>
          <w:szCs w:val="24"/>
        </w:rPr>
      </w:pPr>
      <w:r>
        <w:rPr>
          <w:rFonts w:hint="eastAsia" w:ascii="宋体" w:hAnsi="宋体"/>
          <w:strike/>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sz w:val="24"/>
          <w:szCs w:val="24"/>
        </w:rPr>
      </w:pPr>
      <w:r>
        <w:rPr>
          <w:rFonts w:hint="eastAsia" w:ascii="宋体" w:hAnsi="宋体"/>
          <w:sz w:val="24"/>
          <w:szCs w:val="24"/>
        </w:rPr>
        <w:t>36.4若递交投标文件的投标人不足3家，则重新组织招标。（当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p>
    <w:p>
      <w:pPr>
        <w:spacing w:line="360" w:lineRule="auto"/>
        <w:ind w:firstLine="480" w:firstLineChars="200"/>
        <w:rPr>
          <w:rFonts w:ascii="宋体" w:hAnsi="宋体"/>
          <w:sz w:val="24"/>
        </w:rPr>
      </w:pPr>
      <w:r>
        <w:rPr>
          <w:rFonts w:hint="eastAsia" w:ascii="宋体" w:hAnsi="宋体"/>
          <w:sz w:val="24"/>
        </w:rPr>
        <w:t>36.5按下列程序进行开标：</w:t>
      </w:r>
    </w:p>
    <w:p>
      <w:pPr>
        <w:spacing w:line="360" w:lineRule="auto"/>
        <w:ind w:firstLine="480" w:firstLineChars="200"/>
        <w:rPr>
          <w:rFonts w:ascii="宋体" w:hAnsi="宋体"/>
          <w:sz w:val="24"/>
        </w:rPr>
      </w:pPr>
      <w:r>
        <w:rPr>
          <w:rFonts w:hint="eastAsia" w:ascii="宋体" w:hAnsi="宋体"/>
          <w:sz w:val="24"/>
        </w:rPr>
        <w:t>36.5.1在投标截止时间后一小时内，投标人通过</w:t>
      </w:r>
      <w:r>
        <w:rPr>
          <w:sz w:val="24"/>
          <w:szCs w:val="24"/>
          <w:u w:val="single"/>
        </w:rPr>
        <w:t xml:space="preserve"> </w:t>
      </w:r>
      <w:r>
        <w:rPr>
          <w:rFonts w:hint="eastAsia"/>
          <w:sz w:val="24"/>
          <w:szCs w:val="24"/>
          <w:u w:val="single"/>
        </w:rPr>
        <w:t>广州公共资源交易中心</w:t>
      </w:r>
      <w:r>
        <w:rPr>
          <w:sz w:val="24"/>
          <w:szCs w:val="24"/>
          <w:u w:val="single"/>
        </w:rPr>
        <w:t xml:space="preserve"> </w:t>
      </w:r>
      <w:r>
        <w:rPr>
          <w:rFonts w:hint="eastAsia" w:ascii="宋体" w:hAnsi="宋体"/>
          <w:sz w:val="24"/>
          <w:szCs w:val="24"/>
        </w:rPr>
        <w:t>交易平台</w:t>
      </w:r>
      <w:r>
        <w:rPr>
          <w:rFonts w:hint="eastAsia" w:ascii="宋体" w:hAnsi="宋体"/>
          <w:sz w:val="24"/>
        </w:rPr>
        <w:t>对已递交的电子投标文件进行解密。投标人完成解密后，</w:t>
      </w:r>
      <w:r>
        <w:rPr>
          <w:rFonts w:hint="eastAsia" w:ascii="宋体" w:hAnsi="宋体"/>
          <w:sz w:val="24"/>
          <w:u w:val="single"/>
        </w:rPr>
        <w:t>招标人现场抽取确定技术标得分前N（N值从5、6、7中随机抽取）名的投标人数量计算评标参考价</w:t>
      </w:r>
      <w:r>
        <w:rPr>
          <w:rFonts w:hint="eastAsia" w:ascii="宋体" w:hAnsi="宋体"/>
          <w:sz w:val="24"/>
        </w:rPr>
        <w:t>，再由招标人进行解密</w:t>
      </w:r>
      <w:r>
        <w:rPr>
          <w:rFonts w:hint="eastAsia" w:ascii="宋体" w:hAnsi="宋体"/>
          <w:strike/>
          <w:sz w:val="24"/>
        </w:rPr>
        <w:t>（如有项目负责人签到环节，应在项目负责人签到完成后，招标人再进行解密）</w:t>
      </w:r>
      <w:r>
        <w:rPr>
          <w:rFonts w:hint="eastAsia" w:ascii="宋体" w:hAnsi="宋体"/>
          <w:sz w:val="24"/>
        </w:rPr>
        <w:t>。解密完成后，公布招标项目名称、投标人名称、投标保证金的递交情况、投标报价、工期及其他内容；</w:t>
      </w:r>
    </w:p>
    <w:p>
      <w:pPr>
        <w:spacing w:line="360" w:lineRule="auto"/>
        <w:ind w:firstLine="480" w:firstLineChars="200"/>
        <w:rPr>
          <w:rFonts w:ascii="宋体" w:hAnsi="宋体"/>
          <w:sz w:val="24"/>
        </w:rPr>
      </w:pPr>
      <w:r>
        <w:rPr>
          <w:rFonts w:hint="eastAsia" w:ascii="宋体" w:hAnsi="宋体"/>
          <w:sz w:val="24"/>
        </w:rPr>
        <w:t>36.5.2备用光盘的读取按投标须知前附表第36项的规定执行；</w:t>
      </w:r>
    </w:p>
    <w:p>
      <w:pPr>
        <w:spacing w:line="360" w:lineRule="auto"/>
        <w:ind w:firstLine="480" w:firstLineChars="200"/>
        <w:rPr>
          <w:rFonts w:ascii="宋体" w:hAnsi="宋体"/>
          <w:sz w:val="24"/>
        </w:rPr>
      </w:pPr>
      <w:r>
        <w:rPr>
          <w:rFonts w:hint="eastAsia" w:ascii="宋体" w:hAnsi="宋体"/>
          <w:sz w:val="24"/>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sz w:val="24"/>
        </w:rPr>
      </w:pPr>
      <w:r>
        <w:rPr>
          <w:rFonts w:hint="eastAsia" w:ascii="宋体" w:hAnsi="宋体"/>
          <w:sz w:val="24"/>
        </w:rPr>
        <w:t>36.5.4开标结束。</w:t>
      </w:r>
    </w:p>
    <w:p>
      <w:pPr>
        <w:spacing w:line="360" w:lineRule="auto"/>
        <w:ind w:firstLine="480" w:firstLineChars="200"/>
        <w:rPr>
          <w:rFonts w:ascii="宋体" w:hAnsi="宋体"/>
          <w:sz w:val="24"/>
        </w:rPr>
      </w:pPr>
      <w:r>
        <w:rPr>
          <w:rFonts w:hint="eastAsia" w:ascii="宋体" w:hAnsi="宋体"/>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sz w:val="24"/>
        </w:rPr>
      </w:pPr>
      <w:r>
        <w:rPr>
          <w:rFonts w:hint="eastAsia" w:ascii="宋体" w:hAnsi="宋体"/>
          <w:sz w:val="24"/>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．评标</w:t>
      </w:r>
    </w:p>
    <w:p>
      <w:pPr>
        <w:spacing w:line="360" w:lineRule="auto"/>
        <w:ind w:firstLine="480" w:firstLineChars="200"/>
        <w:rPr>
          <w:rFonts w:ascii="宋体" w:hAnsi="宋体"/>
          <w:sz w:val="24"/>
          <w:szCs w:val="24"/>
        </w:rPr>
      </w:pPr>
      <w:r>
        <w:rPr>
          <w:rFonts w:ascii="宋体" w:hAnsi="宋体"/>
          <w:sz w:val="24"/>
          <w:szCs w:val="24"/>
        </w:rPr>
        <w:t>37.1</w:t>
      </w:r>
      <w:r>
        <w:rPr>
          <w:rFonts w:hint="eastAsia" w:ascii="宋体" w:hAnsi="宋体"/>
          <w:sz w:val="24"/>
          <w:szCs w:val="24"/>
        </w:rPr>
        <w:t>评标委员会由招标人依法组建。</w:t>
      </w:r>
    </w:p>
    <w:p>
      <w:pPr>
        <w:spacing w:line="360" w:lineRule="auto"/>
        <w:ind w:firstLine="480" w:firstLineChars="200"/>
        <w:rPr>
          <w:rFonts w:ascii="宋体" w:hAnsi="宋体"/>
          <w:sz w:val="24"/>
          <w:szCs w:val="24"/>
        </w:rPr>
      </w:pPr>
      <w:r>
        <w:rPr>
          <w:rFonts w:ascii="宋体" w:hAnsi="宋体"/>
          <w:sz w:val="24"/>
          <w:szCs w:val="24"/>
        </w:rPr>
        <w:t>37.2</w:t>
      </w:r>
      <w:r>
        <w:rPr>
          <w:rFonts w:hint="eastAsia" w:ascii="宋体" w:hAnsi="宋体"/>
          <w:sz w:val="24"/>
          <w:szCs w:val="24"/>
        </w:rPr>
        <w:t>评标委员会的职责及守则：</w:t>
      </w:r>
    </w:p>
    <w:p>
      <w:pPr>
        <w:spacing w:line="360" w:lineRule="auto"/>
        <w:ind w:firstLine="480" w:firstLineChars="200"/>
        <w:rPr>
          <w:rFonts w:ascii="宋体" w:hAnsi="宋体"/>
          <w:sz w:val="24"/>
          <w:szCs w:val="24"/>
        </w:rPr>
      </w:pPr>
      <w:r>
        <w:rPr>
          <w:rFonts w:ascii="宋体" w:hAnsi="宋体"/>
          <w:sz w:val="24"/>
          <w:szCs w:val="24"/>
        </w:rPr>
        <w:t>37.2.1</w:t>
      </w:r>
      <w:r>
        <w:rPr>
          <w:rFonts w:hint="eastAsia" w:ascii="宋体" w:hAnsi="宋体"/>
          <w:sz w:val="24"/>
          <w:szCs w:val="24"/>
        </w:rPr>
        <w:t>根据评标细则，对</w:t>
      </w:r>
      <w:r>
        <w:rPr>
          <w:rFonts w:hint="eastAsia" w:ascii="宋体" w:hAnsi="宋体"/>
          <w:sz w:val="24"/>
        </w:rPr>
        <w:t>投标文件</w:t>
      </w:r>
      <w:r>
        <w:rPr>
          <w:rFonts w:hint="eastAsia" w:ascii="宋体" w:hAnsi="宋体"/>
          <w:sz w:val="24"/>
          <w:szCs w:val="24"/>
        </w:rPr>
        <w:t>进行认真评审，完成评审报告；</w:t>
      </w:r>
    </w:p>
    <w:p>
      <w:pPr>
        <w:spacing w:line="360" w:lineRule="auto"/>
        <w:ind w:firstLine="480" w:firstLineChars="200"/>
        <w:rPr>
          <w:rFonts w:ascii="宋体" w:hAnsi="宋体"/>
          <w:sz w:val="24"/>
          <w:szCs w:val="24"/>
        </w:rPr>
      </w:pPr>
      <w:r>
        <w:rPr>
          <w:rFonts w:ascii="宋体" w:hAnsi="宋体"/>
          <w:sz w:val="24"/>
          <w:szCs w:val="24"/>
        </w:rPr>
        <w:t>37.2.2</w:t>
      </w:r>
      <w:r>
        <w:rPr>
          <w:rFonts w:hint="eastAsia" w:ascii="宋体" w:hAnsi="宋体"/>
          <w:sz w:val="24"/>
          <w:szCs w:val="24"/>
        </w:rPr>
        <w:t>向招标人报告评审意见，推荐合格的中标候选人。</w:t>
      </w:r>
    </w:p>
    <w:p>
      <w:pPr>
        <w:spacing w:line="360" w:lineRule="auto"/>
        <w:ind w:firstLine="480" w:firstLineChars="200"/>
        <w:rPr>
          <w:rFonts w:ascii="宋体" w:hAnsi="宋体"/>
          <w:sz w:val="24"/>
          <w:szCs w:val="24"/>
        </w:rPr>
      </w:pPr>
      <w:r>
        <w:rPr>
          <w:rFonts w:ascii="宋体" w:hAnsi="宋体"/>
          <w:bCs/>
          <w:sz w:val="24"/>
          <w:szCs w:val="24"/>
        </w:rPr>
        <w:t>37.2.3</w:t>
      </w:r>
      <w:r>
        <w:rPr>
          <w:rFonts w:ascii="宋体" w:hAnsi="宋体"/>
          <w:b/>
          <w:bCs/>
          <w:sz w:val="24"/>
          <w:szCs w:val="24"/>
        </w:rPr>
        <w:t xml:space="preserve"> </w:t>
      </w:r>
      <w:r>
        <w:rPr>
          <w:rFonts w:hint="eastAsia" w:ascii="宋体" w:hAnsi="宋体"/>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sz w:val="24"/>
          <w:szCs w:val="24"/>
        </w:rPr>
      </w:pPr>
      <w:r>
        <w:rPr>
          <w:rFonts w:ascii="宋体" w:hAnsi="宋体"/>
          <w:sz w:val="24"/>
          <w:szCs w:val="24"/>
        </w:rPr>
        <w:t>37.2.4</w:t>
      </w:r>
      <w:r>
        <w:rPr>
          <w:rFonts w:hint="eastAsia" w:ascii="宋体" w:hAnsi="宋体"/>
          <w:sz w:val="24"/>
          <w:szCs w:val="24"/>
        </w:rPr>
        <w:t>全体参与评标人员：</w:t>
      </w:r>
    </w:p>
    <w:p>
      <w:pPr>
        <w:spacing w:line="360" w:lineRule="auto"/>
        <w:ind w:firstLine="480" w:firstLineChars="200"/>
        <w:rPr>
          <w:rFonts w:ascii="宋体" w:hAnsi="宋体"/>
          <w:sz w:val="24"/>
          <w:szCs w:val="24"/>
        </w:rPr>
      </w:pPr>
      <w:r>
        <w:rPr>
          <w:rFonts w:ascii="宋体" w:hAnsi="宋体"/>
          <w:sz w:val="24"/>
          <w:szCs w:val="24"/>
        </w:rPr>
        <w:t xml:space="preserve">37.2.4.1 </w:t>
      </w:r>
      <w:r>
        <w:rPr>
          <w:rFonts w:hint="eastAsia" w:ascii="宋体" w:hAnsi="宋体"/>
          <w:sz w:val="24"/>
          <w:szCs w:val="24"/>
        </w:rPr>
        <w:t>必须遵守评标纪律、不得泄密；</w:t>
      </w:r>
    </w:p>
    <w:p>
      <w:pPr>
        <w:spacing w:line="360" w:lineRule="auto"/>
        <w:ind w:firstLine="480" w:firstLineChars="200"/>
        <w:rPr>
          <w:rFonts w:ascii="宋体" w:hAnsi="宋体"/>
          <w:sz w:val="24"/>
          <w:szCs w:val="24"/>
        </w:rPr>
      </w:pPr>
      <w:r>
        <w:rPr>
          <w:rFonts w:ascii="宋体" w:hAnsi="宋体"/>
          <w:sz w:val="24"/>
          <w:szCs w:val="24"/>
        </w:rPr>
        <w:t xml:space="preserve">37.2.4.2 </w:t>
      </w:r>
      <w:r>
        <w:rPr>
          <w:rFonts w:hint="eastAsia" w:ascii="宋体" w:hAnsi="宋体"/>
          <w:sz w:val="24"/>
          <w:szCs w:val="24"/>
        </w:rPr>
        <w:t>必须公正、不得循私；</w:t>
      </w:r>
    </w:p>
    <w:p>
      <w:pPr>
        <w:spacing w:line="360" w:lineRule="auto"/>
        <w:ind w:firstLine="480" w:firstLineChars="200"/>
        <w:rPr>
          <w:rFonts w:ascii="宋体" w:hAnsi="宋体"/>
          <w:sz w:val="24"/>
          <w:szCs w:val="24"/>
        </w:rPr>
      </w:pPr>
      <w:r>
        <w:rPr>
          <w:rFonts w:ascii="宋体" w:hAnsi="宋体"/>
          <w:sz w:val="24"/>
          <w:szCs w:val="24"/>
        </w:rPr>
        <w:t xml:space="preserve">37.2.4.3 </w:t>
      </w:r>
      <w:r>
        <w:rPr>
          <w:rFonts w:hint="eastAsia" w:ascii="宋体" w:hAnsi="宋体"/>
          <w:sz w:val="24"/>
          <w:szCs w:val="24"/>
        </w:rPr>
        <w:t>必须科学、不得草率；</w:t>
      </w:r>
    </w:p>
    <w:p>
      <w:pPr>
        <w:spacing w:line="360" w:lineRule="auto"/>
        <w:ind w:firstLine="480" w:firstLineChars="200"/>
        <w:rPr>
          <w:rFonts w:ascii="宋体" w:hAnsi="宋体"/>
          <w:sz w:val="24"/>
          <w:szCs w:val="24"/>
        </w:rPr>
      </w:pPr>
      <w:r>
        <w:rPr>
          <w:rFonts w:ascii="宋体" w:hAnsi="宋体"/>
          <w:sz w:val="24"/>
          <w:szCs w:val="24"/>
        </w:rPr>
        <w:t xml:space="preserve">37.2.4.4 </w:t>
      </w:r>
      <w:r>
        <w:rPr>
          <w:rFonts w:hint="eastAsia" w:ascii="宋体" w:hAnsi="宋体"/>
          <w:sz w:val="24"/>
          <w:szCs w:val="24"/>
        </w:rPr>
        <w:t>必须客观、不得带有成见；</w:t>
      </w:r>
    </w:p>
    <w:p>
      <w:pPr>
        <w:spacing w:line="360" w:lineRule="auto"/>
        <w:ind w:firstLine="480" w:firstLineChars="200"/>
        <w:rPr>
          <w:rFonts w:ascii="宋体" w:hAnsi="宋体"/>
          <w:sz w:val="24"/>
          <w:szCs w:val="24"/>
        </w:rPr>
      </w:pPr>
      <w:r>
        <w:rPr>
          <w:rFonts w:ascii="宋体" w:hAnsi="宋体"/>
          <w:sz w:val="24"/>
          <w:szCs w:val="24"/>
        </w:rPr>
        <w:t xml:space="preserve">37.2.4.5 </w:t>
      </w:r>
      <w:r>
        <w:rPr>
          <w:rFonts w:hint="eastAsia" w:ascii="宋体" w:hAnsi="宋体"/>
          <w:sz w:val="24"/>
          <w:szCs w:val="24"/>
        </w:rPr>
        <w:t>必须平等、不得强加于人；</w:t>
      </w:r>
    </w:p>
    <w:p>
      <w:pPr>
        <w:spacing w:line="360" w:lineRule="auto"/>
        <w:ind w:firstLine="480" w:firstLineChars="200"/>
        <w:rPr>
          <w:rFonts w:ascii="宋体" w:hAnsi="宋体"/>
          <w:sz w:val="24"/>
          <w:szCs w:val="24"/>
        </w:rPr>
      </w:pPr>
      <w:r>
        <w:rPr>
          <w:rFonts w:ascii="宋体" w:hAnsi="宋体"/>
          <w:sz w:val="24"/>
          <w:szCs w:val="24"/>
        </w:rPr>
        <w:t xml:space="preserve">37.2.4.6 </w:t>
      </w:r>
      <w:r>
        <w:rPr>
          <w:rFonts w:hint="eastAsia" w:ascii="宋体" w:hAnsi="宋体"/>
          <w:sz w:val="24"/>
          <w:szCs w:val="24"/>
        </w:rPr>
        <w:t>必须严谨、不得随意马虎。</w:t>
      </w:r>
    </w:p>
    <w:p>
      <w:pPr>
        <w:spacing w:line="360" w:lineRule="auto"/>
        <w:ind w:firstLine="480" w:firstLineChars="200"/>
        <w:rPr>
          <w:rFonts w:ascii="宋体" w:hAnsi="宋体"/>
          <w:sz w:val="24"/>
          <w:szCs w:val="24"/>
        </w:rPr>
      </w:pPr>
      <w:r>
        <w:rPr>
          <w:rFonts w:ascii="宋体" w:hAnsi="宋体"/>
          <w:sz w:val="24"/>
          <w:szCs w:val="24"/>
        </w:rPr>
        <w:t xml:space="preserve">37.3 </w:t>
      </w:r>
      <w:r>
        <w:rPr>
          <w:rFonts w:hint="eastAsia" w:ascii="宋体" w:hAnsi="宋体"/>
          <w:sz w:val="24"/>
          <w:szCs w:val="24"/>
        </w:rPr>
        <w:t>评标结束后，评标委员会递交评标报告并依法推荐中标候选人。</w:t>
      </w:r>
      <w:r>
        <w:rPr>
          <w:rFonts w:ascii="宋体" w:hAnsi="宋体"/>
          <w:sz w:val="24"/>
          <w:szCs w:val="24"/>
        </w:rPr>
        <w:t xml:space="preserve"> </w:t>
      </w:r>
    </w:p>
    <w:p>
      <w:pPr>
        <w:spacing w:line="360" w:lineRule="auto"/>
        <w:ind w:firstLine="480" w:firstLineChars="200"/>
        <w:rPr>
          <w:rFonts w:ascii="宋体" w:hAnsi="宋体"/>
          <w:sz w:val="24"/>
          <w:szCs w:val="24"/>
        </w:rPr>
      </w:pPr>
      <w:r>
        <w:rPr>
          <w:rFonts w:ascii="宋体" w:hAnsi="宋体"/>
          <w:sz w:val="24"/>
          <w:szCs w:val="24"/>
        </w:rPr>
        <w:t>38</w:t>
      </w:r>
      <w:r>
        <w:rPr>
          <w:rFonts w:hint="eastAsia" w:ascii="宋体" w:hAnsi="宋体"/>
          <w:sz w:val="24"/>
          <w:szCs w:val="24"/>
        </w:rPr>
        <w:t>．投标文件的澄清</w:t>
      </w:r>
    </w:p>
    <w:p>
      <w:pPr>
        <w:spacing w:line="360" w:lineRule="auto"/>
        <w:ind w:firstLine="480" w:firstLineChars="200"/>
        <w:rPr>
          <w:rFonts w:ascii="宋体" w:hAnsi="宋体"/>
          <w:sz w:val="24"/>
          <w:szCs w:val="24"/>
        </w:rPr>
      </w:pPr>
      <w:r>
        <w:rPr>
          <w:rFonts w:ascii="宋体" w:hAnsi="宋体"/>
          <w:sz w:val="24"/>
          <w:szCs w:val="24"/>
        </w:rPr>
        <w:t>38.1</w:t>
      </w:r>
      <w:r>
        <w:rPr>
          <w:rFonts w:hint="eastAsia" w:ascii="宋体" w:hAnsi="宋体"/>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sz w:val="24"/>
          <w:szCs w:val="24"/>
        </w:rPr>
      </w:pPr>
      <w:r>
        <w:rPr>
          <w:rFonts w:ascii="宋体" w:hAnsi="宋体"/>
          <w:sz w:val="24"/>
          <w:szCs w:val="24"/>
        </w:rPr>
        <w:t xml:space="preserve">38.2 </w:t>
      </w:r>
      <w:r>
        <w:rPr>
          <w:rFonts w:hint="eastAsia" w:ascii="宋体" w:hAnsi="宋体"/>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sz w:val="24"/>
          <w:szCs w:val="24"/>
        </w:rPr>
      </w:pPr>
      <w:r>
        <w:rPr>
          <w:rFonts w:ascii="宋体" w:hAnsi="宋体"/>
          <w:sz w:val="24"/>
          <w:szCs w:val="24"/>
        </w:rPr>
        <w:t xml:space="preserve">38.3 </w:t>
      </w:r>
      <w:r>
        <w:rPr>
          <w:rFonts w:hint="eastAsia" w:ascii="宋体" w:hAnsi="宋体"/>
          <w:sz w:val="24"/>
          <w:szCs w:val="24"/>
        </w:rPr>
        <w:t>评标委员会或评标委员会专业评审组成员均应当阅读投标人的澄清，但应独立参考澄清对投标文件进行评审。</w:t>
      </w:r>
    </w:p>
    <w:p>
      <w:pPr>
        <w:spacing w:line="360" w:lineRule="auto"/>
        <w:ind w:firstLine="480" w:firstLineChars="200"/>
        <w:rPr>
          <w:rFonts w:ascii="宋体" w:hAnsi="宋体"/>
          <w:sz w:val="24"/>
          <w:szCs w:val="24"/>
        </w:rPr>
      </w:pPr>
      <w:r>
        <w:rPr>
          <w:rFonts w:ascii="宋体" w:hAnsi="宋体"/>
          <w:sz w:val="24"/>
          <w:szCs w:val="24"/>
        </w:rPr>
        <w:t>38.4</w:t>
      </w:r>
      <w:r>
        <w:rPr>
          <w:rFonts w:hint="eastAsia" w:ascii="宋体" w:hAnsi="宋体"/>
          <w:sz w:val="24"/>
          <w:szCs w:val="24"/>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sz w:val="24"/>
          <w:szCs w:val="24"/>
        </w:rPr>
      </w:pPr>
      <w:r>
        <w:rPr>
          <w:rFonts w:hint="eastAsia" w:ascii="宋体" w:hAnsi="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sz w:val="24"/>
          <w:szCs w:val="24"/>
        </w:rPr>
      </w:pPr>
      <w:r>
        <w:rPr>
          <w:rFonts w:ascii="宋体" w:hAnsi="宋体"/>
          <w:sz w:val="24"/>
          <w:szCs w:val="24"/>
        </w:rPr>
        <w:t>39</w:t>
      </w:r>
      <w:r>
        <w:rPr>
          <w:rFonts w:hint="eastAsia" w:ascii="宋体" w:hAnsi="宋体"/>
          <w:sz w:val="24"/>
          <w:szCs w:val="24"/>
        </w:rPr>
        <w:t>．定标</w:t>
      </w:r>
    </w:p>
    <w:p>
      <w:pPr>
        <w:spacing w:line="360" w:lineRule="auto"/>
        <w:ind w:firstLine="480" w:firstLineChars="200"/>
        <w:rPr>
          <w:rFonts w:ascii="宋体" w:hAnsi="宋体"/>
          <w:sz w:val="24"/>
          <w:szCs w:val="24"/>
        </w:rPr>
      </w:pPr>
      <w:r>
        <w:rPr>
          <w:rFonts w:ascii="宋体" w:hAnsi="宋体"/>
          <w:sz w:val="24"/>
          <w:szCs w:val="24"/>
        </w:rPr>
        <w:t xml:space="preserve">39.1 </w:t>
      </w:r>
      <w:r>
        <w:rPr>
          <w:rFonts w:hint="eastAsia" w:ascii="宋体" w:hAnsi="宋体"/>
          <w:sz w:val="24"/>
          <w:szCs w:val="24"/>
        </w:rPr>
        <w:t>招标人根据评标委员会递交的评标报告，最终审定中标人。</w:t>
      </w:r>
    </w:p>
    <w:p>
      <w:pPr>
        <w:spacing w:line="360" w:lineRule="auto"/>
        <w:ind w:firstLine="480" w:firstLineChars="200"/>
        <w:rPr>
          <w:rFonts w:ascii="宋体" w:hAnsi="宋体"/>
          <w:sz w:val="24"/>
          <w:szCs w:val="24"/>
        </w:rPr>
      </w:pPr>
      <w:r>
        <w:rPr>
          <w:rFonts w:ascii="宋体" w:hAnsi="宋体"/>
          <w:sz w:val="24"/>
          <w:szCs w:val="24"/>
        </w:rPr>
        <w:t xml:space="preserve">39.2 </w:t>
      </w:r>
      <w:r>
        <w:rPr>
          <w:rFonts w:hint="eastAsia" w:ascii="宋体" w:hAnsi="宋体"/>
          <w:sz w:val="24"/>
          <w:szCs w:val="24"/>
        </w:rPr>
        <w:t>依法必须进行公开招标的项目，招标人应当确定排名第一的中标候选人为中标人。</w:t>
      </w:r>
    </w:p>
    <w:p>
      <w:pPr>
        <w:spacing w:line="360" w:lineRule="auto"/>
        <w:ind w:firstLine="480" w:firstLineChars="200"/>
        <w:rPr>
          <w:rFonts w:ascii="宋体" w:hAnsi="宋体"/>
          <w:sz w:val="24"/>
          <w:szCs w:val="24"/>
        </w:rPr>
      </w:pPr>
      <w:r>
        <w:rPr>
          <w:rFonts w:ascii="宋体" w:hAnsi="宋体"/>
          <w:sz w:val="24"/>
          <w:szCs w:val="24"/>
        </w:rPr>
        <w:t>39.3</w:t>
      </w:r>
      <w:r>
        <w:rPr>
          <w:rFonts w:hint="eastAsia" w:ascii="宋体" w:hAnsi="宋体"/>
          <w:sz w:val="24"/>
          <w:szCs w:val="24"/>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sz w:val="24"/>
          <w:szCs w:val="24"/>
        </w:rPr>
      </w:pPr>
      <w:r>
        <w:rPr>
          <w:rFonts w:ascii="宋体" w:hAnsi="宋体"/>
          <w:sz w:val="24"/>
          <w:szCs w:val="24"/>
        </w:rPr>
        <w:t>39.4</w:t>
      </w:r>
      <w:r>
        <w:rPr>
          <w:rFonts w:hint="eastAsia" w:ascii="宋体" w:hAnsi="宋体"/>
          <w:sz w:val="24"/>
          <w:szCs w:val="24"/>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sz w:val="24"/>
          <w:szCs w:val="24"/>
        </w:rPr>
      </w:pPr>
      <w:r>
        <w:rPr>
          <w:rFonts w:hint="eastAsia" w:ascii="宋体" w:hAnsi="宋体"/>
          <w:sz w:val="24"/>
          <w:szCs w:val="24"/>
        </w:rPr>
        <w:t>39.5 重新评标的，评标信息（含业绩、奖项等）仍以投标截止时投标人的信息为准。因特殊原因需要延长投标有效期，投标人拒绝延长投标有效期的，仍参与评标，但不被推荐为中标候选人。</w:t>
      </w:r>
    </w:p>
    <w:p>
      <w:pPr>
        <w:pStyle w:val="5"/>
        <w:spacing w:before="156" w:after="156"/>
        <w:ind w:firstLine="540" w:firstLineChars="200"/>
      </w:pPr>
      <w:bookmarkStart w:id="32" w:name="_Toc21525502"/>
      <w:bookmarkStart w:id="33" w:name="_Toc2272558"/>
      <w:r>
        <w:rPr>
          <w:rFonts w:hint="eastAsia"/>
        </w:rPr>
        <w:t>（二）开标评标办法程序和细则</w:t>
      </w:r>
      <w:bookmarkEnd w:id="32"/>
      <w:bookmarkEnd w:id="33"/>
    </w:p>
    <w:p>
      <w:pPr>
        <w:pStyle w:val="5"/>
        <w:spacing w:before="156" w:after="156"/>
        <w:ind w:firstLine="540" w:firstLineChars="200"/>
      </w:pPr>
      <w:bookmarkStart w:id="34" w:name="_Toc21525508"/>
      <w:bookmarkStart w:id="35" w:name="_Toc2272563"/>
      <w:r>
        <w:rPr>
          <w:rFonts w:hint="eastAsia"/>
        </w:rPr>
        <w:t>可选办法六（适合综合评分法三，技术标与经济标同时开启）</w:t>
      </w:r>
      <w:bookmarkEnd w:id="34"/>
      <w:bookmarkEnd w:id="35"/>
    </w:p>
    <w:p>
      <w:pPr>
        <w:pStyle w:val="35"/>
        <w:spacing w:line="360" w:lineRule="auto"/>
        <w:ind w:firstLine="480" w:firstLineChars="200"/>
        <w:rPr>
          <w:rFonts w:ascii="宋体" w:hAnsi="宋体"/>
          <w:sz w:val="24"/>
          <w:szCs w:val="24"/>
        </w:rPr>
      </w:pPr>
      <w:r>
        <w:rPr>
          <w:rFonts w:hint="eastAsia" w:ascii="宋体" w:hAnsi="宋体"/>
          <w:sz w:val="24"/>
          <w:szCs w:val="24"/>
        </w:rPr>
        <w:t>40．开标和评标程序：</w:t>
      </w:r>
    </w:p>
    <w:p>
      <w:pPr>
        <w:spacing w:line="360" w:lineRule="auto"/>
        <w:ind w:firstLine="480" w:firstLineChars="200"/>
        <w:rPr>
          <w:rFonts w:ascii="宋体" w:hAnsi="宋体"/>
          <w:sz w:val="24"/>
          <w:szCs w:val="24"/>
        </w:rPr>
      </w:pPr>
      <w:r>
        <w:rPr>
          <w:rFonts w:hint="eastAsia" w:ascii="宋体" w:hAnsi="宋体"/>
          <w:sz w:val="24"/>
          <w:szCs w:val="24"/>
        </w:rPr>
        <w:t>40.1投标人递交技术标、经济标投标文件；</w:t>
      </w:r>
    </w:p>
    <w:p>
      <w:pPr>
        <w:spacing w:line="360" w:lineRule="auto"/>
        <w:ind w:firstLine="480" w:firstLineChars="200"/>
        <w:rPr>
          <w:rFonts w:ascii="宋体" w:hAnsi="宋体"/>
          <w:sz w:val="24"/>
          <w:szCs w:val="24"/>
        </w:rPr>
      </w:pPr>
      <w:r>
        <w:rPr>
          <w:rFonts w:hint="eastAsia" w:ascii="宋体" w:hAnsi="宋体"/>
          <w:sz w:val="24"/>
          <w:szCs w:val="24"/>
        </w:rPr>
        <w:t>40.2技术标与经济标投标文件同时公开开标；</w:t>
      </w:r>
    </w:p>
    <w:p>
      <w:pPr>
        <w:spacing w:line="360" w:lineRule="auto"/>
        <w:ind w:firstLine="480" w:firstLineChars="200"/>
        <w:rPr>
          <w:rFonts w:ascii="宋体" w:hAnsi="宋体"/>
          <w:sz w:val="24"/>
          <w:szCs w:val="24"/>
        </w:rPr>
      </w:pPr>
      <w:r>
        <w:rPr>
          <w:rFonts w:hint="eastAsia" w:ascii="宋体" w:hAnsi="宋体"/>
          <w:sz w:val="24"/>
          <w:szCs w:val="24"/>
        </w:rPr>
        <w:t>40.3由评标委员会对所有已公开开标的投标人进行资格审查；</w:t>
      </w:r>
    </w:p>
    <w:p>
      <w:pPr>
        <w:spacing w:line="360" w:lineRule="auto"/>
        <w:ind w:firstLine="480" w:firstLineChars="200"/>
        <w:rPr>
          <w:rFonts w:ascii="宋体" w:hAnsi="宋体"/>
          <w:sz w:val="24"/>
          <w:szCs w:val="24"/>
        </w:rPr>
      </w:pPr>
      <w:r>
        <w:rPr>
          <w:rFonts w:hint="eastAsia" w:ascii="宋体" w:hAnsi="宋体"/>
          <w:sz w:val="24"/>
          <w:szCs w:val="24"/>
        </w:rPr>
        <w:t>40.4技术标投标文件有效性审查；</w:t>
      </w:r>
    </w:p>
    <w:p>
      <w:pPr>
        <w:spacing w:line="360" w:lineRule="auto"/>
        <w:ind w:firstLine="480" w:firstLineChars="200"/>
        <w:rPr>
          <w:rFonts w:ascii="宋体" w:hAnsi="宋体"/>
          <w:sz w:val="24"/>
          <w:szCs w:val="24"/>
        </w:rPr>
      </w:pPr>
      <w:r>
        <w:rPr>
          <w:rFonts w:hint="eastAsia" w:ascii="宋体" w:hAnsi="宋体"/>
          <w:sz w:val="24"/>
          <w:szCs w:val="24"/>
        </w:rPr>
        <w:t>40.5技术标详细审查评分；</w:t>
      </w:r>
    </w:p>
    <w:p>
      <w:pPr>
        <w:spacing w:line="360" w:lineRule="auto"/>
        <w:ind w:firstLine="480" w:firstLineChars="200"/>
        <w:rPr>
          <w:rFonts w:ascii="宋体" w:hAnsi="宋体"/>
          <w:sz w:val="24"/>
          <w:szCs w:val="24"/>
        </w:rPr>
      </w:pPr>
      <w:r>
        <w:rPr>
          <w:rFonts w:hint="eastAsia" w:ascii="宋体" w:hAnsi="宋体"/>
          <w:sz w:val="24"/>
          <w:szCs w:val="24"/>
        </w:rPr>
        <w:t xml:space="preserve">40.6计算第一阶段得分，并按照总分从高到低排列先后次序，编写第一阶段评审报告； </w:t>
      </w:r>
    </w:p>
    <w:p>
      <w:pPr>
        <w:spacing w:line="360" w:lineRule="auto"/>
        <w:ind w:firstLine="480" w:firstLineChars="200"/>
        <w:rPr>
          <w:rFonts w:ascii="宋体" w:hAnsi="宋体"/>
          <w:sz w:val="24"/>
          <w:szCs w:val="24"/>
        </w:rPr>
      </w:pPr>
      <w:r>
        <w:rPr>
          <w:rFonts w:hint="eastAsia" w:ascii="宋体" w:hAnsi="宋体"/>
          <w:sz w:val="24"/>
          <w:szCs w:val="24"/>
        </w:rPr>
        <w:t>40.7按投标须知前附表第25项规定，确定进入第二阶段评审的投标人；</w:t>
      </w:r>
    </w:p>
    <w:p>
      <w:pPr>
        <w:spacing w:line="360" w:lineRule="auto"/>
        <w:ind w:firstLine="480" w:firstLineChars="200"/>
        <w:rPr>
          <w:rFonts w:ascii="宋体" w:hAnsi="宋体"/>
          <w:sz w:val="24"/>
          <w:szCs w:val="24"/>
        </w:rPr>
      </w:pPr>
      <w:r>
        <w:rPr>
          <w:rFonts w:hint="eastAsia" w:ascii="宋体" w:hAnsi="宋体"/>
          <w:sz w:val="24"/>
          <w:szCs w:val="24"/>
        </w:rPr>
        <w:t>40.8将进入第二阶段评审的投标人进行排序；</w:t>
      </w:r>
    </w:p>
    <w:p>
      <w:pPr>
        <w:spacing w:line="360" w:lineRule="auto"/>
        <w:ind w:firstLine="480" w:firstLineChars="200"/>
        <w:rPr>
          <w:rFonts w:ascii="宋体" w:hAnsi="宋体"/>
          <w:sz w:val="24"/>
          <w:szCs w:val="24"/>
        </w:rPr>
      </w:pPr>
      <w:r>
        <w:rPr>
          <w:rFonts w:hint="eastAsia" w:ascii="宋体" w:hAnsi="宋体"/>
          <w:sz w:val="24"/>
          <w:szCs w:val="24"/>
        </w:rPr>
        <w:t>40.9按排序对经济标投标文件进行有效性审查（含投标报价算术校核），直至评出所有中标候选人；</w:t>
      </w:r>
    </w:p>
    <w:p>
      <w:pPr>
        <w:spacing w:line="360" w:lineRule="auto"/>
        <w:ind w:firstLine="480" w:firstLineChars="200"/>
        <w:rPr>
          <w:rFonts w:ascii="宋体" w:hAnsi="宋体"/>
          <w:sz w:val="24"/>
          <w:szCs w:val="24"/>
        </w:rPr>
      </w:pPr>
      <w:r>
        <w:rPr>
          <w:rFonts w:hint="eastAsia" w:ascii="宋体" w:hAnsi="宋体"/>
          <w:sz w:val="24"/>
          <w:szCs w:val="24"/>
        </w:rPr>
        <w:t>40.10评标委员会编写评标报告，向招标人推荐中标候选人名单。</w:t>
      </w:r>
    </w:p>
    <w:p>
      <w:pPr>
        <w:spacing w:line="360" w:lineRule="auto"/>
        <w:ind w:firstLine="480" w:firstLineChars="200"/>
        <w:rPr>
          <w:rFonts w:ascii="宋体" w:hAnsi="宋体"/>
          <w:sz w:val="24"/>
          <w:szCs w:val="24"/>
        </w:rPr>
      </w:pPr>
      <w:r>
        <w:rPr>
          <w:rFonts w:hint="eastAsia" w:ascii="宋体" w:hAnsi="宋体"/>
          <w:sz w:val="24"/>
          <w:szCs w:val="24"/>
        </w:rPr>
        <w:t>41. 开标细则</w:t>
      </w:r>
    </w:p>
    <w:p>
      <w:pPr>
        <w:spacing w:line="360" w:lineRule="auto"/>
        <w:ind w:firstLine="480" w:firstLineChars="200"/>
        <w:rPr>
          <w:rFonts w:ascii="宋体" w:hAnsi="宋体"/>
          <w:sz w:val="24"/>
          <w:szCs w:val="24"/>
        </w:rPr>
      </w:pPr>
      <w:r>
        <w:rPr>
          <w:rFonts w:hint="eastAsia" w:ascii="宋体" w:hAnsi="宋体"/>
          <w:sz w:val="24"/>
          <w:szCs w:val="24"/>
        </w:rPr>
        <w:t>41.1开标由招标人</w:t>
      </w:r>
      <w:r>
        <w:rPr>
          <w:rFonts w:hint="eastAsia" w:ascii="宋体" w:hAnsi="宋体"/>
          <w:sz w:val="24"/>
          <w:szCs w:val="24"/>
          <w:u w:val="single"/>
        </w:rPr>
        <w:t>或招标代理</w:t>
      </w:r>
      <w:r>
        <w:rPr>
          <w:rFonts w:hint="eastAsia" w:ascii="宋体" w:hAnsi="宋体"/>
          <w:sz w:val="24"/>
          <w:szCs w:val="24"/>
        </w:rPr>
        <w:t>主持；</w:t>
      </w:r>
    </w:p>
    <w:p>
      <w:pPr>
        <w:spacing w:line="360" w:lineRule="auto"/>
        <w:ind w:firstLine="480" w:firstLineChars="200"/>
        <w:rPr>
          <w:rFonts w:ascii="宋体" w:hAnsi="宋体"/>
          <w:sz w:val="24"/>
          <w:szCs w:val="24"/>
        </w:rPr>
      </w:pPr>
      <w:r>
        <w:rPr>
          <w:rFonts w:hint="eastAsia" w:ascii="宋体" w:hAnsi="宋体"/>
          <w:sz w:val="24"/>
          <w:szCs w:val="24"/>
        </w:rPr>
        <w:t>41.2细则</w:t>
      </w:r>
    </w:p>
    <w:p>
      <w:pPr>
        <w:spacing w:line="360" w:lineRule="auto"/>
        <w:ind w:firstLine="480" w:firstLineChars="200"/>
        <w:rPr>
          <w:rFonts w:ascii="宋体" w:hAnsi="宋体"/>
          <w:sz w:val="24"/>
          <w:szCs w:val="24"/>
        </w:rPr>
      </w:pPr>
      <w:r>
        <w:rPr>
          <w:rFonts w:hint="eastAsia" w:ascii="宋体" w:hAnsi="宋体"/>
          <w:sz w:val="24"/>
          <w:szCs w:val="24"/>
        </w:rPr>
        <w:t>41.2.1投标截止期前，各投标人递交投标文件（包括技术标投标文件、经济标投标文件）至</w:t>
      </w:r>
      <w:r>
        <w:rPr>
          <w:sz w:val="24"/>
          <w:szCs w:val="24"/>
          <w:u w:val="single"/>
        </w:rPr>
        <w:t xml:space="preserve"> </w:t>
      </w:r>
      <w:r>
        <w:rPr>
          <w:rFonts w:hint="eastAsia"/>
          <w:sz w:val="24"/>
          <w:szCs w:val="24"/>
          <w:u w:val="single"/>
        </w:rPr>
        <w:t>广州公共资源交易中心</w:t>
      </w:r>
      <w:r>
        <w:rPr>
          <w:sz w:val="24"/>
          <w:szCs w:val="24"/>
          <w:u w:val="single"/>
        </w:rPr>
        <w:t xml:space="preserve"> </w:t>
      </w:r>
      <w:r>
        <w:rPr>
          <w:rFonts w:hint="eastAsia" w:ascii="宋体" w:hAnsi="宋体"/>
          <w:sz w:val="24"/>
          <w:szCs w:val="24"/>
        </w:rPr>
        <w:t xml:space="preserve">交易平台。有关投标文件提交的事项详见第一章投标须知。 </w:t>
      </w:r>
    </w:p>
    <w:p>
      <w:pPr>
        <w:spacing w:line="360" w:lineRule="auto"/>
        <w:ind w:firstLine="480" w:firstLineChars="200"/>
        <w:rPr>
          <w:rFonts w:ascii="宋体" w:hAnsi="宋体"/>
          <w:sz w:val="24"/>
          <w:szCs w:val="24"/>
        </w:rPr>
      </w:pPr>
      <w:r>
        <w:rPr>
          <w:rFonts w:hint="eastAsia" w:ascii="宋体" w:hAnsi="宋体"/>
          <w:sz w:val="24"/>
          <w:szCs w:val="24"/>
        </w:rPr>
        <w:t>41.2.2开标时，投标人代表有权出席开标或在线开标，也可以自主决定不参加开标会，若投标人代表对开标过程提出异议，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sz w:val="24"/>
          <w:szCs w:val="24"/>
        </w:rPr>
      </w:pPr>
      <w:r>
        <w:rPr>
          <w:rFonts w:hint="eastAsia" w:ascii="宋体" w:hAnsi="宋体"/>
          <w:sz w:val="24"/>
          <w:szCs w:val="24"/>
        </w:rPr>
        <w:t xml:space="preserve">41.3按36.5.1的规定完成解密后，公布下列内容，并予以记录，记录提交评标委员会评审： </w:t>
      </w:r>
    </w:p>
    <w:p>
      <w:pPr>
        <w:spacing w:line="360" w:lineRule="auto"/>
        <w:ind w:firstLine="480" w:firstLineChars="200"/>
        <w:rPr>
          <w:rFonts w:ascii="宋体" w:hAnsi="宋体"/>
          <w:sz w:val="24"/>
          <w:szCs w:val="24"/>
        </w:rPr>
      </w:pPr>
      <w:r>
        <w:rPr>
          <w:rFonts w:hint="eastAsia" w:ascii="宋体" w:hAnsi="宋体"/>
          <w:sz w:val="24"/>
          <w:szCs w:val="24"/>
        </w:rPr>
        <w:t>41.3.1开标时，公布：a、投标人名称；b、</w:t>
      </w:r>
      <w:r>
        <w:rPr>
          <w:rFonts w:hint="eastAsia" w:ascii="宋体" w:hAnsi="宋体"/>
          <w:sz w:val="24"/>
        </w:rPr>
        <w:t>投标文件</w:t>
      </w:r>
      <w:r>
        <w:rPr>
          <w:rFonts w:hint="eastAsia" w:ascii="宋体" w:hAnsi="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宋体" w:hAnsi="宋体"/>
          <w:sz w:val="24"/>
          <w:szCs w:val="24"/>
        </w:rPr>
      </w:pPr>
      <w:r>
        <w:rPr>
          <w:rFonts w:hint="eastAsia" w:ascii="宋体" w:hAnsi="宋体"/>
          <w:sz w:val="24"/>
          <w:szCs w:val="24"/>
        </w:rPr>
        <w:t>41.4招标人对开标过程进行记录，并存档备查，投标人在开标记录上签字。</w:t>
      </w:r>
    </w:p>
    <w:p>
      <w:pPr>
        <w:spacing w:line="360" w:lineRule="auto"/>
        <w:ind w:firstLine="480" w:firstLineChars="200"/>
        <w:rPr>
          <w:rFonts w:ascii="宋体" w:hAnsi="宋体"/>
          <w:sz w:val="24"/>
          <w:szCs w:val="24"/>
        </w:rPr>
      </w:pPr>
      <w:r>
        <w:rPr>
          <w:rFonts w:hint="eastAsia" w:ascii="宋体" w:hAnsi="宋体"/>
          <w:sz w:val="24"/>
          <w:szCs w:val="24"/>
        </w:rPr>
        <w:t>41.5 招标人将上述符合要求的投标文件，送至评标委员会进行评审。</w:t>
      </w:r>
    </w:p>
    <w:p>
      <w:pPr>
        <w:spacing w:line="360" w:lineRule="auto"/>
        <w:ind w:firstLine="480" w:firstLineChars="200"/>
        <w:rPr>
          <w:rFonts w:ascii="宋体" w:hAnsi="宋体"/>
          <w:sz w:val="24"/>
          <w:szCs w:val="24"/>
        </w:rPr>
      </w:pPr>
      <w:r>
        <w:rPr>
          <w:rFonts w:ascii="宋体" w:hAnsi="宋体"/>
          <w:sz w:val="24"/>
          <w:szCs w:val="24"/>
        </w:rPr>
        <w:t xml:space="preserve">42. </w:t>
      </w:r>
      <w:r>
        <w:rPr>
          <w:rFonts w:hint="eastAsia" w:ascii="宋体" w:hAnsi="宋体"/>
          <w:sz w:val="24"/>
          <w:szCs w:val="24"/>
        </w:rPr>
        <w:t>评标细则</w:t>
      </w:r>
    </w:p>
    <w:p>
      <w:pPr>
        <w:spacing w:line="360" w:lineRule="auto"/>
        <w:ind w:firstLine="480" w:firstLineChars="200"/>
        <w:rPr>
          <w:rFonts w:ascii="宋体" w:hAnsi="宋体"/>
          <w:sz w:val="24"/>
          <w:szCs w:val="24"/>
        </w:rPr>
      </w:pPr>
      <w:r>
        <w:rPr>
          <w:rFonts w:hint="eastAsia" w:ascii="宋体" w:hAnsi="宋体"/>
          <w:sz w:val="24"/>
          <w:szCs w:val="24"/>
        </w:rPr>
        <w:t>42.1评标委员会的组成：方式</w:t>
      </w:r>
      <w:r>
        <w:rPr>
          <w:rFonts w:hint="eastAsia" w:ascii="宋体" w:hAnsi="宋体"/>
          <w:sz w:val="24"/>
          <w:szCs w:val="24"/>
          <w:u w:val="single"/>
        </w:rPr>
        <w:t xml:space="preserve">  一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方式一：评标委员会为综合评标委员会，负责评标工作。</w:t>
      </w:r>
    </w:p>
    <w:p>
      <w:pPr>
        <w:widowControl/>
        <w:spacing w:line="360" w:lineRule="auto"/>
        <w:ind w:firstLine="480" w:firstLineChars="200"/>
        <w:jc w:val="left"/>
        <w:rPr>
          <w:rFonts w:ascii="宋体" w:hAnsi="宋体" w:cs="宋体"/>
          <w:strike/>
          <w:kern w:val="0"/>
          <w:sz w:val="24"/>
          <w:szCs w:val="24"/>
        </w:rPr>
      </w:pPr>
      <w:r>
        <w:rPr>
          <w:rFonts w:hint="eastAsia" w:ascii="宋体" w:hAnsi="宋体"/>
          <w:strike/>
          <w:sz w:val="24"/>
          <w:szCs w:val="24"/>
        </w:rPr>
        <w:t>方式二：评标委员会由技术评审组和经济评审组组成。其中：资格审查、技术评审由技术评标组负责，经济评审由经济评审组负责。</w:t>
      </w:r>
      <w:r>
        <w:rPr>
          <w:rFonts w:hint="eastAsia" w:ascii="宋体" w:hAnsi="宋体" w:cs="宋体"/>
          <w:strike/>
          <w:kern w:val="0"/>
          <w:sz w:val="24"/>
          <w:szCs w:val="24"/>
        </w:rPr>
        <w:t xml:space="preserve"> </w:t>
      </w:r>
    </w:p>
    <w:p>
      <w:pPr>
        <w:pStyle w:val="35"/>
        <w:tabs>
          <w:tab w:val="left" w:pos="7380"/>
        </w:tabs>
        <w:snapToGrid w:val="0"/>
        <w:spacing w:after="0" w:line="360" w:lineRule="auto"/>
        <w:ind w:firstLine="480" w:firstLineChars="200"/>
        <w:rPr>
          <w:rFonts w:ascii="宋体"/>
          <w:sz w:val="24"/>
          <w:szCs w:val="24"/>
        </w:rPr>
      </w:pPr>
      <w:r>
        <w:rPr>
          <w:rFonts w:hint="eastAsia" w:ascii="宋体"/>
          <w:sz w:val="24"/>
          <w:szCs w:val="24"/>
        </w:rPr>
        <w:t>42.2投标人资格审查</w:t>
      </w:r>
    </w:p>
    <w:p>
      <w:pPr>
        <w:pStyle w:val="35"/>
        <w:tabs>
          <w:tab w:val="left" w:pos="7380"/>
        </w:tabs>
        <w:snapToGrid w:val="0"/>
        <w:spacing w:after="0" w:line="360" w:lineRule="auto"/>
        <w:ind w:firstLine="480" w:firstLineChars="200"/>
        <w:rPr>
          <w:rFonts w:ascii="宋体"/>
          <w:sz w:val="24"/>
          <w:szCs w:val="24"/>
        </w:rPr>
      </w:pPr>
      <w:r>
        <w:rPr>
          <w:rFonts w:hint="eastAsia" w:ascii="宋体"/>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35"/>
        <w:tabs>
          <w:tab w:val="left" w:pos="7380"/>
        </w:tabs>
        <w:snapToGrid w:val="0"/>
        <w:spacing w:after="0" w:line="360" w:lineRule="auto"/>
        <w:ind w:firstLine="480" w:firstLineChars="200"/>
        <w:rPr>
          <w:rFonts w:ascii="宋体"/>
          <w:sz w:val="24"/>
          <w:szCs w:val="24"/>
        </w:rPr>
      </w:pPr>
      <w:r>
        <w:rPr>
          <w:rFonts w:hint="eastAsia" w:ascii="宋体"/>
          <w:sz w:val="24"/>
          <w:szCs w:val="24"/>
        </w:rPr>
        <w:t>42.2.2汇总资格审查情况，编写资格审查报告。</w:t>
      </w:r>
    </w:p>
    <w:p>
      <w:pPr>
        <w:pStyle w:val="35"/>
        <w:tabs>
          <w:tab w:val="left" w:pos="7380"/>
        </w:tabs>
        <w:snapToGrid w:val="0"/>
        <w:spacing w:after="0" w:line="360" w:lineRule="auto"/>
        <w:ind w:firstLine="480" w:firstLineChars="200"/>
        <w:rPr>
          <w:rFonts w:ascii="宋体"/>
          <w:sz w:val="24"/>
          <w:szCs w:val="24"/>
        </w:rPr>
      </w:pPr>
      <w:r>
        <w:rPr>
          <w:rFonts w:hint="eastAsia" w:ascii="宋体"/>
          <w:sz w:val="24"/>
          <w:szCs w:val="24"/>
        </w:rPr>
        <w:t>42.2.3资格审查不合格的投标文件不参加下一阶段的评标，不参与评标参考价的计算。</w:t>
      </w:r>
    </w:p>
    <w:p>
      <w:pPr>
        <w:pStyle w:val="35"/>
        <w:tabs>
          <w:tab w:val="left" w:pos="7380"/>
        </w:tabs>
        <w:snapToGrid w:val="0"/>
        <w:spacing w:after="0" w:line="360" w:lineRule="auto"/>
        <w:ind w:firstLine="480" w:firstLineChars="200"/>
        <w:rPr>
          <w:rFonts w:ascii="宋体"/>
          <w:sz w:val="24"/>
          <w:szCs w:val="24"/>
        </w:rPr>
      </w:pPr>
      <w:r>
        <w:rPr>
          <w:rFonts w:hint="eastAsia" w:ascii="宋体"/>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5"/>
        <w:tabs>
          <w:tab w:val="left" w:pos="7380"/>
        </w:tabs>
        <w:snapToGrid w:val="0"/>
        <w:spacing w:after="0" w:line="360" w:lineRule="auto"/>
        <w:ind w:firstLine="480" w:firstLineChars="200"/>
        <w:rPr>
          <w:rFonts w:ascii="宋体"/>
          <w:sz w:val="24"/>
          <w:szCs w:val="24"/>
        </w:rPr>
      </w:pPr>
      <w:r>
        <w:rPr>
          <w:rFonts w:hint="eastAsia" w:ascii="宋体"/>
          <w:sz w:val="24"/>
          <w:szCs w:val="24"/>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kern w:val="0"/>
          <w:sz w:val="24"/>
          <w:szCs w:val="24"/>
        </w:rPr>
      </w:pPr>
      <w:r>
        <w:rPr>
          <w:rFonts w:hint="eastAsia" w:ascii="宋体"/>
          <w:sz w:val="24"/>
          <w:szCs w:val="24"/>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sz w:val="24"/>
          <w:szCs w:val="24"/>
        </w:rPr>
      </w:pPr>
      <w:r>
        <w:rPr>
          <w:rFonts w:hint="eastAsia" w:ascii="宋体" w:hAnsi="宋体"/>
          <w:sz w:val="24"/>
          <w:szCs w:val="24"/>
        </w:rPr>
        <w:t>42.3 第一阶段评审</w:t>
      </w:r>
    </w:p>
    <w:p>
      <w:pPr>
        <w:spacing w:line="360" w:lineRule="auto"/>
        <w:ind w:firstLine="480" w:firstLineChars="200"/>
        <w:rPr>
          <w:rFonts w:ascii="宋体" w:hAnsi="宋体"/>
          <w:sz w:val="24"/>
          <w:szCs w:val="24"/>
        </w:rPr>
      </w:pPr>
      <w:r>
        <w:rPr>
          <w:rFonts w:ascii="宋体" w:hAnsi="宋体"/>
          <w:sz w:val="24"/>
          <w:szCs w:val="24"/>
        </w:rPr>
        <w:t>42.3</w:t>
      </w:r>
      <w:r>
        <w:rPr>
          <w:rFonts w:hint="eastAsia" w:ascii="宋体" w:hAnsi="宋体"/>
          <w:sz w:val="24"/>
          <w:szCs w:val="24"/>
        </w:rPr>
        <w:t>.1技术标的有效性审查：投标文件中没有任一种列于本办法附表二《技术标有效性审查表》中情形的，为有效</w:t>
      </w:r>
      <w:r>
        <w:rPr>
          <w:rFonts w:hint="eastAsia" w:ascii="宋体" w:hAnsi="宋体"/>
          <w:sz w:val="24"/>
        </w:rPr>
        <w:t>投标文件</w:t>
      </w:r>
      <w:r>
        <w:rPr>
          <w:rFonts w:hint="eastAsia" w:ascii="宋体" w:hAnsi="宋体"/>
          <w:sz w:val="24"/>
          <w:szCs w:val="24"/>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sz w:val="24"/>
          <w:szCs w:val="24"/>
        </w:rPr>
      </w:pPr>
      <w:r>
        <w:rPr>
          <w:rFonts w:hint="eastAsia" w:ascii="宋体" w:hAnsi="宋体"/>
          <w:sz w:val="24"/>
          <w:szCs w:val="24"/>
        </w:rPr>
        <w:t>42.3.2</w:t>
      </w:r>
      <w:r>
        <w:rPr>
          <w:rFonts w:hint="eastAsia" w:ascii="宋体" w:hAnsi="宋体"/>
          <w:sz w:val="24"/>
          <w:szCs w:val="24"/>
          <w:u w:val="single"/>
        </w:rPr>
        <w:t xml:space="preserve"> </w:t>
      </w:r>
      <w:r>
        <w:rPr>
          <w:rFonts w:hint="eastAsia" w:ascii="宋体" w:hAnsi="宋体"/>
          <w:szCs w:val="21"/>
          <w:u w:val="single"/>
        </w:rPr>
        <w:t>技</w:t>
      </w:r>
      <w:r>
        <w:rPr>
          <w:rFonts w:hint="eastAsia" w:ascii="宋体" w:hAnsi="宋体"/>
          <w:sz w:val="24"/>
          <w:szCs w:val="24"/>
          <w:u w:val="single"/>
        </w:rPr>
        <w:t xml:space="preserve">术标 </w:t>
      </w:r>
      <w:r>
        <w:rPr>
          <w:rFonts w:hint="eastAsia" w:ascii="宋体" w:hAnsi="宋体"/>
          <w:sz w:val="24"/>
          <w:szCs w:val="24"/>
        </w:rPr>
        <w:t>详细审查评分：评标委员会按照本办法附表</w:t>
      </w:r>
      <w:r>
        <w:rPr>
          <w:rFonts w:hint="eastAsia" w:ascii="宋体" w:hAnsi="宋体"/>
          <w:sz w:val="24"/>
          <w:szCs w:val="24"/>
          <w:u w:val="single"/>
        </w:rPr>
        <w:t xml:space="preserve"> 四 </w:t>
      </w:r>
      <w:r>
        <w:rPr>
          <w:rFonts w:hint="eastAsia" w:ascii="宋体" w:hAnsi="宋体"/>
          <w:sz w:val="24"/>
          <w:szCs w:val="24"/>
        </w:rPr>
        <w:t>《</w:t>
      </w:r>
      <w:r>
        <w:rPr>
          <w:rFonts w:hint="eastAsia" w:ascii="宋体" w:hAnsi="宋体"/>
          <w:sz w:val="24"/>
          <w:szCs w:val="24"/>
          <w:u w:val="single"/>
        </w:rPr>
        <w:t xml:space="preserve"> 技术标 </w:t>
      </w:r>
      <w:r>
        <w:rPr>
          <w:rFonts w:hint="eastAsia" w:ascii="宋体" w:hAnsi="宋体"/>
          <w:sz w:val="24"/>
          <w:szCs w:val="24"/>
        </w:rPr>
        <w:t>详细审查评分表》对通过技术标有效性审查的投标文件进行详细审查，评出</w:t>
      </w:r>
      <w:r>
        <w:rPr>
          <w:rFonts w:hint="eastAsia" w:ascii="宋体" w:hAnsi="宋体"/>
          <w:sz w:val="24"/>
          <w:szCs w:val="24"/>
          <w:u w:val="single"/>
        </w:rPr>
        <w:t xml:space="preserve">  技术 </w:t>
      </w:r>
      <w:r>
        <w:rPr>
          <w:rFonts w:hint="eastAsia" w:ascii="宋体" w:hAnsi="宋体"/>
          <w:sz w:val="24"/>
          <w:szCs w:val="24"/>
        </w:rPr>
        <w:t>得分。</w:t>
      </w:r>
    </w:p>
    <w:p>
      <w:pPr>
        <w:spacing w:line="360" w:lineRule="auto"/>
        <w:ind w:firstLine="480" w:firstLineChars="200"/>
        <w:rPr>
          <w:rFonts w:ascii="宋体" w:hAnsi="宋体"/>
          <w:sz w:val="24"/>
          <w:szCs w:val="24"/>
        </w:rPr>
      </w:pPr>
      <w:r>
        <w:rPr>
          <w:rFonts w:hint="eastAsia" w:ascii="宋体" w:hAnsi="宋体"/>
          <w:sz w:val="24"/>
          <w:szCs w:val="24"/>
        </w:rPr>
        <w:t>42.3.4评标委员会按照“第一阶段得分=</w:t>
      </w:r>
      <w:r>
        <w:rPr>
          <w:rFonts w:hint="eastAsia" w:ascii="宋体" w:hAnsi="宋体"/>
          <w:sz w:val="24"/>
          <w:szCs w:val="24"/>
          <w:u w:val="single"/>
        </w:rPr>
        <w:t xml:space="preserve"> 技术分×100%+综合诚信评价分×0% </w:t>
      </w:r>
      <w:r>
        <w:rPr>
          <w:rFonts w:hint="eastAsia" w:ascii="宋体" w:hAnsi="宋体"/>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rFonts w:ascii="宋体" w:hAnsi="宋体"/>
          <w:sz w:val="24"/>
          <w:szCs w:val="24"/>
        </w:rPr>
      </w:pPr>
      <w:r>
        <w:rPr>
          <w:rFonts w:hint="eastAsia" w:ascii="宋体" w:hAnsi="宋体"/>
          <w:sz w:val="24"/>
          <w:szCs w:val="24"/>
        </w:rPr>
        <w:t>42.3.5招标人应在《投标须知前附表》中明确选择使用施工企业总排名或相应的施工专业承包排名计分。</w:t>
      </w:r>
    </w:p>
    <w:p>
      <w:pPr>
        <w:spacing w:line="360" w:lineRule="auto"/>
        <w:ind w:firstLine="480" w:firstLineChars="200"/>
        <w:rPr>
          <w:rFonts w:ascii="宋体" w:hAnsi="宋体"/>
          <w:sz w:val="24"/>
          <w:szCs w:val="24"/>
        </w:rPr>
      </w:pPr>
      <w:r>
        <w:rPr>
          <w:rFonts w:ascii="宋体" w:hAnsi="宋体"/>
          <w:sz w:val="24"/>
          <w:szCs w:val="24"/>
        </w:rPr>
        <w:t>42.4</w:t>
      </w:r>
      <w:r>
        <w:rPr>
          <w:rFonts w:hint="eastAsia" w:ascii="宋体" w:hAnsi="宋体"/>
          <w:sz w:val="24"/>
          <w:szCs w:val="24"/>
        </w:rPr>
        <w:t xml:space="preserve"> 第二阶段评审</w:t>
      </w:r>
    </w:p>
    <w:p>
      <w:pPr>
        <w:spacing w:line="360" w:lineRule="auto"/>
        <w:ind w:firstLine="480" w:firstLineChars="200"/>
        <w:rPr>
          <w:rFonts w:ascii="宋体" w:hAnsi="宋体"/>
          <w:sz w:val="24"/>
          <w:szCs w:val="24"/>
        </w:rPr>
      </w:pPr>
      <w:r>
        <w:rPr>
          <w:rFonts w:ascii="宋体" w:hAnsi="宋体"/>
          <w:sz w:val="24"/>
          <w:szCs w:val="24"/>
        </w:rPr>
        <w:t>42.4.1</w:t>
      </w:r>
      <w:r>
        <w:rPr>
          <w:rFonts w:hint="eastAsia" w:ascii="宋体" w:hAnsi="宋体"/>
          <w:sz w:val="24"/>
          <w:szCs w:val="24"/>
        </w:rPr>
        <w:t>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sz w:val="24"/>
          <w:szCs w:val="24"/>
        </w:rPr>
      </w:pPr>
      <w:r>
        <w:rPr>
          <w:rFonts w:hint="eastAsia" w:ascii="宋体" w:hAnsi="宋体"/>
          <w:sz w:val="24"/>
          <w:szCs w:val="24"/>
        </w:rPr>
        <w:t>42.4.2若进入第二阶段投标人中所有投标报价均大于等于最高投标限价*100%（具体金额为：人民币</w:t>
      </w:r>
      <w:r>
        <w:rPr>
          <w:rFonts w:hint="eastAsia" w:ascii="宋体" w:hAnsi="宋体" w:cs="宋体"/>
          <w:sz w:val="24"/>
          <w:u w:val="single"/>
        </w:rPr>
        <w:t>198,909,091.00</w:t>
      </w:r>
      <w:r>
        <w:rPr>
          <w:rFonts w:hint="eastAsia" w:ascii="宋体" w:hAnsi="宋体"/>
          <w:sz w:val="24"/>
          <w:szCs w:val="24"/>
        </w:rPr>
        <w:t>元。），则本项目招标失败，由招标人依法重新招标。</w:t>
      </w:r>
    </w:p>
    <w:p>
      <w:pPr>
        <w:spacing w:line="360" w:lineRule="auto"/>
        <w:ind w:firstLine="480" w:firstLineChars="200"/>
        <w:rPr>
          <w:rFonts w:ascii="宋体" w:hAnsi="宋体"/>
          <w:sz w:val="24"/>
          <w:szCs w:val="24"/>
        </w:rPr>
      </w:pPr>
      <w:r>
        <w:rPr>
          <w:rFonts w:hint="eastAsia" w:ascii="宋体" w:hAnsi="宋体"/>
          <w:sz w:val="24"/>
          <w:szCs w:val="24"/>
        </w:rPr>
        <w:t>42.4.3投标文件经济标的评分</w:t>
      </w:r>
    </w:p>
    <w:p>
      <w:pPr>
        <w:spacing w:line="360" w:lineRule="auto"/>
        <w:ind w:firstLine="480" w:firstLineChars="200"/>
        <w:rPr>
          <w:rFonts w:ascii="宋体" w:hAnsi="宋体"/>
          <w:sz w:val="24"/>
          <w:szCs w:val="24"/>
        </w:rPr>
      </w:pPr>
      <w:r>
        <w:rPr>
          <w:rFonts w:hint="eastAsia" w:ascii="宋体" w:hAnsi="宋体"/>
          <w:sz w:val="24"/>
          <w:szCs w:val="24"/>
        </w:rPr>
        <w:t>42.4.3.1按方法</w:t>
      </w:r>
      <w:r>
        <w:rPr>
          <w:rFonts w:hint="eastAsia" w:ascii="宋体" w:hAnsi="宋体"/>
          <w:sz w:val="24"/>
          <w:szCs w:val="24"/>
          <w:u w:val="single"/>
        </w:rPr>
        <w:t xml:space="preserve"> 一 </w:t>
      </w:r>
      <w:r>
        <w:rPr>
          <w:rFonts w:hint="eastAsia" w:ascii="宋体" w:hAnsi="宋体"/>
          <w:sz w:val="24"/>
          <w:szCs w:val="24"/>
        </w:rPr>
        <w:t>计算评标参考价：</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方法一：加权平均法</w:t>
      </w:r>
    </w:p>
    <w:p>
      <w:pPr>
        <w:spacing w:line="360" w:lineRule="auto"/>
        <w:ind w:firstLine="480" w:firstLineChars="200"/>
        <w:rPr>
          <w:rFonts w:ascii="宋体" w:hAnsi="宋体" w:cs="仿宋"/>
          <w:sz w:val="24"/>
          <w:szCs w:val="24"/>
        </w:rPr>
      </w:pPr>
      <w:r>
        <w:rPr>
          <w:rFonts w:hint="eastAsia" w:ascii="宋体" w:hAnsi="宋体" w:cs="仿宋"/>
          <w:sz w:val="24"/>
          <w:szCs w:val="24"/>
          <w:u w:val="single"/>
        </w:rPr>
        <w:t>第一阶段得分前N名（N值根据投标须知前附表第24项所规定的方式确定。得分相同投标报价低者排名靠前）</w:t>
      </w:r>
      <w:r>
        <w:rPr>
          <w:rFonts w:hint="eastAsia" w:ascii="宋体" w:hAnsi="宋体" w:cs="仿宋"/>
          <w:sz w:val="24"/>
          <w:szCs w:val="24"/>
        </w:rPr>
        <w:t>的经济报价加权平均，计算评标参考价。</w:t>
      </w:r>
      <w:r>
        <w:rPr>
          <w:rFonts w:hint="eastAsia" w:ascii="宋体" w:hAnsi="宋体" w:cs="仿宋"/>
          <w:sz w:val="24"/>
          <w:szCs w:val="24"/>
          <w:u w:val="single"/>
        </w:rPr>
        <w:t>如果进入第二阶段的投标人不足N名，则全部作为评标参考价的依据。</w:t>
      </w:r>
      <w:r>
        <w:rPr>
          <w:rFonts w:hint="eastAsia" w:ascii="宋体" w:hAnsi="宋体" w:cs="仿宋"/>
          <w:sz w:val="24"/>
          <w:szCs w:val="24"/>
        </w:rPr>
        <w:t>公式如下：</w:t>
      </w:r>
    </w:p>
    <w:p>
      <w:pPr>
        <w:spacing w:line="360" w:lineRule="auto"/>
        <w:ind w:firstLine="480" w:firstLineChars="200"/>
        <w:rPr>
          <w:rFonts w:ascii="宋体" w:hAnsi="宋体" w:cs="仿宋"/>
          <w:sz w:val="24"/>
          <w:szCs w:val="24"/>
        </w:rPr>
      </w:pPr>
      <w:r>
        <w:rPr>
          <w:rFonts w:hint="eastAsia" w:ascii="宋体" w:hAnsi="宋体" w:cs="仿宋"/>
          <w:sz w:val="24"/>
          <w:szCs w:val="24"/>
        </w:rPr>
        <w:t>评标参考价</w:t>
      </w:r>
      <w:r>
        <w:rPr>
          <w:rFonts w:ascii="宋体" w:hAnsi="宋体" w:cs="仿宋"/>
          <w:sz w:val="24"/>
          <w:szCs w:val="24"/>
        </w:rPr>
        <w:t>=</w:t>
      </w:r>
      <w:r>
        <w:rPr>
          <w:rFonts w:hint="eastAsia" w:ascii="宋体" w:hAnsi="宋体" w:cs="仿宋"/>
          <w:sz w:val="24"/>
          <w:szCs w:val="24"/>
        </w:rPr>
        <w:t>Σ（投标人的投标报价</w:t>
      </w:r>
      <w:r>
        <w:rPr>
          <w:rFonts w:ascii="宋体" w:hAnsi="宋体" w:cs="仿宋"/>
          <w:sz w:val="24"/>
          <w:szCs w:val="24"/>
        </w:rPr>
        <w:t>*</w:t>
      </w:r>
      <w:r>
        <w:rPr>
          <w:rFonts w:hint="eastAsia" w:ascii="宋体" w:hAnsi="宋体" w:cs="仿宋"/>
          <w:sz w:val="24"/>
          <w:szCs w:val="24"/>
        </w:rPr>
        <w:t>报价权重）。</w:t>
      </w:r>
    </w:p>
    <w:p>
      <w:pPr>
        <w:spacing w:line="360" w:lineRule="auto"/>
        <w:ind w:firstLine="480" w:firstLineChars="200"/>
        <w:rPr>
          <w:rFonts w:ascii="宋体" w:hAnsi="宋体" w:cs="仿宋"/>
          <w:sz w:val="24"/>
          <w:szCs w:val="24"/>
        </w:rPr>
      </w:pPr>
      <w:r>
        <w:rPr>
          <w:rFonts w:hint="eastAsia" w:ascii="宋体" w:hAnsi="宋体" w:cs="仿宋"/>
          <w:sz w:val="24"/>
          <w:szCs w:val="24"/>
        </w:rPr>
        <w:t>其中：报价权重的计算方法为：将</w:t>
      </w:r>
      <w:r>
        <w:rPr>
          <w:rFonts w:ascii="宋体" w:hAnsi="宋体" w:cs="仿宋"/>
          <w:sz w:val="24"/>
          <w:szCs w:val="24"/>
        </w:rPr>
        <w:t>N</w:t>
      </w:r>
      <w:r>
        <w:rPr>
          <w:rFonts w:hint="eastAsia" w:ascii="宋体" w:hAnsi="宋体" w:cs="仿宋"/>
          <w:sz w:val="24"/>
          <w:szCs w:val="24"/>
        </w:rPr>
        <w:t>名投标人按技术分由高至低进行排序，第一名投标人的权重为（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sz w:val="24"/>
          <w:szCs w:val="24"/>
        </w:rPr>
        <w:drawing>
          <wp:inline distT="0" distB="0" distL="0" distR="0">
            <wp:extent cx="381000" cy="447675"/>
            <wp:effectExtent l="0" t="0" r="0" b="9525"/>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sz w:val="24"/>
          <w:szCs w:val="24"/>
        </w:rPr>
        <w:drawing>
          <wp:inline distT="0" distB="0" distL="0" distR="0">
            <wp:extent cx="381000" cy="447675"/>
            <wp:effectExtent l="0" t="0" r="0" b="9525"/>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），第二名投标人的权重为（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6350" b="5715"/>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6350" b="5715"/>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），以此类推，最后一名投标人的权重为（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6350" b="5715"/>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6350" b="5715"/>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w:t>
      </w:r>
    </w:p>
    <w:p>
      <w:pPr>
        <w:widowControl/>
        <w:spacing w:line="360" w:lineRule="auto"/>
        <w:ind w:firstLine="482" w:firstLineChars="200"/>
        <w:rPr>
          <w:rFonts w:ascii="宋体" w:hAnsi="宋体"/>
          <w:b/>
          <w:bCs/>
          <w:strike/>
          <w:kern w:val="0"/>
          <w:sz w:val="24"/>
          <w:szCs w:val="24"/>
        </w:rPr>
      </w:pPr>
      <w:r>
        <w:rPr>
          <w:rFonts w:hint="eastAsia" w:ascii="宋体" w:hAnsi="宋体" w:cs="仿宋"/>
          <w:b/>
          <w:bCs/>
          <w:strike/>
          <w:kern w:val="0"/>
          <w:sz w:val="24"/>
          <w:szCs w:val="24"/>
        </w:rPr>
        <w:t>方法二：区间抽取法</w:t>
      </w:r>
    </w:p>
    <w:p>
      <w:pPr>
        <w:widowControl/>
        <w:snapToGrid w:val="0"/>
        <w:spacing w:line="360" w:lineRule="auto"/>
        <w:ind w:firstLine="480" w:firstLineChars="200"/>
        <w:rPr>
          <w:rFonts w:ascii="宋体" w:hAnsi="宋体"/>
          <w:strike/>
          <w:kern w:val="0"/>
          <w:sz w:val="24"/>
          <w:szCs w:val="24"/>
        </w:rPr>
      </w:pPr>
      <w:r>
        <w:rPr>
          <w:rFonts w:hint="eastAsia" w:ascii="宋体" w:hAnsi="宋体" w:cs="仿宋"/>
          <w:strike/>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strike/>
          <w:kern w:val="0"/>
          <w:sz w:val="24"/>
          <w:szCs w:val="24"/>
          <w:vertAlign w:val="subscript"/>
        </w:rPr>
      </w:pPr>
      <w:r>
        <w:rPr>
          <w:rFonts w:hint="eastAsia" w:ascii="宋体" w:hAnsi="宋体" w:cs="仿宋"/>
          <w:strike/>
          <w:kern w:val="0"/>
          <w:sz w:val="24"/>
          <w:szCs w:val="24"/>
        </w:rPr>
        <w:t>评标参考价</w:t>
      </w:r>
      <w:r>
        <w:rPr>
          <w:rFonts w:ascii="宋体" w:hAnsi="宋体" w:cs="仿宋"/>
          <w:strike/>
          <w:kern w:val="0"/>
          <w:sz w:val="24"/>
          <w:szCs w:val="24"/>
        </w:rPr>
        <w:t>=</w:t>
      </w:r>
      <w:r>
        <w:rPr>
          <w:rFonts w:hint="eastAsia" w:ascii="宋体" w:hAnsi="宋体" w:cs="仿宋"/>
          <w:strike/>
          <w:kern w:val="0"/>
          <w:sz w:val="24"/>
          <w:szCs w:val="24"/>
        </w:rPr>
        <w:t>（</w:t>
      </w:r>
      <w:r>
        <w:rPr>
          <w:rFonts w:ascii="宋体" w:hAnsi="宋体" w:cs="仿宋"/>
          <w:strike/>
          <w:kern w:val="0"/>
          <w:sz w:val="24"/>
          <w:szCs w:val="24"/>
        </w:rPr>
        <w:t>Q</w:t>
      </w:r>
      <w:r>
        <w:rPr>
          <w:rFonts w:hint="eastAsia" w:ascii="宋体" w:hAnsi="宋体" w:cs="仿宋"/>
          <w:strike/>
          <w:kern w:val="0"/>
          <w:sz w:val="24"/>
          <w:szCs w:val="24"/>
          <w:vertAlign w:val="subscript"/>
        </w:rPr>
        <w:t>高</w:t>
      </w:r>
      <w:r>
        <w:rPr>
          <w:rFonts w:ascii="宋体" w:hAnsi="宋体" w:cs="仿宋"/>
          <w:strike/>
          <w:kern w:val="0"/>
          <w:sz w:val="24"/>
          <w:szCs w:val="24"/>
        </w:rPr>
        <w:t>-Q</w:t>
      </w:r>
      <w:r>
        <w:rPr>
          <w:rFonts w:hint="eastAsia" w:ascii="宋体" w:hAnsi="宋体" w:cs="仿宋"/>
          <w:strike/>
          <w:kern w:val="0"/>
          <w:sz w:val="24"/>
          <w:szCs w:val="24"/>
          <w:vertAlign w:val="subscript"/>
        </w:rPr>
        <w:t>低</w:t>
      </w:r>
      <w:r>
        <w:rPr>
          <w:rFonts w:hint="eastAsia" w:ascii="宋体" w:hAnsi="宋体" w:cs="仿宋"/>
          <w:strike/>
          <w:kern w:val="0"/>
          <w:sz w:val="24"/>
          <w:szCs w:val="24"/>
        </w:rPr>
        <w:t>）</w:t>
      </w:r>
      <w:r>
        <w:rPr>
          <w:rFonts w:ascii="宋体" w:hAnsi="宋体" w:cs="仿宋"/>
          <w:strike/>
          <w:kern w:val="0"/>
          <w:sz w:val="24"/>
          <w:szCs w:val="24"/>
        </w:rPr>
        <w:t>/100*</w:t>
      </w:r>
      <w:r>
        <w:rPr>
          <w:rFonts w:hint="eastAsia" w:ascii="宋体" w:hAnsi="宋体" w:cs="仿宋"/>
          <w:strike/>
          <w:kern w:val="0"/>
          <w:sz w:val="24"/>
          <w:szCs w:val="24"/>
        </w:rPr>
        <w:t>Ｘ</w:t>
      </w:r>
      <w:r>
        <w:rPr>
          <w:rFonts w:ascii="宋体" w:hAnsi="宋体" w:cs="仿宋"/>
          <w:strike/>
          <w:kern w:val="0"/>
          <w:sz w:val="24"/>
          <w:szCs w:val="24"/>
        </w:rPr>
        <w:t>+Q</w:t>
      </w:r>
      <w:r>
        <w:rPr>
          <w:rFonts w:hint="eastAsia" w:ascii="宋体" w:hAnsi="宋体" w:cs="仿宋"/>
          <w:strike/>
          <w:kern w:val="0"/>
          <w:sz w:val="24"/>
          <w:szCs w:val="24"/>
          <w:vertAlign w:val="subscript"/>
        </w:rPr>
        <w:t>低</w:t>
      </w:r>
    </w:p>
    <w:p>
      <w:pPr>
        <w:widowControl/>
        <w:snapToGrid w:val="0"/>
        <w:spacing w:line="360" w:lineRule="auto"/>
        <w:ind w:firstLine="480" w:firstLineChars="200"/>
        <w:rPr>
          <w:rFonts w:ascii="宋体" w:hAnsi="宋体"/>
          <w:strike/>
          <w:sz w:val="24"/>
          <w:szCs w:val="24"/>
        </w:rPr>
      </w:pPr>
      <w:r>
        <w:rPr>
          <w:rFonts w:ascii="宋体" w:hAnsi="宋体" w:cs="仿宋"/>
          <w:strike/>
          <w:sz w:val="24"/>
          <w:szCs w:val="24"/>
        </w:rPr>
        <w:t>Q</w:t>
      </w:r>
      <w:r>
        <w:rPr>
          <w:rFonts w:hint="eastAsia" w:ascii="宋体" w:hAnsi="宋体" w:cs="仿宋"/>
          <w:strike/>
          <w:sz w:val="24"/>
          <w:szCs w:val="24"/>
          <w:vertAlign w:val="subscript"/>
        </w:rPr>
        <w:t>低</w:t>
      </w:r>
      <w:r>
        <w:rPr>
          <w:rFonts w:hint="eastAsia" w:ascii="宋体" w:hAnsi="宋体" w:cs="仿宋"/>
          <w:strike/>
          <w:sz w:val="24"/>
          <w:szCs w:val="24"/>
        </w:rPr>
        <w:t>：为达到或超过技术标及格分数线的投标人最低报价与工程成本警示价两者中的较高值；</w:t>
      </w:r>
    </w:p>
    <w:p>
      <w:pPr>
        <w:spacing w:line="360" w:lineRule="auto"/>
        <w:ind w:firstLine="480" w:firstLineChars="200"/>
        <w:rPr>
          <w:rFonts w:ascii="宋体" w:hAnsi="宋体" w:cs="仿宋"/>
          <w:strike/>
          <w:sz w:val="24"/>
          <w:szCs w:val="24"/>
        </w:rPr>
      </w:pPr>
      <w:r>
        <w:rPr>
          <w:rFonts w:ascii="宋体" w:hAnsi="宋体" w:cs="仿宋"/>
          <w:strike/>
          <w:kern w:val="0"/>
          <w:sz w:val="24"/>
          <w:szCs w:val="24"/>
        </w:rPr>
        <w:t>Q</w:t>
      </w:r>
      <w:r>
        <w:rPr>
          <w:rFonts w:hint="eastAsia" w:ascii="宋体" w:hAnsi="宋体" w:cs="仿宋"/>
          <w:strike/>
          <w:kern w:val="0"/>
          <w:sz w:val="24"/>
          <w:szCs w:val="24"/>
          <w:vertAlign w:val="subscript"/>
        </w:rPr>
        <w:t>高</w:t>
      </w:r>
      <w:r>
        <w:rPr>
          <w:rFonts w:hint="eastAsia" w:ascii="宋体" w:hAnsi="宋体" w:cs="仿宋"/>
          <w:strike/>
          <w:sz w:val="24"/>
          <w:szCs w:val="24"/>
        </w:rPr>
        <w:t>：为（最高投标限价</w:t>
      </w:r>
      <w:r>
        <w:rPr>
          <w:rFonts w:ascii="宋体" w:hAnsi="宋体" w:cs="仿宋"/>
          <w:strike/>
          <w:sz w:val="24"/>
          <w:szCs w:val="24"/>
        </w:rPr>
        <w:t>*D%</w:t>
      </w:r>
      <w:r>
        <w:rPr>
          <w:rFonts w:hint="eastAsia" w:ascii="宋体" w:hAnsi="宋体" w:cs="仿宋"/>
          <w:strike/>
          <w:sz w:val="24"/>
          <w:szCs w:val="24"/>
        </w:rPr>
        <w:t>）（</w:t>
      </w:r>
      <w:r>
        <w:rPr>
          <w:rFonts w:ascii="宋体" w:hAnsi="宋体" w:cs="仿宋"/>
          <w:strike/>
          <w:sz w:val="24"/>
          <w:szCs w:val="24"/>
        </w:rPr>
        <w:t>D</w:t>
      </w:r>
      <w:r>
        <w:rPr>
          <w:rFonts w:hint="eastAsia" w:ascii="宋体" w:hAnsi="宋体" w:cs="仿宋"/>
          <w:strike/>
          <w:sz w:val="24"/>
          <w:szCs w:val="24"/>
        </w:rPr>
        <w:t>的取值范围为</w:t>
      </w:r>
      <w:r>
        <w:rPr>
          <w:rFonts w:ascii="宋体" w:hAnsi="宋体" w:cs="仿宋"/>
          <w:strike/>
          <w:sz w:val="24"/>
          <w:szCs w:val="24"/>
        </w:rPr>
        <w:t>[94,100],</w:t>
      </w:r>
      <w:r>
        <w:rPr>
          <w:rFonts w:hint="eastAsia" w:ascii="宋体" w:hAnsi="宋体" w:cs="仿宋"/>
          <w:strike/>
          <w:sz w:val="24"/>
          <w:szCs w:val="24"/>
        </w:rPr>
        <w:t>由招标人自定）</w:t>
      </w:r>
    </w:p>
    <w:p>
      <w:pPr>
        <w:spacing w:line="360" w:lineRule="auto"/>
        <w:ind w:firstLine="480" w:firstLineChars="200"/>
        <w:rPr>
          <w:rFonts w:ascii="宋体" w:hAnsi="宋体"/>
          <w:strike/>
          <w:sz w:val="24"/>
          <w:szCs w:val="24"/>
        </w:rPr>
      </w:pPr>
      <w:r>
        <w:rPr>
          <w:rFonts w:hint="eastAsia" w:ascii="宋体" w:hAnsi="宋体" w:cs="仿宋"/>
          <w:strike/>
          <w:sz w:val="24"/>
          <w:szCs w:val="24"/>
        </w:rPr>
        <w:t xml:space="preserve">    </w:t>
      </w:r>
      <w:r>
        <w:rPr>
          <w:rFonts w:ascii="宋体" w:hAnsi="宋体" w:cs="仿宋"/>
          <w:strike/>
          <w:sz w:val="24"/>
          <w:szCs w:val="24"/>
        </w:rPr>
        <w:t>X:</w:t>
      </w:r>
      <w:r>
        <w:rPr>
          <w:rFonts w:hint="eastAsia" w:ascii="宋体" w:hAnsi="宋体" w:cs="仿宋"/>
          <w:strike/>
          <w:sz w:val="24"/>
          <w:szCs w:val="24"/>
        </w:rPr>
        <w:t>为等分点值，在开标前从</w:t>
      </w:r>
      <w:r>
        <w:rPr>
          <w:rFonts w:ascii="宋体" w:hAnsi="宋体" w:cs="仿宋"/>
          <w:strike/>
          <w:sz w:val="24"/>
          <w:szCs w:val="24"/>
        </w:rPr>
        <w:t>[0,100]</w:t>
      </w:r>
      <w:r>
        <w:rPr>
          <w:rFonts w:hint="eastAsia" w:ascii="宋体" w:hAnsi="宋体" w:cs="仿宋"/>
          <w:strike/>
          <w:sz w:val="24"/>
          <w:szCs w:val="24"/>
        </w:rPr>
        <w:t>整数中随机抽取</w:t>
      </w:r>
    </w:p>
    <w:p>
      <w:pPr>
        <w:spacing w:line="360" w:lineRule="auto"/>
        <w:ind w:firstLine="480" w:firstLineChars="200"/>
        <w:rPr>
          <w:rFonts w:ascii="宋体" w:hAnsi="宋体"/>
          <w:sz w:val="24"/>
          <w:szCs w:val="24"/>
        </w:rPr>
      </w:pPr>
      <w:r>
        <w:rPr>
          <w:rFonts w:hint="eastAsia" w:ascii="宋体" w:hAnsi="宋体" w:cs="宋体"/>
          <w:kern w:val="0"/>
          <w:sz w:val="24"/>
          <w:szCs w:val="24"/>
        </w:rPr>
        <w:t>42.4.3.2</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hint="eastAsia" w:ascii="宋体" w:hAnsi="宋体"/>
          <w:sz w:val="24"/>
          <w:szCs w:val="24"/>
          <w:u w:val="single"/>
        </w:rPr>
        <w:t>1</w:t>
      </w:r>
      <w:r>
        <w:rPr>
          <w:rFonts w:hint="eastAsia" w:ascii="宋体" w:hAnsi="宋体"/>
          <w:sz w:val="24"/>
          <w:szCs w:val="24"/>
        </w:rPr>
        <w:t>分，每低于评标参考价</w:t>
      </w:r>
      <w:r>
        <w:rPr>
          <w:rFonts w:ascii="宋体" w:hAnsi="宋体"/>
          <w:sz w:val="24"/>
          <w:szCs w:val="24"/>
        </w:rPr>
        <w:t>1%</w:t>
      </w:r>
      <w:r>
        <w:rPr>
          <w:rFonts w:hint="eastAsia" w:ascii="宋体" w:hAnsi="宋体"/>
          <w:sz w:val="24"/>
          <w:szCs w:val="24"/>
        </w:rPr>
        <w:t>，扣</w:t>
      </w:r>
      <w:r>
        <w:rPr>
          <w:rFonts w:hint="eastAsia" w:ascii="宋体" w:hAnsi="宋体"/>
          <w:sz w:val="24"/>
          <w:szCs w:val="24"/>
          <w:u w:val="single"/>
        </w:rPr>
        <w:t>0.5</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分为止，得出经济分，精确到小数点后两位。</w:t>
      </w:r>
    </w:p>
    <w:p>
      <w:pPr>
        <w:spacing w:line="360" w:lineRule="auto"/>
        <w:ind w:firstLine="480" w:firstLineChars="200"/>
        <w:rPr>
          <w:rFonts w:ascii="宋体" w:hAnsi="宋体"/>
          <w:sz w:val="24"/>
          <w:szCs w:val="24"/>
        </w:rPr>
      </w:pPr>
      <w:r>
        <w:rPr>
          <w:rFonts w:hint="eastAsia" w:ascii="宋体" w:hAnsi="宋体"/>
          <w:sz w:val="24"/>
          <w:szCs w:val="24"/>
        </w:rPr>
        <w:t>42.4.3.3评标委员会按投标须知前附表第32项的规定确定排序。</w:t>
      </w:r>
    </w:p>
    <w:p>
      <w:pPr>
        <w:spacing w:line="360" w:lineRule="auto"/>
        <w:ind w:firstLine="480" w:firstLineChars="200"/>
        <w:rPr>
          <w:rFonts w:ascii="宋体" w:hAnsi="宋体"/>
          <w:sz w:val="24"/>
          <w:szCs w:val="24"/>
        </w:rPr>
      </w:pPr>
      <w:r>
        <w:rPr>
          <w:rFonts w:hint="eastAsia" w:ascii="宋体" w:hAnsi="宋体"/>
          <w:sz w:val="24"/>
          <w:szCs w:val="24"/>
        </w:rPr>
        <w:t>42.4.4经济标的有效性审查：按照投标人第二阶段排序，依次对进入第二阶段评审的投标文件进行有效性审查，投标文件中没有任一种列于本办法附表三《经济标有效性审查表》中情形的，为有效</w:t>
      </w:r>
      <w:r>
        <w:rPr>
          <w:rFonts w:hint="eastAsia" w:ascii="宋体" w:hAnsi="宋体"/>
          <w:sz w:val="24"/>
        </w:rPr>
        <w:t>投标文件</w:t>
      </w:r>
      <w:r>
        <w:rPr>
          <w:rFonts w:hint="eastAsia" w:ascii="宋体" w:hAnsi="宋体"/>
          <w:sz w:val="24"/>
          <w:szCs w:val="24"/>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4.5.1如果数字表示的金额和用文字表示的金额不一致时，应以文字表示的金额为准；</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4.5.2经算术复核的投标人报价与其投标报价不一致时，按就低不就高原则确定其最终报价；</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6评标委员会应在通过投标文件经济标有效性审查的投标人中，按步骤42.4确定的投标人第二阶段排序，推荐前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7若通过经济标有效性审查的投标人不足三家，应当依法重新招标。（当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pPr>
        <w:pStyle w:val="8"/>
        <w:spacing w:line="360" w:lineRule="auto"/>
      </w:pPr>
      <w:r>
        <w:br w:type="page"/>
      </w:r>
    </w:p>
    <w:p>
      <w:pPr>
        <w:widowControl/>
        <w:snapToGrid w:val="0"/>
        <w:spacing w:line="360" w:lineRule="auto"/>
        <w:ind w:right="102"/>
        <w:jc w:val="left"/>
        <w:rPr>
          <w:rFonts w:ascii="宋体"/>
          <w:szCs w:val="21"/>
        </w:rPr>
      </w:pPr>
      <w:r>
        <w:rPr>
          <w:rFonts w:hint="eastAsia" w:ascii="宋体" w:hAnsi="宋体"/>
          <w:szCs w:val="21"/>
        </w:rPr>
        <w:t>附表一：</w:t>
      </w:r>
    </w:p>
    <w:p>
      <w:pPr>
        <w:jc w:val="center"/>
        <w:rPr>
          <w:b/>
          <w:sz w:val="32"/>
          <w:szCs w:val="32"/>
        </w:rPr>
      </w:pPr>
      <w:r>
        <w:rPr>
          <w:rFonts w:hint="eastAsia"/>
          <w:b/>
          <w:sz w:val="32"/>
          <w:szCs w:val="32"/>
        </w:rPr>
        <w:t>资格审查表</w:t>
      </w:r>
    </w:p>
    <w:p>
      <w:pPr>
        <w:spacing w:line="480" w:lineRule="auto"/>
        <w:rPr>
          <w:sz w:val="24"/>
          <w:szCs w:val="24"/>
        </w:rPr>
      </w:pPr>
      <w:r>
        <w:rPr>
          <w:rFonts w:hint="eastAsia"/>
          <w:sz w:val="24"/>
          <w:szCs w:val="24"/>
        </w:rPr>
        <w:t>工程名称：</w:t>
      </w:r>
    </w:p>
    <w:p>
      <w:pPr>
        <w:spacing w:line="480" w:lineRule="auto"/>
        <w:rPr>
          <w:sz w:val="24"/>
          <w:szCs w:val="24"/>
        </w:rPr>
      </w:pPr>
      <w:r>
        <w:rPr>
          <w:rFonts w:hint="eastAsia"/>
          <w:sz w:val="24"/>
          <w:szCs w:val="24"/>
        </w:rPr>
        <w:t>投标人名称：</w:t>
      </w:r>
    </w:p>
    <w:tbl>
      <w:tblPr>
        <w:tblStyle w:val="36"/>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序号</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营业执照在广州市住建行业信用管理平台内上传件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投标人均持有建设行政主管部门颁发的企业资质证书及安全生产许可证；投标人资质符合公告要求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资质证书及安全生产许可证在广州市住建行业信用管理平台内上传件；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4</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投标人拟担任本工程项目负责人符合公告要求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使用有效期内的注册建造师注册证书在广州市住建行业信用平台内上传件。</w:t>
            </w:r>
          </w:p>
          <w:p>
            <w:pPr>
              <w:spacing w:before="120" w:after="60"/>
              <w:jc w:val="center"/>
              <w:rPr>
                <w:rFonts w:ascii="宋体" w:hAnsi="宋体"/>
                <w:szCs w:val="21"/>
              </w:rPr>
            </w:pPr>
            <w:r>
              <w:rPr>
                <w:rFonts w:hint="eastAsia" w:ascii="宋体" w:hAnsi="宋体"/>
                <w:szCs w:val="21"/>
              </w:rPr>
              <w:t>（注：打印建造师电子证书后，应在个人签名处手写本人签名再上传广州市住建行业信用平台，上传件未手写签名或与签名图像笔迹不一致的，该电子证书无效。）</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5</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持有有效期内的项目负责人安全生产考核合格证（</w:t>
            </w:r>
            <w:r>
              <w:rPr>
                <w:rFonts w:ascii="宋体" w:hAnsi="宋体"/>
                <w:szCs w:val="21"/>
              </w:rPr>
              <w:t>B</w:t>
            </w:r>
            <w:r>
              <w:rPr>
                <w:rFonts w:hint="eastAsia" w:ascii="宋体" w:hAnsi="宋体"/>
                <w:szCs w:val="21"/>
              </w:rPr>
              <w:t>类）或建筑施工企业项目负责人安全生产考核合格证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项目负责人安全生产考核合格证（B证）或建筑施工企业项目负责人安全生产考核合格证在广州市住建行业信用管理平台内上传件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6</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投标人拟担任本工程技术负责人符合公告要求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拟委托技术负责人的职称证书</w:t>
            </w:r>
            <w:r>
              <w:rPr>
                <w:rFonts w:hint="eastAsia"/>
                <w:color w:val="000000" w:themeColor="text1"/>
                <w:u w:val="single"/>
                <w14:textFill>
                  <w14:solidFill>
                    <w14:schemeClr w14:val="tx1"/>
                  </w14:solidFill>
                </w14:textFill>
              </w:rPr>
              <w:t>及近1个月在本单位购买社保的证明，扫描件加盖投标人公章</w:t>
            </w:r>
            <w:r>
              <w:rPr>
                <w:rFonts w:hint="eastAsia" w:ascii="宋体" w:hAnsi="宋体"/>
                <w:szCs w:val="21"/>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7</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专职安全员须具有有效期内的安全生产考核合格证（</w:t>
            </w:r>
            <w:r>
              <w:rPr>
                <w:rFonts w:ascii="宋体" w:hAnsi="宋体"/>
                <w:szCs w:val="21"/>
              </w:rPr>
              <w:t>C</w:t>
            </w:r>
            <w:r>
              <w:rPr>
                <w:rFonts w:hint="eastAsia" w:ascii="宋体" w:hAnsi="宋体"/>
                <w:szCs w:val="21"/>
              </w:rPr>
              <w:t>类）或建筑施工企业专职安全生产管理人员安全生产考核合格证（C3）</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专职安全员的安全生产考核合格证（</w:t>
            </w:r>
            <w:r>
              <w:rPr>
                <w:rFonts w:ascii="宋体" w:hAnsi="宋体"/>
                <w:szCs w:val="21"/>
              </w:rPr>
              <w:t>C</w:t>
            </w:r>
            <w:r>
              <w:rPr>
                <w:rFonts w:hint="eastAsia" w:ascii="宋体" w:hAnsi="宋体"/>
                <w:szCs w:val="21"/>
              </w:rPr>
              <w:t>类）或建筑施工企业专职安全生产管理人员安全生产考核合格证（C3）在广州市住建行业信用管理平台内上传件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8</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投标人完成过的类似工程业绩符合公告要求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业绩证明文件原件扫描件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9</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10</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投标人声明中</w:t>
            </w:r>
            <w:r>
              <w:rPr>
                <w:rFonts w:hint="eastAsia" w:ascii="宋体" w:hAnsi="宋体"/>
                <w:b/>
                <w:bCs/>
                <w:szCs w:val="21"/>
              </w:rPr>
              <w:t>签字</w:t>
            </w:r>
            <w:r>
              <w:rPr>
                <w:rFonts w:hint="eastAsia" w:ascii="宋体" w:hAnsi="宋体"/>
                <w:szCs w:val="21"/>
              </w:rPr>
              <w:t>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提供联合体工作协议。投标人拟任本工程项目负责人应为主办方正式员工。联合体工作协议应明确约定各方拟承担的工作和责任（如有）</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详见招标公告</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r>
              <w:rPr>
                <w:rFonts w:hint="eastAsia" w:ascii="宋体" w:hAnsi="宋体"/>
                <w:szCs w:val="21"/>
              </w:rPr>
              <w:t>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资格审查前，投标人须</w:t>
            </w:r>
            <w:r>
              <w:rPr>
                <w:rFonts w:ascii="宋体" w:hAnsi="宋体"/>
                <w:szCs w:val="21"/>
              </w:rPr>
              <w:t>在</w:t>
            </w:r>
            <w:r>
              <w:rPr>
                <w:rFonts w:hint="eastAsia" w:ascii="宋体" w:hAnsi="宋体"/>
                <w:szCs w:val="21"/>
              </w:rPr>
              <w:t>广州市住房和城乡建设局建立企业信用档案及拟担任本工程项目负责人、专职安全员须是本企业中的在册人员</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投标人在广州市住建行业信用管理平台内企业信用档案的企业和人员信息</w:t>
            </w:r>
            <w:r>
              <w:rPr>
                <w:rFonts w:hint="eastAsia" w:ascii="宋体" w:hAnsi="宋体"/>
                <w:b/>
                <w:bCs/>
                <w:szCs w:val="21"/>
              </w:rPr>
              <w:t>（相关证明材料及近1个月在本单位购买社保的证明，扫描件加盖投标人公章）</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未在以往工程中因不诚信行为或不充分履约行为被本项目招标人书面拒绝投标的（如有）</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详见招标公告</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14</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投标人未出现以下情形：与其它投标人的单位负责人为同一人或者存在控股、管理关系的（按投标人提供的《投标人声明》第八条内容进行评审）。</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15</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未被列入拖欠农民工工资失信联合惩戒对象名单</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投标人无需提供资料，按交易系统比对的结果进行评审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bl>
    <w:p>
      <w:pPr>
        <w:spacing w:line="480" w:lineRule="auto"/>
        <w:ind w:firstLine="470" w:firstLineChars="224"/>
        <w:rPr>
          <w:rFonts w:ascii="宋体"/>
          <w:szCs w:val="21"/>
        </w:rPr>
      </w:pPr>
      <w:r>
        <w:rPr>
          <w:rFonts w:hint="eastAsia" w:ascii="宋体" w:hAnsi="宋体"/>
          <w:szCs w:val="21"/>
        </w:rPr>
        <w:t>备注：</w:t>
      </w:r>
    </w:p>
    <w:p>
      <w:pPr>
        <w:spacing w:line="480" w:lineRule="auto"/>
        <w:ind w:firstLine="470" w:firstLineChars="224"/>
        <w:rPr>
          <w:rFonts w:ascii="宋体"/>
          <w:szCs w:val="21"/>
        </w:rPr>
      </w:pPr>
      <w:r>
        <w:rPr>
          <w:rFonts w:ascii="宋体" w:hAnsi="宋体"/>
          <w:szCs w:val="21"/>
        </w:rPr>
        <w:t>1</w:t>
      </w:r>
      <w:r>
        <w:rPr>
          <w:rFonts w:hint="eastAsia" w:ascii="宋体" w:hAnsi="宋体"/>
          <w:szCs w:val="21"/>
        </w:rPr>
        <w:t>、每一项目符合的打“○”，不符合的打“×”；</w:t>
      </w:r>
      <w:r>
        <w:rPr>
          <w:rFonts w:ascii="宋体" w:hAnsi="宋体"/>
          <w:szCs w:val="21"/>
        </w:rPr>
        <w:t xml:space="preserve"> </w:t>
      </w:r>
    </w:p>
    <w:p>
      <w:pPr>
        <w:spacing w:line="480" w:lineRule="auto"/>
        <w:ind w:firstLine="470" w:firstLineChars="224"/>
        <w:rPr>
          <w:rFonts w:ascii="宋体" w:hAnsi="宋体"/>
          <w:szCs w:val="21"/>
        </w:rPr>
      </w:pPr>
      <w:r>
        <w:rPr>
          <w:rFonts w:ascii="宋体" w:hAnsi="宋体"/>
          <w:szCs w:val="21"/>
        </w:rPr>
        <w:t>2</w:t>
      </w:r>
      <w:r>
        <w:rPr>
          <w:rFonts w:hint="eastAsia" w:ascii="宋体" w:hAnsi="宋体"/>
          <w:szCs w:val="21"/>
        </w:rPr>
        <w:t>、若评委意见不一致时，则按少数服从多数的原则，作出评审结论。汇总后，出现一个“×”的结论为“不通过”。</w:t>
      </w:r>
    </w:p>
    <w:p>
      <w:pPr>
        <w:spacing w:line="480" w:lineRule="auto"/>
        <w:ind w:firstLine="470" w:firstLineChars="224"/>
        <w:rPr>
          <w:rFonts w:ascii="宋体" w:hAnsi="宋体"/>
          <w:szCs w:val="21"/>
        </w:rPr>
      </w:pPr>
      <w:r>
        <w:rPr>
          <w:rFonts w:hint="eastAsia" w:ascii="宋体" w:hAnsi="宋体"/>
          <w:szCs w:val="21"/>
        </w:rPr>
        <w:t>3、</w:t>
      </w:r>
      <w:r>
        <w:rPr>
          <w:rFonts w:ascii="宋体" w:hAnsi="宋体"/>
          <w:szCs w:val="21"/>
        </w:rPr>
        <w:t xml:space="preserve"> </w:t>
      </w:r>
      <w:r>
        <w:rPr>
          <w:rFonts w:hint="eastAsia" w:ascii="宋体" w:hAnsi="宋体"/>
          <w:szCs w:val="21"/>
        </w:rPr>
        <w:t>社保证明要求：近1个月（2</w:t>
      </w:r>
      <w:r>
        <w:rPr>
          <w:rFonts w:ascii="宋体" w:hAnsi="宋体"/>
          <w:szCs w:val="21"/>
        </w:rPr>
        <w:t>02</w:t>
      </w:r>
      <w:r>
        <w:rPr>
          <w:rFonts w:hint="eastAsia" w:ascii="宋体" w:hAnsi="宋体"/>
          <w:szCs w:val="21"/>
        </w:rPr>
        <w:t>3年  月）在本单位购买社保证明。</w:t>
      </w:r>
    </w:p>
    <w:p>
      <w:pPr>
        <w:spacing w:line="480" w:lineRule="auto"/>
        <w:ind w:firstLine="470" w:firstLineChars="224"/>
        <w:rPr>
          <w:rFonts w:ascii="宋体" w:hAnsi="宋体"/>
          <w:szCs w:val="21"/>
        </w:rPr>
      </w:pPr>
      <w:r>
        <w:rPr>
          <w:rFonts w:hint="eastAsia" w:ascii="宋体" w:hAnsi="宋体"/>
          <w:szCs w:val="21"/>
        </w:rPr>
        <w:t>4、</w:t>
      </w:r>
      <w:r>
        <w:rPr>
          <w:rFonts w:ascii="宋体" w:hAnsi="宋体"/>
          <w:szCs w:val="21"/>
        </w:rPr>
        <w:t xml:space="preserve"> </w:t>
      </w:r>
      <w:r>
        <w:rPr>
          <w:rFonts w:hint="eastAsia" w:ascii="宋体" w:hAnsi="宋体"/>
          <w:szCs w:val="21"/>
        </w:rPr>
        <w:t>若联合体投标，联合体各成员都需提供企业营业执照、安全生产许可证。</w:t>
      </w:r>
    </w:p>
    <w:p>
      <w:pPr>
        <w:pStyle w:val="19"/>
        <w:spacing w:line="480" w:lineRule="auto"/>
        <w:ind w:firstLine="470" w:firstLineChars="224"/>
        <w:rPr>
          <w:rFonts w:hAnsi="宋体"/>
          <w:szCs w:val="21"/>
        </w:rPr>
      </w:pPr>
      <w:r>
        <w:rPr>
          <w:rFonts w:hint="eastAsia" w:hAnsi="宋体"/>
          <w:szCs w:val="21"/>
        </w:rPr>
        <w:t>5、</w:t>
      </w:r>
      <w:r>
        <w:rPr>
          <w:rFonts w:hAnsi="宋体"/>
          <w:szCs w:val="21"/>
        </w:rPr>
        <w:t xml:space="preserve"> </w:t>
      </w:r>
      <w:r>
        <w:rPr>
          <w:rFonts w:hint="eastAsia" w:hAnsi="宋体"/>
          <w:szCs w:val="21"/>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pStyle w:val="19"/>
        <w:spacing w:line="480" w:lineRule="auto"/>
        <w:ind w:firstLine="470" w:firstLineChars="224"/>
        <w:rPr>
          <w:rFonts w:hAnsi="宋体"/>
          <w:szCs w:val="21"/>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906" w:h="16838"/>
          <w:pgMar w:top="1134" w:right="1418" w:bottom="1247" w:left="1418" w:header="851" w:footer="907" w:gutter="0"/>
          <w:cols w:space="425" w:num="1"/>
          <w:titlePg/>
          <w:docGrid w:type="lines" w:linePitch="312" w:charSpace="0"/>
        </w:sectPr>
      </w:pPr>
    </w:p>
    <w:p>
      <w:pPr>
        <w:rPr>
          <w:szCs w:val="21"/>
        </w:rPr>
      </w:pPr>
      <w:r>
        <w:rPr>
          <w:rFonts w:hint="eastAsia"/>
          <w:szCs w:val="21"/>
        </w:rPr>
        <w:t>附表二</w:t>
      </w:r>
    </w:p>
    <w:p>
      <w:pPr>
        <w:jc w:val="center"/>
        <w:rPr>
          <w:b/>
          <w:sz w:val="36"/>
          <w:szCs w:val="36"/>
        </w:rPr>
      </w:pPr>
      <w:r>
        <w:rPr>
          <w:rFonts w:hint="eastAsia"/>
          <w:b/>
          <w:sz w:val="36"/>
          <w:szCs w:val="36"/>
        </w:rPr>
        <w:t>技术标有效性审查表</w:t>
      </w:r>
    </w:p>
    <w:p>
      <w:pPr>
        <w:rPr>
          <w:szCs w:val="21"/>
        </w:rPr>
      </w:pPr>
      <w:r>
        <w:rPr>
          <w:rFonts w:hint="eastAsia"/>
          <w:szCs w:val="21"/>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299"/>
        <w:gridCol w:w="1602"/>
        <w:gridCol w:w="1603"/>
        <w:gridCol w:w="1603"/>
        <w:gridCol w:w="1603"/>
        <w:gridCol w:w="160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序号</w:t>
            </w:r>
          </w:p>
        </w:tc>
        <w:tc>
          <w:tcPr>
            <w:tcW w:w="4299"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szCs w:val="21"/>
              </w:rPr>
            </w:pPr>
            <w:r>
              <w:rPr>
                <w:rFonts w:ascii="宋体" w:hAnsi="宋体"/>
                <w:szCs w:val="21"/>
              </w:rPr>
              <w:t xml:space="preserve">               </w:t>
            </w:r>
            <w:r>
              <w:rPr>
                <w:rFonts w:hint="eastAsia" w:ascii="宋体" w:hAnsi="宋体"/>
                <w:szCs w:val="21"/>
              </w:rPr>
              <w:t>投标人</w:t>
            </w:r>
          </w:p>
          <w:p>
            <w:pPr>
              <w:adjustRightInd w:val="0"/>
              <w:rPr>
                <w:rFonts w:ascii="宋体" w:hAnsi="宋体"/>
                <w:szCs w:val="21"/>
              </w:rPr>
            </w:pPr>
          </w:p>
          <w:p>
            <w:pPr>
              <w:adjustRightInd w:val="0"/>
              <w:rPr>
                <w:rFonts w:ascii="宋体" w:hAnsi="宋体"/>
                <w:szCs w:val="21"/>
              </w:rPr>
            </w:pPr>
            <w:r>
              <w:rPr>
                <w:rFonts w:hint="eastAsia" w:ascii="宋体" w:hAnsi="宋体"/>
                <w:szCs w:val="21"/>
              </w:rPr>
              <w:t>评审内容</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1</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u w:val="single"/>
              </w:rPr>
              <w:t>《广州建设工程施工招标投标书》中的投标总工期</w:t>
            </w:r>
            <w:r>
              <w:rPr>
                <w:rFonts w:hint="eastAsia" w:ascii="宋体" w:hAnsi="宋体"/>
                <w:szCs w:val="21"/>
              </w:rPr>
              <w:t>不能满足完成投标项目工期的；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2</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u w:val="single"/>
              </w:rPr>
              <w:t>《广州建设工程施工招标投标书》中的工程质量标准不符合招标文件要求的；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3</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投标文件中没有有效的法定代表人证明书，或由委托代理人签署</w:t>
            </w:r>
            <w:r>
              <w:rPr>
                <w:rFonts w:hint="eastAsia" w:ascii="宋体" w:hAnsi="宋体"/>
                <w:szCs w:val="21"/>
                <w:u w:val="single"/>
              </w:rPr>
              <w:t>或盖章</w:t>
            </w:r>
            <w:r>
              <w:rPr>
                <w:rFonts w:hint="eastAsia" w:ascii="宋体" w:hAnsi="宋体"/>
                <w:szCs w:val="21"/>
              </w:rPr>
              <w:t>的投标文件中没有法定代表人授权书；</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4</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投标文件未按规定的格式填写（指</w:t>
            </w:r>
            <w:r>
              <w:rPr>
                <w:rFonts w:hint="eastAsia" w:ascii="宋体" w:hAnsi="宋体"/>
                <w:b/>
                <w:bCs/>
                <w:szCs w:val="21"/>
              </w:rPr>
              <w:t>“第四章投标文件格式”的格式</w:t>
            </w:r>
            <w:r>
              <w:rPr>
                <w:rFonts w:hint="eastAsia" w:ascii="宋体" w:hAnsi="宋体"/>
                <w:b/>
                <w:bCs/>
                <w:szCs w:val="21"/>
                <w:u w:val="single"/>
              </w:rPr>
              <w:t>二、三、十二、</w:t>
            </w:r>
            <w:r>
              <w:rPr>
                <w:rFonts w:hint="eastAsia" w:ascii="宋体" w:hAnsi="宋体"/>
                <w:b/>
                <w:bCs/>
                <w:kern w:val="0"/>
                <w:szCs w:val="21"/>
                <w:u w:val="single"/>
              </w:rPr>
              <w:t>十三</w:t>
            </w:r>
            <w:r>
              <w:rPr>
                <w:rFonts w:hint="eastAsia" w:ascii="宋体" w:hAnsi="宋体"/>
                <w:b/>
                <w:bCs/>
                <w:szCs w:val="21"/>
                <w:u w:val="single"/>
              </w:rPr>
              <w:t>、十四、十五、十六、十七、十八</w:t>
            </w:r>
            <w:r>
              <w:rPr>
                <w:rFonts w:hint="eastAsia" w:ascii="宋体" w:hAnsi="宋体"/>
                <w:b/>
                <w:bCs/>
                <w:szCs w:val="21"/>
              </w:rPr>
              <w:t>）</w:t>
            </w:r>
            <w:r>
              <w:rPr>
                <w:rFonts w:hint="eastAsia" w:ascii="宋体" w:hAnsi="宋体"/>
                <w:szCs w:val="21"/>
              </w:rPr>
              <w:t>，或主要内容不全，或关键字迹模糊、无法辨认的；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5</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投标人之间存在《广东省实施&lt;中华人民共和国招标投标法&gt;》第十六条所禁止的情形的；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6</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无《参与编制技术标投标文件人员名单》的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7</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投标人未按要求提交投标保证金的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8</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投标人与</w:t>
            </w:r>
            <w:r>
              <w:rPr>
                <w:rFonts w:hint="eastAsia" w:ascii="宋体" w:hAnsi="宋体"/>
                <w:szCs w:val="21"/>
                <w:u w:val="single"/>
              </w:rPr>
              <w:t>本项目</w:t>
            </w:r>
            <w:r>
              <w:rPr>
                <w:rFonts w:hint="eastAsia" w:ascii="宋体" w:hAnsi="宋体"/>
                <w:szCs w:val="21"/>
              </w:rPr>
              <w:t>其他投标人加密打包投标文件电脑机器特征码一致的(以</w:t>
            </w:r>
            <w:r>
              <w:rPr>
                <w:rFonts w:ascii="宋体" w:hAnsi="宋体"/>
                <w:szCs w:val="21"/>
                <w:u w:val="single"/>
              </w:rPr>
              <w:t xml:space="preserve">  </w:t>
            </w:r>
            <w:r>
              <w:rPr>
                <w:rFonts w:hint="eastAsia" w:ascii="宋体" w:hAnsi="宋体"/>
                <w:szCs w:val="21"/>
                <w:u w:val="single"/>
              </w:rPr>
              <w:t>广州公共资源交易中心</w:t>
            </w:r>
            <w:r>
              <w:rPr>
                <w:rFonts w:ascii="宋体" w:hAnsi="宋体"/>
                <w:szCs w:val="21"/>
                <w:u w:val="single"/>
              </w:rPr>
              <w:t xml:space="preserve"> </w:t>
            </w:r>
            <w:r>
              <w:rPr>
                <w:rFonts w:hint="eastAsia" w:ascii="宋体" w:hAnsi="宋体"/>
                <w:szCs w:val="21"/>
              </w:rPr>
              <w:t>交易平台评标系统的检索信息为准)</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bl>
    <w:p>
      <w:pPr>
        <w:rPr>
          <w:rFonts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szCs w:val="21"/>
        </w:rPr>
      </w:pPr>
      <w:r>
        <w:rPr>
          <w:rFonts w:hint="eastAsia" w:ascii="宋体" w:hAnsi="宋体"/>
          <w:szCs w:val="21"/>
        </w:rPr>
        <w:t xml:space="preserve">    2</w:t>
      </w:r>
      <w:r>
        <w:rPr>
          <w:rFonts w:ascii="宋体" w:hAnsi="宋体"/>
          <w:szCs w:val="21"/>
        </w:rPr>
        <w:t>.</w:t>
      </w:r>
      <w:r>
        <w:rPr>
          <w:rFonts w:hint="eastAsia" w:ascii="宋体" w:hAnsi="宋体"/>
          <w:szCs w:val="21"/>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宋体" w:hAnsi="宋体"/>
          <w:szCs w:val="21"/>
        </w:rPr>
      </w:pPr>
      <w:r>
        <w:rPr>
          <w:rFonts w:hint="eastAsia" w:ascii="宋体" w:hAnsi="宋体"/>
          <w:szCs w:val="21"/>
        </w:rPr>
        <w:t xml:space="preserve">    3</w:t>
      </w:r>
      <w:r>
        <w:rPr>
          <w:rFonts w:ascii="宋体" w:hAnsi="宋体"/>
          <w:szCs w:val="21"/>
        </w:rPr>
        <w:t>.</w:t>
      </w:r>
      <w:r>
        <w:rPr>
          <w:rFonts w:hint="eastAsia" w:ascii="宋体" w:hAnsi="宋体"/>
          <w:szCs w:val="21"/>
        </w:rPr>
        <w:t>凡出现以上任何一项情形，结论均为无效，否则就为有效。</w:t>
      </w:r>
    </w:p>
    <w:p>
      <w:pPr>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如对本表中某种情形的评审意见不一致时，以评标委员会过半数成员的意见作为评标委员会对该情形的认定结论。</w:t>
      </w:r>
    </w:p>
    <w:p>
      <w:pPr>
        <w:rPr>
          <w:rFonts w:ascii="宋体" w:hAnsi="宋体"/>
          <w:szCs w:val="21"/>
        </w:rPr>
      </w:pPr>
      <w:r>
        <w:rPr>
          <w:rFonts w:hint="eastAsia" w:ascii="宋体" w:hAnsi="宋体"/>
          <w:szCs w:val="21"/>
        </w:rPr>
        <w:t>评委签名：</w:t>
      </w:r>
    </w:p>
    <w:p>
      <w:pPr>
        <w:rPr>
          <w:szCs w:val="21"/>
        </w:rPr>
      </w:pPr>
      <w:r>
        <w:br w:type="page"/>
      </w:r>
      <w:r>
        <w:rPr>
          <w:rFonts w:hint="eastAsia"/>
          <w:szCs w:val="21"/>
        </w:rPr>
        <w:t>附表三</w:t>
      </w:r>
    </w:p>
    <w:p>
      <w:pPr>
        <w:jc w:val="center"/>
        <w:rPr>
          <w:b/>
          <w:sz w:val="36"/>
          <w:szCs w:val="36"/>
        </w:rPr>
      </w:pPr>
      <w:r>
        <w:rPr>
          <w:rFonts w:hint="eastAsia"/>
          <w:b/>
          <w:sz w:val="36"/>
          <w:szCs w:val="36"/>
        </w:rPr>
        <w:t>经济标有效性审查表</w:t>
      </w:r>
    </w:p>
    <w:p>
      <w:pPr>
        <w:rPr>
          <w:szCs w:val="21"/>
        </w:rPr>
      </w:pPr>
      <w:r>
        <w:rPr>
          <w:rFonts w:hint="eastAsia"/>
          <w:szCs w:val="21"/>
        </w:rPr>
        <w:t>工程名称：</w:t>
      </w:r>
    </w:p>
    <w:tbl>
      <w:tblPr>
        <w:tblStyle w:val="36"/>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szCs w:val="21"/>
              </w:rPr>
            </w:pPr>
            <w:r>
              <w:rPr>
                <w:rFonts w:ascii="宋体" w:hAnsi="宋体"/>
                <w:szCs w:val="21"/>
              </w:rPr>
              <w:t xml:space="preserve">               </w:t>
            </w:r>
            <w:r>
              <w:rPr>
                <w:rFonts w:hint="eastAsia" w:ascii="宋体" w:hAnsi="宋体"/>
                <w:szCs w:val="21"/>
              </w:rPr>
              <w:t>投标人</w:t>
            </w:r>
          </w:p>
          <w:p>
            <w:pPr>
              <w:rPr>
                <w:rFonts w:ascii="宋体" w:hAnsi="宋体"/>
                <w:szCs w:val="21"/>
              </w:rPr>
            </w:pPr>
          </w:p>
          <w:p>
            <w:pPr>
              <w:rPr>
                <w:rFonts w:ascii="宋体" w:hAnsi="宋体"/>
                <w:szCs w:val="21"/>
              </w:rPr>
            </w:pPr>
            <w:r>
              <w:rPr>
                <w:rFonts w:hint="eastAsia" w:ascii="宋体" w:hAnsi="宋体"/>
                <w:szCs w:val="21"/>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投标报价高于最高投标</w:t>
            </w:r>
            <w:r>
              <w:rPr>
                <w:rFonts w:hint="eastAsia" w:ascii="宋体" w:hAnsi="宋体"/>
                <w:szCs w:val="21"/>
                <w:highlight w:val="none"/>
              </w:rPr>
              <w:t>限价以及</w:t>
            </w:r>
            <w:r>
              <w:rPr>
                <w:rFonts w:hint="eastAsia" w:cs="宋体"/>
                <w:bCs/>
                <w:szCs w:val="21"/>
                <w:highlight w:val="none"/>
                <w:lang w:bidi="ar"/>
              </w:rPr>
              <w:t>单项工程招标控制价</w:t>
            </w:r>
            <w:r>
              <w:rPr>
                <w:rFonts w:hint="eastAsia" w:ascii="宋体" w:hAnsi="宋体"/>
                <w:szCs w:val="21"/>
                <w:highlight w:val="none"/>
              </w:rPr>
              <w:t>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szCs w:val="21"/>
              </w:rPr>
            </w:pPr>
            <w:r>
              <w:rPr>
                <w:rFonts w:hint="eastAsia" w:ascii="宋体" w:hAnsi="宋体"/>
                <w:szCs w:val="21"/>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算术复核后的投标报价与原投标报价相比存在</w:t>
            </w:r>
            <w:r>
              <w:rPr>
                <w:rFonts w:ascii="宋体" w:hAnsi="宋体"/>
                <w:szCs w:val="21"/>
              </w:rPr>
              <w:t>1%</w:t>
            </w:r>
            <w:r>
              <w:rPr>
                <w:rFonts w:hint="eastAsia" w:ascii="宋体" w:hAnsi="宋体"/>
                <w:szCs w:val="21"/>
              </w:rPr>
              <w:t>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投标文件未按规定的格式填写（指“第四章投标文件格式”的格式二十、二十一），或主要内容不全，或关键字迹模糊、无法辨认的；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不同投标人的投标报价中分部分项工程量清单综合单价相似度达到80%及以上的(以</w:t>
            </w:r>
            <w:r>
              <w:rPr>
                <w:rFonts w:hint="eastAsia" w:ascii="宋体" w:hAnsi="宋体"/>
                <w:szCs w:val="21"/>
                <w:u w:val="single"/>
              </w:rPr>
              <w:t xml:space="preserve">  广州公共资源交易中心 </w:t>
            </w:r>
            <w:r>
              <w:rPr>
                <w:rFonts w:hint="eastAsia" w:ascii="宋体" w:hAnsi="宋体"/>
                <w:szCs w:val="21"/>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10</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投标人与本项目其他投标人的投标文件工程量清单编制机器硬件 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bl>
    <w:p>
      <w:pPr>
        <w:ind w:firstLine="458"/>
        <w:rPr>
          <w:rFonts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本表使用GZZB2018-3招标文件范本，与范本内容不同之处均以下划线标明。</w:t>
      </w:r>
    </w:p>
    <w:p>
      <w:pPr>
        <w:ind w:firstLine="458"/>
        <w:rPr>
          <w:rFonts w:ascii="宋体" w:hAnsi="宋体"/>
          <w:szCs w:val="21"/>
        </w:rPr>
      </w:pPr>
      <w:r>
        <w:rPr>
          <w:rFonts w:ascii="宋体" w:hAnsi="宋体"/>
          <w:szCs w:val="21"/>
        </w:rPr>
        <w:t>2.</w:t>
      </w:r>
      <w:r>
        <w:rPr>
          <w:rFonts w:hint="eastAsia" w:ascii="宋体" w:hAnsi="宋体"/>
          <w:szCs w:val="21"/>
        </w:rPr>
        <w:t>凡出现以上任何一项情形，结论均为无效，否则就为有效。</w:t>
      </w:r>
    </w:p>
    <w:p>
      <w:pPr>
        <w:ind w:firstLine="458"/>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如对本表中某种情形的评审意见不一致时，以评标委员会过半数成员的意见作为评标委员会对该情形的认定结论。</w:t>
      </w:r>
    </w:p>
    <w:p>
      <w:pPr>
        <w:pStyle w:val="35"/>
        <w:ind w:firstLine="458"/>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不得将文件顺序、明显的文字错误等列为否决投标的情形。评委发现投标文件中含义不明确、对同类问题表述不一致、有明显文字和计算错误、投标报下·价可能低于成本影响履约的，应当要求投标人作必要的澄清、说明后再判定投标人是否通过有效性审查，不得直接否决投标。</w:t>
      </w:r>
    </w:p>
    <w:p>
      <w:pPr>
        <w:pStyle w:val="35"/>
        <w:ind w:firstLine="458"/>
        <w:rPr>
          <w:rFonts w:ascii="宋体" w:hAnsi="宋体"/>
          <w:szCs w:val="21"/>
        </w:rPr>
        <w:sectPr>
          <w:endnotePr>
            <w:numFmt w:val="decimal"/>
          </w:endnotePr>
          <w:pgSz w:w="16838" w:h="11906" w:orient="landscape"/>
          <w:pgMar w:top="1418" w:right="1247" w:bottom="1418" w:left="1134" w:header="851" w:footer="907" w:gutter="0"/>
          <w:cols w:space="425" w:num="1"/>
          <w:titlePg/>
          <w:docGrid w:type="lines" w:linePitch="312" w:charSpace="0"/>
        </w:sectPr>
      </w:pPr>
      <w:r>
        <w:rPr>
          <w:rFonts w:hint="eastAsia" w:ascii="宋体" w:hAnsi="宋体"/>
          <w:szCs w:val="21"/>
        </w:rPr>
        <w:t>评委签名：</w:t>
      </w:r>
    </w:p>
    <w:p>
      <w:pPr>
        <w:rPr>
          <w:szCs w:val="21"/>
        </w:rPr>
      </w:pPr>
      <w:r>
        <w:rPr>
          <w:rFonts w:hint="eastAsia"/>
          <w:szCs w:val="21"/>
        </w:rPr>
        <w:t>附表四</w:t>
      </w:r>
    </w:p>
    <w:p>
      <w:pPr>
        <w:jc w:val="center"/>
        <w:rPr>
          <w:b/>
          <w:sz w:val="36"/>
          <w:szCs w:val="36"/>
        </w:rPr>
      </w:pPr>
      <w:r>
        <w:rPr>
          <w:rFonts w:hint="eastAsia"/>
          <w:b/>
          <w:sz w:val="36"/>
          <w:szCs w:val="36"/>
        </w:rPr>
        <w:t>技术标详细审查评分表</w:t>
      </w:r>
    </w:p>
    <w:tbl>
      <w:tblPr>
        <w:tblStyle w:val="3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1216"/>
        <w:gridCol w:w="676"/>
        <w:gridCol w:w="6447"/>
        <w:gridCol w:w="5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blHeader/>
          <w:jc w:val="center"/>
        </w:trPr>
        <w:tc>
          <w:tcPr>
            <w:tcW w:w="182" w:type="pct"/>
            <w:vAlign w:val="center"/>
          </w:tcPr>
          <w:p>
            <w:pPr>
              <w:spacing w:line="400" w:lineRule="exact"/>
              <w:jc w:val="center"/>
              <w:rPr>
                <w:rFonts w:ascii="宋体" w:hAnsi="宋体"/>
                <w:szCs w:val="21"/>
              </w:rPr>
            </w:pPr>
            <w:r>
              <w:rPr>
                <w:rFonts w:hint="eastAsia" w:ascii="宋体" w:hAnsi="宋体"/>
                <w:szCs w:val="21"/>
              </w:rPr>
              <w:t>序号</w:t>
            </w:r>
          </w:p>
        </w:tc>
        <w:tc>
          <w:tcPr>
            <w:tcW w:w="396" w:type="pct"/>
            <w:vAlign w:val="center"/>
          </w:tcPr>
          <w:p>
            <w:pPr>
              <w:spacing w:line="400" w:lineRule="exact"/>
              <w:jc w:val="center"/>
              <w:rPr>
                <w:rFonts w:ascii="宋体" w:hAnsi="宋体"/>
                <w:szCs w:val="21"/>
              </w:rPr>
            </w:pPr>
            <w:r>
              <w:rPr>
                <w:rFonts w:hint="eastAsia" w:ascii="宋体" w:hAnsi="宋体"/>
                <w:szCs w:val="21"/>
              </w:rPr>
              <w:t>评审内容</w:t>
            </w:r>
          </w:p>
        </w:tc>
        <w:tc>
          <w:tcPr>
            <w:tcW w:w="220" w:type="pct"/>
            <w:vAlign w:val="center"/>
          </w:tcPr>
          <w:p>
            <w:pPr>
              <w:spacing w:line="400" w:lineRule="exact"/>
              <w:jc w:val="center"/>
              <w:rPr>
                <w:rFonts w:ascii="宋体" w:hAnsi="宋体"/>
                <w:szCs w:val="21"/>
              </w:rPr>
            </w:pPr>
            <w:r>
              <w:rPr>
                <w:rFonts w:hint="eastAsia" w:ascii="宋体" w:hAnsi="宋体"/>
                <w:szCs w:val="21"/>
              </w:rPr>
              <w:t>单项</w:t>
            </w:r>
          </w:p>
          <w:p>
            <w:pPr>
              <w:spacing w:line="400" w:lineRule="exact"/>
              <w:jc w:val="center"/>
              <w:rPr>
                <w:rFonts w:ascii="宋体" w:hAnsi="宋体"/>
                <w:szCs w:val="21"/>
              </w:rPr>
            </w:pPr>
            <w:r>
              <w:rPr>
                <w:rFonts w:hint="eastAsia" w:ascii="宋体" w:hAnsi="宋体"/>
                <w:szCs w:val="21"/>
              </w:rPr>
              <w:t>满分</w:t>
            </w:r>
          </w:p>
        </w:tc>
        <w:tc>
          <w:tcPr>
            <w:tcW w:w="2099" w:type="pct"/>
            <w:vAlign w:val="center"/>
          </w:tcPr>
          <w:p>
            <w:pPr>
              <w:spacing w:line="400" w:lineRule="exact"/>
              <w:jc w:val="center"/>
              <w:rPr>
                <w:rFonts w:ascii="宋体" w:hAnsi="宋体"/>
                <w:szCs w:val="21"/>
              </w:rPr>
            </w:pPr>
            <w:r>
              <w:rPr>
                <w:rFonts w:hint="eastAsia" w:ascii="宋体" w:hAnsi="宋体"/>
                <w:szCs w:val="21"/>
              </w:rPr>
              <w:t>评分说明</w:t>
            </w:r>
          </w:p>
        </w:tc>
        <w:tc>
          <w:tcPr>
            <w:tcW w:w="1875" w:type="pct"/>
          </w:tcPr>
          <w:p>
            <w:pPr>
              <w:spacing w:line="40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182" w:type="pct"/>
            <w:tcBorders>
              <w:left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w:t>
            </w:r>
          </w:p>
        </w:tc>
        <w:tc>
          <w:tcPr>
            <w:tcW w:w="396" w:type="pct"/>
            <w:tcBorders>
              <w:left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cs="宋体"/>
              </w:rPr>
              <w:t>注册资本金排名</w:t>
            </w:r>
          </w:p>
        </w:tc>
        <w:tc>
          <w:tcPr>
            <w:tcW w:w="220" w:type="pct"/>
            <w:tcBorders>
              <w:top w:val="single" w:color="auto" w:sz="4" w:space="0"/>
              <w:left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2</w:t>
            </w:r>
          </w:p>
        </w:tc>
        <w:tc>
          <w:tcPr>
            <w:tcW w:w="2099" w:type="pct"/>
            <w:tcBorders>
              <w:top w:val="single" w:color="auto" w:sz="4" w:space="0"/>
              <w:left w:val="single" w:color="auto" w:sz="4" w:space="0"/>
            </w:tcBorders>
            <w:vAlign w:val="center"/>
          </w:tcPr>
          <w:p>
            <w:pPr>
              <w:spacing w:line="400" w:lineRule="exact"/>
              <w:jc w:val="left"/>
              <w:rPr>
                <w:rFonts w:ascii="宋体" w:hAnsi="宋体" w:cs="宋体"/>
                <w:szCs w:val="21"/>
              </w:rPr>
            </w:pPr>
            <w:r>
              <w:rPr>
                <w:rFonts w:hint="eastAsia" w:ascii="宋体" w:hAnsi="宋体" w:cs="宋体"/>
                <w:szCs w:val="21"/>
              </w:rPr>
              <w:t>2分：投标人注册资本金排名为第1-5名；</w:t>
            </w:r>
          </w:p>
          <w:p>
            <w:pPr>
              <w:spacing w:line="400" w:lineRule="exact"/>
              <w:jc w:val="left"/>
              <w:rPr>
                <w:rFonts w:ascii="宋体" w:hAnsi="宋体" w:cs="宋体"/>
                <w:szCs w:val="21"/>
              </w:rPr>
            </w:pPr>
            <w:r>
              <w:rPr>
                <w:rFonts w:hint="eastAsia" w:ascii="宋体" w:hAnsi="宋体" w:cs="宋体"/>
                <w:szCs w:val="21"/>
              </w:rPr>
              <w:t>1.5分：投标人注册资本金排名为第6-10名；</w:t>
            </w:r>
          </w:p>
          <w:p>
            <w:pPr>
              <w:spacing w:line="400" w:lineRule="exact"/>
              <w:jc w:val="left"/>
              <w:rPr>
                <w:rFonts w:ascii="宋体" w:hAnsi="宋体" w:cs="宋体"/>
                <w:szCs w:val="21"/>
              </w:rPr>
            </w:pPr>
            <w:r>
              <w:rPr>
                <w:rFonts w:hint="eastAsia" w:ascii="宋体" w:hAnsi="宋体" w:cs="宋体"/>
                <w:szCs w:val="21"/>
              </w:rPr>
              <w:t>1分：投标人注册资本金排名为第11-15名；</w:t>
            </w:r>
          </w:p>
          <w:p>
            <w:pPr>
              <w:spacing w:line="400" w:lineRule="exact"/>
              <w:jc w:val="left"/>
              <w:rPr>
                <w:rFonts w:ascii="宋体" w:hAnsi="宋体" w:cs="宋体"/>
                <w:szCs w:val="21"/>
              </w:rPr>
            </w:pPr>
            <w:r>
              <w:rPr>
                <w:rFonts w:hint="eastAsia" w:ascii="宋体" w:hAnsi="宋体" w:cs="宋体"/>
                <w:szCs w:val="21"/>
              </w:rPr>
              <w:t>0分：不满足上述条件者；</w:t>
            </w:r>
          </w:p>
        </w:tc>
        <w:tc>
          <w:tcPr>
            <w:tcW w:w="1875" w:type="pct"/>
            <w:tcBorders>
              <w:left w:val="single" w:color="auto" w:sz="4" w:space="0"/>
            </w:tcBorders>
            <w:vAlign w:val="center"/>
          </w:tcPr>
          <w:p>
            <w:pPr>
              <w:spacing w:line="400" w:lineRule="atLeast"/>
              <w:jc w:val="left"/>
              <w:rPr>
                <w:rFonts w:ascii="宋体" w:hAnsi="宋体" w:cs="宋体"/>
              </w:rPr>
            </w:pPr>
            <w:r>
              <w:rPr>
                <w:rFonts w:hint="eastAsia" w:ascii="宋体" w:hAnsi="宋体" w:cs="宋体"/>
              </w:rPr>
              <w:t>注册资本金以营业执照为准，营业执照中不体现注册资本金的须提供市场监督部门网站中商事主体登记备案信息查询页面加盖投标人公章。若是联合体，注册资本金以承接机电安装工程的单位为准。</w:t>
            </w:r>
          </w:p>
          <w:p>
            <w:pPr>
              <w:spacing w:line="400" w:lineRule="exact"/>
              <w:jc w:val="left"/>
              <w:rPr>
                <w:rFonts w:ascii="宋体" w:hAnsi="宋体" w:cs="宋体"/>
                <w:szCs w:val="21"/>
              </w:rPr>
            </w:pPr>
            <w:r>
              <w:rPr>
                <w:rFonts w:hint="eastAsia" w:ascii="宋体" w:hAnsi="宋体" w:cs="宋体"/>
              </w:rPr>
              <w:t>（</w:t>
            </w:r>
            <w:r>
              <w:rPr>
                <w:rFonts w:ascii="宋体" w:hAnsi="宋体" w:cs="宋体"/>
              </w:rPr>
              <w:t>名次发生并列时</w:t>
            </w:r>
            <w:r>
              <w:rPr>
                <w:rFonts w:hint="eastAsia" w:ascii="宋体" w:hAnsi="宋体" w:cs="宋体"/>
              </w:rPr>
              <w:t>，</w:t>
            </w:r>
            <w:r>
              <w:rPr>
                <w:rFonts w:ascii="宋体" w:hAnsi="宋体" w:cs="宋体"/>
              </w:rPr>
              <w:t>并列者占用排名</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82" w:type="pct"/>
            <w:vAlign w:val="center"/>
          </w:tcPr>
          <w:p>
            <w:pPr>
              <w:spacing w:line="400" w:lineRule="exact"/>
              <w:jc w:val="center"/>
              <w:rPr>
                <w:rFonts w:ascii="宋体" w:hAnsi="宋体"/>
                <w:szCs w:val="21"/>
              </w:rPr>
            </w:pPr>
            <w:r>
              <w:rPr>
                <w:rFonts w:hint="eastAsia" w:ascii="宋体" w:hAnsi="宋体"/>
                <w:szCs w:val="21"/>
              </w:rPr>
              <w:t>2</w:t>
            </w:r>
          </w:p>
        </w:tc>
        <w:tc>
          <w:tcPr>
            <w:tcW w:w="396" w:type="pct"/>
            <w:vAlign w:val="center"/>
          </w:tcPr>
          <w:p>
            <w:pPr>
              <w:spacing w:line="400" w:lineRule="exact"/>
              <w:jc w:val="center"/>
              <w:rPr>
                <w:rFonts w:ascii="宋体" w:hAnsi="宋体" w:cs="宋体"/>
                <w:szCs w:val="21"/>
              </w:rPr>
            </w:pPr>
            <w:r>
              <w:rPr>
                <w:rFonts w:hint="eastAsia" w:ascii="宋体" w:hAnsi="宋体" w:cs="宋体"/>
                <w:szCs w:val="21"/>
              </w:rPr>
              <w:t>投标人</w:t>
            </w:r>
          </w:p>
          <w:p>
            <w:pPr>
              <w:spacing w:line="400" w:lineRule="exact"/>
              <w:jc w:val="center"/>
              <w:rPr>
                <w:rFonts w:ascii="宋体" w:hAnsi="宋体"/>
                <w:szCs w:val="21"/>
              </w:rPr>
            </w:pPr>
            <w:r>
              <w:rPr>
                <w:rFonts w:hint="eastAsia" w:ascii="宋体" w:hAnsi="宋体" w:cs="宋体"/>
                <w:szCs w:val="21"/>
              </w:rPr>
              <w:t>业绩</w:t>
            </w:r>
          </w:p>
        </w:tc>
        <w:tc>
          <w:tcPr>
            <w:tcW w:w="220" w:type="pct"/>
            <w:vAlign w:val="center"/>
          </w:tcPr>
          <w:p>
            <w:pPr>
              <w:spacing w:line="400" w:lineRule="exact"/>
              <w:jc w:val="center"/>
              <w:rPr>
                <w:rFonts w:ascii="宋体" w:hAnsi="宋体"/>
                <w:szCs w:val="21"/>
              </w:rPr>
            </w:pPr>
            <w:r>
              <w:rPr>
                <w:rFonts w:hint="eastAsia" w:ascii="宋体" w:hAnsi="宋体"/>
                <w:szCs w:val="21"/>
              </w:rPr>
              <w:t>12</w:t>
            </w:r>
          </w:p>
        </w:tc>
        <w:tc>
          <w:tcPr>
            <w:tcW w:w="2099" w:type="pct"/>
            <w:vAlign w:val="center"/>
          </w:tcPr>
          <w:p>
            <w:pPr>
              <w:spacing w:line="400" w:lineRule="exact"/>
              <w:rPr>
                <w:rFonts w:ascii="宋体" w:hAnsi="宋体" w:cs="宋体"/>
                <w:szCs w:val="21"/>
                <w:highlight w:val="none"/>
              </w:rPr>
            </w:pPr>
            <w:r>
              <w:rPr>
                <w:rFonts w:hint="eastAsia" w:ascii="宋体" w:hAnsi="宋体" w:cs="宋体"/>
                <w:szCs w:val="21"/>
                <w:highlight w:val="none"/>
              </w:rPr>
              <w:t>投标人自2018年7月1日至投标截止时间内，每完成一项合同金额为6000万元及以上的水蓄冷或冰蓄冷施工业绩，每个得4分，此项业绩最多得12分。</w:t>
            </w:r>
          </w:p>
          <w:p>
            <w:pPr>
              <w:spacing w:line="400" w:lineRule="exact"/>
              <w:rPr>
                <w:rFonts w:ascii="宋体" w:hAnsi="宋体"/>
                <w:szCs w:val="21"/>
                <w:highlight w:val="none"/>
              </w:rPr>
            </w:pPr>
            <w:r>
              <w:rPr>
                <w:rFonts w:hint="eastAsia" w:ascii="宋体" w:hAnsi="宋体" w:cs="宋体"/>
                <w:szCs w:val="21"/>
                <w:highlight w:val="none"/>
              </w:rPr>
              <w:t>本项最高得12分。</w:t>
            </w:r>
          </w:p>
        </w:tc>
        <w:tc>
          <w:tcPr>
            <w:tcW w:w="1875" w:type="pct"/>
          </w:tcPr>
          <w:p>
            <w:pPr>
              <w:tabs>
                <w:tab w:val="left" w:pos="210"/>
                <w:tab w:val="left" w:pos="420"/>
              </w:tabs>
              <w:spacing w:line="400" w:lineRule="exact"/>
              <w:rPr>
                <w:rFonts w:ascii="宋体" w:hAnsi="宋体"/>
                <w:szCs w:val="21"/>
                <w:highlight w:val="none"/>
              </w:rPr>
            </w:pPr>
            <w:r>
              <w:rPr>
                <w:rFonts w:hint="eastAsia" w:ascii="宋体" w:hAnsi="宋体" w:cs="宋体"/>
                <w:highlight w:val="none"/>
              </w:rPr>
              <w:t>证明材料需提供建设单位颁发的中标通知书、相关合同、</w:t>
            </w:r>
            <w:r>
              <w:rPr>
                <w:rFonts w:hint="eastAsia" w:ascii="宋体" w:hAnsi="宋体"/>
                <w:szCs w:val="21"/>
                <w:highlight w:val="none"/>
              </w:rPr>
              <w:t>建设单位（业主）出具的业绩证明、</w:t>
            </w:r>
            <w:r>
              <w:rPr>
                <w:rFonts w:hint="eastAsia" w:ascii="宋体" w:hAnsi="宋体" w:cs="宋体"/>
                <w:highlight w:val="none"/>
              </w:rPr>
              <w:t>竣工验收报告或竣工验收备案证书复印件加盖投标人公章。上述业绩需要以机电工程施工总承包资质</w:t>
            </w:r>
            <w:r>
              <w:rPr>
                <w:rFonts w:hint="eastAsia" w:ascii="宋体" w:hAnsi="宋体"/>
                <w:sz w:val="24"/>
                <w:highlight w:val="none"/>
              </w:rPr>
              <w:t>或</w:t>
            </w:r>
            <w:r>
              <w:rPr>
                <w:rFonts w:hint="eastAsia" w:ascii="宋体" w:hAnsi="宋体"/>
                <w:sz w:val="24"/>
                <w:szCs w:val="24"/>
                <w:highlight w:val="none"/>
              </w:rPr>
              <w:t>机电安装工程专业承包资质</w:t>
            </w:r>
            <w:r>
              <w:rPr>
                <w:rFonts w:hint="eastAsia" w:ascii="宋体" w:hAnsi="宋体" w:cs="宋体"/>
                <w:highlight w:val="none"/>
              </w:rPr>
              <w:t>所承接的施工业绩；业绩情况将按要求上网公示。上述业绩时间以竣工验收报告或竣工验收备案证书时间为准，金额以合同金额为准，业绩个数以合同个数为准。若是联合体投标，投标人业绩以承接本项目机电安装工程单位提供的业绩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82" w:type="pct"/>
            <w:vAlign w:val="center"/>
          </w:tcPr>
          <w:p>
            <w:pPr>
              <w:spacing w:line="400" w:lineRule="exact"/>
              <w:jc w:val="center"/>
              <w:rPr>
                <w:rFonts w:ascii="宋体" w:hAnsi="宋体"/>
                <w:szCs w:val="21"/>
              </w:rPr>
            </w:pPr>
            <w:r>
              <w:rPr>
                <w:rFonts w:hint="eastAsia" w:ascii="宋体" w:hAnsi="宋体"/>
                <w:szCs w:val="21"/>
              </w:rPr>
              <w:t>3</w:t>
            </w:r>
          </w:p>
        </w:tc>
        <w:tc>
          <w:tcPr>
            <w:tcW w:w="1216" w:type="dxa"/>
            <w:vAlign w:val="center"/>
          </w:tcPr>
          <w:p>
            <w:pPr>
              <w:spacing w:line="400" w:lineRule="exact"/>
              <w:jc w:val="center"/>
              <w:rPr>
                <w:rFonts w:ascii="宋体" w:hAnsi="宋体" w:cs="宋体"/>
                <w:szCs w:val="21"/>
              </w:rPr>
            </w:pPr>
            <w:r>
              <w:rPr>
                <w:rFonts w:hint="eastAsia" w:ascii="宋体" w:hAnsi="宋体" w:cs="宋体"/>
              </w:rPr>
              <w:t>第三方评价</w:t>
            </w:r>
          </w:p>
        </w:tc>
        <w:tc>
          <w:tcPr>
            <w:tcW w:w="676" w:type="dxa"/>
            <w:vAlign w:val="center"/>
          </w:tcPr>
          <w:p>
            <w:pPr>
              <w:spacing w:line="400" w:lineRule="exact"/>
              <w:jc w:val="center"/>
              <w:rPr>
                <w:rFonts w:ascii="宋体" w:hAnsi="宋体"/>
                <w:szCs w:val="21"/>
              </w:rPr>
            </w:pPr>
            <w:r>
              <w:rPr>
                <w:rFonts w:hint="eastAsia" w:ascii="宋体" w:hAnsi="宋体"/>
                <w:szCs w:val="21"/>
              </w:rPr>
              <w:t>4</w:t>
            </w:r>
          </w:p>
        </w:tc>
        <w:tc>
          <w:tcPr>
            <w:tcW w:w="6447" w:type="dxa"/>
            <w:vAlign w:val="center"/>
          </w:tcPr>
          <w:p>
            <w:pPr>
              <w:spacing w:line="400" w:lineRule="exact"/>
              <w:rPr>
                <w:rFonts w:ascii="宋体" w:hAnsi="宋体"/>
                <w:szCs w:val="21"/>
              </w:rPr>
            </w:pPr>
            <w:r>
              <w:rPr>
                <w:rFonts w:hint="eastAsia" w:ascii="宋体" w:hAnsi="宋体"/>
                <w:szCs w:val="21"/>
              </w:rPr>
              <w:t>投标人2018年至今：</w:t>
            </w:r>
          </w:p>
          <w:p>
            <w:pPr>
              <w:spacing w:line="400" w:lineRule="exact"/>
              <w:rPr>
                <w:rFonts w:ascii="宋体" w:hAnsi="宋体"/>
                <w:szCs w:val="21"/>
              </w:rPr>
            </w:pPr>
            <w:r>
              <w:rPr>
                <w:rFonts w:hint="eastAsia" w:ascii="宋体" w:hAnsi="宋体"/>
                <w:szCs w:val="21"/>
              </w:rPr>
              <w:t>连续5年获得由“中国建筑业协会”颁发的“企业信用等级证书”信用状况评价或复审结果为AAA级，得4分；</w:t>
            </w:r>
          </w:p>
          <w:p>
            <w:pPr>
              <w:spacing w:line="400" w:lineRule="exact"/>
              <w:rPr>
                <w:rFonts w:ascii="宋体" w:hAnsi="宋体"/>
                <w:szCs w:val="21"/>
              </w:rPr>
            </w:pPr>
            <w:r>
              <w:rPr>
                <w:rFonts w:hint="eastAsia" w:ascii="宋体" w:hAnsi="宋体"/>
                <w:szCs w:val="21"/>
              </w:rPr>
              <w:t>连续4年获得由“中国建筑业协会”颁发的“企业信用等级证书”信用状况评价或复审结果为AAA级，得2分；</w:t>
            </w:r>
          </w:p>
          <w:p>
            <w:pPr>
              <w:spacing w:line="400" w:lineRule="exact"/>
              <w:rPr>
                <w:rFonts w:ascii="宋体" w:hAnsi="宋体"/>
                <w:szCs w:val="21"/>
              </w:rPr>
            </w:pPr>
            <w:r>
              <w:rPr>
                <w:rFonts w:hint="eastAsia" w:ascii="宋体" w:hAnsi="宋体"/>
                <w:szCs w:val="21"/>
              </w:rPr>
              <w:t>连续3年由“中国建筑业协会”颁发的“企业信用等级证书”信用状况评价或复审结果为AAA级，得1分；</w:t>
            </w:r>
          </w:p>
          <w:p>
            <w:pPr>
              <w:spacing w:line="400" w:lineRule="exact"/>
              <w:rPr>
                <w:rFonts w:ascii="宋体" w:hAnsi="宋体" w:cs="宋体"/>
                <w:szCs w:val="21"/>
              </w:rPr>
            </w:pPr>
            <w:r>
              <w:rPr>
                <w:rFonts w:hint="eastAsia" w:ascii="宋体" w:hAnsi="宋体"/>
                <w:szCs w:val="21"/>
              </w:rPr>
              <w:t>不满足上述条件者，不得分。</w:t>
            </w:r>
          </w:p>
        </w:tc>
        <w:tc>
          <w:tcPr>
            <w:tcW w:w="5763" w:type="dxa"/>
          </w:tcPr>
          <w:p>
            <w:pPr>
              <w:tabs>
                <w:tab w:val="left" w:pos="210"/>
                <w:tab w:val="left" w:pos="420"/>
              </w:tabs>
              <w:spacing w:line="400" w:lineRule="exact"/>
              <w:rPr>
                <w:rFonts w:ascii="宋体" w:hAnsi="宋体" w:cs="宋体"/>
              </w:rPr>
            </w:pPr>
            <w:r>
              <w:rPr>
                <w:rFonts w:hint="eastAsia" w:ascii="宋体" w:hAnsi="宋体"/>
                <w:szCs w:val="21"/>
              </w:rPr>
              <w:t>时间以获奖证书记载的评价时间或复审章的盖章时间或二维码扫码查询复审结果截图中的复审时间为准，投标人须提供证书复印件，</w:t>
            </w:r>
            <w:r>
              <w:rPr>
                <w:rFonts w:ascii="宋体" w:hAnsi="宋体"/>
                <w:szCs w:val="21"/>
              </w:rPr>
              <w:t>加盖</w:t>
            </w:r>
            <w:r>
              <w:rPr>
                <w:rFonts w:hint="eastAsia" w:ascii="宋体" w:hAnsi="宋体"/>
                <w:szCs w:val="21"/>
              </w:rPr>
              <w:t>公章。</w:t>
            </w:r>
            <w:r>
              <w:rPr>
                <w:rFonts w:hint="eastAsia" w:ascii="宋体" w:hAnsi="宋体" w:cs="宋体"/>
                <w:szCs w:val="21"/>
              </w:rPr>
              <w:t>若是联合体投标，以联合体主办方为准。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82" w:type="pct"/>
            <w:vAlign w:val="center"/>
          </w:tcPr>
          <w:p>
            <w:pPr>
              <w:spacing w:line="400" w:lineRule="exact"/>
              <w:jc w:val="center"/>
              <w:rPr>
                <w:rFonts w:ascii="宋体" w:hAnsi="宋体"/>
                <w:szCs w:val="21"/>
              </w:rPr>
            </w:pPr>
            <w:r>
              <w:rPr>
                <w:rFonts w:hint="eastAsia" w:ascii="宋体" w:hAnsi="宋体"/>
                <w:szCs w:val="21"/>
              </w:rPr>
              <w:t>4</w:t>
            </w:r>
          </w:p>
        </w:tc>
        <w:tc>
          <w:tcPr>
            <w:tcW w:w="1162" w:type="dxa"/>
            <w:vAlign w:val="center"/>
          </w:tcPr>
          <w:p>
            <w:pPr>
              <w:spacing w:line="400" w:lineRule="exact"/>
              <w:jc w:val="center"/>
              <w:rPr>
                <w:rFonts w:ascii="宋体" w:hAnsi="宋体" w:cs="宋体"/>
                <w:szCs w:val="21"/>
              </w:rPr>
            </w:pPr>
            <w:r>
              <w:rPr>
                <w:rFonts w:hint="eastAsia" w:ascii="宋体" w:hAnsi="宋体" w:cs="宋体"/>
                <w:szCs w:val="21"/>
              </w:rPr>
              <w:t>BIM业绩</w:t>
            </w:r>
          </w:p>
        </w:tc>
        <w:tc>
          <w:tcPr>
            <w:tcW w:w="645" w:type="dxa"/>
            <w:vAlign w:val="center"/>
          </w:tcPr>
          <w:p>
            <w:pPr>
              <w:spacing w:line="400" w:lineRule="exact"/>
              <w:jc w:val="center"/>
              <w:rPr>
                <w:rFonts w:ascii="宋体" w:hAnsi="宋体"/>
                <w:szCs w:val="21"/>
              </w:rPr>
            </w:pPr>
            <w:r>
              <w:rPr>
                <w:rFonts w:hint="eastAsia" w:ascii="宋体" w:hAnsi="宋体" w:cs="宋体"/>
                <w:szCs w:val="21"/>
              </w:rPr>
              <w:t>4</w:t>
            </w:r>
          </w:p>
        </w:tc>
        <w:tc>
          <w:tcPr>
            <w:tcW w:w="6158" w:type="dxa"/>
            <w:vAlign w:val="center"/>
          </w:tcPr>
          <w:p>
            <w:pPr>
              <w:spacing w:line="400" w:lineRule="exact"/>
              <w:rPr>
                <w:rFonts w:ascii="宋体" w:hAnsi="宋体" w:cs="宋体"/>
                <w:szCs w:val="21"/>
              </w:rPr>
            </w:pPr>
            <w:r>
              <w:rPr>
                <w:rFonts w:hint="eastAsia" w:ascii="宋体" w:hAnsi="宋体" w:cs="宋体"/>
                <w:szCs w:val="21"/>
              </w:rPr>
              <w:t>投标人自2018年1月1日至投标截止时间内，参加中国安装协会颁发安装行业BIM技术应用成果评价，获得I类（一等奖）的每项得1分、获得II类（二等奖）的每项得0.5分。此项奖项累计最高4分。</w:t>
            </w:r>
          </w:p>
        </w:tc>
        <w:tc>
          <w:tcPr>
            <w:tcW w:w="1875" w:type="pct"/>
          </w:tcPr>
          <w:p>
            <w:pPr>
              <w:tabs>
                <w:tab w:val="left" w:pos="210"/>
                <w:tab w:val="left" w:pos="420"/>
              </w:tabs>
              <w:spacing w:line="400" w:lineRule="exact"/>
              <w:rPr>
                <w:rFonts w:ascii="宋体" w:hAnsi="宋体" w:cs="宋体"/>
              </w:rPr>
            </w:pPr>
            <w:r>
              <w:rPr>
                <w:rFonts w:hint="eastAsia" w:ascii="宋体" w:hAnsi="宋体" w:cs="宋体"/>
                <w:szCs w:val="21"/>
              </w:rPr>
              <w:t>需提供相关奖项证书复印件加盖投标人公章。（以获奖证书载明时间或者</w:t>
            </w:r>
            <w:r>
              <w:rPr>
                <w:rFonts w:hint="eastAsia" w:ascii="宋体" w:hAnsi="宋体"/>
                <w:szCs w:val="21"/>
              </w:rPr>
              <w:t>授奖单位文件或公告时间为准。</w:t>
            </w:r>
            <w:r>
              <w:rPr>
                <w:rFonts w:hint="eastAsia" w:ascii="宋体" w:hAnsi="宋体" w:cs="宋体"/>
              </w:rPr>
              <w:t>若是联合体投标，</w:t>
            </w:r>
            <w:r>
              <w:rPr>
                <w:rFonts w:hint="eastAsia" w:ascii="宋体" w:hAnsi="宋体"/>
                <w:szCs w:val="21"/>
              </w:rPr>
              <w:t>工程奖项以承接本项目机电安装工程的单位获得的奖项为准</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 w:type="pct"/>
            <w:vAlign w:val="center"/>
          </w:tcPr>
          <w:p>
            <w:pPr>
              <w:spacing w:line="400" w:lineRule="exact"/>
              <w:jc w:val="center"/>
              <w:rPr>
                <w:rFonts w:ascii="宋体" w:hAnsi="宋体"/>
                <w:szCs w:val="21"/>
              </w:rPr>
            </w:pPr>
            <w:r>
              <w:rPr>
                <w:rFonts w:hint="eastAsia" w:ascii="宋体" w:hAnsi="宋体"/>
                <w:szCs w:val="21"/>
              </w:rPr>
              <w:t>5</w:t>
            </w:r>
          </w:p>
        </w:tc>
        <w:tc>
          <w:tcPr>
            <w:tcW w:w="396" w:type="pct"/>
            <w:vAlign w:val="center"/>
          </w:tcPr>
          <w:p>
            <w:pPr>
              <w:spacing w:line="400" w:lineRule="exact"/>
              <w:jc w:val="center"/>
              <w:rPr>
                <w:rFonts w:ascii="宋体" w:hAnsi="宋体" w:cs="宋体"/>
                <w:szCs w:val="21"/>
              </w:rPr>
            </w:pPr>
            <w:r>
              <w:rPr>
                <w:rFonts w:hint="eastAsia" w:ascii="宋体" w:hAnsi="宋体" w:cs="宋体"/>
                <w:szCs w:val="21"/>
              </w:rPr>
              <w:t>工程奖项</w:t>
            </w:r>
          </w:p>
        </w:tc>
        <w:tc>
          <w:tcPr>
            <w:tcW w:w="220" w:type="pct"/>
            <w:vAlign w:val="center"/>
          </w:tcPr>
          <w:p>
            <w:pPr>
              <w:spacing w:line="400" w:lineRule="exact"/>
              <w:jc w:val="center"/>
              <w:rPr>
                <w:rFonts w:ascii="宋体" w:hAnsi="宋体"/>
                <w:szCs w:val="21"/>
              </w:rPr>
            </w:pPr>
            <w:r>
              <w:rPr>
                <w:rFonts w:hint="eastAsia" w:ascii="宋体" w:hAnsi="宋体"/>
                <w:szCs w:val="21"/>
              </w:rPr>
              <w:t>8</w:t>
            </w:r>
          </w:p>
        </w:tc>
        <w:tc>
          <w:tcPr>
            <w:tcW w:w="2099" w:type="pct"/>
            <w:vAlign w:val="center"/>
          </w:tcPr>
          <w:p>
            <w:pPr>
              <w:spacing w:line="400" w:lineRule="exact"/>
            </w:pPr>
            <w:r>
              <w:rPr>
                <w:rFonts w:hint="eastAsia"/>
              </w:rPr>
              <w:t>投标人自2018年1月1日至投标截止时间内，每获得过一个工程项目的鲁班奖或詹天佑奖或国家优质工程金质奖，得2分，此项奖项累计最高8分。</w:t>
            </w:r>
          </w:p>
          <w:p>
            <w:pPr>
              <w:pStyle w:val="15"/>
              <w:spacing w:line="400" w:lineRule="exact"/>
            </w:pPr>
            <w:r>
              <w:t>注：本项最高得8分,同一评分项奖项按最高级别计分且同一项目不重复计分。（本项评分只认可投标人自身作为获奖单位的情形，不认可投标单位分、子公司所获奖项；同一项目多次获奖只计算一次得分）。</w:t>
            </w:r>
          </w:p>
        </w:tc>
        <w:tc>
          <w:tcPr>
            <w:tcW w:w="1875" w:type="pct"/>
          </w:tcPr>
          <w:p>
            <w:pPr>
              <w:spacing w:line="400" w:lineRule="exact"/>
              <w:rPr>
                <w:rFonts w:ascii="宋体" w:hAnsi="宋体" w:cs="宋体"/>
                <w:szCs w:val="21"/>
              </w:rPr>
            </w:pPr>
            <w:r>
              <w:rPr>
                <w:rFonts w:hint="eastAsia" w:ascii="宋体" w:hAnsi="宋体" w:cs="宋体"/>
                <w:szCs w:val="21"/>
              </w:rPr>
              <w:t>需提供相关奖项证书复印件加盖投标人公章。（以获奖证书载明时间或者</w:t>
            </w:r>
            <w:r>
              <w:rPr>
                <w:rFonts w:hint="eastAsia" w:ascii="宋体" w:hAnsi="宋体"/>
                <w:szCs w:val="21"/>
              </w:rPr>
              <w:t>授奖单位文件或公告时间为准。</w:t>
            </w:r>
            <w:r>
              <w:rPr>
                <w:rFonts w:hint="eastAsia" w:ascii="宋体" w:hAnsi="宋体" w:cs="宋体"/>
              </w:rPr>
              <w:t>若是联合体投标，</w:t>
            </w:r>
            <w:r>
              <w:rPr>
                <w:rFonts w:hint="eastAsia" w:ascii="宋体" w:hAnsi="宋体"/>
                <w:szCs w:val="21"/>
              </w:rPr>
              <w:t>工程奖项以承接本项目机电安装工程的单位获得的奖项为准</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 w:type="pct"/>
            <w:vAlign w:val="center"/>
          </w:tcPr>
          <w:p>
            <w:pPr>
              <w:spacing w:line="400" w:lineRule="exact"/>
              <w:jc w:val="center"/>
              <w:rPr>
                <w:rFonts w:ascii="宋体" w:hAnsi="宋体"/>
                <w:szCs w:val="21"/>
              </w:rPr>
            </w:pPr>
            <w:r>
              <w:rPr>
                <w:rFonts w:hint="eastAsia" w:ascii="宋体" w:hAnsi="宋体"/>
                <w:szCs w:val="21"/>
              </w:rPr>
              <w:t>6</w:t>
            </w:r>
          </w:p>
        </w:tc>
        <w:tc>
          <w:tcPr>
            <w:tcW w:w="396" w:type="pct"/>
            <w:vAlign w:val="center"/>
          </w:tcPr>
          <w:p>
            <w:pPr>
              <w:spacing w:line="400" w:lineRule="exact"/>
              <w:jc w:val="center"/>
              <w:rPr>
                <w:rFonts w:ascii="宋体" w:hAnsi="宋体"/>
                <w:szCs w:val="21"/>
              </w:rPr>
            </w:pPr>
            <w:r>
              <w:rPr>
                <w:rFonts w:hint="eastAsia" w:ascii="宋体" w:hAnsi="宋体" w:cs="宋体"/>
                <w:szCs w:val="21"/>
              </w:rPr>
              <w:t>项目负责人</w:t>
            </w:r>
          </w:p>
        </w:tc>
        <w:tc>
          <w:tcPr>
            <w:tcW w:w="220" w:type="pct"/>
            <w:vAlign w:val="center"/>
          </w:tcPr>
          <w:p>
            <w:pPr>
              <w:spacing w:line="400" w:lineRule="exact"/>
              <w:jc w:val="center"/>
              <w:rPr>
                <w:rFonts w:ascii="宋体" w:hAnsi="宋体"/>
                <w:szCs w:val="21"/>
              </w:rPr>
            </w:pPr>
            <w:r>
              <w:rPr>
                <w:rFonts w:hint="eastAsia" w:ascii="宋体" w:hAnsi="宋体"/>
                <w:szCs w:val="21"/>
              </w:rPr>
              <w:t>6</w:t>
            </w:r>
          </w:p>
        </w:tc>
        <w:tc>
          <w:tcPr>
            <w:tcW w:w="2099" w:type="pct"/>
            <w:vAlign w:val="center"/>
          </w:tcPr>
          <w:p>
            <w:pPr>
              <w:spacing w:line="400" w:lineRule="exact"/>
              <w:rPr>
                <w:rFonts w:ascii="宋体" w:hAnsi="宋体" w:cs="宋体"/>
                <w:szCs w:val="21"/>
              </w:rPr>
            </w:pPr>
            <w:r>
              <w:rPr>
                <w:rFonts w:hint="eastAsia" w:ascii="宋体" w:hAnsi="宋体" w:cs="宋体"/>
                <w:szCs w:val="21"/>
              </w:rPr>
              <w:t>1）投标人拟委派的项目负责人（项目经理）具有机电相关专业高级及以上职称的得2分。</w:t>
            </w:r>
          </w:p>
          <w:p>
            <w:pPr>
              <w:spacing w:line="400" w:lineRule="exact"/>
              <w:rPr>
                <w:rFonts w:ascii="宋体" w:hAnsi="宋体" w:cs="宋体"/>
                <w:szCs w:val="21"/>
              </w:rPr>
            </w:pPr>
            <w:r>
              <w:rPr>
                <w:rFonts w:hint="eastAsia" w:ascii="宋体" w:hAnsi="宋体" w:cs="宋体"/>
                <w:szCs w:val="21"/>
              </w:rPr>
              <w:t>2）项目负责人（项目经理）业绩：</w:t>
            </w:r>
          </w:p>
          <w:p>
            <w:pPr>
              <w:spacing w:line="400" w:lineRule="exact"/>
              <w:rPr>
                <w:rFonts w:ascii="宋体" w:hAnsi="宋体" w:cs="宋体"/>
                <w:szCs w:val="21"/>
              </w:rPr>
            </w:pPr>
            <w:r>
              <w:rPr>
                <w:rFonts w:hint="eastAsia" w:ascii="宋体" w:hAnsi="宋体" w:cs="宋体"/>
                <w:szCs w:val="21"/>
              </w:rPr>
              <w:t xml:space="preserve">自2018年7月1日至投标截止时间内，投标人拟委派的项目负责人（项目经理）以项目负责人（项目经理）身份每完成一项合同金额为  </w:t>
            </w:r>
            <w:r>
              <w:rPr>
                <w:rFonts w:hint="eastAsia" w:ascii="宋体" w:hAnsi="宋体" w:cs="宋体"/>
                <w:szCs w:val="21"/>
                <w:highlight w:val="none"/>
              </w:rPr>
              <w:t>6000万元及以</w:t>
            </w:r>
            <w:r>
              <w:rPr>
                <w:rFonts w:hint="eastAsia" w:ascii="宋体" w:hAnsi="宋体" w:cs="宋体"/>
                <w:szCs w:val="21"/>
              </w:rPr>
              <w:t>上的水蓄冷或冰蓄冷施工项目业绩的，得4分。</w:t>
            </w:r>
          </w:p>
          <w:p>
            <w:pPr>
              <w:spacing w:line="400" w:lineRule="exact"/>
              <w:rPr>
                <w:rFonts w:ascii="宋体" w:hAnsi="宋体" w:cs="宋体"/>
                <w:szCs w:val="21"/>
              </w:rPr>
            </w:pPr>
            <w:r>
              <w:rPr>
                <w:rFonts w:hint="eastAsia" w:ascii="宋体" w:hAnsi="宋体" w:cs="宋体"/>
                <w:szCs w:val="21"/>
              </w:rPr>
              <w:t>注：本项最高得6分。</w:t>
            </w:r>
          </w:p>
        </w:tc>
        <w:tc>
          <w:tcPr>
            <w:tcW w:w="1875" w:type="pct"/>
            <w:vAlign w:val="center"/>
          </w:tcPr>
          <w:p>
            <w:pPr>
              <w:spacing w:line="400" w:lineRule="exact"/>
              <w:rPr>
                <w:rFonts w:ascii="宋体" w:hAnsi="宋体" w:cs="宋体"/>
                <w:szCs w:val="21"/>
              </w:rPr>
            </w:pPr>
            <w:r>
              <w:rPr>
                <w:rFonts w:hint="eastAsia" w:ascii="宋体" w:hAnsi="宋体" w:cs="宋体"/>
                <w:szCs w:val="21"/>
              </w:rPr>
              <w:t>1）上述职称证明需提供相关证书复印件加盖投标人公章。需提供项目经理近1个月</w:t>
            </w:r>
            <w:r>
              <w:rPr>
                <w:rFonts w:hint="eastAsia" w:ascii="宋体" w:hAnsi="宋体"/>
                <w:szCs w:val="21"/>
              </w:rPr>
              <w:t>在本单位购买社保的证明加盖投标人公章（单位名称需与营业执照一致）</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2）业绩证明材料需提供建设单位颁发的中标通知书、相关合同、</w:t>
            </w:r>
            <w:r>
              <w:rPr>
                <w:rFonts w:hint="eastAsia" w:ascii="宋体" w:hAnsi="宋体"/>
                <w:szCs w:val="21"/>
              </w:rPr>
              <w:t>建设单位（业主）出具的业绩证明、</w:t>
            </w:r>
            <w:r>
              <w:rPr>
                <w:rFonts w:hint="eastAsia" w:ascii="宋体" w:hAnsi="宋体" w:cs="宋体"/>
                <w:szCs w:val="21"/>
              </w:rPr>
              <w:t>竣工验收报告或竣工验收备案证书复印件加盖投标人公章。上述业绩需要以</w:t>
            </w:r>
            <w:r>
              <w:rPr>
                <w:rFonts w:hint="eastAsia" w:ascii="宋体" w:hAnsi="宋体" w:cs="宋体"/>
              </w:rPr>
              <w:t>机电工程施工总承包或</w:t>
            </w:r>
            <w:r>
              <w:rPr>
                <w:rFonts w:hint="eastAsia" w:ascii="宋体" w:hAnsi="宋体" w:cs="宋体"/>
                <w:szCs w:val="21"/>
              </w:rPr>
              <w:t>机电安装工程专业承包资质所承接的施工业绩；业绩情况将按要求上网公示。上述业绩时间以竣工验收报告或竣工验收备案证书时间为准，金额以合同金额为准，业绩个数以合同个数为准。如上述材料未能证实该业绩项目经理，则需提供拟派项目经理任职该业绩项目经理的其他相关证明文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2" w:type="pct"/>
            <w:vAlign w:val="center"/>
          </w:tcPr>
          <w:p>
            <w:pPr>
              <w:spacing w:line="400" w:lineRule="exact"/>
              <w:jc w:val="center"/>
              <w:rPr>
                <w:rFonts w:ascii="宋体" w:hAnsi="宋体"/>
                <w:szCs w:val="21"/>
              </w:rPr>
            </w:pPr>
            <w:r>
              <w:rPr>
                <w:rFonts w:hint="eastAsia" w:ascii="宋体" w:hAnsi="宋体"/>
                <w:szCs w:val="21"/>
              </w:rPr>
              <w:t>7</w:t>
            </w:r>
          </w:p>
        </w:tc>
        <w:tc>
          <w:tcPr>
            <w:tcW w:w="396" w:type="pct"/>
            <w:vAlign w:val="center"/>
          </w:tcPr>
          <w:p>
            <w:pPr>
              <w:spacing w:line="400" w:lineRule="exact"/>
              <w:jc w:val="center"/>
              <w:rPr>
                <w:rFonts w:ascii="宋体" w:hAnsi="宋体" w:cs="宋体"/>
                <w:szCs w:val="21"/>
              </w:rPr>
            </w:pPr>
            <w:r>
              <w:rPr>
                <w:rFonts w:hint="eastAsia" w:ascii="宋体" w:hAnsi="宋体" w:cs="宋体"/>
                <w:szCs w:val="21"/>
              </w:rPr>
              <w:t>技术负责人</w:t>
            </w:r>
          </w:p>
        </w:tc>
        <w:tc>
          <w:tcPr>
            <w:tcW w:w="220" w:type="pct"/>
            <w:vAlign w:val="center"/>
          </w:tcPr>
          <w:p>
            <w:pPr>
              <w:spacing w:line="400" w:lineRule="exact"/>
              <w:jc w:val="center"/>
              <w:rPr>
                <w:rFonts w:ascii="宋体" w:hAnsi="宋体"/>
                <w:szCs w:val="21"/>
              </w:rPr>
            </w:pPr>
            <w:r>
              <w:rPr>
                <w:rFonts w:hint="eastAsia" w:ascii="宋体" w:hAnsi="宋体"/>
                <w:szCs w:val="21"/>
              </w:rPr>
              <w:t>1</w:t>
            </w:r>
          </w:p>
        </w:tc>
        <w:tc>
          <w:tcPr>
            <w:tcW w:w="2099" w:type="pct"/>
            <w:vAlign w:val="center"/>
          </w:tcPr>
          <w:p>
            <w:pPr>
              <w:spacing w:line="400" w:lineRule="exact"/>
              <w:rPr>
                <w:rFonts w:ascii="宋体" w:hAnsi="宋体" w:cs="宋体"/>
                <w:szCs w:val="21"/>
              </w:rPr>
            </w:pPr>
            <w:r>
              <w:rPr>
                <w:rFonts w:hint="eastAsia" w:ascii="宋体" w:hAnsi="宋体" w:cs="宋体"/>
                <w:szCs w:val="21"/>
              </w:rPr>
              <w:t>投标人拟委派的技术负责人具有高级及以上职称的得0.5分，具备注册一级建造师机电工程专业执业资格</w:t>
            </w:r>
            <w:r>
              <w:rPr>
                <w:rFonts w:ascii="宋体" w:hAnsi="宋体" w:cs="宋体"/>
                <w:szCs w:val="21"/>
              </w:rPr>
              <w:t>的</w:t>
            </w:r>
            <w:r>
              <w:rPr>
                <w:rFonts w:hint="eastAsia" w:ascii="宋体" w:hAnsi="宋体" w:cs="宋体"/>
                <w:szCs w:val="21"/>
              </w:rPr>
              <w:t>得0.5分。本项最多得1分。</w:t>
            </w:r>
          </w:p>
        </w:tc>
        <w:tc>
          <w:tcPr>
            <w:tcW w:w="1875" w:type="pct"/>
            <w:vAlign w:val="center"/>
          </w:tcPr>
          <w:p>
            <w:pPr>
              <w:spacing w:line="400" w:lineRule="exact"/>
              <w:rPr>
                <w:rFonts w:ascii="宋体" w:hAnsi="宋体"/>
                <w:szCs w:val="21"/>
              </w:rPr>
            </w:pPr>
            <w:r>
              <w:rPr>
                <w:rFonts w:hint="eastAsia" w:ascii="宋体" w:hAnsi="宋体"/>
                <w:szCs w:val="21"/>
              </w:rPr>
              <w:t>须提供拟派人员相关证书复印件及</w:t>
            </w:r>
            <w:r>
              <w:rPr>
                <w:rFonts w:hint="eastAsia" w:ascii="宋体" w:hAnsi="宋体" w:cs="宋体"/>
                <w:szCs w:val="21"/>
              </w:rPr>
              <w:t>近1个月</w:t>
            </w:r>
            <w:r>
              <w:rPr>
                <w:rFonts w:hint="eastAsia" w:ascii="宋体" w:hAnsi="宋体"/>
                <w:szCs w:val="21"/>
              </w:rPr>
              <w:t>在本单位购买社保的证明加盖投标人公章。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 w:type="pct"/>
            <w:tcBorders>
              <w:top w:val="single" w:color="auto" w:sz="4" w:space="0"/>
              <w:left w:val="single" w:color="auto" w:sz="4" w:space="0"/>
              <w:bottom w:val="single" w:color="auto" w:sz="4" w:space="0"/>
            </w:tcBorders>
            <w:vAlign w:val="center"/>
          </w:tcPr>
          <w:p>
            <w:pPr>
              <w:spacing w:line="400" w:lineRule="exact"/>
              <w:jc w:val="center"/>
              <w:rPr>
                <w:rFonts w:ascii="宋体" w:hAnsi="宋体"/>
                <w:szCs w:val="21"/>
              </w:rPr>
            </w:pPr>
            <w:r>
              <w:rPr>
                <w:rFonts w:hint="eastAsia" w:ascii="宋体" w:hAnsi="宋体"/>
                <w:szCs w:val="21"/>
              </w:rPr>
              <w:t>8</w:t>
            </w:r>
          </w:p>
        </w:tc>
        <w:tc>
          <w:tcPr>
            <w:tcW w:w="396" w:type="pct"/>
            <w:tcBorders>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项目管理机构资源调动能力</w:t>
            </w:r>
          </w:p>
        </w:tc>
        <w:tc>
          <w:tcPr>
            <w:tcW w:w="220" w:type="pct"/>
            <w:tcBorders>
              <w:left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5</w:t>
            </w:r>
          </w:p>
        </w:tc>
        <w:tc>
          <w:tcPr>
            <w:tcW w:w="2099" w:type="pct"/>
            <w:tcBorders>
              <w:left w:val="single" w:color="auto" w:sz="4" w:space="0"/>
            </w:tcBorders>
            <w:vAlign w:val="center"/>
          </w:tcPr>
          <w:p>
            <w:pPr>
              <w:spacing w:line="400" w:lineRule="exact"/>
              <w:rPr>
                <w:rFonts w:ascii="宋体" w:hAnsi="宋体" w:cs="宋体"/>
                <w:szCs w:val="21"/>
              </w:rPr>
            </w:pPr>
            <w:r>
              <w:rPr>
                <w:rFonts w:hint="eastAsia" w:ascii="宋体" w:hAnsi="宋体" w:cs="宋体"/>
                <w:szCs w:val="21"/>
              </w:rPr>
              <w:t>1、投标人拟委派</w:t>
            </w:r>
            <w:r>
              <w:rPr>
                <w:rFonts w:ascii="宋体" w:hAnsi="宋体" w:cs="宋体"/>
                <w:szCs w:val="21"/>
              </w:rPr>
              <w:t>公司副总经理或以上职务人员担任</w:t>
            </w:r>
            <w:r>
              <w:rPr>
                <w:rFonts w:hint="eastAsia" w:ascii="宋体" w:hAnsi="宋体" w:cs="宋体"/>
                <w:szCs w:val="21"/>
              </w:rPr>
              <w:t>本项目指挥长的，得</w:t>
            </w:r>
            <w:r>
              <w:rPr>
                <w:rFonts w:ascii="宋体" w:hAnsi="宋体" w:cs="宋体"/>
                <w:szCs w:val="21"/>
              </w:rPr>
              <w:t>1</w:t>
            </w:r>
            <w:r>
              <w:rPr>
                <w:rFonts w:hint="eastAsia" w:ascii="宋体" w:hAnsi="宋体" w:cs="宋体"/>
                <w:szCs w:val="21"/>
              </w:rPr>
              <w:t>分。</w:t>
            </w:r>
          </w:p>
          <w:p>
            <w:pPr>
              <w:spacing w:line="400" w:lineRule="exact"/>
              <w:rPr>
                <w:rFonts w:ascii="宋体" w:hAnsi="宋体" w:cs="宋体"/>
                <w:szCs w:val="21"/>
              </w:rPr>
            </w:pPr>
            <w:r>
              <w:rPr>
                <w:rFonts w:hint="eastAsia" w:ascii="宋体" w:hAnsi="宋体" w:cs="宋体"/>
                <w:szCs w:val="21"/>
              </w:rPr>
              <w:t>2、根据投标人提出的指挥长履职方案进行横向比较：</w:t>
            </w:r>
          </w:p>
          <w:p>
            <w:pPr>
              <w:spacing w:line="400" w:lineRule="exact"/>
              <w:rPr>
                <w:rFonts w:ascii="宋体" w:hAnsi="宋体" w:cs="宋体"/>
                <w:szCs w:val="21"/>
              </w:rPr>
            </w:pPr>
            <w:r>
              <w:rPr>
                <w:rFonts w:hint="eastAsia" w:ascii="宋体" w:hAnsi="宋体" w:cs="宋体"/>
                <w:szCs w:val="21"/>
              </w:rPr>
              <w:t>【优】3～4分：指挥长履职方案科学、合理，可行性高；</w:t>
            </w:r>
          </w:p>
          <w:p>
            <w:pPr>
              <w:spacing w:line="400" w:lineRule="exact"/>
              <w:rPr>
                <w:rFonts w:ascii="宋体" w:hAnsi="宋体" w:cs="宋体"/>
                <w:szCs w:val="21"/>
              </w:rPr>
            </w:pPr>
            <w:r>
              <w:rPr>
                <w:rFonts w:hint="eastAsia" w:ascii="宋体" w:hAnsi="宋体" w:cs="宋体"/>
                <w:szCs w:val="21"/>
              </w:rPr>
              <w:t>【良】1～2分：指挥长履职方案较科学、较合理，可行性较高；</w:t>
            </w:r>
          </w:p>
          <w:p>
            <w:pPr>
              <w:spacing w:line="400" w:lineRule="exact"/>
              <w:rPr>
                <w:rFonts w:ascii="宋体" w:hAnsi="宋体" w:cs="宋体"/>
                <w:szCs w:val="21"/>
              </w:rPr>
            </w:pPr>
            <w:r>
              <w:rPr>
                <w:rFonts w:hint="eastAsia" w:ascii="宋体" w:hAnsi="宋体" w:cs="宋体"/>
                <w:szCs w:val="21"/>
              </w:rPr>
              <w:t>【中】0.5分：指挥长履职方案科学性、合理性和可行性一般；</w:t>
            </w:r>
          </w:p>
          <w:p>
            <w:pPr>
              <w:spacing w:line="400" w:lineRule="exact"/>
              <w:rPr>
                <w:rFonts w:ascii="宋体" w:hAnsi="宋体" w:cs="宋体"/>
                <w:szCs w:val="21"/>
              </w:rPr>
            </w:pPr>
            <w:r>
              <w:rPr>
                <w:rFonts w:hint="eastAsia" w:ascii="宋体" w:hAnsi="宋体" w:cs="宋体"/>
                <w:szCs w:val="21"/>
              </w:rPr>
              <w:t>【差】0分：指挥长履职方案缺乏科学性和合理性，可行性差。</w:t>
            </w:r>
          </w:p>
        </w:tc>
        <w:tc>
          <w:tcPr>
            <w:tcW w:w="1875" w:type="pct"/>
            <w:vAlign w:val="center"/>
          </w:tcPr>
          <w:p>
            <w:pPr>
              <w:spacing w:line="400" w:lineRule="exact"/>
              <w:rPr>
                <w:rFonts w:ascii="宋体" w:hAnsi="宋体"/>
                <w:szCs w:val="21"/>
              </w:rPr>
            </w:pPr>
            <w:r>
              <w:rPr>
                <w:rFonts w:hint="eastAsia" w:ascii="宋体" w:hAnsi="宋体"/>
                <w:szCs w:val="21"/>
              </w:rPr>
              <w:t>须提供拟派人员在本单位相关岗位的任职1个月以上证明文件、及近1个月在本单位购买社保证明加盖投标人公章，以及拟委派为本项目指挥长的相关文件原件加盖投标人公章。提供指挥长在本项目中的履职方案。若联合体投标，指挥长须为联合体主办方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 w:type="pct"/>
            <w:tcBorders>
              <w:top w:val="single" w:color="auto" w:sz="4" w:space="0"/>
              <w:left w:val="single" w:color="auto" w:sz="4" w:space="0"/>
              <w:bottom w:val="single" w:color="auto" w:sz="4" w:space="0"/>
            </w:tcBorders>
            <w:vAlign w:val="center"/>
          </w:tcPr>
          <w:p>
            <w:pPr>
              <w:spacing w:line="400" w:lineRule="exact"/>
              <w:jc w:val="center"/>
              <w:rPr>
                <w:rFonts w:ascii="宋体" w:hAnsi="宋体"/>
                <w:szCs w:val="21"/>
              </w:rPr>
            </w:pPr>
            <w:r>
              <w:rPr>
                <w:rFonts w:hint="eastAsia" w:ascii="宋体" w:hAnsi="宋体"/>
                <w:szCs w:val="21"/>
              </w:rPr>
              <w:t>9</w:t>
            </w:r>
          </w:p>
        </w:tc>
        <w:tc>
          <w:tcPr>
            <w:tcW w:w="396" w:type="pct"/>
            <w:tcBorders>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项目管理团队经验</w:t>
            </w:r>
          </w:p>
        </w:tc>
        <w:tc>
          <w:tcPr>
            <w:tcW w:w="220" w:type="pct"/>
            <w:tcBorders>
              <w:left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8</w:t>
            </w:r>
          </w:p>
        </w:tc>
        <w:tc>
          <w:tcPr>
            <w:tcW w:w="3975" w:type="pct"/>
            <w:gridSpan w:val="2"/>
            <w:tcBorders>
              <w:left w:val="single" w:color="auto" w:sz="4" w:space="0"/>
            </w:tcBorders>
            <w:vAlign w:val="center"/>
          </w:tcPr>
          <w:p>
            <w:pPr>
              <w:spacing w:line="400" w:lineRule="exact"/>
              <w:jc w:val="left"/>
              <w:rPr>
                <w:rFonts w:ascii="宋体" w:hAnsi="宋体" w:cs="宋体"/>
              </w:rPr>
            </w:pPr>
            <w:r>
              <w:rPr>
                <w:rFonts w:hint="eastAsia" w:ascii="宋体" w:hAnsi="宋体" w:cs="宋体"/>
              </w:rPr>
              <w:t>【优】7～8分：投标人拟派的项目管理团队施工经验丰富；</w:t>
            </w:r>
          </w:p>
          <w:p>
            <w:pPr>
              <w:spacing w:line="400" w:lineRule="exact"/>
              <w:jc w:val="left"/>
              <w:rPr>
                <w:rFonts w:ascii="宋体" w:hAnsi="宋体" w:cs="宋体"/>
              </w:rPr>
            </w:pPr>
            <w:r>
              <w:rPr>
                <w:rFonts w:hint="eastAsia" w:ascii="宋体" w:hAnsi="宋体" w:cs="宋体"/>
              </w:rPr>
              <w:t>【良】5～6分：投标人拟派的项目管理团队施工经验较丰富；</w:t>
            </w:r>
          </w:p>
          <w:p>
            <w:pPr>
              <w:spacing w:line="400" w:lineRule="exact"/>
              <w:jc w:val="left"/>
              <w:rPr>
                <w:rFonts w:ascii="宋体" w:hAnsi="宋体" w:cs="宋体"/>
              </w:rPr>
            </w:pPr>
            <w:r>
              <w:rPr>
                <w:rFonts w:hint="eastAsia" w:ascii="宋体" w:hAnsi="宋体" w:cs="宋体"/>
              </w:rPr>
              <w:t>【中】3～4分：投标人拟派的项目管理团队施工经验一般；</w:t>
            </w:r>
          </w:p>
          <w:p>
            <w:pPr>
              <w:spacing w:line="400" w:lineRule="exact"/>
              <w:rPr>
                <w:rFonts w:ascii="宋体" w:hAnsi="宋体"/>
                <w:szCs w:val="21"/>
              </w:rPr>
            </w:pPr>
            <w:r>
              <w:rPr>
                <w:rFonts w:hint="eastAsia" w:ascii="宋体" w:hAnsi="宋体" w:cs="宋体"/>
              </w:rPr>
              <w:t>【差】0～2分：投标人拟派的项目管理团队施工经验较差。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 w:type="pct"/>
            <w:tcBorders>
              <w:top w:val="single" w:color="auto" w:sz="4" w:space="0"/>
              <w:left w:val="single" w:color="auto" w:sz="4" w:space="0"/>
              <w:bottom w:val="single" w:color="auto" w:sz="4" w:space="0"/>
            </w:tcBorders>
            <w:vAlign w:val="center"/>
          </w:tcPr>
          <w:p>
            <w:pPr>
              <w:spacing w:line="400" w:lineRule="exact"/>
              <w:jc w:val="center"/>
              <w:rPr>
                <w:rFonts w:ascii="宋体" w:hAnsi="宋体"/>
                <w:szCs w:val="21"/>
              </w:rPr>
            </w:pPr>
            <w:r>
              <w:rPr>
                <w:rFonts w:hint="eastAsia" w:ascii="宋体" w:hAnsi="宋体"/>
                <w:szCs w:val="21"/>
              </w:rPr>
              <w:t>10</w:t>
            </w:r>
          </w:p>
        </w:tc>
        <w:tc>
          <w:tcPr>
            <w:tcW w:w="396" w:type="pct"/>
            <w:tcBorders>
              <w:right w:val="single" w:color="auto" w:sz="4" w:space="0"/>
            </w:tcBorders>
            <w:vAlign w:val="center"/>
          </w:tcPr>
          <w:p>
            <w:pPr>
              <w:spacing w:line="400" w:lineRule="exact"/>
              <w:jc w:val="center"/>
              <w:rPr>
                <w:rFonts w:ascii="宋体" w:hAnsi="宋体" w:cs="宋体"/>
                <w:szCs w:val="21"/>
              </w:rPr>
            </w:pPr>
            <w:r>
              <w:rPr>
                <w:rFonts w:hint="eastAsia" w:hAnsi="宋体"/>
              </w:rPr>
              <w:t>劳动力投入措施</w:t>
            </w:r>
          </w:p>
        </w:tc>
        <w:tc>
          <w:tcPr>
            <w:tcW w:w="220" w:type="pct"/>
            <w:tcBorders>
              <w:left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6</w:t>
            </w:r>
          </w:p>
        </w:tc>
        <w:tc>
          <w:tcPr>
            <w:tcW w:w="3975" w:type="pct"/>
            <w:gridSpan w:val="2"/>
            <w:tcBorders>
              <w:left w:val="single" w:color="auto" w:sz="4" w:space="0"/>
            </w:tcBorders>
            <w:vAlign w:val="center"/>
          </w:tcPr>
          <w:p>
            <w:pPr>
              <w:spacing w:line="400" w:lineRule="exact"/>
              <w:jc w:val="left"/>
              <w:rPr>
                <w:rFonts w:ascii="宋体" w:hAnsi="宋体" w:cs="宋体"/>
              </w:rPr>
            </w:pPr>
            <w:r>
              <w:rPr>
                <w:rFonts w:hint="eastAsia" w:ascii="宋体" w:hAnsi="宋体" w:cs="宋体"/>
              </w:rPr>
              <w:t>【优】</w:t>
            </w:r>
            <w:r>
              <w:rPr>
                <w:rFonts w:ascii="宋体" w:hAnsi="宋体" w:cs="宋体"/>
              </w:rPr>
              <w:t>5</w:t>
            </w:r>
            <w:r>
              <w:rPr>
                <w:rFonts w:hint="eastAsia" w:ascii="宋体" w:hAnsi="宋体" w:cs="宋体"/>
              </w:rPr>
              <w:t>～</w:t>
            </w:r>
            <w:r>
              <w:rPr>
                <w:rFonts w:ascii="宋体" w:hAnsi="宋体" w:cs="宋体"/>
              </w:rPr>
              <w:t>6</w:t>
            </w:r>
            <w:r>
              <w:rPr>
                <w:rFonts w:hint="eastAsia" w:ascii="宋体" w:hAnsi="宋体" w:cs="宋体"/>
              </w:rPr>
              <w:t>分：劳动力投入保证措施可行、具体，各工种人员安排合理；</w:t>
            </w:r>
          </w:p>
          <w:p>
            <w:pPr>
              <w:spacing w:line="400" w:lineRule="exact"/>
              <w:jc w:val="left"/>
              <w:rPr>
                <w:rFonts w:ascii="宋体" w:hAnsi="宋体" w:cs="宋体"/>
              </w:rPr>
            </w:pPr>
            <w:r>
              <w:rPr>
                <w:rFonts w:hint="eastAsia" w:ascii="宋体" w:hAnsi="宋体" w:cs="宋体"/>
              </w:rPr>
              <w:t>【良】</w:t>
            </w:r>
            <w:r>
              <w:rPr>
                <w:rFonts w:ascii="宋体" w:hAnsi="宋体" w:cs="宋体"/>
              </w:rPr>
              <w:t>3</w:t>
            </w:r>
            <w:r>
              <w:rPr>
                <w:rFonts w:hint="eastAsia" w:ascii="宋体" w:hAnsi="宋体" w:cs="宋体"/>
              </w:rPr>
              <w:t>～</w:t>
            </w:r>
            <w:r>
              <w:rPr>
                <w:rFonts w:ascii="宋体" w:hAnsi="宋体" w:cs="宋体"/>
              </w:rPr>
              <w:t>4</w:t>
            </w:r>
            <w:r>
              <w:rPr>
                <w:rFonts w:hint="eastAsia" w:ascii="宋体" w:hAnsi="宋体" w:cs="宋体"/>
              </w:rPr>
              <w:t>分：劳动力投入保证措施较可行、具体，各工种人员安排较合理；</w:t>
            </w:r>
          </w:p>
          <w:p>
            <w:pPr>
              <w:spacing w:line="400" w:lineRule="exact"/>
              <w:jc w:val="left"/>
              <w:rPr>
                <w:rFonts w:ascii="宋体" w:hAnsi="宋体" w:cs="宋体"/>
              </w:rPr>
            </w:pPr>
            <w:r>
              <w:rPr>
                <w:rFonts w:hint="eastAsia" w:ascii="宋体" w:hAnsi="宋体" w:cs="宋体"/>
              </w:rPr>
              <w:t>【中】</w:t>
            </w:r>
            <w:r>
              <w:rPr>
                <w:rFonts w:ascii="宋体" w:hAnsi="宋体" w:cs="宋体"/>
              </w:rPr>
              <w:t>1</w:t>
            </w:r>
            <w:r>
              <w:rPr>
                <w:rFonts w:hint="eastAsia" w:ascii="宋体" w:hAnsi="宋体" w:cs="宋体"/>
              </w:rPr>
              <w:t>～</w:t>
            </w:r>
            <w:r>
              <w:rPr>
                <w:rFonts w:ascii="宋体" w:hAnsi="宋体" w:cs="宋体"/>
              </w:rPr>
              <w:t>2</w:t>
            </w:r>
            <w:r>
              <w:rPr>
                <w:rFonts w:hint="eastAsia" w:ascii="宋体" w:hAnsi="宋体" w:cs="宋体"/>
              </w:rPr>
              <w:t>分：劳动力投入保证措施较可行、但不具体，各工种人员安排一般；</w:t>
            </w:r>
          </w:p>
          <w:p>
            <w:pPr>
              <w:spacing w:line="400" w:lineRule="exact"/>
              <w:rPr>
                <w:rFonts w:ascii="宋体" w:hAnsi="宋体"/>
                <w:szCs w:val="21"/>
              </w:rPr>
            </w:pPr>
            <w:r>
              <w:rPr>
                <w:rFonts w:hint="eastAsia" w:ascii="宋体" w:hAnsi="宋体" w:cs="宋体"/>
              </w:rPr>
              <w:t>【差】</w:t>
            </w:r>
            <w:r>
              <w:rPr>
                <w:rFonts w:ascii="宋体" w:hAnsi="宋体" w:cs="宋体"/>
              </w:rPr>
              <w:t>0</w:t>
            </w:r>
            <w:r>
              <w:rPr>
                <w:rFonts w:hint="eastAsia" w:ascii="宋体" w:hAnsi="宋体" w:cs="宋体"/>
              </w:rPr>
              <w:t>分：不满足上述条件者。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 w:type="pct"/>
            <w:tcBorders>
              <w:top w:val="single" w:color="auto" w:sz="4" w:space="0"/>
              <w:left w:val="single" w:color="auto" w:sz="4" w:space="0"/>
              <w:bottom w:val="single" w:color="auto" w:sz="4" w:space="0"/>
            </w:tcBorders>
            <w:vAlign w:val="center"/>
          </w:tcPr>
          <w:p>
            <w:pPr>
              <w:spacing w:line="400" w:lineRule="exact"/>
              <w:jc w:val="center"/>
              <w:rPr>
                <w:rFonts w:ascii="宋体" w:hAnsi="宋体"/>
                <w:szCs w:val="21"/>
              </w:rPr>
            </w:pPr>
            <w:r>
              <w:rPr>
                <w:rFonts w:hint="eastAsia" w:ascii="宋体" w:hAnsi="宋体"/>
                <w:szCs w:val="21"/>
              </w:rPr>
              <w:t>11</w:t>
            </w:r>
          </w:p>
        </w:tc>
        <w:tc>
          <w:tcPr>
            <w:tcW w:w="396" w:type="pct"/>
            <w:tcBorders>
              <w:right w:val="single" w:color="auto" w:sz="4" w:space="0"/>
            </w:tcBorders>
            <w:vAlign w:val="center"/>
          </w:tcPr>
          <w:p>
            <w:pPr>
              <w:spacing w:line="400" w:lineRule="exact"/>
              <w:jc w:val="center"/>
              <w:rPr>
                <w:rFonts w:ascii="宋体" w:hAnsi="宋体" w:cs="宋体"/>
                <w:szCs w:val="21"/>
              </w:rPr>
            </w:pPr>
            <w:r>
              <w:rPr>
                <w:rFonts w:hint="eastAsia" w:ascii="宋体" w:hAnsi="宋体" w:cs="宋体"/>
              </w:rPr>
              <w:t>施工机械设备投入</w:t>
            </w:r>
          </w:p>
        </w:tc>
        <w:tc>
          <w:tcPr>
            <w:tcW w:w="220" w:type="pct"/>
            <w:tcBorders>
              <w:left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6</w:t>
            </w:r>
          </w:p>
        </w:tc>
        <w:tc>
          <w:tcPr>
            <w:tcW w:w="3975" w:type="pct"/>
            <w:gridSpan w:val="2"/>
            <w:tcBorders>
              <w:left w:val="single" w:color="auto" w:sz="4" w:space="0"/>
            </w:tcBorders>
            <w:vAlign w:val="center"/>
          </w:tcPr>
          <w:p>
            <w:pPr>
              <w:spacing w:line="400" w:lineRule="exact"/>
              <w:rPr>
                <w:rFonts w:ascii="宋体" w:hAnsi="宋体" w:cs="宋体"/>
              </w:rPr>
            </w:pPr>
            <w:r>
              <w:rPr>
                <w:rFonts w:hint="eastAsia" w:ascii="宋体" w:hAnsi="宋体" w:cs="宋体"/>
              </w:rPr>
              <w:t>【优】</w:t>
            </w:r>
            <w:r>
              <w:rPr>
                <w:rFonts w:ascii="宋体" w:hAnsi="宋体" w:cs="宋体"/>
              </w:rPr>
              <w:t>5</w:t>
            </w:r>
            <w:r>
              <w:rPr>
                <w:rFonts w:hint="eastAsia" w:ascii="宋体" w:hAnsi="宋体" w:cs="宋体"/>
              </w:rPr>
              <w:t>～</w:t>
            </w:r>
            <w:r>
              <w:rPr>
                <w:rFonts w:ascii="宋体" w:hAnsi="宋体" w:cs="宋体"/>
              </w:rPr>
              <w:t>6</w:t>
            </w:r>
            <w:r>
              <w:rPr>
                <w:rFonts w:hint="eastAsia" w:ascii="宋体" w:hAnsi="宋体" w:cs="宋体"/>
              </w:rPr>
              <w:t>分：投标人机械设备数量充足，配置种类齐全，投入计划与进度计划呼应，很好地满足施工需要，采用先进机械设备；</w:t>
            </w:r>
          </w:p>
          <w:p>
            <w:pPr>
              <w:spacing w:line="400" w:lineRule="exact"/>
              <w:rPr>
                <w:rFonts w:ascii="宋体" w:hAnsi="宋体" w:cs="宋体"/>
              </w:rPr>
            </w:pPr>
            <w:r>
              <w:rPr>
                <w:rFonts w:hint="eastAsia" w:ascii="宋体" w:hAnsi="宋体" w:cs="宋体"/>
              </w:rPr>
              <w:t>【良】</w:t>
            </w:r>
            <w:r>
              <w:rPr>
                <w:rFonts w:ascii="宋体" w:hAnsi="宋体" w:cs="宋体"/>
              </w:rPr>
              <w:t>3</w:t>
            </w:r>
            <w:r>
              <w:rPr>
                <w:rFonts w:hint="eastAsia" w:ascii="宋体" w:hAnsi="宋体" w:cs="宋体"/>
              </w:rPr>
              <w:t>～</w:t>
            </w:r>
            <w:r>
              <w:rPr>
                <w:rFonts w:ascii="宋体" w:hAnsi="宋体" w:cs="宋体"/>
              </w:rPr>
              <w:t>4</w:t>
            </w:r>
            <w:r>
              <w:rPr>
                <w:rFonts w:hint="eastAsia" w:ascii="宋体" w:hAnsi="宋体" w:cs="宋体"/>
              </w:rPr>
              <w:t>分：投标人机械设备数量比较充足，配置种类比较齐全，投入计划与进度计划比较呼应，比较满足施工需要；</w:t>
            </w:r>
          </w:p>
          <w:p>
            <w:pPr>
              <w:spacing w:line="400" w:lineRule="exact"/>
              <w:rPr>
                <w:rFonts w:ascii="宋体" w:hAnsi="宋体" w:cs="宋体"/>
              </w:rPr>
            </w:pPr>
            <w:r>
              <w:rPr>
                <w:rFonts w:hint="eastAsia" w:ascii="宋体" w:hAnsi="宋体" w:cs="宋体"/>
              </w:rPr>
              <w:t>【中】</w:t>
            </w:r>
            <w:r>
              <w:rPr>
                <w:rFonts w:ascii="宋体" w:hAnsi="宋体" w:cs="宋体"/>
              </w:rPr>
              <w:t>1</w:t>
            </w:r>
            <w:r>
              <w:rPr>
                <w:rFonts w:hint="eastAsia" w:ascii="宋体" w:hAnsi="宋体" w:cs="宋体"/>
              </w:rPr>
              <w:t>～</w:t>
            </w:r>
            <w:r>
              <w:rPr>
                <w:rFonts w:ascii="宋体" w:hAnsi="宋体" w:cs="宋体"/>
              </w:rPr>
              <w:t>2</w:t>
            </w:r>
            <w:r>
              <w:rPr>
                <w:rFonts w:hint="eastAsia" w:ascii="宋体" w:hAnsi="宋体" w:cs="宋体"/>
              </w:rPr>
              <w:t>分：投标人机械设备数量基本符合要求，配置种类基本齐全，投入计划与进度计划基本呼应，基本满足施工需要；</w:t>
            </w:r>
          </w:p>
          <w:p>
            <w:pPr>
              <w:spacing w:line="400" w:lineRule="exact"/>
              <w:rPr>
                <w:rFonts w:ascii="宋体" w:hAnsi="宋体"/>
                <w:szCs w:val="21"/>
              </w:rPr>
            </w:pPr>
            <w:r>
              <w:rPr>
                <w:rFonts w:hint="eastAsia" w:ascii="宋体" w:hAnsi="宋体" w:cs="宋体"/>
              </w:rPr>
              <w:t>【差】0分：不满足上述条件者。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 w:type="pct"/>
            <w:tcBorders>
              <w:top w:val="single" w:color="auto" w:sz="4" w:space="0"/>
              <w:left w:val="single" w:color="auto" w:sz="4" w:space="0"/>
              <w:bottom w:val="single" w:color="auto" w:sz="4" w:space="0"/>
            </w:tcBorders>
            <w:vAlign w:val="center"/>
          </w:tcPr>
          <w:p>
            <w:pPr>
              <w:spacing w:line="400" w:lineRule="exact"/>
              <w:jc w:val="center"/>
              <w:rPr>
                <w:rFonts w:ascii="宋体" w:hAnsi="宋体"/>
                <w:szCs w:val="21"/>
              </w:rPr>
            </w:pPr>
            <w:r>
              <w:rPr>
                <w:rFonts w:hint="eastAsia" w:ascii="宋体" w:hAnsi="宋体"/>
                <w:szCs w:val="21"/>
              </w:rPr>
              <w:t>12</w:t>
            </w:r>
          </w:p>
        </w:tc>
        <w:tc>
          <w:tcPr>
            <w:tcW w:w="396" w:type="pct"/>
            <w:tcBorders>
              <w:right w:val="single" w:color="auto" w:sz="4" w:space="0"/>
            </w:tcBorders>
            <w:vAlign w:val="center"/>
          </w:tcPr>
          <w:p>
            <w:pPr>
              <w:pStyle w:val="19"/>
              <w:spacing w:line="320" w:lineRule="exact"/>
              <w:rPr>
                <w:rFonts w:hAnsi="宋体"/>
                <w:szCs w:val="21"/>
              </w:rPr>
            </w:pPr>
            <w:r>
              <w:rPr>
                <w:rFonts w:hint="eastAsia" w:hAnsi="宋体"/>
                <w:szCs w:val="21"/>
              </w:rPr>
              <w:t>施工总进度计划和计划管理</w:t>
            </w:r>
          </w:p>
          <w:p>
            <w:pPr>
              <w:spacing w:line="400" w:lineRule="exact"/>
              <w:jc w:val="center"/>
              <w:rPr>
                <w:rFonts w:ascii="宋体" w:hAnsi="宋体" w:cs="宋体"/>
                <w:szCs w:val="21"/>
              </w:rPr>
            </w:pPr>
          </w:p>
        </w:tc>
        <w:tc>
          <w:tcPr>
            <w:tcW w:w="220" w:type="pct"/>
            <w:tcBorders>
              <w:left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8</w:t>
            </w:r>
          </w:p>
        </w:tc>
        <w:tc>
          <w:tcPr>
            <w:tcW w:w="3975" w:type="pct"/>
            <w:gridSpan w:val="2"/>
            <w:tcBorders>
              <w:left w:val="single" w:color="auto" w:sz="4" w:space="0"/>
            </w:tcBorders>
            <w:vAlign w:val="center"/>
          </w:tcPr>
          <w:p>
            <w:pPr>
              <w:spacing w:line="400" w:lineRule="exact"/>
              <w:rPr>
                <w:rFonts w:ascii="宋体" w:hAnsi="宋体" w:cs="宋体"/>
              </w:rPr>
            </w:pPr>
            <w:r>
              <w:rPr>
                <w:rFonts w:hint="eastAsia" w:ascii="宋体" w:hAnsi="宋体" w:cs="宋体"/>
              </w:rPr>
              <w:t>【优】7～8分：施工总进度计划逻辑性强、可行、合理，保证措施明确具体；针对各节点工期均能承诺及优化；</w:t>
            </w:r>
          </w:p>
          <w:p>
            <w:pPr>
              <w:spacing w:line="400" w:lineRule="exact"/>
              <w:rPr>
                <w:rFonts w:ascii="宋体" w:hAnsi="宋体" w:cs="宋体"/>
              </w:rPr>
            </w:pPr>
            <w:r>
              <w:rPr>
                <w:rFonts w:hint="eastAsia" w:ascii="宋体" w:hAnsi="宋体" w:cs="宋体"/>
              </w:rPr>
              <w:t>【良】5～6分：施工总进度计划逻辑性较强、可行、较合理，有保证措施、但不具体；</w:t>
            </w:r>
          </w:p>
          <w:p>
            <w:pPr>
              <w:spacing w:line="400" w:lineRule="exact"/>
              <w:rPr>
                <w:rFonts w:ascii="宋体" w:hAnsi="宋体" w:cs="宋体"/>
              </w:rPr>
            </w:pPr>
            <w:r>
              <w:rPr>
                <w:rFonts w:hint="eastAsia" w:ascii="宋体" w:hAnsi="宋体" w:cs="宋体"/>
              </w:rPr>
              <w:t>【中】3～4分：施工总进度计划逻辑性一般、较可行、较合理，但保证措施较差；</w:t>
            </w:r>
          </w:p>
          <w:p>
            <w:pPr>
              <w:spacing w:line="400" w:lineRule="exact"/>
              <w:rPr>
                <w:rFonts w:ascii="宋体" w:hAnsi="宋体"/>
                <w:szCs w:val="21"/>
              </w:rPr>
            </w:pPr>
            <w:r>
              <w:rPr>
                <w:rFonts w:hint="eastAsia" w:ascii="宋体" w:hAnsi="宋体" w:cs="宋体"/>
              </w:rPr>
              <w:t>【差】0～2分：不满足上述条件者。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 w:type="pct"/>
            <w:tcBorders>
              <w:top w:val="single" w:color="auto" w:sz="4" w:space="0"/>
              <w:left w:val="single" w:color="auto" w:sz="4" w:space="0"/>
              <w:bottom w:val="single" w:color="auto" w:sz="4" w:space="0"/>
            </w:tcBorders>
            <w:vAlign w:val="center"/>
          </w:tcPr>
          <w:p>
            <w:pPr>
              <w:spacing w:line="400" w:lineRule="exact"/>
              <w:jc w:val="center"/>
              <w:rPr>
                <w:rFonts w:ascii="宋体" w:hAnsi="宋体"/>
                <w:szCs w:val="21"/>
              </w:rPr>
            </w:pPr>
            <w:r>
              <w:rPr>
                <w:rFonts w:hint="eastAsia" w:ascii="宋体" w:hAnsi="宋体"/>
                <w:szCs w:val="21"/>
              </w:rPr>
              <w:t>13</w:t>
            </w:r>
          </w:p>
        </w:tc>
        <w:tc>
          <w:tcPr>
            <w:tcW w:w="396" w:type="pct"/>
            <w:tcBorders>
              <w:right w:val="single" w:color="auto" w:sz="4" w:space="0"/>
            </w:tcBorders>
            <w:vAlign w:val="center"/>
          </w:tcPr>
          <w:p>
            <w:pPr>
              <w:spacing w:line="400" w:lineRule="exact"/>
              <w:jc w:val="center"/>
              <w:rPr>
                <w:rFonts w:ascii="宋体" w:hAnsi="宋体" w:cs="宋体"/>
                <w:szCs w:val="21"/>
              </w:rPr>
            </w:pPr>
            <w:r>
              <w:rPr>
                <w:rFonts w:hint="eastAsia" w:ascii="宋体" w:hAnsi="宋体"/>
                <w:szCs w:val="21"/>
              </w:rPr>
              <w:t>施工组织设计方案</w:t>
            </w:r>
          </w:p>
        </w:tc>
        <w:tc>
          <w:tcPr>
            <w:tcW w:w="220" w:type="pct"/>
            <w:tcBorders>
              <w:left w:val="single" w:color="auto" w:sz="4" w:space="0"/>
              <w:right w:val="single" w:color="auto" w:sz="4" w:space="0"/>
            </w:tcBorders>
            <w:vAlign w:val="center"/>
          </w:tcPr>
          <w:p>
            <w:pPr>
              <w:spacing w:line="400" w:lineRule="exact"/>
              <w:jc w:val="center"/>
              <w:rPr>
                <w:rFonts w:ascii="宋体" w:hAnsi="宋体"/>
                <w:szCs w:val="21"/>
              </w:rPr>
            </w:pPr>
            <w:r>
              <w:rPr>
                <w:rFonts w:ascii="宋体" w:hAnsi="宋体"/>
                <w:szCs w:val="21"/>
              </w:rPr>
              <w:t>10</w:t>
            </w:r>
          </w:p>
        </w:tc>
        <w:tc>
          <w:tcPr>
            <w:tcW w:w="3975" w:type="pct"/>
            <w:gridSpan w:val="2"/>
            <w:tcBorders>
              <w:left w:val="single" w:color="auto" w:sz="4" w:space="0"/>
            </w:tcBorders>
            <w:vAlign w:val="center"/>
          </w:tcPr>
          <w:p>
            <w:pPr>
              <w:spacing w:line="400" w:lineRule="exact"/>
              <w:rPr>
                <w:rFonts w:ascii="宋体" w:hAnsi="宋体" w:cs="宋体"/>
              </w:rPr>
            </w:pPr>
            <w:r>
              <w:rPr>
                <w:rFonts w:hint="eastAsia" w:ascii="宋体" w:hAnsi="宋体" w:cs="宋体"/>
              </w:rPr>
              <w:t>【优】</w:t>
            </w:r>
            <w:r>
              <w:rPr>
                <w:rFonts w:ascii="宋体" w:hAnsi="宋体" w:cs="宋体"/>
              </w:rPr>
              <w:t>8</w:t>
            </w:r>
            <w:r>
              <w:rPr>
                <w:rFonts w:hint="eastAsia" w:ascii="宋体" w:hAnsi="宋体" w:cs="宋体"/>
              </w:rPr>
              <w:t>～</w:t>
            </w:r>
            <w:r>
              <w:rPr>
                <w:rFonts w:ascii="宋体" w:hAnsi="宋体" w:cs="宋体"/>
              </w:rPr>
              <w:t>10</w:t>
            </w:r>
            <w:r>
              <w:rPr>
                <w:rFonts w:hint="eastAsia" w:ascii="宋体" w:hAnsi="宋体" w:cs="宋体"/>
              </w:rPr>
              <w:t>分：施工方案可行、可靠、先进，针对性强，技术保证措施具体、成熟；施工平面布置科学合理。</w:t>
            </w:r>
          </w:p>
          <w:p>
            <w:pPr>
              <w:spacing w:line="400" w:lineRule="exact"/>
              <w:rPr>
                <w:rFonts w:ascii="宋体" w:hAnsi="宋体" w:cs="宋体"/>
              </w:rPr>
            </w:pPr>
            <w:r>
              <w:rPr>
                <w:rFonts w:hint="eastAsia" w:ascii="宋体" w:hAnsi="宋体" w:cs="宋体"/>
              </w:rPr>
              <w:t>【良】</w:t>
            </w:r>
            <w:r>
              <w:rPr>
                <w:rFonts w:ascii="宋体" w:hAnsi="宋体" w:cs="宋体"/>
              </w:rPr>
              <w:t>5</w:t>
            </w:r>
            <w:r>
              <w:rPr>
                <w:rFonts w:hint="eastAsia" w:ascii="宋体" w:hAnsi="宋体" w:cs="宋体"/>
              </w:rPr>
              <w:t>～</w:t>
            </w:r>
            <w:r>
              <w:rPr>
                <w:rFonts w:ascii="宋体" w:hAnsi="宋体" w:cs="宋体"/>
              </w:rPr>
              <w:t>7</w:t>
            </w:r>
            <w:r>
              <w:rPr>
                <w:rFonts w:hint="eastAsia" w:ascii="宋体" w:hAnsi="宋体" w:cs="宋体"/>
              </w:rPr>
              <w:t>分：施工方案较可行、较可靠、针对性较强，技术保证措施较具体；施工平面布置合理。</w:t>
            </w:r>
          </w:p>
          <w:p>
            <w:pPr>
              <w:spacing w:line="400" w:lineRule="exact"/>
              <w:rPr>
                <w:rFonts w:ascii="宋体" w:hAnsi="宋体" w:cs="宋体"/>
              </w:rPr>
            </w:pPr>
            <w:r>
              <w:rPr>
                <w:rFonts w:hint="eastAsia" w:ascii="宋体" w:hAnsi="宋体" w:cs="宋体"/>
              </w:rPr>
              <w:t>【中】</w:t>
            </w:r>
            <w:r>
              <w:rPr>
                <w:rFonts w:ascii="宋体" w:hAnsi="宋体" w:cs="宋体"/>
              </w:rPr>
              <w:t>2</w:t>
            </w:r>
            <w:r>
              <w:rPr>
                <w:rFonts w:hint="eastAsia" w:ascii="宋体" w:hAnsi="宋体" w:cs="宋体"/>
              </w:rPr>
              <w:t>～</w:t>
            </w:r>
            <w:r>
              <w:rPr>
                <w:rFonts w:ascii="宋体" w:hAnsi="宋体" w:cs="宋体"/>
              </w:rPr>
              <w:t>4</w:t>
            </w:r>
            <w:r>
              <w:rPr>
                <w:rFonts w:hint="eastAsia" w:ascii="宋体" w:hAnsi="宋体" w:cs="宋体"/>
              </w:rPr>
              <w:t xml:space="preserve">分：施工方案基本可行、基本可靠，针对性一般，技术保证措施基本具体；施工平面布置基本可行。 </w:t>
            </w:r>
          </w:p>
          <w:p>
            <w:pPr>
              <w:spacing w:line="400" w:lineRule="exact"/>
              <w:rPr>
                <w:rFonts w:ascii="宋体" w:hAnsi="宋体"/>
                <w:szCs w:val="21"/>
              </w:rPr>
            </w:pPr>
            <w:r>
              <w:rPr>
                <w:rFonts w:hint="eastAsia" w:ascii="宋体" w:hAnsi="宋体" w:cs="宋体"/>
              </w:rPr>
              <w:t>【差】</w:t>
            </w:r>
            <w:r>
              <w:rPr>
                <w:rFonts w:ascii="宋体" w:hAnsi="宋体" w:cs="宋体"/>
              </w:rPr>
              <w:t>1</w:t>
            </w:r>
            <w:r>
              <w:rPr>
                <w:rFonts w:hint="eastAsia" w:ascii="宋体" w:hAnsi="宋体" w:cs="宋体"/>
              </w:rPr>
              <w:t>分：不满足上述条件者。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 w:type="pct"/>
            <w:tcBorders>
              <w:top w:val="single" w:color="auto" w:sz="4" w:space="0"/>
              <w:left w:val="single" w:color="auto" w:sz="4" w:space="0"/>
              <w:bottom w:val="single" w:color="auto" w:sz="4" w:space="0"/>
            </w:tcBorders>
            <w:vAlign w:val="center"/>
          </w:tcPr>
          <w:p>
            <w:pPr>
              <w:spacing w:line="400" w:lineRule="exact"/>
              <w:jc w:val="center"/>
              <w:rPr>
                <w:rFonts w:ascii="宋体" w:hAnsi="宋体"/>
                <w:szCs w:val="21"/>
              </w:rPr>
            </w:pPr>
            <w:r>
              <w:rPr>
                <w:rFonts w:hint="eastAsia" w:ascii="宋体" w:hAnsi="宋体"/>
                <w:szCs w:val="21"/>
              </w:rPr>
              <w:t>14</w:t>
            </w:r>
          </w:p>
        </w:tc>
        <w:tc>
          <w:tcPr>
            <w:tcW w:w="1216" w:type="dxa"/>
            <w:tcBorders>
              <w:right w:val="single" w:color="auto" w:sz="4" w:space="0"/>
            </w:tcBorders>
            <w:vAlign w:val="center"/>
          </w:tcPr>
          <w:p>
            <w:pPr>
              <w:spacing w:line="400" w:lineRule="exact"/>
              <w:jc w:val="center"/>
              <w:rPr>
                <w:rFonts w:ascii="宋体" w:hAnsi="宋体"/>
                <w:szCs w:val="21"/>
              </w:rPr>
            </w:pPr>
            <w:r>
              <w:rPr>
                <w:rFonts w:ascii="宋体" w:hAnsi="宋体" w:cs="宋体"/>
              </w:rPr>
              <w:t>BIM</w:t>
            </w:r>
            <w:r>
              <w:rPr>
                <w:rFonts w:hint="eastAsia" w:ascii="宋体" w:hAnsi="宋体" w:cs="宋体"/>
              </w:rPr>
              <w:t>应用方案</w:t>
            </w:r>
          </w:p>
        </w:tc>
        <w:tc>
          <w:tcPr>
            <w:tcW w:w="676" w:type="dxa"/>
            <w:tcBorders>
              <w:left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6</w:t>
            </w:r>
          </w:p>
        </w:tc>
        <w:tc>
          <w:tcPr>
            <w:tcW w:w="12210" w:type="dxa"/>
            <w:gridSpan w:val="2"/>
            <w:tcBorders>
              <w:left w:val="single" w:color="auto" w:sz="4" w:space="0"/>
            </w:tcBorders>
            <w:vAlign w:val="center"/>
          </w:tcPr>
          <w:p>
            <w:pPr>
              <w:spacing w:line="400" w:lineRule="exact"/>
              <w:rPr>
                <w:rFonts w:ascii="宋体" w:hAnsi="宋体" w:cs="宋体"/>
              </w:rPr>
            </w:pPr>
            <w:r>
              <w:rPr>
                <w:rFonts w:hint="eastAsia" w:ascii="宋体" w:hAnsi="宋体" w:cs="宋体"/>
              </w:rPr>
              <w:t>【优】：5～6分，BIM应用方案中实施路径、进度控制等措施具体、成熟；应用方案科学合理，平台研发能力、协同管理能力强。团队人员能力与软件配置优于招标文件要求。</w:t>
            </w:r>
          </w:p>
          <w:p>
            <w:pPr>
              <w:spacing w:line="400" w:lineRule="exact"/>
              <w:rPr>
                <w:rFonts w:ascii="宋体" w:hAnsi="宋体" w:cs="宋体"/>
              </w:rPr>
            </w:pPr>
            <w:r>
              <w:rPr>
                <w:rFonts w:hint="eastAsia" w:ascii="宋体" w:hAnsi="宋体" w:cs="宋体"/>
              </w:rPr>
              <w:t>【良】：3～4分，BIM应用方案中实施路径、进度控制等措施较具体、成熟；应用方案合理，平台研发能力、协同管理能力较强。团队人员能力与软件配置满足招标文件要求。</w:t>
            </w:r>
          </w:p>
          <w:p>
            <w:pPr>
              <w:spacing w:line="400" w:lineRule="exact"/>
              <w:rPr>
                <w:rFonts w:ascii="宋体" w:hAnsi="宋体" w:cs="宋体"/>
              </w:rPr>
            </w:pPr>
            <w:r>
              <w:rPr>
                <w:rFonts w:hint="eastAsia" w:ascii="宋体" w:hAnsi="宋体" w:cs="宋体"/>
              </w:rPr>
              <w:t xml:space="preserve">【中】：1～2分，BIM应用方案中实施路径、进度控制等措施一般；应用方案基本可行，平台研发能力、协同管理能力一般。团队人员能力与软件配置基本满足招标文件要求。 </w:t>
            </w:r>
          </w:p>
          <w:p>
            <w:pPr>
              <w:spacing w:line="400" w:lineRule="exact"/>
              <w:rPr>
                <w:rFonts w:ascii="宋体" w:hAnsi="宋体" w:cs="宋体"/>
              </w:rPr>
            </w:pPr>
            <w:r>
              <w:rPr>
                <w:rFonts w:hint="eastAsia" w:ascii="宋体" w:hAnsi="宋体" w:cs="宋体"/>
              </w:rPr>
              <w:t>【差】：0分，不满足上述条件者。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 w:type="pct"/>
            <w:tcBorders>
              <w:top w:val="single" w:color="auto" w:sz="4" w:space="0"/>
              <w:left w:val="single" w:color="auto" w:sz="4" w:space="0"/>
              <w:bottom w:val="single" w:color="auto" w:sz="4" w:space="0"/>
            </w:tcBorders>
            <w:vAlign w:val="center"/>
          </w:tcPr>
          <w:p>
            <w:pPr>
              <w:spacing w:line="400" w:lineRule="exact"/>
              <w:jc w:val="center"/>
              <w:rPr>
                <w:rFonts w:ascii="宋体" w:hAnsi="宋体"/>
                <w:szCs w:val="21"/>
              </w:rPr>
            </w:pPr>
            <w:r>
              <w:rPr>
                <w:rFonts w:hint="eastAsia" w:ascii="宋体" w:hAnsi="宋体"/>
                <w:szCs w:val="21"/>
              </w:rPr>
              <w:t>15</w:t>
            </w:r>
          </w:p>
        </w:tc>
        <w:tc>
          <w:tcPr>
            <w:tcW w:w="396" w:type="pct"/>
            <w:tcBorders>
              <w:right w:val="single" w:color="auto" w:sz="4" w:space="0"/>
            </w:tcBorders>
            <w:vAlign w:val="center"/>
          </w:tcPr>
          <w:p>
            <w:pPr>
              <w:spacing w:line="400" w:lineRule="exact"/>
              <w:rPr>
                <w:rFonts w:ascii="宋体" w:hAnsi="宋体" w:cs="宋体"/>
                <w:szCs w:val="21"/>
              </w:rPr>
            </w:pPr>
            <w:r>
              <w:rPr>
                <w:rFonts w:hint="eastAsia" w:ascii="宋体" w:hAnsi="宋体" w:cs="宋体"/>
              </w:rPr>
              <w:t>机电综合管线深化设计</w:t>
            </w:r>
          </w:p>
        </w:tc>
        <w:tc>
          <w:tcPr>
            <w:tcW w:w="220" w:type="pct"/>
            <w:tcBorders>
              <w:left w:val="single" w:color="auto" w:sz="4" w:space="0"/>
              <w:right w:val="single" w:color="auto" w:sz="4" w:space="0"/>
            </w:tcBorders>
            <w:vAlign w:val="center"/>
          </w:tcPr>
          <w:p>
            <w:pPr>
              <w:spacing w:line="400" w:lineRule="exact"/>
              <w:jc w:val="center"/>
              <w:rPr>
                <w:rFonts w:ascii="宋体" w:hAnsi="宋体"/>
                <w:szCs w:val="21"/>
              </w:rPr>
            </w:pPr>
            <w:r>
              <w:rPr>
                <w:rFonts w:ascii="宋体" w:hAnsi="宋体" w:cs="宋体"/>
              </w:rPr>
              <w:t>6</w:t>
            </w:r>
          </w:p>
        </w:tc>
        <w:tc>
          <w:tcPr>
            <w:tcW w:w="3975" w:type="pct"/>
            <w:gridSpan w:val="2"/>
            <w:tcBorders>
              <w:left w:val="single" w:color="auto" w:sz="4" w:space="0"/>
            </w:tcBorders>
            <w:vAlign w:val="center"/>
          </w:tcPr>
          <w:p>
            <w:pPr>
              <w:spacing w:line="400" w:lineRule="exact"/>
              <w:rPr>
                <w:rFonts w:ascii="宋体" w:hAnsi="宋体" w:cs="宋体"/>
              </w:rPr>
            </w:pPr>
            <w:r>
              <w:rPr>
                <w:rFonts w:hint="eastAsia" w:ascii="宋体" w:hAnsi="宋体" w:cs="宋体"/>
              </w:rPr>
              <w:t>【优】</w:t>
            </w:r>
            <w:r>
              <w:rPr>
                <w:rFonts w:ascii="宋体" w:hAnsi="宋体" w:cs="宋体"/>
              </w:rPr>
              <w:t>5</w:t>
            </w:r>
            <w:r>
              <w:rPr>
                <w:rFonts w:hint="eastAsia" w:ascii="宋体" w:hAnsi="宋体" w:cs="宋体"/>
              </w:rPr>
              <w:t>～</w:t>
            </w:r>
            <w:r>
              <w:rPr>
                <w:rFonts w:ascii="宋体" w:hAnsi="宋体" w:cs="宋体"/>
              </w:rPr>
              <w:t>6</w:t>
            </w:r>
            <w:r>
              <w:rPr>
                <w:rFonts w:hint="eastAsia" w:ascii="宋体" w:hAnsi="宋体" w:cs="宋体"/>
              </w:rPr>
              <w:t>分：机电综合管线深化设计方案合理、有针对性；</w:t>
            </w:r>
          </w:p>
          <w:p>
            <w:pPr>
              <w:spacing w:line="400" w:lineRule="exact"/>
              <w:rPr>
                <w:rFonts w:ascii="宋体" w:hAnsi="宋体" w:cs="宋体"/>
              </w:rPr>
            </w:pPr>
            <w:r>
              <w:rPr>
                <w:rFonts w:hint="eastAsia" w:ascii="宋体" w:hAnsi="宋体" w:cs="宋体"/>
              </w:rPr>
              <w:t>【良】</w:t>
            </w:r>
            <w:r>
              <w:rPr>
                <w:rFonts w:ascii="宋体" w:hAnsi="宋体" w:cs="宋体"/>
              </w:rPr>
              <w:t>3</w:t>
            </w:r>
            <w:r>
              <w:rPr>
                <w:rFonts w:hint="eastAsia" w:ascii="宋体" w:hAnsi="宋体" w:cs="宋体"/>
              </w:rPr>
              <w:t>～</w:t>
            </w:r>
            <w:r>
              <w:rPr>
                <w:rFonts w:ascii="宋体" w:hAnsi="宋体" w:cs="宋体"/>
              </w:rPr>
              <w:t>4</w:t>
            </w:r>
            <w:r>
              <w:rPr>
                <w:rFonts w:hint="eastAsia" w:ascii="宋体" w:hAnsi="宋体" w:cs="宋体"/>
              </w:rPr>
              <w:t>分：机电综合管线深化设计方案比较合理、比较有针对性；</w:t>
            </w:r>
          </w:p>
          <w:p>
            <w:pPr>
              <w:spacing w:line="400" w:lineRule="exact"/>
              <w:rPr>
                <w:rFonts w:ascii="宋体" w:hAnsi="宋体" w:cs="宋体"/>
              </w:rPr>
            </w:pPr>
            <w:r>
              <w:rPr>
                <w:rFonts w:hint="eastAsia" w:ascii="宋体" w:hAnsi="宋体" w:cs="宋体"/>
              </w:rPr>
              <w:t>【中】</w:t>
            </w:r>
            <w:r>
              <w:rPr>
                <w:rFonts w:ascii="宋体" w:hAnsi="宋体" w:cs="宋体"/>
              </w:rPr>
              <w:t>1</w:t>
            </w:r>
            <w:r>
              <w:rPr>
                <w:rFonts w:hint="eastAsia" w:ascii="宋体" w:hAnsi="宋体" w:cs="宋体"/>
              </w:rPr>
              <w:t>～</w:t>
            </w:r>
            <w:r>
              <w:rPr>
                <w:rFonts w:ascii="宋体" w:hAnsi="宋体" w:cs="宋体"/>
              </w:rPr>
              <w:t>2</w:t>
            </w:r>
            <w:r>
              <w:rPr>
                <w:rFonts w:hint="eastAsia" w:ascii="宋体" w:hAnsi="宋体" w:cs="宋体"/>
              </w:rPr>
              <w:t>分：机电综合管线深化设计方案基本合理、有一定的针对性；</w:t>
            </w:r>
          </w:p>
          <w:p>
            <w:pPr>
              <w:spacing w:line="400" w:lineRule="exact"/>
              <w:rPr>
                <w:rFonts w:ascii="宋体" w:hAnsi="宋体"/>
                <w:szCs w:val="21"/>
              </w:rPr>
            </w:pPr>
            <w:r>
              <w:rPr>
                <w:rFonts w:hint="eastAsia" w:ascii="宋体" w:hAnsi="宋体" w:cs="宋体"/>
              </w:rPr>
              <w:t>【差】0分：不满足上述条件者。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 w:type="pct"/>
            <w:tcBorders>
              <w:top w:val="single" w:color="auto" w:sz="4" w:space="0"/>
              <w:left w:val="single" w:color="auto" w:sz="4" w:space="0"/>
              <w:bottom w:val="single" w:color="auto" w:sz="4" w:space="0"/>
            </w:tcBorders>
            <w:vAlign w:val="center"/>
          </w:tcPr>
          <w:p>
            <w:pPr>
              <w:spacing w:line="400" w:lineRule="exact"/>
              <w:jc w:val="center"/>
              <w:rPr>
                <w:rFonts w:ascii="宋体" w:hAnsi="宋体"/>
                <w:szCs w:val="21"/>
              </w:rPr>
            </w:pPr>
            <w:r>
              <w:rPr>
                <w:rFonts w:hint="eastAsia" w:ascii="宋体" w:hAnsi="宋体"/>
                <w:szCs w:val="21"/>
              </w:rPr>
              <w:t>16</w:t>
            </w:r>
          </w:p>
        </w:tc>
        <w:tc>
          <w:tcPr>
            <w:tcW w:w="396" w:type="pct"/>
            <w:tcBorders>
              <w:right w:val="single" w:color="auto" w:sz="4" w:space="0"/>
            </w:tcBorders>
            <w:vAlign w:val="center"/>
          </w:tcPr>
          <w:p>
            <w:pPr>
              <w:spacing w:line="400" w:lineRule="exact"/>
              <w:rPr>
                <w:rFonts w:ascii="宋体" w:hAnsi="宋体" w:cs="宋体"/>
                <w:szCs w:val="21"/>
              </w:rPr>
            </w:pPr>
            <w:r>
              <w:rPr>
                <w:rFonts w:hint="eastAsia" w:ascii="宋体" w:hAnsi="宋体" w:cs="宋体"/>
              </w:rPr>
              <w:t>施工消防安全、施工区域交通安全、安全文明施工、绿色施工措施</w:t>
            </w:r>
          </w:p>
        </w:tc>
        <w:tc>
          <w:tcPr>
            <w:tcW w:w="220" w:type="pct"/>
            <w:tcBorders>
              <w:left w:val="single" w:color="auto" w:sz="4" w:space="0"/>
              <w:right w:val="single" w:color="auto" w:sz="4" w:space="0"/>
            </w:tcBorders>
            <w:vAlign w:val="center"/>
          </w:tcPr>
          <w:p>
            <w:pPr>
              <w:spacing w:line="400" w:lineRule="exact"/>
              <w:jc w:val="center"/>
              <w:rPr>
                <w:rFonts w:ascii="宋体" w:hAnsi="宋体"/>
                <w:szCs w:val="21"/>
              </w:rPr>
            </w:pPr>
            <w:r>
              <w:rPr>
                <w:rFonts w:ascii="宋体" w:hAnsi="宋体" w:cs="宋体"/>
              </w:rPr>
              <w:t>6</w:t>
            </w:r>
          </w:p>
        </w:tc>
        <w:tc>
          <w:tcPr>
            <w:tcW w:w="3975" w:type="pct"/>
            <w:gridSpan w:val="2"/>
            <w:tcBorders>
              <w:left w:val="single" w:color="auto" w:sz="4" w:space="0"/>
            </w:tcBorders>
            <w:vAlign w:val="center"/>
          </w:tcPr>
          <w:p>
            <w:pPr>
              <w:spacing w:line="400" w:lineRule="exact"/>
              <w:rPr>
                <w:rFonts w:ascii="宋体" w:hAnsi="宋体" w:cs="宋体"/>
              </w:rPr>
            </w:pPr>
            <w:r>
              <w:rPr>
                <w:rFonts w:hint="eastAsia" w:ascii="宋体" w:hAnsi="宋体" w:cs="宋体"/>
              </w:rPr>
              <w:t>【优】</w:t>
            </w:r>
            <w:r>
              <w:rPr>
                <w:rFonts w:ascii="宋体" w:hAnsi="宋体" w:cs="宋体"/>
              </w:rPr>
              <w:t>5</w:t>
            </w:r>
            <w:r>
              <w:rPr>
                <w:rFonts w:hint="eastAsia" w:ascii="宋体" w:hAnsi="宋体" w:cs="宋体"/>
              </w:rPr>
              <w:t>～6分：</w:t>
            </w:r>
            <w:r>
              <w:rPr>
                <w:rFonts w:ascii="宋体" w:hAnsi="宋体" w:cs="宋体"/>
              </w:rPr>
              <w:t>安全</w:t>
            </w:r>
            <w:r>
              <w:rPr>
                <w:rFonts w:hint="eastAsia" w:ascii="宋体" w:hAnsi="宋体" w:cs="宋体"/>
              </w:rPr>
              <w:t>、文明及环保</w:t>
            </w:r>
            <w:r>
              <w:rPr>
                <w:rFonts w:ascii="宋体" w:hAnsi="宋体" w:cs="宋体"/>
              </w:rPr>
              <w:t>管理机构、程序、制度、措施、设施</w:t>
            </w:r>
            <w:r>
              <w:rPr>
                <w:rFonts w:hint="eastAsia" w:ascii="宋体" w:hAnsi="宋体" w:cs="宋体"/>
              </w:rPr>
              <w:t>合理，齐全，</w:t>
            </w:r>
            <w:r>
              <w:rPr>
                <w:rFonts w:ascii="宋体" w:hAnsi="宋体" w:cs="宋体"/>
              </w:rPr>
              <w:t>施工消防安全、施工区域交通安全、安全文明施工、绿色施工措施</w:t>
            </w:r>
            <w:r>
              <w:rPr>
                <w:rFonts w:hint="eastAsia" w:ascii="宋体" w:hAnsi="宋体" w:cs="宋体"/>
              </w:rPr>
              <w:t>明确、具体、可行并能够得到落实。</w:t>
            </w:r>
          </w:p>
          <w:p>
            <w:pPr>
              <w:spacing w:line="400" w:lineRule="exact"/>
              <w:rPr>
                <w:rFonts w:ascii="宋体" w:hAnsi="宋体" w:cs="宋体"/>
              </w:rPr>
            </w:pPr>
            <w:r>
              <w:rPr>
                <w:rFonts w:hint="eastAsia" w:ascii="宋体" w:hAnsi="宋体" w:cs="宋体"/>
              </w:rPr>
              <w:t>【良】</w:t>
            </w:r>
            <w:r>
              <w:rPr>
                <w:rFonts w:ascii="宋体" w:hAnsi="宋体" w:cs="宋体"/>
              </w:rPr>
              <w:t>3</w:t>
            </w:r>
            <w:r>
              <w:rPr>
                <w:rFonts w:hint="eastAsia" w:ascii="宋体" w:hAnsi="宋体" w:cs="宋体"/>
              </w:rPr>
              <w:t>～</w:t>
            </w:r>
            <w:r>
              <w:rPr>
                <w:rFonts w:ascii="宋体" w:hAnsi="宋体" w:cs="宋体"/>
              </w:rPr>
              <w:t>4</w:t>
            </w:r>
            <w:r>
              <w:rPr>
                <w:rFonts w:hint="eastAsia" w:ascii="宋体" w:hAnsi="宋体" w:cs="宋体"/>
              </w:rPr>
              <w:t>分：</w:t>
            </w:r>
            <w:r>
              <w:rPr>
                <w:rFonts w:ascii="宋体" w:hAnsi="宋体" w:cs="宋体"/>
              </w:rPr>
              <w:t>安全</w:t>
            </w:r>
            <w:r>
              <w:rPr>
                <w:rFonts w:hint="eastAsia" w:ascii="宋体" w:hAnsi="宋体" w:cs="宋体"/>
              </w:rPr>
              <w:t>、文明及环保</w:t>
            </w:r>
            <w:r>
              <w:rPr>
                <w:rFonts w:ascii="宋体" w:hAnsi="宋体" w:cs="宋体"/>
              </w:rPr>
              <w:t>管理机构、程序、制度、措施、设施</w:t>
            </w:r>
            <w:r>
              <w:rPr>
                <w:rFonts w:hint="eastAsia" w:ascii="宋体" w:hAnsi="宋体" w:cs="宋体"/>
              </w:rPr>
              <w:t>比较合理，齐全，</w:t>
            </w:r>
            <w:r>
              <w:rPr>
                <w:rFonts w:ascii="宋体" w:hAnsi="宋体" w:cs="宋体"/>
              </w:rPr>
              <w:t>施工消防安全、施工区域交通安全、安全文明施工、绿色施工措施</w:t>
            </w:r>
            <w:r>
              <w:rPr>
                <w:rFonts w:hint="eastAsia" w:ascii="宋体" w:hAnsi="宋体" w:cs="宋体"/>
              </w:rPr>
              <w:t>比较明确、具体、可行并比较能够得到落实。</w:t>
            </w:r>
          </w:p>
          <w:p>
            <w:pPr>
              <w:spacing w:line="400" w:lineRule="exact"/>
              <w:rPr>
                <w:rFonts w:ascii="宋体" w:hAnsi="宋体" w:cs="宋体"/>
              </w:rPr>
            </w:pPr>
            <w:r>
              <w:rPr>
                <w:rFonts w:hint="eastAsia" w:ascii="宋体" w:hAnsi="宋体" w:cs="宋体"/>
              </w:rPr>
              <w:t>【中】</w:t>
            </w:r>
            <w:r>
              <w:rPr>
                <w:rFonts w:ascii="宋体" w:hAnsi="宋体" w:cs="宋体"/>
              </w:rPr>
              <w:t>1</w:t>
            </w:r>
            <w:r>
              <w:rPr>
                <w:rFonts w:hint="eastAsia" w:ascii="宋体" w:hAnsi="宋体" w:cs="宋体"/>
              </w:rPr>
              <w:t>～</w:t>
            </w:r>
            <w:r>
              <w:rPr>
                <w:rFonts w:ascii="宋体" w:hAnsi="宋体" w:cs="宋体"/>
              </w:rPr>
              <w:t>2</w:t>
            </w:r>
            <w:r>
              <w:rPr>
                <w:rFonts w:hint="eastAsia" w:ascii="宋体" w:hAnsi="宋体" w:cs="宋体"/>
              </w:rPr>
              <w:t>分：</w:t>
            </w:r>
            <w:r>
              <w:rPr>
                <w:rFonts w:ascii="宋体" w:hAnsi="宋体" w:cs="宋体"/>
              </w:rPr>
              <w:t>安全</w:t>
            </w:r>
            <w:r>
              <w:rPr>
                <w:rFonts w:hint="eastAsia" w:ascii="宋体" w:hAnsi="宋体" w:cs="宋体"/>
              </w:rPr>
              <w:t>、文明及环保</w:t>
            </w:r>
            <w:r>
              <w:rPr>
                <w:rFonts w:ascii="宋体" w:hAnsi="宋体" w:cs="宋体"/>
              </w:rPr>
              <w:t>管理机构、程序、制度、措施、设施</w:t>
            </w:r>
            <w:r>
              <w:rPr>
                <w:rFonts w:hint="eastAsia" w:ascii="宋体" w:hAnsi="宋体" w:cs="宋体"/>
              </w:rPr>
              <w:t>基本合理，齐全，</w:t>
            </w:r>
            <w:r>
              <w:rPr>
                <w:rFonts w:ascii="宋体" w:hAnsi="宋体" w:cs="宋体"/>
              </w:rPr>
              <w:t>施工消防安全、施工区域交通安全、安全文明施工、绿色施工措施</w:t>
            </w:r>
            <w:r>
              <w:rPr>
                <w:rFonts w:hint="eastAsia" w:ascii="宋体" w:hAnsi="宋体" w:cs="宋体"/>
              </w:rPr>
              <w:t>基本明确、具体、可行并基本能够得到落实。</w:t>
            </w:r>
          </w:p>
          <w:p>
            <w:pPr>
              <w:spacing w:line="400" w:lineRule="exact"/>
              <w:rPr>
                <w:rFonts w:ascii="宋体" w:hAnsi="宋体"/>
                <w:szCs w:val="21"/>
              </w:rPr>
            </w:pPr>
            <w:r>
              <w:rPr>
                <w:rFonts w:hint="eastAsia" w:ascii="宋体" w:hAnsi="宋体" w:cs="宋体"/>
              </w:rPr>
              <w:t>【差】0分：不满足上述条件者。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 w:type="pct"/>
            <w:tcBorders>
              <w:top w:val="single" w:color="auto" w:sz="4" w:space="0"/>
              <w:left w:val="single" w:color="auto" w:sz="4" w:space="0"/>
              <w:bottom w:val="single" w:color="auto" w:sz="4" w:space="0"/>
            </w:tcBorders>
            <w:vAlign w:val="center"/>
          </w:tcPr>
          <w:p>
            <w:pPr>
              <w:spacing w:line="400" w:lineRule="exact"/>
              <w:jc w:val="center"/>
              <w:rPr>
                <w:rFonts w:ascii="宋体" w:hAnsi="宋体"/>
                <w:szCs w:val="21"/>
              </w:rPr>
            </w:pPr>
            <w:r>
              <w:rPr>
                <w:rFonts w:hint="eastAsia" w:ascii="宋体" w:hAnsi="宋体"/>
                <w:szCs w:val="21"/>
              </w:rPr>
              <w:t>17</w:t>
            </w:r>
          </w:p>
        </w:tc>
        <w:tc>
          <w:tcPr>
            <w:tcW w:w="396" w:type="pct"/>
            <w:tcBorders>
              <w:right w:val="single" w:color="auto" w:sz="4" w:space="0"/>
            </w:tcBorders>
            <w:vAlign w:val="center"/>
          </w:tcPr>
          <w:p>
            <w:pPr>
              <w:spacing w:line="400" w:lineRule="exact"/>
              <w:jc w:val="center"/>
              <w:rPr>
                <w:rFonts w:ascii="宋体" w:hAnsi="宋体" w:cs="宋体"/>
                <w:szCs w:val="21"/>
              </w:rPr>
            </w:pPr>
            <w:r>
              <w:rPr>
                <w:rFonts w:ascii="宋体" w:hAnsi="宋体" w:cs="宋体"/>
              </w:rPr>
              <w:t>关键施工重点、难点认识及解决措施</w:t>
            </w:r>
          </w:p>
        </w:tc>
        <w:tc>
          <w:tcPr>
            <w:tcW w:w="220" w:type="pct"/>
            <w:tcBorders>
              <w:left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cs="宋体"/>
              </w:rPr>
              <w:t>2</w:t>
            </w:r>
          </w:p>
        </w:tc>
        <w:tc>
          <w:tcPr>
            <w:tcW w:w="3975" w:type="pct"/>
            <w:gridSpan w:val="2"/>
            <w:tcBorders>
              <w:left w:val="single" w:color="auto" w:sz="4" w:space="0"/>
            </w:tcBorders>
            <w:vAlign w:val="center"/>
          </w:tcPr>
          <w:p>
            <w:pPr>
              <w:spacing w:line="400" w:lineRule="exact"/>
              <w:jc w:val="left"/>
              <w:rPr>
                <w:rFonts w:ascii="宋体" w:hAnsi="宋体" w:cs="宋体"/>
              </w:rPr>
            </w:pPr>
            <w:r>
              <w:rPr>
                <w:rFonts w:hint="eastAsia" w:ascii="宋体" w:hAnsi="宋体" w:cs="宋体"/>
              </w:rPr>
              <w:t>【优】1.6～2分：对本工程施工和技术的难点、重点有全面的分析及针对性措施；</w:t>
            </w:r>
          </w:p>
          <w:p>
            <w:pPr>
              <w:spacing w:line="400" w:lineRule="exact"/>
              <w:jc w:val="left"/>
              <w:rPr>
                <w:rFonts w:ascii="宋体" w:hAnsi="宋体" w:cs="宋体"/>
              </w:rPr>
            </w:pPr>
            <w:r>
              <w:rPr>
                <w:rFonts w:hint="eastAsia" w:ascii="宋体" w:hAnsi="宋体" w:cs="宋体"/>
              </w:rPr>
              <w:t>【良】1.1～1.5分：对本工程施工和技术的难点、重点有比较全面的分析及针对性措施；</w:t>
            </w:r>
          </w:p>
          <w:p>
            <w:pPr>
              <w:spacing w:line="400" w:lineRule="exact"/>
              <w:jc w:val="left"/>
              <w:rPr>
                <w:rFonts w:ascii="宋体" w:hAnsi="宋体" w:cs="宋体"/>
              </w:rPr>
            </w:pPr>
            <w:r>
              <w:rPr>
                <w:rFonts w:hint="eastAsia" w:ascii="宋体" w:hAnsi="宋体" w:cs="宋体"/>
              </w:rPr>
              <w:t>【中】0.6～1分：对本工程施工和技术的难点、重点有基本的分析及针对性措施；</w:t>
            </w:r>
          </w:p>
          <w:p>
            <w:pPr>
              <w:spacing w:line="400" w:lineRule="exact"/>
              <w:rPr>
                <w:rFonts w:ascii="宋体" w:hAnsi="宋体"/>
                <w:szCs w:val="21"/>
              </w:rPr>
            </w:pPr>
            <w:r>
              <w:rPr>
                <w:rFonts w:hint="eastAsia" w:ascii="宋体" w:hAnsi="宋体" w:cs="宋体"/>
              </w:rPr>
              <w:t>【差】0～0.5分：不满足上述条件者。</w:t>
            </w:r>
          </w:p>
        </w:tc>
      </w:tr>
    </w:tbl>
    <w:p>
      <w:pPr>
        <w:spacing w:line="360" w:lineRule="auto"/>
        <w:ind w:firstLine="459"/>
        <w:rPr>
          <w:rFonts w:ascii="宋体" w:hAnsi="宋体"/>
          <w:szCs w:val="21"/>
        </w:rPr>
      </w:pPr>
    </w:p>
    <w:p>
      <w:pPr>
        <w:rPr>
          <w:rFonts w:ascii="宋体" w:hAnsi="宋体" w:cs="宋体"/>
          <w:b/>
          <w:bCs/>
          <w:szCs w:val="21"/>
        </w:rPr>
      </w:pPr>
      <w:r>
        <w:rPr>
          <w:rFonts w:hint="eastAsia" w:ascii="宋体" w:hAnsi="宋体" w:cs="宋体"/>
          <w:szCs w:val="21"/>
        </w:rPr>
        <w:t>1. 如出现M名投标人的注册资本金相等的情况，则为并列第N名，并列占用排名，即其下一名投标人为第N+M名。</w:t>
      </w:r>
    </w:p>
    <w:p>
      <w:pPr>
        <w:rPr>
          <w:rFonts w:ascii="宋体" w:hAnsi="宋体" w:cs="宋体"/>
          <w:szCs w:val="21"/>
        </w:rPr>
      </w:pPr>
      <w:r>
        <w:rPr>
          <w:rFonts w:ascii="宋体" w:hAnsi="宋体" w:cs="宋体"/>
          <w:szCs w:val="21"/>
        </w:rPr>
        <w:t xml:space="preserve">2. </w:t>
      </w:r>
      <w:r>
        <w:rPr>
          <w:rFonts w:hint="eastAsia" w:ascii="宋体" w:hAnsi="宋体" w:cs="宋体"/>
          <w:szCs w:val="21"/>
        </w:rPr>
        <w:t>社保证明要求：近1个月（2</w:t>
      </w:r>
      <w:r>
        <w:rPr>
          <w:rFonts w:ascii="宋体" w:hAnsi="宋体" w:cs="宋体"/>
          <w:szCs w:val="21"/>
        </w:rPr>
        <w:t>02</w:t>
      </w:r>
      <w:r>
        <w:rPr>
          <w:rFonts w:hint="eastAsia" w:ascii="宋体" w:hAnsi="宋体" w:cs="宋体"/>
          <w:szCs w:val="21"/>
        </w:rPr>
        <w:t>3年  月）在本单位购买社保证明。</w:t>
      </w:r>
    </w:p>
    <w:p>
      <w:pPr>
        <w:pStyle w:val="117"/>
        <w:spacing w:line="240" w:lineRule="auto"/>
      </w:pPr>
      <w:r>
        <w:rPr>
          <w:rFonts w:hint="eastAsia" w:ascii="宋体" w:hAnsi="宋体" w:cs="宋体"/>
          <w:szCs w:val="21"/>
        </w:rPr>
        <w:t>3</w:t>
      </w:r>
      <w:r>
        <w:rPr>
          <w:rFonts w:ascii="宋体" w:hAnsi="宋体" w:cs="宋体"/>
          <w:szCs w:val="21"/>
        </w:rPr>
        <w:t xml:space="preserve">. </w:t>
      </w:r>
      <w:r>
        <w:rPr>
          <w:rFonts w:hint="eastAsia"/>
        </w:rPr>
        <w:t>本表按百分制评分，每一项评审因素为所有评委的分数去掉一个最高分和一个最低分后的算术平均值计算投标人的最终得分。分数出现小数点，保留小数点后二位小数，第三位小数四舍五入。</w:t>
      </w:r>
    </w:p>
    <w:p>
      <w:r>
        <w:rPr>
          <w:rFonts w:hint="eastAsia" w:ascii="宋体" w:hAnsi="宋体" w:cs="宋体"/>
          <w:szCs w:val="21"/>
        </w:rPr>
        <w:t>评委签名：</w:t>
      </w:r>
      <w:r>
        <w:br w:type="page"/>
      </w:r>
    </w:p>
    <w:p>
      <w:pPr>
        <w:rPr>
          <w:szCs w:val="21"/>
        </w:rPr>
      </w:pPr>
      <w:r>
        <w:rPr>
          <w:rFonts w:hint="eastAsia"/>
          <w:szCs w:val="21"/>
        </w:rPr>
        <w:t>附表五</w:t>
      </w:r>
    </w:p>
    <w:p>
      <w:pPr>
        <w:jc w:val="center"/>
        <w:rPr>
          <w:b/>
          <w:sz w:val="36"/>
          <w:szCs w:val="36"/>
        </w:rPr>
      </w:pPr>
      <w:r>
        <w:rPr>
          <w:rFonts w:hint="eastAsia"/>
          <w:b/>
          <w:sz w:val="36"/>
          <w:szCs w:val="36"/>
        </w:rPr>
        <w:t>经济标评分表</w:t>
      </w:r>
    </w:p>
    <w:p>
      <w:pPr>
        <w:rPr>
          <w:szCs w:val="21"/>
        </w:rPr>
      </w:pPr>
      <w:r>
        <w:rPr>
          <w:rFonts w:hint="eastAsia"/>
          <w:szCs w:val="21"/>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投标报价</w:t>
            </w:r>
            <w:r>
              <w:rPr>
                <w:rFonts w:ascii="宋体" w:hAnsi="宋体"/>
                <w:szCs w:val="21"/>
              </w:rPr>
              <w:t>PT</w:t>
            </w:r>
            <w:r>
              <w:rPr>
                <w:rFonts w:hint="eastAsia" w:ascii="宋体" w:hAnsi="宋体"/>
                <w:szCs w:val="21"/>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偏差（（</w:t>
            </w:r>
            <w:r>
              <w:rPr>
                <w:rFonts w:ascii="宋体" w:hAnsi="宋体"/>
                <w:szCs w:val="21"/>
              </w:rPr>
              <w:t>PT-PC</w:t>
            </w:r>
            <w:r>
              <w:rPr>
                <w:rFonts w:hint="eastAsia" w:ascii="宋体" w:hAnsi="宋体"/>
                <w:szCs w:val="21"/>
              </w:rPr>
              <w:t>）</w:t>
            </w:r>
            <w:r>
              <w:rPr>
                <w:rFonts w:ascii="宋体" w:hAnsi="宋体"/>
                <w:szCs w:val="21"/>
              </w:rPr>
              <w:t>/PC</w:t>
            </w:r>
            <w:r>
              <w:rPr>
                <w:rFonts w:hint="eastAsia" w:ascii="宋体" w:hAnsi="宋体"/>
                <w:szCs w:val="21"/>
              </w:rPr>
              <w:t>）（</w:t>
            </w:r>
            <w:r>
              <w:rPr>
                <w:rFonts w:ascii="宋体" w:hAnsi="宋体"/>
                <w:szCs w:val="21"/>
              </w:rPr>
              <w:t>%</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减分（</w:t>
            </w:r>
            <w:r>
              <w:rPr>
                <w:rFonts w:ascii="宋体" w:hAnsi="宋体"/>
                <w:szCs w:val="21"/>
              </w:rPr>
              <w:t>A</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得分</w:t>
            </w:r>
            <w:r>
              <w:rPr>
                <w:rFonts w:ascii="宋体" w:hAnsi="宋体"/>
                <w:szCs w:val="21"/>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bl>
    <w:p>
      <w:pPr>
        <w:rPr>
          <w:b/>
          <w:szCs w:val="21"/>
        </w:rPr>
      </w:pPr>
      <w:r>
        <w:rPr>
          <w:rFonts w:hint="eastAsia"/>
          <w:szCs w:val="21"/>
        </w:rPr>
        <w:t>评委签名：</w:t>
      </w:r>
      <w:r>
        <w:rPr>
          <w:b/>
          <w:sz w:val="36"/>
          <w:szCs w:val="36"/>
        </w:rPr>
        <w:br w:type="page"/>
      </w:r>
      <w:r>
        <w:rPr>
          <w:rFonts w:hint="eastAsia"/>
          <w:szCs w:val="21"/>
        </w:rPr>
        <w:t>附表六</w:t>
      </w:r>
    </w:p>
    <w:p>
      <w:pPr>
        <w:jc w:val="center"/>
        <w:rPr>
          <w:b/>
          <w:sz w:val="36"/>
          <w:szCs w:val="36"/>
        </w:rPr>
      </w:pPr>
      <w:r>
        <w:rPr>
          <w:rFonts w:hint="eastAsia"/>
          <w:b/>
          <w:sz w:val="36"/>
          <w:szCs w:val="36"/>
        </w:rPr>
        <w:t>算术复核表</w:t>
      </w:r>
    </w:p>
    <w:p>
      <w:pPr>
        <w:rPr>
          <w:rFonts w:ascii="宋体" w:hAnsi="宋体"/>
          <w:kern w:val="0"/>
          <w:szCs w:val="21"/>
        </w:rPr>
      </w:pPr>
      <w:r>
        <w:rPr>
          <w:rFonts w:hint="eastAsia"/>
          <w:kern w:val="0"/>
          <w:szCs w:val="21"/>
        </w:rPr>
        <w:t>工程名称：</w:t>
      </w:r>
      <w:r>
        <w:rPr>
          <w:kern w:val="0"/>
          <w:szCs w:val="21"/>
        </w:rPr>
        <w:t xml:space="preserve">                                          </w:t>
      </w:r>
      <w:r>
        <w:rPr>
          <w:rFonts w:ascii="宋体" w:hAnsi="宋体"/>
          <w:kern w:val="0"/>
          <w:szCs w:val="21"/>
        </w:rPr>
        <w:t xml:space="preserve"> </w:t>
      </w:r>
      <w:r>
        <w:rPr>
          <w:rFonts w:hint="eastAsia" w:ascii="宋体" w:hAnsi="宋体"/>
          <w:kern w:val="0"/>
          <w:szCs w:val="21"/>
        </w:rPr>
        <w:t>投标人</w:t>
      </w:r>
      <w:r>
        <w:rPr>
          <w:rFonts w:ascii="宋体" w:hAnsi="宋体"/>
          <w:kern w:val="0"/>
          <w:szCs w:val="21"/>
        </w:rPr>
        <w:t xml:space="preserve">:                                                  </w:t>
      </w:r>
      <w:r>
        <w:rPr>
          <w:rFonts w:hint="eastAsia" w:ascii="宋体" w:hAnsi="宋体"/>
          <w:kern w:val="0"/>
          <w:szCs w:val="21"/>
        </w:rPr>
        <w:t>单位：元</w:t>
      </w:r>
    </w:p>
    <w:tbl>
      <w:tblPr>
        <w:tblStyle w:val="36"/>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修正前投标</w:t>
            </w:r>
          </w:p>
          <w:p>
            <w:pPr>
              <w:rPr>
                <w:rFonts w:ascii="宋体" w:hAnsi="宋体"/>
                <w:kern w:val="0"/>
                <w:szCs w:val="21"/>
              </w:rPr>
            </w:pPr>
            <w:r>
              <w:rPr>
                <w:rFonts w:hint="eastAsia" w:ascii="宋体" w:hAnsi="宋体"/>
                <w:kern w:val="0"/>
                <w:szCs w:val="21"/>
              </w:rPr>
              <w:t>报价</w:t>
            </w:r>
            <w:r>
              <w:rPr>
                <w:rFonts w:ascii="宋体" w:hAnsi="宋体"/>
                <w:kern w:val="0"/>
                <w:szCs w:val="21"/>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修正后投标</w:t>
            </w:r>
          </w:p>
          <w:p>
            <w:pPr>
              <w:rPr>
                <w:rFonts w:ascii="宋体" w:hAnsi="宋体"/>
                <w:kern w:val="0"/>
                <w:szCs w:val="21"/>
              </w:rPr>
            </w:pPr>
            <w:r>
              <w:rPr>
                <w:rFonts w:hint="eastAsia" w:ascii="宋体" w:hAnsi="宋体"/>
                <w:kern w:val="0"/>
                <w:szCs w:val="21"/>
              </w:rPr>
              <w:t>报价</w:t>
            </w:r>
            <w:r>
              <w:rPr>
                <w:rFonts w:ascii="宋体" w:hAnsi="宋体"/>
                <w:kern w:val="0"/>
                <w:szCs w:val="21"/>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修正率</w:t>
            </w:r>
            <w:r>
              <w:rPr>
                <w:rFonts w:ascii="宋体" w:hAnsi="宋体"/>
                <w:kern w:val="0"/>
                <w:szCs w:val="21"/>
              </w:rPr>
              <w:br w:type="textWrapping"/>
            </w:r>
            <w:r>
              <w:rPr>
                <w:rFonts w:ascii="宋体" w:hAnsi="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当</w:t>
            </w:r>
            <w:r>
              <w:rPr>
                <w:rFonts w:ascii="宋体" w:hAnsi="宋体"/>
                <w:kern w:val="0"/>
                <w:szCs w:val="21"/>
              </w:rPr>
              <w:t>B&gt;A</w:t>
            </w:r>
            <w:r>
              <w:rPr>
                <w:rFonts w:hint="eastAsia" w:ascii="宋体" w:hAnsi="宋体"/>
                <w:kern w:val="0"/>
                <w:szCs w:val="21"/>
              </w:rPr>
              <w:t>时，修正后报价与原报价的差额；当</w:t>
            </w:r>
            <w:r>
              <w:rPr>
                <w:rFonts w:ascii="宋体" w:hAnsi="宋体"/>
                <w:kern w:val="0"/>
                <w:szCs w:val="21"/>
              </w:rPr>
              <w:t>B</w:t>
            </w:r>
            <w:r>
              <w:rPr>
                <w:rFonts w:hint="eastAsia" w:ascii="宋体" w:hAnsi="宋体"/>
                <w:kern w:val="0"/>
                <w:szCs w:val="21"/>
              </w:rPr>
              <w:t>≤</w:t>
            </w:r>
            <w:r>
              <w:rPr>
                <w:rFonts w:ascii="宋体" w:hAnsi="宋体"/>
                <w:kern w:val="0"/>
                <w:szCs w:val="21"/>
              </w:rPr>
              <w:t>A</w:t>
            </w:r>
            <w:r>
              <w:rPr>
                <w:rFonts w:hint="eastAsia" w:ascii="宋体" w:hAnsi="宋体"/>
                <w:kern w:val="0"/>
                <w:szCs w:val="21"/>
              </w:rPr>
              <w:t>时</w:t>
            </w:r>
            <w:r>
              <w:rPr>
                <w:rFonts w:ascii="宋体" w:hAnsi="宋体"/>
                <w:kern w:val="0"/>
                <w:szCs w:val="21"/>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1</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1]</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2</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2]</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n</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n]</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投标总报价</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An</w:t>
            </w:r>
            <w:r>
              <w:rPr>
                <w:rFonts w:hint="eastAsia" w:ascii="宋体" w:hAnsi="宋体"/>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Bn</w:t>
            </w:r>
          </w:p>
        </w:tc>
      </w:tr>
    </w:tbl>
    <w:p>
      <w:pPr>
        <w:rPr>
          <w:rFonts w:cs="宋体"/>
          <w:kern w:val="0"/>
          <w:szCs w:val="21"/>
        </w:rPr>
      </w:pPr>
      <w:r>
        <w:rPr>
          <w:rFonts w:hint="eastAsia" w:cs="宋体"/>
          <w:kern w:val="0"/>
          <w:szCs w:val="21"/>
        </w:rPr>
        <w:t>修正原则：</w:t>
      </w:r>
      <w:r>
        <w:rPr>
          <w:rFonts w:hint="eastAsia"/>
          <w:szCs w:val="21"/>
        </w:rPr>
        <w:t>按就低不就高原则，当修正后报价小于原报价，总价按修正后报价；当修正后报价大于原报价，总价按原报价，并在签订合同时载明在结算价中扣除修正报价与原报价的差额。</w:t>
      </w:r>
      <w:r>
        <w:rPr>
          <w:rFonts w:cs="宋体"/>
          <w:kern w:val="0"/>
          <w:szCs w:val="21"/>
        </w:rPr>
        <w:tab/>
      </w:r>
    </w:p>
    <w:p>
      <w:pPr>
        <w:rPr>
          <w:kern w:val="0"/>
          <w:szCs w:val="21"/>
        </w:rPr>
      </w:pPr>
      <w:r>
        <w:rPr>
          <w:rFonts w:hint="eastAsia"/>
          <w:kern w:val="0"/>
          <w:szCs w:val="21"/>
        </w:rPr>
        <w:t>评委签名：</w:t>
      </w:r>
      <w:r>
        <w:rPr>
          <w:kern w:val="0"/>
          <w:szCs w:val="21"/>
        </w:rPr>
        <w:tab/>
      </w:r>
      <w:r>
        <w:rPr>
          <w:kern w:val="0"/>
          <w:szCs w:val="21"/>
        </w:rPr>
        <w:tab/>
      </w:r>
      <w:r>
        <w:rPr>
          <w:kern w:val="0"/>
          <w:szCs w:val="21"/>
        </w:rPr>
        <w:tab/>
      </w:r>
      <w:r>
        <w:rPr>
          <w:kern w:val="0"/>
          <w:szCs w:val="21"/>
        </w:rPr>
        <w:tab/>
      </w:r>
      <w:r>
        <w:rPr>
          <w:kern w:val="0"/>
          <w:szCs w:val="21"/>
        </w:rPr>
        <w:tab/>
      </w:r>
      <w:r>
        <w:rPr>
          <w:rFonts w:hint="eastAsia"/>
          <w:kern w:val="0"/>
          <w:szCs w:val="21"/>
        </w:rPr>
        <w:t>日期：</w:t>
      </w:r>
    </w:p>
    <w:p/>
    <w:p>
      <w:r>
        <w:br w:type="page"/>
      </w:r>
    </w:p>
    <w:p>
      <w:pPr>
        <w:jc w:val="center"/>
        <w:rPr>
          <w:b/>
          <w:sz w:val="36"/>
          <w:szCs w:val="36"/>
        </w:rPr>
      </w:pPr>
      <w:r>
        <w:rPr>
          <w:rFonts w:hint="eastAsia"/>
          <w:b/>
          <w:sz w:val="36"/>
          <w:szCs w:val="36"/>
        </w:rPr>
        <w:t>算术复核表</w:t>
      </w:r>
    </w:p>
    <w:p>
      <w:pPr>
        <w:rPr>
          <w:szCs w:val="21"/>
        </w:rPr>
      </w:pPr>
      <w:r>
        <w:rPr>
          <w:rFonts w:hint="eastAsia"/>
          <w:szCs w:val="21"/>
        </w:rPr>
        <w:t>工程名称：</w:t>
      </w:r>
    </w:p>
    <w:tbl>
      <w:tblPr>
        <w:tblStyle w:val="3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编号</w:t>
            </w:r>
          </w:p>
        </w:tc>
        <w:tc>
          <w:tcPr>
            <w:tcW w:w="4297"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原投标报价（</w:t>
            </w:r>
            <w:r>
              <w:rPr>
                <w:b/>
                <w:sz w:val="28"/>
                <w:szCs w:val="28"/>
              </w:rPr>
              <w:t>A</w:t>
            </w:r>
            <w:r>
              <w:rPr>
                <w:rFonts w:hint="eastAsia"/>
                <w:b/>
                <w:sz w:val="28"/>
                <w:szCs w:val="28"/>
              </w:rPr>
              <w:t>）</w:t>
            </w:r>
          </w:p>
        </w:tc>
        <w:tc>
          <w:tcPr>
            <w:tcW w:w="3101"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算数复核后投标报价（</w:t>
            </w:r>
            <w:r>
              <w:rPr>
                <w:b/>
                <w:sz w:val="28"/>
                <w:szCs w:val="28"/>
              </w:rPr>
              <w:t>B</w:t>
            </w:r>
            <w:r>
              <w:rPr>
                <w:rFonts w:hint="eastAsia"/>
                <w:b/>
                <w:sz w:val="28"/>
                <w:szCs w:val="28"/>
              </w:rPr>
              <w:t>）</w:t>
            </w:r>
          </w:p>
        </w:tc>
        <w:tc>
          <w:tcPr>
            <w:tcW w:w="3423"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误差率（</w:t>
            </w:r>
            <w:r>
              <w:rPr>
                <w:b/>
                <w:sz w:val="28"/>
                <w:szCs w:val="28"/>
              </w:rPr>
              <w:t>r=|A-B|/A*100%</w:t>
            </w:r>
            <w:r>
              <w:rPr>
                <w:rFonts w:hint="eastAsia"/>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bl>
    <w:p>
      <w:pPr>
        <w:rPr>
          <w:szCs w:val="21"/>
        </w:rPr>
      </w:pPr>
      <w:r>
        <w:rPr>
          <w:rFonts w:hint="eastAsia"/>
          <w:szCs w:val="21"/>
        </w:rPr>
        <w:t>评委签名：</w:t>
      </w:r>
    </w:p>
    <w:p>
      <w:pPr>
        <w:spacing w:line="360" w:lineRule="auto"/>
        <w:jc w:val="center"/>
        <w:rPr>
          <w:rFonts w:ascii="仿宋_GB2312" w:hAnsi="宋体" w:eastAsia="仿宋_GB2312"/>
          <w:szCs w:val="21"/>
        </w:rPr>
        <w:sectPr>
          <w:headerReference r:id="rId13" w:type="first"/>
          <w:footerReference r:id="rId16" w:type="first"/>
          <w:headerReference r:id="rId11" w:type="default"/>
          <w:footerReference r:id="rId14" w:type="default"/>
          <w:headerReference r:id="rId12" w:type="even"/>
          <w:footerReference r:id="rId15" w:type="even"/>
          <w:endnotePr>
            <w:numFmt w:val="decimal"/>
          </w:endnotePr>
          <w:pgSz w:w="16838" w:h="11906" w:orient="landscape"/>
          <w:pgMar w:top="1418" w:right="1247" w:bottom="1418" w:left="1134" w:header="851" w:footer="907" w:gutter="0"/>
          <w:cols w:space="425" w:num="1"/>
          <w:titlePg/>
          <w:docGrid w:type="lines" w:linePitch="312" w:charSpace="0"/>
        </w:sectPr>
      </w:pPr>
    </w:p>
    <w:p>
      <w:pPr>
        <w:pStyle w:val="3"/>
        <w:jc w:val="center"/>
        <w:rPr>
          <w:b/>
          <w:bCs/>
        </w:rPr>
      </w:pPr>
      <w:bookmarkStart w:id="36" w:name="_Toc21525511"/>
      <w:bookmarkStart w:id="37" w:name="_Toc2272566"/>
      <w:r>
        <w:rPr>
          <w:rFonts w:hint="eastAsia"/>
          <w:b/>
          <w:bCs/>
        </w:rPr>
        <w:t>第三章</w:t>
      </w:r>
      <w:r>
        <w:rPr>
          <w:b/>
          <w:bCs/>
        </w:rPr>
        <w:t xml:space="preserve">  </w:t>
      </w:r>
      <w:r>
        <w:rPr>
          <w:rFonts w:hint="eastAsia"/>
          <w:b/>
          <w:bCs/>
        </w:rPr>
        <w:t>合同条款</w:t>
      </w:r>
      <w:bookmarkEnd w:id="36"/>
      <w:bookmarkEnd w:id="37"/>
    </w:p>
    <w:p>
      <w:pPr>
        <w:rPr>
          <w:rFonts w:ascii="宋体"/>
          <w:b/>
          <w:sz w:val="24"/>
          <w:szCs w:val="24"/>
        </w:rPr>
      </w:pPr>
      <w:r>
        <w:rPr>
          <w:rFonts w:hint="eastAsia"/>
          <w:sz w:val="24"/>
          <w:szCs w:val="24"/>
        </w:rPr>
        <w:t>注：</w:t>
      </w:r>
      <w:r>
        <w:rPr>
          <w:rFonts w:hint="eastAsia" w:ascii="宋体" w:hAnsi="宋体"/>
          <w:sz w:val="24"/>
          <w:szCs w:val="24"/>
        </w:rPr>
        <w:t>按《建设项目工程总承包合同示范文本（试行）》（</w:t>
      </w:r>
      <w:r>
        <w:rPr>
          <w:rFonts w:ascii="宋体" w:hAnsi="宋体"/>
          <w:sz w:val="24"/>
          <w:szCs w:val="24"/>
        </w:rPr>
        <w:t>GF-2011-0216</w:t>
      </w:r>
      <w:r>
        <w:rPr>
          <w:rFonts w:hint="eastAsia" w:ascii="宋体" w:hAnsi="宋体"/>
          <w:sz w:val="24"/>
          <w:szCs w:val="24"/>
        </w:rPr>
        <w:t>）执行。</w:t>
      </w:r>
    </w:p>
    <w:p>
      <w:pPr>
        <w:rPr>
          <w:sz w:val="24"/>
          <w:szCs w:val="24"/>
        </w:rPr>
      </w:pPr>
    </w:p>
    <w:p>
      <w:pPr>
        <w:pStyle w:val="35"/>
        <w:spacing w:line="360" w:lineRule="auto"/>
        <w:rPr>
          <w:sz w:val="24"/>
          <w:szCs w:val="24"/>
        </w:rPr>
      </w:pPr>
    </w:p>
    <w:p>
      <w:pPr>
        <w:pStyle w:val="35"/>
        <w:spacing w:line="360" w:lineRule="auto"/>
        <w:rPr>
          <w:sz w:val="24"/>
          <w:szCs w:val="24"/>
        </w:rPr>
      </w:pPr>
    </w:p>
    <w:p>
      <w:pPr>
        <w:pStyle w:val="35"/>
        <w:spacing w:line="360" w:lineRule="auto"/>
        <w:rPr>
          <w:sz w:val="24"/>
          <w:szCs w:val="24"/>
        </w:rPr>
      </w:pPr>
    </w:p>
    <w:p>
      <w:pPr>
        <w:pStyle w:val="35"/>
        <w:spacing w:line="360" w:lineRule="auto"/>
        <w:rPr>
          <w:sz w:val="24"/>
          <w:szCs w:val="24"/>
        </w:rPr>
      </w:pPr>
    </w:p>
    <w:p>
      <w:pPr>
        <w:pStyle w:val="35"/>
        <w:spacing w:line="360" w:lineRule="auto"/>
        <w:rPr>
          <w:sz w:val="24"/>
          <w:szCs w:val="24"/>
        </w:rPr>
      </w:pPr>
    </w:p>
    <w:p>
      <w:pPr>
        <w:pStyle w:val="35"/>
        <w:spacing w:line="360" w:lineRule="auto"/>
        <w:rPr>
          <w:sz w:val="24"/>
          <w:szCs w:val="24"/>
        </w:rPr>
      </w:pPr>
    </w:p>
    <w:p>
      <w:pPr>
        <w:pStyle w:val="35"/>
        <w:spacing w:line="360" w:lineRule="auto"/>
        <w:rPr>
          <w:sz w:val="24"/>
          <w:szCs w:val="24"/>
        </w:rPr>
      </w:pPr>
    </w:p>
    <w:p>
      <w:pPr>
        <w:pStyle w:val="35"/>
        <w:spacing w:line="360" w:lineRule="auto"/>
        <w:rPr>
          <w:sz w:val="24"/>
          <w:szCs w:val="24"/>
        </w:rPr>
      </w:pPr>
    </w:p>
    <w:p>
      <w:pPr>
        <w:pStyle w:val="35"/>
        <w:spacing w:line="360" w:lineRule="auto"/>
        <w:rPr>
          <w:sz w:val="24"/>
          <w:szCs w:val="24"/>
        </w:rPr>
      </w:pPr>
    </w:p>
    <w:p>
      <w:pPr>
        <w:pStyle w:val="35"/>
        <w:spacing w:line="360" w:lineRule="auto"/>
        <w:rPr>
          <w:sz w:val="24"/>
          <w:szCs w:val="24"/>
        </w:rPr>
      </w:pPr>
    </w:p>
    <w:p>
      <w:pPr>
        <w:pStyle w:val="35"/>
        <w:spacing w:line="360" w:lineRule="auto"/>
        <w:rPr>
          <w:sz w:val="24"/>
          <w:szCs w:val="24"/>
        </w:rPr>
      </w:pPr>
    </w:p>
    <w:p>
      <w:pPr>
        <w:pStyle w:val="35"/>
        <w:spacing w:line="360" w:lineRule="auto"/>
        <w:rPr>
          <w:sz w:val="24"/>
          <w:szCs w:val="24"/>
        </w:rPr>
      </w:pPr>
    </w:p>
    <w:p>
      <w:pPr>
        <w:pStyle w:val="35"/>
        <w:spacing w:line="360" w:lineRule="auto"/>
        <w:rPr>
          <w:sz w:val="24"/>
          <w:szCs w:val="24"/>
        </w:rPr>
      </w:pPr>
    </w:p>
    <w:p>
      <w:pPr>
        <w:pStyle w:val="35"/>
        <w:spacing w:line="360" w:lineRule="auto"/>
        <w:rPr>
          <w:sz w:val="24"/>
          <w:szCs w:val="24"/>
        </w:rPr>
      </w:pPr>
    </w:p>
    <w:p>
      <w:pPr>
        <w:pStyle w:val="35"/>
        <w:spacing w:line="360" w:lineRule="auto"/>
        <w:rPr>
          <w:sz w:val="24"/>
          <w:szCs w:val="24"/>
        </w:rPr>
      </w:pPr>
    </w:p>
    <w:p>
      <w:pPr>
        <w:pStyle w:val="35"/>
        <w:spacing w:line="360" w:lineRule="auto"/>
        <w:rPr>
          <w:sz w:val="24"/>
          <w:szCs w:val="24"/>
        </w:rPr>
      </w:pPr>
    </w:p>
    <w:p>
      <w:pPr>
        <w:pStyle w:val="35"/>
        <w:spacing w:line="360" w:lineRule="auto"/>
        <w:rPr>
          <w:sz w:val="24"/>
          <w:szCs w:val="24"/>
        </w:rPr>
      </w:pPr>
    </w:p>
    <w:p>
      <w:pPr>
        <w:pStyle w:val="35"/>
        <w:spacing w:line="360" w:lineRule="auto"/>
        <w:rPr>
          <w:sz w:val="24"/>
          <w:szCs w:val="24"/>
        </w:rPr>
      </w:pPr>
    </w:p>
    <w:p>
      <w:pPr>
        <w:spacing w:line="360" w:lineRule="auto"/>
        <w:rPr>
          <w:rFonts w:ascii="宋体" w:hAnsi="宋体" w:cs="宋体"/>
          <w:sz w:val="24"/>
          <w:szCs w:val="24"/>
        </w:rPr>
      </w:pPr>
      <w:bookmarkStart w:id="38" w:name="_Toc306287538"/>
      <w:bookmarkEnd w:id="38"/>
      <w:bookmarkStart w:id="39" w:name="_Toc306287372"/>
      <w:bookmarkEnd w:id="39"/>
      <w:bookmarkStart w:id="40" w:name="_Toc306287361"/>
      <w:bookmarkEnd w:id="40"/>
      <w:r>
        <w:rPr>
          <w:sz w:val="24"/>
          <w:szCs w:val="24"/>
        </w:rPr>
        <w:br w:type="page"/>
      </w:r>
      <w:bookmarkStart w:id="41" w:name="_Toc306287549"/>
      <w:r>
        <w:rPr>
          <w:rFonts w:hint="eastAsia" w:ascii="宋体" w:hAnsi="宋体" w:cs="宋体"/>
          <w:position w:val="-3"/>
          <w:sz w:val="28"/>
          <w:szCs w:val="28"/>
        </w:rPr>
        <w:t xml:space="preserve">               </w:t>
      </w:r>
    </w:p>
    <w:p>
      <w:pPr>
        <w:pStyle w:val="19"/>
        <w:rPr>
          <w:rFonts w:hAnsi="宋体" w:cs="宋体"/>
          <w:sz w:val="24"/>
          <w:szCs w:val="24"/>
        </w:rPr>
      </w:pPr>
    </w:p>
    <w:p>
      <w:pPr>
        <w:pStyle w:val="19"/>
        <w:rPr>
          <w:rFonts w:hAnsi="宋体" w:cs="宋体"/>
          <w:sz w:val="24"/>
          <w:szCs w:val="24"/>
        </w:rPr>
      </w:pPr>
    </w:p>
    <w:p>
      <w:pPr>
        <w:autoSpaceDE w:val="0"/>
        <w:autoSpaceDN w:val="0"/>
        <w:adjustRightInd w:val="0"/>
        <w:spacing w:line="360" w:lineRule="auto"/>
        <w:ind w:left="1486" w:right="1745"/>
        <w:jc w:val="center"/>
        <w:rPr>
          <w:rFonts w:ascii="宋体" w:hAnsi="宋体" w:cs="宋体"/>
          <w:sz w:val="52"/>
          <w:szCs w:val="52"/>
        </w:rPr>
      </w:pPr>
      <w:r>
        <w:rPr>
          <w:rFonts w:hint="eastAsia" w:ascii="宋体" w:hAnsi="宋体" w:cs="宋体"/>
          <w:position w:val="-5"/>
          <w:sz w:val="52"/>
          <w:szCs w:val="52"/>
        </w:rPr>
        <w:t>广</w:t>
      </w:r>
      <w:r>
        <w:rPr>
          <w:rFonts w:hint="eastAsia" w:ascii="宋体" w:hAnsi="宋体" w:cs="宋体"/>
          <w:spacing w:val="-39"/>
          <w:position w:val="-5"/>
          <w:sz w:val="52"/>
          <w:szCs w:val="52"/>
        </w:rPr>
        <w:t xml:space="preserve"> </w:t>
      </w:r>
      <w:r>
        <w:rPr>
          <w:rFonts w:hint="eastAsia" w:ascii="宋体" w:hAnsi="宋体" w:cs="宋体"/>
          <w:position w:val="-5"/>
          <w:sz w:val="52"/>
          <w:szCs w:val="52"/>
        </w:rPr>
        <w:t>东</w:t>
      </w:r>
      <w:r>
        <w:rPr>
          <w:rFonts w:hint="eastAsia" w:ascii="宋体" w:hAnsi="宋体" w:cs="宋体"/>
          <w:spacing w:val="-39"/>
          <w:position w:val="-5"/>
          <w:sz w:val="52"/>
          <w:szCs w:val="52"/>
        </w:rPr>
        <w:t xml:space="preserve"> </w:t>
      </w:r>
      <w:r>
        <w:rPr>
          <w:rFonts w:hint="eastAsia" w:ascii="宋体" w:hAnsi="宋体" w:cs="宋体"/>
          <w:position w:val="-5"/>
          <w:sz w:val="52"/>
          <w:szCs w:val="52"/>
        </w:rPr>
        <w:t>省</w:t>
      </w:r>
      <w:r>
        <w:rPr>
          <w:rFonts w:hint="eastAsia" w:ascii="宋体" w:hAnsi="宋体" w:cs="宋体"/>
          <w:spacing w:val="-39"/>
          <w:position w:val="-5"/>
          <w:sz w:val="52"/>
          <w:szCs w:val="52"/>
        </w:rPr>
        <w:t xml:space="preserve"> </w:t>
      </w:r>
      <w:r>
        <w:rPr>
          <w:rFonts w:hint="eastAsia" w:ascii="宋体" w:hAnsi="宋体" w:cs="宋体"/>
          <w:position w:val="-5"/>
          <w:sz w:val="52"/>
          <w:szCs w:val="52"/>
        </w:rPr>
        <w:t>建</w:t>
      </w:r>
      <w:r>
        <w:rPr>
          <w:rFonts w:hint="eastAsia" w:ascii="宋体" w:hAnsi="宋体" w:cs="宋体"/>
          <w:spacing w:val="-39"/>
          <w:position w:val="-5"/>
          <w:sz w:val="52"/>
          <w:szCs w:val="52"/>
        </w:rPr>
        <w:t xml:space="preserve"> </w:t>
      </w:r>
      <w:r>
        <w:rPr>
          <w:rFonts w:hint="eastAsia" w:ascii="宋体" w:hAnsi="宋体" w:cs="宋体"/>
          <w:position w:val="-5"/>
          <w:sz w:val="52"/>
          <w:szCs w:val="52"/>
        </w:rPr>
        <w:t>设</w:t>
      </w:r>
      <w:r>
        <w:rPr>
          <w:rFonts w:hint="eastAsia" w:ascii="宋体" w:hAnsi="宋体" w:cs="宋体"/>
          <w:spacing w:val="-39"/>
          <w:position w:val="-5"/>
          <w:sz w:val="52"/>
          <w:szCs w:val="52"/>
        </w:rPr>
        <w:t xml:space="preserve"> </w:t>
      </w:r>
      <w:r>
        <w:rPr>
          <w:rFonts w:hint="eastAsia" w:ascii="宋体" w:hAnsi="宋体" w:cs="宋体"/>
          <w:position w:val="-5"/>
          <w:sz w:val="52"/>
          <w:szCs w:val="52"/>
        </w:rPr>
        <w:t>工</w:t>
      </w:r>
      <w:r>
        <w:rPr>
          <w:rFonts w:hint="eastAsia" w:ascii="宋体" w:hAnsi="宋体" w:cs="宋体"/>
          <w:spacing w:val="-39"/>
          <w:position w:val="-5"/>
          <w:sz w:val="52"/>
          <w:szCs w:val="52"/>
        </w:rPr>
        <w:t xml:space="preserve"> </w:t>
      </w:r>
      <w:r>
        <w:rPr>
          <w:rFonts w:hint="eastAsia" w:ascii="宋体" w:hAnsi="宋体" w:cs="宋体"/>
          <w:position w:val="-5"/>
          <w:sz w:val="52"/>
          <w:szCs w:val="52"/>
        </w:rPr>
        <w:t>程</w:t>
      </w:r>
    </w:p>
    <w:p>
      <w:pPr>
        <w:autoSpaceDE w:val="0"/>
        <w:autoSpaceDN w:val="0"/>
        <w:adjustRightInd w:val="0"/>
        <w:spacing w:line="360" w:lineRule="auto"/>
        <w:ind w:left="860" w:right="881"/>
        <w:jc w:val="center"/>
        <w:rPr>
          <w:rFonts w:ascii="宋体" w:hAnsi="宋体" w:cs="宋体"/>
          <w:sz w:val="72"/>
          <w:szCs w:val="72"/>
        </w:rPr>
      </w:pPr>
      <w:r>
        <w:rPr>
          <w:rFonts w:hint="eastAsia" w:ascii="宋体" w:hAnsi="宋体" w:cs="宋体"/>
          <w:sz w:val="72"/>
          <w:szCs w:val="72"/>
        </w:rPr>
        <w:t>标</w:t>
      </w:r>
      <w:r>
        <w:rPr>
          <w:rFonts w:hint="eastAsia" w:ascii="宋体" w:hAnsi="宋体" w:cs="宋体"/>
          <w:spacing w:val="4"/>
          <w:sz w:val="72"/>
          <w:szCs w:val="72"/>
        </w:rPr>
        <w:t xml:space="preserve"> </w:t>
      </w:r>
      <w:r>
        <w:rPr>
          <w:rFonts w:hint="eastAsia" w:ascii="宋体" w:hAnsi="宋体" w:cs="宋体"/>
          <w:sz w:val="72"/>
          <w:szCs w:val="72"/>
        </w:rPr>
        <w:t>准</w:t>
      </w:r>
      <w:r>
        <w:rPr>
          <w:rFonts w:hint="eastAsia" w:ascii="宋体" w:hAnsi="宋体" w:cs="宋体"/>
          <w:spacing w:val="4"/>
          <w:sz w:val="72"/>
          <w:szCs w:val="72"/>
        </w:rPr>
        <w:t xml:space="preserve"> </w:t>
      </w:r>
      <w:r>
        <w:rPr>
          <w:rFonts w:hint="eastAsia" w:ascii="宋体" w:hAnsi="宋体" w:cs="宋体"/>
          <w:sz w:val="72"/>
          <w:szCs w:val="72"/>
        </w:rPr>
        <w:t>施</w:t>
      </w:r>
      <w:r>
        <w:rPr>
          <w:rFonts w:hint="eastAsia" w:ascii="宋体" w:hAnsi="宋体" w:cs="宋体"/>
          <w:spacing w:val="4"/>
          <w:sz w:val="72"/>
          <w:szCs w:val="72"/>
        </w:rPr>
        <w:t xml:space="preserve"> </w:t>
      </w:r>
      <w:r>
        <w:rPr>
          <w:rFonts w:hint="eastAsia" w:ascii="宋体" w:hAnsi="宋体" w:cs="宋体"/>
          <w:sz w:val="72"/>
          <w:szCs w:val="72"/>
        </w:rPr>
        <w:t>工</w:t>
      </w:r>
      <w:r>
        <w:rPr>
          <w:rFonts w:hint="eastAsia" w:ascii="宋体" w:hAnsi="宋体" w:cs="宋体"/>
          <w:spacing w:val="4"/>
          <w:sz w:val="72"/>
          <w:szCs w:val="72"/>
        </w:rPr>
        <w:t xml:space="preserve"> </w:t>
      </w:r>
      <w:r>
        <w:rPr>
          <w:rFonts w:hint="eastAsia" w:ascii="宋体" w:hAnsi="宋体" w:cs="宋体"/>
          <w:sz w:val="72"/>
          <w:szCs w:val="72"/>
        </w:rPr>
        <w:t>合</w:t>
      </w:r>
      <w:r>
        <w:rPr>
          <w:rFonts w:hint="eastAsia" w:ascii="宋体" w:hAnsi="宋体" w:cs="宋体"/>
          <w:spacing w:val="4"/>
          <w:sz w:val="72"/>
          <w:szCs w:val="72"/>
        </w:rPr>
        <w:t xml:space="preserve"> </w:t>
      </w:r>
      <w:r>
        <w:rPr>
          <w:rFonts w:hint="eastAsia" w:ascii="宋体" w:hAnsi="宋体" w:cs="宋体"/>
          <w:sz w:val="72"/>
          <w:szCs w:val="72"/>
        </w:rPr>
        <w:t>同</w:t>
      </w:r>
    </w:p>
    <w:p>
      <w:pPr>
        <w:autoSpaceDE w:val="0"/>
        <w:autoSpaceDN w:val="0"/>
        <w:adjustRightInd w:val="0"/>
        <w:spacing w:line="360" w:lineRule="auto"/>
        <w:jc w:val="left"/>
        <w:rPr>
          <w:rFonts w:ascii="宋体" w:hAnsi="宋体" w:cs="宋体"/>
          <w:sz w:val="11"/>
          <w:szCs w:val="11"/>
        </w:rPr>
      </w:pPr>
    </w:p>
    <w:p>
      <w:pPr>
        <w:autoSpaceDE w:val="0"/>
        <w:autoSpaceDN w:val="0"/>
        <w:adjustRightInd w:val="0"/>
        <w:spacing w:line="360" w:lineRule="auto"/>
        <w:jc w:val="left"/>
        <w:rPr>
          <w:rFonts w:ascii="宋体" w:hAnsi="宋体" w:cs="宋体"/>
          <w:sz w:val="18"/>
          <w:szCs w:val="18"/>
        </w:rPr>
      </w:pPr>
    </w:p>
    <w:p>
      <w:pPr>
        <w:autoSpaceDE w:val="0"/>
        <w:autoSpaceDN w:val="0"/>
        <w:adjustRightInd w:val="0"/>
        <w:spacing w:line="360" w:lineRule="auto"/>
        <w:jc w:val="left"/>
        <w:rPr>
          <w:rFonts w:ascii="宋体" w:hAnsi="宋体" w:cs="宋体"/>
          <w:sz w:val="18"/>
          <w:szCs w:val="18"/>
        </w:rPr>
      </w:pPr>
    </w:p>
    <w:p>
      <w:pPr>
        <w:autoSpaceDE w:val="0"/>
        <w:autoSpaceDN w:val="0"/>
        <w:adjustRightInd w:val="0"/>
        <w:spacing w:line="360" w:lineRule="auto"/>
        <w:jc w:val="left"/>
        <w:rPr>
          <w:rFonts w:ascii="宋体" w:hAnsi="宋体" w:cs="宋体"/>
          <w:sz w:val="18"/>
          <w:szCs w:val="18"/>
        </w:rPr>
      </w:pPr>
    </w:p>
    <w:p>
      <w:pPr>
        <w:autoSpaceDE w:val="0"/>
        <w:autoSpaceDN w:val="0"/>
        <w:adjustRightInd w:val="0"/>
        <w:spacing w:line="360" w:lineRule="auto"/>
        <w:jc w:val="left"/>
        <w:rPr>
          <w:rFonts w:ascii="宋体" w:hAnsi="宋体" w:cs="宋体"/>
          <w:sz w:val="18"/>
          <w:szCs w:val="18"/>
        </w:rPr>
      </w:pPr>
    </w:p>
    <w:p>
      <w:pPr>
        <w:autoSpaceDE w:val="0"/>
        <w:autoSpaceDN w:val="0"/>
        <w:adjustRightInd w:val="0"/>
        <w:spacing w:line="360" w:lineRule="auto"/>
        <w:jc w:val="left"/>
        <w:rPr>
          <w:rFonts w:ascii="宋体" w:hAnsi="宋体" w:cs="宋体"/>
          <w:sz w:val="18"/>
          <w:szCs w:val="18"/>
        </w:rPr>
      </w:pPr>
    </w:p>
    <w:p>
      <w:pPr>
        <w:autoSpaceDE w:val="0"/>
        <w:autoSpaceDN w:val="0"/>
        <w:adjustRightInd w:val="0"/>
        <w:spacing w:line="360" w:lineRule="auto"/>
        <w:jc w:val="left"/>
        <w:rPr>
          <w:rFonts w:ascii="宋体" w:hAnsi="宋体" w:cs="宋体"/>
          <w:sz w:val="18"/>
          <w:szCs w:val="18"/>
        </w:rPr>
      </w:pPr>
    </w:p>
    <w:p>
      <w:pPr>
        <w:spacing w:line="360" w:lineRule="auto"/>
        <w:ind w:left="630" w:leftChars="300"/>
        <w:rPr>
          <w:rFonts w:ascii="宋体" w:hAnsi="宋体" w:cs="宋体"/>
          <w:b/>
          <w:position w:val="-3"/>
          <w:sz w:val="28"/>
          <w:szCs w:val="28"/>
          <w:u w:val="single"/>
        </w:rPr>
      </w:pPr>
      <w:r>
        <w:rPr>
          <w:rFonts w:hint="eastAsia" w:ascii="宋体" w:hAnsi="宋体" w:cs="宋体"/>
          <w:sz w:val="28"/>
          <w:szCs w:val="28"/>
        </w:rPr>
        <w:t>工程名称：</w:t>
      </w:r>
      <w:r>
        <w:rPr>
          <w:rFonts w:hint="eastAsia" w:ascii="宋体" w:hAnsi="宋体" w:cs="宋体"/>
          <w:b/>
          <w:sz w:val="24"/>
          <w:szCs w:val="24"/>
          <w:u w:val="single"/>
        </w:rPr>
        <w:t xml:space="preserve">                                              </w:t>
      </w:r>
    </w:p>
    <w:p>
      <w:pPr>
        <w:spacing w:line="360" w:lineRule="auto"/>
        <w:ind w:left="630" w:leftChars="300"/>
        <w:rPr>
          <w:rFonts w:ascii="宋体" w:hAnsi="宋体" w:cs="宋体"/>
          <w:position w:val="-3"/>
          <w:sz w:val="28"/>
          <w:szCs w:val="28"/>
        </w:rPr>
      </w:pPr>
      <w:r>
        <w:rPr>
          <w:rFonts w:hint="eastAsia" w:ascii="宋体" w:hAnsi="宋体" w:cs="宋体"/>
          <w:b/>
          <w:position w:val="-3"/>
          <w:sz w:val="28"/>
          <w:szCs w:val="28"/>
        </w:rPr>
        <w:t xml:space="preserve">        </w:t>
      </w:r>
    </w:p>
    <w:p>
      <w:pPr>
        <w:tabs>
          <w:tab w:val="left" w:pos="3005"/>
          <w:tab w:val="left" w:pos="9285"/>
        </w:tabs>
        <w:autoSpaceDE w:val="0"/>
        <w:autoSpaceDN w:val="0"/>
        <w:adjustRightInd w:val="0"/>
        <w:spacing w:line="360" w:lineRule="auto"/>
        <w:ind w:firstLine="560" w:firstLineChars="200"/>
        <w:jc w:val="left"/>
        <w:rPr>
          <w:rFonts w:ascii="宋体" w:hAnsi="宋体" w:cs="宋体"/>
          <w:sz w:val="28"/>
          <w:szCs w:val="28"/>
        </w:rPr>
      </w:pPr>
      <w:r>
        <w:rPr>
          <w:rFonts w:hint="eastAsia" w:ascii="宋体" w:hAnsi="宋体" w:cs="宋体"/>
          <w:position w:val="-3"/>
          <w:sz w:val="28"/>
          <w:szCs w:val="28"/>
        </w:rPr>
        <w:t>工程地点：</w:t>
      </w:r>
      <w:r>
        <w:rPr>
          <w:rFonts w:hint="eastAsia" w:ascii="宋体" w:hAnsi="宋体" w:cs="宋体"/>
          <w:b/>
          <w:sz w:val="24"/>
          <w:szCs w:val="24"/>
          <w:u w:val="single"/>
        </w:rPr>
        <w:t xml:space="preserve">                                             </w:t>
      </w:r>
    </w:p>
    <w:p>
      <w:pPr>
        <w:autoSpaceDE w:val="0"/>
        <w:autoSpaceDN w:val="0"/>
        <w:adjustRightInd w:val="0"/>
        <w:spacing w:line="360" w:lineRule="auto"/>
        <w:ind w:left="630" w:leftChars="300"/>
        <w:jc w:val="left"/>
        <w:rPr>
          <w:rFonts w:ascii="宋体" w:hAnsi="宋体" w:cs="宋体"/>
          <w:sz w:val="28"/>
          <w:szCs w:val="28"/>
        </w:rPr>
      </w:pPr>
    </w:p>
    <w:p>
      <w:pPr>
        <w:tabs>
          <w:tab w:val="left" w:pos="7125"/>
        </w:tabs>
        <w:autoSpaceDE w:val="0"/>
        <w:autoSpaceDN w:val="0"/>
        <w:adjustRightInd w:val="0"/>
        <w:spacing w:line="360" w:lineRule="auto"/>
        <w:ind w:firstLine="560" w:firstLineChars="200"/>
        <w:jc w:val="left"/>
        <w:rPr>
          <w:rFonts w:ascii="宋体" w:hAnsi="宋体" w:cs="宋体"/>
          <w:b/>
          <w:sz w:val="24"/>
          <w:szCs w:val="24"/>
          <w:u w:val="single"/>
        </w:rPr>
      </w:pPr>
      <w:r>
        <w:rPr>
          <w:rFonts w:hint="eastAsia" w:ascii="宋体" w:hAnsi="宋体" w:cs="宋体"/>
          <w:position w:val="-3"/>
          <w:sz w:val="28"/>
          <w:szCs w:val="28"/>
        </w:rPr>
        <w:t>发 包 人：</w:t>
      </w:r>
      <w:r>
        <w:rPr>
          <w:rFonts w:hint="eastAsia" w:ascii="宋体" w:hAnsi="宋体" w:cs="宋体"/>
          <w:position w:val="-3"/>
          <w:sz w:val="28"/>
          <w:szCs w:val="28"/>
          <w:u w:val="single"/>
        </w:rPr>
        <w:t>广东省机场管理集团有限公司工程建设指挥部</w:t>
      </w:r>
    </w:p>
    <w:p>
      <w:pPr>
        <w:tabs>
          <w:tab w:val="left" w:pos="7125"/>
        </w:tabs>
        <w:autoSpaceDE w:val="0"/>
        <w:autoSpaceDN w:val="0"/>
        <w:adjustRightInd w:val="0"/>
        <w:spacing w:line="360" w:lineRule="auto"/>
        <w:ind w:left="733" w:leftChars="349"/>
        <w:jc w:val="left"/>
        <w:rPr>
          <w:rFonts w:ascii="宋体" w:hAnsi="宋体" w:cs="宋体"/>
          <w:sz w:val="28"/>
          <w:szCs w:val="28"/>
        </w:rPr>
      </w:pPr>
    </w:p>
    <w:p>
      <w:pPr>
        <w:tabs>
          <w:tab w:val="left" w:pos="9465"/>
        </w:tabs>
        <w:autoSpaceDE w:val="0"/>
        <w:autoSpaceDN w:val="0"/>
        <w:adjustRightInd w:val="0"/>
        <w:spacing w:line="360" w:lineRule="auto"/>
        <w:ind w:firstLine="560" w:firstLineChars="200"/>
        <w:jc w:val="left"/>
        <w:rPr>
          <w:rFonts w:ascii="宋体" w:hAnsi="宋体" w:cs="宋体"/>
          <w:b/>
          <w:position w:val="-3"/>
          <w:sz w:val="28"/>
          <w:szCs w:val="28"/>
          <w:u w:val="single"/>
        </w:rPr>
      </w:pPr>
      <w:r>
        <w:rPr>
          <w:rFonts w:hint="eastAsia" w:ascii="宋体" w:hAnsi="宋体" w:cs="宋体"/>
          <w:position w:val="-3"/>
          <w:sz w:val="28"/>
          <w:szCs w:val="28"/>
        </w:rPr>
        <w:t>承 包 人：</w:t>
      </w:r>
      <w:r>
        <w:rPr>
          <w:rFonts w:hint="eastAsia" w:ascii="宋体" w:hAnsi="宋体" w:cs="宋体"/>
          <w:b/>
          <w:sz w:val="24"/>
          <w:szCs w:val="24"/>
          <w:u w:val="single"/>
        </w:rPr>
        <w:t xml:space="preserve">                                            </w:t>
      </w:r>
    </w:p>
    <w:p>
      <w:pPr>
        <w:tabs>
          <w:tab w:val="left" w:pos="8560"/>
        </w:tabs>
        <w:autoSpaceDE w:val="0"/>
        <w:autoSpaceDN w:val="0"/>
        <w:adjustRightInd w:val="0"/>
        <w:spacing w:line="360" w:lineRule="auto"/>
        <w:ind w:left="733" w:leftChars="349"/>
        <w:jc w:val="left"/>
        <w:rPr>
          <w:rFonts w:ascii="宋体" w:hAnsi="宋体" w:cs="宋体"/>
          <w:sz w:val="32"/>
          <w:szCs w:val="32"/>
        </w:rPr>
      </w:pPr>
      <w:bookmarkStart w:id="42" w:name="_第一章_招标公告（未进行资格预审）_"/>
      <w:bookmarkEnd w:id="42"/>
    </w:p>
    <w:p>
      <w:pPr>
        <w:autoSpaceDE w:val="0"/>
        <w:autoSpaceDN w:val="0"/>
        <w:adjustRightInd w:val="0"/>
        <w:spacing w:line="360" w:lineRule="auto"/>
        <w:jc w:val="left"/>
        <w:rPr>
          <w:rFonts w:ascii="宋体" w:hAnsi="宋体" w:cs="宋体"/>
          <w:sz w:val="18"/>
          <w:szCs w:val="18"/>
        </w:rPr>
      </w:pPr>
    </w:p>
    <w:p>
      <w:pPr>
        <w:jc w:val="center"/>
        <w:rPr>
          <w:rFonts w:ascii="宋体" w:hAnsi="宋体" w:cs="宋体"/>
          <w:b/>
          <w:sz w:val="32"/>
          <w:szCs w:val="32"/>
        </w:rPr>
      </w:pPr>
      <w:r>
        <w:rPr>
          <w:rFonts w:hint="eastAsia" w:ascii="宋体" w:hAnsi="宋体" w:cs="宋体"/>
          <w:b/>
          <w:sz w:val="32"/>
          <w:szCs w:val="32"/>
        </w:rPr>
        <w:t>广 东 省 住 房 和 城 乡 建 设 厅 制</w:t>
      </w:r>
    </w:p>
    <w:p>
      <w:pPr>
        <w:pStyle w:val="35"/>
        <w:ind w:firstLine="210"/>
        <w:rPr>
          <w:rFonts w:ascii="宋体" w:hAnsi="宋体" w:cs="宋体"/>
          <w:sz w:val="20"/>
        </w:rPr>
      </w:pPr>
    </w:p>
    <w:p>
      <w:pPr>
        <w:pStyle w:val="35"/>
        <w:ind w:firstLine="210"/>
        <w:rPr>
          <w:rFonts w:ascii="宋体" w:hAnsi="宋体" w:cs="宋体"/>
          <w:sz w:val="20"/>
        </w:rPr>
        <w:sectPr>
          <w:footerReference r:id="rId17" w:type="default"/>
          <w:footerReference r:id="rId18" w:type="even"/>
          <w:pgSz w:w="11920" w:h="16840"/>
          <w:pgMar w:top="1418" w:right="1134" w:bottom="1418" w:left="1418" w:header="720" w:footer="720" w:gutter="0"/>
          <w:cols w:space="720" w:num="1"/>
        </w:sectPr>
      </w:pPr>
    </w:p>
    <w:p>
      <w:pPr>
        <w:pStyle w:val="3"/>
        <w:spacing w:before="360" w:beforeLines="150" w:after="240" w:afterLines="100"/>
        <w:jc w:val="center"/>
        <w:rPr>
          <w:rFonts w:ascii="宋体" w:hAnsi="宋体" w:cs="宋体"/>
          <w:b/>
          <w:kern w:val="0"/>
          <w:sz w:val="32"/>
          <w:szCs w:val="32"/>
        </w:rPr>
      </w:pPr>
      <w:bookmarkStart w:id="43" w:name="_Toc331456331"/>
      <w:bookmarkStart w:id="44" w:name="_Toc312419710"/>
      <w:bookmarkStart w:id="45" w:name="_Toc332717040"/>
      <w:bookmarkStart w:id="46" w:name="_Toc342306194"/>
      <w:r>
        <w:rPr>
          <w:rFonts w:hint="eastAsia" w:ascii="宋体" w:hAnsi="宋体" w:cs="宋体"/>
          <w:b/>
          <w:kern w:val="0"/>
          <w:sz w:val="32"/>
          <w:szCs w:val="32"/>
        </w:rPr>
        <w:t>目 录</w:t>
      </w:r>
      <w:bookmarkEnd w:id="43"/>
      <w:bookmarkEnd w:id="44"/>
      <w:bookmarkEnd w:id="45"/>
      <w:bookmarkEnd w:id="46"/>
    </w:p>
    <w:p>
      <w:pPr>
        <w:pStyle w:val="26"/>
        <w:tabs>
          <w:tab w:val="right" w:leader="dot" w:pos="9214"/>
          <w:tab w:val="right" w:leader="dot" w:pos="10090"/>
          <w:tab w:val="clear" w:pos="9060"/>
        </w:tabs>
        <w:spacing w:after="120"/>
        <w:ind w:firstLine="270" w:firstLineChars="135"/>
        <w:jc w:val="distribute"/>
        <w:rPr>
          <w:rFonts w:cs="宋体"/>
          <w:b/>
          <w:sz w:val="22"/>
          <w:szCs w:val="22"/>
        </w:rPr>
      </w:pPr>
      <w:r>
        <w:rPr>
          <w:rFonts w:hint="eastAsia" w:cs="宋体"/>
          <w:sz w:val="20"/>
          <w:szCs w:val="20"/>
        </w:rPr>
        <w:fldChar w:fldCharType="begin"/>
      </w:r>
      <w:r>
        <w:rPr>
          <w:rFonts w:hint="eastAsia" w:cs="宋体"/>
          <w:sz w:val="20"/>
          <w:szCs w:val="20"/>
        </w:rPr>
        <w:instrText xml:space="preserve"> TOC \o "1-3" \h \z \u </w:instrText>
      </w:r>
      <w:r>
        <w:rPr>
          <w:rFonts w:hint="eastAsia" w:cs="宋体"/>
          <w:sz w:val="20"/>
          <w:szCs w:val="20"/>
        </w:rPr>
        <w:fldChar w:fldCharType="separate"/>
      </w:r>
      <w:r>
        <w:fldChar w:fldCharType="begin"/>
      </w:r>
      <w:r>
        <w:instrText xml:space="preserve"> HYPERLINK \l "_Toc342306195" </w:instrText>
      </w:r>
      <w:r>
        <w:fldChar w:fldCharType="separate"/>
      </w:r>
      <w:r>
        <w:rPr>
          <w:rStyle w:val="44"/>
          <w:rFonts w:hint="eastAsia" w:cs="宋体"/>
          <w:color w:val="auto"/>
          <w:sz w:val="20"/>
          <w:szCs w:val="22"/>
        </w:rPr>
        <w:t>第一部分  协 议 书</w:t>
      </w:r>
      <w:r>
        <w:rPr>
          <w:rFonts w:hint="eastAsia" w:cs="宋体"/>
          <w:sz w:val="22"/>
          <w:szCs w:val="22"/>
        </w:rPr>
        <w:tab/>
      </w:r>
      <w:r>
        <w:rPr>
          <w:rFonts w:hint="eastAsia" w:cs="宋体"/>
          <w:sz w:val="22"/>
          <w:szCs w:val="22"/>
        </w:rPr>
        <w:fldChar w:fldCharType="begin"/>
      </w:r>
      <w:r>
        <w:rPr>
          <w:rFonts w:hint="eastAsia" w:cs="宋体"/>
          <w:sz w:val="22"/>
          <w:szCs w:val="22"/>
        </w:rPr>
        <w:instrText xml:space="preserve"> PAGEREF _Toc342306195 \h </w:instrText>
      </w:r>
      <w:r>
        <w:rPr>
          <w:rFonts w:hint="eastAsia" w:cs="宋体"/>
          <w:sz w:val="22"/>
          <w:szCs w:val="22"/>
        </w:rPr>
        <w:fldChar w:fldCharType="separate"/>
      </w:r>
      <w:r>
        <w:rPr>
          <w:rFonts w:hint="eastAsia" w:cs="宋体"/>
          <w:sz w:val="22"/>
          <w:szCs w:val="22"/>
        </w:rPr>
        <w:t>90</w:t>
      </w:r>
      <w:r>
        <w:rPr>
          <w:rFonts w:hint="eastAsia" w:cs="宋体"/>
          <w:sz w:val="22"/>
          <w:szCs w:val="22"/>
        </w:rPr>
        <w:fldChar w:fldCharType="end"/>
      </w:r>
      <w:r>
        <w:rPr>
          <w:rFonts w:hint="eastAsia" w:cs="宋体"/>
          <w:sz w:val="22"/>
          <w:szCs w:val="22"/>
        </w:rPr>
        <w:fldChar w:fldCharType="end"/>
      </w:r>
    </w:p>
    <w:p>
      <w:pPr>
        <w:pStyle w:val="26"/>
        <w:tabs>
          <w:tab w:val="right" w:leader="dot" w:pos="9214"/>
          <w:tab w:val="right" w:leader="dot" w:pos="10090"/>
          <w:tab w:val="clear" w:pos="9060"/>
        </w:tabs>
        <w:spacing w:after="120"/>
        <w:ind w:firstLine="324" w:firstLineChars="135"/>
        <w:jc w:val="distribute"/>
        <w:rPr>
          <w:rFonts w:cs="宋体"/>
          <w:b/>
          <w:sz w:val="22"/>
          <w:szCs w:val="22"/>
        </w:rPr>
      </w:pPr>
      <w:r>
        <w:fldChar w:fldCharType="begin"/>
      </w:r>
      <w:r>
        <w:instrText xml:space="preserve"> HYPERLINK \l "_Toc342306206" </w:instrText>
      </w:r>
      <w:r>
        <w:fldChar w:fldCharType="separate"/>
      </w:r>
      <w:r>
        <w:rPr>
          <w:rStyle w:val="44"/>
          <w:rFonts w:hint="eastAsia" w:cs="宋体"/>
          <w:color w:val="auto"/>
          <w:sz w:val="20"/>
          <w:szCs w:val="22"/>
        </w:rPr>
        <w:t>第二部分  通用条款</w:t>
      </w:r>
      <w:r>
        <w:rPr>
          <w:rFonts w:hint="eastAsia" w:cs="宋体"/>
          <w:sz w:val="22"/>
          <w:szCs w:val="22"/>
        </w:rPr>
        <w:tab/>
      </w:r>
      <w:r>
        <w:rPr>
          <w:rFonts w:hint="eastAsia" w:cs="宋体"/>
          <w:sz w:val="22"/>
          <w:szCs w:val="22"/>
        </w:rPr>
        <w:fldChar w:fldCharType="begin"/>
      </w:r>
      <w:r>
        <w:rPr>
          <w:rFonts w:hint="eastAsia" w:cs="宋体"/>
          <w:sz w:val="22"/>
          <w:szCs w:val="22"/>
        </w:rPr>
        <w:instrText xml:space="preserve"> PAGEREF _Toc342306206 \h </w:instrText>
      </w:r>
      <w:r>
        <w:rPr>
          <w:rFonts w:hint="eastAsia" w:cs="宋体"/>
          <w:sz w:val="22"/>
          <w:szCs w:val="22"/>
        </w:rPr>
        <w:fldChar w:fldCharType="separate"/>
      </w:r>
      <w:r>
        <w:rPr>
          <w:rFonts w:hint="eastAsia" w:cs="宋体"/>
          <w:sz w:val="22"/>
          <w:szCs w:val="22"/>
        </w:rPr>
        <w:t>93</w:t>
      </w:r>
      <w:r>
        <w:rPr>
          <w:rFonts w:hint="eastAsia" w:cs="宋体"/>
          <w:sz w:val="22"/>
          <w:szCs w:val="22"/>
        </w:rPr>
        <w:fldChar w:fldCharType="end"/>
      </w:r>
      <w:r>
        <w:rPr>
          <w:rFonts w:hint="eastAsia" w:cs="宋体"/>
          <w:sz w:val="22"/>
          <w:szCs w:val="22"/>
        </w:rPr>
        <w:fldChar w:fldCharType="end"/>
      </w:r>
    </w:p>
    <w:p>
      <w:pPr>
        <w:pStyle w:val="26"/>
        <w:tabs>
          <w:tab w:val="right" w:leader="dot" w:pos="9214"/>
          <w:tab w:val="right" w:leader="dot" w:pos="10090"/>
          <w:tab w:val="clear" w:pos="9060"/>
        </w:tabs>
        <w:spacing w:after="120"/>
        <w:ind w:firstLine="324" w:firstLineChars="135"/>
        <w:jc w:val="distribute"/>
        <w:rPr>
          <w:rFonts w:cs="宋体"/>
          <w:b/>
          <w:sz w:val="22"/>
          <w:szCs w:val="22"/>
        </w:rPr>
      </w:pPr>
      <w:r>
        <w:fldChar w:fldCharType="begin"/>
      </w:r>
      <w:r>
        <w:instrText xml:space="preserve"> HYPERLINK \l "_Toc342306207" </w:instrText>
      </w:r>
      <w:r>
        <w:fldChar w:fldCharType="separate"/>
      </w:r>
      <w:r>
        <w:rPr>
          <w:rStyle w:val="44"/>
          <w:rFonts w:hint="eastAsia" w:cs="宋体"/>
          <w:color w:val="auto"/>
          <w:sz w:val="20"/>
          <w:szCs w:val="22"/>
        </w:rPr>
        <w:t>第三部分  专用条款</w:t>
      </w:r>
      <w:r>
        <w:rPr>
          <w:rFonts w:hint="eastAsia" w:cs="宋体"/>
          <w:sz w:val="22"/>
          <w:szCs w:val="22"/>
        </w:rPr>
        <w:tab/>
      </w:r>
      <w:r>
        <w:rPr>
          <w:rFonts w:hint="eastAsia" w:cs="宋体"/>
          <w:sz w:val="22"/>
          <w:szCs w:val="22"/>
        </w:rPr>
        <w:fldChar w:fldCharType="begin"/>
      </w:r>
      <w:r>
        <w:rPr>
          <w:rFonts w:hint="eastAsia" w:cs="宋体"/>
          <w:sz w:val="22"/>
          <w:szCs w:val="22"/>
        </w:rPr>
        <w:instrText xml:space="preserve"> PAGEREF _Toc342306207 \h </w:instrText>
      </w:r>
      <w:r>
        <w:rPr>
          <w:rFonts w:hint="eastAsia" w:cs="宋体"/>
          <w:sz w:val="22"/>
          <w:szCs w:val="22"/>
        </w:rPr>
        <w:fldChar w:fldCharType="separate"/>
      </w:r>
      <w:r>
        <w:rPr>
          <w:rFonts w:hint="eastAsia" w:cs="宋体"/>
          <w:sz w:val="22"/>
          <w:szCs w:val="22"/>
        </w:rPr>
        <w:t>94</w:t>
      </w:r>
      <w:r>
        <w:rPr>
          <w:rFonts w:hint="eastAsia" w:cs="宋体"/>
          <w:sz w:val="22"/>
          <w:szCs w:val="22"/>
        </w:rPr>
        <w:fldChar w:fldCharType="end"/>
      </w:r>
      <w:r>
        <w:rPr>
          <w:rFonts w:hint="eastAsia" w:cs="宋体"/>
          <w:sz w:val="22"/>
          <w:szCs w:val="22"/>
        </w:rPr>
        <w:fldChar w:fldCharType="end"/>
      </w:r>
    </w:p>
    <w:p>
      <w:pPr>
        <w:pStyle w:val="18"/>
        <w:tabs>
          <w:tab w:val="right" w:leader="dot" w:pos="9214"/>
          <w:tab w:val="right" w:leader="dot" w:pos="10090"/>
        </w:tabs>
        <w:ind w:left="840" w:firstLine="324" w:firstLineChars="135"/>
        <w:jc w:val="distribute"/>
        <w:rPr>
          <w:rFonts w:ascii="宋体" w:hAnsi="宋体" w:cs="宋体"/>
          <w:sz w:val="20"/>
        </w:rPr>
      </w:pPr>
      <w:r>
        <w:fldChar w:fldCharType="begin"/>
      </w:r>
      <w:r>
        <w:instrText xml:space="preserve"> HYPERLINK \l "_Toc342306208" </w:instrText>
      </w:r>
      <w:r>
        <w:fldChar w:fldCharType="separate"/>
      </w:r>
      <w:r>
        <w:rPr>
          <w:rStyle w:val="44"/>
          <w:rFonts w:hint="eastAsia" w:ascii="宋体" w:hAnsi="宋体" w:cs="宋体"/>
          <w:color w:val="auto"/>
          <w:sz w:val="20"/>
        </w:rPr>
        <w:t>1</w:t>
      </w:r>
      <w:r>
        <w:rPr>
          <w:rStyle w:val="44"/>
          <w:rFonts w:hint="eastAsia" w:ascii="宋体" w:hAnsi="宋体" w:cs="宋体"/>
          <w:bCs/>
          <w:color w:val="auto"/>
          <w:kern w:val="44"/>
          <w:sz w:val="20"/>
        </w:rPr>
        <w:t>． 定义</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_Toc342306208 \h </w:instrText>
      </w:r>
      <w:r>
        <w:rPr>
          <w:rFonts w:hint="eastAsia" w:ascii="宋体" w:hAnsi="宋体" w:cs="宋体"/>
          <w:sz w:val="20"/>
        </w:rPr>
        <w:fldChar w:fldCharType="separate"/>
      </w:r>
      <w:r>
        <w:rPr>
          <w:rFonts w:hint="eastAsia" w:ascii="宋体" w:hAnsi="宋体" w:cs="宋体"/>
          <w:sz w:val="20"/>
        </w:rPr>
        <w:t>94</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324" w:firstLineChars="135"/>
        <w:jc w:val="distribute"/>
        <w:rPr>
          <w:rFonts w:ascii="宋体" w:hAnsi="宋体" w:cs="宋体"/>
          <w:sz w:val="20"/>
        </w:rPr>
      </w:pPr>
      <w:r>
        <w:fldChar w:fldCharType="begin"/>
      </w:r>
      <w:r>
        <w:instrText xml:space="preserve"> HYPERLINK \l "_Toc342306209" </w:instrText>
      </w:r>
      <w:r>
        <w:fldChar w:fldCharType="separate"/>
      </w:r>
      <w:r>
        <w:rPr>
          <w:rStyle w:val="44"/>
          <w:rFonts w:hint="eastAsia" w:ascii="宋体" w:hAnsi="宋体" w:cs="宋体"/>
          <w:color w:val="auto"/>
          <w:sz w:val="20"/>
        </w:rPr>
        <w:t>2． 合同文件及解释</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_Toc342306209 \h </w:instrText>
      </w:r>
      <w:r>
        <w:rPr>
          <w:rFonts w:hint="eastAsia" w:ascii="宋体" w:hAnsi="宋体" w:cs="宋体"/>
          <w:sz w:val="20"/>
        </w:rPr>
        <w:fldChar w:fldCharType="separate"/>
      </w:r>
      <w:r>
        <w:rPr>
          <w:rFonts w:hint="eastAsia" w:ascii="宋体" w:hAnsi="宋体" w:cs="宋体"/>
          <w:sz w:val="20"/>
        </w:rPr>
        <w:t>94</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"_Toc342306210" </w:instrText>
      </w:r>
      <w:r>
        <w:rPr>
          <w:rFonts w:hint="eastAsia" w:ascii="宋体" w:hAnsi="宋体" w:cs="宋体"/>
          <w:sz w:val="20"/>
        </w:rPr>
        <w:fldChar w:fldCharType="separate"/>
      </w:r>
      <w:r>
        <w:rPr>
          <w:rStyle w:val="44"/>
          <w:rFonts w:hint="eastAsia" w:ascii="宋体" w:hAnsi="宋体" w:cs="宋体"/>
          <w:color w:val="auto"/>
          <w:sz w:val="20"/>
        </w:rPr>
        <w:t>4． 语言及适用的法律、标准与规范</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_Toc342306210 \h </w:instrText>
      </w:r>
      <w:r>
        <w:rPr>
          <w:rFonts w:hint="eastAsia" w:ascii="宋体" w:hAnsi="宋体" w:cs="宋体"/>
          <w:sz w:val="20"/>
        </w:rPr>
        <w:fldChar w:fldCharType="separate"/>
      </w:r>
      <w:r>
        <w:rPr>
          <w:rFonts w:hint="eastAsia" w:ascii="宋体" w:hAnsi="宋体" w:cs="宋体"/>
          <w:sz w:val="20"/>
        </w:rPr>
        <w:t>94</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"_Toc342306211" </w:instrText>
      </w:r>
      <w:r>
        <w:rPr>
          <w:rFonts w:hint="eastAsia" w:ascii="宋体" w:hAnsi="宋体" w:cs="宋体"/>
          <w:sz w:val="20"/>
        </w:rPr>
        <w:fldChar w:fldCharType="separate"/>
      </w:r>
      <w:r>
        <w:rPr>
          <w:rStyle w:val="44"/>
          <w:rFonts w:hint="eastAsia" w:ascii="宋体" w:hAnsi="宋体" w:cs="宋体"/>
          <w:color w:val="auto"/>
          <w:sz w:val="20"/>
        </w:rPr>
        <w:t>5． 施工设计图纸</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_Toc342306211 \h </w:instrText>
      </w:r>
      <w:r>
        <w:rPr>
          <w:rFonts w:hint="eastAsia" w:ascii="宋体" w:hAnsi="宋体" w:cs="宋体"/>
          <w:sz w:val="20"/>
        </w:rPr>
        <w:fldChar w:fldCharType="separate"/>
      </w:r>
      <w:r>
        <w:rPr>
          <w:rFonts w:hint="eastAsia" w:ascii="宋体" w:hAnsi="宋体" w:cs="宋体"/>
          <w:sz w:val="20"/>
        </w:rPr>
        <w:t>94</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"_Toc342306212" </w:instrText>
      </w:r>
      <w:r>
        <w:rPr>
          <w:rFonts w:hint="eastAsia" w:ascii="宋体" w:hAnsi="宋体" w:cs="宋体"/>
          <w:sz w:val="20"/>
        </w:rPr>
        <w:fldChar w:fldCharType="separate"/>
      </w:r>
      <w:r>
        <w:rPr>
          <w:rStyle w:val="44"/>
          <w:rFonts w:hint="eastAsia" w:ascii="宋体" w:hAnsi="宋体" w:cs="宋体"/>
          <w:color w:val="auto"/>
          <w:sz w:val="20"/>
        </w:rPr>
        <w:t>6． 通讯联络</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_Toc342306212 \h </w:instrText>
      </w:r>
      <w:r>
        <w:rPr>
          <w:rFonts w:hint="eastAsia" w:ascii="宋体" w:hAnsi="宋体" w:cs="宋体"/>
          <w:sz w:val="20"/>
        </w:rPr>
        <w:fldChar w:fldCharType="separate"/>
      </w:r>
      <w:r>
        <w:rPr>
          <w:rFonts w:hint="eastAsia" w:ascii="宋体" w:hAnsi="宋体" w:cs="宋体"/>
          <w:sz w:val="20"/>
        </w:rPr>
        <w:t>94</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"_Toc342306213" </w:instrText>
      </w:r>
      <w:r>
        <w:rPr>
          <w:rFonts w:hint="eastAsia" w:ascii="宋体" w:hAnsi="宋体" w:cs="宋体"/>
          <w:sz w:val="20"/>
        </w:rPr>
        <w:fldChar w:fldCharType="separate"/>
      </w:r>
      <w:r>
        <w:rPr>
          <w:rStyle w:val="44"/>
          <w:rFonts w:hint="eastAsia" w:ascii="宋体" w:hAnsi="宋体" w:cs="宋体"/>
          <w:color w:val="auto"/>
          <w:sz w:val="20"/>
        </w:rPr>
        <w:t>7． 工程分包</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_Toc342306213 \h </w:instrText>
      </w:r>
      <w:r>
        <w:rPr>
          <w:rFonts w:hint="eastAsia" w:ascii="宋体" w:hAnsi="宋体" w:cs="宋体"/>
          <w:sz w:val="20"/>
        </w:rPr>
        <w:fldChar w:fldCharType="separate"/>
      </w:r>
      <w:r>
        <w:rPr>
          <w:rFonts w:hint="eastAsia" w:ascii="宋体" w:hAnsi="宋体" w:cs="宋体"/>
          <w:sz w:val="20"/>
        </w:rPr>
        <w:t>95</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"_Toc342306214" </w:instrText>
      </w:r>
      <w:r>
        <w:rPr>
          <w:rFonts w:hint="eastAsia" w:ascii="宋体" w:hAnsi="宋体" w:cs="宋体"/>
          <w:sz w:val="20"/>
        </w:rPr>
        <w:fldChar w:fldCharType="separate"/>
      </w:r>
      <w:r>
        <w:rPr>
          <w:rStyle w:val="44"/>
          <w:rFonts w:hint="eastAsia" w:ascii="宋体" w:hAnsi="宋体" w:cs="宋体"/>
          <w:color w:val="auto"/>
          <w:sz w:val="20"/>
        </w:rPr>
        <w:t>10．投标文件的完备性</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_Toc342306214 \h </w:instrText>
      </w:r>
      <w:r>
        <w:rPr>
          <w:rFonts w:hint="eastAsia" w:ascii="宋体" w:hAnsi="宋体" w:cs="宋体"/>
          <w:sz w:val="20"/>
        </w:rPr>
        <w:fldChar w:fldCharType="separate"/>
      </w:r>
      <w:r>
        <w:rPr>
          <w:rFonts w:hint="eastAsia" w:ascii="宋体" w:hAnsi="宋体" w:cs="宋体"/>
          <w:sz w:val="20"/>
        </w:rPr>
        <w:t>95</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"_Toc342306215" </w:instrText>
      </w:r>
      <w:r>
        <w:rPr>
          <w:rFonts w:hint="eastAsia" w:ascii="宋体" w:hAnsi="宋体" w:cs="宋体"/>
          <w:sz w:val="20"/>
        </w:rPr>
        <w:fldChar w:fldCharType="separate"/>
      </w:r>
      <w:r>
        <w:rPr>
          <w:rStyle w:val="44"/>
          <w:rFonts w:hint="eastAsia" w:ascii="宋体" w:hAnsi="宋体" w:cs="宋体"/>
          <w:color w:val="auto"/>
          <w:sz w:val="20"/>
        </w:rPr>
        <w:t>13．交通运输</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_Toc342306215 \h </w:instrText>
      </w:r>
      <w:r>
        <w:rPr>
          <w:rFonts w:hint="eastAsia" w:ascii="宋体" w:hAnsi="宋体" w:cs="宋体"/>
          <w:sz w:val="20"/>
        </w:rPr>
        <w:fldChar w:fldCharType="separate"/>
      </w:r>
      <w:r>
        <w:rPr>
          <w:rFonts w:hint="eastAsia" w:ascii="宋体" w:hAnsi="宋体" w:cs="宋体"/>
          <w:sz w:val="20"/>
        </w:rPr>
        <w:t>95</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"_Toc342306216" </w:instrText>
      </w:r>
      <w:r>
        <w:rPr>
          <w:rFonts w:hint="eastAsia" w:ascii="宋体" w:hAnsi="宋体" w:cs="宋体"/>
          <w:sz w:val="20"/>
        </w:rPr>
        <w:fldChar w:fldCharType="separate"/>
      </w:r>
      <w:r>
        <w:rPr>
          <w:rStyle w:val="44"/>
          <w:rFonts w:hint="eastAsia" w:ascii="宋体" w:hAnsi="宋体" w:cs="宋体"/>
          <w:color w:val="auto"/>
          <w:sz w:val="20"/>
        </w:rPr>
        <w:t>14．专项批准事件的签认</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_Toc342306216 \h </w:instrText>
      </w:r>
      <w:r>
        <w:rPr>
          <w:rFonts w:hint="eastAsia" w:ascii="宋体" w:hAnsi="宋体" w:cs="宋体"/>
          <w:sz w:val="20"/>
        </w:rPr>
        <w:fldChar w:fldCharType="separate"/>
      </w:r>
      <w:r>
        <w:rPr>
          <w:rFonts w:hint="eastAsia" w:ascii="宋体" w:hAnsi="宋体" w:cs="宋体"/>
          <w:sz w:val="20"/>
        </w:rPr>
        <w:t>95</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"_Toc342306217" </w:instrText>
      </w:r>
      <w:r>
        <w:rPr>
          <w:rFonts w:hint="eastAsia" w:ascii="宋体" w:hAnsi="宋体" w:cs="宋体"/>
          <w:sz w:val="20"/>
        </w:rPr>
        <w:fldChar w:fldCharType="separate"/>
      </w:r>
      <w:r>
        <w:rPr>
          <w:rStyle w:val="44"/>
          <w:rFonts w:hint="eastAsia" w:ascii="宋体" w:hAnsi="宋体" w:cs="宋体"/>
          <w:color w:val="auto"/>
          <w:sz w:val="20"/>
        </w:rPr>
        <w:t>19．发包人</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_Toc342306217 \h </w:instrText>
      </w:r>
      <w:r>
        <w:rPr>
          <w:rFonts w:hint="eastAsia" w:ascii="宋体" w:hAnsi="宋体" w:cs="宋体"/>
          <w:sz w:val="20"/>
        </w:rPr>
        <w:fldChar w:fldCharType="separate"/>
      </w:r>
      <w:r>
        <w:rPr>
          <w:rFonts w:hint="eastAsia" w:ascii="宋体" w:hAnsi="宋体" w:cs="宋体"/>
          <w:sz w:val="20"/>
        </w:rPr>
        <w:t>95</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"_Toc342306218" </w:instrText>
      </w:r>
      <w:r>
        <w:rPr>
          <w:rFonts w:hint="eastAsia" w:ascii="宋体" w:hAnsi="宋体" w:cs="宋体"/>
          <w:sz w:val="20"/>
        </w:rPr>
        <w:fldChar w:fldCharType="separate"/>
      </w:r>
      <w:r>
        <w:rPr>
          <w:rStyle w:val="44"/>
          <w:rFonts w:hint="eastAsia" w:ascii="宋体" w:hAnsi="宋体" w:cs="宋体"/>
          <w:color w:val="auto"/>
          <w:sz w:val="20"/>
        </w:rPr>
        <w:t>20．承包人</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_Toc342306218 \h </w:instrText>
      </w:r>
      <w:r>
        <w:rPr>
          <w:rFonts w:hint="eastAsia" w:ascii="宋体" w:hAnsi="宋体" w:cs="宋体"/>
          <w:sz w:val="20"/>
        </w:rPr>
        <w:fldChar w:fldCharType="separate"/>
      </w:r>
      <w:r>
        <w:rPr>
          <w:rFonts w:hint="eastAsia" w:ascii="宋体" w:hAnsi="宋体" w:cs="宋体"/>
          <w:sz w:val="20"/>
        </w:rPr>
        <w:t>96</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"_Toc342306219" </w:instrText>
      </w:r>
      <w:r>
        <w:rPr>
          <w:rFonts w:hint="eastAsia" w:ascii="宋体" w:hAnsi="宋体" w:cs="宋体"/>
          <w:sz w:val="20"/>
        </w:rPr>
        <w:fldChar w:fldCharType="separate"/>
      </w:r>
      <w:r>
        <w:rPr>
          <w:rStyle w:val="44"/>
          <w:rFonts w:hint="eastAsia" w:ascii="宋体" w:hAnsi="宋体" w:cs="宋体"/>
          <w:color w:val="auto"/>
          <w:sz w:val="20"/>
        </w:rPr>
        <w:t>21．现场管理人员任命和更换</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_Toc342306219 \h </w:instrText>
      </w:r>
      <w:r>
        <w:rPr>
          <w:rFonts w:hint="eastAsia" w:ascii="宋体" w:hAnsi="宋体" w:cs="宋体"/>
          <w:sz w:val="20"/>
        </w:rPr>
        <w:fldChar w:fldCharType="separate"/>
      </w:r>
      <w:r>
        <w:rPr>
          <w:rFonts w:hint="eastAsia" w:ascii="宋体" w:hAnsi="宋体" w:cs="宋体"/>
          <w:sz w:val="20"/>
        </w:rPr>
        <w:t>97</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"_Toc342306220" </w:instrText>
      </w:r>
      <w:r>
        <w:rPr>
          <w:rFonts w:hint="eastAsia" w:ascii="宋体" w:hAnsi="宋体" w:cs="宋体"/>
          <w:sz w:val="20"/>
        </w:rPr>
        <w:fldChar w:fldCharType="separate"/>
      </w:r>
      <w:r>
        <w:rPr>
          <w:rStyle w:val="44"/>
          <w:rFonts w:hint="eastAsia" w:ascii="宋体" w:hAnsi="宋体" w:cs="宋体"/>
          <w:color w:val="auto"/>
          <w:sz w:val="20"/>
        </w:rPr>
        <w:t>22．发包人代表</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_Toc342306220 \h </w:instrText>
      </w:r>
      <w:r>
        <w:rPr>
          <w:rFonts w:hint="eastAsia" w:ascii="宋体" w:hAnsi="宋体" w:cs="宋体"/>
          <w:sz w:val="20"/>
        </w:rPr>
        <w:fldChar w:fldCharType="separate"/>
      </w:r>
      <w:r>
        <w:rPr>
          <w:rFonts w:hint="eastAsia" w:ascii="宋体" w:hAnsi="宋体" w:cs="宋体"/>
          <w:sz w:val="20"/>
        </w:rPr>
        <w:t>98</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"_Toc342306221" </w:instrText>
      </w:r>
      <w:r>
        <w:rPr>
          <w:rFonts w:hint="eastAsia" w:ascii="宋体" w:hAnsi="宋体" w:cs="宋体"/>
          <w:sz w:val="20"/>
        </w:rPr>
        <w:fldChar w:fldCharType="separate"/>
      </w:r>
      <w:r>
        <w:rPr>
          <w:rStyle w:val="44"/>
          <w:rFonts w:hint="eastAsia" w:ascii="宋体" w:hAnsi="宋体" w:cs="宋体"/>
          <w:color w:val="auto"/>
          <w:sz w:val="20"/>
        </w:rPr>
        <w:t>23．监理工程师</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_Toc342306221 \h </w:instrText>
      </w:r>
      <w:r>
        <w:rPr>
          <w:rFonts w:hint="eastAsia" w:ascii="宋体" w:hAnsi="宋体" w:cs="宋体"/>
          <w:sz w:val="20"/>
        </w:rPr>
        <w:fldChar w:fldCharType="separate"/>
      </w:r>
      <w:r>
        <w:rPr>
          <w:rFonts w:hint="eastAsia" w:ascii="宋体" w:hAnsi="宋体" w:cs="宋体"/>
          <w:sz w:val="20"/>
        </w:rPr>
        <w:t>98</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"_Toc342306222" </w:instrText>
      </w:r>
      <w:r>
        <w:rPr>
          <w:rFonts w:hint="eastAsia" w:ascii="宋体" w:hAnsi="宋体" w:cs="宋体"/>
          <w:sz w:val="20"/>
        </w:rPr>
        <w:fldChar w:fldCharType="separate"/>
      </w:r>
      <w:r>
        <w:rPr>
          <w:rStyle w:val="44"/>
          <w:rFonts w:hint="eastAsia" w:ascii="宋体" w:hAnsi="宋体" w:cs="宋体"/>
          <w:color w:val="auto"/>
          <w:sz w:val="20"/>
        </w:rPr>
        <w:t>24．造价工程师</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_Toc342306222 \h </w:instrText>
      </w:r>
      <w:r>
        <w:rPr>
          <w:rFonts w:hint="eastAsia" w:ascii="宋体" w:hAnsi="宋体" w:cs="宋体"/>
          <w:sz w:val="20"/>
        </w:rPr>
        <w:fldChar w:fldCharType="separate"/>
      </w:r>
      <w:r>
        <w:rPr>
          <w:rFonts w:hint="eastAsia" w:ascii="宋体" w:hAnsi="宋体" w:cs="宋体"/>
          <w:sz w:val="20"/>
        </w:rPr>
        <w:t>98</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"_Toc342306223" </w:instrText>
      </w:r>
      <w:r>
        <w:rPr>
          <w:rFonts w:hint="eastAsia" w:ascii="宋体" w:hAnsi="宋体" w:cs="宋体"/>
          <w:sz w:val="20"/>
        </w:rPr>
        <w:fldChar w:fldCharType="separate"/>
      </w:r>
      <w:r>
        <w:rPr>
          <w:rStyle w:val="44"/>
          <w:rFonts w:hint="eastAsia" w:ascii="宋体" w:hAnsi="宋体" w:cs="宋体"/>
          <w:color w:val="auto"/>
          <w:sz w:val="20"/>
        </w:rPr>
        <w:t>25．承包人代表</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_Toc342306223 \h </w:instrText>
      </w:r>
      <w:r>
        <w:rPr>
          <w:rFonts w:hint="eastAsia" w:ascii="宋体" w:hAnsi="宋体" w:cs="宋体"/>
          <w:sz w:val="20"/>
        </w:rPr>
        <w:fldChar w:fldCharType="separate"/>
      </w:r>
      <w:r>
        <w:rPr>
          <w:rFonts w:hint="eastAsia" w:ascii="宋体" w:hAnsi="宋体" w:cs="宋体"/>
          <w:sz w:val="20"/>
        </w:rPr>
        <w:t>99</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"_Toc342306224" </w:instrText>
      </w:r>
      <w:r>
        <w:rPr>
          <w:rFonts w:hint="eastAsia" w:ascii="宋体" w:hAnsi="宋体" w:cs="宋体"/>
          <w:sz w:val="20"/>
        </w:rPr>
        <w:fldChar w:fldCharType="separate"/>
      </w:r>
      <w:r>
        <w:rPr>
          <w:rStyle w:val="44"/>
          <w:rFonts w:hint="eastAsia" w:ascii="宋体" w:hAnsi="宋体" w:cs="宋体"/>
          <w:color w:val="auto"/>
          <w:sz w:val="20"/>
        </w:rPr>
        <w:t>26．指定分包人</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_Toc342306224 \h </w:instrText>
      </w:r>
      <w:r>
        <w:rPr>
          <w:rFonts w:hint="eastAsia" w:ascii="宋体" w:hAnsi="宋体" w:cs="宋体"/>
          <w:sz w:val="20"/>
        </w:rPr>
        <w:fldChar w:fldCharType="separate"/>
      </w:r>
      <w:r>
        <w:rPr>
          <w:rFonts w:hint="eastAsia" w:ascii="宋体" w:hAnsi="宋体" w:cs="宋体"/>
          <w:sz w:val="20"/>
        </w:rPr>
        <w:t>99</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"_Toc342306225" </w:instrText>
      </w:r>
      <w:r>
        <w:rPr>
          <w:rFonts w:hint="eastAsia" w:ascii="宋体" w:hAnsi="宋体" w:cs="宋体"/>
          <w:sz w:val="20"/>
        </w:rPr>
        <w:fldChar w:fldCharType="separate"/>
      </w:r>
      <w:r>
        <w:rPr>
          <w:rStyle w:val="44"/>
          <w:rFonts w:hint="eastAsia" w:ascii="宋体" w:hAnsi="宋体" w:cs="宋体"/>
          <w:color w:val="auto"/>
          <w:sz w:val="20"/>
        </w:rPr>
        <w:t>27．承包人劳务</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_Toc342306225 \h </w:instrText>
      </w:r>
      <w:r>
        <w:rPr>
          <w:rFonts w:hint="eastAsia" w:ascii="宋体" w:hAnsi="宋体" w:cs="宋体"/>
          <w:sz w:val="20"/>
        </w:rPr>
        <w:fldChar w:fldCharType="separate"/>
      </w:r>
      <w:r>
        <w:rPr>
          <w:rFonts w:hint="eastAsia" w:ascii="宋体" w:hAnsi="宋体" w:cs="宋体"/>
          <w:sz w:val="20"/>
        </w:rPr>
        <w:t>99</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"_Toc342306226" </w:instrText>
      </w:r>
      <w:r>
        <w:rPr>
          <w:rFonts w:hint="eastAsia" w:ascii="宋体" w:hAnsi="宋体" w:cs="宋体"/>
          <w:sz w:val="20"/>
        </w:rPr>
        <w:fldChar w:fldCharType="separate"/>
      </w:r>
      <w:r>
        <w:rPr>
          <w:rStyle w:val="44"/>
          <w:rFonts w:hint="eastAsia" w:ascii="宋体" w:hAnsi="宋体" w:cs="宋体"/>
          <w:color w:val="auto"/>
          <w:sz w:val="20"/>
        </w:rPr>
        <w:t>28．工程担保</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_Toc342306226 \h </w:instrText>
      </w:r>
      <w:r>
        <w:rPr>
          <w:rFonts w:hint="eastAsia" w:ascii="宋体" w:hAnsi="宋体" w:cs="宋体"/>
          <w:sz w:val="20"/>
        </w:rPr>
        <w:fldChar w:fldCharType="separate"/>
      </w:r>
      <w:r>
        <w:rPr>
          <w:rFonts w:hint="eastAsia" w:ascii="宋体" w:hAnsi="宋体" w:cs="宋体"/>
          <w:sz w:val="20"/>
        </w:rPr>
        <w:t>99</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"_Toc342306227" </w:instrText>
      </w:r>
      <w:r>
        <w:rPr>
          <w:rFonts w:hint="eastAsia" w:ascii="宋体" w:hAnsi="宋体" w:cs="宋体"/>
          <w:sz w:val="20"/>
        </w:rPr>
        <w:fldChar w:fldCharType="separate"/>
      </w:r>
      <w:r>
        <w:rPr>
          <w:rStyle w:val="44"/>
          <w:rFonts w:hint="eastAsia" w:ascii="宋体" w:hAnsi="宋体" w:cs="宋体"/>
          <w:color w:val="auto"/>
          <w:sz w:val="20"/>
        </w:rPr>
        <w:t>31．不可抗力</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_Toc342306227 \h </w:instrText>
      </w:r>
      <w:r>
        <w:rPr>
          <w:rFonts w:hint="eastAsia" w:ascii="宋体" w:hAnsi="宋体" w:cs="宋体"/>
          <w:sz w:val="20"/>
        </w:rPr>
        <w:fldChar w:fldCharType="separate"/>
      </w:r>
      <w:r>
        <w:rPr>
          <w:rFonts w:hint="eastAsia" w:ascii="宋体" w:hAnsi="宋体" w:cs="宋体"/>
          <w:sz w:val="20"/>
        </w:rPr>
        <w:t>100</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"_Toc342306228" </w:instrText>
      </w:r>
      <w:r>
        <w:rPr>
          <w:rFonts w:hint="eastAsia" w:ascii="宋体" w:hAnsi="宋体" w:cs="宋体"/>
          <w:sz w:val="20"/>
        </w:rPr>
        <w:fldChar w:fldCharType="separate"/>
      </w:r>
      <w:r>
        <w:rPr>
          <w:rStyle w:val="44"/>
          <w:rFonts w:hint="eastAsia" w:ascii="宋体" w:hAnsi="宋体" w:cs="宋体"/>
          <w:color w:val="auto"/>
          <w:sz w:val="20"/>
        </w:rPr>
        <w:t>32．保险</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_Toc342306228 \h </w:instrText>
      </w:r>
      <w:r>
        <w:rPr>
          <w:rFonts w:hint="eastAsia" w:ascii="宋体" w:hAnsi="宋体" w:cs="宋体"/>
          <w:sz w:val="20"/>
        </w:rPr>
        <w:fldChar w:fldCharType="separate"/>
      </w:r>
      <w:r>
        <w:rPr>
          <w:rFonts w:hint="eastAsia" w:ascii="宋体" w:hAnsi="宋体" w:cs="宋体"/>
          <w:sz w:val="20"/>
        </w:rPr>
        <w:t>100</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"_Toc342306229" </w:instrText>
      </w:r>
      <w:r>
        <w:rPr>
          <w:rFonts w:hint="eastAsia" w:ascii="宋体" w:hAnsi="宋体" w:cs="宋体"/>
          <w:sz w:val="20"/>
        </w:rPr>
        <w:fldChar w:fldCharType="separate"/>
      </w:r>
      <w:r>
        <w:rPr>
          <w:rStyle w:val="44"/>
          <w:rFonts w:hint="eastAsia" w:ascii="宋体" w:hAnsi="宋体" w:cs="宋体"/>
          <w:color w:val="auto"/>
          <w:sz w:val="20"/>
        </w:rPr>
        <w:t>33．进度计划和报告</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_Toc342306229 \h </w:instrText>
      </w:r>
      <w:r>
        <w:rPr>
          <w:rFonts w:hint="eastAsia" w:ascii="宋体" w:hAnsi="宋体" w:cs="宋体"/>
          <w:sz w:val="20"/>
        </w:rPr>
        <w:fldChar w:fldCharType="separate"/>
      </w:r>
      <w:r>
        <w:rPr>
          <w:rFonts w:hint="eastAsia" w:ascii="宋体" w:hAnsi="宋体" w:cs="宋体"/>
          <w:sz w:val="20"/>
        </w:rPr>
        <w:t>100</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"_Toc342306230" </w:instrText>
      </w:r>
      <w:r>
        <w:rPr>
          <w:rFonts w:hint="eastAsia" w:ascii="宋体" w:hAnsi="宋体" w:cs="宋体"/>
          <w:sz w:val="20"/>
        </w:rPr>
        <w:fldChar w:fldCharType="separate"/>
      </w:r>
      <w:r>
        <w:rPr>
          <w:rStyle w:val="44"/>
          <w:rFonts w:hint="eastAsia" w:ascii="宋体" w:hAnsi="宋体" w:cs="宋体"/>
          <w:color w:val="auto"/>
          <w:sz w:val="20"/>
        </w:rPr>
        <w:t>34．开工</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_Toc342306230 \h </w:instrText>
      </w:r>
      <w:r>
        <w:rPr>
          <w:rFonts w:hint="eastAsia" w:ascii="宋体" w:hAnsi="宋体" w:cs="宋体"/>
          <w:sz w:val="20"/>
        </w:rPr>
        <w:fldChar w:fldCharType="separate"/>
      </w:r>
      <w:r>
        <w:rPr>
          <w:rFonts w:hint="eastAsia" w:ascii="宋体" w:hAnsi="宋体" w:cs="宋体"/>
          <w:sz w:val="20"/>
        </w:rPr>
        <w:t>100</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"_Toc342306231" </w:instrText>
      </w:r>
      <w:r>
        <w:rPr>
          <w:rFonts w:hint="eastAsia" w:ascii="宋体" w:hAnsi="宋体" w:cs="宋体"/>
          <w:sz w:val="20"/>
        </w:rPr>
        <w:fldChar w:fldCharType="separate"/>
      </w:r>
      <w:r>
        <w:rPr>
          <w:rStyle w:val="44"/>
          <w:rFonts w:hint="eastAsia" w:ascii="宋体" w:hAnsi="宋体" w:cs="宋体"/>
          <w:color w:val="auto"/>
          <w:sz w:val="20"/>
        </w:rPr>
        <w:t>35．暂停施工和复工</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_Toc342306231 \h </w:instrText>
      </w:r>
      <w:r>
        <w:rPr>
          <w:rFonts w:hint="eastAsia" w:ascii="宋体" w:hAnsi="宋体" w:cs="宋体"/>
          <w:sz w:val="20"/>
        </w:rPr>
        <w:fldChar w:fldCharType="separate"/>
      </w:r>
      <w:r>
        <w:rPr>
          <w:rFonts w:hint="eastAsia" w:ascii="宋体" w:hAnsi="宋体" w:cs="宋体"/>
          <w:sz w:val="20"/>
        </w:rPr>
        <w:t>100</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"_Toc342306232" </w:instrText>
      </w:r>
      <w:r>
        <w:rPr>
          <w:rFonts w:hint="eastAsia" w:ascii="宋体" w:hAnsi="宋体" w:cs="宋体"/>
          <w:sz w:val="20"/>
        </w:rPr>
        <w:fldChar w:fldCharType="separate"/>
      </w:r>
      <w:r>
        <w:rPr>
          <w:rStyle w:val="44"/>
          <w:rFonts w:hint="eastAsia" w:ascii="宋体" w:hAnsi="宋体" w:cs="宋体"/>
          <w:color w:val="auto"/>
          <w:sz w:val="20"/>
        </w:rPr>
        <w:t>36．工期及工期延误</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_Toc342306232 \h </w:instrText>
      </w:r>
      <w:r>
        <w:rPr>
          <w:rFonts w:hint="eastAsia" w:ascii="宋体" w:hAnsi="宋体" w:cs="宋体"/>
          <w:sz w:val="20"/>
        </w:rPr>
        <w:fldChar w:fldCharType="separate"/>
      </w:r>
      <w:r>
        <w:rPr>
          <w:rFonts w:hint="eastAsia" w:ascii="宋体" w:hAnsi="宋体" w:cs="宋体"/>
          <w:sz w:val="20"/>
        </w:rPr>
        <w:t>100</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"_Toc342306233" </w:instrText>
      </w:r>
      <w:r>
        <w:rPr>
          <w:rFonts w:hint="eastAsia" w:ascii="宋体" w:hAnsi="宋体" w:cs="宋体"/>
          <w:sz w:val="20"/>
        </w:rPr>
        <w:fldChar w:fldCharType="separate"/>
      </w:r>
      <w:r>
        <w:rPr>
          <w:rStyle w:val="44"/>
          <w:rFonts w:hint="eastAsia" w:ascii="宋体" w:hAnsi="宋体" w:cs="宋体"/>
          <w:color w:val="auto"/>
          <w:sz w:val="20"/>
        </w:rPr>
        <w:t>38．竣工日期</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_Toc342306233 \h </w:instrText>
      </w:r>
      <w:r>
        <w:rPr>
          <w:rFonts w:hint="eastAsia" w:ascii="宋体" w:hAnsi="宋体" w:cs="宋体"/>
          <w:sz w:val="20"/>
        </w:rPr>
        <w:fldChar w:fldCharType="separate"/>
      </w:r>
      <w:r>
        <w:rPr>
          <w:rFonts w:hint="eastAsia" w:ascii="宋体" w:hAnsi="宋体" w:cs="宋体"/>
          <w:sz w:val="20"/>
        </w:rPr>
        <w:t>101</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"_Toc342306234" </w:instrText>
      </w:r>
      <w:r>
        <w:rPr>
          <w:rFonts w:hint="eastAsia" w:ascii="宋体" w:hAnsi="宋体" w:cs="宋体"/>
          <w:sz w:val="20"/>
        </w:rPr>
        <w:fldChar w:fldCharType="separate"/>
      </w:r>
      <w:r>
        <w:rPr>
          <w:rStyle w:val="44"/>
          <w:rFonts w:hint="eastAsia" w:ascii="宋体" w:hAnsi="宋体" w:cs="宋体"/>
          <w:color w:val="auto"/>
          <w:sz w:val="20"/>
        </w:rPr>
        <w:t>41．质量与安全管理</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_Toc342306234 \h </w:instrText>
      </w:r>
      <w:r>
        <w:rPr>
          <w:rFonts w:hint="eastAsia" w:ascii="宋体" w:hAnsi="宋体" w:cs="宋体"/>
          <w:sz w:val="20"/>
        </w:rPr>
        <w:fldChar w:fldCharType="separate"/>
      </w:r>
      <w:r>
        <w:rPr>
          <w:rFonts w:hint="eastAsia" w:ascii="宋体" w:hAnsi="宋体" w:cs="宋体"/>
          <w:sz w:val="20"/>
        </w:rPr>
        <w:t>101</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"_Toc342306235" </w:instrText>
      </w:r>
      <w:r>
        <w:rPr>
          <w:rFonts w:hint="eastAsia" w:ascii="宋体" w:hAnsi="宋体" w:cs="宋体"/>
          <w:sz w:val="20"/>
        </w:rPr>
        <w:fldChar w:fldCharType="separate"/>
      </w:r>
      <w:r>
        <w:rPr>
          <w:rStyle w:val="44"/>
          <w:rFonts w:hint="eastAsia" w:ascii="宋体" w:hAnsi="宋体" w:cs="宋体"/>
          <w:color w:val="auto"/>
          <w:sz w:val="20"/>
        </w:rPr>
        <w:t>42．质量目标</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_Toc342306235 \h </w:instrText>
      </w:r>
      <w:r>
        <w:rPr>
          <w:rFonts w:hint="eastAsia" w:ascii="宋体" w:hAnsi="宋体" w:cs="宋体"/>
          <w:sz w:val="20"/>
        </w:rPr>
        <w:fldChar w:fldCharType="separate"/>
      </w:r>
      <w:r>
        <w:rPr>
          <w:rFonts w:hint="eastAsia" w:ascii="宋体" w:hAnsi="宋体" w:cs="宋体"/>
          <w:sz w:val="20"/>
        </w:rPr>
        <w:t>101</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"_Toc342306236" </w:instrText>
      </w:r>
      <w:r>
        <w:rPr>
          <w:rFonts w:hint="eastAsia" w:ascii="宋体" w:hAnsi="宋体" w:cs="宋体"/>
          <w:sz w:val="20"/>
        </w:rPr>
        <w:fldChar w:fldCharType="separate"/>
      </w:r>
      <w:r>
        <w:rPr>
          <w:rStyle w:val="44"/>
          <w:rFonts w:hint="eastAsia" w:ascii="宋体" w:hAnsi="宋体" w:cs="宋体"/>
          <w:color w:val="auto"/>
          <w:sz w:val="20"/>
        </w:rPr>
        <w:t>45．安全文明施工与环境保护</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_Toc342306236 \h </w:instrText>
      </w:r>
      <w:r>
        <w:rPr>
          <w:rFonts w:hint="eastAsia" w:ascii="宋体" w:hAnsi="宋体" w:cs="宋体"/>
          <w:sz w:val="20"/>
        </w:rPr>
        <w:fldChar w:fldCharType="separate"/>
      </w:r>
      <w:r>
        <w:rPr>
          <w:rFonts w:hint="eastAsia" w:ascii="宋体" w:hAnsi="宋体" w:cs="宋体"/>
          <w:sz w:val="20"/>
        </w:rPr>
        <w:t>101</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"_Toc342306237" </w:instrText>
      </w:r>
      <w:r>
        <w:rPr>
          <w:rFonts w:hint="eastAsia" w:ascii="宋体" w:hAnsi="宋体" w:cs="宋体"/>
          <w:sz w:val="20"/>
        </w:rPr>
        <w:fldChar w:fldCharType="separate"/>
      </w:r>
      <w:r>
        <w:rPr>
          <w:rStyle w:val="44"/>
          <w:rFonts w:hint="eastAsia" w:ascii="宋体" w:hAnsi="宋体" w:cs="宋体"/>
          <w:color w:val="auto"/>
          <w:sz w:val="20"/>
        </w:rPr>
        <w:t>46．测量放线</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_Toc342306237 \h </w:instrText>
      </w:r>
      <w:r>
        <w:rPr>
          <w:rFonts w:hint="eastAsia" w:ascii="宋体" w:hAnsi="宋体" w:cs="宋体"/>
          <w:sz w:val="20"/>
        </w:rPr>
        <w:fldChar w:fldCharType="separate"/>
      </w:r>
      <w:r>
        <w:rPr>
          <w:rFonts w:hint="eastAsia" w:ascii="宋体" w:hAnsi="宋体" w:cs="宋体"/>
          <w:sz w:val="20"/>
        </w:rPr>
        <w:t>102</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"_Toc342306238" </w:instrText>
      </w:r>
      <w:r>
        <w:rPr>
          <w:rFonts w:hint="eastAsia" w:ascii="宋体" w:hAnsi="宋体" w:cs="宋体"/>
          <w:sz w:val="20"/>
        </w:rPr>
        <w:fldChar w:fldCharType="separate"/>
      </w:r>
      <w:r>
        <w:rPr>
          <w:rStyle w:val="44"/>
          <w:rFonts w:hint="eastAsia" w:ascii="宋体" w:hAnsi="宋体" w:cs="宋体"/>
          <w:color w:val="auto"/>
          <w:sz w:val="20"/>
        </w:rPr>
        <w:t>48．发包人供应材料和工程设备</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_Toc342306238 \h </w:instrText>
      </w:r>
      <w:r>
        <w:rPr>
          <w:rFonts w:hint="eastAsia" w:ascii="宋体" w:hAnsi="宋体" w:cs="宋体"/>
          <w:sz w:val="20"/>
        </w:rPr>
        <w:fldChar w:fldCharType="separate"/>
      </w:r>
      <w:r>
        <w:rPr>
          <w:rFonts w:hint="eastAsia" w:ascii="宋体" w:hAnsi="宋体" w:cs="宋体"/>
          <w:sz w:val="20"/>
        </w:rPr>
        <w:t>102</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"_Toc342306239" </w:instrText>
      </w:r>
      <w:r>
        <w:rPr>
          <w:rFonts w:hint="eastAsia" w:ascii="宋体" w:hAnsi="宋体" w:cs="宋体"/>
          <w:sz w:val="20"/>
        </w:rPr>
        <w:fldChar w:fldCharType="separate"/>
      </w:r>
      <w:r>
        <w:rPr>
          <w:rStyle w:val="44"/>
          <w:rFonts w:hint="eastAsia" w:ascii="宋体" w:hAnsi="宋体" w:cs="宋体"/>
          <w:color w:val="auto"/>
          <w:sz w:val="20"/>
        </w:rPr>
        <w:t>49．承包人采购材料和工程设备</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_Toc342306239 \h </w:instrText>
      </w:r>
      <w:r>
        <w:rPr>
          <w:rFonts w:hint="eastAsia" w:ascii="宋体" w:hAnsi="宋体" w:cs="宋体"/>
          <w:sz w:val="20"/>
        </w:rPr>
        <w:fldChar w:fldCharType="separate"/>
      </w:r>
      <w:r>
        <w:rPr>
          <w:rFonts w:hint="eastAsia" w:ascii="宋体" w:hAnsi="宋体" w:cs="宋体"/>
          <w:sz w:val="20"/>
        </w:rPr>
        <w:t>102</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"_Toc342306240" </w:instrText>
      </w:r>
      <w:r>
        <w:rPr>
          <w:rFonts w:hint="eastAsia" w:ascii="宋体" w:hAnsi="宋体" w:cs="宋体"/>
          <w:sz w:val="20"/>
        </w:rPr>
        <w:fldChar w:fldCharType="separate"/>
      </w:r>
      <w:r>
        <w:rPr>
          <w:rStyle w:val="44"/>
          <w:rFonts w:hint="eastAsia" w:ascii="宋体" w:hAnsi="宋体" w:cs="宋体"/>
          <w:color w:val="auto"/>
          <w:sz w:val="20"/>
        </w:rPr>
        <w:t>50．材料和工程设备的检验试验</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_Toc342306240 \h </w:instrText>
      </w:r>
      <w:r>
        <w:rPr>
          <w:rFonts w:hint="eastAsia" w:ascii="宋体" w:hAnsi="宋体" w:cs="宋体"/>
          <w:sz w:val="20"/>
        </w:rPr>
        <w:fldChar w:fldCharType="separate"/>
      </w:r>
      <w:r>
        <w:rPr>
          <w:rFonts w:hint="eastAsia" w:ascii="宋体" w:hAnsi="宋体" w:cs="宋体"/>
          <w:sz w:val="20"/>
        </w:rPr>
        <w:t>103</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"_Toc342306241" </w:instrText>
      </w:r>
      <w:r>
        <w:rPr>
          <w:rFonts w:hint="eastAsia" w:ascii="宋体" w:hAnsi="宋体" w:cs="宋体"/>
          <w:sz w:val="20"/>
        </w:rPr>
        <w:fldChar w:fldCharType="separate"/>
      </w:r>
      <w:r>
        <w:rPr>
          <w:rStyle w:val="44"/>
          <w:rFonts w:hint="eastAsia" w:ascii="宋体" w:hAnsi="宋体" w:cs="宋体"/>
          <w:color w:val="auto"/>
          <w:sz w:val="20"/>
        </w:rPr>
        <w:t>51．施工设备和临时设施</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_Toc342306241 \h </w:instrText>
      </w:r>
      <w:r>
        <w:rPr>
          <w:rFonts w:hint="eastAsia" w:ascii="宋体" w:hAnsi="宋体" w:cs="宋体"/>
          <w:sz w:val="20"/>
        </w:rPr>
        <w:fldChar w:fldCharType="separate"/>
      </w:r>
      <w:r>
        <w:rPr>
          <w:rFonts w:hint="eastAsia" w:ascii="宋体" w:hAnsi="宋体" w:cs="宋体"/>
          <w:sz w:val="20"/>
        </w:rPr>
        <w:t>103</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"_Toc342306242" </w:instrText>
      </w:r>
      <w:r>
        <w:rPr>
          <w:rFonts w:hint="eastAsia" w:ascii="宋体" w:hAnsi="宋体" w:cs="宋体"/>
          <w:sz w:val="20"/>
        </w:rPr>
        <w:fldChar w:fldCharType="separate"/>
      </w:r>
      <w:r>
        <w:rPr>
          <w:rStyle w:val="44"/>
          <w:rFonts w:hint="eastAsia" w:ascii="宋体" w:hAnsi="宋体" w:cs="宋体"/>
          <w:color w:val="auto"/>
          <w:sz w:val="20"/>
        </w:rPr>
        <w:t>53．隐蔽工程和中间验收</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_Toc342306242 \h </w:instrText>
      </w:r>
      <w:r>
        <w:rPr>
          <w:rFonts w:hint="eastAsia" w:ascii="宋体" w:hAnsi="宋体" w:cs="宋体"/>
          <w:sz w:val="20"/>
        </w:rPr>
        <w:fldChar w:fldCharType="separate"/>
      </w:r>
      <w:r>
        <w:rPr>
          <w:rFonts w:hint="eastAsia" w:ascii="宋体" w:hAnsi="宋体" w:cs="宋体"/>
          <w:sz w:val="20"/>
        </w:rPr>
        <w:t>103</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"_Toc342306243" </w:instrText>
      </w:r>
      <w:r>
        <w:rPr>
          <w:rFonts w:hint="eastAsia" w:ascii="宋体" w:hAnsi="宋体" w:cs="宋体"/>
          <w:sz w:val="20"/>
        </w:rPr>
        <w:fldChar w:fldCharType="separate"/>
      </w:r>
      <w:r>
        <w:rPr>
          <w:rStyle w:val="44"/>
          <w:rFonts w:hint="eastAsia" w:ascii="宋体" w:hAnsi="宋体" w:cs="宋体"/>
          <w:color w:val="auto"/>
          <w:sz w:val="20"/>
        </w:rPr>
        <w:t>55．工程试车</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_Toc342306243 \h </w:instrText>
      </w:r>
      <w:r>
        <w:rPr>
          <w:rFonts w:hint="eastAsia" w:ascii="宋体" w:hAnsi="宋体" w:cs="宋体"/>
          <w:sz w:val="20"/>
        </w:rPr>
        <w:fldChar w:fldCharType="separate"/>
      </w:r>
      <w:r>
        <w:rPr>
          <w:rFonts w:hint="eastAsia" w:ascii="宋体" w:hAnsi="宋体" w:cs="宋体"/>
          <w:sz w:val="20"/>
        </w:rPr>
        <w:t>103</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"_Toc342306244" </w:instrText>
      </w:r>
      <w:r>
        <w:rPr>
          <w:rFonts w:hint="eastAsia" w:ascii="宋体" w:hAnsi="宋体" w:cs="宋体"/>
          <w:sz w:val="20"/>
        </w:rPr>
        <w:fldChar w:fldCharType="separate"/>
      </w:r>
      <w:r>
        <w:rPr>
          <w:rStyle w:val="44"/>
          <w:rFonts w:hint="eastAsia" w:ascii="宋体" w:hAnsi="宋体" w:cs="宋体"/>
          <w:color w:val="auto"/>
          <w:sz w:val="20"/>
        </w:rPr>
        <w:t>56．工程变更</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_Toc342306244 \h </w:instrText>
      </w:r>
      <w:r>
        <w:rPr>
          <w:rFonts w:hint="eastAsia" w:ascii="宋体" w:hAnsi="宋体" w:cs="宋体"/>
          <w:sz w:val="20"/>
        </w:rPr>
        <w:fldChar w:fldCharType="separate"/>
      </w:r>
      <w:r>
        <w:rPr>
          <w:rFonts w:hint="eastAsia" w:ascii="宋体" w:hAnsi="宋体" w:cs="宋体"/>
          <w:sz w:val="20"/>
        </w:rPr>
        <w:t>103</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"_Toc342306245" </w:instrText>
      </w:r>
      <w:r>
        <w:rPr>
          <w:rFonts w:hint="eastAsia" w:ascii="宋体" w:hAnsi="宋体" w:cs="宋体"/>
          <w:sz w:val="20"/>
        </w:rPr>
        <w:fldChar w:fldCharType="separate"/>
      </w:r>
      <w:r>
        <w:rPr>
          <w:rStyle w:val="44"/>
          <w:rFonts w:hint="eastAsia" w:ascii="宋体" w:hAnsi="宋体" w:cs="宋体"/>
          <w:color w:val="auto"/>
          <w:sz w:val="20"/>
        </w:rPr>
        <w:t>58．竣工验收</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_Toc342306245 \h </w:instrText>
      </w:r>
      <w:r>
        <w:rPr>
          <w:rFonts w:hint="eastAsia" w:ascii="宋体" w:hAnsi="宋体" w:cs="宋体"/>
          <w:sz w:val="20"/>
        </w:rPr>
        <w:fldChar w:fldCharType="separate"/>
      </w:r>
      <w:r>
        <w:rPr>
          <w:rFonts w:hint="eastAsia" w:ascii="宋体" w:hAnsi="宋体" w:cs="宋体"/>
          <w:sz w:val="20"/>
        </w:rPr>
        <w:t>103</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"_Toc342306246" </w:instrText>
      </w:r>
      <w:r>
        <w:rPr>
          <w:rFonts w:hint="eastAsia" w:ascii="宋体" w:hAnsi="宋体" w:cs="宋体"/>
          <w:sz w:val="20"/>
        </w:rPr>
        <w:fldChar w:fldCharType="separate"/>
      </w:r>
      <w:r>
        <w:rPr>
          <w:rStyle w:val="44"/>
          <w:rFonts w:hint="eastAsia" w:ascii="宋体" w:hAnsi="宋体" w:cs="宋体"/>
          <w:color w:val="auto"/>
          <w:sz w:val="20"/>
        </w:rPr>
        <w:t>59．缺陷责任与质量保修</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_Toc342306246 \h </w:instrText>
      </w:r>
      <w:r>
        <w:rPr>
          <w:rFonts w:hint="eastAsia" w:ascii="宋体" w:hAnsi="宋体" w:cs="宋体"/>
          <w:sz w:val="20"/>
        </w:rPr>
        <w:fldChar w:fldCharType="separate"/>
      </w:r>
      <w:r>
        <w:rPr>
          <w:rFonts w:hint="eastAsia" w:ascii="宋体" w:hAnsi="宋体" w:cs="宋体"/>
          <w:sz w:val="20"/>
        </w:rPr>
        <w:t>104</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"_Toc342306247" </w:instrText>
      </w:r>
      <w:r>
        <w:rPr>
          <w:rFonts w:hint="eastAsia" w:ascii="宋体" w:hAnsi="宋体" w:cs="宋体"/>
          <w:sz w:val="20"/>
        </w:rPr>
        <w:fldChar w:fldCharType="separate"/>
      </w:r>
      <w:r>
        <w:rPr>
          <w:rStyle w:val="44"/>
          <w:rFonts w:hint="eastAsia" w:ascii="宋体" w:hAnsi="宋体" w:cs="宋体"/>
          <w:color w:val="auto"/>
          <w:sz w:val="20"/>
        </w:rPr>
        <w:t>63．暂列金额</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_Toc342306247 \h </w:instrText>
      </w:r>
      <w:r>
        <w:rPr>
          <w:rFonts w:hint="eastAsia" w:ascii="宋体" w:hAnsi="宋体" w:cs="宋体"/>
          <w:sz w:val="20"/>
        </w:rPr>
        <w:fldChar w:fldCharType="separate"/>
      </w:r>
      <w:r>
        <w:rPr>
          <w:rFonts w:hint="eastAsia" w:ascii="宋体" w:hAnsi="宋体" w:cs="宋体"/>
          <w:sz w:val="20"/>
        </w:rPr>
        <w:t>105</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"_Toc342306248" </w:instrText>
      </w:r>
      <w:r>
        <w:rPr>
          <w:rFonts w:hint="eastAsia" w:ascii="宋体" w:hAnsi="宋体" w:cs="宋体"/>
          <w:sz w:val="20"/>
        </w:rPr>
        <w:fldChar w:fldCharType="separate"/>
      </w:r>
      <w:r>
        <w:rPr>
          <w:rStyle w:val="44"/>
          <w:rFonts w:hint="eastAsia" w:ascii="宋体" w:hAnsi="宋体" w:cs="宋体"/>
          <w:color w:val="auto"/>
          <w:sz w:val="20"/>
        </w:rPr>
        <w:t>65．暂估价</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_Toc342306248 \h </w:instrText>
      </w:r>
      <w:r>
        <w:rPr>
          <w:rFonts w:hint="eastAsia" w:ascii="宋体" w:hAnsi="宋体" w:cs="宋体"/>
          <w:sz w:val="20"/>
        </w:rPr>
        <w:fldChar w:fldCharType="separate"/>
      </w:r>
      <w:r>
        <w:rPr>
          <w:rFonts w:hint="eastAsia" w:ascii="宋体" w:hAnsi="宋体" w:cs="宋体"/>
          <w:sz w:val="20"/>
        </w:rPr>
        <w:t>105</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"_Toc342306249" </w:instrText>
      </w:r>
      <w:r>
        <w:rPr>
          <w:rFonts w:hint="eastAsia" w:ascii="宋体" w:hAnsi="宋体" w:cs="宋体"/>
          <w:sz w:val="20"/>
        </w:rPr>
        <w:fldChar w:fldCharType="separate"/>
      </w:r>
      <w:r>
        <w:rPr>
          <w:rStyle w:val="44"/>
          <w:rFonts w:hint="eastAsia" w:ascii="宋体" w:hAnsi="宋体" w:cs="宋体"/>
          <w:color w:val="auto"/>
          <w:sz w:val="20"/>
        </w:rPr>
        <w:t>66．提前竣工奖与误期赔偿费</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_Toc342306249 \h </w:instrText>
      </w:r>
      <w:r>
        <w:rPr>
          <w:rFonts w:hint="eastAsia" w:ascii="宋体" w:hAnsi="宋体" w:cs="宋体"/>
          <w:sz w:val="20"/>
        </w:rPr>
        <w:fldChar w:fldCharType="separate"/>
      </w:r>
      <w:r>
        <w:rPr>
          <w:rFonts w:hint="eastAsia" w:ascii="宋体" w:hAnsi="宋体" w:cs="宋体"/>
          <w:sz w:val="20"/>
        </w:rPr>
        <w:t>105</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"_Toc342306250" </w:instrText>
      </w:r>
      <w:r>
        <w:rPr>
          <w:rFonts w:hint="eastAsia" w:ascii="宋体" w:hAnsi="宋体" w:cs="宋体"/>
          <w:sz w:val="20"/>
        </w:rPr>
        <w:fldChar w:fldCharType="separate"/>
      </w:r>
      <w:r>
        <w:rPr>
          <w:rStyle w:val="44"/>
          <w:rFonts w:hint="eastAsia" w:ascii="宋体" w:hAnsi="宋体" w:cs="宋体"/>
          <w:color w:val="auto"/>
          <w:sz w:val="20"/>
        </w:rPr>
        <w:t>67．优质优价奖</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_Toc342306250 \h </w:instrText>
      </w:r>
      <w:r>
        <w:rPr>
          <w:rFonts w:hint="eastAsia" w:ascii="宋体" w:hAnsi="宋体" w:cs="宋体"/>
          <w:sz w:val="20"/>
        </w:rPr>
        <w:fldChar w:fldCharType="separate"/>
      </w:r>
      <w:r>
        <w:rPr>
          <w:rFonts w:hint="eastAsia" w:ascii="宋体" w:hAnsi="宋体" w:cs="宋体"/>
          <w:sz w:val="20"/>
        </w:rPr>
        <w:t>105</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"_Toc342306251" </w:instrText>
      </w:r>
      <w:r>
        <w:rPr>
          <w:rFonts w:hint="eastAsia" w:ascii="宋体" w:hAnsi="宋体" w:cs="宋体"/>
          <w:sz w:val="20"/>
        </w:rPr>
        <w:fldChar w:fldCharType="separate"/>
      </w:r>
      <w:r>
        <w:rPr>
          <w:rStyle w:val="44"/>
          <w:rFonts w:hint="eastAsia" w:ascii="宋体" w:hAnsi="宋体" w:cs="宋体"/>
          <w:color w:val="auto"/>
          <w:sz w:val="20"/>
        </w:rPr>
        <w:t>68．合同价款的约定与调整</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_Toc342306251 \h </w:instrText>
      </w:r>
      <w:r>
        <w:rPr>
          <w:rFonts w:hint="eastAsia" w:ascii="宋体" w:hAnsi="宋体" w:cs="宋体"/>
          <w:sz w:val="20"/>
        </w:rPr>
        <w:fldChar w:fldCharType="separate"/>
      </w:r>
      <w:r>
        <w:rPr>
          <w:rFonts w:hint="eastAsia" w:ascii="宋体" w:hAnsi="宋体" w:cs="宋体"/>
          <w:sz w:val="20"/>
        </w:rPr>
        <w:t>106</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"_Toc342306252" </w:instrText>
      </w:r>
      <w:r>
        <w:rPr>
          <w:rFonts w:hint="eastAsia" w:ascii="宋体" w:hAnsi="宋体" w:cs="宋体"/>
          <w:sz w:val="20"/>
        </w:rPr>
        <w:fldChar w:fldCharType="separate"/>
      </w:r>
      <w:r>
        <w:rPr>
          <w:rStyle w:val="44"/>
          <w:rFonts w:hint="eastAsia" w:ascii="宋体" w:hAnsi="宋体" w:cs="宋体"/>
          <w:color w:val="auto"/>
          <w:sz w:val="20"/>
        </w:rPr>
        <w:t>69．后续的法律法规变化事件</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_Toc342306252 \h </w:instrText>
      </w:r>
      <w:r>
        <w:rPr>
          <w:rFonts w:hint="eastAsia" w:ascii="宋体" w:hAnsi="宋体" w:cs="宋体"/>
          <w:sz w:val="20"/>
        </w:rPr>
        <w:fldChar w:fldCharType="separate"/>
      </w:r>
      <w:r>
        <w:rPr>
          <w:rFonts w:hint="eastAsia" w:ascii="宋体" w:hAnsi="宋体" w:cs="宋体"/>
          <w:sz w:val="20"/>
        </w:rPr>
        <w:t>106</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"_Toc342306253" </w:instrText>
      </w:r>
      <w:r>
        <w:rPr>
          <w:rFonts w:hint="eastAsia" w:ascii="宋体" w:hAnsi="宋体" w:cs="宋体"/>
          <w:sz w:val="20"/>
        </w:rPr>
        <w:fldChar w:fldCharType="separate"/>
      </w:r>
      <w:r>
        <w:rPr>
          <w:rStyle w:val="44"/>
          <w:rFonts w:hint="eastAsia" w:ascii="宋体" w:hAnsi="宋体" w:cs="宋体"/>
          <w:color w:val="auto"/>
          <w:sz w:val="20"/>
        </w:rPr>
        <w:t>72．工程变更事件</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_Toc342306253 \h </w:instrText>
      </w:r>
      <w:r>
        <w:rPr>
          <w:rFonts w:hint="eastAsia" w:ascii="宋体" w:hAnsi="宋体" w:cs="宋体"/>
          <w:sz w:val="20"/>
        </w:rPr>
        <w:fldChar w:fldCharType="separate"/>
      </w:r>
      <w:r>
        <w:rPr>
          <w:rFonts w:hint="eastAsia" w:ascii="宋体" w:hAnsi="宋体" w:cs="宋体"/>
          <w:sz w:val="20"/>
        </w:rPr>
        <w:t>107</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"_Toc342306254" </w:instrText>
      </w:r>
      <w:r>
        <w:rPr>
          <w:rFonts w:hint="eastAsia" w:ascii="宋体" w:hAnsi="宋体" w:cs="宋体"/>
          <w:sz w:val="20"/>
        </w:rPr>
        <w:fldChar w:fldCharType="separate"/>
      </w:r>
      <w:r>
        <w:rPr>
          <w:rStyle w:val="44"/>
          <w:rFonts w:hint="eastAsia" w:ascii="宋体" w:hAnsi="宋体" w:cs="宋体"/>
          <w:color w:val="auto"/>
          <w:sz w:val="20"/>
        </w:rPr>
        <w:t>73．工程量的偏差事件</w:t>
      </w:r>
      <w:r>
        <w:rPr>
          <w:rFonts w:hint="eastAsia" w:ascii="宋体" w:hAnsi="宋体" w:cs="宋体"/>
          <w:sz w:val="20"/>
        </w:rPr>
        <w:tab/>
      </w:r>
      <w:r>
        <w:rPr>
          <w:rFonts w:hint="eastAsia" w:ascii="宋体" w:hAnsi="宋体" w:cs="宋体"/>
          <w:sz w:val="20"/>
        </w:rPr>
        <w:t>1</w:t>
      </w:r>
      <w:r>
        <w:rPr>
          <w:rFonts w:hint="eastAsia" w:ascii="宋体" w:hAnsi="宋体" w:cs="宋体"/>
          <w:sz w:val="20"/>
        </w:rPr>
        <w:fldChar w:fldCharType="end"/>
      </w:r>
      <w:r>
        <w:rPr>
          <w:rFonts w:hint="eastAsia" w:ascii="宋体" w:hAnsi="宋体" w:cs="宋体"/>
          <w:sz w:val="20"/>
        </w:rPr>
        <w:t>08</w:t>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"_Toc342306255" </w:instrText>
      </w:r>
      <w:r>
        <w:rPr>
          <w:rFonts w:hint="eastAsia" w:ascii="宋体" w:hAnsi="宋体" w:cs="宋体"/>
          <w:sz w:val="20"/>
        </w:rPr>
        <w:fldChar w:fldCharType="separate"/>
      </w:r>
      <w:r>
        <w:rPr>
          <w:rStyle w:val="44"/>
          <w:rFonts w:hint="eastAsia" w:ascii="宋体" w:hAnsi="宋体" w:cs="宋体"/>
          <w:color w:val="auto"/>
          <w:sz w:val="20"/>
        </w:rPr>
        <w:t>75．现场签证事件</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_Toc342306255 \h </w:instrText>
      </w:r>
      <w:r>
        <w:rPr>
          <w:rFonts w:hint="eastAsia" w:ascii="宋体" w:hAnsi="宋体" w:cs="宋体"/>
          <w:sz w:val="20"/>
        </w:rPr>
        <w:fldChar w:fldCharType="separate"/>
      </w:r>
      <w:r>
        <w:rPr>
          <w:rFonts w:hint="eastAsia" w:ascii="宋体" w:hAnsi="宋体" w:cs="宋体"/>
          <w:sz w:val="20"/>
        </w:rPr>
        <w:t>110</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"_Toc342306256" </w:instrText>
      </w:r>
      <w:r>
        <w:rPr>
          <w:rFonts w:hint="eastAsia" w:ascii="宋体" w:hAnsi="宋体" w:cs="宋体"/>
          <w:sz w:val="20"/>
        </w:rPr>
        <w:fldChar w:fldCharType="separate"/>
      </w:r>
      <w:r>
        <w:rPr>
          <w:rStyle w:val="44"/>
          <w:rFonts w:hint="eastAsia" w:ascii="宋体" w:hAnsi="宋体" w:cs="宋体"/>
          <w:color w:val="auto"/>
          <w:sz w:val="20"/>
        </w:rPr>
        <w:t>76．物价涨落事件</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_Toc342306256 \h </w:instrText>
      </w:r>
      <w:r>
        <w:rPr>
          <w:rFonts w:hint="eastAsia" w:ascii="宋体" w:hAnsi="宋体" w:cs="宋体"/>
          <w:sz w:val="20"/>
        </w:rPr>
        <w:fldChar w:fldCharType="separate"/>
      </w:r>
      <w:r>
        <w:rPr>
          <w:rFonts w:hint="eastAsia" w:ascii="宋体" w:hAnsi="宋体" w:cs="宋体"/>
          <w:sz w:val="20"/>
        </w:rPr>
        <w:t>110</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"_Toc342306257" </w:instrText>
      </w:r>
      <w:r>
        <w:rPr>
          <w:rFonts w:hint="eastAsia" w:ascii="宋体" w:hAnsi="宋体" w:cs="宋体"/>
          <w:sz w:val="20"/>
        </w:rPr>
        <w:fldChar w:fldCharType="separate"/>
      </w:r>
      <w:r>
        <w:rPr>
          <w:rStyle w:val="44"/>
          <w:rFonts w:hint="eastAsia" w:ascii="宋体" w:hAnsi="宋体" w:cs="宋体"/>
          <w:color w:val="auto"/>
          <w:sz w:val="20"/>
        </w:rPr>
        <w:t>77．合同价款调整程序</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_Toc342306257 \h </w:instrText>
      </w:r>
      <w:r>
        <w:rPr>
          <w:rFonts w:hint="eastAsia" w:ascii="宋体" w:hAnsi="宋体" w:cs="宋体"/>
          <w:sz w:val="20"/>
        </w:rPr>
        <w:fldChar w:fldCharType="separate"/>
      </w:r>
      <w:r>
        <w:rPr>
          <w:rFonts w:hint="eastAsia" w:ascii="宋体" w:hAnsi="宋体" w:cs="宋体"/>
          <w:sz w:val="20"/>
        </w:rPr>
        <w:t>112</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"_Toc342306258" </w:instrText>
      </w:r>
      <w:r>
        <w:rPr>
          <w:rFonts w:hint="eastAsia" w:ascii="宋体" w:hAnsi="宋体" w:cs="宋体"/>
          <w:sz w:val="20"/>
        </w:rPr>
        <w:fldChar w:fldCharType="separate"/>
      </w:r>
      <w:r>
        <w:rPr>
          <w:rStyle w:val="44"/>
          <w:rFonts w:hint="eastAsia" w:ascii="宋体" w:hAnsi="宋体" w:cs="宋体"/>
          <w:color w:val="auto"/>
          <w:sz w:val="20"/>
        </w:rPr>
        <w:t>78．支付事项</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_Toc342306258 \h </w:instrText>
      </w:r>
      <w:r>
        <w:rPr>
          <w:rFonts w:hint="eastAsia" w:ascii="宋体" w:hAnsi="宋体" w:cs="宋体"/>
          <w:sz w:val="20"/>
        </w:rPr>
        <w:fldChar w:fldCharType="separate"/>
      </w:r>
      <w:r>
        <w:rPr>
          <w:rFonts w:hint="eastAsia" w:ascii="宋体" w:hAnsi="宋体" w:cs="宋体"/>
          <w:sz w:val="20"/>
        </w:rPr>
        <w:t>113</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"_Toc342306259" </w:instrText>
      </w:r>
      <w:r>
        <w:rPr>
          <w:rFonts w:hint="eastAsia" w:ascii="宋体" w:hAnsi="宋体" w:cs="宋体"/>
          <w:sz w:val="20"/>
        </w:rPr>
        <w:fldChar w:fldCharType="separate"/>
      </w:r>
      <w:r>
        <w:rPr>
          <w:rStyle w:val="44"/>
          <w:rFonts w:hint="eastAsia" w:ascii="宋体" w:hAnsi="宋体" w:cs="宋体"/>
          <w:color w:val="auto"/>
          <w:sz w:val="20"/>
        </w:rPr>
        <w:t>79．预付款</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_Toc342306259 \h </w:instrText>
      </w:r>
      <w:r>
        <w:rPr>
          <w:rFonts w:hint="eastAsia" w:ascii="宋体" w:hAnsi="宋体" w:cs="宋体"/>
          <w:sz w:val="20"/>
        </w:rPr>
        <w:fldChar w:fldCharType="separate"/>
      </w:r>
      <w:r>
        <w:rPr>
          <w:rFonts w:hint="eastAsia" w:ascii="宋体" w:hAnsi="宋体" w:cs="宋体"/>
          <w:sz w:val="20"/>
        </w:rPr>
        <w:t>117</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"_Toc342306260" </w:instrText>
      </w:r>
      <w:r>
        <w:rPr>
          <w:rFonts w:hint="eastAsia" w:ascii="宋体" w:hAnsi="宋体" w:cs="宋体"/>
          <w:sz w:val="20"/>
        </w:rPr>
        <w:fldChar w:fldCharType="separate"/>
      </w:r>
      <w:r>
        <w:rPr>
          <w:rStyle w:val="44"/>
          <w:rFonts w:hint="eastAsia" w:ascii="宋体" w:hAnsi="宋体" w:cs="宋体"/>
          <w:color w:val="auto"/>
          <w:sz w:val="20"/>
        </w:rPr>
        <w:t>80．安全文明施工费</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_Toc342306260 \h </w:instrText>
      </w:r>
      <w:r>
        <w:rPr>
          <w:rFonts w:hint="eastAsia" w:ascii="宋体" w:hAnsi="宋体" w:cs="宋体"/>
          <w:sz w:val="20"/>
        </w:rPr>
        <w:fldChar w:fldCharType="separate"/>
      </w:r>
      <w:r>
        <w:rPr>
          <w:rFonts w:hint="eastAsia" w:ascii="宋体" w:hAnsi="宋体" w:cs="宋体"/>
          <w:sz w:val="20"/>
        </w:rPr>
        <w:t>117</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"_Toc342306261" </w:instrText>
      </w:r>
      <w:r>
        <w:rPr>
          <w:rFonts w:hint="eastAsia" w:ascii="宋体" w:hAnsi="宋体" w:cs="宋体"/>
          <w:sz w:val="20"/>
        </w:rPr>
        <w:fldChar w:fldCharType="separate"/>
      </w:r>
      <w:r>
        <w:rPr>
          <w:rStyle w:val="44"/>
          <w:rFonts w:hint="eastAsia" w:ascii="宋体" w:hAnsi="宋体" w:cs="宋体"/>
          <w:color w:val="auto"/>
          <w:sz w:val="20"/>
        </w:rPr>
        <w:t>81．进度款</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_Toc342306261 \h </w:instrText>
      </w:r>
      <w:r>
        <w:rPr>
          <w:rFonts w:hint="eastAsia" w:ascii="宋体" w:hAnsi="宋体" w:cs="宋体"/>
          <w:sz w:val="20"/>
        </w:rPr>
        <w:fldChar w:fldCharType="separate"/>
      </w:r>
      <w:r>
        <w:rPr>
          <w:rFonts w:hint="eastAsia" w:ascii="宋体" w:hAnsi="宋体" w:cs="宋体"/>
          <w:sz w:val="20"/>
        </w:rPr>
        <w:t>118</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"_Toc342306262" </w:instrText>
      </w:r>
      <w:r>
        <w:rPr>
          <w:rFonts w:hint="eastAsia" w:ascii="宋体" w:hAnsi="宋体" w:cs="宋体"/>
          <w:sz w:val="20"/>
        </w:rPr>
        <w:fldChar w:fldCharType="separate"/>
      </w:r>
      <w:r>
        <w:rPr>
          <w:rStyle w:val="44"/>
          <w:rFonts w:hint="eastAsia" w:ascii="宋体" w:hAnsi="宋体" w:cs="宋体"/>
          <w:color w:val="auto"/>
          <w:sz w:val="20"/>
        </w:rPr>
        <w:t>82．竣工结算与结算款</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_Toc342306262 \h </w:instrText>
      </w:r>
      <w:r>
        <w:rPr>
          <w:rFonts w:hint="eastAsia" w:ascii="宋体" w:hAnsi="宋体" w:cs="宋体"/>
          <w:sz w:val="20"/>
        </w:rPr>
        <w:fldChar w:fldCharType="separate"/>
      </w:r>
      <w:r>
        <w:rPr>
          <w:rFonts w:hint="eastAsia" w:ascii="宋体" w:hAnsi="宋体" w:cs="宋体"/>
          <w:sz w:val="20"/>
        </w:rPr>
        <w:t>120</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"_Toc342306263" </w:instrText>
      </w:r>
      <w:r>
        <w:rPr>
          <w:rFonts w:hint="eastAsia" w:ascii="宋体" w:hAnsi="宋体" w:cs="宋体"/>
          <w:sz w:val="20"/>
        </w:rPr>
        <w:fldChar w:fldCharType="separate"/>
      </w:r>
      <w:r>
        <w:rPr>
          <w:rStyle w:val="44"/>
          <w:rFonts w:hint="eastAsia" w:ascii="宋体" w:hAnsi="宋体" w:cs="宋体"/>
          <w:color w:val="auto"/>
          <w:sz w:val="20"/>
        </w:rPr>
        <w:t>84．质量保证金</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_Toc342306263 \h </w:instrText>
      </w:r>
      <w:r>
        <w:rPr>
          <w:rFonts w:hint="eastAsia" w:ascii="宋体" w:hAnsi="宋体" w:cs="宋体"/>
          <w:sz w:val="20"/>
        </w:rPr>
        <w:fldChar w:fldCharType="separate"/>
      </w:r>
      <w:r>
        <w:rPr>
          <w:rFonts w:hint="eastAsia" w:ascii="宋体" w:hAnsi="宋体" w:cs="宋体"/>
          <w:sz w:val="20"/>
        </w:rPr>
        <w:t>123</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"_Toc342306264" </w:instrText>
      </w:r>
      <w:r>
        <w:rPr>
          <w:rFonts w:hint="eastAsia" w:ascii="宋体" w:hAnsi="宋体" w:cs="宋体"/>
          <w:sz w:val="20"/>
        </w:rPr>
        <w:fldChar w:fldCharType="separate"/>
      </w:r>
      <w:r>
        <w:rPr>
          <w:rStyle w:val="44"/>
          <w:rFonts w:hint="eastAsia" w:ascii="宋体" w:hAnsi="宋体" w:cs="宋体"/>
          <w:color w:val="auto"/>
          <w:sz w:val="20"/>
        </w:rPr>
        <w:t>85．最终清算付款</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_Toc342306264 \h </w:instrText>
      </w:r>
      <w:r>
        <w:rPr>
          <w:rFonts w:hint="eastAsia" w:ascii="宋体" w:hAnsi="宋体" w:cs="宋体"/>
          <w:sz w:val="20"/>
        </w:rPr>
        <w:fldChar w:fldCharType="separate"/>
      </w:r>
      <w:r>
        <w:rPr>
          <w:rFonts w:hint="eastAsia" w:ascii="宋体" w:hAnsi="宋体" w:cs="宋体"/>
          <w:sz w:val="20"/>
        </w:rPr>
        <w:t>123</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"_Toc342306265" </w:instrText>
      </w:r>
      <w:r>
        <w:rPr>
          <w:rFonts w:hint="eastAsia" w:ascii="宋体" w:hAnsi="宋体" w:cs="宋体"/>
          <w:sz w:val="20"/>
        </w:rPr>
        <w:fldChar w:fldCharType="separate"/>
      </w:r>
      <w:r>
        <w:rPr>
          <w:rStyle w:val="44"/>
          <w:rFonts w:hint="eastAsia" w:ascii="宋体" w:hAnsi="宋体" w:cs="宋体"/>
          <w:color w:val="auto"/>
          <w:sz w:val="20"/>
        </w:rPr>
        <w:t>86．合同争议</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_Toc342306265 \h </w:instrText>
      </w:r>
      <w:r>
        <w:rPr>
          <w:rFonts w:hint="eastAsia" w:ascii="宋体" w:hAnsi="宋体" w:cs="宋体"/>
          <w:sz w:val="20"/>
        </w:rPr>
        <w:fldChar w:fldCharType="separate"/>
      </w:r>
      <w:r>
        <w:rPr>
          <w:rFonts w:hint="eastAsia" w:ascii="宋体" w:hAnsi="宋体" w:cs="宋体"/>
          <w:sz w:val="20"/>
        </w:rPr>
        <w:t>123</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"_Toc342306266" </w:instrText>
      </w:r>
      <w:r>
        <w:rPr>
          <w:rFonts w:hint="eastAsia" w:ascii="宋体" w:hAnsi="宋体" w:cs="宋体"/>
          <w:sz w:val="20"/>
        </w:rPr>
        <w:fldChar w:fldCharType="separate"/>
      </w:r>
      <w:r>
        <w:rPr>
          <w:rStyle w:val="44"/>
          <w:rFonts w:hint="eastAsia" w:ascii="宋体" w:hAnsi="宋体" w:cs="宋体"/>
          <w:color w:val="auto"/>
          <w:sz w:val="20"/>
        </w:rPr>
        <w:t>87．合同解除</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_Toc342306266 \h </w:instrText>
      </w:r>
      <w:r>
        <w:rPr>
          <w:rFonts w:hint="eastAsia" w:ascii="宋体" w:hAnsi="宋体" w:cs="宋体"/>
          <w:sz w:val="20"/>
        </w:rPr>
        <w:fldChar w:fldCharType="separate"/>
      </w:r>
      <w:r>
        <w:rPr>
          <w:rFonts w:hint="eastAsia" w:ascii="宋体" w:hAnsi="宋体" w:cs="宋体"/>
          <w:sz w:val="20"/>
        </w:rPr>
        <w:t>124</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"_Toc342306267" </w:instrText>
      </w:r>
      <w:r>
        <w:rPr>
          <w:rFonts w:hint="eastAsia" w:ascii="宋体" w:hAnsi="宋体" w:cs="宋体"/>
          <w:sz w:val="20"/>
        </w:rPr>
        <w:fldChar w:fldCharType="separate"/>
      </w:r>
      <w:r>
        <w:rPr>
          <w:rStyle w:val="44"/>
          <w:rFonts w:hint="eastAsia" w:ascii="宋体" w:hAnsi="宋体" w:cs="宋体"/>
          <w:color w:val="auto"/>
          <w:sz w:val="20"/>
        </w:rPr>
        <w:t>88．合同解除支付</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_Toc342306267 \h </w:instrText>
      </w:r>
      <w:r>
        <w:rPr>
          <w:rFonts w:hint="eastAsia" w:ascii="宋体" w:hAnsi="宋体" w:cs="宋体"/>
          <w:sz w:val="20"/>
        </w:rPr>
        <w:fldChar w:fldCharType="separate"/>
      </w:r>
      <w:r>
        <w:rPr>
          <w:rFonts w:hint="eastAsia" w:ascii="宋体" w:hAnsi="宋体" w:cs="宋体"/>
          <w:sz w:val="20"/>
        </w:rPr>
        <w:t>124</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rPr>
      </w:pPr>
      <w:r>
        <w:rPr>
          <w:rFonts w:hint="eastAsia" w:ascii="宋体" w:hAnsi="宋体" w:cs="宋体"/>
          <w:sz w:val="20"/>
        </w:rPr>
        <w:fldChar w:fldCharType="begin"/>
      </w:r>
      <w:r>
        <w:rPr>
          <w:rFonts w:hint="eastAsia" w:ascii="宋体" w:hAnsi="宋体" w:cs="宋体"/>
          <w:sz w:val="20"/>
        </w:rPr>
        <w:instrText xml:space="preserve"> HYPERLINK \l "_Toc342306268" </w:instrText>
      </w:r>
      <w:r>
        <w:rPr>
          <w:rFonts w:hint="eastAsia" w:ascii="宋体" w:hAnsi="宋体" w:cs="宋体"/>
          <w:sz w:val="20"/>
        </w:rPr>
        <w:fldChar w:fldCharType="separate"/>
      </w:r>
      <w:r>
        <w:rPr>
          <w:rStyle w:val="44"/>
          <w:rFonts w:hint="eastAsia" w:ascii="宋体" w:hAnsi="宋体" w:cs="宋体"/>
          <w:color w:val="auto"/>
          <w:sz w:val="20"/>
        </w:rPr>
        <w:t>91．保密要求</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_Toc342306268 \h </w:instrText>
      </w:r>
      <w:r>
        <w:rPr>
          <w:rFonts w:hint="eastAsia" w:ascii="宋体" w:hAnsi="宋体" w:cs="宋体"/>
          <w:sz w:val="20"/>
        </w:rPr>
        <w:fldChar w:fldCharType="separate"/>
      </w:r>
      <w:r>
        <w:rPr>
          <w:rFonts w:hint="eastAsia" w:ascii="宋体" w:hAnsi="宋体" w:cs="宋体"/>
          <w:sz w:val="20"/>
        </w:rPr>
        <w:t>124</w:t>
      </w:r>
      <w:r>
        <w:rPr>
          <w:rFonts w:hint="eastAsia" w:ascii="宋体" w:hAnsi="宋体" w:cs="宋体"/>
          <w:sz w:val="20"/>
        </w:rPr>
        <w:fldChar w:fldCharType="end"/>
      </w:r>
      <w:r>
        <w:rPr>
          <w:rFonts w:hint="eastAsia" w:ascii="宋体" w:hAnsi="宋体" w:cs="宋体"/>
          <w:sz w:val="20"/>
        </w:rPr>
        <w:fldChar w:fldCharType="end"/>
      </w:r>
    </w:p>
    <w:p>
      <w:pPr>
        <w:pStyle w:val="18"/>
        <w:tabs>
          <w:tab w:val="right" w:leader="dot" w:pos="9214"/>
          <w:tab w:val="right" w:leader="dot" w:pos="10090"/>
        </w:tabs>
        <w:ind w:left="840" w:firstLine="270" w:firstLineChars="135"/>
        <w:jc w:val="distribute"/>
        <w:rPr>
          <w:rFonts w:ascii="宋体" w:hAnsi="宋体" w:cs="宋体"/>
          <w:sz w:val="20"/>
          <w:szCs w:val="21"/>
        </w:rPr>
      </w:pPr>
      <w:r>
        <w:rPr>
          <w:rFonts w:hint="eastAsia" w:ascii="宋体" w:hAnsi="宋体" w:cs="宋体"/>
          <w:sz w:val="20"/>
        </w:rPr>
        <w:fldChar w:fldCharType="begin"/>
      </w:r>
      <w:r>
        <w:rPr>
          <w:rFonts w:hint="eastAsia" w:ascii="宋体" w:hAnsi="宋体" w:cs="宋体"/>
          <w:sz w:val="20"/>
        </w:rPr>
        <w:instrText xml:space="preserve"> HYPERLINK \l "_Toc342306269" </w:instrText>
      </w:r>
      <w:r>
        <w:rPr>
          <w:rFonts w:hint="eastAsia" w:ascii="宋体" w:hAnsi="宋体" w:cs="宋体"/>
          <w:sz w:val="20"/>
        </w:rPr>
        <w:fldChar w:fldCharType="separate"/>
      </w:r>
      <w:r>
        <w:rPr>
          <w:rStyle w:val="44"/>
          <w:rFonts w:hint="eastAsia" w:ascii="宋体" w:hAnsi="宋体" w:cs="宋体"/>
          <w:color w:val="auto"/>
          <w:sz w:val="20"/>
        </w:rPr>
        <w:t>94．合同份数</w:t>
      </w:r>
      <w:r>
        <w:rPr>
          <w:rFonts w:hint="eastAsia" w:ascii="宋体" w:hAnsi="宋体" w:cs="宋体"/>
          <w:sz w:val="20"/>
        </w:rPr>
        <w:tab/>
      </w:r>
      <w:r>
        <w:rPr>
          <w:rFonts w:hint="eastAsia" w:ascii="宋体" w:hAnsi="宋体" w:cs="宋体"/>
          <w:sz w:val="20"/>
        </w:rPr>
        <w:fldChar w:fldCharType="begin"/>
      </w:r>
      <w:r>
        <w:rPr>
          <w:rFonts w:hint="eastAsia" w:ascii="宋体" w:hAnsi="宋体" w:cs="宋体"/>
          <w:sz w:val="20"/>
        </w:rPr>
        <w:instrText xml:space="preserve"> PAGEREF _Toc342306269 \h </w:instrText>
      </w:r>
      <w:r>
        <w:rPr>
          <w:rFonts w:hint="eastAsia" w:ascii="宋体" w:hAnsi="宋体" w:cs="宋体"/>
          <w:sz w:val="20"/>
        </w:rPr>
        <w:fldChar w:fldCharType="separate"/>
      </w:r>
      <w:r>
        <w:rPr>
          <w:rFonts w:hint="eastAsia" w:ascii="宋体" w:hAnsi="宋体" w:cs="宋体"/>
          <w:sz w:val="20"/>
        </w:rPr>
        <w:t>124</w:t>
      </w:r>
      <w:r>
        <w:rPr>
          <w:rFonts w:hint="eastAsia" w:ascii="宋体" w:hAnsi="宋体" w:cs="宋体"/>
          <w:sz w:val="20"/>
        </w:rPr>
        <w:fldChar w:fldCharType="end"/>
      </w:r>
      <w:r>
        <w:rPr>
          <w:rFonts w:hint="eastAsia" w:ascii="宋体" w:hAnsi="宋体" w:cs="宋体"/>
          <w:sz w:val="20"/>
        </w:rPr>
        <w:fldChar w:fldCharType="end"/>
      </w:r>
    </w:p>
    <w:p>
      <w:pPr>
        <w:pStyle w:val="26"/>
        <w:tabs>
          <w:tab w:val="right" w:leader="dot" w:pos="9214"/>
          <w:tab w:val="right" w:leader="dot" w:pos="10090"/>
          <w:tab w:val="clear" w:pos="9060"/>
        </w:tabs>
        <w:spacing w:after="120"/>
        <w:ind w:firstLine="324" w:firstLineChars="135"/>
        <w:jc w:val="distribute"/>
        <w:rPr>
          <w:rFonts w:cs="宋体"/>
          <w:b/>
          <w:sz w:val="20"/>
          <w:szCs w:val="21"/>
        </w:rPr>
      </w:pPr>
      <w:r>
        <w:fldChar w:fldCharType="begin"/>
      </w:r>
      <w:r>
        <w:instrText xml:space="preserve"> HYPERLINK \l "_Toc342306270" </w:instrText>
      </w:r>
      <w:r>
        <w:fldChar w:fldCharType="separate"/>
      </w:r>
      <w:r>
        <w:rPr>
          <w:rStyle w:val="44"/>
          <w:rFonts w:hint="eastAsia" w:cs="宋体"/>
          <w:color w:val="auto"/>
          <w:sz w:val="20"/>
          <w:szCs w:val="20"/>
        </w:rPr>
        <w:t>第四部分  附  件</w:t>
      </w:r>
      <w:r>
        <w:rPr>
          <w:rFonts w:hint="eastAsia" w:cs="宋体"/>
          <w:sz w:val="20"/>
          <w:szCs w:val="20"/>
        </w:rPr>
        <w:tab/>
      </w:r>
      <w:r>
        <w:rPr>
          <w:rFonts w:hint="eastAsia" w:cs="宋体"/>
          <w:sz w:val="20"/>
          <w:szCs w:val="20"/>
        </w:rPr>
        <w:fldChar w:fldCharType="begin"/>
      </w:r>
      <w:r>
        <w:rPr>
          <w:rFonts w:hint="eastAsia" w:cs="宋体"/>
          <w:sz w:val="20"/>
          <w:szCs w:val="20"/>
        </w:rPr>
        <w:instrText xml:space="preserve"> PAGEREF _Toc342306270 \h </w:instrText>
      </w:r>
      <w:r>
        <w:rPr>
          <w:rFonts w:hint="eastAsia" w:cs="宋体"/>
          <w:sz w:val="20"/>
          <w:szCs w:val="20"/>
        </w:rPr>
        <w:fldChar w:fldCharType="separate"/>
      </w:r>
      <w:r>
        <w:rPr>
          <w:rFonts w:hint="eastAsia" w:cs="宋体"/>
          <w:sz w:val="20"/>
          <w:szCs w:val="20"/>
        </w:rPr>
        <w:t>125</w:t>
      </w:r>
      <w:r>
        <w:rPr>
          <w:rFonts w:hint="eastAsia" w:cs="宋体"/>
          <w:sz w:val="20"/>
          <w:szCs w:val="20"/>
        </w:rPr>
        <w:fldChar w:fldCharType="end"/>
      </w:r>
      <w:r>
        <w:rPr>
          <w:rFonts w:hint="eastAsia" w:cs="宋体"/>
          <w:sz w:val="20"/>
          <w:szCs w:val="20"/>
        </w:rPr>
        <w:fldChar w:fldCharType="end"/>
      </w:r>
    </w:p>
    <w:p>
      <w:pPr>
        <w:tabs>
          <w:tab w:val="right" w:leader="dot" w:pos="9214"/>
        </w:tabs>
        <w:ind w:firstLine="324" w:firstLineChars="135"/>
        <w:jc w:val="distribute"/>
        <w:rPr>
          <w:rFonts w:ascii="宋体" w:hAnsi="宋体" w:cs="宋体"/>
          <w:sz w:val="20"/>
          <w:szCs w:val="20"/>
        </w:rPr>
        <w:sectPr>
          <w:type w:val="nextColumn"/>
          <w:pgSz w:w="11920" w:h="16840"/>
          <w:pgMar w:top="1418" w:right="1134" w:bottom="1418" w:left="1418" w:header="720" w:footer="720" w:gutter="0"/>
          <w:cols w:space="720" w:num="1"/>
        </w:sectPr>
      </w:pPr>
      <w:r>
        <w:rPr>
          <w:rFonts w:hint="eastAsia" w:ascii="宋体" w:hAnsi="宋体" w:cs="宋体"/>
          <w:sz w:val="24"/>
          <w:szCs w:val="24"/>
        </w:rPr>
        <w:fldChar w:fldCharType="end"/>
      </w:r>
    </w:p>
    <w:p>
      <w:pPr>
        <w:pStyle w:val="3"/>
        <w:spacing w:before="360" w:beforeLines="150" w:after="240" w:afterLines="100"/>
        <w:jc w:val="center"/>
        <w:rPr>
          <w:rFonts w:ascii="宋体" w:hAnsi="宋体" w:cs="宋体"/>
          <w:b/>
          <w:bCs/>
          <w:kern w:val="0"/>
          <w:sz w:val="32"/>
          <w:szCs w:val="32"/>
        </w:rPr>
      </w:pPr>
      <w:bookmarkStart w:id="47" w:name="_Toc342306195"/>
      <w:r>
        <w:rPr>
          <w:rFonts w:hint="eastAsia" w:ascii="宋体" w:hAnsi="宋体" w:cs="宋体"/>
          <w:b/>
          <w:bCs/>
          <w:kern w:val="0"/>
          <w:sz w:val="32"/>
          <w:szCs w:val="32"/>
        </w:rPr>
        <w:t>第一部分  协 议 书</w:t>
      </w:r>
      <w:bookmarkEnd w:id="47"/>
    </w:p>
    <w:p>
      <w:pPr>
        <w:tabs>
          <w:tab w:val="left" w:pos="9100"/>
        </w:tabs>
        <w:autoSpaceDE w:val="0"/>
        <w:autoSpaceDN w:val="0"/>
        <w:adjustRightInd w:val="0"/>
        <w:spacing w:line="360" w:lineRule="auto"/>
        <w:ind w:left="420" w:leftChars="200" w:right="930"/>
        <w:jc w:val="left"/>
        <w:rPr>
          <w:rFonts w:ascii="宋体" w:hAnsi="宋体" w:cs="宋体"/>
          <w:sz w:val="22"/>
          <w:u w:val="single"/>
        </w:rPr>
      </w:pPr>
      <w:r>
        <w:rPr>
          <w:rFonts w:hint="eastAsia" w:ascii="宋体" w:hAnsi="宋体" w:cs="宋体"/>
          <w:sz w:val="22"/>
        </w:rPr>
        <w:t>发包人:（全称）</w:t>
      </w:r>
      <w:r>
        <w:rPr>
          <w:rFonts w:hint="eastAsia" w:ascii="宋体" w:hAnsi="宋体" w:cs="宋体"/>
          <w:b/>
          <w:sz w:val="22"/>
          <w:u w:val="single"/>
        </w:rPr>
        <w:t xml:space="preserve">                             </w:t>
      </w:r>
    </w:p>
    <w:p>
      <w:pPr>
        <w:tabs>
          <w:tab w:val="left" w:pos="8865"/>
        </w:tabs>
        <w:autoSpaceDE w:val="0"/>
        <w:autoSpaceDN w:val="0"/>
        <w:adjustRightInd w:val="0"/>
        <w:spacing w:line="360" w:lineRule="auto"/>
        <w:ind w:left="420" w:leftChars="200" w:right="930"/>
        <w:jc w:val="left"/>
        <w:rPr>
          <w:rFonts w:ascii="宋体" w:hAnsi="宋体" w:cs="宋体"/>
          <w:b/>
          <w:sz w:val="22"/>
          <w:u w:val="single"/>
        </w:rPr>
      </w:pPr>
      <w:r>
        <w:rPr>
          <w:rFonts w:hint="eastAsia" w:ascii="宋体" w:hAnsi="宋体" w:cs="宋体"/>
          <w:sz w:val="22"/>
        </w:rPr>
        <w:t>承包人:（全称）</w:t>
      </w:r>
      <w:r>
        <w:rPr>
          <w:rFonts w:hint="eastAsia" w:ascii="宋体" w:hAnsi="宋体" w:cs="宋体"/>
          <w:b/>
          <w:sz w:val="22"/>
          <w:u w:val="single"/>
        </w:rPr>
        <w:t xml:space="preserve">                             </w:t>
      </w:r>
    </w:p>
    <w:p>
      <w:pPr>
        <w:autoSpaceDE w:val="0"/>
        <w:autoSpaceDN w:val="0"/>
        <w:adjustRightInd w:val="0"/>
        <w:spacing w:line="360" w:lineRule="auto"/>
        <w:ind w:left="420" w:leftChars="200"/>
        <w:jc w:val="left"/>
        <w:rPr>
          <w:rFonts w:ascii="宋体" w:hAnsi="宋体" w:cs="宋体"/>
          <w:sz w:val="22"/>
        </w:rPr>
      </w:pPr>
    </w:p>
    <w:p>
      <w:pPr>
        <w:autoSpaceDE w:val="0"/>
        <w:autoSpaceDN w:val="0"/>
        <w:adjustRightInd w:val="0"/>
        <w:spacing w:line="360" w:lineRule="auto"/>
        <w:ind w:left="420" w:leftChars="200" w:firstLine="440" w:firstLineChars="200"/>
        <w:jc w:val="left"/>
        <w:rPr>
          <w:rFonts w:ascii="宋体" w:hAnsi="宋体" w:cs="宋体"/>
          <w:sz w:val="22"/>
        </w:rPr>
      </w:pPr>
      <w:r>
        <w:rPr>
          <w:rFonts w:hint="eastAsia" w:ascii="宋体" w:hAnsi="宋体" w:cs="宋体"/>
          <w:sz w:val="22"/>
        </w:rPr>
        <w:t>依照《中华人民共和国民法典》、《中华人民共和国建筑法》及其他有关法律法规，遵循平等、自愿、公平和诚实信用的原则，合同双方当事人就合同工程施工有关事项达成一致意见，订立本协议书。</w:t>
      </w:r>
    </w:p>
    <w:p>
      <w:pPr>
        <w:autoSpaceDE w:val="0"/>
        <w:autoSpaceDN w:val="0"/>
        <w:adjustRightInd w:val="0"/>
        <w:spacing w:before="120" w:beforeLines="50" w:line="360" w:lineRule="auto"/>
        <w:ind w:left="420" w:leftChars="200"/>
        <w:jc w:val="left"/>
        <w:outlineLvl w:val="0"/>
        <w:rPr>
          <w:rFonts w:ascii="宋体" w:hAnsi="宋体" w:cs="宋体"/>
          <w:sz w:val="22"/>
        </w:rPr>
      </w:pPr>
      <w:bookmarkStart w:id="48" w:name="_Toc331237482"/>
      <w:bookmarkStart w:id="49" w:name="_Toc332717042"/>
      <w:bookmarkStart w:id="50" w:name="_Toc342306196"/>
      <w:r>
        <w:rPr>
          <w:rFonts w:hint="eastAsia" w:ascii="宋体" w:hAnsi="宋体" w:cs="宋体"/>
          <w:b/>
          <w:sz w:val="24"/>
          <w:szCs w:val="24"/>
        </w:rPr>
        <w:t>一、工程概况</w:t>
      </w:r>
      <w:bookmarkEnd w:id="48"/>
      <w:bookmarkEnd w:id="49"/>
      <w:bookmarkEnd w:id="50"/>
      <w:r>
        <w:rPr>
          <w:rFonts w:hint="eastAsia" w:ascii="宋体" w:hAnsi="宋体" w:cs="宋体"/>
          <w:sz w:val="22"/>
        </w:rPr>
        <w:t xml:space="preserve"> </w:t>
      </w:r>
    </w:p>
    <w:p>
      <w:pPr>
        <w:spacing w:line="360" w:lineRule="auto"/>
        <w:ind w:left="1950" w:leftChars="300" w:hanging="1320" w:hangingChars="600"/>
        <w:rPr>
          <w:rFonts w:ascii="宋体" w:hAnsi="宋体" w:cs="宋体"/>
          <w:b/>
          <w:sz w:val="22"/>
          <w:u w:val="single"/>
        </w:rPr>
      </w:pPr>
      <w:r>
        <w:rPr>
          <w:rFonts w:hint="eastAsia" w:ascii="宋体" w:hAnsi="宋体" w:cs="宋体"/>
          <w:sz w:val="22"/>
        </w:rPr>
        <w:t xml:space="preserve">  工程名称：</w:t>
      </w:r>
      <w:r>
        <w:rPr>
          <w:rFonts w:hint="eastAsia" w:ascii="宋体" w:hAnsi="宋体" w:cs="宋体"/>
          <w:b/>
          <w:sz w:val="22"/>
          <w:u w:val="single"/>
        </w:rPr>
        <w:t xml:space="preserve">                  </w:t>
      </w:r>
      <w:r>
        <w:rPr>
          <w:rFonts w:hint="eastAsia" w:ascii="宋体" w:hAnsi="宋体" w:cs="宋体"/>
          <w:sz w:val="22"/>
        </w:rPr>
        <w:t>；</w:t>
      </w:r>
    </w:p>
    <w:p>
      <w:pPr>
        <w:tabs>
          <w:tab w:val="left" w:pos="8560"/>
        </w:tabs>
        <w:autoSpaceDE w:val="0"/>
        <w:autoSpaceDN w:val="0"/>
        <w:adjustRightInd w:val="0"/>
        <w:spacing w:line="360" w:lineRule="auto"/>
        <w:ind w:left="420" w:leftChars="200" w:firstLine="440" w:firstLineChars="200"/>
        <w:jc w:val="left"/>
        <w:rPr>
          <w:rFonts w:ascii="宋体" w:hAnsi="宋体" w:cs="宋体"/>
          <w:sz w:val="22"/>
        </w:rPr>
      </w:pPr>
      <w:r>
        <w:rPr>
          <w:rFonts w:hint="eastAsia" w:ascii="宋体" w:hAnsi="宋体" w:cs="宋体"/>
          <w:sz w:val="22"/>
        </w:rPr>
        <w:t>工程地点：</w:t>
      </w:r>
      <w:r>
        <w:rPr>
          <w:rFonts w:hint="eastAsia" w:ascii="宋体" w:hAnsi="宋体" w:cs="宋体"/>
          <w:b/>
          <w:sz w:val="22"/>
          <w:u w:val="single"/>
        </w:rPr>
        <w:t xml:space="preserve">                  </w:t>
      </w:r>
      <w:r>
        <w:rPr>
          <w:rFonts w:hint="eastAsia" w:ascii="宋体" w:hAnsi="宋体" w:cs="宋体"/>
          <w:sz w:val="22"/>
        </w:rPr>
        <w:t>；</w:t>
      </w:r>
    </w:p>
    <w:p>
      <w:pPr>
        <w:tabs>
          <w:tab w:val="left" w:pos="8560"/>
        </w:tabs>
        <w:autoSpaceDE w:val="0"/>
        <w:autoSpaceDN w:val="0"/>
        <w:adjustRightInd w:val="0"/>
        <w:spacing w:line="360" w:lineRule="auto"/>
        <w:ind w:left="420" w:leftChars="200" w:firstLine="440" w:firstLineChars="200"/>
        <w:jc w:val="left"/>
        <w:rPr>
          <w:rFonts w:ascii="宋体" w:hAnsi="宋体" w:cs="宋体"/>
          <w:sz w:val="22"/>
        </w:rPr>
      </w:pPr>
      <w:r>
        <w:rPr>
          <w:rFonts w:hint="eastAsia" w:ascii="宋体" w:hAnsi="宋体" w:cs="宋体"/>
          <w:sz w:val="22"/>
        </w:rPr>
        <w:t>工程内容：</w:t>
      </w:r>
      <w:r>
        <w:rPr>
          <w:rFonts w:hint="eastAsia" w:ascii="宋体" w:hAnsi="宋体" w:cs="宋体"/>
          <w:b/>
          <w:sz w:val="22"/>
          <w:u w:val="single"/>
        </w:rPr>
        <w:t xml:space="preserve">                  </w:t>
      </w:r>
      <w:r>
        <w:rPr>
          <w:rFonts w:hint="eastAsia" w:ascii="宋体" w:hAnsi="宋体" w:cs="宋体"/>
          <w:sz w:val="22"/>
        </w:rPr>
        <w:t>；</w:t>
      </w:r>
    </w:p>
    <w:p>
      <w:pPr>
        <w:tabs>
          <w:tab w:val="left" w:pos="8560"/>
        </w:tabs>
        <w:autoSpaceDE w:val="0"/>
        <w:autoSpaceDN w:val="0"/>
        <w:adjustRightInd w:val="0"/>
        <w:spacing w:line="360" w:lineRule="auto"/>
        <w:ind w:left="420" w:leftChars="200" w:firstLine="440" w:firstLineChars="200"/>
        <w:jc w:val="left"/>
        <w:rPr>
          <w:rFonts w:ascii="宋体" w:hAnsi="宋体" w:cs="宋体"/>
          <w:sz w:val="22"/>
        </w:rPr>
      </w:pPr>
      <w:r>
        <w:rPr>
          <w:rFonts w:hint="eastAsia" w:ascii="宋体" w:hAnsi="宋体" w:cs="宋体"/>
          <w:sz w:val="22"/>
        </w:rPr>
        <w:t>结构形式：</w:t>
      </w:r>
      <w:r>
        <w:rPr>
          <w:rFonts w:hint="eastAsia" w:ascii="宋体" w:hAnsi="宋体" w:cs="宋体"/>
          <w:b/>
          <w:sz w:val="22"/>
          <w:u w:val="single"/>
        </w:rPr>
        <w:t xml:space="preserve">                  </w:t>
      </w:r>
      <w:r>
        <w:rPr>
          <w:rFonts w:hint="eastAsia" w:ascii="宋体" w:hAnsi="宋体" w:cs="宋体"/>
          <w:sz w:val="22"/>
        </w:rPr>
        <w:t>；</w:t>
      </w:r>
    </w:p>
    <w:p>
      <w:pPr>
        <w:pStyle w:val="35"/>
        <w:spacing w:after="0" w:line="360" w:lineRule="auto"/>
        <w:ind w:left="420" w:leftChars="200" w:firstLine="440" w:firstLineChars="200"/>
        <w:jc w:val="left"/>
        <w:rPr>
          <w:rFonts w:ascii="宋体" w:hAnsi="宋体" w:cs="宋体"/>
          <w:sz w:val="22"/>
          <w:szCs w:val="22"/>
        </w:rPr>
      </w:pPr>
      <w:r>
        <w:rPr>
          <w:rFonts w:hint="eastAsia" w:ascii="宋体" w:hAnsi="宋体" w:cs="宋体"/>
          <w:sz w:val="22"/>
          <w:szCs w:val="22"/>
        </w:rPr>
        <w:t>工程立项、规划批准文件号：</w:t>
      </w:r>
      <w:r>
        <w:rPr>
          <w:rFonts w:hint="eastAsia" w:ascii="宋体" w:hAnsi="宋体" w:cs="宋体"/>
          <w:b/>
          <w:sz w:val="22"/>
          <w:szCs w:val="22"/>
          <w:u w:val="single"/>
        </w:rPr>
        <w:t xml:space="preserve">                   </w:t>
      </w:r>
      <w:r>
        <w:rPr>
          <w:rFonts w:hint="eastAsia" w:ascii="宋体" w:hAnsi="宋体" w:cs="宋体"/>
          <w:sz w:val="22"/>
          <w:szCs w:val="22"/>
        </w:rPr>
        <w:t>；</w:t>
      </w:r>
    </w:p>
    <w:p>
      <w:pPr>
        <w:pStyle w:val="35"/>
        <w:spacing w:after="0" w:line="360" w:lineRule="auto"/>
        <w:ind w:left="420" w:leftChars="200" w:firstLine="440" w:firstLineChars="200"/>
        <w:jc w:val="left"/>
        <w:rPr>
          <w:rFonts w:ascii="宋体" w:hAnsi="宋体" w:cs="宋体"/>
          <w:sz w:val="22"/>
          <w:szCs w:val="22"/>
          <w:u w:val="single"/>
        </w:rPr>
      </w:pPr>
      <w:r>
        <w:rPr>
          <w:rFonts w:hint="eastAsia" w:ascii="宋体" w:hAnsi="宋体" w:cs="宋体"/>
          <w:sz w:val="22"/>
          <w:szCs w:val="22"/>
        </w:rPr>
        <w:t>资金来源：</w:t>
      </w:r>
      <w:r>
        <w:rPr>
          <w:rFonts w:hint="eastAsia" w:ascii="宋体" w:hAnsi="宋体" w:cs="宋体"/>
          <w:sz w:val="22"/>
          <w:szCs w:val="22"/>
          <w:u w:val="single"/>
        </w:rPr>
        <w:t xml:space="preserve"> </w:t>
      </w:r>
      <w:r>
        <w:rPr>
          <w:rFonts w:hint="eastAsia" w:ascii="宋体" w:hAnsi="宋体" w:cs="宋体"/>
          <w:b/>
          <w:sz w:val="22"/>
          <w:szCs w:val="22"/>
          <w:u w:val="single"/>
        </w:rPr>
        <w:t xml:space="preserve">                  </w:t>
      </w:r>
      <w:r>
        <w:rPr>
          <w:rFonts w:hint="eastAsia" w:ascii="宋体" w:hAnsi="宋体" w:cs="宋体"/>
          <w:sz w:val="22"/>
          <w:szCs w:val="22"/>
        </w:rPr>
        <w:t>；</w:t>
      </w:r>
    </w:p>
    <w:p>
      <w:pPr>
        <w:autoSpaceDE w:val="0"/>
        <w:autoSpaceDN w:val="0"/>
        <w:adjustRightInd w:val="0"/>
        <w:spacing w:before="120" w:beforeLines="50" w:line="360" w:lineRule="auto"/>
        <w:ind w:left="420" w:leftChars="200"/>
        <w:jc w:val="left"/>
        <w:outlineLvl w:val="0"/>
        <w:rPr>
          <w:rFonts w:ascii="宋体" w:hAnsi="宋体" w:cs="宋体"/>
          <w:b/>
          <w:sz w:val="24"/>
          <w:szCs w:val="24"/>
        </w:rPr>
      </w:pPr>
      <w:bookmarkStart w:id="51" w:name="_Toc331237483"/>
      <w:bookmarkStart w:id="52" w:name="_Toc342306197"/>
      <w:bookmarkStart w:id="53" w:name="_Toc332717043"/>
      <w:r>
        <w:rPr>
          <w:rFonts w:hint="eastAsia" w:ascii="宋体" w:hAnsi="宋体" w:cs="宋体"/>
          <w:b/>
          <w:sz w:val="24"/>
          <w:szCs w:val="24"/>
        </w:rPr>
        <w:t>二、工程承包范围</w:t>
      </w:r>
      <w:bookmarkEnd w:id="51"/>
      <w:bookmarkEnd w:id="52"/>
      <w:bookmarkEnd w:id="53"/>
    </w:p>
    <w:p>
      <w:pPr>
        <w:snapToGrid w:val="0"/>
        <w:spacing w:line="360" w:lineRule="auto"/>
        <w:ind w:left="420" w:leftChars="200" w:firstLine="440" w:firstLineChars="200"/>
        <w:rPr>
          <w:rFonts w:ascii="宋体" w:hAnsi="宋体" w:cs="宋体"/>
          <w:sz w:val="22"/>
          <w:u w:val="single"/>
        </w:rPr>
      </w:pPr>
      <w:r>
        <w:rPr>
          <w:rFonts w:hint="eastAsia" w:ascii="宋体" w:hAnsi="宋体" w:cs="宋体"/>
          <w:sz w:val="22"/>
        </w:rPr>
        <w:t>承包范围：</w:t>
      </w:r>
      <w:r>
        <w:rPr>
          <w:rFonts w:hint="eastAsia" w:ascii="宋体" w:hAnsi="宋体" w:cs="宋体"/>
          <w:b/>
          <w:sz w:val="22"/>
          <w:u w:val="single"/>
        </w:rPr>
        <w:t xml:space="preserve">                  </w:t>
      </w:r>
      <w:r>
        <w:rPr>
          <w:rFonts w:hint="eastAsia" w:ascii="宋体" w:hAnsi="宋体" w:cs="宋体"/>
          <w:sz w:val="22"/>
        </w:rPr>
        <w:t>。</w:t>
      </w:r>
    </w:p>
    <w:p>
      <w:pPr>
        <w:autoSpaceDE w:val="0"/>
        <w:autoSpaceDN w:val="0"/>
        <w:adjustRightInd w:val="0"/>
        <w:spacing w:before="120" w:beforeLines="50" w:line="360" w:lineRule="auto"/>
        <w:ind w:left="420" w:leftChars="200"/>
        <w:jc w:val="left"/>
        <w:outlineLvl w:val="0"/>
        <w:rPr>
          <w:rFonts w:ascii="宋体" w:hAnsi="宋体" w:cs="宋体"/>
          <w:b/>
          <w:sz w:val="24"/>
          <w:szCs w:val="24"/>
        </w:rPr>
      </w:pPr>
      <w:bookmarkStart w:id="54" w:name="_Toc332717044"/>
      <w:bookmarkStart w:id="55" w:name="_Toc342306198"/>
      <w:bookmarkStart w:id="56" w:name="_Toc331237484"/>
      <w:r>
        <w:rPr>
          <w:rFonts w:hint="eastAsia" w:ascii="宋体" w:hAnsi="宋体" w:cs="宋体"/>
          <w:b/>
          <w:sz w:val="24"/>
          <w:szCs w:val="24"/>
        </w:rPr>
        <w:t>三、合同工期</w:t>
      </w:r>
      <w:bookmarkEnd w:id="54"/>
      <w:bookmarkEnd w:id="55"/>
      <w:bookmarkEnd w:id="56"/>
    </w:p>
    <w:p>
      <w:pPr>
        <w:tabs>
          <w:tab w:val="left" w:pos="4100"/>
        </w:tabs>
        <w:autoSpaceDE w:val="0"/>
        <w:autoSpaceDN w:val="0"/>
        <w:adjustRightInd w:val="0"/>
        <w:spacing w:line="360" w:lineRule="auto"/>
        <w:ind w:left="420" w:leftChars="200" w:firstLine="440" w:firstLineChars="200"/>
        <w:jc w:val="left"/>
        <w:rPr>
          <w:rFonts w:ascii="宋体" w:hAnsi="宋体" w:cs="宋体"/>
          <w:sz w:val="22"/>
        </w:rPr>
      </w:pPr>
      <w:r>
        <w:rPr>
          <w:rFonts w:hint="eastAsia" w:ascii="宋体" w:hAnsi="宋体" w:cs="宋体"/>
          <w:sz w:val="22"/>
        </w:rPr>
        <w:t>工程合同工期总日历天数：</w:t>
      </w:r>
      <w:r>
        <w:rPr>
          <w:rFonts w:hint="eastAsia" w:ascii="宋体" w:hAnsi="宋体" w:cs="宋体"/>
          <w:b/>
          <w:sz w:val="22"/>
          <w:u w:val="single"/>
        </w:rPr>
        <w:t xml:space="preserve">       </w:t>
      </w:r>
      <w:r>
        <w:rPr>
          <w:rFonts w:hint="eastAsia" w:ascii="宋体" w:hAnsi="宋体" w:cs="宋体"/>
          <w:sz w:val="22"/>
        </w:rPr>
        <w:t>日历天。</w:t>
      </w:r>
    </w:p>
    <w:p>
      <w:pPr>
        <w:tabs>
          <w:tab w:val="left" w:pos="2300"/>
          <w:tab w:val="left" w:pos="3260"/>
          <w:tab w:val="left" w:pos="3980"/>
          <w:tab w:val="left" w:pos="6740"/>
          <w:tab w:val="left" w:pos="7700"/>
          <w:tab w:val="left" w:pos="8420"/>
        </w:tabs>
        <w:autoSpaceDE w:val="0"/>
        <w:autoSpaceDN w:val="0"/>
        <w:adjustRightInd w:val="0"/>
        <w:spacing w:line="360" w:lineRule="auto"/>
        <w:ind w:left="420" w:leftChars="200" w:firstLine="440" w:firstLineChars="200"/>
        <w:jc w:val="left"/>
        <w:rPr>
          <w:rFonts w:ascii="宋体" w:hAnsi="宋体" w:cs="宋体"/>
          <w:sz w:val="22"/>
        </w:rPr>
      </w:pPr>
      <w:r>
        <w:rPr>
          <w:rFonts w:hint="eastAsia" w:ascii="宋体" w:hAnsi="宋体" w:cs="宋体"/>
          <w:sz w:val="22"/>
        </w:rPr>
        <w:t>拟从</w:t>
      </w:r>
      <w:r>
        <w:rPr>
          <w:rFonts w:hint="eastAsia" w:ascii="宋体" w:hAnsi="宋体" w:cs="宋体"/>
          <w:b/>
          <w:sz w:val="22"/>
          <w:u w:val="single"/>
        </w:rPr>
        <w:t xml:space="preserve">      </w:t>
      </w:r>
      <w:r>
        <w:rPr>
          <w:rFonts w:hint="eastAsia" w:ascii="宋体" w:hAnsi="宋体" w:cs="宋体"/>
          <w:sz w:val="22"/>
        </w:rPr>
        <w:t>年</w:t>
      </w:r>
      <w:r>
        <w:rPr>
          <w:rFonts w:hint="eastAsia" w:ascii="宋体" w:hAnsi="宋体" w:cs="宋体"/>
          <w:b/>
          <w:sz w:val="22"/>
          <w:u w:val="single"/>
        </w:rPr>
        <w:t xml:space="preserve">     </w:t>
      </w:r>
      <w:r>
        <w:rPr>
          <w:rFonts w:hint="eastAsia" w:ascii="宋体" w:hAnsi="宋体" w:cs="宋体"/>
          <w:sz w:val="22"/>
        </w:rPr>
        <w:t>月</w:t>
      </w:r>
      <w:r>
        <w:rPr>
          <w:rFonts w:hint="eastAsia" w:ascii="宋体" w:hAnsi="宋体" w:cs="宋体"/>
          <w:b/>
          <w:sz w:val="22"/>
          <w:u w:val="single"/>
        </w:rPr>
        <w:t xml:space="preserve">     </w:t>
      </w:r>
      <w:r>
        <w:rPr>
          <w:rFonts w:hint="eastAsia" w:ascii="宋体" w:hAnsi="宋体" w:cs="宋体"/>
          <w:sz w:val="22"/>
        </w:rPr>
        <w:t>日开始施工，至</w:t>
      </w:r>
      <w:r>
        <w:rPr>
          <w:rFonts w:hint="eastAsia" w:ascii="宋体" w:hAnsi="宋体" w:cs="宋体"/>
          <w:b/>
          <w:sz w:val="22"/>
          <w:u w:val="single"/>
        </w:rPr>
        <w:t xml:space="preserve">    </w:t>
      </w:r>
      <w:r>
        <w:rPr>
          <w:rFonts w:hint="eastAsia" w:ascii="宋体" w:hAnsi="宋体" w:cs="宋体"/>
          <w:sz w:val="22"/>
        </w:rPr>
        <w:t>年</w:t>
      </w:r>
      <w:r>
        <w:rPr>
          <w:rFonts w:hint="eastAsia" w:ascii="宋体" w:hAnsi="宋体" w:cs="宋体"/>
          <w:b/>
          <w:sz w:val="22"/>
          <w:u w:val="single"/>
        </w:rPr>
        <w:t xml:space="preserve">      </w:t>
      </w:r>
      <w:r>
        <w:rPr>
          <w:rFonts w:hint="eastAsia" w:ascii="宋体" w:hAnsi="宋体" w:cs="宋体"/>
          <w:sz w:val="22"/>
        </w:rPr>
        <w:t>月</w:t>
      </w:r>
      <w:r>
        <w:rPr>
          <w:rFonts w:hint="eastAsia" w:ascii="宋体" w:hAnsi="宋体" w:cs="宋体"/>
          <w:b/>
          <w:sz w:val="22"/>
          <w:u w:val="single"/>
        </w:rPr>
        <w:t xml:space="preserve">     </w:t>
      </w:r>
      <w:r>
        <w:rPr>
          <w:rFonts w:hint="eastAsia" w:ascii="宋体" w:hAnsi="宋体" w:cs="宋体"/>
          <w:sz w:val="22"/>
        </w:rPr>
        <w:t>日竣工完成。（具体开工时间以发包人批复的开工报告为准）。</w:t>
      </w:r>
    </w:p>
    <w:p>
      <w:pPr>
        <w:tabs>
          <w:tab w:val="left" w:pos="2300"/>
          <w:tab w:val="left" w:pos="3260"/>
          <w:tab w:val="left" w:pos="3980"/>
          <w:tab w:val="left" w:pos="6740"/>
          <w:tab w:val="left" w:pos="7700"/>
          <w:tab w:val="left" w:pos="8420"/>
        </w:tabs>
        <w:autoSpaceDE w:val="0"/>
        <w:autoSpaceDN w:val="0"/>
        <w:adjustRightInd w:val="0"/>
        <w:spacing w:line="360" w:lineRule="auto"/>
        <w:ind w:left="420" w:leftChars="200" w:firstLine="440" w:firstLineChars="200"/>
        <w:jc w:val="left"/>
        <w:rPr>
          <w:rFonts w:ascii="宋体" w:hAnsi="宋体" w:cs="宋体"/>
          <w:sz w:val="22"/>
        </w:rPr>
      </w:pPr>
      <w:r>
        <w:rPr>
          <w:rFonts w:hint="eastAsia" w:ascii="宋体" w:hAnsi="宋体" w:cs="宋体"/>
          <w:sz w:val="22"/>
        </w:rPr>
        <w:t>工期总日历天数与根据计划开竣工日期计算的工期天数不一致的，以工期总日历天数为准。</w:t>
      </w:r>
    </w:p>
    <w:p>
      <w:pPr>
        <w:autoSpaceDE w:val="0"/>
        <w:autoSpaceDN w:val="0"/>
        <w:adjustRightInd w:val="0"/>
        <w:spacing w:before="120" w:beforeLines="50" w:line="360" w:lineRule="auto"/>
        <w:ind w:left="420" w:leftChars="200"/>
        <w:jc w:val="left"/>
        <w:outlineLvl w:val="0"/>
        <w:rPr>
          <w:rFonts w:ascii="宋体" w:hAnsi="宋体" w:cs="宋体"/>
          <w:b/>
          <w:sz w:val="24"/>
          <w:szCs w:val="24"/>
        </w:rPr>
      </w:pPr>
      <w:bookmarkStart w:id="57" w:name="_Toc332717045"/>
      <w:bookmarkStart w:id="58" w:name="_Toc342306199"/>
      <w:bookmarkStart w:id="59" w:name="_Toc331237485"/>
      <w:r>
        <w:rPr>
          <w:rFonts w:hint="eastAsia" w:ascii="宋体" w:hAnsi="宋体" w:cs="宋体"/>
          <w:b/>
          <w:sz w:val="24"/>
          <w:szCs w:val="24"/>
        </w:rPr>
        <w:t>四、质量标准</w:t>
      </w:r>
      <w:bookmarkEnd w:id="57"/>
      <w:bookmarkEnd w:id="58"/>
      <w:bookmarkEnd w:id="59"/>
    </w:p>
    <w:p>
      <w:pPr>
        <w:tabs>
          <w:tab w:val="left" w:pos="9360"/>
        </w:tabs>
        <w:autoSpaceDE w:val="0"/>
        <w:autoSpaceDN w:val="0"/>
        <w:adjustRightInd w:val="0"/>
        <w:ind w:left="420" w:leftChars="200" w:firstLine="440" w:firstLineChars="200"/>
        <w:jc w:val="left"/>
        <w:rPr>
          <w:rFonts w:ascii="宋体" w:hAnsi="宋体" w:cs="宋体"/>
          <w:sz w:val="22"/>
        </w:rPr>
      </w:pPr>
      <w:r>
        <w:rPr>
          <w:rFonts w:hint="eastAsia" w:ascii="宋体" w:hAnsi="宋体" w:cs="宋体"/>
          <w:sz w:val="22"/>
        </w:rPr>
        <w:t>工程质量标准：</w:t>
      </w:r>
      <w:r>
        <w:rPr>
          <w:rFonts w:hint="eastAsia" w:ascii="宋体" w:hAnsi="宋体" w:cs="宋体"/>
          <w:b/>
          <w:sz w:val="22"/>
          <w:u w:val="single"/>
        </w:rPr>
        <w:t xml:space="preserve">             </w:t>
      </w:r>
      <w:r>
        <w:rPr>
          <w:rFonts w:hint="eastAsia" w:ascii="宋体" w:hAnsi="宋体" w:cs="宋体"/>
          <w:b/>
          <w:sz w:val="22"/>
        </w:rPr>
        <w:t>。</w:t>
      </w:r>
    </w:p>
    <w:p>
      <w:pPr>
        <w:autoSpaceDE w:val="0"/>
        <w:autoSpaceDN w:val="0"/>
        <w:adjustRightInd w:val="0"/>
        <w:spacing w:before="120" w:beforeLines="50" w:line="360" w:lineRule="auto"/>
        <w:ind w:left="420" w:leftChars="200"/>
        <w:jc w:val="left"/>
        <w:outlineLvl w:val="0"/>
        <w:rPr>
          <w:rFonts w:ascii="宋体" w:hAnsi="宋体" w:cs="宋体"/>
          <w:b/>
          <w:sz w:val="24"/>
          <w:szCs w:val="24"/>
        </w:rPr>
      </w:pPr>
      <w:bookmarkStart w:id="60" w:name="_Toc342306200"/>
      <w:bookmarkStart w:id="61" w:name="_Toc331237486"/>
      <w:bookmarkStart w:id="62" w:name="_Toc332717046"/>
      <w:r>
        <w:rPr>
          <w:rFonts w:hint="eastAsia" w:ascii="宋体" w:hAnsi="宋体" w:cs="宋体"/>
          <w:b/>
          <w:sz w:val="24"/>
          <w:szCs w:val="24"/>
        </w:rPr>
        <w:t>五、合同价款</w:t>
      </w:r>
      <w:bookmarkEnd w:id="60"/>
      <w:bookmarkEnd w:id="61"/>
      <w:bookmarkEnd w:id="62"/>
    </w:p>
    <w:p>
      <w:pPr>
        <w:tabs>
          <w:tab w:val="left" w:pos="9360"/>
        </w:tabs>
        <w:autoSpaceDE w:val="0"/>
        <w:autoSpaceDN w:val="0"/>
        <w:adjustRightInd w:val="0"/>
        <w:spacing w:line="360" w:lineRule="auto"/>
        <w:ind w:left="420" w:leftChars="200" w:firstLine="442" w:firstLineChars="200"/>
        <w:jc w:val="left"/>
        <w:rPr>
          <w:rFonts w:ascii="宋体" w:hAnsi="宋体" w:cs="宋体"/>
          <w:b/>
          <w:sz w:val="22"/>
          <w:u w:val="single"/>
        </w:rPr>
      </w:pPr>
      <w:r>
        <w:rPr>
          <w:rFonts w:hint="eastAsia" w:ascii="宋体" w:hAnsi="宋体" w:cs="宋体"/>
          <w:b/>
          <w:bCs/>
          <w:sz w:val="22"/>
        </w:rPr>
        <w:t>含税合同总价：</w:t>
      </w:r>
      <w:r>
        <w:rPr>
          <w:rFonts w:hint="eastAsia" w:ascii="宋体" w:hAnsi="宋体" w:cs="宋体"/>
          <w:sz w:val="22"/>
        </w:rPr>
        <w:t>人民币（大写）：</w:t>
      </w:r>
      <w:r>
        <w:rPr>
          <w:rFonts w:hint="eastAsia" w:ascii="宋体" w:hAnsi="宋体" w:cs="宋体"/>
          <w:b/>
          <w:sz w:val="22"/>
          <w:u w:val="single"/>
        </w:rPr>
        <w:t xml:space="preserve">                         </w:t>
      </w:r>
      <w:r>
        <w:rPr>
          <w:rFonts w:hint="eastAsia" w:ascii="宋体" w:hAnsi="宋体" w:cs="宋体"/>
          <w:sz w:val="22"/>
        </w:rPr>
        <w:t>元；</w:t>
      </w:r>
    </w:p>
    <w:p>
      <w:pPr>
        <w:tabs>
          <w:tab w:val="left" w:pos="9360"/>
        </w:tabs>
        <w:autoSpaceDE w:val="0"/>
        <w:autoSpaceDN w:val="0"/>
        <w:adjustRightInd w:val="0"/>
        <w:spacing w:line="360" w:lineRule="auto"/>
        <w:ind w:left="420" w:leftChars="200" w:firstLine="1540" w:firstLineChars="700"/>
        <w:jc w:val="left"/>
        <w:rPr>
          <w:rFonts w:ascii="宋体" w:hAnsi="宋体" w:cs="宋体"/>
          <w:b/>
          <w:sz w:val="22"/>
        </w:rPr>
      </w:pPr>
      <w:r>
        <w:rPr>
          <w:rFonts w:hint="eastAsia" w:ascii="宋体" w:hAnsi="宋体" w:cs="宋体"/>
          <w:sz w:val="22"/>
        </w:rPr>
        <w:t xml:space="preserve">         （小写）：</w:t>
      </w:r>
      <w:r>
        <w:rPr>
          <w:rFonts w:hint="eastAsia" w:ascii="宋体" w:hAnsi="宋体" w:cs="宋体"/>
          <w:b/>
          <w:sz w:val="22"/>
          <w:u w:val="single"/>
        </w:rPr>
        <w:t xml:space="preserve"> </w:t>
      </w:r>
      <w:r>
        <w:rPr>
          <w:rFonts w:hint="eastAsia" w:ascii="宋体" w:hAnsi="宋体" w:cs="宋体"/>
          <w:bCs/>
          <w:sz w:val="22"/>
          <w:u w:val="single"/>
        </w:rPr>
        <w:t>¥</w:t>
      </w:r>
      <w:r>
        <w:rPr>
          <w:rFonts w:hint="eastAsia" w:ascii="宋体" w:hAnsi="宋体" w:cs="宋体"/>
          <w:b/>
          <w:sz w:val="22"/>
          <w:u w:val="single"/>
        </w:rPr>
        <w:t xml:space="preserve">                       </w:t>
      </w:r>
      <w:r>
        <w:rPr>
          <w:rFonts w:hint="eastAsia" w:ascii="宋体" w:hAnsi="宋体" w:cs="宋体"/>
          <w:sz w:val="22"/>
        </w:rPr>
        <w:t>元。</w:t>
      </w:r>
      <w:r>
        <w:rPr>
          <w:rFonts w:hint="eastAsia" w:ascii="宋体" w:hAnsi="宋体" w:cs="宋体"/>
          <w:b/>
          <w:sz w:val="22"/>
        </w:rPr>
        <w:t xml:space="preserve"> </w:t>
      </w:r>
    </w:p>
    <w:p>
      <w:pPr>
        <w:pStyle w:val="19"/>
        <w:spacing w:line="360" w:lineRule="auto"/>
        <w:rPr>
          <w:rFonts w:hAnsi="宋体" w:cs="宋体"/>
          <w:bCs/>
          <w:sz w:val="22"/>
          <w:szCs w:val="22"/>
        </w:rPr>
      </w:pPr>
      <w:r>
        <w:rPr>
          <w:rFonts w:hint="eastAsia" w:hAnsi="宋体" w:cs="宋体"/>
          <w:b/>
          <w:sz w:val="22"/>
          <w:szCs w:val="22"/>
        </w:rPr>
        <w:t xml:space="preserve">        不含税合同总价：</w:t>
      </w:r>
      <w:r>
        <w:rPr>
          <w:rFonts w:hint="eastAsia" w:hAnsi="宋体" w:cs="宋体"/>
          <w:bCs/>
          <w:sz w:val="22"/>
          <w:szCs w:val="22"/>
        </w:rPr>
        <w:t>人民币（大写）：                   元；</w:t>
      </w:r>
    </w:p>
    <w:p>
      <w:pPr>
        <w:pStyle w:val="19"/>
        <w:spacing w:line="360" w:lineRule="auto"/>
        <w:rPr>
          <w:rFonts w:hAnsi="宋体" w:cs="宋体"/>
          <w:bCs/>
          <w:sz w:val="22"/>
          <w:szCs w:val="22"/>
        </w:rPr>
      </w:pPr>
      <w:r>
        <w:rPr>
          <w:rFonts w:hint="eastAsia" w:hAnsi="宋体" w:cs="宋体"/>
          <w:bCs/>
          <w:sz w:val="22"/>
          <w:szCs w:val="22"/>
        </w:rPr>
        <w:t xml:space="preserve">                              （小写）：¥                  元。</w:t>
      </w:r>
    </w:p>
    <w:p>
      <w:pPr>
        <w:tabs>
          <w:tab w:val="left" w:pos="6620"/>
        </w:tabs>
        <w:autoSpaceDE w:val="0"/>
        <w:autoSpaceDN w:val="0"/>
        <w:adjustRightInd w:val="0"/>
        <w:spacing w:line="360" w:lineRule="auto"/>
        <w:ind w:right="177" w:firstLine="880" w:firstLineChars="400"/>
        <w:rPr>
          <w:rFonts w:ascii="宋体" w:hAnsi="宋体" w:cs="宋体"/>
          <w:sz w:val="22"/>
        </w:rPr>
      </w:pPr>
      <w:r>
        <w:rPr>
          <w:rFonts w:hint="eastAsia" w:ascii="宋体" w:hAnsi="宋体" w:cs="宋体"/>
          <w:sz w:val="22"/>
        </w:rPr>
        <w:t>其中：绿色施工安全防护措施费：</w:t>
      </w:r>
      <w:r>
        <w:rPr>
          <w:rFonts w:hint="eastAsia" w:ascii="宋体" w:hAnsi="宋体" w:cs="宋体"/>
          <w:b/>
          <w:sz w:val="22"/>
          <w:u w:val="single"/>
        </w:rPr>
        <w:t xml:space="preserve">           </w:t>
      </w:r>
      <w:r>
        <w:rPr>
          <w:rFonts w:hint="eastAsia" w:ascii="宋体" w:hAnsi="宋体" w:cs="宋体"/>
          <w:sz w:val="22"/>
        </w:rPr>
        <w:t>元 ；暂列金额</w:t>
      </w:r>
      <w:r>
        <w:rPr>
          <w:rFonts w:hint="eastAsia" w:ascii="宋体" w:hAnsi="宋体" w:cs="宋体"/>
          <w:b/>
          <w:sz w:val="22"/>
          <w:u w:val="single"/>
        </w:rPr>
        <w:t xml:space="preserve">           </w:t>
      </w:r>
      <w:r>
        <w:rPr>
          <w:rFonts w:hint="eastAsia" w:ascii="宋体" w:hAnsi="宋体" w:cs="宋体"/>
          <w:sz w:val="22"/>
        </w:rPr>
        <w:t>元；</w:t>
      </w:r>
    </w:p>
    <w:p>
      <w:pPr>
        <w:tabs>
          <w:tab w:val="left" w:pos="6620"/>
        </w:tabs>
        <w:autoSpaceDE w:val="0"/>
        <w:autoSpaceDN w:val="0"/>
        <w:adjustRightInd w:val="0"/>
        <w:spacing w:line="360" w:lineRule="auto"/>
        <w:ind w:right="177" w:firstLine="880" w:firstLineChars="400"/>
        <w:rPr>
          <w:rFonts w:ascii="宋体" w:hAnsi="宋体" w:cs="宋体"/>
          <w:sz w:val="22"/>
        </w:rPr>
      </w:pPr>
      <w:r>
        <w:rPr>
          <w:rFonts w:hint="eastAsia" w:ascii="宋体" w:hAnsi="宋体" w:cs="宋体"/>
          <w:sz w:val="22"/>
        </w:rPr>
        <w:t xml:space="preserve">      暂估价</w:t>
      </w:r>
      <w:r>
        <w:rPr>
          <w:rFonts w:hint="eastAsia" w:ascii="宋体" w:hAnsi="宋体" w:cs="宋体"/>
          <w:sz w:val="22"/>
          <w:u w:val="single"/>
        </w:rPr>
        <w:t xml:space="preserve">     </w:t>
      </w:r>
      <w:r>
        <w:rPr>
          <w:rFonts w:hint="eastAsia" w:ascii="宋体" w:hAnsi="宋体" w:cs="宋体"/>
          <w:sz w:val="22"/>
        </w:rPr>
        <w:t>元。</w:t>
      </w:r>
    </w:p>
    <w:p>
      <w:pPr>
        <w:tabs>
          <w:tab w:val="left" w:pos="9360"/>
        </w:tabs>
        <w:autoSpaceDE w:val="0"/>
        <w:autoSpaceDN w:val="0"/>
        <w:adjustRightInd w:val="0"/>
        <w:spacing w:line="360" w:lineRule="auto"/>
        <w:ind w:left="420" w:leftChars="200" w:firstLine="440" w:firstLineChars="200"/>
        <w:jc w:val="left"/>
        <w:rPr>
          <w:rFonts w:ascii="宋体" w:hAnsi="宋体" w:cs="宋体"/>
          <w:sz w:val="22"/>
        </w:rPr>
      </w:pPr>
      <w:r>
        <w:rPr>
          <w:rFonts w:hint="eastAsia" w:ascii="宋体" w:hAnsi="宋体" w:cs="宋体"/>
          <w:sz w:val="22"/>
        </w:rPr>
        <w:t>项目单价：■详见承包人的投标报价书（招标工程）；</w:t>
      </w:r>
    </w:p>
    <w:p>
      <w:pPr>
        <w:tabs>
          <w:tab w:val="left" w:pos="9360"/>
        </w:tabs>
        <w:autoSpaceDE w:val="0"/>
        <w:autoSpaceDN w:val="0"/>
        <w:adjustRightInd w:val="0"/>
        <w:spacing w:line="360" w:lineRule="auto"/>
        <w:ind w:left="420" w:leftChars="200" w:firstLine="1540" w:firstLineChars="700"/>
        <w:jc w:val="left"/>
        <w:rPr>
          <w:rFonts w:ascii="宋体" w:hAnsi="宋体" w:cs="宋体"/>
          <w:sz w:val="22"/>
        </w:rPr>
      </w:pPr>
      <w:r>
        <w:rPr>
          <w:rFonts w:hint="eastAsia" w:ascii="宋体" w:hAnsi="宋体" w:cs="宋体"/>
          <w:sz w:val="22"/>
        </w:rPr>
        <w:t>□详见经确认的工程量清单报价单或施工图预算书（非招标工程）；</w:t>
      </w:r>
    </w:p>
    <w:p>
      <w:pPr>
        <w:autoSpaceDE w:val="0"/>
        <w:autoSpaceDN w:val="0"/>
        <w:adjustRightInd w:val="0"/>
        <w:spacing w:before="120" w:beforeLines="50" w:line="360" w:lineRule="auto"/>
        <w:ind w:left="420" w:leftChars="200"/>
        <w:jc w:val="left"/>
        <w:outlineLvl w:val="0"/>
        <w:rPr>
          <w:rFonts w:ascii="宋体" w:hAnsi="宋体" w:cs="宋体"/>
          <w:b/>
          <w:sz w:val="24"/>
          <w:szCs w:val="24"/>
        </w:rPr>
      </w:pPr>
      <w:bookmarkStart w:id="63" w:name="_Toc342306201"/>
      <w:bookmarkStart w:id="64" w:name="_Toc331237487"/>
      <w:bookmarkStart w:id="65" w:name="_Toc332717047"/>
      <w:r>
        <w:rPr>
          <w:rFonts w:hint="eastAsia" w:ascii="宋体" w:hAnsi="宋体" w:cs="宋体"/>
          <w:b/>
          <w:sz w:val="24"/>
          <w:szCs w:val="24"/>
        </w:rPr>
        <w:t>六、组成合同的文件</w:t>
      </w:r>
      <w:bookmarkEnd w:id="63"/>
      <w:bookmarkEnd w:id="64"/>
      <w:bookmarkEnd w:id="65"/>
    </w:p>
    <w:p>
      <w:pPr>
        <w:autoSpaceDE w:val="0"/>
        <w:autoSpaceDN w:val="0"/>
        <w:adjustRightInd w:val="0"/>
        <w:spacing w:line="360" w:lineRule="auto"/>
        <w:ind w:left="420" w:leftChars="200" w:firstLine="440" w:firstLineChars="200"/>
        <w:jc w:val="left"/>
        <w:rPr>
          <w:rFonts w:ascii="宋体" w:hAnsi="宋体" w:cs="宋体"/>
          <w:sz w:val="22"/>
        </w:rPr>
      </w:pPr>
      <w:r>
        <w:rPr>
          <w:rFonts w:hint="eastAsia" w:ascii="宋体" w:hAnsi="宋体" w:cs="宋体"/>
          <w:sz w:val="22"/>
        </w:rPr>
        <w:t>组成合同的文件及其优先解释顺序如下：</w:t>
      </w:r>
    </w:p>
    <w:p>
      <w:pPr>
        <w:autoSpaceDE w:val="0"/>
        <w:autoSpaceDN w:val="0"/>
        <w:adjustRightInd w:val="0"/>
        <w:spacing w:line="360" w:lineRule="auto"/>
        <w:ind w:left="420" w:leftChars="200" w:firstLine="440" w:firstLineChars="200"/>
        <w:jc w:val="left"/>
        <w:rPr>
          <w:rFonts w:ascii="宋体" w:hAnsi="宋体" w:cs="宋体"/>
          <w:sz w:val="20"/>
          <w:szCs w:val="20"/>
        </w:rPr>
      </w:pPr>
      <w:r>
        <w:rPr>
          <w:rFonts w:hint="eastAsia" w:ascii="宋体" w:hAnsi="宋体" w:cs="宋体"/>
          <w:sz w:val="22"/>
        </w:rPr>
        <w:t>（1）协议书；（2）履行本合同的相关补充协议（含工程洽商记录、会议纪要、工程变更、现场签证、索赔和合同价款调整报告等修正文件）；（3）招标文件及其附件；（4）中标通知书（适用于招标工程）；（5）承包人投标文件及其附件（含评标期间的澄清文件和补充资料）（适用于招标工程）；（6）确认的工程量清单报价单或施工图预算书（适用于非招标工程）；（7）专用条款；（8）通用条款；（9）标准、规范及有关技术文件；（10）施工设计图纸；（11）工程量清单；（12）专用条款约定的其他文件。</w:t>
      </w:r>
    </w:p>
    <w:p>
      <w:pPr>
        <w:autoSpaceDE w:val="0"/>
        <w:autoSpaceDN w:val="0"/>
        <w:adjustRightInd w:val="0"/>
        <w:spacing w:before="120" w:beforeLines="50" w:line="360" w:lineRule="auto"/>
        <w:ind w:left="420" w:leftChars="200"/>
        <w:jc w:val="left"/>
        <w:outlineLvl w:val="0"/>
        <w:rPr>
          <w:rFonts w:ascii="宋体" w:hAnsi="宋体" w:cs="宋体"/>
          <w:b/>
          <w:sz w:val="24"/>
          <w:szCs w:val="24"/>
        </w:rPr>
      </w:pPr>
      <w:bookmarkStart w:id="66" w:name="_Toc332717048"/>
      <w:bookmarkStart w:id="67" w:name="_Toc342306202"/>
      <w:bookmarkStart w:id="68" w:name="_Toc331237488"/>
      <w:r>
        <w:rPr>
          <w:rFonts w:hint="eastAsia" w:ascii="宋体" w:hAnsi="宋体" w:cs="宋体"/>
          <w:b/>
          <w:sz w:val="24"/>
          <w:szCs w:val="24"/>
        </w:rPr>
        <w:t>七、词语含义</w:t>
      </w:r>
      <w:bookmarkEnd w:id="66"/>
      <w:bookmarkEnd w:id="67"/>
      <w:bookmarkEnd w:id="68"/>
    </w:p>
    <w:p>
      <w:pPr>
        <w:autoSpaceDE w:val="0"/>
        <w:autoSpaceDN w:val="0"/>
        <w:adjustRightInd w:val="0"/>
        <w:spacing w:line="360" w:lineRule="auto"/>
        <w:ind w:left="420" w:leftChars="200" w:firstLine="440" w:firstLineChars="200"/>
        <w:jc w:val="left"/>
        <w:rPr>
          <w:rFonts w:ascii="宋体" w:hAnsi="宋体" w:cs="宋体"/>
          <w:sz w:val="22"/>
        </w:rPr>
      </w:pPr>
      <w:r>
        <w:rPr>
          <w:rFonts w:hint="eastAsia" w:ascii="宋体" w:hAnsi="宋体" w:cs="宋体"/>
          <w:sz w:val="22"/>
        </w:rPr>
        <w:t>本协议书中有关词语含义与本合同第二部分《通用条款》第</w:t>
      </w:r>
      <w:r>
        <w:rPr>
          <w:rFonts w:hint="eastAsia" w:ascii="宋体" w:hAnsi="宋体" w:cs="宋体"/>
          <w:spacing w:val="-60"/>
          <w:sz w:val="22"/>
        </w:rPr>
        <w:t xml:space="preserve"> </w:t>
      </w:r>
      <w:r>
        <w:rPr>
          <w:rFonts w:hint="eastAsia" w:ascii="宋体" w:hAnsi="宋体" w:cs="宋体"/>
          <w:sz w:val="22"/>
        </w:rPr>
        <w:t>1</w:t>
      </w:r>
      <w:r>
        <w:rPr>
          <w:rFonts w:hint="eastAsia" w:ascii="宋体" w:hAnsi="宋体" w:cs="宋体"/>
          <w:spacing w:val="-60"/>
          <w:sz w:val="22"/>
        </w:rPr>
        <w:t xml:space="preserve"> </w:t>
      </w:r>
      <w:r>
        <w:rPr>
          <w:rFonts w:hint="eastAsia" w:ascii="宋体" w:hAnsi="宋体" w:cs="宋体"/>
          <w:sz w:val="22"/>
        </w:rPr>
        <w:t>条赋予它们的定义相同。</w:t>
      </w:r>
    </w:p>
    <w:p>
      <w:pPr>
        <w:autoSpaceDE w:val="0"/>
        <w:autoSpaceDN w:val="0"/>
        <w:adjustRightInd w:val="0"/>
        <w:spacing w:before="120" w:beforeLines="50" w:line="360" w:lineRule="auto"/>
        <w:ind w:left="420" w:leftChars="200"/>
        <w:jc w:val="left"/>
        <w:outlineLvl w:val="0"/>
        <w:rPr>
          <w:rFonts w:ascii="宋体" w:hAnsi="宋体" w:cs="宋体"/>
          <w:b/>
          <w:sz w:val="24"/>
          <w:szCs w:val="24"/>
        </w:rPr>
      </w:pPr>
      <w:bookmarkStart w:id="69" w:name="_Toc331237489"/>
      <w:bookmarkStart w:id="70" w:name="_Toc342306203"/>
      <w:bookmarkStart w:id="71" w:name="_Toc332717049"/>
      <w:r>
        <w:rPr>
          <w:rFonts w:hint="eastAsia" w:ascii="宋体" w:hAnsi="宋体" w:cs="宋体"/>
          <w:b/>
          <w:sz w:val="24"/>
          <w:szCs w:val="24"/>
        </w:rPr>
        <w:t>八、承包人承诺</w:t>
      </w:r>
      <w:bookmarkEnd w:id="69"/>
      <w:bookmarkEnd w:id="70"/>
      <w:bookmarkEnd w:id="71"/>
    </w:p>
    <w:p>
      <w:pPr>
        <w:autoSpaceDE w:val="0"/>
        <w:autoSpaceDN w:val="0"/>
        <w:adjustRightInd w:val="0"/>
        <w:spacing w:before="120" w:beforeLines="50" w:line="360" w:lineRule="auto"/>
        <w:ind w:left="420" w:leftChars="200"/>
        <w:jc w:val="left"/>
        <w:outlineLvl w:val="0"/>
        <w:rPr>
          <w:rFonts w:ascii="宋体" w:hAnsi="宋体" w:cs="宋体"/>
          <w:spacing w:val="1"/>
          <w:sz w:val="22"/>
        </w:rPr>
      </w:pPr>
      <w:r>
        <w:rPr>
          <w:rFonts w:hint="eastAsia" w:ascii="宋体" w:hAnsi="宋体" w:cs="宋体"/>
          <w:spacing w:val="1"/>
          <w:sz w:val="22"/>
        </w:rPr>
        <w:t xml:space="preserve">    承包人向发包人承诺已阅读、理解并接受本合同所有条款，按照本合同约定实施、完成并保修合同工程，履行本合同所约定的全部义务。承包人承诺执行发包人工程管理相关安全要求；执行发包人制定的工程管理相关规章制度，接受发包人在合同履行期间对规章制度进行修订。</w:t>
      </w:r>
    </w:p>
    <w:p>
      <w:pPr>
        <w:autoSpaceDE w:val="0"/>
        <w:autoSpaceDN w:val="0"/>
        <w:adjustRightInd w:val="0"/>
        <w:spacing w:before="120" w:beforeLines="50" w:line="360" w:lineRule="auto"/>
        <w:ind w:left="420" w:leftChars="200"/>
        <w:jc w:val="left"/>
        <w:outlineLvl w:val="0"/>
        <w:rPr>
          <w:rFonts w:ascii="宋体" w:hAnsi="宋体" w:cs="宋体"/>
          <w:b/>
          <w:sz w:val="24"/>
          <w:szCs w:val="24"/>
        </w:rPr>
      </w:pPr>
      <w:bookmarkStart w:id="72" w:name="_Toc331237490"/>
      <w:bookmarkStart w:id="73" w:name="_Toc332717050"/>
      <w:bookmarkStart w:id="74" w:name="_Toc342306204"/>
      <w:r>
        <w:rPr>
          <w:rFonts w:hint="eastAsia" w:ascii="宋体" w:hAnsi="宋体" w:cs="宋体"/>
          <w:b/>
          <w:sz w:val="24"/>
          <w:szCs w:val="24"/>
        </w:rPr>
        <w:t>九、发包人承诺</w:t>
      </w:r>
      <w:bookmarkEnd w:id="72"/>
      <w:bookmarkEnd w:id="73"/>
      <w:bookmarkEnd w:id="74"/>
    </w:p>
    <w:p>
      <w:pPr>
        <w:autoSpaceDE w:val="0"/>
        <w:autoSpaceDN w:val="0"/>
        <w:adjustRightInd w:val="0"/>
        <w:spacing w:line="360" w:lineRule="auto"/>
        <w:ind w:left="420" w:leftChars="200" w:firstLine="444" w:firstLineChars="200"/>
        <w:jc w:val="left"/>
        <w:rPr>
          <w:rFonts w:ascii="宋体" w:hAnsi="宋体" w:cs="宋体"/>
          <w:sz w:val="22"/>
        </w:rPr>
      </w:pPr>
      <w:r>
        <w:rPr>
          <w:rFonts w:hint="eastAsia" w:ascii="宋体" w:hAnsi="宋体" w:cs="宋体"/>
          <w:spacing w:val="1"/>
          <w:sz w:val="22"/>
        </w:rPr>
        <w:t>发包人向承包人承诺已阅读、理</w:t>
      </w:r>
      <w:r>
        <w:rPr>
          <w:rFonts w:hint="eastAsia" w:ascii="宋体" w:hAnsi="宋体" w:cs="宋体"/>
          <w:sz w:val="22"/>
        </w:rPr>
        <w:t>解</w:t>
      </w:r>
      <w:r>
        <w:rPr>
          <w:rFonts w:hint="eastAsia" w:ascii="宋体" w:hAnsi="宋体" w:cs="宋体"/>
          <w:spacing w:val="1"/>
          <w:sz w:val="22"/>
        </w:rPr>
        <w:t>并接受本合同所有条款，按</w:t>
      </w:r>
      <w:r>
        <w:rPr>
          <w:rFonts w:hint="eastAsia" w:ascii="宋体" w:hAnsi="宋体" w:cs="宋体"/>
          <w:sz w:val="22"/>
        </w:rPr>
        <w:t>照</w:t>
      </w:r>
      <w:r>
        <w:rPr>
          <w:rFonts w:hint="eastAsia" w:ascii="宋体" w:hAnsi="宋体" w:cs="宋体"/>
          <w:spacing w:val="1"/>
          <w:sz w:val="22"/>
        </w:rPr>
        <w:t>本合同约定的时限和方法</w:t>
      </w:r>
      <w:r>
        <w:rPr>
          <w:rFonts w:hint="eastAsia" w:ascii="宋体" w:hAnsi="宋体" w:cs="宋体"/>
          <w:sz w:val="22"/>
        </w:rPr>
        <w:t>支付工程款及其他应当支付的款项，履行本合同所约定的全部义务。</w:t>
      </w:r>
    </w:p>
    <w:p>
      <w:pPr>
        <w:autoSpaceDE w:val="0"/>
        <w:autoSpaceDN w:val="0"/>
        <w:adjustRightInd w:val="0"/>
        <w:spacing w:before="120" w:beforeLines="50" w:line="360" w:lineRule="auto"/>
        <w:ind w:left="420" w:leftChars="200"/>
        <w:jc w:val="left"/>
        <w:outlineLvl w:val="0"/>
        <w:rPr>
          <w:rFonts w:ascii="宋体" w:hAnsi="宋体" w:cs="宋体"/>
          <w:b/>
          <w:sz w:val="24"/>
          <w:szCs w:val="24"/>
        </w:rPr>
      </w:pPr>
      <w:bookmarkStart w:id="75" w:name="_Toc342306205"/>
      <w:bookmarkStart w:id="76" w:name="_Toc332717051"/>
      <w:bookmarkStart w:id="77" w:name="_Toc331237491"/>
      <w:r>
        <w:rPr>
          <w:rFonts w:hint="eastAsia" w:ascii="宋体" w:hAnsi="宋体" w:cs="宋体"/>
          <w:b/>
          <w:sz w:val="24"/>
          <w:szCs w:val="24"/>
        </w:rPr>
        <w:t>十、合同生效</w:t>
      </w:r>
      <w:bookmarkEnd w:id="75"/>
      <w:bookmarkEnd w:id="76"/>
      <w:bookmarkEnd w:id="77"/>
    </w:p>
    <w:p>
      <w:pPr>
        <w:tabs>
          <w:tab w:val="left" w:pos="3740"/>
          <w:tab w:val="left" w:pos="5300"/>
          <w:tab w:val="left" w:pos="6860"/>
        </w:tabs>
        <w:autoSpaceDE w:val="0"/>
        <w:autoSpaceDN w:val="0"/>
        <w:adjustRightInd w:val="0"/>
        <w:spacing w:line="480" w:lineRule="auto"/>
        <w:ind w:left="420" w:leftChars="200" w:firstLine="440" w:firstLineChars="200"/>
        <w:jc w:val="left"/>
        <w:rPr>
          <w:rFonts w:ascii="宋体" w:hAnsi="宋体" w:cs="宋体"/>
          <w:sz w:val="22"/>
        </w:rPr>
      </w:pPr>
      <w:r>
        <w:rPr>
          <w:rFonts w:hint="eastAsia" w:ascii="宋体" w:hAnsi="宋体" w:cs="宋体"/>
          <w:sz w:val="22"/>
        </w:rPr>
        <w:t>订立合同时间：</w:t>
      </w:r>
      <w:r>
        <w:rPr>
          <w:rFonts w:hint="eastAsia" w:ascii="宋体" w:hAnsi="宋体" w:cs="宋体"/>
          <w:b/>
          <w:sz w:val="22"/>
          <w:u w:val="single"/>
        </w:rPr>
        <w:t xml:space="preserve">        </w:t>
      </w:r>
      <w:r>
        <w:rPr>
          <w:rFonts w:hint="eastAsia" w:ascii="宋体" w:hAnsi="宋体" w:cs="宋体"/>
          <w:sz w:val="22"/>
        </w:rPr>
        <w:t>年</w:t>
      </w:r>
      <w:r>
        <w:rPr>
          <w:rFonts w:hint="eastAsia" w:ascii="宋体" w:hAnsi="宋体" w:cs="宋体"/>
          <w:b/>
          <w:sz w:val="22"/>
          <w:u w:val="single"/>
        </w:rPr>
        <w:t xml:space="preserve">      </w:t>
      </w:r>
      <w:r>
        <w:rPr>
          <w:rFonts w:hint="eastAsia" w:ascii="宋体" w:hAnsi="宋体" w:cs="宋体"/>
          <w:sz w:val="22"/>
        </w:rPr>
        <w:t>月</w:t>
      </w:r>
      <w:r>
        <w:rPr>
          <w:rFonts w:hint="eastAsia" w:ascii="宋体" w:hAnsi="宋体" w:cs="宋体"/>
          <w:b/>
          <w:sz w:val="22"/>
          <w:u w:val="single"/>
        </w:rPr>
        <w:t xml:space="preserve">      </w:t>
      </w:r>
      <w:r>
        <w:rPr>
          <w:rFonts w:hint="eastAsia" w:ascii="宋体" w:hAnsi="宋体" w:cs="宋体"/>
          <w:sz w:val="22"/>
        </w:rPr>
        <w:t xml:space="preserve">日 </w:t>
      </w:r>
    </w:p>
    <w:p>
      <w:pPr>
        <w:tabs>
          <w:tab w:val="left" w:pos="8900"/>
          <w:tab w:val="left" w:pos="9960"/>
        </w:tabs>
        <w:autoSpaceDE w:val="0"/>
        <w:autoSpaceDN w:val="0"/>
        <w:adjustRightInd w:val="0"/>
        <w:spacing w:line="480" w:lineRule="auto"/>
        <w:ind w:left="420" w:leftChars="200" w:firstLine="440" w:firstLineChars="200"/>
        <w:jc w:val="left"/>
        <w:rPr>
          <w:rFonts w:ascii="宋体" w:hAnsi="宋体" w:cs="宋体"/>
          <w:sz w:val="22"/>
          <w:u w:val="single"/>
        </w:rPr>
      </w:pPr>
      <w:r>
        <w:rPr>
          <w:rFonts w:hint="eastAsia" w:ascii="宋体" w:hAnsi="宋体" w:cs="宋体"/>
          <w:sz w:val="22"/>
        </w:rPr>
        <w:t>订立合同地点：</w:t>
      </w:r>
      <w:r>
        <w:rPr>
          <w:rFonts w:hint="eastAsia" w:ascii="宋体" w:hAnsi="宋体" w:cs="宋体"/>
          <w:b/>
          <w:sz w:val="22"/>
          <w:u w:val="single"/>
        </w:rPr>
        <w:t xml:space="preserve">                     </w:t>
      </w:r>
      <w:r>
        <w:rPr>
          <w:rFonts w:hint="eastAsia" w:ascii="宋体" w:hAnsi="宋体" w:cs="宋体"/>
          <w:b/>
          <w:sz w:val="22"/>
        </w:rPr>
        <w:t xml:space="preserve"> 。</w:t>
      </w:r>
    </w:p>
    <w:p>
      <w:pPr>
        <w:tabs>
          <w:tab w:val="left" w:pos="8900"/>
          <w:tab w:val="left" w:pos="9960"/>
        </w:tabs>
        <w:autoSpaceDE w:val="0"/>
        <w:autoSpaceDN w:val="0"/>
        <w:adjustRightInd w:val="0"/>
        <w:spacing w:line="480" w:lineRule="auto"/>
        <w:ind w:left="420" w:leftChars="200" w:firstLine="440" w:firstLineChars="200"/>
        <w:jc w:val="left"/>
        <w:rPr>
          <w:rFonts w:ascii="宋体" w:hAnsi="宋体" w:cs="宋体"/>
          <w:sz w:val="22"/>
        </w:rPr>
      </w:pPr>
      <w:r>
        <w:rPr>
          <w:rFonts w:hint="eastAsia" w:ascii="宋体" w:hAnsi="宋体" w:cs="宋体"/>
          <w:sz w:val="22"/>
        </w:rPr>
        <w:t>合同双方当事人约定本合同自双方签字、盖章后，</w:t>
      </w:r>
      <w:r>
        <w:rPr>
          <w:rFonts w:hint="eastAsia" w:ascii="宋体" w:hAnsi="宋体" w:cs="宋体"/>
          <w:bCs/>
          <w:sz w:val="22"/>
        </w:rPr>
        <w:t>即时</w:t>
      </w:r>
      <w:r>
        <w:rPr>
          <w:rFonts w:hint="eastAsia" w:ascii="宋体" w:hAnsi="宋体" w:cs="宋体"/>
          <w:sz w:val="22"/>
        </w:rPr>
        <w:t>生效。</w:t>
      </w:r>
    </w:p>
    <w:p>
      <w:pPr>
        <w:tabs>
          <w:tab w:val="left" w:pos="8900"/>
          <w:tab w:val="left" w:pos="9960"/>
        </w:tabs>
        <w:autoSpaceDE w:val="0"/>
        <w:autoSpaceDN w:val="0"/>
        <w:adjustRightInd w:val="0"/>
        <w:spacing w:line="480" w:lineRule="auto"/>
        <w:ind w:left="420" w:leftChars="200" w:firstLine="440" w:firstLineChars="200"/>
        <w:jc w:val="left"/>
        <w:rPr>
          <w:rFonts w:ascii="宋体" w:hAnsi="宋体" w:cs="宋体"/>
          <w:sz w:val="22"/>
        </w:rPr>
      </w:pPr>
    </w:p>
    <w:tbl>
      <w:tblPr>
        <w:tblStyle w:val="36"/>
        <w:tblpPr w:leftFromText="180" w:rightFromText="180" w:vertAnchor="text" w:horzAnchor="margin" w:tblpY="266"/>
        <w:tblW w:w="10035" w:type="dxa"/>
        <w:tblInd w:w="0" w:type="dxa"/>
        <w:tblLayout w:type="fixed"/>
        <w:tblCellMar>
          <w:top w:w="0" w:type="dxa"/>
          <w:left w:w="108" w:type="dxa"/>
          <w:bottom w:w="0" w:type="dxa"/>
          <w:right w:w="108" w:type="dxa"/>
        </w:tblCellMar>
      </w:tblPr>
      <w:tblGrid>
        <w:gridCol w:w="5670"/>
        <w:gridCol w:w="4365"/>
      </w:tblGrid>
      <w:tr>
        <w:tblPrEx>
          <w:tblCellMar>
            <w:top w:w="0" w:type="dxa"/>
            <w:left w:w="108" w:type="dxa"/>
            <w:bottom w:w="0" w:type="dxa"/>
            <w:right w:w="108" w:type="dxa"/>
          </w:tblCellMar>
        </w:tblPrEx>
        <w:trPr>
          <w:trHeight w:val="718" w:hRule="atLeast"/>
        </w:trPr>
        <w:tc>
          <w:tcPr>
            <w:tcW w:w="5670" w:type="dxa"/>
          </w:tcPr>
          <w:p>
            <w:pPr>
              <w:tabs>
                <w:tab w:val="left" w:pos="1660"/>
                <w:tab w:val="left" w:pos="2140"/>
                <w:tab w:val="left" w:pos="6340"/>
                <w:tab w:val="left" w:pos="6820"/>
                <w:tab w:val="left" w:pos="7300"/>
              </w:tabs>
              <w:autoSpaceDE w:val="0"/>
              <w:autoSpaceDN w:val="0"/>
              <w:adjustRightInd w:val="0"/>
              <w:spacing w:line="317" w:lineRule="auto"/>
              <w:ind w:left="2"/>
              <w:jc w:val="left"/>
              <w:rPr>
                <w:rFonts w:ascii="宋体" w:hAnsi="宋体" w:cs="宋体"/>
                <w:sz w:val="22"/>
              </w:rPr>
            </w:pPr>
            <w:r>
              <w:rPr>
                <w:rFonts w:hint="eastAsia" w:ascii="宋体" w:hAnsi="宋体" w:cs="宋体"/>
                <w:sz w:val="22"/>
              </w:rPr>
              <w:t>发包人：广东省机场管理集团有限公司</w:t>
            </w:r>
          </w:p>
          <w:p>
            <w:pPr>
              <w:tabs>
                <w:tab w:val="left" w:pos="1660"/>
                <w:tab w:val="left" w:pos="2140"/>
                <w:tab w:val="left" w:pos="6340"/>
                <w:tab w:val="left" w:pos="6820"/>
                <w:tab w:val="left" w:pos="7300"/>
              </w:tabs>
              <w:autoSpaceDE w:val="0"/>
              <w:autoSpaceDN w:val="0"/>
              <w:adjustRightInd w:val="0"/>
              <w:spacing w:line="317" w:lineRule="auto"/>
              <w:ind w:left="2"/>
              <w:jc w:val="left"/>
              <w:rPr>
                <w:rFonts w:ascii="宋体" w:hAnsi="宋体" w:cs="宋体"/>
                <w:sz w:val="22"/>
              </w:rPr>
            </w:pPr>
            <w:r>
              <w:rPr>
                <w:rFonts w:hint="eastAsia" w:ascii="宋体" w:hAnsi="宋体" w:cs="宋体"/>
                <w:sz w:val="22"/>
              </w:rPr>
              <w:t xml:space="preserve">          工程建设指挥部 （公章）</w:t>
            </w:r>
          </w:p>
        </w:tc>
        <w:tc>
          <w:tcPr>
            <w:tcW w:w="4365" w:type="dxa"/>
          </w:tcPr>
          <w:p>
            <w:pPr>
              <w:tabs>
                <w:tab w:val="left" w:pos="1660"/>
                <w:tab w:val="left" w:pos="2140"/>
                <w:tab w:val="left" w:pos="6340"/>
                <w:tab w:val="left" w:pos="6820"/>
                <w:tab w:val="left" w:pos="7300"/>
              </w:tabs>
              <w:autoSpaceDE w:val="0"/>
              <w:autoSpaceDN w:val="0"/>
              <w:adjustRightInd w:val="0"/>
              <w:spacing w:line="317" w:lineRule="auto"/>
              <w:ind w:left="388" w:leftChars="17" w:hanging="352" w:hangingChars="160"/>
              <w:jc w:val="left"/>
              <w:rPr>
                <w:rFonts w:ascii="宋体" w:hAnsi="宋体" w:cs="宋体"/>
                <w:sz w:val="22"/>
              </w:rPr>
            </w:pPr>
            <w:r>
              <w:rPr>
                <w:rFonts w:hint="eastAsia" w:ascii="宋体" w:hAnsi="宋体" w:cs="宋体"/>
                <w:sz w:val="22"/>
              </w:rPr>
              <w:t>承包人： （公章）</w:t>
            </w:r>
          </w:p>
        </w:tc>
      </w:tr>
      <w:tr>
        <w:tblPrEx>
          <w:tblCellMar>
            <w:top w:w="0" w:type="dxa"/>
            <w:left w:w="108" w:type="dxa"/>
            <w:bottom w:w="0" w:type="dxa"/>
            <w:right w:w="108" w:type="dxa"/>
          </w:tblCellMar>
        </w:tblPrEx>
        <w:trPr>
          <w:trHeight w:val="645" w:hRule="atLeast"/>
        </w:trPr>
        <w:tc>
          <w:tcPr>
            <w:tcW w:w="5670" w:type="dxa"/>
          </w:tcPr>
          <w:p>
            <w:pPr>
              <w:tabs>
                <w:tab w:val="left" w:pos="1660"/>
                <w:tab w:val="left" w:pos="2140"/>
                <w:tab w:val="left" w:pos="6340"/>
                <w:tab w:val="left" w:pos="6820"/>
                <w:tab w:val="left" w:pos="7300"/>
              </w:tabs>
              <w:autoSpaceDE w:val="0"/>
              <w:autoSpaceDN w:val="0"/>
              <w:adjustRightInd w:val="0"/>
              <w:spacing w:line="317" w:lineRule="auto"/>
              <w:ind w:left="388" w:leftChars="17" w:hanging="352" w:hangingChars="160"/>
              <w:jc w:val="left"/>
              <w:rPr>
                <w:rFonts w:ascii="宋体" w:hAnsi="宋体" w:cs="宋体"/>
                <w:sz w:val="22"/>
              </w:rPr>
            </w:pPr>
          </w:p>
          <w:p>
            <w:pPr>
              <w:tabs>
                <w:tab w:val="left" w:pos="1660"/>
                <w:tab w:val="left" w:pos="2140"/>
                <w:tab w:val="left" w:pos="6340"/>
                <w:tab w:val="left" w:pos="6820"/>
                <w:tab w:val="left" w:pos="7300"/>
              </w:tabs>
              <w:autoSpaceDE w:val="0"/>
              <w:autoSpaceDN w:val="0"/>
              <w:adjustRightInd w:val="0"/>
              <w:spacing w:line="317" w:lineRule="auto"/>
              <w:ind w:left="388" w:leftChars="17" w:hanging="352" w:hangingChars="160"/>
              <w:jc w:val="left"/>
              <w:rPr>
                <w:rFonts w:ascii="宋体" w:hAnsi="宋体" w:cs="宋体"/>
                <w:sz w:val="22"/>
              </w:rPr>
            </w:pPr>
            <w:r>
              <w:rPr>
                <w:rFonts w:hint="eastAsia" w:ascii="宋体" w:hAnsi="宋体" w:cs="宋体"/>
                <w:sz w:val="22"/>
              </w:rPr>
              <w:t xml:space="preserve">地 址：广州白云国际机场内 </w:t>
            </w:r>
          </w:p>
        </w:tc>
        <w:tc>
          <w:tcPr>
            <w:tcW w:w="4365" w:type="dxa"/>
          </w:tcPr>
          <w:p>
            <w:pPr>
              <w:tabs>
                <w:tab w:val="left" w:pos="1660"/>
                <w:tab w:val="left" w:pos="2140"/>
                <w:tab w:val="left" w:pos="6340"/>
                <w:tab w:val="left" w:pos="6820"/>
                <w:tab w:val="left" w:pos="7300"/>
              </w:tabs>
              <w:autoSpaceDE w:val="0"/>
              <w:autoSpaceDN w:val="0"/>
              <w:adjustRightInd w:val="0"/>
              <w:spacing w:line="317" w:lineRule="auto"/>
              <w:ind w:left="388" w:leftChars="17" w:hanging="352" w:hangingChars="160"/>
              <w:jc w:val="left"/>
              <w:rPr>
                <w:rFonts w:ascii="宋体" w:hAnsi="宋体" w:cs="宋体"/>
                <w:sz w:val="22"/>
              </w:rPr>
            </w:pPr>
          </w:p>
          <w:p>
            <w:pPr>
              <w:tabs>
                <w:tab w:val="left" w:pos="1660"/>
                <w:tab w:val="left" w:pos="2140"/>
                <w:tab w:val="left" w:pos="6340"/>
                <w:tab w:val="left" w:pos="6820"/>
                <w:tab w:val="left" w:pos="7300"/>
              </w:tabs>
              <w:autoSpaceDE w:val="0"/>
              <w:autoSpaceDN w:val="0"/>
              <w:adjustRightInd w:val="0"/>
              <w:spacing w:line="317" w:lineRule="auto"/>
              <w:ind w:left="388" w:leftChars="17" w:hanging="352" w:hangingChars="160"/>
              <w:jc w:val="left"/>
              <w:rPr>
                <w:rFonts w:ascii="宋体" w:hAnsi="宋体" w:cs="宋体"/>
                <w:sz w:val="22"/>
              </w:rPr>
            </w:pPr>
            <w:r>
              <w:rPr>
                <w:rFonts w:hint="eastAsia" w:ascii="宋体" w:hAnsi="宋体" w:cs="宋体"/>
                <w:sz w:val="22"/>
              </w:rPr>
              <w:t>地  址：</w:t>
            </w:r>
          </w:p>
        </w:tc>
      </w:tr>
      <w:tr>
        <w:tblPrEx>
          <w:tblCellMar>
            <w:top w:w="0" w:type="dxa"/>
            <w:left w:w="108" w:type="dxa"/>
            <w:bottom w:w="0" w:type="dxa"/>
            <w:right w:w="108" w:type="dxa"/>
          </w:tblCellMar>
        </w:tblPrEx>
        <w:trPr>
          <w:trHeight w:val="660" w:hRule="atLeast"/>
        </w:trPr>
        <w:tc>
          <w:tcPr>
            <w:tcW w:w="5670" w:type="dxa"/>
          </w:tcPr>
          <w:p>
            <w:pPr>
              <w:tabs>
                <w:tab w:val="left" w:pos="1660"/>
                <w:tab w:val="left" w:pos="2140"/>
                <w:tab w:val="left" w:pos="6340"/>
                <w:tab w:val="left" w:pos="6820"/>
                <w:tab w:val="left" w:pos="7300"/>
              </w:tabs>
              <w:autoSpaceDE w:val="0"/>
              <w:autoSpaceDN w:val="0"/>
              <w:adjustRightInd w:val="0"/>
              <w:spacing w:line="317" w:lineRule="auto"/>
              <w:ind w:left="388" w:leftChars="17" w:hanging="352" w:hangingChars="160"/>
              <w:jc w:val="left"/>
              <w:rPr>
                <w:rFonts w:ascii="宋体" w:hAnsi="宋体" w:cs="宋体"/>
                <w:sz w:val="22"/>
              </w:rPr>
            </w:pPr>
          </w:p>
        </w:tc>
        <w:tc>
          <w:tcPr>
            <w:tcW w:w="4365" w:type="dxa"/>
          </w:tcPr>
          <w:p>
            <w:pPr>
              <w:tabs>
                <w:tab w:val="left" w:pos="1660"/>
                <w:tab w:val="left" w:pos="2140"/>
                <w:tab w:val="left" w:pos="6340"/>
                <w:tab w:val="left" w:pos="6820"/>
                <w:tab w:val="left" w:pos="7300"/>
              </w:tabs>
              <w:autoSpaceDE w:val="0"/>
              <w:autoSpaceDN w:val="0"/>
              <w:adjustRightInd w:val="0"/>
              <w:spacing w:line="317" w:lineRule="auto"/>
              <w:ind w:left="388" w:leftChars="17" w:hanging="352" w:hangingChars="160"/>
              <w:jc w:val="left"/>
              <w:rPr>
                <w:rFonts w:ascii="宋体" w:hAnsi="宋体" w:cs="宋体"/>
                <w:sz w:val="22"/>
              </w:rPr>
            </w:pPr>
          </w:p>
        </w:tc>
      </w:tr>
      <w:tr>
        <w:tblPrEx>
          <w:tblCellMar>
            <w:top w:w="0" w:type="dxa"/>
            <w:left w:w="108" w:type="dxa"/>
            <w:bottom w:w="0" w:type="dxa"/>
            <w:right w:w="108" w:type="dxa"/>
          </w:tblCellMar>
        </w:tblPrEx>
        <w:trPr>
          <w:trHeight w:val="1092" w:hRule="atLeast"/>
        </w:trPr>
        <w:tc>
          <w:tcPr>
            <w:tcW w:w="5670" w:type="dxa"/>
          </w:tcPr>
          <w:p>
            <w:pPr>
              <w:tabs>
                <w:tab w:val="left" w:pos="1660"/>
                <w:tab w:val="left" w:pos="2140"/>
                <w:tab w:val="left" w:pos="6340"/>
                <w:tab w:val="left" w:pos="6820"/>
                <w:tab w:val="left" w:pos="7300"/>
              </w:tabs>
              <w:autoSpaceDE w:val="0"/>
              <w:autoSpaceDN w:val="0"/>
              <w:adjustRightInd w:val="0"/>
              <w:spacing w:line="317" w:lineRule="auto"/>
              <w:ind w:left="388" w:leftChars="17" w:hanging="352" w:hangingChars="160"/>
              <w:jc w:val="left"/>
              <w:rPr>
                <w:rFonts w:ascii="宋体" w:hAnsi="宋体" w:cs="宋体"/>
                <w:sz w:val="22"/>
              </w:rPr>
            </w:pPr>
            <w:r>
              <w:rPr>
                <w:rFonts w:hint="eastAsia" w:ascii="宋体" w:hAnsi="宋体" w:cs="宋体"/>
                <w:sz w:val="22"/>
              </w:rPr>
              <w:t>法定或授权代表人（签字）：</w:t>
            </w:r>
          </w:p>
          <w:p>
            <w:pPr>
              <w:tabs>
                <w:tab w:val="left" w:pos="1660"/>
                <w:tab w:val="left" w:pos="2140"/>
                <w:tab w:val="left" w:pos="6340"/>
                <w:tab w:val="left" w:pos="6820"/>
                <w:tab w:val="left" w:pos="7300"/>
              </w:tabs>
              <w:autoSpaceDE w:val="0"/>
              <w:autoSpaceDN w:val="0"/>
              <w:adjustRightInd w:val="0"/>
              <w:spacing w:line="317" w:lineRule="auto"/>
              <w:jc w:val="left"/>
              <w:rPr>
                <w:rFonts w:ascii="宋体" w:hAnsi="宋体" w:cs="宋体"/>
                <w:sz w:val="22"/>
              </w:rPr>
            </w:pPr>
          </w:p>
        </w:tc>
        <w:tc>
          <w:tcPr>
            <w:tcW w:w="4365" w:type="dxa"/>
          </w:tcPr>
          <w:p>
            <w:pPr>
              <w:tabs>
                <w:tab w:val="left" w:pos="1660"/>
                <w:tab w:val="left" w:pos="2140"/>
                <w:tab w:val="left" w:pos="6340"/>
                <w:tab w:val="left" w:pos="6820"/>
                <w:tab w:val="left" w:pos="7300"/>
              </w:tabs>
              <w:autoSpaceDE w:val="0"/>
              <w:autoSpaceDN w:val="0"/>
              <w:adjustRightInd w:val="0"/>
              <w:spacing w:line="317" w:lineRule="auto"/>
              <w:jc w:val="left"/>
              <w:rPr>
                <w:rFonts w:ascii="宋体" w:hAnsi="宋体" w:cs="宋体"/>
                <w:sz w:val="22"/>
              </w:rPr>
            </w:pPr>
            <w:r>
              <w:rPr>
                <w:rFonts w:hint="eastAsia" w:ascii="宋体" w:hAnsi="宋体" w:cs="宋体"/>
                <w:sz w:val="22"/>
              </w:rPr>
              <w:t>法定或授权代表人（签字）：</w:t>
            </w:r>
          </w:p>
          <w:p>
            <w:pPr>
              <w:tabs>
                <w:tab w:val="left" w:pos="1660"/>
                <w:tab w:val="left" w:pos="2140"/>
                <w:tab w:val="left" w:pos="6340"/>
                <w:tab w:val="left" w:pos="6820"/>
                <w:tab w:val="left" w:pos="7300"/>
              </w:tabs>
              <w:autoSpaceDE w:val="0"/>
              <w:autoSpaceDN w:val="0"/>
              <w:adjustRightInd w:val="0"/>
              <w:spacing w:line="317" w:lineRule="auto"/>
              <w:jc w:val="left"/>
              <w:rPr>
                <w:rFonts w:ascii="宋体" w:hAnsi="宋体" w:cs="宋体"/>
                <w:sz w:val="22"/>
              </w:rPr>
            </w:pPr>
          </w:p>
        </w:tc>
      </w:tr>
    </w:tbl>
    <w:p>
      <w:pPr>
        <w:tabs>
          <w:tab w:val="left" w:pos="1940"/>
          <w:tab w:val="left" w:pos="6380"/>
          <w:tab w:val="left" w:pos="7100"/>
          <w:tab w:val="left" w:pos="10065"/>
        </w:tabs>
        <w:autoSpaceDE w:val="0"/>
        <w:autoSpaceDN w:val="0"/>
        <w:adjustRightInd w:val="0"/>
        <w:spacing w:before="36" w:line="317" w:lineRule="auto"/>
        <w:ind w:left="1227" w:right="177"/>
        <w:rPr>
          <w:rFonts w:ascii="宋体" w:hAnsi="宋体" w:cs="宋体"/>
          <w:sz w:val="20"/>
          <w:szCs w:val="20"/>
        </w:rPr>
        <w:sectPr>
          <w:type w:val="nextColumn"/>
          <w:pgSz w:w="11920" w:h="16840"/>
          <w:pgMar w:top="1418" w:right="1134" w:bottom="1418" w:left="1418" w:header="720" w:footer="720" w:gutter="0"/>
          <w:cols w:space="720" w:num="1"/>
        </w:sectPr>
      </w:pPr>
    </w:p>
    <w:p>
      <w:pPr>
        <w:pStyle w:val="3"/>
        <w:spacing w:before="360" w:beforeLines="150" w:after="240" w:afterLines="100"/>
        <w:jc w:val="center"/>
        <w:rPr>
          <w:rFonts w:ascii="宋体" w:hAnsi="宋体" w:cs="宋体"/>
          <w:b/>
          <w:bCs/>
          <w:kern w:val="0"/>
          <w:sz w:val="32"/>
          <w:szCs w:val="32"/>
        </w:rPr>
      </w:pPr>
      <w:bookmarkStart w:id="78" w:name="_Toc342306206"/>
      <w:r>
        <w:rPr>
          <w:rFonts w:hint="eastAsia" w:ascii="宋体" w:hAnsi="宋体" w:cs="宋体"/>
          <w:b/>
          <w:bCs/>
          <w:kern w:val="0"/>
          <w:sz w:val="32"/>
          <w:szCs w:val="32"/>
        </w:rPr>
        <w:t>第二部分  通用条款</w:t>
      </w:r>
      <w:bookmarkEnd w:id="41"/>
      <w:bookmarkEnd w:id="78"/>
    </w:p>
    <w:p>
      <w:pPr>
        <w:tabs>
          <w:tab w:val="left" w:pos="1700"/>
        </w:tabs>
        <w:autoSpaceDE w:val="0"/>
        <w:autoSpaceDN w:val="0"/>
        <w:adjustRightInd w:val="0"/>
        <w:spacing w:line="360" w:lineRule="auto"/>
        <w:jc w:val="left"/>
        <w:rPr>
          <w:rFonts w:ascii="宋体" w:hAnsi="宋体" w:cs="宋体"/>
          <w:sz w:val="20"/>
          <w:szCs w:val="20"/>
        </w:rPr>
      </w:pPr>
    </w:p>
    <w:p>
      <w:pPr>
        <w:tabs>
          <w:tab w:val="left" w:pos="1700"/>
        </w:tabs>
        <w:autoSpaceDE w:val="0"/>
        <w:autoSpaceDN w:val="0"/>
        <w:adjustRightInd w:val="0"/>
        <w:spacing w:line="360" w:lineRule="auto"/>
        <w:ind w:firstLine="440" w:firstLineChars="200"/>
        <w:jc w:val="left"/>
        <w:rPr>
          <w:rFonts w:ascii="宋体" w:hAnsi="宋体" w:cs="宋体"/>
          <w:sz w:val="22"/>
        </w:rPr>
        <w:sectPr>
          <w:type w:val="nextColumn"/>
          <w:pgSz w:w="11920" w:h="16840"/>
          <w:pgMar w:top="1418" w:right="1134" w:bottom="1418" w:left="1418" w:header="720" w:footer="720" w:gutter="0"/>
          <w:cols w:space="720" w:num="1"/>
        </w:sectPr>
      </w:pPr>
      <w:r>
        <w:rPr>
          <w:rFonts w:hint="eastAsia" w:ascii="宋体" w:hAnsi="宋体" w:cs="宋体"/>
          <w:sz w:val="22"/>
        </w:rPr>
        <w:t>详见广东省住房和城乡建设厅颁发的《广东省建设工程标准施工合同》（2009年版）（粤建管字【2009】62号）。</w:t>
      </w:r>
    </w:p>
    <w:p>
      <w:pPr>
        <w:pStyle w:val="3"/>
        <w:spacing w:before="360" w:beforeLines="150" w:after="240" w:afterLines="100"/>
        <w:jc w:val="center"/>
        <w:rPr>
          <w:rFonts w:ascii="宋体" w:hAnsi="宋体" w:cs="宋体"/>
          <w:b/>
          <w:bCs/>
          <w:kern w:val="0"/>
          <w:sz w:val="32"/>
          <w:szCs w:val="32"/>
        </w:rPr>
      </w:pPr>
      <w:bookmarkStart w:id="79" w:name="_Toc306287480"/>
      <w:bookmarkStart w:id="80" w:name="_Toc306287657"/>
      <w:bookmarkStart w:id="81" w:name="_Toc342306207"/>
      <w:r>
        <w:rPr>
          <w:rFonts w:hint="eastAsia" w:ascii="宋体" w:hAnsi="宋体" w:cs="宋体"/>
          <w:b/>
          <w:bCs/>
          <w:kern w:val="0"/>
          <w:sz w:val="32"/>
          <w:szCs w:val="32"/>
        </w:rPr>
        <w:t>第三部分  专用条款</w:t>
      </w:r>
      <w:bookmarkEnd w:id="79"/>
      <w:bookmarkEnd w:id="80"/>
      <w:bookmarkEnd w:id="81"/>
    </w:p>
    <w:p>
      <w:pPr>
        <w:autoSpaceDE w:val="0"/>
        <w:autoSpaceDN w:val="0"/>
        <w:adjustRightInd w:val="0"/>
        <w:spacing w:before="360" w:beforeLines="150" w:line="360" w:lineRule="auto"/>
        <w:jc w:val="left"/>
        <w:outlineLvl w:val="2"/>
        <w:rPr>
          <w:rFonts w:ascii="宋体" w:hAnsi="宋体" w:cs="宋体"/>
          <w:sz w:val="22"/>
        </w:rPr>
      </w:pPr>
      <w:bookmarkStart w:id="82" w:name="_Toc342306208"/>
      <w:bookmarkStart w:id="83" w:name="_Toc306287481"/>
      <w:bookmarkStart w:id="84" w:name="_Toc306287658"/>
      <w:bookmarkStart w:id="85" w:name="_Toc326239306"/>
      <w:r>
        <w:rPr>
          <w:rFonts w:hint="eastAsia" w:ascii="宋体" w:hAnsi="宋体" w:cs="宋体"/>
          <w:sz w:val="22"/>
        </w:rPr>
        <w:t>1</w:t>
      </w:r>
      <w:r>
        <w:rPr>
          <w:rFonts w:hint="eastAsia" w:ascii="宋体" w:hAnsi="宋体" w:cs="宋体"/>
          <w:b/>
          <w:sz w:val="22"/>
        </w:rPr>
        <w:t>． 定义</w:t>
      </w:r>
      <w:bookmarkEnd w:id="82"/>
      <w:bookmarkEnd w:id="83"/>
      <w:bookmarkEnd w:id="84"/>
      <w:bookmarkEnd w:id="85"/>
    </w:p>
    <w:p>
      <w:pPr>
        <w:autoSpaceDE w:val="0"/>
        <w:autoSpaceDN w:val="0"/>
        <w:adjustRightInd w:val="0"/>
        <w:spacing w:line="360" w:lineRule="auto"/>
        <w:ind w:firstLine="440" w:firstLineChars="200"/>
        <w:jc w:val="left"/>
        <w:rPr>
          <w:rFonts w:ascii="宋体" w:hAnsi="宋体" w:cs="宋体"/>
          <w:sz w:val="22"/>
        </w:rPr>
      </w:pPr>
      <w:r>
        <w:rPr>
          <w:rFonts w:hint="eastAsia" w:ascii="宋体" w:hAnsi="宋体" w:cs="宋体"/>
          <w:sz w:val="22"/>
        </w:rPr>
        <w:t>1.43 单位工程：</w:t>
      </w:r>
    </w:p>
    <w:p>
      <w:pPr>
        <w:autoSpaceDE w:val="0"/>
        <w:autoSpaceDN w:val="0"/>
        <w:adjustRightInd w:val="0"/>
        <w:spacing w:line="360" w:lineRule="auto"/>
        <w:ind w:left="525" w:leftChars="250" w:firstLine="440" w:firstLineChars="200"/>
        <w:jc w:val="left"/>
        <w:rPr>
          <w:rFonts w:ascii="宋体" w:hAnsi="宋体" w:cs="宋体"/>
          <w:sz w:val="22"/>
        </w:rPr>
      </w:pPr>
      <w:r>
        <w:rPr>
          <w:rFonts w:hint="eastAsia" w:ascii="宋体" w:hAnsi="宋体" w:cs="宋体"/>
          <w:sz w:val="22"/>
        </w:rPr>
        <w:t>□ 名称；</w:t>
      </w:r>
    </w:p>
    <w:p>
      <w:pPr>
        <w:autoSpaceDE w:val="0"/>
        <w:autoSpaceDN w:val="0"/>
        <w:adjustRightInd w:val="0"/>
        <w:spacing w:line="360" w:lineRule="auto"/>
        <w:ind w:left="525" w:leftChars="250" w:firstLine="440" w:firstLineChars="200"/>
        <w:jc w:val="left"/>
        <w:rPr>
          <w:rFonts w:ascii="宋体" w:hAnsi="宋体" w:cs="宋体"/>
          <w:sz w:val="22"/>
        </w:rPr>
      </w:pPr>
      <w:r>
        <w:rPr>
          <w:rFonts w:hint="eastAsia" w:ascii="宋体" w:hAnsi="宋体" w:cs="宋体"/>
          <w:sz w:val="22"/>
        </w:rPr>
        <w:t>□ 内容；</w:t>
      </w:r>
    </w:p>
    <w:p>
      <w:pPr>
        <w:autoSpaceDE w:val="0"/>
        <w:autoSpaceDN w:val="0"/>
        <w:adjustRightInd w:val="0"/>
        <w:spacing w:line="360" w:lineRule="auto"/>
        <w:ind w:left="525" w:leftChars="250" w:firstLine="440" w:firstLineChars="200"/>
        <w:jc w:val="left"/>
        <w:rPr>
          <w:rFonts w:ascii="宋体" w:hAnsi="宋体" w:cs="宋体"/>
          <w:sz w:val="22"/>
        </w:rPr>
      </w:pPr>
    </w:p>
    <w:p>
      <w:pPr>
        <w:autoSpaceDE w:val="0"/>
        <w:autoSpaceDN w:val="0"/>
        <w:adjustRightInd w:val="0"/>
        <w:spacing w:line="360" w:lineRule="auto"/>
        <w:ind w:left="525" w:leftChars="250" w:firstLine="440" w:firstLineChars="200"/>
        <w:jc w:val="left"/>
        <w:rPr>
          <w:rFonts w:ascii="宋体" w:hAnsi="宋体" w:cs="宋体"/>
          <w:sz w:val="22"/>
        </w:rPr>
      </w:pPr>
      <w:r>
        <w:rPr>
          <w:rFonts w:hint="eastAsia" w:ascii="宋体" w:hAnsi="宋体" w:cs="宋体"/>
          <w:sz w:val="22"/>
        </w:rPr>
        <w:t>□ 范围：</w:t>
      </w:r>
    </w:p>
    <w:p>
      <w:pPr>
        <w:autoSpaceDE w:val="0"/>
        <w:autoSpaceDN w:val="0"/>
        <w:adjustRightInd w:val="0"/>
        <w:spacing w:line="360" w:lineRule="auto"/>
        <w:ind w:firstLine="440" w:firstLineChars="200"/>
        <w:jc w:val="left"/>
        <w:rPr>
          <w:rFonts w:ascii="宋体" w:hAnsi="宋体" w:cs="宋体"/>
          <w:sz w:val="22"/>
        </w:rPr>
      </w:pPr>
      <w:r>
        <w:rPr>
          <w:rFonts w:hint="eastAsia" w:ascii="宋体" w:hAnsi="宋体" w:cs="宋体"/>
          <w:sz w:val="22"/>
        </w:rPr>
        <w:t>1.53 采用的书面形式包括：</w:t>
      </w:r>
    </w:p>
    <w:p>
      <w:pPr>
        <w:autoSpaceDE w:val="0"/>
        <w:autoSpaceDN w:val="0"/>
        <w:adjustRightInd w:val="0"/>
        <w:spacing w:line="360" w:lineRule="auto"/>
        <w:ind w:left="525" w:leftChars="250" w:firstLine="440" w:firstLineChars="200"/>
        <w:jc w:val="left"/>
        <w:rPr>
          <w:rFonts w:ascii="宋体" w:hAnsi="宋体" w:cs="宋体"/>
          <w:sz w:val="22"/>
        </w:rPr>
      </w:pPr>
      <w:r>
        <w:rPr>
          <w:rFonts w:hint="eastAsia" w:ascii="宋体" w:hAnsi="宋体" w:cs="宋体"/>
          <w:sz w:val="22"/>
        </w:rPr>
        <w:t>■ 文书；</w:t>
      </w:r>
    </w:p>
    <w:p>
      <w:pPr>
        <w:autoSpaceDE w:val="0"/>
        <w:autoSpaceDN w:val="0"/>
        <w:adjustRightInd w:val="0"/>
        <w:spacing w:line="360" w:lineRule="auto"/>
        <w:ind w:left="525" w:leftChars="250" w:firstLine="440" w:firstLineChars="200"/>
        <w:jc w:val="left"/>
        <w:rPr>
          <w:rFonts w:ascii="宋体" w:hAnsi="宋体" w:cs="宋体"/>
          <w:sz w:val="22"/>
        </w:rPr>
      </w:pPr>
      <w:r>
        <w:rPr>
          <w:rFonts w:hint="eastAsia" w:ascii="宋体" w:hAnsi="宋体" w:cs="宋体"/>
          <w:sz w:val="22"/>
        </w:rPr>
        <w:t>■ 信件；</w:t>
      </w:r>
    </w:p>
    <w:p>
      <w:pPr>
        <w:autoSpaceDE w:val="0"/>
        <w:autoSpaceDN w:val="0"/>
        <w:adjustRightInd w:val="0"/>
        <w:spacing w:line="360" w:lineRule="auto"/>
        <w:ind w:left="525" w:leftChars="250" w:firstLine="440" w:firstLineChars="200"/>
        <w:jc w:val="left"/>
        <w:rPr>
          <w:rFonts w:ascii="宋体" w:hAnsi="宋体" w:cs="宋体"/>
          <w:sz w:val="22"/>
        </w:rPr>
      </w:pPr>
      <w:r>
        <w:rPr>
          <w:rFonts w:hint="eastAsia" w:ascii="宋体" w:hAnsi="宋体" w:cs="宋体"/>
          <w:sz w:val="22"/>
        </w:rPr>
        <w:t>□ 电报；</w:t>
      </w:r>
    </w:p>
    <w:p>
      <w:pPr>
        <w:autoSpaceDE w:val="0"/>
        <w:autoSpaceDN w:val="0"/>
        <w:adjustRightInd w:val="0"/>
        <w:spacing w:line="360" w:lineRule="auto"/>
        <w:ind w:left="525" w:leftChars="250" w:firstLine="440" w:firstLineChars="200"/>
        <w:jc w:val="left"/>
        <w:rPr>
          <w:rFonts w:ascii="宋体" w:hAnsi="宋体" w:cs="宋体"/>
          <w:sz w:val="22"/>
        </w:rPr>
      </w:pPr>
      <w:r>
        <w:rPr>
          <w:rFonts w:hint="eastAsia" w:ascii="宋体" w:hAnsi="宋体" w:cs="宋体"/>
          <w:sz w:val="22"/>
        </w:rPr>
        <w:t>□ 传真；</w:t>
      </w:r>
    </w:p>
    <w:p>
      <w:pPr>
        <w:autoSpaceDE w:val="0"/>
        <w:autoSpaceDN w:val="0"/>
        <w:adjustRightInd w:val="0"/>
        <w:spacing w:line="360" w:lineRule="auto"/>
        <w:ind w:left="525" w:leftChars="250" w:firstLine="440" w:firstLineChars="200"/>
        <w:jc w:val="left"/>
        <w:rPr>
          <w:rFonts w:ascii="宋体" w:hAnsi="宋体" w:cs="宋体"/>
          <w:sz w:val="22"/>
        </w:rPr>
      </w:pPr>
      <w:r>
        <w:rPr>
          <w:rFonts w:hint="eastAsia" w:ascii="宋体" w:hAnsi="宋体" w:cs="宋体"/>
          <w:sz w:val="22"/>
        </w:rPr>
        <w:t>□ 电子邮件；</w:t>
      </w:r>
    </w:p>
    <w:p>
      <w:pPr>
        <w:autoSpaceDE w:val="0"/>
        <w:autoSpaceDN w:val="0"/>
        <w:adjustRightInd w:val="0"/>
        <w:spacing w:line="360" w:lineRule="auto"/>
        <w:ind w:left="525" w:leftChars="250" w:firstLine="440" w:firstLineChars="200"/>
        <w:jc w:val="left"/>
        <w:rPr>
          <w:rFonts w:ascii="宋体" w:hAnsi="宋体" w:cs="宋体"/>
          <w:sz w:val="22"/>
        </w:rPr>
      </w:pPr>
      <w:r>
        <w:rPr>
          <w:rFonts w:hint="eastAsia" w:ascii="宋体" w:hAnsi="宋体" w:cs="宋体"/>
          <w:sz w:val="22"/>
        </w:rPr>
        <w:t>□ 其他：</w:t>
      </w:r>
    </w:p>
    <w:p>
      <w:pPr>
        <w:autoSpaceDE w:val="0"/>
        <w:autoSpaceDN w:val="0"/>
        <w:adjustRightInd w:val="0"/>
        <w:spacing w:before="360" w:beforeLines="150" w:line="360" w:lineRule="auto"/>
        <w:jc w:val="left"/>
        <w:outlineLvl w:val="2"/>
        <w:rPr>
          <w:rFonts w:ascii="宋体" w:hAnsi="宋体" w:cs="宋体"/>
          <w:b/>
          <w:sz w:val="22"/>
        </w:rPr>
      </w:pPr>
      <w:bookmarkStart w:id="86" w:name="_Toc326239307"/>
      <w:bookmarkStart w:id="87" w:name="_Toc306287659"/>
      <w:bookmarkStart w:id="88" w:name="_Toc342306209"/>
      <w:bookmarkStart w:id="89" w:name="_Toc306287482"/>
      <w:r>
        <w:rPr>
          <w:rFonts w:hint="eastAsia" w:ascii="宋体" w:hAnsi="宋体" w:cs="宋体"/>
          <w:b/>
          <w:sz w:val="22"/>
        </w:rPr>
        <w:t>2． 合同文件及解释</w:t>
      </w:r>
      <w:bookmarkEnd w:id="86"/>
      <w:bookmarkEnd w:id="87"/>
      <w:bookmarkEnd w:id="88"/>
      <w:bookmarkEnd w:id="89"/>
    </w:p>
    <w:p>
      <w:pPr>
        <w:autoSpaceDE w:val="0"/>
        <w:autoSpaceDN w:val="0"/>
        <w:adjustRightInd w:val="0"/>
        <w:spacing w:line="360" w:lineRule="auto"/>
        <w:ind w:firstLine="440" w:firstLineChars="200"/>
        <w:jc w:val="left"/>
        <w:rPr>
          <w:rFonts w:ascii="宋体" w:hAnsi="宋体" w:cs="宋体"/>
          <w:sz w:val="22"/>
          <w:u w:val="single"/>
        </w:rPr>
      </w:pPr>
      <w:r>
        <w:rPr>
          <w:rFonts w:hint="eastAsia" w:ascii="宋体" w:hAnsi="宋体" w:cs="宋体"/>
          <w:sz w:val="22"/>
        </w:rPr>
        <w:t>2.2（10）组成合同的其他文件：</w:t>
      </w:r>
      <w:r>
        <w:rPr>
          <w:rFonts w:hint="eastAsia" w:ascii="宋体" w:hAnsi="宋体" w:cs="宋体"/>
          <w:sz w:val="22"/>
          <w:szCs w:val="20"/>
          <w:u w:val="single"/>
        </w:rPr>
        <w:t>发包人的招标文件、答疑纪要、邀约文件，承包人的承诺书、保证书以及双方有关工程的洽商、变更等书面协议或文件视为本合同的组成部分</w:t>
      </w:r>
      <w:r>
        <w:rPr>
          <w:rFonts w:hint="eastAsia" w:ascii="宋体" w:hAnsi="宋体" w:cs="宋体"/>
          <w:sz w:val="22"/>
        </w:rPr>
        <w:t>。</w:t>
      </w:r>
    </w:p>
    <w:p>
      <w:pPr>
        <w:autoSpaceDE w:val="0"/>
        <w:autoSpaceDN w:val="0"/>
        <w:adjustRightInd w:val="0"/>
        <w:spacing w:before="360" w:beforeLines="150" w:line="360" w:lineRule="auto"/>
        <w:jc w:val="left"/>
        <w:outlineLvl w:val="2"/>
        <w:rPr>
          <w:rFonts w:ascii="宋体" w:hAnsi="宋体" w:cs="宋体"/>
          <w:b/>
          <w:sz w:val="22"/>
        </w:rPr>
      </w:pPr>
      <w:bookmarkStart w:id="90" w:name="_Toc326239308"/>
      <w:bookmarkStart w:id="91" w:name="_Toc342306210"/>
      <w:bookmarkStart w:id="92" w:name="_Toc306287483"/>
      <w:bookmarkStart w:id="93" w:name="_Toc306287660"/>
      <w:r>
        <w:rPr>
          <w:rFonts w:hint="eastAsia" w:ascii="宋体" w:hAnsi="宋体" w:cs="宋体"/>
          <w:b/>
          <w:sz w:val="22"/>
        </w:rPr>
        <w:t>4． 语言及适用的法律、标准与规范</w:t>
      </w:r>
      <w:bookmarkEnd w:id="90"/>
      <w:bookmarkEnd w:id="91"/>
      <w:bookmarkEnd w:id="92"/>
      <w:bookmarkEnd w:id="93"/>
    </w:p>
    <w:p>
      <w:pPr>
        <w:autoSpaceDE w:val="0"/>
        <w:autoSpaceDN w:val="0"/>
        <w:adjustRightInd w:val="0"/>
        <w:spacing w:line="360" w:lineRule="auto"/>
        <w:ind w:firstLine="440" w:firstLineChars="200"/>
        <w:jc w:val="left"/>
        <w:rPr>
          <w:rFonts w:ascii="宋体" w:hAnsi="宋体" w:cs="宋体"/>
          <w:sz w:val="22"/>
        </w:rPr>
      </w:pPr>
      <w:r>
        <w:rPr>
          <w:rFonts w:hint="eastAsia" w:ascii="宋体" w:hAnsi="宋体" w:cs="宋体"/>
          <w:sz w:val="22"/>
        </w:rPr>
        <w:t>4.3 约定适用的标准、规范的名称：</w:t>
      </w:r>
      <w:r>
        <w:rPr>
          <w:rFonts w:hint="eastAsia" w:ascii="宋体" w:hAnsi="宋体" w:cs="宋体"/>
          <w:sz w:val="22"/>
          <w:u w:val="single"/>
        </w:rPr>
        <w:t xml:space="preserve"> 按通用条款及招标文件约定 </w:t>
      </w:r>
      <w:r>
        <w:rPr>
          <w:rFonts w:hint="eastAsia" w:ascii="宋体" w:hAnsi="宋体" w:cs="宋体"/>
          <w:sz w:val="22"/>
        </w:rPr>
        <w:t>。</w:t>
      </w:r>
    </w:p>
    <w:p>
      <w:pPr>
        <w:autoSpaceDE w:val="0"/>
        <w:autoSpaceDN w:val="0"/>
        <w:adjustRightInd w:val="0"/>
        <w:spacing w:before="360" w:beforeLines="150" w:line="360" w:lineRule="auto"/>
        <w:jc w:val="left"/>
        <w:outlineLvl w:val="2"/>
        <w:rPr>
          <w:rFonts w:ascii="宋体" w:hAnsi="宋体" w:cs="宋体"/>
          <w:b/>
          <w:sz w:val="22"/>
        </w:rPr>
      </w:pPr>
      <w:bookmarkStart w:id="94" w:name="_Toc306287484"/>
      <w:bookmarkStart w:id="95" w:name="_Toc326239309"/>
      <w:bookmarkStart w:id="96" w:name="_Toc342306211"/>
      <w:bookmarkStart w:id="97" w:name="_Toc306287661"/>
      <w:r>
        <w:rPr>
          <w:rFonts w:hint="eastAsia" w:ascii="宋体" w:hAnsi="宋体" w:cs="宋体"/>
          <w:b/>
          <w:sz w:val="22"/>
        </w:rPr>
        <w:t>5． 施工设计图纸</w:t>
      </w:r>
      <w:bookmarkEnd w:id="94"/>
      <w:bookmarkEnd w:id="95"/>
      <w:bookmarkEnd w:id="96"/>
      <w:bookmarkEnd w:id="97"/>
    </w:p>
    <w:p>
      <w:pPr>
        <w:autoSpaceDE w:val="0"/>
        <w:autoSpaceDN w:val="0"/>
        <w:adjustRightInd w:val="0"/>
        <w:spacing w:line="360" w:lineRule="auto"/>
        <w:ind w:firstLine="440" w:firstLineChars="200"/>
        <w:jc w:val="left"/>
        <w:rPr>
          <w:rFonts w:ascii="宋体" w:hAnsi="宋体" w:cs="宋体"/>
          <w:sz w:val="22"/>
        </w:rPr>
      </w:pPr>
      <w:r>
        <w:rPr>
          <w:rFonts w:hint="eastAsia" w:ascii="宋体" w:hAnsi="宋体" w:cs="宋体"/>
          <w:sz w:val="22"/>
        </w:rPr>
        <w:t xml:space="preserve">5.1 施工设计图纸由发包人提供 </w:t>
      </w:r>
    </w:p>
    <w:p>
      <w:pPr>
        <w:autoSpaceDE w:val="0"/>
        <w:autoSpaceDN w:val="0"/>
        <w:adjustRightInd w:val="0"/>
        <w:spacing w:line="360" w:lineRule="auto"/>
        <w:ind w:firstLine="770" w:firstLineChars="350"/>
        <w:jc w:val="left"/>
        <w:rPr>
          <w:rFonts w:ascii="宋体" w:hAnsi="宋体" w:cs="宋体"/>
          <w:sz w:val="22"/>
        </w:rPr>
      </w:pPr>
      <w:r>
        <w:rPr>
          <w:rFonts w:hint="eastAsia" w:ascii="宋体" w:hAnsi="宋体" w:cs="宋体"/>
          <w:sz w:val="22"/>
        </w:rPr>
        <w:t>(1) 施工设计图纸提供的时间：</w:t>
      </w:r>
      <w:r>
        <w:rPr>
          <w:rFonts w:hint="eastAsia" w:ascii="宋体" w:hAnsi="宋体" w:cs="宋体"/>
          <w:sz w:val="22"/>
          <w:u w:val="single"/>
        </w:rPr>
        <w:t xml:space="preserve"> 合同签订后5天内</w:t>
      </w:r>
      <w:r>
        <w:rPr>
          <w:rFonts w:hint="eastAsia" w:ascii="宋体" w:hAnsi="宋体" w:cs="宋体"/>
          <w:sz w:val="22"/>
        </w:rPr>
        <w:t>。</w:t>
      </w:r>
    </w:p>
    <w:p>
      <w:pPr>
        <w:autoSpaceDE w:val="0"/>
        <w:autoSpaceDN w:val="0"/>
        <w:adjustRightInd w:val="0"/>
        <w:spacing w:line="360" w:lineRule="auto"/>
        <w:ind w:firstLine="770" w:firstLineChars="350"/>
        <w:jc w:val="left"/>
        <w:rPr>
          <w:rFonts w:ascii="宋体" w:hAnsi="宋体" w:cs="宋体"/>
          <w:sz w:val="22"/>
        </w:rPr>
      </w:pPr>
      <w:r>
        <w:rPr>
          <w:rFonts w:hint="eastAsia" w:ascii="宋体" w:hAnsi="宋体" w:cs="宋体"/>
          <w:sz w:val="22"/>
        </w:rPr>
        <w:t>(2) 施工设计图纸提供的数量：</w:t>
      </w:r>
      <w:r>
        <w:rPr>
          <w:rFonts w:hint="eastAsia" w:ascii="宋体" w:hAnsi="宋体" w:cs="宋体"/>
          <w:sz w:val="22"/>
          <w:u w:val="single"/>
        </w:rPr>
        <w:t xml:space="preserve"> 六份 </w:t>
      </w:r>
      <w:r>
        <w:rPr>
          <w:rFonts w:hint="eastAsia" w:ascii="宋体" w:hAnsi="宋体" w:cs="宋体"/>
          <w:sz w:val="22"/>
        </w:rPr>
        <w:t>。</w:t>
      </w:r>
    </w:p>
    <w:p>
      <w:pPr>
        <w:autoSpaceDE w:val="0"/>
        <w:autoSpaceDN w:val="0"/>
        <w:adjustRightInd w:val="0"/>
        <w:spacing w:line="360" w:lineRule="auto"/>
        <w:ind w:firstLine="440" w:firstLineChars="200"/>
        <w:jc w:val="left"/>
        <w:rPr>
          <w:rFonts w:ascii="宋体" w:hAnsi="宋体" w:cs="宋体"/>
          <w:sz w:val="22"/>
        </w:rPr>
      </w:pPr>
      <w:r>
        <w:rPr>
          <w:rFonts w:hint="eastAsia" w:ascii="宋体" w:hAnsi="宋体" w:cs="宋体"/>
          <w:sz w:val="22"/>
        </w:rPr>
        <w:t>5.2 施工设计图纸由承包人提供</w:t>
      </w:r>
    </w:p>
    <w:p>
      <w:pPr>
        <w:autoSpaceDE w:val="0"/>
        <w:autoSpaceDN w:val="0"/>
        <w:adjustRightInd w:val="0"/>
        <w:spacing w:line="360" w:lineRule="auto"/>
        <w:ind w:firstLine="770" w:firstLineChars="350"/>
        <w:jc w:val="left"/>
        <w:rPr>
          <w:rFonts w:ascii="宋体" w:hAnsi="宋体" w:cs="宋体"/>
          <w:sz w:val="22"/>
        </w:rPr>
      </w:pPr>
      <w:r>
        <w:rPr>
          <w:rFonts w:hint="eastAsia" w:ascii="宋体" w:hAnsi="宋体" w:cs="宋体"/>
          <w:sz w:val="22"/>
        </w:rPr>
        <w:t xml:space="preserve">(1) 施工设计图纸提供的时间： </w:t>
      </w:r>
      <w:r>
        <w:rPr>
          <w:rFonts w:hint="eastAsia" w:ascii="宋体" w:hAnsi="宋体" w:cs="宋体"/>
          <w:sz w:val="22"/>
          <w:u w:val="single"/>
        </w:rPr>
        <w:t xml:space="preserve">下发指令15天内    </w:t>
      </w:r>
      <w:r>
        <w:rPr>
          <w:rFonts w:hint="eastAsia" w:ascii="宋体" w:hAnsi="宋体" w:cs="宋体"/>
          <w:sz w:val="22"/>
        </w:rPr>
        <w:t>。</w:t>
      </w:r>
    </w:p>
    <w:p>
      <w:pPr>
        <w:autoSpaceDE w:val="0"/>
        <w:autoSpaceDN w:val="0"/>
        <w:adjustRightInd w:val="0"/>
        <w:spacing w:line="360" w:lineRule="auto"/>
        <w:ind w:firstLine="770" w:firstLineChars="350"/>
        <w:jc w:val="left"/>
        <w:rPr>
          <w:rFonts w:ascii="宋体" w:hAnsi="宋体" w:cs="宋体"/>
          <w:sz w:val="22"/>
        </w:rPr>
      </w:pPr>
      <w:r>
        <w:rPr>
          <w:rFonts w:hint="eastAsia" w:ascii="宋体" w:hAnsi="宋体" w:cs="宋体"/>
          <w:sz w:val="22"/>
        </w:rPr>
        <w:t>(2) 施工设计图纸提供的数量：</w:t>
      </w:r>
      <w:r>
        <w:rPr>
          <w:rFonts w:hint="eastAsia" w:ascii="宋体" w:hAnsi="宋体" w:cs="宋体"/>
          <w:sz w:val="22"/>
          <w:u w:val="single"/>
        </w:rPr>
        <w:t xml:space="preserve">   六份          </w:t>
      </w:r>
      <w:r>
        <w:rPr>
          <w:rFonts w:hint="eastAsia" w:ascii="宋体" w:hAnsi="宋体" w:cs="宋体"/>
          <w:sz w:val="22"/>
        </w:rPr>
        <w:t>。</w:t>
      </w:r>
    </w:p>
    <w:p>
      <w:pPr>
        <w:autoSpaceDE w:val="0"/>
        <w:autoSpaceDN w:val="0"/>
        <w:adjustRightInd w:val="0"/>
        <w:spacing w:before="360" w:beforeLines="150" w:line="360" w:lineRule="auto"/>
        <w:jc w:val="left"/>
        <w:outlineLvl w:val="2"/>
        <w:rPr>
          <w:rFonts w:ascii="宋体" w:hAnsi="宋体" w:cs="宋体"/>
          <w:b/>
          <w:sz w:val="22"/>
        </w:rPr>
      </w:pPr>
      <w:bookmarkStart w:id="98" w:name="_Toc342306212"/>
      <w:bookmarkStart w:id="99" w:name="_Toc326239310"/>
      <w:bookmarkStart w:id="100" w:name="_Toc306287485"/>
      <w:bookmarkStart w:id="101" w:name="_Toc306287662"/>
      <w:r>
        <w:rPr>
          <w:rFonts w:hint="eastAsia" w:ascii="宋体" w:hAnsi="宋体" w:cs="宋体"/>
          <w:b/>
          <w:sz w:val="22"/>
        </w:rPr>
        <w:t>6． 通讯联络</w:t>
      </w:r>
      <w:bookmarkEnd w:id="98"/>
      <w:bookmarkEnd w:id="99"/>
      <w:bookmarkEnd w:id="100"/>
      <w:bookmarkEnd w:id="101"/>
    </w:p>
    <w:p>
      <w:pPr>
        <w:tabs>
          <w:tab w:val="left" w:pos="1120"/>
        </w:tabs>
        <w:autoSpaceDE w:val="0"/>
        <w:autoSpaceDN w:val="0"/>
        <w:adjustRightInd w:val="0"/>
        <w:spacing w:line="360" w:lineRule="auto"/>
        <w:ind w:firstLine="440" w:firstLineChars="200"/>
        <w:jc w:val="left"/>
        <w:rPr>
          <w:rFonts w:ascii="宋体" w:hAnsi="宋体" w:cs="宋体"/>
          <w:sz w:val="22"/>
        </w:rPr>
      </w:pPr>
      <w:r>
        <w:rPr>
          <w:rFonts w:hint="eastAsia" w:ascii="宋体" w:hAnsi="宋体" w:cs="宋体"/>
          <w:sz w:val="22"/>
        </w:rPr>
        <w:t>6.2 各方通讯地址、收件人及其他送达方式</w:t>
      </w:r>
    </w:p>
    <w:p>
      <w:pPr>
        <w:autoSpaceDE w:val="0"/>
        <w:autoSpaceDN w:val="0"/>
        <w:adjustRightInd w:val="0"/>
        <w:spacing w:line="360" w:lineRule="auto"/>
        <w:ind w:firstLine="770" w:firstLineChars="350"/>
        <w:jc w:val="left"/>
        <w:rPr>
          <w:rFonts w:ascii="宋体" w:hAnsi="宋体" w:cs="宋体"/>
          <w:sz w:val="22"/>
        </w:rPr>
      </w:pPr>
      <w:r>
        <w:rPr>
          <w:rFonts w:hint="eastAsia" w:ascii="宋体" w:hAnsi="宋体" w:cs="宋体"/>
          <w:sz w:val="22"/>
        </w:rPr>
        <w:t xml:space="preserve">(1) 各方通讯地址和收件人： </w:t>
      </w:r>
    </w:p>
    <w:tbl>
      <w:tblPr>
        <w:tblStyle w:val="36"/>
        <w:tblW w:w="0" w:type="auto"/>
        <w:tblInd w:w="541" w:type="dxa"/>
        <w:tblLayout w:type="fixed"/>
        <w:tblCellMar>
          <w:top w:w="0" w:type="dxa"/>
          <w:left w:w="0" w:type="dxa"/>
          <w:bottom w:w="0" w:type="dxa"/>
          <w:right w:w="0" w:type="dxa"/>
        </w:tblCellMar>
      </w:tblPr>
      <w:tblGrid>
        <w:gridCol w:w="4988"/>
        <w:gridCol w:w="2126"/>
        <w:gridCol w:w="2126"/>
      </w:tblGrid>
      <w:tr>
        <w:trPr>
          <w:trHeight w:val="454" w:hRule="exact"/>
        </w:trPr>
        <w:tc>
          <w:tcPr>
            <w:tcW w:w="9240" w:type="dxa"/>
            <w:gridSpan w:val="3"/>
            <w:tcBorders>
              <w:top w:val="nil"/>
              <w:left w:val="nil"/>
              <w:bottom w:val="nil"/>
              <w:right w:val="nil"/>
            </w:tcBorders>
            <w:vAlign w:val="center"/>
          </w:tcPr>
          <w:p>
            <w:pPr>
              <w:tabs>
                <w:tab w:val="left" w:pos="1100"/>
              </w:tabs>
              <w:autoSpaceDE w:val="0"/>
              <w:autoSpaceDN w:val="0"/>
              <w:adjustRightInd w:val="0"/>
              <w:spacing w:line="360" w:lineRule="auto"/>
              <w:ind w:right="249"/>
              <w:rPr>
                <w:rFonts w:ascii="宋体" w:hAnsi="宋体" w:cs="宋体"/>
                <w:sz w:val="22"/>
              </w:rPr>
            </w:pPr>
            <w:r>
              <w:rPr>
                <w:rFonts w:hint="eastAsia" w:ascii="宋体" w:hAnsi="宋体" w:cs="宋体"/>
                <w:sz w:val="22"/>
              </w:rPr>
              <w:t xml:space="preserve">发包人： </w:t>
            </w:r>
          </w:p>
          <w:p>
            <w:pPr>
              <w:autoSpaceDE w:val="0"/>
              <w:autoSpaceDN w:val="0"/>
              <w:adjustRightInd w:val="0"/>
              <w:spacing w:line="360" w:lineRule="auto"/>
              <w:rPr>
                <w:rFonts w:ascii="宋体" w:hAnsi="宋体" w:cs="宋体"/>
                <w:position w:val="-3"/>
                <w:sz w:val="22"/>
              </w:rPr>
            </w:pPr>
          </w:p>
        </w:tc>
      </w:tr>
      <w:tr>
        <w:tblPrEx>
          <w:tblCellMar>
            <w:top w:w="0" w:type="dxa"/>
            <w:left w:w="0" w:type="dxa"/>
            <w:bottom w:w="0" w:type="dxa"/>
            <w:right w:w="0" w:type="dxa"/>
          </w:tblCellMar>
        </w:tblPrEx>
        <w:trPr>
          <w:trHeight w:val="454" w:hRule="exact"/>
        </w:trPr>
        <w:tc>
          <w:tcPr>
            <w:tcW w:w="4988" w:type="dxa"/>
            <w:tcBorders>
              <w:top w:val="nil"/>
              <w:left w:val="nil"/>
              <w:bottom w:val="nil"/>
              <w:right w:val="nil"/>
            </w:tcBorders>
            <w:vAlign w:val="center"/>
          </w:tcPr>
          <w:p>
            <w:pPr>
              <w:autoSpaceDE w:val="0"/>
              <w:autoSpaceDN w:val="0"/>
              <w:adjustRightInd w:val="0"/>
              <w:spacing w:line="360" w:lineRule="auto"/>
              <w:rPr>
                <w:rFonts w:ascii="宋体" w:hAnsi="宋体" w:cs="宋体"/>
                <w:sz w:val="22"/>
              </w:rPr>
            </w:pPr>
            <w:r>
              <w:rPr>
                <w:rFonts w:hint="eastAsia" w:ascii="宋体" w:hAnsi="宋体" w:cs="宋体"/>
                <w:position w:val="-3"/>
                <w:sz w:val="22"/>
              </w:rPr>
              <w:t>通讯地址：</w:t>
            </w:r>
            <w:r>
              <w:rPr>
                <w:rFonts w:hint="eastAsia" w:ascii="宋体" w:hAnsi="宋体" w:cs="宋体"/>
                <w:sz w:val="22"/>
              </w:rPr>
              <w:t xml:space="preserve"> </w:t>
            </w:r>
          </w:p>
        </w:tc>
        <w:tc>
          <w:tcPr>
            <w:tcW w:w="2126" w:type="dxa"/>
            <w:tcBorders>
              <w:top w:val="nil"/>
              <w:left w:val="nil"/>
              <w:bottom w:val="nil"/>
              <w:right w:val="nil"/>
            </w:tcBorders>
            <w:vAlign w:val="center"/>
          </w:tcPr>
          <w:p>
            <w:pPr>
              <w:autoSpaceDE w:val="0"/>
              <w:autoSpaceDN w:val="0"/>
              <w:adjustRightInd w:val="0"/>
              <w:spacing w:line="360" w:lineRule="auto"/>
              <w:rPr>
                <w:rFonts w:ascii="宋体" w:hAnsi="宋体" w:cs="宋体"/>
                <w:sz w:val="22"/>
              </w:rPr>
            </w:pPr>
            <w:r>
              <w:rPr>
                <w:rFonts w:hint="eastAsia" w:ascii="宋体" w:hAnsi="宋体" w:cs="宋体"/>
                <w:position w:val="-3"/>
                <w:sz w:val="22"/>
              </w:rPr>
              <w:t>收件人：</w:t>
            </w:r>
          </w:p>
        </w:tc>
        <w:tc>
          <w:tcPr>
            <w:tcW w:w="2126" w:type="dxa"/>
            <w:tcBorders>
              <w:top w:val="nil"/>
              <w:left w:val="nil"/>
              <w:bottom w:val="nil"/>
              <w:right w:val="nil"/>
            </w:tcBorders>
            <w:vAlign w:val="center"/>
          </w:tcPr>
          <w:p>
            <w:pPr>
              <w:autoSpaceDE w:val="0"/>
              <w:autoSpaceDN w:val="0"/>
              <w:adjustRightInd w:val="0"/>
              <w:spacing w:line="360" w:lineRule="auto"/>
              <w:rPr>
                <w:rFonts w:ascii="宋体" w:hAnsi="宋体" w:cs="宋体"/>
                <w:sz w:val="22"/>
              </w:rPr>
            </w:pPr>
            <w:r>
              <w:rPr>
                <w:rFonts w:hint="eastAsia" w:ascii="宋体" w:hAnsi="宋体" w:cs="宋体"/>
                <w:position w:val="-3"/>
                <w:sz w:val="22"/>
              </w:rPr>
              <w:t>邮政编码：</w:t>
            </w:r>
          </w:p>
        </w:tc>
      </w:tr>
      <w:tr>
        <w:tblPrEx>
          <w:tblCellMar>
            <w:top w:w="0" w:type="dxa"/>
            <w:left w:w="0" w:type="dxa"/>
            <w:bottom w:w="0" w:type="dxa"/>
            <w:right w:w="0" w:type="dxa"/>
          </w:tblCellMar>
        </w:tblPrEx>
        <w:trPr>
          <w:trHeight w:val="468" w:hRule="exact"/>
        </w:trPr>
        <w:tc>
          <w:tcPr>
            <w:tcW w:w="9240" w:type="dxa"/>
            <w:gridSpan w:val="3"/>
            <w:tcBorders>
              <w:top w:val="nil"/>
              <w:left w:val="nil"/>
              <w:bottom w:val="nil"/>
              <w:right w:val="nil"/>
            </w:tcBorders>
            <w:vAlign w:val="center"/>
          </w:tcPr>
          <w:p>
            <w:pPr>
              <w:autoSpaceDE w:val="0"/>
              <w:autoSpaceDN w:val="0"/>
              <w:adjustRightInd w:val="0"/>
              <w:spacing w:line="360" w:lineRule="auto"/>
              <w:rPr>
                <w:rFonts w:ascii="宋体" w:hAnsi="宋体" w:cs="宋体"/>
                <w:sz w:val="22"/>
              </w:rPr>
            </w:pPr>
            <w:r>
              <w:rPr>
                <w:rFonts w:hint="eastAsia" w:ascii="宋体" w:hAnsi="宋体" w:cs="宋体"/>
                <w:sz w:val="22"/>
              </w:rPr>
              <w:t xml:space="preserve">承包人： </w:t>
            </w:r>
          </w:p>
        </w:tc>
      </w:tr>
      <w:tr>
        <w:tblPrEx>
          <w:tblCellMar>
            <w:top w:w="0" w:type="dxa"/>
            <w:left w:w="0" w:type="dxa"/>
            <w:bottom w:w="0" w:type="dxa"/>
            <w:right w:w="0" w:type="dxa"/>
          </w:tblCellMar>
        </w:tblPrEx>
        <w:trPr>
          <w:trHeight w:val="660" w:hRule="exact"/>
        </w:trPr>
        <w:tc>
          <w:tcPr>
            <w:tcW w:w="4988" w:type="dxa"/>
            <w:tcBorders>
              <w:top w:val="nil"/>
              <w:left w:val="nil"/>
              <w:bottom w:val="nil"/>
              <w:right w:val="nil"/>
            </w:tcBorders>
            <w:vAlign w:val="center"/>
          </w:tcPr>
          <w:p>
            <w:pPr>
              <w:autoSpaceDE w:val="0"/>
              <w:autoSpaceDN w:val="0"/>
              <w:adjustRightInd w:val="0"/>
              <w:spacing w:line="360" w:lineRule="auto"/>
              <w:rPr>
                <w:rFonts w:ascii="宋体" w:hAnsi="宋体" w:cs="宋体"/>
                <w:sz w:val="22"/>
              </w:rPr>
            </w:pPr>
            <w:r>
              <w:rPr>
                <w:rFonts w:hint="eastAsia" w:ascii="宋体" w:hAnsi="宋体" w:cs="宋体"/>
                <w:sz w:val="22"/>
              </w:rPr>
              <w:t xml:space="preserve">通讯地址： </w:t>
            </w:r>
          </w:p>
        </w:tc>
        <w:tc>
          <w:tcPr>
            <w:tcW w:w="2126" w:type="dxa"/>
            <w:tcBorders>
              <w:top w:val="nil"/>
              <w:left w:val="nil"/>
              <w:bottom w:val="nil"/>
              <w:right w:val="nil"/>
            </w:tcBorders>
            <w:vAlign w:val="center"/>
          </w:tcPr>
          <w:p>
            <w:pPr>
              <w:autoSpaceDE w:val="0"/>
              <w:autoSpaceDN w:val="0"/>
              <w:adjustRightInd w:val="0"/>
              <w:spacing w:line="360" w:lineRule="auto"/>
              <w:rPr>
                <w:rFonts w:ascii="宋体" w:hAnsi="宋体" w:cs="宋体"/>
                <w:sz w:val="22"/>
              </w:rPr>
            </w:pPr>
            <w:r>
              <w:rPr>
                <w:rFonts w:hint="eastAsia" w:ascii="宋体" w:hAnsi="宋体" w:cs="宋体"/>
                <w:sz w:val="22"/>
              </w:rPr>
              <w:t>收件人：</w:t>
            </w:r>
            <w:r>
              <w:rPr>
                <w:rFonts w:hint="eastAsia" w:ascii="宋体" w:hAnsi="宋体" w:cs="宋体"/>
                <w:b/>
                <w:sz w:val="22"/>
              </w:rPr>
              <w:t xml:space="preserve"> </w:t>
            </w:r>
            <w:r>
              <w:rPr>
                <w:rFonts w:hint="eastAsia" w:ascii="宋体" w:hAnsi="宋体" w:cs="宋体"/>
                <w:sz w:val="22"/>
              </w:rPr>
              <w:t xml:space="preserve">                </w:t>
            </w:r>
          </w:p>
        </w:tc>
        <w:tc>
          <w:tcPr>
            <w:tcW w:w="2126" w:type="dxa"/>
            <w:tcBorders>
              <w:top w:val="nil"/>
              <w:left w:val="nil"/>
              <w:bottom w:val="nil"/>
              <w:right w:val="nil"/>
            </w:tcBorders>
            <w:vAlign w:val="center"/>
          </w:tcPr>
          <w:p>
            <w:pPr>
              <w:autoSpaceDE w:val="0"/>
              <w:autoSpaceDN w:val="0"/>
              <w:adjustRightInd w:val="0"/>
              <w:spacing w:line="360" w:lineRule="auto"/>
              <w:rPr>
                <w:rFonts w:ascii="宋体" w:hAnsi="宋体" w:cs="宋体"/>
                <w:sz w:val="22"/>
              </w:rPr>
            </w:pPr>
            <w:r>
              <w:rPr>
                <w:rFonts w:hint="eastAsia" w:ascii="宋体" w:hAnsi="宋体" w:cs="宋体"/>
                <w:sz w:val="22"/>
              </w:rPr>
              <w:t>邮政编码：</w:t>
            </w:r>
          </w:p>
        </w:tc>
      </w:tr>
      <w:tr>
        <w:tblPrEx>
          <w:tblCellMar>
            <w:top w:w="0" w:type="dxa"/>
            <w:left w:w="0" w:type="dxa"/>
            <w:bottom w:w="0" w:type="dxa"/>
            <w:right w:w="0" w:type="dxa"/>
          </w:tblCellMar>
        </w:tblPrEx>
        <w:trPr>
          <w:trHeight w:val="468" w:hRule="exact"/>
        </w:trPr>
        <w:tc>
          <w:tcPr>
            <w:tcW w:w="9240" w:type="dxa"/>
            <w:gridSpan w:val="3"/>
            <w:tcBorders>
              <w:top w:val="nil"/>
              <w:left w:val="nil"/>
              <w:bottom w:val="nil"/>
              <w:right w:val="nil"/>
            </w:tcBorders>
            <w:vAlign w:val="center"/>
          </w:tcPr>
          <w:p>
            <w:pPr>
              <w:autoSpaceDE w:val="0"/>
              <w:autoSpaceDN w:val="0"/>
              <w:adjustRightInd w:val="0"/>
              <w:spacing w:line="360" w:lineRule="auto"/>
              <w:rPr>
                <w:rFonts w:ascii="宋体" w:hAnsi="宋体" w:cs="宋体"/>
                <w:sz w:val="22"/>
              </w:rPr>
            </w:pPr>
            <w:r>
              <w:rPr>
                <w:rFonts w:hint="eastAsia" w:ascii="宋体" w:hAnsi="宋体" w:cs="宋体"/>
                <w:sz w:val="22"/>
              </w:rPr>
              <w:t xml:space="preserve">监理单位： </w:t>
            </w:r>
          </w:p>
        </w:tc>
      </w:tr>
      <w:tr>
        <w:tblPrEx>
          <w:tblCellMar>
            <w:top w:w="0" w:type="dxa"/>
            <w:left w:w="0" w:type="dxa"/>
            <w:bottom w:w="0" w:type="dxa"/>
            <w:right w:w="0" w:type="dxa"/>
          </w:tblCellMar>
        </w:tblPrEx>
        <w:trPr>
          <w:trHeight w:val="468" w:hRule="exact"/>
        </w:trPr>
        <w:tc>
          <w:tcPr>
            <w:tcW w:w="4988" w:type="dxa"/>
            <w:tcBorders>
              <w:top w:val="nil"/>
              <w:left w:val="nil"/>
              <w:bottom w:val="nil"/>
              <w:right w:val="nil"/>
            </w:tcBorders>
            <w:vAlign w:val="center"/>
          </w:tcPr>
          <w:p>
            <w:pPr>
              <w:autoSpaceDE w:val="0"/>
              <w:autoSpaceDN w:val="0"/>
              <w:adjustRightInd w:val="0"/>
              <w:spacing w:line="360" w:lineRule="auto"/>
              <w:rPr>
                <w:rFonts w:ascii="宋体" w:hAnsi="宋体" w:cs="宋体"/>
                <w:sz w:val="22"/>
              </w:rPr>
            </w:pPr>
            <w:r>
              <w:rPr>
                <w:rFonts w:hint="eastAsia" w:ascii="宋体" w:hAnsi="宋体" w:cs="宋体"/>
                <w:sz w:val="22"/>
              </w:rPr>
              <w:t xml:space="preserve">通讯地址： </w:t>
            </w:r>
          </w:p>
        </w:tc>
        <w:tc>
          <w:tcPr>
            <w:tcW w:w="2126" w:type="dxa"/>
            <w:tcBorders>
              <w:top w:val="nil"/>
              <w:left w:val="nil"/>
              <w:bottom w:val="nil"/>
              <w:right w:val="nil"/>
            </w:tcBorders>
            <w:vAlign w:val="center"/>
          </w:tcPr>
          <w:p>
            <w:pPr>
              <w:autoSpaceDE w:val="0"/>
              <w:autoSpaceDN w:val="0"/>
              <w:adjustRightInd w:val="0"/>
              <w:spacing w:line="360" w:lineRule="auto"/>
              <w:rPr>
                <w:rFonts w:ascii="宋体" w:hAnsi="宋体" w:cs="宋体"/>
                <w:sz w:val="22"/>
              </w:rPr>
            </w:pPr>
            <w:r>
              <w:rPr>
                <w:rFonts w:hint="eastAsia" w:ascii="宋体" w:hAnsi="宋体" w:cs="宋体"/>
                <w:sz w:val="22"/>
              </w:rPr>
              <w:t>收件人：</w:t>
            </w:r>
          </w:p>
        </w:tc>
        <w:tc>
          <w:tcPr>
            <w:tcW w:w="2126" w:type="dxa"/>
            <w:tcBorders>
              <w:top w:val="nil"/>
              <w:left w:val="nil"/>
              <w:bottom w:val="nil"/>
              <w:right w:val="nil"/>
            </w:tcBorders>
            <w:vAlign w:val="center"/>
          </w:tcPr>
          <w:p>
            <w:pPr>
              <w:autoSpaceDE w:val="0"/>
              <w:autoSpaceDN w:val="0"/>
              <w:adjustRightInd w:val="0"/>
              <w:spacing w:line="360" w:lineRule="auto"/>
              <w:rPr>
                <w:rFonts w:ascii="宋体" w:hAnsi="宋体" w:cs="宋体"/>
                <w:sz w:val="22"/>
              </w:rPr>
            </w:pPr>
            <w:r>
              <w:rPr>
                <w:rFonts w:hint="eastAsia" w:ascii="宋体" w:hAnsi="宋体" w:cs="宋体"/>
                <w:sz w:val="22"/>
              </w:rPr>
              <w:t>邮政编码：</w:t>
            </w:r>
          </w:p>
        </w:tc>
      </w:tr>
      <w:tr>
        <w:tblPrEx>
          <w:tblCellMar>
            <w:top w:w="0" w:type="dxa"/>
            <w:left w:w="0" w:type="dxa"/>
            <w:bottom w:w="0" w:type="dxa"/>
            <w:right w:w="0" w:type="dxa"/>
          </w:tblCellMar>
        </w:tblPrEx>
        <w:trPr>
          <w:trHeight w:val="468" w:hRule="exact"/>
        </w:trPr>
        <w:tc>
          <w:tcPr>
            <w:tcW w:w="9240" w:type="dxa"/>
            <w:gridSpan w:val="3"/>
            <w:tcBorders>
              <w:top w:val="nil"/>
              <w:left w:val="nil"/>
              <w:bottom w:val="nil"/>
              <w:right w:val="nil"/>
            </w:tcBorders>
            <w:vAlign w:val="center"/>
          </w:tcPr>
          <w:p>
            <w:pPr>
              <w:autoSpaceDE w:val="0"/>
              <w:autoSpaceDN w:val="0"/>
              <w:adjustRightInd w:val="0"/>
              <w:spacing w:line="360" w:lineRule="auto"/>
              <w:rPr>
                <w:rFonts w:ascii="宋体" w:hAnsi="宋体" w:cs="宋体"/>
                <w:sz w:val="22"/>
              </w:rPr>
            </w:pPr>
            <w:r>
              <w:rPr>
                <w:rFonts w:hint="eastAsia" w:ascii="宋体" w:hAnsi="宋体" w:cs="宋体"/>
                <w:sz w:val="22"/>
              </w:rPr>
              <w:t xml:space="preserve">造价咨询单位： </w:t>
            </w:r>
          </w:p>
        </w:tc>
      </w:tr>
      <w:tr>
        <w:tblPrEx>
          <w:tblCellMar>
            <w:top w:w="0" w:type="dxa"/>
            <w:left w:w="0" w:type="dxa"/>
            <w:bottom w:w="0" w:type="dxa"/>
            <w:right w:w="0" w:type="dxa"/>
          </w:tblCellMar>
        </w:tblPrEx>
        <w:trPr>
          <w:trHeight w:val="468" w:hRule="exact"/>
        </w:trPr>
        <w:tc>
          <w:tcPr>
            <w:tcW w:w="4988" w:type="dxa"/>
            <w:tcBorders>
              <w:top w:val="nil"/>
              <w:left w:val="nil"/>
              <w:bottom w:val="nil"/>
              <w:right w:val="nil"/>
            </w:tcBorders>
            <w:vAlign w:val="center"/>
          </w:tcPr>
          <w:p>
            <w:pPr>
              <w:autoSpaceDE w:val="0"/>
              <w:autoSpaceDN w:val="0"/>
              <w:adjustRightInd w:val="0"/>
              <w:spacing w:line="360" w:lineRule="auto"/>
              <w:rPr>
                <w:rFonts w:ascii="宋体" w:hAnsi="宋体" w:cs="宋体"/>
                <w:sz w:val="22"/>
              </w:rPr>
            </w:pPr>
            <w:r>
              <w:rPr>
                <w:rFonts w:hint="eastAsia" w:ascii="宋体" w:hAnsi="宋体" w:cs="宋体"/>
                <w:sz w:val="22"/>
              </w:rPr>
              <w:t>通讯地址：</w:t>
            </w:r>
          </w:p>
        </w:tc>
        <w:tc>
          <w:tcPr>
            <w:tcW w:w="2126" w:type="dxa"/>
            <w:tcBorders>
              <w:top w:val="nil"/>
              <w:left w:val="nil"/>
              <w:bottom w:val="nil"/>
              <w:right w:val="nil"/>
            </w:tcBorders>
            <w:vAlign w:val="center"/>
          </w:tcPr>
          <w:p>
            <w:pPr>
              <w:autoSpaceDE w:val="0"/>
              <w:autoSpaceDN w:val="0"/>
              <w:adjustRightInd w:val="0"/>
              <w:spacing w:line="360" w:lineRule="auto"/>
              <w:rPr>
                <w:rFonts w:ascii="宋体" w:hAnsi="宋体" w:cs="宋体"/>
                <w:sz w:val="22"/>
              </w:rPr>
            </w:pPr>
            <w:r>
              <w:rPr>
                <w:rFonts w:hint="eastAsia" w:ascii="宋体" w:hAnsi="宋体" w:cs="宋体"/>
                <w:sz w:val="22"/>
              </w:rPr>
              <w:t>收件人：</w:t>
            </w:r>
          </w:p>
        </w:tc>
        <w:tc>
          <w:tcPr>
            <w:tcW w:w="2126" w:type="dxa"/>
            <w:tcBorders>
              <w:top w:val="nil"/>
              <w:left w:val="nil"/>
              <w:bottom w:val="nil"/>
              <w:right w:val="nil"/>
            </w:tcBorders>
            <w:vAlign w:val="center"/>
          </w:tcPr>
          <w:p>
            <w:pPr>
              <w:autoSpaceDE w:val="0"/>
              <w:autoSpaceDN w:val="0"/>
              <w:adjustRightInd w:val="0"/>
              <w:spacing w:line="360" w:lineRule="auto"/>
              <w:rPr>
                <w:rFonts w:ascii="宋体" w:hAnsi="宋体" w:cs="宋体"/>
                <w:sz w:val="22"/>
              </w:rPr>
            </w:pPr>
            <w:r>
              <w:rPr>
                <w:rFonts w:hint="eastAsia" w:ascii="宋体" w:hAnsi="宋体" w:cs="宋体"/>
                <w:sz w:val="22"/>
              </w:rPr>
              <w:t>邮政编码：</w:t>
            </w:r>
          </w:p>
        </w:tc>
      </w:tr>
    </w:tbl>
    <w:p>
      <w:pPr>
        <w:autoSpaceDE w:val="0"/>
        <w:autoSpaceDN w:val="0"/>
        <w:adjustRightInd w:val="0"/>
        <w:spacing w:line="360" w:lineRule="auto"/>
        <w:ind w:firstLine="770" w:firstLineChars="350"/>
        <w:jc w:val="left"/>
        <w:rPr>
          <w:rFonts w:ascii="宋体" w:hAnsi="宋体" w:cs="宋体"/>
          <w:sz w:val="22"/>
        </w:rPr>
      </w:pPr>
      <w:bookmarkStart w:id="102" w:name="_Toc306287486"/>
      <w:bookmarkStart w:id="103" w:name="_Toc306287663"/>
      <w:r>
        <w:rPr>
          <w:rFonts w:hint="eastAsia" w:ascii="宋体" w:hAnsi="宋体" w:cs="宋体"/>
          <w:sz w:val="22"/>
        </w:rPr>
        <w:t>(2) 视为送达的其他方式：</w:t>
      </w:r>
      <w:r>
        <w:rPr>
          <w:rFonts w:hint="eastAsia" w:ascii="宋体" w:hAnsi="宋体" w:cs="宋体"/>
          <w:sz w:val="22"/>
          <w:u w:val="single"/>
        </w:rPr>
        <w:t xml:space="preserve"> 无 </w:t>
      </w:r>
      <w:r>
        <w:rPr>
          <w:rFonts w:hint="eastAsia" w:ascii="宋体" w:hAnsi="宋体" w:cs="宋体"/>
          <w:sz w:val="22"/>
        </w:rPr>
        <w:t>。</w:t>
      </w:r>
    </w:p>
    <w:p>
      <w:pPr>
        <w:autoSpaceDE w:val="0"/>
        <w:autoSpaceDN w:val="0"/>
        <w:adjustRightInd w:val="0"/>
        <w:spacing w:before="360" w:beforeLines="150" w:line="360" w:lineRule="auto"/>
        <w:jc w:val="left"/>
        <w:outlineLvl w:val="2"/>
        <w:rPr>
          <w:rFonts w:ascii="宋体" w:hAnsi="宋体" w:cs="宋体"/>
          <w:b/>
          <w:sz w:val="22"/>
        </w:rPr>
      </w:pPr>
      <w:bookmarkStart w:id="104" w:name="_Toc342306213"/>
      <w:bookmarkStart w:id="105" w:name="_Toc326239311"/>
      <w:r>
        <w:rPr>
          <w:rFonts w:hint="eastAsia" w:ascii="宋体" w:hAnsi="宋体" w:cs="宋体"/>
          <w:b/>
          <w:sz w:val="22"/>
        </w:rPr>
        <w:t>7． 工程分包</w:t>
      </w:r>
      <w:bookmarkEnd w:id="102"/>
      <w:bookmarkEnd w:id="103"/>
      <w:bookmarkEnd w:id="104"/>
      <w:bookmarkEnd w:id="105"/>
    </w:p>
    <w:p>
      <w:pPr>
        <w:tabs>
          <w:tab w:val="left" w:pos="1120"/>
        </w:tabs>
        <w:autoSpaceDE w:val="0"/>
        <w:autoSpaceDN w:val="0"/>
        <w:adjustRightInd w:val="0"/>
        <w:spacing w:line="360" w:lineRule="auto"/>
        <w:ind w:firstLine="440" w:firstLineChars="200"/>
        <w:jc w:val="left"/>
        <w:rPr>
          <w:rFonts w:ascii="宋体" w:hAnsi="宋体" w:cs="宋体"/>
          <w:sz w:val="22"/>
        </w:rPr>
      </w:pPr>
      <w:r>
        <w:rPr>
          <w:rFonts w:hint="eastAsia" w:ascii="宋体" w:hAnsi="宋体" w:cs="宋体"/>
          <w:sz w:val="22"/>
        </w:rPr>
        <w:t>7.2 指定分包工程名称：</w:t>
      </w:r>
      <w:r>
        <w:rPr>
          <w:rFonts w:hint="eastAsia" w:ascii="宋体" w:hAnsi="宋体" w:cs="宋体"/>
          <w:sz w:val="22"/>
          <w:u w:val="single"/>
        </w:rPr>
        <w:t xml:space="preserve"> 按招标文件条款约定</w:t>
      </w:r>
      <w:r>
        <w:rPr>
          <w:rFonts w:hint="eastAsia" w:ascii="宋体" w:hAnsi="宋体" w:cs="宋体"/>
          <w:sz w:val="22"/>
        </w:rPr>
        <w:t>。</w:t>
      </w:r>
    </w:p>
    <w:p>
      <w:pPr>
        <w:tabs>
          <w:tab w:val="left" w:pos="1120"/>
        </w:tabs>
        <w:autoSpaceDE w:val="0"/>
        <w:autoSpaceDN w:val="0"/>
        <w:adjustRightInd w:val="0"/>
        <w:spacing w:line="360" w:lineRule="auto"/>
        <w:ind w:firstLine="440" w:firstLineChars="200"/>
        <w:jc w:val="left"/>
        <w:rPr>
          <w:rFonts w:ascii="宋体" w:hAnsi="宋体" w:cs="宋体"/>
          <w:sz w:val="22"/>
        </w:rPr>
      </w:pPr>
      <w:r>
        <w:rPr>
          <w:rFonts w:hint="eastAsia" w:ascii="宋体" w:hAnsi="宋体" w:cs="宋体"/>
          <w:sz w:val="22"/>
        </w:rPr>
        <w:t>7.4分包工程价款的支付方式：</w:t>
      </w:r>
      <w:r>
        <w:rPr>
          <w:rFonts w:hint="eastAsia" w:ascii="宋体" w:hAnsi="宋体" w:cs="宋体"/>
          <w:sz w:val="22"/>
          <w:u w:val="single"/>
        </w:rPr>
        <w:t xml:space="preserve"> 按通用条款约定</w:t>
      </w:r>
      <w:r>
        <w:rPr>
          <w:rFonts w:hint="eastAsia" w:ascii="宋体" w:hAnsi="宋体" w:cs="宋体"/>
          <w:sz w:val="22"/>
        </w:rPr>
        <w:t>。</w:t>
      </w:r>
    </w:p>
    <w:p>
      <w:pPr>
        <w:autoSpaceDE w:val="0"/>
        <w:autoSpaceDN w:val="0"/>
        <w:adjustRightInd w:val="0"/>
        <w:spacing w:before="360" w:beforeLines="150" w:line="360" w:lineRule="auto"/>
        <w:jc w:val="left"/>
        <w:outlineLvl w:val="2"/>
        <w:rPr>
          <w:rFonts w:ascii="宋体" w:hAnsi="宋体" w:cs="宋体"/>
          <w:bCs/>
          <w:sz w:val="22"/>
        </w:rPr>
      </w:pPr>
      <w:bookmarkStart w:id="106" w:name="_Toc342306214"/>
      <w:bookmarkStart w:id="107" w:name="_Toc326239312"/>
      <w:r>
        <w:rPr>
          <w:rFonts w:hint="eastAsia" w:ascii="宋体" w:hAnsi="宋体" w:cs="宋体"/>
          <w:b/>
          <w:sz w:val="22"/>
        </w:rPr>
        <w:t>10． 投标文件的完备性</w:t>
      </w:r>
      <w:bookmarkEnd w:id="106"/>
      <w:bookmarkEnd w:id="107"/>
      <w:r>
        <w:rPr>
          <w:rFonts w:hint="eastAsia" w:ascii="宋体" w:hAnsi="宋体" w:cs="宋体"/>
          <w:b/>
          <w:sz w:val="22"/>
        </w:rPr>
        <w:t>：</w:t>
      </w:r>
      <w:r>
        <w:rPr>
          <w:rFonts w:hint="eastAsia" w:ascii="宋体" w:hAnsi="宋体" w:cs="宋体"/>
          <w:bCs/>
          <w:sz w:val="22"/>
        </w:rPr>
        <w:t>按通用条款</w:t>
      </w:r>
    </w:p>
    <w:p>
      <w:pPr>
        <w:autoSpaceDE w:val="0"/>
        <w:autoSpaceDN w:val="0"/>
        <w:adjustRightInd w:val="0"/>
        <w:spacing w:before="360" w:beforeLines="150" w:line="360" w:lineRule="auto"/>
        <w:ind w:firstLine="221" w:firstLineChars="100"/>
        <w:jc w:val="left"/>
        <w:outlineLvl w:val="2"/>
        <w:rPr>
          <w:rFonts w:ascii="宋体" w:hAnsi="宋体" w:cs="宋体"/>
          <w:b/>
          <w:sz w:val="22"/>
        </w:rPr>
      </w:pPr>
      <w:bookmarkStart w:id="108" w:name="_Toc326239313"/>
      <w:bookmarkStart w:id="109" w:name="_Toc306287664"/>
      <w:bookmarkStart w:id="110" w:name="_Toc306287487"/>
      <w:bookmarkStart w:id="111" w:name="_Toc342306215"/>
      <w:r>
        <w:rPr>
          <w:rFonts w:hint="eastAsia" w:ascii="宋体" w:hAnsi="宋体" w:cs="宋体"/>
          <w:b/>
          <w:sz w:val="22"/>
        </w:rPr>
        <w:t>13．交通运输</w:t>
      </w:r>
      <w:bookmarkEnd w:id="108"/>
      <w:bookmarkEnd w:id="109"/>
      <w:bookmarkEnd w:id="110"/>
      <w:bookmarkEnd w:id="111"/>
    </w:p>
    <w:p>
      <w:pPr>
        <w:autoSpaceDE w:val="0"/>
        <w:autoSpaceDN w:val="0"/>
        <w:adjustRightInd w:val="0"/>
        <w:spacing w:line="360" w:lineRule="auto"/>
        <w:ind w:firstLine="440" w:firstLineChars="200"/>
        <w:jc w:val="left"/>
        <w:rPr>
          <w:rFonts w:ascii="宋体" w:hAnsi="宋体" w:cs="宋体"/>
          <w:sz w:val="22"/>
        </w:rPr>
      </w:pPr>
      <w:r>
        <w:rPr>
          <w:rFonts w:hint="eastAsia" w:ascii="宋体" w:hAnsi="宋体" w:cs="宋体"/>
          <w:sz w:val="22"/>
        </w:rPr>
        <w:t>13.1 道路通行权和场外设施的约定：</w:t>
      </w:r>
      <w:r>
        <w:rPr>
          <w:rFonts w:hint="eastAsia" w:ascii="宋体" w:hAnsi="宋体" w:cs="宋体"/>
          <w:sz w:val="22"/>
          <w:u w:val="single"/>
        </w:rPr>
        <w:t xml:space="preserve"> 按通用条款 </w:t>
      </w:r>
      <w:r>
        <w:rPr>
          <w:rFonts w:hint="eastAsia" w:ascii="宋体" w:hAnsi="宋体" w:cs="宋体"/>
          <w:sz w:val="22"/>
        </w:rPr>
        <w:t xml:space="preserve">。 </w:t>
      </w:r>
    </w:p>
    <w:p>
      <w:pPr>
        <w:autoSpaceDE w:val="0"/>
        <w:autoSpaceDN w:val="0"/>
        <w:adjustRightInd w:val="0"/>
        <w:spacing w:line="360" w:lineRule="auto"/>
        <w:ind w:firstLine="440" w:firstLineChars="200"/>
        <w:jc w:val="left"/>
        <w:rPr>
          <w:rFonts w:ascii="宋体" w:hAnsi="宋体" w:cs="宋体"/>
          <w:sz w:val="22"/>
        </w:rPr>
      </w:pPr>
      <w:r>
        <w:rPr>
          <w:rFonts w:hint="eastAsia" w:ascii="宋体" w:hAnsi="宋体" w:cs="宋体"/>
          <w:sz w:val="22"/>
        </w:rPr>
        <w:t>13.2 场外施工道路的约定：</w:t>
      </w:r>
      <w:r>
        <w:rPr>
          <w:rFonts w:hint="eastAsia" w:ascii="宋体" w:hAnsi="宋体" w:cs="宋体"/>
          <w:sz w:val="22"/>
          <w:u w:val="single"/>
        </w:rPr>
        <w:t xml:space="preserve"> 按通用条款 </w:t>
      </w:r>
      <w:r>
        <w:rPr>
          <w:rFonts w:hint="eastAsia" w:ascii="宋体" w:hAnsi="宋体" w:cs="宋体"/>
          <w:sz w:val="22"/>
        </w:rPr>
        <w:t>。</w:t>
      </w:r>
    </w:p>
    <w:p>
      <w:pPr>
        <w:autoSpaceDE w:val="0"/>
        <w:autoSpaceDN w:val="0"/>
        <w:adjustRightInd w:val="0"/>
        <w:spacing w:line="360" w:lineRule="auto"/>
        <w:ind w:firstLine="440" w:firstLineChars="200"/>
        <w:jc w:val="left"/>
        <w:rPr>
          <w:rFonts w:ascii="宋体" w:hAnsi="宋体" w:cs="宋体"/>
          <w:sz w:val="22"/>
        </w:rPr>
      </w:pPr>
      <w:r>
        <w:rPr>
          <w:rFonts w:hint="eastAsia" w:ascii="宋体" w:hAnsi="宋体" w:cs="宋体"/>
          <w:sz w:val="22"/>
        </w:rPr>
        <w:t>13.4 超大件和超重件运输的约定：</w:t>
      </w:r>
      <w:r>
        <w:rPr>
          <w:rFonts w:hint="eastAsia" w:ascii="宋体" w:hAnsi="宋体" w:cs="宋体"/>
          <w:sz w:val="22"/>
          <w:u w:val="single"/>
        </w:rPr>
        <w:t xml:space="preserve"> 按通用条款 </w:t>
      </w:r>
      <w:r>
        <w:rPr>
          <w:rFonts w:hint="eastAsia" w:ascii="宋体" w:hAnsi="宋体" w:cs="宋体"/>
          <w:sz w:val="22"/>
        </w:rPr>
        <w:t>。</w:t>
      </w:r>
    </w:p>
    <w:p>
      <w:pPr>
        <w:autoSpaceDE w:val="0"/>
        <w:autoSpaceDN w:val="0"/>
        <w:adjustRightInd w:val="0"/>
        <w:spacing w:before="360" w:beforeLines="150" w:line="360" w:lineRule="auto"/>
        <w:jc w:val="left"/>
        <w:outlineLvl w:val="2"/>
        <w:rPr>
          <w:rFonts w:ascii="宋体" w:hAnsi="宋体" w:cs="宋体"/>
          <w:b/>
          <w:sz w:val="22"/>
        </w:rPr>
      </w:pPr>
      <w:bookmarkStart w:id="112" w:name="_Toc326239314"/>
      <w:bookmarkStart w:id="113" w:name="_Toc306287488"/>
      <w:bookmarkStart w:id="114" w:name="_Toc342306216"/>
      <w:bookmarkStart w:id="115" w:name="_Toc306287665"/>
      <w:r>
        <w:rPr>
          <w:rFonts w:hint="eastAsia" w:ascii="宋体" w:hAnsi="宋体" w:cs="宋体"/>
          <w:b/>
          <w:sz w:val="22"/>
        </w:rPr>
        <w:t>14．专项批准事件的签认</w:t>
      </w:r>
      <w:bookmarkEnd w:id="112"/>
      <w:bookmarkEnd w:id="113"/>
      <w:bookmarkEnd w:id="114"/>
      <w:bookmarkEnd w:id="115"/>
    </w:p>
    <w:p>
      <w:pPr>
        <w:autoSpaceDE w:val="0"/>
        <w:autoSpaceDN w:val="0"/>
        <w:adjustRightInd w:val="0"/>
        <w:spacing w:line="360" w:lineRule="auto"/>
        <w:ind w:firstLine="440" w:firstLineChars="200"/>
        <w:jc w:val="left"/>
        <w:rPr>
          <w:rFonts w:ascii="宋体" w:hAnsi="宋体" w:cs="宋体"/>
          <w:sz w:val="22"/>
        </w:rPr>
      </w:pPr>
      <w:r>
        <w:rPr>
          <w:rFonts w:hint="eastAsia" w:ascii="宋体" w:hAnsi="宋体" w:cs="宋体"/>
          <w:sz w:val="22"/>
        </w:rPr>
        <w:t>14.2 (1)专项批准事件的监理工程师：</w:t>
      </w:r>
    </w:p>
    <w:p>
      <w:pPr>
        <w:tabs>
          <w:tab w:val="left" w:pos="3100"/>
          <w:tab w:val="left" w:pos="5740"/>
          <w:tab w:val="left" w:pos="8020"/>
        </w:tabs>
        <w:autoSpaceDE w:val="0"/>
        <w:autoSpaceDN w:val="0"/>
        <w:adjustRightInd w:val="0"/>
        <w:spacing w:line="360" w:lineRule="auto"/>
        <w:ind w:left="581"/>
        <w:jc w:val="left"/>
        <w:rPr>
          <w:rFonts w:ascii="宋体" w:hAnsi="宋体" w:cs="宋体"/>
          <w:sz w:val="22"/>
        </w:rPr>
      </w:pPr>
      <w:r>
        <w:rPr>
          <w:rFonts w:hint="eastAsia" w:ascii="宋体" w:hAnsi="宋体" w:cs="宋体"/>
          <w:sz w:val="22"/>
        </w:rPr>
        <w:t>具体人选：</w:t>
      </w:r>
      <w:r>
        <w:rPr>
          <w:rFonts w:hint="eastAsia" w:ascii="宋体" w:hAnsi="宋体" w:cs="宋体"/>
          <w:sz w:val="22"/>
        </w:rPr>
        <w:tab/>
      </w:r>
      <w:r>
        <w:rPr>
          <w:rFonts w:hint="eastAsia" w:ascii="宋体" w:hAnsi="宋体" w:cs="宋体"/>
          <w:sz w:val="22"/>
        </w:rPr>
        <w:t>印章样式：</w:t>
      </w:r>
      <w:r>
        <w:rPr>
          <w:rFonts w:hint="eastAsia" w:ascii="宋体" w:hAnsi="宋体" w:cs="宋体"/>
          <w:sz w:val="22"/>
        </w:rPr>
        <w:tab/>
      </w:r>
      <w:r>
        <w:rPr>
          <w:rFonts w:hint="eastAsia" w:ascii="宋体" w:hAnsi="宋体" w:cs="宋体"/>
          <w:sz w:val="22"/>
        </w:rPr>
        <w:t>签字样式：</w:t>
      </w:r>
      <w:r>
        <w:rPr>
          <w:rFonts w:hint="eastAsia" w:ascii="宋体" w:hAnsi="宋体" w:cs="宋体"/>
          <w:sz w:val="22"/>
        </w:rPr>
        <w:tab/>
      </w:r>
      <w:r>
        <w:rPr>
          <w:rFonts w:hint="eastAsia" w:ascii="宋体" w:hAnsi="宋体" w:cs="宋体"/>
          <w:sz w:val="22"/>
        </w:rPr>
        <w:t>授权范围：</w:t>
      </w:r>
    </w:p>
    <w:p>
      <w:pPr>
        <w:autoSpaceDE w:val="0"/>
        <w:autoSpaceDN w:val="0"/>
        <w:adjustRightInd w:val="0"/>
        <w:spacing w:line="360" w:lineRule="auto"/>
        <w:ind w:firstLine="880" w:firstLineChars="400"/>
        <w:jc w:val="left"/>
        <w:rPr>
          <w:rFonts w:ascii="宋体" w:hAnsi="宋体" w:cs="宋体"/>
          <w:sz w:val="22"/>
        </w:rPr>
      </w:pPr>
      <w:r>
        <w:rPr>
          <w:rFonts w:hint="eastAsia" w:ascii="宋体" w:hAnsi="宋体" w:cs="宋体"/>
          <w:sz w:val="22"/>
        </w:rPr>
        <w:t xml:space="preserve"> (2)专项批准事件的造价工程师</w:t>
      </w:r>
    </w:p>
    <w:p>
      <w:pPr>
        <w:tabs>
          <w:tab w:val="left" w:pos="3100"/>
          <w:tab w:val="left" w:pos="5740"/>
          <w:tab w:val="left" w:pos="8020"/>
        </w:tabs>
        <w:autoSpaceDE w:val="0"/>
        <w:autoSpaceDN w:val="0"/>
        <w:adjustRightInd w:val="0"/>
        <w:spacing w:line="360" w:lineRule="auto"/>
        <w:ind w:left="581"/>
        <w:jc w:val="left"/>
        <w:rPr>
          <w:rFonts w:ascii="宋体" w:hAnsi="宋体" w:cs="宋体"/>
          <w:sz w:val="22"/>
        </w:rPr>
      </w:pPr>
      <w:r>
        <w:rPr>
          <w:rFonts w:hint="eastAsia" w:ascii="宋体" w:hAnsi="宋体" w:cs="宋体"/>
          <w:sz w:val="22"/>
        </w:rPr>
        <w:t>具体人选：</w:t>
      </w:r>
      <w:r>
        <w:rPr>
          <w:rFonts w:hint="eastAsia" w:ascii="宋体" w:hAnsi="宋体" w:cs="宋体"/>
          <w:sz w:val="22"/>
        </w:rPr>
        <w:tab/>
      </w:r>
      <w:r>
        <w:rPr>
          <w:rFonts w:hint="eastAsia" w:ascii="宋体" w:hAnsi="宋体" w:cs="宋体"/>
          <w:sz w:val="22"/>
        </w:rPr>
        <w:t>印章样式：</w:t>
      </w:r>
      <w:r>
        <w:rPr>
          <w:rFonts w:hint="eastAsia" w:ascii="宋体" w:hAnsi="宋体" w:cs="宋体"/>
          <w:sz w:val="22"/>
        </w:rPr>
        <w:tab/>
      </w:r>
      <w:r>
        <w:rPr>
          <w:rFonts w:hint="eastAsia" w:ascii="宋体" w:hAnsi="宋体" w:cs="宋体"/>
          <w:sz w:val="22"/>
        </w:rPr>
        <w:t>签字样式：</w:t>
      </w:r>
      <w:r>
        <w:rPr>
          <w:rFonts w:hint="eastAsia" w:ascii="宋体" w:hAnsi="宋体" w:cs="宋体"/>
          <w:sz w:val="22"/>
        </w:rPr>
        <w:tab/>
      </w:r>
      <w:r>
        <w:rPr>
          <w:rFonts w:hint="eastAsia" w:ascii="宋体" w:hAnsi="宋体" w:cs="宋体"/>
          <w:sz w:val="22"/>
        </w:rPr>
        <w:t>授权范围：</w:t>
      </w:r>
    </w:p>
    <w:p>
      <w:pPr>
        <w:autoSpaceDE w:val="0"/>
        <w:autoSpaceDN w:val="0"/>
        <w:adjustRightInd w:val="0"/>
        <w:spacing w:line="360" w:lineRule="auto"/>
        <w:ind w:firstLine="880" w:firstLineChars="400"/>
        <w:jc w:val="left"/>
        <w:rPr>
          <w:rFonts w:ascii="宋体" w:hAnsi="宋体" w:cs="宋体"/>
          <w:sz w:val="22"/>
        </w:rPr>
      </w:pPr>
      <w:r>
        <w:rPr>
          <w:rFonts w:hint="eastAsia" w:ascii="宋体" w:hAnsi="宋体" w:cs="宋体"/>
          <w:sz w:val="22"/>
        </w:rPr>
        <w:t>(3)专项批准事件的建造师的：</w:t>
      </w:r>
    </w:p>
    <w:p>
      <w:pPr>
        <w:tabs>
          <w:tab w:val="left" w:pos="3100"/>
          <w:tab w:val="left" w:pos="5740"/>
          <w:tab w:val="left" w:pos="8020"/>
        </w:tabs>
        <w:autoSpaceDE w:val="0"/>
        <w:autoSpaceDN w:val="0"/>
        <w:adjustRightInd w:val="0"/>
        <w:spacing w:line="360" w:lineRule="auto"/>
        <w:ind w:left="581"/>
        <w:jc w:val="left"/>
        <w:rPr>
          <w:rFonts w:ascii="宋体" w:hAnsi="宋体" w:cs="宋体"/>
          <w:sz w:val="22"/>
        </w:rPr>
      </w:pPr>
      <w:r>
        <w:rPr>
          <w:rFonts w:hint="eastAsia" w:ascii="宋体" w:hAnsi="宋体" w:cs="宋体"/>
          <w:sz w:val="22"/>
        </w:rPr>
        <w:t>具体人选：</w:t>
      </w:r>
      <w:r>
        <w:rPr>
          <w:rFonts w:hint="eastAsia" w:ascii="宋体" w:hAnsi="宋体" w:cs="宋体"/>
          <w:sz w:val="22"/>
        </w:rPr>
        <w:tab/>
      </w:r>
      <w:r>
        <w:rPr>
          <w:rFonts w:hint="eastAsia" w:ascii="宋体" w:hAnsi="宋体" w:cs="宋体"/>
          <w:sz w:val="22"/>
        </w:rPr>
        <w:t>印章样式：</w:t>
      </w:r>
      <w:r>
        <w:rPr>
          <w:rFonts w:hint="eastAsia" w:ascii="宋体" w:hAnsi="宋体" w:cs="宋体"/>
          <w:sz w:val="22"/>
        </w:rPr>
        <w:tab/>
      </w:r>
      <w:r>
        <w:rPr>
          <w:rFonts w:hint="eastAsia" w:ascii="宋体" w:hAnsi="宋体" w:cs="宋体"/>
          <w:sz w:val="22"/>
        </w:rPr>
        <w:t>签字样式：</w:t>
      </w:r>
      <w:r>
        <w:rPr>
          <w:rFonts w:hint="eastAsia" w:ascii="宋体" w:hAnsi="宋体" w:cs="宋体"/>
          <w:sz w:val="22"/>
        </w:rPr>
        <w:tab/>
      </w:r>
      <w:r>
        <w:rPr>
          <w:rFonts w:hint="eastAsia" w:ascii="宋体" w:hAnsi="宋体" w:cs="宋体"/>
          <w:sz w:val="22"/>
        </w:rPr>
        <w:t>授权范围：</w:t>
      </w:r>
    </w:p>
    <w:p>
      <w:pPr>
        <w:autoSpaceDE w:val="0"/>
        <w:autoSpaceDN w:val="0"/>
        <w:adjustRightInd w:val="0"/>
        <w:spacing w:before="360" w:beforeLines="150" w:line="360" w:lineRule="auto"/>
        <w:jc w:val="left"/>
        <w:outlineLvl w:val="2"/>
        <w:rPr>
          <w:rFonts w:ascii="宋体" w:hAnsi="宋体" w:cs="宋体"/>
          <w:b/>
          <w:sz w:val="22"/>
        </w:rPr>
      </w:pPr>
      <w:bookmarkStart w:id="116" w:name="_Toc326239315"/>
      <w:bookmarkStart w:id="117" w:name="_Toc342306217"/>
      <w:bookmarkStart w:id="118" w:name="_Toc306287666"/>
      <w:bookmarkStart w:id="119" w:name="_Toc306287489"/>
      <w:r>
        <w:rPr>
          <w:rFonts w:hint="eastAsia" w:ascii="宋体" w:hAnsi="宋体" w:cs="宋体"/>
          <w:b/>
          <w:sz w:val="22"/>
        </w:rPr>
        <w:t>19．发包人</w:t>
      </w:r>
      <w:bookmarkEnd w:id="116"/>
      <w:bookmarkEnd w:id="117"/>
      <w:bookmarkEnd w:id="118"/>
      <w:bookmarkEnd w:id="119"/>
    </w:p>
    <w:p>
      <w:pPr>
        <w:tabs>
          <w:tab w:val="left" w:pos="1485"/>
        </w:tabs>
        <w:autoSpaceDE w:val="0"/>
        <w:autoSpaceDN w:val="0"/>
        <w:adjustRightInd w:val="0"/>
        <w:spacing w:line="360" w:lineRule="auto"/>
        <w:ind w:firstLine="440" w:firstLineChars="200"/>
        <w:jc w:val="left"/>
        <w:rPr>
          <w:rFonts w:ascii="宋体" w:hAnsi="宋体" w:cs="宋体"/>
          <w:sz w:val="22"/>
        </w:rPr>
      </w:pPr>
      <w:r>
        <w:rPr>
          <w:rFonts w:hint="eastAsia" w:ascii="宋体" w:hAnsi="宋体" w:cs="宋体"/>
          <w:sz w:val="22"/>
        </w:rPr>
        <w:t>19.2 发包人完成下列工作的约定</w:t>
      </w:r>
    </w:p>
    <w:p>
      <w:pPr>
        <w:autoSpaceDE w:val="0"/>
        <w:autoSpaceDN w:val="0"/>
        <w:adjustRightInd w:val="0"/>
        <w:spacing w:line="360" w:lineRule="auto"/>
        <w:ind w:left="945" w:leftChars="450"/>
        <w:jc w:val="left"/>
        <w:rPr>
          <w:rFonts w:ascii="宋体" w:hAnsi="宋体" w:cs="宋体"/>
          <w:sz w:val="22"/>
        </w:rPr>
      </w:pPr>
      <w:r>
        <w:rPr>
          <w:rFonts w:hint="eastAsia" w:ascii="宋体" w:hAnsi="宋体" w:cs="宋体"/>
          <w:sz w:val="22"/>
        </w:rPr>
        <w:t>(1) 办理土地征用、拆迁、平整工作场地等工作的时间：</w:t>
      </w:r>
      <w:r>
        <w:rPr>
          <w:rFonts w:hint="eastAsia" w:ascii="宋体" w:hAnsi="宋体" w:cs="宋体"/>
          <w:sz w:val="22"/>
          <w:u w:val="single"/>
        </w:rPr>
        <w:t>施工场地已具备施工条件</w:t>
      </w:r>
      <w:r>
        <w:rPr>
          <w:rFonts w:hint="eastAsia" w:ascii="宋体" w:hAnsi="宋体" w:cs="宋体"/>
          <w:sz w:val="22"/>
        </w:rPr>
        <w:t xml:space="preserve">； </w:t>
      </w:r>
    </w:p>
    <w:p>
      <w:pPr>
        <w:autoSpaceDE w:val="0"/>
        <w:autoSpaceDN w:val="0"/>
        <w:adjustRightInd w:val="0"/>
        <w:spacing w:line="360" w:lineRule="auto"/>
        <w:ind w:left="945" w:leftChars="450"/>
        <w:jc w:val="left"/>
        <w:rPr>
          <w:rFonts w:ascii="宋体" w:hAnsi="宋体" w:cs="宋体"/>
          <w:sz w:val="22"/>
        </w:rPr>
      </w:pPr>
      <w:r>
        <w:rPr>
          <w:rFonts w:hint="eastAsia" w:ascii="宋体" w:hAnsi="宋体" w:cs="宋体"/>
          <w:sz w:val="22"/>
        </w:rPr>
        <w:t>(2)</w:t>
      </w:r>
      <w:r>
        <w:rPr>
          <w:rFonts w:hint="eastAsia" w:ascii="宋体" w:hAnsi="宋体" w:cs="宋体"/>
          <w:spacing w:val="5"/>
          <w:sz w:val="22"/>
        </w:rPr>
        <w:t xml:space="preserve"> </w:t>
      </w:r>
      <w:r>
        <w:rPr>
          <w:rFonts w:hint="eastAsia" w:ascii="宋体" w:hAnsi="宋体" w:cs="宋体"/>
          <w:sz w:val="22"/>
        </w:rPr>
        <w:t>完成施工所需水、电、通讯线路接驳的时间及地点：</w:t>
      </w:r>
      <w:r>
        <w:rPr>
          <w:rFonts w:hint="eastAsia" w:ascii="宋体" w:hAnsi="宋体" w:cs="宋体"/>
          <w:sz w:val="22"/>
          <w:u w:val="single"/>
        </w:rPr>
        <w:t>施工现场情况已满足施工需要；</w:t>
      </w:r>
    </w:p>
    <w:p>
      <w:pPr>
        <w:autoSpaceDE w:val="0"/>
        <w:autoSpaceDN w:val="0"/>
        <w:adjustRightInd w:val="0"/>
        <w:spacing w:line="360" w:lineRule="auto"/>
        <w:ind w:left="945" w:leftChars="450"/>
        <w:jc w:val="left"/>
        <w:rPr>
          <w:rFonts w:ascii="宋体" w:hAnsi="宋体" w:cs="宋体"/>
          <w:sz w:val="22"/>
        </w:rPr>
      </w:pPr>
      <w:r>
        <w:rPr>
          <w:rFonts w:hint="eastAsia" w:ascii="宋体" w:hAnsi="宋体" w:cs="宋体"/>
          <w:sz w:val="22"/>
        </w:rPr>
        <w:t>(3)</w:t>
      </w:r>
      <w:r>
        <w:rPr>
          <w:rFonts w:hint="eastAsia" w:ascii="宋体" w:hAnsi="宋体" w:cs="宋体"/>
          <w:spacing w:val="5"/>
          <w:sz w:val="22"/>
        </w:rPr>
        <w:t xml:space="preserve"> </w:t>
      </w:r>
      <w:r>
        <w:rPr>
          <w:rFonts w:hint="eastAsia" w:ascii="宋体" w:hAnsi="宋体" w:cs="宋体"/>
          <w:sz w:val="22"/>
        </w:rPr>
        <w:t>开工施工现场与城乡公共道路间的通道的约定：</w:t>
      </w:r>
      <w:r>
        <w:rPr>
          <w:rFonts w:hint="eastAsia" w:ascii="宋体" w:hAnsi="宋体" w:cs="宋体"/>
          <w:sz w:val="22"/>
          <w:u w:val="single"/>
        </w:rPr>
        <w:t>施工现场情况已满足施工需要</w:t>
      </w:r>
      <w:r>
        <w:rPr>
          <w:rFonts w:hint="eastAsia" w:ascii="宋体" w:hAnsi="宋体" w:cs="宋体"/>
          <w:sz w:val="22"/>
        </w:rPr>
        <w:t>；</w:t>
      </w:r>
    </w:p>
    <w:p>
      <w:pPr>
        <w:autoSpaceDE w:val="0"/>
        <w:autoSpaceDN w:val="0"/>
        <w:adjustRightInd w:val="0"/>
        <w:spacing w:line="360" w:lineRule="auto"/>
        <w:ind w:left="945" w:leftChars="450"/>
        <w:jc w:val="left"/>
        <w:rPr>
          <w:rFonts w:ascii="宋体" w:hAnsi="宋体" w:cs="宋体"/>
          <w:sz w:val="22"/>
        </w:rPr>
      </w:pPr>
      <w:r>
        <w:rPr>
          <w:rFonts w:hint="eastAsia" w:ascii="宋体" w:hAnsi="宋体" w:cs="宋体"/>
          <w:sz w:val="22"/>
        </w:rPr>
        <w:t>(4)</w:t>
      </w:r>
      <w:r>
        <w:rPr>
          <w:rFonts w:hint="eastAsia" w:ascii="宋体" w:hAnsi="宋体" w:cs="宋体"/>
          <w:spacing w:val="5"/>
          <w:sz w:val="22"/>
        </w:rPr>
        <w:t xml:space="preserve"> </w:t>
      </w:r>
      <w:r>
        <w:rPr>
          <w:rFonts w:hint="eastAsia" w:ascii="宋体" w:hAnsi="宋体" w:cs="宋体"/>
          <w:sz w:val="22"/>
        </w:rPr>
        <w:t>提供施工所需的有关资料的时间：</w:t>
      </w:r>
      <w:r>
        <w:rPr>
          <w:rFonts w:hint="eastAsia" w:ascii="宋体" w:hAnsi="宋体" w:cs="宋体"/>
          <w:sz w:val="22"/>
          <w:u w:val="single"/>
        </w:rPr>
        <w:t>另行约定</w:t>
      </w:r>
      <w:r>
        <w:rPr>
          <w:rFonts w:hint="eastAsia" w:ascii="宋体" w:hAnsi="宋体" w:cs="宋体"/>
          <w:sz w:val="22"/>
        </w:rPr>
        <w:t>；</w:t>
      </w:r>
    </w:p>
    <w:p>
      <w:pPr>
        <w:autoSpaceDE w:val="0"/>
        <w:autoSpaceDN w:val="0"/>
        <w:adjustRightInd w:val="0"/>
        <w:spacing w:line="360" w:lineRule="auto"/>
        <w:ind w:left="945" w:leftChars="450"/>
        <w:jc w:val="left"/>
        <w:rPr>
          <w:rFonts w:ascii="宋体" w:hAnsi="宋体" w:cs="宋体"/>
          <w:sz w:val="22"/>
        </w:rPr>
      </w:pPr>
      <w:r>
        <w:rPr>
          <w:rFonts w:hint="eastAsia" w:ascii="宋体" w:hAnsi="宋体" w:cs="宋体"/>
          <w:sz w:val="22"/>
        </w:rPr>
        <w:t>(5)</w:t>
      </w:r>
      <w:r>
        <w:rPr>
          <w:rFonts w:hint="eastAsia" w:ascii="宋体" w:hAnsi="宋体" w:cs="宋体"/>
          <w:spacing w:val="5"/>
          <w:sz w:val="22"/>
        </w:rPr>
        <w:t xml:space="preserve"> </w:t>
      </w:r>
      <w:r>
        <w:rPr>
          <w:rFonts w:hint="eastAsia" w:ascii="宋体" w:hAnsi="宋体" w:cs="宋体"/>
          <w:sz w:val="22"/>
        </w:rPr>
        <w:t>办理施工所需的有关证件和批准手续的时间：</w:t>
      </w:r>
      <w:r>
        <w:rPr>
          <w:rFonts w:hint="eastAsia" w:ascii="宋体" w:hAnsi="宋体" w:cs="宋体"/>
          <w:sz w:val="22"/>
          <w:u w:val="single"/>
        </w:rPr>
        <w:t>另行约定</w:t>
      </w:r>
      <w:r>
        <w:rPr>
          <w:rFonts w:hint="eastAsia" w:ascii="宋体" w:hAnsi="宋体" w:cs="宋体"/>
          <w:sz w:val="22"/>
        </w:rPr>
        <w:t>；</w:t>
      </w:r>
    </w:p>
    <w:p>
      <w:pPr>
        <w:autoSpaceDE w:val="0"/>
        <w:autoSpaceDN w:val="0"/>
        <w:adjustRightInd w:val="0"/>
        <w:spacing w:line="360" w:lineRule="auto"/>
        <w:ind w:left="945" w:leftChars="450"/>
        <w:jc w:val="left"/>
        <w:rPr>
          <w:rFonts w:ascii="宋体" w:hAnsi="宋体" w:cs="宋体"/>
          <w:sz w:val="22"/>
        </w:rPr>
      </w:pPr>
      <w:r>
        <w:rPr>
          <w:rFonts w:hint="eastAsia" w:ascii="宋体" w:hAnsi="宋体" w:cs="宋体"/>
          <w:sz w:val="22"/>
        </w:rPr>
        <w:t>(6)</w:t>
      </w:r>
      <w:r>
        <w:rPr>
          <w:rFonts w:hint="eastAsia" w:ascii="宋体" w:hAnsi="宋体" w:cs="宋体"/>
          <w:spacing w:val="5"/>
          <w:sz w:val="22"/>
        </w:rPr>
        <w:t xml:space="preserve"> </w:t>
      </w:r>
      <w:r>
        <w:rPr>
          <w:rFonts w:hint="eastAsia" w:ascii="宋体" w:hAnsi="宋体" w:cs="宋体"/>
          <w:sz w:val="22"/>
        </w:rPr>
        <w:t>现场交验的时间：</w:t>
      </w:r>
      <w:r>
        <w:rPr>
          <w:rFonts w:hint="eastAsia" w:ascii="宋体" w:hAnsi="宋体" w:cs="宋体"/>
          <w:sz w:val="22"/>
          <w:u w:val="single"/>
        </w:rPr>
        <w:t>另行约定</w:t>
      </w:r>
      <w:r>
        <w:rPr>
          <w:rFonts w:hint="eastAsia" w:ascii="宋体" w:hAnsi="宋体" w:cs="宋体"/>
          <w:sz w:val="22"/>
        </w:rPr>
        <w:t>；</w:t>
      </w:r>
    </w:p>
    <w:p>
      <w:pPr>
        <w:autoSpaceDE w:val="0"/>
        <w:autoSpaceDN w:val="0"/>
        <w:adjustRightInd w:val="0"/>
        <w:spacing w:line="360" w:lineRule="auto"/>
        <w:ind w:left="945" w:leftChars="450"/>
        <w:jc w:val="left"/>
        <w:rPr>
          <w:rFonts w:ascii="宋体" w:hAnsi="宋体" w:cs="宋体"/>
          <w:sz w:val="22"/>
        </w:rPr>
      </w:pPr>
      <w:r>
        <w:rPr>
          <w:rFonts w:hint="eastAsia" w:ascii="宋体" w:hAnsi="宋体" w:cs="宋体"/>
          <w:sz w:val="22"/>
        </w:rPr>
        <w:t>(7) 提供标准及规范的时间：</w:t>
      </w:r>
      <w:r>
        <w:rPr>
          <w:rFonts w:hint="eastAsia" w:ascii="宋体" w:hAnsi="宋体" w:cs="宋体"/>
          <w:sz w:val="22"/>
          <w:u w:val="single"/>
        </w:rPr>
        <w:t>另行约定</w:t>
      </w:r>
      <w:r>
        <w:rPr>
          <w:rFonts w:hint="eastAsia" w:ascii="宋体" w:hAnsi="宋体" w:cs="宋体"/>
          <w:sz w:val="22"/>
        </w:rPr>
        <w:t>；</w:t>
      </w:r>
    </w:p>
    <w:p>
      <w:pPr>
        <w:autoSpaceDE w:val="0"/>
        <w:autoSpaceDN w:val="0"/>
        <w:adjustRightInd w:val="0"/>
        <w:spacing w:line="360" w:lineRule="auto"/>
        <w:ind w:left="945" w:leftChars="450"/>
        <w:jc w:val="left"/>
        <w:rPr>
          <w:rFonts w:ascii="宋体" w:hAnsi="宋体" w:cs="宋体"/>
          <w:sz w:val="22"/>
        </w:rPr>
      </w:pPr>
      <w:r>
        <w:rPr>
          <w:rFonts w:hint="eastAsia" w:ascii="宋体" w:hAnsi="宋体" w:cs="宋体"/>
          <w:sz w:val="22"/>
        </w:rPr>
        <w:t>(8)</w:t>
      </w:r>
      <w:r>
        <w:rPr>
          <w:rFonts w:hint="eastAsia" w:ascii="宋体" w:hAnsi="宋体" w:cs="宋体"/>
          <w:spacing w:val="5"/>
          <w:sz w:val="22"/>
        </w:rPr>
        <w:t xml:space="preserve"> </w:t>
      </w:r>
      <w:r>
        <w:rPr>
          <w:rFonts w:hint="eastAsia" w:ascii="宋体" w:hAnsi="宋体" w:cs="宋体"/>
          <w:sz w:val="22"/>
        </w:rPr>
        <w:t>组织图纸会审和设计交底的约定：</w:t>
      </w:r>
      <w:r>
        <w:rPr>
          <w:rFonts w:hint="eastAsia" w:ascii="宋体" w:hAnsi="宋体" w:cs="宋体"/>
          <w:sz w:val="22"/>
          <w:u w:val="single"/>
        </w:rPr>
        <w:t>暂定开工前3天，具体时间以发包人的书面通知为准</w:t>
      </w:r>
      <w:r>
        <w:rPr>
          <w:rFonts w:hint="eastAsia" w:ascii="宋体" w:hAnsi="宋体" w:cs="宋体"/>
          <w:sz w:val="22"/>
        </w:rPr>
        <w:t>；</w:t>
      </w:r>
    </w:p>
    <w:p>
      <w:pPr>
        <w:autoSpaceDE w:val="0"/>
        <w:autoSpaceDN w:val="0"/>
        <w:adjustRightInd w:val="0"/>
        <w:spacing w:line="360" w:lineRule="auto"/>
        <w:ind w:left="945" w:leftChars="450"/>
        <w:jc w:val="left"/>
        <w:rPr>
          <w:rFonts w:ascii="宋体" w:hAnsi="宋体" w:cs="宋体"/>
          <w:sz w:val="22"/>
        </w:rPr>
      </w:pPr>
      <w:r>
        <w:rPr>
          <w:rFonts w:hint="eastAsia" w:ascii="宋体" w:hAnsi="宋体" w:cs="宋体"/>
          <w:sz w:val="22"/>
        </w:rPr>
        <w:t>(9) 协调处理施工周围场地系问题和做好邻近建筑物等的保护工作的约定：</w:t>
      </w:r>
      <w:r>
        <w:rPr>
          <w:rFonts w:hint="eastAsia" w:ascii="宋体" w:hAnsi="宋体" w:cs="宋体"/>
          <w:sz w:val="22"/>
          <w:u w:val="single"/>
        </w:rPr>
        <w:t>按合同相关条款执行</w:t>
      </w:r>
      <w:r>
        <w:rPr>
          <w:rFonts w:hint="eastAsia" w:ascii="宋体" w:hAnsi="宋体" w:cs="宋体"/>
          <w:sz w:val="22"/>
        </w:rPr>
        <w:t>；</w:t>
      </w:r>
    </w:p>
    <w:p>
      <w:pPr>
        <w:autoSpaceDE w:val="0"/>
        <w:autoSpaceDN w:val="0"/>
        <w:adjustRightInd w:val="0"/>
        <w:spacing w:before="120" w:beforeLines="50" w:line="360" w:lineRule="auto"/>
        <w:ind w:left="945" w:leftChars="450"/>
        <w:jc w:val="left"/>
        <w:rPr>
          <w:rFonts w:ascii="宋体" w:hAnsi="宋体" w:cs="宋体"/>
          <w:sz w:val="22"/>
        </w:rPr>
      </w:pPr>
      <w:r>
        <w:rPr>
          <w:rFonts w:hint="eastAsia" w:ascii="宋体" w:hAnsi="宋体" w:cs="宋体"/>
          <w:sz w:val="22"/>
        </w:rPr>
        <w:t>委托承包人办理的工作有：</w:t>
      </w:r>
      <w:r>
        <w:rPr>
          <w:rFonts w:hint="eastAsia" w:ascii="宋体" w:hAnsi="宋体" w:cs="宋体"/>
          <w:sz w:val="22"/>
          <w:u w:val="single"/>
        </w:rPr>
        <w:t xml:space="preserve"> 无 </w:t>
      </w:r>
      <w:r>
        <w:rPr>
          <w:rFonts w:hint="eastAsia" w:ascii="宋体" w:hAnsi="宋体" w:cs="宋体"/>
          <w:sz w:val="22"/>
        </w:rPr>
        <w:t>。</w:t>
      </w:r>
    </w:p>
    <w:p>
      <w:pPr>
        <w:tabs>
          <w:tab w:val="left" w:pos="1485"/>
        </w:tabs>
        <w:autoSpaceDE w:val="0"/>
        <w:autoSpaceDN w:val="0"/>
        <w:adjustRightInd w:val="0"/>
        <w:spacing w:before="120" w:beforeLines="50" w:line="360" w:lineRule="auto"/>
        <w:ind w:firstLine="440" w:firstLineChars="200"/>
        <w:jc w:val="left"/>
        <w:rPr>
          <w:rFonts w:ascii="宋体" w:hAnsi="宋体" w:cs="宋体"/>
          <w:sz w:val="22"/>
        </w:rPr>
      </w:pPr>
      <w:r>
        <w:rPr>
          <w:rFonts w:hint="eastAsia" w:ascii="宋体" w:hAnsi="宋体" w:cs="宋体"/>
          <w:sz w:val="22"/>
        </w:rPr>
        <w:t>19.3 提供施工场地的时间：</w:t>
      </w:r>
      <w:r>
        <w:rPr>
          <w:rFonts w:hint="eastAsia" w:ascii="宋体" w:hAnsi="宋体" w:cs="宋体"/>
          <w:position w:val="-2"/>
          <w:sz w:val="22"/>
          <w:u w:val="single"/>
        </w:rPr>
        <w:t>另行约定</w:t>
      </w:r>
      <w:r>
        <w:rPr>
          <w:rFonts w:hint="eastAsia" w:ascii="宋体" w:hAnsi="宋体" w:cs="宋体"/>
          <w:sz w:val="22"/>
        </w:rPr>
        <w:t xml:space="preserve">。    </w:t>
      </w:r>
    </w:p>
    <w:p>
      <w:pPr>
        <w:autoSpaceDE w:val="0"/>
        <w:autoSpaceDN w:val="0"/>
        <w:adjustRightInd w:val="0"/>
        <w:spacing w:line="360" w:lineRule="auto"/>
        <w:ind w:firstLine="440" w:firstLineChars="200"/>
        <w:jc w:val="left"/>
        <w:rPr>
          <w:rFonts w:ascii="宋体" w:hAnsi="宋体" w:cs="宋体"/>
          <w:sz w:val="22"/>
        </w:rPr>
      </w:pPr>
      <w:r>
        <w:rPr>
          <w:rFonts w:hint="eastAsia" w:ascii="宋体" w:hAnsi="宋体" w:cs="宋体"/>
          <w:sz w:val="22"/>
        </w:rPr>
        <w:t>19.4 支付款项</w:t>
      </w:r>
    </w:p>
    <w:p>
      <w:pPr>
        <w:autoSpaceDE w:val="0"/>
        <w:autoSpaceDN w:val="0"/>
        <w:adjustRightInd w:val="0"/>
        <w:spacing w:line="360" w:lineRule="auto"/>
        <w:ind w:left="945" w:leftChars="450"/>
        <w:jc w:val="left"/>
        <w:rPr>
          <w:rFonts w:ascii="宋体" w:hAnsi="宋体" w:cs="宋体"/>
          <w:sz w:val="22"/>
        </w:rPr>
      </w:pPr>
      <w:r>
        <w:rPr>
          <w:rFonts w:hint="eastAsia" w:ascii="宋体" w:hAnsi="宋体" w:cs="宋体"/>
          <w:sz w:val="22"/>
        </w:rPr>
        <w:t>(1) 工程价款支付期限</w:t>
      </w:r>
    </w:p>
    <w:p>
      <w:pPr>
        <w:autoSpaceDE w:val="0"/>
        <w:autoSpaceDN w:val="0"/>
        <w:adjustRightInd w:val="0"/>
        <w:spacing w:line="360" w:lineRule="auto"/>
        <w:ind w:left="840" w:leftChars="400" w:firstLine="440" w:firstLineChars="200"/>
        <w:jc w:val="left"/>
        <w:rPr>
          <w:rFonts w:ascii="宋体" w:hAnsi="宋体" w:cs="宋体"/>
          <w:sz w:val="22"/>
        </w:rPr>
      </w:pPr>
      <w:r>
        <w:rPr>
          <w:rFonts w:hint="eastAsia" w:ascii="宋体" w:hAnsi="宋体" w:cs="宋体"/>
          <w:sz w:val="22"/>
        </w:rPr>
        <w:t>□ 按通用条款第80.3款、第81.3款、第83.3款等规定期限支付。</w:t>
      </w:r>
    </w:p>
    <w:p>
      <w:pPr>
        <w:autoSpaceDE w:val="0"/>
        <w:autoSpaceDN w:val="0"/>
        <w:adjustRightInd w:val="0"/>
        <w:spacing w:line="360" w:lineRule="auto"/>
        <w:ind w:left="840" w:leftChars="400" w:firstLine="440" w:firstLineChars="200"/>
        <w:jc w:val="left"/>
        <w:rPr>
          <w:rFonts w:ascii="宋体" w:hAnsi="宋体" w:cs="宋体"/>
          <w:sz w:val="22"/>
        </w:rPr>
      </w:pPr>
      <w:r>
        <w:rPr>
          <w:rFonts w:hint="eastAsia" w:ascii="宋体" w:hAnsi="宋体" w:cs="宋体"/>
          <w:sz w:val="22"/>
        </w:rPr>
        <w:t>■ 另作约定；</w:t>
      </w:r>
      <w:r>
        <w:rPr>
          <w:rFonts w:hint="eastAsia" w:ascii="宋体" w:hAnsi="宋体" w:cs="宋体"/>
          <w:sz w:val="22"/>
          <w:u w:val="single"/>
        </w:rPr>
        <w:t>按合同专用条款78~85约定执行</w:t>
      </w:r>
      <w:r>
        <w:rPr>
          <w:rFonts w:hint="eastAsia" w:ascii="宋体" w:hAnsi="宋体" w:cs="宋体"/>
          <w:sz w:val="22"/>
        </w:rPr>
        <w:t>。</w:t>
      </w:r>
    </w:p>
    <w:p>
      <w:pPr>
        <w:autoSpaceDE w:val="0"/>
        <w:autoSpaceDN w:val="0"/>
        <w:adjustRightInd w:val="0"/>
        <w:spacing w:line="360" w:lineRule="auto"/>
        <w:ind w:left="945" w:leftChars="450"/>
        <w:jc w:val="left"/>
        <w:rPr>
          <w:rFonts w:ascii="宋体" w:hAnsi="宋体" w:cs="宋体"/>
          <w:sz w:val="22"/>
        </w:rPr>
      </w:pPr>
      <w:r>
        <w:rPr>
          <w:rFonts w:hint="eastAsia" w:ascii="宋体" w:hAnsi="宋体" w:cs="宋体"/>
          <w:sz w:val="22"/>
        </w:rPr>
        <w:t>(2) 工程价款支付方式</w:t>
      </w:r>
    </w:p>
    <w:p>
      <w:pPr>
        <w:autoSpaceDE w:val="0"/>
        <w:autoSpaceDN w:val="0"/>
        <w:adjustRightInd w:val="0"/>
        <w:spacing w:line="360" w:lineRule="auto"/>
        <w:ind w:left="840" w:leftChars="400" w:firstLine="440" w:firstLineChars="200"/>
        <w:jc w:val="left"/>
        <w:rPr>
          <w:rFonts w:ascii="宋体" w:hAnsi="宋体" w:cs="宋体"/>
          <w:sz w:val="22"/>
        </w:rPr>
      </w:pPr>
      <w:r>
        <w:rPr>
          <w:rFonts w:hint="eastAsia" w:ascii="宋体" w:hAnsi="宋体" w:cs="宋体"/>
          <w:sz w:val="22"/>
        </w:rPr>
        <w:t>■ 按协议书所注明的银行帐号转帐。</w:t>
      </w:r>
    </w:p>
    <w:p>
      <w:pPr>
        <w:autoSpaceDE w:val="0"/>
        <w:autoSpaceDN w:val="0"/>
        <w:adjustRightInd w:val="0"/>
        <w:spacing w:line="360" w:lineRule="auto"/>
        <w:ind w:left="840" w:leftChars="400" w:firstLine="440" w:firstLineChars="200"/>
        <w:jc w:val="left"/>
        <w:rPr>
          <w:rFonts w:ascii="宋体" w:hAnsi="宋体" w:cs="宋体"/>
          <w:sz w:val="22"/>
        </w:rPr>
      </w:pPr>
      <w:r>
        <w:rPr>
          <w:rFonts w:hint="eastAsia" w:ascii="宋体" w:hAnsi="宋体" w:cs="宋体"/>
          <w:sz w:val="22"/>
        </w:rPr>
        <w:t>□ 支票支付。</w:t>
      </w:r>
    </w:p>
    <w:p>
      <w:pPr>
        <w:autoSpaceDE w:val="0"/>
        <w:autoSpaceDN w:val="0"/>
        <w:adjustRightInd w:val="0"/>
        <w:spacing w:line="360" w:lineRule="auto"/>
        <w:ind w:left="840" w:leftChars="400" w:firstLine="440" w:firstLineChars="200"/>
        <w:jc w:val="left"/>
        <w:rPr>
          <w:rFonts w:ascii="宋体" w:hAnsi="宋体" w:cs="宋体"/>
          <w:sz w:val="22"/>
        </w:rPr>
      </w:pPr>
      <w:r>
        <w:rPr>
          <w:rFonts w:hint="eastAsia" w:ascii="宋体" w:hAnsi="宋体" w:cs="宋体"/>
          <w:sz w:val="22"/>
        </w:rPr>
        <w:t>□ 其他方式：</w:t>
      </w:r>
    </w:p>
    <w:p>
      <w:pPr>
        <w:autoSpaceDE w:val="0"/>
        <w:autoSpaceDN w:val="0"/>
        <w:adjustRightInd w:val="0"/>
        <w:spacing w:line="360" w:lineRule="auto"/>
        <w:ind w:left="578"/>
        <w:jc w:val="left"/>
        <w:rPr>
          <w:rFonts w:ascii="宋体" w:hAnsi="宋体" w:cs="宋体"/>
          <w:sz w:val="22"/>
        </w:rPr>
      </w:pPr>
      <w:r>
        <w:rPr>
          <w:rFonts w:hint="eastAsia" w:ascii="宋体" w:hAnsi="宋体" w:cs="宋体"/>
          <w:sz w:val="22"/>
        </w:rPr>
        <w:t>此项增加（3）：</w:t>
      </w:r>
    </w:p>
    <w:p>
      <w:pPr>
        <w:autoSpaceDE w:val="0"/>
        <w:autoSpaceDN w:val="0"/>
        <w:adjustRightInd w:val="0"/>
        <w:spacing w:line="360" w:lineRule="auto"/>
        <w:ind w:left="578"/>
        <w:jc w:val="left"/>
        <w:rPr>
          <w:rFonts w:ascii="宋体" w:hAnsi="宋体" w:cs="宋体"/>
          <w:sz w:val="22"/>
        </w:rPr>
      </w:pPr>
      <w:r>
        <w:rPr>
          <w:rFonts w:hint="eastAsia" w:ascii="宋体" w:hAnsi="宋体" w:cs="宋体"/>
          <w:sz w:val="22"/>
        </w:rPr>
        <w:t xml:space="preserve">  （3）发包人有权监督承包人指定账号资金的使用，承包人需按照发包人要求在跟发包人有资金监管合作的银行开设相应账户，并列入资金监管范畴接受发包人的监督，确保专款专用，保证工程建设的正常进行。</w:t>
      </w:r>
    </w:p>
    <w:p>
      <w:pPr>
        <w:autoSpaceDE w:val="0"/>
        <w:autoSpaceDN w:val="0"/>
        <w:adjustRightInd w:val="0"/>
        <w:spacing w:before="360" w:beforeLines="150" w:line="360" w:lineRule="auto"/>
        <w:jc w:val="left"/>
        <w:outlineLvl w:val="2"/>
        <w:rPr>
          <w:rFonts w:ascii="宋体" w:hAnsi="宋体" w:cs="宋体"/>
          <w:b/>
          <w:sz w:val="22"/>
        </w:rPr>
      </w:pPr>
      <w:bookmarkStart w:id="120" w:name="_Toc326239316"/>
      <w:bookmarkStart w:id="121" w:name="_Toc342306218"/>
      <w:bookmarkStart w:id="122" w:name="_Toc306287490"/>
      <w:bookmarkStart w:id="123" w:name="_Toc306287667"/>
      <w:r>
        <w:rPr>
          <w:rFonts w:hint="eastAsia" w:ascii="宋体" w:hAnsi="宋体" w:cs="宋体"/>
          <w:b/>
          <w:sz w:val="22"/>
        </w:rPr>
        <w:t>20．承包人</w:t>
      </w:r>
      <w:bookmarkEnd w:id="120"/>
      <w:bookmarkEnd w:id="121"/>
      <w:bookmarkEnd w:id="122"/>
      <w:bookmarkEnd w:id="123"/>
    </w:p>
    <w:p>
      <w:pPr>
        <w:autoSpaceDE w:val="0"/>
        <w:autoSpaceDN w:val="0"/>
        <w:adjustRightInd w:val="0"/>
        <w:spacing w:line="360" w:lineRule="auto"/>
        <w:ind w:firstLine="440" w:firstLineChars="200"/>
        <w:jc w:val="left"/>
        <w:rPr>
          <w:rFonts w:ascii="宋体" w:hAnsi="宋体" w:cs="宋体"/>
          <w:sz w:val="22"/>
        </w:rPr>
      </w:pPr>
      <w:r>
        <w:rPr>
          <w:rFonts w:hint="eastAsia" w:ascii="宋体" w:hAnsi="宋体" w:cs="宋体"/>
          <w:sz w:val="22"/>
        </w:rPr>
        <w:t>20.2 承包人完成下列工作的约定:</w:t>
      </w:r>
    </w:p>
    <w:p>
      <w:pPr>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（5）向发包人提供施工现场办公和生活的房屋设施的时间和要求：</w:t>
      </w:r>
      <w:r>
        <w:rPr>
          <w:rFonts w:hint="eastAsia" w:ascii="宋体" w:hAnsi="宋体" w:cs="宋体"/>
          <w:sz w:val="22"/>
          <w:u w:val="single"/>
        </w:rPr>
        <w:t>无</w:t>
      </w:r>
    </w:p>
    <w:p>
      <w:pPr>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此项增加（11）、（12）、（13）、（14）、（15）</w:t>
      </w:r>
    </w:p>
    <w:p>
      <w:pPr>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（11）承包人应保持组织机构人员稳定，项目经理、安全经理、造价人员应准时参加工程例会。</w:t>
      </w:r>
    </w:p>
    <w:p>
      <w:pPr>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（12）对施工图、技术资料做认真地复核和检查，有预见性地发现和指正设计缺陷和错误，应提出能实质性地节约资金和缩短工期的建议和措施。</w:t>
      </w:r>
    </w:p>
    <w:p>
      <w:pPr>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13）承担各项协调工作：①承包人应当清楚地预计到施工期间对外界可能产生的必然的不可能避免的干扰，并为此保证主动努力减少这些干扰对外界的影响，且应当积极主动与外界进行协调；②除必须发包人出面的情况外，承包人应负责协调施工期间外界的各种干扰；③发包人将在承包人的配合下，充分运用自己对各方面的影响力，尽可能地将外界对工程的干扰减少到最少程度，这种协调并不解除承包人的各项责任与义务；④承包人应做好管理协调工作，由于承包人管理不力或未能预见可能出现的问题，而导致工程未能按合同约定施工的，承包人应承担责任。</w:t>
      </w:r>
    </w:p>
    <w:p>
      <w:pPr>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（14）任何为本工程正常使用功能和设计使用寿命所必须的或为本工程适用的任何规范、规程或标准所要求的工作。</w:t>
      </w:r>
    </w:p>
    <w:p>
      <w:pPr>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（15）招标文件要求的智能建造工作要求。</w:t>
      </w:r>
    </w:p>
    <w:p>
      <w:pPr>
        <w:pStyle w:val="19"/>
        <w:rPr>
          <w:rFonts w:hAnsi="宋体" w:cs="宋体"/>
          <w:sz w:val="18"/>
        </w:rPr>
      </w:pPr>
    </w:p>
    <w:p>
      <w:pPr>
        <w:autoSpaceDE w:val="0"/>
        <w:autoSpaceDN w:val="0"/>
        <w:adjustRightInd w:val="0"/>
        <w:spacing w:line="360" w:lineRule="auto"/>
        <w:ind w:firstLine="440" w:firstLineChars="200"/>
        <w:jc w:val="left"/>
        <w:rPr>
          <w:rFonts w:ascii="宋体" w:hAnsi="宋体" w:cs="宋体"/>
          <w:sz w:val="22"/>
        </w:rPr>
      </w:pPr>
      <w:r>
        <w:rPr>
          <w:rFonts w:hint="eastAsia" w:ascii="宋体" w:hAnsi="宋体" w:cs="宋体"/>
          <w:sz w:val="22"/>
        </w:rPr>
        <w:t>20.4 承包人完成设计的约定</w:t>
      </w:r>
    </w:p>
    <w:p>
      <w:pPr>
        <w:autoSpaceDE w:val="0"/>
        <w:autoSpaceDN w:val="0"/>
        <w:adjustRightInd w:val="0"/>
        <w:spacing w:line="360" w:lineRule="auto"/>
        <w:ind w:firstLine="880" w:firstLineChars="400"/>
        <w:jc w:val="left"/>
        <w:rPr>
          <w:rFonts w:ascii="宋体" w:hAnsi="宋体" w:cs="宋体"/>
          <w:sz w:val="22"/>
          <w:u w:val="single"/>
        </w:rPr>
      </w:pPr>
      <w:r>
        <w:rPr>
          <w:rFonts w:hint="eastAsia" w:ascii="宋体" w:hAnsi="宋体" w:cs="宋体"/>
          <w:sz w:val="22"/>
        </w:rPr>
        <w:t>(1) 承包人负责的设计有：</w:t>
      </w:r>
      <w:r>
        <w:rPr>
          <w:rFonts w:hint="eastAsia" w:ascii="宋体" w:hAnsi="宋体" w:cs="宋体"/>
          <w:sz w:val="22"/>
          <w:u w:val="single"/>
        </w:rPr>
        <w:t>见发包人通知；</w:t>
      </w:r>
    </w:p>
    <w:p>
      <w:pPr>
        <w:autoSpaceDE w:val="0"/>
        <w:autoSpaceDN w:val="0"/>
        <w:adjustRightInd w:val="0"/>
        <w:spacing w:line="360" w:lineRule="auto"/>
        <w:ind w:firstLine="880" w:firstLineChars="400"/>
        <w:jc w:val="left"/>
        <w:rPr>
          <w:rFonts w:ascii="宋体" w:hAnsi="宋体" w:cs="宋体"/>
          <w:sz w:val="22"/>
          <w:u w:val="single"/>
        </w:rPr>
      </w:pPr>
      <w:r>
        <w:rPr>
          <w:rFonts w:hint="eastAsia" w:ascii="宋体" w:hAnsi="宋体" w:cs="宋体"/>
          <w:sz w:val="22"/>
        </w:rPr>
        <w:t>(2) 承包人提交设计图纸的时间：</w:t>
      </w:r>
      <w:r>
        <w:rPr>
          <w:rFonts w:hint="eastAsia" w:ascii="宋体" w:hAnsi="宋体" w:cs="宋体"/>
          <w:sz w:val="22"/>
          <w:u w:val="single"/>
        </w:rPr>
        <w:t xml:space="preserve"> 见发包人通知。</w:t>
      </w:r>
    </w:p>
    <w:p>
      <w:pPr>
        <w:autoSpaceDE w:val="0"/>
        <w:autoSpaceDN w:val="0"/>
        <w:adjustRightInd w:val="0"/>
        <w:spacing w:line="360" w:lineRule="auto"/>
        <w:ind w:firstLine="440" w:firstLineChars="200"/>
        <w:jc w:val="left"/>
        <w:rPr>
          <w:rFonts w:ascii="宋体" w:hAnsi="宋体" w:cs="宋体"/>
          <w:sz w:val="22"/>
        </w:rPr>
      </w:pPr>
      <w:r>
        <w:rPr>
          <w:rFonts w:hint="eastAsia" w:ascii="宋体" w:hAnsi="宋体" w:cs="宋体"/>
          <w:sz w:val="22"/>
        </w:rPr>
        <w:t>补充20.5条</w:t>
      </w:r>
    </w:p>
    <w:p>
      <w:pPr>
        <w:autoSpaceDE w:val="0"/>
        <w:autoSpaceDN w:val="0"/>
        <w:adjustRightInd w:val="0"/>
        <w:spacing w:line="360" w:lineRule="auto"/>
        <w:ind w:firstLine="440" w:firstLineChars="200"/>
        <w:jc w:val="left"/>
        <w:rPr>
          <w:rFonts w:ascii="宋体" w:hAnsi="宋体" w:cs="宋体"/>
          <w:sz w:val="22"/>
        </w:rPr>
      </w:pPr>
      <w:r>
        <w:rPr>
          <w:rFonts w:hint="eastAsia" w:ascii="宋体" w:hAnsi="宋体" w:cs="宋体"/>
          <w:sz w:val="22"/>
        </w:rPr>
        <w:t>20.5承包人应按照发包人的要求，配合完成包括不限于合同档案的归档工作。</w:t>
      </w:r>
    </w:p>
    <w:p>
      <w:pPr>
        <w:autoSpaceDE w:val="0"/>
        <w:autoSpaceDN w:val="0"/>
        <w:adjustRightInd w:val="0"/>
        <w:spacing w:before="150" w:line="360" w:lineRule="auto"/>
        <w:jc w:val="left"/>
        <w:outlineLvl w:val="2"/>
        <w:rPr>
          <w:rFonts w:ascii="宋体" w:hAnsi="宋体" w:cs="宋体"/>
          <w:b/>
          <w:sz w:val="22"/>
        </w:rPr>
      </w:pPr>
      <w:bookmarkStart w:id="124" w:name="_Toc326239317"/>
      <w:bookmarkStart w:id="125" w:name="_Toc342306219"/>
      <w:r>
        <w:rPr>
          <w:rFonts w:hint="eastAsia" w:ascii="宋体" w:hAnsi="宋体" w:cs="宋体"/>
          <w:b/>
          <w:sz w:val="22"/>
        </w:rPr>
        <w:t>21．现场管理人员任命和更换</w:t>
      </w:r>
      <w:bookmarkEnd w:id="124"/>
      <w:bookmarkEnd w:id="125"/>
    </w:p>
    <w:p>
      <w:pPr>
        <w:pStyle w:val="35"/>
        <w:spacing w:after="0" w:line="360" w:lineRule="auto"/>
        <w:ind w:firstLine="440" w:firstLineChars="200"/>
        <w:rPr>
          <w:rFonts w:ascii="宋体" w:hAnsi="宋体" w:cs="宋体"/>
          <w:sz w:val="22"/>
          <w:szCs w:val="22"/>
        </w:rPr>
      </w:pPr>
      <w:r>
        <w:rPr>
          <w:rFonts w:hint="eastAsia" w:ascii="宋体" w:hAnsi="宋体" w:cs="宋体"/>
          <w:sz w:val="22"/>
          <w:szCs w:val="22"/>
        </w:rPr>
        <w:t>此项增加21.5、21.6、21.7、21.8条：</w:t>
      </w:r>
    </w:p>
    <w:p>
      <w:pPr>
        <w:pStyle w:val="35"/>
        <w:spacing w:after="0" w:line="360" w:lineRule="auto"/>
        <w:ind w:firstLine="440" w:firstLineChars="200"/>
        <w:rPr>
          <w:rFonts w:ascii="宋体" w:hAnsi="宋体" w:cs="宋体"/>
          <w:sz w:val="22"/>
          <w:szCs w:val="22"/>
        </w:rPr>
      </w:pPr>
      <w:r>
        <w:rPr>
          <w:rFonts w:hint="eastAsia" w:ascii="宋体" w:hAnsi="宋体" w:cs="宋体"/>
          <w:sz w:val="22"/>
          <w:szCs w:val="22"/>
        </w:rPr>
        <w:t>21.5 承包人须按投标书中的承诺，向现场派驻主要管理人员和技术骨干，投标文件中承诺人员一般不得调整。承包人需要更换调整时，须满足续任人员具有同等或更高的资质，应先由监理人审核并报发包人同意后方可进行。</w:t>
      </w:r>
    </w:p>
    <w:p>
      <w:pPr>
        <w:pStyle w:val="35"/>
        <w:spacing w:after="0" w:line="360" w:lineRule="auto"/>
        <w:ind w:firstLine="440" w:firstLineChars="200"/>
        <w:rPr>
          <w:rFonts w:ascii="宋体" w:hAnsi="宋体" w:cs="宋体"/>
          <w:sz w:val="22"/>
          <w:szCs w:val="22"/>
        </w:rPr>
      </w:pPr>
      <w:r>
        <w:rPr>
          <w:rFonts w:hint="eastAsia" w:ascii="宋体" w:hAnsi="宋体" w:cs="宋体"/>
          <w:sz w:val="22"/>
          <w:szCs w:val="22"/>
        </w:rPr>
        <w:t>21.6 经发包人同意，承包人更换项目经理时，承包人需向发包人支付违约金60万元/人次；经发包人同意，更换安全经理、项目副经理、技术负责人时，承包人需向发包人支付违约金30万元/人次。（出现相关人离职或有医院证明患有重大疾病等无法到岗任职的情况，免于支付违约金）。</w:t>
      </w:r>
    </w:p>
    <w:p>
      <w:pPr>
        <w:pStyle w:val="35"/>
        <w:spacing w:after="0" w:line="360" w:lineRule="auto"/>
        <w:ind w:firstLine="440" w:firstLineChars="200"/>
        <w:rPr>
          <w:rFonts w:ascii="宋体" w:hAnsi="宋体" w:cs="宋体"/>
          <w:sz w:val="22"/>
          <w:szCs w:val="22"/>
        </w:rPr>
      </w:pPr>
      <w:r>
        <w:rPr>
          <w:rFonts w:hint="eastAsia" w:ascii="宋体" w:hAnsi="宋体" w:cs="宋体"/>
          <w:sz w:val="22"/>
          <w:szCs w:val="22"/>
        </w:rPr>
        <w:t>21.7 项目经理或安全经理或技术负责人短期离开施工场地，应事先征得监理工程师和发包人同意（两天及两天以上须获得书面批准意见），并委派代表代行其职责。发包人定期、不定期对承包人的人员履约情况进行检查，项目经理或安全经理或技术负责人未经监理工程师和发包人同意擅自离开施工场地的，按以下约定处罚：</w:t>
      </w:r>
      <w:r>
        <w:rPr>
          <w:rFonts w:hint="eastAsia" w:ascii="宋体" w:hAnsi="宋体" w:cs="宋体"/>
          <w:sz w:val="22"/>
          <w:szCs w:val="22"/>
        </w:rPr>
        <w:br w:type="textWrapping"/>
      </w:r>
      <w:r>
        <w:rPr>
          <w:rFonts w:hint="eastAsia" w:ascii="宋体" w:hAnsi="宋体" w:cs="宋体"/>
          <w:sz w:val="22"/>
          <w:szCs w:val="22"/>
        </w:rPr>
        <w:t xml:space="preserve">    项目经理擅自离开施工场地一天以内（含一天），承包人需向发包人支付违约金5万元/次；项目经理擅自离开施工场地连续两天及以上的，自第二天起承包人每天需向发包人支付合同总价（不含暂列金和暂估价）的万分之三作为违约金，违约金分次累计计算；以上违约金累计金额以合同总价（不含暂列金和暂估价）的4%为限。</w:t>
      </w:r>
      <w:r>
        <w:rPr>
          <w:rFonts w:hint="eastAsia" w:ascii="宋体" w:hAnsi="宋体" w:cs="宋体"/>
          <w:sz w:val="22"/>
          <w:szCs w:val="22"/>
        </w:rPr>
        <w:br w:type="textWrapping"/>
      </w:r>
      <w:r>
        <w:rPr>
          <w:rFonts w:hint="eastAsia" w:ascii="宋体" w:hAnsi="宋体" w:cs="宋体"/>
          <w:sz w:val="22"/>
          <w:szCs w:val="22"/>
        </w:rPr>
        <w:t xml:space="preserve">    安全经理擅自离开施工场地一天以内（含一天），承包人需向发包人支付违约金2万元/次，安全经理擅自离开施工场地连续两天及以上的，自第二天起承包人每天需向发包人支付合同总价（不含暂列金和暂估价）的万分之一作为违约金，违约金分次累计计算；以上违约金累计金额以合同总价（不含暂列金和暂估价）的2%为限。</w:t>
      </w:r>
      <w:r>
        <w:rPr>
          <w:rFonts w:hint="eastAsia" w:ascii="宋体" w:hAnsi="宋体" w:cs="宋体"/>
          <w:sz w:val="22"/>
          <w:szCs w:val="22"/>
        </w:rPr>
        <w:br w:type="textWrapping"/>
      </w:r>
      <w:r>
        <w:rPr>
          <w:rFonts w:hint="eastAsia" w:ascii="宋体" w:hAnsi="宋体" w:cs="宋体"/>
          <w:sz w:val="22"/>
          <w:szCs w:val="22"/>
        </w:rPr>
        <w:t xml:space="preserve">    技术负责人擅自离开施工场地一天以内（含一天），承包人需向发包人支付违约金2万元/次，技术负责人擅自离开施工场地连续两天及以上的，自第二天起承包人每天需向发包人支付合同总价（不含暂列金和暂估价）的万分之一作为违约金，违约金分次累计计算；以上违约金累计金额以合同总价（不含暂列金和暂估价）的1%为限。</w:t>
      </w:r>
    </w:p>
    <w:p>
      <w:pPr>
        <w:pStyle w:val="35"/>
        <w:spacing w:line="360" w:lineRule="auto"/>
        <w:ind w:firstLine="440" w:firstLineChars="200"/>
        <w:rPr>
          <w:rFonts w:ascii="宋体" w:hAnsi="宋体" w:cs="宋体"/>
          <w:sz w:val="22"/>
          <w:szCs w:val="22"/>
        </w:rPr>
      </w:pPr>
      <w:r>
        <w:rPr>
          <w:rFonts w:hint="eastAsia" w:ascii="宋体" w:hAnsi="宋体" w:cs="宋体"/>
          <w:sz w:val="22"/>
          <w:szCs w:val="22"/>
        </w:rPr>
        <w:t>发包人将委托BIM咨询单位对承包人的BIM工作进行检查，对违反工作要求的行为扣罚违约金，以合同总价（不含暂列金和暂估价）的3%为限，具体扣罚办法按照招标文件智能建造工作要求的违约责任规定。</w:t>
      </w:r>
    </w:p>
    <w:p>
      <w:pPr>
        <w:pStyle w:val="35"/>
        <w:spacing w:after="0" w:line="360" w:lineRule="auto"/>
        <w:ind w:firstLine="440" w:firstLineChars="200"/>
        <w:rPr>
          <w:rFonts w:ascii="宋体" w:hAnsi="宋体" w:cs="宋体"/>
          <w:sz w:val="22"/>
          <w:szCs w:val="22"/>
        </w:rPr>
      </w:pPr>
      <w:r>
        <w:rPr>
          <w:rFonts w:hint="eastAsia" w:ascii="宋体" w:hAnsi="宋体" w:cs="宋体"/>
          <w:sz w:val="22"/>
          <w:szCs w:val="22"/>
        </w:rPr>
        <w:t xml:space="preserve"> 以上处罚结算时累计计算。  </w:t>
      </w:r>
    </w:p>
    <w:p>
      <w:pPr>
        <w:pStyle w:val="35"/>
        <w:spacing w:after="0" w:line="360" w:lineRule="auto"/>
        <w:ind w:firstLine="440" w:firstLineChars="200"/>
        <w:rPr>
          <w:rFonts w:ascii="宋体" w:hAnsi="宋体" w:cs="宋体"/>
          <w:sz w:val="22"/>
          <w:szCs w:val="22"/>
        </w:rPr>
      </w:pPr>
      <w:r>
        <w:rPr>
          <w:rFonts w:hint="eastAsia" w:ascii="宋体" w:hAnsi="宋体" w:cs="宋体"/>
          <w:sz w:val="22"/>
          <w:szCs w:val="22"/>
        </w:rPr>
        <w:t>21.8 承包人派驻的项目经理、安全经理等项目管理人员不能满足本项目建设管理需要的，发包人有权要求承包人更换相应人员。</w:t>
      </w:r>
    </w:p>
    <w:p>
      <w:pPr>
        <w:autoSpaceDE w:val="0"/>
        <w:autoSpaceDN w:val="0"/>
        <w:adjustRightInd w:val="0"/>
        <w:spacing w:before="360" w:beforeLines="150" w:line="360" w:lineRule="auto"/>
        <w:jc w:val="left"/>
        <w:outlineLvl w:val="2"/>
        <w:rPr>
          <w:rFonts w:ascii="宋体" w:hAnsi="宋体" w:cs="宋体"/>
          <w:b/>
          <w:sz w:val="22"/>
        </w:rPr>
      </w:pPr>
      <w:bookmarkStart w:id="126" w:name="_Toc342306220"/>
      <w:bookmarkStart w:id="127" w:name="_Toc306287668"/>
      <w:bookmarkStart w:id="128" w:name="_Toc326239318"/>
      <w:bookmarkStart w:id="129" w:name="_Toc306287491"/>
      <w:r>
        <w:rPr>
          <w:rFonts w:hint="eastAsia" w:ascii="宋体" w:hAnsi="宋体" w:cs="宋体"/>
          <w:b/>
          <w:sz w:val="22"/>
        </w:rPr>
        <w:t>22．发包人代表</w:t>
      </w:r>
      <w:bookmarkEnd w:id="126"/>
      <w:bookmarkEnd w:id="127"/>
      <w:bookmarkEnd w:id="128"/>
      <w:bookmarkEnd w:id="129"/>
    </w:p>
    <w:p>
      <w:pPr>
        <w:autoSpaceDE w:val="0"/>
        <w:autoSpaceDN w:val="0"/>
        <w:adjustRightInd w:val="0"/>
        <w:spacing w:line="360" w:lineRule="auto"/>
        <w:ind w:firstLine="440" w:firstLineChars="200"/>
        <w:jc w:val="left"/>
        <w:rPr>
          <w:rFonts w:ascii="宋体" w:hAnsi="宋体" w:cs="宋体"/>
          <w:sz w:val="22"/>
        </w:rPr>
      </w:pPr>
      <w:r>
        <w:rPr>
          <w:rFonts w:hint="eastAsia" w:ascii="宋体" w:hAnsi="宋体" w:cs="宋体"/>
          <w:sz w:val="22"/>
        </w:rPr>
        <w:t>22.1 发包人代表及其权力的限制</w:t>
      </w:r>
    </w:p>
    <w:p>
      <w:pPr>
        <w:tabs>
          <w:tab w:val="left" w:pos="3495"/>
        </w:tabs>
        <w:autoSpaceDE w:val="0"/>
        <w:autoSpaceDN w:val="0"/>
        <w:adjustRightInd w:val="0"/>
        <w:spacing w:line="360" w:lineRule="auto"/>
        <w:ind w:left="525" w:leftChars="250" w:firstLine="440" w:firstLineChars="200"/>
        <w:jc w:val="left"/>
        <w:rPr>
          <w:rFonts w:ascii="宋体" w:hAnsi="宋体" w:cs="宋体"/>
          <w:sz w:val="22"/>
        </w:rPr>
      </w:pPr>
      <w:r>
        <w:rPr>
          <w:rFonts w:hint="eastAsia" w:ascii="宋体" w:hAnsi="宋体" w:cs="宋体"/>
          <w:sz w:val="22"/>
        </w:rPr>
        <w:t>(1) 发包人任命（   ）为发包人代表，其联络通讯地址如下：</w:t>
      </w:r>
    </w:p>
    <w:tbl>
      <w:tblPr>
        <w:tblStyle w:val="36"/>
        <w:tblW w:w="0" w:type="auto"/>
        <w:tblInd w:w="1134" w:type="dxa"/>
        <w:tblLayout w:type="fixed"/>
        <w:tblCellMar>
          <w:top w:w="0" w:type="dxa"/>
          <w:left w:w="108" w:type="dxa"/>
          <w:bottom w:w="0" w:type="dxa"/>
          <w:right w:w="108" w:type="dxa"/>
        </w:tblCellMar>
      </w:tblPr>
      <w:tblGrid>
        <w:gridCol w:w="5920"/>
        <w:gridCol w:w="2939"/>
      </w:tblGrid>
      <w:tr>
        <w:tc>
          <w:tcPr>
            <w:tcW w:w="5920" w:type="dxa"/>
            <w:vAlign w:val="center"/>
          </w:tcPr>
          <w:p>
            <w:pPr>
              <w:autoSpaceDE w:val="0"/>
              <w:autoSpaceDN w:val="0"/>
              <w:adjustRightInd w:val="0"/>
              <w:spacing w:line="360" w:lineRule="auto"/>
              <w:rPr>
                <w:rFonts w:ascii="宋体" w:hAnsi="宋体" w:cs="宋体"/>
                <w:sz w:val="22"/>
              </w:rPr>
            </w:pPr>
            <w:r>
              <w:rPr>
                <w:rFonts w:hint="eastAsia" w:ascii="宋体" w:hAnsi="宋体" w:cs="宋体"/>
                <w:position w:val="-3"/>
                <w:sz w:val="22"/>
              </w:rPr>
              <w:t>通讯地址：广东省机场管理集团有限公司工程建设指挥部</w:t>
            </w:r>
          </w:p>
        </w:tc>
        <w:tc>
          <w:tcPr>
            <w:tcW w:w="2939" w:type="dxa"/>
            <w:vAlign w:val="center"/>
          </w:tcPr>
          <w:p>
            <w:pPr>
              <w:autoSpaceDE w:val="0"/>
              <w:autoSpaceDN w:val="0"/>
              <w:adjustRightInd w:val="0"/>
              <w:spacing w:line="360" w:lineRule="auto"/>
              <w:rPr>
                <w:rFonts w:ascii="宋体" w:hAnsi="宋体" w:cs="宋体"/>
                <w:sz w:val="22"/>
              </w:rPr>
            </w:pPr>
            <w:r>
              <w:rPr>
                <w:rFonts w:hint="eastAsia" w:ascii="宋体" w:hAnsi="宋体" w:cs="宋体"/>
                <w:position w:val="-3"/>
                <w:sz w:val="22"/>
              </w:rPr>
              <w:t>邮政编码：510470</w:t>
            </w:r>
          </w:p>
        </w:tc>
      </w:tr>
      <w:tr>
        <w:tblPrEx>
          <w:tblCellMar>
            <w:top w:w="0" w:type="dxa"/>
            <w:left w:w="108" w:type="dxa"/>
            <w:bottom w:w="0" w:type="dxa"/>
            <w:right w:w="108" w:type="dxa"/>
          </w:tblCellMar>
        </w:tblPrEx>
        <w:tc>
          <w:tcPr>
            <w:tcW w:w="5920" w:type="dxa"/>
            <w:vAlign w:val="center"/>
          </w:tcPr>
          <w:p>
            <w:pPr>
              <w:autoSpaceDE w:val="0"/>
              <w:autoSpaceDN w:val="0"/>
              <w:adjustRightInd w:val="0"/>
              <w:spacing w:line="360" w:lineRule="auto"/>
              <w:rPr>
                <w:rFonts w:ascii="宋体" w:hAnsi="宋体" w:cs="宋体"/>
                <w:sz w:val="22"/>
              </w:rPr>
            </w:pPr>
            <w:r>
              <w:rPr>
                <w:rFonts w:hint="eastAsia" w:ascii="宋体" w:hAnsi="宋体" w:cs="宋体"/>
                <w:sz w:val="22"/>
              </w:rPr>
              <w:t xml:space="preserve">联系电话： </w:t>
            </w:r>
          </w:p>
        </w:tc>
        <w:tc>
          <w:tcPr>
            <w:tcW w:w="2939" w:type="dxa"/>
            <w:vAlign w:val="center"/>
          </w:tcPr>
          <w:p>
            <w:pPr>
              <w:autoSpaceDE w:val="0"/>
              <w:autoSpaceDN w:val="0"/>
              <w:adjustRightInd w:val="0"/>
              <w:spacing w:line="360" w:lineRule="auto"/>
              <w:rPr>
                <w:rFonts w:ascii="宋体" w:hAnsi="宋体" w:cs="宋体"/>
                <w:sz w:val="22"/>
              </w:rPr>
            </w:pPr>
            <w:r>
              <w:rPr>
                <w:rFonts w:hint="eastAsia" w:ascii="宋体" w:hAnsi="宋体" w:cs="宋体"/>
                <w:sz w:val="22"/>
              </w:rPr>
              <w:t>传真号码：</w:t>
            </w:r>
          </w:p>
        </w:tc>
      </w:tr>
    </w:tbl>
    <w:p>
      <w:pPr>
        <w:tabs>
          <w:tab w:val="left" w:pos="3495"/>
        </w:tabs>
        <w:autoSpaceDE w:val="0"/>
        <w:autoSpaceDN w:val="0"/>
        <w:adjustRightInd w:val="0"/>
        <w:spacing w:line="360" w:lineRule="auto"/>
        <w:ind w:left="525" w:leftChars="250" w:firstLine="440" w:firstLineChars="200"/>
        <w:jc w:val="left"/>
        <w:rPr>
          <w:rFonts w:ascii="宋体" w:hAnsi="宋体" w:cs="宋体"/>
          <w:sz w:val="22"/>
        </w:rPr>
      </w:pPr>
      <w:r>
        <w:rPr>
          <w:rFonts w:hint="eastAsia" w:ascii="宋体" w:hAnsi="宋体" w:cs="宋体"/>
          <w:sz w:val="22"/>
        </w:rPr>
        <w:t>(2) 发包人对发包人代表权力做如下限制：</w:t>
      </w:r>
      <w:r>
        <w:rPr>
          <w:rFonts w:hint="eastAsia" w:ascii="宋体" w:hAnsi="宋体" w:cs="宋体"/>
          <w:sz w:val="22"/>
          <w:u w:val="single"/>
        </w:rPr>
        <w:t>按通用条款约定</w:t>
      </w:r>
      <w:r>
        <w:rPr>
          <w:rFonts w:hint="eastAsia" w:ascii="宋体" w:hAnsi="宋体" w:cs="宋体"/>
          <w:sz w:val="22"/>
        </w:rPr>
        <w:t xml:space="preserve"> 。</w:t>
      </w:r>
    </w:p>
    <w:p>
      <w:pPr>
        <w:autoSpaceDE w:val="0"/>
        <w:autoSpaceDN w:val="0"/>
        <w:adjustRightInd w:val="0"/>
        <w:spacing w:before="360" w:beforeLines="150" w:line="360" w:lineRule="auto"/>
        <w:jc w:val="left"/>
        <w:outlineLvl w:val="2"/>
        <w:rPr>
          <w:rFonts w:ascii="宋体" w:hAnsi="宋体" w:cs="宋体"/>
          <w:b/>
          <w:sz w:val="22"/>
        </w:rPr>
      </w:pPr>
      <w:bookmarkStart w:id="130" w:name="_Toc306287669"/>
      <w:bookmarkStart w:id="131" w:name="_Toc342306221"/>
      <w:bookmarkStart w:id="132" w:name="_Toc326239319"/>
      <w:bookmarkStart w:id="133" w:name="_Toc306287492"/>
      <w:r>
        <w:rPr>
          <w:rFonts w:hint="eastAsia" w:ascii="宋体" w:hAnsi="宋体" w:cs="宋体"/>
          <w:b/>
          <w:sz w:val="22"/>
        </w:rPr>
        <w:t>23．监理工程师</w:t>
      </w:r>
      <w:bookmarkEnd w:id="130"/>
      <w:bookmarkEnd w:id="131"/>
      <w:bookmarkEnd w:id="132"/>
      <w:bookmarkEnd w:id="133"/>
    </w:p>
    <w:p>
      <w:pPr>
        <w:autoSpaceDE w:val="0"/>
        <w:autoSpaceDN w:val="0"/>
        <w:adjustRightInd w:val="0"/>
        <w:spacing w:line="360" w:lineRule="auto"/>
        <w:ind w:firstLine="440" w:firstLineChars="200"/>
        <w:jc w:val="left"/>
        <w:rPr>
          <w:rFonts w:ascii="宋体" w:hAnsi="宋体" w:cs="宋体"/>
          <w:sz w:val="22"/>
        </w:rPr>
      </w:pPr>
      <w:r>
        <w:rPr>
          <w:rFonts w:hint="eastAsia" w:ascii="宋体" w:hAnsi="宋体" w:cs="宋体"/>
          <w:sz w:val="22"/>
        </w:rPr>
        <w:t>23.1 负责合同工程的监理单位及任命的监理工程师</w:t>
      </w:r>
    </w:p>
    <w:p>
      <w:pPr>
        <w:tabs>
          <w:tab w:val="left" w:pos="3495"/>
        </w:tabs>
        <w:autoSpaceDE w:val="0"/>
        <w:autoSpaceDN w:val="0"/>
        <w:adjustRightInd w:val="0"/>
        <w:spacing w:line="360" w:lineRule="auto"/>
        <w:ind w:left="525" w:leftChars="250" w:firstLine="440" w:firstLineChars="200"/>
        <w:jc w:val="left"/>
        <w:rPr>
          <w:rFonts w:ascii="宋体" w:hAnsi="宋体" w:cs="宋体"/>
          <w:sz w:val="22"/>
        </w:rPr>
      </w:pPr>
      <w:r>
        <w:rPr>
          <w:rFonts w:hint="eastAsia" w:ascii="宋体" w:hAnsi="宋体" w:cs="宋体"/>
          <w:sz w:val="22"/>
        </w:rPr>
        <w:t>(1) 监理单位：</w:t>
      </w:r>
      <w:r>
        <w:rPr>
          <w:rFonts w:hint="eastAsia" w:ascii="宋体" w:hAnsi="宋体" w:cs="宋体"/>
          <w:sz w:val="22"/>
          <w:u w:val="single"/>
        </w:rPr>
        <w:t xml:space="preserve">                                 </w:t>
      </w:r>
      <w:r>
        <w:rPr>
          <w:rFonts w:hint="eastAsia" w:ascii="宋体" w:hAnsi="宋体" w:cs="宋体"/>
          <w:sz w:val="22"/>
        </w:rPr>
        <w:t>法定代表人 ：</w:t>
      </w:r>
      <w:r>
        <w:rPr>
          <w:rFonts w:hint="eastAsia" w:ascii="宋体" w:hAnsi="宋体" w:cs="宋体"/>
          <w:sz w:val="22"/>
          <w:u w:val="single"/>
        </w:rPr>
        <w:t xml:space="preserve">             </w:t>
      </w:r>
    </w:p>
    <w:p>
      <w:pPr>
        <w:tabs>
          <w:tab w:val="left" w:pos="3495"/>
        </w:tabs>
        <w:autoSpaceDE w:val="0"/>
        <w:autoSpaceDN w:val="0"/>
        <w:adjustRightInd w:val="0"/>
        <w:spacing w:line="360" w:lineRule="auto"/>
        <w:ind w:left="525" w:leftChars="250" w:firstLine="440" w:firstLineChars="200"/>
        <w:jc w:val="left"/>
        <w:rPr>
          <w:rFonts w:ascii="宋体" w:hAnsi="宋体" w:cs="宋体"/>
          <w:sz w:val="22"/>
        </w:rPr>
      </w:pPr>
      <w:r>
        <w:rPr>
          <w:rFonts w:hint="eastAsia" w:ascii="宋体" w:hAnsi="宋体" w:cs="宋体"/>
          <w:sz w:val="22"/>
        </w:rPr>
        <w:t xml:space="preserve">(2) 任命（   ）为监理工程师，其联络通讯地址如下： </w:t>
      </w:r>
    </w:p>
    <w:tbl>
      <w:tblPr>
        <w:tblStyle w:val="36"/>
        <w:tblW w:w="0" w:type="auto"/>
        <w:tblInd w:w="1134" w:type="dxa"/>
        <w:tblLayout w:type="fixed"/>
        <w:tblCellMar>
          <w:top w:w="0" w:type="dxa"/>
          <w:left w:w="108" w:type="dxa"/>
          <w:bottom w:w="0" w:type="dxa"/>
          <w:right w:w="108" w:type="dxa"/>
        </w:tblCellMar>
      </w:tblPr>
      <w:tblGrid>
        <w:gridCol w:w="5454"/>
        <w:gridCol w:w="2939"/>
      </w:tblGrid>
      <w:tr>
        <w:tblPrEx>
          <w:tblCellMar>
            <w:top w:w="0" w:type="dxa"/>
            <w:left w:w="108" w:type="dxa"/>
            <w:bottom w:w="0" w:type="dxa"/>
            <w:right w:w="108" w:type="dxa"/>
          </w:tblCellMar>
        </w:tblPrEx>
        <w:tc>
          <w:tcPr>
            <w:tcW w:w="5454" w:type="dxa"/>
            <w:vAlign w:val="center"/>
          </w:tcPr>
          <w:p>
            <w:pPr>
              <w:autoSpaceDE w:val="0"/>
              <w:autoSpaceDN w:val="0"/>
              <w:adjustRightInd w:val="0"/>
              <w:spacing w:line="360" w:lineRule="auto"/>
              <w:rPr>
                <w:rFonts w:ascii="宋体" w:hAnsi="宋体" w:cs="宋体"/>
                <w:sz w:val="22"/>
              </w:rPr>
            </w:pPr>
            <w:r>
              <w:rPr>
                <w:rFonts w:hint="eastAsia" w:ascii="宋体" w:hAnsi="宋体" w:cs="宋体"/>
                <w:position w:val="-3"/>
                <w:sz w:val="22"/>
              </w:rPr>
              <w:t>通讯地址：</w:t>
            </w:r>
          </w:p>
        </w:tc>
        <w:tc>
          <w:tcPr>
            <w:tcW w:w="2939" w:type="dxa"/>
            <w:vAlign w:val="center"/>
          </w:tcPr>
          <w:p>
            <w:pPr>
              <w:autoSpaceDE w:val="0"/>
              <w:autoSpaceDN w:val="0"/>
              <w:adjustRightInd w:val="0"/>
              <w:spacing w:line="360" w:lineRule="auto"/>
              <w:rPr>
                <w:rFonts w:ascii="宋体" w:hAnsi="宋体" w:cs="宋体"/>
                <w:sz w:val="22"/>
              </w:rPr>
            </w:pPr>
            <w:r>
              <w:rPr>
                <w:rFonts w:hint="eastAsia" w:ascii="宋体" w:hAnsi="宋体" w:cs="宋体"/>
                <w:position w:val="-3"/>
                <w:sz w:val="22"/>
              </w:rPr>
              <w:t>邮政编码：</w:t>
            </w:r>
          </w:p>
        </w:tc>
      </w:tr>
      <w:tr>
        <w:tblPrEx>
          <w:tblCellMar>
            <w:top w:w="0" w:type="dxa"/>
            <w:left w:w="108" w:type="dxa"/>
            <w:bottom w:w="0" w:type="dxa"/>
            <w:right w:w="108" w:type="dxa"/>
          </w:tblCellMar>
        </w:tblPrEx>
        <w:tc>
          <w:tcPr>
            <w:tcW w:w="5454" w:type="dxa"/>
            <w:vAlign w:val="center"/>
          </w:tcPr>
          <w:p>
            <w:pPr>
              <w:autoSpaceDE w:val="0"/>
              <w:autoSpaceDN w:val="0"/>
              <w:adjustRightInd w:val="0"/>
              <w:spacing w:line="360" w:lineRule="auto"/>
              <w:rPr>
                <w:rFonts w:ascii="宋体" w:hAnsi="宋体" w:cs="宋体"/>
                <w:sz w:val="22"/>
              </w:rPr>
            </w:pPr>
            <w:r>
              <w:rPr>
                <w:rFonts w:hint="eastAsia" w:ascii="宋体" w:hAnsi="宋体" w:cs="宋体"/>
                <w:sz w:val="22"/>
              </w:rPr>
              <w:t xml:space="preserve">联系电话： </w:t>
            </w:r>
          </w:p>
        </w:tc>
        <w:tc>
          <w:tcPr>
            <w:tcW w:w="2939" w:type="dxa"/>
            <w:vAlign w:val="center"/>
          </w:tcPr>
          <w:p>
            <w:pPr>
              <w:autoSpaceDE w:val="0"/>
              <w:autoSpaceDN w:val="0"/>
              <w:adjustRightInd w:val="0"/>
              <w:spacing w:line="360" w:lineRule="auto"/>
              <w:rPr>
                <w:rFonts w:ascii="宋体" w:hAnsi="宋体" w:cs="宋体"/>
                <w:sz w:val="22"/>
              </w:rPr>
            </w:pPr>
            <w:r>
              <w:rPr>
                <w:rFonts w:hint="eastAsia" w:ascii="宋体" w:hAnsi="宋体" w:cs="宋体"/>
                <w:sz w:val="22"/>
              </w:rPr>
              <w:t>传真号码：</w:t>
            </w:r>
          </w:p>
        </w:tc>
      </w:tr>
    </w:tbl>
    <w:p>
      <w:pPr>
        <w:autoSpaceDE w:val="0"/>
        <w:autoSpaceDN w:val="0"/>
        <w:adjustRightInd w:val="0"/>
        <w:spacing w:line="360" w:lineRule="auto"/>
        <w:ind w:firstLine="440" w:firstLineChars="200"/>
        <w:jc w:val="left"/>
        <w:rPr>
          <w:rFonts w:ascii="宋体" w:hAnsi="宋体" w:cs="宋体"/>
          <w:sz w:val="22"/>
        </w:rPr>
      </w:pPr>
      <w:r>
        <w:rPr>
          <w:rFonts w:hint="eastAsia" w:ascii="宋体" w:hAnsi="宋体" w:cs="宋体"/>
          <w:sz w:val="22"/>
        </w:rPr>
        <w:t>23.3（12）需要发包人批准的其他事项：</w:t>
      </w:r>
      <w:r>
        <w:rPr>
          <w:rFonts w:hint="eastAsia" w:ascii="宋体" w:hAnsi="宋体" w:cs="宋体"/>
          <w:sz w:val="22"/>
          <w:u w:val="single"/>
        </w:rPr>
        <w:t xml:space="preserve"> 无 </w:t>
      </w:r>
      <w:r>
        <w:rPr>
          <w:rFonts w:hint="eastAsia" w:ascii="宋体" w:hAnsi="宋体" w:cs="宋体"/>
          <w:sz w:val="22"/>
        </w:rPr>
        <w:t>。</w:t>
      </w:r>
    </w:p>
    <w:p>
      <w:pPr>
        <w:autoSpaceDE w:val="0"/>
        <w:autoSpaceDN w:val="0"/>
        <w:adjustRightInd w:val="0"/>
        <w:spacing w:before="360" w:beforeLines="150" w:line="360" w:lineRule="auto"/>
        <w:jc w:val="left"/>
        <w:outlineLvl w:val="2"/>
        <w:rPr>
          <w:rFonts w:ascii="宋体" w:hAnsi="宋体" w:cs="宋体"/>
          <w:b/>
          <w:sz w:val="22"/>
        </w:rPr>
      </w:pPr>
      <w:bookmarkStart w:id="134" w:name="_Toc326239320"/>
      <w:bookmarkStart w:id="135" w:name="_Toc306287493"/>
      <w:bookmarkStart w:id="136" w:name="_Toc342306222"/>
      <w:bookmarkStart w:id="137" w:name="_Toc306287670"/>
      <w:r>
        <w:rPr>
          <w:rFonts w:hint="eastAsia" w:ascii="宋体" w:hAnsi="宋体" w:cs="宋体"/>
          <w:b/>
          <w:sz w:val="22"/>
        </w:rPr>
        <w:t>24．造价工程师</w:t>
      </w:r>
      <w:bookmarkEnd w:id="134"/>
      <w:bookmarkEnd w:id="135"/>
      <w:bookmarkEnd w:id="136"/>
      <w:bookmarkEnd w:id="137"/>
    </w:p>
    <w:p>
      <w:pPr>
        <w:autoSpaceDE w:val="0"/>
        <w:autoSpaceDN w:val="0"/>
        <w:adjustRightInd w:val="0"/>
        <w:spacing w:line="360" w:lineRule="auto"/>
        <w:ind w:firstLine="440" w:firstLineChars="200"/>
        <w:jc w:val="left"/>
        <w:rPr>
          <w:rFonts w:ascii="宋体" w:hAnsi="宋体" w:cs="宋体"/>
          <w:sz w:val="22"/>
        </w:rPr>
      </w:pPr>
      <w:r>
        <w:rPr>
          <w:rFonts w:hint="eastAsia" w:ascii="宋体" w:hAnsi="宋体" w:cs="宋体"/>
          <w:sz w:val="22"/>
        </w:rPr>
        <w:t>24.1 负责合同工程的造价咨询单位及任命的造价工程师</w:t>
      </w:r>
    </w:p>
    <w:p>
      <w:pPr>
        <w:tabs>
          <w:tab w:val="left" w:pos="3495"/>
        </w:tabs>
        <w:autoSpaceDE w:val="0"/>
        <w:autoSpaceDN w:val="0"/>
        <w:adjustRightInd w:val="0"/>
        <w:spacing w:line="360" w:lineRule="auto"/>
        <w:ind w:left="525" w:leftChars="250" w:right="-187" w:rightChars="-89" w:firstLine="440" w:firstLineChars="200"/>
        <w:jc w:val="left"/>
        <w:rPr>
          <w:rFonts w:ascii="宋体" w:hAnsi="宋体" w:cs="宋体"/>
          <w:sz w:val="22"/>
          <w:u w:val="single"/>
        </w:rPr>
      </w:pPr>
      <w:r>
        <w:rPr>
          <w:rFonts w:hint="eastAsia" w:ascii="宋体" w:hAnsi="宋体" w:cs="宋体"/>
          <w:sz w:val="22"/>
        </w:rPr>
        <w:t>(1) 造价咨询单位：</w:t>
      </w:r>
      <w:r>
        <w:rPr>
          <w:rFonts w:hint="eastAsia" w:ascii="宋体" w:hAnsi="宋体" w:cs="宋体"/>
          <w:sz w:val="22"/>
          <w:u w:val="single"/>
        </w:rPr>
        <w:t xml:space="preserve">                             </w:t>
      </w:r>
      <w:r>
        <w:rPr>
          <w:rFonts w:hint="eastAsia" w:ascii="宋体" w:hAnsi="宋体" w:cs="宋体"/>
          <w:sz w:val="22"/>
        </w:rPr>
        <w:t>法定代表人：</w:t>
      </w:r>
      <w:r>
        <w:rPr>
          <w:rFonts w:hint="eastAsia" w:ascii="宋体" w:hAnsi="宋体" w:cs="宋体"/>
          <w:sz w:val="22"/>
          <w:u w:val="single"/>
        </w:rPr>
        <w:t xml:space="preserve">             </w:t>
      </w:r>
    </w:p>
    <w:p>
      <w:pPr>
        <w:tabs>
          <w:tab w:val="left" w:pos="3495"/>
        </w:tabs>
        <w:autoSpaceDE w:val="0"/>
        <w:autoSpaceDN w:val="0"/>
        <w:adjustRightInd w:val="0"/>
        <w:spacing w:line="360" w:lineRule="auto"/>
        <w:ind w:left="525" w:leftChars="250" w:firstLine="440" w:firstLineChars="200"/>
        <w:jc w:val="left"/>
        <w:rPr>
          <w:rFonts w:ascii="宋体" w:hAnsi="宋体" w:cs="宋体"/>
          <w:sz w:val="22"/>
        </w:rPr>
      </w:pPr>
      <w:r>
        <w:rPr>
          <w:rFonts w:hint="eastAsia" w:ascii="宋体" w:hAnsi="宋体" w:cs="宋体"/>
          <w:sz w:val="22"/>
        </w:rPr>
        <w:t>(2) 任命（     ）为造价工程师，其联络通讯地址如下：</w:t>
      </w:r>
    </w:p>
    <w:tbl>
      <w:tblPr>
        <w:tblStyle w:val="36"/>
        <w:tblW w:w="0" w:type="auto"/>
        <w:tblInd w:w="828" w:type="dxa"/>
        <w:tblLayout w:type="fixed"/>
        <w:tblCellMar>
          <w:top w:w="0" w:type="dxa"/>
          <w:left w:w="108" w:type="dxa"/>
          <w:bottom w:w="0" w:type="dxa"/>
          <w:right w:w="108" w:type="dxa"/>
        </w:tblCellMar>
      </w:tblPr>
      <w:tblGrid>
        <w:gridCol w:w="1548"/>
        <w:gridCol w:w="4820"/>
        <w:gridCol w:w="1417"/>
        <w:gridCol w:w="1276"/>
      </w:tblGrid>
      <w:tr>
        <w:tblPrEx>
          <w:tblCellMar>
            <w:top w:w="0" w:type="dxa"/>
            <w:left w:w="108" w:type="dxa"/>
            <w:bottom w:w="0" w:type="dxa"/>
            <w:right w:w="108" w:type="dxa"/>
          </w:tblCellMar>
        </w:tblPrEx>
        <w:tc>
          <w:tcPr>
            <w:tcW w:w="1548" w:type="dxa"/>
            <w:vAlign w:val="center"/>
          </w:tcPr>
          <w:p>
            <w:pPr>
              <w:autoSpaceDE w:val="0"/>
              <w:autoSpaceDN w:val="0"/>
              <w:adjustRightInd w:val="0"/>
              <w:spacing w:line="360" w:lineRule="auto"/>
              <w:rPr>
                <w:rFonts w:ascii="宋体" w:hAnsi="宋体" w:cs="宋体"/>
                <w:sz w:val="22"/>
              </w:rPr>
            </w:pPr>
            <w:r>
              <w:rPr>
                <w:rFonts w:hint="eastAsia" w:ascii="宋体" w:hAnsi="宋体" w:cs="宋体"/>
                <w:sz w:val="22"/>
              </w:rPr>
              <w:t>通讯地址：</w:t>
            </w:r>
          </w:p>
        </w:tc>
        <w:tc>
          <w:tcPr>
            <w:tcW w:w="4820" w:type="dxa"/>
            <w:vAlign w:val="center"/>
          </w:tcPr>
          <w:p>
            <w:pPr>
              <w:autoSpaceDE w:val="0"/>
              <w:autoSpaceDN w:val="0"/>
              <w:adjustRightInd w:val="0"/>
              <w:spacing w:line="360" w:lineRule="auto"/>
              <w:rPr>
                <w:rFonts w:ascii="宋体" w:hAnsi="宋体" w:cs="宋体"/>
                <w:sz w:val="22"/>
              </w:rPr>
            </w:pPr>
            <w:r>
              <w:rPr>
                <w:rFonts w:hint="eastAsia" w:ascii="宋体" w:hAnsi="宋体" w:cs="宋体"/>
                <w:sz w:val="22"/>
              </w:rPr>
              <w:t xml:space="preserve"> </w:t>
            </w:r>
          </w:p>
        </w:tc>
        <w:tc>
          <w:tcPr>
            <w:tcW w:w="1417" w:type="dxa"/>
            <w:vAlign w:val="center"/>
          </w:tcPr>
          <w:p>
            <w:pPr>
              <w:tabs>
                <w:tab w:val="left" w:pos="3260"/>
                <w:tab w:val="left" w:pos="5740"/>
              </w:tabs>
              <w:autoSpaceDE w:val="0"/>
              <w:autoSpaceDN w:val="0"/>
              <w:adjustRightInd w:val="0"/>
              <w:spacing w:before="96" w:line="309" w:lineRule="auto"/>
              <w:ind w:right="-11"/>
              <w:rPr>
                <w:rFonts w:ascii="宋体" w:hAnsi="宋体" w:cs="宋体"/>
                <w:sz w:val="22"/>
              </w:rPr>
            </w:pPr>
            <w:r>
              <w:rPr>
                <w:rFonts w:hint="eastAsia" w:ascii="宋体" w:hAnsi="宋体" w:cs="宋体"/>
                <w:sz w:val="22"/>
              </w:rPr>
              <w:t>邮政编码：</w:t>
            </w:r>
          </w:p>
        </w:tc>
        <w:tc>
          <w:tcPr>
            <w:tcW w:w="1276" w:type="dxa"/>
            <w:vAlign w:val="center"/>
          </w:tcPr>
          <w:p>
            <w:pPr>
              <w:autoSpaceDE w:val="0"/>
              <w:autoSpaceDN w:val="0"/>
              <w:adjustRightInd w:val="0"/>
              <w:spacing w:line="360" w:lineRule="auto"/>
              <w:rPr>
                <w:rFonts w:ascii="宋体" w:hAnsi="宋体" w:cs="宋体"/>
                <w:sz w:val="22"/>
              </w:rPr>
            </w:pPr>
            <w:r>
              <w:rPr>
                <w:rFonts w:hint="eastAsia" w:ascii="宋体" w:hAnsi="宋体" w:cs="宋体"/>
                <w:sz w:val="22"/>
              </w:rPr>
              <w:t xml:space="preserve"> </w:t>
            </w:r>
          </w:p>
        </w:tc>
      </w:tr>
      <w:tr>
        <w:tc>
          <w:tcPr>
            <w:tcW w:w="1548" w:type="dxa"/>
            <w:vAlign w:val="center"/>
          </w:tcPr>
          <w:p>
            <w:pPr>
              <w:autoSpaceDE w:val="0"/>
              <w:autoSpaceDN w:val="0"/>
              <w:adjustRightInd w:val="0"/>
              <w:spacing w:line="360" w:lineRule="auto"/>
              <w:rPr>
                <w:rFonts w:ascii="宋体" w:hAnsi="宋体" w:cs="宋体"/>
                <w:sz w:val="22"/>
              </w:rPr>
            </w:pPr>
            <w:r>
              <w:rPr>
                <w:rFonts w:hint="eastAsia" w:ascii="宋体" w:hAnsi="宋体" w:cs="宋体"/>
                <w:sz w:val="22"/>
              </w:rPr>
              <w:t>联系电话：</w:t>
            </w:r>
          </w:p>
        </w:tc>
        <w:tc>
          <w:tcPr>
            <w:tcW w:w="4820" w:type="dxa"/>
            <w:vAlign w:val="center"/>
          </w:tcPr>
          <w:p>
            <w:pPr>
              <w:autoSpaceDE w:val="0"/>
              <w:autoSpaceDN w:val="0"/>
              <w:adjustRightInd w:val="0"/>
              <w:spacing w:line="360" w:lineRule="auto"/>
              <w:rPr>
                <w:rFonts w:ascii="宋体" w:hAnsi="宋体" w:cs="宋体"/>
                <w:sz w:val="22"/>
              </w:rPr>
            </w:pPr>
            <w:r>
              <w:rPr>
                <w:rFonts w:hint="eastAsia" w:ascii="宋体" w:hAnsi="宋体" w:cs="宋体"/>
                <w:sz w:val="22"/>
              </w:rPr>
              <w:t xml:space="preserve">     </w:t>
            </w:r>
          </w:p>
        </w:tc>
        <w:tc>
          <w:tcPr>
            <w:tcW w:w="1417" w:type="dxa"/>
            <w:vAlign w:val="center"/>
          </w:tcPr>
          <w:p>
            <w:pPr>
              <w:autoSpaceDE w:val="0"/>
              <w:autoSpaceDN w:val="0"/>
              <w:adjustRightInd w:val="0"/>
              <w:spacing w:line="360" w:lineRule="auto"/>
              <w:rPr>
                <w:rFonts w:ascii="宋体" w:hAnsi="宋体" w:cs="宋体"/>
                <w:sz w:val="22"/>
              </w:rPr>
            </w:pPr>
            <w:r>
              <w:rPr>
                <w:rFonts w:hint="eastAsia" w:ascii="宋体" w:hAnsi="宋体" w:cs="宋体"/>
                <w:sz w:val="22"/>
              </w:rPr>
              <w:t>传真号码：</w:t>
            </w:r>
          </w:p>
        </w:tc>
        <w:tc>
          <w:tcPr>
            <w:tcW w:w="1276" w:type="dxa"/>
            <w:vAlign w:val="center"/>
          </w:tcPr>
          <w:p>
            <w:pPr>
              <w:autoSpaceDE w:val="0"/>
              <w:autoSpaceDN w:val="0"/>
              <w:adjustRightInd w:val="0"/>
              <w:spacing w:line="360" w:lineRule="auto"/>
              <w:rPr>
                <w:rFonts w:ascii="宋体" w:hAnsi="宋体" w:cs="宋体"/>
                <w:sz w:val="22"/>
              </w:rPr>
            </w:pPr>
            <w:r>
              <w:rPr>
                <w:rFonts w:hint="eastAsia" w:ascii="宋体" w:hAnsi="宋体" w:cs="宋体"/>
                <w:sz w:val="22"/>
              </w:rPr>
              <w:t xml:space="preserve"> </w:t>
            </w:r>
          </w:p>
        </w:tc>
      </w:tr>
    </w:tbl>
    <w:p>
      <w:pPr>
        <w:autoSpaceDE w:val="0"/>
        <w:autoSpaceDN w:val="0"/>
        <w:adjustRightInd w:val="0"/>
        <w:spacing w:line="360" w:lineRule="auto"/>
        <w:ind w:firstLine="440" w:firstLineChars="200"/>
        <w:jc w:val="left"/>
        <w:rPr>
          <w:rFonts w:ascii="宋体" w:hAnsi="宋体" w:cs="宋体"/>
          <w:sz w:val="22"/>
          <w:u w:val="single"/>
        </w:rPr>
      </w:pPr>
      <w:r>
        <w:rPr>
          <w:rFonts w:hint="eastAsia" w:ascii="宋体" w:hAnsi="宋体" w:cs="宋体"/>
          <w:sz w:val="22"/>
        </w:rPr>
        <w:t>24.3（7）需要发包人批准的其他事项：</w:t>
      </w:r>
      <w:r>
        <w:rPr>
          <w:rFonts w:hint="eastAsia" w:ascii="宋体" w:hAnsi="宋体" w:cs="宋体"/>
          <w:sz w:val="22"/>
          <w:u w:val="single"/>
        </w:rPr>
        <w:t xml:space="preserve"> 按合同相应条款约定</w:t>
      </w:r>
      <w:r>
        <w:rPr>
          <w:rFonts w:hint="eastAsia" w:ascii="宋体" w:hAnsi="宋体" w:cs="宋体"/>
          <w:sz w:val="22"/>
        </w:rPr>
        <w:t>。</w:t>
      </w:r>
    </w:p>
    <w:p>
      <w:pPr>
        <w:autoSpaceDE w:val="0"/>
        <w:autoSpaceDN w:val="0"/>
        <w:adjustRightInd w:val="0"/>
        <w:spacing w:before="360" w:beforeLines="150" w:line="360" w:lineRule="auto"/>
        <w:jc w:val="left"/>
        <w:outlineLvl w:val="2"/>
        <w:rPr>
          <w:rFonts w:ascii="宋体" w:hAnsi="宋体" w:cs="宋体"/>
          <w:b/>
          <w:sz w:val="22"/>
        </w:rPr>
      </w:pPr>
      <w:bookmarkStart w:id="138" w:name="_Toc306287494"/>
      <w:bookmarkStart w:id="139" w:name="_Toc306287671"/>
      <w:bookmarkStart w:id="140" w:name="_Toc326239321"/>
      <w:bookmarkStart w:id="141" w:name="_Toc342306223"/>
      <w:r>
        <w:rPr>
          <w:rFonts w:hint="eastAsia" w:ascii="宋体" w:hAnsi="宋体" w:cs="宋体"/>
          <w:b/>
          <w:sz w:val="22"/>
        </w:rPr>
        <w:t>25．承包人代表</w:t>
      </w:r>
      <w:bookmarkEnd w:id="138"/>
      <w:bookmarkEnd w:id="139"/>
      <w:bookmarkEnd w:id="140"/>
      <w:bookmarkEnd w:id="141"/>
    </w:p>
    <w:p>
      <w:pPr>
        <w:autoSpaceDE w:val="0"/>
        <w:autoSpaceDN w:val="0"/>
        <w:adjustRightInd w:val="0"/>
        <w:spacing w:line="360" w:lineRule="auto"/>
        <w:ind w:firstLine="440" w:firstLineChars="200"/>
        <w:jc w:val="left"/>
        <w:rPr>
          <w:rFonts w:ascii="宋体" w:hAnsi="宋体" w:cs="宋体"/>
          <w:sz w:val="22"/>
        </w:rPr>
      </w:pPr>
      <w:r>
        <w:rPr>
          <w:rFonts w:hint="eastAsia" w:ascii="宋体" w:hAnsi="宋体" w:cs="宋体"/>
          <w:sz w:val="22"/>
        </w:rPr>
        <w:t xml:space="preserve">25.1 承包人任命（  ）为承包人代表，其联络通讯地址如下： </w:t>
      </w:r>
    </w:p>
    <w:tbl>
      <w:tblPr>
        <w:tblStyle w:val="36"/>
        <w:tblW w:w="0" w:type="auto"/>
        <w:tblInd w:w="828" w:type="dxa"/>
        <w:tblLayout w:type="fixed"/>
        <w:tblCellMar>
          <w:top w:w="0" w:type="dxa"/>
          <w:left w:w="108" w:type="dxa"/>
          <w:bottom w:w="0" w:type="dxa"/>
          <w:right w:w="108" w:type="dxa"/>
        </w:tblCellMar>
      </w:tblPr>
      <w:tblGrid>
        <w:gridCol w:w="1548"/>
        <w:gridCol w:w="4820"/>
        <w:gridCol w:w="1417"/>
        <w:gridCol w:w="1276"/>
      </w:tblGrid>
      <w:tr>
        <w:tc>
          <w:tcPr>
            <w:tcW w:w="1548" w:type="dxa"/>
            <w:vAlign w:val="center"/>
          </w:tcPr>
          <w:p>
            <w:pPr>
              <w:autoSpaceDE w:val="0"/>
              <w:autoSpaceDN w:val="0"/>
              <w:adjustRightInd w:val="0"/>
              <w:spacing w:line="360" w:lineRule="auto"/>
              <w:rPr>
                <w:rFonts w:ascii="宋体" w:hAnsi="宋体" w:cs="宋体"/>
                <w:sz w:val="22"/>
              </w:rPr>
            </w:pPr>
            <w:r>
              <w:rPr>
                <w:rFonts w:hint="eastAsia" w:ascii="宋体" w:hAnsi="宋体" w:cs="宋体"/>
                <w:sz w:val="22"/>
              </w:rPr>
              <w:t>通讯地址：</w:t>
            </w:r>
          </w:p>
        </w:tc>
        <w:tc>
          <w:tcPr>
            <w:tcW w:w="4820" w:type="dxa"/>
            <w:vAlign w:val="center"/>
          </w:tcPr>
          <w:p>
            <w:pPr>
              <w:autoSpaceDE w:val="0"/>
              <w:autoSpaceDN w:val="0"/>
              <w:adjustRightInd w:val="0"/>
              <w:spacing w:line="360" w:lineRule="auto"/>
              <w:rPr>
                <w:rFonts w:ascii="宋体" w:hAnsi="宋体" w:cs="宋体"/>
                <w:sz w:val="22"/>
              </w:rPr>
            </w:pPr>
          </w:p>
        </w:tc>
        <w:tc>
          <w:tcPr>
            <w:tcW w:w="1417" w:type="dxa"/>
            <w:vAlign w:val="center"/>
          </w:tcPr>
          <w:p>
            <w:pPr>
              <w:tabs>
                <w:tab w:val="left" w:pos="3260"/>
                <w:tab w:val="left" w:pos="5740"/>
              </w:tabs>
              <w:autoSpaceDE w:val="0"/>
              <w:autoSpaceDN w:val="0"/>
              <w:adjustRightInd w:val="0"/>
              <w:spacing w:before="96" w:line="309" w:lineRule="auto"/>
              <w:ind w:right="-11"/>
              <w:rPr>
                <w:rFonts w:ascii="宋体" w:hAnsi="宋体" w:cs="宋体"/>
                <w:sz w:val="22"/>
              </w:rPr>
            </w:pPr>
            <w:r>
              <w:rPr>
                <w:rFonts w:hint="eastAsia" w:ascii="宋体" w:hAnsi="宋体" w:cs="宋体"/>
                <w:sz w:val="22"/>
              </w:rPr>
              <w:t>邮政编码：</w:t>
            </w:r>
          </w:p>
        </w:tc>
        <w:tc>
          <w:tcPr>
            <w:tcW w:w="1276" w:type="dxa"/>
            <w:vAlign w:val="center"/>
          </w:tcPr>
          <w:p>
            <w:pPr>
              <w:autoSpaceDE w:val="0"/>
              <w:autoSpaceDN w:val="0"/>
              <w:adjustRightInd w:val="0"/>
              <w:spacing w:line="360" w:lineRule="auto"/>
              <w:rPr>
                <w:rFonts w:ascii="宋体" w:hAnsi="宋体" w:cs="宋体"/>
                <w:sz w:val="22"/>
              </w:rPr>
            </w:pPr>
          </w:p>
        </w:tc>
      </w:tr>
      <w:tr>
        <w:tblPrEx>
          <w:tblCellMar>
            <w:top w:w="0" w:type="dxa"/>
            <w:left w:w="108" w:type="dxa"/>
            <w:bottom w:w="0" w:type="dxa"/>
            <w:right w:w="108" w:type="dxa"/>
          </w:tblCellMar>
        </w:tblPrEx>
        <w:tc>
          <w:tcPr>
            <w:tcW w:w="1548" w:type="dxa"/>
            <w:vAlign w:val="center"/>
          </w:tcPr>
          <w:p>
            <w:pPr>
              <w:autoSpaceDE w:val="0"/>
              <w:autoSpaceDN w:val="0"/>
              <w:adjustRightInd w:val="0"/>
              <w:spacing w:line="360" w:lineRule="auto"/>
              <w:rPr>
                <w:rFonts w:ascii="宋体" w:hAnsi="宋体" w:cs="宋体"/>
                <w:sz w:val="22"/>
              </w:rPr>
            </w:pPr>
            <w:r>
              <w:rPr>
                <w:rFonts w:hint="eastAsia" w:ascii="宋体" w:hAnsi="宋体" w:cs="宋体"/>
                <w:sz w:val="22"/>
              </w:rPr>
              <w:t>联系电话：</w:t>
            </w:r>
          </w:p>
        </w:tc>
        <w:tc>
          <w:tcPr>
            <w:tcW w:w="4820" w:type="dxa"/>
            <w:vAlign w:val="center"/>
          </w:tcPr>
          <w:p>
            <w:pPr>
              <w:autoSpaceDE w:val="0"/>
              <w:autoSpaceDN w:val="0"/>
              <w:adjustRightInd w:val="0"/>
              <w:spacing w:line="360" w:lineRule="auto"/>
              <w:rPr>
                <w:rFonts w:ascii="宋体" w:hAnsi="宋体" w:cs="宋体"/>
                <w:sz w:val="22"/>
              </w:rPr>
            </w:pPr>
          </w:p>
        </w:tc>
        <w:tc>
          <w:tcPr>
            <w:tcW w:w="1417" w:type="dxa"/>
            <w:vAlign w:val="center"/>
          </w:tcPr>
          <w:p>
            <w:pPr>
              <w:autoSpaceDE w:val="0"/>
              <w:autoSpaceDN w:val="0"/>
              <w:adjustRightInd w:val="0"/>
              <w:spacing w:line="360" w:lineRule="auto"/>
              <w:rPr>
                <w:rFonts w:ascii="宋体" w:hAnsi="宋体" w:cs="宋体"/>
                <w:sz w:val="22"/>
              </w:rPr>
            </w:pPr>
            <w:r>
              <w:rPr>
                <w:rFonts w:hint="eastAsia" w:ascii="宋体" w:hAnsi="宋体" w:cs="宋体"/>
                <w:sz w:val="22"/>
              </w:rPr>
              <w:t>传真号码：</w:t>
            </w:r>
          </w:p>
        </w:tc>
        <w:tc>
          <w:tcPr>
            <w:tcW w:w="1276" w:type="dxa"/>
            <w:vAlign w:val="center"/>
          </w:tcPr>
          <w:p>
            <w:pPr>
              <w:autoSpaceDE w:val="0"/>
              <w:autoSpaceDN w:val="0"/>
              <w:adjustRightInd w:val="0"/>
              <w:spacing w:line="360" w:lineRule="auto"/>
              <w:rPr>
                <w:rFonts w:ascii="宋体" w:hAnsi="宋体" w:cs="宋体"/>
                <w:sz w:val="22"/>
              </w:rPr>
            </w:pPr>
          </w:p>
        </w:tc>
      </w:tr>
    </w:tbl>
    <w:p>
      <w:pPr>
        <w:autoSpaceDE w:val="0"/>
        <w:autoSpaceDN w:val="0"/>
        <w:adjustRightInd w:val="0"/>
        <w:spacing w:before="360" w:beforeLines="150" w:line="360" w:lineRule="auto"/>
        <w:jc w:val="left"/>
        <w:outlineLvl w:val="2"/>
        <w:rPr>
          <w:rFonts w:ascii="宋体" w:hAnsi="宋体" w:cs="宋体"/>
          <w:b/>
          <w:sz w:val="22"/>
        </w:rPr>
      </w:pPr>
      <w:bookmarkStart w:id="142" w:name="_Toc326239322"/>
      <w:bookmarkStart w:id="143" w:name="_Toc306287672"/>
      <w:bookmarkStart w:id="144" w:name="_Toc342306224"/>
      <w:bookmarkStart w:id="145" w:name="_Toc306287495"/>
      <w:r>
        <w:rPr>
          <w:rFonts w:hint="eastAsia" w:ascii="宋体" w:hAnsi="宋体" w:cs="宋体"/>
          <w:b/>
          <w:sz w:val="22"/>
        </w:rPr>
        <w:t>26．指定分包人</w:t>
      </w:r>
      <w:bookmarkEnd w:id="142"/>
      <w:bookmarkEnd w:id="143"/>
      <w:bookmarkEnd w:id="144"/>
      <w:bookmarkEnd w:id="145"/>
    </w:p>
    <w:p>
      <w:pPr>
        <w:autoSpaceDE w:val="0"/>
        <w:autoSpaceDN w:val="0"/>
        <w:adjustRightInd w:val="0"/>
        <w:spacing w:line="360" w:lineRule="auto"/>
        <w:ind w:firstLine="440" w:firstLineChars="200"/>
        <w:jc w:val="left"/>
        <w:rPr>
          <w:rFonts w:ascii="宋体" w:hAnsi="宋体" w:cs="宋体"/>
          <w:sz w:val="22"/>
        </w:rPr>
      </w:pPr>
      <w:r>
        <w:rPr>
          <w:rFonts w:hint="eastAsia" w:ascii="宋体" w:hAnsi="宋体" w:cs="宋体"/>
          <w:sz w:val="22"/>
        </w:rPr>
        <w:t>26.1 依法指定的分包人及其有关规定：</w:t>
      </w:r>
    </w:p>
    <w:p>
      <w:pPr>
        <w:tabs>
          <w:tab w:val="left" w:pos="3495"/>
        </w:tabs>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（1）实施、完成任何永久工程的分包人：</w:t>
      </w:r>
      <w:r>
        <w:rPr>
          <w:rFonts w:hint="eastAsia" w:ascii="宋体" w:hAnsi="宋体" w:cs="宋体"/>
          <w:sz w:val="22"/>
          <w:u w:val="single"/>
        </w:rPr>
        <w:t>按照招标文件、投标文件约定</w:t>
      </w:r>
      <w:r>
        <w:rPr>
          <w:rFonts w:hint="eastAsia" w:ascii="宋体" w:hAnsi="宋体" w:cs="宋体"/>
          <w:sz w:val="22"/>
        </w:rPr>
        <w:t>；</w:t>
      </w:r>
    </w:p>
    <w:p>
      <w:pPr>
        <w:tabs>
          <w:tab w:val="left" w:pos="3495"/>
        </w:tabs>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（2）提供本合同工程材料和工程设备、服务的分包人：</w:t>
      </w:r>
      <w:r>
        <w:rPr>
          <w:rFonts w:hint="eastAsia" w:ascii="宋体" w:hAnsi="宋体" w:cs="宋体"/>
          <w:sz w:val="22"/>
          <w:u w:val="single"/>
        </w:rPr>
        <w:t>按照招标文件、投标文件约定</w:t>
      </w:r>
      <w:r>
        <w:rPr>
          <w:rFonts w:hint="eastAsia" w:ascii="宋体" w:hAnsi="宋体" w:cs="宋体"/>
          <w:sz w:val="22"/>
        </w:rPr>
        <w:t>；</w:t>
      </w:r>
    </w:p>
    <w:p>
      <w:pPr>
        <w:autoSpaceDE w:val="0"/>
        <w:autoSpaceDN w:val="0"/>
        <w:adjustRightInd w:val="0"/>
        <w:spacing w:before="360" w:beforeLines="150" w:line="360" w:lineRule="auto"/>
        <w:jc w:val="left"/>
        <w:outlineLvl w:val="2"/>
        <w:rPr>
          <w:rFonts w:ascii="宋体" w:hAnsi="宋体" w:cs="宋体"/>
          <w:b/>
          <w:sz w:val="22"/>
        </w:rPr>
      </w:pPr>
      <w:bookmarkStart w:id="146" w:name="_Toc342306225"/>
      <w:bookmarkStart w:id="147" w:name="_Toc326239323"/>
      <w:r>
        <w:rPr>
          <w:rFonts w:hint="eastAsia" w:ascii="宋体" w:hAnsi="宋体" w:cs="宋体"/>
          <w:b/>
          <w:sz w:val="22"/>
        </w:rPr>
        <w:t>27．承包人劳务</w:t>
      </w:r>
      <w:bookmarkEnd w:id="146"/>
      <w:bookmarkEnd w:id="147"/>
      <w:r>
        <w:rPr>
          <w:rFonts w:hint="eastAsia" w:ascii="宋体" w:hAnsi="宋体" w:cs="宋体"/>
          <w:b/>
          <w:sz w:val="22"/>
        </w:rPr>
        <w:t xml:space="preserve"> </w:t>
      </w:r>
    </w:p>
    <w:p>
      <w:pPr>
        <w:tabs>
          <w:tab w:val="left" w:pos="3495"/>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27.3 项补充：承包人应严格执行《关于加强建设等行业农民工劳动合同管理的通知》（劳社部发【2005】9号，切实规范用工制度。承包人必须在所有务工人员上岗前与其签订劳动合同，合同中要明确约定双方的权利与义务，规定劳动合同期限、工作内容、劳动保护及劳动条件、劳动报酬和违反劳动合同的责任、依法参加工伤保险、工伤责任等内容。有关劳动报酬的条款，应按照有关文件要求，明确正常工作时间工资支付标准、支付项目、支付方式、支付周期和日期、特殊情况下的工资支付和其他支付内容以及产生争议的解决方式等。</w:t>
      </w:r>
    </w:p>
    <w:p>
      <w:pPr>
        <w:tabs>
          <w:tab w:val="left" w:pos="3495"/>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27.5 项补充：承包人在收到发包人支付的工程款后应及时向劳务分包单位支付相应的工程款，因承包人拖欠劳务单位工程款而引起的劳务单位滋事或以发包人为被告的诉讼，承包人应承担因此给发包人造成的损失（包括但不限于诉讼费、律师费和其它赔偿金）。</w:t>
      </w:r>
    </w:p>
    <w:p>
      <w:pPr>
        <w:autoSpaceDE w:val="0"/>
        <w:autoSpaceDN w:val="0"/>
        <w:adjustRightInd w:val="0"/>
        <w:spacing w:before="360" w:beforeLines="150" w:line="360" w:lineRule="auto"/>
        <w:jc w:val="left"/>
        <w:outlineLvl w:val="2"/>
        <w:rPr>
          <w:rFonts w:ascii="宋体" w:hAnsi="宋体" w:cs="宋体"/>
          <w:b/>
          <w:sz w:val="22"/>
        </w:rPr>
      </w:pPr>
      <w:bookmarkStart w:id="148" w:name="_Toc342306226"/>
      <w:bookmarkStart w:id="149" w:name="_Toc326239324"/>
      <w:bookmarkStart w:id="150" w:name="_Toc306287496"/>
      <w:bookmarkStart w:id="151" w:name="_Toc306287673"/>
      <w:r>
        <w:rPr>
          <w:rFonts w:hint="eastAsia" w:ascii="宋体" w:hAnsi="宋体" w:cs="宋体"/>
          <w:b/>
          <w:sz w:val="22"/>
        </w:rPr>
        <w:t>28．工程担保</w:t>
      </w:r>
      <w:bookmarkEnd w:id="148"/>
      <w:bookmarkEnd w:id="149"/>
      <w:bookmarkEnd w:id="150"/>
      <w:bookmarkEnd w:id="151"/>
    </w:p>
    <w:p>
      <w:pPr>
        <w:autoSpaceDE w:val="0"/>
        <w:autoSpaceDN w:val="0"/>
        <w:adjustRightInd w:val="0"/>
        <w:spacing w:line="360" w:lineRule="auto"/>
        <w:ind w:firstLine="440" w:firstLineChars="200"/>
        <w:jc w:val="left"/>
        <w:rPr>
          <w:rFonts w:ascii="宋体" w:hAnsi="宋体" w:cs="宋体"/>
          <w:sz w:val="22"/>
        </w:rPr>
      </w:pPr>
      <w:r>
        <w:rPr>
          <w:rFonts w:hint="eastAsia" w:ascii="宋体" w:hAnsi="宋体" w:cs="宋体"/>
          <w:sz w:val="22"/>
        </w:rPr>
        <w:t>28.1 承包人提供履约担保的约定：</w:t>
      </w:r>
    </w:p>
    <w:p>
      <w:pPr>
        <w:spacing w:line="360" w:lineRule="auto"/>
        <w:ind w:left="1134"/>
        <w:rPr>
          <w:rFonts w:ascii="宋体" w:hAnsi="宋体" w:cs="宋体"/>
          <w:sz w:val="22"/>
          <w:u w:val="single"/>
        </w:rPr>
      </w:pPr>
      <w:r>
        <w:rPr>
          <w:rFonts w:hint="eastAsia" w:ascii="宋体" w:hAnsi="宋体" w:cs="宋体"/>
          <w:sz w:val="22"/>
        </w:rPr>
        <w:t>(1) 履约担保的金额</w:t>
      </w:r>
      <w:r>
        <w:rPr>
          <w:rFonts w:hint="eastAsia" w:ascii="宋体" w:hAnsi="宋体" w:cs="宋体"/>
          <w:spacing w:val="-120"/>
          <w:sz w:val="22"/>
        </w:rPr>
        <w:t>：</w:t>
      </w:r>
      <w:r>
        <w:rPr>
          <w:rFonts w:hint="eastAsia" w:ascii="宋体" w:hAnsi="宋体" w:cs="宋体"/>
          <w:sz w:val="22"/>
        </w:rPr>
        <w:t>（大写）</w:t>
      </w:r>
      <w:r>
        <w:rPr>
          <w:rFonts w:hint="eastAsia" w:ascii="宋体" w:hAnsi="宋体" w:cs="宋体"/>
          <w:b/>
          <w:sz w:val="22"/>
          <w:u w:val="single"/>
        </w:rPr>
        <w:t xml:space="preserve">          </w:t>
      </w:r>
      <w:r>
        <w:rPr>
          <w:rFonts w:hint="eastAsia" w:ascii="宋体" w:hAnsi="宋体" w:cs="宋体"/>
          <w:sz w:val="22"/>
        </w:rPr>
        <w:t>（小写¥</w:t>
      </w:r>
      <w:r>
        <w:rPr>
          <w:rFonts w:hint="eastAsia" w:ascii="宋体" w:hAnsi="宋体" w:cs="宋体"/>
          <w:b/>
          <w:sz w:val="22"/>
          <w:u w:val="single"/>
        </w:rPr>
        <w:t xml:space="preserve">         </w:t>
      </w:r>
      <w:r>
        <w:rPr>
          <w:rFonts w:hint="eastAsia" w:ascii="宋体" w:hAnsi="宋体" w:cs="宋体"/>
          <w:sz w:val="22"/>
        </w:rPr>
        <w:t>元），即为合同价款（中标价）的10%，履约担保采用现金担保或银行保函的形式。</w:t>
      </w:r>
    </w:p>
    <w:p>
      <w:pPr>
        <w:autoSpaceDE w:val="0"/>
        <w:autoSpaceDN w:val="0"/>
        <w:adjustRightInd w:val="0"/>
        <w:spacing w:line="360" w:lineRule="auto"/>
        <w:ind w:left="1134"/>
        <w:jc w:val="left"/>
        <w:rPr>
          <w:rFonts w:ascii="宋体" w:hAnsi="宋体" w:cs="宋体"/>
          <w:sz w:val="22"/>
        </w:rPr>
      </w:pPr>
      <w:r>
        <w:rPr>
          <w:rFonts w:hint="eastAsia" w:ascii="宋体" w:hAnsi="宋体" w:cs="宋体"/>
          <w:sz w:val="22"/>
        </w:rPr>
        <w:t>(2) 提供履约担保的时间：</w:t>
      </w:r>
    </w:p>
    <w:p>
      <w:pPr>
        <w:autoSpaceDE w:val="0"/>
        <w:autoSpaceDN w:val="0"/>
        <w:adjustRightInd w:val="0"/>
        <w:spacing w:line="360" w:lineRule="auto"/>
        <w:ind w:firstLine="1320" w:firstLineChars="600"/>
        <w:jc w:val="left"/>
        <w:rPr>
          <w:rFonts w:ascii="宋体" w:hAnsi="宋体" w:cs="宋体"/>
          <w:sz w:val="22"/>
        </w:rPr>
      </w:pPr>
      <w:r>
        <w:rPr>
          <w:rFonts w:hint="eastAsia" w:ascii="宋体" w:hAnsi="宋体" w:cs="宋体"/>
          <w:sz w:val="22"/>
        </w:rPr>
        <w:t>□ 签订本合同时。</w:t>
      </w:r>
    </w:p>
    <w:p>
      <w:pPr>
        <w:autoSpaceDE w:val="0"/>
        <w:autoSpaceDN w:val="0"/>
        <w:adjustRightInd w:val="0"/>
        <w:spacing w:line="360" w:lineRule="auto"/>
        <w:ind w:firstLine="1320" w:firstLineChars="600"/>
        <w:jc w:val="left"/>
        <w:rPr>
          <w:rFonts w:ascii="宋体" w:hAnsi="宋体" w:cs="宋体"/>
          <w:sz w:val="22"/>
        </w:rPr>
      </w:pPr>
      <w:r>
        <w:rPr>
          <w:rFonts w:hint="eastAsia" w:ascii="宋体" w:hAnsi="宋体" w:cs="宋体"/>
          <w:sz w:val="22"/>
        </w:rPr>
        <w:t>■ 其他时间：提交预付款支付申请前。</w:t>
      </w:r>
    </w:p>
    <w:p>
      <w:pPr>
        <w:autoSpaceDE w:val="0"/>
        <w:autoSpaceDN w:val="0"/>
        <w:adjustRightInd w:val="0"/>
        <w:spacing w:line="360" w:lineRule="auto"/>
        <w:ind w:left="1061"/>
        <w:jc w:val="left"/>
        <w:rPr>
          <w:rFonts w:ascii="宋体" w:hAnsi="宋体" w:cs="宋体"/>
          <w:sz w:val="22"/>
        </w:rPr>
      </w:pPr>
      <w:r>
        <w:rPr>
          <w:rFonts w:hint="eastAsia" w:ascii="宋体" w:hAnsi="宋体" w:cs="宋体"/>
          <w:sz w:val="22"/>
        </w:rPr>
        <w:t>(3) 出具履约担保的银行：承包方的银行基本户开户银行或中行、农行、工行建行四大国有银行之一出具。。</w:t>
      </w:r>
    </w:p>
    <w:p>
      <w:pPr>
        <w:autoSpaceDE w:val="0"/>
        <w:autoSpaceDN w:val="0"/>
        <w:adjustRightInd w:val="0"/>
        <w:spacing w:line="360" w:lineRule="auto"/>
        <w:ind w:left="420" w:leftChars="200"/>
        <w:jc w:val="left"/>
        <w:rPr>
          <w:rFonts w:ascii="宋体" w:hAnsi="宋体" w:cs="宋体"/>
          <w:sz w:val="22"/>
          <w:u w:val="single"/>
        </w:rPr>
      </w:pPr>
      <w:r>
        <w:rPr>
          <w:rFonts w:hint="eastAsia" w:ascii="宋体" w:hAnsi="宋体" w:cs="宋体"/>
          <w:sz w:val="22"/>
        </w:rPr>
        <w:t xml:space="preserve"> 28.2 履约担保退还时间的约定：</w:t>
      </w:r>
      <w:r>
        <w:rPr>
          <w:rFonts w:hint="eastAsia" w:ascii="宋体" w:hAnsi="宋体" w:cs="宋体"/>
          <w:sz w:val="22"/>
          <w:u w:val="single"/>
        </w:rPr>
        <w:t>在工程竣工验收合格并取得竣工验收报告后，由承</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 xml:space="preserve">      </w:t>
      </w:r>
      <w:r>
        <w:rPr>
          <w:rFonts w:hint="eastAsia" w:ascii="宋体" w:hAnsi="宋体" w:cs="宋体"/>
          <w:sz w:val="22"/>
          <w:u w:val="single"/>
        </w:rPr>
        <w:t>包人提出申请，经发包人同意，退回。</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 xml:space="preserve"> 28.4 发包人提供支付担保的约定：发包人不提供支付担保，本条款不适用。</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 xml:space="preserve"> 28.5 支付担保退还时间的约定：发包人不提供支付担保，本条款不适用。</w:t>
      </w:r>
    </w:p>
    <w:p>
      <w:pPr>
        <w:autoSpaceDE w:val="0"/>
        <w:autoSpaceDN w:val="0"/>
        <w:adjustRightInd w:val="0"/>
        <w:spacing w:line="360" w:lineRule="auto"/>
        <w:ind w:left="420" w:leftChars="200"/>
        <w:jc w:val="left"/>
        <w:rPr>
          <w:rFonts w:ascii="宋体" w:hAnsi="宋体" w:cs="宋体"/>
          <w:sz w:val="22"/>
          <w:u w:val="single"/>
        </w:rPr>
      </w:pPr>
      <w:r>
        <w:rPr>
          <w:rFonts w:hint="eastAsia" w:ascii="宋体" w:hAnsi="宋体" w:cs="宋体"/>
          <w:sz w:val="22"/>
        </w:rPr>
        <w:t xml:space="preserve"> 28.8 担保内容、方式和责任等事项的约定： / 。</w:t>
      </w:r>
    </w:p>
    <w:p>
      <w:pPr>
        <w:autoSpaceDE w:val="0"/>
        <w:autoSpaceDN w:val="0"/>
        <w:adjustRightInd w:val="0"/>
        <w:spacing w:before="360" w:beforeLines="150" w:line="360" w:lineRule="auto"/>
        <w:jc w:val="left"/>
        <w:outlineLvl w:val="2"/>
        <w:rPr>
          <w:rFonts w:ascii="宋体" w:hAnsi="宋体" w:cs="宋体"/>
          <w:b/>
          <w:sz w:val="22"/>
        </w:rPr>
      </w:pPr>
      <w:bookmarkStart w:id="152" w:name="_Toc326239325"/>
      <w:bookmarkStart w:id="153" w:name="_Toc306287497"/>
      <w:bookmarkStart w:id="154" w:name="_Toc342306227"/>
      <w:bookmarkStart w:id="155" w:name="_Toc306287674"/>
      <w:r>
        <w:rPr>
          <w:rFonts w:hint="eastAsia" w:ascii="宋体" w:hAnsi="宋体" w:cs="宋体"/>
          <w:b/>
          <w:sz w:val="22"/>
        </w:rPr>
        <w:t>31．不可抗力</w:t>
      </w:r>
      <w:bookmarkEnd w:id="152"/>
      <w:bookmarkEnd w:id="153"/>
      <w:bookmarkEnd w:id="154"/>
      <w:bookmarkEnd w:id="155"/>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position w:val="-2"/>
          <w:sz w:val="22"/>
        </w:rPr>
        <w:t>31.1（4）不可抗力的其他情形： / 。</w:t>
      </w:r>
    </w:p>
    <w:p>
      <w:pPr>
        <w:autoSpaceDE w:val="0"/>
        <w:autoSpaceDN w:val="0"/>
        <w:adjustRightInd w:val="0"/>
        <w:spacing w:before="360" w:beforeLines="150" w:line="360" w:lineRule="auto"/>
        <w:jc w:val="left"/>
        <w:outlineLvl w:val="2"/>
        <w:rPr>
          <w:rFonts w:ascii="宋体" w:hAnsi="宋体" w:cs="宋体"/>
          <w:b/>
          <w:sz w:val="22"/>
        </w:rPr>
      </w:pPr>
      <w:bookmarkStart w:id="156" w:name="_Toc306287675"/>
      <w:bookmarkStart w:id="157" w:name="_Toc342306228"/>
      <w:bookmarkStart w:id="158" w:name="_Toc326239326"/>
      <w:bookmarkStart w:id="159" w:name="_Toc306287498"/>
      <w:r>
        <w:rPr>
          <w:rFonts w:hint="eastAsia" w:ascii="宋体" w:hAnsi="宋体" w:cs="宋体"/>
          <w:b/>
          <w:sz w:val="22"/>
        </w:rPr>
        <w:t>32．保险</w:t>
      </w:r>
      <w:bookmarkEnd w:id="156"/>
      <w:bookmarkEnd w:id="157"/>
      <w:bookmarkEnd w:id="158"/>
      <w:bookmarkEnd w:id="159"/>
    </w:p>
    <w:p>
      <w:pPr>
        <w:tabs>
          <w:tab w:val="left" w:pos="1240"/>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32.1 项约定为：发包人负责购买的保险为建筑、安装工程一切险，第三者责任险。</w:t>
      </w:r>
    </w:p>
    <w:p>
      <w:pPr>
        <w:tabs>
          <w:tab w:val="left" w:pos="1240"/>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32.2 项约定为：承包人负责购买的保险为施工机具保险和雇主责任险。</w:t>
      </w:r>
    </w:p>
    <w:p>
      <w:pPr>
        <w:tabs>
          <w:tab w:val="left" w:pos="1240"/>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32.8 担保内容和责任等事项的约定：</w:t>
      </w:r>
      <w:r>
        <w:rPr>
          <w:rFonts w:hint="eastAsia" w:ascii="宋体" w:hAnsi="宋体" w:cs="宋体"/>
          <w:sz w:val="22"/>
          <w:u w:val="single"/>
        </w:rPr>
        <w:t xml:space="preserve">  /  </w:t>
      </w:r>
      <w:r>
        <w:rPr>
          <w:rFonts w:hint="eastAsia" w:ascii="宋体" w:hAnsi="宋体" w:cs="宋体"/>
          <w:sz w:val="22"/>
        </w:rPr>
        <w:t>。</w:t>
      </w:r>
    </w:p>
    <w:p>
      <w:pPr>
        <w:autoSpaceDE w:val="0"/>
        <w:autoSpaceDN w:val="0"/>
        <w:adjustRightInd w:val="0"/>
        <w:spacing w:before="360" w:beforeLines="150" w:line="360" w:lineRule="auto"/>
        <w:jc w:val="left"/>
        <w:outlineLvl w:val="2"/>
        <w:rPr>
          <w:rFonts w:ascii="宋体" w:hAnsi="宋体" w:cs="宋体"/>
          <w:b/>
          <w:sz w:val="22"/>
        </w:rPr>
      </w:pPr>
      <w:bookmarkStart w:id="160" w:name="_Toc306287499"/>
      <w:bookmarkStart w:id="161" w:name="_Toc306287676"/>
      <w:bookmarkStart w:id="162" w:name="_Toc342306229"/>
      <w:bookmarkStart w:id="163" w:name="_Toc326239327"/>
      <w:r>
        <w:rPr>
          <w:rFonts w:hint="eastAsia" w:ascii="宋体" w:hAnsi="宋体" w:cs="宋体"/>
          <w:b/>
          <w:sz w:val="22"/>
        </w:rPr>
        <w:t>33．进度计划和报告</w:t>
      </w:r>
      <w:bookmarkEnd w:id="160"/>
      <w:bookmarkEnd w:id="161"/>
      <w:bookmarkEnd w:id="162"/>
      <w:bookmarkEnd w:id="163"/>
    </w:p>
    <w:p>
      <w:pPr>
        <w:autoSpaceDE w:val="0"/>
        <w:autoSpaceDN w:val="0"/>
        <w:adjustRightInd w:val="0"/>
        <w:spacing w:line="360" w:lineRule="auto"/>
        <w:ind w:left="420" w:leftChars="200"/>
        <w:jc w:val="left"/>
        <w:rPr>
          <w:rFonts w:ascii="宋体" w:hAnsi="宋体" w:cs="宋体"/>
          <w:dstrike/>
          <w:sz w:val="22"/>
        </w:rPr>
      </w:pPr>
      <w:r>
        <w:rPr>
          <w:rFonts w:hint="eastAsia" w:ascii="宋体" w:hAnsi="宋体" w:cs="宋体"/>
          <w:sz w:val="22"/>
        </w:rPr>
        <w:t>33.3 承包人编制施工进度报告和修订进度计划的时间要求：按通用条款约定。</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此项增加33.5条：</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33.5 发包人根据经审定的承包人完成工程量情况，承包商应在每月 20 日前向工程监理工程师申报本月份的工程进度表，作为申请拨付工程进度款的依据。</w:t>
      </w:r>
    </w:p>
    <w:p>
      <w:pPr>
        <w:autoSpaceDE w:val="0"/>
        <w:autoSpaceDN w:val="0"/>
        <w:adjustRightInd w:val="0"/>
        <w:spacing w:before="360" w:beforeLines="150" w:line="360" w:lineRule="auto"/>
        <w:jc w:val="left"/>
        <w:outlineLvl w:val="2"/>
        <w:rPr>
          <w:rFonts w:ascii="宋体" w:hAnsi="宋体" w:cs="宋体"/>
          <w:b/>
          <w:sz w:val="22"/>
        </w:rPr>
      </w:pPr>
      <w:bookmarkStart w:id="164" w:name="_Toc306287500"/>
      <w:bookmarkStart w:id="165" w:name="_Toc306287677"/>
      <w:bookmarkStart w:id="166" w:name="_Toc342306230"/>
      <w:bookmarkStart w:id="167" w:name="_Toc326239328"/>
      <w:r>
        <w:rPr>
          <w:rFonts w:hint="eastAsia" w:ascii="宋体" w:hAnsi="宋体" w:cs="宋体"/>
          <w:b/>
          <w:sz w:val="22"/>
        </w:rPr>
        <w:t>34．开工</w:t>
      </w:r>
      <w:bookmarkEnd w:id="164"/>
      <w:bookmarkEnd w:id="165"/>
      <w:bookmarkEnd w:id="166"/>
      <w:bookmarkEnd w:id="167"/>
    </w:p>
    <w:p>
      <w:pPr>
        <w:tabs>
          <w:tab w:val="left" w:pos="1485"/>
          <w:tab w:val="left" w:pos="5445"/>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34.2 监理工程师在本合同签订后的（    ）内签发开工令。</w:t>
      </w:r>
    </w:p>
    <w:p>
      <w:pPr>
        <w:autoSpaceDE w:val="0"/>
        <w:autoSpaceDN w:val="0"/>
        <w:adjustRightInd w:val="0"/>
        <w:spacing w:line="360" w:lineRule="auto"/>
        <w:ind w:firstLine="880" w:firstLineChars="400"/>
        <w:jc w:val="left"/>
        <w:rPr>
          <w:rFonts w:ascii="宋体" w:hAnsi="宋体" w:cs="宋体"/>
          <w:sz w:val="22"/>
        </w:rPr>
      </w:pPr>
      <w:r>
        <w:rPr>
          <w:rFonts w:hint="eastAsia" w:ascii="宋体" w:hAnsi="宋体" w:cs="宋体"/>
          <w:sz w:val="22"/>
        </w:rPr>
        <w:t>□按合同通用条款规定的</w:t>
      </w:r>
      <w:r>
        <w:rPr>
          <w:rFonts w:hint="eastAsia" w:ascii="宋体" w:hAnsi="宋体" w:cs="宋体"/>
          <w:spacing w:val="-60"/>
          <w:sz w:val="22"/>
        </w:rPr>
        <w:t xml:space="preserve"> </w:t>
      </w:r>
      <w:r>
        <w:rPr>
          <w:rFonts w:hint="eastAsia" w:ascii="宋体" w:hAnsi="宋体" w:cs="宋体"/>
          <w:sz w:val="22"/>
        </w:rPr>
        <w:t>42 天。</w:t>
      </w:r>
    </w:p>
    <w:p>
      <w:pPr>
        <w:autoSpaceDE w:val="0"/>
        <w:autoSpaceDN w:val="0"/>
        <w:adjustRightInd w:val="0"/>
        <w:spacing w:line="360" w:lineRule="auto"/>
        <w:ind w:firstLine="880" w:firstLineChars="400"/>
        <w:jc w:val="left"/>
        <w:rPr>
          <w:rFonts w:ascii="宋体" w:hAnsi="宋体" w:cs="宋体"/>
          <w:b/>
          <w:sz w:val="22"/>
        </w:rPr>
      </w:pPr>
      <w:r>
        <w:rPr>
          <w:rFonts w:hint="eastAsia" w:ascii="宋体" w:hAnsi="宋体" w:cs="宋体"/>
          <w:sz w:val="22"/>
        </w:rPr>
        <w:t>■其他时间：</w:t>
      </w:r>
      <w:r>
        <w:rPr>
          <w:rFonts w:hint="eastAsia" w:ascii="宋体" w:hAnsi="宋体" w:cs="宋体"/>
          <w:sz w:val="22"/>
          <w:u w:val="single"/>
        </w:rPr>
        <w:t xml:space="preserve">  7天   </w:t>
      </w:r>
      <w:r>
        <w:rPr>
          <w:rFonts w:hint="eastAsia" w:ascii="宋体" w:hAnsi="宋体" w:cs="宋体"/>
          <w:sz w:val="22"/>
        </w:rPr>
        <w:t>。</w:t>
      </w:r>
    </w:p>
    <w:p>
      <w:pPr>
        <w:autoSpaceDE w:val="0"/>
        <w:autoSpaceDN w:val="0"/>
        <w:adjustRightInd w:val="0"/>
        <w:spacing w:before="360" w:beforeLines="150" w:line="360" w:lineRule="auto"/>
        <w:jc w:val="left"/>
        <w:outlineLvl w:val="2"/>
        <w:rPr>
          <w:rFonts w:ascii="宋体" w:hAnsi="宋体" w:cs="宋体"/>
          <w:b/>
          <w:sz w:val="22"/>
        </w:rPr>
      </w:pPr>
      <w:bookmarkStart w:id="168" w:name="_Toc342306231"/>
      <w:bookmarkStart w:id="169" w:name="_Toc306287678"/>
      <w:bookmarkStart w:id="170" w:name="_Toc306287501"/>
      <w:bookmarkStart w:id="171" w:name="_Toc326239329"/>
      <w:r>
        <w:rPr>
          <w:rFonts w:hint="eastAsia" w:ascii="宋体" w:hAnsi="宋体" w:cs="宋体"/>
          <w:b/>
          <w:sz w:val="22"/>
        </w:rPr>
        <w:t>35．暂停施工和复工</w:t>
      </w:r>
      <w:bookmarkEnd w:id="168"/>
      <w:bookmarkEnd w:id="169"/>
      <w:bookmarkEnd w:id="170"/>
      <w:bookmarkEnd w:id="171"/>
    </w:p>
    <w:p>
      <w:pPr>
        <w:tabs>
          <w:tab w:val="left" w:pos="1365"/>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35.4 发包人、承包人原因和不可抗力因素造成暂停施工的其他情形：</w:t>
      </w:r>
      <w:r>
        <w:rPr>
          <w:rFonts w:hint="eastAsia" w:ascii="宋体" w:hAnsi="宋体" w:cs="宋体"/>
          <w:sz w:val="22"/>
          <w:u w:val="single"/>
        </w:rPr>
        <w:t>按通用条款</w:t>
      </w:r>
      <w:r>
        <w:rPr>
          <w:rFonts w:hint="eastAsia" w:ascii="宋体" w:hAnsi="宋体" w:cs="宋体"/>
          <w:sz w:val="22"/>
        </w:rPr>
        <w:t>。</w:t>
      </w:r>
    </w:p>
    <w:p>
      <w:pPr>
        <w:autoSpaceDE w:val="0"/>
        <w:autoSpaceDN w:val="0"/>
        <w:adjustRightInd w:val="0"/>
        <w:spacing w:before="360" w:beforeLines="150" w:line="360" w:lineRule="auto"/>
        <w:jc w:val="left"/>
        <w:outlineLvl w:val="2"/>
        <w:rPr>
          <w:rFonts w:ascii="宋体" w:hAnsi="宋体" w:cs="宋体"/>
          <w:b/>
          <w:sz w:val="22"/>
        </w:rPr>
      </w:pPr>
      <w:bookmarkStart w:id="172" w:name="_Toc306287679"/>
      <w:bookmarkStart w:id="173" w:name="_Toc306287502"/>
      <w:bookmarkStart w:id="174" w:name="_Toc326239330"/>
      <w:bookmarkStart w:id="175" w:name="_Toc342306232"/>
      <w:r>
        <w:rPr>
          <w:rFonts w:hint="eastAsia" w:ascii="宋体" w:hAnsi="宋体" w:cs="宋体"/>
          <w:b/>
          <w:sz w:val="22"/>
        </w:rPr>
        <w:t>36．工期及工期延误</w:t>
      </w:r>
      <w:bookmarkEnd w:id="172"/>
      <w:bookmarkEnd w:id="173"/>
      <w:bookmarkEnd w:id="174"/>
      <w:bookmarkEnd w:id="175"/>
    </w:p>
    <w:p>
      <w:pPr>
        <w:autoSpaceDE w:val="0"/>
        <w:autoSpaceDN w:val="0"/>
        <w:adjustRightInd w:val="0"/>
        <w:spacing w:line="360" w:lineRule="auto"/>
        <w:ind w:firstLine="440" w:firstLineChars="200"/>
        <w:jc w:val="left"/>
        <w:rPr>
          <w:rFonts w:ascii="宋体" w:hAnsi="宋体" w:cs="宋体"/>
          <w:sz w:val="22"/>
        </w:rPr>
      </w:pPr>
      <w:r>
        <w:rPr>
          <w:rFonts w:hint="eastAsia" w:ascii="宋体" w:hAnsi="宋体" w:cs="宋体"/>
          <w:sz w:val="22"/>
        </w:rPr>
        <w:t>36.1 合同工程的工期约定为（  ）天。</w:t>
      </w:r>
    </w:p>
    <w:p>
      <w:pPr>
        <w:autoSpaceDE w:val="0"/>
        <w:autoSpaceDN w:val="0"/>
        <w:adjustRightInd w:val="0"/>
        <w:spacing w:line="360" w:lineRule="auto"/>
        <w:ind w:left="420" w:leftChars="200" w:firstLine="440" w:firstLineChars="200"/>
        <w:jc w:val="left"/>
        <w:rPr>
          <w:rFonts w:ascii="宋体" w:hAnsi="宋体" w:cs="宋体"/>
          <w:sz w:val="22"/>
        </w:rPr>
      </w:pPr>
      <w:r>
        <w:rPr>
          <w:rFonts w:hint="eastAsia" w:ascii="宋体" w:hAnsi="宋体" w:cs="宋体"/>
          <w:sz w:val="22"/>
        </w:rPr>
        <w:t>(1)</w:t>
      </w:r>
      <w:r>
        <w:rPr>
          <w:rFonts w:hint="eastAsia" w:ascii="宋体" w:hAnsi="宋体" w:cs="宋体"/>
          <w:sz w:val="22"/>
          <w:u w:val="single"/>
        </w:rPr>
        <w:t xml:space="preserve">           /         </w:t>
      </w:r>
      <w:r>
        <w:rPr>
          <w:rFonts w:hint="eastAsia" w:ascii="宋体" w:hAnsi="宋体" w:cs="宋体"/>
          <w:sz w:val="22"/>
        </w:rPr>
        <w:t>（工程名称）单项（位）工程的工期约定为</w:t>
      </w:r>
      <w:r>
        <w:rPr>
          <w:rFonts w:hint="eastAsia" w:ascii="宋体" w:hAnsi="宋体" w:cs="宋体"/>
          <w:sz w:val="22"/>
          <w:u w:val="single"/>
        </w:rPr>
        <w:t xml:space="preserve">   /   </w:t>
      </w:r>
      <w:r>
        <w:rPr>
          <w:rFonts w:hint="eastAsia" w:ascii="宋体" w:hAnsi="宋体" w:cs="宋体"/>
          <w:sz w:val="22"/>
        </w:rPr>
        <w:t>天。</w:t>
      </w:r>
    </w:p>
    <w:p>
      <w:pPr>
        <w:autoSpaceDE w:val="0"/>
        <w:autoSpaceDN w:val="0"/>
        <w:adjustRightInd w:val="0"/>
        <w:spacing w:line="360" w:lineRule="auto"/>
        <w:ind w:left="420" w:leftChars="200" w:firstLine="440" w:firstLineChars="200"/>
        <w:jc w:val="left"/>
        <w:rPr>
          <w:rFonts w:ascii="宋体" w:hAnsi="宋体" w:cs="宋体"/>
          <w:sz w:val="22"/>
        </w:rPr>
      </w:pPr>
      <w:r>
        <w:rPr>
          <w:rFonts w:hint="eastAsia" w:ascii="宋体" w:hAnsi="宋体" w:cs="宋体"/>
          <w:sz w:val="22"/>
        </w:rPr>
        <w:t>(2)</w:t>
      </w:r>
      <w:r>
        <w:rPr>
          <w:rFonts w:hint="eastAsia" w:ascii="宋体" w:hAnsi="宋体" w:cs="宋体"/>
          <w:sz w:val="22"/>
          <w:u w:val="single"/>
        </w:rPr>
        <w:t xml:space="preserve">            /        </w:t>
      </w:r>
      <w:r>
        <w:rPr>
          <w:rFonts w:hint="eastAsia" w:ascii="宋体" w:hAnsi="宋体" w:cs="宋体"/>
          <w:sz w:val="22"/>
        </w:rPr>
        <w:t>（工程名称）单项（位）工程的工期约定为</w:t>
      </w:r>
      <w:r>
        <w:rPr>
          <w:rFonts w:hint="eastAsia" w:ascii="宋体" w:hAnsi="宋体" w:cs="宋体"/>
          <w:sz w:val="22"/>
          <w:u w:val="single"/>
        </w:rPr>
        <w:t xml:space="preserve">  /  </w:t>
      </w:r>
      <w:r>
        <w:rPr>
          <w:rFonts w:hint="eastAsia" w:ascii="宋体" w:hAnsi="宋体" w:cs="宋体"/>
          <w:sz w:val="22"/>
        </w:rPr>
        <w:t>天。</w:t>
      </w:r>
    </w:p>
    <w:p>
      <w:pPr>
        <w:autoSpaceDE w:val="0"/>
        <w:autoSpaceDN w:val="0"/>
        <w:adjustRightInd w:val="0"/>
        <w:spacing w:before="360" w:beforeLines="150" w:line="360" w:lineRule="auto"/>
        <w:jc w:val="left"/>
        <w:outlineLvl w:val="2"/>
        <w:rPr>
          <w:rFonts w:ascii="宋体" w:hAnsi="宋体" w:cs="宋体"/>
          <w:b/>
          <w:sz w:val="22"/>
        </w:rPr>
      </w:pPr>
      <w:bookmarkStart w:id="176" w:name="_Toc306287680"/>
      <w:bookmarkStart w:id="177" w:name="_Toc306287503"/>
      <w:bookmarkStart w:id="178" w:name="_Toc326239331"/>
      <w:bookmarkStart w:id="179" w:name="_Toc342306233"/>
      <w:r>
        <w:rPr>
          <w:rFonts w:hint="eastAsia" w:ascii="宋体" w:hAnsi="宋体" w:cs="宋体"/>
          <w:b/>
          <w:sz w:val="22"/>
        </w:rPr>
        <w:t>38．竣工</w:t>
      </w:r>
      <w:bookmarkEnd w:id="176"/>
      <w:bookmarkEnd w:id="177"/>
      <w:r>
        <w:rPr>
          <w:rFonts w:hint="eastAsia" w:ascii="宋体" w:hAnsi="宋体" w:cs="宋体"/>
          <w:b/>
          <w:sz w:val="22"/>
        </w:rPr>
        <w:t>日期</w:t>
      </w:r>
      <w:bookmarkEnd w:id="178"/>
      <w:bookmarkEnd w:id="179"/>
    </w:p>
    <w:p>
      <w:pPr>
        <w:tabs>
          <w:tab w:val="left" w:pos="1365"/>
        </w:tabs>
        <w:autoSpaceDE w:val="0"/>
        <w:autoSpaceDN w:val="0"/>
        <w:adjustRightInd w:val="0"/>
        <w:spacing w:line="360" w:lineRule="auto"/>
        <w:ind w:left="420" w:leftChars="200"/>
        <w:jc w:val="left"/>
        <w:rPr>
          <w:rFonts w:ascii="宋体" w:hAnsi="宋体" w:cs="宋体"/>
          <w:sz w:val="22"/>
          <w:u w:val="single"/>
        </w:rPr>
      </w:pPr>
      <w:r>
        <w:rPr>
          <w:rFonts w:hint="eastAsia" w:ascii="宋体" w:hAnsi="宋体" w:cs="宋体"/>
          <w:sz w:val="22"/>
        </w:rPr>
        <w:t>38.1 计划竣工日期：</w:t>
      </w:r>
      <w:r>
        <w:rPr>
          <w:rFonts w:hint="eastAsia" w:ascii="宋体" w:hAnsi="宋体" w:cs="宋体"/>
          <w:sz w:val="22"/>
          <w:u w:val="single"/>
        </w:rPr>
        <w:t xml:space="preserve">   /     </w:t>
      </w:r>
      <w:r>
        <w:rPr>
          <w:rFonts w:hint="eastAsia" w:ascii="宋体" w:hAnsi="宋体" w:cs="宋体"/>
          <w:sz w:val="22"/>
        </w:rPr>
        <w:t>。</w:t>
      </w:r>
    </w:p>
    <w:p>
      <w:pPr>
        <w:autoSpaceDE w:val="0"/>
        <w:autoSpaceDN w:val="0"/>
        <w:adjustRightInd w:val="0"/>
        <w:spacing w:before="360" w:beforeLines="150" w:line="360" w:lineRule="auto"/>
        <w:jc w:val="left"/>
        <w:outlineLvl w:val="2"/>
        <w:rPr>
          <w:rFonts w:ascii="宋体" w:hAnsi="宋体" w:cs="宋体"/>
          <w:b/>
          <w:sz w:val="22"/>
        </w:rPr>
      </w:pPr>
      <w:bookmarkStart w:id="180" w:name="_Toc326239332"/>
      <w:bookmarkStart w:id="181" w:name="_Toc342306234"/>
      <w:r>
        <w:rPr>
          <w:rFonts w:hint="eastAsia" w:ascii="宋体" w:hAnsi="宋体" w:cs="宋体"/>
          <w:b/>
          <w:sz w:val="22"/>
        </w:rPr>
        <w:t>41．质量与安全管理</w:t>
      </w:r>
      <w:bookmarkEnd w:id="180"/>
      <w:bookmarkEnd w:id="181"/>
    </w:p>
    <w:p>
      <w:pPr>
        <w:tabs>
          <w:tab w:val="left" w:pos="1485"/>
          <w:tab w:val="left" w:pos="5445"/>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41.3 项补充：承包人必须建立并健全全面质量管理体系、施工质量检验制度和综合施工质量水平评定考核制度，严格按照操作工艺流程、技术要求施工，设置具备资格的各级技术管理和质量检查人员。</w:t>
      </w:r>
    </w:p>
    <w:p>
      <w:pPr>
        <w:autoSpaceDE w:val="0"/>
        <w:autoSpaceDN w:val="0"/>
        <w:adjustRightInd w:val="0"/>
        <w:spacing w:before="360" w:beforeLines="150" w:line="360" w:lineRule="auto"/>
        <w:jc w:val="left"/>
        <w:outlineLvl w:val="2"/>
        <w:rPr>
          <w:rFonts w:ascii="宋体" w:hAnsi="宋体" w:cs="宋体"/>
          <w:b/>
          <w:sz w:val="22"/>
        </w:rPr>
      </w:pPr>
      <w:bookmarkStart w:id="182" w:name="_Toc326239333"/>
      <w:bookmarkStart w:id="183" w:name="_Toc306287681"/>
      <w:bookmarkStart w:id="184" w:name="_Toc306287504"/>
      <w:bookmarkStart w:id="185" w:name="_Toc342306235"/>
      <w:r>
        <w:rPr>
          <w:rFonts w:hint="eastAsia" w:ascii="宋体" w:hAnsi="宋体" w:cs="宋体"/>
          <w:b/>
          <w:sz w:val="22"/>
        </w:rPr>
        <w:t>42．质量目标</w:t>
      </w:r>
      <w:bookmarkEnd w:id="182"/>
      <w:bookmarkEnd w:id="183"/>
      <w:bookmarkEnd w:id="184"/>
      <w:bookmarkEnd w:id="185"/>
    </w:p>
    <w:p>
      <w:pPr>
        <w:tabs>
          <w:tab w:val="left" w:pos="1365"/>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42.1 工程质量标准：</w:t>
      </w:r>
      <w:r>
        <w:rPr>
          <w:rFonts w:hint="eastAsia" w:ascii="宋体" w:hAnsi="宋体" w:cs="宋体"/>
          <w:sz w:val="22"/>
          <w:u w:val="single"/>
        </w:rPr>
        <w:t>按招标文件约定</w:t>
      </w:r>
      <w:r>
        <w:rPr>
          <w:rFonts w:hint="eastAsia" w:ascii="宋体" w:hAnsi="宋体" w:cs="宋体"/>
          <w:sz w:val="22"/>
        </w:rPr>
        <w:t>。</w:t>
      </w:r>
    </w:p>
    <w:p>
      <w:pPr>
        <w:tabs>
          <w:tab w:val="left" w:pos="1365"/>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42.3 项补充：</w:t>
      </w:r>
    </w:p>
    <w:p>
      <w:pPr>
        <w:numPr>
          <w:ilvl w:val="0"/>
          <w:numId w:val="7"/>
        </w:numPr>
        <w:tabs>
          <w:tab w:val="left" w:pos="1365"/>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承包人采用的任何施工方案和技术措施若需事先经有关部门审查批准的，承包人均应取得相关批准后才能施工。</w:t>
      </w:r>
    </w:p>
    <w:p>
      <w:pPr>
        <w:numPr>
          <w:ilvl w:val="0"/>
          <w:numId w:val="7"/>
        </w:numPr>
        <w:tabs>
          <w:tab w:val="left" w:pos="1365"/>
        </w:tabs>
        <w:autoSpaceDE w:val="0"/>
        <w:autoSpaceDN w:val="0"/>
        <w:adjustRightInd w:val="0"/>
        <w:spacing w:line="360" w:lineRule="auto"/>
        <w:ind w:left="420" w:leftChars="200"/>
        <w:jc w:val="left"/>
        <w:rPr>
          <w:rFonts w:ascii="宋体" w:hAnsi="宋体" w:cs="宋体"/>
          <w:sz w:val="22"/>
          <w:szCs w:val="20"/>
        </w:rPr>
      </w:pPr>
      <w:r>
        <w:rPr>
          <w:rFonts w:hint="eastAsia" w:ascii="宋体" w:hAnsi="宋体" w:cs="宋体"/>
          <w:sz w:val="22"/>
          <w:szCs w:val="20"/>
        </w:rPr>
        <w:t>承包人服从监理单位安全文明管理，发包人及监理单位和总包单位有权按规定及</w:t>
      </w:r>
    </w:p>
    <w:p>
      <w:pPr>
        <w:tabs>
          <w:tab w:val="left" w:pos="1365"/>
        </w:tabs>
        <w:autoSpaceDE w:val="0"/>
        <w:autoSpaceDN w:val="0"/>
        <w:adjustRightInd w:val="0"/>
        <w:spacing w:line="360" w:lineRule="auto"/>
        <w:jc w:val="left"/>
        <w:rPr>
          <w:rFonts w:ascii="宋体" w:hAnsi="宋体" w:cs="宋体"/>
          <w:sz w:val="22"/>
          <w:szCs w:val="20"/>
        </w:rPr>
      </w:pPr>
      <w:r>
        <w:rPr>
          <w:rFonts w:hint="eastAsia" w:ascii="宋体" w:hAnsi="宋体" w:cs="宋体"/>
          <w:sz w:val="22"/>
          <w:szCs w:val="20"/>
        </w:rPr>
        <w:t xml:space="preserve">    招标文件对影响安全文明施工的行为做出违约扣款。违约扣款如招标文件有细则约定， </w:t>
      </w:r>
    </w:p>
    <w:p>
      <w:pPr>
        <w:tabs>
          <w:tab w:val="left" w:pos="1365"/>
        </w:tabs>
        <w:autoSpaceDE w:val="0"/>
        <w:autoSpaceDN w:val="0"/>
        <w:adjustRightInd w:val="0"/>
        <w:spacing w:line="360" w:lineRule="auto"/>
        <w:jc w:val="left"/>
        <w:rPr>
          <w:rFonts w:ascii="宋体" w:hAnsi="宋体" w:cs="宋体"/>
          <w:sz w:val="22"/>
          <w:szCs w:val="20"/>
        </w:rPr>
      </w:pPr>
      <w:r>
        <w:rPr>
          <w:rFonts w:hint="eastAsia" w:ascii="宋体" w:hAnsi="宋体" w:cs="宋体"/>
          <w:sz w:val="22"/>
          <w:szCs w:val="20"/>
        </w:rPr>
        <w:t xml:space="preserve">    按招标文件规定执行；如招标文件无规定，则按：承包人的原因造成的一般性安全事</w:t>
      </w:r>
    </w:p>
    <w:p>
      <w:pPr>
        <w:tabs>
          <w:tab w:val="left" w:pos="1365"/>
        </w:tabs>
        <w:autoSpaceDE w:val="0"/>
        <w:autoSpaceDN w:val="0"/>
        <w:adjustRightInd w:val="0"/>
        <w:spacing w:line="360" w:lineRule="auto"/>
        <w:jc w:val="left"/>
        <w:rPr>
          <w:rFonts w:ascii="宋体" w:hAnsi="宋体" w:cs="宋体"/>
          <w:sz w:val="22"/>
          <w:szCs w:val="20"/>
        </w:rPr>
      </w:pPr>
      <w:r>
        <w:rPr>
          <w:rFonts w:hint="eastAsia" w:ascii="宋体" w:hAnsi="宋体" w:cs="宋体"/>
          <w:sz w:val="22"/>
          <w:szCs w:val="20"/>
        </w:rPr>
        <w:t xml:space="preserve">    故，每次扣5万元；重大安全事故，每次扣10万元；特大安全事故，每次扣20万元；如</w:t>
      </w:r>
    </w:p>
    <w:p>
      <w:pPr>
        <w:tabs>
          <w:tab w:val="left" w:pos="1365"/>
        </w:tabs>
        <w:autoSpaceDE w:val="0"/>
        <w:autoSpaceDN w:val="0"/>
        <w:adjustRightInd w:val="0"/>
        <w:spacing w:line="360" w:lineRule="auto"/>
        <w:jc w:val="left"/>
        <w:rPr>
          <w:rFonts w:ascii="宋体" w:hAnsi="宋体" w:cs="宋体"/>
          <w:sz w:val="22"/>
          <w:szCs w:val="20"/>
        </w:rPr>
      </w:pPr>
      <w:r>
        <w:rPr>
          <w:rFonts w:hint="eastAsia" w:ascii="宋体" w:hAnsi="宋体" w:cs="宋体"/>
          <w:sz w:val="22"/>
          <w:szCs w:val="20"/>
        </w:rPr>
        <w:t xml:space="preserve">    未按照发包人文明施工要求执行，发两次书面整改通知单无效后，每次扣3万元；由总</w:t>
      </w:r>
    </w:p>
    <w:p>
      <w:pPr>
        <w:tabs>
          <w:tab w:val="left" w:pos="1365"/>
        </w:tabs>
        <w:autoSpaceDE w:val="0"/>
        <w:autoSpaceDN w:val="0"/>
        <w:adjustRightInd w:val="0"/>
        <w:spacing w:line="360" w:lineRule="auto"/>
        <w:jc w:val="left"/>
        <w:rPr>
          <w:rFonts w:ascii="宋体" w:hAnsi="宋体" w:cs="宋体"/>
          <w:sz w:val="22"/>
          <w:szCs w:val="20"/>
        </w:rPr>
      </w:pPr>
      <w:r>
        <w:rPr>
          <w:rFonts w:hint="eastAsia" w:ascii="宋体" w:hAnsi="宋体" w:cs="宋体"/>
          <w:sz w:val="22"/>
          <w:szCs w:val="20"/>
        </w:rPr>
        <w:t xml:space="preserve">    包、监理、发包人确定后费用直接从工程款内扣除。发生责任安全事故的，承包人除</w:t>
      </w:r>
    </w:p>
    <w:p>
      <w:pPr>
        <w:tabs>
          <w:tab w:val="left" w:pos="1365"/>
        </w:tabs>
        <w:autoSpaceDE w:val="0"/>
        <w:autoSpaceDN w:val="0"/>
        <w:adjustRightInd w:val="0"/>
        <w:spacing w:line="360" w:lineRule="auto"/>
        <w:jc w:val="left"/>
        <w:rPr>
          <w:rFonts w:ascii="宋体" w:hAnsi="宋体" w:cs="宋体"/>
          <w:sz w:val="22"/>
        </w:rPr>
      </w:pPr>
      <w:r>
        <w:rPr>
          <w:rFonts w:hint="eastAsia" w:ascii="宋体" w:hAnsi="宋体" w:cs="宋体"/>
          <w:sz w:val="22"/>
          <w:szCs w:val="20"/>
        </w:rPr>
        <w:t xml:space="preserve">    应接受经济处罚外，还应及时采取必要的补救措施，赔偿相关方的损失。</w:t>
      </w:r>
    </w:p>
    <w:p>
      <w:pPr>
        <w:autoSpaceDE w:val="0"/>
        <w:autoSpaceDN w:val="0"/>
        <w:adjustRightInd w:val="0"/>
        <w:spacing w:before="360" w:beforeLines="150" w:line="360" w:lineRule="auto"/>
        <w:jc w:val="left"/>
        <w:outlineLvl w:val="2"/>
        <w:rPr>
          <w:rFonts w:ascii="宋体" w:hAnsi="宋体" w:cs="宋体"/>
          <w:b/>
          <w:sz w:val="22"/>
        </w:rPr>
      </w:pPr>
      <w:bookmarkStart w:id="186" w:name="_Toc306287505"/>
      <w:bookmarkStart w:id="187" w:name="_Toc306287682"/>
      <w:bookmarkStart w:id="188" w:name="_Toc326239334"/>
      <w:bookmarkStart w:id="189" w:name="_Toc342306236"/>
      <w:r>
        <w:rPr>
          <w:rFonts w:hint="eastAsia" w:ascii="宋体" w:hAnsi="宋体" w:cs="宋体"/>
          <w:b/>
          <w:sz w:val="22"/>
        </w:rPr>
        <w:t>45．安全文明施工与环境保护</w:t>
      </w:r>
      <w:bookmarkEnd w:id="186"/>
      <w:bookmarkEnd w:id="187"/>
      <w:bookmarkEnd w:id="188"/>
      <w:bookmarkEnd w:id="189"/>
    </w:p>
    <w:p>
      <w:pPr>
        <w:tabs>
          <w:tab w:val="left" w:pos="1485"/>
        </w:tabs>
        <w:autoSpaceDE w:val="0"/>
        <w:autoSpaceDN w:val="0"/>
        <w:adjustRightInd w:val="0"/>
        <w:spacing w:line="360" w:lineRule="auto"/>
        <w:ind w:left="420" w:leftChars="200"/>
        <w:jc w:val="left"/>
        <w:rPr>
          <w:rFonts w:ascii="宋体" w:hAnsi="宋体" w:cs="宋体"/>
          <w:sz w:val="22"/>
          <w:u w:val="single"/>
        </w:rPr>
      </w:pPr>
      <w:r>
        <w:rPr>
          <w:rFonts w:hint="eastAsia" w:ascii="宋体" w:hAnsi="宋体" w:cs="宋体"/>
          <w:sz w:val="22"/>
        </w:rPr>
        <w:t>45.1 安全文明施工的内容：</w:t>
      </w:r>
      <w:r>
        <w:rPr>
          <w:rFonts w:hint="eastAsia" w:ascii="宋体" w:hAnsi="宋体" w:cs="宋体"/>
          <w:sz w:val="22"/>
          <w:u w:val="single"/>
        </w:rPr>
        <w:t>按通用条款</w:t>
      </w:r>
      <w:r>
        <w:rPr>
          <w:rFonts w:hint="eastAsia" w:ascii="宋体" w:hAnsi="宋体" w:cs="宋体"/>
          <w:sz w:val="22"/>
        </w:rPr>
        <w:t>。</w:t>
      </w:r>
    </w:p>
    <w:p>
      <w:pPr>
        <w:tabs>
          <w:tab w:val="left" w:pos="1485"/>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45.3 项补充（8）、（9）、（10）、（11）：</w:t>
      </w:r>
    </w:p>
    <w:p>
      <w:pPr>
        <w:tabs>
          <w:tab w:val="left" w:pos="1485"/>
        </w:tabs>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（8）承包人必须按照广州市建设委员会【穗建筑〔2006〕635 号】、【穗建筑[2006]668 号】文件规定办理建设工程平安卡；按照《关于加强建设工地民工安全教育和现场出入管理的通知》【穗建筑[2006]655号】的规定，加强对施工人员、材料、设备的进出工地管理。</w:t>
      </w:r>
    </w:p>
    <w:p>
      <w:pPr>
        <w:tabs>
          <w:tab w:val="left" w:pos="1485"/>
        </w:tabs>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9）落实安全生产三级教育制度。未经承包人组织进行安全生产教育并考核合格，且未与用工单位依法签订书面劳动合同的人员，工程监理单位将不确认其进入施工现场作业资格；施工使用的材料和机具设备应按规定进行质量安全检测，未经工程监理单位按规定确认的作业人员、施工材料和机具设备不得进入施工现场；对已进场的施工材料和机具设备必须坚持动态管理，定期安全检查，不合格的坚决停用，并清出施工现场；施工机械操作人员必须建立机组责任制，并依照有关规定持证上岗，严禁无证操作。</w:t>
      </w:r>
    </w:p>
    <w:p>
      <w:pPr>
        <w:tabs>
          <w:tab w:val="left" w:pos="1485"/>
        </w:tabs>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10）承包人应按照《关于加强市政重点工程文明施工管理的通知》【穗建筑[2006]411号】、《广州市建设工程现场文明施工管理办法》（穗建质【2008】937号）、《关于进一步规范建设工程施工现场围蔽的通知》（穗建质【2008】1008号）、《关于再一次明确市政工程施工围蔽设置要求的通知》【穗市政园林函[2009]265号】等的规定做好现场文明施工的管理工作。施工临时占用人行道、车道等设施，由承包人办理有关手续，发包人协助，所需费用由承包人负责。同时承包人有责任协助公安、交通等部门维护所在现场地段的交通与人流，既保证施工安全，也保护车辆和行人的畅通和安全。承包人的投标报价中已包含有关费用，并保证发包人免于受到或承担应由承包人负责的上述事项所引起的或与之有关的索赔、诉讼、以及其他开支或不良的影响。</w:t>
      </w:r>
    </w:p>
    <w:p>
      <w:pPr>
        <w:pStyle w:val="19"/>
        <w:spacing w:line="360" w:lineRule="auto"/>
        <w:rPr>
          <w:rFonts w:hAnsi="宋体" w:cs="宋体"/>
          <w:sz w:val="18"/>
        </w:rPr>
      </w:pPr>
      <w:r>
        <w:rPr>
          <w:rFonts w:hint="eastAsia" w:hAnsi="宋体" w:cs="宋体"/>
          <w:sz w:val="22"/>
          <w:szCs w:val="22"/>
        </w:rPr>
        <w:t xml:space="preserve">       （11）承包人应按照招标文件智能建造工作要求实施智慧工地管理。</w:t>
      </w:r>
    </w:p>
    <w:p>
      <w:pPr>
        <w:tabs>
          <w:tab w:val="left" w:pos="1365"/>
        </w:tabs>
        <w:autoSpaceDE w:val="0"/>
        <w:autoSpaceDN w:val="0"/>
        <w:adjustRightInd w:val="0"/>
        <w:spacing w:line="360" w:lineRule="auto"/>
        <w:ind w:left="420" w:leftChars="200"/>
        <w:jc w:val="left"/>
        <w:rPr>
          <w:rFonts w:ascii="宋体" w:hAnsi="宋体" w:cs="宋体"/>
          <w:sz w:val="22"/>
          <w:u w:val="single"/>
        </w:rPr>
      </w:pPr>
      <w:r>
        <w:rPr>
          <w:rFonts w:hint="eastAsia" w:ascii="宋体" w:hAnsi="宋体" w:cs="宋体"/>
          <w:sz w:val="22"/>
        </w:rPr>
        <w:t>45.5 治安管理的约定：</w:t>
      </w:r>
      <w:r>
        <w:rPr>
          <w:rFonts w:hint="eastAsia" w:ascii="宋体" w:hAnsi="宋体" w:cs="宋体"/>
          <w:sz w:val="22"/>
          <w:u w:val="single"/>
        </w:rPr>
        <w:t>按通用条款</w:t>
      </w:r>
      <w:r>
        <w:rPr>
          <w:rFonts w:hint="eastAsia" w:ascii="宋体" w:hAnsi="宋体" w:cs="宋体"/>
          <w:sz w:val="22"/>
        </w:rPr>
        <w:t>。</w:t>
      </w:r>
    </w:p>
    <w:p>
      <w:pPr>
        <w:autoSpaceDE w:val="0"/>
        <w:autoSpaceDN w:val="0"/>
        <w:adjustRightInd w:val="0"/>
        <w:spacing w:before="360" w:beforeLines="150" w:line="360" w:lineRule="auto"/>
        <w:jc w:val="left"/>
        <w:outlineLvl w:val="2"/>
        <w:rPr>
          <w:rFonts w:ascii="宋体" w:hAnsi="宋体" w:cs="宋体"/>
          <w:b/>
          <w:sz w:val="22"/>
        </w:rPr>
      </w:pPr>
      <w:bookmarkStart w:id="190" w:name="_Toc326239335"/>
      <w:bookmarkStart w:id="191" w:name="_Toc306287683"/>
      <w:bookmarkStart w:id="192" w:name="_Toc306287506"/>
      <w:bookmarkStart w:id="193" w:name="_Toc342306237"/>
      <w:r>
        <w:rPr>
          <w:rFonts w:hint="eastAsia" w:ascii="宋体" w:hAnsi="宋体" w:cs="宋体"/>
          <w:b/>
          <w:sz w:val="22"/>
        </w:rPr>
        <w:t>46．测量放线</w:t>
      </w:r>
      <w:bookmarkEnd w:id="190"/>
      <w:bookmarkEnd w:id="191"/>
      <w:bookmarkEnd w:id="192"/>
      <w:bookmarkEnd w:id="193"/>
    </w:p>
    <w:p>
      <w:pPr>
        <w:tabs>
          <w:tab w:val="left" w:pos="1485"/>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46.1 施工控制网资料提交的时间：</w:t>
      </w:r>
      <w:r>
        <w:rPr>
          <w:rFonts w:hint="eastAsia" w:ascii="宋体" w:hAnsi="宋体" w:cs="宋体"/>
          <w:sz w:val="22"/>
          <w:u w:val="single"/>
        </w:rPr>
        <w:t>监理工程师（发包人）向承包人提供原始基准点、基准线、基准高程等资料后7天内</w:t>
      </w:r>
      <w:r>
        <w:rPr>
          <w:rFonts w:hint="eastAsia" w:ascii="宋体" w:hAnsi="宋体" w:cs="宋体"/>
          <w:sz w:val="22"/>
        </w:rPr>
        <w:t>。</w:t>
      </w:r>
    </w:p>
    <w:p>
      <w:pPr>
        <w:tabs>
          <w:tab w:val="left" w:pos="1365"/>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46.4 测量放线误差的约定：</w:t>
      </w:r>
      <w:r>
        <w:rPr>
          <w:rFonts w:hint="eastAsia" w:ascii="宋体" w:hAnsi="宋体" w:cs="宋体"/>
          <w:sz w:val="22"/>
          <w:u w:val="single"/>
        </w:rPr>
        <w:t>按国家测量质量验收规范</w:t>
      </w:r>
      <w:r>
        <w:rPr>
          <w:rFonts w:hint="eastAsia" w:ascii="宋体" w:hAnsi="宋体" w:cs="宋体"/>
          <w:sz w:val="22"/>
        </w:rPr>
        <w:t>。</w:t>
      </w:r>
    </w:p>
    <w:p>
      <w:pPr>
        <w:autoSpaceDE w:val="0"/>
        <w:autoSpaceDN w:val="0"/>
        <w:adjustRightInd w:val="0"/>
        <w:spacing w:before="360" w:beforeLines="150" w:line="360" w:lineRule="auto"/>
        <w:jc w:val="left"/>
        <w:outlineLvl w:val="2"/>
        <w:rPr>
          <w:rFonts w:ascii="宋体" w:hAnsi="宋体" w:cs="宋体"/>
          <w:b/>
          <w:sz w:val="22"/>
        </w:rPr>
      </w:pPr>
      <w:bookmarkStart w:id="194" w:name="_Toc326239336"/>
      <w:bookmarkStart w:id="195" w:name="_Toc306287507"/>
      <w:bookmarkStart w:id="196" w:name="_Toc306287684"/>
      <w:bookmarkStart w:id="197" w:name="_Toc342306238"/>
      <w:r>
        <w:rPr>
          <w:rFonts w:hint="eastAsia" w:ascii="宋体" w:hAnsi="宋体" w:cs="宋体"/>
          <w:b/>
          <w:sz w:val="22"/>
        </w:rPr>
        <w:t>48．发包人供应材料和工程设备</w:t>
      </w:r>
      <w:bookmarkEnd w:id="194"/>
      <w:bookmarkEnd w:id="195"/>
      <w:bookmarkEnd w:id="196"/>
      <w:bookmarkEnd w:id="197"/>
    </w:p>
    <w:p>
      <w:pPr>
        <w:tabs>
          <w:tab w:val="left" w:pos="1485"/>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48.1 发包人是否供应材料设备</w:t>
      </w:r>
    </w:p>
    <w:p>
      <w:pPr>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sym w:font="Wingdings 2" w:char="00A3"/>
      </w:r>
      <w:r>
        <w:rPr>
          <w:rFonts w:hint="eastAsia" w:ascii="宋体" w:hAnsi="宋体" w:cs="宋体"/>
          <w:sz w:val="22"/>
        </w:rPr>
        <w:t>发包人不供应材料和工程设备，本条不适用。</w:t>
      </w:r>
    </w:p>
    <w:p>
      <w:pPr>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sym w:font="Wingdings 2" w:char="0052"/>
      </w:r>
      <w:r>
        <w:rPr>
          <w:rFonts w:hint="eastAsia" w:ascii="宋体" w:hAnsi="宋体" w:cs="宋体"/>
          <w:spacing w:val="1"/>
          <w:sz w:val="22"/>
        </w:rPr>
        <w:t>发包人供应材料和工程设备</w:t>
      </w:r>
      <w:r>
        <w:rPr>
          <w:rFonts w:hint="eastAsia" w:ascii="宋体" w:hAnsi="宋体" w:cs="宋体"/>
          <w:sz w:val="22"/>
        </w:rPr>
        <w:t>的</w:t>
      </w:r>
      <w:r>
        <w:rPr>
          <w:rFonts w:hint="eastAsia" w:ascii="宋体" w:hAnsi="宋体" w:cs="宋体"/>
          <w:spacing w:val="1"/>
          <w:sz w:val="22"/>
        </w:rPr>
        <w:t>，约定“发包人供应材料设备一览表</w:t>
      </w:r>
      <w:r>
        <w:rPr>
          <w:rFonts w:hint="eastAsia" w:ascii="宋体" w:hAnsi="宋体" w:cs="宋体"/>
          <w:spacing w:val="-119"/>
          <w:sz w:val="22"/>
        </w:rPr>
        <w:t>”</w:t>
      </w:r>
      <w:r>
        <w:rPr>
          <w:rFonts w:hint="eastAsia" w:ascii="宋体" w:hAnsi="宋体" w:cs="宋体"/>
          <w:sz w:val="22"/>
        </w:rPr>
        <w:t>，作为本合同的附件。</w:t>
      </w:r>
    </w:p>
    <w:p>
      <w:pPr>
        <w:tabs>
          <w:tab w:val="left" w:pos="1365"/>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48.8 发包人供应材料和工程设备的合同工程结算方式：</w:t>
      </w:r>
      <w:r>
        <w:rPr>
          <w:rFonts w:hint="eastAsia" w:ascii="宋体" w:hAnsi="宋体" w:cs="宋体"/>
          <w:sz w:val="22"/>
          <w:u w:val="single"/>
        </w:rPr>
        <w:t xml:space="preserve"> / </w:t>
      </w:r>
    </w:p>
    <w:p>
      <w:pPr>
        <w:autoSpaceDE w:val="0"/>
        <w:autoSpaceDN w:val="0"/>
        <w:adjustRightInd w:val="0"/>
        <w:spacing w:before="360" w:beforeLines="150" w:line="360" w:lineRule="auto"/>
        <w:jc w:val="left"/>
        <w:outlineLvl w:val="2"/>
        <w:rPr>
          <w:rFonts w:ascii="宋体" w:hAnsi="宋体" w:cs="宋体"/>
          <w:b/>
          <w:sz w:val="22"/>
        </w:rPr>
      </w:pPr>
      <w:bookmarkStart w:id="198" w:name="_Toc342306239"/>
      <w:bookmarkStart w:id="199" w:name="_Toc326239337"/>
      <w:bookmarkStart w:id="200" w:name="_Toc306287508"/>
      <w:bookmarkStart w:id="201" w:name="_Toc306287685"/>
      <w:r>
        <w:rPr>
          <w:rFonts w:hint="eastAsia" w:ascii="宋体" w:hAnsi="宋体" w:cs="宋体"/>
          <w:b/>
          <w:sz w:val="22"/>
        </w:rPr>
        <w:t>49．承包人采购材料和工程设备</w:t>
      </w:r>
      <w:bookmarkEnd w:id="198"/>
      <w:bookmarkEnd w:id="199"/>
      <w:bookmarkEnd w:id="200"/>
      <w:bookmarkEnd w:id="201"/>
    </w:p>
    <w:p>
      <w:pPr>
        <w:tabs>
          <w:tab w:val="left" w:pos="1485"/>
        </w:tabs>
        <w:autoSpaceDE w:val="0"/>
        <w:autoSpaceDN w:val="0"/>
        <w:adjustRightInd w:val="0"/>
        <w:spacing w:line="360" w:lineRule="auto"/>
        <w:ind w:left="420" w:leftChars="200"/>
        <w:jc w:val="left"/>
        <w:rPr>
          <w:rFonts w:ascii="宋体" w:hAnsi="宋体" w:cs="宋体"/>
          <w:sz w:val="22"/>
          <w:u w:val="single"/>
        </w:rPr>
      </w:pPr>
      <w:r>
        <w:rPr>
          <w:rFonts w:hint="eastAsia" w:ascii="宋体" w:hAnsi="宋体" w:cs="宋体"/>
          <w:sz w:val="22"/>
        </w:rPr>
        <w:t>49.1 承包人采购的材料和工程设备：</w:t>
      </w:r>
      <w:r>
        <w:rPr>
          <w:rFonts w:hint="eastAsia" w:ascii="宋体" w:hAnsi="宋体" w:cs="宋体"/>
          <w:sz w:val="22"/>
          <w:szCs w:val="20"/>
          <w:u w:val="single"/>
        </w:rPr>
        <w:t>按投标文件，如投标文件与招标文件要求不符，发包人提出修正，承包人须按招标文件要求修正，费用不做调整。</w:t>
      </w:r>
    </w:p>
    <w:p>
      <w:pPr>
        <w:tabs>
          <w:tab w:val="left" w:pos="1365"/>
        </w:tabs>
        <w:autoSpaceDE w:val="0"/>
        <w:autoSpaceDN w:val="0"/>
        <w:adjustRightInd w:val="0"/>
        <w:spacing w:line="360" w:lineRule="auto"/>
        <w:ind w:left="420" w:leftChars="200"/>
        <w:jc w:val="left"/>
        <w:rPr>
          <w:rFonts w:ascii="宋体" w:hAnsi="宋体" w:cs="宋体"/>
          <w:sz w:val="22"/>
          <w:u w:val="single"/>
        </w:rPr>
      </w:pPr>
      <w:r>
        <w:rPr>
          <w:rFonts w:hint="eastAsia" w:ascii="宋体" w:hAnsi="宋体" w:cs="宋体"/>
          <w:position w:val="-2"/>
          <w:sz w:val="22"/>
        </w:rPr>
        <w:t>49.2 承包人供货与清点要求：</w:t>
      </w:r>
      <w:r>
        <w:rPr>
          <w:rFonts w:hint="eastAsia" w:ascii="宋体" w:hAnsi="宋体" w:cs="宋体"/>
          <w:sz w:val="22"/>
          <w:u w:val="single"/>
        </w:rPr>
        <w:t xml:space="preserve"> / </w:t>
      </w:r>
    </w:p>
    <w:p>
      <w:pPr>
        <w:tabs>
          <w:tab w:val="left" w:pos="1365"/>
        </w:tabs>
        <w:autoSpaceDE w:val="0"/>
        <w:autoSpaceDN w:val="0"/>
        <w:adjustRightInd w:val="0"/>
        <w:spacing w:line="360" w:lineRule="auto"/>
        <w:ind w:left="420" w:leftChars="200"/>
        <w:jc w:val="left"/>
        <w:rPr>
          <w:rFonts w:ascii="宋体" w:hAnsi="宋体" w:cs="宋体"/>
          <w:sz w:val="22"/>
          <w:u w:val="single"/>
        </w:rPr>
      </w:pPr>
      <w:r>
        <w:rPr>
          <w:rFonts w:hint="eastAsia" w:ascii="宋体" w:hAnsi="宋体" w:cs="宋体"/>
          <w:sz w:val="22"/>
        </w:rPr>
        <w:t>49.8 发包人指定的生产厂家或供应商：</w:t>
      </w:r>
      <w:r>
        <w:rPr>
          <w:rFonts w:hint="eastAsia" w:ascii="宋体" w:hAnsi="宋体" w:cs="宋体"/>
          <w:sz w:val="22"/>
          <w:u w:val="single"/>
        </w:rPr>
        <w:t xml:space="preserve"> / </w:t>
      </w:r>
    </w:p>
    <w:p>
      <w:pPr>
        <w:spacing w:line="360" w:lineRule="auto"/>
        <w:ind w:firstLine="440" w:firstLineChars="200"/>
        <w:rPr>
          <w:rFonts w:ascii="宋体" w:hAnsi="宋体" w:cs="宋体"/>
          <w:sz w:val="22"/>
        </w:rPr>
      </w:pPr>
      <w:r>
        <w:rPr>
          <w:rFonts w:hint="eastAsia" w:ascii="宋体" w:hAnsi="宋体" w:cs="宋体"/>
          <w:sz w:val="22"/>
        </w:rPr>
        <w:t>本项增加49.9条（适用于广州地区工程）</w:t>
      </w:r>
    </w:p>
    <w:p>
      <w:pPr>
        <w:tabs>
          <w:tab w:val="left" w:pos="1365"/>
        </w:tabs>
        <w:autoSpaceDE w:val="0"/>
        <w:autoSpaceDN w:val="0"/>
        <w:adjustRightInd w:val="0"/>
        <w:spacing w:line="360" w:lineRule="auto"/>
        <w:ind w:left="420" w:leftChars="200"/>
        <w:jc w:val="left"/>
        <w:rPr>
          <w:rFonts w:ascii="宋体" w:hAnsi="宋体" w:cs="宋体"/>
          <w:sz w:val="22"/>
          <w:u w:val="single"/>
        </w:rPr>
      </w:pPr>
      <w:r>
        <w:rPr>
          <w:rFonts w:hint="eastAsia" w:ascii="宋体" w:hAnsi="宋体" w:cs="宋体"/>
          <w:sz w:val="22"/>
          <w:u w:val="single"/>
        </w:rPr>
        <w:t>49.9承包人应按照广州市住房和城乡建设局要求，在“广州市建筑工程建材监管与服务平台”登记工程建筑材料进场及使用信息。</w:t>
      </w:r>
    </w:p>
    <w:p>
      <w:pPr>
        <w:autoSpaceDE w:val="0"/>
        <w:autoSpaceDN w:val="0"/>
        <w:adjustRightInd w:val="0"/>
        <w:spacing w:before="360" w:beforeLines="150" w:line="360" w:lineRule="auto"/>
        <w:jc w:val="left"/>
        <w:outlineLvl w:val="2"/>
        <w:rPr>
          <w:rFonts w:ascii="宋体" w:hAnsi="宋体" w:cs="宋体"/>
          <w:b/>
          <w:sz w:val="22"/>
        </w:rPr>
      </w:pPr>
      <w:bookmarkStart w:id="202" w:name="_Toc306287509"/>
      <w:bookmarkStart w:id="203" w:name="_Toc306287686"/>
      <w:bookmarkStart w:id="204" w:name="_Toc342306240"/>
      <w:bookmarkStart w:id="205" w:name="_Toc326239338"/>
      <w:r>
        <w:rPr>
          <w:rFonts w:hint="eastAsia" w:ascii="宋体" w:hAnsi="宋体" w:cs="宋体"/>
          <w:b/>
          <w:sz w:val="22"/>
        </w:rPr>
        <w:t>50．材料和工程设备的检验试验</w:t>
      </w:r>
      <w:bookmarkEnd w:id="202"/>
      <w:bookmarkEnd w:id="203"/>
      <w:bookmarkEnd w:id="204"/>
      <w:bookmarkEnd w:id="205"/>
    </w:p>
    <w:p>
      <w:pPr>
        <w:tabs>
          <w:tab w:val="left" w:pos="1365"/>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50.2 材料和工程设备的检验试验时间和地点：</w:t>
      </w:r>
      <w:r>
        <w:rPr>
          <w:rFonts w:hint="eastAsia" w:ascii="宋体" w:hAnsi="宋体" w:cs="宋体"/>
          <w:sz w:val="22"/>
          <w:u w:val="single"/>
        </w:rPr>
        <w:t xml:space="preserve"> 另行约定 </w:t>
      </w:r>
      <w:r>
        <w:rPr>
          <w:rFonts w:hint="eastAsia" w:ascii="宋体" w:hAnsi="宋体" w:cs="宋体"/>
          <w:sz w:val="22"/>
        </w:rPr>
        <w:t>。</w:t>
      </w:r>
    </w:p>
    <w:p>
      <w:pPr>
        <w:autoSpaceDE w:val="0"/>
        <w:autoSpaceDN w:val="0"/>
        <w:adjustRightInd w:val="0"/>
        <w:spacing w:before="360" w:beforeLines="150" w:line="360" w:lineRule="auto"/>
        <w:jc w:val="left"/>
        <w:outlineLvl w:val="2"/>
        <w:rPr>
          <w:rFonts w:ascii="宋体" w:hAnsi="宋体" w:cs="宋体"/>
          <w:b/>
          <w:sz w:val="22"/>
        </w:rPr>
      </w:pPr>
      <w:bookmarkStart w:id="206" w:name="_Toc306287510"/>
      <w:bookmarkStart w:id="207" w:name="_Toc306287687"/>
      <w:bookmarkStart w:id="208" w:name="_Toc342306241"/>
      <w:bookmarkStart w:id="209" w:name="_Toc326239339"/>
      <w:r>
        <w:rPr>
          <w:rFonts w:hint="eastAsia" w:ascii="宋体" w:hAnsi="宋体" w:cs="宋体"/>
          <w:b/>
          <w:sz w:val="22"/>
        </w:rPr>
        <w:t>51．施工设备和临时设施</w:t>
      </w:r>
      <w:bookmarkEnd w:id="206"/>
      <w:bookmarkEnd w:id="207"/>
      <w:bookmarkEnd w:id="208"/>
      <w:bookmarkEnd w:id="209"/>
    </w:p>
    <w:p>
      <w:pPr>
        <w:tabs>
          <w:tab w:val="left" w:pos="1365"/>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51.2 发包人提供的施工设备和临时设施：</w:t>
      </w:r>
      <w:r>
        <w:rPr>
          <w:rFonts w:hint="eastAsia" w:ascii="宋体" w:hAnsi="宋体" w:cs="宋体"/>
          <w:position w:val="-2"/>
          <w:sz w:val="22"/>
          <w:u w:val="single"/>
        </w:rPr>
        <w:t>按招标文件约定</w:t>
      </w:r>
      <w:r>
        <w:rPr>
          <w:rFonts w:hint="eastAsia" w:ascii="宋体" w:hAnsi="宋体" w:cs="宋体"/>
          <w:position w:val="-2"/>
          <w:sz w:val="22"/>
        </w:rPr>
        <w:t>。</w:t>
      </w:r>
    </w:p>
    <w:p>
      <w:pPr>
        <w:autoSpaceDE w:val="0"/>
        <w:autoSpaceDN w:val="0"/>
        <w:adjustRightInd w:val="0"/>
        <w:spacing w:before="360" w:beforeLines="150" w:line="360" w:lineRule="auto"/>
        <w:jc w:val="left"/>
        <w:outlineLvl w:val="2"/>
        <w:rPr>
          <w:rFonts w:ascii="宋体" w:hAnsi="宋体" w:cs="宋体"/>
          <w:b/>
          <w:sz w:val="22"/>
        </w:rPr>
      </w:pPr>
      <w:bookmarkStart w:id="210" w:name="_Toc342306242"/>
      <w:bookmarkStart w:id="211" w:name="_Toc326239340"/>
      <w:bookmarkStart w:id="212" w:name="_Toc306287511"/>
      <w:bookmarkStart w:id="213" w:name="_Toc306287688"/>
      <w:r>
        <w:rPr>
          <w:rFonts w:hint="eastAsia" w:ascii="宋体" w:hAnsi="宋体" w:cs="宋体"/>
          <w:b/>
          <w:sz w:val="22"/>
        </w:rPr>
        <w:t>53．隐蔽工程和中间验收</w:t>
      </w:r>
      <w:bookmarkEnd w:id="210"/>
      <w:bookmarkEnd w:id="211"/>
      <w:bookmarkEnd w:id="212"/>
      <w:bookmarkEnd w:id="213"/>
    </w:p>
    <w:p>
      <w:pPr>
        <w:spacing w:line="360" w:lineRule="auto"/>
        <w:ind w:left="420" w:leftChars="200"/>
        <w:rPr>
          <w:rFonts w:ascii="宋体" w:hAnsi="宋体" w:cs="宋体"/>
          <w:sz w:val="22"/>
        </w:rPr>
      </w:pPr>
      <w:r>
        <w:rPr>
          <w:rFonts w:hint="eastAsia" w:ascii="宋体" w:hAnsi="宋体" w:cs="宋体"/>
          <w:sz w:val="22"/>
        </w:rPr>
        <w:t>53.1 项补充：隐蔽工程在隐蔽前，必须经承包人质检人员进行三级验收、签字确认，然后提前24小时书面通知监理工程师会同验收，验收合格后签字确认，才能隐蔽和进行下一道工序的作业。凡不按程序办理，无承包人质检人员验收签字确认的资料或无书面通知监理工程师会同验收的，监理工程师可拒绝验收签认；</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53.5 项补充：凡无通知发包人验收签认的工程，或监理工程师合法拒绝签认的工程，若承包人擅自隐蔽的，工程师有权视该部分工程为不合格，并有权拒绝拨付该部分工程进度款，监理工程师也不得颁发下续工序的施工令，由此发生的一切责任全部由承包人承担。</w:t>
      </w:r>
    </w:p>
    <w:p>
      <w:pPr>
        <w:autoSpaceDE w:val="0"/>
        <w:autoSpaceDN w:val="0"/>
        <w:adjustRightInd w:val="0"/>
        <w:spacing w:before="360" w:beforeLines="150" w:line="360" w:lineRule="auto"/>
        <w:jc w:val="left"/>
        <w:outlineLvl w:val="2"/>
        <w:rPr>
          <w:rFonts w:ascii="宋体" w:hAnsi="宋体" w:cs="宋体"/>
          <w:b/>
          <w:sz w:val="22"/>
        </w:rPr>
      </w:pPr>
      <w:bookmarkStart w:id="214" w:name="_Toc326239341"/>
      <w:bookmarkStart w:id="215" w:name="_Toc306287512"/>
      <w:bookmarkStart w:id="216" w:name="_Toc306287689"/>
      <w:bookmarkStart w:id="217" w:name="_Toc342306243"/>
      <w:r>
        <w:rPr>
          <w:rFonts w:hint="eastAsia" w:ascii="宋体" w:hAnsi="宋体" w:cs="宋体"/>
          <w:b/>
          <w:sz w:val="22"/>
        </w:rPr>
        <w:t>55．工程试车</w:t>
      </w:r>
      <w:bookmarkEnd w:id="214"/>
      <w:bookmarkEnd w:id="215"/>
      <w:bookmarkEnd w:id="216"/>
      <w:bookmarkEnd w:id="217"/>
    </w:p>
    <w:p>
      <w:pPr>
        <w:tabs>
          <w:tab w:val="left" w:pos="1365"/>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55.1 是否需要试车</w:t>
      </w:r>
    </w:p>
    <w:p>
      <w:pPr>
        <w:autoSpaceDE w:val="0"/>
        <w:autoSpaceDN w:val="0"/>
        <w:adjustRightInd w:val="0"/>
        <w:spacing w:line="360" w:lineRule="auto"/>
        <w:ind w:left="945" w:leftChars="450"/>
        <w:jc w:val="left"/>
        <w:rPr>
          <w:rFonts w:ascii="宋体" w:hAnsi="宋体" w:cs="宋体"/>
          <w:sz w:val="22"/>
        </w:rPr>
      </w:pPr>
      <w:r>
        <w:rPr>
          <w:rFonts w:hint="eastAsia" w:ascii="宋体" w:hAnsi="宋体" w:cs="宋体"/>
          <w:sz w:val="22"/>
        </w:rPr>
        <w:t>■ 不需要试车的，本条不适用。</w:t>
      </w:r>
    </w:p>
    <w:p>
      <w:pPr>
        <w:autoSpaceDE w:val="0"/>
        <w:autoSpaceDN w:val="0"/>
        <w:adjustRightInd w:val="0"/>
        <w:spacing w:line="360" w:lineRule="auto"/>
        <w:ind w:left="945" w:leftChars="450"/>
        <w:jc w:val="left"/>
        <w:rPr>
          <w:rFonts w:ascii="宋体" w:hAnsi="宋体" w:cs="宋体"/>
          <w:sz w:val="22"/>
        </w:rPr>
      </w:pPr>
      <w:r>
        <w:rPr>
          <w:rFonts w:hint="eastAsia" w:ascii="宋体" w:hAnsi="宋体" w:cs="宋体"/>
          <w:sz w:val="22"/>
        </w:rPr>
        <w:t>□ 需要试车的，试车的内容和要求：</w:t>
      </w:r>
    </w:p>
    <w:p>
      <w:pPr>
        <w:autoSpaceDE w:val="0"/>
        <w:autoSpaceDN w:val="0"/>
        <w:adjustRightInd w:val="0"/>
        <w:spacing w:before="360" w:beforeLines="150" w:line="360" w:lineRule="auto"/>
        <w:jc w:val="left"/>
        <w:outlineLvl w:val="2"/>
        <w:rPr>
          <w:rFonts w:ascii="宋体" w:hAnsi="宋体" w:cs="宋体"/>
          <w:b/>
          <w:sz w:val="22"/>
        </w:rPr>
      </w:pPr>
      <w:bookmarkStart w:id="218" w:name="_Toc342306244"/>
      <w:bookmarkStart w:id="219" w:name="_Toc326239342"/>
      <w:bookmarkStart w:id="220" w:name="_Toc306287513"/>
      <w:bookmarkStart w:id="221" w:name="_Toc306287690"/>
      <w:r>
        <w:rPr>
          <w:rFonts w:hint="eastAsia" w:ascii="宋体" w:hAnsi="宋体" w:cs="宋体"/>
          <w:b/>
          <w:sz w:val="22"/>
        </w:rPr>
        <w:t>56．工程变更</w:t>
      </w:r>
      <w:bookmarkEnd w:id="218"/>
      <w:bookmarkEnd w:id="219"/>
      <w:bookmarkEnd w:id="220"/>
      <w:bookmarkEnd w:id="221"/>
    </w:p>
    <w:p>
      <w:pPr>
        <w:tabs>
          <w:tab w:val="left" w:pos="1365"/>
        </w:tabs>
        <w:autoSpaceDE w:val="0"/>
        <w:autoSpaceDN w:val="0"/>
        <w:adjustRightInd w:val="0"/>
        <w:spacing w:line="360" w:lineRule="auto"/>
        <w:ind w:left="420" w:leftChars="200"/>
        <w:jc w:val="left"/>
        <w:rPr>
          <w:rFonts w:ascii="宋体" w:hAnsi="宋体" w:cs="宋体"/>
          <w:sz w:val="22"/>
          <w:u w:val="single"/>
        </w:rPr>
      </w:pPr>
      <w:r>
        <w:rPr>
          <w:rFonts w:hint="eastAsia" w:ascii="宋体" w:hAnsi="宋体" w:cs="宋体"/>
          <w:sz w:val="22"/>
        </w:rPr>
        <w:t>56.4 承包人提出合理建议应得的奖励：</w:t>
      </w:r>
      <w:r>
        <w:rPr>
          <w:rFonts w:hint="eastAsia" w:ascii="宋体" w:hAnsi="宋体" w:cs="宋体"/>
          <w:sz w:val="22"/>
          <w:u w:val="single"/>
        </w:rPr>
        <w:t xml:space="preserve"> 无 </w:t>
      </w:r>
      <w:r>
        <w:rPr>
          <w:rFonts w:hint="eastAsia" w:ascii="宋体" w:hAnsi="宋体" w:cs="宋体"/>
          <w:sz w:val="22"/>
        </w:rPr>
        <w:t>。</w:t>
      </w:r>
    </w:p>
    <w:p>
      <w:pPr>
        <w:autoSpaceDE w:val="0"/>
        <w:autoSpaceDN w:val="0"/>
        <w:adjustRightInd w:val="0"/>
        <w:spacing w:before="360" w:beforeLines="150" w:line="360" w:lineRule="auto"/>
        <w:jc w:val="left"/>
        <w:outlineLvl w:val="2"/>
        <w:rPr>
          <w:rFonts w:ascii="宋体" w:hAnsi="宋体" w:cs="宋体"/>
          <w:b/>
          <w:sz w:val="22"/>
        </w:rPr>
      </w:pPr>
      <w:bookmarkStart w:id="222" w:name="_Toc306287691"/>
      <w:bookmarkStart w:id="223" w:name="_Toc326239343"/>
      <w:bookmarkStart w:id="224" w:name="_Toc342306245"/>
      <w:bookmarkStart w:id="225" w:name="_Toc306287514"/>
      <w:r>
        <w:rPr>
          <w:rFonts w:hint="eastAsia" w:ascii="宋体" w:hAnsi="宋体" w:cs="宋体"/>
          <w:b/>
          <w:sz w:val="22"/>
        </w:rPr>
        <w:t>58．竣工验收</w:t>
      </w:r>
      <w:bookmarkEnd w:id="222"/>
      <w:bookmarkEnd w:id="223"/>
      <w:bookmarkEnd w:id="224"/>
      <w:bookmarkEnd w:id="225"/>
    </w:p>
    <w:p>
      <w:pPr>
        <w:spacing w:line="360" w:lineRule="auto"/>
        <w:ind w:firstLine="440" w:firstLineChars="200"/>
        <w:rPr>
          <w:rFonts w:ascii="宋体" w:hAnsi="宋体" w:cs="宋体"/>
          <w:sz w:val="22"/>
        </w:rPr>
      </w:pPr>
      <w:r>
        <w:rPr>
          <w:rFonts w:hint="eastAsia" w:ascii="宋体" w:hAnsi="宋体" w:cs="宋体"/>
          <w:sz w:val="22"/>
        </w:rPr>
        <w:t>本项增加58.16条</w:t>
      </w:r>
    </w:p>
    <w:p>
      <w:pPr>
        <w:spacing w:line="360" w:lineRule="auto"/>
        <w:ind w:firstLine="440" w:firstLineChars="200"/>
        <w:rPr>
          <w:rFonts w:ascii="宋体" w:hAnsi="宋体" w:cs="宋体"/>
          <w:sz w:val="22"/>
        </w:rPr>
      </w:pPr>
      <w:r>
        <w:rPr>
          <w:rFonts w:hint="eastAsia" w:ascii="宋体" w:hAnsi="宋体" w:cs="宋体"/>
          <w:sz w:val="22"/>
        </w:rPr>
        <w:t>58.16 施工档案资料管理及归档要求：</w:t>
      </w:r>
    </w:p>
    <w:p>
      <w:pPr>
        <w:spacing w:line="360" w:lineRule="auto"/>
        <w:ind w:firstLine="440" w:firstLineChars="200"/>
        <w:rPr>
          <w:rFonts w:ascii="宋体" w:hAnsi="宋体" w:cs="宋体"/>
          <w:sz w:val="22"/>
        </w:rPr>
      </w:pPr>
      <w:r>
        <w:rPr>
          <w:rFonts w:hint="eastAsia" w:ascii="宋体" w:hAnsi="宋体" w:cs="宋体"/>
          <w:sz w:val="22"/>
        </w:rPr>
        <w:t>1、施工单位应按国家、广东省、广州市、民航局及建设单位有关档案规定，编制、收集有关施工档案资料，</w:t>
      </w:r>
      <w:r>
        <w:rPr>
          <w:rFonts w:hint="eastAsia" w:ascii="宋体" w:hAnsi="宋体" w:cs="宋体"/>
          <w:kern w:val="0"/>
          <w:sz w:val="22"/>
        </w:rPr>
        <w:t>按规定</w:t>
      </w:r>
      <w:r>
        <w:rPr>
          <w:rFonts w:hint="eastAsia" w:ascii="宋体" w:hAnsi="宋体" w:cs="宋体"/>
          <w:sz w:val="22"/>
        </w:rPr>
        <w:t>整理后向建设单位档案部门移交归档。归档的施工档案资料必须符合档案行业规范要求以及《广东省机场管理集团有限公司工程建设指挥部建设工程施工文件归档细则》、《广东省机场管理集团有限公司工程建设指挥部建设工程竣工图归档细则》、《广东省机场管理集团有限公司工程建设指挥部建设工程电子文件归档细则》、《广东省机场管理集团有限公司工程建设指挥部建设工程声像文件归档细则》等文件要求。</w:t>
      </w:r>
    </w:p>
    <w:p>
      <w:pPr>
        <w:spacing w:line="360" w:lineRule="auto"/>
        <w:ind w:firstLine="440" w:firstLineChars="200"/>
        <w:rPr>
          <w:rFonts w:ascii="宋体" w:hAnsi="宋体" w:cs="宋体"/>
          <w:sz w:val="22"/>
        </w:rPr>
      </w:pPr>
      <w:r>
        <w:rPr>
          <w:rFonts w:hint="eastAsia" w:ascii="宋体" w:hAnsi="宋体" w:cs="宋体"/>
          <w:sz w:val="22"/>
        </w:rPr>
        <w:t>2、总承包单位需负责整个项目施工档案资料的管理，包括编制、收集、整理、验收及归档移交工作；及时督促、定期检查各分包单位按规定编制、整理施工档案资料。各分包单位负责其分包工程施工文件及竣工图的编制、收集、整理，提交总承包单位汇总；总承包单位除应编制自行施工的施工档案资料外，还应负责汇总整理各分包单位编制、整理的施工档案资料。总承包单位还应配合建设单位进行工程质量验收、竣工验收、档案等专项验收及竣工备案等相关文件的编制、收集、整理及移交工作。</w:t>
      </w:r>
    </w:p>
    <w:p>
      <w:pPr>
        <w:spacing w:line="360" w:lineRule="auto"/>
        <w:ind w:firstLine="440" w:firstLineChars="200"/>
        <w:rPr>
          <w:rFonts w:ascii="宋体" w:hAnsi="宋体" w:cs="宋体"/>
          <w:sz w:val="22"/>
        </w:rPr>
      </w:pPr>
      <w:r>
        <w:rPr>
          <w:rFonts w:hint="eastAsia" w:ascii="宋体" w:hAnsi="宋体" w:cs="宋体"/>
          <w:sz w:val="22"/>
        </w:rPr>
        <w:t>3、工程竣工验收前，总承包单位应配合建设单位做好广州市城建档案馆组织的城建档案验收移交以及广东省或广州市档案局组织的重大建设项目档案专项验收有关工作。档案验收不合格或没有经过档案验收的工程，不得办理工程验收手续，不得交付使用，不得申报优质工程和其他奖励。</w:t>
      </w:r>
    </w:p>
    <w:p>
      <w:pPr>
        <w:spacing w:line="360" w:lineRule="auto"/>
        <w:ind w:firstLine="440" w:firstLineChars="200"/>
        <w:rPr>
          <w:rFonts w:ascii="宋体" w:hAnsi="宋体" w:cs="宋体"/>
          <w:sz w:val="22"/>
        </w:rPr>
      </w:pPr>
      <w:r>
        <w:rPr>
          <w:rFonts w:hint="eastAsia" w:ascii="宋体" w:hAnsi="宋体" w:cs="宋体"/>
          <w:sz w:val="22"/>
        </w:rPr>
        <w:t>4、施工单位应在工程验收后90天内向建设单位档案部门归档移交施工档案，内容包括三部分：</w:t>
      </w:r>
    </w:p>
    <w:p>
      <w:pPr>
        <w:spacing w:line="360" w:lineRule="auto"/>
        <w:ind w:firstLine="440" w:firstLineChars="200"/>
        <w:rPr>
          <w:rFonts w:ascii="宋体" w:hAnsi="宋体" w:cs="宋体"/>
          <w:sz w:val="22"/>
        </w:rPr>
      </w:pPr>
      <w:r>
        <w:rPr>
          <w:rFonts w:hint="eastAsia" w:ascii="宋体" w:hAnsi="宋体" w:cs="宋体"/>
          <w:sz w:val="22"/>
        </w:rPr>
        <w:t>①纸质档案：原件四套。</w:t>
      </w:r>
    </w:p>
    <w:p>
      <w:pPr>
        <w:spacing w:line="360" w:lineRule="auto"/>
        <w:ind w:firstLine="440" w:firstLineChars="200"/>
        <w:rPr>
          <w:rFonts w:ascii="宋体" w:hAnsi="宋体" w:cs="宋体"/>
          <w:sz w:val="22"/>
        </w:rPr>
      </w:pPr>
      <w:r>
        <w:rPr>
          <w:rFonts w:hint="eastAsia" w:ascii="宋体" w:hAnsi="宋体" w:cs="宋体"/>
          <w:sz w:val="22"/>
        </w:rPr>
        <w:t>②电子档案：用文字处理技术形成的文本电子文件、表格文件，用计算机绘图等设备形成的图形电子文件，用施工管理系统产生的竣工验收技术资料统一用表，以及纸质档案数字化加工扫描的图像电子文件等。以光盘作为存储介质，一式四套。</w:t>
      </w:r>
    </w:p>
    <w:p>
      <w:pPr>
        <w:spacing w:line="360" w:lineRule="auto"/>
        <w:ind w:firstLine="440" w:firstLineChars="200"/>
        <w:rPr>
          <w:rFonts w:ascii="宋体" w:hAnsi="宋体" w:cs="宋体"/>
          <w:sz w:val="22"/>
        </w:rPr>
      </w:pPr>
      <w:r>
        <w:rPr>
          <w:rFonts w:hint="eastAsia" w:ascii="宋体" w:hAnsi="宋体" w:cs="宋体"/>
          <w:sz w:val="22"/>
        </w:rPr>
        <w:t>③声像档案：包括照片及视频，一式四套。</w:t>
      </w:r>
    </w:p>
    <w:p>
      <w:pPr>
        <w:spacing w:line="360" w:lineRule="auto"/>
        <w:ind w:firstLine="440" w:firstLineChars="200"/>
        <w:rPr>
          <w:rFonts w:ascii="宋体" w:hAnsi="宋体" w:cs="宋体"/>
          <w:sz w:val="22"/>
        </w:rPr>
      </w:pPr>
      <w:r>
        <w:rPr>
          <w:rFonts w:hint="eastAsia" w:ascii="宋体" w:hAnsi="宋体" w:cs="宋体"/>
          <w:sz w:val="22"/>
        </w:rPr>
        <w:t>5、列入广州市城建档案馆接收范围的工程，施工单位必须向广州市城建档案馆移交一套符合城建档案要求的施工档案（原件）。各分包单位负责其分包范围城建档案的编制、整理，提交总承包单位汇总；总承包单位除应编制自行施工范围的城建档案外，还应负责汇总整理各分包单位提交的城建档案。</w:t>
      </w:r>
    </w:p>
    <w:p>
      <w:pPr>
        <w:tabs>
          <w:tab w:val="left" w:pos="7560"/>
        </w:tabs>
        <w:spacing w:line="360" w:lineRule="auto"/>
        <w:ind w:firstLine="440" w:firstLineChars="200"/>
        <w:rPr>
          <w:rFonts w:ascii="宋体" w:hAnsi="宋体" w:cs="宋体"/>
          <w:sz w:val="22"/>
        </w:rPr>
      </w:pPr>
      <w:r>
        <w:rPr>
          <w:rFonts w:hint="eastAsia" w:ascii="宋体" w:hAnsi="宋体" w:cs="宋体"/>
          <w:sz w:val="22"/>
        </w:rPr>
        <w:t>6、档案验收不合格且限期整改不合格的施工档案，经建设单位领导批准后由建设单位档案部门接收，出具《不合格档案接收证明》，建设单位结算部门据此证明酌情扣留一百万以下（含一百万）工程尾款。未能向建设单位档案部门归档移交施工档案的施工单位，建设单位不予进行工程结算。</w:t>
      </w:r>
    </w:p>
    <w:p>
      <w:pPr>
        <w:autoSpaceDE w:val="0"/>
        <w:autoSpaceDN w:val="0"/>
        <w:adjustRightInd w:val="0"/>
        <w:spacing w:before="360" w:beforeLines="150" w:line="360" w:lineRule="auto"/>
        <w:jc w:val="left"/>
        <w:outlineLvl w:val="2"/>
        <w:rPr>
          <w:rFonts w:ascii="宋体" w:hAnsi="宋体" w:cs="宋体"/>
          <w:b/>
          <w:sz w:val="22"/>
        </w:rPr>
      </w:pPr>
      <w:bookmarkStart w:id="226" w:name="_Toc306287515"/>
      <w:bookmarkStart w:id="227" w:name="_Toc342306246"/>
      <w:bookmarkStart w:id="228" w:name="_Toc326239344"/>
      <w:bookmarkStart w:id="229" w:name="_Toc306287692"/>
      <w:r>
        <w:rPr>
          <w:rFonts w:hint="eastAsia" w:ascii="宋体" w:hAnsi="宋体" w:cs="宋体"/>
          <w:b/>
          <w:sz w:val="22"/>
        </w:rPr>
        <w:t>59．缺陷责任与质量保修</w:t>
      </w:r>
      <w:bookmarkEnd w:id="226"/>
      <w:bookmarkEnd w:id="227"/>
      <w:bookmarkEnd w:id="228"/>
      <w:bookmarkEnd w:id="229"/>
    </w:p>
    <w:p>
      <w:pPr>
        <w:tabs>
          <w:tab w:val="left" w:pos="1365"/>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59.6 缺陷责任期的约定：</w:t>
      </w:r>
      <w:r>
        <w:rPr>
          <w:rFonts w:hint="eastAsia" w:ascii="宋体" w:hAnsi="宋体" w:cs="宋体"/>
          <w:sz w:val="22"/>
          <w:u w:val="single"/>
        </w:rPr>
        <w:t>按招标文件。</w:t>
      </w:r>
    </w:p>
    <w:p>
      <w:pPr>
        <w:tabs>
          <w:tab w:val="left" w:pos="1365"/>
        </w:tabs>
        <w:autoSpaceDE w:val="0"/>
        <w:autoSpaceDN w:val="0"/>
        <w:adjustRightInd w:val="0"/>
        <w:spacing w:line="360" w:lineRule="auto"/>
        <w:ind w:left="420" w:leftChars="200"/>
        <w:jc w:val="left"/>
        <w:rPr>
          <w:rFonts w:ascii="宋体" w:hAnsi="宋体" w:cs="宋体"/>
          <w:sz w:val="22"/>
          <w:u w:val="single"/>
        </w:rPr>
      </w:pPr>
      <w:r>
        <w:rPr>
          <w:rFonts w:hint="eastAsia" w:ascii="宋体" w:hAnsi="宋体" w:cs="宋体"/>
          <w:sz w:val="22"/>
        </w:rPr>
        <w:t>59.8 工程质量保修的约定：</w:t>
      </w:r>
      <w:r>
        <w:rPr>
          <w:rFonts w:hint="eastAsia" w:ascii="宋体" w:hAnsi="宋体" w:cs="宋体"/>
          <w:sz w:val="22"/>
          <w:u w:val="single"/>
        </w:rPr>
        <w:t>按招标文件。</w:t>
      </w:r>
    </w:p>
    <w:p>
      <w:pPr>
        <w:tabs>
          <w:tab w:val="left" w:pos="1260"/>
        </w:tabs>
        <w:spacing w:line="360" w:lineRule="auto"/>
        <w:outlineLvl w:val="1"/>
        <w:rPr>
          <w:rFonts w:ascii="宋体" w:hAnsi="宋体" w:cs="宋体"/>
          <w:b/>
          <w:kern w:val="0"/>
          <w:sz w:val="22"/>
          <w:szCs w:val="20"/>
        </w:rPr>
      </w:pPr>
      <w:r>
        <w:rPr>
          <w:rFonts w:hint="eastAsia" w:ascii="宋体" w:hAnsi="宋体" w:cs="宋体"/>
          <w:b/>
          <w:sz w:val="22"/>
          <w:szCs w:val="20"/>
        </w:rPr>
        <w:t>62.工程计量和计价</w:t>
      </w:r>
    </w:p>
    <w:p>
      <w:pPr>
        <w:autoSpaceDE w:val="0"/>
        <w:autoSpaceDN w:val="0"/>
        <w:adjustRightInd w:val="0"/>
        <w:spacing w:line="360" w:lineRule="auto"/>
        <w:ind w:firstLine="440" w:firstLineChars="200"/>
        <w:jc w:val="left"/>
        <w:rPr>
          <w:rFonts w:ascii="宋体" w:hAnsi="宋体" w:cs="宋体"/>
          <w:kern w:val="0"/>
          <w:sz w:val="22"/>
          <w:szCs w:val="20"/>
        </w:rPr>
      </w:pPr>
      <w:r>
        <w:rPr>
          <w:rFonts w:hint="eastAsia" w:ascii="宋体" w:hAnsi="宋体" w:cs="宋体"/>
          <w:kern w:val="0"/>
          <w:sz w:val="22"/>
          <w:szCs w:val="20"/>
        </w:rPr>
        <w:t>62.1和62.2条款工程量计量规则修改为：按招标文件的清单编制说明及清单项目特征描述执行，清单编制说明及清单项目特征描述没有相应约定，按清单编制的相应计价规范规定执行。</w:t>
      </w:r>
    </w:p>
    <w:p>
      <w:pPr>
        <w:pStyle w:val="19"/>
        <w:rPr>
          <w:rFonts w:hAnsi="宋体" w:cs="宋体"/>
          <w:sz w:val="18"/>
        </w:rPr>
      </w:pPr>
    </w:p>
    <w:p>
      <w:pPr>
        <w:autoSpaceDE w:val="0"/>
        <w:autoSpaceDN w:val="0"/>
        <w:adjustRightInd w:val="0"/>
        <w:spacing w:before="360" w:beforeLines="150" w:line="360" w:lineRule="auto"/>
        <w:jc w:val="left"/>
        <w:outlineLvl w:val="2"/>
        <w:rPr>
          <w:rFonts w:ascii="宋体" w:hAnsi="宋体" w:cs="宋体"/>
          <w:b/>
          <w:sz w:val="22"/>
        </w:rPr>
      </w:pPr>
      <w:bookmarkStart w:id="230" w:name="_Toc326239345"/>
      <w:bookmarkStart w:id="231" w:name="_Toc306287693"/>
      <w:bookmarkStart w:id="232" w:name="_Toc306287516"/>
      <w:bookmarkStart w:id="233" w:name="_Toc342306247"/>
      <w:r>
        <w:rPr>
          <w:rFonts w:hint="eastAsia" w:ascii="宋体" w:hAnsi="宋体" w:cs="宋体"/>
          <w:b/>
          <w:sz w:val="22"/>
        </w:rPr>
        <w:t>63．暂列金额</w:t>
      </w:r>
      <w:bookmarkEnd w:id="230"/>
      <w:bookmarkEnd w:id="231"/>
      <w:bookmarkEnd w:id="232"/>
      <w:bookmarkEnd w:id="233"/>
    </w:p>
    <w:p>
      <w:pPr>
        <w:autoSpaceDE w:val="0"/>
        <w:autoSpaceDN w:val="0"/>
        <w:adjustRightInd w:val="0"/>
        <w:spacing w:line="360" w:lineRule="auto"/>
        <w:ind w:firstLine="440" w:firstLineChars="200"/>
        <w:jc w:val="left"/>
        <w:rPr>
          <w:rFonts w:ascii="宋体" w:hAnsi="宋体" w:cs="宋体"/>
          <w:sz w:val="22"/>
        </w:rPr>
      </w:pPr>
      <w:r>
        <w:rPr>
          <w:rFonts w:hint="eastAsia" w:ascii="宋体" w:hAnsi="宋体" w:cs="宋体"/>
          <w:sz w:val="22"/>
        </w:rPr>
        <w:t>63.1合同工程的暂列金额为¥</w:t>
      </w:r>
      <w:r>
        <w:rPr>
          <w:rFonts w:hint="eastAsia" w:ascii="宋体" w:hAnsi="宋体" w:cs="宋体"/>
          <w:sz w:val="22"/>
          <w:u w:val="single"/>
        </w:rPr>
        <w:t xml:space="preserve">           </w:t>
      </w:r>
      <w:r>
        <w:rPr>
          <w:rFonts w:hint="eastAsia" w:ascii="宋体" w:hAnsi="宋体" w:cs="宋体"/>
          <w:sz w:val="22"/>
        </w:rPr>
        <w:t>元。</w:t>
      </w:r>
    </w:p>
    <w:p>
      <w:pPr>
        <w:pStyle w:val="19"/>
        <w:adjustRightInd w:val="0"/>
        <w:snapToGrid w:val="0"/>
        <w:spacing w:line="360" w:lineRule="auto"/>
        <w:ind w:firstLine="440" w:firstLineChars="200"/>
        <w:rPr>
          <w:rFonts w:hAnsi="宋体" w:cs="宋体"/>
          <w:sz w:val="22"/>
          <w:szCs w:val="22"/>
        </w:rPr>
      </w:pPr>
      <w:r>
        <w:rPr>
          <w:rFonts w:hint="eastAsia" w:hAnsi="宋体" w:cs="宋体"/>
          <w:sz w:val="22"/>
          <w:szCs w:val="22"/>
        </w:rPr>
        <w:t>此项增加63.4条</w:t>
      </w:r>
    </w:p>
    <w:p>
      <w:pPr>
        <w:autoSpaceDE w:val="0"/>
        <w:autoSpaceDN w:val="0"/>
        <w:adjustRightInd w:val="0"/>
        <w:spacing w:line="360" w:lineRule="auto"/>
        <w:ind w:left="420" w:leftChars="200"/>
        <w:jc w:val="left"/>
        <w:rPr>
          <w:rFonts w:ascii="宋体" w:hAnsi="宋体" w:cs="宋体"/>
          <w:b/>
          <w:sz w:val="22"/>
        </w:rPr>
      </w:pPr>
      <w:r>
        <w:rPr>
          <w:rFonts w:hint="eastAsia" w:ascii="宋体" w:hAnsi="宋体" w:cs="宋体"/>
          <w:sz w:val="22"/>
        </w:rPr>
        <w:t>63.4 按合同约定和承包人实际完成的并经监理和发包人审定后的工作量结算，剩余部分的暂列仍归发包人所有。</w:t>
      </w:r>
      <w:bookmarkStart w:id="234" w:name="_Toc306287694"/>
      <w:bookmarkStart w:id="235" w:name="_Toc306287517"/>
    </w:p>
    <w:p>
      <w:pPr>
        <w:autoSpaceDE w:val="0"/>
        <w:autoSpaceDN w:val="0"/>
        <w:adjustRightInd w:val="0"/>
        <w:spacing w:before="360" w:beforeLines="150" w:line="360" w:lineRule="auto"/>
        <w:jc w:val="left"/>
        <w:outlineLvl w:val="2"/>
        <w:rPr>
          <w:rFonts w:ascii="宋体" w:hAnsi="宋体" w:cs="宋体"/>
          <w:b/>
          <w:sz w:val="22"/>
        </w:rPr>
      </w:pPr>
      <w:bookmarkStart w:id="236" w:name="_Toc326239346"/>
      <w:bookmarkStart w:id="237" w:name="_Toc342306248"/>
      <w:r>
        <w:rPr>
          <w:rFonts w:hint="eastAsia" w:ascii="宋体" w:hAnsi="宋体" w:cs="宋体"/>
          <w:b/>
          <w:sz w:val="22"/>
        </w:rPr>
        <w:t>65．暂估价</w:t>
      </w:r>
      <w:bookmarkEnd w:id="234"/>
      <w:bookmarkEnd w:id="235"/>
      <w:bookmarkEnd w:id="236"/>
      <w:bookmarkEnd w:id="237"/>
    </w:p>
    <w:p>
      <w:pPr>
        <w:tabs>
          <w:tab w:val="left" w:pos="1365"/>
          <w:tab w:val="left" w:pos="6640"/>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 xml:space="preserve">65.3 </w:t>
      </w:r>
    </w:p>
    <w:p>
      <w:pPr>
        <w:tabs>
          <w:tab w:val="left" w:pos="1365"/>
          <w:tab w:val="left" w:pos="6640"/>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□招标专业工程的暂估价金额为¥</w:t>
      </w:r>
      <w:r>
        <w:rPr>
          <w:rFonts w:hint="eastAsia" w:ascii="宋体" w:hAnsi="宋体" w:cs="宋体"/>
          <w:sz w:val="22"/>
          <w:u w:val="single"/>
        </w:rPr>
        <w:t xml:space="preserve">    </w:t>
      </w:r>
      <w:r>
        <w:rPr>
          <w:rFonts w:hint="eastAsia" w:ascii="宋体" w:hAnsi="宋体" w:cs="宋体"/>
          <w:sz w:val="22"/>
        </w:rPr>
        <w:t>元，最终金额按暂估项目招标后签订的合同金额调整。</w:t>
      </w:r>
    </w:p>
    <w:p>
      <w:pPr>
        <w:tabs>
          <w:tab w:val="left" w:pos="1365"/>
          <w:tab w:val="left" w:pos="6640"/>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□非招标专业工程的暂估价金额为</w:t>
      </w:r>
      <w:r>
        <w:rPr>
          <w:rFonts w:hint="eastAsia" w:ascii="宋体" w:hAnsi="宋体" w:cs="宋体"/>
          <w:sz w:val="22"/>
          <w:u w:val="single"/>
        </w:rPr>
        <w:t xml:space="preserve">  /  </w:t>
      </w:r>
      <w:r>
        <w:rPr>
          <w:rFonts w:hint="eastAsia" w:ascii="宋体" w:hAnsi="宋体" w:cs="宋体"/>
          <w:sz w:val="22"/>
        </w:rPr>
        <w:t>元。</w:t>
      </w:r>
    </w:p>
    <w:p>
      <w:pPr>
        <w:autoSpaceDE w:val="0"/>
        <w:autoSpaceDN w:val="0"/>
        <w:adjustRightInd w:val="0"/>
        <w:spacing w:before="360" w:beforeLines="150" w:line="360" w:lineRule="auto"/>
        <w:jc w:val="left"/>
        <w:outlineLvl w:val="2"/>
        <w:rPr>
          <w:rFonts w:ascii="宋体" w:hAnsi="宋体" w:cs="宋体"/>
          <w:b/>
          <w:sz w:val="22"/>
        </w:rPr>
      </w:pPr>
      <w:bookmarkStart w:id="238" w:name="_Toc342306249"/>
      <w:bookmarkStart w:id="239" w:name="_Toc326239347"/>
      <w:bookmarkStart w:id="240" w:name="_Toc306287518"/>
      <w:bookmarkStart w:id="241" w:name="_Toc306287695"/>
      <w:r>
        <w:rPr>
          <w:rFonts w:hint="eastAsia" w:ascii="宋体" w:hAnsi="宋体" w:cs="宋体"/>
          <w:b/>
          <w:sz w:val="22"/>
        </w:rPr>
        <w:t>66．提前竣工奖与误期赔偿费</w:t>
      </w:r>
      <w:bookmarkEnd w:id="238"/>
      <w:bookmarkEnd w:id="239"/>
      <w:bookmarkEnd w:id="240"/>
      <w:bookmarkEnd w:id="241"/>
    </w:p>
    <w:p>
      <w:pPr>
        <w:tabs>
          <w:tab w:val="left" w:pos="1365"/>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66.1 提前竣工奖的约定：</w:t>
      </w:r>
    </w:p>
    <w:p>
      <w:pPr>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 没约定提前竣工奖的，本款不适用。</w:t>
      </w:r>
    </w:p>
    <w:p>
      <w:pPr>
        <w:tabs>
          <w:tab w:val="left" w:pos="7245"/>
        </w:tabs>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 约定提前竣工奖的</w:t>
      </w:r>
      <w:r>
        <w:rPr>
          <w:rFonts w:hint="eastAsia" w:ascii="宋体" w:hAnsi="宋体" w:cs="宋体"/>
          <w:spacing w:val="-48"/>
          <w:sz w:val="22"/>
        </w:rPr>
        <w:t>，</w:t>
      </w:r>
      <w:r>
        <w:rPr>
          <w:rFonts w:hint="eastAsia" w:ascii="宋体" w:hAnsi="宋体" w:cs="宋体"/>
          <w:sz w:val="22"/>
        </w:rPr>
        <w:t>每日历天应奖额度为</w:t>
      </w:r>
      <w:r>
        <w:rPr>
          <w:rFonts w:hint="eastAsia" w:ascii="宋体" w:hAnsi="宋体" w:cs="宋体"/>
          <w:sz w:val="22"/>
          <w:u w:val="single"/>
        </w:rPr>
        <w:t xml:space="preserve">  </w:t>
      </w:r>
      <w:r>
        <w:rPr>
          <w:rFonts w:hint="eastAsia" w:ascii="宋体" w:hAnsi="宋体" w:cs="宋体"/>
          <w:sz w:val="22"/>
        </w:rPr>
        <w:t>元，提前竣工奖的最高限额是</w:t>
      </w:r>
      <w:r>
        <w:rPr>
          <w:rFonts w:hint="eastAsia" w:ascii="宋体" w:hAnsi="宋体" w:cs="宋体"/>
          <w:sz w:val="22"/>
          <w:u w:val="single"/>
        </w:rPr>
        <w:t xml:space="preserve">  </w:t>
      </w:r>
      <w:r>
        <w:rPr>
          <w:rFonts w:hint="eastAsia" w:ascii="宋体" w:hAnsi="宋体" w:cs="宋体"/>
          <w:sz w:val="22"/>
        </w:rPr>
        <w:t>元。</w:t>
      </w:r>
    </w:p>
    <w:p>
      <w:pPr>
        <w:tabs>
          <w:tab w:val="left" w:pos="0"/>
          <w:tab w:val="left" w:pos="5540"/>
        </w:tabs>
        <w:autoSpaceDE w:val="0"/>
        <w:autoSpaceDN w:val="0"/>
        <w:adjustRightInd w:val="0"/>
        <w:spacing w:line="360" w:lineRule="auto"/>
        <w:ind w:left="479" w:leftChars="228"/>
        <w:jc w:val="left"/>
        <w:rPr>
          <w:rFonts w:ascii="宋体" w:hAnsi="宋体" w:cs="宋体"/>
          <w:sz w:val="22"/>
        </w:rPr>
      </w:pPr>
      <w:r>
        <w:rPr>
          <w:rFonts w:hint="eastAsia" w:ascii="宋体" w:hAnsi="宋体" w:cs="宋体"/>
          <w:sz w:val="22"/>
        </w:rPr>
        <w:t>66.2 误期赔偿费的约定：因承包人的原因造成工期延误的，从延期的第10天起起算误期赔偿费，每天误期赔偿费为经发包人审定的结算总造价的0.3‰。</w:t>
      </w:r>
    </w:p>
    <w:p>
      <w:pPr>
        <w:tabs>
          <w:tab w:val="left" w:pos="0"/>
          <w:tab w:val="left" w:pos="5540"/>
        </w:tabs>
        <w:autoSpaceDE w:val="0"/>
        <w:autoSpaceDN w:val="0"/>
        <w:adjustRightInd w:val="0"/>
        <w:spacing w:line="360" w:lineRule="auto"/>
        <w:ind w:left="420" w:leftChars="200" w:firstLine="220" w:firstLineChars="100"/>
        <w:jc w:val="left"/>
        <w:rPr>
          <w:rFonts w:ascii="宋体" w:hAnsi="宋体" w:cs="宋体"/>
          <w:sz w:val="22"/>
        </w:rPr>
      </w:pPr>
      <w:r>
        <w:rPr>
          <w:rFonts w:hint="eastAsia" w:ascii="宋体" w:hAnsi="宋体" w:cs="宋体"/>
          <w:sz w:val="22"/>
          <w:szCs w:val="20"/>
        </w:rPr>
        <w:t>66.3关于节点施工进度奖罚规定：承包人未按招标要求的节点工期完成施工的，经总包（如有总承包人）、监理和发包人审核确认后，从延期的第7天起，每天按经发包人审定的结算总造价的0.1‰向发包人支付违约金。</w:t>
      </w:r>
    </w:p>
    <w:p>
      <w:pPr>
        <w:autoSpaceDE w:val="0"/>
        <w:autoSpaceDN w:val="0"/>
        <w:adjustRightInd w:val="0"/>
        <w:spacing w:before="360" w:beforeLines="150" w:line="360" w:lineRule="auto"/>
        <w:jc w:val="left"/>
        <w:outlineLvl w:val="2"/>
        <w:rPr>
          <w:rFonts w:ascii="宋体" w:hAnsi="宋体" w:cs="宋体"/>
          <w:b/>
          <w:sz w:val="22"/>
        </w:rPr>
      </w:pPr>
      <w:bookmarkStart w:id="242" w:name="_Toc342306250"/>
      <w:bookmarkStart w:id="243" w:name="_Toc326239348"/>
      <w:bookmarkStart w:id="244" w:name="_Toc306287519"/>
      <w:bookmarkStart w:id="245" w:name="_Toc306287696"/>
      <w:r>
        <w:rPr>
          <w:rFonts w:hint="eastAsia" w:ascii="宋体" w:hAnsi="宋体" w:cs="宋体"/>
          <w:b/>
          <w:sz w:val="22"/>
        </w:rPr>
        <w:t>67．优质优价</w:t>
      </w:r>
      <w:bookmarkEnd w:id="242"/>
      <w:bookmarkEnd w:id="243"/>
      <w:bookmarkEnd w:id="244"/>
      <w:bookmarkEnd w:id="245"/>
      <w:r>
        <w:rPr>
          <w:rFonts w:hint="eastAsia" w:ascii="宋体" w:hAnsi="宋体" w:cs="宋体"/>
          <w:b/>
          <w:sz w:val="22"/>
        </w:rPr>
        <w:t>费</w:t>
      </w:r>
    </w:p>
    <w:p>
      <w:pPr>
        <w:tabs>
          <w:tab w:val="left" w:pos="1365"/>
        </w:tabs>
        <w:autoSpaceDE w:val="0"/>
        <w:autoSpaceDN w:val="0"/>
        <w:adjustRightInd w:val="0"/>
        <w:spacing w:line="360" w:lineRule="auto"/>
        <w:ind w:left="420" w:leftChars="200"/>
        <w:jc w:val="left"/>
        <w:rPr>
          <w:rFonts w:ascii="宋体" w:hAnsi="宋体" w:cs="宋体"/>
          <w:sz w:val="22"/>
        </w:rPr>
      </w:pPr>
      <w:r>
        <w:rPr>
          <w:rFonts w:hint="eastAsia" w:ascii="宋体" w:hAnsi="宋体" w:cs="宋体"/>
          <w:position w:val="-2"/>
          <w:sz w:val="22"/>
        </w:rPr>
        <w:t>67.1 工程优质优价费的计算方法：</w:t>
      </w:r>
    </w:p>
    <w:p>
      <w:pPr>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 没约定工程优质费的，本款不适用；</w:t>
      </w:r>
    </w:p>
    <w:p>
      <w:pPr>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 约定工程优质费的，其计算方法：</w:t>
      </w:r>
    </w:p>
    <w:p>
      <w:pPr>
        <w:tabs>
          <w:tab w:val="left" w:pos="1240"/>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67.2 工程优质费的计算额度：</w:t>
      </w:r>
      <w:r>
        <w:rPr>
          <w:rFonts w:hint="eastAsia" w:ascii="宋体" w:hAnsi="宋体" w:cs="宋体"/>
          <w:sz w:val="22"/>
          <w:u w:val="single"/>
        </w:rPr>
        <w:t>没约定优质优价奖，本条款不适用</w:t>
      </w:r>
      <w:r>
        <w:rPr>
          <w:rFonts w:hint="eastAsia" w:ascii="宋体" w:hAnsi="宋体" w:cs="宋体"/>
          <w:sz w:val="22"/>
        </w:rPr>
        <w:t>。</w:t>
      </w:r>
    </w:p>
    <w:p>
      <w:pPr>
        <w:tabs>
          <w:tab w:val="left" w:pos="6520"/>
        </w:tabs>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□按通用条款规定计算。</w:t>
      </w:r>
    </w:p>
    <w:p>
      <w:pPr>
        <w:tabs>
          <w:tab w:val="left" w:pos="6520"/>
        </w:tabs>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□按另作约定（合同工程同时获得下列多个奖项的，只按最高奖项的额度计算）：</w:t>
      </w:r>
    </w:p>
    <w:p>
      <w:pPr>
        <w:tabs>
          <w:tab w:val="left" w:pos="6520"/>
        </w:tabs>
        <w:autoSpaceDE w:val="0"/>
        <w:autoSpaceDN w:val="0"/>
        <w:adjustRightInd w:val="0"/>
        <w:spacing w:line="360" w:lineRule="auto"/>
        <w:ind w:left="840" w:leftChars="400" w:firstLine="220" w:firstLineChars="100"/>
        <w:jc w:val="left"/>
        <w:rPr>
          <w:rFonts w:ascii="宋体" w:hAnsi="宋体" w:cs="宋体"/>
          <w:sz w:val="22"/>
        </w:rPr>
      </w:pPr>
      <w:r>
        <w:rPr>
          <w:rFonts w:hint="eastAsia" w:ascii="宋体" w:hAnsi="宋体" w:cs="宋体"/>
          <w:sz w:val="22"/>
        </w:rPr>
        <w:t>国家级质量奖，合同价款的</w:t>
      </w:r>
      <w:r>
        <w:rPr>
          <w:rFonts w:hint="eastAsia" w:ascii="宋体" w:hAnsi="宋体" w:cs="宋体"/>
          <w:spacing w:val="-60"/>
          <w:sz w:val="22"/>
        </w:rPr>
        <w:t xml:space="preserve"> </w:t>
      </w:r>
      <w:r>
        <w:rPr>
          <w:rFonts w:hint="eastAsia" w:ascii="宋体" w:hAnsi="宋体" w:cs="宋体"/>
          <w:sz w:val="22"/>
          <w:u w:val="single"/>
        </w:rPr>
        <w:t xml:space="preserve">   </w:t>
      </w:r>
      <w:r>
        <w:rPr>
          <w:rFonts w:hint="eastAsia" w:ascii="宋体" w:hAnsi="宋体" w:cs="宋体"/>
          <w:sz w:val="22"/>
        </w:rPr>
        <w:t>%；</w:t>
      </w:r>
    </w:p>
    <w:p>
      <w:pPr>
        <w:tabs>
          <w:tab w:val="left" w:pos="6280"/>
        </w:tabs>
        <w:autoSpaceDE w:val="0"/>
        <w:autoSpaceDN w:val="0"/>
        <w:adjustRightInd w:val="0"/>
        <w:spacing w:line="360" w:lineRule="auto"/>
        <w:ind w:left="840" w:leftChars="400" w:firstLine="220" w:firstLineChars="100"/>
        <w:jc w:val="left"/>
        <w:rPr>
          <w:rFonts w:ascii="宋体" w:hAnsi="宋体" w:cs="宋体"/>
          <w:sz w:val="22"/>
        </w:rPr>
      </w:pPr>
      <w:r>
        <w:rPr>
          <w:rFonts w:hint="eastAsia" w:ascii="宋体" w:hAnsi="宋体" w:cs="宋体"/>
          <w:sz w:val="22"/>
        </w:rPr>
        <w:t>省级质量奖，合同价款的</w:t>
      </w:r>
      <w:r>
        <w:rPr>
          <w:rFonts w:hint="eastAsia" w:ascii="宋体" w:hAnsi="宋体" w:cs="宋体"/>
          <w:sz w:val="22"/>
          <w:u w:val="single"/>
        </w:rPr>
        <w:t xml:space="preserve">   </w:t>
      </w:r>
      <w:r>
        <w:rPr>
          <w:rFonts w:hint="eastAsia" w:ascii="宋体" w:hAnsi="宋体" w:cs="宋体"/>
          <w:sz w:val="22"/>
        </w:rPr>
        <w:t xml:space="preserve"> %；</w:t>
      </w:r>
    </w:p>
    <w:p>
      <w:pPr>
        <w:tabs>
          <w:tab w:val="left" w:pos="6280"/>
        </w:tabs>
        <w:autoSpaceDE w:val="0"/>
        <w:autoSpaceDN w:val="0"/>
        <w:adjustRightInd w:val="0"/>
        <w:spacing w:line="360" w:lineRule="auto"/>
        <w:ind w:left="840" w:leftChars="400" w:firstLine="220" w:firstLineChars="100"/>
        <w:jc w:val="left"/>
        <w:rPr>
          <w:rFonts w:ascii="宋体" w:hAnsi="宋体" w:cs="宋体"/>
          <w:sz w:val="22"/>
        </w:rPr>
      </w:pPr>
      <w:r>
        <w:rPr>
          <w:rFonts w:hint="eastAsia" w:ascii="宋体" w:hAnsi="宋体" w:cs="宋体"/>
          <w:sz w:val="22"/>
        </w:rPr>
        <w:t>市级质量奖，合同价款的</w:t>
      </w:r>
      <w:r>
        <w:rPr>
          <w:rFonts w:hint="eastAsia" w:ascii="宋体" w:hAnsi="宋体" w:cs="宋体"/>
          <w:sz w:val="22"/>
          <w:u w:val="single"/>
        </w:rPr>
        <w:t xml:space="preserve">   </w:t>
      </w:r>
      <w:r>
        <w:rPr>
          <w:rFonts w:hint="eastAsia" w:ascii="宋体" w:hAnsi="宋体" w:cs="宋体"/>
          <w:sz w:val="22"/>
        </w:rPr>
        <w:t xml:space="preserve"> 1%。</w:t>
      </w:r>
    </w:p>
    <w:p>
      <w:pPr>
        <w:autoSpaceDE w:val="0"/>
        <w:autoSpaceDN w:val="0"/>
        <w:adjustRightInd w:val="0"/>
        <w:spacing w:line="360" w:lineRule="auto"/>
        <w:ind w:left="420" w:leftChars="200"/>
        <w:rPr>
          <w:rFonts w:ascii="宋体" w:hAnsi="宋体" w:cs="宋体"/>
          <w:dstrike/>
          <w:sz w:val="22"/>
        </w:rPr>
      </w:pPr>
      <w:r>
        <w:rPr>
          <w:rFonts w:hint="eastAsia" w:ascii="宋体" w:hAnsi="宋体" w:cs="宋体"/>
          <w:sz w:val="22"/>
        </w:rPr>
        <w:t>此项增加67.3条、67.4条</w:t>
      </w:r>
    </w:p>
    <w:p>
      <w:pPr>
        <w:tabs>
          <w:tab w:val="left" w:pos="6280"/>
        </w:tabs>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67.3 劳动竞赛活动的约定：承包人应积极参与指挥部组织的劳动竞赛活动，具体细则及劳动竞赛活动奖励基金提取按《广东省机场管理集团有限公司工程建设指挥部劳动竞赛活动实施方案》及《广东省机场管理集团有限公司工程建设指挥部开展劳动竞赛活动协议书》约定执行。</w:t>
      </w:r>
    </w:p>
    <w:p>
      <w:pPr>
        <w:tabs>
          <w:tab w:val="left" w:pos="6280"/>
        </w:tabs>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本合同签订生效后，根据实际情况另行签订《广东省机场管理集团有限公司工程建设指挥部开展劳动竞赛活动协议书》。本合同签订后，在预付款支付后5个工作日内向发包人一次性缴纳合同金额（不含暂列金、不含暂估价）的0.4‰作为劳动竞赛活动奖励基金的组成部分，劳动竞赛具体细则按发包人劳动竞赛实施方案约定执行。</w:t>
      </w:r>
    </w:p>
    <w:p>
      <w:pPr>
        <w:spacing w:line="360" w:lineRule="auto"/>
        <w:ind w:left="958" w:leftChars="456"/>
        <w:rPr>
          <w:rFonts w:ascii="宋体" w:hAnsi="宋体" w:cs="宋体"/>
          <w:sz w:val="22"/>
        </w:rPr>
      </w:pPr>
      <w:r>
        <w:rPr>
          <w:rFonts w:hint="eastAsia" w:ascii="宋体" w:hAnsi="宋体" w:cs="宋体"/>
          <w:sz w:val="22"/>
        </w:rPr>
        <w:t>67.4科技创新要求：承包人应按投标承诺完成以下以下科技创新，并提供相应佐证材料。如未提供，发包人有权按下述标准予以扣罚违约金。</w:t>
      </w:r>
    </w:p>
    <w:p>
      <w:pPr>
        <w:spacing w:line="360" w:lineRule="auto"/>
        <w:ind w:left="958" w:leftChars="456"/>
        <w:rPr>
          <w:rFonts w:ascii="宋体" w:hAnsi="宋体" w:cs="宋体"/>
          <w:sz w:val="22"/>
        </w:rPr>
      </w:pPr>
      <w:r>
        <w:rPr>
          <w:rFonts w:hint="eastAsia" w:ascii="宋体" w:hAnsi="宋体" w:cs="宋体"/>
          <w:sz w:val="22"/>
        </w:rPr>
        <w:t>（</w:t>
      </w:r>
      <w:r>
        <w:rPr>
          <w:rFonts w:hint="eastAsia" w:ascii="宋体" w:hAnsi="宋体" w:cs="宋体"/>
          <w:sz w:val="20"/>
          <w:szCs w:val="20"/>
        </w:rPr>
        <w:t>注意：投标数量不低于此要求：论文≥3个；专利≥2个。）</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477"/>
        <w:gridCol w:w="1021"/>
        <w:gridCol w:w="1021"/>
        <w:gridCol w:w="1510"/>
        <w:gridCol w:w="2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pPr>
              <w:spacing w:line="440" w:lineRule="exact"/>
              <w:ind w:firstLine="400" w:firstLineChars="200"/>
              <w:rPr>
                <w:rFonts w:ascii="宋体" w:hAnsi="宋体" w:cs="宋体"/>
                <w:sz w:val="20"/>
                <w:szCs w:val="20"/>
                <w:lang w:eastAsia="zh-Hans"/>
              </w:rPr>
            </w:pPr>
            <w:r>
              <w:rPr>
                <w:rFonts w:hint="eastAsia" w:ascii="宋体" w:hAnsi="宋体" w:cs="宋体"/>
                <w:sz w:val="20"/>
                <w:szCs w:val="20"/>
                <w:lang w:eastAsia="zh-Hans"/>
              </w:rPr>
              <w:t>序号</w:t>
            </w:r>
          </w:p>
        </w:tc>
        <w:tc>
          <w:tcPr>
            <w:tcW w:w="1477" w:type="dxa"/>
            <w:vAlign w:val="center"/>
          </w:tcPr>
          <w:p>
            <w:pPr>
              <w:spacing w:line="440" w:lineRule="exact"/>
              <w:ind w:firstLine="400" w:firstLineChars="200"/>
              <w:rPr>
                <w:rFonts w:ascii="宋体" w:hAnsi="宋体" w:cs="宋体"/>
                <w:sz w:val="20"/>
                <w:szCs w:val="20"/>
              </w:rPr>
            </w:pPr>
            <w:r>
              <w:rPr>
                <w:rFonts w:hint="eastAsia" w:ascii="宋体" w:hAnsi="宋体" w:cs="宋体"/>
                <w:sz w:val="20"/>
                <w:szCs w:val="20"/>
              </w:rPr>
              <w:t>承诺科技创新内容</w:t>
            </w:r>
          </w:p>
        </w:tc>
        <w:tc>
          <w:tcPr>
            <w:tcW w:w="1021" w:type="dxa"/>
            <w:vAlign w:val="center"/>
          </w:tcPr>
          <w:p>
            <w:pPr>
              <w:spacing w:line="440" w:lineRule="exact"/>
              <w:ind w:firstLine="400" w:firstLineChars="200"/>
              <w:rPr>
                <w:rFonts w:ascii="宋体" w:hAnsi="宋体" w:cs="宋体"/>
                <w:sz w:val="20"/>
                <w:szCs w:val="20"/>
              </w:rPr>
            </w:pPr>
            <w:r>
              <w:rPr>
                <w:rFonts w:hint="eastAsia" w:ascii="宋体" w:hAnsi="宋体" w:cs="宋体"/>
                <w:sz w:val="20"/>
                <w:szCs w:val="20"/>
              </w:rPr>
              <w:t>承诺个数</w:t>
            </w:r>
          </w:p>
        </w:tc>
        <w:tc>
          <w:tcPr>
            <w:tcW w:w="1021" w:type="dxa"/>
            <w:vAlign w:val="center"/>
          </w:tcPr>
          <w:p>
            <w:pPr>
              <w:spacing w:line="440" w:lineRule="exact"/>
              <w:ind w:firstLine="400" w:firstLineChars="200"/>
              <w:rPr>
                <w:rFonts w:ascii="宋体" w:hAnsi="宋体" w:cs="宋体"/>
                <w:sz w:val="20"/>
                <w:szCs w:val="20"/>
              </w:rPr>
            </w:pPr>
            <w:r>
              <w:rPr>
                <w:rFonts w:hint="eastAsia" w:ascii="宋体" w:hAnsi="宋体" w:cs="宋体"/>
                <w:sz w:val="20"/>
                <w:szCs w:val="20"/>
              </w:rPr>
              <w:t>实施计划</w:t>
            </w:r>
          </w:p>
        </w:tc>
        <w:tc>
          <w:tcPr>
            <w:tcW w:w="1510" w:type="dxa"/>
            <w:vAlign w:val="center"/>
          </w:tcPr>
          <w:p>
            <w:pPr>
              <w:spacing w:line="440" w:lineRule="exact"/>
              <w:ind w:firstLine="400" w:firstLineChars="200"/>
              <w:rPr>
                <w:rFonts w:ascii="宋体" w:hAnsi="宋体" w:cs="宋体"/>
                <w:sz w:val="20"/>
                <w:szCs w:val="20"/>
              </w:rPr>
            </w:pPr>
            <w:r>
              <w:rPr>
                <w:rFonts w:hint="eastAsia" w:ascii="宋体" w:hAnsi="宋体" w:cs="宋体"/>
                <w:sz w:val="20"/>
                <w:szCs w:val="20"/>
              </w:rPr>
              <w:t>未达到的违约责任</w:t>
            </w:r>
          </w:p>
        </w:tc>
        <w:tc>
          <w:tcPr>
            <w:tcW w:w="2532" w:type="dxa"/>
            <w:vAlign w:val="center"/>
          </w:tcPr>
          <w:p>
            <w:pPr>
              <w:spacing w:line="440" w:lineRule="exact"/>
              <w:ind w:firstLine="400" w:firstLineChars="200"/>
              <w:rPr>
                <w:rFonts w:ascii="宋体" w:hAnsi="宋体" w:cs="宋体"/>
                <w:sz w:val="20"/>
                <w:szCs w:val="20"/>
              </w:rPr>
            </w:pPr>
            <w:r>
              <w:rPr>
                <w:rFonts w:hint="eastAsia" w:ascii="宋体" w:hAnsi="宋体" w:cs="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61" w:type="dxa"/>
            <w:vAlign w:val="center"/>
          </w:tcPr>
          <w:p>
            <w:pPr>
              <w:spacing w:line="440" w:lineRule="exact"/>
              <w:ind w:firstLine="400" w:firstLineChars="200"/>
              <w:rPr>
                <w:rFonts w:ascii="宋体" w:hAnsi="宋体" w:cs="宋体"/>
                <w:sz w:val="20"/>
                <w:szCs w:val="20"/>
              </w:rPr>
            </w:pPr>
            <w:r>
              <w:rPr>
                <w:rFonts w:hint="eastAsia" w:ascii="宋体" w:hAnsi="宋体" w:cs="宋体"/>
                <w:sz w:val="20"/>
                <w:szCs w:val="20"/>
              </w:rPr>
              <w:t>1</w:t>
            </w:r>
          </w:p>
        </w:tc>
        <w:tc>
          <w:tcPr>
            <w:tcW w:w="1477" w:type="dxa"/>
            <w:vAlign w:val="center"/>
          </w:tcPr>
          <w:p>
            <w:pPr>
              <w:spacing w:line="440" w:lineRule="exact"/>
              <w:ind w:firstLine="400" w:firstLineChars="200"/>
              <w:rPr>
                <w:rFonts w:ascii="宋体" w:hAnsi="宋体" w:cs="宋体"/>
                <w:sz w:val="20"/>
                <w:szCs w:val="20"/>
              </w:rPr>
            </w:pPr>
            <w:r>
              <w:rPr>
                <w:rFonts w:hint="eastAsia" w:ascii="宋体" w:hAnsi="宋体" w:cs="宋体"/>
                <w:sz w:val="20"/>
                <w:szCs w:val="20"/>
              </w:rPr>
              <w:t>国家级</w:t>
            </w:r>
          </w:p>
        </w:tc>
        <w:tc>
          <w:tcPr>
            <w:tcW w:w="1021" w:type="dxa"/>
            <w:vAlign w:val="center"/>
          </w:tcPr>
          <w:p>
            <w:pPr>
              <w:spacing w:line="440" w:lineRule="exact"/>
              <w:ind w:firstLine="400" w:firstLineChars="200"/>
              <w:rPr>
                <w:rFonts w:ascii="宋体" w:hAnsi="宋体" w:cs="宋体"/>
                <w:sz w:val="20"/>
                <w:szCs w:val="20"/>
              </w:rPr>
            </w:pPr>
          </w:p>
        </w:tc>
        <w:tc>
          <w:tcPr>
            <w:tcW w:w="1021" w:type="dxa"/>
            <w:vAlign w:val="center"/>
          </w:tcPr>
          <w:p>
            <w:pPr>
              <w:spacing w:line="440" w:lineRule="exact"/>
              <w:ind w:firstLine="400" w:firstLineChars="200"/>
              <w:rPr>
                <w:rFonts w:ascii="宋体" w:hAnsi="宋体" w:cs="宋体"/>
                <w:sz w:val="20"/>
                <w:szCs w:val="20"/>
              </w:rPr>
            </w:pPr>
          </w:p>
        </w:tc>
        <w:tc>
          <w:tcPr>
            <w:tcW w:w="1510" w:type="dxa"/>
            <w:vAlign w:val="center"/>
          </w:tcPr>
          <w:p>
            <w:pPr>
              <w:jc w:val="center"/>
              <w:rPr>
                <w:rFonts w:ascii="宋体" w:hAnsi="宋体" w:cs="宋体"/>
                <w:sz w:val="20"/>
                <w:szCs w:val="20"/>
              </w:rPr>
            </w:pPr>
            <w:r>
              <w:rPr>
                <w:rFonts w:hint="eastAsia" w:ascii="宋体" w:hAnsi="宋体" w:cs="宋体"/>
                <w:sz w:val="20"/>
                <w:szCs w:val="20"/>
              </w:rPr>
              <w:t>200万/个</w:t>
            </w:r>
          </w:p>
        </w:tc>
        <w:tc>
          <w:tcPr>
            <w:tcW w:w="2532" w:type="dxa"/>
            <w:vAlign w:val="center"/>
          </w:tcPr>
          <w:p>
            <w:pPr>
              <w:spacing w:line="440" w:lineRule="exact"/>
              <w:jc w:val="center"/>
              <w:rPr>
                <w:rFonts w:ascii="宋体" w:hAnsi="宋体" w:cs="宋体"/>
                <w:sz w:val="20"/>
                <w:szCs w:val="20"/>
              </w:rPr>
            </w:pPr>
            <w:r>
              <w:rPr>
                <w:rFonts w:hint="eastAsia" w:ascii="宋体" w:hAnsi="宋体" w:cs="宋体"/>
                <w:sz w:val="20"/>
                <w:szCs w:val="20"/>
              </w:rPr>
              <w:t>国家级行政机关或协会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pPr>
              <w:spacing w:line="440" w:lineRule="exact"/>
              <w:ind w:firstLine="400" w:firstLineChars="200"/>
              <w:rPr>
                <w:rFonts w:ascii="宋体" w:hAnsi="宋体" w:cs="宋体"/>
                <w:sz w:val="20"/>
                <w:szCs w:val="20"/>
              </w:rPr>
            </w:pPr>
            <w:r>
              <w:rPr>
                <w:rFonts w:hint="eastAsia" w:ascii="宋体" w:hAnsi="宋体" w:cs="宋体"/>
                <w:sz w:val="20"/>
                <w:szCs w:val="20"/>
              </w:rPr>
              <w:t>2</w:t>
            </w:r>
          </w:p>
        </w:tc>
        <w:tc>
          <w:tcPr>
            <w:tcW w:w="1477" w:type="dxa"/>
            <w:vAlign w:val="center"/>
          </w:tcPr>
          <w:p>
            <w:pPr>
              <w:spacing w:line="440" w:lineRule="exact"/>
              <w:ind w:firstLine="400" w:firstLineChars="200"/>
              <w:rPr>
                <w:rFonts w:ascii="宋体" w:hAnsi="宋体" w:cs="宋体"/>
                <w:sz w:val="20"/>
                <w:szCs w:val="20"/>
              </w:rPr>
            </w:pPr>
            <w:r>
              <w:rPr>
                <w:rFonts w:hint="eastAsia" w:ascii="宋体" w:hAnsi="宋体" w:cs="宋体"/>
                <w:sz w:val="20"/>
                <w:szCs w:val="20"/>
              </w:rPr>
              <w:t>省级</w:t>
            </w:r>
          </w:p>
        </w:tc>
        <w:tc>
          <w:tcPr>
            <w:tcW w:w="1021" w:type="dxa"/>
            <w:vAlign w:val="center"/>
          </w:tcPr>
          <w:p>
            <w:pPr>
              <w:spacing w:line="440" w:lineRule="exact"/>
              <w:ind w:firstLine="400" w:firstLineChars="200"/>
              <w:rPr>
                <w:rFonts w:ascii="宋体" w:hAnsi="宋体" w:cs="宋体"/>
                <w:sz w:val="20"/>
                <w:szCs w:val="20"/>
              </w:rPr>
            </w:pPr>
          </w:p>
        </w:tc>
        <w:tc>
          <w:tcPr>
            <w:tcW w:w="1021" w:type="dxa"/>
            <w:vAlign w:val="center"/>
          </w:tcPr>
          <w:p>
            <w:pPr>
              <w:spacing w:line="440" w:lineRule="exact"/>
              <w:ind w:firstLine="400" w:firstLineChars="200"/>
              <w:rPr>
                <w:rFonts w:ascii="宋体" w:hAnsi="宋体" w:cs="宋体"/>
                <w:sz w:val="20"/>
                <w:szCs w:val="20"/>
              </w:rPr>
            </w:pPr>
          </w:p>
        </w:tc>
        <w:tc>
          <w:tcPr>
            <w:tcW w:w="1510" w:type="dxa"/>
            <w:vAlign w:val="center"/>
          </w:tcPr>
          <w:p>
            <w:pPr>
              <w:jc w:val="center"/>
              <w:rPr>
                <w:rFonts w:ascii="宋体" w:hAnsi="宋体" w:cs="宋体"/>
                <w:sz w:val="20"/>
                <w:szCs w:val="20"/>
              </w:rPr>
            </w:pPr>
            <w:r>
              <w:rPr>
                <w:rFonts w:hint="eastAsia" w:ascii="宋体" w:hAnsi="宋体" w:cs="宋体"/>
                <w:sz w:val="20"/>
                <w:szCs w:val="20"/>
              </w:rPr>
              <w:t>100万/个</w:t>
            </w:r>
          </w:p>
        </w:tc>
        <w:tc>
          <w:tcPr>
            <w:tcW w:w="2532" w:type="dxa"/>
            <w:vAlign w:val="center"/>
          </w:tcPr>
          <w:p>
            <w:pPr>
              <w:spacing w:line="440" w:lineRule="exact"/>
              <w:ind w:firstLine="400" w:firstLineChars="200"/>
              <w:jc w:val="center"/>
              <w:rPr>
                <w:rFonts w:ascii="宋体" w:hAnsi="宋体" w:cs="宋体"/>
                <w:sz w:val="20"/>
                <w:szCs w:val="20"/>
              </w:rPr>
            </w:pPr>
            <w:r>
              <w:rPr>
                <w:rFonts w:hint="eastAsia" w:ascii="宋体" w:hAnsi="宋体" w:cs="宋体"/>
                <w:sz w:val="20"/>
                <w:szCs w:val="20"/>
              </w:rPr>
              <w:t>省级行政机关或协会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pPr>
              <w:spacing w:line="440" w:lineRule="exact"/>
              <w:ind w:firstLine="400" w:firstLineChars="200"/>
              <w:rPr>
                <w:rFonts w:ascii="宋体" w:hAnsi="宋体" w:cs="宋体"/>
                <w:sz w:val="20"/>
                <w:szCs w:val="20"/>
              </w:rPr>
            </w:pPr>
            <w:r>
              <w:rPr>
                <w:rFonts w:hint="eastAsia" w:ascii="宋体" w:hAnsi="宋体" w:cs="宋体"/>
                <w:sz w:val="20"/>
                <w:szCs w:val="20"/>
              </w:rPr>
              <w:t>3</w:t>
            </w:r>
          </w:p>
        </w:tc>
        <w:tc>
          <w:tcPr>
            <w:tcW w:w="1477" w:type="dxa"/>
            <w:vAlign w:val="center"/>
          </w:tcPr>
          <w:p>
            <w:pPr>
              <w:spacing w:line="440" w:lineRule="exact"/>
              <w:ind w:firstLine="400" w:firstLineChars="200"/>
              <w:rPr>
                <w:rFonts w:ascii="宋体" w:hAnsi="宋体" w:cs="宋体"/>
                <w:sz w:val="20"/>
                <w:szCs w:val="20"/>
              </w:rPr>
            </w:pPr>
            <w:r>
              <w:rPr>
                <w:rFonts w:hint="eastAsia" w:ascii="宋体" w:hAnsi="宋体" w:cs="宋体"/>
                <w:sz w:val="20"/>
                <w:szCs w:val="20"/>
              </w:rPr>
              <w:t>市级</w:t>
            </w:r>
          </w:p>
        </w:tc>
        <w:tc>
          <w:tcPr>
            <w:tcW w:w="1021" w:type="dxa"/>
            <w:vAlign w:val="center"/>
          </w:tcPr>
          <w:p>
            <w:pPr>
              <w:spacing w:line="440" w:lineRule="exact"/>
              <w:ind w:firstLine="400" w:firstLineChars="200"/>
              <w:rPr>
                <w:rFonts w:ascii="宋体" w:hAnsi="宋体" w:cs="宋体"/>
                <w:sz w:val="20"/>
                <w:szCs w:val="20"/>
              </w:rPr>
            </w:pPr>
          </w:p>
        </w:tc>
        <w:tc>
          <w:tcPr>
            <w:tcW w:w="1021" w:type="dxa"/>
            <w:vAlign w:val="center"/>
          </w:tcPr>
          <w:p>
            <w:pPr>
              <w:spacing w:line="440" w:lineRule="exact"/>
              <w:ind w:firstLine="400" w:firstLineChars="200"/>
              <w:rPr>
                <w:rFonts w:ascii="宋体" w:hAnsi="宋体" w:cs="宋体"/>
                <w:sz w:val="20"/>
                <w:szCs w:val="20"/>
              </w:rPr>
            </w:pPr>
          </w:p>
        </w:tc>
        <w:tc>
          <w:tcPr>
            <w:tcW w:w="1510" w:type="dxa"/>
            <w:vAlign w:val="center"/>
          </w:tcPr>
          <w:p>
            <w:pPr>
              <w:jc w:val="center"/>
              <w:rPr>
                <w:rFonts w:ascii="宋体" w:hAnsi="宋体" w:cs="宋体"/>
                <w:sz w:val="20"/>
                <w:szCs w:val="20"/>
              </w:rPr>
            </w:pPr>
            <w:r>
              <w:rPr>
                <w:rFonts w:hint="eastAsia" w:ascii="宋体" w:hAnsi="宋体" w:cs="宋体"/>
                <w:sz w:val="20"/>
                <w:szCs w:val="20"/>
              </w:rPr>
              <w:t>50万/个</w:t>
            </w:r>
          </w:p>
        </w:tc>
        <w:tc>
          <w:tcPr>
            <w:tcW w:w="2532" w:type="dxa"/>
            <w:vAlign w:val="center"/>
          </w:tcPr>
          <w:p>
            <w:pPr>
              <w:spacing w:line="440" w:lineRule="exact"/>
              <w:ind w:firstLine="400" w:firstLineChars="200"/>
              <w:jc w:val="center"/>
              <w:rPr>
                <w:rFonts w:ascii="宋体" w:hAnsi="宋体" w:cs="宋体"/>
                <w:sz w:val="20"/>
                <w:szCs w:val="20"/>
              </w:rPr>
            </w:pPr>
            <w:r>
              <w:rPr>
                <w:rFonts w:hint="eastAsia" w:ascii="宋体" w:hAnsi="宋体" w:cs="宋体"/>
                <w:sz w:val="20"/>
                <w:szCs w:val="20"/>
              </w:rPr>
              <w:t>市级行政机关或协会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pPr>
              <w:spacing w:line="440" w:lineRule="exact"/>
              <w:ind w:firstLine="400" w:firstLineChars="200"/>
              <w:rPr>
                <w:rFonts w:ascii="宋体" w:hAnsi="宋体" w:cs="宋体"/>
                <w:sz w:val="20"/>
                <w:szCs w:val="20"/>
              </w:rPr>
            </w:pPr>
            <w:r>
              <w:rPr>
                <w:rFonts w:hint="eastAsia" w:ascii="宋体" w:hAnsi="宋体" w:cs="宋体"/>
                <w:sz w:val="20"/>
                <w:szCs w:val="20"/>
              </w:rPr>
              <w:t>4</w:t>
            </w:r>
          </w:p>
        </w:tc>
        <w:tc>
          <w:tcPr>
            <w:tcW w:w="1477" w:type="dxa"/>
            <w:vAlign w:val="center"/>
          </w:tcPr>
          <w:p>
            <w:pPr>
              <w:spacing w:line="440" w:lineRule="exact"/>
              <w:ind w:firstLine="400" w:firstLineChars="200"/>
              <w:rPr>
                <w:rFonts w:ascii="宋体" w:hAnsi="宋体" w:cs="宋体"/>
                <w:sz w:val="20"/>
                <w:szCs w:val="20"/>
              </w:rPr>
            </w:pPr>
            <w:r>
              <w:rPr>
                <w:rFonts w:hint="eastAsia" w:ascii="宋体" w:hAnsi="宋体" w:cs="宋体"/>
                <w:sz w:val="20"/>
                <w:szCs w:val="20"/>
              </w:rPr>
              <w:t>专利</w:t>
            </w:r>
          </w:p>
        </w:tc>
        <w:tc>
          <w:tcPr>
            <w:tcW w:w="1021" w:type="dxa"/>
            <w:vAlign w:val="center"/>
          </w:tcPr>
          <w:p>
            <w:pPr>
              <w:spacing w:line="440" w:lineRule="exact"/>
              <w:ind w:firstLine="400" w:firstLineChars="200"/>
              <w:rPr>
                <w:rFonts w:ascii="宋体" w:hAnsi="宋体" w:cs="宋体"/>
                <w:sz w:val="20"/>
                <w:szCs w:val="20"/>
              </w:rPr>
            </w:pPr>
          </w:p>
        </w:tc>
        <w:tc>
          <w:tcPr>
            <w:tcW w:w="1021" w:type="dxa"/>
            <w:vAlign w:val="center"/>
          </w:tcPr>
          <w:p>
            <w:pPr>
              <w:spacing w:line="440" w:lineRule="exact"/>
              <w:ind w:firstLine="400" w:firstLineChars="200"/>
              <w:rPr>
                <w:rFonts w:ascii="宋体" w:hAnsi="宋体" w:cs="宋体"/>
                <w:sz w:val="20"/>
                <w:szCs w:val="20"/>
              </w:rPr>
            </w:pPr>
          </w:p>
        </w:tc>
        <w:tc>
          <w:tcPr>
            <w:tcW w:w="1510" w:type="dxa"/>
            <w:vAlign w:val="center"/>
          </w:tcPr>
          <w:p>
            <w:pPr>
              <w:jc w:val="center"/>
              <w:rPr>
                <w:rFonts w:ascii="宋体" w:hAnsi="宋体" w:cs="宋体"/>
                <w:sz w:val="20"/>
                <w:szCs w:val="20"/>
              </w:rPr>
            </w:pPr>
            <w:r>
              <w:rPr>
                <w:rFonts w:hint="eastAsia" w:ascii="宋体" w:hAnsi="宋体" w:cs="宋体"/>
                <w:sz w:val="20"/>
                <w:szCs w:val="20"/>
              </w:rPr>
              <w:t>50万/个</w:t>
            </w:r>
          </w:p>
        </w:tc>
        <w:tc>
          <w:tcPr>
            <w:tcW w:w="2532" w:type="dxa"/>
            <w:vAlign w:val="center"/>
          </w:tcPr>
          <w:p>
            <w:pPr>
              <w:spacing w:line="440" w:lineRule="exact"/>
              <w:ind w:firstLine="400" w:firstLineChars="200"/>
              <w:jc w:val="center"/>
              <w:rPr>
                <w:rFonts w:ascii="宋体" w:hAnsi="宋体" w:cs="宋体"/>
                <w:sz w:val="20"/>
                <w:szCs w:val="20"/>
              </w:rPr>
            </w:pPr>
            <w:r>
              <w:rPr>
                <w:rFonts w:hint="eastAsia" w:ascii="宋体" w:hAnsi="宋体" w:cs="宋体"/>
                <w:sz w:val="20"/>
                <w:szCs w:val="20"/>
              </w:rPr>
              <w:t>发明或实用新型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pPr>
              <w:spacing w:line="440" w:lineRule="exact"/>
              <w:ind w:firstLine="400" w:firstLineChars="200"/>
              <w:rPr>
                <w:rFonts w:ascii="宋体" w:hAnsi="宋体" w:cs="宋体"/>
                <w:sz w:val="20"/>
                <w:szCs w:val="20"/>
              </w:rPr>
            </w:pPr>
            <w:r>
              <w:rPr>
                <w:rFonts w:hint="eastAsia" w:ascii="宋体" w:hAnsi="宋体" w:cs="宋体"/>
                <w:sz w:val="20"/>
                <w:szCs w:val="20"/>
              </w:rPr>
              <w:t>5</w:t>
            </w:r>
          </w:p>
        </w:tc>
        <w:tc>
          <w:tcPr>
            <w:tcW w:w="1477" w:type="dxa"/>
            <w:vAlign w:val="center"/>
          </w:tcPr>
          <w:p>
            <w:pPr>
              <w:spacing w:line="440" w:lineRule="exact"/>
              <w:ind w:firstLine="400" w:firstLineChars="200"/>
              <w:rPr>
                <w:rFonts w:ascii="宋体" w:hAnsi="宋体" w:cs="宋体"/>
                <w:sz w:val="20"/>
                <w:szCs w:val="20"/>
              </w:rPr>
            </w:pPr>
            <w:r>
              <w:rPr>
                <w:rFonts w:hint="eastAsia" w:ascii="宋体" w:hAnsi="宋体" w:cs="宋体"/>
                <w:sz w:val="20"/>
                <w:szCs w:val="20"/>
              </w:rPr>
              <w:t>论文</w:t>
            </w:r>
          </w:p>
        </w:tc>
        <w:tc>
          <w:tcPr>
            <w:tcW w:w="1021" w:type="dxa"/>
            <w:vAlign w:val="center"/>
          </w:tcPr>
          <w:p>
            <w:pPr>
              <w:spacing w:line="440" w:lineRule="exact"/>
              <w:ind w:firstLine="400" w:firstLineChars="200"/>
              <w:rPr>
                <w:rFonts w:ascii="宋体" w:hAnsi="宋体" w:cs="宋体"/>
                <w:sz w:val="20"/>
                <w:szCs w:val="20"/>
              </w:rPr>
            </w:pPr>
          </w:p>
        </w:tc>
        <w:tc>
          <w:tcPr>
            <w:tcW w:w="1021" w:type="dxa"/>
            <w:vAlign w:val="center"/>
          </w:tcPr>
          <w:p>
            <w:pPr>
              <w:spacing w:line="440" w:lineRule="exact"/>
              <w:ind w:firstLine="400" w:firstLineChars="200"/>
              <w:rPr>
                <w:rFonts w:ascii="宋体" w:hAnsi="宋体" w:cs="宋体"/>
                <w:sz w:val="20"/>
                <w:szCs w:val="20"/>
              </w:rPr>
            </w:pPr>
          </w:p>
        </w:tc>
        <w:tc>
          <w:tcPr>
            <w:tcW w:w="1510" w:type="dxa"/>
            <w:vAlign w:val="center"/>
          </w:tcPr>
          <w:p>
            <w:pPr>
              <w:jc w:val="center"/>
              <w:rPr>
                <w:rFonts w:ascii="宋体" w:hAnsi="宋体" w:cs="宋体"/>
                <w:sz w:val="20"/>
                <w:szCs w:val="20"/>
              </w:rPr>
            </w:pPr>
            <w:r>
              <w:rPr>
                <w:rFonts w:hint="eastAsia" w:ascii="宋体" w:hAnsi="宋体" w:cs="宋体"/>
                <w:sz w:val="20"/>
                <w:szCs w:val="20"/>
              </w:rPr>
              <w:t>50万/个</w:t>
            </w:r>
          </w:p>
        </w:tc>
        <w:tc>
          <w:tcPr>
            <w:tcW w:w="2532" w:type="dxa"/>
            <w:vAlign w:val="center"/>
          </w:tcPr>
          <w:p>
            <w:pPr>
              <w:spacing w:line="440" w:lineRule="exact"/>
              <w:ind w:firstLine="400" w:firstLineChars="200"/>
              <w:jc w:val="center"/>
              <w:rPr>
                <w:rFonts w:ascii="宋体" w:hAnsi="宋体" w:cs="宋体"/>
                <w:sz w:val="20"/>
                <w:szCs w:val="20"/>
              </w:rPr>
            </w:pPr>
            <w:r>
              <w:rPr>
                <w:rFonts w:hint="eastAsia" w:ascii="宋体" w:hAnsi="宋体" w:cs="宋体"/>
                <w:sz w:val="20"/>
                <w:szCs w:val="20"/>
              </w:rPr>
              <w:t>在国家核心期刊发表论文，包括专著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pPr>
              <w:spacing w:line="440" w:lineRule="exact"/>
              <w:ind w:firstLine="400" w:firstLineChars="200"/>
              <w:rPr>
                <w:rFonts w:ascii="宋体" w:hAnsi="宋体" w:cs="宋体"/>
                <w:sz w:val="20"/>
                <w:szCs w:val="20"/>
              </w:rPr>
            </w:pPr>
            <w:r>
              <w:rPr>
                <w:rFonts w:hint="eastAsia" w:ascii="宋体" w:hAnsi="宋体" w:cs="宋体"/>
                <w:sz w:val="20"/>
                <w:szCs w:val="20"/>
              </w:rPr>
              <w:t>6</w:t>
            </w:r>
          </w:p>
        </w:tc>
        <w:tc>
          <w:tcPr>
            <w:tcW w:w="1477" w:type="dxa"/>
            <w:vAlign w:val="center"/>
          </w:tcPr>
          <w:p>
            <w:pPr>
              <w:spacing w:line="440" w:lineRule="exact"/>
              <w:ind w:firstLine="400" w:firstLineChars="200"/>
              <w:rPr>
                <w:rFonts w:ascii="宋体" w:hAnsi="宋体" w:cs="宋体"/>
                <w:sz w:val="20"/>
                <w:szCs w:val="20"/>
              </w:rPr>
            </w:pPr>
            <w:r>
              <w:rPr>
                <w:rFonts w:hint="eastAsia" w:ascii="宋体" w:hAnsi="宋体" w:cs="宋体"/>
                <w:sz w:val="20"/>
                <w:szCs w:val="20"/>
              </w:rPr>
              <w:t>工法标准</w:t>
            </w:r>
          </w:p>
        </w:tc>
        <w:tc>
          <w:tcPr>
            <w:tcW w:w="1021" w:type="dxa"/>
            <w:vAlign w:val="center"/>
          </w:tcPr>
          <w:p>
            <w:pPr>
              <w:spacing w:line="440" w:lineRule="exact"/>
              <w:ind w:firstLine="400" w:firstLineChars="200"/>
              <w:rPr>
                <w:rFonts w:ascii="宋体" w:hAnsi="宋体" w:cs="宋体"/>
                <w:sz w:val="20"/>
                <w:szCs w:val="20"/>
              </w:rPr>
            </w:pPr>
          </w:p>
        </w:tc>
        <w:tc>
          <w:tcPr>
            <w:tcW w:w="1021" w:type="dxa"/>
            <w:vAlign w:val="center"/>
          </w:tcPr>
          <w:p>
            <w:pPr>
              <w:spacing w:line="440" w:lineRule="exact"/>
              <w:ind w:firstLine="400" w:firstLineChars="200"/>
              <w:rPr>
                <w:rFonts w:ascii="宋体" w:hAnsi="宋体" w:cs="宋体"/>
                <w:sz w:val="20"/>
                <w:szCs w:val="20"/>
              </w:rPr>
            </w:pPr>
          </w:p>
        </w:tc>
        <w:tc>
          <w:tcPr>
            <w:tcW w:w="1510" w:type="dxa"/>
            <w:vAlign w:val="center"/>
          </w:tcPr>
          <w:p>
            <w:pPr>
              <w:jc w:val="center"/>
              <w:rPr>
                <w:rFonts w:ascii="宋体" w:hAnsi="宋体" w:cs="宋体"/>
                <w:sz w:val="20"/>
                <w:szCs w:val="20"/>
              </w:rPr>
            </w:pPr>
            <w:r>
              <w:rPr>
                <w:rFonts w:hint="eastAsia" w:ascii="宋体" w:hAnsi="宋体" w:cs="宋体"/>
                <w:sz w:val="20"/>
                <w:szCs w:val="20"/>
              </w:rPr>
              <w:t>50万/个</w:t>
            </w:r>
          </w:p>
        </w:tc>
        <w:tc>
          <w:tcPr>
            <w:tcW w:w="2532" w:type="dxa"/>
            <w:vAlign w:val="center"/>
          </w:tcPr>
          <w:p>
            <w:pPr>
              <w:spacing w:line="440" w:lineRule="exact"/>
              <w:jc w:val="center"/>
              <w:rPr>
                <w:rFonts w:ascii="宋体" w:hAnsi="宋体" w:cs="宋体"/>
                <w:sz w:val="20"/>
                <w:szCs w:val="20"/>
              </w:rPr>
            </w:pPr>
            <w:r>
              <w:rPr>
                <w:rFonts w:hint="eastAsia" w:ascii="宋体" w:hAnsi="宋体" w:cs="宋体"/>
                <w:sz w:val="20"/>
                <w:szCs w:val="20"/>
              </w:rPr>
              <w:t>国家、省市、协会均可</w:t>
            </w:r>
          </w:p>
        </w:tc>
      </w:tr>
    </w:tbl>
    <w:p>
      <w:pPr>
        <w:pStyle w:val="19"/>
        <w:rPr>
          <w:rFonts w:hAnsi="宋体" w:cs="宋体"/>
          <w:sz w:val="18"/>
        </w:rPr>
      </w:pPr>
    </w:p>
    <w:p>
      <w:pPr>
        <w:autoSpaceDE w:val="0"/>
        <w:autoSpaceDN w:val="0"/>
        <w:adjustRightInd w:val="0"/>
        <w:spacing w:before="360" w:beforeLines="150" w:line="360" w:lineRule="auto"/>
        <w:jc w:val="left"/>
        <w:outlineLvl w:val="2"/>
        <w:rPr>
          <w:rFonts w:ascii="宋体" w:hAnsi="宋体" w:cs="宋体"/>
          <w:b/>
          <w:sz w:val="22"/>
        </w:rPr>
      </w:pPr>
      <w:bookmarkStart w:id="246" w:name="_Toc306287697"/>
      <w:bookmarkStart w:id="247" w:name="_Toc342306251"/>
      <w:bookmarkStart w:id="248" w:name="_Toc326239349"/>
      <w:bookmarkStart w:id="249" w:name="_Toc306287520"/>
      <w:r>
        <w:rPr>
          <w:rFonts w:hint="eastAsia" w:ascii="宋体" w:hAnsi="宋体" w:cs="宋体"/>
          <w:b/>
          <w:sz w:val="22"/>
        </w:rPr>
        <w:t>68．合同价款的约定与调整</w:t>
      </w:r>
      <w:bookmarkEnd w:id="246"/>
      <w:bookmarkEnd w:id="247"/>
      <w:bookmarkEnd w:id="248"/>
      <w:bookmarkEnd w:id="249"/>
    </w:p>
    <w:p>
      <w:pPr>
        <w:tabs>
          <w:tab w:val="left" w:pos="1240"/>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68.2 合同价款的调整事件：</w:t>
      </w:r>
    </w:p>
    <w:p>
      <w:pPr>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■按通用条款规定的调整事件；</w:t>
      </w:r>
    </w:p>
    <w:p>
      <w:pPr>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 另作约定：</w:t>
      </w:r>
    </w:p>
    <w:p>
      <w:pPr>
        <w:tabs>
          <w:tab w:val="left" w:pos="1240"/>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68.2（9）调整合同价款的其他事件；</w:t>
      </w:r>
    </w:p>
    <w:p>
      <w:pPr>
        <w:tabs>
          <w:tab w:val="left" w:pos="1240"/>
        </w:tabs>
        <w:autoSpaceDE w:val="0"/>
        <w:autoSpaceDN w:val="0"/>
        <w:adjustRightInd w:val="0"/>
        <w:spacing w:line="360" w:lineRule="auto"/>
        <w:ind w:left="420" w:leftChars="200" w:firstLine="440" w:firstLineChars="200"/>
        <w:jc w:val="left"/>
        <w:rPr>
          <w:rFonts w:ascii="宋体" w:hAnsi="宋体" w:cs="宋体"/>
          <w:sz w:val="22"/>
        </w:rPr>
      </w:pPr>
      <w:r>
        <w:rPr>
          <w:rFonts w:hint="eastAsia" w:ascii="宋体" w:hAnsi="宋体" w:cs="宋体"/>
          <w:sz w:val="22"/>
        </w:rPr>
        <w:t>工程试运行费（联合调试试运行电费）：本项目联合调试试运转合格后至交付使用单位前的试运行电费按项计价，如实际产生电费高于该单项控制价的30%以上（不含30%）或低于该单项控制价的10%以上（不含10%），超出变化幅度的部分按实际发生结算；如实际产生电费未超出上述变化幅度的，按固定总价包干，结算不作调整。</w:t>
      </w:r>
    </w:p>
    <w:p>
      <w:pPr>
        <w:autoSpaceDE w:val="0"/>
        <w:autoSpaceDN w:val="0"/>
        <w:adjustRightInd w:val="0"/>
        <w:spacing w:before="360" w:beforeLines="150" w:line="360" w:lineRule="auto"/>
        <w:jc w:val="left"/>
        <w:outlineLvl w:val="2"/>
        <w:rPr>
          <w:rFonts w:ascii="宋体" w:hAnsi="宋体" w:cs="宋体"/>
          <w:b/>
          <w:sz w:val="22"/>
        </w:rPr>
      </w:pPr>
      <w:bookmarkStart w:id="250" w:name="_Toc342306252"/>
      <w:bookmarkStart w:id="251" w:name="_Toc326239350"/>
      <w:r>
        <w:rPr>
          <w:rFonts w:hint="eastAsia" w:ascii="宋体" w:hAnsi="宋体" w:cs="宋体"/>
          <w:b/>
          <w:sz w:val="22"/>
        </w:rPr>
        <w:t>69．后续的法律法规变化事件</w:t>
      </w:r>
      <w:bookmarkEnd w:id="250"/>
      <w:bookmarkEnd w:id="251"/>
    </w:p>
    <w:p>
      <w:pPr>
        <w:autoSpaceDE w:val="0"/>
        <w:autoSpaceDN w:val="0"/>
        <w:adjustRightInd w:val="0"/>
        <w:spacing w:line="360" w:lineRule="auto"/>
        <w:ind w:left="581"/>
        <w:jc w:val="left"/>
        <w:rPr>
          <w:rFonts w:ascii="宋体" w:hAnsi="宋体" w:cs="宋体"/>
          <w:sz w:val="22"/>
        </w:rPr>
      </w:pPr>
      <w:r>
        <w:rPr>
          <w:rFonts w:hint="eastAsia" w:ascii="宋体" w:hAnsi="宋体" w:cs="宋体"/>
          <w:sz w:val="22"/>
        </w:rPr>
        <w:t>69.2 补充：在合同执行期间，因国家省市有政策调整导致规费、税金的费（税）率发生变化时，按国家省市有关文件执行，进行调整。</w:t>
      </w:r>
    </w:p>
    <w:p>
      <w:pPr>
        <w:autoSpaceDE w:val="0"/>
        <w:autoSpaceDN w:val="0"/>
        <w:adjustRightInd w:val="0"/>
        <w:spacing w:before="360" w:beforeLines="150" w:line="360" w:lineRule="auto"/>
        <w:jc w:val="left"/>
        <w:outlineLvl w:val="2"/>
        <w:rPr>
          <w:rFonts w:ascii="宋体" w:hAnsi="宋体" w:cs="宋体"/>
          <w:b/>
          <w:sz w:val="22"/>
        </w:rPr>
      </w:pPr>
      <w:bookmarkStart w:id="252" w:name="_Toc306287521"/>
      <w:bookmarkStart w:id="253" w:name="_Toc342306253"/>
      <w:bookmarkStart w:id="254" w:name="_Toc326239351"/>
      <w:bookmarkStart w:id="255" w:name="_Toc306287698"/>
      <w:r>
        <w:rPr>
          <w:rFonts w:hint="eastAsia" w:ascii="宋体" w:hAnsi="宋体" w:cs="宋体"/>
          <w:b/>
          <w:sz w:val="22"/>
        </w:rPr>
        <w:t>72．工程变更事件</w:t>
      </w:r>
      <w:bookmarkEnd w:id="252"/>
      <w:bookmarkEnd w:id="253"/>
      <w:bookmarkEnd w:id="254"/>
      <w:bookmarkEnd w:id="255"/>
    </w:p>
    <w:p>
      <w:pPr>
        <w:tabs>
          <w:tab w:val="left" w:pos="1365"/>
        </w:tabs>
        <w:autoSpaceDE w:val="0"/>
        <w:autoSpaceDN w:val="0"/>
        <w:adjustRightInd w:val="0"/>
        <w:spacing w:line="360" w:lineRule="auto"/>
        <w:ind w:left="420" w:leftChars="200"/>
        <w:jc w:val="left"/>
        <w:rPr>
          <w:rFonts w:ascii="宋体" w:hAnsi="宋体" w:cs="宋体"/>
          <w:sz w:val="22"/>
          <w:szCs w:val="20"/>
        </w:rPr>
      </w:pPr>
      <w:r>
        <w:rPr>
          <w:rFonts w:hint="eastAsia" w:ascii="宋体" w:hAnsi="宋体" w:cs="宋体"/>
          <w:sz w:val="22"/>
          <w:szCs w:val="20"/>
        </w:rPr>
        <w:t>72.2工程变更，导致综合单价调整的方法：</w:t>
      </w:r>
    </w:p>
    <w:p>
      <w:pPr>
        <w:spacing w:line="360" w:lineRule="auto"/>
        <w:ind w:left="420" w:leftChars="200"/>
        <w:rPr>
          <w:rFonts w:ascii="宋体" w:hAnsi="宋体" w:cs="宋体"/>
          <w:sz w:val="22"/>
          <w:szCs w:val="20"/>
        </w:rPr>
      </w:pPr>
      <w:r>
        <w:rPr>
          <w:rFonts w:hint="eastAsia" w:ascii="宋体" w:hAnsi="宋体" w:cs="宋体"/>
          <w:sz w:val="22"/>
          <w:szCs w:val="20"/>
        </w:rPr>
        <w:t>（1）项补充：如果合同（投标报价文件）的同一清单项目具有多个综合单价或合价的，依次按照变更所属的分部工程最低综合单价或合价调整、单位工程最低综合单价或合价调整、单项工程最低综合单价或合价调整；</w:t>
      </w:r>
    </w:p>
    <w:p>
      <w:pPr>
        <w:spacing w:line="360" w:lineRule="auto"/>
        <w:ind w:left="420" w:leftChars="200"/>
        <w:rPr>
          <w:rFonts w:ascii="宋体" w:hAnsi="宋体" w:cs="宋体"/>
          <w:sz w:val="22"/>
        </w:rPr>
      </w:pPr>
      <w:r>
        <w:rPr>
          <w:rFonts w:hint="eastAsia" w:ascii="宋体" w:hAnsi="宋体" w:cs="宋体"/>
          <w:sz w:val="22"/>
          <w:szCs w:val="20"/>
        </w:rPr>
        <w:t>（2）项补充:</w:t>
      </w:r>
      <w:r>
        <w:rPr>
          <w:rFonts w:hint="eastAsia" w:ascii="宋体" w:hAnsi="宋体" w:cs="宋体"/>
          <w:sz w:val="22"/>
        </w:rPr>
        <w:t xml:space="preserve"> 因发包人要求或其他非承包人原因仅发生材料、设备变更的，只在原综合单价基础上调整变更材料设备的价差（价差=含量*单价价差)，调整部分只计取规费、税金，不计取管理费、利润和措施费。变更材料设备的含量及单价价差按如下约定计取：</w:t>
      </w:r>
    </w:p>
    <w:p>
      <w:pPr>
        <w:spacing w:line="360" w:lineRule="auto"/>
        <w:ind w:left="420" w:leftChars="200" w:firstLine="440" w:firstLineChars="200"/>
        <w:rPr>
          <w:rFonts w:ascii="宋体" w:hAnsi="宋体" w:cs="宋体"/>
          <w:sz w:val="22"/>
        </w:rPr>
      </w:pPr>
      <w:r>
        <w:rPr>
          <w:rFonts w:hint="eastAsia" w:ascii="宋体" w:hAnsi="宋体" w:cs="宋体"/>
          <w:sz w:val="22"/>
        </w:rPr>
        <w:t>1）、变更材料设备含量根据下列办法并按a、b、c、d的优先顺序确定：</w:t>
      </w:r>
    </w:p>
    <w:p>
      <w:pPr>
        <w:spacing w:line="360" w:lineRule="auto"/>
        <w:ind w:left="420" w:leftChars="200" w:firstLine="440" w:firstLineChars="200"/>
        <w:rPr>
          <w:rFonts w:ascii="宋体" w:hAnsi="宋体" w:cs="宋体"/>
          <w:sz w:val="22"/>
        </w:rPr>
      </w:pPr>
      <w:r>
        <w:rPr>
          <w:rFonts w:hint="eastAsia" w:ascii="宋体" w:hAnsi="宋体" w:cs="宋体"/>
          <w:sz w:val="22"/>
        </w:rPr>
        <w:t>a、按投标文件经济标的“综合单价分析表”中的对应的材料设备含量。如该含量与招标控制价文件对应的含量偏差超过10%时，则按b条款约定执行。</w:t>
      </w:r>
    </w:p>
    <w:p>
      <w:pPr>
        <w:spacing w:line="360" w:lineRule="auto"/>
        <w:ind w:left="420" w:leftChars="200" w:firstLine="440" w:firstLineChars="200"/>
        <w:rPr>
          <w:rFonts w:ascii="宋体" w:hAnsi="宋体" w:cs="宋体"/>
          <w:sz w:val="22"/>
        </w:rPr>
      </w:pPr>
      <w:r>
        <w:rPr>
          <w:rFonts w:hint="eastAsia" w:ascii="宋体" w:hAnsi="宋体" w:cs="宋体"/>
          <w:sz w:val="22"/>
        </w:rPr>
        <w:t>b、按招标控制价文件的“综合单价分析表”中的对应的材料设备含量。如招标控制价文件未体现该含量，按c、d条款约定执行。</w:t>
      </w:r>
    </w:p>
    <w:p>
      <w:pPr>
        <w:spacing w:line="360" w:lineRule="auto"/>
        <w:ind w:left="420" w:leftChars="200" w:firstLine="440" w:firstLineChars="200"/>
        <w:rPr>
          <w:rFonts w:ascii="宋体" w:hAnsi="宋体" w:cs="宋体"/>
          <w:sz w:val="22"/>
        </w:rPr>
      </w:pPr>
      <w:r>
        <w:rPr>
          <w:rFonts w:hint="eastAsia" w:ascii="宋体" w:hAnsi="宋体" w:cs="宋体"/>
          <w:sz w:val="22"/>
        </w:rPr>
        <w:t>c、按定额含量。如定额文件未体现该含量，按d条款约定执行；</w:t>
      </w:r>
    </w:p>
    <w:p>
      <w:pPr>
        <w:spacing w:line="360" w:lineRule="auto"/>
        <w:ind w:left="420" w:leftChars="200" w:firstLine="440" w:firstLineChars="200"/>
        <w:rPr>
          <w:rFonts w:ascii="宋体" w:hAnsi="宋体" w:cs="宋体"/>
          <w:sz w:val="22"/>
        </w:rPr>
      </w:pPr>
      <w:r>
        <w:rPr>
          <w:rFonts w:hint="eastAsia" w:ascii="宋体" w:hAnsi="宋体" w:cs="宋体"/>
          <w:sz w:val="22"/>
        </w:rPr>
        <w:t>d、根据设计文件计算确定含量；</w:t>
      </w:r>
    </w:p>
    <w:p>
      <w:pPr>
        <w:spacing w:line="360" w:lineRule="auto"/>
        <w:ind w:left="420" w:leftChars="200" w:firstLine="440" w:firstLineChars="200"/>
        <w:rPr>
          <w:rFonts w:ascii="宋体" w:hAnsi="宋体" w:cs="宋体"/>
          <w:sz w:val="22"/>
        </w:rPr>
      </w:pPr>
      <w:r>
        <w:rPr>
          <w:rFonts w:hint="eastAsia" w:ascii="宋体" w:hAnsi="宋体" w:cs="宋体"/>
          <w:sz w:val="22"/>
        </w:rPr>
        <w:t>2）、变更的材料设备的单价价差根据下列办法并按a、b、c、d的优先顺序确定：</w:t>
      </w:r>
    </w:p>
    <w:p>
      <w:pPr>
        <w:autoSpaceDE w:val="0"/>
        <w:autoSpaceDN w:val="0"/>
        <w:adjustRightInd w:val="0"/>
        <w:spacing w:line="360" w:lineRule="auto"/>
        <w:ind w:left="420" w:leftChars="200" w:firstLine="440" w:firstLineChars="200"/>
        <w:rPr>
          <w:rFonts w:ascii="宋体" w:hAnsi="宋体" w:cs="宋体"/>
          <w:sz w:val="22"/>
        </w:rPr>
      </w:pPr>
      <w:r>
        <w:rPr>
          <w:rFonts w:hint="eastAsia" w:ascii="宋体" w:hAnsi="宋体" w:cs="宋体"/>
          <w:sz w:val="22"/>
        </w:rPr>
        <w:t>a、如替换前后材料设备均具有综合价格信息时，按工程所在地</w:t>
      </w:r>
      <w:r>
        <w:rPr>
          <w:rFonts w:hint="eastAsia" w:ascii="宋体" w:hAnsi="宋体" w:cs="宋体"/>
          <w:sz w:val="22"/>
          <w:szCs w:val="20"/>
        </w:rPr>
        <w:t>造价管理机构发布的</w:t>
      </w:r>
      <w:r>
        <w:rPr>
          <w:rFonts w:hint="eastAsia" w:ascii="宋体" w:hAnsi="宋体" w:cs="宋体"/>
          <w:sz w:val="22"/>
        </w:rPr>
        <w:t>基准日期</w:t>
      </w:r>
      <w:r>
        <w:rPr>
          <w:rFonts w:hint="eastAsia" w:ascii="宋体" w:hAnsi="宋体" w:cs="宋体"/>
          <w:sz w:val="22"/>
          <w:szCs w:val="20"/>
        </w:rPr>
        <w:t>的两种材料设备综合价格信息的</w:t>
      </w:r>
      <w:r>
        <w:rPr>
          <w:rFonts w:hint="eastAsia" w:ascii="宋体" w:hAnsi="宋体" w:cs="宋体"/>
          <w:sz w:val="22"/>
        </w:rPr>
        <w:t>价差，结合承包人的</w:t>
      </w:r>
      <w:r>
        <w:rPr>
          <w:rFonts w:hint="eastAsia" w:ascii="宋体" w:hAnsi="宋体" w:cs="宋体"/>
          <w:sz w:val="22"/>
          <w:szCs w:val="20"/>
        </w:rPr>
        <w:t>报价</w:t>
      </w:r>
      <w:r>
        <w:rPr>
          <w:rFonts w:hint="eastAsia" w:ascii="宋体" w:hAnsi="宋体" w:cs="宋体"/>
          <w:sz w:val="22"/>
        </w:rPr>
        <w:t>浮动率L确定；</w:t>
      </w:r>
    </w:p>
    <w:p>
      <w:pPr>
        <w:autoSpaceDE w:val="0"/>
        <w:autoSpaceDN w:val="0"/>
        <w:adjustRightInd w:val="0"/>
        <w:spacing w:line="360" w:lineRule="auto"/>
        <w:ind w:left="420" w:leftChars="200" w:firstLine="440" w:firstLineChars="200"/>
        <w:rPr>
          <w:rFonts w:ascii="宋体" w:hAnsi="宋体" w:cs="宋体"/>
          <w:sz w:val="22"/>
        </w:rPr>
      </w:pPr>
      <w:r>
        <w:rPr>
          <w:rFonts w:hint="eastAsia" w:ascii="宋体" w:hAnsi="宋体" w:cs="宋体"/>
          <w:sz w:val="22"/>
        </w:rPr>
        <w:t xml:space="preserve"> b、如替换前后材料设备均具有合同价时，按两种材料设备的合同价价差确定。如替换前或替换后的材料设备合同价格存在不平衡报价的（该材料设备合同价格 P0 &lt;该材料设备控制价P1×(1-</w:t>
      </w:r>
      <w:r>
        <w:rPr>
          <w:rFonts w:hint="eastAsia" w:ascii="宋体" w:hAnsi="宋体" w:cs="宋体"/>
          <w:sz w:val="22"/>
          <w:szCs w:val="20"/>
        </w:rPr>
        <w:t>报价</w:t>
      </w:r>
      <w:r>
        <w:rPr>
          <w:rFonts w:hint="eastAsia" w:ascii="宋体" w:hAnsi="宋体" w:cs="宋体"/>
          <w:sz w:val="22"/>
        </w:rPr>
        <w:t>浮动率L)×(1-10%)，或该材料设备合同价格P0 &gt;该材料设备控制价P1× (1+10%)时，</w:t>
      </w:r>
      <w:r>
        <w:rPr>
          <w:rFonts w:hint="eastAsia" w:ascii="宋体" w:hAnsi="宋体" w:cs="宋体"/>
          <w:sz w:val="22"/>
          <w:szCs w:val="20"/>
        </w:rPr>
        <w:t>视为不平衡报价）</w:t>
      </w:r>
      <w:r>
        <w:rPr>
          <w:rFonts w:hint="eastAsia" w:ascii="宋体" w:hAnsi="宋体" w:cs="宋体"/>
          <w:sz w:val="22"/>
        </w:rPr>
        <w:t>，按两种材料设备的招标控制价价差，结合承包人的</w:t>
      </w:r>
      <w:r>
        <w:rPr>
          <w:rFonts w:hint="eastAsia" w:ascii="宋体" w:hAnsi="宋体" w:cs="宋体"/>
          <w:sz w:val="22"/>
          <w:szCs w:val="20"/>
        </w:rPr>
        <w:t>报价</w:t>
      </w:r>
      <w:r>
        <w:rPr>
          <w:rFonts w:hint="eastAsia" w:ascii="宋体" w:hAnsi="宋体" w:cs="宋体"/>
          <w:sz w:val="22"/>
        </w:rPr>
        <w:t>浮动率L确定；</w:t>
      </w:r>
    </w:p>
    <w:p>
      <w:pPr>
        <w:spacing w:line="360" w:lineRule="auto"/>
        <w:ind w:left="420" w:leftChars="200" w:firstLine="440" w:firstLineChars="200"/>
        <w:rPr>
          <w:rFonts w:ascii="宋体" w:hAnsi="宋体" w:cs="宋体"/>
          <w:sz w:val="22"/>
          <w:szCs w:val="20"/>
        </w:rPr>
      </w:pPr>
      <w:r>
        <w:rPr>
          <w:rFonts w:hint="eastAsia" w:ascii="宋体" w:hAnsi="宋体" w:cs="宋体"/>
          <w:sz w:val="22"/>
        </w:rPr>
        <w:t>c、如替换后材料设备具有综合价格信息，且无合同价时，替换后的材料设备价格按工程所在地</w:t>
      </w:r>
      <w:r>
        <w:rPr>
          <w:rFonts w:hint="eastAsia" w:ascii="宋体" w:hAnsi="宋体" w:cs="宋体"/>
          <w:sz w:val="22"/>
          <w:szCs w:val="20"/>
        </w:rPr>
        <w:t>造价管理机构发布的施工期当月的材料设备综合价格信息</w:t>
      </w:r>
      <w:r>
        <w:rPr>
          <w:rFonts w:hint="eastAsia" w:ascii="宋体" w:hAnsi="宋体" w:cs="宋体"/>
          <w:sz w:val="22"/>
        </w:rPr>
        <w:t>，结合承包人的</w:t>
      </w:r>
      <w:r>
        <w:rPr>
          <w:rFonts w:hint="eastAsia" w:ascii="宋体" w:hAnsi="宋体" w:cs="宋体"/>
          <w:sz w:val="22"/>
          <w:szCs w:val="20"/>
        </w:rPr>
        <w:t>报价</w:t>
      </w:r>
      <w:r>
        <w:rPr>
          <w:rFonts w:hint="eastAsia" w:ascii="宋体" w:hAnsi="宋体" w:cs="宋体"/>
          <w:sz w:val="22"/>
        </w:rPr>
        <w:t>浮动率L确定；</w:t>
      </w:r>
      <w:r>
        <w:rPr>
          <w:rFonts w:hint="eastAsia" w:ascii="宋体" w:hAnsi="宋体" w:cs="宋体"/>
          <w:sz w:val="22"/>
          <w:szCs w:val="20"/>
        </w:rPr>
        <w:t>替换前的材料设备单价按合同价，如合同价出现b条款约定的不平衡报价时，按控制价结合报价</w:t>
      </w:r>
      <w:r>
        <w:rPr>
          <w:rFonts w:hint="eastAsia" w:ascii="宋体" w:hAnsi="宋体" w:cs="宋体"/>
          <w:sz w:val="22"/>
        </w:rPr>
        <w:t>浮动率</w:t>
      </w:r>
      <w:r>
        <w:rPr>
          <w:rFonts w:hint="eastAsia" w:ascii="宋体" w:hAnsi="宋体" w:cs="宋体"/>
          <w:sz w:val="22"/>
          <w:szCs w:val="20"/>
        </w:rPr>
        <w:t>L确定。</w:t>
      </w:r>
    </w:p>
    <w:p>
      <w:pPr>
        <w:spacing w:line="360" w:lineRule="auto"/>
        <w:ind w:left="420" w:leftChars="200" w:firstLine="440" w:firstLineChars="200"/>
        <w:rPr>
          <w:rFonts w:ascii="宋体" w:hAnsi="宋体" w:cs="宋体"/>
          <w:sz w:val="22"/>
          <w:szCs w:val="20"/>
        </w:rPr>
      </w:pPr>
      <w:r>
        <w:rPr>
          <w:rFonts w:hint="eastAsia" w:ascii="宋体" w:hAnsi="宋体" w:cs="宋体"/>
          <w:sz w:val="22"/>
        </w:rPr>
        <w:t>d、替换后的材料设备无综合价格信息和合同价时，替换后的材料设备</w:t>
      </w:r>
      <w:r>
        <w:rPr>
          <w:rFonts w:hint="eastAsia" w:ascii="宋体" w:hAnsi="宋体" w:cs="宋体"/>
          <w:sz w:val="22"/>
          <w:szCs w:val="20"/>
        </w:rPr>
        <w:t>由</w:t>
      </w:r>
      <w:r>
        <w:rPr>
          <w:rFonts w:hint="eastAsia" w:ascii="宋体" w:hAnsi="宋体" w:cs="宋体"/>
          <w:sz w:val="22"/>
        </w:rPr>
        <w:t>承包人提供三家及以上、监理和造价咨询各提供两家及上的</w:t>
      </w:r>
      <w:r>
        <w:rPr>
          <w:rFonts w:hint="eastAsia" w:ascii="宋体" w:hAnsi="宋体" w:cs="宋体"/>
          <w:sz w:val="22"/>
          <w:szCs w:val="20"/>
        </w:rPr>
        <w:t>询（报）价文件，发包人根据市场情况综合确定。替换前的材料设备单价按以下优先顺序确定：施工期</w:t>
      </w:r>
      <w:r>
        <w:rPr>
          <w:rFonts w:hint="eastAsia" w:ascii="宋体" w:hAnsi="宋体" w:cs="宋体"/>
          <w:sz w:val="22"/>
        </w:rPr>
        <w:t>综合价格信息</w:t>
      </w:r>
      <w:r>
        <w:rPr>
          <w:rFonts w:hint="eastAsia" w:ascii="宋体" w:hAnsi="宋体" w:cs="宋体"/>
          <w:sz w:val="22"/>
          <w:szCs w:val="20"/>
        </w:rPr>
        <w:t>结合报价</w:t>
      </w:r>
      <w:r>
        <w:rPr>
          <w:rFonts w:hint="eastAsia" w:ascii="宋体" w:hAnsi="宋体" w:cs="宋体"/>
          <w:sz w:val="22"/>
        </w:rPr>
        <w:t>浮动率</w:t>
      </w:r>
      <w:r>
        <w:rPr>
          <w:rFonts w:hint="eastAsia" w:ascii="宋体" w:hAnsi="宋体" w:cs="宋体"/>
          <w:sz w:val="22"/>
          <w:szCs w:val="20"/>
        </w:rPr>
        <w:t>L；如无</w:t>
      </w:r>
      <w:r>
        <w:rPr>
          <w:rFonts w:hint="eastAsia" w:ascii="宋体" w:hAnsi="宋体" w:cs="宋体"/>
          <w:sz w:val="22"/>
        </w:rPr>
        <w:t>综合价格信息</w:t>
      </w:r>
      <w:r>
        <w:rPr>
          <w:rFonts w:hint="eastAsia" w:ascii="宋体" w:hAnsi="宋体" w:cs="宋体"/>
          <w:sz w:val="22"/>
          <w:szCs w:val="20"/>
        </w:rPr>
        <w:t>则按合同价；如合同价出现b条款约定的不平衡报价时，按控制价结合报价</w:t>
      </w:r>
      <w:r>
        <w:rPr>
          <w:rFonts w:hint="eastAsia" w:ascii="宋体" w:hAnsi="宋体" w:cs="宋体"/>
          <w:sz w:val="22"/>
        </w:rPr>
        <w:t>浮动率</w:t>
      </w:r>
      <w:r>
        <w:rPr>
          <w:rFonts w:hint="eastAsia" w:ascii="宋体" w:hAnsi="宋体" w:cs="宋体"/>
          <w:sz w:val="22"/>
          <w:szCs w:val="20"/>
        </w:rPr>
        <w:t>L。</w:t>
      </w:r>
    </w:p>
    <w:p>
      <w:pPr>
        <w:spacing w:line="360" w:lineRule="auto"/>
        <w:ind w:left="420" w:leftChars="200"/>
        <w:rPr>
          <w:rFonts w:ascii="宋体" w:hAnsi="宋体" w:cs="宋体"/>
          <w:sz w:val="22"/>
        </w:rPr>
      </w:pPr>
      <w:r>
        <w:rPr>
          <w:rFonts w:hint="eastAsia" w:ascii="宋体" w:hAnsi="宋体" w:cs="宋体"/>
          <w:sz w:val="22"/>
        </w:rPr>
        <w:t>(3）、（4）项修改：如果投标文件报价中没有适用也没有类似于变更工程项目的（指72.2款的（1）、（2）条情况），按照</w:t>
      </w:r>
      <w:r>
        <w:rPr>
          <w:rFonts w:hint="eastAsia" w:ascii="宋体" w:hAnsi="宋体" w:cs="宋体"/>
          <w:sz w:val="22"/>
          <w:u w:val="single"/>
        </w:rPr>
        <w:t>《建设工程工程量清单计价规范（GB50500-2013）》、《民航专业工程工程量清单计价规范（MH5028-2014）》</w:t>
      </w:r>
      <w:r>
        <w:rPr>
          <w:rFonts w:hint="eastAsia" w:ascii="宋体" w:hAnsi="宋体" w:cs="宋体"/>
          <w:sz w:val="22"/>
        </w:rPr>
        <w:t>及《</w:t>
      </w:r>
      <w:r>
        <w:rPr>
          <w:rFonts w:hint="eastAsia" w:ascii="宋体" w:hAnsi="宋体" w:cs="宋体"/>
          <w:sz w:val="22"/>
          <w:u w:val="single"/>
        </w:rPr>
        <w:t>广东省建设工程计价依据2018</w:t>
      </w:r>
      <w:r>
        <w:rPr>
          <w:rFonts w:hint="eastAsia" w:ascii="宋体" w:hAnsi="宋体" w:cs="宋体"/>
          <w:sz w:val="22"/>
        </w:rPr>
        <w:t>》等文件确定综合单价，进行合同价格调整。其中综合单价的人、材、机含量按专业根据《民用机场场道工程预算定额（2012年试行版）》、《民用机场目视助航设施安装工程预算定额（2012年试行版）》、《广东省市政工程综合定额（2018）》、《广东省房屋建筑与装饰工程综合定额（2018）》、《广东省通用安装工程综合定额（2018）》、《广东省园林绿化工程综合定额（2018）》、《广东省建设工程施工机具台班费用编制规则（2018）》《广东省房屋建筑和市政修缮工程综合定额》确定，管理费、利润、税金按中标文件中的费率计取。人、材、机单价按下列办法并按a、b、c、d的优先顺序计取：</w:t>
      </w:r>
    </w:p>
    <w:p>
      <w:pPr>
        <w:spacing w:line="360" w:lineRule="auto"/>
        <w:ind w:left="420" w:leftChars="200" w:firstLine="440" w:firstLineChars="200"/>
        <w:rPr>
          <w:rFonts w:ascii="宋体" w:hAnsi="宋体" w:cs="宋体"/>
          <w:sz w:val="22"/>
        </w:rPr>
      </w:pPr>
      <w:r>
        <w:rPr>
          <w:rFonts w:hint="eastAsia" w:ascii="宋体" w:hAnsi="宋体" w:cs="宋体"/>
          <w:sz w:val="22"/>
        </w:rPr>
        <w:t>a、按合同中的人工、材料、机械台班单价，如该材料设备合同价格存在不平衡报价的（该材料设备合同价格P0 &lt;该材料设备控制价P1×(1-</w:t>
      </w:r>
      <w:r>
        <w:rPr>
          <w:rFonts w:hint="eastAsia" w:ascii="宋体" w:hAnsi="宋体" w:cs="宋体"/>
          <w:sz w:val="22"/>
          <w:szCs w:val="20"/>
        </w:rPr>
        <w:t>报价</w:t>
      </w:r>
      <w:r>
        <w:rPr>
          <w:rFonts w:hint="eastAsia" w:ascii="宋体" w:hAnsi="宋体" w:cs="宋体"/>
          <w:sz w:val="22"/>
        </w:rPr>
        <w:t>浮动率L)×(1-10%)，或该材料设备合同价格P0 &gt;该材料设备控制价P1× (1+10%)时，</w:t>
      </w:r>
      <w:r>
        <w:rPr>
          <w:rFonts w:hint="eastAsia" w:ascii="宋体" w:hAnsi="宋体" w:cs="宋体"/>
          <w:sz w:val="22"/>
          <w:szCs w:val="20"/>
        </w:rPr>
        <w:t>视为不平衡报价）</w:t>
      </w:r>
      <w:r>
        <w:rPr>
          <w:rFonts w:hint="eastAsia" w:ascii="宋体" w:hAnsi="宋体" w:cs="宋体"/>
          <w:sz w:val="22"/>
        </w:rPr>
        <w:t>，则按b条款约定执行。</w:t>
      </w:r>
    </w:p>
    <w:p>
      <w:pPr>
        <w:spacing w:line="360" w:lineRule="auto"/>
        <w:ind w:left="420" w:leftChars="200" w:firstLine="440" w:firstLineChars="200"/>
        <w:rPr>
          <w:rFonts w:ascii="宋体" w:hAnsi="宋体" w:cs="宋体"/>
          <w:sz w:val="22"/>
        </w:rPr>
      </w:pPr>
      <w:r>
        <w:rPr>
          <w:rFonts w:hint="eastAsia" w:ascii="宋体" w:hAnsi="宋体" w:cs="宋体"/>
          <w:sz w:val="22"/>
        </w:rPr>
        <w:t>b、按工程所在地造价管理机构发布的施工期当月的综合价格信息，结合承包人</w:t>
      </w:r>
      <w:r>
        <w:rPr>
          <w:rFonts w:hint="eastAsia" w:ascii="宋体" w:hAnsi="宋体" w:cs="宋体"/>
          <w:sz w:val="22"/>
          <w:szCs w:val="20"/>
        </w:rPr>
        <w:t>报价</w:t>
      </w:r>
      <w:r>
        <w:rPr>
          <w:rFonts w:hint="eastAsia" w:ascii="宋体" w:hAnsi="宋体" w:cs="宋体"/>
          <w:sz w:val="22"/>
        </w:rPr>
        <w:t>浮动率L确定，如该价格无综合价格信息，按c款约定执行。</w:t>
      </w:r>
    </w:p>
    <w:p>
      <w:pPr>
        <w:spacing w:line="360" w:lineRule="auto"/>
        <w:ind w:left="420" w:leftChars="200" w:firstLine="440" w:firstLineChars="200"/>
        <w:rPr>
          <w:rFonts w:ascii="宋体" w:hAnsi="宋体" w:cs="宋体"/>
          <w:sz w:val="22"/>
        </w:rPr>
      </w:pPr>
      <w:r>
        <w:rPr>
          <w:rFonts w:hint="eastAsia" w:ascii="宋体" w:hAnsi="宋体" w:cs="宋体"/>
          <w:sz w:val="22"/>
        </w:rPr>
        <w:t>c、按对应的招标控制价，结合承包人</w:t>
      </w:r>
      <w:r>
        <w:rPr>
          <w:rFonts w:hint="eastAsia" w:ascii="宋体" w:hAnsi="宋体" w:cs="宋体"/>
          <w:sz w:val="22"/>
          <w:szCs w:val="20"/>
        </w:rPr>
        <w:t>报价</w:t>
      </w:r>
      <w:r>
        <w:rPr>
          <w:rFonts w:hint="eastAsia" w:ascii="宋体" w:hAnsi="宋体" w:cs="宋体"/>
          <w:sz w:val="22"/>
        </w:rPr>
        <w:t>浮动率L确定。</w:t>
      </w:r>
    </w:p>
    <w:p>
      <w:pPr>
        <w:spacing w:line="360" w:lineRule="auto"/>
        <w:ind w:left="420" w:leftChars="200" w:firstLine="440" w:firstLineChars="200"/>
        <w:rPr>
          <w:rFonts w:ascii="宋体" w:hAnsi="宋体" w:cs="宋体"/>
          <w:sz w:val="22"/>
        </w:rPr>
      </w:pPr>
      <w:r>
        <w:rPr>
          <w:rFonts w:hint="eastAsia" w:ascii="宋体" w:hAnsi="宋体" w:cs="宋体"/>
          <w:sz w:val="22"/>
        </w:rPr>
        <w:t>d、无信息价和合同价时，承包人提供三家及以上、监理和造价咨询各提供两家及上的</w:t>
      </w:r>
      <w:r>
        <w:rPr>
          <w:rFonts w:hint="eastAsia" w:ascii="宋体" w:hAnsi="宋体" w:cs="宋体"/>
          <w:sz w:val="22"/>
          <w:szCs w:val="20"/>
        </w:rPr>
        <w:t>询（报）价文件</w:t>
      </w:r>
      <w:r>
        <w:rPr>
          <w:rFonts w:hint="eastAsia" w:ascii="宋体" w:hAnsi="宋体" w:cs="宋体"/>
          <w:sz w:val="22"/>
        </w:rPr>
        <w:t>，由发包人综合确定。</w:t>
      </w:r>
    </w:p>
    <w:p>
      <w:pPr>
        <w:spacing w:line="360" w:lineRule="auto"/>
        <w:ind w:left="420" w:leftChars="200" w:firstLine="442" w:firstLineChars="200"/>
        <w:rPr>
          <w:rFonts w:ascii="宋体" w:hAnsi="宋体" w:cs="宋体"/>
          <w:b/>
          <w:bCs/>
          <w:sz w:val="22"/>
        </w:rPr>
      </w:pPr>
      <w:r>
        <w:rPr>
          <w:rFonts w:hint="eastAsia" w:ascii="宋体" w:hAnsi="宋体" w:cs="宋体"/>
          <w:b/>
          <w:bCs/>
          <w:sz w:val="22"/>
        </w:rPr>
        <w:t>特别说明：适用于合同全部条款</w:t>
      </w:r>
    </w:p>
    <w:p>
      <w:pPr>
        <w:spacing w:line="360" w:lineRule="auto"/>
        <w:ind w:left="420" w:leftChars="200" w:firstLine="440" w:firstLineChars="200"/>
        <w:rPr>
          <w:rFonts w:ascii="宋体" w:hAnsi="宋体" w:cs="宋体"/>
          <w:sz w:val="22"/>
        </w:rPr>
      </w:pPr>
      <w:r>
        <w:rPr>
          <w:rFonts w:hint="eastAsia" w:ascii="宋体" w:hAnsi="宋体" w:cs="宋体"/>
          <w:sz w:val="22"/>
        </w:rPr>
        <w:t>A、报价浮动率L计取方法：</w:t>
      </w:r>
    </w:p>
    <w:p>
      <w:pPr>
        <w:spacing w:line="360" w:lineRule="auto"/>
        <w:ind w:left="420" w:leftChars="200" w:firstLine="440" w:firstLineChars="200"/>
        <w:rPr>
          <w:rFonts w:ascii="宋体" w:hAnsi="宋体" w:cs="宋体"/>
          <w:sz w:val="22"/>
        </w:rPr>
      </w:pPr>
      <w:r>
        <w:rPr>
          <w:rFonts w:hint="eastAsia" w:ascii="宋体" w:hAnsi="宋体" w:cs="宋体"/>
          <w:sz w:val="22"/>
        </w:rPr>
        <w:t>承包人</w:t>
      </w:r>
      <w:r>
        <w:rPr>
          <w:rFonts w:hint="eastAsia" w:ascii="宋体" w:hAnsi="宋体" w:cs="宋体"/>
          <w:sz w:val="22"/>
          <w:szCs w:val="20"/>
        </w:rPr>
        <w:t>报价</w:t>
      </w:r>
      <w:r>
        <w:rPr>
          <w:rFonts w:hint="eastAsia" w:ascii="宋体" w:hAnsi="宋体" w:cs="宋体"/>
          <w:sz w:val="22"/>
        </w:rPr>
        <w:t>浮动率L＝（1－中标价格／招标控制价）×100％。</w:t>
      </w:r>
    </w:p>
    <w:p>
      <w:pPr>
        <w:spacing w:line="360" w:lineRule="auto"/>
        <w:ind w:left="420" w:leftChars="200" w:firstLine="440" w:firstLineChars="200"/>
        <w:rPr>
          <w:rFonts w:ascii="宋体" w:hAnsi="宋体" w:cs="宋体"/>
          <w:sz w:val="22"/>
        </w:rPr>
      </w:pPr>
      <w:r>
        <w:rPr>
          <w:rFonts w:hint="eastAsia" w:ascii="宋体" w:hAnsi="宋体" w:cs="宋体"/>
          <w:sz w:val="22"/>
        </w:rPr>
        <w:t>式中：中标价格、招标控制价均不含暂列金额、暂估价、</w:t>
      </w:r>
      <w:r>
        <w:rPr>
          <w:rFonts w:hint="eastAsia" w:ascii="宋体" w:hAnsi="宋体" w:cs="宋体"/>
          <w:sz w:val="22"/>
          <w:szCs w:val="20"/>
        </w:rPr>
        <w:t>按系数计算的</w:t>
      </w:r>
      <w:r>
        <w:rPr>
          <w:rFonts w:hint="eastAsia" w:ascii="宋体" w:hAnsi="宋体" w:cs="宋体"/>
          <w:sz w:val="22"/>
        </w:rPr>
        <w:t>绿色施工安全防护措施费（含民航专业工程安全生产费）。</w:t>
      </w:r>
    </w:p>
    <w:p>
      <w:pPr>
        <w:spacing w:line="360" w:lineRule="auto"/>
        <w:ind w:left="420" w:leftChars="200" w:firstLine="440" w:firstLineChars="200"/>
        <w:rPr>
          <w:rFonts w:ascii="宋体" w:hAnsi="宋体" w:cs="宋体"/>
          <w:sz w:val="22"/>
        </w:rPr>
      </w:pPr>
      <w:r>
        <w:rPr>
          <w:rFonts w:hint="eastAsia" w:ascii="宋体" w:hAnsi="宋体" w:cs="宋体"/>
          <w:sz w:val="22"/>
        </w:rPr>
        <w:t>如投标报价浮动率高于15%，浮动率按15%计算。</w:t>
      </w:r>
    </w:p>
    <w:p>
      <w:pPr>
        <w:spacing w:line="360" w:lineRule="auto"/>
        <w:ind w:left="420" w:leftChars="200" w:firstLine="440" w:firstLineChars="200"/>
        <w:rPr>
          <w:rFonts w:ascii="宋体" w:hAnsi="宋体" w:cs="宋体"/>
          <w:sz w:val="22"/>
        </w:rPr>
      </w:pPr>
      <w:r>
        <w:rPr>
          <w:rFonts w:hint="eastAsia" w:ascii="宋体" w:hAnsi="宋体" w:cs="宋体"/>
          <w:sz w:val="22"/>
        </w:rPr>
        <w:t>B、综合价格信息是指经当地工程造价管理机构颁发的《建设工程常用材料综合价格》，《建设工程材料（设备）厂商价格信息》 仅供参考。</w:t>
      </w:r>
    </w:p>
    <w:p>
      <w:pPr>
        <w:spacing w:line="360" w:lineRule="auto"/>
        <w:ind w:left="420" w:leftChars="200" w:firstLine="440" w:firstLineChars="200"/>
        <w:rPr>
          <w:rFonts w:ascii="宋体" w:hAnsi="宋体" w:cs="宋体"/>
          <w:sz w:val="22"/>
          <w:szCs w:val="20"/>
        </w:rPr>
      </w:pPr>
      <w:r>
        <w:rPr>
          <w:rFonts w:hint="eastAsia" w:ascii="宋体" w:hAnsi="宋体" w:cs="宋体"/>
          <w:sz w:val="22"/>
          <w:szCs w:val="20"/>
        </w:rPr>
        <w:t>C</w:t>
      </w:r>
      <w:r>
        <w:rPr>
          <w:rFonts w:hint="eastAsia" w:ascii="宋体" w:hAnsi="宋体" w:cs="宋体"/>
          <w:sz w:val="22"/>
        </w:rPr>
        <w:t>、</w:t>
      </w:r>
      <w:r>
        <w:rPr>
          <w:rFonts w:hint="eastAsia" w:ascii="宋体" w:hAnsi="宋体" w:cs="宋体"/>
          <w:sz w:val="22"/>
          <w:szCs w:val="20"/>
        </w:rPr>
        <w:t>签证劳务工按造价站的相关文件执行，劳务工价格按施工期</w:t>
      </w:r>
      <w:r>
        <w:rPr>
          <w:rFonts w:hint="eastAsia" w:ascii="宋体" w:hAnsi="宋体" w:cs="宋体"/>
          <w:sz w:val="22"/>
        </w:rPr>
        <w:t>工程造价管理机构发布</w:t>
      </w:r>
      <w:r>
        <w:rPr>
          <w:rFonts w:hint="eastAsia" w:ascii="宋体" w:hAnsi="宋体" w:cs="宋体"/>
          <w:sz w:val="22"/>
          <w:szCs w:val="20"/>
        </w:rPr>
        <w:t>的劳务工计取，如公布的为价格区间，按上限下限的平均值计取。</w:t>
      </w:r>
    </w:p>
    <w:p>
      <w:pPr>
        <w:autoSpaceDE w:val="0"/>
        <w:autoSpaceDN w:val="0"/>
        <w:adjustRightInd w:val="0"/>
        <w:spacing w:before="120" w:beforeLines="50" w:line="360" w:lineRule="auto"/>
        <w:ind w:firstLine="220" w:firstLineChars="100"/>
        <w:rPr>
          <w:rFonts w:ascii="宋体" w:hAnsi="宋体" w:cs="宋体"/>
          <w:sz w:val="22"/>
          <w:szCs w:val="20"/>
        </w:rPr>
      </w:pPr>
      <w:r>
        <w:rPr>
          <w:rFonts w:hint="eastAsia" w:ascii="宋体" w:hAnsi="宋体" w:cs="宋体"/>
          <w:sz w:val="22"/>
          <w:szCs w:val="20"/>
        </w:rPr>
        <w:t xml:space="preserve">   72.3 调整措施项目费和其他项目费的方法：</w:t>
      </w:r>
    </w:p>
    <w:p>
      <w:pPr>
        <w:autoSpaceDE w:val="0"/>
        <w:autoSpaceDN w:val="0"/>
        <w:adjustRightInd w:val="0"/>
        <w:spacing w:line="360" w:lineRule="auto"/>
        <w:ind w:left="238" w:firstLine="440" w:firstLineChars="200"/>
        <w:rPr>
          <w:rFonts w:ascii="宋体" w:hAnsi="宋体" w:cs="宋体"/>
          <w:sz w:val="22"/>
          <w:szCs w:val="20"/>
        </w:rPr>
      </w:pPr>
      <w:r>
        <w:rPr>
          <w:rFonts w:hint="eastAsia" w:ascii="宋体" w:hAnsi="宋体" w:cs="宋体"/>
          <w:sz w:val="22"/>
          <w:szCs w:val="20"/>
        </w:rPr>
        <w:t>（1）按系数计算的绿色施工安全防护措施费（含民航专业工程安全生产费），结算时，按系数计算的绿色施工安全防护措施费结算金额=按系数计算的绿色施工安全防护措施费合同金额+（分部分项费结算价-分部分项费合同价）</w:t>
      </w:r>
      <w:r>
        <w:rPr>
          <w:rFonts w:hint="eastAsia" w:ascii="宋体" w:hAnsi="宋体" w:cs="宋体"/>
          <w:sz w:val="22"/>
        </w:rPr>
        <w:t>×（分部分项</w:t>
      </w:r>
      <w:r>
        <w:rPr>
          <w:rFonts w:hint="eastAsia" w:ascii="宋体" w:hAnsi="宋体" w:cs="宋体"/>
          <w:sz w:val="22"/>
          <w:szCs w:val="20"/>
        </w:rPr>
        <w:t>人工费占比+分部分项施工机具费占比）</w:t>
      </w:r>
      <w:r>
        <w:rPr>
          <w:rFonts w:hint="eastAsia" w:ascii="宋体" w:hAnsi="宋体" w:cs="宋体"/>
          <w:sz w:val="22"/>
        </w:rPr>
        <w:t>×</w:t>
      </w:r>
      <w:r>
        <w:rPr>
          <w:rFonts w:hint="eastAsia" w:ascii="宋体" w:hAnsi="宋体" w:cs="宋体"/>
          <w:sz w:val="22"/>
          <w:szCs w:val="20"/>
        </w:rPr>
        <w:t>造价站公布的费率。其中</w:t>
      </w:r>
      <w:r>
        <w:rPr>
          <w:rFonts w:hint="eastAsia" w:ascii="宋体" w:hAnsi="宋体" w:cs="宋体"/>
          <w:sz w:val="22"/>
        </w:rPr>
        <w:t>分部分项</w:t>
      </w:r>
      <w:r>
        <w:rPr>
          <w:rFonts w:hint="eastAsia" w:ascii="宋体" w:hAnsi="宋体" w:cs="宋体"/>
          <w:sz w:val="22"/>
          <w:szCs w:val="20"/>
        </w:rPr>
        <w:t>人工费占比、分部分项施工机具费占比按发包人公布控制价计算。</w:t>
      </w:r>
    </w:p>
    <w:p>
      <w:pPr>
        <w:autoSpaceDE w:val="0"/>
        <w:autoSpaceDN w:val="0"/>
        <w:adjustRightInd w:val="0"/>
        <w:spacing w:line="360" w:lineRule="auto"/>
        <w:ind w:left="238" w:firstLine="440" w:firstLineChars="200"/>
        <w:rPr>
          <w:rFonts w:ascii="宋体" w:hAnsi="宋体" w:cs="宋体"/>
          <w:sz w:val="22"/>
          <w:szCs w:val="20"/>
        </w:rPr>
      </w:pPr>
      <w:r>
        <w:rPr>
          <w:rFonts w:hint="eastAsia" w:ascii="宋体" w:hAnsi="宋体" w:cs="宋体"/>
          <w:sz w:val="22"/>
          <w:szCs w:val="20"/>
        </w:rPr>
        <w:t>（2）单价措施项目，按实际工程量计算，按照实际发生变化的措施项目的工程量乘以第72.2、72.4款规定单价调整。</w:t>
      </w:r>
    </w:p>
    <w:p>
      <w:pPr>
        <w:autoSpaceDE w:val="0"/>
        <w:autoSpaceDN w:val="0"/>
        <w:adjustRightInd w:val="0"/>
        <w:spacing w:line="360" w:lineRule="auto"/>
        <w:ind w:left="238" w:firstLine="440" w:firstLineChars="200"/>
        <w:rPr>
          <w:rFonts w:ascii="宋体" w:hAnsi="宋体" w:cs="宋体"/>
          <w:sz w:val="22"/>
          <w:szCs w:val="20"/>
        </w:rPr>
      </w:pPr>
      <w:r>
        <w:rPr>
          <w:rFonts w:hint="eastAsia" w:ascii="宋体" w:hAnsi="宋体" w:cs="宋体"/>
          <w:sz w:val="22"/>
          <w:szCs w:val="20"/>
        </w:rPr>
        <w:t>（3）除本款第（1）点外的总价措施项目费和其他项目费，原则上总价包干，即合同价即为结算价。如因非承包人原因导致的设计变更、方案变化（须经发包人技术委员会研究同意或其他决策程序确定）引起总价措施项目费和其他项目费发生变化的，须办理现场签证确定其工程量，按第72.2款规定考虑承包人报价浮动率计算。</w:t>
      </w:r>
    </w:p>
    <w:p>
      <w:pPr>
        <w:autoSpaceDE w:val="0"/>
        <w:autoSpaceDN w:val="0"/>
        <w:adjustRightInd w:val="0"/>
        <w:spacing w:line="360" w:lineRule="auto"/>
        <w:ind w:left="238" w:firstLine="440" w:firstLineChars="200"/>
        <w:rPr>
          <w:rFonts w:ascii="宋体" w:hAnsi="宋体" w:cs="宋体"/>
          <w:sz w:val="22"/>
          <w:szCs w:val="20"/>
        </w:rPr>
      </w:pPr>
      <w:r>
        <w:rPr>
          <w:rFonts w:hint="eastAsia" w:ascii="宋体" w:hAnsi="宋体" w:cs="宋体"/>
          <w:sz w:val="22"/>
          <w:szCs w:val="20"/>
        </w:rPr>
        <w:t>如总价措施项目和其他项目费中某个子项目实际未发生时，发包人有权扣除该单项费用。</w:t>
      </w:r>
      <w:r>
        <w:rPr>
          <w:rFonts w:hint="eastAsia" w:ascii="宋体" w:hAnsi="宋体" w:cs="宋体"/>
          <w:sz w:val="22"/>
        </w:rPr>
        <w:t>如</w:t>
      </w:r>
      <w:r>
        <w:rPr>
          <w:rFonts w:hint="eastAsia" w:ascii="宋体" w:hAnsi="宋体" w:cs="宋体"/>
          <w:sz w:val="22"/>
          <w:szCs w:val="20"/>
        </w:rPr>
        <w:t>该单项费用</w:t>
      </w:r>
      <w:r>
        <w:rPr>
          <w:rFonts w:hint="eastAsia" w:ascii="宋体" w:hAnsi="宋体" w:cs="宋体"/>
          <w:sz w:val="22"/>
        </w:rPr>
        <w:t xml:space="preserve"> P0 &lt;</w:t>
      </w:r>
      <w:r>
        <w:rPr>
          <w:rFonts w:hint="eastAsia" w:ascii="宋体" w:hAnsi="宋体" w:cs="宋体"/>
          <w:sz w:val="22"/>
          <w:szCs w:val="20"/>
        </w:rPr>
        <w:t>该单项费用</w:t>
      </w:r>
      <w:r>
        <w:rPr>
          <w:rFonts w:hint="eastAsia" w:ascii="宋体" w:hAnsi="宋体" w:cs="宋体"/>
          <w:sz w:val="22"/>
        </w:rPr>
        <w:t>控制价P1×(1-</w:t>
      </w:r>
      <w:r>
        <w:rPr>
          <w:rFonts w:hint="eastAsia" w:ascii="宋体" w:hAnsi="宋体" w:cs="宋体"/>
          <w:sz w:val="22"/>
          <w:szCs w:val="20"/>
        </w:rPr>
        <w:t>报价</w:t>
      </w:r>
      <w:r>
        <w:rPr>
          <w:rFonts w:hint="eastAsia" w:ascii="宋体" w:hAnsi="宋体" w:cs="宋体"/>
          <w:sz w:val="22"/>
        </w:rPr>
        <w:t>浮动率L)×(1-10%)，按</w:t>
      </w:r>
      <w:r>
        <w:rPr>
          <w:rFonts w:hint="eastAsia" w:ascii="宋体" w:hAnsi="宋体" w:cs="宋体"/>
          <w:sz w:val="22"/>
          <w:szCs w:val="20"/>
        </w:rPr>
        <w:t>该单项费用</w:t>
      </w:r>
      <w:r>
        <w:rPr>
          <w:rFonts w:hint="eastAsia" w:ascii="宋体" w:hAnsi="宋体" w:cs="宋体"/>
          <w:sz w:val="22"/>
        </w:rPr>
        <w:t>的招标控制价，结合承包人的</w:t>
      </w:r>
      <w:r>
        <w:rPr>
          <w:rFonts w:hint="eastAsia" w:ascii="宋体" w:hAnsi="宋体" w:cs="宋体"/>
          <w:sz w:val="22"/>
          <w:szCs w:val="20"/>
        </w:rPr>
        <w:t>报价</w:t>
      </w:r>
      <w:r>
        <w:rPr>
          <w:rFonts w:hint="eastAsia" w:ascii="宋体" w:hAnsi="宋体" w:cs="宋体"/>
          <w:sz w:val="22"/>
        </w:rPr>
        <w:t>浮动率L扣除；</w:t>
      </w:r>
    </w:p>
    <w:p>
      <w:pPr>
        <w:tabs>
          <w:tab w:val="left" w:pos="1365"/>
        </w:tabs>
        <w:autoSpaceDE w:val="0"/>
        <w:autoSpaceDN w:val="0"/>
        <w:adjustRightInd w:val="0"/>
        <w:spacing w:line="560" w:lineRule="exact"/>
        <w:jc w:val="left"/>
        <w:rPr>
          <w:rFonts w:ascii="宋体" w:hAnsi="宋体" w:cs="宋体"/>
          <w:sz w:val="22"/>
          <w:szCs w:val="20"/>
        </w:rPr>
      </w:pPr>
      <w:r>
        <w:rPr>
          <w:rFonts w:hint="eastAsia" w:ascii="宋体" w:hAnsi="宋体" w:cs="宋体"/>
          <w:sz w:val="22"/>
          <w:szCs w:val="20"/>
        </w:rPr>
        <w:t xml:space="preserve">  72.4对于任一分部分项工程量清单项目，如果因工程量偏差或工程变更等原因导致该工程量对应相应清单工程量偏差超过 10%，则超过 10%部分的综合单价应予调整，综合单价调整及分部分项工程费调整公式如下：</w:t>
      </w:r>
    </w:p>
    <w:p>
      <w:pPr>
        <w:spacing w:line="560" w:lineRule="exact"/>
        <w:ind w:firstLine="440" w:firstLineChars="200"/>
        <w:rPr>
          <w:rFonts w:ascii="宋体" w:hAnsi="宋体" w:cs="宋体"/>
          <w:sz w:val="22"/>
          <w:szCs w:val="20"/>
        </w:rPr>
      </w:pPr>
      <w:r>
        <w:rPr>
          <w:rFonts w:hint="eastAsia" w:ascii="宋体" w:hAnsi="宋体" w:cs="宋体"/>
          <w:sz w:val="22"/>
          <w:szCs w:val="20"/>
        </w:rPr>
        <w:t>（1）综合单价调整：如承包人投标价分部分项清单项目填报的综合单价与发包人招标控制价或预算价相应清单项目的综合单价偏差在10%以内（含10%）时，不做调整，如承包人投标价分部分项清单项目填报的综合单价与发包人招标控制价或预算价相应清单项目的综合单价偏差超过10%时，按照下列规定调整分部分项工程费：</w:t>
      </w:r>
    </w:p>
    <w:p>
      <w:pPr>
        <w:spacing w:line="560" w:lineRule="exact"/>
        <w:rPr>
          <w:rFonts w:ascii="宋体" w:hAnsi="宋体" w:cs="宋体"/>
          <w:sz w:val="22"/>
          <w:szCs w:val="20"/>
        </w:rPr>
      </w:pPr>
      <w:r>
        <w:rPr>
          <w:rFonts w:hint="eastAsia" w:ascii="宋体" w:hAnsi="宋体" w:cs="宋体"/>
          <w:sz w:val="22"/>
          <w:szCs w:val="20"/>
        </w:rPr>
        <w:t>1.1 当P0 &lt;P1×(1-L)×(1-10%)时，该类项目的综合单价按照P1×(1-L)×(1-10%)调整。</w:t>
      </w:r>
    </w:p>
    <w:p>
      <w:pPr>
        <w:spacing w:line="560" w:lineRule="exact"/>
        <w:rPr>
          <w:rFonts w:ascii="宋体" w:hAnsi="宋体" w:cs="宋体"/>
          <w:sz w:val="22"/>
          <w:szCs w:val="20"/>
        </w:rPr>
      </w:pPr>
      <w:r>
        <w:rPr>
          <w:rFonts w:hint="eastAsia" w:ascii="宋体" w:hAnsi="宋体" w:cs="宋体"/>
          <w:sz w:val="22"/>
          <w:szCs w:val="20"/>
        </w:rPr>
        <w:t>1.2 当P0 &gt;P1× (1+10%)时，该类项目的综合单价按照P1×（1+10%)调整。</w:t>
      </w:r>
    </w:p>
    <w:p>
      <w:pPr>
        <w:spacing w:line="560" w:lineRule="exact"/>
        <w:rPr>
          <w:rFonts w:ascii="宋体" w:hAnsi="宋体" w:cs="宋体"/>
          <w:sz w:val="22"/>
          <w:szCs w:val="20"/>
        </w:rPr>
      </w:pPr>
      <w:r>
        <w:rPr>
          <w:rFonts w:hint="eastAsia" w:ascii="宋体" w:hAnsi="宋体" w:cs="宋体"/>
          <w:sz w:val="22"/>
          <w:szCs w:val="20"/>
        </w:rPr>
        <w:t>式中：P0——承包人在工程量清单中填报的综合单价。</w:t>
      </w:r>
    </w:p>
    <w:p>
      <w:pPr>
        <w:spacing w:line="560" w:lineRule="exact"/>
        <w:rPr>
          <w:rFonts w:ascii="宋体" w:hAnsi="宋体" w:cs="宋体"/>
          <w:sz w:val="22"/>
          <w:szCs w:val="20"/>
        </w:rPr>
      </w:pPr>
      <w:r>
        <w:rPr>
          <w:rFonts w:hint="eastAsia" w:ascii="宋体" w:hAnsi="宋体" w:cs="宋体"/>
          <w:sz w:val="22"/>
          <w:szCs w:val="20"/>
        </w:rPr>
        <w:t>P1——发包人招标控制价明细中列明的综合单价。</w:t>
      </w:r>
    </w:p>
    <w:p>
      <w:pPr>
        <w:spacing w:line="560" w:lineRule="exact"/>
        <w:rPr>
          <w:rFonts w:ascii="宋体" w:hAnsi="宋体" w:cs="宋体"/>
          <w:sz w:val="22"/>
          <w:szCs w:val="20"/>
        </w:rPr>
      </w:pPr>
      <w:r>
        <w:rPr>
          <w:rFonts w:hint="eastAsia" w:ascii="宋体" w:hAnsi="宋体" w:cs="宋体"/>
          <w:sz w:val="22"/>
          <w:szCs w:val="20"/>
        </w:rPr>
        <w:t>L——第 72.2 款规定的承包人报价浮动率。</w:t>
      </w:r>
    </w:p>
    <w:p>
      <w:pPr>
        <w:spacing w:line="560" w:lineRule="exact"/>
        <w:rPr>
          <w:rFonts w:ascii="宋体" w:hAnsi="宋体" w:cs="宋体"/>
          <w:sz w:val="22"/>
          <w:szCs w:val="20"/>
        </w:rPr>
      </w:pPr>
      <w:r>
        <w:rPr>
          <w:rFonts w:hint="eastAsia" w:ascii="宋体" w:hAnsi="宋体" w:cs="宋体"/>
          <w:sz w:val="22"/>
          <w:szCs w:val="20"/>
        </w:rPr>
        <w:t>（2）分部分项工程费调整：</w:t>
      </w:r>
    </w:p>
    <w:p>
      <w:pPr>
        <w:autoSpaceDE w:val="0"/>
        <w:autoSpaceDN w:val="0"/>
        <w:adjustRightInd w:val="0"/>
        <w:spacing w:line="560" w:lineRule="exact"/>
        <w:jc w:val="left"/>
        <w:rPr>
          <w:rFonts w:ascii="宋体" w:hAnsi="宋体" w:cs="宋体"/>
          <w:sz w:val="22"/>
          <w:szCs w:val="20"/>
        </w:rPr>
      </w:pPr>
      <w:r>
        <w:rPr>
          <w:rFonts w:hint="eastAsia" w:ascii="宋体" w:hAnsi="宋体" w:cs="宋体"/>
          <w:sz w:val="22"/>
          <w:szCs w:val="20"/>
        </w:rPr>
        <w:t>2.1 当Q1﹥1.1Q0时，S=1.1Q0×P0+（Q1-1.1Q0）×P2</w:t>
      </w:r>
    </w:p>
    <w:p>
      <w:pPr>
        <w:autoSpaceDE w:val="0"/>
        <w:autoSpaceDN w:val="0"/>
        <w:adjustRightInd w:val="0"/>
        <w:spacing w:line="560" w:lineRule="exact"/>
        <w:jc w:val="left"/>
        <w:rPr>
          <w:rFonts w:ascii="宋体" w:hAnsi="宋体" w:cs="宋体"/>
          <w:sz w:val="22"/>
          <w:szCs w:val="20"/>
        </w:rPr>
      </w:pPr>
      <w:r>
        <w:rPr>
          <w:rFonts w:hint="eastAsia" w:ascii="宋体" w:hAnsi="宋体" w:cs="宋体"/>
          <w:sz w:val="22"/>
          <w:szCs w:val="20"/>
        </w:rPr>
        <w:t>2.2 当Q1﹤0.9Q0时，S=0.9Q0×P0-（0.9Q0-Q1）×P2</w:t>
      </w:r>
    </w:p>
    <w:p>
      <w:pPr>
        <w:autoSpaceDE w:val="0"/>
        <w:autoSpaceDN w:val="0"/>
        <w:adjustRightInd w:val="0"/>
        <w:spacing w:line="360" w:lineRule="auto"/>
        <w:jc w:val="left"/>
        <w:rPr>
          <w:rFonts w:ascii="宋体" w:hAnsi="宋体" w:cs="宋体"/>
          <w:sz w:val="22"/>
          <w:szCs w:val="20"/>
        </w:rPr>
      </w:pPr>
      <w:r>
        <w:rPr>
          <w:rFonts w:hint="eastAsia" w:ascii="宋体" w:hAnsi="宋体" w:cs="宋体"/>
          <w:sz w:val="22"/>
          <w:szCs w:val="20"/>
        </w:rPr>
        <w:t>式中S——调整后的某一分部分项工程费结算价；</w:t>
      </w:r>
    </w:p>
    <w:p>
      <w:pPr>
        <w:tabs>
          <w:tab w:val="left" w:pos="880"/>
        </w:tabs>
        <w:autoSpaceDE w:val="0"/>
        <w:autoSpaceDN w:val="0"/>
        <w:adjustRightInd w:val="0"/>
        <w:spacing w:line="360" w:lineRule="auto"/>
        <w:ind w:firstLine="431" w:firstLineChars="196"/>
        <w:jc w:val="left"/>
        <w:rPr>
          <w:rFonts w:ascii="宋体" w:hAnsi="宋体" w:cs="宋体"/>
          <w:sz w:val="22"/>
          <w:szCs w:val="20"/>
        </w:rPr>
      </w:pPr>
      <w:r>
        <w:rPr>
          <w:rFonts w:hint="eastAsia" w:ascii="宋体" w:hAnsi="宋体" w:cs="宋体"/>
          <w:sz w:val="22"/>
          <w:szCs w:val="20"/>
        </w:rPr>
        <w:t xml:space="preserve">Q1——最终完成的工程量； </w:t>
      </w:r>
    </w:p>
    <w:p>
      <w:pPr>
        <w:tabs>
          <w:tab w:val="left" w:pos="880"/>
        </w:tabs>
        <w:autoSpaceDE w:val="0"/>
        <w:autoSpaceDN w:val="0"/>
        <w:adjustRightInd w:val="0"/>
        <w:spacing w:line="360" w:lineRule="auto"/>
        <w:ind w:firstLine="431" w:firstLineChars="196"/>
        <w:jc w:val="left"/>
        <w:rPr>
          <w:rFonts w:ascii="宋体" w:hAnsi="宋体" w:cs="宋体"/>
          <w:sz w:val="22"/>
          <w:szCs w:val="20"/>
        </w:rPr>
      </w:pPr>
      <w:r>
        <w:rPr>
          <w:rFonts w:hint="eastAsia" w:ascii="宋体" w:hAnsi="宋体" w:cs="宋体"/>
          <w:sz w:val="22"/>
          <w:szCs w:val="20"/>
        </w:rPr>
        <w:t>Q0——工程量清单中开列的工程量；</w:t>
      </w:r>
    </w:p>
    <w:p>
      <w:pPr>
        <w:tabs>
          <w:tab w:val="left" w:pos="880"/>
        </w:tabs>
        <w:autoSpaceDE w:val="0"/>
        <w:autoSpaceDN w:val="0"/>
        <w:adjustRightInd w:val="0"/>
        <w:spacing w:line="360" w:lineRule="auto"/>
        <w:ind w:firstLine="431" w:firstLineChars="196"/>
        <w:jc w:val="left"/>
        <w:rPr>
          <w:rFonts w:ascii="宋体" w:hAnsi="宋体" w:cs="宋体"/>
          <w:sz w:val="22"/>
          <w:szCs w:val="20"/>
        </w:rPr>
      </w:pPr>
      <w:r>
        <w:rPr>
          <w:rFonts w:hint="eastAsia" w:ascii="宋体" w:hAnsi="宋体" w:cs="宋体"/>
          <w:sz w:val="22"/>
          <w:szCs w:val="20"/>
        </w:rPr>
        <w:t>P2——按照最终完成工程量重新调整后的综合单价；</w:t>
      </w:r>
    </w:p>
    <w:p>
      <w:pPr>
        <w:tabs>
          <w:tab w:val="left" w:pos="880"/>
        </w:tabs>
        <w:autoSpaceDE w:val="0"/>
        <w:autoSpaceDN w:val="0"/>
        <w:adjustRightInd w:val="0"/>
        <w:spacing w:line="360" w:lineRule="auto"/>
        <w:ind w:firstLine="433" w:firstLineChars="196"/>
        <w:jc w:val="left"/>
        <w:rPr>
          <w:rFonts w:ascii="宋体" w:hAnsi="宋体" w:cs="宋体"/>
          <w:b/>
          <w:bCs/>
          <w:sz w:val="22"/>
          <w:szCs w:val="20"/>
        </w:rPr>
      </w:pPr>
      <w:r>
        <w:rPr>
          <w:rFonts w:hint="eastAsia" w:ascii="宋体" w:hAnsi="宋体" w:cs="宋体"/>
          <w:b/>
          <w:bCs/>
          <w:sz w:val="22"/>
          <w:szCs w:val="20"/>
        </w:rPr>
        <w:t>特别说明：结算工程量Q1=0，也适用公式2.2，可能出现结算工程量为0的结算价S为正数或负数的情况。</w:t>
      </w:r>
    </w:p>
    <w:p>
      <w:pPr>
        <w:autoSpaceDE w:val="0"/>
        <w:autoSpaceDN w:val="0"/>
        <w:adjustRightInd w:val="0"/>
        <w:spacing w:before="360" w:beforeLines="150" w:line="360" w:lineRule="auto"/>
        <w:jc w:val="left"/>
        <w:outlineLvl w:val="2"/>
        <w:rPr>
          <w:rFonts w:ascii="宋体" w:hAnsi="宋体" w:cs="宋体"/>
          <w:b/>
          <w:kern w:val="0"/>
          <w:sz w:val="22"/>
          <w:szCs w:val="20"/>
        </w:rPr>
      </w:pPr>
      <w:bookmarkStart w:id="256" w:name="_Toc306287523"/>
      <w:bookmarkStart w:id="257" w:name="_Toc326239353"/>
      <w:bookmarkStart w:id="258" w:name="_Toc306287700"/>
      <w:r>
        <w:rPr>
          <w:rFonts w:hint="eastAsia" w:ascii="宋体" w:hAnsi="宋体" w:cs="宋体"/>
          <w:b/>
          <w:kern w:val="0"/>
          <w:sz w:val="22"/>
          <w:szCs w:val="20"/>
        </w:rPr>
        <w:t>73．工程量的偏差事件</w:t>
      </w:r>
    </w:p>
    <w:p>
      <w:pPr>
        <w:tabs>
          <w:tab w:val="left" w:pos="1365"/>
        </w:tabs>
        <w:autoSpaceDE w:val="0"/>
        <w:autoSpaceDN w:val="0"/>
        <w:adjustRightInd w:val="0"/>
        <w:spacing w:before="120" w:beforeLines="50" w:line="360" w:lineRule="auto"/>
        <w:ind w:left="420" w:leftChars="200"/>
        <w:jc w:val="left"/>
        <w:rPr>
          <w:rFonts w:ascii="宋体" w:hAnsi="宋体" w:cs="宋体"/>
          <w:sz w:val="22"/>
        </w:rPr>
      </w:pPr>
      <w:r>
        <w:rPr>
          <w:rFonts w:hint="eastAsia" w:ascii="宋体" w:hAnsi="宋体" w:cs="宋体"/>
          <w:sz w:val="22"/>
        </w:rPr>
        <w:t>73.3 工程量的偏差，导致措施项目费调整的方法：</w:t>
      </w:r>
    </w:p>
    <w:p>
      <w:pPr>
        <w:tabs>
          <w:tab w:val="left" w:pos="880"/>
        </w:tabs>
        <w:autoSpaceDE w:val="0"/>
        <w:autoSpaceDN w:val="0"/>
        <w:adjustRightInd w:val="0"/>
        <w:spacing w:line="360" w:lineRule="auto"/>
        <w:ind w:firstLine="431" w:firstLineChars="196"/>
        <w:jc w:val="left"/>
        <w:rPr>
          <w:rFonts w:ascii="宋体" w:hAnsi="宋体" w:cs="宋体"/>
          <w:sz w:val="22"/>
        </w:rPr>
      </w:pPr>
      <w:r>
        <w:rPr>
          <w:rFonts w:hint="eastAsia" w:ascii="宋体" w:hAnsi="宋体" w:cs="宋体"/>
          <w:sz w:val="22"/>
        </w:rPr>
        <w:t>□ 按合同通用条款的规定调整。</w:t>
      </w:r>
    </w:p>
    <w:p>
      <w:pPr>
        <w:tabs>
          <w:tab w:val="left" w:pos="880"/>
        </w:tabs>
        <w:autoSpaceDE w:val="0"/>
        <w:autoSpaceDN w:val="0"/>
        <w:adjustRightInd w:val="0"/>
        <w:spacing w:line="360" w:lineRule="auto"/>
        <w:ind w:firstLine="431" w:firstLineChars="196"/>
        <w:jc w:val="left"/>
        <w:rPr>
          <w:rFonts w:ascii="宋体" w:hAnsi="宋体" w:cs="宋体"/>
          <w:sz w:val="22"/>
        </w:rPr>
      </w:pPr>
      <w:r>
        <w:rPr>
          <w:rFonts w:hint="eastAsia" w:ascii="宋体" w:hAnsi="宋体" w:cs="宋体"/>
          <w:sz w:val="22"/>
        </w:rPr>
        <w:t>■ 按以下方法调：按72.3条款调整。</w:t>
      </w:r>
    </w:p>
    <w:p>
      <w:pPr>
        <w:autoSpaceDE w:val="0"/>
        <w:autoSpaceDN w:val="0"/>
        <w:adjustRightInd w:val="0"/>
        <w:spacing w:before="360" w:beforeLines="150" w:line="360" w:lineRule="auto"/>
        <w:jc w:val="left"/>
        <w:outlineLvl w:val="2"/>
        <w:rPr>
          <w:rFonts w:ascii="宋体" w:hAnsi="宋体" w:cs="宋体"/>
          <w:b/>
          <w:sz w:val="22"/>
        </w:rPr>
      </w:pPr>
      <w:bookmarkStart w:id="259" w:name="_Toc342306255"/>
      <w:r>
        <w:rPr>
          <w:rFonts w:hint="eastAsia" w:ascii="宋体" w:hAnsi="宋体" w:cs="宋体"/>
          <w:b/>
          <w:sz w:val="22"/>
        </w:rPr>
        <w:t>75．现场签证事件</w:t>
      </w:r>
      <w:bookmarkEnd w:id="256"/>
      <w:bookmarkEnd w:id="257"/>
      <w:bookmarkEnd w:id="258"/>
      <w:bookmarkEnd w:id="259"/>
    </w:p>
    <w:p>
      <w:pPr>
        <w:autoSpaceDE w:val="0"/>
        <w:autoSpaceDN w:val="0"/>
        <w:adjustRightInd w:val="0"/>
        <w:spacing w:line="360" w:lineRule="auto"/>
        <w:ind w:left="420" w:leftChars="200"/>
        <w:rPr>
          <w:rFonts w:ascii="宋体" w:hAnsi="宋体" w:cs="宋体"/>
          <w:dstrike/>
          <w:sz w:val="22"/>
        </w:rPr>
      </w:pPr>
      <w:r>
        <w:rPr>
          <w:rFonts w:hint="eastAsia" w:ascii="宋体" w:hAnsi="宋体" w:cs="宋体"/>
          <w:sz w:val="22"/>
        </w:rPr>
        <w:t>此项增加75.8、75.9条</w:t>
      </w:r>
    </w:p>
    <w:p>
      <w:pPr>
        <w:autoSpaceDE w:val="0"/>
        <w:autoSpaceDN w:val="0"/>
        <w:adjustRightInd w:val="0"/>
        <w:spacing w:line="360" w:lineRule="auto"/>
        <w:ind w:left="420" w:leftChars="200"/>
        <w:rPr>
          <w:rFonts w:ascii="宋体" w:hAnsi="宋体" w:cs="宋体"/>
          <w:sz w:val="22"/>
        </w:rPr>
      </w:pPr>
      <w:r>
        <w:rPr>
          <w:rFonts w:hint="eastAsia" w:ascii="宋体" w:hAnsi="宋体" w:cs="宋体"/>
          <w:sz w:val="22"/>
        </w:rPr>
        <w:t>75.8 现场签证按《广东省机场管理集团有限公司工程建设指挥部工程现场签证管理规定》相关规定执行。</w:t>
      </w:r>
    </w:p>
    <w:p>
      <w:pPr>
        <w:autoSpaceDE w:val="0"/>
        <w:autoSpaceDN w:val="0"/>
        <w:adjustRightInd w:val="0"/>
        <w:spacing w:line="360" w:lineRule="auto"/>
        <w:ind w:left="420" w:leftChars="200"/>
        <w:rPr>
          <w:rFonts w:ascii="宋体" w:hAnsi="宋体" w:cs="宋体"/>
          <w:sz w:val="22"/>
        </w:rPr>
      </w:pPr>
      <w:r>
        <w:rPr>
          <w:rFonts w:hint="eastAsia" w:ascii="宋体" w:hAnsi="宋体" w:cs="宋体"/>
          <w:sz w:val="22"/>
        </w:rPr>
        <w:t>75.9.签证要求及注意事项：</w:t>
      </w:r>
    </w:p>
    <w:p>
      <w:pPr>
        <w:spacing w:line="360" w:lineRule="auto"/>
        <w:ind w:left="630" w:leftChars="300"/>
        <w:rPr>
          <w:rFonts w:ascii="宋体" w:hAnsi="宋体" w:cs="宋体"/>
          <w:sz w:val="22"/>
        </w:rPr>
      </w:pPr>
      <w:r>
        <w:rPr>
          <w:rFonts w:hint="eastAsia" w:ascii="宋体" w:hAnsi="宋体" w:cs="宋体"/>
          <w:sz w:val="22"/>
        </w:rPr>
        <w:t>（1）必须做到实事求是，与现场实际情况相符，而且要符合合同约定及批准的施工组织设计方案；</w:t>
      </w:r>
    </w:p>
    <w:p>
      <w:pPr>
        <w:spacing w:line="360" w:lineRule="auto"/>
        <w:ind w:left="630" w:leftChars="300"/>
        <w:rPr>
          <w:rFonts w:ascii="宋体" w:hAnsi="宋体" w:cs="宋体"/>
          <w:sz w:val="22"/>
        </w:rPr>
      </w:pPr>
      <w:r>
        <w:rPr>
          <w:rFonts w:hint="eastAsia" w:ascii="宋体" w:hAnsi="宋体" w:cs="宋体"/>
          <w:sz w:val="22"/>
        </w:rPr>
        <w:t>（2）现场签证要及时、准确、合理，做到一事一签；</w:t>
      </w:r>
    </w:p>
    <w:p>
      <w:pPr>
        <w:spacing w:line="360" w:lineRule="auto"/>
        <w:ind w:left="630" w:leftChars="300"/>
        <w:rPr>
          <w:rFonts w:ascii="宋体" w:hAnsi="宋体" w:cs="宋体"/>
          <w:sz w:val="22"/>
        </w:rPr>
      </w:pPr>
      <w:r>
        <w:rPr>
          <w:rFonts w:hint="eastAsia" w:ascii="宋体" w:hAnsi="宋体" w:cs="宋体"/>
          <w:sz w:val="22"/>
        </w:rPr>
        <w:t>（3）签证确认必须实事求是，要写明时间、地点、事由，并附简图，标明几何尺寸、标高、面积或体积，工程量计算式等，不得笼统签注工程量；</w:t>
      </w:r>
    </w:p>
    <w:p>
      <w:pPr>
        <w:spacing w:line="360" w:lineRule="auto"/>
        <w:ind w:left="630" w:leftChars="300"/>
        <w:rPr>
          <w:rFonts w:ascii="宋体" w:hAnsi="宋体" w:cs="宋体"/>
          <w:sz w:val="22"/>
        </w:rPr>
      </w:pPr>
      <w:r>
        <w:rPr>
          <w:rFonts w:hint="eastAsia" w:ascii="宋体" w:hAnsi="宋体" w:cs="宋体"/>
          <w:sz w:val="22"/>
        </w:rPr>
        <w:t>（4）属于合同已有约定的内容，不得另行签证，如工料价格的涨跌、人工浮动工资、施工方法等。</w:t>
      </w:r>
    </w:p>
    <w:p>
      <w:pPr>
        <w:pStyle w:val="19"/>
        <w:spacing w:line="360" w:lineRule="auto"/>
        <w:ind w:left="660" w:hanging="660" w:hangingChars="300"/>
        <w:rPr>
          <w:rFonts w:hAnsi="宋体" w:cs="宋体"/>
          <w:sz w:val="18"/>
        </w:rPr>
      </w:pPr>
      <w:r>
        <w:rPr>
          <w:rFonts w:hint="eastAsia" w:hAnsi="宋体" w:cs="宋体"/>
          <w:sz w:val="22"/>
          <w:szCs w:val="22"/>
        </w:rPr>
        <w:t xml:space="preserve">     （5）承包人应在签证事实发生并完成的14日内向监理单位提交签证单，逾期提交，而又无法说明并证明签证事实及完成情况的，监理单位、发包人有权拒收，视为承包人放弃签证申报费用。</w:t>
      </w:r>
    </w:p>
    <w:p>
      <w:pPr>
        <w:autoSpaceDE w:val="0"/>
        <w:autoSpaceDN w:val="0"/>
        <w:adjustRightInd w:val="0"/>
        <w:spacing w:before="360" w:beforeLines="150" w:line="360" w:lineRule="auto"/>
        <w:jc w:val="left"/>
        <w:outlineLvl w:val="2"/>
        <w:rPr>
          <w:rFonts w:ascii="宋体" w:hAnsi="宋体" w:cs="宋体"/>
          <w:b/>
          <w:sz w:val="22"/>
        </w:rPr>
      </w:pPr>
      <w:bookmarkStart w:id="260" w:name="_Toc326239354"/>
      <w:bookmarkStart w:id="261" w:name="_Toc306287524"/>
      <w:bookmarkStart w:id="262" w:name="_Toc342306256"/>
      <w:bookmarkStart w:id="263" w:name="_Toc306287701"/>
      <w:r>
        <w:rPr>
          <w:rFonts w:hint="eastAsia" w:ascii="宋体" w:hAnsi="宋体" w:cs="宋体"/>
          <w:b/>
          <w:sz w:val="22"/>
        </w:rPr>
        <w:t>76．物价涨落事件</w:t>
      </w:r>
      <w:bookmarkEnd w:id="260"/>
      <w:bookmarkEnd w:id="261"/>
      <w:bookmarkEnd w:id="262"/>
      <w:bookmarkEnd w:id="263"/>
    </w:p>
    <w:p>
      <w:pPr>
        <w:autoSpaceDE w:val="0"/>
        <w:autoSpaceDN w:val="0"/>
        <w:adjustRightInd w:val="0"/>
        <w:spacing w:line="360" w:lineRule="auto"/>
        <w:ind w:left="420" w:leftChars="200"/>
        <w:rPr>
          <w:rFonts w:ascii="宋体" w:hAnsi="宋体" w:cs="宋体"/>
          <w:sz w:val="22"/>
        </w:rPr>
      </w:pPr>
      <w:bookmarkStart w:id="264" w:name="_Toc326239355"/>
      <w:r>
        <w:rPr>
          <w:rFonts w:hint="eastAsia" w:ascii="宋体" w:hAnsi="宋体" w:cs="宋体"/>
          <w:sz w:val="22"/>
        </w:rPr>
        <w:t xml:space="preserve">76.2人工费的调整方法： </w:t>
      </w:r>
    </w:p>
    <w:p>
      <w:pPr>
        <w:autoSpaceDE w:val="0"/>
        <w:autoSpaceDN w:val="0"/>
        <w:adjustRightInd w:val="0"/>
        <w:spacing w:line="360" w:lineRule="auto"/>
        <w:ind w:left="420" w:leftChars="200"/>
        <w:rPr>
          <w:rFonts w:ascii="宋体" w:hAnsi="宋体" w:cs="宋体"/>
          <w:sz w:val="22"/>
          <w:szCs w:val="20"/>
        </w:rPr>
      </w:pPr>
      <w:r>
        <w:rPr>
          <w:rFonts w:hint="eastAsia" w:ascii="宋体" w:hAnsi="宋体" w:cs="宋体"/>
          <w:sz w:val="22"/>
        </w:rPr>
        <w:t>■在合同履行期间不作调整。</w:t>
      </w:r>
    </w:p>
    <w:p>
      <w:pPr>
        <w:autoSpaceDE w:val="0"/>
        <w:autoSpaceDN w:val="0"/>
        <w:adjustRightInd w:val="0"/>
        <w:spacing w:line="360" w:lineRule="auto"/>
        <w:ind w:left="420" w:leftChars="200"/>
        <w:rPr>
          <w:rFonts w:ascii="宋体" w:hAnsi="宋体" w:cs="宋体"/>
          <w:sz w:val="22"/>
        </w:rPr>
      </w:pPr>
      <w:r>
        <w:rPr>
          <w:rFonts w:hint="eastAsia" w:ascii="宋体" w:hAnsi="宋体" w:cs="宋体"/>
          <w:sz w:val="22"/>
        </w:rPr>
        <w:t>□在合同履行期间按以下方法调整：</w:t>
      </w:r>
    </w:p>
    <w:p>
      <w:pPr>
        <w:numPr>
          <w:ilvl w:val="0"/>
          <w:numId w:val="8"/>
        </w:numPr>
        <w:autoSpaceDE w:val="0"/>
        <w:autoSpaceDN w:val="0"/>
        <w:adjustRightInd w:val="0"/>
        <w:spacing w:line="360" w:lineRule="auto"/>
        <w:ind w:left="420" w:leftChars="200" w:firstLine="220" w:firstLineChars="100"/>
        <w:rPr>
          <w:rFonts w:ascii="宋体" w:hAnsi="宋体" w:cs="宋体"/>
          <w:sz w:val="22"/>
        </w:rPr>
      </w:pPr>
      <w:r>
        <w:rPr>
          <w:rFonts w:hint="eastAsia" w:ascii="宋体" w:hAnsi="宋体" w:cs="宋体"/>
          <w:sz w:val="22"/>
        </w:rPr>
        <w:t>调差条件：合同履行期间，工程造价管理机构颁布的人工价格超过合同工程基准日期相应价格时，调整人工费。基准日期指递交投标文件截止日期前28天的日期。</w:t>
      </w:r>
    </w:p>
    <w:p>
      <w:pPr>
        <w:numPr>
          <w:ilvl w:val="0"/>
          <w:numId w:val="8"/>
        </w:numPr>
        <w:autoSpaceDE w:val="0"/>
        <w:autoSpaceDN w:val="0"/>
        <w:adjustRightInd w:val="0"/>
        <w:spacing w:line="360" w:lineRule="auto"/>
        <w:ind w:left="420" w:leftChars="200" w:firstLine="220" w:firstLineChars="100"/>
        <w:rPr>
          <w:rFonts w:ascii="宋体" w:hAnsi="宋体" w:cs="宋体"/>
          <w:sz w:val="22"/>
          <w:szCs w:val="20"/>
        </w:rPr>
      </w:pPr>
      <w:r>
        <w:rPr>
          <w:rFonts w:hint="eastAsia" w:ascii="宋体" w:hAnsi="宋体" w:cs="宋体"/>
          <w:sz w:val="22"/>
        </w:rPr>
        <w:t>调差方式：根据发包人公布的招标控制价的分部分项人工费占比和合同履行期间（月度形象进度）完成分部分项工程费投资的乘积计算合同履行期间的人工费；并按照合同履行期间（月度形象进度）和当地造价部门公布的基准日期定额动态人工费调整系数计算人工费价差。</w:t>
      </w:r>
    </w:p>
    <w:p>
      <w:pPr>
        <w:autoSpaceDE w:val="0"/>
        <w:autoSpaceDN w:val="0"/>
        <w:adjustRightInd w:val="0"/>
        <w:spacing w:line="360" w:lineRule="auto"/>
        <w:ind w:left="630" w:leftChars="300" w:firstLine="220" w:firstLineChars="100"/>
        <w:rPr>
          <w:rFonts w:ascii="宋体" w:hAnsi="宋体" w:cs="宋体"/>
          <w:sz w:val="22"/>
          <w:szCs w:val="20"/>
        </w:rPr>
      </w:pPr>
      <w:r>
        <w:rPr>
          <w:rFonts w:hint="eastAsia" w:ascii="宋体" w:hAnsi="宋体" w:cs="宋体"/>
          <w:sz w:val="22"/>
        </w:rPr>
        <w:t>调差公式：</w:t>
      </w:r>
      <w:r>
        <w:rPr>
          <w:rFonts w:hint="eastAsia" w:ascii="宋体" w:hAnsi="宋体" w:cs="宋体"/>
          <w:sz w:val="22"/>
          <w:szCs w:val="20"/>
        </w:rPr>
        <w:t>dn = h×(fn – f1);</w:t>
      </w:r>
    </w:p>
    <w:p>
      <w:pPr>
        <w:autoSpaceDE w:val="0"/>
        <w:autoSpaceDN w:val="0"/>
        <w:adjustRightInd w:val="0"/>
        <w:spacing w:line="360" w:lineRule="auto"/>
        <w:ind w:left="420" w:leftChars="200"/>
        <w:rPr>
          <w:rFonts w:ascii="宋体" w:hAnsi="宋体" w:cs="宋体"/>
          <w:sz w:val="22"/>
          <w:szCs w:val="20"/>
        </w:rPr>
      </w:pPr>
      <w:r>
        <w:rPr>
          <w:rFonts w:hint="eastAsia" w:ascii="宋体" w:hAnsi="宋体" w:cs="宋体"/>
          <w:sz w:val="22"/>
          <w:szCs w:val="20"/>
        </w:rPr>
        <w:t>式中：</w:t>
      </w:r>
    </w:p>
    <w:p>
      <w:pPr>
        <w:autoSpaceDE w:val="0"/>
        <w:autoSpaceDN w:val="0"/>
        <w:adjustRightInd w:val="0"/>
        <w:spacing w:line="360" w:lineRule="auto"/>
        <w:ind w:firstLine="440" w:firstLineChars="200"/>
        <w:rPr>
          <w:rFonts w:ascii="宋体" w:hAnsi="宋体" w:cs="宋体"/>
          <w:sz w:val="22"/>
          <w:szCs w:val="20"/>
        </w:rPr>
      </w:pPr>
      <w:r>
        <w:rPr>
          <w:rFonts w:hint="eastAsia" w:ascii="宋体" w:hAnsi="宋体" w:cs="宋体"/>
          <w:sz w:val="22"/>
          <w:szCs w:val="20"/>
        </w:rPr>
        <w:t>dn——第n月度，调整的人工费价差；</w:t>
      </w:r>
    </w:p>
    <w:p>
      <w:pPr>
        <w:autoSpaceDE w:val="0"/>
        <w:autoSpaceDN w:val="0"/>
        <w:adjustRightInd w:val="0"/>
        <w:spacing w:line="360" w:lineRule="auto"/>
        <w:ind w:firstLine="440" w:firstLineChars="200"/>
        <w:rPr>
          <w:rFonts w:ascii="宋体" w:hAnsi="宋体" w:cs="宋体"/>
          <w:sz w:val="22"/>
          <w:szCs w:val="20"/>
        </w:rPr>
      </w:pPr>
      <w:r>
        <w:rPr>
          <w:rFonts w:hint="eastAsia" w:ascii="宋体" w:hAnsi="宋体" w:cs="宋体"/>
          <w:sz w:val="22"/>
          <w:szCs w:val="20"/>
        </w:rPr>
        <w:t>h——第n月度，本条款第（2）点约定计算的人工费，按当期实际完成的形象进度验收合格分部分项工程费乘以发包人公布的</w:t>
      </w:r>
      <w:r>
        <w:rPr>
          <w:rFonts w:hint="eastAsia" w:ascii="宋体" w:hAnsi="宋体" w:cs="宋体"/>
          <w:sz w:val="22"/>
        </w:rPr>
        <w:t>招标控制价的分部分项人工费占比</w:t>
      </w:r>
      <w:r>
        <w:rPr>
          <w:rFonts w:hint="eastAsia" w:ascii="宋体" w:hAnsi="宋体" w:cs="宋体"/>
          <w:sz w:val="22"/>
          <w:szCs w:val="20"/>
        </w:rPr>
        <w:t>。</w:t>
      </w:r>
    </w:p>
    <w:p>
      <w:pPr>
        <w:autoSpaceDE w:val="0"/>
        <w:autoSpaceDN w:val="0"/>
        <w:adjustRightInd w:val="0"/>
        <w:spacing w:line="360" w:lineRule="auto"/>
        <w:ind w:firstLine="440" w:firstLineChars="200"/>
        <w:rPr>
          <w:rFonts w:ascii="宋体" w:hAnsi="宋体" w:cs="宋体"/>
          <w:sz w:val="22"/>
          <w:szCs w:val="20"/>
        </w:rPr>
      </w:pPr>
      <w:r>
        <w:rPr>
          <w:rFonts w:hint="eastAsia" w:ascii="宋体" w:hAnsi="宋体" w:cs="宋体"/>
          <w:sz w:val="22"/>
          <w:szCs w:val="20"/>
        </w:rPr>
        <w:t>（计算公式h=Q×tn；Q —当期实际完成的形象进度验收合格的分部分项工程费；tn—</w:t>
      </w:r>
      <w:r>
        <w:rPr>
          <w:rFonts w:hint="eastAsia" w:ascii="宋体" w:hAnsi="宋体" w:cs="宋体"/>
          <w:sz w:val="22"/>
        </w:rPr>
        <w:t>招标控制价的分部分项人工费与分部分项工程费的比例</w:t>
      </w:r>
      <w:r>
        <w:rPr>
          <w:rFonts w:hint="eastAsia" w:ascii="宋体" w:hAnsi="宋体" w:cs="宋体"/>
          <w:sz w:val="22"/>
          <w:szCs w:val="20"/>
        </w:rPr>
        <w:t>）</w:t>
      </w:r>
    </w:p>
    <w:p>
      <w:pPr>
        <w:autoSpaceDE w:val="0"/>
        <w:autoSpaceDN w:val="0"/>
        <w:adjustRightInd w:val="0"/>
        <w:spacing w:line="360" w:lineRule="auto"/>
        <w:ind w:firstLine="440" w:firstLineChars="200"/>
        <w:rPr>
          <w:rFonts w:ascii="宋体" w:hAnsi="宋体" w:cs="宋体"/>
          <w:sz w:val="22"/>
          <w:szCs w:val="20"/>
        </w:rPr>
      </w:pPr>
      <w:r>
        <w:rPr>
          <w:rFonts w:hint="eastAsia" w:ascii="宋体" w:hAnsi="宋体" w:cs="宋体"/>
          <w:sz w:val="22"/>
          <w:szCs w:val="20"/>
        </w:rPr>
        <w:t>fn——第n月度，按本条款第（2）点约定的形象进度期间当月</w:t>
      </w:r>
      <w:r>
        <w:rPr>
          <w:rFonts w:hint="eastAsia" w:ascii="宋体" w:hAnsi="宋体" w:cs="宋体"/>
          <w:sz w:val="22"/>
        </w:rPr>
        <w:t>人工费调整系数</w:t>
      </w:r>
      <w:r>
        <w:rPr>
          <w:rFonts w:hint="eastAsia" w:ascii="宋体" w:hAnsi="宋体" w:cs="宋体"/>
          <w:sz w:val="22"/>
          <w:szCs w:val="20"/>
        </w:rPr>
        <w:t>，</w:t>
      </w:r>
      <w:r>
        <w:rPr>
          <w:rFonts w:hint="eastAsia" w:ascii="宋体" w:hAnsi="宋体" w:cs="宋体"/>
          <w:sz w:val="22"/>
        </w:rPr>
        <w:t>若未逐月报送形象进度的，按报送形象进度期间的月度平均值计算人工费调整系数。</w:t>
      </w:r>
    </w:p>
    <w:p>
      <w:pPr>
        <w:autoSpaceDE w:val="0"/>
        <w:autoSpaceDN w:val="0"/>
        <w:adjustRightInd w:val="0"/>
        <w:spacing w:line="360" w:lineRule="auto"/>
        <w:ind w:firstLine="440" w:firstLineChars="200"/>
        <w:rPr>
          <w:rFonts w:ascii="宋体" w:hAnsi="宋体" w:cs="宋体"/>
          <w:sz w:val="22"/>
          <w:szCs w:val="20"/>
        </w:rPr>
      </w:pPr>
      <w:r>
        <w:rPr>
          <w:rFonts w:hint="eastAsia" w:ascii="宋体" w:hAnsi="宋体" w:cs="宋体"/>
          <w:sz w:val="22"/>
          <w:szCs w:val="20"/>
        </w:rPr>
        <w:t>f1——基准日期，按本条款第（2）点约定基准日期的</w:t>
      </w:r>
      <w:r>
        <w:rPr>
          <w:rFonts w:hint="eastAsia" w:ascii="宋体" w:hAnsi="宋体" w:cs="宋体"/>
          <w:sz w:val="22"/>
        </w:rPr>
        <w:t>人工费调整系数</w:t>
      </w:r>
      <w:r>
        <w:rPr>
          <w:rFonts w:hint="eastAsia" w:ascii="宋体" w:hAnsi="宋体" w:cs="宋体"/>
          <w:sz w:val="22"/>
          <w:szCs w:val="20"/>
        </w:rPr>
        <w:t>；</w:t>
      </w:r>
    </w:p>
    <w:p>
      <w:pPr>
        <w:numPr>
          <w:ilvl w:val="0"/>
          <w:numId w:val="8"/>
        </w:numPr>
        <w:autoSpaceDE w:val="0"/>
        <w:autoSpaceDN w:val="0"/>
        <w:adjustRightInd w:val="0"/>
        <w:spacing w:line="360" w:lineRule="auto"/>
        <w:ind w:left="420" w:leftChars="200" w:firstLine="220" w:firstLineChars="100"/>
        <w:rPr>
          <w:rFonts w:ascii="宋体" w:hAnsi="宋体" w:cs="宋体"/>
          <w:sz w:val="22"/>
        </w:rPr>
      </w:pPr>
      <w:r>
        <w:rPr>
          <w:rFonts w:hint="eastAsia" w:ascii="宋体" w:hAnsi="宋体" w:cs="宋体"/>
          <w:sz w:val="22"/>
          <w:szCs w:val="20"/>
        </w:rPr>
        <w:t>调整的人工价差仅计取规费、税金，不计取投标文件“综合单价分析表”中的管理费及利润（A值），也不计取措施费。</w:t>
      </w:r>
    </w:p>
    <w:p>
      <w:pPr>
        <w:autoSpaceDE w:val="0"/>
        <w:autoSpaceDN w:val="0"/>
        <w:adjustRightInd w:val="0"/>
        <w:spacing w:line="360" w:lineRule="auto"/>
        <w:ind w:left="420" w:leftChars="200"/>
        <w:rPr>
          <w:rFonts w:ascii="宋体" w:hAnsi="宋体" w:cs="宋体"/>
          <w:sz w:val="22"/>
        </w:rPr>
      </w:pPr>
      <w:r>
        <w:rPr>
          <w:rFonts w:hint="eastAsia" w:ascii="宋体" w:hAnsi="宋体" w:cs="宋体"/>
          <w:sz w:val="22"/>
        </w:rPr>
        <w:t>76.3承包人采购材料和工程设备的材料设备费、施工机械费调整方法，调整为：</w:t>
      </w:r>
    </w:p>
    <w:p>
      <w:pPr>
        <w:autoSpaceDE w:val="0"/>
        <w:autoSpaceDN w:val="0"/>
        <w:adjustRightInd w:val="0"/>
        <w:spacing w:line="360" w:lineRule="auto"/>
        <w:ind w:left="420" w:leftChars="200"/>
        <w:rPr>
          <w:rFonts w:ascii="宋体" w:hAnsi="宋体" w:cs="宋体"/>
          <w:sz w:val="22"/>
        </w:rPr>
      </w:pPr>
      <w:r>
        <w:rPr>
          <w:rFonts w:hint="eastAsia" w:ascii="宋体" w:hAnsi="宋体" w:cs="宋体"/>
          <w:sz w:val="22"/>
        </w:rPr>
        <w:t>76.3.1施工机械台班费调整：</w:t>
      </w:r>
    </w:p>
    <w:p>
      <w:pPr>
        <w:autoSpaceDE w:val="0"/>
        <w:autoSpaceDN w:val="0"/>
        <w:adjustRightInd w:val="0"/>
        <w:spacing w:line="360" w:lineRule="auto"/>
        <w:ind w:left="420" w:leftChars="200"/>
        <w:rPr>
          <w:rFonts w:ascii="宋体" w:hAnsi="宋体" w:cs="宋体"/>
          <w:sz w:val="22"/>
          <w:szCs w:val="20"/>
        </w:rPr>
      </w:pPr>
      <w:r>
        <w:rPr>
          <w:rFonts w:hint="eastAsia" w:ascii="宋体" w:hAnsi="宋体" w:cs="宋体"/>
          <w:sz w:val="22"/>
        </w:rPr>
        <w:t>■在合同履行期间不作调整。</w:t>
      </w:r>
    </w:p>
    <w:p>
      <w:pPr>
        <w:autoSpaceDE w:val="0"/>
        <w:autoSpaceDN w:val="0"/>
        <w:adjustRightInd w:val="0"/>
        <w:spacing w:line="360" w:lineRule="auto"/>
        <w:ind w:left="420" w:leftChars="200"/>
        <w:rPr>
          <w:rFonts w:ascii="宋体" w:hAnsi="宋体" w:cs="宋体"/>
          <w:sz w:val="22"/>
        </w:rPr>
      </w:pPr>
      <w:r>
        <w:rPr>
          <w:rFonts w:hint="eastAsia" w:ascii="宋体" w:hAnsi="宋体" w:cs="宋体"/>
          <w:sz w:val="22"/>
        </w:rPr>
        <w:t>□在合同履行期间按以下方法调整：</w:t>
      </w:r>
    </w:p>
    <w:p>
      <w:pPr>
        <w:numPr>
          <w:ilvl w:val="0"/>
          <w:numId w:val="9"/>
        </w:numPr>
        <w:autoSpaceDE w:val="0"/>
        <w:autoSpaceDN w:val="0"/>
        <w:adjustRightInd w:val="0"/>
        <w:spacing w:line="360" w:lineRule="auto"/>
        <w:ind w:left="420" w:leftChars="200"/>
        <w:rPr>
          <w:rFonts w:ascii="宋体" w:hAnsi="宋体" w:cs="宋体"/>
          <w:sz w:val="22"/>
        </w:rPr>
      </w:pPr>
      <w:r>
        <w:rPr>
          <w:rFonts w:hint="eastAsia" w:ascii="宋体" w:hAnsi="宋体" w:cs="宋体"/>
          <w:sz w:val="22"/>
        </w:rPr>
        <w:t>施工机械费中的人工费调整，参照76.2人工费调整原则执行。</w:t>
      </w:r>
    </w:p>
    <w:p>
      <w:pPr>
        <w:numPr>
          <w:ilvl w:val="0"/>
          <w:numId w:val="9"/>
        </w:numPr>
        <w:autoSpaceDE w:val="0"/>
        <w:autoSpaceDN w:val="0"/>
        <w:adjustRightInd w:val="0"/>
        <w:spacing w:line="360" w:lineRule="auto"/>
        <w:ind w:left="420" w:leftChars="200"/>
        <w:rPr>
          <w:rFonts w:ascii="宋体" w:hAnsi="宋体" w:cs="宋体"/>
          <w:sz w:val="22"/>
        </w:rPr>
      </w:pPr>
      <w:r>
        <w:rPr>
          <w:rFonts w:hint="eastAsia" w:ascii="宋体" w:hAnsi="宋体" w:cs="宋体"/>
          <w:sz w:val="22"/>
        </w:rPr>
        <w:t>施工机械费中的柴油价格调整，参照76.3.2材料设备费调整原则执行。</w:t>
      </w:r>
    </w:p>
    <w:p>
      <w:pPr>
        <w:autoSpaceDE w:val="0"/>
        <w:autoSpaceDN w:val="0"/>
        <w:adjustRightInd w:val="0"/>
        <w:spacing w:line="360" w:lineRule="auto"/>
        <w:ind w:left="420" w:leftChars="200"/>
        <w:rPr>
          <w:rFonts w:ascii="宋体" w:hAnsi="宋体" w:cs="宋体"/>
          <w:sz w:val="22"/>
        </w:rPr>
      </w:pPr>
      <w:r>
        <w:rPr>
          <w:rFonts w:hint="eastAsia" w:ascii="宋体" w:hAnsi="宋体" w:cs="宋体"/>
          <w:sz w:val="22"/>
        </w:rPr>
        <w:t>（3）施工机械费除人工、柴油外其他费用均不予调整。</w:t>
      </w:r>
    </w:p>
    <w:p>
      <w:pPr>
        <w:autoSpaceDE w:val="0"/>
        <w:autoSpaceDN w:val="0"/>
        <w:adjustRightInd w:val="0"/>
        <w:spacing w:line="360" w:lineRule="auto"/>
        <w:ind w:left="420" w:leftChars="200"/>
        <w:rPr>
          <w:rFonts w:ascii="宋体" w:hAnsi="宋体" w:cs="宋体"/>
          <w:sz w:val="22"/>
        </w:rPr>
      </w:pPr>
      <w:r>
        <w:rPr>
          <w:rFonts w:hint="eastAsia" w:ascii="宋体" w:hAnsi="宋体" w:cs="宋体"/>
          <w:sz w:val="22"/>
        </w:rPr>
        <w:t>76.3.2承包人采购材料和工程设备的材料设备费调整：</w:t>
      </w:r>
    </w:p>
    <w:p>
      <w:pPr>
        <w:autoSpaceDE w:val="0"/>
        <w:autoSpaceDN w:val="0"/>
        <w:adjustRightInd w:val="0"/>
        <w:spacing w:line="360" w:lineRule="auto"/>
        <w:ind w:left="420" w:leftChars="200"/>
        <w:rPr>
          <w:rFonts w:ascii="宋体" w:hAnsi="宋体" w:cs="宋体"/>
          <w:sz w:val="22"/>
          <w:szCs w:val="20"/>
        </w:rPr>
      </w:pPr>
      <w:r>
        <w:rPr>
          <w:rFonts w:hint="eastAsia" w:ascii="宋体" w:hAnsi="宋体" w:cs="宋体"/>
          <w:sz w:val="22"/>
          <w:szCs w:val="20"/>
        </w:rPr>
        <w:t>□</w:t>
      </w:r>
      <w:r>
        <w:rPr>
          <w:rFonts w:hint="eastAsia" w:ascii="宋体" w:hAnsi="宋体" w:cs="宋体"/>
          <w:sz w:val="22"/>
        </w:rPr>
        <w:t>在合同履行期间不作调整。</w:t>
      </w:r>
    </w:p>
    <w:p>
      <w:pPr>
        <w:autoSpaceDE w:val="0"/>
        <w:autoSpaceDN w:val="0"/>
        <w:adjustRightInd w:val="0"/>
        <w:spacing w:line="360" w:lineRule="auto"/>
        <w:ind w:left="420" w:leftChars="200"/>
        <w:rPr>
          <w:rFonts w:ascii="宋体" w:hAnsi="宋体" w:cs="宋体"/>
          <w:sz w:val="22"/>
        </w:rPr>
      </w:pPr>
      <w:r>
        <w:rPr>
          <w:rFonts w:hint="eastAsia" w:ascii="宋体" w:hAnsi="宋体" w:cs="宋体"/>
          <w:sz w:val="22"/>
        </w:rPr>
        <w:t>■在合同履行期间按以下方法调整：</w:t>
      </w:r>
    </w:p>
    <w:p>
      <w:pPr>
        <w:autoSpaceDE w:val="0"/>
        <w:autoSpaceDN w:val="0"/>
        <w:adjustRightInd w:val="0"/>
        <w:spacing w:line="360" w:lineRule="auto"/>
        <w:ind w:left="420" w:leftChars="200"/>
        <w:rPr>
          <w:rFonts w:ascii="宋体" w:hAnsi="宋体" w:cs="宋体"/>
          <w:sz w:val="22"/>
          <w:szCs w:val="20"/>
        </w:rPr>
      </w:pPr>
      <w:r>
        <w:rPr>
          <w:rFonts w:hint="eastAsia" w:ascii="宋体" w:hAnsi="宋体" w:cs="宋体"/>
          <w:sz w:val="22"/>
        </w:rPr>
        <w:t>（1）调差材料设备范围：</w:t>
      </w:r>
      <w:r>
        <w:rPr>
          <w:rFonts w:hint="eastAsia" w:ascii="宋体" w:hAnsi="宋体" w:cs="宋体"/>
          <w:sz w:val="22"/>
          <w:u w:val="single"/>
        </w:rPr>
        <w:t>钢筋、商品混凝土，见附表1《材料调差范围表》</w:t>
      </w:r>
      <w:r>
        <w:rPr>
          <w:rFonts w:hint="eastAsia" w:ascii="宋体" w:hAnsi="宋体" w:cs="宋体"/>
          <w:sz w:val="22"/>
          <w:szCs w:val="20"/>
        </w:rPr>
        <w:t>。</w:t>
      </w:r>
    </w:p>
    <w:p>
      <w:pPr>
        <w:spacing w:line="360" w:lineRule="auto"/>
        <w:ind w:left="420" w:leftChars="200"/>
        <w:rPr>
          <w:rFonts w:ascii="宋体" w:hAnsi="宋体" w:cs="宋体"/>
          <w:sz w:val="22"/>
        </w:rPr>
      </w:pPr>
      <w:r>
        <w:rPr>
          <w:rFonts w:hint="eastAsia" w:ascii="宋体" w:hAnsi="宋体" w:cs="宋体"/>
          <w:sz w:val="22"/>
          <w:szCs w:val="20"/>
        </w:rPr>
        <w:t>（2）调差材料设备的价格基准，</w:t>
      </w:r>
      <w:r>
        <w:rPr>
          <w:rFonts w:hint="eastAsia" w:ascii="宋体" w:hAnsi="宋体" w:cs="宋体"/>
          <w:sz w:val="22"/>
        </w:rPr>
        <w:t>按a、b的优先顺序计取确定。</w:t>
      </w:r>
    </w:p>
    <w:p>
      <w:pPr>
        <w:autoSpaceDE w:val="0"/>
        <w:autoSpaceDN w:val="0"/>
        <w:adjustRightInd w:val="0"/>
        <w:spacing w:line="360" w:lineRule="auto"/>
        <w:ind w:left="420" w:leftChars="200"/>
        <w:rPr>
          <w:rFonts w:ascii="宋体" w:hAnsi="宋体" w:cs="宋体"/>
          <w:sz w:val="22"/>
          <w:szCs w:val="20"/>
        </w:rPr>
      </w:pPr>
      <w:r>
        <w:rPr>
          <w:rFonts w:hint="eastAsia" w:ascii="宋体" w:hAnsi="宋体" w:cs="宋体"/>
          <w:sz w:val="22"/>
          <w:szCs w:val="20"/>
        </w:rPr>
        <w:t>a、按</w:t>
      </w:r>
      <w:r>
        <w:rPr>
          <w:rFonts w:hint="eastAsia" w:ascii="宋体" w:hAnsi="宋体" w:cs="宋体"/>
          <w:sz w:val="22"/>
          <w:szCs w:val="20"/>
          <w:u w:val="single"/>
        </w:rPr>
        <w:t xml:space="preserve">       </w:t>
      </w:r>
      <w:r>
        <w:rPr>
          <w:rFonts w:hint="eastAsia" w:ascii="宋体" w:hAnsi="宋体" w:cs="宋体"/>
          <w:sz w:val="22"/>
          <w:szCs w:val="20"/>
        </w:rPr>
        <w:t>市造价管理站发布的《</w:t>
      </w:r>
      <w:r>
        <w:rPr>
          <w:rFonts w:hint="eastAsia" w:ascii="宋体" w:hAnsi="宋体" w:cs="宋体"/>
          <w:sz w:val="22"/>
          <w:szCs w:val="20"/>
          <w:u w:val="single"/>
        </w:rPr>
        <w:t xml:space="preserve">    </w:t>
      </w:r>
      <w:r>
        <w:rPr>
          <w:rFonts w:hint="eastAsia" w:ascii="宋体" w:hAnsi="宋体" w:cs="宋体"/>
          <w:sz w:val="22"/>
          <w:szCs w:val="20"/>
        </w:rPr>
        <w:t>地区建设工程常用材料综合价格》；</w:t>
      </w:r>
    </w:p>
    <w:p>
      <w:pPr>
        <w:autoSpaceDE w:val="0"/>
        <w:autoSpaceDN w:val="0"/>
        <w:adjustRightInd w:val="0"/>
        <w:spacing w:line="360" w:lineRule="auto"/>
        <w:ind w:left="420" w:leftChars="200"/>
        <w:rPr>
          <w:rFonts w:ascii="宋体" w:hAnsi="宋体" w:cs="宋体"/>
          <w:sz w:val="22"/>
          <w:szCs w:val="20"/>
        </w:rPr>
      </w:pPr>
      <w:r>
        <w:rPr>
          <w:rFonts w:hint="eastAsia" w:ascii="宋体" w:hAnsi="宋体" w:cs="宋体"/>
          <w:sz w:val="22"/>
          <w:szCs w:val="20"/>
        </w:rPr>
        <w:t xml:space="preserve">b、无综合价格信息的按 </w:t>
      </w:r>
      <w:r>
        <w:rPr>
          <w:rFonts w:hint="eastAsia" w:ascii="宋体" w:hAnsi="宋体" w:cs="宋体"/>
          <w:sz w:val="22"/>
          <w:szCs w:val="20"/>
          <w:u w:val="single"/>
        </w:rPr>
        <w:t xml:space="preserve">      </w:t>
      </w:r>
      <w:r>
        <w:rPr>
          <w:rFonts w:hint="eastAsia" w:ascii="宋体" w:hAnsi="宋体" w:cs="宋体"/>
          <w:sz w:val="22"/>
          <w:szCs w:val="20"/>
        </w:rPr>
        <w:t xml:space="preserve">市造价管理站发布的 </w:t>
      </w:r>
      <w:r>
        <w:rPr>
          <w:rFonts w:hint="eastAsia" w:ascii="宋体" w:hAnsi="宋体" w:cs="宋体"/>
          <w:sz w:val="22"/>
          <w:szCs w:val="20"/>
          <w:u w:val="single"/>
        </w:rPr>
        <w:t xml:space="preserve">       </w:t>
      </w:r>
      <w:r>
        <w:rPr>
          <w:rFonts w:hint="eastAsia" w:ascii="宋体" w:hAnsi="宋体" w:cs="宋体"/>
          <w:sz w:val="22"/>
          <w:szCs w:val="20"/>
        </w:rPr>
        <w:t>。</w:t>
      </w:r>
    </w:p>
    <w:p>
      <w:pPr>
        <w:autoSpaceDE w:val="0"/>
        <w:autoSpaceDN w:val="0"/>
        <w:adjustRightInd w:val="0"/>
        <w:spacing w:line="360" w:lineRule="auto"/>
        <w:ind w:left="420" w:leftChars="200"/>
        <w:rPr>
          <w:rFonts w:ascii="宋体" w:hAnsi="宋体" w:cs="宋体"/>
          <w:sz w:val="22"/>
          <w:szCs w:val="20"/>
        </w:rPr>
      </w:pPr>
      <w:r>
        <w:rPr>
          <w:rFonts w:hint="eastAsia" w:ascii="宋体" w:hAnsi="宋体" w:cs="宋体"/>
          <w:sz w:val="22"/>
          <w:szCs w:val="20"/>
        </w:rPr>
        <w:t>详细情况，</w:t>
      </w:r>
      <w:r>
        <w:rPr>
          <w:rFonts w:hint="eastAsia" w:ascii="宋体" w:hAnsi="宋体" w:cs="宋体"/>
          <w:sz w:val="22"/>
          <w:u w:val="single"/>
        </w:rPr>
        <w:t>见附表1《材料调差范围表》</w:t>
      </w:r>
    </w:p>
    <w:p>
      <w:pPr>
        <w:autoSpaceDE w:val="0"/>
        <w:autoSpaceDN w:val="0"/>
        <w:adjustRightInd w:val="0"/>
        <w:spacing w:line="360" w:lineRule="auto"/>
        <w:ind w:left="420" w:leftChars="200"/>
        <w:rPr>
          <w:rFonts w:ascii="宋体" w:hAnsi="宋体" w:cs="宋体"/>
          <w:sz w:val="22"/>
          <w:szCs w:val="20"/>
        </w:rPr>
      </w:pPr>
      <w:r>
        <w:rPr>
          <w:rFonts w:hint="eastAsia" w:ascii="宋体" w:hAnsi="宋体" w:cs="宋体"/>
          <w:sz w:val="22"/>
        </w:rPr>
        <w:t>（3）调差条件：</w:t>
      </w:r>
      <w:r>
        <w:rPr>
          <w:rFonts w:hint="eastAsia" w:ascii="宋体" w:hAnsi="宋体" w:cs="宋体"/>
          <w:sz w:val="22"/>
          <w:szCs w:val="20"/>
        </w:rPr>
        <w:t>合同履行期间，允许调差材料设备的价格涨落超过合同工程基准日期相应价格（P0)15％时，按本条款第（4）点的调差公式约定调整材料价差，并以此调整合同价格。允许调差材料设备的价格涨落在合同工程基准日期相应价格（P0)15％以内（含15%）时，不予调整。基准日期指递交投标文件截止日期前28天的日期。</w:t>
      </w:r>
    </w:p>
    <w:p>
      <w:pPr>
        <w:autoSpaceDE w:val="0"/>
        <w:autoSpaceDN w:val="0"/>
        <w:adjustRightInd w:val="0"/>
        <w:spacing w:line="360" w:lineRule="auto"/>
        <w:ind w:left="420" w:leftChars="200"/>
        <w:rPr>
          <w:rFonts w:ascii="宋体" w:hAnsi="宋体" w:cs="宋体"/>
          <w:sz w:val="22"/>
          <w:szCs w:val="20"/>
        </w:rPr>
      </w:pPr>
      <w:r>
        <w:rPr>
          <w:rFonts w:hint="eastAsia" w:ascii="宋体" w:hAnsi="宋体" w:cs="宋体"/>
          <w:sz w:val="22"/>
          <w:szCs w:val="20"/>
        </w:rPr>
        <w:t>（4）调差公式</w:t>
      </w:r>
    </w:p>
    <w:p>
      <w:pPr>
        <w:autoSpaceDE w:val="0"/>
        <w:autoSpaceDN w:val="0"/>
        <w:adjustRightInd w:val="0"/>
        <w:spacing w:line="360" w:lineRule="auto"/>
        <w:ind w:left="420" w:leftChars="200"/>
        <w:rPr>
          <w:rFonts w:ascii="宋体" w:hAnsi="宋体" w:cs="宋体"/>
          <w:sz w:val="22"/>
          <w:szCs w:val="20"/>
        </w:rPr>
      </w:pPr>
      <w:r>
        <w:rPr>
          <w:rFonts w:hint="eastAsia" w:ascii="宋体" w:hAnsi="宋体" w:cs="宋体"/>
          <w:sz w:val="22"/>
          <w:szCs w:val="20"/>
        </w:rPr>
        <w:t>材料设备涨落，若pi ＞1.15p0 ，ci =qi×[(pi – 1.15×p0)×p/p0]；</w:t>
      </w:r>
    </w:p>
    <w:p>
      <w:pPr>
        <w:autoSpaceDE w:val="0"/>
        <w:autoSpaceDN w:val="0"/>
        <w:adjustRightInd w:val="0"/>
        <w:spacing w:line="360" w:lineRule="auto"/>
        <w:ind w:left="420" w:leftChars="200" w:firstLine="1540" w:firstLineChars="700"/>
        <w:rPr>
          <w:rFonts w:ascii="宋体" w:hAnsi="宋体" w:cs="宋体"/>
          <w:sz w:val="22"/>
          <w:szCs w:val="20"/>
        </w:rPr>
      </w:pPr>
      <w:r>
        <w:rPr>
          <w:rFonts w:hint="eastAsia" w:ascii="宋体" w:hAnsi="宋体" w:cs="宋体"/>
          <w:sz w:val="22"/>
          <w:szCs w:val="20"/>
        </w:rPr>
        <w:t>若pi ＜0.85p0 ，ci = qi×[(pi – 0.85×p0)×p/p0]；</w:t>
      </w:r>
    </w:p>
    <w:p>
      <w:pPr>
        <w:autoSpaceDE w:val="0"/>
        <w:autoSpaceDN w:val="0"/>
        <w:adjustRightInd w:val="0"/>
        <w:spacing w:line="360" w:lineRule="auto"/>
        <w:ind w:left="420" w:leftChars="200"/>
        <w:rPr>
          <w:rFonts w:ascii="宋体" w:hAnsi="宋体" w:cs="宋体"/>
          <w:sz w:val="22"/>
          <w:szCs w:val="20"/>
        </w:rPr>
      </w:pPr>
      <w:r>
        <w:rPr>
          <w:rFonts w:hint="eastAsia" w:ascii="宋体" w:hAnsi="宋体" w:cs="宋体"/>
          <w:sz w:val="22"/>
          <w:szCs w:val="20"/>
        </w:rPr>
        <w:t>式中：</w:t>
      </w:r>
    </w:p>
    <w:p>
      <w:pPr>
        <w:autoSpaceDE w:val="0"/>
        <w:autoSpaceDN w:val="0"/>
        <w:adjustRightInd w:val="0"/>
        <w:spacing w:line="360" w:lineRule="auto"/>
        <w:ind w:left="420" w:leftChars="200"/>
        <w:rPr>
          <w:rFonts w:ascii="宋体" w:hAnsi="宋体" w:cs="宋体"/>
          <w:sz w:val="22"/>
          <w:szCs w:val="20"/>
        </w:rPr>
      </w:pPr>
      <w:r>
        <w:rPr>
          <w:rFonts w:hint="eastAsia" w:ascii="宋体" w:hAnsi="宋体" w:cs="宋体"/>
          <w:sz w:val="22"/>
          <w:szCs w:val="20"/>
        </w:rPr>
        <w:t>ci——第i月度，某种材料设备的调整分部分项工程费；</w:t>
      </w:r>
    </w:p>
    <w:p>
      <w:pPr>
        <w:autoSpaceDE w:val="0"/>
        <w:autoSpaceDN w:val="0"/>
        <w:adjustRightInd w:val="0"/>
        <w:spacing w:line="360" w:lineRule="auto"/>
        <w:ind w:left="420" w:leftChars="200"/>
        <w:rPr>
          <w:rFonts w:ascii="宋体" w:hAnsi="宋体" w:cs="宋体"/>
          <w:sz w:val="22"/>
          <w:szCs w:val="20"/>
        </w:rPr>
      </w:pPr>
      <w:r>
        <w:rPr>
          <w:rFonts w:hint="eastAsia" w:ascii="宋体" w:hAnsi="宋体" w:cs="宋体"/>
          <w:sz w:val="22"/>
          <w:szCs w:val="20"/>
        </w:rPr>
        <w:t>qi——第i月度，某种材料设备的消耗量，按当期实际完成的形象进度验收合格工程所消耗的材料设备用量确定。（计算公式qi=Qi×ti；Qi —当期实际完成的形象进度验收合格的分部分项工程量；ti—某种材料设备在该工程项目里的投标含量，当投标含量与招标控制价含量的偏差超过10%时，按招标控制价含量）</w:t>
      </w:r>
    </w:p>
    <w:p>
      <w:pPr>
        <w:autoSpaceDE w:val="0"/>
        <w:autoSpaceDN w:val="0"/>
        <w:adjustRightInd w:val="0"/>
        <w:spacing w:line="360" w:lineRule="auto"/>
        <w:ind w:left="420" w:leftChars="200"/>
        <w:rPr>
          <w:rFonts w:ascii="宋体" w:hAnsi="宋体" w:cs="宋体"/>
          <w:sz w:val="22"/>
          <w:szCs w:val="20"/>
        </w:rPr>
      </w:pPr>
      <w:r>
        <w:rPr>
          <w:rFonts w:hint="eastAsia" w:ascii="宋体" w:hAnsi="宋体" w:cs="宋体"/>
          <w:sz w:val="22"/>
          <w:szCs w:val="20"/>
        </w:rPr>
        <w:t>pi——第i月度，按本条款第（2）点约定的价格信息,</w:t>
      </w:r>
      <w:r>
        <w:rPr>
          <w:rFonts w:hint="eastAsia" w:ascii="宋体" w:hAnsi="宋体" w:cs="宋体"/>
          <w:sz w:val="22"/>
        </w:rPr>
        <w:t>若未逐月报送形象进度的，按报送形象进度期间的月度价格平均值计算</w:t>
      </w:r>
    </w:p>
    <w:p>
      <w:pPr>
        <w:autoSpaceDE w:val="0"/>
        <w:autoSpaceDN w:val="0"/>
        <w:adjustRightInd w:val="0"/>
        <w:spacing w:line="360" w:lineRule="auto"/>
        <w:ind w:left="420" w:leftChars="200"/>
        <w:rPr>
          <w:rFonts w:ascii="宋体" w:hAnsi="宋体" w:cs="宋体"/>
          <w:sz w:val="22"/>
          <w:szCs w:val="20"/>
        </w:rPr>
      </w:pPr>
      <w:r>
        <w:rPr>
          <w:rFonts w:hint="eastAsia" w:ascii="宋体" w:hAnsi="宋体" w:cs="宋体"/>
          <w:sz w:val="22"/>
          <w:szCs w:val="20"/>
        </w:rPr>
        <w:t>p0—— 合同工程基准日期相应价格,按照以下原则取定：</w:t>
      </w:r>
    </w:p>
    <w:p>
      <w:pPr>
        <w:autoSpaceDE w:val="0"/>
        <w:autoSpaceDN w:val="0"/>
        <w:adjustRightInd w:val="0"/>
        <w:spacing w:line="360" w:lineRule="auto"/>
        <w:ind w:left="630" w:leftChars="300"/>
        <w:rPr>
          <w:rFonts w:ascii="宋体" w:hAnsi="宋体" w:cs="宋体"/>
          <w:sz w:val="22"/>
          <w:szCs w:val="20"/>
        </w:rPr>
      </w:pPr>
      <w:r>
        <w:rPr>
          <w:rFonts w:hint="eastAsia" w:ascii="宋体" w:hAnsi="宋体" w:cs="宋体"/>
          <w:sz w:val="22"/>
          <w:szCs w:val="20"/>
        </w:rPr>
        <w:t>a、当承包人投标报价中的材料单价（p）低于基准单价（p0x）：涨价时，p0选用p0x，跌价时，p0=p；</w:t>
      </w:r>
    </w:p>
    <w:p>
      <w:pPr>
        <w:autoSpaceDE w:val="0"/>
        <w:autoSpaceDN w:val="0"/>
        <w:adjustRightInd w:val="0"/>
        <w:spacing w:line="360" w:lineRule="auto"/>
        <w:ind w:left="630" w:leftChars="300"/>
        <w:rPr>
          <w:rFonts w:ascii="宋体" w:hAnsi="宋体" w:cs="宋体"/>
          <w:sz w:val="22"/>
          <w:szCs w:val="20"/>
        </w:rPr>
      </w:pPr>
      <w:r>
        <w:rPr>
          <w:rFonts w:hint="eastAsia" w:ascii="宋体" w:hAnsi="宋体" w:cs="宋体"/>
          <w:sz w:val="22"/>
          <w:szCs w:val="20"/>
        </w:rPr>
        <w:t>b、当承包人投标报价中的材料单价（p）高于基准单价（p0x）：涨价时，p0=p,跌价时，p0=p0x；</w:t>
      </w:r>
    </w:p>
    <w:p>
      <w:pPr>
        <w:autoSpaceDE w:val="0"/>
        <w:autoSpaceDN w:val="0"/>
        <w:adjustRightInd w:val="0"/>
        <w:spacing w:line="360" w:lineRule="auto"/>
        <w:ind w:left="630" w:leftChars="300"/>
        <w:rPr>
          <w:rFonts w:ascii="宋体" w:hAnsi="宋体" w:cs="宋体"/>
          <w:sz w:val="22"/>
          <w:szCs w:val="20"/>
        </w:rPr>
      </w:pPr>
      <w:r>
        <w:rPr>
          <w:rFonts w:hint="eastAsia" w:ascii="宋体" w:hAnsi="宋体" w:cs="宋体"/>
          <w:sz w:val="22"/>
          <w:szCs w:val="20"/>
        </w:rPr>
        <w:t>c、当承包人投标报价中的材料单价（p）等于基准单价（p0x）：p0=p；</w:t>
      </w:r>
    </w:p>
    <w:p>
      <w:pPr>
        <w:autoSpaceDE w:val="0"/>
        <w:autoSpaceDN w:val="0"/>
        <w:adjustRightInd w:val="0"/>
        <w:spacing w:line="360" w:lineRule="auto"/>
        <w:ind w:left="420" w:firstLine="220" w:firstLineChars="100"/>
        <w:rPr>
          <w:rFonts w:ascii="宋体" w:hAnsi="宋体" w:cs="宋体"/>
          <w:sz w:val="22"/>
          <w:szCs w:val="20"/>
        </w:rPr>
      </w:pPr>
      <w:r>
        <w:rPr>
          <w:rFonts w:hint="eastAsia" w:ascii="宋体" w:hAnsi="宋体" w:cs="宋体"/>
          <w:sz w:val="22"/>
          <w:szCs w:val="20"/>
        </w:rPr>
        <w:t>d、当材料投标单价（p）没有直接对应本条款第（2）a点约定的基准日期价格信息（p0x）时，选用《材料调差范围表》约定的参考材料对应的p0x，p0=p0x。</w:t>
      </w:r>
    </w:p>
    <w:p>
      <w:pPr>
        <w:autoSpaceDE w:val="0"/>
        <w:autoSpaceDN w:val="0"/>
        <w:adjustRightInd w:val="0"/>
        <w:spacing w:line="360" w:lineRule="auto"/>
        <w:ind w:left="420" w:firstLine="220" w:firstLineChars="100"/>
        <w:rPr>
          <w:rFonts w:ascii="宋体" w:hAnsi="宋体" w:cs="宋体"/>
          <w:sz w:val="22"/>
          <w:szCs w:val="20"/>
        </w:rPr>
      </w:pPr>
      <w:r>
        <w:rPr>
          <w:rFonts w:hint="eastAsia" w:ascii="宋体" w:hAnsi="宋体" w:cs="宋体"/>
          <w:sz w:val="22"/>
          <w:szCs w:val="20"/>
        </w:rPr>
        <w:t>其中：p0x为按本条款第（2）点约定的基准日期价格信息。</w:t>
      </w:r>
    </w:p>
    <w:p>
      <w:pPr>
        <w:autoSpaceDE w:val="0"/>
        <w:autoSpaceDN w:val="0"/>
        <w:adjustRightInd w:val="0"/>
        <w:spacing w:line="360" w:lineRule="auto"/>
        <w:ind w:left="630" w:leftChars="300"/>
        <w:rPr>
          <w:rFonts w:ascii="宋体" w:hAnsi="宋体" w:cs="宋体"/>
          <w:sz w:val="22"/>
          <w:szCs w:val="20"/>
        </w:rPr>
      </w:pPr>
      <w:r>
        <w:rPr>
          <w:rFonts w:hint="eastAsia" w:ascii="宋体" w:hAnsi="宋体" w:cs="宋体"/>
          <w:sz w:val="22"/>
          <w:szCs w:val="20"/>
        </w:rPr>
        <w:t>p——某种材料设备投标报价，当投标材料设备单价（p）与招标控制价材料设备单价偏差超过10%时，P按招标控制价的材料设备单价。</w:t>
      </w:r>
    </w:p>
    <w:p>
      <w:pPr>
        <w:pStyle w:val="35"/>
        <w:spacing w:after="0" w:line="360" w:lineRule="auto"/>
        <w:ind w:firstLine="440" w:firstLineChars="200"/>
        <w:rPr>
          <w:rFonts w:ascii="宋体" w:hAnsi="宋体" w:cs="宋体"/>
          <w:sz w:val="22"/>
        </w:rPr>
      </w:pPr>
      <w:r>
        <w:rPr>
          <w:rFonts w:hint="eastAsia" w:ascii="宋体" w:hAnsi="宋体" w:cs="宋体"/>
          <w:sz w:val="22"/>
        </w:rPr>
        <w:t>p——某种材料设备投标报价。</w:t>
      </w:r>
    </w:p>
    <w:p>
      <w:pPr>
        <w:autoSpaceDE w:val="0"/>
        <w:autoSpaceDN w:val="0"/>
        <w:adjustRightInd w:val="0"/>
        <w:spacing w:line="360" w:lineRule="auto"/>
        <w:ind w:left="420" w:firstLine="440" w:firstLineChars="200"/>
        <w:rPr>
          <w:rFonts w:ascii="宋体" w:hAnsi="宋体" w:cs="宋体"/>
          <w:sz w:val="22"/>
          <w:szCs w:val="20"/>
        </w:rPr>
      </w:pPr>
      <w:r>
        <w:rPr>
          <w:rFonts w:hint="eastAsia" w:ascii="宋体" w:hAnsi="宋体" w:cs="宋体"/>
          <w:sz w:val="22"/>
          <w:szCs w:val="20"/>
        </w:rPr>
        <w:t>调整的材料设备价差仅计取规费、税金，不计取投标文件“综合单价分析表”中的管理费及利润（A值），也不计取措施费。</w:t>
      </w:r>
    </w:p>
    <w:p>
      <w:pPr>
        <w:autoSpaceDE w:val="0"/>
        <w:autoSpaceDN w:val="0"/>
        <w:adjustRightInd w:val="0"/>
        <w:spacing w:line="360" w:lineRule="auto"/>
        <w:ind w:left="420" w:leftChars="200"/>
        <w:rPr>
          <w:rFonts w:ascii="宋体" w:hAnsi="宋体" w:cs="宋体"/>
          <w:sz w:val="22"/>
          <w:szCs w:val="20"/>
        </w:rPr>
      </w:pPr>
      <w:r>
        <w:rPr>
          <w:rFonts w:hint="eastAsia" w:ascii="宋体" w:hAnsi="宋体" w:cs="宋体"/>
          <w:sz w:val="22"/>
          <w:szCs w:val="20"/>
        </w:rPr>
        <w:t>（5）调整周期同</w:t>
      </w:r>
      <w:r>
        <w:rPr>
          <w:rFonts w:hint="eastAsia" w:ascii="宋体" w:hAnsi="宋体" w:cs="宋体"/>
          <w:sz w:val="22"/>
          <w:szCs w:val="20"/>
          <w:u w:val="single"/>
        </w:rPr>
        <w:t xml:space="preserve">   </w:t>
      </w:r>
      <w:r>
        <w:rPr>
          <w:rFonts w:hint="eastAsia" w:ascii="宋体" w:hAnsi="宋体" w:cs="宋体"/>
          <w:sz w:val="22"/>
          <w:szCs w:val="20"/>
        </w:rPr>
        <w:t>建设工程造价管理站发布《</w:t>
      </w:r>
      <w:r>
        <w:rPr>
          <w:rFonts w:hint="eastAsia" w:ascii="宋体" w:hAnsi="宋体" w:cs="宋体"/>
          <w:sz w:val="22"/>
          <w:szCs w:val="20"/>
          <w:u w:val="single"/>
        </w:rPr>
        <w:t xml:space="preserve">    </w:t>
      </w:r>
      <w:r>
        <w:rPr>
          <w:rFonts w:hint="eastAsia" w:ascii="宋体" w:hAnsi="宋体" w:cs="宋体"/>
          <w:sz w:val="22"/>
          <w:szCs w:val="20"/>
        </w:rPr>
        <w:t>地区建设工程常用材料综合价格》的周期。</w:t>
      </w:r>
    </w:p>
    <w:p>
      <w:pPr>
        <w:autoSpaceDE w:val="0"/>
        <w:autoSpaceDN w:val="0"/>
        <w:adjustRightInd w:val="0"/>
        <w:spacing w:line="360" w:lineRule="auto"/>
        <w:ind w:left="420"/>
        <w:rPr>
          <w:rFonts w:ascii="宋体" w:hAnsi="宋体" w:cs="宋体"/>
          <w:sz w:val="22"/>
          <w:szCs w:val="20"/>
        </w:rPr>
      </w:pPr>
      <w:r>
        <w:rPr>
          <w:rFonts w:hint="eastAsia" w:ascii="宋体" w:hAnsi="宋体" w:cs="宋体"/>
          <w:sz w:val="22"/>
          <w:szCs w:val="20"/>
        </w:rPr>
        <w:t>（6）如因非承包人原因，导致材料设备按计划到场后超过</w:t>
      </w:r>
      <w:r>
        <w:rPr>
          <w:rFonts w:hint="eastAsia" w:ascii="宋体" w:hAnsi="宋体" w:cs="宋体"/>
          <w:sz w:val="22"/>
          <w:szCs w:val="20"/>
          <w:u w:val="single"/>
        </w:rPr>
        <w:t>叁</w:t>
      </w:r>
      <w:r>
        <w:rPr>
          <w:rFonts w:hint="eastAsia" w:ascii="宋体" w:hAnsi="宋体" w:cs="宋体"/>
          <w:sz w:val="22"/>
          <w:szCs w:val="20"/>
        </w:rPr>
        <w:t>个月内无法使用安装的，由承发包人另行协商确定调差材料的计取月份。</w:t>
      </w:r>
    </w:p>
    <w:p>
      <w:pPr>
        <w:autoSpaceDE w:val="0"/>
        <w:autoSpaceDN w:val="0"/>
        <w:adjustRightInd w:val="0"/>
        <w:spacing w:line="360" w:lineRule="auto"/>
        <w:ind w:left="420"/>
        <w:rPr>
          <w:rFonts w:ascii="宋体" w:hAnsi="宋体" w:cs="宋体"/>
          <w:sz w:val="22"/>
          <w:szCs w:val="20"/>
        </w:rPr>
      </w:pPr>
      <w:r>
        <w:rPr>
          <w:rFonts w:hint="eastAsia" w:ascii="宋体" w:hAnsi="宋体" w:cs="宋体"/>
          <w:sz w:val="22"/>
          <w:szCs w:val="20"/>
        </w:rPr>
        <w:t>本项增加76.7条</w:t>
      </w:r>
    </w:p>
    <w:p>
      <w:pPr>
        <w:autoSpaceDE w:val="0"/>
        <w:autoSpaceDN w:val="0"/>
        <w:adjustRightInd w:val="0"/>
        <w:spacing w:line="360" w:lineRule="auto"/>
        <w:ind w:left="420"/>
        <w:rPr>
          <w:rFonts w:ascii="宋体" w:hAnsi="宋体" w:cs="宋体"/>
          <w:sz w:val="22"/>
          <w:szCs w:val="20"/>
        </w:rPr>
      </w:pPr>
      <w:r>
        <w:rPr>
          <w:rFonts w:hint="eastAsia" w:ascii="宋体" w:hAnsi="宋体" w:cs="宋体"/>
          <w:sz w:val="22"/>
          <w:szCs w:val="20"/>
        </w:rPr>
        <w:t>76.7 合同履行期间，出现本条约定物价涨落事件后，按照本合同第81条约定支付款项。</w:t>
      </w:r>
    </w:p>
    <w:p>
      <w:pPr>
        <w:autoSpaceDE w:val="0"/>
        <w:autoSpaceDN w:val="0"/>
        <w:adjustRightInd w:val="0"/>
        <w:spacing w:before="360" w:beforeLines="150" w:line="360" w:lineRule="auto"/>
        <w:jc w:val="left"/>
        <w:outlineLvl w:val="2"/>
        <w:rPr>
          <w:rFonts w:ascii="宋体" w:hAnsi="宋体" w:cs="宋体"/>
          <w:b/>
          <w:sz w:val="22"/>
        </w:rPr>
      </w:pPr>
      <w:bookmarkStart w:id="265" w:name="_Toc342306257"/>
      <w:r>
        <w:rPr>
          <w:rFonts w:hint="eastAsia" w:ascii="宋体" w:hAnsi="宋体" w:cs="宋体"/>
          <w:b/>
          <w:sz w:val="22"/>
        </w:rPr>
        <w:t>77．合同价款调整程序</w:t>
      </w:r>
      <w:bookmarkEnd w:id="264"/>
      <w:bookmarkEnd w:id="265"/>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此项增加77.6、77.7条</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77.6 合同变更程序按广东省机场管理集团有限公司工程建设指挥部《工程造价管理规定》、《合同管理规定》有关规定执行。</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77.7 所有变更工程和新增工程引起的计价、计量调整、报批和审批过程，均不得影响变更的执行，承包人不得以此为理由公开或变相拖延或延误新增或变更工程，否则，承包人将承担由此造成的经济损失及工期延误的责任。</w:t>
      </w:r>
    </w:p>
    <w:p>
      <w:pPr>
        <w:autoSpaceDE w:val="0"/>
        <w:autoSpaceDN w:val="0"/>
        <w:adjustRightInd w:val="0"/>
        <w:spacing w:before="360" w:beforeLines="150" w:line="360" w:lineRule="auto"/>
        <w:jc w:val="left"/>
        <w:outlineLvl w:val="2"/>
        <w:rPr>
          <w:rFonts w:ascii="宋体" w:hAnsi="宋体" w:cs="宋体"/>
          <w:b/>
          <w:sz w:val="22"/>
        </w:rPr>
      </w:pPr>
      <w:bookmarkStart w:id="266" w:name="_Toc306287702"/>
      <w:bookmarkStart w:id="267" w:name="_Toc342306258"/>
      <w:bookmarkStart w:id="268" w:name="_Toc326239356"/>
      <w:bookmarkStart w:id="269" w:name="_Toc306287525"/>
      <w:r>
        <w:rPr>
          <w:rFonts w:hint="eastAsia" w:ascii="宋体" w:hAnsi="宋体" w:cs="宋体"/>
          <w:b/>
          <w:sz w:val="22"/>
        </w:rPr>
        <w:t>78．支付事项</w:t>
      </w:r>
      <w:bookmarkEnd w:id="266"/>
      <w:bookmarkEnd w:id="267"/>
      <w:bookmarkEnd w:id="268"/>
      <w:bookmarkEnd w:id="269"/>
    </w:p>
    <w:p>
      <w:pPr>
        <w:tabs>
          <w:tab w:val="left" w:pos="1240"/>
        </w:tabs>
        <w:autoSpaceDE w:val="0"/>
        <w:autoSpaceDN w:val="0"/>
        <w:adjustRightInd w:val="0"/>
        <w:spacing w:line="360" w:lineRule="auto"/>
        <w:ind w:left="420" w:leftChars="200"/>
        <w:rPr>
          <w:rFonts w:ascii="宋体" w:hAnsi="宋体" w:cs="宋体"/>
          <w:sz w:val="22"/>
        </w:rPr>
      </w:pPr>
      <w:r>
        <w:rPr>
          <w:rFonts w:hint="eastAsia" w:ascii="宋体" w:hAnsi="宋体" w:cs="宋体"/>
          <w:sz w:val="22"/>
        </w:rPr>
        <w:t>78.2 计算利息的利率</w:t>
      </w:r>
    </w:p>
    <w:p>
      <w:pPr>
        <w:autoSpaceDE w:val="0"/>
        <w:autoSpaceDN w:val="0"/>
        <w:adjustRightInd w:val="0"/>
        <w:spacing w:line="360" w:lineRule="auto"/>
        <w:ind w:left="840" w:leftChars="400"/>
        <w:rPr>
          <w:rFonts w:ascii="宋体" w:hAnsi="宋体" w:cs="宋体"/>
          <w:sz w:val="22"/>
        </w:rPr>
      </w:pPr>
      <w:r>
        <w:rPr>
          <w:rFonts w:hint="eastAsia" w:ascii="宋体" w:hAnsi="宋体" w:cs="宋体"/>
          <w:sz w:val="22"/>
        </w:rPr>
        <w:t>□ 按照中国人民银行发布的同期同类贷款利率。</w:t>
      </w:r>
    </w:p>
    <w:p>
      <w:pPr>
        <w:autoSpaceDE w:val="0"/>
        <w:autoSpaceDN w:val="0"/>
        <w:adjustRightInd w:val="0"/>
        <w:spacing w:line="360" w:lineRule="auto"/>
        <w:ind w:left="840" w:leftChars="400"/>
        <w:rPr>
          <w:rFonts w:ascii="宋体" w:hAnsi="宋体" w:cs="宋体"/>
          <w:sz w:val="22"/>
        </w:rPr>
      </w:pPr>
      <w:r>
        <w:rPr>
          <w:rFonts w:hint="eastAsia" w:ascii="宋体" w:hAnsi="宋体" w:cs="宋体"/>
          <w:sz w:val="22"/>
        </w:rPr>
        <w:t>■ 其他为</w:t>
      </w:r>
      <w:r>
        <w:rPr>
          <w:rFonts w:hint="eastAsia" w:ascii="宋体" w:hAnsi="宋体" w:cs="宋体"/>
          <w:sz w:val="22"/>
          <w:u w:val="single"/>
        </w:rPr>
        <w:t xml:space="preserve">利率为零 </w:t>
      </w:r>
      <w:r>
        <w:rPr>
          <w:rFonts w:hint="eastAsia" w:ascii="宋体" w:hAnsi="宋体" w:cs="宋体"/>
          <w:sz w:val="22"/>
        </w:rPr>
        <w:t>。</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此项增加78.5条：</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78.5 用工实名管理和工资支付方面对于施工单位的管理要求</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78.5.1承包人需落实广东省政府办公厅粤府办〔2016〕111号《广东省人民政府办公厅关于全面治理拖欠异地务工人员工资问题的实施意见》、《广东省建设工程领域工人工资支付专用账户管理办法》中针对总承包和分包企业的各项管理要求。</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1、承包人应该实行实行先签订劳动合同后上岗作业。</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2、承包人应在工程项目部配备专门劳资管理人员，编制施工现场作业异地务工人员（包括直接招用和分包企业招用人员）用工台账，记录进场施工异地务工人员身份、考勤和工资支付等信息，由异地务工人员本人确认签字并保存两年以上备查。</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3、承包人应实行异地务工人员工资专用账户管理，保证账户资金充足，严禁被挪用账户资金。</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4、承包人应按照要求缴纳工资保证金。</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5、承包人对招用的异地务工人员工资支付负主体责任，必须依法按时足额将工资支付给异地务工人员本人，严禁将工资支付给不具备用工主体资格的组织或个人。</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承包人应优先保障异地务工人员工资支付，施工总承包（包括业主直接发包工程的专业承包企业）对所承包的建设项目异地务工人员工资支付负总责；分包企业对其所招用的异地务工人员工资支付负直接责任，各级分包承包人不得以工程款未到位为由克扣或拖欠异地务工人员工资。施工总承包企业或分包企业将工程项目违法发包、转包或分包给不具备用工主体资格的组织或个人，导致拖欠异地务工人员工资的，由施工总承包企业或分包企业依法承担直接清偿责任。施工总承包企业未按照施工进度和合同约定支付工程款，致使分包企业拖欠异地务工人员工资的，由施工总承包企业先行垫付异地务工人员工资。若因上述情形导致发包人涉诉的，发包人为此支出的一切费用（包括但不限于诉讼费、律师费、赔偿金等），均由施工总承包企业及分包企业承担。</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6、施工总承包企业负责在施工现场醒目位置设立维权信息告示牌，明确标示业主单位、施工总承包企业及所在项目部、分包企业、行业监管部门等基本信息；明确标示劳动用工相关法律法规、当地最低工资标准、工资支付日期等信息；明确标示属地行业监管部门投诉举报电话和劳动争议调解仲裁、劳动保障监察投诉举报电话等信息，实现所有施工场地全覆盖。</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78.5.2承包人需落实广东省住房和城乡建设厅粤建规范〔2018〕1号《关于印发房屋建筑和市政基础设施工程用工实名管理暂行办法的通知》针对施工单位的各项管理要求。</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1、依法应当取得施工许可的房屋建筑和市政基础设施在建建筑工程，建筑承包人应当利用信息技术手段，对施工现场人员建立基本信息档案、实行实名管理的制度。</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实名管理对象，是指建筑项目负责人、现场管理人员和作业工人。建筑项目负责人包括项目经理（注册建造师)、技术负责人、安全负责人、质量负责人。现场管理人员包括施工员、安全员、质量员、材料员、资料员、劳资专管员等。作业工人包括特种作业人员、技术工人和普通工人。</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实名管理信息内容是指通过实名管理系统对施工现场人员登记并进行监管的各项信息，其基本信息包括身份信息、从业资格、项目岗位、出入场考勤、作业记录、培训教育、诚信记录等。根据实际情况经本人同意后，可以增加个人生物信息（含人脸、虹膜、掌型、指纹等之一）作为基本信息。作业工人实名登记的信息除以上基本信息外还包括工资支付、职业技能、劳务合同、用工评价等信息。身份信息包括姓名、性别、出生年月、住址、民族、身份证件号码、电子照片、手机号码等。</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2、施工总承包企业（专业承包企业）应当建立实名管理制度，开展实名管理所需数据的提取、登记、审核、报送和档案管理等工作。各类纸质档案管理台账保存至工程竣工且工资全部结清后至少2年。</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持住房城乡建设主管部门认可电子信息卡（含平安卡）的施工现场人员可增加相关信息作为实名管理信息使用；未办理电子信息卡的施工现场人员应当按规定采集实名管理信息。</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3、施工现场人员在房屋建筑和市政基础设施工程项目上岗之前应当完成个人信息入库采集，个人信息入库采集的单位应该是住房城乡建设主管部门认可的单位。承包人应当聘用已在省级实名管理系统信息库登记的施工现场人员。</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施工现场人员应当按照规定的实名管理信息内容完成个人信息采集，并对录入资料的真实性、准确性负责。</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4、施工总承包企业（专业承包企业）开通实名管理系统账号后，应当在建设项目负责人、现场管理人员进场前，提取个人实名管理信息，并进行动态更新，实时上传至实名管理系统。</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承包人在项目施工现场设立信息提取点，对首次进入施工现场的作业工人提取个人实名管理信息，并将审核后的信息实时传送至实名管理系统，实行动态监管。</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5、施工总承包企业（专业承包企业）对实名管理负总责;专业分包企业和劳务分包企业按照合同约定，对本企业施工范围的实名管理负直接责任。</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施工总承包企业（专业承包企业）应当对依法分包的专业分包企业和劳务分包企业实施统一管理，监督其用工企业按时足额支付作业工人工资，督促落实实名管理制度。</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建设单位依法直接发包的分包企业，应与施工总承包企业（专业承包企业）签订分包管理协议，明确现场管理责任，并按照施工总承包企业（专业承包企业）的要求开展实名管理的相关工作。</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6、施工总承包企业（专业承包企业）应当在施工区域安装电子信息卡刷卡或者个人生物信息识别设备等门禁设施，用于施工现场人员的日常考勤和工作情况记录。</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施工总承包企业（专业承包企业）在开工进场后5日内要向建设单位或者受其委托的监理单位报送施工现场人员实名登记信息资料并实时更新。</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7、专业分包企业和劳务分包企业招用施工现场作业工人，必须在进入施工现场前签订劳动合同，并报施工总承包企业（专业承包企业）备案。</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专业分包企业和劳务分包企业应当服从总承包企业的用工实名管理，在施工现场配备用工管理劳资专管员，编制作业工人工资支付表，按劳动合同约定按时足额支付工资。</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8、施工现场人员出入施工区域必须刷卡或者按实名注册识别方式进行考勤，不得代他人刷卡。</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承包人应当在项目现场设置公示牌，将每月经施工现场人员确认的考勤与工资支付信息在公示牌上进行公示，公示期不少于5日。</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施工现场人员退场时，承包人应当为其办理退场登记，填报登记退场日期、用工评价或者诚信记录。</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9、承包人应当按照有关规定在银行开设工资专用账户，确保进行了实名信息采集的作业工人使用银行卡领取工资。发包人将按照合同约定将工程款中的工资款项拨入施工总承包企业（专业承包企业）设立的工资支付专用账户，用于发放作业工人工资。</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承包人在完成个人实名信息审核后，应当为作业工人统一办理用于发放工资的银行卡。银行卡由作业工人本人保管，承包人和其他个人不得非法代持作业工人银行卡。</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已有银行卡的作业工人，提供本人银行卡账户信息并与实名管理信息绑定后，可以不再办理新的银行卡。</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承包人编制作业工人工资表，经作业工人本人签字确认后，由承包人按照承发包关系通过实名监管系统上传，并委托银行从工资支付专用账户直接将工资划入作业工人的银行卡。</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承包人提请银行将银行卡制作发放信息、工资支付信息归集后上传至实名监管系统，并向作业工人反馈其工资收入信息。</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10、承包人应当向发包人提供项目施工区域设置信息提取点、配备实名管理所需软硬件的证明材料，配合办理施工安全监督手续时。</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11、发包人有权对承包人落实实名管理实施工作进行监督检查，承包人未按本办法落实实名管理或者在实施过程中弄虚作假的，发包人有权依法采取约束和惩戒措施。</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78.5.3承包人需落实《广东省工资支付条例》对用工单位的各项管理要求并承担违反该条例对发包方的违约责任。</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1、施工总承包单位应当建立施工人员进出场登记制度，加强对分包单位劳动用工和工资发放的监督管理。施工总承包单位、分包单位应当建立用工管理台账，并保存至工程竣工且工资全部结清后至少两年。</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2、施工总承包单位和分包单位应当将建设项目工程款中的劳动者工资与其他款项分开银行账户管理。工资支付专用账户内的资金除发放工资外，不得用于其他用途，不得提取现金。</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发包人与施工总承包单位、施工总承包单位与分包单位签订工程承包合同时，应当对工程款中的人工费比例和支付期限作出明确约定。签订合同时，承包人应当提出工程款中人工费的比例报发包人，经协商一致后列入双方签订的工程承包合同。发包人按照合同约定的比例按月将应付工程款中的人工费单独足额拨付到施工单位开设的工资支付专用账户。施工总承包单位应当按照分包合同约定的比例按月将应付工程款中的人工费单独足额拨付到分包单位开设的工资支付专用账户。</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工资支付专用账户内资金少于应发劳动者工资总额的，开户单位应当按时补足。工程竣工且工资全部结清后，工资支付专用账户可以注销，账户内余额归开户单位所有。</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3、承包人应当提供工资支付专用账户的开立的证明材料，配合发包人申请施工许可证。</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4、承包人将工程发包给不具备用人单位资格的单位和个人，出现拖欠或者克扣劳动者工资的，作为发包方的承包人应当先支付工资。</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5、承包人未按照合同约定拨付或者结清工程款，致使分包人拖欠劳动者工资的，中标人应先行垫付劳动者工资。</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承包人违法分包、转包或者违法允许他人以本企业名义承揽工程发生拖欠工资的，由承包人垫付劳动者工资。</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6、承包人有义务将工资支付情况及工作支付报表按月报送发包人。发包人有权对中标人的工资支付行为进行监督检查，依法对承包人存在的工资支付违法行为追究违约责任，并有权向有关部门反映情况。</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78.5.4相应违约责任</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1、承包人及其分包单位没有按照规定实行用工实名管理的、或者实名管理不符合规定要求的，发包人有权要求承包人限期整改，未能限期整改的，每延期一天，承包人应向发包人承担一万元至五万元的违约金（具体违约金金额由发包人单方确定），发包人有权暂停工程款支付，承包人不得以此为理由延长工期。</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2、承包人及其分包单位没有按照规定建立工资支付专用账户或者没有按照规定及时、足额、优先支付工人工资的，应当限期整改，未能限期整改的，每延期一天，承包人应向发包人承担一万元至五万元的违约金（具体违约金金额由发包人单方确定），发包人有权暂停工程款支付，承包人不得以此为理由延长工期。</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3、承包人有下列行为之一的，视情节轻重，向发包人承担一万元至十万元的违约金（具体违约金金额由发包人单方确定）：</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（一）拒绝、阻碍发包人对于实名用工、工资支付情况进行监督检查和管理的；</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（二）不按照要求报送书面材料、隐瞒事实真相、出具伪证或者隐匿、毁灭证据的；</w:t>
      </w:r>
    </w:p>
    <w:p>
      <w:pPr>
        <w:autoSpaceDE w:val="0"/>
        <w:autoSpaceDN w:val="0"/>
        <w:adjustRightInd w:val="0"/>
        <w:spacing w:line="360" w:lineRule="auto"/>
        <w:ind w:left="840" w:leftChars="400"/>
        <w:rPr>
          <w:rFonts w:ascii="宋体" w:hAnsi="宋体" w:cs="宋体"/>
          <w:sz w:val="22"/>
        </w:rPr>
      </w:pPr>
      <w:r>
        <w:rPr>
          <w:rFonts w:hint="eastAsia" w:ascii="宋体" w:hAnsi="宋体" w:cs="宋体"/>
          <w:sz w:val="22"/>
        </w:rPr>
        <w:t>4、因拖欠、克扣工资而引发严重影响公共秩序事件的，单位法定代表人或者主要经营者未能在二十四小时内到现场协助处理的，承包人需视情况向发包人承担五万元至五十万元的违约金（具体违约金金额由发包人单方确定）。</w:t>
      </w:r>
    </w:p>
    <w:p>
      <w:pPr>
        <w:autoSpaceDE w:val="0"/>
        <w:autoSpaceDN w:val="0"/>
        <w:adjustRightInd w:val="0"/>
        <w:spacing w:before="360" w:beforeLines="150" w:line="360" w:lineRule="auto"/>
        <w:jc w:val="left"/>
        <w:outlineLvl w:val="2"/>
        <w:rPr>
          <w:rFonts w:ascii="宋体" w:hAnsi="宋体" w:cs="宋体"/>
          <w:b/>
          <w:sz w:val="22"/>
        </w:rPr>
      </w:pPr>
      <w:bookmarkStart w:id="270" w:name="_Toc342306259"/>
      <w:bookmarkStart w:id="271" w:name="_Toc326239357"/>
      <w:bookmarkStart w:id="272" w:name="_Toc306287526"/>
      <w:bookmarkStart w:id="273" w:name="_Toc306287703"/>
      <w:r>
        <w:rPr>
          <w:rFonts w:hint="eastAsia" w:ascii="宋体" w:hAnsi="宋体" w:cs="宋体"/>
          <w:b/>
          <w:sz w:val="22"/>
        </w:rPr>
        <w:t>79．预付款</w:t>
      </w:r>
      <w:bookmarkEnd w:id="270"/>
      <w:bookmarkEnd w:id="271"/>
      <w:bookmarkEnd w:id="272"/>
      <w:bookmarkEnd w:id="273"/>
    </w:p>
    <w:p>
      <w:pPr>
        <w:tabs>
          <w:tab w:val="left" w:pos="1240"/>
        </w:tabs>
        <w:autoSpaceDE w:val="0"/>
        <w:autoSpaceDN w:val="0"/>
        <w:adjustRightInd w:val="0"/>
        <w:spacing w:line="360" w:lineRule="auto"/>
        <w:ind w:left="420" w:leftChars="200"/>
        <w:jc w:val="left"/>
        <w:rPr>
          <w:rFonts w:ascii="宋体" w:hAnsi="宋体" w:cs="宋体"/>
          <w:position w:val="-2"/>
          <w:sz w:val="22"/>
        </w:rPr>
      </w:pPr>
      <w:r>
        <w:rPr>
          <w:rFonts w:hint="eastAsia" w:ascii="宋体" w:hAnsi="宋体" w:cs="宋体"/>
          <w:position w:val="-2"/>
          <w:sz w:val="22"/>
        </w:rPr>
        <w:t>79.1 预付款的约定：</w:t>
      </w:r>
    </w:p>
    <w:p>
      <w:pPr>
        <w:autoSpaceDE w:val="0"/>
        <w:autoSpaceDN w:val="0"/>
        <w:adjustRightInd w:val="0"/>
        <w:spacing w:line="360" w:lineRule="auto"/>
        <w:ind w:left="840" w:leftChars="400"/>
        <w:rPr>
          <w:rFonts w:ascii="宋体" w:hAnsi="宋体" w:cs="宋体"/>
          <w:sz w:val="22"/>
        </w:rPr>
      </w:pPr>
      <w:r>
        <w:rPr>
          <w:rFonts w:hint="eastAsia" w:ascii="宋体" w:hAnsi="宋体" w:cs="宋体"/>
          <w:sz w:val="22"/>
        </w:rPr>
        <w:t>□ 没约定预付款的,本款不适用。</w:t>
      </w:r>
    </w:p>
    <w:p>
      <w:pPr>
        <w:autoSpaceDE w:val="0"/>
        <w:autoSpaceDN w:val="0"/>
        <w:adjustRightInd w:val="0"/>
        <w:spacing w:line="360" w:lineRule="auto"/>
        <w:ind w:left="840" w:leftChars="400"/>
        <w:rPr>
          <w:rFonts w:ascii="宋体" w:hAnsi="宋体" w:cs="宋体"/>
          <w:sz w:val="22"/>
        </w:rPr>
      </w:pPr>
      <w:r>
        <w:rPr>
          <w:rFonts w:hint="eastAsia" w:ascii="宋体" w:hAnsi="宋体" w:cs="宋体"/>
          <w:sz w:val="22"/>
        </w:rPr>
        <w:t>■ 约定预先付款的，预付款的金额为</w:t>
      </w:r>
      <w:r>
        <w:rPr>
          <w:rFonts w:hint="eastAsia" w:ascii="宋体" w:hAnsi="宋体" w:cs="宋体"/>
          <w:sz w:val="22"/>
          <w:u w:val="single"/>
        </w:rPr>
        <w:t>合同价款（中标价）扣除预留金（暂列金额）及绿色施工安全防护措施费后余额的10%</w:t>
      </w:r>
      <w:r>
        <w:rPr>
          <w:rFonts w:hint="eastAsia" w:ascii="宋体" w:hAnsi="宋体" w:cs="宋体"/>
          <w:sz w:val="22"/>
        </w:rPr>
        <w:t>，即为人民币¥</w:t>
      </w:r>
      <w:r>
        <w:rPr>
          <w:rFonts w:hint="eastAsia" w:ascii="宋体" w:hAnsi="宋体" w:cs="宋体"/>
          <w:sz w:val="22"/>
          <w:u w:val="single"/>
        </w:rPr>
        <w:t xml:space="preserve">    </w:t>
      </w:r>
      <w:r>
        <w:rPr>
          <w:rFonts w:hint="eastAsia" w:ascii="宋体" w:hAnsi="宋体" w:cs="宋体"/>
          <w:sz w:val="22"/>
        </w:rPr>
        <w:t>元，其支付办法及抵扣方式按本条有关规定确定。</w:t>
      </w:r>
    </w:p>
    <w:p>
      <w:pPr>
        <w:autoSpaceDE w:val="0"/>
        <w:autoSpaceDN w:val="0"/>
        <w:adjustRightInd w:val="0"/>
        <w:spacing w:line="360" w:lineRule="auto"/>
        <w:ind w:left="420" w:leftChars="200" w:firstLine="440" w:firstLineChars="200"/>
        <w:rPr>
          <w:rFonts w:ascii="宋体" w:hAnsi="宋体" w:cs="宋体"/>
          <w:sz w:val="22"/>
        </w:rPr>
      </w:pPr>
      <w:r>
        <w:rPr>
          <w:rFonts w:hint="eastAsia" w:ascii="宋体" w:hAnsi="宋体" w:cs="宋体"/>
          <w:sz w:val="22"/>
        </w:rPr>
        <w:t>预付款应专款专用，如承包人将预付款挪作他用，发包人有权采取适当的措施来保证其专款专用，并追究承包人相应的责任。</w:t>
      </w:r>
    </w:p>
    <w:p>
      <w:pPr>
        <w:autoSpaceDE w:val="0"/>
        <w:autoSpaceDN w:val="0"/>
        <w:adjustRightInd w:val="0"/>
        <w:spacing w:line="360" w:lineRule="auto"/>
        <w:ind w:left="420" w:leftChars="200"/>
        <w:jc w:val="left"/>
        <w:rPr>
          <w:rFonts w:ascii="宋体" w:hAnsi="宋体" w:cs="宋体"/>
          <w:sz w:val="22"/>
          <w:u w:val="single"/>
        </w:rPr>
      </w:pPr>
      <w:r>
        <w:rPr>
          <w:rFonts w:hint="eastAsia" w:ascii="宋体" w:hAnsi="宋体" w:cs="宋体"/>
          <w:position w:val="-2"/>
          <w:sz w:val="22"/>
        </w:rPr>
        <w:t xml:space="preserve">79.2 </w:t>
      </w:r>
      <w:r>
        <w:rPr>
          <w:rFonts w:hint="eastAsia" w:ascii="宋体" w:hAnsi="宋体" w:cs="宋体"/>
          <w:sz w:val="22"/>
        </w:rPr>
        <w:t>预付款支付申请的约定：</w:t>
      </w:r>
      <w:r>
        <w:rPr>
          <w:rFonts w:hint="eastAsia" w:ascii="宋体" w:hAnsi="宋体" w:cs="宋体"/>
          <w:sz w:val="22"/>
          <w:u w:val="single"/>
        </w:rPr>
        <w:t>本项补充：承包人申请预付款时，须按通用条款约定提供履约保函，同时需按广东省机场管理集团有限指挥部工程建设指挥部《工程造价管理规定》及财务管理办法的有关规定、程序执行</w:t>
      </w:r>
      <w:r>
        <w:rPr>
          <w:rFonts w:hint="eastAsia" w:ascii="宋体" w:hAnsi="宋体" w:cs="宋体"/>
          <w:sz w:val="22"/>
        </w:rPr>
        <w:t>；</w:t>
      </w:r>
    </w:p>
    <w:p>
      <w:pPr>
        <w:tabs>
          <w:tab w:val="left" w:pos="1240"/>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79.4 预付款抵扣方式</w:t>
      </w:r>
    </w:p>
    <w:p>
      <w:pPr>
        <w:tabs>
          <w:tab w:val="left" w:pos="6220"/>
        </w:tabs>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 预付款按照期中应支付工程款的</w:t>
      </w:r>
      <w:r>
        <w:rPr>
          <w:rFonts w:hint="eastAsia" w:ascii="宋体" w:hAnsi="宋体" w:cs="宋体"/>
          <w:sz w:val="22"/>
          <w:u w:val="single"/>
        </w:rPr>
        <w:t xml:space="preserve">  </w:t>
      </w:r>
      <w:r>
        <w:rPr>
          <w:rFonts w:hint="eastAsia" w:ascii="宋体" w:hAnsi="宋体" w:cs="宋体"/>
          <w:sz w:val="22"/>
        </w:rPr>
        <w:t>%扣回，直到扣完为止。</w:t>
      </w:r>
    </w:p>
    <w:p>
      <w:pPr>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 其他方式：当工程累计投资进度（不含绿色施工安全防护措施费及暂列金）</w:t>
      </w:r>
      <w:r>
        <w:rPr>
          <w:rFonts w:hint="eastAsia" w:ascii="宋体" w:hAnsi="宋体" w:cs="宋体"/>
          <w:sz w:val="22"/>
          <w:u w:val="single"/>
        </w:rPr>
        <w:t>达到25%时，开始抵扣工程预付款，扣回比例是超过起扣点部分每完成1%的进度（造价），扣回工程预付款的2%，直到扣完为止</w:t>
      </w:r>
      <w:r>
        <w:rPr>
          <w:rFonts w:hint="eastAsia" w:ascii="宋体" w:hAnsi="宋体" w:cs="宋体"/>
          <w:sz w:val="22"/>
        </w:rPr>
        <w:t>。</w:t>
      </w:r>
    </w:p>
    <w:p>
      <w:pPr>
        <w:autoSpaceDE w:val="0"/>
        <w:autoSpaceDN w:val="0"/>
        <w:adjustRightInd w:val="0"/>
        <w:spacing w:line="360" w:lineRule="auto"/>
        <w:ind w:left="420" w:leftChars="200"/>
        <w:rPr>
          <w:rFonts w:ascii="宋体" w:hAnsi="宋体" w:cs="宋体"/>
          <w:sz w:val="22"/>
        </w:rPr>
      </w:pPr>
      <w:r>
        <w:rPr>
          <w:rFonts w:hint="eastAsia" w:ascii="宋体" w:hAnsi="宋体" w:cs="宋体"/>
          <w:sz w:val="22"/>
        </w:rPr>
        <w:t>79.5预付款保函的有效与退还：承包人无需递交预付款保函，本条款不适用。</w:t>
      </w:r>
    </w:p>
    <w:p>
      <w:pPr>
        <w:autoSpaceDE w:val="0"/>
        <w:autoSpaceDN w:val="0"/>
        <w:adjustRightInd w:val="0"/>
        <w:spacing w:before="360" w:beforeLines="150" w:line="360" w:lineRule="auto"/>
        <w:jc w:val="left"/>
        <w:outlineLvl w:val="2"/>
        <w:rPr>
          <w:rFonts w:ascii="宋体" w:hAnsi="宋体" w:cs="宋体"/>
          <w:b/>
          <w:sz w:val="22"/>
        </w:rPr>
      </w:pPr>
      <w:bookmarkStart w:id="274" w:name="_Toc306287704"/>
      <w:bookmarkStart w:id="275" w:name="_Toc326239358"/>
      <w:bookmarkStart w:id="276" w:name="_Toc306287527"/>
      <w:bookmarkStart w:id="277" w:name="_Toc342306260"/>
      <w:r>
        <w:rPr>
          <w:rFonts w:hint="eastAsia" w:ascii="宋体" w:hAnsi="宋体" w:cs="宋体"/>
          <w:b/>
          <w:sz w:val="22"/>
        </w:rPr>
        <w:t>80．</w:t>
      </w:r>
      <w:bookmarkEnd w:id="274"/>
      <w:bookmarkEnd w:id="275"/>
      <w:bookmarkEnd w:id="276"/>
      <w:bookmarkEnd w:id="277"/>
      <w:r>
        <w:rPr>
          <w:rFonts w:hint="eastAsia" w:ascii="宋体" w:hAnsi="宋体" w:cs="宋体"/>
          <w:b/>
          <w:sz w:val="22"/>
        </w:rPr>
        <w:t>绿色施工安全防护措施费</w:t>
      </w:r>
    </w:p>
    <w:p>
      <w:pPr>
        <w:tabs>
          <w:tab w:val="left" w:pos="1485"/>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80.1 绿色施工安全防护措施费的内容、范围和金额</w:t>
      </w:r>
    </w:p>
    <w:p>
      <w:pPr>
        <w:tabs>
          <w:tab w:val="left" w:pos="1100"/>
        </w:tabs>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(1)内容和范围</w:t>
      </w:r>
    </w:p>
    <w:p>
      <w:pPr>
        <w:autoSpaceDE w:val="0"/>
        <w:autoSpaceDN w:val="0"/>
        <w:adjustRightInd w:val="0"/>
        <w:spacing w:line="360" w:lineRule="auto"/>
        <w:ind w:left="1155" w:leftChars="550"/>
        <w:jc w:val="left"/>
        <w:rPr>
          <w:rFonts w:ascii="宋体" w:hAnsi="宋体" w:cs="宋体"/>
          <w:sz w:val="22"/>
        </w:rPr>
      </w:pPr>
      <w:r>
        <w:rPr>
          <w:rFonts w:hint="eastAsia" w:ascii="宋体" w:hAnsi="宋体" w:cs="宋体"/>
          <w:sz w:val="22"/>
        </w:rPr>
        <w:t>■ 按通用条款的规定，以现行广东省统一工程计价依据规定为准。</w:t>
      </w:r>
    </w:p>
    <w:p>
      <w:pPr>
        <w:autoSpaceDE w:val="0"/>
        <w:autoSpaceDN w:val="0"/>
        <w:adjustRightInd w:val="0"/>
        <w:spacing w:line="360" w:lineRule="auto"/>
        <w:ind w:left="1155" w:leftChars="550"/>
        <w:rPr>
          <w:rFonts w:ascii="宋体" w:hAnsi="宋体" w:cs="宋体"/>
          <w:sz w:val="22"/>
        </w:rPr>
      </w:pPr>
      <w:r>
        <w:rPr>
          <w:rFonts w:hint="eastAsia" w:ascii="宋体" w:hAnsi="宋体" w:cs="宋体"/>
          <w:sz w:val="22"/>
        </w:rPr>
        <w:t>□ 合同双方的其他要求：</w:t>
      </w:r>
    </w:p>
    <w:p>
      <w:pPr>
        <w:tabs>
          <w:tab w:val="left" w:pos="1215"/>
        </w:tabs>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(2) 绿色施工安全防护措施费的总金额为</w:t>
      </w:r>
      <w:r>
        <w:rPr>
          <w:rFonts w:hint="eastAsia" w:ascii="宋体" w:hAnsi="宋体" w:cs="宋体"/>
          <w:b/>
          <w:sz w:val="22"/>
          <w:u w:val="single"/>
        </w:rPr>
        <w:t xml:space="preserve">     </w:t>
      </w:r>
      <w:r>
        <w:rPr>
          <w:rFonts w:hint="eastAsia" w:ascii="宋体" w:hAnsi="宋体" w:cs="宋体"/>
          <w:sz w:val="22"/>
        </w:rPr>
        <w:t>元。</w:t>
      </w:r>
    </w:p>
    <w:p>
      <w:pPr>
        <w:tabs>
          <w:tab w:val="left" w:pos="1365"/>
        </w:tabs>
        <w:autoSpaceDE w:val="0"/>
        <w:autoSpaceDN w:val="0"/>
        <w:adjustRightInd w:val="0"/>
        <w:spacing w:before="120" w:beforeLines="50" w:line="360" w:lineRule="auto"/>
        <w:ind w:left="420" w:leftChars="200"/>
        <w:jc w:val="left"/>
        <w:rPr>
          <w:rFonts w:ascii="宋体" w:hAnsi="宋体" w:cs="宋体"/>
          <w:sz w:val="22"/>
        </w:rPr>
      </w:pPr>
      <w:r>
        <w:rPr>
          <w:rFonts w:hint="eastAsia" w:ascii="宋体" w:hAnsi="宋体" w:cs="宋体"/>
          <w:sz w:val="22"/>
        </w:rPr>
        <w:t>80.2 支付申请的提交与核实</w:t>
      </w:r>
    </w:p>
    <w:p>
      <w:pPr>
        <w:autoSpaceDE w:val="0"/>
        <w:autoSpaceDN w:val="0"/>
        <w:adjustRightInd w:val="0"/>
        <w:spacing w:line="360" w:lineRule="auto"/>
        <w:ind w:right="4713" w:firstLine="880" w:firstLineChars="400"/>
        <w:rPr>
          <w:rFonts w:ascii="宋体" w:hAnsi="宋体" w:cs="宋体"/>
          <w:sz w:val="22"/>
        </w:rPr>
      </w:pPr>
      <w:r>
        <w:rPr>
          <w:rFonts w:hint="eastAsia" w:ascii="宋体" w:hAnsi="宋体" w:cs="宋体"/>
          <w:sz w:val="22"/>
        </w:rPr>
        <w:t>■按通用条款的规定。</w:t>
      </w:r>
    </w:p>
    <w:p>
      <w:pPr>
        <w:spacing w:line="360" w:lineRule="auto"/>
        <w:ind w:firstLine="880" w:firstLineChars="400"/>
        <w:rPr>
          <w:rFonts w:ascii="宋体" w:hAnsi="宋体" w:cs="宋体"/>
          <w:sz w:val="22"/>
        </w:rPr>
      </w:pPr>
      <w:r>
        <w:rPr>
          <w:rFonts w:hint="eastAsia" w:ascii="宋体" w:hAnsi="宋体" w:cs="宋体"/>
          <w:sz w:val="22"/>
        </w:rPr>
        <w:t>□其他：</w:t>
      </w:r>
    </w:p>
    <w:p>
      <w:pPr>
        <w:tabs>
          <w:tab w:val="left" w:pos="1365"/>
        </w:tabs>
        <w:autoSpaceDE w:val="0"/>
        <w:autoSpaceDN w:val="0"/>
        <w:adjustRightInd w:val="0"/>
        <w:spacing w:before="120" w:beforeLines="50" w:line="360" w:lineRule="auto"/>
        <w:ind w:left="420" w:leftChars="200"/>
        <w:jc w:val="left"/>
        <w:rPr>
          <w:rFonts w:ascii="宋体" w:hAnsi="宋体" w:cs="宋体"/>
          <w:strike/>
          <w:sz w:val="22"/>
        </w:rPr>
      </w:pPr>
      <w:r>
        <w:rPr>
          <w:rFonts w:hint="eastAsia" w:ascii="宋体" w:hAnsi="宋体" w:cs="宋体"/>
          <w:sz w:val="22"/>
        </w:rPr>
        <w:t>80.3 费用支付</w:t>
      </w:r>
    </w:p>
    <w:p>
      <w:pPr>
        <w:autoSpaceDE w:val="0"/>
        <w:autoSpaceDN w:val="0"/>
        <w:adjustRightInd w:val="0"/>
        <w:spacing w:line="360" w:lineRule="auto"/>
        <w:ind w:right="107" w:firstLine="880" w:firstLineChars="400"/>
        <w:rPr>
          <w:rFonts w:ascii="宋体" w:hAnsi="宋体" w:cs="宋体"/>
          <w:sz w:val="22"/>
        </w:rPr>
      </w:pPr>
      <w:r>
        <w:rPr>
          <w:rFonts w:hint="eastAsia" w:ascii="宋体" w:hAnsi="宋体" w:cs="宋体"/>
          <w:sz w:val="22"/>
        </w:rPr>
        <w:t>■绿色施工安全防护措施费的支付办法和抵扣方式：当工程累计投资进度（不含绿色施工安全防护措施费及暂列金）达到50%后，承包人提供安全文明考核合格证明文件，按工程进度比例支付安全文明进度款（需扣减已支付的预付款）。</w:t>
      </w:r>
    </w:p>
    <w:p>
      <w:pPr>
        <w:autoSpaceDE w:val="0"/>
        <w:autoSpaceDN w:val="0"/>
        <w:adjustRightInd w:val="0"/>
        <w:spacing w:line="360" w:lineRule="auto"/>
        <w:ind w:right="4713" w:firstLine="880" w:firstLineChars="400"/>
        <w:rPr>
          <w:rFonts w:ascii="宋体" w:hAnsi="宋体" w:cs="宋体"/>
          <w:sz w:val="22"/>
        </w:rPr>
      </w:pPr>
      <w:r>
        <w:rPr>
          <w:rFonts w:hint="eastAsia" w:ascii="宋体" w:hAnsi="宋体" w:cs="宋体"/>
          <w:sz w:val="22"/>
        </w:rPr>
        <w:t>■按通用条款的规定。</w:t>
      </w:r>
    </w:p>
    <w:p>
      <w:pPr>
        <w:spacing w:line="360" w:lineRule="auto"/>
        <w:ind w:firstLine="880" w:firstLineChars="400"/>
        <w:rPr>
          <w:rFonts w:ascii="宋体" w:hAnsi="宋体" w:cs="宋体"/>
          <w:sz w:val="22"/>
        </w:rPr>
      </w:pPr>
      <w:r>
        <w:rPr>
          <w:rFonts w:hint="eastAsia" w:ascii="宋体" w:hAnsi="宋体" w:cs="宋体"/>
          <w:sz w:val="22"/>
        </w:rPr>
        <w:t>补充：承包人须保证安全文明施工措施到位，符合发包人及政府要求的安全文明施工要求，并考核合格，承包人在申请付款时需提供安全文明考核合格证明文件。</w:t>
      </w:r>
    </w:p>
    <w:p>
      <w:pPr>
        <w:spacing w:line="360" w:lineRule="auto"/>
        <w:ind w:firstLine="880" w:firstLineChars="400"/>
        <w:rPr>
          <w:rFonts w:ascii="宋体" w:hAnsi="宋体" w:cs="宋体"/>
          <w:sz w:val="22"/>
        </w:rPr>
      </w:pPr>
      <w:r>
        <w:rPr>
          <w:rFonts w:hint="eastAsia" w:ascii="宋体" w:hAnsi="宋体" w:cs="宋体"/>
          <w:sz w:val="22"/>
        </w:rPr>
        <w:t>□另作约定：</w:t>
      </w:r>
    </w:p>
    <w:p>
      <w:pPr>
        <w:autoSpaceDE w:val="0"/>
        <w:autoSpaceDN w:val="0"/>
        <w:adjustRightInd w:val="0"/>
        <w:spacing w:before="360" w:beforeLines="150" w:line="360" w:lineRule="auto"/>
        <w:jc w:val="left"/>
        <w:outlineLvl w:val="2"/>
        <w:rPr>
          <w:rFonts w:ascii="宋体" w:hAnsi="宋体" w:cs="宋体"/>
          <w:b/>
          <w:sz w:val="22"/>
        </w:rPr>
      </w:pPr>
      <w:bookmarkStart w:id="278" w:name="_Toc326239359"/>
      <w:bookmarkStart w:id="279" w:name="_Toc342306261"/>
      <w:bookmarkStart w:id="280" w:name="_Toc306287528"/>
      <w:bookmarkStart w:id="281" w:name="_Toc306287705"/>
      <w:r>
        <w:rPr>
          <w:rFonts w:hint="eastAsia" w:ascii="宋体" w:hAnsi="宋体" w:cs="宋体"/>
          <w:b/>
          <w:sz w:val="22"/>
        </w:rPr>
        <w:t>81．进度款</w:t>
      </w:r>
      <w:bookmarkEnd w:id="278"/>
      <w:bookmarkEnd w:id="279"/>
      <w:bookmarkEnd w:id="280"/>
      <w:bookmarkEnd w:id="281"/>
    </w:p>
    <w:p>
      <w:pPr>
        <w:tabs>
          <w:tab w:val="left" w:pos="1365"/>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81.1 支付期间</w:t>
      </w:r>
    </w:p>
    <w:p>
      <w:pPr>
        <w:spacing w:line="360" w:lineRule="auto"/>
        <w:ind w:firstLine="880" w:firstLineChars="400"/>
        <w:rPr>
          <w:rFonts w:ascii="宋体" w:hAnsi="宋体" w:cs="宋体"/>
          <w:sz w:val="22"/>
        </w:rPr>
      </w:pPr>
      <w:r>
        <w:rPr>
          <w:rFonts w:hint="eastAsia" w:ascii="宋体" w:hAnsi="宋体" w:cs="宋体"/>
          <w:sz w:val="22"/>
        </w:rPr>
        <w:t>■ 以月为单位。</w:t>
      </w:r>
    </w:p>
    <w:p>
      <w:pPr>
        <w:autoSpaceDE w:val="0"/>
        <w:autoSpaceDN w:val="0"/>
        <w:adjustRightInd w:val="0"/>
        <w:spacing w:line="360" w:lineRule="auto"/>
        <w:ind w:right="4713" w:firstLine="880" w:firstLineChars="400"/>
        <w:rPr>
          <w:rFonts w:ascii="宋体" w:hAnsi="宋体" w:cs="宋体"/>
          <w:sz w:val="22"/>
        </w:rPr>
      </w:pPr>
      <w:r>
        <w:rPr>
          <w:rFonts w:hint="eastAsia" w:ascii="宋体" w:hAnsi="宋体" w:cs="宋体"/>
          <w:sz w:val="22"/>
        </w:rPr>
        <w:t>□ 以季度为单位。</w:t>
      </w:r>
    </w:p>
    <w:p>
      <w:pPr>
        <w:autoSpaceDE w:val="0"/>
        <w:autoSpaceDN w:val="0"/>
        <w:adjustRightInd w:val="0"/>
        <w:spacing w:line="360" w:lineRule="auto"/>
        <w:ind w:right="4713" w:firstLine="880" w:firstLineChars="400"/>
        <w:rPr>
          <w:rFonts w:ascii="宋体" w:hAnsi="宋体" w:cs="宋体"/>
          <w:sz w:val="22"/>
        </w:rPr>
      </w:pPr>
      <w:r>
        <w:rPr>
          <w:rFonts w:hint="eastAsia" w:ascii="宋体" w:hAnsi="宋体" w:cs="宋体"/>
          <w:sz w:val="22"/>
        </w:rPr>
        <w:t>□ 以形象进度为准，具体为</w:t>
      </w:r>
      <w:r>
        <w:rPr>
          <w:rFonts w:hint="eastAsia" w:ascii="宋体" w:hAnsi="宋体" w:cs="宋体"/>
          <w:sz w:val="22"/>
          <w:u w:val="single"/>
        </w:rPr>
        <w:t xml:space="preserve">   </w:t>
      </w:r>
      <w:r>
        <w:rPr>
          <w:rFonts w:hint="eastAsia" w:ascii="宋体" w:hAnsi="宋体" w:cs="宋体"/>
          <w:sz w:val="22"/>
        </w:rPr>
        <w:t>。</w:t>
      </w:r>
    </w:p>
    <w:p>
      <w:pPr>
        <w:autoSpaceDE w:val="0"/>
        <w:autoSpaceDN w:val="0"/>
        <w:adjustRightInd w:val="0"/>
        <w:spacing w:line="360" w:lineRule="auto"/>
        <w:ind w:left="840" w:leftChars="400" w:firstLine="110" w:firstLineChars="50"/>
        <w:rPr>
          <w:rFonts w:ascii="宋体" w:hAnsi="宋体" w:cs="宋体"/>
          <w:sz w:val="22"/>
        </w:rPr>
      </w:pPr>
      <w:r>
        <w:rPr>
          <w:rFonts w:hint="eastAsia" w:ascii="宋体" w:hAnsi="宋体" w:cs="宋体"/>
          <w:sz w:val="22"/>
        </w:rPr>
        <w:t>■本期间应支付或扣留（扣回）的其他款项：</w:t>
      </w:r>
      <w:r>
        <w:rPr>
          <w:rFonts w:hint="eastAsia" w:ascii="宋体" w:hAnsi="宋体" w:cs="宋体"/>
          <w:sz w:val="22"/>
          <w:u w:val="single"/>
        </w:rPr>
        <w:t>奖罚金额、前期错误修正、根据合同约定需扣留费用等</w:t>
      </w:r>
      <w:r>
        <w:rPr>
          <w:rFonts w:hint="eastAsia" w:ascii="宋体" w:hAnsi="宋体" w:cs="宋体"/>
          <w:sz w:val="22"/>
        </w:rPr>
        <w:t xml:space="preserve">。   </w:t>
      </w:r>
    </w:p>
    <w:p>
      <w:pPr>
        <w:tabs>
          <w:tab w:val="left" w:pos="1485"/>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此项增加(1)~(16)</w:t>
      </w:r>
    </w:p>
    <w:p>
      <w:pPr>
        <w:spacing w:line="360" w:lineRule="auto"/>
        <w:ind w:left="420" w:leftChars="200"/>
        <w:rPr>
          <w:rFonts w:ascii="宋体" w:hAnsi="宋体" w:cs="宋体"/>
          <w:sz w:val="22"/>
        </w:rPr>
      </w:pPr>
      <w:r>
        <w:rPr>
          <w:rFonts w:hint="eastAsia" w:ascii="宋体" w:hAnsi="宋体" w:cs="宋体"/>
          <w:sz w:val="22"/>
        </w:rPr>
        <w:t>（1）进度款支付申请：承包人应在每月15日前向工程监理工程师申报本期的附有工程进度表的支付申请，经监理工程师5日内审核后交发包人,作为申请拨付工程进度款的依据。发包人接到支付申请后按流程审核并及时支付进度款。</w:t>
      </w:r>
    </w:p>
    <w:p>
      <w:pPr>
        <w:spacing w:line="360" w:lineRule="auto"/>
        <w:ind w:left="420" w:leftChars="200"/>
        <w:rPr>
          <w:rFonts w:ascii="宋体" w:hAnsi="宋体" w:cs="宋体"/>
          <w:sz w:val="22"/>
        </w:rPr>
      </w:pPr>
      <w:r>
        <w:rPr>
          <w:rFonts w:hint="eastAsia" w:ascii="宋体" w:hAnsi="宋体" w:cs="宋体"/>
          <w:sz w:val="22"/>
        </w:rPr>
        <w:t>（2）日常进度款累计支付金额不超过审定的已完工程投资（不含绿色施工安全防护措施费，绿色施工安全防护措施费按第80条款执行）的80%（含本次单独支付的工人工资），工人工资由发包人单独支付至承包人的工人工资户。</w:t>
      </w:r>
    </w:p>
    <w:p>
      <w:pPr>
        <w:spacing w:line="360" w:lineRule="auto"/>
        <w:ind w:left="420" w:leftChars="200"/>
        <w:rPr>
          <w:rFonts w:ascii="宋体" w:hAnsi="宋体" w:cs="宋体"/>
          <w:sz w:val="22"/>
        </w:rPr>
      </w:pPr>
      <w:r>
        <w:rPr>
          <w:rFonts w:hint="eastAsia" w:ascii="宋体" w:hAnsi="宋体" w:cs="宋体"/>
          <w:sz w:val="22"/>
        </w:rPr>
        <w:t>（3）</w:t>
      </w:r>
      <w:r>
        <w:rPr>
          <w:rFonts w:hint="eastAsia" w:ascii="宋体" w:hAnsi="宋体" w:cs="宋体"/>
          <w:strike/>
          <w:sz w:val="22"/>
        </w:rPr>
        <w:t>（根据项目选用）其中钢结构、金属屋面、玻璃幕墙中的钢构件：钢构件加工制作并运到施工现场后，按对应合同项目价款的50%计取已完工程投资（产值），再按（2）约定支付款项。</w:t>
      </w:r>
    </w:p>
    <w:p>
      <w:pPr>
        <w:spacing w:line="360" w:lineRule="auto"/>
        <w:ind w:left="420" w:leftChars="200"/>
        <w:rPr>
          <w:rFonts w:ascii="宋体" w:hAnsi="宋体" w:cs="宋体"/>
          <w:strike/>
          <w:sz w:val="22"/>
          <w:szCs w:val="20"/>
        </w:rPr>
      </w:pPr>
      <w:r>
        <w:rPr>
          <w:rFonts w:hint="eastAsia" w:ascii="宋体" w:hAnsi="宋体" w:cs="宋体"/>
          <w:sz w:val="22"/>
        </w:rPr>
        <w:t>（4）</w:t>
      </w:r>
      <w:r>
        <w:rPr>
          <w:rFonts w:hint="eastAsia" w:ascii="宋体" w:hAnsi="宋体" w:cs="宋体"/>
          <w:strike/>
          <w:sz w:val="22"/>
        </w:rPr>
        <w:t>（根据项目选用）其中</w:t>
      </w:r>
      <w:r>
        <w:rPr>
          <w:rFonts w:hint="eastAsia" w:ascii="宋体" w:hAnsi="宋体" w:cs="宋体"/>
          <w:strike/>
          <w:sz w:val="22"/>
          <w:szCs w:val="20"/>
        </w:rPr>
        <w:t>幕墙的铝合金骨架安装完毕，</w:t>
      </w:r>
      <w:r>
        <w:rPr>
          <w:rFonts w:hint="eastAsia" w:ascii="宋体" w:hAnsi="宋体" w:cs="宋体"/>
          <w:strike/>
          <w:sz w:val="22"/>
        </w:rPr>
        <w:t>按对应合同项目价款的40%计取已完工程投资（产值），再按（2）约定支付款项。</w:t>
      </w:r>
    </w:p>
    <w:p>
      <w:pPr>
        <w:spacing w:line="360" w:lineRule="auto"/>
        <w:ind w:left="420" w:leftChars="200"/>
        <w:rPr>
          <w:rFonts w:ascii="宋体" w:hAnsi="宋体" w:cs="宋体"/>
          <w:sz w:val="22"/>
        </w:rPr>
      </w:pPr>
      <w:r>
        <w:rPr>
          <w:rFonts w:hint="eastAsia" w:ascii="宋体" w:hAnsi="宋体" w:cs="宋体"/>
          <w:sz w:val="22"/>
        </w:rPr>
        <w:t>（</w:t>
      </w:r>
      <w:r>
        <w:rPr>
          <w:rFonts w:hint="eastAsia" w:ascii="宋体" w:hAnsi="宋体" w:cs="宋体"/>
          <w:sz w:val="22"/>
          <w:szCs w:val="20"/>
        </w:rPr>
        <w:t>5</w:t>
      </w:r>
      <w:r>
        <w:rPr>
          <w:rFonts w:hint="eastAsia" w:ascii="宋体" w:hAnsi="宋体" w:cs="宋体"/>
          <w:strike/>
          <w:sz w:val="22"/>
          <w:szCs w:val="20"/>
        </w:rPr>
        <w:t xml:space="preserve">） </w:t>
      </w:r>
      <w:r>
        <w:rPr>
          <w:rFonts w:hint="eastAsia" w:ascii="宋体" w:hAnsi="宋体" w:cs="宋体"/>
          <w:strike/>
          <w:sz w:val="22"/>
        </w:rPr>
        <w:t>（根据项目选用）</w:t>
      </w:r>
      <w:r>
        <w:rPr>
          <w:rFonts w:hint="eastAsia" w:ascii="宋体" w:hAnsi="宋体" w:cs="宋体"/>
          <w:strike/>
          <w:sz w:val="22"/>
          <w:szCs w:val="20"/>
        </w:rPr>
        <w:t>乙购设备进场并验收合格后，</w:t>
      </w:r>
      <w:r>
        <w:rPr>
          <w:rFonts w:hint="eastAsia" w:ascii="宋体" w:hAnsi="宋体" w:cs="宋体"/>
          <w:strike/>
          <w:sz w:val="22"/>
        </w:rPr>
        <w:t>按对应合同项目价款的60%计取已完工程投资（产值），再按（2）约定支付款项。</w:t>
      </w:r>
    </w:p>
    <w:p>
      <w:pPr>
        <w:spacing w:line="360" w:lineRule="auto"/>
        <w:ind w:left="420" w:leftChars="200"/>
        <w:rPr>
          <w:rFonts w:ascii="宋体" w:hAnsi="宋体" w:cs="宋体"/>
          <w:sz w:val="22"/>
        </w:rPr>
      </w:pPr>
      <w:r>
        <w:rPr>
          <w:rFonts w:hint="eastAsia" w:ascii="宋体" w:hAnsi="宋体" w:cs="宋体"/>
          <w:sz w:val="22"/>
        </w:rPr>
        <w:t>（6）施工过程结算手续完成（移交工程和结算档案资料）后，发包人向承包人支付工程款至施工过程结算金额的90%（含本次单独支付的工人工资），工人工资由发包人单独支付至承包人的工人工资户。</w:t>
      </w:r>
    </w:p>
    <w:p>
      <w:pPr>
        <w:spacing w:line="360" w:lineRule="auto"/>
        <w:ind w:left="420" w:leftChars="200"/>
        <w:rPr>
          <w:rFonts w:ascii="宋体" w:hAnsi="宋体" w:cs="宋体"/>
          <w:sz w:val="22"/>
        </w:rPr>
      </w:pPr>
      <w:r>
        <w:rPr>
          <w:rFonts w:hint="eastAsia" w:ascii="宋体" w:hAnsi="宋体" w:cs="宋体"/>
          <w:sz w:val="22"/>
        </w:rPr>
        <w:t>（7）项目完工时，累计支付不超过审定的已完工程投资的85%（含本次单独支付的工人工资，已办理施工过程结算手续的，按第（6）条约定），工人工资由发包人单独支付至承包人的工人工资户。</w:t>
      </w:r>
    </w:p>
    <w:p>
      <w:pPr>
        <w:spacing w:line="560" w:lineRule="exact"/>
        <w:ind w:left="420" w:leftChars="200" w:firstLine="385" w:firstLineChars="175"/>
        <w:jc w:val="left"/>
        <w:rPr>
          <w:rFonts w:ascii="宋体" w:hAnsi="宋体" w:cs="宋体"/>
          <w:sz w:val="22"/>
        </w:rPr>
      </w:pPr>
      <w:r>
        <w:rPr>
          <w:rFonts w:hint="eastAsia" w:ascii="宋体" w:hAnsi="宋体" w:cs="宋体"/>
          <w:sz w:val="22"/>
        </w:rPr>
        <w:t>形象进度采用BIM模型质量验评平台时，从通过质量验评平台的项目模型中提取工程量+BIM模型不能体现的工程量，根据合同清单用造价软件复核对应形象进度的工程量进行进度支付；其中BIM模型体现的工程量结合形象进度（不含BIM模型深化设计增加的工程量，深化设计增加工程量须办理设计变更，设计变更增加的工程量按《广东省机场管理集团有限公司工程建设指挥部合同管理规定》、《广东省机场管理集团有限公司工程建设指挥部工程造价管理规定（试行)》要求办理合同变更后支付）。BIM模型工程量（不含深化设计工程量）超过合同清单工程量的，按《广东省机场管理集团有限公司工程建设指挥部合同管理规定》、《广东省机场管理集团有限公司工程建设指挥部工程造价管理规定（试行)》办理合同变更后支付。</w:t>
      </w:r>
    </w:p>
    <w:p>
      <w:pPr>
        <w:pStyle w:val="19"/>
        <w:rPr>
          <w:rFonts w:hAnsi="宋体" w:cs="宋体"/>
          <w:sz w:val="18"/>
        </w:rPr>
      </w:pPr>
    </w:p>
    <w:p>
      <w:pPr>
        <w:spacing w:line="360" w:lineRule="auto"/>
        <w:ind w:left="420" w:leftChars="200"/>
        <w:rPr>
          <w:rFonts w:ascii="宋体" w:hAnsi="宋体" w:cs="宋体"/>
          <w:sz w:val="22"/>
        </w:rPr>
      </w:pPr>
      <w:r>
        <w:rPr>
          <w:rFonts w:hint="eastAsia" w:ascii="宋体" w:hAnsi="宋体" w:cs="宋体"/>
          <w:sz w:val="22"/>
        </w:rPr>
        <w:t>（8）竣工验收并按要求递交结算文件且经发包人委托的咨询单位出具提交的结算资料满足审核要求的文件后，累积支付不超过审定的已完工程投资的90%（含本项目全部的足额工人工资），承包人提供工资尾款金额，发包人单独支付。如承包人提供的工资尾款金额不足，由此产生的后果由承包人自行承担。</w:t>
      </w:r>
    </w:p>
    <w:p>
      <w:pPr>
        <w:spacing w:line="360" w:lineRule="auto"/>
        <w:ind w:left="420" w:leftChars="200"/>
        <w:rPr>
          <w:rFonts w:ascii="宋体" w:hAnsi="宋体" w:cs="宋体"/>
          <w:sz w:val="22"/>
        </w:rPr>
      </w:pPr>
      <w:r>
        <w:rPr>
          <w:rFonts w:hint="eastAsia" w:ascii="宋体" w:hAnsi="宋体" w:cs="宋体"/>
          <w:sz w:val="22"/>
        </w:rPr>
        <w:t>（9) 若单个合同清单中包含的各工序间的时间间隔较长，可根据经现场确认的完成工作内容，按投标报价综合单价分析表（若投标报价综合单价分析表无法拆分，按控制价的综合单价分析表，等比例调整）中对应的投资造价计取产值，再按（2）约定支付款项。</w:t>
      </w:r>
    </w:p>
    <w:p>
      <w:pPr>
        <w:spacing w:line="360" w:lineRule="auto"/>
        <w:ind w:left="420" w:leftChars="200"/>
        <w:rPr>
          <w:rFonts w:ascii="宋体" w:hAnsi="宋体" w:cs="宋体"/>
          <w:sz w:val="22"/>
          <w:szCs w:val="20"/>
        </w:rPr>
      </w:pPr>
      <w:r>
        <w:rPr>
          <w:rFonts w:hint="eastAsia" w:ascii="宋体" w:hAnsi="宋体" w:cs="宋体"/>
          <w:sz w:val="22"/>
        </w:rPr>
        <w:t>（10）</w:t>
      </w:r>
      <w:r>
        <w:rPr>
          <w:rFonts w:hint="eastAsia" w:ascii="宋体" w:hAnsi="宋体" w:cs="宋体"/>
          <w:sz w:val="22"/>
          <w:szCs w:val="20"/>
        </w:rPr>
        <w:t>工程变更项目及其他允许调整造价的项目，须按照《</w:t>
      </w:r>
      <w:r>
        <w:rPr>
          <w:rFonts w:hint="eastAsia" w:ascii="宋体" w:hAnsi="宋体" w:cs="宋体"/>
          <w:sz w:val="20"/>
          <w:szCs w:val="20"/>
        </w:rPr>
        <mc:AlternateContent>
          <mc:Choice Requires="wps">
            <w:drawing>
              <wp:anchor distT="0" distB="0" distL="114300" distR="114300" simplePos="0" relativeHeight="251660288" behindDoc="0" locked="0" layoutInCell="1" allowOverlap="1">
                <wp:simplePos x="0" y="0"/>
                <wp:positionH relativeFrom="column">
                  <wp:posOffset>834390</wp:posOffset>
                </wp:positionH>
                <wp:positionV relativeFrom="paragraph">
                  <wp:posOffset>573405</wp:posOffset>
                </wp:positionV>
                <wp:extent cx="31115" cy="5715"/>
                <wp:effectExtent l="0" t="0" r="0" b="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31115" cy="5715"/>
                        </a:xfrm>
                        <a:prstGeom prst="rect">
                          <a:avLst/>
                        </a:prstGeom>
                        <a:solidFill>
                          <a:srgbClr val="1F1A17"/>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5.7pt;margin-top:45.15pt;height:0.45pt;width:2.45pt;z-index:251660288;mso-width-relative:page;mso-height-relative:page;" fillcolor="#1F1A17" filled="t" stroked="f" coordsize="21600,21600" o:gfxdata="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7fyzYAAAACQEAAA8AAAAAAAAAAQAgAAAAIgAAAGRycy9kb3du&#10;cmV2LnhtbFBLAQIUABQAAAAIAIdO4kAFDnBo/wEAAOIDAAAOAAAAAAAAAAEAIAAAACcBAABkcnMv&#10;ZTJvRG9jLnhtbFBLBQYAAAAABgAGAFkBAACYBQAAAAA=&#10;">
                <v:fill on="t" focussize="0,0"/>
                <v:stroke on="f"/>
                <v:imagedata o:title=""/>
                <o:lock v:ext="edit" aspectratio="f"/>
              </v:rect>
            </w:pict>
          </mc:Fallback>
        </mc:AlternateContent>
      </w:r>
      <w:r>
        <w:rPr>
          <w:rFonts w:hint="eastAsia" w:ascii="宋体" w:hAnsi="宋体" w:cs="宋体"/>
          <w:sz w:val="22"/>
          <w:szCs w:val="20"/>
        </w:rPr>
        <w:t>广东省机场管理集团公司工程建设指挥部合同管理规定》办理合同变更审批。经审批确认后，可纳入同期进度款按其约定支付。</w:t>
      </w:r>
    </w:p>
    <w:p>
      <w:pPr>
        <w:spacing w:line="360" w:lineRule="auto"/>
        <w:ind w:left="420" w:leftChars="200"/>
        <w:rPr>
          <w:rFonts w:ascii="宋体" w:hAnsi="宋体" w:cs="宋体"/>
          <w:sz w:val="22"/>
          <w:szCs w:val="20"/>
        </w:rPr>
      </w:pPr>
      <w:r>
        <w:rPr>
          <w:rFonts w:hint="eastAsia" w:ascii="宋体" w:hAnsi="宋体" w:cs="宋体"/>
          <w:sz w:val="22"/>
        </w:rPr>
        <w:t>（11）发包人拨付进度款的同时，按已完工程投资的</w:t>
      </w:r>
      <w:r>
        <w:rPr>
          <w:rFonts w:hint="eastAsia" w:ascii="宋体" w:hAnsi="宋体" w:cs="宋体"/>
          <w:sz w:val="22"/>
          <w:u w:val="single"/>
        </w:rPr>
        <w:t xml:space="preserve">    </w:t>
      </w:r>
      <w:r>
        <w:rPr>
          <w:rFonts w:hint="eastAsia" w:ascii="宋体" w:hAnsi="宋体" w:cs="宋体"/>
          <w:sz w:val="22"/>
        </w:rPr>
        <w:t>%作为工人工资款单独拨付，承包人在收到工资款后5个工作日内足额拨付给工人。（工人工资占造价的比例，由承包人在签订合同时足额提出，作为进度款支付工资的依据。如承包人未足额提出，由此产生的后果由承包人自行承担，如承包人提出的工人工资占造价的比例低于  %，按</w:t>
      </w:r>
      <w:r>
        <w:rPr>
          <w:rFonts w:hint="eastAsia" w:ascii="宋体" w:hAnsi="宋体" w:cs="宋体"/>
          <w:sz w:val="22"/>
          <w:u w:val="single"/>
        </w:rPr>
        <w:t xml:space="preserve">   </w:t>
      </w:r>
      <w:r>
        <w:rPr>
          <w:rFonts w:hint="eastAsia" w:ascii="宋体" w:hAnsi="宋体" w:cs="宋体"/>
          <w:sz w:val="22"/>
        </w:rPr>
        <w:t>%计算支付工人工资）。</w:t>
      </w:r>
    </w:p>
    <w:p>
      <w:pPr>
        <w:spacing w:line="360" w:lineRule="auto"/>
        <w:ind w:left="420" w:leftChars="200"/>
        <w:rPr>
          <w:rFonts w:ascii="宋体" w:hAnsi="宋体" w:cs="宋体"/>
          <w:sz w:val="22"/>
        </w:rPr>
      </w:pPr>
      <w:r>
        <w:rPr>
          <w:rFonts w:hint="eastAsia" w:ascii="宋体" w:hAnsi="宋体" w:cs="宋体"/>
          <w:sz w:val="22"/>
        </w:rPr>
        <w:t>（12） 在申请支付每笔工程款时，承包人应向发包人提交等额正式发票、收据，在收款至结算总额的97%时，需提交结算总额的全额发票，若属于地方税局或发包人代扣税项目，承包人须按有关要求办理相关代扣手续。</w:t>
      </w:r>
    </w:p>
    <w:p>
      <w:pPr>
        <w:spacing w:line="360" w:lineRule="auto"/>
        <w:ind w:left="420" w:leftChars="200"/>
        <w:rPr>
          <w:rFonts w:ascii="宋体" w:hAnsi="宋体" w:cs="宋体"/>
          <w:sz w:val="22"/>
        </w:rPr>
      </w:pPr>
      <w:r>
        <w:rPr>
          <w:rFonts w:hint="eastAsia" w:ascii="宋体" w:hAnsi="宋体" w:cs="宋体"/>
          <w:sz w:val="22"/>
        </w:rPr>
        <w:t>（13）若该款项使用民航局资金或财政资金,须由民航局或财政部门按规定程序审核后方预拨付。</w:t>
      </w:r>
    </w:p>
    <w:p>
      <w:pPr>
        <w:spacing w:line="360" w:lineRule="auto"/>
        <w:ind w:left="420" w:leftChars="200"/>
        <w:rPr>
          <w:rFonts w:ascii="宋体" w:hAnsi="宋体" w:cs="宋体"/>
          <w:sz w:val="22"/>
        </w:rPr>
      </w:pPr>
      <w:r>
        <w:rPr>
          <w:rFonts w:hint="eastAsia" w:ascii="宋体" w:hAnsi="宋体" w:cs="宋体"/>
          <w:sz w:val="22"/>
        </w:rPr>
        <w:t>（14）承包人收到工程款后，应按分包协议按时足额拨付各分包单位。如出现承包人未及时或足额拨付分包单位工程款项，发包人有权按照分包合同代扣代付，由发包人直接拨付给分包单位，并在承包人的进度款中予以扣除。</w:t>
      </w:r>
    </w:p>
    <w:p>
      <w:pPr>
        <w:spacing w:line="360" w:lineRule="auto"/>
        <w:ind w:left="420" w:leftChars="200"/>
        <w:rPr>
          <w:rFonts w:ascii="宋体" w:hAnsi="宋体" w:cs="宋体"/>
          <w:sz w:val="22"/>
        </w:rPr>
      </w:pPr>
      <w:r>
        <w:rPr>
          <w:rFonts w:hint="eastAsia" w:ascii="宋体" w:hAnsi="宋体" w:cs="宋体"/>
          <w:sz w:val="22"/>
        </w:rPr>
        <w:t>（15）在工程进度款支付时，发包人有权参照建材管理服务平台中登记的工程建筑材料使用量进行核算。（适用广州项目）</w:t>
      </w:r>
    </w:p>
    <w:p>
      <w:pPr>
        <w:spacing w:line="360" w:lineRule="auto"/>
        <w:ind w:left="420" w:leftChars="200"/>
        <w:rPr>
          <w:rFonts w:ascii="宋体" w:hAnsi="宋体" w:cs="宋体"/>
          <w:sz w:val="18"/>
          <w:szCs w:val="20"/>
        </w:rPr>
      </w:pPr>
      <w:r>
        <w:rPr>
          <w:rFonts w:hint="eastAsia" w:ascii="宋体" w:hAnsi="宋体" w:cs="宋体"/>
          <w:sz w:val="22"/>
        </w:rPr>
        <w:t>（16）（根据项目选用）合同清单项目内的桩长、溶洞处理工程量，可根据经发包人确认的现场实际完成工程量计取已完工程投资（产值），再按（2）约定支付款项。</w:t>
      </w:r>
    </w:p>
    <w:p>
      <w:pPr>
        <w:spacing w:line="360" w:lineRule="auto"/>
        <w:ind w:left="420" w:leftChars="200"/>
        <w:rPr>
          <w:rFonts w:ascii="宋体" w:hAnsi="宋体" w:cs="宋体"/>
          <w:strike/>
          <w:sz w:val="22"/>
          <w:szCs w:val="20"/>
        </w:rPr>
      </w:pPr>
      <w:r>
        <w:rPr>
          <w:rFonts w:hint="eastAsia" w:ascii="宋体" w:hAnsi="宋体" w:cs="宋体"/>
          <w:strike/>
          <w:sz w:val="22"/>
          <w:szCs w:val="20"/>
        </w:rPr>
        <w:t>81.1.2</w:t>
      </w:r>
      <w:r>
        <w:rPr>
          <w:rFonts w:hint="eastAsia" w:ascii="宋体" w:hAnsi="宋体" w:cs="宋体"/>
          <w:strike/>
          <w:sz w:val="22"/>
        </w:rPr>
        <w:t>（根据项目选用）</w:t>
      </w:r>
      <w:r>
        <w:rPr>
          <w:rFonts w:hint="eastAsia" w:ascii="宋体" w:hAnsi="宋体" w:cs="宋体"/>
          <w:strike/>
          <w:sz w:val="22"/>
          <w:szCs w:val="20"/>
        </w:rPr>
        <w:t>总承包管理费支付：总承包管理费包括基本管理费和绩效考核酬金</w:t>
      </w:r>
    </w:p>
    <w:p>
      <w:pPr>
        <w:spacing w:line="360" w:lineRule="auto"/>
        <w:ind w:left="420" w:leftChars="200"/>
        <w:rPr>
          <w:rFonts w:ascii="宋体" w:hAnsi="宋体" w:cs="宋体"/>
          <w:strike/>
          <w:sz w:val="22"/>
          <w:szCs w:val="20"/>
        </w:rPr>
      </w:pPr>
      <w:r>
        <w:rPr>
          <w:rFonts w:hint="eastAsia" w:ascii="宋体" w:hAnsi="宋体" w:cs="宋体"/>
          <w:strike/>
          <w:sz w:val="22"/>
          <w:szCs w:val="20"/>
        </w:rPr>
        <w:t>（1）基本管理费占总费用的</w:t>
      </w:r>
      <w:r>
        <w:rPr>
          <w:rFonts w:hint="eastAsia" w:ascii="宋体" w:hAnsi="宋体" w:cs="宋体"/>
          <w:strike/>
          <w:sz w:val="22"/>
          <w:szCs w:val="20"/>
          <w:u w:val="single"/>
        </w:rPr>
        <w:t xml:space="preserve">    </w:t>
      </w:r>
      <w:r>
        <w:rPr>
          <w:rFonts w:hint="eastAsia" w:ascii="宋体" w:hAnsi="宋体" w:cs="宋体"/>
          <w:strike/>
          <w:sz w:val="22"/>
          <w:szCs w:val="20"/>
        </w:rPr>
        <w:t>%，按照15个月每月等额与工程进度款一并支付，累计支付至该部分费用总额的</w:t>
      </w:r>
      <w:r>
        <w:rPr>
          <w:rFonts w:hint="eastAsia" w:ascii="宋体" w:hAnsi="宋体" w:cs="宋体"/>
          <w:strike/>
          <w:sz w:val="22"/>
          <w:szCs w:val="20"/>
          <w:u w:val="single"/>
        </w:rPr>
        <w:t xml:space="preserve">   </w:t>
      </w:r>
      <w:r>
        <w:rPr>
          <w:rFonts w:hint="eastAsia" w:ascii="宋体" w:hAnsi="宋体" w:cs="宋体"/>
          <w:strike/>
          <w:sz w:val="22"/>
          <w:szCs w:val="20"/>
        </w:rPr>
        <w:t>%后不再支付，根据招标文件约定的总包管理范围内的工程竣工验收和行业验收合格后支付至该部分费用的95%，完成招标文件约定的总包管理范围内的全部工程档案（含城建档案及建设单位工程档案）移交并办理移交手续后，完成后付清该部分费用。</w:t>
      </w:r>
    </w:p>
    <w:p>
      <w:pPr>
        <w:spacing w:line="360" w:lineRule="auto"/>
        <w:ind w:left="420" w:leftChars="200"/>
        <w:rPr>
          <w:rFonts w:ascii="宋体" w:hAnsi="宋体" w:cs="宋体"/>
          <w:strike/>
          <w:sz w:val="22"/>
          <w:szCs w:val="20"/>
        </w:rPr>
      </w:pPr>
      <w:r>
        <w:rPr>
          <w:rFonts w:hint="eastAsia" w:ascii="宋体" w:hAnsi="宋体" w:cs="宋体"/>
          <w:strike/>
          <w:sz w:val="22"/>
          <w:szCs w:val="20"/>
        </w:rPr>
        <w:t>（2）绩效考核酬金占总费用的</w:t>
      </w:r>
      <w:r>
        <w:rPr>
          <w:rFonts w:hint="eastAsia" w:ascii="宋体" w:hAnsi="宋体" w:cs="宋体"/>
          <w:strike/>
          <w:sz w:val="22"/>
          <w:szCs w:val="20"/>
          <w:u w:val="single"/>
        </w:rPr>
        <w:t xml:space="preserve">  </w:t>
      </w:r>
      <w:r>
        <w:rPr>
          <w:rFonts w:hint="eastAsia" w:ascii="宋体" w:hAnsi="宋体" w:cs="宋体"/>
          <w:strike/>
          <w:sz w:val="22"/>
          <w:szCs w:val="20"/>
        </w:rPr>
        <w:t xml:space="preserve"> %，此酬金的50%为单位绩效考核酬金，50%为现场管理班子效考核酬金，此酬金由业主、监理工程师考核后方能支付。具体的考核办法和支付方式，将由业主和监理工程师另行制定。</w:t>
      </w:r>
    </w:p>
    <w:p>
      <w:pPr>
        <w:tabs>
          <w:tab w:val="left" w:pos="1485"/>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81.2 期中付款的最低限额为</w:t>
      </w:r>
      <w:r>
        <w:rPr>
          <w:rFonts w:hint="eastAsia" w:ascii="宋体" w:hAnsi="宋体" w:cs="宋体"/>
          <w:sz w:val="22"/>
          <w:u w:val="single"/>
        </w:rPr>
        <w:t xml:space="preserve"> 零 </w:t>
      </w:r>
      <w:r>
        <w:rPr>
          <w:rFonts w:hint="eastAsia" w:ascii="宋体" w:hAnsi="宋体" w:cs="宋体"/>
          <w:sz w:val="22"/>
        </w:rPr>
        <w:t>元。</w:t>
      </w:r>
    </w:p>
    <w:p>
      <w:pPr>
        <w:spacing w:line="360" w:lineRule="auto"/>
        <w:ind w:left="420" w:leftChars="200"/>
        <w:rPr>
          <w:rFonts w:ascii="宋体" w:hAnsi="宋体" w:cs="宋体"/>
          <w:sz w:val="22"/>
        </w:rPr>
      </w:pPr>
    </w:p>
    <w:p>
      <w:pPr>
        <w:autoSpaceDE w:val="0"/>
        <w:autoSpaceDN w:val="0"/>
        <w:adjustRightInd w:val="0"/>
        <w:spacing w:before="360" w:beforeLines="150" w:line="360" w:lineRule="auto"/>
        <w:jc w:val="left"/>
        <w:outlineLvl w:val="2"/>
        <w:rPr>
          <w:rFonts w:ascii="宋体" w:hAnsi="宋体" w:cs="宋体"/>
          <w:b/>
          <w:sz w:val="22"/>
        </w:rPr>
      </w:pPr>
      <w:bookmarkStart w:id="282" w:name="_Toc306287706"/>
      <w:bookmarkStart w:id="283" w:name="_Toc342306262"/>
      <w:bookmarkStart w:id="284" w:name="_Toc306287529"/>
      <w:bookmarkStart w:id="285" w:name="_Toc326239360"/>
      <w:r>
        <w:rPr>
          <w:rFonts w:hint="eastAsia" w:ascii="宋体" w:hAnsi="宋体" w:cs="宋体"/>
          <w:b/>
          <w:sz w:val="22"/>
        </w:rPr>
        <w:t>82．竣工结算</w:t>
      </w:r>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82.1 结算的程序和时限：</w:t>
      </w:r>
    </w:p>
    <w:p>
      <w:pPr>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 按合同通用条款的规定办理。</w:t>
      </w:r>
    </w:p>
    <w:p>
      <w:pPr>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 xml:space="preserve">■ 其他方式： </w:t>
      </w:r>
    </w:p>
    <w:p>
      <w:pPr>
        <w:autoSpaceDE w:val="0"/>
        <w:autoSpaceDN w:val="0"/>
        <w:adjustRightInd w:val="0"/>
        <w:spacing w:line="360" w:lineRule="auto"/>
        <w:ind w:left="420" w:leftChars="200" w:firstLine="440" w:firstLineChars="200"/>
        <w:jc w:val="left"/>
        <w:rPr>
          <w:rFonts w:ascii="宋体" w:hAnsi="宋体" w:cs="宋体"/>
          <w:sz w:val="22"/>
        </w:rPr>
      </w:pPr>
      <w:r>
        <w:rPr>
          <w:rFonts w:hint="eastAsia" w:ascii="宋体" w:hAnsi="宋体" w:cs="宋体"/>
          <w:sz w:val="22"/>
        </w:rPr>
        <w:t>（1）本项目的结算分为施工过程结算、竣工结算两个阶段</w:t>
      </w:r>
    </w:p>
    <w:p>
      <w:pPr>
        <w:autoSpaceDE w:val="0"/>
        <w:autoSpaceDN w:val="0"/>
        <w:adjustRightInd w:val="0"/>
        <w:spacing w:line="360" w:lineRule="auto"/>
        <w:ind w:left="420" w:leftChars="200" w:firstLine="440" w:firstLineChars="200"/>
        <w:jc w:val="left"/>
        <w:rPr>
          <w:rFonts w:ascii="宋体" w:hAnsi="宋体" w:cs="宋体"/>
          <w:sz w:val="22"/>
        </w:rPr>
      </w:pPr>
      <w:r>
        <w:rPr>
          <w:rFonts w:hint="eastAsia" w:ascii="宋体" w:hAnsi="宋体" w:cs="宋体"/>
          <w:sz w:val="22"/>
        </w:rPr>
        <w:t>（2）单项工程、单位工程、分部工程验收合格后，承包人应在30天内编制完成施工过程结算文件，并递交监理工程师和发包人审核。</w:t>
      </w:r>
    </w:p>
    <w:p>
      <w:pPr>
        <w:autoSpaceDE w:val="0"/>
        <w:autoSpaceDN w:val="0"/>
        <w:adjustRightInd w:val="0"/>
        <w:spacing w:line="360" w:lineRule="auto"/>
        <w:ind w:left="420" w:leftChars="200" w:firstLine="440" w:firstLineChars="200"/>
        <w:jc w:val="left"/>
        <w:rPr>
          <w:rFonts w:ascii="宋体" w:hAnsi="宋体" w:cs="宋体"/>
          <w:sz w:val="22"/>
        </w:rPr>
      </w:pPr>
      <w:r>
        <w:rPr>
          <w:rFonts w:hint="eastAsia" w:ascii="宋体" w:hAnsi="宋体" w:cs="宋体"/>
          <w:sz w:val="22"/>
        </w:rPr>
        <w:t>（3）工程竣工验收合格后，承包人应在30天内编制完成竣工结算文件，并递交监理工程师和发包人审核。</w:t>
      </w:r>
    </w:p>
    <w:p>
      <w:pPr>
        <w:autoSpaceDE w:val="0"/>
        <w:autoSpaceDN w:val="0"/>
        <w:adjustRightInd w:val="0"/>
        <w:spacing w:line="360" w:lineRule="auto"/>
        <w:ind w:left="420" w:leftChars="200" w:firstLine="440" w:firstLineChars="200"/>
        <w:jc w:val="left"/>
        <w:rPr>
          <w:rFonts w:ascii="宋体" w:hAnsi="宋体" w:cs="宋体"/>
          <w:sz w:val="20"/>
          <w:szCs w:val="21"/>
        </w:rPr>
      </w:pPr>
      <w:r>
        <w:rPr>
          <w:rFonts w:hint="eastAsia" w:ascii="宋体" w:hAnsi="宋体" w:cs="宋体"/>
          <w:sz w:val="22"/>
        </w:rPr>
        <w:t>（4）发包人应在收到完整的结算文件（包括施工过程结算、竣工结算）后，60天内完成初审。</w:t>
      </w:r>
    </w:p>
    <w:p>
      <w:pPr>
        <w:autoSpaceDE w:val="0"/>
        <w:autoSpaceDN w:val="0"/>
        <w:adjustRightInd w:val="0"/>
        <w:spacing w:line="360" w:lineRule="auto"/>
        <w:ind w:left="420" w:leftChars="200" w:firstLine="440" w:firstLineChars="200"/>
        <w:jc w:val="left"/>
        <w:rPr>
          <w:rFonts w:ascii="宋体" w:hAnsi="宋体" w:cs="宋体"/>
          <w:sz w:val="22"/>
        </w:rPr>
      </w:pPr>
      <w:r>
        <w:rPr>
          <w:rFonts w:hint="eastAsia" w:ascii="宋体" w:hAnsi="宋体" w:cs="宋体"/>
          <w:sz w:val="22"/>
        </w:rPr>
        <w:t>（5）承包人未在规定的时间内递交完整的竣工结算文件，经发包人催促后仍未递交或没有明确答复的，发包人有权根据自己掌握的资料编制竣工结算文件，作为办理竣工结算和支付结算款的依据，承包人应予以认可。</w:t>
      </w:r>
    </w:p>
    <w:p>
      <w:pPr>
        <w:autoSpaceDE w:val="0"/>
        <w:autoSpaceDN w:val="0"/>
        <w:adjustRightInd w:val="0"/>
        <w:spacing w:line="360" w:lineRule="auto"/>
        <w:ind w:left="420" w:leftChars="200" w:firstLine="440" w:firstLineChars="200"/>
        <w:jc w:val="left"/>
        <w:rPr>
          <w:rFonts w:ascii="宋体" w:hAnsi="宋体" w:cs="宋体"/>
          <w:sz w:val="22"/>
        </w:rPr>
      </w:pPr>
      <w:r>
        <w:rPr>
          <w:rFonts w:hint="eastAsia" w:ascii="宋体" w:hAnsi="宋体" w:cs="宋体"/>
          <w:sz w:val="22"/>
        </w:rPr>
        <w:t>（6）工程结算书以及其他结算资料的编制和报批的具体要求执行《广东省机场管理集团有限指挥部工程建设指挥部工程造价管理规定》。</w:t>
      </w:r>
    </w:p>
    <w:p>
      <w:pPr>
        <w:spacing w:line="360" w:lineRule="auto"/>
        <w:ind w:left="420" w:leftChars="200" w:firstLine="440" w:firstLineChars="200"/>
        <w:rPr>
          <w:rFonts w:ascii="宋体" w:hAnsi="宋体" w:cs="宋体"/>
          <w:sz w:val="22"/>
        </w:rPr>
      </w:pPr>
      <w:r>
        <w:rPr>
          <w:rFonts w:hint="eastAsia" w:ascii="宋体" w:hAnsi="宋体" w:cs="宋体"/>
          <w:sz w:val="22"/>
        </w:rPr>
        <w:t>（7）由于本工程涉及政府投资资金，初审后的工程结算书需经政府或产权人（业主）指定(认可)的审价部门（单位）最终审定。</w:t>
      </w:r>
    </w:p>
    <w:p>
      <w:pPr>
        <w:spacing w:line="360" w:lineRule="auto"/>
        <w:ind w:firstLine="492" w:firstLineChars="224"/>
        <w:rPr>
          <w:rFonts w:ascii="宋体" w:hAnsi="宋体" w:cs="宋体"/>
          <w:sz w:val="22"/>
        </w:rPr>
      </w:pPr>
      <w:r>
        <w:rPr>
          <w:rFonts w:hint="eastAsia" w:ascii="宋体" w:hAnsi="宋体" w:cs="宋体"/>
          <w:sz w:val="22"/>
        </w:rPr>
        <w:t>此项增加82.6、82.7、82.8条</w:t>
      </w:r>
    </w:p>
    <w:p>
      <w:pPr>
        <w:spacing w:line="360" w:lineRule="auto"/>
        <w:ind w:firstLine="492" w:firstLineChars="224"/>
        <w:rPr>
          <w:rFonts w:ascii="宋体" w:hAnsi="宋体" w:cs="宋体"/>
          <w:sz w:val="22"/>
        </w:rPr>
      </w:pPr>
      <w:r>
        <w:rPr>
          <w:rFonts w:hint="eastAsia" w:ascii="宋体" w:hAnsi="宋体" w:cs="宋体"/>
          <w:sz w:val="22"/>
        </w:rPr>
        <w:t>82.6承包人应秉着实事求是的态度，根据工程实际情况编制并提交竣工结算文件， 如实申报竣工结算金额。如承包人有意隐瞒不利于承包人事实或虚报工程量等情况虚大结算额，导致第三方造价咨询审定的结算额核减超</w:t>
      </w:r>
      <w:r>
        <w:rPr>
          <w:rFonts w:hint="eastAsia" w:ascii="宋体" w:hAnsi="宋体" w:cs="宋体"/>
          <w:sz w:val="22"/>
          <w:u w:val="single"/>
        </w:rPr>
        <w:t>过20%，超过20%部</w:t>
      </w:r>
      <w:r>
        <w:rPr>
          <w:rFonts w:hint="eastAsia" w:ascii="宋体" w:hAnsi="宋体" w:cs="宋体"/>
          <w:sz w:val="22"/>
        </w:rPr>
        <w:t>分的造价咨询服务费由承包人承担，发包人有权在结算中，直接扣除此项费用。</w:t>
      </w:r>
    </w:p>
    <w:p>
      <w:pPr>
        <w:spacing w:line="360" w:lineRule="auto"/>
        <w:ind w:firstLine="492" w:firstLineChars="224"/>
        <w:rPr>
          <w:rFonts w:ascii="宋体" w:hAnsi="宋体" w:cs="宋体"/>
          <w:sz w:val="22"/>
        </w:rPr>
      </w:pPr>
      <w:r>
        <w:rPr>
          <w:rFonts w:hint="eastAsia" w:ascii="宋体" w:hAnsi="宋体" w:cs="宋体"/>
          <w:sz w:val="22"/>
        </w:rPr>
        <w:t>82.7结算原则：</w:t>
      </w:r>
    </w:p>
    <w:p>
      <w:pPr>
        <w:spacing w:line="360" w:lineRule="auto"/>
        <w:ind w:firstLine="492" w:firstLineChars="224"/>
        <w:rPr>
          <w:rFonts w:ascii="宋体" w:hAnsi="宋体" w:cs="宋体"/>
          <w:sz w:val="22"/>
        </w:rPr>
      </w:pPr>
      <w:r>
        <w:rPr>
          <w:rFonts w:hint="eastAsia" w:ascii="宋体" w:hAnsi="宋体" w:cs="宋体"/>
          <w:sz w:val="22"/>
        </w:rPr>
        <w:t>（1）未涉及深化设计的单项工程、单位工程、分部工程，结算金额根据竣工图及其他资料作为依据编制确定；需要深化设计的单项工程、单位工程、分部工程，结算金额根据招标图、设计变更、签证等计算确定，因深化设计造成的费用变化由承包人承担；</w:t>
      </w:r>
    </w:p>
    <w:p>
      <w:pPr>
        <w:spacing w:line="360" w:lineRule="auto"/>
        <w:ind w:firstLine="492" w:firstLineChars="224"/>
        <w:rPr>
          <w:rFonts w:ascii="宋体" w:hAnsi="宋体" w:cs="宋体"/>
          <w:sz w:val="22"/>
        </w:rPr>
      </w:pPr>
      <w:r>
        <w:rPr>
          <w:rFonts w:hint="eastAsia" w:ascii="宋体" w:hAnsi="宋体" w:cs="宋体"/>
          <w:sz w:val="22"/>
        </w:rPr>
        <w:t>（2）经发承包双方签署认可的施工过程结算文件，作为竣工结算文件的组成部分，一般情况下不再重新对已确认的施工过程结算内容进行计量计价。工程竣工结算价款一般情况下由符合施工合同约定全部施工过程结算节点的工程价款与符合施工合同要求且施工过程结算未计算的价款以及合同约定的奖罚费用组成。但如果施工过程结算存在明显错误时，发包人有权在竣工结算时予以修正 ；</w:t>
      </w:r>
    </w:p>
    <w:p>
      <w:pPr>
        <w:pStyle w:val="19"/>
        <w:snapToGrid w:val="0"/>
        <w:spacing w:line="360" w:lineRule="auto"/>
        <w:ind w:firstLine="440" w:firstLineChars="200"/>
        <w:rPr>
          <w:rFonts w:hAnsi="宋体" w:cs="宋体"/>
          <w:sz w:val="22"/>
          <w:szCs w:val="22"/>
        </w:rPr>
      </w:pPr>
      <w:r>
        <w:rPr>
          <w:rFonts w:hint="eastAsia" w:hAnsi="宋体" w:cs="宋体"/>
          <w:sz w:val="22"/>
          <w:szCs w:val="22"/>
        </w:rPr>
        <w:t xml:space="preserve"> （3）承包人投标时应结合招标文件、合同条款、技术规范及图纸报价，承包人对比招标施工图发现招标清单有缺漏项、及招标清单项目特征描述不全、描述与图纸及技术规范不符、材料设备价格存在与市场严重偏差，应在答疑时提出具体明细项，未在招标答疑提出视为在报价时已综合考虑上述因素，除调整设计变更变化费用外，其余在结算时不予计算。答疑时发包人回复不予调整的，结算时不予计算，相关费用由承包人考虑在报价内。</w:t>
      </w:r>
    </w:p>
    <w:p>
      <w:pPr>
        <w:snapToGrid w:val="0"/>
        <w:spacing w:line="360" w:lineRule="auto"/>
        <w:ind w:firstLine="440" w:firstLineChars="200"/>
        <w:rPr>
          <w:rFonts w:ascii="宋体" w:hAnsi="宋体" w:cs="宋体"/>
          <w:sz w:val="22"/>
        </w:rPr>
      </w:pPr>
      <w:r>
        <w:rPr>
          <w:rFonts w:hint="eastAsia" w:ascii="宋体" w:hAnsi="宋体" w:cs="宋体"/>
          <w:sz w:val="22"/>
        </w:rPr>
        <w:t>（4）采用BIM模型，结算以招标模型为基础，叠加签证、设计变更形成BIM结算模型，造价算量软件和BIM模型计量复核差异，根据招标清单约定计量规则作为结算工程量的依据。</w:t>
      </w:r>
    </w:p>
    <w:p>
      <w:pPr>
        <w:snapToGrid w:val="0"/>
        <w:spacing w:line="360" w:lineRule="auto"/>
        <w:ind w:firstLine="440" w:firstLineChars="200"/>
        <w:rPr>
          <w:rFonts w:ascii="宋体" w:hAnsi="宋体" w:cs="宋体"/>
          <w:sz w:val="22"/>
        </w:rPr>
      </w:pPr>
      <w:r>
        <w:rPr>
          <w:rFonts w:hint="eastAsia" w:ascii="宋体" w:hAnsi="宋体" w:cs="宋体"/>
          <w:sz w:val="22"/>
        </w:rPr>
        <w:t>（5）招标工程量清单编制说明的相关约定。</w:t>
      </w:r>
    </w:p>
    <w:p>
      <w:pPr>
        <w:snapToGrid w:val="0"/>
        <w:spacing w:line="360" w:lineRule="auto"/>
        <w:ind w:left="630" w:leftChars="300"/>
        <w:rPr>
          <w:rFonts w:ascii="宋体" w:hAnsi="宋体" w:cs="宋体"/>
          <w:sz w:val="22"/>
        </w:rPr>
      </w:pPr>
      <w:r>
        <w:rPr>
          <w:rFonts w:hint="eastAsia" w:ascii="宋体" w:hAnsi="宋体" w:cs="宋体"/>
          <w:sz w:val="22"/>
        </w:rPr>
        <w:t>82.8承包人递交的竣工结算文件资料及要求：</w:t>
      </w:r>
    </w:p>
    <w:p>
      <w:pPr>
        <w:spacing w:line="360" w:lineRule="auto"/>
        <w:ind w:left="630" w:leftChars="300"/>
        <w:rPr>
          <w:rFonts w:ascii="宋体" w:hAnsi="宋体" w:cs="宋体"/>
          <w:sz w:val="22"/>
        </w:rPr>
      </w:pPr>
      <w:r>
        <w:rPr>
          <w:rFonts w:hint="eastAsia" w:ascii="宋体" w:hAnsi="宋体" w:cs="宋体"/>
          <w:sz w:val="22"/>
        </w:rPr>
        <w:t>（1）结算书（含电子版）：按发包人提供的格式填报；</w:t>
      </w:r>
    </w:p>
    <w:p>
      <w:pPr>
        <w:spacing w:line="360" w:lineRule="auto"/>
        <w:ind w:left="630" w:leftChars="300"/>
        <w:rPr>
          <w:rFonts w:ascii="宋体" w:hAnsi="宋体" w:cs="宋体"/>
          <w:sz w:val="22"/>
        </w:rPr>
      </w:pPr>
      <w:r>
        <w:rPr>
          <w:rFonts w:hint="eastAsia" w:ascii="宋体" w:hAnsi="宋体" w:cs="宋体"/>
          <w:sz w:val="22"/>
        </w:rPr>
        <w:t>（2）工程量计算书（即计算底稿）（含电子版）：工程量计算书应由工程量汇总表和详细的工程量计算式组成，工程量应有详细的计算表达式，施工图、图纸会审记录、设计变更、工程洽商记录、现场签证单，监理工程师通知或发包人施工指令等部分的内容应在工程量计算式中一次计算。用电脑编制的工程量计算书应提供相应的拷贝光盘；</w:t>
      </w:r>
    </w:p>
    <w:p>
      <w:pPr>
        <w:spacing w:line="360" w:lineRule="auto"/>
        <w:ind w:left="630" w:leftChars="300"/>
        <w:rPr>
          <w:rFonts w:ascii="宋体" w:hAnsi="宋体" w:cs="宋体"/>
          <w:sz w:val="22"/>
        </w:rPr>
      </w:pPr>
      <w:r>
        <w:rPr>
          <w:rFonts w:hint="eastAsia" w:ascii="宋体" w:hAnsi="宋体" w:cs="宋体"/>
          <w:sz w:val="22"/>
        </w:rPr>
        <w:t>（3）工程施工合同：包括发包人与承包人签订的工程施工合同、各类补充合同、合同附件等，要求将上述合同文件列出总目录按顺序整理装订成册；</w:t>
      </w:r>
    </w:p>
    <w:p>
      <w:pPr>
        <w:spacing w:line="360" w:lineRule="auto"/>
        <w:ind w:left="630" w:leftChars="300"/>
        <w:rPr>
          <w:rFonts w:ascii="宋体" w:hAnsi="宋体" w:cs="宋体"/>
          <w:sz w:val="22"/>
        </w:rPr>
      </w:pPr>
      <w:r>
        <w:rPr>
          <w:rFonts w:hint="eastAsia" w:ascii="宋体" w:hAnsi="宋体" w:cs="宋体"/>
          <w:sz w:val="22"/>
        </w:rPr>
        <w:t>（4）竣工图：按工程建设指挥部档案室的管理规定编制竣工图及竣工BIM模型；</w:t>
      </w:r>
    </w:p>
    <w:p>
      <w:pPr>
        <w:spacing w:line="360" w:lineRule="auto"/>
        <w:ind w:left="630" w:leftChars="300"/>
        <w:rPr>
          <w:rFonts w:ascii="宋体" w:hAnsi="宋体" w:cs="宋体"/>
          <w:sz w:val="22"/>
        </w:rPr>
      </w:pPr>
      <w:r>
        <w:rPr>
          <w:rFonts w:hint="eastAsia" w:ascii="宋体" w:hAnsi="宋体" w:cs="宋体"/>
          <w:sz w:val="22"/>
        </w:rPr>
        <w:t>（5）竣工资料：包括开工报告、竣工报告、工程质量验收评定证书、图纸会审记录。整理装订成册的竣工资料需编制总目录，并在每一页的下方统一编号，以便于查找；</w:t>
      </w:r>
    </w:p>
    <w:p>
      <w:pPr>
        <w:spacing w:line="360" w:lineRule="auto"/>
        <w:ind w:left="630" w:leftChars="300"/>
        <w:rPr>
          <w:rFonts w:ascii="宋体" w:hAnsi="宋体" w:cs="宋体"/>
          <w:sz w:val="22"/>
        </w:rPr>
      </w:pPr>
      <w:r>
        <w:rPr>
          <w:rFonts w:hint="eastAsia" w:ascii="宋体" w:hAnsi="宋体" w:cs="宋体"/>
          <w:sz w:val="22"/>
        </w:rPr>
        <w:t>（6）设计变更单：要求按设计变更的时间先后整理装订成册。设计变更单包括设计变更面单及附图（A2及以上附图较大图纸可以不附），设计变更要求加盖有设计单位及发包人出图章；</w:t>
      </w:r>
    </w:p>
    <w:p>
      <w:pPr>
        <w:spacing w:line="360" w:lineRule="auto"/>
        <w:ind w:left="630" w:leftChars="300"/>
        <w:rPr>
          <w:rFonts w:ascii="宋体" w:hAnsi="宋体" w:cs="宋体"/>
          <w:sz w:val="22"/>
        </w:rPr>
      </w:pPr>
      <w:r>
        <w:rPr>
          <w:rFonts w:hint="eastAsia" w:ascii="宋体" w:hAnsi="宋体" w:cs="宋体"/>
          <w:sz w:val="22"/>
        </w:rPr>
        <w:t>（7）合同变更：要求根据合同变更的时间先后整理装订成册，然后在每一页的下方统一编号，以便于查找。合同变更必须按程序经过报批；合同变更包括申报、监理审核、咨询审核报告及附件资料整套。</w:t>
      </w:r>
    </w:p>
    <w:p>
      <w:pPr>
        <w:spacing w:line="360" w:lineRule="auto"/>
        <w:ind w:left="630" w:leftChars="300"/>
        <w:rPr>
          <w:rFonts w:ascii="宋体" w:hAnsi="宋体" w:cs="宋体"/>
          <w:sz w:val="22"/>
        </w:rPr>
      </w:pPr>
      <w:r>
        <w:rPr>
          <w:rFonts w:hint="eastAsia" w:ascii="宋体" w:hAnsi="宋体" w:cs="宋体"/>
          <w:sz w:val="22"/>
        </w:rPr>
        <w:t>（8）会议纪要：指工程投资有关的会议纪要。要求根据会议纪要的时间先后整理装订成册，然后在每一页的下方统一编号；</w:t>
      </w:r>
    </w:p>
    <w:p>
      <w:pPr>
        <w:spacing w:line="360" w:lineRule="auto"/>
        <w:ind w:left="630" w:leftChars="300"/>
        <w:rPr>
          <w:rFonts w:ascii="宋体" w:hAnsi="宋体" w:cs="宋体"/>
          <w:sz w:val="22"/>
        </w:rPr>
      </w:pPr>
      <w:r>
        <w:rPr>
          <w:rFonts w:hint="eastAsia" w:ascii="宋体" w:hAnsi="宋体" w:cs="宋体"/>
          <w:sz w:val="22"/>
        </w:rPr>
        <w:t>（9）现场签证单：要求根据现场签证单的时间先后整理装订成册，然后在每一页的下方统一编号，现场签证单上应有工程数量的计算过程和施工简图，并由承包人、监理单位和发包人三方签字盖章确认；</w:t>
      </w:r>
    </w:p>
    <w:p>
      <w:pPr>
        <w:spacing w:line="360" w:lineRule="auto"/>
        <w:ind w:left="630" w:leftChars="300"/>
        <w:rPr>
          <w:rFonts w:ascii="宋体" w:hAnsi="宋体" w:cs="宋体"/>
          <w:sz w:val="22"/>
        </w:rPr>
      </w:pPr>
      <w:r>
        <w:rPr>
          <w:rFonts w:hint="eastAsia" w:ascii="宋体" w:hAnsi="宋体" w:cs="宋体"/>
          <w:sz w:val="22"/>
        </w:rPr>
        <w:t>（10）发包人供应材料收货验收签收单：按发包人供应材料收货验收签收单的编号顺序及不同材料分类整理装订成册。要求发包人供应材料收货验收签收单上有承包人、材料供货单位、监理单位、发包人代表签字和单位盖章确认。承包人应提供甲供材料的领料单及退库单；</w:t>
      </w:r>
    </w:p>
    <w:p>
      <w:pPr>
        <w:spacing w:line="360" w:lineRule="auto"/>
        <w:ind w:left="630" w:leftChars="300"/>
        <w:rPr>
          <w:rFonts w:ascii="宋体" w:hAnsi="宋体" w:cs="宋体"/>
          <w:sz w:val="22"/>
        </w:rPr>
      </w:pPr>
      <w:r>
        <w:rPr>
          <w:rFonts w:hint="eastAsia" w:ascii="宋体" w:hAnsi="宋体" w:cs="宋体"/>
          <w:sz w:val="22"/>
        </w:rPr>
        <w:t>（11）材料设备单价依据文件：凡在工程招标文件或工程承包合同中未明确的主要材料设备单价依据文件，要求按顺序整理装订成册。依据文件包括询价单、材料发票、购买合同等有效材料设备价格凭证等。</w:t>
      </w:r>
    </w:p>
    <w:p>
      <w:pPr>
        <w:spacing w:line="360" w:lineRule="auto"/>
        <w:ind w:left="630" w:leftChars="300"/>
        <w:rPr>
          <w:rFonts w:ascii="宋体" w:hAnsi="宋体" w:cs="宋体"/>
          <w:sz w:val="22"/>
        </w:rPr>
      </w:pPr>
      <w:r>
        <w:rPr>
          <w:rFonts w:hint="eastAsia" w:ascii="宋体" w:hAnsi="宋体" w:cs="宋体"/>
          <w:sz w:val="22"/>
        </w:rPr>
        <w:t>（12）施工过程结算资料（仅适用于竣工结算）。</w:t>
      </w:r>
    </w:p>
    <w:p>
      <w:pPr>
        <w:spacing w:line="360" w:lineRule="auto"/>
        <w:ind w:left="630" w:leftChars="300"/>
        <w:rPr>
          <w:rFonts w:ascii="宋体" w:hAnsi="宋体" w:cs="宋体"/>
          <w:sz w:val="22"/>
        </w:rPr>
      </w:pPr>
      <w:r>
        <w:rPr>
          <w:rFonts w:hint="eastAsia" w:ascii="宋体" w:hAnsi="宋体" w:cs="宋体"/>
          <w:sz w:val="22"/>
        </w:rPr>
        <w:t>（13）其他结算资料：凡上述未提及而在结算评审中需要的资料均需提供，例如：施工日记、非常用的标准图集、应由承包人承担而由建设单位支付的费用证明等；</w:t>
      </w:r>
    </w:p>
    <w:p>
      <w:pPr>
        <w:autoSpaceDE w:val="0"/>
        <w:autoSpaceDN w:val="0"/>
        <w:adjustRightInd w:val="0"/>
        <w:spacing w:before="360" w:beforeLines="150" w:line="360" w:lineRule="auto"/>
        <w:jc w:val="left"/>
        <w:outlineLvl w:val="2"/>
        <w:rPr>
          <w:rFonts w:ascii="宋体" w:hAnsi="宋体" w:cs="宋体"/>
          <w:b/>
          <w:sz w:val="22"/>
        </w:rPr>
      </w:pPr>
      <w:r>
        <w:rPr>
          <w:rFonts w:hint="eastAsia" w:ascii="宋体" w:hAnsi="宋体" w:cs="宋体"/>
          <w:b/>
          <w:sz w:val="22"/>
        </w:rPr>
        <w:t>83．结算款</w:t>
      </w:r>
    </w:p>
    <w:p>
      <w:pPr>
        <w:spacing w:line="360" w:lineRule="auto"/>
        <w:ind w:left="840" w:leftChars="400"/>
        <w:rPr>
          <w:rFonts w:ascii="宋体" w:hAnsi="宋体" w:cs="宋体"/>
          <w:sz w:val="22"/>
        </w:rPr>
      </w:pPr>
      <w:r>
        <w:rPr>
          <w:rFonts w:hint="eastAsia" w:ascii="宋体" w:hAnsi="宋体" w:cs="宋体"/>
          <w:sz w:val="22"/>
        </w:rPr>
        <w:t>（1）施工过程结算手续完成(移交工程和结算档案资料)后，发包人向承包人支付工程款至施工过程结算金额的90%。</w:t>
      </w:r>
    </w:p>
    <w:p>
      <w:pPr>
        <w:spacing w:line="360" w:lineRule="auto"/>
        <w:ind w:left="840" w:leftChars="400"/>
        <w:rPr>
          <w:rFonts w:ascii="宋体" w:hAnsi="宋体" w:cs="宋体"/>
          <w:sz w:val="22"/>
        </w:rPr>
      </w:pPr>
      <w:r>
        <w:rPr>
          <w:rFonts w:hint="eastAsia" w:ascii="宋体" w:hAnsi="宋体" w:cs="宋体"/>
          <w:sz w:val="22"/>
        </w:rPr>
        <w:t>（2）工程结算完成初审，且移交工程和结算档案资料后，发包人向承包人支付结算款至初审金额的93%。</w:t>
      </w:r>
    </w:p>
    <w:p>
      <w:pPr>
        <w:spacing w:line="360" w:lineRule="auto"/>
        <w:ind w:left="840" w:leftChars="400"/>
        <w:rPr>
          <w:rFonts w:ascii="宋体" w:hAnsi="宋体" w:cs="宋体"/>
          <w:sz w:val="22"/>
        </w:rPr>
      </w:pPr>
      <w:r>
        <w:rPr>
          <w:rFonts w:hint="eastAsia" w:ascii="宋体" w:hAnsi="宋体" w:cs="宋体"/>
          <w:sz w:val="22"/>
        </w:rPr>
        <w:t>（3）工程结算复（或终）审后，发包人向承包人支付结算款至复（或终）审金额的97%。</w:t>
      </w:r>
    </w:p>
    <w:p>
      <w:pPr>
        <w:spacing w:line="360" w:lineRule="auto"/>
        <w:ind w:left="840" w:leftChars="400"/>
        <w:rPr>
          <w:rFonts w:ascii="宋体" w:hAnsi="宋体" w:cs="宋体"/>
          <w:sz w:val="22"/>
        </w:rPr>
      </w:pPr>
      <w:r>
        <w:rPr>
          <w:rFonts w:hint="eastAsia" w:ascii="宋体" w:hAnsi="宋体" w:cs="宋体"/>
          <w:sz w:val="22"/>
        </w:rPr>
        <w:t>（4）工程结算复（或终）审后，且工程缺陷责任期终止后，支付至复（或终）审金额的100%（须扣除承包商未按要求返修而由发包人另行委托修补缺陷发生的费用）。</w:t>
      </w:r>
    </w:p>
    <w:p>
      <w:pPr>
        <w:spacing w:line="360" w:lineRule="auto"/>
        <w:ind w:left="840" w:leftChars="400"/>
        <w:rPr>
          <w:rFonts w:ascii="宋体" w:hAnsi="宋体" w:cs="宋体"/>
          <w:sz w:val="22"/>
        </w:rPr>
      </w:pPr>
      <w:r>
        <w:rPr>
          <w:rFonts w:hint="eastAsia" w:ascii="宋体" w:hAnsi="宋体" w:cs="宋体"/>
          <w:sz w:val="22"/>
        </w:rPr>
        <w:t>（5）如工程缺陷责任期终止后，工程结算复（或终）审仍未完成，发包人向承包人支付结算款至初审金额的94%，待结算复（或终）审完成时，按复（或终）结算额支付剩余部分。</w:t>
      </w:r>
    </w:p>
    <w:p>
      <w:pPr>
        <w:spacing w:line="360" w:lineRule="auto"/>
        <w:ind w:left="840" w:leftChars="400"/>
        <w:rPr>
          <w:rFonts w:ascii="宋体" w:hAnsi="宋体" w:cs="宋体"/>
          <w:sz w:val="22"/>
        </w:rPr>
      </w:pPr>
      <w:r>
        <w:rPr>
          <w:rFonts w:hint="eastAsia" w:ascii="宋体" w:hAnsi="宋体" w:cs="宋体"/>
          <w:sz w:val="22"/>
        </w:rPr>
        <w:t>（6）承包人在申请结算款时，应向发包人提交工程付款申请表、结算书和发票等有效材料。</w:t>
      </w:r>
    </w:p>
    <w:bookmarkEnd w:id="282"/>
    <w:bookmarkEnd w:id="283"/>
    <w:bookmarkEnd w:id="284"/>
    <w:bookmarkEnd w:id="285"/>
    <w:p>
      <w:pPr>
        <w:autoSpaceDE w:val="0"/>
        <w:autoSpaceDN w:val="0"/>
        <w:adjustRightInd w:val="0"/>
        <w:spacing w:before="360" w:beforeLines="150" w:line="360" w:lineRule="auto"/>
        <w:jc w:val="left"/>
        <w:outlineLvl w:val="2"/>
        <w:rPr>
          <w:rFonts w:ascii="宋体" w:hAnsi="宋体" w:cs="宋体"/>
          <w:b/>
          <w:sz w:val="22"/>
        </w:rPr>
      </w:pPr>
      <w:bookmarkStart w:id="286" w:name="_Toc342306263"/>
      <w:bookmarkStart w:id="287" w:name="_Toc306287707"/>
      <w:bookmarkStart w:id="288" w:name="_Toc326239361"/>
      <w:bookmarkStart w:id="289" w:name="_Toc306287530"/>
      <w:r>
        <w:rPr>
          <w:rFonts w:hint="eastAsia" w:ascii="宋体" w:hAnsi="宋体" w:cs="宋体"/>
          <w:b/>
          <w:sz w:val="22"/>
        </w:rPr>
        <w:t>84．质量保证金</w:t>
      </w:r>
      <w:bookmarkEnd w:id="286"/>
      <w:bookmarkEnd w:id="287"/>
      <w:bookmarkEnd w:id="288"/>
      <w:bookmarkEnd w:id="289"/>
    </w:p>
    <w:p>
      <w:pPr>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84.2 质量保证金的金额及扣留</w:t>
      </w:r>
    </w:p>
    <w:p>
      <w:pPr>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(1)质量保证金的约定</w:t>
      </w:r>
    </w:p>
    <w:p>
      <w:pPr>
        <w:autoSpaceDE w:val="0"/>
        <w:autoSpaceDN w:val="0"/>
        <w:adjustRightInd w:val="0"/>
        <w:spacing w:line="360" w:lineRule="auto"/>
        <w:ind w:left="1260" w:leftChars="600"/>
        <w:rPr>
          <w:rFonts w:ascii="宋体" w:hAnsi="宋体" w:cs="宋体"/>
          <w:sz w:val="22"/>
          <w:szCs w:val="20"/>
        </w:rPr>
      </w:pPr>
      <w:r>
        <w:rPr>
          <w:rFonts w:hint="eastAsia" w:ascii="宋体" w:hAnsi="宋体" w:cs="宋体"/>
          <w:sz w:val="22"/>
          <w:szCs w:val="20"/>
        </w:rPr>
        <w:t>□ 按合同通用条款的规定为合同价款的3%，即</w:t>
      </w:r>
      <w:r>
        <w:rPr>
          <w:rFonts w:hint="eastAsia" w:ascii="宋体" w:hAnsi="宋体" w:cs="宋体"/>
          <w:sz w:val="22"/>
          <w:szCs w:val="20"/>
          <w:u w:val="single"/>
        </w:rPr>
        <w:t xml:space="preserve">     </w:t>
      </w:r>
      <w:r>
        <w:rPr>
          <w:rFonts w:hint="eastAsia" w:ascii="宋体" w:hAnsi="宋体" w:cs="宋体"/>
          <w:sz w:val="22"/>
          <w:szCs w:val="20"/>
        </w:rPr>
        <w:t xml:space="preserve"> 元。</w:t>
      </w:r>
    </w:p>
    <w:p>
      <w:pPr>
        <w:autoSpaceDE w:val="0"/>
        <w:autoSpaceDN w:val="0"/>
        <w:adjustRightInd w:val="0"/>
        <w:spacing w:line="360" w:lineRule="auto"/>
        <w:ind w:left="1260" w:leftChars="600"/>
        <w:jc w:val="left"/>
        <w:rPr>
          <w:rFonts w:ascii="宋体" w:hAnsi="宋体" w:cs="宋体"/>
          <w:sz w:val="22"/>
          <w:szCs w:val="20"/>
        </w:rPr>
      </w:pPr>
      <w:r>
        <w:rPr>
          <w:rFonts w:hint="eastAsia" w:ascii="宋体" w:hAnsi="宋体" w:cs="宋体"/>
          <w:sz w:val="22"/>
          <w:szCs w:val="20"/>
        </w:rPr>
        <w:t>■ 另有约定：按</w:t>
      </w:r>
      <w:r>
        <w:rPr>
          <w:rFonts w:hint="eastAsia" w:ascii="宋体" w:hAnsi="宋体" w:cs="宋体"/>
          <w:sz w:val="22"/>
          <w:shd w:val="clear" w:color="auto" w:fill="FFFFFF"/>
        </w:rPr>
        <w:t>工程价款结算总额的3%</w:t>
      </w:r>
      <w:r>
        <w:rPr>
          <w:rFonts w:hint="eastAsia" w:ascii="宋体" w:hAnsi="宋体" w:cs="宋体"/>
          <w:sz w:val="22"/>
          <w:szCs w:val="20"/>
        </w:rPr>
        <w:t>。</w:t>
      </w:r>
    </w:p>
    <w:p>
      <w:pPr>
        <w:spacing w:line="360" w:lineRule="auto"/>
        <w:ind w:left="840" w:leftChars="400"/>
        <w:rPr>
          <w:rFonts w:ascii="宋体" w:hAnsi="宋体" w:cs="宋体"/>
          <w:sz w:val="22"/>
          <w:szCs w:val="20"/>
        </w:rPr>
      </w:pPr>
      <w:r>
        <w:rPr>
          <w:rFonts w:hint="eastAsia" w:ascii="宋体" w:hAnsi="宋体" w:cs="宋体"/>
          <w:sz w:val="22"/>
          <w:szCs w:val="20"/>
        </w:rPr>
        <w:t>(2)质量保证金的扣留：</w:t>
      </w:r>
    </w:p>
    <w:p>
      <w:pPr>
        <w:spacing w:line="360" w:lineRule="auto"/>
        <w:ind w:left="1260" w:leftChars="600"/>
        <w:rPr>
          <w:rFonts w:ascii="宋体" w:hAnsi="宋体" w:cs="宋体"/>
          <w:sz w:val="22"/>
          <w:szCs w:val="20"/>
        </w:rPr>
      </w:pPr>
      <w:r>
        <w:rPr>
          <w:rFonts w:hint="eastAsia" w:ascii="宋体" w:hAnsi="宋体" w:cs="宋体"/>
          <w:sz w:val="22"/>
          <w:szCs w:val="20"/>
        </w:rPr>
        <w:t>□按照通用条款的规定。</w:t>
      </w:r>
    </w:p>
    <w:p>
      <w:pPr>
        <w:autoSpaceDE w:val="0"/>
        <w:autoSpaceDN w:val="0"/>
        <w:adjustRightInd w:val="0"/>
        <w:spacing w:line="360" w:lineRule="auto"/>
        <w:ind w:left="1260" w:leftChars="600"/>
        <w:jc w:val="left"/>
        <w:rPr>
          <w:rFonts w:ascii="宋体" w:hAnsi="宋体" w:cs="宋体"/>
          <w:sz w:val="22"/>
          <w:szCs w:val="20"/>
        </w:rPr>
      </w:pPr>
      <w:r>
        <w:rPr>
          <w:rFonts w:hint="eastAsia" w:ascii="宋体" w:hAnsi="宋体" w:cs="宋体"/>
          <w:sz w:val="22"/>
          <w:szCs w:val="20"/>
        </w:rPr>
        <w:t>■ 另有约定：</w:t>
      </w:r>
      <w:r>
        <w:rPr>
          <w:rFonts w:hint="eastAsia" w:ascii="宋体" w:hAnsi="宋体" w:cs="宋体"/>
          <w:sz w:val="22"/>
          <w:szCs w:val="20"/>
          <w:u w:val="single"/>
        </w:rPr>
        <w:t>在工程项目竣工前，不扣留工程质量保证金。工程竣工验收后，支付结算款时，扣留质量保证金。</w:t>
      </w:r>
    </w:p>
    <w:p>
      <w:pPr>
        <w:tabs>
          <w:tab w:val="left" w:pos="1240"/>
        </w:tabs>
        <w:autoSpaceDE w:val="0"/>
        <w:autoSpaceDN w:val="0"/>
        <w:adjustRightInd w:val="0"/>
        <w:spacing w:line="360" w:lineRule="auto"/>
        <w:ind w:left="420" w:leftChars="200" w:firstLine="440" w:firstLineChars="200"/>
        <w:jc w:val="left"/>
        <w:rPr>
          <w:rFonts w:ascii="宋体" w:hAnsi="宋体" w:cs="宋体"/>
          <w:sz w:val="22"/>
        </w:rPr>
      </w:pPr>
      <w:r>
        <w:rPr>
          <w:rFonts w:hint="eastAsia" w:ascii="宋体" w:hAnsi="宋体" w:cs="宋体"/>
          <w:sz w:val="22"/>
        </w:rPr>
        <w:t>84.3 质量保证金的返还时间：发包人在工程缺陷责任期终止后14天内，将扣除承包商未按要求返修而由甲方另行委托修补缺陷发生的费用后的剩余质量保证金返还承包人（无息）。剩余质量保证金的返还并不能解除或减轻承包人在保修期内应承担的责任和履行的义务。如工程缺陷责任期终止后，政府指定（认可）的造价审核单位仍未完成最终结算审核工作，按合同专用条款第83条约定执行。</w:t>
      </w:r>
    </w:p>
    <w:p>
      <w:pPr>
        <w:autoSpaceDE w:val="0"/>
        <w:autoSpaceDN w:val="0"/>
        <w:adjustRightInd w:val="0"/>
        <w:spacing w:before="360" w:beforeLines="150" w:line="360" w:lineRule="auto"/>
        <w:jc w:val="left"/>
        <w:outlineLvl w:val="2"/>
        <w:rPr>
          <w:rFonts w:ascii="宋体" w:hAnsi="宋体" w:cs="宋体"/>
          <w:b/>
          <w:sz w:val="22"/>
        </w:rPr>
      </w:pPr>
      <w:bookmarkStart w:id="290" w:name="_Toc306287708"/>
      <w:bookmarkStart w:id="291" w:name="_Toc326239362"/>
      <w:bookmarkStart w:id="292" w:name="_Toc342306264"/>
      <w:bookmarkStart w:id="293" w:name="_Toc306287531"/>
      <w:r>
        <w:rPr>
          <w:rFonts w:hint="eastAsia" w:ascii="宋体" w:hAnsi="宋体" w:cs="宋体"/>
          <w:b/>
          <w:sz w:val="22"/>
        </w:rPr>
        <w:t>85．最终清算付款</w:t>
      </w:r>
      <w:bookmarkEnd w:id="290"/>
      <w:bookmarkEnd w:id="291"/>
      <w:bookmarkEnd w:id="292"/>
      <w:bookmarkEnd w:id="293"/>
    </w:p>
    <w:p>
      <w:pPr>
        <w:tabs>
          <w:tab w:val="left" w:pos="1365"/>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85.1 最终结清申请报告</w:t>
      </w:r>
    </w:p>
    <w:p>
      <w:pPr>
        <w:tabs>
          <w:tab w:val="left" w:pos="1240"/>
        </w:tabs>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提交份数：</w:t>
      </w:r>
      <w:r>
        <w:rPr>
          <w:rFonts w:hint="eastAsia" w:ascii="宋体" w:hAnsi="宋体" w:cs="宋体"/>
          <w:sz w:val="22"/>
          <w:u w:val="single"/>
        </w:rPr>
        <w:t xml:space="preserve">  /  份 </w:t>
      </w:r>
      <w:r>
        <w:rPr>
          <w:rFonts w:hint="eastAsia" w:ascii="宋体" w:hAnsi="宋体" w:cs="宋体"/>
          <w:sz w:val="22"/>
        </w:rPr>
        <w:t xml:space="preserve">；  </w:t>
      </w:r>
    </w:p>
    <w:p>
      <w:pPr>
        <w:autoSpaceDE w:val="0"/>
        <w:autoSpaceDN w:val="0"/>
        <w:adjustRightInd w:val="0"/>
        <w:spacing w:line="360" w:lineRule="auto"/>
        <w:ind w:left="840" w:leftChars="400"/>
        <w:jc w:val="left"/>
        <w:rPr>
          <w:rFonts w:ascii="宋体" w:hAnsi="宋体" w:cs="宋体"/>
          <w:sz w:val="22"/>
          <w:u w:val="single"/>
        </w:rPr>
      </w:pPr>
      <w:r>
        <w:rPr>
          <w:rFonts w:hint="eastAsia" w:ascii="宋体" w:hAnsi="宋体" w:cs="宋体"/>
          <w:sz w:val="22"/>
        </w:rPr>
        <w:t>提交期限：</w:t>
      </w:r>
      <w:r>
        <w:rPr>
          <w:rFonts w:hint="eastAsia" w:ascii="宋体" w:hAnsi="宋体" w:cs="宋体"/>
          <w:sz w:val="22"/>
          <w:u w:val="single"/>
        </w:rPr>
        <w:t xml:space="preserve">  /     </w:t>
      </w:r>
      <w:r>
        <w:rPr>
          <w:rFonts w:hint="eastAsia" w:ascii="宋体" w:hAnsi="宋体" w:cs="宋体"/>
          <w:sz w:val="22"/>
        </w:rPr>
        <w:t>。</w:t>
      </w:r>
    </w:p>
    <w:p>
      <w:pPr>
        <w:autoSpaceDE w:val="0"/>
        <w:autoSpaceDN w:val="0"/>
        <w:adjustRightInd w:val="0"/>
        <w:spacing w:before="360" w:beforeLines="150" w:line="360" w:lineRule="auto"/>
        <w:jc w:val="left"/>
        <w:outlineLvl w:val="2"/>
        <w:rPr>
          <w:rFonts w:ascii="宋体" w:hAnsi="宋体" w:cs="宋体"/>
          <w:b/>
          <w:sz w:val="22"/>
        </w:rPr>
      </w:pPr>
      <w:bookmarkStart w:id="294" w:name="_Toc306287532"/>
      <w:bookmarkStart w:id="295" w:name="_Toc306287709"/>
      <w:bookmarkStart w:id="296" w:name="_Toc342306265"/>
      <w:bookmarkStart w:id="297" w:name="_Toc326239363"/>
      <w:r>
        <w:rPr>
          <w:rFonts w:hint="eastAsia" w:ascii="宋体" w:hAnsi="宋体" w:cs="宋体"/>
          <w:b/>
          <w:sz w:val="22"/>
        </w:rPr>
        <w:t>86．合同争议</w:t>
      </w:r>
      <w:bookmarkEnd w:id="294"/>
      <w:bookmarkEnd w:id="295"/>
      <w:bookmarkEnd w:id="296"/>
      <w:bookmarkEnd w:id="297"/>
    </w:p>
    <w:p>
      <w:pPr>
        <w:tabs>
          <w:tab w:val="left" w:pos="1365"/>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86.4 争议调解或认定机构</w:t>
      </w:r>
    </w:p>
    <w:p>
      <w:pPr>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■按合同通用条款的规定。</w:t>
      </w:r>
    </w:p>
    <w:p>
      <w:pPr>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 不按合同通用条款的规定，合同双方认可为：</w:t>
      </w:r>
    </w:p>
    <w:p>
      <w:pPr>
        <w:tabs>
          <w:tab w:val="left" w:pos="1365"/>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86.6 双方同意选择下列一种方式解决争议：</w:t>
      </w:r>
    </w:p>
    <w:p>
      <w:pPr>
        <w:tabs>
          <w:tab w:val="left" w:pos="3820"/>
        </w:tabs>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 向</w:t>
      </w:r>
      <w:r>
        <w:rPr>
          <w:rFonts w:hint="eastAsia" w:ascii="宋体" w:hAnsi="宋体" w:cs="宋体"/>
          <w:sz w:val="22"/>
          <w:u w:val="single"/>
        </w:rPr>
        <w:t xml:space="preserve"> </w:t>
      </w:r>
      <w:r>
        <w:rPr>
          <w:rFonts w:hint="eastAsia" w:ascii="宋体" w:hAnsi="宋体" w:cs="宋体"/>
          <w:sz w:val="22"/>
          <w:u w:val="single"/>
        </w:rPr>
        <w:tab/>
      </w:r>
      <w:r>
        <w:rPr>
          <w:rFonts w:hint="eastAsia" w:ascii="宋体" w:hAnsi="宋体" w:cs="宋体"/>
          <w:sz w:val="22"/>
        </w:rPr>
        <w:t>（仲裁机构）申请仲裁。</w:t>
      </w:r>
    </w:p>
    <w:p>
      <w:pPr>
        <w:autoSpaceDE w:val="0"/>
        <w:autoSpaceDN w:val="0"/>
        <w:adjustRightInd w:val="0"/>
        <w:spacing w:line="360" w:lineRule="auto"/>
        <w:ind w:left="840" w:leftChars="400"/>
        <w:jc w:val="left"/>
        <w:rPr>
          <w:rFonts w:ascii="宋体" w:hAnsi="宋体" w:cs="宋体"/>
          <w:sz w:val="22"/>
        </w:rPr>
      </w:pPr>
      <w:r>
        <w:rPr>
          <w:rFonts w:hint="eastAsia" w:ascii="宋体" w:hAnsi="宋体" w:cs="宋体"/>
          <w:sz w:val="22"/>
        </w:rPr>
        <w:t>■ 向工程所在地的人民法院提起诉讼。</w:t>
      </w:r>
    </w:p>
    <w:p>
      <w:pPr>
        <w:autoSpaceDE w:val="0"/>
        <w:autoSpaceDN w:val="0"/>
        <w:adjustRightInd w:val="0"/>
        <w:spacing w:before="360" w:beforeLines="150" w:line="360" w:lineRule="auto"/>
        <w:jc w:val="left"/>
        <w:outlineLvl w:val="2"/>
        <w:rPr>
          <w:rFonts w:ascii="宋体" w:hAnsi="宋体" w:cs="宋体"/>
          <w:b/>
          <w:sz w:val="22"/>
        </w:rPr>
      </w:pPr>
      <w:bookmarkStart w:id="298" w:name="_Toc306287533"/>
      <w:bookmarkStart w:id="299" w:name="_Toc342306266"/>
      <w:bookmarkStart w:id="300" w:name="_Toc306287710"/>
      <w:bookmarkStart w:id="301" w:name="_Toc326239364"/>
      <w:r>
        <w:rPr>
          <w:rFonts w:hint="eastAsia" w:ascii="宋体" w:hAnsi="宋体" w:cs="宋体"/>
          <w:b/>
          <w:sz w:val="22"/>
        </w:rPr>
        <w:t>87．合同解除</w:t>
      </w:r>
      <w:bookmarkEnd w:id="298"/>
      <w:bookmarkEnd w:id="299"/>
      <w:bookmarkEnd w:id="300"/>
      <w:bookmarkEnd w:id="301"/>
    </w:p>
    <w:p>
      <w:pPr>
        <w:tabs>
          <w:tab w:val="left" w:pos="1240"/>
        </w:tabs>
        <w:autoSpaceDE w:val="0"/>
        <w:autoSpaceDN w:val="0"/>
        <w:adjustRightInd w:val="0"/>
        <w:spacing w:line="360" w:lineRule="auto"/>
        <w:ind w:left="420" w:leftChars="200"/>
        <w:jc w:val="left"/>
        <w:rPr>
          <w:rFonts w:ascii="宋体" w:hAnsi="宋体" w:cs="宋体"/>
          <w:sz w:val="22"/>
        </w:rPr>
      </w:pPr>
      <w:r>
        <w:rPr>
          <w:rFonts w:hint="eastAsia" w:ascii="宋体" w:hAnsi="宋体" w:cs="宋体"/>
          <w:sz w:val="22"/>
        </w:rPr>
        <w:t>87.3 （因承包人的原因解除）项补充(13)、（14）条</w:t>
      </w:r>
    </w:p>
    <w:p>
      <w:pPr>
        <w:spacing w:line="360" w:lineRule="auto"/>
        <w:ind w:left="840" w:leftChars="400"/>
        <w:rPr>
          <w:rFonts w:ascii="宋体" w:hAnsi="宋体" w:cs="宋体"/>
          <w:sz w:val="22"/>
        </w:rPr>
      </w:pPr>
      <w:r>
        <w:rPr>
          <w:rFonts w:hint="eastAsia" w:ascii="宋体" w:hAnsi="宋体" w:cs="宋体"/>
          <w:sz w:val="22"/>
        </w:rPr>
        <w:t>（13）合同约定的各关键节点工期内没有完成相关的施工内容，承包人在监理发出要求整改通知的四周内没有改正的；</w:t>
      </w:r>
    </w:p>
    <w:p>
      <w:pPr>
        <w:spacing w:line="360" w:lineRule="auto"/>
        <w:ind w:left="840" w:leftChars="400"/>
        <w:rPr>
          <w:rFonts w:ascii="宋体" w:hAnsi="宋体" w:cs="宋体"/>
          <w:sz w:val="22"/>
        </w:rPr>
      </w:pPr>
      <w:r>
        <w:rPr>
          <w:rFonts w:hint="eastAsia" w:ascii="宋体" w:hAnsi="宋体" w:cs="宋体"/>
          <w:sz w:val="22"/>
        </w:rPr>
        <w:t>（14）已经完成的分部分项的工程质量不合格，承包人在监理发出整改通知的两周内没有改正或没有修复的；</w:t>
      </w:r>
    </w:p>
    <w:p>
      <w:pPr>
        <w:autoSpaceDE w:val="0"/>
        <w:autoSpaceDN w:val="0"/>
        <w:adjustRightInd w:val="0"/>
        <w:spacing w:before="360" w:beforeLines="150" w:line="360" w:lineRule="auto"/>
        <w:jc w:val="left"/>
        <w:outlineLvl w:val="2"/>
        <w:rPr>
          <w:rFonts w:ascii="宋体" w:hAnsi="宋体" w:cs="宋体"/>
          <w:b/>
          <w:sz w:val="22"/>
        </w:rPr>
      </w:pPr>
      <w:bookmarkStart w:id="302" w:name="_Toc342306267"/>
      <w:bookmarkStart w:id="303" w:name="_Toc306287534"/>
      <w:bookmarkStart w:id="304" w:name="_Toc306287711"/>
      <w:bookmarkStart w:id="305" w:name="_Toc326239365"/>
      <w:r>
        <w:rPr>
          <w:rFonts w:hint="eastAsia" w:ascii="宋体" w:hAnsi="宋体" w:cs="宋体"/>
          <w:b/>
          <w:sz w:val="22"/>
        </w:rPr>
        <w:t>88．合同解除支付</w:t>
      </w:r>
      <w:bookmarkEnd w:id="302"/>
      <w:bookmarkEnd w:id="303"/>
      <w:bookmarkEnd w:id="304"/>
      <w:bookmarkEnd w:id="305"/>
    </w:p>
    <w:p>
      <w:pPr>
        <w:spacing w:line="360" w:lineRule="auto"/>
        <w:ind w:firstLine="440" w:firstLineChars="200"/>
        <w:rPr>
          <w:rFonts w:ascii="宋体" w:hAnsi="宋体" w:cs="宋体"/>
          <w:position w:val="-1"/>
          <w:sz w:val="22"/>
        </w:rPr>
      </w:pPr>
      <w:r>
        <w:rPr>
          <w:rFonts w:hint="eastAsia" w:ascii="宋体" w:hAnsi="宋体" w:cs="宋体"/>
          <w:sz w:val="22"/>
        </w:rPr>
        <w:t>88.3 （因承包人的原因解除的支付）项补充（1）、（2）、（3）条</w:t>
      </w:r>
    </w:p>
    <w:p>
      <w:pPr>
        <w:spacing w:line="360" w:lineRule="auto"/>
        <w:ind w:left="840" w:leftChars="400"/>
        <w:rPr>
          <w:rFonts w:ascii="宋体" w:hAnsi="宋体" w:cs="宋体"/>
          <w:sz w:val="22"/>
        </w:rPr>
      </w:pPr>
      <w:r>
        <w:rPr>
          <w:rFonts w:hint="eastAsia" w:ascii="宋体" w:hAnsi="宋体" w:cs="宋体"/>
          <w:sz w:val="22"/>
        </w:rPr>
        <w:t>（1）实体项目已完的工程量要发包人、承包人、监理方确认，承包人要依据投标文件编制已完工程结算资料，同时要做好已完工程竣工图及已完工程竣工资料移交；</w:t>
      </w:r>
    </w:p>
    <w:p>
      <w:pPr>
        <w:spacing w:line="360" w:lineRule="auto"/>
        <w:ind w:left="840" w:leftChars="400"/>
        <w:rPr>
          <w:rFonts w:ascii="宋体" w:hAnsi="宋体" w:cs="宋体"/>
          <w:sz w:val="22"/>
        </w:rPr>
      </w:pPr>
      <w:r>
        <w:rPr>
          <w:rFonts w:hint="eastAsia" w:ascii="宋体" w:hAnsi="宋体" w:cs="宋体"/>
          <w:sz w:val="22"/>
        </w:rPr>
        <w:t>（2）合同终止后，已经订货的材料、设备由订货方负责退货或解除订货合同，不能退还的货款和因退货、解除订货合同发生的费用，由承包人承担，因未及时退货造成的损失由责任方承担；</w:t>
      </w:r>
    </w:p>
    <w:p>
      <w:pPr>
        <w:spacing w:line="360" w:lineRule="auto"/>
        <w:ind w:left="840" w:leftChars="400"/>
        <w:rPr>
          <w:rFonts w:ascii="宋体" w:hAnsi="宋体" w:cs="宋体"/>
          <w:sz w:val="22"/>
        </w:rPr>
      </w:pPr>
      <w:r>
        <w:rPr>
          <w:rFonts w:hint="eastAsia" w:ascii="宋体" w:hAnsi="宋体" w:cs="宋体"/>
          <w:sz w:val="22"/>
        </w:rPr>
        <w:t>（3）因退场导致的相关退场费用根据损失及责任由双方另行协商。</w:t>
      </w:r>
    </w:p>
    <w:p>
      <w:pPr>
        <w:autoSpaceDE w:val="0"/>
        <w:autoSpaceDN w:val="0"/>
        <w:adjustRightInd w:val="0"/>
        <w:spacing w:before="360" w:beforeLines="150" w:line="360" w:lineRule="auto"/>
        <w:jc w:val="left"/>
        <w:outlineLvl w:val="2"/>
        <w:rPr>
          <w:rFonts w:ascii="宋体" w:hAnsi="宋体" w:cs="宋体"/>
          <w:bCs/>
          <w:sz w:val="22"/>
          <w:szCs w:val="20"/>
        </w:rPr>
      </w:pPr>
      <w:bookmarkStart w:id="306" w:name="_Toc342635233"/>
      <w:r>
        <w:rPr>
          <w:rFonts w:hint="eastAsia" w:ascii="宋体" w:hAnsi="宋体" w:cs="宋体"/>
          <w:b/>
          <w:sz w:val="22"/>
        </w:rPr>
        <w:t>90 . 缴纳税费</w:t>
      </w:r>
      <w:bookmarkEnd w:id="306"/>
      <w:r>
        <w:rPr>
          <w:rFonts w:hint="eastAsia" w:ascii="宋体" w:hAnsi="宋体" w:cs="宋体"/>
          <w:b/>
          <w:sz w:val="22"/>
        </w:rPr>
        <w:t xml:space="preserve">  </w:t>
      </w:r>
      <w:r>
        <w:rPr>
          <w:rFonts w:hint="eastAsia" w:ascii="宋体" w:hAnsi="宋体" w:cs="宋体"/>
          <w:bCs/>
          <w:sz w:val="22"/>
          <w:szCs w:val="20"/>
        </w:rPr>
        <w:t>按通用条款</w:t>
      </w:r>
    </w:p>
    <w:p>
      <w:pPr>
        <w:autoSpaceDE w:val="0"/>
        <w:autoSpaceDN w:val="0"/>
        <w:adjustRightInd w:val="0"/>
        <w:spacing w:before="360" w:beforeLines="150" w:line="360" w:lineRule="auto"/>
        <w:jc w:val="left"/>
        <w:outlineLvl w:val="2"/>
        <w:rPr>
          <w:rFonts w:ascii="宋体" w:hAnsi="宋体" w:cs="宋体"/>
          <w:b/>
          <w:sz w:val="22"/>
        </w:rPr>
      </w:pPr>
      <w:bookmarkStart w:id="307" w:name="_Toc342306268"/>
      <w:bookmarkStart w:id="308" w:name="_Toc306287535"/>
      <w:bookmarkStart w:id="309" w:name="_Toc326239366"/>
      <w:bookmarkStart w:id="310" w:name="_Toc306287712"/>
      <w:r>
        <w:rPr>
          <w:rFonts w:hint="eastAsia" w:ascii="宋体" w:hAnsi="宋体" w:cs="宋体"/>
          <w:b/>
          <w:sz w:val="22"/>
        </w:rPr>
        <w:t>91．保密要求</w:t>
      </w:r>
      <w:bookmarkEnd w:id="307"/>
      <w:bookmarkEnd w:id="308"/>
      <w:bookmarkEnd w:id="309"/>
      <w:bookmarkEnd w:id="310"/>
    </w:p>
    <w:p>
      <w:pPr>
        <w:tabs>
          <w:tab w:val="left" w:pos="1485"/>
        </w:tabs>
        <w:autoSpaceDE w:val="0"/>
        <w:autoSpaceDN w:val="0"/>
        <w:adjustRightInd w:val="0"/>
        <w:spacing w:line="360" w:lineRule="auto"/>
        <w:ind w:left="420" w:leftChars="200"/>
        <w:jc w:val="left"/>
        <w:rPr>
          <w:rFonts w:ascii="宋体" w:hAnsi="宋体" w:cs="宋体"/>
          <w:sz w:val="22"/>
          <w:u w:val="single"/>
        </w:rPr>
      </w:pPr>
      <w:r>
        <w:rPr>
          <w:rFonts w:hint="eastAsia" w:ascii="宋体" w:hAnsi="宋体" w:cs="宋体"/>
          <w:sz w:val="22"/>
        </w:rPr>
        <w:t>91.1提供保密信息的期限：</w:t>
      </w:r>
      <w:r>
        <w:rPr>
          <w:rFonts w:hint="eastAsia" w:ascii="宋体" w:hAnsi="宋体" w:cs="宋体"/>
          <w:sz w:val="22"/>
          <w:u w:val="single"/>
        </w:rPr>
        <w:t xml:space="preserve"> 永久 </w:t>
      </w:r>
      <w:r>
        <w:rPr>
          <w:rFonts w:hint="eastAsia" w:ascii="宋体" w:hAnsi="宋体" w:cs="宋体"/>
          <w:sz w:val="22"/>
        </w:rPr>
        <w:t>。</w:t>
      </w:r>
    </w:p>
    <w:p>
      <w:pPr>
        <w:numPr>
          <w:ilvl w:val="0"/>
          <w:numId w:val="10"/>
        </w:numPr>
        <w:autoSpaceDE w:val="0"/>
        <w:autoSpaceDN w:val="0"/>
        <w:adjustRightInd w:val="0"/>
        <w:spacing w:before="360" w:beforeLines="150" w:line="360" w:lineRule="auto"/>
        <w:jc w:val="left"/>
        <w:outlineLvl w:val="2"/>
        <w:rPr>
          <w:rFonts w:ascii="宋体" w:hAnsi="宋体" w:cs="宋体"/>
          <w:b/>
          <w:sz w:val="22"/>
        </w:rPr>
      </w:pPr>
      <w:bookmarkStart w:id="311" w:name="_Toc342306269"/>
      <w:bookmarkStart w:id="312" w:name="_Toc326239367"/>
      <w:bookmarkStart w:id="313" w:name="_Toc306287536"/>
      <w:bookmarkStart w:id="314" w:name="_Toc306287713"/>
      <w:r>
        <w:rPr>
          <w:rFonts w:hint="eastAsia" w:ascii="宋体" w:hAnsi="宋体" w:cs="宋体"/>
          <w:b/>
          <w:sz w:val="22"/>
        </w:rPr>
        <w:t>知识产权</w:t>
      </w:r>
    </w:p>
    <w:p>
      <w:pPr>
        <w:pStyle w:val="19"/>
        <w:spacing w:line="360" w:lineRule="auto"/>
        <w:rPr>
          <w:rFonts w:hAnsi="宋体" w:cs="宋体"/>
          <w:sz w:val="22"/>
          <w:szCs w:val="22"/>
        </w:rPr>
      </w:pPr>
      <w:r>
        <w:rPr>
          <w:rFonts w:hint="eastAsia" w:hAnsi="宋体" w:cs="宋体"/>
          <w:sz w:val="18"/>
        </w:rPr>
        <w:t xml:space="preserve">     </w:t>
      </w:r>
      <w:r>
        <w:rPr>
          <w:rFonts w:hint="eastAsia" w:hAnsi="宋体" w:cs="宋体"/>
          <w:sz w:val="22"/>
          <w:szCs w:val="22"/>
        </w:rPr>
        <w:t>BIM智能建造过程中产生的所有模型、数据和相关成果等知识产权归属业主所有，经业主批准后方可合作享有。</w:t>
      </w:r>
    </w:p>
    <w:p>
      <w:pPr>
        <w:pStyle w:val="19"/>
        <w:rPr>
          <w:rFonts w:hAnsi="宋体" w:cs="宋体"/>
          <w:sz w:val="22"/>
          <w:szCs w:val="22"/>
        </w:rPr>
      </w:pPr>
    </w:p>
    <w:p>
      <w:pPr>
        <w:autoSpaceDE w:val="0"/>
        <w:autoSpaceDN w:val="0"/>
        <w:adjustRightInd w:val="0"/>
        <w:spacing w:before="360" w:beforeLines="150" w:line="360" w:lineRule="auto"/>
        <w:jc w:val="left"/>
        <w:outlineLvl w:val="2"/>
        <w:rPr>
          <w:rFonts w:ascii="宋体" w:hAnsi="宋体" w:cs="宋体"/>
          <w:b/>
          <w:sz w:val="22"/>
        </w:rPr>
      </w:pPr>
      <w:r>
        <w:rPr>
          <w:rFonts w:hint="eastAsia" w:ascii="宋体" w:hAnsi="宋体" w:cs="宋体"/>
          <w:b/>
          <w:sz w:val="22"/>
        </w:rPr>
        <w:t>95．合同份数</w:t>
      </w:r>
      <w:bookmarkEnd w:id="311"/>
      <w:bookmarkEnd w:id="312"/>
      <w:bookmarkEnd w:id="313"/>
      <w:bookmarkEnd w:id="314"/>
    </w:p>
    <w:p>
      <w:pPr>
        <w:tabs>
          <w:tab w:val="left" w:pos="1240"/>
          <w:tab w:val="left" w:pos="3165"/>
          <w:tab w:val="left" w:pos="6040"/>
          <w:tab w:val="left" w:pos="7960"/>
        </w:tabs>
        <w:autoSpaceDE w:val="0"/>
        <w:autoSpaceDN w:val="0"/>
        <w:adjustRightInd w:val="0"/>
        <w:spacing w:line="360" w:lineRule="auto"/>
        <w:ind w:left="420" w:leftChars="200"/>
        <w:jc w:val="left"/>
        <w:rPr>
          <w:rFonts w:ascii="宋体" w:hAnsi="宋体" w:cs="宋体"/>
          <w:sz w:val="22"/>
        </w:rPr>
        <w:sectPr>
          <w:type w:val="nextColumn"/>
          <w:pgSz w:w="11920" w:h="16840"/>
          <w:pgMar w:top="1418" w:right="1134" w:bottom="1418" w:left="1418" w:header="720" w:footer="720" w:gutter="0"/>
          <w:cols w:space="720" w:num="1"/>
        </w:sectPr>
      </w:pPr>
      <w:r>
        <w:rPr>
          <w:rFonts w:hint="eastAsia" w:ascii="宋体" w:hAnsi="宋体" w:cs="宋体"/>
          <w:sz w:val="22"/>
        </w:rPr>
        <w:t>合同正本的份数二份，副本的十份，其中发包人正本一份、副本七份，承包人正本一份、副本三份，具同等法律效力。</w:t>
      </w:r>
    </w:p>
    <w:tbl>
      <w:tblPr>
        <w:tblStyle w:val="36"/>
        <w:tblW w:w="0" w:type="auto"/>
        <w:tblInd w:w="0" w:type="dxa"/>
        <w:tblLayout w:type="fixed"/>
        <w:tblCellMar>
          <w:top w:w="0" w:type="dxa"/>
          <w:left w:w="0" w:type="dxa"/>
          <w:bottom w:w="0" w:type="dxa"/>
          <w:right w:w="0" w:type="dxa"/>
        </w:tblCellMar>
      </w:tblPr>
      <w:tblGrid>
        <w:gridCol w:w="605"/>
        <w:gridCol w:w="402"/>
        <w:gridCol w:w="1396"/>
        <w:gridCol w:w="2608"/>
        <w:gridCol w:w="4443"/>
        <w:gridCol w:w="4526"/>
      </w:tblGrid>
      <w:tr>
        <w:tblPrEx>
          <w:tblCellMar>
            <w:top w:w="0" w:type="dxa"/>
            <w:left w:w="0" w:type="dxa"/>
            <w:bottom w:w="0" w:type="dxa"/>
            <w:right w:w="0" w:type="dxa"/>
          </w:tblCellMar>
        </w:tblPrEx>
        <w:trPr>
          <w:trHeight w:val="366" w:hRule="atLeast"/>
        </w:trPr>
        <w:tc>
          <w:tcPr>
            <w:tcW w:w="1398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sz w:val="24"/>
                <w:szCs w:val="24"/>
              </w:rPr>
            </w:pPr>
            <w:bookmarkStart w:id="315" w:name="_Toc306287537"/>
            <w:bookmarkStart w:id="316" w:name="_Toc306287714"/>
            <w:bookmarkStart w:id="317" w:name="_Toc342306270"/>
            <w:r>
              <w:rPr>
                <w:rFonts w:hint="eastAsia" w:ascii="宋体" w:hAnsi="宋体" w:cs="宋体"/>
                <w:b/>
                <w:kern w:val="0"/>
                <w:sz w:val="24"/>
                <w:szCs w:val="24"/>
                <w:lang w:bidi="ar"/>
              </w:rPr>
              <w:t>附表1.材料调差范围表</w:t>
            </w:r>
          </w:p>
        </w:tc>
      </w:tr>
      <w:tr>
        <w:tblPrEx>
          <w:tblCellMar>
            <w:top w:w="0" w:type="dxa"/>
            <w:left w:w="0" w:type="dxa"/>
            <w:bottom w:w="0" w:type="dxa"/>
            <w:right w:w="0" w:type="dxa"/>
          </w:tblCellMar>
        </w:tblPrEx>
        <w:trPr>
          <w:trHeight w:val="897"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2"/>
              </w:rPr>
            </w:pPr>
            <w:r>
              <w:rPr>
                <w:rFonts w:hint="eastAsia" w:ascii="宋体" w:hAnsi="宋体" w:cs="宋体"/>
                <w:b/>
                <w:kern w:val="0"/>
                <w:sz w:val="22"/>
                <w:lang w:bidi="ar"/>
              </w:rPr>
              <w:t>专业</w:t>
            </w:r>
          </w:p>
        </w:tc>
        <w:tc>
          <w:tcPr>
            <w:tcW w:w="179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2"/>
              </w:rPr>
            </w:pPr>
            <w:r>
              <w:rPr>
                <w:rFonts w:hint="eastAsia" w:ascii="宋体" w:hAnsi="宋体" w:cs="宋体"/>
                <w:b/>
                <w:kern w:val="0"/>
                <w:sz w:val="22"/>
                <w:lang w:bidi="ar"/>
              </w:rPr>
              <w:t>调差材料</w:t>
            </w:r>
            <w:r>
              <w:rPr>
                <w:rFonts w:hint="eastAsia" w:ascii="宋体" w:hAnsi="宋体" w:cs="宋体"/>
                <w:b/>
                <w:kern w:val="0"/>
                <w:sz w:val="22"/>
                <w:lang w:bidi="ar"/>
              </w:rPr>
              <w:br w:type="textWrapping"/>
            </w:r>
            <w:r>
              <w:rPr>
                <w:rFonts w:hint="eastAsia" w:ascii="宋体" w:hAnsi="宋体" w:cs="宋体"/>
                <w:b/>
                <w:kern w:val="0"/>
                <w:sz w:val="22"/>
                <w:lang w:bidi="ar"/>
              </w:rPr>
              <w:t>（打</w:t>
            </w:r>
            <w:r>
              <w:rPr>
                <w:rStyle w:val="156"/>
                <w:rFonts w:hint="default"/>
                <w:color w:val="auto"/>
                <w:sz w:val="22"/>
                <w:szCs w:val="22"/>
                <w:lang w:bidi="ar"/>
              </w:rPr>
              <w:t>R</w:t>
            </w:r>
            <w:r>
              <w:rPr>
                <w:rStyle w:val="149"/>
                <w:rFonts w:hint="default"/>
                <w:color w:val="auto"/>
                <w:sz w:val="22"/>
                <w:szCs w:val="22"/>
                <w:lang w:bidi="ar"/>
              </w:rPr>
              <w:t>的材料才参与调差）</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2"/>
              </w:rPr>
            </w:pPr>
            <w:r>
              <w:rPr>
                <w:rFonts w:hint="eastAsia" w:ascii="宋体" w:hAnsi="宋体" w:cs="宋体"/>
                <w:b/>
                <w:kern w:val="0"/>
                <w:sz w:val="22"/>
                <w:lang w:bidi="ar"/>
              </w:rPr>
              <w:t>调差范围</w:t>
            </w:r>
          </w:p>
        </w:tc>
        <w:tc>
          <w:tcPr>
            <w:tcW w:w="44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2"/>
              </w:rPr>
            </w:pPr>
            <w:r>
              <w:rPr>
                <w:rFonts w:hint="eastAsia" w:ascii="宋体" w:hAnsi="宋体" w:cs="宋体"/>
                <w:b/>
                <w:kern w:val="0"/>
                <w:sz w:val="22"/>
                <w:lang w:bidi="ar"/>
              </w:rPr>
              <w:t>不参与调差范围（包括但不限于）</w:t>
            </w:r>
          </w:p>
        </w:tc>
        <w:tc>
          <w:tcPr>
            <w:tcW w:w="4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22"/>
              </w:rPr>
            </w:pPr>
            <w:r>
              <w:rPr>
                <w:rFonts w:hint="eastAsia" w:ascii="宋体" w:hAnsi="宋体" w:cs="宋体"/>
                <w:b/>
                <w:kern w:val="0"/>
                <w:sz w:val="22"/>
                <w:lang w:bidi="ar"/>
              </w:rPr>
              <w:t>调差方式</w:t>
            </w:r>
          </w:p>
        </w:tc>
      </w:tr>
      <w:tr>
        <w:tblPrEx>
          <w:tblCellMar>
            <w:top w:w="0" w:type="dxa"/>
            <w:left w:w="0" w:type="dxa"/>
            <w:bottom w:w="0" w:type="dxa"/>
            <w:right w:w="0" w:type="dxa"/>
          </w:tblCellMar>
        </w:tblPrEx>
        <w:trPr>
          <w:trHeight w:val="1288" w:hRule="atLeast"/>
        </w:trPr>
        <w:tc>
          <w:tcPr>
            <w:tcW w:w="6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16"/>
                <w:szCs w:val="16"/>
              </w:rPr>
            </w:pPr>
            <w:r>
              <w:rPr>
                <w:rFonts w:hint="eastAsia" w:ascii="宋体" w:hAnsi="宋体" w:cs="宋体"/>
                <w:b/>
                <w:kern w:val="0"/>
                <w:sz w:val="16"/>
                <w:szCs w:val="16"/>
                <w:lang w:bidi="ar"/>
              </w:rPr>
              <w:t>土建</w:t>
            </w:r>
          </w:p>
        </w:tc>
        <w:tc>
          <w:tcPr>
            <w:tcW w:w="40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R</w:t>
            </w:r>
          </w:p>
        </w:tc>
        <w:tc>
          <w:tcPr>
            <w:tcW w:w="13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1.钢材（包括圆钢、螺纹钢、钢绞线）；</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钢筋混凝土主体结构的钢筋、钢绞线；</w:t>
            </w:r>
          </w:p>
        </w:tc>
        <w:tc>
          <w:tcPr>
            <w:tcW w:w="44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160" w:firstLineChars="100"/>
              <w:jc w:val="left"/>
              <w:textAlignment w:val="center"/>
              <w:rPr>
                <w:rFonts w:ascii="宋体" w:hAnsi="宋体" w:cs="宋体"/>
                <w:kern w:val="0"/>
                <w:sz w:val="16"/>
                <w:szCs w:val="16"/>
                <w:lang w:bidi="ar"/>
              </w:rPr>
            </w:pPr>
            <w:r>
              <w:rPr>
                <w:rFonts w:hint="eastAsia" w:ascii="宋体" w:hAnsi="宋体" w:cs="宋体"/>
                <w:kern w:val="0"/>
                <w:sz w:val="16"/>
                <w:szCs w:val="16"/>
                <w:lang w:bidi="ar"/>
              </w:rPr>
              <w:t>钢结构、屋面、幕墙中钢材，包括型钢、钢管、钢板、球节点等；钢管柱中的钢管；混凝土管桩中桩尖、桩头插筋；</w:t>
            </w:r>
            <w:r>
              <w:rPr>
                <w:rStyle w:val="157"/>
                <w:rFonts w:hint="default"/>
                <w:color w:val="auto"/>
                <w:sz w:val="16"/>
                <w:szCs w:val="16"/>
                <w:lang w:bidi="ar"/>
              </w:rPr>
              <w:t>道路标交通标志中的杆、门架；</w:t>
            </w:r>
          </w:p>
          <w:p>
            <w:pPr>
              <w:widowControl/>
              <w:ind w:firstLine="160" w:firstLineChars="100"/>
              <w:jc w:val="left"/>
              <w:textAlignment w:val="center"/>
              <w:rPr>
                <w:rFonts w:ascii="宋体" w:hAnsi="宋体" w:cs="宋体"/>
                <w:sz w:val="16"/>
                <w:szCs w:val="16"/>
              </w:rPr>
            </w:pPr>
            <w:r>
              <w:rPr>
                <w:rFonts w:hint="eastAsia" w:ascii="宋体" w:hAnsi="宋体" w:cs="宋体"/>
                <w:kern w:val="0"/>
                <w:sz w:val="16"/>
                <w:szCs w:val="16"/>
                <w:lang w:bidi="ar"/>
              </w:rPr>
              <w:t>砌体中的构造柱的钢筋不参与调差；钢板桩等作为消耗量计取的钢材不参与调差；钢结构托架、支撑架等措施中的钢结构不参与调差；管桩等作为成品中的组成材料中的钢材不参与调差；道路交通标志中的标志板不参与调差；高杆灯灯杆作为成品不参与调差；助航灯光、供电工程中的设备、高杆灯栏杆不参与调差。自承式楼承板不参与调差；工程量清单中按“个、套、平方、米”等非“t”计取的钢材不参与调差。</w:t>
            </w:r>
          </w:p>
        </w:tc>
        <w:tc>
          <w:tcPr>
            <w:tcW w:w="4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1.有同类型信息价的，按信息价；</w:t>
            </w:r>
            <w:r>
              <w:rPr>
                <w:rFonts w:hint="eastAsia" w:ascii="宋体" w:hAnsi="宋体" w:cs="宋体"/>
                <w:kern w:val="0"/>
                <w:sz w:val="16"/>
                <w:szCs w:val="16"/>
                <w:lang w:bidi="ar"/>
              </w:rPr>
              <w:br w:type="textWrapping"/>
            </w:r>
            <w:r>
              <w:rPr>
                <w:rFonts w:hint="eastAsia" w:ascii="宋体" w:hAnsi="宋体" w:cs="宋体"/>
                <w:kern w:val="0"/>
                <w:sz w:val="16"/>
                <w:szCs w:val="16"/>
                <w:lang w:bidi="ar"/>
              </w:rPr>
              <w:t>2.有类似型号信息价的，按最接近的类似型号信息价；</w:t>
            </w:r>
            <w:r>
              <w:rPr>
                <w:rFonts w:hint="eastAsia" w:ascii="宋体" w:hAnsi="宋体" w:cs="宋体"/>
                <w:kern w:val="0"/>
                <w:sz w:val="16"/>
                <w:szCs w:val="16"/>
                <w:lang w:bidi="ar"/>
              </w:rPr>
              <w:br w:type="textWrapping"/>
            </w:r>
            <w:r>
              <w:rPr>
                <w:rFonts w:hint="eastAsia" w:ascii="宋体" w:hAnsi="宋体" w:cs="宋体"/>
                <w:kern w:val="0"/>
                <w:sz w:val="16"/>
                <w:szCs w:val="16"/>
                <w:lang w:bidi="ar"/>
              </w:rPr>
              <w:t>3.有多个类似型号或详细型号无法区分的，按所有类似型号中涨价幅度最小的信息价</w:t>
            </w:r>
          </w:p>
        </w:tc>
      </w:tr>
      <w:tr>
        <w:tblPrEx>
          <w:tblCellMar>
            <w:top w:w="0" w:type="dxa"/>
            <w:left w:w="0" w:type="dxa"/>
            <w:bottom w:w="0" w:type="dxa"/>
            <w:right w:w="0" w:type="dxa"/>
          </w:tblCellMar>
        </w:tblPrEx>
        <w:trPr>
          <w:trHeight w:val="460" w:hRule="atLeast"/>
        </w:trPr>
        <w:tc>
          <w:tcPr>
            <w:tcW w:w="6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sz w:val="16"/>
                <w:szCs w:val="16"/>
              </w:rPr>
            </w:pPr>
          </w:p>
        </w:tc>
        <w:tc>
          <w:tcPr>
            <w:tcW w:w="40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sym w:font="Wingdings 2" w:char="00A3"/>
            </w:r>
          </w:p>
        </w:tc>
        <w:tc>
          <w:tcPr>
            <w:tcW w:w="13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2.砂（包括中砂、细沙、机制砂、回填砂土）；</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主体结构、地基处理、回填料</w:t>
            </w:r>
          </w:p>
        </w:tc>
        <w:tc>
          <w:tcPr>
            <w:tcW w:w="44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商品混凝土、商品砂浆按照各自成品调差，不再参与组成材料调差</w:t>
            </w:r>
          </w:p>
        </w:tc>
        <w:tc>
          <w:tcPr>
            <w:tcW w:w="4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按信息价</w:t>
            </w:r>
          </w:p>
        </w:tc>
      </w:tr>
      <w:tr>
        <w:tblPrEx>
          <w:tblCellMar>
            <w:top w:w="0" w:type="dxa"/>
            <w:left w:w="0" w:type="dxa"/>
            <w:bottom w:w="0" w:type="dxa"/>
            <w:right w:w="0" w:type="dxa"/>
          </w:tblCellMar>
        </w:tblPrEx>
        <w:trPr>
          <w:trHeight w:val="679" w:hRule="atLeast"/>
        </w:trPr>
        <w:tc>
          <w:tcPr>
            <w:tcW w:w="6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sz w:val="16"/>
                <w:szCs w:val="16"/>
              </w:rPr>
            </w:pPr>
          </w:p>
        </w:tc>
        <w:tc>
          <w:tcPr>
            <w:tcW w:w="40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sym w:font="Wingdings 2" w:char="00A3"/>
            </w:r>
          </w:p>
        </w:tc>
        <w:tc>
          <w:tcPr>
            <w:tcW w:w="13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3.石（包括碎石、毛石、石屑、块石、混石）；</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主体结构、地基处理、回填料</w:t>
            </w:r>
          </w:p>
        </w:tc>
        <w:tc>
          <w:tcPr>
            <w:tcW w:w="44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商品混凝土、商品砂浆按照各自成品调差，不再参与组成材料调差。花岗岩路缘石不参与调差；幕墙石材不参与调差。</w:t>
            </w:r>
          </w:p>
        </w:tc>
        <w:tc>
          <w:tcPr>
            <w:tcW w:w="4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1.有信息价的，按信息价；</w:t>
            </w:r>
            <w:r>
              <w:rPr>
                <w:rFonts w:hint="eastAsia" w:ascii="宋体" w:hAnsi="宋体" w:cs="宋体"/>
                <w:kern w:val="0"/>
                <w:sz w:val="16"/>
                <w:szCs w:val="16"/>
                <w:lang w:bidi="ar"/>
              </w:rPr>
              <w:br w:type="textWrapping"/>
            </w:r>
            <w:r>
              <w:rPr>
                <w:rFonts w:hint="eastAsia" w:ascii="宋体" w:hAnsi="宋体" w:cs="宋体"/>
                <w:kern w:val="0"/>
                <w:sz w:val="16"/>
                <w:szCs w:val="16"/>
                <w:lang w:bidi="ar"/>
              </w:rPr>
              <w:t>2.如碎石型号无法区分，按涨价幅度最小的碎石信息价；</w:t>
            </w:r>
            <w:r>
              <w:rPr>
                <w:rFonts w:hint="eastAsia" w:ascii="宋体" w:hAnsi="宋体" w:cs="宋体"/>
                <w:kern w:val="0"/>
                <w:sz w:val="16"/>
                <w:szCs w:val="16"/>
                <w:lang w:bidi="ar"/>
              </w:rPr>
              <w:br w:type="textWrapping"/>
            </w:r>
            <w:r>
              <w:rPr>
                <w:rFonts w:hint="eastAsia" w:ascii="宋体" w:hAnsi="宋体" w:cs="宋体"/>
                <w:kern w:val="0"/>
                <w:sz w:val="16"/>
                <w:szCs w:val="16"/>
                <w:lang w:bidi="ar"/>
              </w:rPr>
              <w:t>3.如块石、混石无信息价，按毛石涨幅</w:t>
            </w:r>
          </w:p>
        </w:tc>
      </w:tr>
      <w:tr>
        <w:tblPrEx>
          <w:tblCellMar>
            <w:top w:w="0" w:type="dxa"/>
            <w:left w:w="0" w:type="dxa"/>
            <w:bottom w:w="0" w:type="dxa"/>
            <w:right w:w="0" w:type="dxa"/>
          </w:tblCellMar>
        </w:tblPrEx>
        <w:trPr>
          <w:trHeight w:val="249" w:hRule="atLeast"/>
        </w:trPr>
        <w:tc>
          <w:tcPr>
            <w:tcW w:w="6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sz w:val="16"/>
                <w:szCs w:val="16"/>
              </w:rPr>
            </w:pPr>
          </w:p>
        </w:tc>
        <w:tc>
          <w:tcPr>
            <w:tcW w:w="40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sym w:font="Wingdings 2" w:char="00A3"/>
            </w:r>
          </w:p>
        </w:tc>
        <w:tc>
          <w:tcPr>
            <w:tcW w:w="13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4.水泥；</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主体结构、地基处理、回填料</w:t>
            </w:r>
          </w:p>
        </w:tc>
        <w:tc>
          <w:tcPr>
            <w:tcW w:w="44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商品混凝土、商品砂浆按照各自成品调差，不在参与组成材料调差</w:t>
            </w:r>
          </w:p>
        </w:tc>
        <w:tc>
          <w:tcPr>
            <w:tcW w:w="4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按信息价</w:t>
            </w:r>
          </w:p>
        </w:tc>
      </w:tr>
      <w:tr>
        <w:tblPrEx>
          <w:tblCellMar>
            <w:top w:w="0" w:type="dxa"/>
            <w:left w:w="0" w:type="dxa"/>
            <w:bottom w:w="0" w:type="dxa"/>
            <w:right w:w="0" w:type="dxa"/>
          </w:tblCellMar>
        </w:tblPrEx>
        <w:trPr>
          <w:trHeight w:val="460" w:hRule="atLeast"/>
        </w:trPr>
        <w:tc>
          <w:tcPr>
            <w:tcW w:w="6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sz w:val="16"/>
                <w:szCs w:val="16"/>
              </w:rPr>
            </w:pPr>
          </w:p>
        </w:tc>
        <w:tc>
          <w:tcPr>
            <w:tcW w:w="40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R</w:t>
            </w:r>
          </w:p>
        </w:tc>
        <w:tc>
          <w:tcPr>
            <w:tcW w:w="13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5.商品混凝土（预拌混凝土、沥青混凝土）；</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主体结构、地基处理、回填料</w:t>
            </w:r>
          </w:p>
        </w:tc>
        <w:tc>
          <w:tcPr>
            <w:tcW w:w="44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现场搅拌的混凝土按照各自的组成材料参与调差，不参与商品混凝土的材料调差；混凝土路缘石、排水管、人防门等成品预制品不参与调差；</w:t>
            </w:r>
          </w:p>
        </w:tc>
        <w:tc>
          <w:tcPr>
            <w:tcW w:w="4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按信息价</w:t>
            </w:r>
          </w:p>
        </w:tc>
      </w:tr>
      <w:tr>
        <w:tblPrEx>
          <w:tblCellMar>
            <w:top w:w="0" w:type="dxa"/>
            <w:left w:w="0" w:type="dxa"/>
            <w:bottom w:w="0" w:type="dxa"/>
            <w:right w:w="0" w:type="dxa"/>
          </w:tblCellMar>
        </w:tblPrEx>
        <w:trPr>
          <w:trHeight w:val="460" w:hRule="atLeast"/>
        </w:trPr>
        <w:tc>
          <w:tcPr>
            <w:tcW w:w="6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sz w:val="16"/>
                <w:szCs w:val="16"/>
              </w:rPr>
            </w:pPr>
          </w:p>
        </w:tc>
        <w:tc>
          <w:tcPr>
            <w:tcW w:w="40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w:t>
            </w:r>
          </w:p>
        </w:tc>
        <w:tc>
          <w:tcPr>
            <w:tcW w:w="13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6.商品砂浆（干混砂浆、湿拌砂浆）；</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抹灰、砌筑</w:t>
            </w:r>
          </w:p>
        </w:tc>
        <w:tc>
          <w:tcPr>
            <w:tcW w:w="44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sz w:val="16"/>
                <w:szCs w:val="16"/>
              </w:rPr>
            </w:pPr>
          </w:p>
        </w:tc>
        <w:tc>
          <w:tcPr>
            <w:tcW w:w="4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1.有信息价的，按信息价；</w:t>
            </w:r>
            <w:r>
              <w:rPr>
                <w:rFonts w:hint="eastAsia" w:ascii="宋体" w:hAnsi="宋体" w:cs="宋体"/>
                <w:kern w:val="0"/>
                <w:sz w:val="16"/>
                <w:szCs w:val="16"/>
                <w:lang w:bidi="ar"/>
              </w:rPr>
              <w:br w:type="textWrapping"/>
            </w:r>
            <w:r>
              <w:rPr>
                <w:rFonts w:hint="eastAsia" w:ascii="宋体" w:hAnsi="宋体" w:cs="宋体"/>
                <w:kern w:val="0"/>
                <w:sz w:val="16"/>
                <w:szCs w:val="16"/>
                <w:lang w:bidi="ar"/>
              </w:rPr>
              <w:t>2.如型号无法区分按普通型号</w:t>
            </w:r>
          </w:p>
        </w:tc>
      </w:tr>
      <w:tr>
        <w:tblPrEx>
          <w:tblCellMar>
            <w:top w:w="0" w:type="dxa"/>
            <w:left w:w="0" w:type="dxa"/>
            <w:bottom w:w="0" w:type="dxa"/>
            <w:right w:w="0" w:type="dxa"/>
          </w:tblCellMar>
        </w:tblPrEx>
        <w:trPr>
          <w:trHeight w:val="679" w:hRule="atLeast"/>
        </w:trPr>
        <w:tc>
          <w:tcPr>
            <w:tcW w:w="6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sz w:val="16"/>
                <w:szCs w:val="16"/>
              </w:rPr>
            </w:pPr>
          </w:p>
        </w:tc>
        <w:tc>
          <w:tcPr>
            <w:tcW w:w="40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w:t>
            </w:r>
          </w:p>
        </w:tc>
        <w:tc>
          <w:tcPr>
            <w:tcW w:w="13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7.铝合金</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幕墙工程的铝合金骨架、装饰扣板等铝合金材料；幕墙工程的铝单板；屋面工程（含檐口）铝合金骨架、铝单板</w:t>
            </w:r>
          </w:p>
        </w:tc>
        <w:tc>
          <w:tcPr>
            <w:tcW w:w="44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抗风掀夹具不参与调差</w:t>
            </w:r>
          </w:p>
        </w:tc>
        <w:tc>
          <w:tcPr>
            <w:tcW w:w="4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1.有同类型信息价的，按信息价；</w:t>
            </w:r>
            <w:r>
              <w:rPr>
                <w:rFonts w:hint="eastAsia" w:ascii="宋体" w:hAnsi="宋体" w:cs="宋体"/>
                <w:kern w:val="0"/>
                <w:sz w:val="16"/>
                <w:szCs w:val="16"/>
                <w:lang w:bidi="ar"/>
              </w:rPr>
              <w:br w:type="textWrapping"/>
            </w:r>
            <w:r>
              <w:rPr>
                <w:rFonts w:hint="eastAsia" w:ascii="宋体" w:hAnsi="宋体" w:cs="宋体"/>
                <w:kern w:val="0"/>
                <w:sz w:val="16"/>
                <w:szCs w:val="16"/>
                <w:lang w:bidi="ar"/>
              </w:rPr>
              <w:t>2.如无同类型号的，按照造价主管部门发布的《部分主要原材料市场价格信息》中的铝锭涨幅</w:t>
            </w:r>
          </w:p>
        </w:tc>
      </w:tr>
      <w:tr>
        <w:tblPrEx>
          <w:tblCellMar>
            <w:top w:w="0" w:type="dxa"/>
            <w:left w:w="0" w:type="dxa"/>
            <w:bottom w:w="0" w:type="dxa"/>
            <w:right w:w="0" w:type="dxa"/>
          </w:tblCellMar>
        </w:tblPrEx>
        <w:trPr>
          <w:trHeight w:val="249" w:hRule="atLeast"/>
        </w:trPr>
        <w:tc>
          <w:tcPr>
            <w:tcW w:w="6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sz w:val="16"/>
                <w:szCs w:val="16"/>
              </w:rPr>
            </w:pPr>
          </w:p>
        </w:tc>
        <w:tc>
          <w:tcPr>
            <w:tcW w:w="40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w:t>
            </w:r>
          </w:p>
        </w:tc>
        <w:tc>
          <w:tcPr>
            <w:tcW w:w="13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8.铝镁锰板</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屋面工程的铝镁锰屋面板</w:t>
            </w:r>
          </w:p>
        </w:tc>
        <w:tc>
          <w:tcPr>
            <w:tcW w:w="44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sz w:val="16"/>
                <w:szCs w:val="16"/>
              </w:rPr>
            </w:pPr>
          </w:p>
        </w:tc>
        <w:tc>
          <w:tcPr>
            <w:tcW w:w="4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参照造价主管部门发布的《部分主要原材料市场价格信息》中的铝锭涨幅</w:t>
            </w:r>
          </w:p>
        </w:tc>
      </w:tr>
      <w:tr>
        <w:tblPrEx>
          <w:tblCellMar>
            <w:top w:w="0" w:type="dxa"/>
            <w:left w:w="0" w:type="dxa"/>
            <w:bottom w:w="0" w:type="dxa"/>
            <w:right w:w="0" w:type="dxa"/>
          </w:tblCellMar>
        </w:tblPrEx>
        <w:trPr>
          <w:trHeight w:val="445" w:hRule="atLeast"/>
        </w:trPr>
        <w:tc>
          <w:tcPr>
            <w:tcW w:w="6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sz w:val="16"/>
                <w:szCs w:val="16"/>
              </w:rPr>
            </w:pPr>
          </w:p>
        </w:tc>
        <w:tc>
          <w:tcPr>
            <w:tcW w:w="40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w:t>
            </w:r>
          </w:p>
        </w:tc>
        <w:tc>
          <w:tcPr>
            <w:tcW w:w="13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9.不锈钢</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屋面工程的不锈钢屋面板、不锈钢天沟</w:t>
            </w:r>
          </w:p>
        </w:tc>
        <w:tc>
          <w:tcPr>
            <w:tcW w:w="44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幕墙体系中的不锈钢爪件不参与调差；防坠落系统、抗风系统中的不锈钢不参与调差</w:t>
            </w:r>
          </w:p>
        </w:tc>
        <w:tc>
          <w:tcPr>
            <w:tcW w:w="4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参照造价主管部门发布的《部分主要原材料市场价格信息》中的冷轧不锈钢卷板涨幅</w:t>
            </w:r>
          </w:p>
        </w:tc>
      </w:tr>
      <w:tr>
        <w:tblPrEx>
          <w:tblCellMar>
            <w:top w:w="0" w:type="dxa"/>
            <w:left w:w="0" w:type="dxa"/>
            <w:bottom w:w="0" w:type="dxa"/>
            <w:right w:w="0" w:type="dxa"/>
          </w:tblCellMar>
        </w:tblPrEx>
        <w:trPr>
          <w:trHeight w:val="679" w:hRule="atLeast"/>
        </w:trPr>
        <w:tc>
          <w:tcPr>
            <w:tcW w:w="6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sz w:val="16"/>
                <w:szCs w:val="16"/>
              </w:rPr>
            </w:pPr>
          </w:p>
        </w:tc>
        <w:tc>
          <w:tcPr>
            <w:tcW w:w="40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w:t>
            </w:r>
          </w:p>
        </w:tc>
        <w:tc>
          <w:tcPr>
            <w:tcW w:w="13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10.玻璃</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幕墙、屋面天窗、雨棚</w:t>
            </w:r>
          </w:p>
        </w:tc>
        <w:tc>
          <w:tcPr>
            <w:tcW w:w="44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门窗系统的玻璃不参与调差</w:t>
            </w:r>
          </w:p>
        </w:tc>
        <w:tc>
          <w:tcPr>
            <w:tcW w:w="4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1.有同类型信息价的，按信息价；</w:t>
            </w:r>
            <w:r>
              <w:rPr>
                <w:rFonts w:hint="eastAsia" w:ascii="宋体" w:hAnsi="宋体" w:cs="宋体"/>
                <w:kern w:val="0"/>
                <w:sz w:val="16"/>
                <w:szCs w:val="16"/>
                <w:lang w:bidi="ar"/>
              </w:rPr>
              <w:br w:type="textWrapping"/>
            </w:r>
            <w:r>
              <w:rPr>
                <w:rFonts w:hint="eastAsia" w:ascii="宋体" w:hAnsi="宋体" w:cs="宋体"/>
                <w:kern w:val="0"/>
                <w:sz w:val="16"/>
                <w:szCs w:val="16"/>
                <w:lang w:bidi="ar"/>
              </w:rPr>
              <w:t xml:space="preserve">2.有类似型号信息价的，按最接近的类似型号信息价的涨幅中最小涨幅；        </w:t>
            </w:r>
            <w:r>
              <w:rPr>
                <w:rFonts w:hint="eastAsia" w:ascii="宋体" w:hAnsi="宋体" w:cs="宋体"/>
                <w:kern w:val="0"/>
                <w:sz w:val="16"/>
                <w:szCs w:val="16"/>
                <w:lang w:bidi="ar"/>
              </w:rPr>
              <w:br w:type="textWrapping"/>
            </w:r>
            <w:r>
              <w:rPr>
                <w:rFonts w:hint="eastAsia" w:ascii="宋体" w:hAnsi="宋体" w:cs="宋体"/>
                <w:kern w:val="0"/>
                <w:sz w:val="16"/>
                <w:szCs w:val="16"/>
                <w:lang w:bidi="ar"/>
              </w:rPr>
              <w:t>3.如无最接近的类似型号信息价的涨幅，按5mm厚钢化白玻涨幅；</w:t>
            </w:r>
          </w:p>
        </w:tc>
      </w:tr>
      <w:tr>
        <w:tblPrEx>
          <w:tblCellMar>
            <w:top w:w="0" w:type="dxa"/>
            <w:left w:w="0" w:type="dxa"/>
            <w:bottom w:w="0" w:type="dxa"/>
            <w:right w:w="0" w:type="dxa"/>
          </w:tblCellMar>
        </w:tblPrEx>
        <w:trPr>
          <w:trHeight w:val="679" w:hRule="atLeast"/>
        </w:trPr>
        <w:tc>
          <w:tcPr>
            <w:tcW w:w="605"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
                <w:sz w:val="16"/>
                <w:szCs w:val="16"/>
              </w:rPr>
            </w:pPr>
            <w:r>
              <w:rPr>
                <w:rFonts w:hint="eastAsia" w:ascii="宋体" w:hAnsi="宋体" w:cs="宋体"/>
                <w:b/>
                <w:kern w:val="0"/>
                <w:sz w:val="16"/>
                <w:szCs w:val="16"/>
                <w:lang w:bidi="ar"/>
              </w:rPr>
              <w:t>安装</w:t>
            </w:r>
          </w:p>
        </w:tc>
        <w:tc>
          <w:tcPr>
            <w:tcW w:w="40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w:t>
            </w:r>
          </w:p>
        </w:tc>
        <w:tc>
          <w:tcPr>
            <w:tcW w:w="13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1.电线</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电气设备安装工程的各类型动力照明电线</w:t>
            </w:r>
          </w:p>
        </w:tc>
        <w:tc>
          <w:tcPr>
            <w:tcW w:w="44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各类型软导线、双绞线、电话线、音频线不参与调差；各类接线端子不参与调差</w:t>
            </w:r>
          </w:p>
        </w:tc>
        <w:tc>
          <w:tcPr>
            <w:tcW w:w="4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1.有同类型信息价的，按信息价；</w:t>
            </w:r>
            <w:r>
              <w:rPr>
                <w:rFonts w:hint="eastAsia" w:ascii="宋体" w:hAnsi="宋体" w:cs="宋体"/>
                <w:kern w:val="0"/>
                <w:sz w:val="16"/>
                <w:szCs w:val="16"/>
                <w:lang w:bidi="ar"/>
              </w:rPr>
              <w:br w:type="textWrapping"/>
            </w:r>
            <w:r>
              <w:rPr>
                <w:rFonts w:hint="eastAsia" w:ascii="宋体" w:hAnsi="宋体" w:cs="宋体"/>
                <w:kern w:val="0"/>
                <w:sz w:val="16"/>
                <w:szCs w:val="16"/>
                <w:lang w:bidi="ar"/>
              </w:rPr>
              <w:t>2.如无同类型号的，按照造价主管部门发布的《部分主要原材料市场价格信息》中的电解铜涨幅</w:t>
            </w:r>
          </w:p>
        </w:tc>
      </w:tr>
      <w:tr>
        <w:tblPrEx>
          <w:tblCellMar>
            <w:top w:w="0" w:type="dxa"/>
            <w:left w:w="0" w:type="dxa"/>
            <w:bottom w:w="0" w:type="dxa"/>
            <w:right w:w="0" w:type="dxa"/>
          </w:tblCellMar>
        </w:tblPrEx>
        <w:trPr>
          <w:trHeight w:val="679" w:hRule="atLeast"/>
        </w:trPr>
        <w:tc>
          <w:tcPr>
            <w:tcW w:w="60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sz w:val="16"/>
                <w:szCs w:val="16"/>
              </w:rPr>
            </w:pPr>
          </w:p>
        </w:tc>
        <w:tc>
          <w:tcPr>
            <w:tcW w:w="40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sym w:font="Wingdings 2" w:char="00A3"/>
            </w:r>
          </w:p>
        </w:tc>
        <w:tc>
          <w:tcPr>
            <w:tcW w:w="13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2.电缆</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各类型电力电缆、矿物绝缘电缆</w:t>
            </w:r>
          </w:p>
        </w:tc>
        <w:tc>
          <w:tcPr>
            <w:tcW w:w="44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控制电缆、大对数电缆、射频同轴电缆、光缆不参与调差；各类接线端子、电力电缆中间头、终端头不参与调差</w:t>
            </w:r>
          </w:p>
        </w:tc>
        <w:tc>
          <w:tcPr>
            <w:tcW w:w="4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1.有同类型信息价的，按信息价；</w:t>
            </w:r>
            <w:r>
              <w:rPr>
                <w:rFonts w:hint="eastAsia" w:ascii="宋体" w:hAnsi="宋体" w:cs="宋体"/>
                <w:kern w:val="0"/>
                <w:sz w:val="16"/>
                <w:szCs w:val="16"/>
                <w:lang w:bidi="ar"/>
              </w:rPr>
              <w:br w:type="textWrapping"/>
            </w:r>
            <w:r>
              <w:rPr>
                <w:rFonts w:hint="eastAsia" w:ascii="宋体" w:hAnsi="宋体" w:cs="宋体"/>
                <w:kern w:val="0"/>
                <w:sz w:val="16"/>
                <w:szCs w:val="16"/>
                <w:lang w:bidi="ar"/>
              </w:rPr>
              <w:t>2.如无同类型号的，按照造价主管部门发布的《部分主要原材料市场价格信息》中的电解铜涨幅</w:t>
            </w:r>
          </w:p>
        </w:tc>
      </w:tr>
      <w:tr>
        <w:tblPrEx>
          <w:tblCellMar>
            <w:top w:w="0" w:type="dxa"/>
            <w:left w:w="0" w:type="dxa"/>
            <w:bottom w:w="0" w:type="dxa"/>
            <w:right w:w="0" w:type="dxa"/>
          </w:tblCellMar>
        </w:tblPrEx>
        <w:trPr>
          <w:trHeight w:val="679" w:hRule="atLeast"/>
        </w:trPr>
        <w:tc>
          <w:tcPr>
            <w:tcW w:w="60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sz w:val="16"/>
                <w:szCs w:val="16"/>
              </w:rPr>
            </w:pPr>
          </w:p>
        </w:tc>
        <w:tc>
          <w:tcPr>
            <w:tcW w:w="40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w:t>
            </w:r>
          </w:p>
        </w:tc>
        <w:tc>
          <w:tcPr>
            <w:tcW w:w="13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3.母线</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各类型母线</w:t>
            </w:r>
          </w:p>
        </w:tc>
        <w:tc>
          <w:tcPr>
            <w:tcW w:w="44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伸缩节、膨胀节、弯头、始端箱、分线箱等母线附件不参与调差</w:t>
            </w:r>
          </w:p>
        </w:tc>
        <w:tc>
          <w:tcPr>
            <w:tcW w:w="4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1.有同类型信息价的，按信息价；</w:t>
            </w:r>
            <w:r>
              <w:rPr>
                <w:rFonts w:hint="eastAsia" w:ascii="宋体" w:hAnsi="宋体" w:cs="宋体"/>
                <w:kern w:val="0"/>
                <w:sz w:val="16"/>
                <w:szCs w:val="16"/>
                <w:lang w:bidi="ar"/>
              </w:rPr>
              <w:br w:type="textWrapping"/>
            </w:r>
            <w:r>
              <w:rPr>
                <w:rFonts w:hint="eastAsia" w:ascii="宋体" w:hAnsi="宋体" w:cs="宋体"/>
                <w:kern w:val="0"/>
                <w:sz w:val="16"/>
                <w:szCs w:val="16"/>
                <w:lang w:bidi="ar"/>
              </w:rPr>
              <w:t>2.如无同类型号的，按照造价主管部门发布的《部分主要原材料市场价格信息》中的电解铜涨幅</w:t>
            </w:r>
          </w:p>
        </w:tc>
      </w:tr>
      <w:tr>
        <w:tblPrEx>
          <w:tblCellMar>
            <w:top w:w="0" w:type="dxa"/>
            <w:left w:w="0" w:type="dxa"/>
            <w:bottom w:w="0" w:type="dxa"/>
            <w:right w:w="0" w:type="dxa"/>
          </w:tblCellMar>
        </w:tblPrEx>
        <w:trPr>
          <w:trHeight w:val="867" w:hRule="atLeast"/>
        </w:trPr>
        <w:tc>
          <w:tcPr>
            <w:tcW w:w="60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sz w:val="16"/>
                <w:szCs w:val="16"/>
              </w:rPr>
            </w:pPr>
          </w:p>
        </w:tc>
        <w:tc>
          <w:tcPr>
            <w:tcW w:w="40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w:t>
            </w:r>
          </w:p>
        </w:tc>
        <w:tc>
          <w:tcPr>
            <w:tcW w:w="13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4.镀锌钢管、电线套管、钢管</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电气设备安装工程的金属电线套管、电缆保护管、镀锌钢管；给排水、采暖、燃气工程的镀锌钢管、钢管</w:t>
            </w:r>
          </w:p>
        </w:tc>
        <w:tc>
          <w:tcPr>
            <w:tcW w:w="44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金属软管不参与调差；刚性阻燃管等PVC塑料材质的电缆保护管和电线套管不参与调差；</w:t>
            </w:r>
          </w:p>
        </w:tc>
        <w:tc>
          <w:tcPr>
            <w:tcW w:w="4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1.有同类型信息价的，按信息价；</w:t>
            </w:r>
            <w:r>
              <w:rPr>
                <w:rFonts w:hint="eastAsia" w:ascii="宋体" w:hAnsi="宋体" w:cs="宋体"/>
                <w:kern w:val="0"/>
                <w:sz w:val="16"/>
                <w:szCs w:val="16"/>
                <w:lang w:bidi="ar"/>
              </w:rPr>
              <w:br w:type="textWrapping"/>
            </w:r>
            <w:r>
              <w:rPr>
                <w:rFonts w:hint="eastAsia" w:ascii="宋体" w:hAnsi="宋体" w:cs="宋体"/>
                <w:kern w:val="0"/>
                <w:sz w:val="16"/>
                <w:szCs w:val="16"/>
                <w:lang w:bidi="ar"/>
              </w:rPr>
              <w:t>2.有类似型号信息价的，按最接近的类似型号信息价最小涨幅；</w:t>
            </w:r>
            <w:r>
              <w:rPr>
                <w:rFonts w:hint="eastAsia" w:ascii="宋体" w:hAnsi="宋体" w:cs="宋体"/>
                <w:kern w:val="0"/>
                <w:sz w:val="16"/>
                <w:szCs w:val="16"/>
                <w:lang w:bidi="ar"/>
              </w:rPr>
              <w:br w:type="textWrapping"/>
            </w:r>
            <w:r>
              <w:rPr>
                <w:rFonts w:hint="eastAsia" w:ascii="宋体" w:hAnsi="宋体" w:cs="宋体"/>
                <w:kern w:val="0"/>
                <w:sz w:val="16"/>
                <w:szCs w:val="16"/>
                <w:lang w:bidi="ar"/>
              </w:rPr>
              <w:t>3.有多个类似型号或详细型号无法区分的，按所有类似型号中涨价幅度最小的信息价</w:t>
            </w:r>
          </w:p>
        </w:tc>
      </w:tr>
      <w:tr>
        <w:tblPrEx>
          <w:tblCellMar>
            <w:top w:w="0" w:type="dxa"/>
            <w:left w:w="0" w:type="dxa"/>
            <w:bottom w:w="0" w:type="dxa"/>
            <w:right w:w="0" w:type="dxa"/>
          </w:tblCellMar>
        </w:tblPrEx>
        <w:trPr>
          <w:trHeight w:val="867" w:hRule="atLeast"/>
        </w:trPr>
        <w:tc>
          <w:tcPr>
            <w:tcW w:w="60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sz w:val="16"/>
                <w:szCs w:val="16"/>
              </w:rPr>
            </w:pPr>
          </w:p>
        </w:tc>
        <w:tc>
          <w:tcPr>
            <w:tcW w:w="40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w:t>
            </w:r>
          </w:p>
        </w:tc>
        <w:tc>
          <w:tcPr>
            <w:tcW w:w="13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5、线槽、桥架</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电气设备安装工程的镀锌钢、铝合金、不锈钢等金属类线槽、桥架</w:t>
            </w:r>
          </w:p>
        </w:tc>
        <w:tc>
          <w:tcPr>
            <w:tcW w:w="44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塑料及复合型材料线槽和桥架不参与调差</w:t>
            </w:r>
          </w:p>
        </w:tc>
        <w:tc>
          <w:tcPr>
            <w:tcW w:w="4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1.有同类型信息价的，按信息价；</w:t>
            </w:r>
            <w:r>
              <w:rPr>
                <w:rFonts w:hint="eastAsia" w:ascii="宋体" w:hAnsi="宋体" w:cs="宋体"/>
                <w:kern w:val="0"/>
                <w:sz w:val="16"/>
                <w:szCs w:val="16"/>
                <w:lang w:bidi="ar"/>
              </w:rPr>
              <w:br w:type="textWrapping"/>
            </w:r>
            <w:r>
              <w:rPr>
                <w:rFonts w:hint="eastAsia" w:ascii="宋体" w:hAnsi="宋体" w:cs="宋体"/>
                <w:kern w:val="0"/>
                <w:sz w:val="16"/>
                <w:szCs w:val="16"/>
                <w:lang w:bidi="ar"/>
              </w:rPr>
              <w:t>2.有类似型号信息价的，按最接近的类似型号信息价最小涨幅；</w:t>
            </w:r>
            <w:r>
              <w:rPr>
                <w:rFonts w:hint="eastAsia" w:ascii="宋体" w:hAnsi="宋体" w:cs="宋体"/>
                <w:kern w:val="0"/>
                <w:sz w:val="16"/>
                <w:szCs w:val="16"/>
                <w:lang w:bidi="ar"/>
              </w:rPr>
              <w:br w:type="textWrapping"/>
            </w:r>
            <w:r>
              <w:rPr>
                <w:rFonts w:hint="eastAsia" w:ascii="宋体" w:hAnsi="宋体" w:cs="宋体"/>
                <w:kern w:val="0"/>
                <w:sz w:val="16"/>
                <w:szCs w:val="16"/>
                <w:lang w:bidi="ar"/>
              </w:rPr>
              <w:t>3.有多个类似型号或详细型号无法区分的，按所有类似型号中涨价幅度最小的信息价</w:t>
            </w:r>
          </w:p>
        </w:tc>
      </w:tr>
      <w:tr>
        <w:tblPrEx>
          <w:tblCellMar>
            <w:top w:w="0" w:type="dxa"/>
            <w:left w:w="0" w:type="dxa"/>
            <w:bottom w:w="0" w:type="dxa"/>
            <w:right w:w="0" w:type="dxa"/>
          </w:tblCellMar>
        </w:tblPrEx>
        <w:trPr>
          <w:trHeight w:val="679" w:hRule="atLeast"/>
        </w:trPr>
        <w:tc>
          <w:tcPr>
            <w:tcW w:w="60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sz w:val="16"/>
                <w:szCs w:val="16"/>
              </w:rPr>
            </w:pPr>
          </w:p>
        </w:tc>
        <w:tc>
          <w:tcPr>
            <w:tcW w:w="40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w:t>
            </w:r>
          </w:p>
        </w:tc>
        <w:tc>
          <w:tcPr>
            <w:tcW w:w="13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6.不锈钢管</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给排水、采暖、燃气工程的不锈钢管</w:t>
            </w:r>
          </w:p>
        </w:tc>
        <w:tc>
          <w:tcPr>
            <w:tcW w:w="44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弯头、直通、三通等不锈钢管件不参与调差</w:t>
            </w:r>
          </w:p>
        </w:tc>
        <w:tc>
          <w:tcPr>
            <w:tcW w:w="4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1.有同类型信息价的，按信息价；</w:t>
            </w:r>
            <w:r>
              <w:rPr>
                <w:rFonts w:hint="eastAsia" w:ascii="宋体" w:hAnsi="宋体" w:cs="宋体"/>
                <w:kern w:val="0"/>
                <w:sz w:val="16"/>
                <w:szCs w:val="16"/>
                <w:lang w:bidi="ar"/>
              </w:rPr>
              <w:br w:type="textWrapping"/>
            </w:r>
            <w:r>
              <w:rPr>
                <w:rFonts w:hint="eastAsia" w:ascii="宋体" w:hAnsi="宋体" w:cs="宋体"/>
                <w:kern w:val="0"/>
                <w:sz w:val="16"/>
                <w:szCs w:val="16"/>
                <w:lang w:bidi="ar"/>
              </w:rPr>
              <w:t>2.如无同类型号的，按照造价主管部门发布的《部分主要原材料市场价格信息》中的冷轧不锈钢卷板涨幅</w:t>
            </w:r>
          </w:p>
        </w:tc>
      </w:tr>
      <w:tr>
        <w:tblPrEx>
          <w:tblCellMar>
            <w:top w:w="0" w:type="dxa"/>
            <w:left w:w="0" w:type="dxa"/>
            <w:bottom w:w="0" w:type="dxa"/>
            <w:right w:w="0" w:type="dxa"/>
          </w:tblCellMar>
        </w:tblPrEx>
        <w:trPr>
          <w:trHeight w:val="867" w:hRule="atLeast"/>
        </w:trPr>
        <w:tc>
          <w:tcPr>
            <w:tcW w:w="60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sz w:val="16"/>
                <w:szCs w:val="16"/>
              </w:rPr>
            </w:pPr>
          </w:p>
        </w:tc>
        <w:tc>
          <w:tcPr>
            <w:tcW w:w="40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w:t>
            </w:r>
          </w:p>
        </w:tc>
        <w:tc>
          <w:tcPr>
            <w:tcW w:w="13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7.镀锌钢板</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通风空调工程中的镀锌薄钢板风管</w:t>
            </w:r>
          </w:p>
        </w:tc>
        <w:tc>
          <w:tcPr>
            <w:tcW w:w="44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sz w:val="16"/>
                <w:szCs w:val="16"/>
              </w:rPr>
            </w:pPr>
          </w:p>
        </w:tc>
        <w:tc>
          <w:tcPr>
            <w:tcW w:w="4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1.有同类型信息价的，按信息价；</w:t>
            </w:r>
            <w:r>
              <w:rPr>
                <w:rFonts w:hint="eastAsia" w:ascii="宋体" w:hAnsi="宋体" w:cs="宋体"/>
                <w:kern w:val="0"/>
                <w:sz w:val="16"/>
                <w:szCs w:val="16"/>
                <w:lang w:bidi="ar"/>
              </w:rPr>
              <w:br w:type="textWrapping"/>
            </w:r>
            <w:r>
              <w:rPr>
                <w:rFonts w:hint="eastAsia" w:ascii="宋体" w:hAnsi="宋体" w:cs="宋体"/>
                <w:kern w:val="0"/>
                <w:sz w:val="16"/>
                <w:szCs w:val="16"/>
                <w:lang w:bidi="ar"/>
              </w:rPr>
              <w:t>2.有类似型号信息价的，按最接近的类似型号信息价最小涨幅；</w:t>
            </w:r>
            <w:r>
              <w:rPr>
                <w:rFonts w:hint="eastAsia" w:ascii="宋体" w:hAnsi="宋体" w:cs="宋体"/>
                <w:kern w:val="0"/>
                <w:sz w:val="16"/>
                <w:szCs w:val="16"/>
                <w:lang w:bidi="ar"/>
              </w:rPr>
              <w:br w:type="textWrapping"/>
            </w:r>
            <w:r>
              <w:rPr>
                <w:rFonts w:hint="eastAsia" w:ascii="宋体" w:hAnsi="宋体" w:cs="宋体"/>
                <w:kern w:val="0"/>
                <w:sz w:val="16"/>
                <w:szCs w:val="16"/>
                <w:lang w:bidi="ar"/>
              </w:rPr>
              <w:t>3.有多个类似型号或详细型号无法区分的，按所有类似型号中涨价幅度最小的信息价</w:t>
            </w:r>
          </w:p>
        </w:tc>
      </w:tr>
      <w:tr>
        <w:tblPrEx>
          <w:tblCellMar>
            <w:top w:w="0" w:type="dxa"/>
            <w:left w:w="0" w:type="dxa"/>
            <w:bottom w:w="0" w:type="dxa"/>
            <w:right w:w="0" w:type="dxa"/>
          </w:tblCellMar>
        </w:tblPrEx>
        <w:trPr>
          <w:trHeight w:val="679" w:hRule="atLeast"/>
        </w:trPr>
        <w:tc>
          <w:tcPr>
            <w:tcW w:w="60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sz w:val="16"/>
                <w:szCs w:val="16"/>
              </w:rPr>
            </w:pPr>
            <w:r>
              <w:rPr>
                <w:rFonts w:hint="eastAsia" w:ascii="宋体" w:hAnsi="宋体" w:cs="宋体"/>
                <w:b/>
                <w:kern w:val="0"/>
                <w:sz w:val="16"/>
                <w:szCs w:val="16"/>
                <w:lang w:bidi="ar"/>
              </w:rPr>
              <w:t>装饰装修</w:t>
            </w:r>
          </w:p>
        </w:tc>
        <w:tc>
          <w:tcPr>
            <w:tcW w:w="40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w:t>
            </w:r>
          </w:p>
        </w:tc>
        <w:tc>
          <w:tcPr>
            <w:tcW w:w="13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1.铝合金</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天花吊顶中的铝扣板；墙面装饰中的铝单板；天花转换层、天花吊顶的铝合金龙骨；墙面铝合金骨架；铝合金百叶</w:t>
            </w:r>
          </w:p>
        </w:tc>
        <w:tc>
          <w:tcPr>
            <w:tcW w:w="44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铝合金门窗中的铝合金不参与调差</w:t>
            </w:r>
          </w:p>
        </w:tc>
        <w:tc>
          <w:tcPr>
            <w:tcW w:w="4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1.有同类型信息价的，按信息价；</w:t>
            </w:r>
            <w:r>
              <w:rPr>
                <w:rFonts w:hint="eastAsia" w:ascii="宋体" w:hAnsi="宋体" w:cs="宋体"/>
                <w:kern w:val="0"/>
                <w:sz w:val="16"/>
                <w:szCs w:val="16"/>
                <w:lang w:bidi="ar"/>
              </w:rPr>
              <w:br w:type="textWrapping"/>
            </w:r>
            <w:r>
              <w:rPr>
                <w:rFonts w:hint="eastAsia" w:ascii="宋体" w:hAnsi="宋体" w:cs="宋体"/>
                <w:kern w:val="0"/>
                <w:sz w:val="16"/>
                <w:szCs w:val="16"/>
                <w:lang w:bidi="ar"/>
              </w:rPr>
              <w:t>2.如无同类型号的，按照造价主管部门发布的《部分主要原材料市场价格信息》中的铝锭涨幅</w:t>
            </w:r>
          </w:p>
        </w:tc>
      </w:tr>
      <w:tr>
        <w:tblPrEx>
          <w:tblCellMar>
            <w:top w:w="0" w:type="dxa"/>
            <w:left w:w="0" w:type="dxa"/>
            <w:bottom w:w="0" w:type="dxa"/>
            <w:right w:w="0" w:type="dxa"/>
          </w:tblCellMar>
        </w:tblPrEx>
        <w:trPr>
          <w:trHeight w:val="867" w:hRule="atLeast"/>
        </w:trPr>
        <w:tc>
          <w:tcPr>
            <w:tcW w:w="6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sz w:val="16"/>
                <w:szCs w:val="16"/>
              </w:rPr>
            </w:pPr>
          </w:p>
        </w:tc>
        <w:tc>
          <w:tcPr>
            <w:tcW w:w="40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w:t>
            </w:r>
          </w:p>
        </w:tc>
        <w:tc>
          <w:tcPr>
            <w:tcW w:w="13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2.钢材</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天花转换层、天花吊顶的钢龙骨；墙面钢骨架；铝合金百叶</w:t>
            </w:r>
          </w:p>
        </w:tc>
        <w:tc>
          <w:tcPr>
            <w:tcW w:w="44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铝扣板材料自带的配套龙骨不参与钢材的调差；门（包括防火门）、窗等成品中的钢材不参与调差</w:t>
            </w:r>
          </w:p>
        </w:tc>
        <w:tc>
          <w:tcPr>
            <w:tcW w:w="4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1.有同类型信息价的，按信息价；</w:t>
            </w:r>
            <w:r>
              <w:rPr>
                <w:rFonts w:hint="eastAsia" w:ascii="宋体" w:hAnsi="宋体" w:cs="宋体"/>
                <w:kern w:val="0"/>
                <w:sz w:val="16"/>
                <w:szCs w:val="16"/>
                <w:lang w:bidi="ar"/>
              </w:rPr>
              <w:br w:type="textWrapping"/>
            </w:r>
            <w:r>
              <w:rPr>
                <w:rFonts w:hint="eastAsia" w:ascii="宋体" w:hAnsi="宋体" w:cs="宋体"/>
                <w:kern w:val="0"/>
                <w:sz w:val="16"/>
                <w:szCs w:val="16"/>
                <w:lang w:bidi="ar"/>
              </w:rPr>
              <w:t>2.有类似型号信息价的，按最接近的类似型号信息价最小涨幅；</w:t>
            </w:r>
            <w:r>
              <w:rPr>
                <w:rFonts w:hint="eastAsia" w:ascii="宋体" w:hAnsi="宋体" w:cs="宋体"/>
                <w:kern w:val="0"/>
                <w:sz w:val="16"/>
                <w:szCs w:val="16"/>
                <w:lang w:bidi="ar"/>
              </w:rPr>
              <w:br w:type="textWrapping"/>
            </w:r>
            <w:r>
              <w:rPr>
                <w:rFonts w:hint="eastAsia" w:ascii="宋体" w:hAnsi="宋体" w:cs="宋体"/>
                <w:kern w:val="0"/>
                <w:sz w:val="16"/>
                <w:szCs w:val="16"/>
                <w:lang w:bidi="ar"/>
              </w:rPr>
              <w:t>3.有多个类似型号或详细型号无法区分的，按所有类似型号中涨价幅度最小的信息价</w:t>
            </w:r>
          </w:p>
        </w:tc>
      </w:tr>
      <w:tr>
        <w:tblPrEx>
          <w:tblCellMar>
            <w:top w:w="0" w:type="dxa"/>
            <w:left w:w="0" w:type="dxa"/>
            <w:bottom w:w="0" w:type="dxa"/>
            <w:right w:w="0" w:type="dxa"/>
          </w:tblCellMar>
        </w:tblPrEx>
        <w:trPr>
          <w:trHeight w:val="460" w:hRule="atLeast"/>
        </w:trPr>
        <w:tc>
          <w:tcPr>
            <w:tcW w:w="6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sz w:val="16"/>
                <w:szCs w:val="16"/>
              </w:rPr>
            </w:pPr>
          </w:p>
        </w:tc>
        <w:tc>
          <w:tcPr>
            <w:tcW w:w="40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w:t>
            </w:r>
          </w:p>
        </w:tc>
        <w:tc>
          <w:tcPr>
            <w:tcW w:w="13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3.不锈钢</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玻璃隔断中的不锈钢立挺、扶手、踢脚线、墙裙、防撞杆、支架、防撞柱、饰面等不锈钢</w:t>
            </w:r>
          </w:p>
        </w:tc>
        <w:tc>
          <w:tcPr>
            <w:tcW w:w="44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不锈钢盲道触感点不参与调差；垃圾桶、纸巾筒等不锈钢成品不参与调差；不锈钢收边条不参与调差</w:t>
            </w:r>
          </w:p>
        </w:tc>
        <w:tc>
          <w:tcPr>
            <w:tcW w:w="4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参照造价主管部门发布的《部分主要原材料市场价格信息》中的冷轧不锈钢卷板涨幅</w:t>
            </w:r>
          </w:p>
        </w:tc>
      </w:tr>
      <w:tr>
        <w:tblPrEx>
          <w:tblCellMar>
            <w:top w:w="0" w:type="dxa"/>
            <w:left w:w="0" w:type="dxa"/>
            <w:bottom w:w="0" w:type="dxa"/>
            <w:right w:w="0" w:type="dxa"/>
          </w:tblCellMar>
        </w:tblPrEx>
        <w:trPr>
          <w:trHeight w:val="460" w:hRule="atLeast"/>
        </w:trPr>
        <w:tc>
          <w:tcPr>
            <w:tcW w:w="6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sz w:val="16"/>
                <w:szCs w:val="16"/>
              </w:rPr>
            </w:pPr>
          </w:p>
        </w:tc>
        <w:tc>
          <w:tcPr>
            <w:tcW w:w="40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w:t>
            </w:r>
          </w:p>
        </w:tc>
        <w:tc>
          <w:tcPr>
            <w:tcW w:w="13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4.玻璃（如无同规格对比，按5mm厚钢化白玻涨幅）、</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玻璃隔断（含玻璃隔断门、临边玻璃）；玻璃墙面；</w:t>
            </w:r>
          </w:p>
        </w:tc>
        <w:tc>
          <w:tcPr>
            <w:tcW w:w="44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洗手间镜面玻璃、镜柜玻璃不参与调差；铝合金门窗中的玻璃不参与调差</w:t>
            </w:r>
          </w:p>
        </w:tc>
        <w:tc>
          <w:tcPr>
            <w:tcW w:w="4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1.有同类型信息价的，按信息价；</w:t>
            </w:r>
            <w:r>
              <w:rPr>
                <w:rFonts w:hint="eastAsia" w:ascii="宋体" w:hAnsi="宋体" w:cs="宋体"/>
                <w:kern w:val="0"/>
                <w:sz w:val="16"/>
                <w:szCs w:val="16"/>
                <w:lang w:bidi="ar"/>
              </w:rPr>
              <w:br w:type="textWrapping"/>
            </w:r>
            <w:r>
              <w:rPr>
                <w:rFonts w:hint="eastAsia" w:ascii="宋体" w:hAnsi="宋体" w:cs="宋体"/>
                <w:kern w:val="0"/>
                <w:sz w:val="16"/>
                <w:szCs w:val="16"/>
                <w:lang w:bidi="ar"/>
              </w:rPr>
              <w:t>2.有类似型号信息价的，按最接近的类似型号信息价的涨幅最小涨幅；</w:t>
            </w:r>
          </w:p>
        </w:tc>
      </w:tr>
      <w:tr>
        <w:tblPrEx>
          <w:tblCellMar>
            <w:top w:w="0" w:type="dxa"/>
            <w:left w:w="0" w:type="dxa"/>
            <w:bottom w:w="0" w:type="dxa"/>
            <w:right w:w="0" w:type="dxa"/>
          </w:tblCellMar>
        </w:tblPrEx>
        <w:trPr>
          <w:trHeight w:val="460" w:hRule="atLeast"/>
        </w:trPr>
        <w:tc>
          <w:tcPr>
            <w:tcW w:w="60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sz w:val="16"/>
                <w:szCs w:val="16"/>
              </w:rPr>
            </w:pPr>
          </w:p>
        </w:tc>
        <w:tc>
          <w:tcPr>
            <w:tcW w:w="40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t>£</w:t>
            </w:r>
          </w:p>
        </w:tc>
        <w:tc>
          <w:tcPr>
            <w:tcW w:w="13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5.商品砂浆（干混砂浆、湿拌砂浆）；</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抹灰、砌筑、地面铺装</w:t>
            </w:r>
          </w:p>
        </w:tc>
        <w:tc>
          <w:tcPr>
            <w:tcW w:w="44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sz w:val="16"/>
                <w:szCs w:val="16"/>
              </w:rPr>
            </w:pPr>
          </w:p>
        </w:tc>
        <w:tc>
          <w:tcPr>
            <w:tcW w:w="4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1.有信息价的，按信息价；</w:t>
            </w:r>
            <w:r>
              <w:rPr>
                <w:rFonts w:hint="eastAsia" w:ascii="宋体" w:hAnsi="宋体" w:cs="宋体"/>
                <w:kern w:val="0"/>
                <w:sz w:val="16"/>
                <w:szCs w:val="16"/>
                <w:lang w:bidi="ar"/>
              </w:rPr>
              <w:br w:type="textWrapping"/>
            </w:r>
            <w:r>
              <w:rPr>
                <w:rFonts w:hint="eastAsia" w:ascii="宋体" w:hAnsi="宋体" w:cs="宋体"/>
                <w:kern w:val="0"/>
                <w:sz w:val="16"/>
                <w:szCs w:val="16"/>
                <w:lang w:bidi="ar"/>
              </w:rPr>
              <w:t>2.如型号无法区分按普通型号</w:t>
            </w:r>
          </w:p>
        </w:tc>
      </w:tr>
      <w:tr>
        <w:tblPrEx>
          <w:tblCellMar>
            <w:top w:w="0" w:type="dxa"/>
            <w:left w:w="0" w:type="dxa"/>
            <w:bottom w:w="0" w:type="dxa"/>
            <w:right w:w="0" w:type="dxa"/>
          </w:tblCellMar>
        </w:tblPrEx>
        <w:trPr>
          <w:trHeight w:val="249"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sz w:val="16"/>
                <w:szCs w:val="16"/>
              </w:rPr>
            </w:pPr>
            <w:r>
              <w:rPr>
                <w:rFonts w:hint="eastAsia" w:ascii="宋体" w:hAnsi="宋体" w:cs="宋体"/>
                <w:b/>
                <w:kern w:val="0"/>
                <w:sz w:val="16"/>
                <w:szCs w:val="16"/>
                <w:lang w:bidi="ar"/>
              </w:rPr>
              <w:t>其他</w:t>
            </w:r>
          </w:p>
        </w:tc>
        <w:tc>
          <w:tcPr>
            <w:tcW w:w="40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sz w:val="16"/>
                <w:szCs w:val="16"/>
              </w:rPr>
            </w:pPr>
            <w:r>
              <w:rPr>
                <w:rFonts w:hint="eastAsia" w:ascii="宋体" w:hAnsi="宋体" w:cs="宋体"/>
                <w:kern w:val="0"/>
                <w:sz w:val="16"/>
                <w:szCs w:val="16"/>
                <w:lang w:bidi="ar"/>
              </w:rPr>
              <w:sym w:font="Wingdings 2" w:char="00A3"/>
            </w:r>
          </w:p>
        </w:tc>
        <w:tc>
          <w:tcPr>
            <w:tcW w:w="13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柴油</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机械设备使用的柴油</w:t>
            </w:r>
          </w:p>
        </w:tc>
        <w:tc>
          <w:tcPr>
            <w:tcW w:w="44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sz w:val="16"/>
                <w:szCs w:val="16"/>
              </w:rPr>
            </w:pPr>
          </w:p>
        </w:tc>
        <w:tc>
          <w:tcPr>
            <w:tcW w:w="4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16"/>
                <w:szCs w:val="16"/>
              </w:rPr>
            </w:pPr>
            <w:r>
              <w:rPr>
                <w:rFonts w:hint="eastAsia" w:ascii="宋体" w:hAnsi="宋体" w:cs="宋体"/>
                <w:kern w:val="0"/>
                <w:sz w:val="16"/>
                <w:szCs w:val="16"/>
                <w:lang w:bidi="ar"/>
              </w:rPr>
              <w:t>按信息价</w:t>
            </w:r>
          </w:p>
        </w:tc>
      </w:tr>
      <w:tr>
        <w:tblPrEx>
          <w:tblCellMar>
            <w:top w:w="0" w:type="dxa"/>
            <w:left w:w="0" w:type="dxa"/>
            <w:bottom w:w="0" w:type="dxa"/>
            <w:right w:w="0" w:type="dxa"/>
          </w:tblCellMar>
        </w:tblPrEx>
        <w:trPr>
          <w:trHeight w:val="670" w:hRule="atLeast"/>
        </w:trPr>
        <w:tc>
          <w:tcPr>
            <w:tcW w:w="13980" w:type="dxa"/>
            <w:gridSpan w:val="6"/>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b/>
                <w:sz w:val="16"/>
                <w:szCs w:val="16"/>
              </w:rPr>
            </w:pPr>
            <w:r>
              <w:rPr>
                <w:rFonts w:hint="eastAsia" w:ascii="宋体" w:hAnsi="宋体" w:cs="宋体"/>
                <w:b/>
                <w:kern w:val="0"/>
                <w:sz w:val="16"/>
                <w:szCs w:val="16"/>
                <w:lang w:bidi="ar"/>
              </w:rPr>
              <w:t>备注：</w:t>
            </w:r>
            <w:r>
              <w:rPr>
                <w:rFonts w:hint="eastAsia" w:ascii="宋体" w:hAnsi="宋体" w:cs="宋体"/>
                <w:b/>
                <w:kern w:val="0"/>
                <w:sz w:val="16"/>
                <w:szCs w:val="16"/>
                <w:lang w:bidi="ar"/>
              </w:rPr>
              <w:br w:type="textWrapping"/>
            </w:r>
            <w:r>
              <w:rPr>
                <w:rFonts w:hint="eastAsia" w:ascii="宋体" w:hAnsi="宋体" w:cs="宋体"/>
                <w:b/>
                <w:kern w:val="0"/>
                <w:sz w:val="16"/>
                <w:szCs w:val="16"/>
                <w:lang w:bidi="ar"/>
              </w:rPr>
              <w:t>1.勾选的材料参与调差，未勾选的材料不参与调差；</w:t>
            </w:r>
            <w:r>
              <w:rPr>
                <w:rFonts w:hint="eastAsia" w:ascii="宋体" w:hAnsi="宋体" w:cs="宋体"/>
                <w:b/>
                <w:kern w:val="0"/>
                <w:sz w:val="16"/>
                <w:szCs w:val="16"/>
                <w:lang w:bidi="ar"/>
              </w:rPr>
              <w:br w:type="textWrapping"/>
            </w:r>
            <w:r>
              <w:rPr>
                <w:rFonts w:hint="eastAsia" w:ascii="宋体" w:hAnsi="宋体" w:cs="宋体"/>
                <w:b/>
                <w:kern w:val="0"/>
                <w:sz w:val="16"/>
                <w:szCs w:val="16"/>
                <w:lang w:bidi="ar"/>
              </w:rPr>
              <w:t>2.调差范围中说明的材料参与调差，调差范围中未说明的（包括不参与调差范围中说明）的材料不参与调差。</w:t>
            </w:r>
          </w:p>
        </w:tc>
      </w:tr>
    </w:tbl>
    <w:p>
      <w:pPr>
        <w:pStyle w:val="3"/>
        <w:spacing w:before="360" w:beforeLines="150" w:after="240" w:afterLines="100"/>
        <w:jc w:val="left"/>
        <w:rPr>
          <w:rFonts w:ascii="宋体" w:hAnsi="宋体" w:cs="宋体"/>
          <w:kern w:val="0"/>
          <w:sz w:val="22"/>
          <w:szCs w:val="22"/>
        </w:rPr>
        <w:sectPr>
          <w:type w:val="nextColumn"/>
          <w:pgSz w:w="16840" w:h="11920" w:orient="landscape"/>
          <w:pgMar w:top="1417" w:right="1418" w:bottom="1134" w:left="1418" w:header="720" w:footer="720" w:gutter="0"/>
          <w:cols w:space="720" w:num="1"/>
        </w:sectPr>
      </w:pPr>
    </w:p>
    <w:p>
      <w:pPr>
        <w:pStyle w:val="3"/>
        <w:spacing w:before="360" w:beforeLines="150" w:after="240" w:afterLines="100"/>
        <w:jc w:val="center"/>
        <w:rPr>
          <w:rFonts w:ascii="宋体" w:hAnsi="宋体" w:cs="宋体"/>
          <w:kern w:val="0"/>
          <w:sz w:val="22"/>
          <w:szCs w:val="22"/>
        </w:rPr>
      </w:pPr>
      <w:r>
        <w:rPr>
          <w:rFonts w:hint="eastAsia" w:ascii="宋体" w:hAnsi="宋体" w:cs="宋体"/>
          <w:kern w:val="0"/>
          <w:sz w:val="22"/>
          <w:szCs w:val="22"/>
        </w:rPr>
        <w:t>第四部分  附  件</w:t>
      </w:r>
      <w:bookmarkEnd w:id="315"/>
      <w:bookmarkEnd w:id="316"/>
      <w:bookmarkEnd w:id="317"/>
    </w:p>
    <w:p>
      <w:pPr>
        <w:autoSpaceDE w:val="0"/>
        <w:autoSpaceDN w:val="0"/>
        <w:adjustRightInd w:val="0"/>
        <w:spacing w:line="360" w:lineRule="auto"/>
        <w:ind w:left="101"/>
        <w:jc w:val="left"/>
        <w:rPr>
          <w:rFonts w:ascii="宋体" w:hAnsi="宋体" w:cs="宋体"/>
          <w:sz w:val="22"/>
        </w:rPr>
      </w:pPr>
      <w:r>
        <w:rPr>
          <w:rFonts w:hint="eastAsia" w:ascii="宋体" w:hAnsi="宋体" w:cs="宋体"/>
          <w:position w:val="-3"/>
          <w:sz w:val="22"/>
        </w:rPr>
        <w:t>附件一（此为样本，工程竣工验收正式签订时采用当期适用本）</w:t>
      </w:r>
    </w:p>
    <w:p>
      <w:pPr>
        <w:autoSpaceDE w:val="0"/>
        <w:autoSpaceDN w:val="0"/>
        <w:adjustRightInd w:val="0"/>
        <w:spacing w:line="360" w:lineRule="auto"/>
        <w:jc w:val="left"/>
        <w:rPr>
          <w:rFonts w:ascii="宋体" w:hAnsi="宋体" w:cs="宋体"/>
          <w:sz w:val="22"/>
        </w:rPr>
      </w:pPr>
    </w:p>
    <w:p>
      <w:pPr>
        <w:autoSpaceDE w:val="0"/>
        <w:autoSpaceDN w:val="0"/>
        <w:adjustRightInd w:val="0"/>
        <w:spacing w:line="360" w:lineRule="auto"/>
        <w:jc w:val="center"/>
        <w:rPr>
          <w:rFonts w:ascii="宋体" w:hAnsi="宋体" w:cs="宋体"/>
          <w:b/>
          <w:position w:val="-3"/>
          <w:sz w:val="22"/>
        </w:rPr>
      </w:pPr>
      <w:r>
        <w:rPr>
          <w:rFonts w:hint="eastAsia" w:ascii="宋体" w:hAnsi="宋体" w:cs="宋体"/>
          <w:b/>
          <w:position w:val="-3"/>
          <w:sz w:val="22"/>
        </w:rPr>
        <w:t xml:space="preserve">工程质量保修书 </w:t>
      </w:r>
    </w:p>
    <w:p>
      <w:pPr>
        <w:autoSpaceDE w:val="0"/>
        <w:autoSpaceDN w:val="0"/>
        <w:adjustRightInd w:val="0"/>
        <w:spacing w:line="360" w:lineRule="auto"/>
        <w:jc w:val="left"/>
        <w:rPr>
          <w:rFonts w:ascii="宋体" w:hAnsi="宋体" w:cs="宋体"/>
          <w:sz w:val="22"/>
        </w:rPr>
      </w:pPr>
    </w:p>
    <w:p>
      <w:pPr>
        <w:tabs>
          <w:tab w:val="left" w:pos="9100"/>
        </w:tabs>
        <w:autoSpaceDE w:val="0"/>
        <w:autoSpaceDN w:val="0"/>
        <w:adjustRightInd w:val="0"/>
        <w:spacing w:line="360" w:lineRule="auto"/>
        <w:ind w:left="101" w:right="1030"/>
        <w:jc w:val="left"/>
        <w:rPr>
          <w:rFonts w:ascii="宋体" w:hAnsi="宋体" w:cs="宋体"/>
          <w:sz w:val="22"/>
        </w:rPr>
      </w:pPr>
      <w:r>
        <w:rPr>
          <w:rFonts w:hint="eastAsia" w:ascii="宋体" w:hAnsi="宋体" w:cs="宋体"/>
          <w:sz w:val="22"/>
        </w:rPr>
        <w:t>发包人:</w:t>
      </w:r>
      <w:r>
        <w:rPr>
          <w:rFonts w:hint="eastAsia" w:ascii="宋体" w:hAnsi="宋体" w:cs="宋体"/>
          <w:sz w:val="22"/>
          <w:u w:val="single"/>
        </w:rPr>
        <w:t xml:space="preserve">  /                                 </w:t>
      </w:r>
    </w:p>
    <w:p>
      <w:pPr>
        <w:tabs>
          <w:tab w:val="left" w:pos="9100"/>
        </w:tabs>
        <w:autoSpaceDE w:val="0"/>
        <w:autoSpaceDN w:val="0"/>
        <w:adjustRightInd w:val="0"/>
        <w:spacing w:line="360" w:lineRule="auto"/>
        <w:ind w:left="101" w:right="1030"/>
        <w:jc w:val="left"/>
        <w:rPr>
          <w:rFonts w:ascii="宋体" w:hAnsi="宋体" w:cs="宋体"/>
          <w:sz w:val="22"/>
          <w:u w:val="single"/>
        </w:rPr>
      </w:pPr>
      <w:r>
        <w:rPr>
          <w:rFonts w:hint="eastAsia" w:ascii="宋体" w:hAnsi="宋体" w:cs="宋体"/>
          <w:sz w:val="22"/>
        </w:rPr>
        <w:t>承包人:</w:t>
      </w:r>
      <w:r>
        <w:rPr>
          <w:rFonts w:hint="eastAsia" w:ascii="宋体" w:hAnsi="宋体" w:cs="宋体"/>
          <w:sz w:val="22"/>
          <w:u w:val="single"/>
        </w:rPr>
        <w:t xml:space="preserve">  /                                 </w:t>
      </w:r>
    </w:p>
    <w:p>
      <w:pPr>
        <w:autoSpaceDE w:val="0"/>
        <w:autoSpaceDN w:val="0"/>
        <w:adjustRightInd w:val="0"/>
        <w:spacing w:line="360" w:lineRule="auto"/>
        <w:jc w:val="left"/>
        <w:rPr>
          <w:rFonts w:ascii="宋体" w:hAnsi="宋体" w:cs="宋体"/>
          <w:sz w:val="22"/>
        </w:rPr>
      </w:pPr>
    </w:p>
    <w:p>
      <w:pPr>
        <w:tabs>
          <w:tab w:val="left" w:pos="4180"/>
        </w:tabs>
        <w:autoSpaceDE w:val="0"/>
        <w:autoSpaceDN w:val="0"/>
        <w:adjustRightInd w:val="0"/>
        <w:spacing w:line="360" w:lineRule="auto"/>
        <w:ind w:firstLine="530" w:firstLineChars="241"/>
        <w:jc w:val="left"/>
        <w:rPr>
          <w:rFonts w:ascii="宋体" w:hAnsi="宋体" w:cs="宋体"/>
          <w:sz w:val="22"/>
        </w:rPr>
      </w:pPr>
      <w:r>
        <w:rPr>
          <w:rFonts w:hint="eastAsia" w:ascii="宋体" w:hAnsi="宋体" w:cs="宋体"/>
          <w:sz w:val="22"/>
        </w:rPr>
        <w:t>为保证</w:t>
      </w:r>
      <w:r>
        <w:rPr>
          <w:rFonts w:hint="eastAsia" w:ascii="宋体" w:hAnsi="宋体" w:cs="宋体"/>
          <w:sz w:val="22"/>
          <w:u w:val="single"/>
        </w:rPr>
        <w:t xml:space="preserve">   /               </w:t>
      </w:r>
      <w:r>
        <w:rPr>
          <w:rFonts w:hint="eastAsia" w:ascii="宋体" w:hAnsi="宋体" w:cs="宋体"/>
          <w:sz w:val="22"/>
        </w:rPr>
        <w:t>工程在合理使用期限内正常使用，合同双方当事人根据《中华人民共和国建筑法》、《建设工程质量管理条例》和《房屋建筑工程质量保修办法》等规定，经协商一致，订立本质量保修书。承包人在质量保修期内按照有关管理规定及双方约定承担工程质量保修责任。</w:t>
      </w:r>
    </w:p>
    <w:p>
      <w:pPr>
        <w:autoSpaceDE w:val="0"/>
        <w:autoSpaceDN w:val="0"/>
        <w:adjustRightInd w:val="0"/>
        <w:spacing w:line="360" w:lineRule="auto"/>
        <w:ind w:left="521"/>
        <w:jc w:val="left"/>
        <w:rPr>
          <w:rFonts w:ascii="宋体" w:hAnsi="宋体" w:cs="宋体"/>
          <w:b/>
          <w:sz w:val="22"/>
        </w:rPr>
      </w:pPr>
      <w:r>
        <w:rPr>
          <w:rFonts w:hint="eastAsia" w:ascii="宋体" w:hAnsi="宋体" w:cs="宋体"/>
          <w:b/>
          <w:sz w:val="22"/>
        </w:rPr>
        <w:t>1．</w:t>
      </w:r>
      <w:r>
        <w:rPr>
          <w:rFonts w:hint="eastAsia" w:ascii="宋体" w:hAnsi="宋体" w:cs="宋体"/>
          <w:b/>
          <w:spacing w:val="-60"/>
          <w:sz w:val="22"/>
        </w:rPr>
        <w:t xml:space="preserve"> </w:t>
      </w:r>
      <w:r>
        <w:rPr>
          <w:rFonts w:hint="eastAsia" w:ascii="宋体" w:hAnsi="宋体" w:cs="宋体"/>
          <w:b/>
          <w:sz w:val="22"/>
        </w:rPr>
        <w:t>质量保修范围</w:t>
      </w:r>
    </w:p>
    <w:p>
      <w:pPr>
        <w:autoSpaceDE w:val="0"/>
        <w:autoSpaceDN w:val="0"/>
        <w:adjustRightInd w:val="0"/>
        <w:spacing w:line="360" w:lineRule="auto"/>
        <w:ind w:left="101" w:right="47" w:firstLine="480"/>
        <w:rPr>
          <w:rFonts w:ascii="宋体" w:hAnsi="宋体" w:cs="宋体"/>
          <w:sz w:val="22"/>
        </w:rPr>
      </w:pPr>
      <w:r>
        <w:rPr>
          <w:rFonts w:hint="eastAsia" w:ascii="宋体" w:hAnsi="宋体" w:cs="宋体"/>
          <w:spacing w:val="1"/>
          <w:sz w:val="22"/>
        </w:rPr>
        <w:t>质量保修范围包括地基基础工程</w:t>
      </w:r>
      <w:r>
        <w:rPr>
          <w:rFonts w:hint="eastAsia" w:ascii="宋体" w:hAnsi="宋体" w:cs="宋体"/>
          <w:sz w:val="22"/>
        </w:rPr>
        <w:t>、</w:t>
      </w:r>
      <w:r>
        <w:rPr>
          <w:rFonts w:hint="eastAsia" w:ascii="宋体" w:hAnsi="宋体" w:cs="宋体"/>
          <w:spacing w:val="1"/>
          <w:sz w:val="22"/>
        </w:rPr>
        <w:t>主体结构工程、屋面防水工</w:t>
      </w:r>
      <w:r>
        <w:rPr>
          <w:rFonts w:hint="eastAsia" w:ascii="宋体" w:hAnsi="宋体" w:cs="宋体"/>
          <w:sz w:val="22"/>
        </w:rPr>
        <w:t>程</w:t>
      </w:r>
      <w:r>
        <w:rPr>
          <w:rFonts w:hint="eastAsia" w:ascii="宋体" w:hAnsi="宋体" w:cs="宋体"/>
          <w:spacing w:val="1"/>
          <w:sz w:val="22"/>
        </w:rPr>
        <w:t>、有防水要求的卫生间、</w:t>
      </w:r>
      <w:r>
        <w:rPr>
          <w:rFonts w:hint="eastAsia" w:ascii="宋体" w:hAnsi="宋体" w:cs="宋体"/>
          <w:sz w:val="22"/>
        </w:rPr>
        <w:t>房间、外墙面的防渗漏工程</w:t>
      </w:r>
      <w:r>
        <w:rPr>
          <w:rFonts w:hint="eastAsia" w:ascii="宋体" w:hAnsi="宋体" w:cs="宋体"/>
          <w:spacing w:val="2"/>
          <w:sz w:val="22"/>
        </w:rPr>
        <w:t>、</w:t>
      </w:r>
      <w:r>
        <w:rPr>
          <w:rFonts w:hint="eastAsia" w:ascii="宋体" w:hAnsi="宋体" w:cs="宋体"/>
          <w:sz w:val="22"/>
        </w:rPr>
        <w:t>电气管线工程、给排水管道工程</w:t>
      </w:r>
      <w:r>
        <w:rPr>
          <w:rFonts w:hint="eastAsia" w:ascii="宋体" w:hAnsi="宋体" w:cs="宋体"/>
          <w:spacing w:val="2"/>
          <w:sz w:val="22"/>
        </w:rPr>
        <w:t>、</w:t>
      </w:r>
      <w:r>
        <w:rPr>
          <w:rFonts w:hint="eastAsia" w:ascii="宋体" w:hAnsi="宋体" w:cs="宋体"/>
          <w:sz w:val="22"/>
        </w:rPr>
        <w:t>设备安装工程、供热</w:t>
      </w:r>
      <w:r>
        <w:rPr>
          <w:rFonts w:hint="eastAsia" w:ascii="宋体" w:hAnsi="宋体" w:cs="宋体"/>
          <w:spacing w:val="2"/>
          <w:sz w:val="22"/>
        </w:rPr>
        <w:t>、</w:t>
      </w:r>
      <w:r>
        <w:rPr>
          <w:rFonts w:hint="eastAsia" w:ascii="宋体" w:hAnsi="宋体" w:cs="宋体"/>
          <w:sz w:val="22"/>
        </w:rPr>
        <w:t>供</w:t>
      </w:r>
      <w:r>
        <w:rPr>
          <w:rFonts w:hint="eastAsia" w:ascii="宋体" w:hAnsi="宋体" w:cs="宋体"/>
          <w:spacing w:val="2"/>
          <w:sz w:val="22"/>
        </w:rPr>
        <w:t>冷</w:t>
      </w:r>
      <w:r>
        <w:rPr>
          <w:rFonts w:hint="eastAsia" w:ascii="宋体" w:hAnsi="宋体" w:cs="宋体"/>
          <w:sz w:val="22"/>
        </w:rPr>
        <w:t>系统工程</w:t>
      </w:r>
      <w:r>
        <w:rPr>
          <w:rFonts w:hint="eastAsia" w:ascii="宋体" w:hAnsi="宋体" w:cs="宋体"/>
          <w:spacing w:val="-32"/>
          <w:sz w:val="22"/>
        </w:rPr>
        <w:t>、</w:t>
      </w:r>
      <w:r>
        <w:rPr>
          <w:rFonts w:hint="eastAsia" w:ascii="宋体" w:hAnsi="宋体" w:cs="宋体"/>
          <w:sz w:val="22"/>
        </w:rPr>
        <w:t>装饰装修工程以及双方约定其他项目</w:t>
      </w:r>
      <w:r>
        <w:rPr>
          <w:rFonts w:hint="eastAsia" w:ascii="宋体" w:hAnsi="宋体" w:cs="宋体"/>
          <w:spacing w:val="-32"/>
          <w:sz w:val="22"/>
        </w:rPr>
        <w:t>。</w:t>
      </w:r>
      <w:r>
        <w:rPr>
          <w:rFonts w:hint="eastAsia" w:ascii="宋体" w:hAnsi="宋体" w:cs="宋体"/>
          <w:sz w:val="22"/>
        </w:rPr>
        <w:t>具体质量保修范围</w:t>
      </w:r>
      <w:r>
        <w:rPr>
          <w:rFonts w:hint="eastAsia" w:ascii="宋体" w:hAnsi="宋体" w:cs="宋体"/>
          <w:spacing w:val="-32"/>
          <w:sz w:val="22"/>
        </w:rPr>
        <w:t>，</w:t>
      </w:r>
      <w:r>
        <w:rPr>
          <w:rFonts w:hint="eastAsia" w:ascii="宋体" w:hAnsi="宋体" w:cs="宋体"/>
          <w:sz w:val="22"/>
        </w:rPr>
        <w:t>合同双方当事人约定如下：</w:t>
      </w:r>
    </w:p>
    <w:p>
      <w:pPr>
        <w:autoSpaceDE w:val="0"/>
        <w:autoSpaceDN w:val="0"/>
        <w:adjustRightInd w:val="0"/>
        <w:spacing w:line="360" w:lineRule="auto"/>
        <w:ind w:left="581"/>
        <w:jc w:val="left"/>
        <w:rPr>
          <w:rFonts w:ascii="宋体" w:hAnsi="宋体" w:cs="宋体"/>
          <w:sz w:val="22"/>
        </w:rPr>
      </w:pPr>
      <w:r>
        <w:rPr>
          <w:rFonts w:hint="eastAsia" w:ascii="宋体" w:hAnsi="宋体" w:cs="宋体"/>
          <w:sz w:val="22"/>
        </w:rPr>
        <w:t>1．协议书第一条规定的工程内容，第二条规定的承包范围。</w:t>
      </w:r>
    </w:p>
    <w:p>
      <w:pPr>
        <w:autoSpaceDE w:val="0"/>
        <w:autoSpaceDN w:val="0"/>
        <w:adjustRightInd w:val="0"/>
        <w:spacing w:line="360" w:lineRule="auto"/>
        <w:ind w:left="581"/>
        <w:jc w:val="left"/>
        <w:rPr>
          <w:rFonts w:ascii="宋体" w:hAnsi="宋体" w:cs="宋体"/>
          <w:sz w:val="22"/>
        </w:rPr>
      </w:pPr>
      <w:r>
        <w:rPr>
          <w:rFonts w:hint="eastAsia" w:ascii="宋体" w:hAnsi="宋体" w:cs="宋体"/>
          <w:sz w:val="22"/>
        </w:rPr>
        <w:t>2．/</w:t>
      </w:r>
    </w:p>
    <w:p>
      <w:pPr>
        <w:autoSpaceDE w:val="0"/>
        <w:autoSpaceDN w:val="0"/>
        <w:adjustRightInd w:val="0"/>
        <w:spacing w:line="360" w:lineRule="auto"/>
        <w:ind w:left="581"/>
        <w:jc w:val="left"/>
        <w:rPr>
          <w:rFonts w:ascii="宋体" w:hAnsi="宋体" w:cs="宋体"/>
          <w:sz w:val="22"/>
        </w:rPr>
      </w:pPr>
      <w:r>
        <w:rPr>
          <w:rFonts w:hint="eastAsia" w:ascii="宋体" w:hAnsi="宋体" w:cs="宋体"/>
          <w:sz w:val="22"/>
        </w:rPr>
        <w:t>3．/</w:t>
      </w:r>
    </w:p>
    <w:p>
      <w:pPr>
        <w:autoSpaceDE w:val="0"/>
        <w:autoSpaceDN w:val="0"/>
        <w:adjustRightInd w:val="0"/>
        <w:spacing w:line="360" w:lineRule="auto"/>
        <w:ind w:left="521"/>
        <w:jc w:val="left"/>
        <w:rPr>
          <w:rFonts w:ascii="宋体" w:hAnsi="宋体" w:cs="宋体"/>
          <w:b/>
          <w:sz w:val="22"/>
        </w:rPr>
      </w:pPr>
      <w:r>
        <w:rPr>
          <w:rFonts w:hint="eastAsia" w:ascii="宋体" w:hAnsi="宋体" w:cs="宋体"/>
          <w:b/>
          <w:sz w:val="22"/>
        </w:rPr>
        <w:t>2． 质量保修期</w:t>
      </w:r>
    </w:p>
    <w:p>
      <w:pPr>
        <w:autoSpaceDE w:val="0"/>
        <w:autoSpaceDN w:val="0"/>
        <w:adjustRightInd w:val="0"/>
        <w:spacing w:line="360" w:lineRule="auto"/>
        <w:ind w:left="101" w:right="165" w:firstLine="480"/>
        <w:jc w:val="left"/>
        <w:rPr>
          <w:rFonts w:ascii="宋体" w:hAnsi="宋体" w:cs="宋体"/>
          <w:sz w:val="22"/>
        </w:rPr>
      </w:pPr>
      <w:r>
        <w:rPr>
          <w:rFonts w:hint="eastAsia" w:ascii="宋体" w:hAnsi="宋体" w:cs="宋体"/>
          <w:sz w:val="22"/>
        </w:rPr>
        <w:t xml:space="preserve">2.1 </w:t>
      </w:r>
      <w:r>
        <w:rPr>
          <w:rFonts w:hint="eastAsia" w:ascii="宋体" w:hAnsi="宋体" w:cs="宋体"/>
          <w:spacing w:val="2"/>
          <w:sz w:val="22"/>
        </w:rPr>
        <w:t xml:space="preserve"> 质量保修期从合同工程实际竣工之日算起。单项竣</w:t>
      </w:r>
      <w:r>
        <w:rPr>
          <w:rFonts w:hint="eastAsia" w:ascii="宋体" w:hAnsi="宋体" w:cs="宋体"/>
          <w:spacing w:val="1"/>
          <w:sz w:val="22"/>
        </w:rPr>
        <w:t>工</w:t>
      </w:r>
      <w:r>
        <w:rPr>
          <w:rFonts w:hint="eastAsia" w:ascii="宋体" w:hAnsi="宋体" w:cs="宋体"/>
          <w:spacing w:val="2"/>
          <w:sz w:val="22"/>
        </w:rPr>
        <w:t>验收的工程，按单项工程分别计</w:t>
      </w:r>
      <w:r>
        <w:rPr>
          <w:rFonts w:hint="eastAsia" w:ascii="宋体" w:hAnsi="宋体" w:cs="宋体"/>
          <w:sz w:val="22"/>
        </w:rPr>
        <w:t>算质量保修期。</w:t>
      </w:r>
    </w:p>
    <w:p>
      <w:pPr>
        <w:autoSpaceDE w:val="0"/>
        <w:autoSpaceDN w:val="0"/>
        <w:adjustRightInd w:val="0"/>
        <w:spacing w:line="360" w:lineRule="auto"/>
        <w:ind w:left="101" w:right="165" w:firstLine="480"/>
        <w:jc w:val="left"/>
        <w:rPr>
          <w:rFonts w:ascii="宋体" w:hAnsi="宋体" w:cs="宋体"/>
          <w:sz w:val="22"/>
        </w:rPr>
      </w:pPr>
      <w:r>
        <w:rPr>
          <w:rFonts w:hint="eastAsia" w:ascii="宋体" w:hAnsi="宋体" w:cs="宋体"/>
          <w:sz w:val="22"/>
        </w:rPr>
        <w:t>2.2  合同工程质量保修期，合同双方当时人约定如下：</w:t>
      </w:r>
    </w:p>
    <w:p>
      <w:pPr>
        <w:autoSpaceDE w:val="0"/>
        <w:autoSpaceDN w:val="0"/>
        <w:adjustRightInd w:val="0"/>
        <w:spacing w:line="360" w:lineRule="auto"/>
        <w:ind w:left="581"/>
        <w:jc w:val="left"/>
        <w:rPr>
          <w:rFonts w:ascii="宋体" w:hAnsi="宋体" w:cs="宋体"/>
          <w:sz w:val="22"/>
        </w:rPr>
      </w:pPr>
      <w:r>
        <w:rPr>
          <w:rFonts w:hint="eastAsia" w:ascii="宋体" w:hAnsi="宋体" w:cs="宋体"/>
          <w:sz w:val="22"/>
        </w:rPr>
        <w:t>1．地基基础工程、主体结构工程为设计文件规定的合理使用年限；</w:t>
      </w:r>
    </w:p>
    <w:p>
      <w:pPr>
        <w:tabs>
          <w:tab w:val="left" w:pos="8860"/>
        </w:tabs>
        <w:autoSpaceDE w:val="0"/>
        <w:autoSpaceDN w:val="0"/>
        <w:adjustRightInd w:val="0"/>
        <w:spacing w:line="360" w:lineRule="auto"/>
        <w:ind w:left="581"/>
        <w:jc w:val="left"/>
        <w:rPr>
          <w:rFonts w:ascii="宋体" w:hAnsi="宋体" w:cs="宋体"/>
          <w:sz w:val="22"/>
        </w:rPr>
      </w:pPr>
      <w:r>
        <w:rPr>
          <w:rFonts w:hint="eastAsia" w:ascii="宋体" w:hAnsi="宋体" w:cs="宋体"/>
          <w:sz w:val="22"/>
        </w:rPr>
        <w:t>2．屋面防水工程、有防水要求的卫生间、房间和外墙面的防渗漏工程为</w:t>
      </w:r>
      <w:r>
        <w:rPr>
          <w:rFonts w:hint="eastAsia" w:ascii="宋体" w:hAnsi="宋体" w:cs="宋体"/>
          <w:sz w:val="22"/>
          <w:u w:val="single"/>
        </w:rPr>
        <w:t xml:space="preserve"> 5 </w:t>
      </w:r>
      <w:r>
        <w:rPr>
          <w:rFonts w:hint="eastAsia" w:ascii="宋体" w:hAnsi="宋体" w:cs="宋体"/>
          <w:sz w:val="22"/>
        </w:rPr>
        <w:t>年；</w:t>
      </w:r>
    </w:p>
    <w:p>
      <w:pPr>
        <w:tabs>
          <w:tab w:val="left" w:pos="7420"/>
        </w:tabs>
        <w:autoSpaceDE w:val="0"/>
        <w:autoSpaceDN w:val="0"/>
        <w:adjustRightInd w:val="0"/>
        <w:spacing w:line="360" w:lineRule="auto"/>
        <w:ind w:left="581"/>
        <w:jc w:val="left"/>
        <w:rPr>
          <w:rFonts w:ascii="宋体" w:hAnsi="宋体" w:cs="宋体"/>
          <w:sz w:val="22"/>
        </w:rPr>
      </w:pPr>
      <w:r>
        <w:rPr>
          <w:rFonts w:hint="eastAsia" w:ascii="宋体" w:hAnsi="宋体" w:cs="宋体"/>
          <w:sz w:val="22"/>
        </w:rPr>
        <w:t>3．电气管线工程、给排水管道工程、设备安装工程为</w:t>
      </w:r>
      <w:r>
        <w:rPr>
          <w:rFonts w:hint="eastAsia" w:ascii="宋体" w:hAnsi="宋体" w:cs="宋体"/>
          <w:sz w:val="22"/>
          <w:u w:val="single"/>
        </w:rPr>
        <w:t xml:space="preserve"> 2 </w:t>
      </w:r>
      <w:r>
        <w:rPr>
          <w:rFonts w:hint="eastAsia" w:ascii="宋体" w:hAnsi="宋体" w:cs="宋体"/>
          <w:sz w:val="22"/>
        </w:rPr>
        <w:t>年；</w:t>
      </w:r>
    </w:p>
    <w:p>
      <w:pPr>
        <w:tabs>
          <w:tab w:val="left" w:pos="4060"/>
        </w:tabs>
        <w:autoSpaceDE w:val="0"/>
        <w:autoSpaceDN w:val="0"/>
        <w:adjustRightInd w:val="0"/>
        <w:spacing w:line="360" w:lineRule="auto"/>
        <w:ind w:left="581"/>
        <w:jc w:val="left"/>
        <w:rPr>
          <w:rFonts w:ascii="宋体" w:hAnsi="宋体" w:cs="宋体"/>
          <w:sz w:val="22"/>
        </w:rPr>
      </w:pPr>
      <w:r>
        <w:rPr>
          <w:rFonts w:hint="eastAsia" w:ascii="宋体" w:hAnsi="宋体" w:cs="宋体"/>
          <w:sz w:val="22"/>
        </w:rPr>
        <w:t xml:space="preserve">4．供热、供冷系统工程为 </w:t>
      </w:r>
      <w:r>
        <w:rPr>
          <w:rFonts w:hint="eastAsia" w:ascii="宋体" w:hAnsi="宋体" w:cs="宋体"/>
          <w:sz w:val="22"/>
          <w:u w:val="single"/>
        </w:rPr>
        <w:t xml:space="preserve"> 2  </w:t>
      </w:r>
      <w:r>
        <w:rPr>
          <w:rFonts w:hint="eastAsia" w:ascii="宋体" w:hAnsi="宋体" w:cs="宋体"/>
          <w:sz w:val="22"/>
        </w:rPr>
        <w:t>个采暖期、供冷期；</w:t>
      </w:r>
    </w:p>
    <w:p>
      <w:pPr>
        <w:tabs>
          <w:tab w:val="left" w:pos="3580"/>
        </w:tabs>
        <w:autoSpaceDE w:val="0"/>
        <w:autoSpaceDN w:val="0"/>
        <w:adjustRightInd w:val="0"/>
        <w:spacing w:line="360" w:lineRule="auto"/>
        <w:ind w:left="581"/>
        <w:jc w:val="left"/>
        <w:rPr>
          <w:rFonts w:ascii="宋体" w:hAnsi="宋体" w:cs="宋体"/>
          <w:sz w:val="22"/>
        </w:rPr>
      </w:pPr>
      <w:r>
        <w:rPr>
          <w:rFonts w:hint="eastAsia" w:ascii="宋体" w:hAnsi="宋体" w:cs="宋体"/>
          <w:sz w:val="22"/>
        </w:rPr>
        <w:t>5．装饰装修工程为</w:t>
      </w:r>
      <w:r>
        <w:rPr>
          <w:rFonts w:hint="eastAsia" w:ascii="宋体" w:hAnsi="宋体" w:cs="宋体"/>
          <w:sz w:val="22"/>
          <w:u w:val="single"/>
        </w:rPr>
        <w:t xml:space="preserve">  2  </w:t>
      </w:r>
      <w:r>
        <w:rPr>
          <w:rFonts w:hint="eastAsia" w:ascii="宋体" w:hAnsi="宋体" w:cs="宋体"/>
          <w:sz w:val="22"/>
        </w:rPr>
        <w:t>年；</w:t>
      </w:r>
    </w:p>
    <w:p>
      <w:pPr>
        <w:tabs>
          <w:tab w:val="left" w:pos="6100"/>
        </w:tabs>
        <w:autoSpaceDE w:val="0"/>
        <w:autoSpaceDN w:val="0"/>
        <w:adjustRightInd w:val="0"/>
        <w:spacing w:line="360" w:lineRule="auto"/>
        <w:ind w:left="581"/>
        <w:jc w:val="left"/>
        <w:rPr>
          <w:rFonts w:ascii="宋体" w:hAnsi="宋体" w:cs="宋体"/>
          <w:sz w:val="22"/>
        </w:rPr>
      </w:pPr>
      <w:r>
        <w:rPr>
          <w:rFonts w:hint="eastAsia" w:ascii="宋体" w:hAnsi="宋体" w:cs="宋体"/>
          <w:sz w:val="22"/>
        </w:rPr>
        <w:t xml:space="preserve">6．其他项目道路工程 </w:t>
      </w:r>
      <w:r>
        <w:rPr>
          <w:rFonts w:hint="eastAsia" w:ascii="宋体" w:hAnsi="宋体" w:cs="宋体"/>
          <w:sz w:val="22"/>
          <w:u w:val="single"/>
        </w:rPr>
        <w:t xml:space="preserve">2 </w:t>
      </w:r>
      <w:r>
        <w:rPr>
          <w:rFonts w:hint="eastAsia" w:ascii="宋体" w:hAnsi="宋体" w:cs="宋体"/>
          <w:sz w:val="22"/>
        </w:rPr>
        <w:t xml:space="preserve">年，排水工程 </w:t>
      </w:r>
      <w:r>
        <w:rPr>
          <w:rFonts w:hint="eastAsia" w:ascii="宋体" w:hAnsi="宋体" w:cs="宋体"/>
          <w:sz w:val="22"/>
          <w:u w:val="single"/>
        </w:rPr>
        <w:t xml:space="preserve">2 </w:t>
      </w:r>
      <w:r>
        <w:rPr>
          <w:rFonts w:hint="eastAsia" w:ascii="宋体" w:hAnsi="宋体" w:cs="宋体"/>
          <w:sz w:val="22"/>
        </w:rPr>
        <w:t xml:space="preserve">年，绿化工程 </w:t>
      </w:r>
      <w:r>
        <w:rPr>
          <w:rFonts w:hint="eastAsia" w:ascii="宋体" w:hAnsi="宋体" w:cs="宋体"/>
          <w:sz w:val="22"/>
          <w:u w:val="single"/>
        </w:rPr>
        <w:t xml:space="preserve">1 </w:t>
      </w:r>
      <w:r>
        <w:rPr>
          <w:rFonts w:hint="eastAsia" w:ascii="宋体" w:hAnsi="宋体" w:cs="宋体"/>
          <w:sz w:val="22"/>
        </w:rPr>
        <w:t>年。</w:t>
      </w:r>
    </w:p>
    <w:p>
      <w:pPr>
        <w:autoSpaceDE w:val="0"/>
        <w:autoSpaceDN w:val="0"/>
        <w:adjustRightInd w:val="0"/>
        <w:spacing w:line="360" w:lineRule="auto"/>
        <w:ind w:left="521"/>
        <w:jc w:val="left"/>
        <w:rPr>
          <w:rFonts w:ascii="宋体" w:hAnsi="宋体" w:cs="宋体"/>
          <w:b/>
          <w:sz w:val="22"/>
        </w:rPr>
      </w:pPr>
      <w:r>
        <w:rPr>
          <w:rFonts w:hint="eastAsia" w:ascii="宋体" w:hAnsi="宋体" w:cs="宋体"/>
          <w:b/>
          <w:sz w:val="22"/>
        </w:rPr>
        <w:t>3． 质量保修责任</w:t>
      </w:r>
    </w:p>
    <w:p>
      <w:pPr>
        <w:tabs>
          <w:tab w:val="left" w:pos="1120"/>
        </w:tabs>
        <w:autoSpaceDE w:val="0"/>
        <w:autoSpaceDN w:val="0"/>
        <w:adjustRightInd w:val="0"/>
        <w:spacing w:line="360" w:lineRule="auto"/>
        <w:ind w:left="101" w:right="166" w:firstLine="480"/>
        <w:jc w:val="left"/>
        <w:rPr>
          <w:rFonts w:ascii="宋体" w:hAnsi="宋体" w:cs="宋体"/>
          <w:sz w:val="22"/>
        </w:rPr>
      </w:pPr>
      <w:r>
        <w:rPr>
          <w:rFonts w:hint="eastAsia" w:ascii="宋体" w:hAnsi="宋体" w:cs="宋体"/>
          <w:sz w:val="22"/>
        </w:rPr>
        <w:t>3.1</w:t>
      </w:r>
      <w:r>
        <w:rPr>
          <w:rFonts w:hint="eastAsia" w:ascii="宋体" w:hAnsi="宋体" w:cs="宋体"/>
          <w:sz w:val="22"/>
        </w:rPr>
        <w:tab/>
      </w:r>
      <w:r>
        <w:rPr>
          <w:rFonts w:hint="eastAsia" w:ascii="宋体" w:hAnsi="宋体" w:cs="宋体"/>
          <w:sz w:val="22"/>
        </w:rPr>
        <w:t>属于保修范围的项目</w:t>
      </w:r>
      <w:r>
        <w:rPr>
          <w:rFonts w:hint="eastAsia" w:ascii="宋体" w:hAnsi="宋体" w:cs="宋体"/>
          <w:spacing w:val="-18"/>
          <w:sz w:val="22"/>
        </w:rPr>
        <w:t>，</w:t>
      </w:r>
      <w:r>
        <w:rPr>
          <w:rFonts w:hint="eastAsia" w:ascii="宋体" w:hAnsi="宋体" w:cs="宋体"/>
          <w:sz w:val="22"/>
        </w:rPr>
        <w:t>承包人应在接到发包人通知后的</w:t>
      </w:r>
      <w:r>
        <w:rPr>
          <w:rFonts w:hint="eastAsia" w:ascii="宋体" w:hAnsi="宋体" w:cs="宋体"/>
          <w:spacing w:val="-60"/>
          <w:sz w:val="22"/>
        </w:rPr>
        <w:t xml:space="preserve"> </w:t>
      </w:r>
      <w:r>
        <w:rPr>
          <w:rFonts w:hint="eastAsia" w:ascii="宋体" w:hAnsi="宋体" w:cs="宋体"/>
          <w:sz w:val="22"/>
        </w:rPr>
        <w:t>7天内派人保修</w:t>
      </w:r>
      <w:r>
        <w:rPr>
          <w:rFonts w:hint="eastAsia" w:ascii="宋体" w:hAnsi="宋体" w:cs="宋体"/>
          <w:spacing w:val="-18"/>
          <w:sz w:val="22"/>
        </w:rPr>
        <w:t>。</w:t>
      </w:r>
      <w:r>
        <w:rPr>
          <w:rFonts w:hint="eastAsia" w:ascii="宋体" w:hAnsi="宋体" w:cs="宋体"/>
          <w:sz w:val="22"/>
        </w:rPr>
        <w:t>承包人未能在规定时间内派人保修的，发包人可自行或委托第三方保修。</w:t>
      </w:r>
    </w:p>
    <w:p>
      <w:pPr>
        <w:tabs>
          <w:tab w:val="left" w:pos="1120"/>
        </w:tabs>
        <w:autoSpaceDE w:val="0"/>
        <w:autoSpaceDN w:val="0"/>
        <w:adjustRightInd w:val="0"/>
        <w:spacing w:line="360" w:lineRule="auto"/>
        <w:ind w:left="101" w:right="166" w:firstLine="480"/>
        <w:jc w:val="left"/>
        <w:rPr>
          <w:rFonts w:ascii="宋体" w:hAnsi="宋体" w:cs="宋体"/>
          <w:sz w:val="22"/>
        </w:rPr>
      </w:pPr>
      <w:r>
        <w:rPr>
          <w:rFonts w:hint="eastAsia" w:ascii="宋体" w:hAnsi="宋体" w:cs="宋体"/>
          <w:sz w:val="22"/>
        </w:rPr>
        <w:t>3.2</w:t>
      </w:r>
      <w:r>
        <w:rPr>
          <w:rFonts w:hint="eastAsia" w:ascii="宋体" w:hAnsi="宋体" w:cs="宋体"/>
          <w:sz w:val="22"/>
        </w:rPr>
        <w:tab/>
      </w:r>
      <w:r>
        <w:rPr>
          <w:rFonts w:hint="eastAsia" w:ascii="宋体" w:hAnsi="宋体" w:cs="宋体"/>
          <w:sz w:val="22"/>
        </w:rPr>
        <w:t>发生紧急抢修事故的，承包人在接到通知后，应立即到达事故现场抢修。</w:t>
      </w:r>
    </w:p>
    <w:p>
      <w:pPr>
        <w:tabs>
          <w:tab w:val="left" w:pos="1120"/>
        </w:tabs>
        <w:autoSpaceDE w:val="0"/>
        <w:autoSpaceDN w:val="0"/>
        <w:adjustRightInd w:val="0"/>
        <w:spacing w:line="360" w:lineRule="auto"/>
        <w:ind w:left="101" w:right="166" w:firstLine="480"/>
        <w:jc w:val="left"/>
        <w:rPr>
          <w:rFonts w:ascii="宋体" w:hAnsi="宋体" w:cs="宋体"/>
          <w:sz w:val="22"/>
        </w:rPr>
      </w:pPr>
      <w:r>
        <w:rPr>
          <w:rFonts w:hint="eastAsia" w:ascii="宋体" w:hAnsi="宋体" w:cs="宋体"/>
          <w:position w:val="-2"/>
          <w:sz w:val="22"/>
        </w:rPr>
        <w:t>3.3</w:t>
      </w:r>
      <w:r>
        <w:rPr>
          <w:rFonts w:hint="eastAsia" w:ascii="宋体" w:hAnsi="宋体" w:cs="宋体"/>
          <w:position w:val="-2"/>
          <w:sz w:val="22"/>
        </w:rPr>
        <w:tab/>
      </w:r>
      <w:r>
        <w:rPr>
          <w:rFonts w:hint="eastAsia" w:ascii="宋体" w:hAnsi="宋体" w:cs="宋体"/>
          <w:spacing w:val="5"/>
          <w:position w:val="-2"/>
          <w:sz w:val="22"/>
        </w:rPr>
        <w:t>在国家规定的合理使用期限内，承包</w:t>
      </w:r>
      <w:r>
        <w:rPr>
          <w:rFonts w:hint="eastAsia" w:ascii="宋体" w:hAnsi="宋体" w:cs="宋体"/>
          <w:spacing w:val="4"/>
          <w:position w:val="-2"/>
          <w:sz w:val="22"/>
        </w:rPr>
        <w:t>人</w:t>
      </w:r>
      <w:r>
        <w:rPr>
          <w:rFonts w:hint="eastAsia" w:ascii="宋体" w:hAnsi="宋体" w:cs="宋体"/>
          <w:spacing w:val="6"/>
          <w:position w:val="-2"/>
          <w:sz w:val="22"/>
        </w:rPr>
        <w:t>应确保地基基础工程</w:t>
      </w:r>
      <w:r>
        <w:rPr>
          <w:rFonts w:hint="eastAsia" w:ascii="宋体" w:hAnsi="宋体" w:cs="宋体"/>
          <w:spacing w:val="4"/>
          <w:position w:val="-2"/>
          <w:sz w:val="22"/>
        </w:rPr>
        <w:t>和</w:t>
      </w:r>
      <w:r>
        <w:rPr>
          <w:rFonts w:hint="eastAsia" w:ascii="宋体" w:hAnsi="宋体" w:cs="宋体"/>
          <w:spacing w:val="6"/>
          <w:position w:val="-2"/>
          <w:sz w:val="22"/>
        </w:rPr>
        <w:t>主体结构的质量和安</w:t>
      </w:r>
      <w:r>
        <w:rPr>
          <w:rFonts w:hint="eastAsia" w:ascii="宋体" w:hAnsi="宋体" w:cs="宋体"/>
          <w:sz w:val="22"/>
        </w:rPr>
        <w:t>全。凡出现质量问题，应立</w:t>
      </w:r>
      <w:r>
        <w:rPr>
          <w:rFonts w:hint="eastAsia" w:ascii="宋体" w:hAnsi="宋体" w:cs="宋体"/>
          <w:spacing w:val="2"/>
          <w:sz w:val="22"/>
        </w:rPr>
        <w:t>即</w:t>
      </w:r>
      <w:r>
        <w:rPr>
          <w:rFonts w:hint="eastAsia" w:ascii="宋体" w:hAnsi="宋体" w:cs="宋体"/>
          <w:sz w:val="22"/>
        </w:rPr>
        <w:t>报告当地建设行政主管部门，经</w:t>
      </w:r>
      <w:r>
        <w:rPr>
          <w:rFonts w:hint="eastAsia" w:ascii="宋体" w:hAnsi="宋体" w:cs="宋体"/>
          <w:spacing w:val="2"/>
          <w:sz w:val="22"/>
        </w:rPr>
        <w:t>设</w:t>
      </w:r>
      <w:r>
        <w:rPr>
          <w:rFonts w:hint="eastAsia" w:ascii="宋体" w:hAnsi="宋体" w:cs="宋体"/>
          <w:sz w:val="22"/>
        </w:rPr>
        <w:t>计人提出保修方案后</w:t>
      </w:r>
      <w:r>
        <w:rPr>
          <w:rFonts w:hint="eastAsia" w:ascii="宋体" w:hAnsi="宋体" w:cs="宋体"/>
          <w:spacing w:val="2"/>
          <w:sz w:val="22"/>
        </w:rPr>
        <w:t>，</w:t>
      </w:r>
      <w:r>
        <w:rPr>
          <w:rFonts w:hint="eastAsia" w:ascii="宋体" w:hAnsi="宋体" w:cs="宋体"/>
          <w:sz w:val="22"/>
        </w:rPr>
        <w:t>承</w:t>
      </w:r>
      <w:r>
        <w:rPr>
          <w:rFonts w:hint="eastAsia" w:ascii="宋体" w:hAnsi="宋体" w:cs="宋体"/>
          <w:spacing w:val="2"/>
          <w:sz w:val="22"/>
        </w:rPr>
        <w:t>包</w:t>
      </w:r>
      <w:r>
        <w:rPr>
          <w:rFonts w:hint="eastAsia" w:ascii="宋体" w:hAnsi="宋体" w:cs="宋体"/>
          <w:sz w:val="22"/>
        </w:rPr>
        <w:t>人应立即实施保修。</w:t>
      </w:r>
    </w:p>
    <w:p>
      <w:pPr>
        <w:tabs>
          <w:tab w:val="left" w:pos="1120"/>
        </w:tabs>
        <w:autoSpaceDE w:val="0"/>
        <w:autoSpaceDN w:val="0"/>
        <w:adjustRightInd w:val="0"/>
        <w:spacing w:line="360" w:lineRule="auto"/>
        <w:ind w:left="101" w:right="166" w:firstLine="480"/>
        <w:jc w:val="left"/>
        <w:rPr>
          <w:rFonts w:ascii="宋体" w:hAnsi="宋体" w:cs="宋体"/>
          <w:sz w:val="22"/>
        </w:rPr>
      </w:pPr>
      <w:r>
        <w:rPr>
          <w:rFonts w:hint="eastAsia" w:ascii="宋体" w:hAnsi="宋体" w:cs="宋体"/>
          <w:sz w:val="22"/>
        </w:rPr>
        <w:t>3.4</w:t>
      </w:r>
      <w:r>
        <w:rPr>
          <w:rFonts w:hint="eastAsia" w:ascii="宋体" w:hAnsi="宋体" w:cs="宋体"/>
          <w:sz w:val="22"/>
        </w:rPr>
        <w:tab/>
      </w:r>
      <w:r>
        <w:rPr>
          <w:rFonts w:hint="eastAsia" w:ascii="宋体" w:hAnsi="宋体" w:cs="宋体"/>
          <w:sz w:val="22"/>
        </w:rPr>
        <w:t>质量保修完成后，由发包人组织验收。</w:t>
      </w:r>
    </w:p>
    <w:p>
      <w:pPr>
        <w:autoSpaceDE w:val="0"/>
        <w:autoSpaceDN w:val="0"/>
        <w:adjustRightInd w:val="0"/>
        <w:spacing w:line="360" w:lineRule="auto"/>
        <w:ind w:left="521"/>
        <w:jc w:val="left"/>
        <w:rPr>
          <w:rFonts w:ascii="宋体" w:hAnsi="宋体" w:cs="宋体"/>
          <w:b/>
          <w:sz w:val="22"/>
        </w:rPr>
      </w:pPr>
      <w:r>
        <w:rPr>
          <w:rFonts w:hint="eastAsia" w:ascii="宋体" w:hAnsi="宋体" w:cs="宋体"/>
          <w:b/>
          <w:sz w:val="22"/>
        </w:rPr>
        <w:t>4．质量保修费用</w:t>
      </w:r>
    </w:p>
    <w:p>
      <w:pPr>
        <w:pStyle w:val="19"/>
        <w:spacing w:line="360" w:lineRule="auto"/>
        <w:ind w:firstLine="560"/>
        <w:jc w:val="left"/>
        <w:rPr>
          <w:rFonts w:hAnsi="宋体" w:cs="宋体"/>
          <w:sz w:val="22"/>
          <w:szCs w:val="22"/>
          <w:u w:val="single"/>
        </w:rPr>
      </w:pPr>
      <w:r>
        <w:rPr>
          <w:rFonts w:hint="eastAsia" w:hAnsi="宋体" w:cs="宋体"/>
          <w:sz w:val="22"/>
          <w:szCs w:val="22"/>
        </w:rPr>
        <w:t>质量保修等费用，由责任方承担。</w:t>
      </w:r>
    </w:p>
    <w:p>
      <w:pPr>
        <w:pStyle w:val="19"/>
        <w:spacing w:line="360" w:lineRule="auto"/>
        <w:ind w:firstLine="442" w:firstLineChars="200"/>
        <w:jc w:val="left"/>
        <w:rPr>
          <w:rFonts w:hAnsi="宋体" w:cs="宋体"/>
          <w:b/>
          <w:sz w:val="22"/>
          <w:szCs w:val="22"/>
        </w:rPr>
      </w:pPr>
      <w:r>
        <w:rPr>
          <w:rFonts w:hint="eastAsia" w:hAnsi="宋体" w:cs="宋体"/>
          <w:b/>
          <w:sz w:val="22"/>
          <w:szCs w:val="22"/>
        </w:rPr>
        <w:t>5. 质量保修金</w:t>
      </w:r>
    </w:p>
    <w:p>
      <w:pPr>
        <w:pStyle w:val="19"/>
        <w:spacing w:line="360" w:lineRule="auto"/>
        <w:ind w:firstLine="440" w:firstLineChars="200"/>
        <w:jc w:val="left"/>
        <w:rPr>
          <w:rFonts w:hAnsi="宋体" w:cs="宋体"/>
          <w:sz w:val="22"/>
          <w:szCs w:val="22"/>
        </w:rPr>
      </w:pPr>
      <w:r>
        <w:rPr>
          <w:rFonts w:hint="eastAsia" w:hAnsi="宋体" w:cs="宋体"/>
          <w:sz w:val="22"/>
          <w:szCs w:val="22"/>
        </w:rPr>
        <w:t>质量保证金的约定、支付和使用与本合同第二部分《通用条款》第84条赋予的规定一致。</w:t>
      </w:r>
    </w:p>
    <w:p>
      <w:pPr>
        <w:pStyle w:val="19"/>
        <w:spacing w:line="360" w:lineRule="auto"/>
        <w:ind w:firstLine="540"/>
        <w:rPr>
          <w:rFonts w:hAnsi="宋体" w:cs="宋体"/>
          <w:b/>
          <w:sz w:val="22"/>
          <w:szCs w:val="22"/>
        </w:rPr>
      </w:pPr>
      <w:r>
        <w:rPr>
          <w:rFonts w:hint="eastAsia" w:hAnsi="宋体" w:cs="宋体"/>
          <w:b/>
          <w:sz w:val="22"/>
          <w:szCs w:val="22"/>
        </w:rPr>
        <w:t>6、其他</w:t>
      </w:r>
    </w:p>
    <w:p>
      <w:pPr>
        <w:pStyle w:val="19"/>
        <w:spacing w:line="360" w:lineRule="auto"/>
        <w:ind w:firstLine="560"/>
        <w:rPr>
          <w:rFonts w:hAnsi="宋体" w:cs="宋体"/>
          <w:sz w:val="22"/>
          <w:szCs w:val="22"/>
        </w:rPr>
      </w:pPr>
      <w:r>
        <w:rPr>
          <w:rFonts w:hint="eastAsia" w:hAnsi="宋体" w:cs="宋体"/>
          <w:sz w:val="22"/>
          <w:szCs w:val="22"/>
        </w:rPr>
        <w:t>6.1 合同双方当事人约定的其他质量保修事项：：</w:t>
      </w:r>
    </w:p>
    <w:p>
      <w:pPr>
        <w:pStyle w:val="19"/>
        <w:spacing w:line="360" w:lineRule="auto"/>
        <w:ind w:firstLine="560"/>
        <w:rPr>
          <w:rFonts w:hAnsi="宋体" w:cs="宋体"/>
          <w:sz w:val="22"/>
          <w:szCs w:val="22"/>
        </w:rPr>
      </w:pPr>
      <w:r>
        <w:rPr>
          <w:rFonts w:hint="eastAsia" w:hAnsi="宋体" w:cs="宋体"/>
          <w:sz w:val="22"/>
          <w:szCs w:val="22"/>
        </w:rPr>
        <w:t>6.2本质量保修书，由合同双方当事人在承包人向发包人提交竣工验收申请报告时签署，作为本合同的附件。</w:t>
      </w:r>
    </w:p>
    <w:p>
      <w:pPr>
        <w:pStyle w:val="19"/>
        <w:spacing w:line="360" w:lineRule="auto"/>
        <w:ind w:firstLine="560"/>
        <w:rPr>
          <w:rFonts w:hAnsi="宋体" w:cs="宋体"/>
          <w:sz w:val="22"/>
          <w:szCs w:val="22"/>
        </w:rPr>
      </w:pPr>
      <w:r>
        <w:rPr>
          <w:rFonts w:hint="eastAsia" w:hAnsi="宋体" w:cs="宋体"/>
          <w:sz w:val="22"/>
          <w:szCs w:val="22"/>
        </w:rPr>
        <w:t>6.3 本质量保修书，自合同双方当事人签署之日起生效，至质量保修期满后失效。</w:t>
      </w:r>
    </w:p>
    <w:p>
      <w:pPr>
        <w:autoSpaceDE w:val="0"/>
        <w:autoSpaceDN w:val="0"/>
        <w:adjustRightInd w:val="0"/>
        <w:spacing w:line="360" w:lineRule="auto"/>
        <w:ind w:left="101"/>
        <w:jc w:val="left"/>
        <w:rPr>
          <w:rFonts w:ascii="宋体" w:hAnsi="宋体" w:cs="宋体"/>
          <w:position w:val="-3"/>
          <w:sz w:val="22"/>
        </w:rPr>
        <w:sectPr>
          <w:pgSz w:w="11922" w:h="16838"/>
          <w:pgMar w:top="1417" w:right="1134" w:bottom="1417" w:left="1417" w:header="720" w:footer="720" w:gutter="0"/>
          <w:cols w:space="720" w:num="1"/>
        </w:sectPr>
      </w:pPr>
    </w:p>
    <w:p>
      <w:pPr>
        <w:spacing w:line="400" w:lineRule="exact"/>
        <w:rPr>
          <w:rFonts w:ascii="宋体" w:hAnsi="宋体" w:cs="宋体"/>
          <w:position w:val="-3"/>
          <w:sz w:val="22"/>
        </w:rPr>
      </w:pPr>
      <w:r>
        <w:rPr>
          <w:rFonts w:hint="eastAsia" w:ascii="宋体" w:hAnsi="宋体" w:cs="宋体"/>
          <w:position w:val="-3"/>
          <w:sz w:val="22"/>
        </w:rPr>
        <w:t>附件二</w:t>
      </w:r>
    </w:p>
    <w:p>
      <w:pPr>
        <w:tabs>
          <w:tab w:val="left" w:pos="9045"/>
        </w:tabs>
        <w:spacing w:line="560" w:lineRule="exact"/>
        <w:jc w:val="center"/>
        <w:rPr>
          <w:rFonts w:ascii="宋体" w:hAnsi="宋体" w:cs="宋体"/>
          <w:b/>
          <w:sz w:val="22"/>
        </w:rPr>
      </w:pPr>
      <w:r>
        <w:rPr>
          <w:rFonts w:hint="eastAsia" w:ascii="宋体" w:hAnsi="宋体" w:cs="宋体"/>
          <w:b/>
          <w:sz w:val="22"/>
        </w:rPr>
        <w:t>广东省机场管理集团有限公司工程建设指挥部</w:t>
      </w:r>
    </w:p>
    <w:p>
      <w:pPr>
        <w:spacing w:line="560" w:lineRule="exact"/>
        <w:jc w:val="center"/>
        <w:rPr>
          <w:rFonts w:ascii="宋体" w:hAnsi="宋体" w:cs="宋体"/>
          <w:b/>
          <w:sz w:val="22"/>
        </w:rPr>
      </w:pPr>
      <w:r>
        <w:rPr>
          <w:rFonts w:hint="eastAsia" w:ascii="宋体" w:hAnsi="宋体" w:cs="宋体"/>
          <w:b/>
          <w:sz w:val="22"/>
        </w:rPr>
        <w:t xml:space="preserve">  建设工程施工文件归档细则（试行）</w:t>
      </w:r>
    </w:p>
    <w:p>
      <w:pPr>
        <w:spacing w:line="360" w:lineRule="auto"/>
        <w:ind w:firstLine="442" w:firstLineChars="200"/>
        <w:rPr>
          <w:rFonts w:ascii="宋体" w:hAnsi="宋体" w:cs="宋体"/>
          <w:b/>
          <w:sz w:val="22"/>
        </w:rPr>
      </w:pPr>
    </w:p>
    <w:p>
      <w:pPr>
        <w:spacing w:line="360" w:lineRule="auto"/>
        <w:ind w:firstLine="442" w:firstLineChars="200"/>
        <w:rPr>
          <w:rFonts w:ascii="宋体" w:hAnsi="宋体" w:cs="宋体"/>
          <w:b/>
          <w:bCs/>
          <w:sz w:val="22"/>
        </w:rPr>
      </w:pPr>
      <w:r>
        <w:rPr>
          <w:rFonts w:hint="eastAsia" w:ascii="宋体" w:hAnsi="宋体" w:cs="宋体"/>
          <w:b/>
          <w:bCs/>
          <w:sz w:val="22"/>
        </w:rPr>
        <w:t>1总则</w:t>
      </w:r>
    </w:p>
    <w:p>
      <w:pPr>
        <w:snapToGrid w:val="0"/>
        <w:spacing w:line="360" w:lineRule="auto"/>
        <w:ind w:firstLine="440" w:firstLineChars="200"/>
        <w:rPr>
          <w:rFonts w:ascii="宋体" w:hAnsi="宋体" w:cs="宋体"/>
          <w:sz w:val="22"/>
        </w:rPr>
      </w:pPr>
      <w:r>
        <w:rPr>
          <w:rFonts w:hint="eastAsia" w:ascii="宋体" w:hAnsi="宋体" w:cs="宋体"/>
          <w:sz w:val="22"/>
        </w:rPr>
        <w:t>1.1为规范广东省机场管理集团有限公司工程建设指挥部（以下简称指挥部）建设工程施工文件的归档工作，</w:t>
      </w:r>
      <w:r>
        <w:rPr>
          <w:rFonts w:hint="eastAsia" w:ascii="宋体" w:hAnsi="宋体" w:cs="宋体"/>
          <w:bCs/>
          <w:sz w:val="22"/>
        </w:rPr>
        <w:t>确保建设工程档案顺利验收及移交，</w:t>
      </w:r>
      <w:r>
        <w:rPr>
          <w:rFonts w:hint="eastAsia" w:ascii="宋体" w:hAnsi="宋体" w:cs="宋体"/>
          <w:sz w:val="22"/>
        </w:rPr>
        <w:t>根据《国家重大建设工程项目文件归档要求与档案整理规范》（DA/T2822-2002）、《科学技术档案案卷构成的一般要求》（DB/T11822-2008）、《建设工程文件归档整理规范》（GB/T50328-2001）、《广州市建筑工程文件整理和档案移交规定》、《广州市市政政基础工程文件的整理和档案移交规定》及《指挥部建设工程文件归档办法》、《指挥部建设工程档案分类编号方案》等</w:t>
      </w:r>
      <w:r>
        <w:rPr>
          <w:rFonts w:hint="eastAsia" w:ascii="宋体" w:hAnsi="宋体" w:cs="宋体"/>
          <w:bCs/>
          <w:sz w:val="22"/>
        </w:rPr>
        <w:t>规定规范，</w:t>
      </w:r>
      <w:r>
        <w:rPr>
          <w:rFonts w:hint="eastAsia" w:ascii="宋体" w:hAnsi="宋体" w:cs="宋体"/>
          <w:sz w:val="22"/>
        </w:rPr>
        <w:t>结合指挥部建设工程特点，制定本细则。</w:t>
      </w:r>
    </w:p>
    <w:p>
      <w:pPr>
        <w:widowControl/>
        <w:spacing w:line="360" w:lineRule="auto"/>
        <w:ind w:firstLine="440" w:firstLineChars="200"/>
        <w:jc w:val="left"/>
        <w:rPr>
          <w:rFonts w:ascii="宋体" w:hAnsi="宋体" w:cs="宋体"/>
          <w:sz w:val="22"/>
        </w:rPr>
      </w:pPr>
      <w:r>
        <w:rPr>
          <w:rFonts w:hint="eastAsia" w:ascii="宋体" w:hAnsi="宋体" w:cs="宋体"/>
          <w:sz w:val="22"/>
        </w:rPr>
        <w:t>1.2本细则所称的建设工程施工文件是指施工单位在工程施工过程中形成的反映工程情况的文件。</w:t>
      </w:r>
    </w:p>
    <w:p>
      <w:pPr>
        <w:widowControl/>
        <w:spacing w:line="360" w:lineRule="auto"/>
        <w:ind w:firstLine="440" w:firstLineChars="200"/>
        <w:jc w:val="left"/>
        <w:rPr>
          <w:rFonts w:ascii="宋体" w:hAnsi="宋体" w:cs="宋体"/>
          <w:sz w:val="22"/>
        </w:rPr>
      </w:pPr>
      <w:r>
        <w:rPr>
          <w:rFonts w:hint="eastAsia" w:ascii="宋体" w:hAnsi="宋体" w:cs="宋体"/>
          <w:sz w:val="22"/>
        </w:rPr>
        <w:t>1.3本细则所称的建设工程施工文件归档是指施工单位按照合同及有关档案规定，在工程质量、竣工验收后向指挥部档案室移交经整理的施工文件。</w:t>
      </w:r>
    </w:p>
    <w:p>
      <w:pPr>
        <w:snapToGrid w:val="0"/>
        <w:spacing w:line="360" w:lineRule="auto"/>
        <w:ind w:firstLine="440" w:firstLineChars="200"/>
        <w:rPr>
          <w:rFonts w:ascii="宋体" w:hAnsi="宋体" w:cs="宋体"/>
          <w:sz w:val="22"/>
        </w:rPr>
      </w:pPr>
      <w:r>
        <w:rPr>
          <w:rFonts w:hint="eastAsia" w:ascii="宋体" w:hAnsi="宋体" w:cs="宋体"/>
          <w:sz w:val="22"/>
        </w:rPr>
        <w:t>1.4本细则确立了指挥部建设工程施工文件的编制、收集、整理及归档方法，适用于指挥部建设工程形成的施工文件。</w:t>
      </w:r>
    </w:p>
    <w:p>
      <w:pPr>
        <w:spacing w:line="360" w:lineRule="auto"/>
        <w:ind w:firstLine="442" w:firstLineChars="200"/>
        <w:rPr>
          <w:rFonts w:ascii="宋体" w:hAnsi="宋体" w:cs="宋体"/>
          <w:b/>
          <w:sz w:val="22"/>
        </w:rPr>
      </w:pPr>
      <w:r>
        <w:rPr>
          <w:rFonts w:hint="eastAsia" w:ascii="宋体" w:hAnsi="宋体" w:cs="宋体"/>
          <w:b/>
          <w:sz w:val="22"/>
        </w:rPr>
        <w:t>2施工文件的编制</w:t>
      </w:r>
    </w:p>
    <w:p>
      <w:pPr>
        <w:spacing w:line="360" w:lineRule="auto"/>
        <w:ind w:firstLine="440" w:firstLineChars="200"/>
        <w:rPr>
          <w:rFonts w:ascii="宋体" w:hAnsi="宋体" w:cs="宋体"/>
          <w:sz w:val="22"/>
        </w:rPr>
      </w:pPr>
      <w:r>
        <w:rPr>
          <w:rFonts w:hint="eastAsia" w:ascii="宋体" w:hAnsi="宋体" w:cs="宋体"/>
          <w:sz w:val="22"/>
        </w:rPr>
        <w:t>各施工单位根据施工项目的专业及特点，采用统一的施工技术用表编制施工文件。其中建筑工程施工用表采用《广东省建筑工程竣工验收技术资料统一用表》（广东省建设厅编制），市政基础工程施工用表采用《广东省市政基础设施工程施工质量技术资料统一用表》（广东省建设厅编制），竣工验收用表统一采用《建设工程竣工验收备案表格》（广州地区建设工程质量安全监督站编制）；园林绿化工程施工及竣工验收用表采用《广州市园林绿化工程质量监督和竣工验收备案用表》（广州市园林绿化工程质量监督站编制）；民航专业工程施工及竣工验收用表采用《民航专业工程施工及竣工验收技术资料统一用表》（指挥部自行编制）。</w:t>
      </w:r>
    </w:p>
    <w:p>
      <w:pPr>
        <w:spacing w:line="360" w:lineRule="auto"/>
        <w:ind w:firstLine="442" w:firstLineChars="200"/>
        <w:rPr>
          <w:rFonts w:ascii="宋体" w:hAnsi="宋体" w:cs="宋体"/>
          <w:b/>
          <w:sz w:val="22"/>
        </w:rPr>
      </w:pPr>
      <w:r>
        <w:rPr>
          <w:rFonts w:hint="eastAsia" w:ascii="宋体" w:hAnsi="宋体" w:cs="宋体"/>
          <w:b/>
          <w:sz w:val="22"/>
        </w:rPr>
        <w:t>3施工文件的收集</w:t>
      </w:r>
    </w:p>
    <w:p>
      <w:pPr>
        <w:snapToGrid w:val="0"/>
        <w:spacing w:line="360" w:lineRule="auto"/>
        <w:ind w:firstLine="440" w:firstLineChars="200"/>
        <w:rPr>
          <w:rFonts w:ascii="宋体" w:hAnsi="宋体" w:cs="宋体"/>
          <w:sz w:val="22"/>
        </w:rPr>
      </w:pPr>
      <w:r>
        <w:rPr>
          <w:rFonts w:hint="eastAsia" w:ascii="宋体" w:hAnsi="宋体" w:cs="宋体"/>
          <w:sz w:val="22"/>
        </w:rPr>
        <w:t>3.1收集责任</w:t>
      </w:r>
    </w:p>
    <w:p>
      <w:pPr>
        <w:snapToGrid w:val="0"/>
        <w:spacing w:line="360" w:lineRule="auto"/>
        <w:ind w:firstLine="440" w:firstLineChars="200"/>
        <w:rPr>
          <w:rFonts w:ascii="宋体" w:hAnsi="宋体" w:cs="宋体"/>
          <w:bCs/>
          <w:sz w:val="22"/>
        </w:rPr>
      </w:pPr>
      <w:r>
        <w:rPr>
          <w:rFonts w:hint="eastAsia" w:ascii="宋体" w:hAnsi="宋体" w:cs="宋体"/>
          <w:bCs/>
          <w:sz w:val="22"/>
        </w:rPr>
        <w:t>施工文件产生于工程施工过程，由施工单位根据合同约定及有关档案管理规定，负责施工文件的收集，采取有效措施严格监控文件的形成和积累，保证文件归档质量。</w:t>
      </w:r>
    </w:p>
    <w:p>
      <w:pPr>
        <w:snapToGrid w:val="0"/>
        <w:spacing w:line="360" w:lineRule="auto"/>
        <w:ind w:firstLine="440" w:firstLineChars="200"/>
        <w:rPr>
          <w:rFonts w:ascii="宋体" w:hAnsi="宋体" w:cs="宋体"/>
          <w:sz w:val="22"/>
        </w:rPr>
      </w:pPr>
      <w:r>
        <w:rPr>
          <w:rFonts w:hint="eastAsia" w:ascii="宋体" w:hAnsi="宋体" w:cs="宋体"/>
          <w:sz w:val="22"/>
        </w:rPr>
        <w:t>3.2收集范围</w:t>
      </w:r>
    </w:p>
    <w:p>
      <w:pPr>
        <w:spacing w:line="360" w:lineRule="auto"/>
        <w:ind w:firstLine="440" w:firstLineChars="200"/>
        <w:rPr>
          <w:rFonts w:ascii="宋体" w:hAnsi="宋体" w:cs="宋体"/>
          <w:sz w:val="22"/>
        </w:rPr>
      </w:pPr>
      <w:r>
        <w:rPr>
          <w:rFonts w:hint="eastAsia" w:ascii="宋体" w:hAnsi="宋体" w:cs="宋体"/>
          <w:sz w:val="22"/>
        </w:rPr>
        <w:t>建筑工程施工文件归档范围应符合《建筑工程施工文件归档内容一览表》（附件1），市政基础设施工程施工文件归档范围应符合《市政基础设施工程施工文件归档内容一览表》（附件2），园林绿化工程施工文件归档范围应符合《园林绿化工程施工文件归档内容一览表》（附件3），民航专业工程施工文件归档范围应符合《民航专业工程施工文件归档内容一览表》（附件4）。</w:t>
      </w:r>
    </w:p>
    <w:p>
      <w:pPr>
        <w:widowControl/>
        <w:spacing w:line="360" w:lineRule="auto"/>
        <w:ind w:firstLine="440" w:firstLineChars="200"/>
        <w:jc w:val="left"/>
        <w:rPr>
          <w:rFonts w:ascii="宋体" w:hAnsi="宋体" w:cs="宋体"/>
          <w:bCs/>
          <w:sz w:val="22"/>
        </w:rPr>
      </w:pPr>
      <w:r>
        <w:rPr>
          <w:rFonts w:hint="eastAsia" w:ascii="宋体" w:hAnsi="宋体" w:cs="宋体"/>
          <w:bCs/>
          <w:sz w:val="22"/>
        </w:rPr>
        <w:t>3.3收集时间</w:t>
      </w:r>
    </w:p>
    <w:p>
      <w:pPr>
        <w:widowControl/>
        <w:spacing w:line="360" w:lineRule="auto"/>
        <w:ind w:firstLine="440" w:firstLineChars="200"/>
        <w:jc w:val="left"/>
        <w:rPr>
          <w:rFonts w:ascii="宋体" w:hAnsi="宋体" w:cs="宋体"/>
          <w:sz w:val="22"/>
        </w:rPr>
      </w:pPr>
      <w:r>
        <w:rPr>
          <w:rFonts w:hint="eastAsia" w:ascii="宋体" w:hAnsi="宋体" w:cs="宋体"/>
          <w:sz w:val="22"/>
        </w:rPr>
        <w:t>在工程施工过程中根据工程进度及时收集已经办理完毕的施工文件。</w:t>
      </w:r>
    </w:p>
    <w:p>
      <w:pPr>
        <w:widowControl/>
        <w:spacing w:line="360" w:lineRule="auto"/>
        <w:ind w:firstLine="440" w:firstLineChars="200"/>
        <w:jc w:val="left"/>
        <w:rPr>
          <w:rFonts w:ascii="宋体" w:hAnsi="宋体" w:cs="宋体"/>
          <w:bCs/>
          <w:sz w:val="22"/>
        </w:rPr>
      </w:pPr>
      <w:r>
        <w:rPr>
          <w:rFonts w:hint="eastAsia" w:ascii="宋体" w:hAnsi="宋体" w:cs="宋体"/>
          <w:bCs/>
          <w:sz w:val="22"/>
        </w:rPr>
        <w:t>3.4归档文件质量要求</w:t>
      </w:r>
    </w:p>
    <w:p>
      <w:pPr>
        <w:spacing w:line="360" w:lineRule="auto"/>
        <w:ind w:firstLine="440" w:firstLineChars="200"/>
        <w:rPr>
          <w:rFonts w:ascii="宋体" w:hAnsi="宋体" w:cs="宋体"/>
          <w:sz w:val="22"/>
        </w:rPr>
      </w:pPr>
      <w:r>
        <w:rPr>
          <w:rFonts w:hint="eastAsia" w:ascii="宋体" w:hAnsi="宋体" w:cs="宋体"/>
          <w:sz w:val="22"/>
        </w:rPr>
        <w:t>——归档文件应至少有一份原件。因故无原件的可将具有凭证作用的复制件归档。</w:t>
      </w:r>
    </w:p>
    <w:p>
      <w:pPr>
        <w:spacing w:line="360" w:lineRule="auto"/>
        <w:ind w:firstLine="440" w:firstLineChars="200"/>
        <w:rPr>
          <w:rFonts w:ascii="宋体" w:hAnsi="宋体" w:cs="宋体"/>
          <w:sz w:val="22"/>
        </w:rPr>
      </w:pPr>
      <w:r>
        <w:rPr>
          <w:rFonts w:hint="eastAsia" w:ascii="宋体" w:hAnsi="宋体" w:cs="宋体"/>
          <w:sz w:val="22"/>
        </w:rPr>
        <w:t>——归档文件的内容必须真实、准确，与工程建设实际相符合，其内容及深度必须符合国家有关工程建设、施工等方面的规定、技术规范、标准和规程。</w:t>
      </w:r>
    </w:p>
    <w:p>
      <w:pPr>
        <w:widowControl/>
        <w:spacing w:line="360" w:lineRule="auto"/>
        <w:ind w:firstLine="440" w:firstLineChars="200"/>
        <w:jc w:val="left"/>
        <w:rPr>
          <w:rFonts w:ascii="宋体" w:hAnsi="宋体" w:cs="宋体"/>
          <w:sz w:val="22"/>
        </w:rPr>
      </w:pPr>
      <w:r>
        <w:rPr>
          <w:rFonts w:hint="eastAsia" w:ascii="宋体" w:hAnsi="宋体" w:cs="宋体"/>
          <w:sz w:val="22"/>
        </w:rPr>
        <w:t>——归档文件应字迹清楚，图样清晰，图表整洁，签字盖章手续完备。</w:t>
      </w:r>
    </w:p>
    <w:p>
      <w:pPr>
        <w:spacing w:line="360" w:lineRule="auto"/>
        <w:ind w:firstLine="440" w:firstLineChars="200"/>
        <w:rPr>
          <w:rFonts w:ascii="宋体" w:hAnsi="宋体" w:cs="宋体"/>
          <w:sz w:val="22"/>
        </w:rPr>
      </w:pPr>
      <w:r>
        <w:rPr>
          <w:rFonts w:hint="eastAsia" w:ascii="宋体" w:hAnsi="宋体" w:cs="宋体"/>
          <w:sz w:val="22"/>
        </w:rPr>
        <w:t>——归档文件纸张应采用能够长期保存的韧性大、耐久性强的纸张；图纸一般采用蓝晒图，竣工图应是新蓝图，计算机出图（白图）必须清晰，不得使用计算机出图的复印件。</w:t>
      </w:r>
    </w:p>
    <w:p>
      <w:pPr>
        <w:widowControl/>
        <w:spacing w:line="360" w:lineRule="auto"/>
        <w:ind w:firstLine="440" w:firstLineChars="200"/>
        <w:jc w:val="left"/>
        <w:rPr>
          <w:rFonts w:ascii="宋体" w:hAnsi="宋体" w:cs="宋体"/>
          <w:sz w:val="22"/>
        </w:rPr>
      </w:pPr>
      <w:r>
        <w:rPr>
          <w:rFonts w:hint="eastAsia" w:ascii="宋体" w:hAnsi="宋体" w:cs="宋体"/>
          <w:sz w:val="22"/>
        </w:rPr>
        <w:t>——归档文件应采用耐久性强的书写材料，如碳素墨水，不得使用易褪色的书写材料，如红色墨水、纯蓝墨水、圆珠笔、复写纸、铅笔等。</w:t>
      </w:r>
    </w:p>
    <w:p>
      <w:pPr>
        <w:widowControl/>
        <w:spacing w:line="360" w:lineRule="auto"/>
        <w:ind w:firstLine="440" w:firstLineChars="200"/>
        <w:jc w:val="left"/>
        <w:rPr>
          <w:rFonts w:ascii="宋体" w:hAnsi="宋体" w:cs="宋体"/>
          <w:sz w:val="22"/>
        </w:rPr>
      </w:pPr>
      <w:r>
        <w:rPr>
          <w:rFonts w:hint="eastAsia" w:ascii="宋体" w:hAnsi="宋体" w:cs="宋体"/>
          <w:sz w:val="22"/>
        </w:rPr>
        <w:t>——归档文件为打印件时应采用激光打印机打印。</w:t>
      </w:r>
    </w:p>
    <w:p>
      <w:pPr>
        <w:widowControl/>
        <w:spacing w:line="360" w:lineRule="auto"/>
        <w:ind w:firstLine="440" w:firstLineChars="200"/>
        <w:jc w:val="left"/>
        <w:rPr>
          <w:rFonts w:ascii="宋体" w:hAnsi="宋体" w:cs="宋体"/>
          <w:sz w:val="22"/>
        </w:rPr>
      </w:pPr>
      <w:r>
        <w:rPr>
          <w:rFonts w:hint="eastAsia" w:ascii="宋体" w:hAnsi="宋体" w:cs="宋体"/>
          <w:sz w:val="22"/>
        </w:rPr>
        <w:t>——归档文件签名处应采用手写，不得打印或复印。</w:t>
      </w:r>
    </w:p>
    <w:p>
      <w:pPr>
        <w:widowControl/>
        <w:spacing w:line="360" w:lineRule="auto"/>
        <w:ind w:firstLine="440" w:firstLineChars="200"/>
        <w:jc w:val="left"/>
        <w:rPr>
          <w:rFonts w:ascii="宋体" w:hAnsi="宋体" w:cs="宋体"/>
          <w:sz w:val="22"/>
        </w:rPr>
      </w:pPr>
      <w:r>
        <w:rPr>
          <w:rFonts w:hint="eastAsia" w:ascii="宋体" w:hAnsi="宋体" w:cs="宋体"/>
          <w:sz w:val="22"/>
        </w:rPr>
        <w:t>——归档的照片的字迹、线条和影像的清晰及牢固程度应符合设备标定质量的要求。</w:t>
      </w:r>
    </w:p>
    <w:p>
      <w:pPr>
        <w:widowControl/>
        <w:spacing w:line="360" w:lineRule="auto"/>
        <w:ind w:firstLine="440" w:firstLineChars="200"/>
        <w:jc w:val="left"/>
        <w:rPr>
          <w:rFonts w:ascii="宋体" w:hAnsi="宋体" w:cs="宋体"/>
          <w:sz w:val="22"/>
        </w:rPr>
      </w:pPr>
      <w:r>
        <w:rPr>
          <w:rFonts w:hint="eastAsia" w:ascii="宋体" w:hAnsi="宋体" w:cs="宋体"/>
          <w:sz w:val="22"/>
        </w:rPr>
        <w:t>——归档的录音、录像文件应保证载体的有效性。</w:t>
      </w:r>
    </w:p>
    <w:p>
      <w:pPr>
        <w:spacing w:line="360" w:lineRule="auto"/>
        <w:ind w:firstLine="440" w:firstLineChars="200"/>
        <w:rPr>
          <w:rFonts w:ascii="宋体" w:hAnsi="宋体" w:cs="宋体"/>
          <w:sz w:val="22"/>
        </w:rPr>
      </w:pPr>
      <w:r>
        <w:rPr>
          <w:rFonts w:hint="eastAsia" w:ascii="宋体" w:hAnsi="宋体" w:cs="宋体"/>
          <w:sz w:val="22"/>
        </w:rPr>
        <w:t>——归档的电子文件应使用不可擦除型光盘。</w:t>
      </w:r>
    </w:p>
    <w:p>
      <w:pPr>
        <w:spacing w:line="360" w:lineRule="auto"/>
        <w:ind w:firstLine="442" w:firstLineChars="200"/>
        <w:rPr>
          <w:rFonts w:ascii="宋体" w:hAnsi="宋体" w:cs="宋体"/>
          <w:b/>
          <w:sz w:val="22"/>
        </w:rPr>
      </w:pPr>
      <w:r>
        <w:rPr>
          <w:rFonts w:hint="eastAsia" w:ascii="宋体" w:hAnsi="宋体" w:cs="宋体"/>
          <w:b/>
          <w:sz w:val="22"/>
        </w:rPr>
        <w:t>4施工文件的整理</w:t>
      </w:r>
    </w:p>
    <w:p>
      <w:pPr>
        <w:widowControl/>
        <w:spacing w:line="360" w:lineRule="auto"/>
        <w:ind w:firstLine="440" w:firstLineChars="200"/>
        <w:jc w:val="left"/>
        <w:rPr>
          <w:rFonts w:ascii="宋体" w:hAnsi="宋体" w:cs="宋体"/>
          <w:sz w:val="22"/>
        </w:rPr>
      </w:pPr>
      <w:r>
        <w:rPr>
          <w:rFonts w:hint="eastAsia" w:ascii="宋体" w:hAnsi="宋体" w:cs="宋体"/>
          <w:sz w:val="22"/>
        </w:rPr>
        <w:t>4.1施工过程中形成的全部施工文件在归档前由施工单位根据规定进行整理。</w:t>
      </w:r>
    </w:p>
    <w:p>
      <w:pPr>
        <w:widowControl/>
        <w:spacing w:line="360" w:lineRule="auto"/>
        <w:ind w:firstLine="440" w:firstLineChars="200"/>
        <w:jc w:val="left"/>
        <w:rPr>
          <w:rFonts w:ascii="宋体" w:hAnsi="宋体" w:cs="宋体"/>
          <w:sz w:val="22"/>
        </w:rPr>
      </w:pPr>
      <w:r>
        <w:rPr>
          <w:rFonts w:hint="eastAsia" w:ascii="宋体" w:hAnsi="宋体" w:cs="宋体"/>
          <w:sz w:val="22"/>
        </w:rPr>
        <w:t>4.2 施工文件的整理流程如下：</w:t>
      </w:r>
    </w:p>
    <w:p>
      <w:pPr>
        <w:spacing w:line="360" w:lineRule="auto"/>
        <w:ind w:firstLine="440" w:firstLineChars="200"/>
        <w:jc w:val="left"/>
        <w:rPr>
          <w:rFonts w:ascii="宋体" w:hAnsi="宋体" w:cs="宋体"/>
          <w:sz w:val="22"/>
        </w:rPr>
      </w:pPr>
      <w:r>
        <w:rPr>
          <w:rFonts w:hint="eastAsia" w:ascii="宋体" w:hAnsi="宋体" w:cs="宋体"/>
          <w:sz w:val="22"/>
        </w:rPr>
        <w:t>组卷 →卷内文件排列 → 案卷编目 → 案卷装订→</w:t>
      </w:r>
      <w:r>
        <w:rPr>
          <w:rFonts w:hint="eastAsia" w:ascii="宋体" w:hAnsi="宋体" w:cs="宋体"/>
          <w:bCs/>
          <w:sz w:val="22"/>
        </w:rPr>
        <w:t>案卷入盒</w:t>
      </w:r>
      <w:r>
        <w:rPr>
          <w:rFonts w:hint="eastAsia" w:ascii="宋体" w:hAnsi="宋体" w:cs="宋体"/>
          <w:sz w:val="22"/>
        </w:rPr>
        <w:t>→案卷排列及编号→ 编写案卷目录。</w:t>
      </w:r>
    </w:p>
    <w:p>
      <w:pPr>
        <w:widowControl/>
        <w:spacing w:line="360" w:lineRule="auto"/>
        <w:ind w:firstLine="440" w:firstLineChars="200"/>
        <w:jc w:val="left"/>
        <w:rPr>
          <w:rFonts w:ascii="宋体" w:hAnsi="宋体" w:cs="宋体"/>
          <w:sz w:val="22"/>
        </w:rPr>
      </w:pPr>
      <w:r>
        <w:rPr>
          <w:rFonts w:hint="eastAsia" w:ascii="宋体" w:hAnsi="宋体" w:cs="宋体"/>
          <w:sz w:val="22"/>
        </w:rPr>
        <w:t>4.3施工文件的组卷</w:t>
      </w:r>
    </w:p>
    <w:p>
      <w:pPr>
        <w:spacing w:line="360" w:lineRule="auto"/>
        <w:ind w:firstLine="440" w:firstLineChars="200"/>
        <w:rPr>
          <w:rFonts w:ascii="宋体" w:hAnsi="宋体" w:cs="宋体"/>
          <w:sz w:val="22"/>
        </w:rPr>
      </w:pPr>
      <w:r>
        <w:rPr>
          <w:rFonts w:hint="eastAsia" w:ascii="宋体" w:hAnsi="宋体" w:cs="宋体"/>
          <w:sz w:val="22"/>
        </w:rPr>
        <w:t>4.3.1组卷原则</w:t>
      </w:r>
    </w:p>
    <w:p>
      <w:pPr>
        <w:spacing w:line="360" w:lineRule="auto"/>
        <w:ind w:firstLine="440" w:firstLineChars="200"/>
        <w:rPr>
          <w:rFonts w:ascii="宋体" w:hAnsi="宋体" w:cs="宋体"/>
          <w:sz w:val="22"/>
        </w:rPr>
      </w:pPr>
      <w:r>
        <w:rPr>
          <w:rFonts w:hint="eastAsia" w:ascii="宋体" w:hAnsi="宋体" w:cs="宋体"/>
          <w:sz w:val="22"/>
        </w:rPr>
        <w:t>遵循项目文件的形成规律，保持案卷内文件的有机联系和案卷的成套、系统，便于档案的保管和利用。</w:t>
      </w:r>
    </w:p>
    <w:p>
      <w:pPr>
        <w:spacing w:line="360" w:lineRule="auto"/>
        <w:ind w:firstLine="440" w:firstLineChars="200"/>
        <w:rPr>
          <w:rFonts w:ascii="宋体" w:hAnsi="宋体" w:cs="宋体"/>
          <w:sz w:val="22"/>
        </w:rPr>
      </w:pPr>
      <w:r>
        <w:rPr>
          <w:rFonts w:hint="eastAsia" w:ascii="宋体" w:hAnsi="宋体" w:cs="宋体"/>
          <w:sz w:val="22"/>
        </w:rPr>
        <w:t>4.3.2组卷方法</w:t>
      </w:r>
    </w:p>
    <w:p>
      <w:pPr>
        <w:spacing w:line="360" w:lineRule="auto"/>
        <w:ind w:firstLine="440" w:firstLineChars="200"/>
        <w:rPr>
          <w:rFonts w:ascii="宋体" w:hAnsi="宋体" w:cs="宋体"/>
          <w:sz w:val="22"/>
        </w:rPr>
      </w:pPr>
      <w:r>
        <w:rPr>
          <w:rFonts w:hint="eastAsia" w:ascii="宋体" w:hAnsi="宋体" w:cs="宋体"/>
          <w:sz w:val="22"/>
        </w:rPr>
        <w:t>——一个建设工程项目由多个单位工程组成时，施工文件应按单位工程、分部、子分部工程或装置、阶段、结构、专业等进行组卷，声像文件按单位工程进行组卷。</w:t>
      </w:r>
    </w:p>
    <w:p>
      <w:pPr>
        <w:spacing w:line="360" w:lineRule="auto"/>
        <w:ind w:firstLine="440" w:firstLineChars="200"/>
        <w:rPr>
          <w:rFonts w:ascii="宋体" w:hAnsi="宋体" w:cs="宋体"/>
          <w:sz w:val="22"/>
        </w:rPr>
      </w:pPr>
      <w:r>
        <w:rPr>
          <w:rFonts w:hint="eastAsia" w:ascii="宋体" w:hAnsi="宋体" w:cs="宋体"/>
          <w:sz w:val="22"/>
        </w:rPr>
        <w:t>——建设工程项目和设备仪器在维修和维护中所形成的文件或产品局部变更，宜采取插卷方式放入原案卷中；也可单独组卷排列在原案卷之后，并在原案卷的备考表中予以说明和标注；</w:t>
      </w:r>
    </w:p>
    <w:p>
      <w:pPr>
        <w:widowControl/>
        <w:spacing w:line="360" w:lineRule="auto"/>
        <w:ind w:firstLine="440" w:firstLineChars="200"/>
        <w:jc w:val="left"/>
        <w:rPr>
          <w:rFonts w:ascii="宋体" w:hAnsi="宋体" w:cs="宋体"/>
          <w:sz w:val="22"/>
        </w:rPr>
      </w:pPr>
      <w:r>
        <w:rPr>
          <w:rFonts w:hint="eastAsia" w:ascii="宋体" w:hAnsi="宋体" w:cs="宋体"/>
          <w:sz w:val="22"/>
        </w:rPr>
        <w:t>——设备升级换代、建设工程项目后评估、改扩建或重建所形成的文件应单独组卷排列；</w:t>
      </w:r>
    </w:p>
    <w:p>
      <w:pPr>
        <w:widowControl/>
        <w:spacing w:line="360" w:lineRule="auto"/>
        <w:ind w:firstLine="440" w:firstLineChars="200"/>
        <w:jc w:val="left"/>
        <w:rPr>
          <w:rFonts w:ascii="宋体" w:hAnsi="宋体" w:cs="宋体"/>
          <w:sz w:val="22"/>
        </w:rPr>
      </w:pPr>
      <w:r>
        <w:rPr>
          <w:rFonts w:hint="eastAsia" w:ascii="宋体" w:hAnsi="宋体" w:cs="宋体"/>
          <w:sz w:val="22"/>
        </w:rPr>
        <w:t>——成册、成套的文件宜保持其原有形态；</w:t>
      </w:r>
    </w:p>
    <w:p>
      <w:pPr>
        <w:widowControl/>
        <w:spacing w:line="360" w:lineRule="auto"/>
        <w:ind w:firstLine="440" w:firstLineChars="200"/>
        <w:jc w:val="left"/>
        <w:rPr>
          <w:rFonts w:ascii="宋体" w:hAnsi="宋体" w:cs="宋体"/>
          <w:sz w:val="22"/>
        </w:rPr>
      </w:pPr>
      <w:r>
        <w:rPr>
          <w:rFonts w:hint="eastAsia" w:ascii="宋体" w:hAnsi="宋体" w:cs="宋体"/>
          <w:sz w:val="22"/>
        </w:rPr>
        <w:t>——案卷及卷内文件不重份。</w:t>
      </w:r>
    </w:p>
    <w:p>
      <w:pPr>
        <w:spacing w:line="360" w:lineRule="auto"/>
        <w:ind w:firstLine="440" w:firstLineChars="200"/>
        <w:rPr>
          <w:rFonts w:ascii="宋体" w:hAnsi="宋体" w:cs="宋体"/>
          <w:sz w:val="22"/>
        </w:rPr>
      </w:pPr>
      <w:r>
        <w:rPr>
          <w:rFonts w:hint="eastAsia" w:ascii="宋体" w:hAnsi="宋体" w:cs="宋体"/>
          <w:sz w:val="22"/>
        </w:rPr>
        <w:t>——文字材料组成的案卷（需装订）厚度一般不超过3厘米，图纸组成的案卷（不装订）厚度一般不超过5厘米。一份文件页数多的，可单独组成一个至多个案卷，页数少的文件，可多份组成一个案卷。</w:t>
      </w:r>
    </w:p>
    <w:p>
      <w:pPr>
        <w:spacing w:line="360" w:lineRule="auto"/>
        <w:ind w:firstLine="440" w:firstLineChars="200"/>
        <w:rPr>
          <w:rFonts w:ascii="宋体" w:hAnsi="宋体" w:cs="宋体"/>
          <w:sz w:val="22"/>
        </w:rPr>
      </w:pPr>
      <w:r>
        <w:rPr>
          <w:rFonts w:hint="eastAsia" w:ascii="宋体" w:hAnsi="宋体" w:cs="宋体"/>
          <w:sz w:val="22"/>
        </w:rPr>
        <w:t>4.4卷内文件的排列</w:t>
      </w:r>
    </w:p>
    <w:p>
      <w:pPr>
        <w:spacing w:line="360" w:lineRule="auto"/>
        <w:ind w:firstLine="440" w:firstLineChars="200"/>
        <w:rPr>
          <w:rFonts w:ascii="宋体" w:hAnsi="宋体" w:cs="宋体"/>
          <w:sz w:val="22"/>
        </w:rPr>
      </w:pPr>
      <w:r>
        <w:rPr>
          <w:rFonts w:hint="eastAsia" w:ascii="宋体" w:hAnsi="宋体" w:cs="宋体"/>
          <w:sz w:val="22"/>
        </w:rPr>
        <w:t>卷内文件按《施工文件归档内容一览表》的类别和顺序排列，图纸按专业图纸目录顺序排列。卷内文件一般文字在前，图样在后；译文在前，原文在后。</w:t>
      </w:r>
    </w:p>
    <w:p>
      <w:pPr>
        <w:spacing w:line="360" w:lineRule="auto"/>
        <w:ind w:firstLine="440" w:firstLineChars="200"/>
        <w:rPr>
          <w:rFonts w:ascii="宋体" w:hAnsi="宋体" w:cs="宋体"/>
          <w:sz w:val="22"/>
        </w:rPr>
      </w:pPr>
      <w:r>
        <w:rPr>
          <w:rFonts w:hint="eastAsia" w:ascii="宋体" w:hAnsi="宋体" w:cs="宋体"/>
          <w:sz w:val="22"/>
        </w:rPr>
        <w:t>4.5案卷的编目</w:t>
      </w:r>
    </w:p>
    <w:p>
      <w:pPr>
        <w:spacing w:line="360" w:lineRule="auto"/>
        <w:ind w:firstLine="440" w:firstLineChars="200"/>
        <w:jc w:val="left"/>
        <w:rPr>
          <w:rFonts w:ascii="宋体" w:hAnsi="宋体" w:cs="宋体"/>
          <w:sz w:val="22"/>
        </w:rPr>
      </w:pPr>
      <w:r>
        <w:rPr>
          <w:rFonts w:hint="eastAsia" w:ascii="宋体" w:hAnsi="宋体" w:cs="宋体"/>
          <w:sz w:val="22"/>
        </w:rPr>
        <w:t>4.5.1案卷编目包括卷内页号的编写、卷内目录、卷内备考表、案卷封面和脊背的编制，其中页号用打号机、黑印油编写，卷内目录、卷内备考表、案卷封面、案卷脊背用打印机打印。</w:t>
      </w:r>
    </w:p>
    <w:p>
      <w:pPr>
        <w:spacing w:line="360" w:lineRule="auto"/>
        <w:ind w:firstLine="440" w:firstLineChars="200"/>
        <w:rPr>
          <w:rFonts w:ascii="宋体" w:hAnsi="宋体" w:cs="宋体"/>
          <w:sz w:val="22"/>
        </w:rPr>
      </w:pPr>
      <w:r>
        <w:rPr>
          <w:rFonts w:hint="eastAsia" w:ascii="宋体" w:hAnsi="宋体" w:cs="宋体"/>
          <w:sz w:val="22"/>
        </w:rPr>
        <w:t>4.5.2卷内文件页号的编写</w:t>
      </w:r>
      <w:r>
        <w:rPr>
          <w:rFonts w:hint="eastAsia" w:ascii="宋体" w:hAnsi="宋体" w:cs="宋体"/>
          <w:sz w:val="22"/>
        </w:rPr>
        <w:br w:type="textWrapping"/>
      </w:r>
      <w:r>
        <w:rPr>
          <w:rFonts w:hint="eastAsia" w:ascii="宋体" w:hAnsi="宋体" w:cs="宋体"/>
          <w:sz w:val="22"/>
        </w:rPr>
        <w:t>——卷内文件有书写内容的页面均应编写页号，每卷从 “1”开始逐页编写页号，各卷之间不连续编页号；</w:t>
      </w:r>
    </w:p>
    <w:p>
      <w:pPr>
        <w:spacing w:line="360" w:lineRule="auto"/>
        <w:ind w:firstLine="440" w:firstLineChars="200"/>
        <w:jc w:val="left"/>
        <w:rPr>
          <w:rFonts w:ascii="宋体" w:hAnsi="宋体" w:cs="宋体"/>
          <w:sz w:val="22"/>
        </w:rPr>
      </w:pPr>
      <w:r>
        <w:rPr>
          <w:rFonts w:hint="eastAsia" w:ascii="宋体" w:hAnsi="宋体" w:cs="宋体"/>
          <w:sz w:val="22"/>
        </w:rPr>
        <w:t>——页号编写位置：单面书写文件在右下角；双面书写文件，正面在右下角，背面在左下角。图样的页号编写在右下角，或标题栏外右上方；</w:t>
      </w:r>
    </w:p>
    <w:p>
      <w:pPr>
        <w:spacing w:line="360" w:lineRule="auto"/>
        <w:ind w:firstLine="440" w:firstLineChars="200"/>
        <w:jc w:val="left"/>
        <w:rPr>
          <w:rFonts w:ascii="宋体" w:hAnsi="宋体" w:cs="宋体"/>
          <w:sz w:val="22"/>
        </w:rPr>
      </w:pPr>
      <w:r>
        <w:rPr>
          <w:rFonts w:hint="eastAsia" w:ascii="宋体" w:hAnsi="宋体" w:cs="宋体"/>
          <w:sz w:val="22"/>
        </w:rPr>
        <w:t>——图纸目录与图纸同归卷，同编页号；</w:t>
      </w:r>
    </w:p>
    <w:p>
      <w:pPr>
        <w:spacing w:line="360" w:lineRule="auto"/>
        <w:ind w:firstLine="440" w:firstLineChars="200"/>
        <w:jc w:val="left"/>
        <w:rPr>
          <w:rFonts w:ascii="宋体" w:hAnsi="宋体" w:cs="宋体"/>
          <w:sz w:val="22"/>
        </w:rPr>
      </w:pPr>
      <w:r>
        <w:rPr>
          <w:rFonts w:hint="eastAsia" w:ascii="宋体" w:hAnsi="宋体" w:cs="宋体"/>
          <w:sz w:val="22"/>
        </w:rPr>
        <w:t>——两张以上小幅面材料裱在页纸上，只编一个页号，重要的文件一张裱一页；</w:t>
      </w:r>
    </w:p>
    <w:p>
      <w:pPr>
        <w:spacing w:line="360" w:lineRule="auto"/>
        <w:ind w:firstLine="440" w:firstLineChars="200"/>
        <w:rPr>
          <w:rFonts w:ascii="宋体" w:hAnsi="宋体" w:cs="宋体"/>
          <w:sz w:val="22"/>
        </w:rPr>
      </w:pPr>
      <w:r>
        <w:rPr>
          <w:rFonts w:hint="eastAsia" w:ascii="宋体" w:hAnsi="宋体" w:cs="宋体"/>
          <w:sz w:val="22"/>
        </w:rPr>
        <w:t>——成套图样或印刷成册文件，自成一卷的如已有页号，不必重新编写页号，否则仍需逐页编写页号；</w:t>
      </w:r>
    </w:p>
    <w:p>
      <w:pPr>
        <w:spacing w:line="360" w:lineRule="auto"/>
        <w:ind w:firstLine="440" w:firstLineChars="200"/>
        <w:rPr>
          <w:rFonts w:ascii="宋体" w:hAnsi="宋体" w:cs="宋体"/>
          <w:sz w:val="22"/>
        </w:rPr>
      </w:pPr>
      <w:r>
        <w:rPr>
          <w:rFonts w:hint="eastAsia" w:ascii="宋体" w:hAnsi="宋体" w:cs="宋体"/>
          <w:sz w:val="22"/>
        </w:rPr>
        <w:t>——卷内目录、卷内备考表、案卷封面不编页号。</w:t>
      </w:r>
    </w:p>
    <w:p>
      <w:pPr>
        <w:spacing w:line="360" w:lineRule="auto"/>
        <w:ind w:firstLine="440" w:firstLineChars="200"/>
        <w:rPr>
          <w:rFonts w:ascii="宋体" w:hAnsi="宋体" w:cs="宋体"/>
          <w:sz w:val="22"/>
        </w:rPr>
      </w:pPr>
      <w:r>
        <w:rPr>
          <w:rFonts w:hint="eastAsia" w:ascii="宋体" w:hAnsi="宋体" w:cs="宋体"/>
          <w:sz w:val="22"/>
        </w:rPr>
        <w:t>4.5.3卷内目录的编制</w:t>
      </w:r>
    </w:p>
    <w:p>
      <w:pPr>
        <w:spacing w:line="360" w:lineRule="auto"/>
        <w:ind w:firstLine="440" w:firstLineChars="200"/>
        <w:rPr>
          <w:rFonts w:ascii="宋体" w:hAnsi="宋体" w:cs="宋体"/>
          <w:sz w:val="22"/>
        </w:rPr>
      </w:pPr>
      <w:r>
        <w:rPr>
          <w:rFonts w:hint="eastAsia" w:ascii="宋体" w:hAnsi="宋体" w:cs="宋体"/>
          <w:sz w:val="22"/>
        </w:rPr>
        <w:t>卷内目录排列在卷内文件首页之前，式样见附表1，内容如下：</w:t>
      </w:r>
    </w:p>
    <w:p>
      <w:pPr>
        <w:spacing w:line="360" w:lineRule="auto"/>
        <w:ind w:firstLine="440" w:firstLineChars="200"/>
        <w:rPr>
          <w:rFonts w:ascii="宋体" w:hAnsi="宋体" w:cs="宋体"/>
          <w:sz w:val="22"/>
        </w:rPr>
      </w:pPr>
      <w:r>
        <w:rPr>
          <w:rFonts w:hint="eastAsia" w:ascii="宋体" w:hAnsi="宋体" w:cs="宋体"/>
          <w:sz w:val="22"/>
        </w:rPr>
        <w:t>——序号：用阿拉伯数字从1起依次标注卷内文件的顺序，一个文件一个号；——文件编号：填写文件文号、表格编号、图样图号或项目代号、设备型号等，没有则不填；</w:t>
      </w:r>
    </w:p>
    <w:p>
      <w:pPr>
        <w:spacing w:line="360" w:lineRule="auto"/>
        <w:ind w:left="1" w:firstLine="440" w:firstLineChars="200"/>
        <w:rPr>
          <w:rFonts w:ascii="宋体" w:hAnsi="宋体" w:cs="宋体"/>
          <w:sz w:val="22"/>
        </w:rPr>
      </w:pPr>
      <w:r>
        <w:rPr>
          <w:rFonts w:hint="eastAsia" w:ascii="宋体" w:hAnsi="宋体" w:cs="宋体"/>
          <w:sz w:val="22"/>
        </w:rPr>
        <w:t>——责任者：填写文件的直接形成单位，有多个责任者时，选择两个主要责任者，其余用“等”代替；</w:t>
      </w:r>
    </w:p>
    <w:p>
      <w:pPr>
        <w:spacing w:line="360" w:lineRule="auto"/>
        <w:ind w:left="1" w:firstLine="440" w:firstLineChars="200"/>
        <w:rPr>
          <w:rFonts w:ascii="宋体" w:hAnsi="宋体" w:cs="宋体"/>
          <w:sz w:val="22"/>
        </w:rPr>
      </w:pPr>
      <w:r>
        <w:rPr>
          <w:rFonts w:hint="eastAsia" w:ascii="宋体" w:hAnsi="宋体" w:cs="宋体"/>
          <w:sz w:val="22"/>
        </w:rPr>
        <w:t>——文件题名：填写文件标题全称或图标上的图名；</w:t>
      </w:r>
    </w:p>
    <w:p>
      <w:pPr>
        <w:spacing w:line="360" w:lineRule="auto"/>
        <w:ind w:left="1" w:firstLine="440" w:firstLineChars="200"/>
        <w:rPr>
          <w:rFonts w:ascii="宋体" w:hAnsi="宋体" w:cs="宋体"/>
          <w:sz w:val="22"/>
        </w:rPr>
      </w:pPr>
      <w:r>
        <w:rPr>
          <w:rFonts w:hint="eastAsia" w:ascii="宋体" w:hAnsi="宋体" w:cs="宋体"/>
          <w:sz w:val="22"/>
        </w:rPr>
        <w:t>——日期：填写文件形成日期，一般文字材料为原文件形成日期，汇总表为汇总日期，竣工图为竣工图章上的编制日期；多份文件填写文件的起止日期；格式如下：2010.01.01；</w:t>
      </w:r>
    </w:p>
    <w:p>
      <w:pPr>
        <w:spacing w:line="360" w:lineRule="auto"/>
        <w:ind w:left="1" w:firstLine="440" w:firstLineChars="200"/>
        <w:rPr>
          <w:rFonts w:ascii="宋体" w:hAnsi="宋体" w:cs="宋体"/>
          <w:sz w:val="22"/>
        </w:rPr>
      </w:pPr>
      <w:r>
        <w:rPr>
          <w:rFonts w:hint="eastAsia" w:ascii="宋体" w:hAnsi="宋体" w:cs="宋体"/>
          <w:sz w:val="22"/>
        </w:rPr>
        <w:t>——页次：填写文件在卷内所排的起始页号，最后一份文件填写起止页号，如99-100；</w:t>
      </w:r>
    </w:p>
    <w:p>
      <w:pPr>
        <w:spacing w:line="360" w:lineRule="auto"/>
        <w:ind w:firstLine="440" w:firstLineChars="200"/>
        <w:rPr>
          <w:rFonts w:ascii="宋体" w:hAnsi="宋体" w:cs="宋体"/>
          <w:sz w:val="22"/>
        </w:rPr>
      </w:pPr>
      <w:r>
        <w:rPr>
          <w:rFonts w:hint="eastAsia" w:ascii="宋体" w:hAnsi="宋体" w:cs="宋体"/>
          <w:sz w:val="22"/>
        </w:rPr>
        <w:t>——备注：根据实际填写需注明的情况；</w:t>
      </w:r>
    </w:p>
    <w:p>
      <w:pPr>
        <w:spacing w:line="360" w:lineRule="auto"/>
        <w:ind w:left="560" w:firstLine="440" w:firstLineChars="200"/>
        <w:rPr>
          <w:rFonts w:ascii="宋体" w:hAnsi="宋体" w:cs="宋体"/>
          <w:sz w:val="22"/>
        </w:rPr>
      </w:pPr>
      <w:r>
        <w:rPr>
          <w:rFonts w:hint="eastAsia" w:ascii="宋体" w:hAnsi="宋体" w:cs="宋体"/>
          <w:sz w:val="22"/>
        </w:rPr>
        <w:t>——卷号：即案卷号，由立卷单位用铅笔填写。</w:t>
      </w:r>
    </w:p>
    <w:p>
      <w:pPr>
        <w:spacing w:line="360" w:lineRule="auto"/>
        <w:ind w:firstLine="440" w:firstLineChars="200"/>
        <w:rPr>
          <w:rFonts w:ascii="宋体" w:hAnsi="宋体" w:cs="宋体"/>
          <w:sz w:val="22"/>
        </w:rPr>
      </w:pPr>
      <w:r>
        <w:rPr>
          <w:rFonts w:hint="eastAsia" w:ascii="宋体" w:hAnsi="宋体" w:cs="宋体"/>
          <w:sz w:val="22"/>
        </w:rPr>
        <w:t>4.5.4卷内备考表的编制</w:t>
      </w:r>
    </w:p>
    <w:p>
      <w:pPr>
        <w:spacing w:line="360" w:lineRule="auto"/>
        <w:ind w:firstLine="440" w:firstLineChars="200"/>
        <w:rPr>
          <w:rFonts w:ascii="宋体" w:hAnsi="宋体" w:cs="宋体"/>
          <w:sz w:val="22"/>
        </w:rPr>
      </w:pPr>
      <w:r>
        <w:rPr>
          <w:rFonts w:hint="eastAsia" w:ascii="宋体" w:hAnsi="宋体" w:cs="宋体"/>
          <w:sz w:val="22"/>
        </w:rPr>
        <w:t>卷内备考表式样见附表2</w:t>
      </w:r>
      <w:r>
        <w:rPr>
          <w:rFonts w:hint="eastAsia" w:ascii="宋体" w:hAnsi="宋体" w:cs="宋体"/>
          <w:bCs/>
          <w:sz w:val="22"/>
        </w:rPr>
        <w:t>，</w:t>
      </w:r>
      <w:r>
        <w:rPr>
          <w:rFonts w:hint="eastAsia" w:ascii="宋体" w:hAnsi="宋体" w:cs="宋体"/>
          <w:sz w:val="22"/>
        </w:rPr>
        <w:t>内容由三部分构成：第一部分标明卷内文件的总页数、各类文件页数（照片张数）；第二部分标明在组卷和案卷提供使用过程中需要说明的问题；第三部分由立卷人、检查人签名并注明立卷及检查时间。用卷皮装订的案卷，卷内备考表印制在卷皮内底面；不需用卷皮装订的案卷，卷内备考表用A4纸另行打印，排在卷内文件尾页之后。</w:t>
      </w:r>
    </w:p>
    <w:p>
      <w:pPr>
        <w:spacing w:line="360" w:lineRule="auto"/>
        <w:ind w:firstLine="440" w:firstLineChars="200"/>
        <w:jc w:val="left"/>
        <w:rPr>
          <w:rFonts w:ascii="宋体" w:hAnsi="宋体" w:cs="宋体"/>
          <w:sz w:val="22"/>
        </w:rPr>
      </w:pPr>
      <w:r>
        <w:rPr>
          <w:rFonts w:hint="eastAsia" w:ascii="宋体" w:hAnsi="宋体" w:cs="宋体"/>
          <w:sz w:val="22"/>
        </w:rPr>
        <w:t>4.5.5案卷封面的编制</w:t>
      </w:r>
    </w:p>
    <w:p>
      <w:pPr>
        <w:spacing w:line="360" w:lineRule="auto"/>
        <w:ind w:firstLine="440" w:firstLineChars="200"/>
        <w:rPr>
          <w:rFonts w:ascii="宋体" w:hAnsi="宋体" w:cs="宋体"/>
          <w:sz w:val="22"/>
        </w:rPr>
      </w:pPr>
      <w:r>
        <w:rPr>
          <w:rFonts w:hint="eastAsia" w:ascii="宋体" w:hAnsi="宋体" w:cs="宋体"/>
          <w:sz w:val="22"/>
        </w:rPr>
        <w:t>案卷封面印制在卷盒及卷皮正表面，式样见</w:t>
      </w:r>
      <w:r>
        <w:rPr>
          <w:rFonts w:hint="eastAsia" w:ascii="宋体" w:hAnsi="宋体" w:cs="宋体"/>
          <w:bCs/>
          <w:sz w:val="22"/>
        </w:rPr>
        <w:t>附表3</w:t>
      </w:r>
      <w:r>
        <w:rPr>
          <w:rFonts w:hint="eastAsia" w:ascii="宋体" w:hAnsi="宋体" w:cs="宋体"/>
          <w:sz w:val="22"/>
        </w:rPr>
        <w:t>，内容如下：</w:t>
      </w:r>
    </w:p>
    <w:p>
      <w:pPr>
        <w:spacing w:line="360" w:lineRule="auto"/>
        <w:ind w:firstLine="440" w:firstLineChars="200"/>
        <w:rPr>
          <w:rFonts w:ascii="宋体" w:hAnsi="宋体" w:cs="宋体"/>
          <w:sz w:val="22"/>
        </w:rPr>
      </w:pPr>
      <w:r>
        <w:rPr>
          <w:rFonts w:hint="eastAsia" w:ascii="宋体" w:hAnsi="宋体" w:cs="宋体"/>
          <w:sz w:val="22"/>
        </w:rPr>
        <w:t>——案卷题名：应简明、准确揭示卷内文件的内容，主要包括建设工程项目名称、子项工程或专业名称、卷内文件内容三部分构成，建设工程项目名称应与批准的原立项、设计相符；归档外文资料的题名及主要内容应译成中文；当同一类文件数量较多，可以组成多卷时，这些案卷的题名相同，题名后面加上括号，括号内以简短文字概括本卷内容；</w:t>
      </w:r>
    </w:p>
    <w:p>
      <w:pPr>
        <w:spacing w:line="360" w:lineRule="auto"/>
        <w:ind w:firstLine="440" w:firstLineChars="200"/>
        <w:rPr>
          <w:rFonts w:ascii="宋体" w:hAnsi="宋体" w:cs="宋体"/>
          <w:sz w:val="22"/>
        </w:rPr>
      </w:pPr>
      <w:r>
        <w:rPr>
          <w:rFonts w:hint="eastAsia" w:ascii="宋体" w:hAnsi="宋体" w:cs="宋体"/>
          <w:sz w:val="22"/>
        </w:rPr>
        <w:t>——立卷单位：填写负责组卷单位；</w:t>
      </w:r>
    </w:p>
    <w:p>
      <w:pPr>
        <w:spacing w:line="360" w:lineRule="auto"/>
        <w:ind w:left="560" w:firstLine="440" w:firstLineChars="200"/>
        <w:rPr>
          <w:rFonts w:ascii="宋体" w:hAnsi="宋体" w:cs="宋体"/>
          <w:sz w:val="22"/>
        </w:rPr>
      </w:pPr>
      <w:r>
        <w:rPr>
          <w:rFonts w:hint="eastAsia" w:ascii="宋体" w:hAnsi="宋体" w:cs="宋体"/>
          <w:sz w:val="22"/>
        </w:rPr>
        <w:t>——起止日期：填写卷内文件形成的最早和最晚时间，格式如下：</w:t>
      </w:r>
    </w:p>
    <w:p>
      <w:pPr>
        <w:spacing w:line="360" w:lineRule="auto"/>
        <w:ind w:left="559" w:leftChars="266" w:firstLine="440" w:firstLineChars="200"/>
        <w:jc w:val="center"/>
        <w:rPr>
          <w:rFonts w:ascii="宋体" w:hAnsi="宋体" w:cs="宋体"/>
          <w:sz w:val="22"/>
        </w:rPr>
      </w:pPr>
      <w:r>
        <w:rPr>
          <w:rFonts w:hint="eastAsia" w:ascii="宋体" w:hAnsi="宋体" w:cs="宋体"/>
          <w:sz w:val="22"/>
        </w:rPr>
        <w:t>2010年1月1日—2010年3月1日</w:t>
      </w:r>
    </w:p>
    <w:p>
      <w:pPr>
        <w:pStyle w:val="17"/>
        <w:spacing w:line="360" w:lineRule="auto"/>
        <w:ind w:firstLine="440" w:firstLineChars="200"/>
        <w:rPr>
          <w:rFonts w:ascii="宋体" w:hAnsi="宋体" w:cs="宋体"/>
          <w:sz w:val="22"/>
          <w:szCs w:val="22"/>
        </w:rPr>
      </w:pPr>
      <w:r>
        <w:rPr>
          <w:rFonts w:hint="eastAsia" w:ascii="宋体" w:hAnsi="宋体" w:cs="宋体"/>
          <w:sz w:val="22"/>
          <w:szCs w:val="22"/>
        </w:rPr>
        <w:t>——保管期限：分为永久、长期、短期三种期限，由指挥部档案室统一填写；</w:t>
      </w:r>
    </w:p>
    <w:p>
      <w:pPr>
        <w:spacing w:line="360" w:lineRule="auto"/>
        <w:ind w:firstLine="440" w:firstLineChars="200"/>
        <w:rPr>
          <w:rFonts w:ascii="宋体" w:hAnsi="宋体" w:cs="宋体"/>
          <w:sz w:val="22"/>
        </w:rPr>
      </w:pPr>
      <w:r>
        <w:rPr>
          <w:rFonts w:hint="eastAsia" w:ascii="宋体" w:hAnsi="宋体" w:cs="宋体"/>
          <w:sz w:val="22"/>
        </w:rPr>
        <w:t>——密级：分为绝密、机密、秘密三种，由立卷单位根据卷内文件最高密级用铅笔填写；</w:t>
      </w:r>
    </w:p>
    <w:p>
      <w:pPr>
        <w:spacing w:line="360" w:lineRule="auto"/>
        <w:ind w:firstLine="440" w:firstLineChars="200"/>
        <w:jc w:val="left"/>
        <w:rPr>
          <w:rFonts w:ascii="宋体" w:hAnsi="宋体" w:cs="宋体"/>
          <w:sz w:val="22"/>
        </w:rPr>
      </w:pPr>
      <w:r>
        <w:rPr>
          <w:rFonts w:hint="eastAsia" w:ascii="宋体" w:hAnsi="宋体" w:cs="宋体"/>
          <w:sz w:val="22"/>
        </w:rPr>
        <w:t>——档号：由分类号、案卷号组成。分类号由指挥部档案室统一填写，案卷号即案卷流水号，由立卷单位根据案卷排列的顺序用铅笔填写。</w:t>
      </w:r>
    </w:p>
    <w:p>
      <w:pPr>
        <w:spacing w:line="360" w:lineRule="auto"/>
        <w:ind w:firstLine="440" w:firstLineChars="200"/>
        <w:jc w:val="left"/>
        <w:rPr>
          <w:rFonts w:ascii="宋体" w:hAnsi="宋体" w:cs="宋体"/>
          <w:sz w:val="22"/>
        </w:rPr>
      </w:pPr>
      <w:r>
        <w:rPr>
          <w:rFonts w:hint="eastAsia" w:ascii="宋体" w:hAnsi="宋体" w:cs="宋体"/>
          <w:sz w:val="22"/>
        </w:rPr>
        <w:t>4.5.6案卷脊背的编制</w:t>
      </w:r>
    </w:p>
    <w:p>
      <w:pPr>
        <w:spacing w:line="360" w:lineRule="auto"/>
        <w:ind w:left="1" w:firstLine="440" w:firstLineChars="200"/>
        <w:jc w:val="left"/>
        <w:rPr>
          <w:rFonts w:ascii="宋体" w:hAnsi="宋体" w:cs="宋体"/>
          <w:sz w:val="22"/>
        </w:rPr>
      </w:pPr>
      <w:r>
        <w:rPr>
          <w:rFonts w:hint="eastAsia" w:ascii="宋体" w:hAnsi="宋体" w:cs="宋体"/>
          <w:sz w:val="22"/>
        </w:rPr>
        <w:t>案卷脊背印制在卷盒侧面，式样见附表4，需填写案卷题名，并在档号一栏填写案卷号。</w:t>
      </w:r>
    </w:p>
    <w:p>
      <w:pPr>
        <w:spacing w:line="360" w:lineRule="auto"/>
        <w:ind w:firstLine="440" w:firstLineChars="200"/>
        <w:rPr>
          <w:rFonts w:ascii="宋体" w:hAnsi="宋体" w:cs="宋体"/>
          <w:bCs/>
          <w:sz w:val="22"/>
        </w:rPr>
      </w:pPr>
      <w:r>
        <w:rPr>
          <w:rFonts w:hint="eastAsia" w:ascii="宋体" w:hAnsi="宋体" w:cs="宋体"/>
          <w:sz w:val="22"/>
        </w:rPr>
        <w:t>4.6</w:t>
      </w:r>
      <w:r>
        <w:rPr>
          <w:rFonts w:hint="eastAsia" w:ascii="宋体" w:hAnsi="宋体" w:cs="宋体"/>
          <w:bCs/>
          <w:sz w:val="22"/>
        </w:rPr>
        <w:t>案卷装订要求</w:t>
      </w:r>
    </w:p>
    <w:p>
      <w:pPr>
        <w:spacing w:line="360" w:lineRule="auto"/>
        <w:ind w:firstLine="440" w:firstLineChars="200"/>
        <w:rPr>
          <w:rFonts w:ascii="宋体" w:hAnsi="宋体" w:cs="宋体"/>
          <w:sz w:val="22"/>
        </w:rPr>
      </w:pPr>
      <w:r>
        <w:rPr>
          <w:rFonts w:hint="eastAsia" w:ascii="宋体" w:hAnsi="宋体" w:cs="宋体"/>
          <w:sz w:val="22"/>
        </w:rPr>
        <w:t>4.6.1案卷采用装订与不装订两种。一般文字材料要用卷皮装订，厚度不超过3厘米；图纸不装订，厚度不超过5厘米。</w:t>
      </w:r>
    </w:p>
    <w:p>
      <w:pPr>
        <w:spacing w:line="360" w:lineRule="auto"/>
        <w:ind w:firstLine="440" w:firstLineChars="200"/>
        <w:rPr>
          <w:rFonts w:ascii="宋体" w:hAnsi="宋体" w:cs="宋体"/>
          <w:sz w:val="22"/>
        </w:rPr>
      </w:pPr>
      <w:r>
        <w:rPr>
          <w:rFonts w:hint="eastAsia" w:ascii="宋体" w:hAnsi="宋体" w:cs="宋体"/>
          <w:sz w:val="22"/>
        </w:rPr>
        <w:t xml:space="preserve">4.6.2装订的案卷采用A4幅面规格，尺寸不同的要折叠或裱补成A4幅面，无法完全统一幅面的案卷，至少装订边和下边取齐；装订前必须去掉金属物，对破损的文件要进行托裱；装订一般采用 “三孔一线”结扣法进行装订，即用白色棉纱线在卷面左边一厘米处、上下分四等分打三孔装订，结头统一放在案卷背后，不能出现脱页、压字、文件倒置的现象。  </w:t>
      </w:r>
    </w:p>
    <w:p>
      <w:pPr>
        <w:spacing w:line="360" w:lineRule="auto"/>
        <w:ind w:firstLine="440" w:firstLineChars="200"/>
        <w:rPr>
          <w:rFonts w:ascii="宋体" w:hAnsi="宋体" w:cs="宋体"/>
          <w:sz w:val="22"/>
        </w:rPr>
      </w:pPr>
      <w:r>
        <w:rPr>
          <w:rFonts w:hint="eastAsia" w:ascii="宋体" w:hAnsi="宋体" w:cs="宋体"/>
          <w:sz w:val="22"/>
        </w:rPr>
        <w:t>4.6.3不需装订的图纸，应按照《技术制图复制图折叠方法》（GB/T10609.3）统一折叠成210mm×297mm（A4）图幅，横向按手风琴式折叠，竖向按顺时针方向内折，图标栏露在外面。</w:t>
      </w:r>
    </w:p>
    <w:p>
      <w:pPr>
        <w:spacing w:line="360" w:lineRule="auto"/>
        <w:ind w:firstLine="440" w:firstLineChars="200"/>
        <w:jc w:val="left"/>
        <w:rPr>
          <w:rFonts w:ascii="宋体" w:hAnsi="宋体" w:cs="宋体"/>
          <w:bCs/>
          <w:sz w:val="22"/>
        </w:rPr>
      </w:pPr>
      <w:r>
        <w:rPr>
          <w:rFonts w:hint="eastAsia" w:ascii="宋体" w:hAnsi="宋体" w:cs="宋体"/>
          <w:sz w:val="22"/>
        </w:rPr>
        <w:t>4.7案卷入盒。装订成卷的文件需装入卷盒，每一案卷放入一个卷盒，一一对应。</w:t>
      </w:r>
    </w:p>
    <w:p>
      <w:pPr>
        <w:spacing w:line="360" w:lineRule="auto"/>
        <w:ind w:firstLine="440" w:firstLineChars="200"/>
        <w:rPr>
          <w:rFonts w:ascii="宋体" w:hAnsi="宋体" w:cs="宋体"/>
          <w:sz w:val="22"/>
        </w:rPr>
      </w:pPr>
      <w:r>
        <w:rPr>
          <w:rFonts w:hint="eastAsia" w:ascii="宋体" w:hAnsi="宋体" w:cs="宋体"/>
          <w:sz w:val="22"/>
        </w:rPr>
        <w:t>4.8案卷的排列及编号</w:t>
      </w:r>
    </w:p>
    <w:p>
      <w:pPr>
        <w:spacing w:line="360" w:lineRule="auto"/>
        <w:ind w:firstLine="440" w:firstLineChars="200"/>
        <w:rPr>
          <w:rFonts w:ascii="宋体" w:hAnsi="宋体" w:cs="宋体"/>
          <w:sz w:val="22"/>
        </w:rPr>
      </w:pPr>
      <w:r>
        <w:rPr>
          <w:rFonts w:hint="eastAsia" w:ascii="宋体" w:hAnsi="宋体" w:cs="宋体"/>
          <w:sz w:val="22"/>
        </w:rPr>
        <w:t>4.8.1案卷排列原则：按管理、依据、建筑、安装、检测实验记录、评定、验收的顺序排列，具体详见《工程档案移交内容一览表》。</w:t>
      </w:r>
    </w:p>
    <w:p>
      <w:pPr>
        <w:spacing w:line="360" w:lineRule="auto"/>
        <w:ind w:firstLine="440" w:firstLineChars="200"/>
        <w:rPr>
          <w:rFonts w:ascii="宋体" w:hAnsi="宋体" w:cs="宋体"/>
          <w:sz w:val="22"/>
        </w:rPr>
      </w:pPr>
      <w:r>
        <w:rPr>
          <w:rFonts w:hint="eastAsia" w:ascii="宋体" w:hAnsi="宋体" w:cs="宋体"/>
          <w:sz w:val="22"/>
        </w:rPr>
        <w:t>4.8.2编写案卷号。根据案卷排列先后顺序逐卷编写案卷流水号，案卷号从 “001”依次编起，由施工单位填写在案卷封面、脊背、卷内目录及备考表等“档号”一栏中。</w:t>
      </w:r>
    </w:p>
    <w:p>
      <w:pPr>
        <w:spacing w:line="360" w:lineRule="auto"/>
        <w:ind w:firstLine="440" w:firstLineChars="200"/>
        <w:rPr>
          <w:rFonts w:ascii="宋体" w:hAnsi="宋体" w:cs="宋体"/>
          <w:sz w:val="22"/>
        </w:rPr>
      </w:pPr>
      <w:r>
        <w:rPr>
          <w:rFonts w:hint="eastAsia" w:ascii="宋体" w:hAnsi="宋体" w:cs="宋体"/>
          <w:sz w:val="22"/>
        </w:rPr>
        <w:t>4.9案卷目录的编写</w:t>
      </w:r>
    </w:p>
    <w:p>
      <w:pPr>
        <w:spacing w:line="360" w:lineRule="auto"/>
        <w:ind w:firstLine="440" w:firstLineChars="200"/>
        <w:rPr>
          <w:rFonts w:ascii="宋体" w:hAnsi="宋体" w:cs="宋体"/>
          <w:sz w:val="22"/>
        </w:rPr>
      </w:pPr>
      <w:bookmarkStart w:id="318" w:name="_Toc275175762"/>
      <w:bookmarkStart w:id="319" w:name="_Toc331456346"/>
      <w:r>
        <w:rPr>
          <w:rFonts w:hint="eastAsia" w:ascii="宋体" w:hAnsi="宋体" w:cs="宋体"/>
          <w:sz w:val="22"/>
        </w:rPr>
        <w:t>案卷目录式样见附表5，内容包括：档号、案卷题名、立卷单位、起止日期、案卷页数、保管期限、密级、备注等，填写方法与案卷封面各对应项一致，其中备注项可根据管理需要填写案卷的密级等信息。案卷目录作为施工单位向指挥部档案室移交档案的目录清单，附在档案移交单后，不需装订在案卷内。</w:t>
      </w:r>
      <w:bookmarkEnd w:id="318"/>
      <w:bookmarkEnd w:id="319"/>
    </w:p>
    <w:p>
      <w:pPr>
        <w:spacing w:line="360" w:lineRule="auto"/>
        <w:ind w:firstLine="440" w:firstLineChars="200"/>
        <w:jc w:val="left"/>
        <w:rPr>
          <w:rFonts w:ascii="宋体" w:hAnsi="宋体" w:cs="宋体"/>
          <w:bCs/>
          <w:sz w:val="22"/>
        </w:rPr>
      </w:pPr>
      <w:r>
        <w:rPr>
          <w:rFonts w:hint="eastAsia" w:ascii="宋体" w:hAnsi="宋体" w:cs="宋体"/>
          <w:sz w:val="22"/>
        </w:rPr>
        <w:t>4.10</w:t>
      </w:r>
      <w:r>
        <w:rPr>
          <w:rFonts w:hint="eastAsia" w:ascii="宋体" w:hAnsi="宋体" w:cs="宋体"/>
          <w:bCs/>
          <w:sz w:val="22"/>
        </w:rPr>
        <w:t>卷盒、卷皮、表格规格及其制成材料</w:t>
      </w:r>
    </w:p>
    <w:p>
      <w:pPr>
        <w:spacing w:line="360" w:lineRule="auto"/>
        <w:ind w:firstLine="440" w:firstLineChars="200"/>
        <w:jc w:val="left"/>
        <w:rPr>
          <w:rFonts w:ascii="宋体" w:hAnsi="宋体" w:cs="宋体"/>
          <w:sz w:val="22"/>
        </w:rPr>
      </w:pPr>
      <w:r>
        <w:rPr>
          <w:rFonts w:hint="eastAsia" w:ascii="宋体" w:hAnsi="宋体" w:cs="宋体"/>
          <w:sz w:val="22"/>
        </w:rPr>
        <w:t>卷盒、卷皮除一套原件采用广州市城建档案馆印制的规格，其余各套采用指挥部印制的规格，由施工单位到印制单位购买；案卷封面、案卷脊背由立卷单位采用指挥部订制的无酸牛皮纸、根据附表格式采用激光打印机自行打印；案卷目录、卷内目录、卷内备考表由立卷单位采用70g以上白色A4幅面书写纸、根据附表格式用激光打印机自行打印。</w:t>
      </w:r>
    </w:p>
    <w:p>
      <w:pPr>
        <w:spacing w:line="360" w:lineRule="auto"/>
        <w:ind w:firstLine="440" w:firstLineChars="200"/>
        <w:rPr>
          <w:rFonts w:ascii="宋体" w:hAnsi="宋体" w:cs="宋体"/>
          <w:sz w:val="22"/>
        </w:rPr>
      </w:pPr>
      <w:r>
        <w:rPr>
          <w:rFonts w:hint="eastAsia" w:ascii="宋体" w:hAnsi="宋体" w:cs="宋体"/>
          <w:sz w:val="22"/>
        </w:rPr>
        <w:t>4.11声像文件编制要求</w:t>
      </w:r>
    </w:p>
    <w:p>
      <w:pPr>
        <w:spacing w:line="360" w:lineRule="auto"/>
        <w:ind w:firstLine="440" w:firstLineChars="200"/>
        <w:rPr>
          <w:rFonts w:ascii="宋体" w:hAnsi="宋体" w:cs="宋体"/>
          <w:sz w:val="22"/>
        </w:rPr>
      </w:pPr>
      <w:r>
        <w:rPr>
          <w:rFonts w:hint="eastAsia" w:ascii="宋体" w:hAnsi="宋体" w:cs="宋体"/>
          <w:snapToGrid w:val="0"/>
          <w:sz w:val="22"/>
        </w:rPr>
        <w:t>对于施工过程中形成的各种非纸质载体的声像材料，如照片、光盘、录像带、录音带等，由施工单位负责收集，单独整理，具体详见《指挥部声像文件归档办法》。</w:t>
      </w:r>
    </w:p>
    <w:p>
      <w:pPr>
        <w:spacing w:line="360" w:lineRule="auto"/>
        <w:ind w:firstLine="442" w:firstLineChars="200"/>
        <w:rPr>
          <w:rFonts w:ascii="宋体" w:hAnsi="宋体" w:cs="宋体"/>
          <w:b/>
          <w:sz w:val="22"/>
        </w:rPr>
      </w:pPr>
      <w:r>
        <w:rPr>
          <w:rFonts w:hint="eastAsia" w:ascii="宋体" w:hAnsi="宋体" w:cs="宋体"/>
          <w:b/>
          <w:sz w:val="22"/>
        </w:rPr>
        <w:t>5施工文件的验收</w:t>
      </w:r>
    </w:p>
    <w:p>
      <w:pPr>
        <w:widowControl/>
        <w:spacing w:line="360" w:lineRule="auto"/>
        <w:ind w:firstLine="440" w:firstLineChars="200"/>
        <w:jc w:val="left"/>
        <w:rPr>
          <w:rFonts w:ascii="宋体" w:hAnsi="宋体" w:cs="宋体"/>
          <w:sz w:val="22"/>
        </w:rPr>
      </w:pPr>
      <w:r>
        <w:rPr>
          <w:rFonts w:hint="eastAsia" w:ascii="宋体" w:hAnsi="宋体" w:cs="宋体"/>
          <w:bCs/>
          <w:sz w:val="22"/>
        </w:rPr>
        <w:t>施工单位应在工程验收10天之前先提交一套</w:t>
      </w:r>
      <w:r>
        <w:rPr>
          <w:rFonts w:hint="eastAsia" w:ascii="宋体" w:hAnsi="宋体" w:cs="宋体"/>
          <w:sz w:val="22"/>
        </w:rPr>
        <w:t>完整的施工文件（要求全部是原件）给指挥部档案室进行审核，满足验收条件后提交档案验收小组进行验收。档案验收小组根据《重大建设工程项目档案验收办法》（档发〔2006〕2号）、《广东省建设工程项目档案验收办法》（粤档发[1999]40号）及民航局有关文件等开展指挥部建设工程项目档案验收工作，办理有关档案验收认可文件。档案验收不合格或没有经过档案验收的建设工程项目，不得办理项目验收手续，不得交付使用，不得申报优质工程和其他奖励。</w:t>
      </w:r>
    </w:p>
    <w:p>
      <w:pPr>
        <w:spacing w:line="360" w:lineRule="auto"/>
        <w:ind w:firstLine="442" w:firstLineChars="200"/>
        <w:rPr>
          <w:rFonts w:ascii="宋体" w:hAnsi="宋体" w:cs="宋体"/>
          <w:b/>
          <w:sz w:val="22"/>
        </w:rPr>
      </w:pPr>
      <w:r>
        <w:rPr>
          <w:rFonts w:hint="eastAsia" w:ascii="宋体" w:hAnsi="宋体" w:cs="宋体"/>
          <w:b/>
          <w:sz w:val="22"/>
        </w:rPr>
        <w:t>6施工文件的归档</w:t>
      </w:r>
    </w:p>
    <w:p>
      <w:pPr>
        <w:spacing w:line="360" w:lineRule="auto"/>
        <w:ind w:firstLine="440" w:firstLineChars="200"/>
        <w:rPr>
          <w:rFonts w:ascii="宋体" w:hAnsi="宋体" w:cs="宋体"/>
          <w:sz w:val="22"/>
        </w:rPr>
      </w:pPr>
      <w:r>
        <w:rPr>
          <w:rFonts w:hint="eastAsia" w:ascii="宋体" w:hAnsi="宋体" w:cs="宋体"/>
          <w:sz w:val="22"/>
        </w:rPr>
        <w:t>6.1施工文件验收合格后，由施工单位根据合同约定及有关档案管理规定，向指挥部档案室办理施工文件归档手续。</w:t>
      </w:r>
    </w:p>
    <w:p>
      <w:pPr>
        <w:spacing w:line="360" w:lineRule="auto"/>
        <w:ind w:firstLine="440" w:firstLineChars="200"/>
        <w:rPr>
          <w:rFonts w:ascii="宋体" w:hAnsi="宋体" w:cs="宋体"/>
          <w:sz w:val="22"/>
        </w:rPr>
      </w:pPr>
      <w:r>
        <w:rPr>
          <w:rFonts w:hint="eastAsia" w:ascii="宋体" w:hAnsi="宋体" w:cs="宋体"/>
          <w:sz w:val="22"/>
        </w:rPr>
        <w:t>6.2施工文件归档套数</w:t>
      </w:r>
    </w:p>
    <w:p>
      <w:pPr>
        <w:pStyle w:val="17"/>
        <w:spacing w:line="360" w:lineRule="auto"/>
        <w:ind w:left="29" w:leftChars="14" w:firstLine="440" w:firstLineChars="200"/>
        <w:rPr>
          <w:rFonts w:ascii="宋体" w:hAnsi="宋体" w:cs="宋体"/>
          <w:sz w:val="22"/>
          <w:szCs w:val="22"/>
        </w:rPr>
      </w:pPr>
      <w:r>
        <w:rPr>
          <w:rFonts w:hint="eastAsia" w:ascii="宋体" w:hAnsi="宋体" w:cs="宋体"/>
          <w:sz w:val="22"/>
          <w:szCs w:val="22"/>
        </w:rPr>
        <w:t>——施工技术文件：四套，其中二套原件（内容手写或打印，签名盖章处是原笔迹、盖红章），二套复印件。特殊情况下原件份数不足的资料（如外单位送来的资料），必须有提供资料的单位盖红章并注明“与原件相符”或“原件在XX处”等字眼加以确认。</w:t>
      </w:r>
    </w:p>
    <w:p>
      <w:pPr>
        <w:spacing w:line="360" w:lineRule="auto"/>
        <w:ind w:firstLine="440" w:firstLineChars="200"/>
        <w:rPr>
          <w:rFonts w:ascii="宋体" w:hAnsi="宋体" w:cs="宋体"/>
          <w:sz w:val="22"/>
        </w:rPr>
      </w:pPr>
      <w:r>
        <w:rPr>
          <w:rFonts w:hint="eastAsia" w:ascii="宋体" w:hAnsi="宋体" w:cs="宋体"/>
          <w:sz w:val="22"/>
        </w:rPr>
        <w:t>——声像文件：照片二套，一套由指挥部保存，另一套由广州市城建档案馆保存，另附二套底片或光盘；施工文件电子文件以光盘存贮，四套。</w:t>
      </w:r>
    </w:p>
    <w:p>
      <w:pPr>
        <w:spacing w:line="360" w:lineRule="auto"/>
        <w:ind w:firstLine="440" w:firstLineChars="200"/>
        <w:rPr>
          <w:rFonts w:ascii="宋体" w:hAnsi="宋体" w:cs="宋体"/>
          <w:sz w:val="22"/>
        </w:rPr>
      </w:pPr>
      <w:r>
        <w:rPr>
          <w:rFonts w:hint="eastAsia" w:ascii="宋体" w:hAnsi="宋体" w:cs="宋体"/>
          <w:sz w:val="22"/>
        </w:rPr>
        <w:t>6.3施工文件归档手续</w:t>
      </w:r>
    </w:p>
    <w:p>
      <w:pPr>
        <w:spacing w:line="360" w:lineRule="auto"/>
        <w:ind w:firstLine="440" w:firstLineChars="200"/>
        <w:rPr>
          <w:rFonts w:ascii="宋体" w:hAnsi="宋体" w:cs="宋体"/>
          <w:sz w:val="22"/>
        </w:rPr>
      </w:pPr>
      <w:r>
        <w:rPr>
          <w:rFonts w:hint="eastAsia" w:ascii="宋体" w:hAnsi="宋体" w:cs="宋体"/>
          <w:sz w:val="22"/>
        </w:rPr>
        <w:t>施工文件验收合格后，施工单位按规定将有关施工文件移交指挥部档案室归档，办理文件归档手续，提交文件归档目录，内容包括：建设工程及档案概况表（附表6）一式二份、建设工程文件归档单（附表7）一式四份、案卷目录一式四份、卷内目录一式四份，其中案卷目录及卷内目录需另提供电子文件一份。工程档案移交书需经施工、监理、指挥部工程部门及档案室等四方签字盖章确认方有效，其中一份由移交方（施工单位）保存，一份由接收方（指挥部档案室）保存，二份作为工程结算依据归入结算资料中。</w:t>
      </w:r>
    </w:p>
    <w:p>
      <w:pPr>
        <w:autoSpaceDE w:val="0"/>
        <w:autoSpaceDN w:val="0"/>
        <w:adjustRightInd w:val="0"/>
        <w:spacing w:line="400" w:lineRule="exact"/>
        <w:jc w:val="left"/>
        <w:outlineLvl w:val="2"/>
        <w:rPr>
          <w:rFonts w:ascii="宋体" w:hAnsi="宋体" w:cs="宋体"/>
          <w:b/>
          <w:bCs/>
          <w:sz w:val="22"/>
        </w:rPr>
      </w:pPr>
      <w:r>
        <w:rPr>
          <w:rFonts w:hint="eastAsia" w:ascii="宋体" w:hAnsi="宋体" w:cs="宋体"/>
          <w:sz w:val="22"/>
        </w:rPr>
        <w:br w:type="page"/>
      </w:r>
      <w:bookmarkStart w:id="320" w:name="_Toc327896875"/>
      <w:bookmarkStart w:id="321" w:name="_Toc262111003"/>
      <w:r>
        <w:rPr>
          <w:rFonts w:hint="eastAsia" w:ascii="宋体" w:hAnsi="宋体" w:cs="宋体"/>
          <w:b/>
          <w:bCs/>
          <w:sz w:val="22"/>
        </w:rPr>
        <w:t>附件</w:t>
      </w:r>
      <w:bookmarkEnd w:id="320"/>
      <w:bookmarkEnd w:id="321"/>
      <w:r>
        <w:rPr>
          <w:rFonts w:hint="eastAsia" w:ascii="宋体" w:hAnsi="宋体" w:cs="宋体"/>
          <w:b/>
          <w:bCs/>
          <w:sz w:val="22"/>
        </w:rPr>
        <w:t>三</w:t>
      </w:r>
    </w:p>
    <w:p>
      <w:pPr>
        <w:spacing w:line="360" w:lineRule="auto"/>
        <w:ind w:left="2249" w:hanging="2249" w:hangingChars="700"/>
        <w:jc w:val="center"/>
        <w:rPr>
          <w:rFonts w:ascii="宋体" w:hAnsi="宋体" w:cs="宋体"/>
          <w:b/>
          <w:bCs/>
          <w:sz w:val="32"/>
          <w:szCs w:val="32"/>
        </w:rPr>
      </w:pPr>
      <w:r>
        <w:rPr>
          <w:rFonts w:hint="eastAsia" w:ascii="宋体" w:hAnsi="宋体" w:cs="宋体"/>
          <w:b/>
          <w:bCs/>
          <w:sz w:val="32"/>
          <w:szCs w:val="32"/>
        </w:rPr>
        <w:t>安全生产合同</w:t>
      </w:r>
    </w:p>
    <w:p>
      <w:pPr>
        <w:spacing w:line="400" w:lineRule="exact"/>
        <w:ind w:firstLine="420"/>
        <w:rPr>
          <w:rFonts w:ascii="宋体" w:hAnsi="宋体" w:cs="宋体"/>
          <w:sz w:val="22"/>
        </w:rPr>
      </w:pPr>
    </w:p>
    <w:p>
      <w:pPr>
        <w:spacing w:line="400" w:lineRule="exact"/>
        <w:ind w:firstLine="420"/>
        <w:rPr>
          <w:rFonts w:ascii="宋体" w:hAnsi="宋体" w:cs="宋体"/>
          <w:sz w:val="22"/>
        </w:rPr>
      </w:pPr>
      <w:r>
        <w:rPr>
          <w:rFonts w:hint="eastAsia" w:ascii="宋体" w:hAnsi="宋体" w:cs="宋体"/>
          <w:sz w:val="22"/>
        </w:rPr>
        <w:t>为在</w:t>
      </w:r>
      <w:r>
        <w:rPr>
          <w:rFonts w:hint="eastAsia" w:ascii="宋体" w:hAnsi="宋体" w:cs="宋体"/>
          <w:sz w:val="22"/>
          <w:u w:val="single"/>
        </w:rPr>
        <w:t xml:space="preserve">                 </w:t>
      </w:r>
      <w:r>
        <w:rPr>
          <w:rFonts w:hint="eastAsia" w:ascii="宋体" w:hAnsi="宋体" w:cs="宋体"/>
          <w:sz w:val="22"/>
        </w:rPr>
        <w:t>施工合同的实施过程中创造安全、高效的施工环境，切实搞好本项目的安全管理工作，本项目雇主</w:t>
      </w:r>
      <w:r>
        <w:rPr>
          <w:rFonts w:hint="eastAsia" w:ascii="宋体" w:hAnsi="宋体" w:cs="宋体"/>
          <w:sz w:val="22"/>
          <w:u w:val="single"/>
        </w:rPr>
        <w:t xml:space="preserve">      (发包人全称)       </w:t>
      </w:r>
      <w:r>
        <w:rPr>
          <w:rFonts w:hint="eastAsia" w:ascii="宋体" w:hAnsi="宋体" w:cs="宋体"/>
          <w:sz w:val="22"/>
        </w:rPr>
        <w:t>(以下简称“发包人”)与专业分包人</w:t>
      </w:r>
      <w:r>
        <w:rPr>
          <w:rFonts w:hint="eastAsia" w:ascii="宋体" w:hAnsi="宋体" w:cs="宋体"/>
          <w:sz w:val="22"/>
          <w:u w:val="single"/>
        </w:rPr>
        <w:t xml:space="preserve">       (专业分包人全称)     </w:t>
      </w:r>
      <w:r>
        <w:rPr>
          <w:rFonts w:hint="eastAsia" w:ascii="宋体" w:hAnsi="宋体" w:cs="宋体"/>
          <w:sz w:val="22"/>
        </w:rPr>
        <w:t>(以下简称“专业分包人”)、施工总承包人</w:t>
      </w:r>
      <w:r>
        <w:rPr>
          <w:rFonts w:hint="eastAsia" w:ascii="宋体" w:hAnsi="宋体" w:cs="宋体"/>
          <w:sz w:val="22"/>
          <w:u w:val="single"/>
        </w:rPr>
        <w:t xml:space="preserve">      (施工总承包人全称)     </w:t>
      </w:r>
      <w:r>
        <w:rPr>
          <w:rFonts w:hint="eastAsia" w:ascii="宋体" w:hAnsi="宋体" w:cs="宋体"/>
          <w:sz w:val="22"/>
        </w:rPr>
        <w:t>(以下简称“总承包人”)特此签订安全生产合同：</w:t>
      </w:r>
    </w:p>
    <w:p>
      <w:pPr>
        <w:spacing w:line="400" w:lineRule="exact"/>
        <w:ind w:firstLine="420"/>
        <w:rPr>
          <w:rFonts w:ascii="宋体" w:hAnsi="宋体" w:cs="宋体"/>
          <w:b/>
          <w:sz w:val="22"/>
        </w:rPr>
      </w:pPr>
      <w:r>
        <w:rPr>
          <w:rFonts w:hint="eastAsia" w:ascii="宋体" w:hAnsi="宋体" w:cs="宋体"/>
          <w:b/>
          <w:sz w:val="22"/>
        </w:rPr>
        <w:t>一、发包人职责</w:t>
      </w:r>
    </w:p>
    <w:p>
      <w:pPr>
        <w:spacing w:line="400" w:lineRule="exact"/>
        <w:ind w:firstLine="420"/>
        <w:rPr>
          <w:rFonts w:ascii="宋体" w:hAnsi="宋体" w:cs="宋体"/>
          <w:sz w:val="22"/>
        </w:rPr>
      </w:pPr>
      <w:r>
        <w:rPr>
          <w:rFonts w:hint="eastAsia" w:ascii="宋体" w:hAnsi="宋体" w:cs="宋体"/>
          <w:bCs/>
          <w:sz w:val="22"/>
        </w:rPr>
        <w:t>1．</w:t>
      </w:r>
      <w:r>
        <w:rPr>
          <w:rFonts w:hint="eastAsia" w:ascii="宋体" w:hAnsi="宋体" w:cs="宋体"/>
          <w:sz w:val="22"/>
        </w:rPr>
        <w:t>严格遵守国家有关安全生产的法律法规，认真执行工程承包合同中的有关安全要求。</w:t>
      </w:r>
    </w:p>
    <w:p>
      <w:pPr>
        <w:spacing w:line="400" w:lineRule="exact"/>
        <w:ind w:firstLine="420"/>
        <w:rPr>
          <w:rFonts w:ascii="宋体" w:hAnsi="宋体" w:cs="宋体"/>
          <w:sz w:val="22"/>
        </w:rPr>
      </w:pPr>
      <w:r>
        <w:rPr>
          <w:rFonts w:hint="eastAsia" w:ascii="宋体" w:hAnsi="宋体" w:cs="宋体"/>
          <w:bCs/>
          <w:sz w:val="22"/>
        </w:rPr>
        <w:t>2．</w:t>
      </w:r>
      <w:r>
        <w:rPr>
          <w:rFonts w:hint="eastAsia" w:ascii="宋体" w:hAnsi="宋体" w:cs="宋体"/>
          <w:sz w:val="22"/>
        </w:rPr>
        <w:t>按照“安全第一、预防为主”和坚持“管生产必须管安全”的原则进行安全生产管理，做到生产与安全工作同时计划、布置、检查、总结和评比。</w:t>
      </w:r>
    </w:p>
    <w:p>
      <w:pPr>
        <w:spacing w:line="400" w:lineRule="exact"/>
        <w:ind w:firstLine="420"/>
        <w:rPr>
          <w:rFonts w:ascii="宋体" w:hAnsi="宋体" w:cs="宋体"/>
          <w:sz w:val="22"/>
        </w:rPr>
      </w:pPr>
      <w:r>
        <w:rPr>
          <w:rFonts w:hint="eastAsia" w:ascii="宋体" w:hAnsi="宋体" w:cs="宋体"/>
          <w:bCs/>
          <w:sz w:val="22"/>
        </w:rPr>
        <w:t>3．</w:t>
      </w:r>
      <w:r>
        <w:rPr>
          <w:rFonts w:hint="eastAsia" w:ascii="宋体" w:hAnsi="宋体" w:cs="宋体"/>
          <w:sz w:val="22"/>
        </w:rPr>
        <w:t>重要的安全设施必须坚持与主体工程“三同时”的原则，即：同时设计、审批，同时施工，同时验收，投入使用。</w:t>
      </w:r>
    </w:p>
    <w:p>
      <w:pPr>
        <w:spacing w:line="400" w:lineRule="exact"/>
        <w:ind w:firstLine="420"/>
        <w:rPr>
          <w:rFonts w:ascii="宋体" w:hAnsi="宋体" w:cs="宋体"/>
          <w:sz w:val="22"/>
        </w:rPr>
      </w:pPr>
      <w:r>
        <w:rPr>
          <w:rFonts w:hint="eastAsia" w:ascii="宋体" w:hAnsi="宋体" w:cs="宋体"/>
          <w:bCs/>
          <w:sz w:val="22"/>
        </w:rPr>
        <w:t>4．</w:t>
      </w:r>
      <w:r>
        <w:rPr>
          <w:rFonts w:hint="eastAsia" w:ascii="宋体" w:hAnsi="宋体" w:cs="宋体"/>
          <w:sz w:val="22"/>
        </w:rPr>
        <w:t>定期召开安全生产调度会，及时传达中央及地方有关安全生产的精神。</w:t>
      </w:r>
    </w:p>
    <w:p>
      <w:pPr>
        <w:spacing w:line="400" w:lineRule="exact"/>
        <w:ind w:firstLine="420"/>
        <w:rPr>
          <w:rFonts w:ascii="宋体" w:hAnsi="宋体" w:cs="宋体"/>
          <w:sz w:val="22"/>
        </w:rPr>
      </w:pPr>
      <w:r>
        <w:rPr>
          <w:rFonts w:hint="eastAsia" w:ascii="宋体" w:hAnsi="宋体" w:cs="宋体"/>
          <w:bCs/>
          <w:sz w:val="22"/>
        </w:rPr>
        <w:t>5．</w:t>
      </w:r>
      <w:r>
        <w:rPr>
          <w:rFonts w:hint="eastAsia" w:ascii="宋体" w:hAnsi="宋体" w:cs="宋体"/>
          <w:sz w:val="22"/>
        </w:rPr>
        <w:t>组织对专业分包人施工现场安全生产检查，监督专业分包人及时处理发现的各种安全隐患。</w:t>
      </w:r>
    </w:p>
    <w:p>
      <w:pPr>
        <w:spacing w:line="400" w:lineRule="exact"/>
        <w:ind w:firstLine="420"/>
        <w:rPr>
          <w:rFonts w:ascii="宋体" w:hAnsi="宋体" w:cs="宋体"/>
          <w:b/>
          <w:sz w:val="22"/>
        </w:rPr>
      </w:pPr>
      <w:r>
        <w:rPr>
          <w:rFonts w:hint="eastAsia" w:ascii="宋体" w:hAnsi="宋体" w:cs="宋体"/>
          <w:b/>
          <w:sz w:val="22"/>
        </w:rPr>
        <w:t>二、</w:t>
      </w:r>
      <w:r>
        <w:rPr>
          <w:rFonts w:hint="eastAsia" w:ascii="宋体" w:hAnsi="宋体" w:cs="宋体"/>
          <w:sz w:val="22"/>
        </w:rPr>
        <w:t>总承包人和</w:t>
      </w:r>
      <w:r>
        <w:rPr>
          <w:rFonts w:hint="eastAsia" w:ascii="宋体" w:hAnsi="宋体" w:cs="宋体"/>
          <w:b/>
          <w:sz w:val="22"/>
        </w:rPr>
        <w:t>专业分包人职责</w:t>
      </w:r>
    </w:p>
    <w:p>
      <w:pPr>
        <w:spacing w:line="400" w:lineRule="exact"/>
        <w:ind w:firstLine="420"/>
        <w:rPr>
          <w:rFonts w:ascii="宋体" w:hAnsi="宋体" w:cs="宋体"/>
          <w:sz w:val="22"/>
        </w:rPr>
      </w:pPr>
      <w:r>
        <w:rPr>
          <w:rFonts w:hint="eastAsia" w:ascii="宋体" w:hAnsi="宋体" w:cs="宋体"/>
          <w:bCs/>
          <w:sz w:val="22"/>
        </w:rPr>
        <w:t>1．</w:t>
      </w:r>
      <w:r>
        <w:rPr>
          <w:rFonts w:hint="eastAsia" w:ascii="宋体" w:hAnsi="宋体" w:cs="宋体"/>
          <w:sz w:val="22"/>
        </w:rPr>
        <w:t>严格遵守国务院第393号令《建设工程安全生产管理条例》、中有关安全生产的规定，认真执行工程承包合同中的有关安全要求。</w:t>
      </w:r>
    </w:p>
    <w:p>
      <w:pPr>
        <w:spacing w:line="400" w:lineRule="exact"/>
        <w:ind w:firstLine="420"/>
        <w:rPr>
          <w:rFonts w:ascii="宋体" w:hAnsi="宋体" w:cs="宋体"/>
          <w:sz w:val="22"/>
        </w:rPr>
      </w:pPr>
      <w:r>
        <w:rPr>
          <w:rFonts w:hint="eastAsia" w:ascii="宋体" w:hAnsi="宋体" w:cs="宋体"/>
          <w:bCs/>
          <w:sz w:val="22"/>
        </w:rPr>
        <w:t>2．</w:t>
      </w:r>
      <w:r>
        <w:rPr>
          <w:rFonts w:hint="eastAsia" w:ascii="宋体" w:hAnsi="宋体" w:cs="宋体"/>
          <w:sz w:val="22"/>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spacing w:line="400" w:lineRule="exact"/>
        <w:ind w:firstLine="420"/>
        <w:rPr>
          <w:rFonts w:ascii="宋体" w:hAnsi="宋体" w:cs="宋体"/>
          <w:sz w:val="22"/>
        </w:rPr>
      </w:pPr>
      <w:r>
        <w:rPr>
          <w:rFonts w:hint="eastAsia" w:ascii="宋体" w:hAnsi="宋体" w:cs="宋体"/>
          <w:bCs/>
          <w:sz w:val="22"/>
        </w:rPr>
        <w:t>3．</w:t>
      </w:r>
      <w:r>
        <w:rPr>
          <w:rFonts w:hint="eastAsia" w:ascii="宋体" w:hAnsi="宋体" w:cs="宋体"/>
          <w:sz w:val="22"/>
        </w:rPr>
        <w:t>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spacing w:line="400" w:lineRule="exact"/>
        <w:ind w:firstLine="420"/>
        <w:rPr>
          <w:rFonts w:ascii="宋体" w:hAnsi="宋体" w:cs="宋体"/>
          <w:sz w:val="22"/>
        </w:rPr>
      </w:pPr>
      <w:r>
        <w:rPr>
          <w:rFonts w:hint="eastAsia" w:ascii="宋体" w:hAnsi="宋体" w:cs="宋体"/>
          <w:bCs/>
          <w:sz w:val="22"/>
        </w:rPr>
        <w:t>4．</w:t>
      </w:r>
      <w:r>
        <w:rPr>
          <w:rFonts w:hint="eastAsia" w:ascii="宋体" w:hAnsi="宋体" w:cs="宋体"/>
          <w:sz w:val="22"/>
        </w:rPr>
        <w:t>总承包人和专业分包人在任何时候都应采取各种合理的预防措施，防止其员工发生任何违法、违禁、暴力或妨碍治安的行为。</w:t>
      </w:r>
    </w:p>
    <w:p>
      <w:pPr>
        <w:spacing w:line="400" w:lineRule="exact"/>
        <w:ind w:firstLine="420"/>
        <w:rPr>
          <w:rFonts w:ascii="宋体" w:hAnsi="宋体" w:cs="宋体"/>
          <w:sz w:val="22"/>
        </w:rPr>
      </w:pPr>
      <w:r>
        <w:rPr>
          <w:rFonts w:hint="eastAsia" w:ascii="宋体" w:hAnsi="宋体" w:cs="宋体"/>
          <w:bCs/>
          <w:sz w:val="22"/>
        </w:rPr>
        <w:t>5．</w:t>
      </w:r>
      <w:r>
        <w:rPr>
          <w:rFonts w:hint="eastAsia" w:ascii="宋体" w:hAnsi="宋体" w:cs="宋体"/>
          <w:sz w:val="22"/>
        </w:rPr>
        <w:t>专业分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400" w:lineRule="exact"/>
        <w:ind w:firstLine="420"/>
        <w:rPr>
          <w:rFonts w:ascii="宋体" w:hAnsi="宋体" w:cs="宋体"/>
          <w:sz w:val="22"/>
        </w:rPr>
      </w:pPr>
      <w:r>
        <w:rPr>
          <w:rFonts w:hint="eastAsia" w:ascii="宋体" w:hAnsi="宋体" w:cs="宋体"/>
          <w:bCs/>
          <w:sz w:val="22"/>
        </w:rPr>
        <w:t>6．</w:t>
      </w:r>
      <w:r>
        <w:rPr>
          <w:rFonts w:hint="eastAsia" w:ascii="宋体" w:hAnsi="宋体" w:cs="宋体"/>
          <w:sz w:val="22"/>
        </w:rPr>
        <w:t>对于易燃易爆的材料除应专门妥善保管之外，还应配备有足够的消防设施，所有施工人员都应熟悉消防设备的性能和使用方法；专业分包人不得将任何种类的爆炸物给予、易货或以其他方式转让给任何其他人，或允许、容忍上述同样行为。</w:t>
      </w:r>
    </w:p>
    <w:p>
      <w:pPr>
        <w:spacing w:line="400" w:lineRule="exact"/>
        <w:ind w:firstLine="420"/>
        <w:rPr>
          <w:rFonts w:ascii="宋体" w:hAnsi="宋体" w:cs="宋体"/>
          <w:sz w:val="22"/>
        </w:rPr>
      </w:pPr>
      <w:r>
        <w:rPr>
          <w:rFonts w:hint="eastAsia" w:ascii="宋体" w:hAnsi="宋体" w:cs="宋体"/>
          <w:bCs/>
          <w:sz w:val="22"/>
        </w:rPr>
        <w:t>7．</w:t>
      </w:r>
      <w:r>
        <w:rPr>
          <w:rFonts w:hint="eastAsia" w:ascii="宋体" w:hAnsi="宋体" w:cs="宋体"/>
          <w:sz w:val="22"/>
        </w:rPr>
        <w:t>操作人员上岗，必须按规定穿戴防护用品。施工负责人和安全检查员应随时检查劳动防护用品的穿戴情况，不按规定穿戴防护用品的人员不得上岗。</w:t>
      </w:r>
    </w:p>
    <w:p>
      <w:pPr>
        <w:spacing w:line="400" w:lineRule="exact"/>
        <w:ind w:firstLine="420"/>
        <w:rPr>
          <w:rFonts w:ascii="宋体" w:hAnsi="宋体" w:cs="宋体"/>
          <w:sz w:val="22"/>
        </w:rPr>
      </w:pPr>
      <w:r>
        <w:rPr>
          <w:rFonts w:hint="eastAsia" w:ascii="宋体" w:hAnsi="宋体" w:cs="宋体"/>
          <w:bCs/>
          <w:sz w:val="22"/>
        </w:rPr>
        <w:t>8．</w:t>
      </w:r>
      <w:r>
        <w:rPr>
          <w:rFonts w:hint="eastAsia" w:ascii="宋体" w:hAnsi="宋体" w:cs="宋体"/>
          <w:sz w:val="22"/>
        </w:rPr>
        <w:t>所有施工机具设备和高空作业的设备均应定期检查，并有安全员的签字记录，保证其经常处于完好状态；不合格的机具、设备和劳动保护用品严禁使用。</w:t>
      </w:r>
    </w:p>
    <w:p>
      <w:pPr>
        <w:spacing w:line="400" w:lineRule="exact"/>
        <w:ind w:firstLine="420"/>
        <w:rPr>
          <w:rFonts w:ascii="宋体" w:hAnsi="宋体" w:cs="宋体"/>
          <w:sz w:val="22"/>
        </w:rPr>
      </w:pPr>
      <w:r>
        <w:rPr>
          <w:rFonts w:hint="eastAsia" w:ascii="宋体" w:hAnsi="宋体" w:cs="宋体"/>
          <w:bCs/>
          <w:sz w:val="22"/>
        </w:rPr>
        <w:t>9．</w:t>
      </w:r>
      <w:r>
        <w:rPr>
          <w:rFonts w:hint="eastAsia" w:ascii="宋体" w:hAnsi="宋体" w:cs="宋体"/>
          <w:sz w:val="22"/>
        </w:rPr>
        <w:t>施工中采用新技术、新工艺、新设备、新材料时，必须制定相应的安全技术措施，施工现场必须具有相关的安全标志牌。</w:t>
      </w:r>
    </w:p>
    <w:p>
      <w:pPr>
        <w:spacing w:line="400" w:lineRule="exact"/>
        <w:ind w:firstLine="420"/>
        <w:rPr>
          <w:rFonts w:ascii="宋体" w:hAnsi="宋体" w:cs="宋体"/>
          <w:sz w:val="22"/>
        </w:rPr>
      </w:pPr>
      <w:r>
        <w:rPr>
          <w:rFonts w:hint="eastAsia" w:ascii="宋体" w:hAnsi="宋体" w:cs="宋体"/>
          <w:bCs/>
          <w:sz w:val="22"/>
        </w:rPr>
        <w:t>10．</w:t>
      </w:r>
      <w:r>
        <w:rPr>
          <w:rFonts w:hint="eastAsia" w:ascii="宋体" w:hAnsi="宋体" w:cs="宋体"/>
          <w:sz w:val="22"/>
        </w:rPr>
        <w:t>总承包人和专业分包人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spacing w:line="400" w:lineRule="exact"/>
        <w:ind w:firstLine="420"/>
        <w:rPr>
          <w:rFonts w:ascii="宋体" w:hAnsi="宋体" w:cs="宋体"/>
          <w:b/>
          <w:sz w:val="22"/>
        </w:rPr>
      </w:pPr>
      <w:r>
        <w:rPr>
          <w:rFonts w:hint="eastAsia" w:ascii="宋体" w:hAnsi="宋体" w:cs="宋体"/>
          <w:b/>
          <w:sz w:val="22"/>
        </w:rPr>
        <w:t>三、违约责任</w:t>
      </w:r>
    </w:p>
    <w:p>
      <w:pPr>
        <w:spacing w:line="400" w:lineRule="exact"/>
        <w:ind w:firstLine="420"/>
        <w:rPr>
          <w:rFonts w:ascii="宋体" w:hAnsi="宋体" w:cs="宋体"/>
          <w:sz w:val="22"/>
        </w:rPr>
      </w:pPr>
      <w:r>
        <w:rPr>
          <w:rFonts w:hint="eastAsia" w:ascii="宋体" w:hAnsi="宋体" w:cs="宋体"/>
          <w:sz w:val="22"/>
        </w:rPr>
        <w:t>如因发包人或总承包人和专业分包人违约造成安全事故，将依法追究责任。</w:t>
      </w:r>
    </w:p>
    <w:p>
      <w:pPr>
        <w:spacing w:line="400" w:lineRule="exact"/>
        <w:ind w:firstLine="420"/>
        <w:rPr>
          <w:rFonts w:ascii="宋体" w:hAnsi="宋体" w:cs="宋体"/>
          <w:b/>
          <w:sz w:val="22"/>
        </w:rPr>
      </w:pPr>
      <w:r>
        <w:rPr>
          <w:rFonts w:hint="eastAsia" w:ascii="宋体" w:hAnsi="宋体" w:cs="宋体"/>
          <w:b/>
          <w:sz w:val="22"/>
        </w:rPr>
        <w:t>四、其他</w:t>
      </w:r>
    </w:p>
    <w:p>
      <w:pPr>
        <w:spacing w:line="400" w:lineRule="exact"/>
        <w:ind w:firstLine="420"/>
        <w:rPr>
          <w:rFonts w:ascii="宋体" w:hAnsi="宋体" w:cs="宋体"/>
          <w:sz w:val="22"/>
        </w:rPr>
      </w:pPr>
      <w:r>
        <w:rPr>
          <w:rFonts w:hint="eastAsia" w:ascii="宋体" w:hAnsi="宋体" w:cs="宋体"/>
          <w:sz w:val="22"/>
        </w:rPr>
        <w:t>本合同正本一式二份，副本八份，合同双方各执正本一份，副本四份。由双方法定代表人或其授权的代理人签署与加盖公章后生效，全部工程竣工验收后失效。</w:t>
      </w:r>
    </w:p>
    <w:p>
      <w:pPr>
        <w:spacing w:line="400" w:lineRule="exact"/>
        <w:rPr>
          <w:rFonts w:ascii="宋体" w:hAnsi="宋体" w:cs="宋体"/>
          <w:sz w:val="22"/>
        </w:rPr>
      </w:pPr>
    </w:p>
    <w:p>
      <w:pPr>
        <w:spacing w:line="400" w:lineRule="exact"/>
        <w:rPr>
          <w:rFonts w:ascii="宋体" w:hAnsi="宋体" w:cs="宋体"/>
          <w:sz w:val="22"/>
        </w:rPr>
      </w:pPr>
    </w:p>
    <w:p>
      <w:pPr>
        <w:spacing w:line="400" w:lineRule="exact"/>
        <w:rPr>
          <w:rFonts w:ascii="宋体" w:hAnsi="宋体" w:cs="宋体"/>
          <w:sz w:val="22"/>
        </w:rPr>
      </w:pPr>
      <w:r>
        <w:rPr>
          <w:rFonts w:hint="eastAsia" w:ascii="宋体" w:hAnsi="宋体" w:cs="宋体"/>
          <w:sz w:val="22"/>
        </w:rPr>
        <w:t>发    包    人：</w:t>
      </w:r>
      <w:r>
        <w:rPr>
          <w:rFonts w:hint="eastAsia" w:ascii="宋体" w:hAnsi="宋体" w:cs="宋体"/>
          <w:sz w:val="22"/>
          <w:u w:val="single"/>
        </w:rPr>
        <w:t>(单位全称)(盖章)</w:t>
      </w:r>
      <w:r>
        <w:rPr>
          <w:rFonts w:hint="eastAsia" w:ascii="宋体" w:hAnsi="宋体" w:cs="宋体"/>
          <w:sz w:val="22"/>
        </w:rPr>
        <w:t xml:space="preserve">             承    包    人：</w:t>
      </w:r>
      <w:r>
        <w:rPr>
          <w:rFonts w:hint="eastAsia" w:ascii="宋体" w:hAnsi="宋体" w:cs="宋体"/>
          <w:sz w:val="22"/>
          <w:u w:val="single"/>
        </w:rPr>
        <w:t>(单位全称)(盖章)</w:t>
      </w:r>
    </w:p>
    <w:p>
      <w:pPr>
        <w:spacing w:line="400" w:lineRule="exact"/>
        <w:rPr>
          <w:rFonts w:ascii="宋体" w:hAnsi="宋体" w:cs="宋体"/>
          <w:sz w:val="22"/>
        </w:rPr>
      </w:pPr>
    </w:p>
    <w:p>
      <w:pPr>
        <w:spacing w:line="400" w:lineRule="exact"/>
        <w:rPr>
          <w:rFonts w:ascii="宋体" w:hAnsi="宋体" w:cs="宋体"/>
          <w:sz w:val="22"/>
        </w:rPr>
      </w:pPr>
    </w:p>
    <w:p>
      <w:pPr>
        <w:spacing w:line="400" w:lineRule="exact"/>
        <w:rPr>
          <w:rFonts w:ascii="宋体" w:hAnsi="宋体" w:cs="宋体"/>
          <w:sz w:val="22"/>
        </w:rPr>
      </w:pPr>
      <w:r>
        <w:rPr>
          <w:rFonts w:hint="eastAsia" w:ascii="宋体" w:hAnsi="宋体" w:cs="宋体"/>
          <w:sz w:val="22"/>
        </w:rPr>
        <w:t>法 定 代 表 人                                法 定 代 表 人</w:t>
      </w:r>
    </w:p>
    <w:p>
      <w:pPr>
        <w:spacing w:line="400" w:lineRule="exact"/>
        <w:ind w:firstLine="1275"/>
        <w:rPr>
          <w:rFonts w:ascii="宋体" w:hAnsi="宋体" w:cs="宋体"/>
          <w:sz w:val="22"/>
        </w:rPr>
      </w:pPr>
      <w:r>
        <w:rPr>
          <w:rFonts w:hint="eastAsia" w:ascii="宋体" w:hAnsi="宋体" w:cs="宋体"/>
          <w:sz w:val="22"/>
        </w:rPr>
        <w:t>或                                            或</w:t>
      </w:r>
    </w:p>
    <w:p>
      <w:pPr>
        <w:spacing w:line="360" w:lineRule="auto"/>
        <w:ind w:firstLine="440" w:firstLineChars="200"/>
        <w:rPr>
          <w:rFonts w:ascii="宋体" w:hAnsi="宋体" w:cs="宋体"/>
          <w:sz w:val="22"/>
          <w:u w:val="single"/>
        </w:rPr>
      </w:pPr>
      <w:r>
        <w:rPr>
          <w:rFonts w:hint="eastAsia" w:ascii="宋体" w:hAnsi="宋体" w:cs="宋体"/>
          <w:sz w:val="22"/>
        </w:rPr>
        <w:t>其授权的代理人：</w:t>
      </w:r>
      <w:r>
        <w:rPr>
          <w:rFonts w:hint="eastAsia" w:ascii="宋体" w:hAnsi="宋体" w:cs="宋体"/>
          <w:sz w:val="22"/>
          <w:u w:val="single"/>
        </w:rPr>
        <w:t xml:space="preserve">                  </w:t>
      </w:r>
      <w:r>
        <w:rPr>
          <w:rFonts w:hint="eastAsia" w:ascii="宋体" w:hAnsi="宋体" w:cs="宋体"/>
          <w:sz w:val="22"/>
        </w:rPr>
        <w:t xml:space="preserve">           其授权的代理人：</w:t>
      </w:r>
      <w:r>
        <w:rPr>
          <w:rFonts w:hint="eastAsia" w:ascii="宋体" w:hAnsi="宋体" w:cs="宋体"/>
          <w:sz w:val="22"/>
          <w:u w:val="single"/>
        </w:rPr>
        <w:t xml:space="preserve">                 </w:t>
      </w:r>
    </w:p>
    <w:p>
      <w:pPr>
        <w:spacing w:line="360" w:lineRule="auto"/>
        <w:ind w:firstLine="440" w:firstLineChars="200"/>
        <w:rPr>
          <w:rFonts w:ascii="宋体" w:hAnsi="宋体" w:cs="宋体"/>
          <w:sz w:val="22"/>
          <w:u w:val="single"/>
        </w:rPr>
      </w:pPr>
    </w:p>
    <w:p>
      <w:pPr>
        <w:spacing w:line="360" w:lineRule="auto"/>
        <w:ind w:firstLine="440" w:firstLineChars="200"/>
        <w:rPr>
          <w:rFonts w:ascii="宋体" w:hAnsi="宋体" w:cs="宋体"/>
          <w:sz w:val="22"/>
          <w:u w:val="single"/>
        </w:rPr>
      </w:pPr>
    </w:p>
    <w:p>
      <w:pPr>
        <w:spacing w:line="360" w:lineRule="auto"/>
        <w:ind w:firstLine="440" w:firstLineChars="200"/>
        <w:rPr>
          <w:rFonts w:ascii="宋体" w:hAnsi="宋体" w:cs="宋体"/>
          <w:sz w:val="22"/>
          <w:u w:val="single"/>
        </w:rPr>
      </w:pPr>
    </w:p>
    <w:p>
      <w:pPr>
        <w:pStyle w:val="19"/>
        <w:rPr>
          <w:rFonts w:hAnsi="宋体" w:cs="宋体"/>
          <w:sz w:val="22"/>
          <w:szCs w:val="22"/>
        </w:rPr>
      </w:pPr>
      <w:r>
        <w:rPr>
          <w:rFonts w:hint="eastAsia" w:hAnsi="宋体" w:cs="宋体"/>
          <w:sz w:val="22"/>
          <w:szCs w:val="22"/>
        </w:rPr>
        <w:br w:type="page"/>
      </w:r>
    </w:p>
    <w:p>
      <w:pPr>
        <w:autoSpaceDE w:val="0"/>
        <w:autoSpaceDN w:val="0"/>
        <w:adjustRightInd w:val="0"/>
        <w:spacing w:line="360" w:lineRule="auto"/>
        <w:ind w:left="101"/>
        <w:jc w:val="left"/>
        <w:rPr>
          <w:rFonts w:ascii="宋体" w:hAnsi="宋体" w:cs="宋体"/>
          <w:sz w:val="22"/>
        </w:rPr>
      </w:pPr>
      <w:r>
        <w:rPr>
          <w:rFonts w:hint="eastAsia" w:ascii="宋体" w:hAnsi="宋体" w:cs="宋体"/>
          <w:sz w:val="22"/>
          <w:lang w:bidi="ar"/>
        </w:rPr>
        <w:t>附件四</w:t>
      </w:r>
      <w:r>
        <w:rPr>
          <w:rFonts w:hint="eastAsia" w:ascii="宋体" w:hAnsi="宋体" w:cs="宋体"/>
          <w:position w:val="-3"/>
          <w:sz w:val="22"/>
        </w:rPr>
        <w:t>（此为样本，工程竣工验收正式签定时采用当期适用本）</w:t>
      </w:r>
    </w:p>
    <w:p>
      <w:pPr>
        <w:spacing w:line="360" w:lineRule="auto"/>
        <w:ind w:firstLine="440" w:firstLineChars="200"/>
        <w:rPr>
          <w:rFonts w:ascii="宋体" w:hAnsi="宋体" w:cs="宋体"/>
          <w:sz w:val="22"/>
        </w:rPr>
      </w:pPr>
    </w:p>
    <w:p>
      <w:pPr>
        <w:spacing w:line="0" w:lineRule="atLeast"/>
        <w:jc w:val="center"/>
        <w:rPr>
          <w:rFonts w:ascii="宋体" w:hAnsi="宋体" w:cs="宋体"/>
          <w:sz w:val="32"/>
          <w:szCs w:val="32"/>
        </w:rPr>
      </w:pPr>
      <w:r>
        <w:rPr>
          <w:rFonts w:hint="eastAsia" w:ascii="宋体" w:hAnsi="宋体" w:cs="宋体"/>
          <w:sz w:val="32"/>
          <w:szCs w:val="32"/>
        </w:rPr>
        <w:t>广东省机场管理集团有限公司工程建设指挥部</w:t>
      </w:r>
    </w:p>
    <w:p>
      <w:pPr>
        <w:rPr>
          <w:rFonts w:ascii="宋体" w:hAnsi="宋体" w:cs="宋体"/>
          <w:w w:val="180"/>
          <w:sz w:val="28"/>
          <w:szCs w:val="20"/>
        </w:rPr>
      </w:pPr>
    </w:p>
    <w:p>
      <w:pPr>
        <w:jc w:val="center"/>
        <w:rPr>
          <w:rFonts w:ascii="宋体" w:hAnsi="宋体" w:cs="宋体"/>
          <w:b/>
          <w:bCs/>
          <w:sz w:val="56"/>
          <w:szCs w:val="20"/>
        </w:rPr>
      </w:pPr>
      <w:r>
        <w:rPr>
          <w:rFonts w:hint="eastAsia" w:ascii="宋体" w:hAnsi="宋体" w:cs="宋体"/>
          <w:b/>
          <w:bCs/>
          <w:sz w:val="56"/>
          <w:szCs w:val="20"/>
        </w:rPr>
        <w:t>劳动竞赛活动协议书</w:t>
      </w:r>
    </w:p>
    <w:p>
      <w:pPr>
        <w:spacing w:line="0" w:lineRule="atLeast"/>
        <w:rPr>
          <w:rFonts w:ascii="宋体" w:hAnsi="宋体" w:cs="宋体"/>
          <w:sz w:val="20"/>
          <w:szCs w:val="20"/>
        </w:rPr>
      </w:pPr>
    </w:p>
    <w:p>
      <w:pPr>
        <w:spacing w:line="0" w:lineRule="atLeast"/>
        <w:rPr>
          <w:rFonts w:ascii="宋体" w:hAnsi="宋体" w:cs="宋体"/>
          <w:sz w:val="20"/>
          <w:szCs w:val="20"/>
        </w:rPr>
      </w:pPr>
    </w:p>
    <w:p>
      <w:pPr>
        <w:spacing w:line="0" w:lineRule="atLeast"/>
        <w:rPr>
          <w:rFonts w:ascii="宋体" w:hAnsi="宋体" w:cs="宋体"/>
          <w:sz w:val="20"/>
          <w:szCs w:val="20"/>
        </w:rPr>
      </w:pPr>
    </w:p>
    <w:p>
      <w:pPr>
        <w:spacing w:line="0" w:lineRule="atLeast"/>
        <w:rPr>
          <w:rFonts w:ascii="宋体" w:hAnsi="宋体" w:cs="宋体"/>
          <w:sz w:val="20"/>
          <w:szCs w:val="20"/>
        </w:rPr>
      </w:pPr>
    </w:p>
    <w:p>
      <w:pPr>
        <w:spacing w:line="0" w:lineRule="atLeast"/>
        <w:rPr>
          <w:rFonts w:ascii="宋体" w:hAnsi="宋体" w:cs="宋体"/>
          <w:sz w:val="20"/>
          <w:szCs w:val="20"/>
        </w:rPr>
      </w:pPr>
    </w:p>
    <w:p>
      <w:pPr>
        <w:spacing w:line="0" w:lineRule="atLeast"/>
        <w:rPr>
          <w:rFonts w:ascii="宋体" w:hAnsi="宋体" w:cs="宋体"/>
          <w:sz w:val="20"/>
          <w:szCs w:val="20"/>
        </w:rPr>
      </w:pPr>
    </w:p>
    <w:p>
      <w:pPr>
        <w:spacing w:line="0" w:lineRule="atLeast"/>
        <w:rPr>
          <w:rFonts w:ascii="宋体" w:hAnsi="宋体" w:cs="宋体"/>
          <w:sz w:val="20"/>
          <w:szCs w:val="20"/>
        </w:rPr>
      </w:pPr>
    </w:p>
    <w:p>
      <w:pPr>
        <w:spacing w:line="0" w:lineRule="atLeast"/>
        <w:rPr>
          <w:rFonts w:ascii="宋体" w:hAnsi="宋体" w:cs="宋体"/>
          <w:sz w:val="20"/>
          <w:szCs w:val="20"/>
        </w:rPr>
      </w:pPr>
    </w:p>
    <w:p>
      <w:pPr>
        <w:spacing w:line="0" w:lineRule="atLeast"/>
        <w:rPr>
          <w:rFonts w:ascii="宋体" w:hAnsi="宋体" w:cs="宋体"/>
          <w:sz w:val="20"/>
          <w:szCs w:val="20"/>
        </w:rPr>
      </w:pPr>
    </w:p>
    <w:p>
      <w:pPr>
        <w:spacing w:line="0" w:lineRule="atLeast"/>
        <w:rPr>
          <w:rFonts w:ascii="宋体" w:hAnsi="宋体" w:cs="宋体"/>
          <w:sz w:val="20"/>
          <w:szCs w:val="20"/>
        </w:rPr>
      </w:pPr>
    </w:p>
    <w:p>
      <w:pPr>
        <w:spacing w:line="0" w:lineRule="atLeast"/>
        <w:rPr>
          <w:rFonts w:ascii="宋体" w:hAnsi="宋体" w:cs="宋体"/>
          <w:sz w:val="20"/>
          <w:szCs w:val="20"/>
        </w:rPr>
      </w:pPr>
    </w:p>
    <w:p>
      <w:pPr>
        <w:spacing w:line="0" w:lineRule="atLeast"/>
        <w:rPr>
          <w:rFonts w:ascii="宋体" w:hAnsi="宋体" w:cs="宋体"/>
          <w:sz w:val="20"/>
          <w:szCs w:val="20"/>
        </w:rPr>
      </w:pPr>
    </w:p>
    <w:p>
      <w:pPr>
        <w:spacing w:line="0" w:lineRule="atLeast"/>
        <w:rPr>
          <w:rFonts w:ascii="宋体" w:hAnsi="宋体" w:cs="宋体"/>
          <w:sz w:val="20"/>
          <w:szCs w:val="20"/>
        </w:rPr>
      </w:pPr>
    </w:p>
    <w:p>
      <w:pPr>
        <w:spacing w:line="0" w:lineRule="atLeast"/>
        <w:rPr>
          <w:rFonts w:ascii="宋体" w:hAnsi="宋体" w:cs="宋体"/>
          <w:sz w:val="20"/>
          <w:szCs w:val="20"/>
        </w:rPr>
      </w:pPr>
    </w:p>
    <w:p>
      <w:pPr>
        <w:spacing w:line="0" w:lineRule="atLeast"/>
        <w:rPr>
          <w:rFonts w:ascii="宋体" w:hAnsi="宋体" w:cs="宋体"/>
          <w:sz w:val="20"/>
          <w:szCs w:val="20"/>
        </w:rPr>
      </w:pPr>
    </w:p>
    <w:p>
      <w:pPr>
        <w:spacing w:line="0" w:lineRule="atLeast"/>
        <w:rPr>
          <w:rFonts w:ascii="宋体" w:hAnsi="宋体" w:cs="宋体"/>
          <w:sz w:val="20"/>
          <w:szCs w:val="20"/>
        </w:rPr>
      </w:pPr>
    </w:p>
    <w:p>
      <w:pPr>
        <w:spacing w:line="0" w:lineRule="atLeast"/>
        <w:rPr>
          <w:rFonts w:ascii="宋体" w:hAnsi="宋体" w:cs="宋体"/>
          <w:sz w:val="20"/>
          <w:szCs w:val="20"/>
        </w:rPr>
      </w:pPr>
    </w:p>
    <w:p>
      <w:pPr>
        <w:spacing w:line="0" w:lineRule="atLeast"/>
        <w:rPr>
          <w:rFonts w:ascii="宋体" w:hAnsi="宋体" w:cs="宋体"/>
          <w:sz w:val="20"/>
          <w:szCs w:val="20"/>
        </w:rPr>
      </w:pPr>
    </w:p>
    <w:p>
      <w:pPr>
        <w:spacing w:line="0" w:lineRule="atLeast"/>
        <w:rPr>
          <w:rFonts w:ascii="宋体" w:hAnsi="宋体" w:cs="宋体"/>
          <w:sz w:val="20"/>
          <w:szCs w:val="20"/>
        </w:rPr>
      </w:pPr>
    </w:p>
    <w:p>
      <w:pPr>
        <w:spacing w:line="0" w:lineRule="atLeast"/>
        <w:rPr>
          <w:rFonts w:ascii="宋体" w:hAnsi="宋体" w:cs="宋体"/>
          <w:sz w:val="20"/>
          <w:szCs w:val="20"/>
        </w:rPr>
      </w:pPr>
    </w:p>
    <w:p>
      <w:pPr>
        <w:pStyle w:val="19"/>
      </w:pPr>
    </w:p>
    <w:p>
      <w:pPr>
        <w:pStyle w:val="19"/>
      </w:pPr>
    </w:p>
    <w:p>
      <w:pPr>
        <w:pStyle w:val="19"/>
      </w:pPr>
    </w:p>
    <w:p>
      <w:pPr>
        <w:pStyle w:val="19"/>
      </w:pPr>
    </w:p>
    <w:p>
      <w:pPr>
        <w:pStyle w:val="19"/>
      </w:pPr>
    </w:p>
    <w:p>
      <w:pPr>
        <w:pStyle w:val="19"/>
      </w:pPr>
    </w:p>
    <w:p>
      <w:pPr>
        <w:spacing w:line="0" w:lineRule="atLeast"/>
        <w:rPr>
          <w:rFonts w:ascii="宋体" w:hAnsi="宋体" w:cs="宋体"/>
          <w:sz w:val="20"/>
          <w:szCs w:val="20"/>
        </w:rPr>
      </w:pPr>
    </w:p>
    <w:p>
      <w:pPr>
        <w:spacing w:line="0" w:lineRule="atLeast"/>
        <w:rPr>
          <w:rFonts w:ascii="宋体" w:hAnsi="宋体" w:cs="宋体"/>
          <w:sz w:val="20"/>
          <w:szCs w:val="20"/>
        </w:rPr>
      </w:pPr>
    </w:p>
    <w:p>
      <w:pPr>
        <w:spacing w:line="0" w:lineRule="atLeast"/>
        <w:rPr>
          <w:rFonts w:ascii="宋体" w:hAnsi="宋体" w:cs="宋体"/>
          <w:b/>
          <w:bCs/>
          <w:sz w:val="28"/>
          <w:szCs w:val="20"/>
        </w:rPr>
      </w:pPr>
      <w:r>
        <w:rPr>
          <w:rFonts w:hint="eastAsia" w:ascii="宋体" w:hAnsi="宋体" w:cs="宋体"/>
          <w:b/>
          <w:bCs/>
          <w:sz w:val="28"/>
          <w:szCs w:val="20"/>
        </w:rPr>
        <w:t>协议单位</w:t>
      </w:r>
    </w:p>
    <w:p>
      <w:pPr>
        <w:spacing w:line="0" w:lineRule="atLeast"/>
        <w:rPr>
          <w:rFonts w:ascii="宋体" w:hAnsi="宋体" w:cs="宋体"/>
          <w:sz w:val="28"/>
          <w:szCs w:val="20"/>
        </w:rPr>
      </w:pPr>
    </w:p>
    <w:p>
      <w:pPr>
        <w:spacing w:line="0" w:lineRule="atLeast"/>
        <w:rPr>
          <w:rFonts w:ascii="宋体" w:hAnsi="宋体" w:cs="宋体"/>
          <w:sz w:val="28"/>
          <w:szCs w:val="20"/>
        </w:rPr>
      </w:pPr>
      <w:r>
        <w:rPr>
          <w:rFonts w:hint="eastAsia" w:ascii="宋体" w:hAnsi="宋体" w:cs="宋体"/>
          <w:b/>
          <w:bCs/>
          <w:sz w:val="28"/>
          <w:szCs w:val="20"/>
        </w:rPr>
        <w:t>甲方：</w:t>
      </w:r>
      <w:r>
        <w:rPr>
          <w:rFonts w:hint="eastAsia" w:ascii="宋体" w:hAnsi="宋体" w:cs="宋体"/>
          <w:sz w:val="28"/>
          <w:szCs w:val="20"/>
        </w:rPr>
        <w:t>广东省机场管理集团有限公司工程建设指挥部</w:t>
      </w:r>
    </w:p>
    <w:p>
      <w:pPr>
        <w:spacing w:line="0" w:lineRule="atLeast"/>
        <w:rPr>
          <w:rFonts w:ascii="宋体" w:hAnsi="宋体" w:cs="宋体"/>
          <w:sz w:val="28"/>
          <w:szCs w:val="20"/>
        </w:rPr>
      </w:pPr>
    </w:p>
    <w:p>
      <w:pPr>
        <w:spacing w:line="0" w:lineRule="atLeast"/>
        <w:rPr>
          <w:rFonts w:ascii="宋体" w:hAnsi="宋体" w:cs="宋体"/>
          <w:b/>
          <w:bCs/>
          <w:sz w:val="28"/>
          <w:szCs w:val="20"/>
        </w:rPr>
      </w:pPr>
      <w:r>
        <w:rPr>
          <w:rFonts w:hint="eastAsia" w:ascii="宋体" w:hAnsi="宋体" w:cs="宋体"/>
          <w:b/>
          <w:bCs/>
          <w:sz w:val="28"/>
          <w:szCs w:val="20"/>
        </w:rPr>
        <w:t>乙方：</w:t>
      </w:r>
    </w:p>
    <w:p>
      <w:pPr>
        <w:rPr>
          <w:rFonts w:ascii="宋体" w:hAnsi="宋体" w:cs="宋体"/>
          <w:w w:val="180"/>
          <w:sz w:val="28"/>
          <w:szCs w:val="20"/>
        </w:rPr>
      </w:pPr>
    </w:p>
    <w:p>
      <w:pPr>
        <w:pStyle w:val="17"/>
        <w:rPr>
          <w:rFonts w:ascii="宋体" w:hAnsi="宋体" w:cs="宋体"/>
          <w:w w:val="180"/>
        </w:rPr>
      </w:pPr>
    </w:p>
    <w:p>
      <w:pPr>
        <w:pStyle w:val="17"/>
        <w:rPr>
          <w:rFonts w:ascii="宋体" w:hAnsi="宋体" w:cs="宋体"/>
          <w:sz w:val="18"/>
        </w:rPr>
      </w:pPr>
    </w:p>
    <w:p>
      <w:pPr>
        <w:pStyle w:val="17"/>
        <w:rPr>
          <w:rFonts w:ascii="宋体" w:hAnsi="宋体" w:cs="宋体"/>
          <w:b/>
          <w:bCs/>
          <w:sz w:val="18"/>
        </w:rPr>
      </w:pPr>
      <w:r>
        <w:rPr>
          <w:rFonts w:hint="eastAsia" w:ascii="宋体" w:hAnsi="宋体" w:cs="宋体"/>
          <w:sz w:val="18"/>
        </w:rPr>
        <w:t xml:space="preserve">               </w:t>
      </w:r>
      <w:r>
        <w:rPr>
          <w:rFonts w:hint="eastAsia" w:ascii="宋体" w:hAnsi="宋体" w:cs="宋体"/>
          <w:b/>
          <w:bCs/>
          <w:sz w:val="18"/>
        </w:rPr>
        <w:t xml:space="preserve">  年      月     日</w:t>
      </w:r>
    </w:p>
    <w:p>
      <w:pPr>
        <w:pStyle w:val="17"/>
        <w:rPr>
          <w:rFonts w:ascii="宋体" w:hAnsi="宋体" w:cs="宋体"/>
          <w:b/>
          <w:bCs/>
          <w:sz w:val="18"/>
        </w:rPr>
      </w:pPr>
    </w:p>
    <w:p>
      <w:pPr>
        <w:pStyle w:val="17"/>
        <w:rPr>
          <w:rFonts w:ascii="宋体" w:hAnsi="宋体" w:cs="宋体"/>
          <w:b/>
          <w:bCs/>
          <w:sz w:val="18"/>
        </w:rPr>
      </w:pPr>
    </w:p>
    <w:p>
      <w:pPr>
        <w:pStyle w:val="17"/>
        <w:rPr>
          <w:rFonts w:ascii="宋体" w:hAnsi="宋体" w:cs="宋体"/>
          <w:b/>
          <w:bCs/>
          <w:sz w:val="18"/>
        </w:rPr>
      </w:pPr>
    </w:p>
    <w:p>
      <w:pPr>
        <w:pStyle w:val="17"/>
        <w:rPr>
          <w:rFonts w:ascii="宋体" w:hAnsi="宋体" w:cs="宋体"/>
          <w:b/>
          <w:bCs/>
          <w:sz w:val="18"/>
        </w:rPr>
      </w:pPr>
    </w:p>
    <w:p>
      <w:pPr>
        <w:rPr>
          <w:rFonts w:ascii="宋体" w:hAnsi="宋体" w:cs="宋体"/>
          <w:sz w:val="20"/>
          <w:szCs w:val="20"/>
        </w:rPr>
      </w:pPr>
    </w:p>
    <w:p>
      <w:pPr>
        <w:spacing w:line="0" w:lineRule="atLeast"/>
        <w:jc w:val="center"/>
        <w:rPr>
          <w:rFonts w:ascii="宋体" w:hAnsi="宋体" w:cs="宋体"/>
          <w:sz w:val="32"/>
          <w:szCs w:val="32"/>
        </w:rPr>
      </w:pPr>
      <w:r>
        <w:rPr>
          <w:rFonts w:hint="eastAsia" w:ascii="宋体" w:hAnsi="宋体" w:cs="宋体"/>
          <w:sz w:val="32"/>
          <w:szCs w:val="32"/>
        </w:rPr>
        <w:t>广东省机场管理集团有限公司工程建设指挥部</w:t>
      </w:r>
    </w:p>
    <w:p>
      <w:pPr>
        <w:ind w:left="-178" w:leftChars="-85" w:right="-153" w:rightChars="-73"/>
        <w:jc w:val="center"/>
        <w:rPr>
          <w:rFonts w:ascii="宋体" w:hAnsi="宋体" w:cs="宋体"/>
          <w:b/>
          <w:bCs/>
          <w:sz w:val="44"/>
          <w:szCs w:val="44"/>
        </w:rPr>
      </w:pPr>
      <w:r>
        <w:rPr>
          <w:rFonts w:hint="eastAsia" w:ascii="宋体" w:hAnsi="宋体" w:cs="宋体"/>
          <w:b/>
          <w:bCs/>
          <w:sz w:val="56"/>
          <w:szCs w:val="20"/>
        </w:rPr>
        <w:t xml:space="preserve"> </w:t>
      </w:r>
      <w:r>
        <w:rPr>
          <w:rFonts w:hint="eastAsia" w:ascii="宋体" w:hAnsi="宋体" w:cs="宋体"/>
          <w:b/>
          <w:bCs/>
          <w:sz w:val="44"/>
          <w:szCs w:val="44"/>
        </w:rPr>
        <w:t>开展劳动竞赛活动协议书</w:t>
      </w:r>
    </w:p>
    <w:p>
      <w:pPr>
        <w:pStyle w:val="17"/>
        <w:rPr>
          <w:rFonts w:ascii="宋体" w:hAnsi="宋体" w:cs="宋体"/>
          <w:szCs w:val="22"/>
        </w:rPr>
      </w:pPr>
    </w:p>
    <w:p>
      <w:pPr>
        <w:pStyle w:val="17"/>
        <w:rPr>
          <w:rFonts w:ascii="宋体" w:hAnsi="宋体" w:cs="宋体"/>
          <w:sz w:val="24"/>
          <w:szCs w:val="21"/>
        </w:rPr>
      </w:pPr>
      <w:r>
        <w:rPr>
          <w:rFonts w:hint="eastAsia" w:ascii="宋体" w:hAnsi="宋体" w:cs="宋体"/>
          <w:sz w:val="24"/>
          <w:szCs w:val="21"/>
        </w:rPr>
        <w:t>协议单位</w:t>
      </w:r>
    </w:p>
    <w:p>
      <w:pPr>
        <w:pStyle w:val="17"/>
        <w:rPr>
          <w:rFonts w:ascii="宋体" w:hAnsi="宋体" w:cs="宋体"/>
          <w:sz w:val="24"/>
          <w:szCs w:val="21"/>
        </w:rPr>
      </w:pPr>
      <w:r>
        <w:rPr>
          <w:rFonts w:hint="eastAsia" w:ascii="宋体" w:hAnsi="宋体" w:cs="宋体"/>
          <w:sz w:val="24"/>
          <w:szCs w:val="21"/>
        </w:rPr>
        <w:t>甲方：广东省机场管理集团有限公司工程建设指挥部</w:t>
      </w:r>
    </w:p>
    <w:p>
      <w:pPr>
        <w:pStyle w:val="17"/>
        <w:rPr>
          <w:rFonts w:ascii="宋体" w:hAnsi="宋体" w:cs="宋体"/>
          <w:sz w:val="24"/>
          <w:szCs w:val="21"/>
        </w:rPr>
      </w:pPr>
      <w:r>
        <w:rPr>
          <w:rFonts w:hint="eastAsia" w:ascii="宋体" w:hAnsi="宋体" w:cs="宋体"/>
          <w:sz w:val="24"/>
          <w:szCs w:val="21"/>
        </w:rPr>
        <w:t>乙方：</w:t>
      </w:r>
    </w:p>
    <w:p>
      <w:pPr>
        <w:pStyle w:val="17"/>
        <w:rPr>
          <w:rFonts w:ascii="宋体" w:hAnsi="宋体" w:cs="宋体"/>
          <w:sz w:val="24"/>
          <w:szCs w:val="21"/>
        </w:rPr>
      </w:pPr>
    </w:p>
    <w:p>
      <w:pPr>
        <w:pStyle w:val="17"/>
        <w:ind w:firstLine="480" w:firstLineChars="200"/>
        <w:rPr>
          <w:rFonts w:ascii="宋体" w:hAnsi="宋体" w:cs="宋体"/>
          <w:sz w:val="24"/>
          <w:szCs w:val="21"/>
        </w:rPr>
      </w:pPr>
      <w:r>
        <w:rPr>
          <w:rFonts w:hint="eastAsia" w:ascii="宋体" w:hAnsi="宋体" w:cs="宋体"/>
          <w:sz w:val="24"/>
          <w:szCs w:val="21"/>
        </w:rPr>
        <w:t>广东省机场管理集团有限公司工程建设指挥部建设工地开展劳动竞赛活动，旨在推动白云机场工程建设中“两个文明”协调发展，确保高质量、高标准、高效率的完成广州白云国际机场三期扩建工程建设任务。</w:t>
      </w:r>
    </w:p>
    <w:p>
      <w:pPr>
        <w:pStyle w:val="17"/>
        <w:ind w:firstLine="480" w:firstLineChars="200"/>
        <w:jc w:val="left"/>
        <w:rPr>
          <w:rFonts w:ascii="宋体" w:hAnsi="宋体" w:cs="宋体"/>
          <w:sz w:val="24"/>
          <w:szCs w:val="21"/>
        </w:rPr>
      </w:pPr>
      <w:r>
        <w:rPr>
          <w:rFonts w:hint="eastAsia" w:ascii="宋体" w:hAnsi="宋体" w:cs="宋体"/>
          <w:sz w:val="24"/>
          <w:szCs w:val="21"/>
        </w:rPr>
        <w:t>一、按照粤机指发〔2021〕43号关于印发《广州白云国际机场三期扩建工程劳动竞赛实施方案》的通知有关规定，乙方在白云机场所承建的                         工程项目（合同编号：         ，合同金额        元）。提取所承建项目合同金额（不含暂列金，不含暂估价）的 0.4‰(金额       元）作为劳动竞赛活动奖励基金的组成部分，由乙方在收到甲方预付款后5日内交至指挥部财务部。</w:t>
      </w:r>
    </w:p>
    <w:p>
      <w:pPr>
        <w:pStyle w:val="17"/>
        <w:ind w:firstLine="480" w:firstLineChars="200"/>
        <w:jc w:val="left"/>
        <w:rPr>
          <w:rFonts w:ascii="宋体" w:hAnsi="宋体" w:cs="宋体"/>
          <w:sz w:val="24"/>
          <w:szCs w:val="21"/>
        </w:rPr>
      </w:pPr>
      <w:r>
        <w:rPr>
          <w:rFonts w:hint="eastAsia" w:ascii="宋体" w:hAnsi="宋体" w:cs="宋体"/>
          <w:sz w:val="24"/>
          <w:szCs w:val="21"/>
        </w:rPr>
        <w:t>二、劳动竞赛活动奖励基金实行专款专用，只用于劳动竞赛活动，不得用于其他方面。</w:t>
      </w:r>
    </w:p>
    <w:p>
      <w:pPr>
        <w:pStyle w:val="17"/>
        <w:ind w:firstLine="480" w:firstLineChars="200"/>
        <w:jc w:val="left"/>
        <w:rPr>
          <w:rFonts w:ascii="宋体" w:hAnsi="宋体" w:cs="宋体"/>
          <w:sz w:val="24"/>
          <w:szCs w:val="21"/>
        </w:rPr>
      </w:pPr>
      <w:r>
        <w:rPr>
          <w:rFonts w:hint="eastAsia" w:ascii="宋体" w:hAnsi="宋体" w:cs="宋体"/>
          <w:sz w:val="24"/>
          <w:szCs w:val="21"/>
        </w:rPr>
        <w:t>三、乙方在劳动竞赛活动中根据《广州白云国际机场三期扩建工程劳动竞赛实施方案》的有关规定享受相关奖项待遇。</w:t>
      </w:r>
    </w:p>
    <w:p>
      <w:pPr>
        <w:ind w:firstLine="480" w:firstLineChars="200"/>
        <w:rPr>
          <w:rFonts w:ascii="宋体" w:hAnsi="宋体" w:cs="宋体"/>
          <w:sz w:val="24"/>
          <w:szCs w:val="18"/>
        </w:rPr>
      </w:pPr>
      <w:r>
        <w:rPr>
          <w:rFonts w:hint="eastAsia" w:ascii="宋体" w:hAnsi="宋体" w:cs="宋体"/>
          <w:sz w:val="24"/>
          <w:szCs w:val="18"/>
        </w:rPr>
        <w:t>四、甲方在劳动竞赛活动中必须精心组织、加强检查、严格考核，确保劳动竞赛评比的先进性和公正性，不断激发白云机场工程建设者的积极性和创造性。</w:t>
      </w:r>
    </w:p>
    <w:p>
      <w:pPr>
        <w:ind w:firstLine="480" w:firstLineChars="200"/>
        <w:rPr>
          <w:rFonts w:ascii="宋体" w:hAnsi="宋体" w:cs="宋体"/>
          <w:sz w:val="24"/>
          <w:szCs w:val="18"/>
        </w:rPr>
      </w:pPr>
      <w:r>
        <w:rPr>
          <w:rFonts w:hint="eastAsia" w:ascii="宋体" w:hAnsi="宋体" w:cs="宋体"/>
          <w:sz w:val="24"/>
          <w:szCs w:val="18"/>
        </w:rPr>
        <w:t>五、本协议自双方签字之日起生效，协议一式两份，甲乙双方各执一份。</w:t>
      </w:r>
    </w:p>
    <w:p>
      <w:pPr>
        <w:rPr>
          <w:rFonts w:ascii="宋体" w:hAnsi="宋体" w:cs="宋体"/>
          <w:sz w:val="24"/>
          <w:szCs w:val="18"/>
        </w:rPr>
      </w:pPr>
    </w:p>
    <w:p>
      <w:pPr>
        <w:rPr>
          <w:rFonts w:ascii="宋体" w:hAnsi="宋体" w:cs="宋体"/>
          <w:sz w:val="24"/>
          <w:szCs w:val="18"/>
        </w:rPr>
      </w:pPr>
    </w:p>
    <w:p>
      <w:pPr>
        <w:rPr>
          <w:rFonts w:ascii="宋体" w:hAnsi="宋体" w:cs="宋体"/>
          <w:sz w:val="24"/>
          <w:szCs w:val="18"/>
        </w:rPr>
      </w:pPr>
    </w:p>
    <w:p>
      <w:pPr>
        <w:spacing w:line="360" w:lineRule="auto"/>
        <w:rPr>
          <w:rFonts w:ascii="宋体" w:hAnsi="宋体" w:cs="宋体"/>
          <w:sz w:val="24"/>
          <w:szCs w:val="18"/>
        </w:rPr>
      </w:pPr>
      <w:r>
        <w:rPr>
          <w:rFonts w:hint="eastAsia" w:ascii="宋体" w:hAnsi="宋体" w:cs="宋体"/>
          <w:sz w:val="24"/>
          <w:szCs w:val="18"/>
        </w:rPr>
        <w:t>甲方：（盖章）               乙方：（盖章）</w:t>
      </w:r>
    </w:p>
    <w:p>
      <w:pPr>
        <w:spacing w:line="360" w:lineRule="auto"/>
        <w:ind w:left="624"/>
        <w:rPr>
          <w:rFonts w:ascii="宋体" w:hAnsi="宋体" w:cs="宋体"/>
          <w:sz w:val="24"/>
          <w:szCs w:val="18"/>
        </w:rPr>
      </w:pPr>
    </w:p>
    <w:p>
      <w:pPr>
        <w:spacing w:line="360" w:lineRule="auto"/>
        <w:ind w:left="624"/>
        <w:rPr>
          <w:rFonts w:ascii="宋体" w:hAnsi="宋体" w:cs="宋体"/>
          <w:sz w:val="24"/>
          <w:szCs w:val="18"/>
        </w:rPr>
      </w:pPr>
    </w:p>
    <w:p>
      <w:pPr>
        <w:spacing w:line="360" w:lineRule="auto"/>
        <w:ind w:left="624"/>
        <w:rPr>
          <w:rFonts w:ascii="宋体" w:hAnsi="宋体" w:cs="宋体"/>
          <w:sz w:val="24"/>
          <w:szCs w:val="18"/>
        </w:rPr>
      </w:pPr>
    </w:p>
    <w:p>
      <w:pPr>
        <w:spacing w:line="0" w:lineRule="atLeast"/>
        <w:rPr>
          <w:rFonts w:ascii="宋体" w:hAnsi="宋体" w:cs="宋体"/>
          <w:sz w:val="24"/>
          <w:szCs w:val="18"/>
        </w:rPr>
      </w:pPr>
      <w:r>
        <w:rPr>
          <w:rFonts w:hint="eastAsia" w:ascii="宋体" w:hAnsi="宋体" w:cs="宋体"/>
          <w:sz w:val="24"/>
          <w:szCs w:val="18"/>
        </w:rPr>
        <w:t>签约代表：（签字）           签约代表：（签字）</w:t>
      </w:r>
    </w:p>
    <w:p>
      <w:pPr>
        <w:spacing w:line="0" w:lineRule="atLeast"/>
        <w:rPr>
          <w:rFonts w:ascii="宋体" w:hAnsi="宋体" w:cs="宋体"/>
          <w:sz w:val="24"/>
          <w:szCs w:val="18"/>
        </w:rPr>
      </w:pPr>
    </w:p>
    <w:p>
      <w:pPr>
        <w:spacing w:line="0" w:lineRule="atLeast"/>
        <w:rPr>
          <w:rFonts w:ascii="宋体" w:hAnsi="宋体" w:cs="宋体"/>
          <w:sz w:val="28"/>
          <w:szCs w:val="20"/>
        </w:rPr>
      </w:pPr>
    </w:p>
    <w:p>
      <w:pPr>
        <w:spacing w:line="0" w:lineRule="atLeast"/>
        <w:rPr>
          <w:rFonts w:ascii="宋体" w:hAnsi="宋体" w:cs="宋体"/>
          <w:sz w:val="28"/>
          <w:szCs w:val="20"/>
        </w:rPr>
      </w:pPr>
    </w:p>
    <w:p>
      <w:pPr>
        <w:spacing w:line="0" w:lineRule="atLeast"/>
        <w:rPr>
          <w:rFonts w:ascii="宋体" w:hAnsi="宋体" w:cs="宋体"/>
          <w:sz w:val="28"/>
          <w:szCs w:val="20"/>
        </w:rPr>
      </w:pPr>
    </w:p>
    <w:p>
      <w:pPr>
        <w:spacing w:line="360" w:lineRule="auto"/>
        <w:rPr>
          <w:rFonts w:ascii="宋体" w:hAnsi="宋体" w:cs="宋体"/>
          <w:sz w:val="28"/>
          <w:szCs w:val="20"/>
        </w:rPr>
      </w:pPr>
    </w:p>
    <w:p>
      <w:pPr>
        <w:spacing w:line="360" w:lineRule="auto"/>
        <w:rPr>
          <w:rFonts w:ascii="宋体" w:hAnsi="宋体" w:cs="宋体"/>
          <w:sz w:val="18"/>
          <w:szCs w:val="18"/>
        </w:rPr>
      </w:pPr>
      <w:r>
        <w:rPr>
          <w:rFonts w:hint="eastAsia" w:ascii="宋体" w:hAnsi="宋体" w:cs="宋体"/>
          <w:sz w:val="24"/>
          <w:szCs w:val="18"/>
        </w:rPr>
        <w:t>签约日期：   年   月   日       年    月    日</w:t>
      </w:r>
    </w:p>
    <w:p>
      <w:pPr>
        <w:pStyle w:val="19"/>
        <w:rPr>
          <w:rFonts w:hAnsi="宋体" w:cs="宋体"/>
          <w:sz w:val="22"/>
          <w:szCs w:val="22"/>
        </w:rPr>
      </w:pPr>
    </w:p>
    <w:p>
      <w:pPr>
        <w:rPr>
          <w:rFonts w:ascii="宋体" w:hAnsi="宋体" w:cs="宋体"/>
          <w:sz w:val="20"/>
          <w:szCs w:val="20"/>
        </w:rPr>
      </w:pPr>
    </w:p>
    <w:p>
      <w:pPr>
        <w:rPr>
          <w:rFonts w:ascii="宋体" w:hAnsi="宋体" w:cs="宋体"/>
          <w:sz w:val="20"/>
          <w:szCs w:val="20"/>
        </w:rPr>
      </w:pPr>
    </w:p>
    <w:p>
      <w:pPr>
        <w:pStyle w:val="32"/>
        <w:widowControl w:val="0"/>
        <w:spacing w:beforeAutospacing="0" w:afterAutospacing="0"/>
        <w:rPr>
          <w:rFonts w:cs="宋体"/>
          <w:kern w:val="2"/>
          <w:sz w:val="22"/>
          <w:szCs w:val="22"/>
        </w:rPr>
      </w:pPr>
      <w:r>
        <w:rPr>
          <w:rFonts w:hint="eastAsia" w:cs="宋体"/>
          <w:sz w:val="22"/>
          <w:szCs w:val="22"/>
        </w:rPr>
        <w:br w:type="page"/>
      </w:r>
      <w:r>
        <w:rPr>
          <w:rFonts w:hint="eastAsia" w:cs="宋体"/>
          <w:kern w:val="2"/>
          <w:sz w:val="22"/>
          <w:szCs w:val="22"/>
          <w:lang w:bidi="ar"/>
        </w:rPr>
        <w:t>附件五</w:t>
      </w:r>
    </w:p>
    <w:p>
      <w:pPr>
        <w:jc w:val="center"/>
        <w:rPr>
          <w:rFonts w:ascii="宋体" w:hAnsi="宋体" w:cs="宋体"/>
          <w:b/>
          <w:bCs/>
          <w:spacing w:val="-14"/>
          <w:sz w:val="44"/>
          <w:szCs w:val="44"/>
        </w:rPr>
      </w:pPr>
      <w:r>
        <w:rPr>
          <w:rFonts w:hint="eastAsia" w:ascii="宋体" w:hAnsi="宋体" w:cs="宋体"/>
          <w:b/>
          <w:bCs/>
          <w:spacing w:val="-14"/>
          <w:sz w:val="44"/>
          <w:szCs w:val="44"/>
          <w:lang w:bidi="ar"/>
        </w:rPr>
        <w:t xml:space="preserve"> </w:t>
      </w:r>
    </w:p>
    <w:p>
      <w:pPr>
        <w:jc w:val="center"/>
        <w:rPr>
          <w:rFonts w:ascii="宋体" w:hAnsi="宋体" w:cs="宋体"/>
          <w:b/>
          <w:bCs/>
          <w:spacing w:val="-14"/>
          <w:sz w:val="36"/>
          <w:szCs w:val="36"/>
        </w:rPr>
      </w:pPr>
      <w:r>
        <w:rPr>
          <w:rFonts w:hint="eastAsia" w:ascii="宋体" w:hAnsi="宋体" w:cs="宋体"/>
          <w:b/>
          <w:bCs/>
          <w:spacing w:val="-14"/>
          <w:sz w:val="36"/>
          <w:szCs w:val="36"/>
          <w:lang w:bidi="ar"/>
        </w:rPr>
        <w:t>广州白云国际机场三期扩建工程施工用电安全责任书</w:t>
      </w:r>
    </w:p>
    <w:p>
      <w:pPr>
        <w:jc w:val="center"/>
        <w:rPr>
          <w:rFonts w:ascii="宋体" w:hAnsi="宋体" w:cs="宋体"/>
          <w:spacing w:val="-14"/>
          <w:sz w:val="32"/>
          <w:szCs w:val="32"/>
        </w:rPr>
      </w:pPr>
      <w:r>
        <w:rPr>
          <w:rFonts w:hint="eastAsia" w:ascii="宋体" w:hAnsi="宋体" w:cs="宋体"/>
          <w:spacing w:val="-14"/>
          <w:sz w:val="32"/>
          <w:szCs w:val="32"/>
          <w:lang w:bidi="ar"/>
        </w:rPr>
        <w:t xml:space="preserve"> </w:t>
      </w:r>
    </w:p>
    <w:p>
      <w:pPr>
        <w:jc w:val="center"/>
        <w:rPr>
          <w:rFonts w:ascii="宋体" w:hAnsi="宋体" w:cs="宋体"/>
          <w:spacing w:val="-14"/>
          <w:sz w:val="32"/>
          <w:szCs w:val="32"/>
        </w:rPr>
      </w:pPr>
      <w:r>
        <w:rPr>
          <w:rFonts w:hint="eastAsia" w:ascii="宋体" w:hAnsi="宋体" w:cs="宋体"/>
          <w:spacing w:val="-14"/>
          <w:sz w:val="32"/>
          <w:szCs w:val="32"/>
          <w:lang w:bidi="ar"/>
        </w:rPr>
        <w:t xml:space="preserve"> </w:t>
      </w:r>
    </w:p>
    <w:p>
      <w:pPr>
        <w:jc w:val="center"/>
        <w:rPr>
          <w:rFonts w:ascii="宋体" w:hAnsi="宋体" w:cs="宋体"/>
          <w:spacing w:val="-14"/>
          <w:sz w:val="32"/>
          <w:szCs w:val="32"/>
        </w:rPr>
      </w:pPr>
      <w:r>
        <w:rPr>
          <w:rFonts w:hint="eastAsia" w:ascii="宋体" w:hAnsi="宋体" w:cs="宋体"/>
          <w:spacing w:val="-14"/>
          <w:sz w:val="32"/>
          <w:szCs w:val="32"/>
          <w:lang w:bidi="ar"/>
        </w:rPr>
        <w:t xml:space="preserve"> </w:t>
      </w:r>
    </w:p>
    <w:p>
      <w:pPr>
        <w:jc w:val="center"/>
        <w:rPr>
          <w:rFonts w:ascii="宋体" w:hAnsi="宋体" w:cs="宋体"/>
          <w:spacing w:val="-14"/>
          <w:sz w:val="32"/>
          <w:szCs w:val="32"/>
        </w:rPr>
      </w:pPr>
      <w:r>
        <w:rPr>
          <w:rFonts w:hint="eastAsia" w:ascii="宋体" w:hAnsi="宋体" w:cs="宋体"/>
          <w:spacing w:val="-14"/>
          <w:sz w:val="32"/>
          <w:szCs w:val="32"/>
          <w:lang w:bidi="ar"/>
        </w:rPr>
        <w:t xml:space="preserve"> </w:t>
      </w:r>
    </w:p>
    <w:p>
      <w:pPr>
        <w:pStyle w:val="32"/>
        <w:widowControl w:val="0"/>
        <w:spacing w:beforeAutospacing="0" w:afterAutospacing="0"/>
        <w:jc w:val="both"/>
        <w:rPr>
          <w:rFonts w:cs="宋体"/>
          <w:spacing w:val="-14"/>
          <w:kern w:val="2"/>
          <w:sz w:val="32"/>
          <w:szCs w:val="32"/>
        </w:rPr>
      </w:pPr>
      <w:r>
        <w:rPr>
          <w:rFonts w:hint="eastAsia" w:cs="宋体"/>
          <w:spacing w:val="-14"/>
          <w:kern w:val="2"/>
          <w:sz w:val="32"/>
          <w:szCs w:val="32"/>
          <w:lang w:bidi="ar"/>
        </w:rPr>
        <w:t xml:space="preserve"> </w:t>
      </w:r>
    </w:p>
    <w:p>
      <w:pPr>
        <w:jc w:val="center"/>
        <w:rPr>
          <w:rFonts w:ascii="宋体" w:hAnsi="宋体" w:cs="宋体"/>
          <w:spacing w:val="-14"/>
          <w:sz w:val="32"/>
          <w:szCs w:val="32"/>
        </w:rPr>
      </w:pPr>
      <w:r>
        <w:rPr>
          <w:rFonts w:hint="eastAsia" w:ascii="宋体" w:hAnsi="宋体" w:cs="宋体"/>
          <w:spacing w:val="-14"/>
          <w:sz w:val="32"/>
          <w:szCs w:val="32"/>
          <w:lang w:bidi="ar"/>
        </w:rPr>
        <w:t xml:space="preserve"> </w:t>
      </w:r>
    </w:p>
    <w:p>
      <w:pPr>
        <w:jc w:val="center"/>
        <w:rPr>
          <w:rFonts w:ascii="宋体" w:hAnsi="宋体" w:cs="宋体"/>
          <w:spacing w:val="-14"/>
          <w:sz w:val="32"/>
          <w:szCs w:val="32"/>
        </w:rPr>
      </w:pPr>
      <w:r>
        <w:rPr>
          <w:rFonts w:hint="eastAsia" w:ascii="宋体" w:hAnsi="宋体" w:cs="宋体"/>
          <w:spacing w:val="-14"/>
          <w:sz w:val="32"/>
          <w:szCs w:val="32"/>
          <w:lang w:bidi="ar"/>
        </w:rPr>
        <w:t xml:space="preserve"> </w:t>
      </w:r>
    </w:p>
    <w:p>
      <w:pPr>
        <w:spacing w:line="560" w:lineRule="exact"/>
        <w:jc w:val="left"/>
        <w:rPr>
          <w:rFonts w:ascii="宋体" w:hAnsi="宋体" w:cs="宋体"/>
          <w:sz w:val="24"/>
          <w:szCs w:val="24"/>
        </w:rPr>
      </w:pPr>
      <w:r>
        <w:rPr>
          <w:rFonts w:hint="eastAsia" w:ascii="宋体" w:hAnsi="宋体" w:cs="宋体"/>
          <w:sz w:val="24"/>
          <w:szCs w:val="24"/>
          <w:lang w:bidi="ar"/>
        </w:rPr>
        <w:t xml:space="preserve"> </w:t>
      </w:r>
    </w:p>
    <w:p>
      <w:pPr>
        <w:spacing w:line="560" w:lineRule="exact"/>
        <w:jc w:val="left"/>
        <w:rPr>
          <w:rFonts w:ascii="宋体" w:hAnsi="宋体" w:cs="宋体"/>
          <w:sz w:val="24"/>
          <w:szCs w:val="24"/>
          <w:u w:val="single"/>
        </w:rPr>
      </w:pPr>
      <w:r>
        <w:rPr>
          <w:rFonts w:hint="eastAsia" w:ascii="宋体" w:hAnsi="宋体" w:cs="宋体"/>
          <w:sz w:val="24"/>
          <w:szCs w:val="24"/>
          <w:lang w:bidi="ar"/>
        </w:rPr>
        <w:t>甲方：</w:t>
      </w:r>
      <w:r>
        <w:rPr>
          <w:rFonts w:hint="eastAsia" w:ascii="宋体" w:hAnsi="宋体" w:cs="宋体"/>
          <w:sz w:val="24"/>
          <w:szCs w:val="24"/>
          <w:u w:val="single"/>
          <w:lang w:bidi="ar"/>
        </w:rPr>
        <w:t>广东省机场管理集团有限公司工程建设指挥部</w:t>
      </w:r>
    </w:p>
    <w:p>
      <w:pPr>
        <w:spacing w:line="560" w:lineRule="exact"/>
        <w:jc w:val="left"/>
        <w:rPr>
          <w:rFonts w:ascii="宋体" w:hAnsi="宋体" w:cs="宋体"/>
          <w:sz w:val="24"/>
          <w:szCs w:val="24"/>
        </w:rPr>
      </w:pPr>
      <w:r>
        <w:rPr>
          <w:rFonts w:hint="eastAsia" w:ascii="宋体" w:hAnsi="宋体" w:cs="宋体"/>
          <w:sz w:val="24"/>
          <w:szCs w:val="24"/>
          <w:lang w:bidi="ar"/>
        </w:rPr>
        <w:t>乙方：</w:t>
      </w:r>
    </w:p>
    <w:p>
      <w:pPr>
        <w:spacing w:line="560" w:lineRule="exact"/>
        <w:jc w:val="left"/>
        <w:rPr>
          <w:rFonts w:ascii="宋体" w:hAnsi="宋体" w:cs="宋体"/>
          <w:sz w:val="24"/>
          <w:szCs w:val="24"/>
          <w:u w:val="single"/>
        </w:rPr>
      </w:pPr>
      <w:r>
        <w:rPr>
          <w:rFonts w:hint="eastAsia" w:ascii="宋体" w:hAnsi="宋体" w:cs="宋体"/>
          <w:sz w:val="24"/>
          <w:szCs w:val="24"/>
          <w:lang w:bidi="ar"/>
        </w:rPr>
        <w:t>丙方：</w:t>
      </w:r>
    </w:p>
    <w:p>
      <w:pPr>
        <w:jc w:val="center"/>
        <w:rPr>
          <w:rFonts w:ascii="宋体" w:hAnsi="宋体" w:cs="宋体"/>
          <w:spacing w:val="-14"/>
          <w:sz w:val="32"/>
          <w:szCs w:val="32"/>
        </w:rPr>
      </w:pPr>
      <w:r>
        <w:rPr>
          <w:rFonts w:hint="eastAsia" w:ascii="宋体" w:hAnsi="宋体" w:cs="宋体"/>
          <w:spacing w:val="-14"/>
          <w:sz w:val="32"/>
          <w:szCs w:val="32"/>
          <w:lang w:bidi="ar"/>
        </w:rPr>
        <w:t xml:space="preserve"> </w:t>
      </w:r>
    </w:p>
    <w:p>
      <w:pPr>
        <w:jc w:val="center"/>
        <w:rPr>
          <w:rFonts w:ascii="宋体" w:hAnsi="宋体" w:cs="宋体"/>
          <w:sz w:val="32"/>
          <w:szCs w:val="32"/>
        </w:rPr>
      </w:pPr>
      <w:r>
        <w:rPr>
          <w:rFonts w:hint="eastAsia" w:ascii="宋体" w:hAnsi="宋体" w:cs="宋体"/>
          <w:sz w:val="32"/>
          <w:szCs w:val="32"/>
          <w:lang w:bidi="ar"/>
        </w:rPr>
        <w:t xml:space="preserve"> </w:t>
      </w:r>
    </w:p>
    <w:p>
      <w:pPr>
        <w:jc w:val="center"/>
        <w:rPr>
          <w:rFonts w:ascii="宋体" w:hAnsi="宋体" w:cs="宋体"/>
          <w:sz w:val="32"/>
          <w:szCs w:val="32"/>
        </w:rPr>
      </w:pPr>
      <w:r>
        <w:rPr>
          <w:rFonts w:hint="eastAsia" w:ascii="宋体" w:hAnsi="宋体" w:cs="宋体"/>
          <w:sz w:val="32"/>
          <w:szCs w:val="32"/>
          <w:lang w:bidi="ar"/>
        </w:rPr>
        <w:t>二〇二二年九月</w:t>
      </w:r>
    </w:p>
    <w:p>
      <w:pPr>
        <w:pStyle w:val="32"/>
        <w:widowControl w:val="0"/>
        <w:spacing w:beforeAutospacing="0" w:afterAutospacing="0"/>
        <w:jc w:val="both"/>
        <w:rPr>
          <w:rFonts w:cs="宋体"/>
          <w:kern w:val="2"/>
          <w:sz w:val="16"/>
          <w:szCs w:val="16"/>
        </w:rPr>
      </w:pPr>
      <w:r>
        <w:rPr>
          <w:rFonts w:hint="eastAsia" w:cs="宋体"/>
          <w:kern w:val="2"/>
          <w:sz w:val="16"/>
          <w:szCs w:val="16"/>
          <w:lang w:bidi="ar"/>
        </w:rPr>
        <w:t xml:space="preserve"> </w:t>
      </w:r>
    </w:p>
    <w:p>
      <w:pPr>
        <w:widowControl/>
        <w:jc w:val="left"/>
        <w:rPr>
          <w:rFonts w:ascii="宋体" w:hAnsi="宋体" w:cs="宋体"/>
          <w:sz w:val="22"/>
          <w:lang w:bidi="ar"/>
        </w:rPr>
      </w:pPr>
      <w:r>
        <w:rPr>
          <w:rFonts w:hint="eastAsia" w:ascii="宋体" w:hAnsi="宋体" w:cs="宋体"/>
          <w:sz w:val="22"/>
          <w:lang w:bidi="ar"/>
        </w:rPr>
        <w:br w:type="page"/>
      </w:r>
    </w:p>
    <w:p>
      <w:pPr>
        <w:spacing w:line="360" w:lineRule="auto"/>
        <w:ind w:firstLine="431" w:firstLineChars="196"/>
        <w:jc w:val="left"/>
        <w:rPr>
          <w:rFonts w:ascii="宋体" w:hAnsi="宋体" w:cs="宋体"/>
          <w:sz w:val="22"/>
        </w:rPr>
      </w:pPr>
      <w:r>
        <w:rPr>
          <w:rFonts w:hint="eastAsia" w:ascii="宋体" w:hAnsi="宋体" w:cs="宋体"/>
          <w:sz w:val="22"/>
          <w:lang w:bidi="ar"/>
        </w:rPr>
        <w:t>广州白云国际机场是国内三大航空枢纽之一，是华南地区最大的航空口岸和重要的交通枢纽，集航空运输、高铁、地铁、城际轨道和高速公路多种交通方式于一体的综合交通枢纽。白云机场供电系统一旦发生重大故障将是灾难性的，政治和经济上的损失无法估算。</w:t>
      </w:r>
    </w:p>
    <w:p>
      <w:pPr>
        <w:spacing w:line="360" w:lineRule="auto"/>
        <w:ind w:firstLine="431" w:firstLineChars="196"/>
        <w:jc w:val="left"/>
        <w:rPr>
          <w:rFonts w:ascii="宋体" w:hAnsi="宋体" w:cs="宋体"/>
          <w:b/>
          <w:sz w:val="22"/>
        </w:rPr>
      </w:pPr>
      <w:r>
        <w:rPr>
          <w:rFonts w:hint="eastAsia" w:ascii="宋体" w:hAnsi="宋体" w:cs="宋体"/>
          <w:sz w:val="22"/>
          <w:lang w:bidi="ar"/>
        </w:rPr>
        <w:t>广州白云国际机场股份有限公司（下称股份公司）是施工用电上级供配电设备资产所有人, 是施工用电保障的关系人，依法依章开展并提供白云机场三期扩建工程供电服务、保障等活动。</w:t>
      </w:r>
    </w:p>
    <w:p>
      <w:pPr>
        <w:spacing w:line="360" w:lineRule="auto"/>
        <w:ind w:firstLine="431" w:firstLineChars="196"/>
        <w:rPr>
          <w:rFonts w:ascii="宋体" w:hAnsi="宋体" w:cs="宋体"/>
          <w:sz w:val="22"/>
        </w:rPr>
      </w:pPr>
      <w:r>
        <w:rPr>
          <w:rFonts w:hint="eastAsia" w:ascii="宋体" w:hAnsi="宋体" w:cs="宋体"/>
          <w:sz w:val="22"/>
          <w:lang w:bidi="ar"/>
        </w:rPr>
        <w:t>（甲方）广东省机场管理集团有限公司工程建设指挥部依照《中华人民共和国安全生产法》等国家、行业、地方政府有关安全生产法律、法规、规章、标准和程序，以及广州白云国际机场股份有限公司有关安全管理制度、规定，对白云机场三期扩建工程施工用电实施安全监管，承担安全监管主体责任。</w:t>
      </w:r>
    </w:p>
    <w:p>
      <w:pPr>
        <w:spacing w:line="360" w:lineRule="auto"/>
        <w:ind w:firstLine="431" w:firstLineChars="196"/>
        <w:rPr>
          <w:rFonts w:ascii="宋体" w:hAnsi="宋体" w:cs="宋体"/>
          <w:sz w:val="22"/>
        </w:rPr>
      </w:pPr>
      <w:r>
        <w:rPr>
          <w:rFonts w:hint="eastAsia" w:ascii="宋体" w:hAnsi="宋体" w:cs="宋体"/>
          <w:sz w:val="22"/>
          <w:lang w:bidi="ar"/>
        </w:rPr>
        <w:t xml:space="preserve">  （乙方） 施工单位依据《中华人民共和国安全生产法》等国家、行业、地方政府有关安全生产法律、法规、规章、标准和程序，以及广州白云国际机场股份有限公司、广东省机场管理集团有限公司工程建设指挥部有关安全管理制度、规定，对白云机场三期扩建工程相应施工用电承担主体责任。</w:t>
      </w:r>
    </w:p>
    <w:p>
      <w:pPr>
        <w:pStyle w:val="32"/>
        <w:widowControl w:val="0"/>
        <w:spacing w:beforeAutospacing="0" w:afterAutospacing="0" w:line="360" w:lineRule="auto"/>
        <w:jc w:val="both"/>
        <w:rPr>
          <w:rFonts w:cs="宋体"/>
          <w:kern w:val="2"/>
          <w:sz w:val="16"/>
          <w:szCs w:val="16"/>
        </w:rPr>
      </w:pPr>
      <w:r>
        <w:rPr>
          <w:rFonts w:hint="eastAsia" w:cs="宋体"/>
          <w:kern w:val="2"/>
          <w:sz w:val="22"/>
          <w:szCs w:val="22"/>
          <w:lang w:bidi="ar"/>
        </w:rPr>
        <w:t xml:space="preserve">     （丙方）10KV临电实施单位施工单位依据《中华人民共和国安全生产法》等国家、行业、地方政府有关安全生产法律、法规、规章、标准和程序，以及广州白云国际机场股份有限公司、广东省机场管理集团有限公司工程建设指挥部有关安全管理制度、规定，对白云机场三期扩建工程10KV施工用电承担合同范围内的施工主体责任，对全场10KV等级临时用电承担管理责任，代表甲方对临时用电进行管理工作。</w:t>
      </w:r>
    </w:p>
    <w:p>
      <w:pPr>
        <w:pStyle w:val="32"/>
        <w:widowControl w:val="0"/>
        <w:spacing w:beforeAutospacing="0" w:afterAutospacing="0"/>
        <w:jc w:val="both"/>
        <w:rPr>
          <w:rFonts w:cs="宋体"/>
          <w:kern w:val="2"/>
          <w:sz w:val="16"/>
          <w:szCs w:val="16"/>
        </w:rPr>
      </w:pPr>
      <w:r>
        <w:rPr>
          <w:rFonts w:hint="eastAsia" w:cs="宋体"/>
          <w:kern w:val="2"/>
          <w:sz w:val="16"/>
          <w:szCs w:val="16"/>
          <w:lang w:bidi="ar"/>
        </w:rPr>
        <w:t xml:space="preserve"> </w:t>
      </w:r>
    </w:p>
    <w:p>
      <w:pPr>
        <w:pStyle w:val="32"/>
        <w:widowControl w:val="0"/>
        <w:spacing w:beforeAutospacing="0" w:afterAutospacing="0" w:line="360" w:lineRule="auto"/>
        <w:ind w:firstLine="442" w:firstLineChars="200"/>
        <w:jc w:val="both"/>
        <w:rPr>
          <w:rFonts w:cs="宋体"/>
          <w:b/>
          <w:bCs/>
          <w:kern w:val="2"/>
          <w:sz w:val="22"/>
          <w:szCs w:val="22"/>
        </w:rPr>
      </w:pPr>
      <w:r>
        <w:rPr>
          <w:rFonts w:hint="eastAsia" w:cs="宋体"/>
          <w:b/>
          <w:bCs/>
          <w:kern w:val="2"/>
          <w:sz w:val="22"/>
          <w:szCs w:val="22"/>
          <w:lang w:bidi="ar"/>
        </w:rPr>
        <w:t>1.目的</w:t>
      </w:r>
    </w:p>
    <w:p>
      <w:pPr>
        <w:spacing w:line="360" w:lineRule="auto"/>
        <w:ind w:firstLine="431" w:firstLineChars="196"/>
        <w:rPr>
          <w:rFonts w:ascii="宋体" w:hAnsi="宋体" w:cs="宋体"/>
          <w:sz w:val="22"/>
        </w:rPr>
      </w:pPr>
      <w:r>
        <w:rPr>
          <w:rFonts w:hint="eastAsia" w:ascii="宋体" w:hAnsi="宋体" w:cs="宋体"/>
          <w:sz w:val="22"/>
          <w:lang w:bidi="ar"/>
        </w:rPr>
        <w:t>根据《中华人民共和国安全生产法》、中共中央、国务院《关于推进安全生产领域改革发展的意见》、《民用机场管理条例》、《广东省安全生产条例》、《电力法》、《电力供应与使用条例》、《南方电网公司电力设备检修规程》，为了加强机场供电安全管理，确保白云机场供电安全运行，明确双方安全责任，避免因白云机场三期扩建工程施工用电管理责任，给白云机场电网造成影响，经甲方和乙方协商，双方达成如下协议，本协议具备法律效力。</w:t>
      </w:r>
    </w:p>
    <w:p>
      <w:pPr>
        <w:pStyle w:val="32"/>
        <w:widowControl w:val="0"/>
        <w:spacing w:beforeAutospacing="0" w:afterAutospacing="0" w:line="360" w:lineRule="auto"/>
        <w:ind w:firstLine="442" w:firstLineChars="200"/>
        <w:jc w:val="both"/>
        <w:rPr>
          <w:rFonts w:cs="宋体"/>
          <w:b/>
          <w:bCs/>
          <w:kern w:val="2"/>
          <w:sz w:val="22"/>
          <w:szCs w:val="22"/>
        </w:rPr>
      </w:pPr>
      <w:r>
        <w:rPr>
          <w:rFonts w:hint="eastAsia" w:cs="宋体"/>
          <w:b/>
          <w:bCs/>
          <w:kern w:val="2"/>
          <w:sz w:val="22"/>
          <w:szCs w:val="22"/>
          <w:lang w:bidi="ar"/>
        </w:rPr>
        <w:t>2.安全责任目标</w:t>
      </w:r>
    </w:p>
    <w:p>
      <w:pPr>
        <w:pStyle w:val="32"/>
        <w:widowControl w:val="0"/>
        <w:spacing w:beforeAutospacing="0" w:afterAutospacing="0" w:line="360" w:lineRule="auto"/>
        <w:ind w:firstLine="440" w:firstLineChars="200"/>
        <w:jc w:val="both"/>
        <w:rPr>
          <w:rFonts w:cs="宋体"/>
          <w:kern w:val="2"/>
          <w:sz w:val="22"/>
          <w:szCs w:val="22"/>
        </w:rPr>
      </w:pPr>
      <w:r>
        <w:rPr>
          <w:rFonts w:hint="eastAsia" w:cs="宋体"/>
          <w:kern w:val="2"/>
          <w:sz w:val="22"/>
          <w:szCs w:val="22"/>
          <w:lang w:bidi="ar"/>
        </w:rPr>
        <w:t>2.1质量目标</w:t>
      </w:r>
    </w:p>
    <w:p>
      <w:pPr>
        <w:pStyle w:val="32"/>
        <w:widowControl w:val="0"/>
        <w:spacing w:beforeAutospacing="0" w:afterAutospacing="0" w:line="360" w:lineRule="auto"/>
        <w:ind w:firstLine="440" w:firstLineChars="200"/>
        <w:jc w:val="both"/>
        <w:rPr>
          <w:rFonts w:cs="宋体"/>
          <w:sz w:val="22"/>
          <w:szCs w:val="22"/>
        </w:rPr>
      </w:pPr>
      <w:r>
        <w:rPr>
          <w:rFonts w:hint="eastAsia" w:cs="宋体"/>
          <w:kern w:val="2"/>
          <w:sz w:val="22"/>
          <w:szCs w:val="22"/>
          <w:lang w:bidi="ar"/>
        </w:rPr>
        <w:t>1）确保供电设备、设施完好率达100%</w:t>
      </w:r>
    </w:p>
    <w:p>
      <w:pPr>
        <w:pStyle w:val="32"/>
        <w:widowControl w:val="0"/>
        <w:spacing w:beforeAutospacing="0" w:afterAutospacing="0" w:line="360" w:lineRule="auto"/>
        <w:ind w:firstLine="440" w:firstLineChars="200"/>
        <w:jc w:val="both"/>
        <w:rPr>
          <w:rFonts w:cs="宋体"/>
          <w:sz w:val="22"/>
          <w:szCs w:val="22"/>
        </w:rPr>
      </w:pPr>
      <w:r>
        <w:rPr>
          <w:rFonts w:hint="eastAsia" w:cs="宋体"/>
          <w:kern w:val="2"/>
          <w:sz w:val="22"/>
          <w:szCs w:val="22"/>
          <w:lang w:bidi="ar"/>
        </w:rPr>
        <w:t>2）事故处理及时率达100%</w:t>
      </w:r>
    </w:p>
    <w:p>
      <w:pPr>
        <w:pStyle w:val="32"/>
        <w:widowControl w:val="0"/>
        <w:spacing w:beforeAutospacing="0" w:afterAutospacing="0" w:line="360" w:lineRule="auto"/>
        <w:ind w:firstLine="440" w:firstLineChars="200"/>
        <w:jc w:val="both"/>
        <w:rPr>
          <w:rFonts w:cs="宋体"/>
          <w:sz w:val="22"/>
          <w:szCs w:val="22"/>
        </w:rPr>
      </w:pPr>
      <w:r>
        <w:rPr>
          <w:rFonts w:hint="eastAsia" w:cs="宋体"/>
          <w:kern w:val="2"/>
          <w:sz w:val="22"/>
          <w:szCs w:val="22"/>
          <w:lang w:bidi="ar"/>
        </w:rPr>
        <w:t>3）涉及施工临时用电、白云机场电缆的线路保护施工组织管理确保绝对安全，严格执行有关法律、规章、制度、标准</w:t>
      </w:r>
    </w:p>
    <w:p>
      <w:pPr>
        <w:pStyle w:val="32"/>
        <w:widowControl w:val="0"/>
        <w:spacing w:beforeAutospacing="0" w:afterAutospacing="0" w:line="360" w:lineRule="auto"/>
        <w:ind w:firstLine="440" w:firstLineChars="200"/>
        <w:jc w:val="both"/>
        <w:rPr>
          <w:rFonts w:cs="宋体"/>
          <w:sz w:val="22"/>
          <w:szCs w:val="22"/>
        </w:rPr>
      </w:pPr>
      <w:r>
        <w:rPr>
          <w:rFonts w:hint="eastAsia" w:cs="宋体"/>
          <w:kern w:val="2"/>
          <w:sz w:val="22"/>
          <w:szCs w:val="22"/>
          <w:lang w:bidi="ar"/>
        </w:rPr>
        <w:t>2.2安全目标</w:t>
      </w:r>
    </w:p>
    <w:p>
      <w:pPr>
        <w:pStyle w:val="32"/>
        <w:widowControl w:val="0"/>
        <w:spacing w:beforeAutospacing="0" w:afterAutospacing="0" w:line="360" w:lineRule="auto"/>
        <w:ind w:firstLine="440" w:firstLineChars="200"/>
        <w:jc w:val="both"/>
        <w:rPr>
          <w:rFonts w:cs="宋体"/>
          <w:sz w:val="22"/>
          <w:szCs w:val="22"/>
        </w:rPr>
      </w:pPr>
      <w:r>
        <w:rPr>
          <w:rFonts w:hint="eastAsia" w:cs="宋体"/>
          <w:kern w:val="2"/>
          <w:sz w:val="22"/>
          <w:szCs w:val="22"/>
          <w:lang w:bidi="ar"/>
        </w:rPr>
        <w:t>1）不发生乙方责任原因造成的施工临电线路损伤；</w:t>
      </w:r>
    </w:p>
    <w:p>
      <w:pPr>
        <w:pStyle w:val="32"/>
        <w:widowControl w:val="0"/>
        <w:spacing w:beforeAutospacing="0" w:afterAutospacing="0" w:line="360" w:lineRule="auto"/>
        <w:ind w:firstLine="440" w:firstLineChars="200"/>
        <w:jc w:val="both"/>
        <w:rPr>
          <w:rFonts w:cs="宋体"/>
          <w:sz w:val="22"/>
          <w:szCs w:val="22"/>
        </w:rPr>
      </w:pPr>
      <w:r>
        <w:rPr>
          <w:rFonts w:hint="eastAsia" w:cs="宋体"/>
          <w:kern w:val="2"/>
          <w:sz w:val="22"/>
          <w:szCs w:val="22"/>
          <w:lang w:bidi="ar"/>
        </w:rPr>
        <w:t>2) 不发生乙方责任原因造成的机场大面积停电事故；</w:t>
      </w:r>
    </w:p>
    <w:p>
      <w:pPr>
        <w:pStyle w:val="32"/>
        <w:widowControl w:val="0"/>
        <w:spacing w:beforeAutospacing="0" w:afterAutospacing="0" w:line="360" w:lineRule="auto"/>
        <w:ind w:firstLine="440" w:firstLineChars="200"/>
        <w:jc w:val="both"/>
        <w:rPr>
          <w:rFonts w:cs="宋体"/>
          <w:sz w:val="22"/>
          <w:szCs w:val="22"/>
        </w:rPr>
      </w:pPr>
      <w:r>
        <w:rPr>
          <w:rFonts w:hint="eastAsia" w:cs="宋体"/>
          <w:kern w:val="2"/>
          <w:sz w:val="22"/>
          <w:szCs w:val="22"/>
          <w:lang w:bidi="ar"/>
        </w:rPr>
        <w:t xml:space="preserve">3) 不发生乙方责任原因造成的一般电网事故； </w:t>
      </w:r>
    </w:p>
    <w:p>
      <w:pPr>
        <w:pStyle w:val="32"/>
        <w:widowControl w:val="0"/>
        <w:spacing w:beforeAutospacing="0" w:afterAutospacing="0" w:line="360" w:lineRule="auto"/>
        <w:ind w:firstLine="440" w:firstLineChars="200"/>
        <w:jc w:val="both"/>
        <w:rPr>
          <w:rFonts w:cs="宋体"/>
          <w:sz w:val="22"/>
          <w:szCs w:val="22"/>
        </w:rPr>
      </w:pPr>
      <w:r>
        <w:rPr>
          <w:rFonts w:hint="eastAsia" w:cs="宋体"/>
          <w:kern w:val="2"/>
          <w:sz w:val="22"/>
          <w:szCs w:val="22"/>
          <w:lang w:bidi="ar"/>
        </w:rPr>
        <w:t>4) 在机场其它线路检修的保供电时期，不发生乙方责任原因造成的影响机场供电系统安全稳定的事故；</w:t>
      </w:r>
    </w:p>
    <w:p>
      <w:pPr>
        <w:pStyle w:val="32"/>
        <w:widowControl w:val="0"/>
        <w:spacing w:beforeAutospacing="0" w:afterAutospacing="0" w:line="360" w:lineRule="auto"/>
        <w:ind w:firstLine="440" w:firstLineChars="200"/>
        <w:jc w:val="both"/>
        <w:rPr>
          <w:rFonts w:cs="宋体"/>
          <w:sz w:val="22"/>
          <w:szCs w:val="22"/>
        </w:rPr>
      </w:pPr>
      <w:r>
        <w:rPr>
          <w:rFonts w:hint="eastAsia" w:cs="宋体"/>
          <w:kern w:val="2"/>
          <w:sz w:val="22"/>
          <w:szCs w:val="22"/>
          <w:lang w:bidi="ar"/>
        </w:rPr>
        <w:t xml:space="preserve">5) 不发生乙方责任原因造成的机场电力设备、设施财产损失； </w:t>
      </w:r>
    </w:p>
    <w:p>
      <w:pPr>
        <w:pStyle w:val="32"/>
        <w:widowControl w:val="0"/>
        <w:spacing w:beforeAutospacing="0" w:afterAutospacing="0" w:line="360" w:lineRule="auto"/>
        <w:ind w:firstLine="440" w:firstLineChars="200"/>
        <w:jc w:val="both"/>
        <w:rPr>
          <w:rFonts w:cs="宋体"/>
          <w:sz w:val="22"/>
          <w:szCs w:val="22"/>
        </w:rPr>
      </w:pPr>
      <w:r>
        <w:rPr>
          <w:rFonts w:hint="eastAsia" w:cs="宋体"/>
          <w:kern w:val="2"/>
          <w:sz w:val="22"/>
          <w:szCs w:val="22"/>
          <w:lang w:bidi="ar"/>
        </w:rPr>
        <w:t>6) 不发生与施工临电线路有关的乙方迟报、谎报、瞒报、漏报未遂及以上安全事故/事件。</w:t>
      </w:r>
    </w:p>
    <w:p>
      <w:pPr>
        <w:pStyle w:val="32"/>
        <w:widowControl w:val="0"/>
        <w:spacing w:beforeAutospacing="0" w:afterAutospacing="0" w:line="360" w:lineRule="auto"/>
        <w:ind w:firstLine="440" w:firstLineChars="200"/>
        <w:jc w:val="both"/>
        <w:rPr>
          <w:rFonts w:cs="宋体"/>
          <w:sz w:val="22"/>
          <w:szCs w:val="22"/>
        </w:rPr>
      </w:pPr>
      <w:r>
        <w:rPr>
          <w:rFonts w:hint="eastAsia" w:cs="宋体"/>
          <w:kern w:val="2"/>
          <w:sz w:val="22"/>
          <w:szCs w:val="22"/>
          <w:lang w:bidi="ar"/>
        </w:rPr>
        <w:t>7）不发生乙方责任原因造成的电压波动影响机场运行。</w:t>
      </w:r>
    </w:p>
    <w:p>
      <w:pPr>
        <w:spacing w:line="360" w:lineRule="auto"/>
        <w:ind w:firstLine="433" w:firstLineChars="196"/>
        <w:rPr>
          <w:rFonts w:ascii="宋体" w:hAnsi="宋体" w:cs="宋体"/>
          <w:b/>
          <w:bCs/>
          <w:sz w:val="22"/>
        </w:rPr>
      </w:pPr>
      <w:r>
        <w:rPr>
          <w:rFonts w:hint="eastAsia" w:ascii="宋体" w:hAnsi="宋体" w:cs="宋体"/>
          <w:b/>
          <w:bCs/>
          <w:sz w:val="22"/>
          <w:lang w:bidi="ar"/>
        </w:rPr>
        <w:t>3.主体责任</w:t>
      </w:r>
    </w:p>
    <w:p>
      <w:pPr>
        <w:spacing w:line="360" w:lineRule="auto"/>
        <w:ind w:firstLine="431" w:firstLineChars="196"/>
        <w:rPr>
          <w:rFonts w:ascii="宋体" w:hAnsi="宋体" w:cs="宋体"/>
          <w:sz w:val="22"/>
        </w:rPr>
      </w:pPr>
      <w:r>
        <w:rPr>
          <w:rFonts w:hint="eastAsia" w:ascii="宋体" w:hAnsi="宋体" w:cs="宋体"/>
          <w:sz w:val="22"/>
          <w:lang w:bidi="ar"/>
        </w:rPr>
        <w:t>乙方作为用电客户单位，承担白云机场三期扩建工程（含T3工程项目、飞行区工程项目、综合区工程项目以及东四、西四指廊工程项目）各自施工范围内的设施设备安全、用电安全主体责任。</w:t>
      </w:r>
    </w:p>
    <w:p>
      <w:pPr>
        <w:spacing w:line="360" w:lineRule="auto"/>
        <w:ind w:firstLine="433" w:firstLineChars="196"/>
        <w:rPr>
          <w:rFonts w:ascii="宋体" w:hAnsi="宋体" w:cs="宋体"/>
          <w:b/>
          <w:bCs/>
          <w:sz w:val="22"/>
        </w:rPr>
      </w:pPr>
      <w:r>
        <w:rPr>
          <w:rFonts w:hint="eastAsia" w:ascii="宋体" w:hAnsi="宋体" w:cs="宋体"/>
          <w:b/>
          <w:bCs/>
          <w:sz w:val="22"/>
          <w:lang w:bidi="ar"/>
        </w:rPr>
        <w:t>4.供电方式</w:t>
      </w:r>
    </w:p>
    <w:p>
      <w:pPr>
        <w:rPr>
          <w:rFonts w:ascii="宋体" w:hAnsi="宋体" w:cs="宋体"/>
          <w:sz w:val="22"/>
        </w:rPr>
      </w:pPr>
      <w:r>
        <w:rPr>
          <w:rFonts w:hint="eastAsia" w:ascii="宋体" w:hAnsi="宋体" w:cs="宋体"/>
          <w:sz w:val="22"/>
          <w:lang w:bidi="ar"/>
        </w:rPr>
        <w:t xml:space="preserve">    4.1 甲方分别从南、北110KV站或其下级开关柜向白云机场三期扩建工程提供满足施工需求的10KV电源。</w:t>
      </w:r>
    </w:p>
    <w:p>
      <w:pPr>
        <w:spacing w:line="360" w:lineRule="auto"/>
        <w:ind w:firstLine="433" w:firstLineChars="196"/>
        <w:rPr>
          <w:rFonts w:ascii="宋体" w:hAnsi="宋体" w:cs="宋体"/>
          <w:b/>
          <w:bCs/>
          <w:sz w:val="22"/>
        </w:rPr>
      </w:pPr>
      <w:r>
        <w:rPr>
          <w:rFonts w:hint="eastAsia" w:ascii="宋体" w:hAnsi="宋体" w:cs="宋体"/>
          <w:b/>
          <w:bCs/>
          <w:sz w:val="22"/>
          <w:lang w:bidi="ar"/>
        </w:rPr>
        <w:t>5.管理分界点</w:t>
      </w:r>
    </w:p>
    <w:p>
      <w:pPr>
        <w:spacing w:line="360" w:lineRule="auto"/>
        <w:ind w:firstLine="431" w:firstLineChars="196"/>
        <w:rPr>
          <w:rFonts w:ascii="宋体" w:hAnsi="宋体" w:cs="宋体"/>
          <w:sz w:val="22"/>
        </w:rPr>
      </w:pPr>
      <w:r>
        <w:rPr>
          <w:rFonts w:hint="eastAsia" w:ascii="宋体" w:hAnsi="宋体" w:cs="宋体"/>
          <w:sz w:val="22"/>
          <w:lang w:bidi="ar"/>
        </w:rPr>
        <w:t>5.1白云机场三期扩建工程范围内并由机场110站供给的10KV电线、电缆及箱式变电站、开闭所等设备由甲方委托丙方负责施工、验收、维护及计量等工作；</w:t>
      </w:r>
    </w:p>
    <w:p>
      <w:pPr>
        <w:spacing w:line="360" w:lineRule="auto"/>
        <w:ind w:firstLine="431" w:firstLineChars="196"/>
        <w:rPr>
          <w:rFonts w:ascii="宋体" w:hAnsi="宋体" w:cs="宋体"/>
          <w:sz w:val="22"/>
        </w:rPr>
      </w:pPr>
      <w:r>
        <w:rPr>
          <w:rFonts w:hint="eastAsia" w:ascii="宋体" w:hAnsi="宋体" w:cs="宋体"/>
          <w:sz w:val="22"/>
          <w:lang w:bidi="ar"/>
        </w:rPr>
        <w:t>5.2乙方施工范围内的10KV线路、设备周围环境安全由乙方负责，避免外力破坏电力设施；</w:t>
      </w:r>
    </w:p>
    <w:p>
      <w:pPr>
        <w:spacing w:line="360" w:lineRule="auto"/>
        <w:ind w:firstLine="431" w:firstLineChars="196"/>
        <w:rPr>
          <w:rFonts w:ascii="宋体" w:hAnsi="宋体" w:cs="宋体"/>
          <w:sz w:val="22"/>
        </w:rPr>
      </w:pPr>
      <w:r>
        <w:rPr>
          <w:rFonts w:hint="eastAsia" w:ascii="宋体" w:hAnsi="宋体" w:cs="宋体"/>
          <w:sz w:val="22"/>
          <w:lang w:bidi="ar"/>
        </w:rPr>
        <w:t>5.3乙方所使用的380V及以下电压等级的施工用电属于乙方管理范畴；</w:t>
      </w:r>
    </w:p>
    <w:p>
      <w:pPr>
        <w:pStyle w:val="32"/>
        <w:widowControl w:val="0"/>
        <w:spacing w:beforeAutospacing="0" w:afterAutospacing="0" w:line="360" w:lineRule="auto"/>
        <w:ind w:firstLine="440" w:firstLineChars="200"/>
        <w:jc w:val="both"/>
        <w:rPr>
          <w:rFonts w:cs="宋体"/>
          <w:kern w:val="2"/>
          <w:sz w:val="16"/>
          <w:szCs w:val="16"/>
        </w:rPr>
      </w:pPr>
      <w:r>
        <w:rPr>
          <w:rFonts w:hint="eastAsia" w:cs="宋体"/>
          <w:sz w:val="22"/>
          <w:szCs w:val="22"/>
          <w:lang w:bidi="ar"/>
        </w:rPr>
        <w:t>5.4 如遇台风、雷雨大风天气等自然灾害，乙方有责任提前进行相关设备、线路的巡检、防风、防汛等预防工作。</w:t>
      </w:r>
    </w:p>
    <w:p>
      <w:pPr>
        <w:pStyle w:val="32"/>
        <w:widowControl w:val="0"/>
        <w:spacing w:beforeAutospacing="0" w:afterAutospacing="0"/>
        <w:jc w:val="both"/>
        <w:rPr>
          <w:rFonts w:cs="宋体"/>
          <w:kern w:val="2"/>
          <w:sz w:val="16"/>
          <w:szCs w:val="16"/>
        </w:rPr>
      </w:pPr>
      <w:r>
        <w:rPr>
          <w:rFonts w:hint="eastAsia" w:cs="宋体"/>
          <w:kern w:val="2"/>
          <w:sz w:val="16"/>
          <w:szCs w:val="16"/>
          <w:lang w:bidi="ar"/>
        </w:rPr>
        <w:t xml:space="preserve"> </w:t>
      </w:r>
    </w:p>
    <w:p>
      <w:pPr>
        <w:spacing w:line="360" w:lineRule="auto"/>
        <w:ind w:firstLine="433" w:firstLineChars="196"/>
        <w:rPr>
          <w:rFonts w:ascii="宋体" w:hAnsi="宋体" w:cs="宋体"/>
          <w:b/>
          <w:bCs/>
          <w:sz w:val="22"/>
        </w:rPr>
      </w:pPr>
      <w:r>
        <w:rPr>
          <w:rFonts w:hint="eastAsia" w:ascii="宋体" w:hAnsi="宋体" w:cs="宋体"/>
          <w:b/>
          <w:bCs/>
          <w:sz w:val="22"/>
          <w:lang w:bidi="ar"/>
        </w:rPr>
        <w:t>6.甲方责任</w:t>
      </w:r>
    </w:p>
    <w:p>
      <w:pPr>
        <w:spacing w:line="360" w:lineRule="auto"/>
        <w:ind w:firstLine="431" w:firstLineChars="196"/>
        <w:rPr>
          <w:rFonts w:ascii="宋体" w:hAnsi="宋体" w:cs="宋体"/>
          <w:sz w:val="22"/>
        </w:rPr>
      </w:pPr>
      <w:r>
        <w:rPr>
          <w:rFonts w:hint="eastAsia" w:ascii="宋体" w:hAnsi="宋体" w:cs="宋体"/>
          <w:sz w:val="22"/>
          <w:lang w:bidi="ar"/>
        </w:rPr>
        <w:t>6.1负责委托丙方对产权范围内设备的维护和管理。</w:t>
      </w:r>
    </w:p>
    <w:p>
      <w:pPr>
        <w:spacing w:line="360" w:lineRule="auto"/>
        <w:ind w:firstLine="431" w:firstLineChars="196"/>
        <w:rPr>
          <w:rFonts w:ascii="宋体" w:hAnsi="宋体" w:cs="宋体"/>
          <w:sz w:val="22"/>
        </w:rPr>
      </w:pPr>
      <w:r>
        <w:rPr>
          <w:rFonts w:hint="eastAsia" w:ascii="宋体" w:hAnsi="宋体" w:cs="宋体"/>
          <w:sz w:val="22"/>
          <w:lang w:bidi="ar"/>
        </w:rPr>
        <w:t>6.2要求乙方制定临电线路保护方案和应急预案，并得到丙方认可。</w:t>
      </w:r>
    </w:p>
    <w:p>
      <w:pPr>
        <w:spacing w:line="360" w:lineRule="auto"/>
        <w:ind w:firstLine="431" w:firstLineChars="196"/>
        <w:rPr>
          <w:rFonts w:ascii="宋体" w:hAnsi="宋体" w:cs="宋体"/>
          <w:sz w:val="22"/>
        </w:rPr>
      </w:pPr>
      <w:r>
        <w:rPr>
          <w:rFonts w:hint="eastAsia" w:ascii="宋体" w:hAnsi="宋体" w:cs="宋体"/>
          <w:sz w:val="22"/>
          <w:lang w:bidi="ar"/>
        </w:rPr>
        <w:t>6.3检查、督促乙方执行临电线路保护方案和应急预案，对乙方违规行为进行制止、纠正并发出整改通知单，直至清退出场。</w:t>
      </w:r>
    </w:p>
    <w:p>
      <w:pPr>
        <w:spacing w:line="360" w:lineRule="auto"/>
        <w:ind w:firstLine="431" w:firstLineChars="196"/>
        <w:rPr>
          <w:rFonts w:ascii="宋体" w:hAnsi="宋体" w:cs="宋体"/>
          <w:sz w:val="22"/>
        </w:rPr>
      </w:pPr>
      <w:r>
        <w:rPr>
          <w:rFonts w:hint="eastAsia" w:ascii="宋体" w:hAnsi="宋体" w:cs="宋体"/>
          <w:sz w:val="22"/>
          <w:lang w:bidi="ar"/>
        </w:rPr>
        <w:t>6.4在机场其它线路检修的保供电时期，甲方有权要求乙方加强作业区间的电缆线路保护力度。</w:t>
      </w:r>
    </w:p>
    <w:p>
      <w:pPr>
        <w:spacing w:line="360" w:lineRule="auto"/>
        <w:ind w:firstLine="431" w:firstLineChars="196"/>
        <w:rPr>
          <w:rFonts w:ascii="宋体" w:hAnsi="宋体" w:cs="宋体"/>
          <w:sz w:val="22"/>
        </w:rPr>
      </w:pPr>
      <w:r>
        <w:rPr>
          <w:rFonts w:hint="eastAsia" w:ascii="宋体" w:hAnsi="宋体" w:cs="宋体"/>
          <w:sz w:val="22"/>
          <w:lang w:bidi="ar"/>
        </w:rPr>
        <w:t>6.5当遇到危及电网或用电安全，或可能造成人身伤亡、设备损坏，或违约用电、窃电欠费时，甲方可根据实际情况停止相应回路的供电。</w:t>
      </w:r>
    </w:p>
    <w:p>
      <w:pPr>
        <w:spacing w:line="360" w:lineRule="auto"/>
        <w:ind w:firstLine="431" w:firstLineChars="196"/>
        <w:rPr>
          <w:rFonts w:ascii="宋体" w:hAnsi="宋体" w:cs="宋体"/>
          <w:sz w:val="22"/>
        </w:rPr>
      </w:pPr>
      <w:r>
        <w:rPr>
          <w:rFonts w:hint="eastAsia" w:ascii="宋体" w:hAnsi="宋体" w:cs="宋体"/>
          <w:sz w:val="22"/>
          <w:lang w:bidi="ar"/>
        </w:rPr>
        <w:t>6.6甲方应组织有关单位对产权范围供电设备定期进行检查、检修和试验，做好安全措施，及时消除设备隐患，预防设备事故。</w:t>
      </w:r>
    </w:p>
    <w:p>
      <w:pPr>
        <w:spacing w:line="360" w:lineRule="auto"/>
        <w:ind w:firstLine="431" w:firstLineChars="196"/>
        <w:rPr>
          <w:rFonts w:ascii="宋体" w:hAnsi="宋体" w:cs="宋体"/>
          <w:sz w:val="22"/>
        </w:rPr>
      </w:pPr>
      <w:r>
        <w:rPr>
          <w:rFonts w:hint="eastAsia" w:ascii="宋体" w:hAnsi="宋体" w:cs="宋体"/>
          <w:sz w:val="22"/>
          <w:lang w:bidi="ar"/>
        </w:rPr>
        <w:t>6.7甲方有权要求乙方配合对停电事故开展调查、分析、处理和制定预防措施，对事故做到“四不放过”。</w:t>
      </w:r>
    </w:p>
    <w:p>
      <w:pPr>
        <w:spacing w:line="360" w:lineRule="auto"/>
        <w:ind w:firstLine="431" w:firstLineChars="196"/>
        <w:rPr>
          <w:rFonts w:ascii="宋体" w:hAnsi="宋体" w:cs="宋体"/>
          <w:sz w:val="22"/>
        </w:rPr>
      </w:pPr>
      <w:r>
        <w:rPr>
          <w:rFonts w:hint="eastAsia" w:ascii="宋体" w:hAnsi="宋体" w:cs="宋体"/>
          <w:sz w:val="22"/>
          <w:lang w:bidi="ar"/>
        </w:rPr>
        <w:t>6.8建立健全应急处置预案，建立应急联动机制。</w:t>
      </w:r>
    </w:p>
    <w:p>
      <w:pPr>
        <w:spacing w:line="360" w:lineRule="auto"/>
        <w:ind w:firstLine="431" w:firstLineChars="196"/>
        <w:rPr>
          <w:rFonts w:ascii="宋体" w:hAnsi="宋体" w:cs="宋体"/>
          <w:sz w:val="22"/>
        </w:rPr>
      </w:pPr>
      <w:r>
        <w:rPr>
          <w:rFonts w:hint="eastAsia" w:ascii="宋体" w:hAnsi="宋体" w:cs="宋体"/>
          <w:sz w:val="22"/>
          <w:lang w:bidi="ar"/>
        </w:rPr>
        <w:t>6.9对乙方或丙方用电行为进行不定期安全抽查，并对乙方的不安全用电行为下发《安全隐患整改通知单》。</w:t>
      </w:r>
    </w:p>
    <w:p>
      <w:pPr>
        <w:spacing w:line="360" w:lineRule="auto"/>
        <w:ind w:firstLine="433" w:firstLineChars="196"/>
        <w:rPr>
          <w:rFonts w:ascii="宋体" w:hAnsi="宋体" w:cs="宋体"/>
          <w:b/>
          <w:bCs/>
          <w:sz w:val="22"/>
        </w:rPr>
      </w:pPr>
      <w:r>
        <w:rPr>
          <w:rFonts w:hint="eastAsia" w:ascii="宋体" w:hAnsi="宋体" w:cs="宋体"/>
          <w:b/>
          <w:bCs/>
          <w:sz w:val="22"/>
          <w:lang w:bidi="ar"/>
        </w:rPr>
        <w:t>7.乙方责任</w:t>
      </w:r>
    </w:p>
    <w:p>
      <w:pPr>
        <w:pStyle w:val="32"/>
        <w:spacing w:line="360" w:lineRule="auto"/>
        <w:ind w:firstLine="440" w:firstLineChars="200"/>
        <w:rPr>
          <w:rFonts w:cs="宋体"/>
          <w:sz w:val="22"/>
          <w:szCs w:val="22"/>
        </w:rPr>
      </w:pPr>
      <w:r>
        <w:rPr>
          <w:rFonts w:hint="eastAsia" w:cs="宋体"/>
          <w:sz w:val="22"/>
          <w:szCs w:val="22"/>
          <w:lang w:bidi="ar"/>
        </w:rPr>
        <w:t>7.1乙方应促使施工单位贯彻执行《中华人民共和国电力法》、《电力设施保护条例》、《中华人民共和国安全生产法》等各项法律法规；严格执行《电业安全工作规程》等有关电力设施保护的规程、制度及其他安全生产规定；</w:t>
      </w:r>
    </w:p>
    <w:p>
      <w:pPr>
        <w:pStyle w:val="32"/>
        <w:widowControl w:val="0"/>
        <w:spacing w:beforeAutospacing="0" w:afterAutospacing="0" w:line="360" w:lineRule="auto"/>
        <w:ind w:firstLine="440" w:firstLineChars="200"/>
        <w:rPr>
          <w:rFonts w:cs="宋体"/>
          <w:sz w:val="22"/>
          <w:szCs w:val="22"/>
        </w:rPr>
      </w:pPr>
      <w:r>
        <w:rPr>
          <w:rFonts w:hint="eastAsia" w:cs="宋体"/>
          <w:kern w:val="2"/>
          <w:sz w:val="22"/>
          <w:szCs w:val="22"/>
          <w:lang w:bidi="ar"/>
        </w:rPr>
        <w:t>7.2乙方应制定施工期间电力设施保护专项方案及应急预案并获得甲方与丙方认可，交甲方备案，</w:t>
      </w:r>
      <w:r>
        <w:rPr>
          <w:rFonts w:hint="eastAsia" w:cs="宋体"/>
          <w:sz w:val="22"/>
          <w:szCs w:val="22"/>
          <w:lang w:bidi="ar"/>
        </w:rPr>
        <w:t>同时做好抢修物资储备，以应对突发异常情况的快速响应；</w:t>
      </w:r>
    </w:p>
    <w:p>
      <w:pPr>
        <w:spacing w:line="360" w:lineRule="auto"/>
        <w:ind w:firstLine="440" w:firstLineChars="200"/>
        <w:rPr>
          <w:rFonts w:ascii="宋体" w:hAnsi="宋体" w:cs="宋体"/>
          <w:sz w:val="22"/>
        </w:rPr>
      </w:pPr>
      <w:r>
        <w:rPr>
          <w:rFonts w:hint="eastAsia" w:ascii="宋体" w:hAnsi="宋体" w:cs="宋体"/>
          <w:sz w:val="22"/>
          <w:lang w:bidi="ar"/>
        </w:rPr>
        <w:t>7.3乙方应接受甲方与丙方安全监督；</w:t>
      </w:r>
    </w:p>
    <w:p>
      <w:pPr>
        <w:pStyle w:val="32"/>
        <w:widowControl w:val="0"/>
        <w:spacing w:beforeAutospacing="0" w:afterAutospacing="0" w:line="360" w:lineRule="auto"/>
        <w:ind w:firstLine="440" w:firstLineChars="200"/>
        <w:jc w:val="both"/>
        <w:rPr>
          <w:rFonts w:cs="宋体"/>
          <w:sz w:val="22"/>
          <w:szCs w:val="22"/>
        </w:rPr>
      </w:pPr>
      <w:r>
        <w:rPr>
          <w:rFonts w:hint="eastAsia" w:cs="宋体"/>
          <w:sz w:val="22"/>
          <w:szCs w:val="22"/>
          <w:lang w:bidi="ar"/>
        </w:rPr>
        <w:t>7.4乙方应指定用电安全责任人，并与之签订安全责任书交甲方备案；</w:t>
      </w:r>
    </w:p>
    <w:p>
      <w:pPr>
        <w:spacing w:line="360" w:lineRule="auto"/>
        <w:ind w:firstLine="440" w:firstLineChars="200"/>
        <w:rPr>
          <w:rFonts w:ascii="宋体" w:hAnsi="宋体" w:cs="宋体"/>
          <w:sz w:val="22"/>
        </w:rPr>
      </w:pPr>
      <w:r>
        <w:rPr>
          <w:rFonts w:hint="eastAsia" w:ascii="宋体" w:hAnsi="宋体" w:cs="宋体"/>
          <w:sz w:val="22"/>
          <w:lang w:bidi="ar"/>
        </w:rPr>
        <w:t>7.5乙方应在施工现场设置足够、有效的安全警示标志（如“高压危险、禁止靠近”、“禁止乱挖”等）及安全线等；</w:t>
      </w:r>
    </w:p>
    <w:p>
      <w:pPr>
        <w:spacing w:line="360" w:lineRule="auto"/>
        <w:ind w:firstLine="440" w:firstLineChars="200"/>
        <w:rPr>
          <w:rFonts w:ascii="宋体" w:hAnsi="宋体" w:cs="宋体"/>
          <w:sz w:val="22"/>
        </w:rPr>
      </w:pPr>
      <w:r>
        <w:rPr>
          <w:rFonts w:hint="eastAsia" w:ascii="宋体" w:hAnsi="宋体" w:cs="宋体"/>
          <w:sz w:val="22"/>
          <w:lang w:bidi="ar"/>
        </w:rPr>
        <w:t>7.6开工前，乙方应组织全体施工人员进行安全教育，确保全体施工人员熟悉电力线路、变配电设备等保护安全要求；</w:t>
      </w:r>
    </w:p>
    <w:p>
      <w:pPr>
        <w:spacing w:line="360" w:lineRule="auto"/>
        <w:ind w:firstLine="440" w:firstLineChars="200"/>
        <w:rPr>
          <w:rFonts w:ascii="宋体" w:hAnsi="宋体" w:cs="宋体"/>
          <w:sz w:val="22"/>
        </w:rPr>
      </w:pPr>
      <w:r>
        <w:rPr>
          <w:rFonts w:hint="eastAsia" w:ascii="宋体" w:hAnsi="宋体" w:cs="宋体"/>
          <w:sz w:val="22"/>
          <w:lang w:bidi="ar"/>
        </w:rPr>
        <w:t>7.7由于乙方原因造成的人员伤亡事故、财产损失、机场大面积停电损失等，一切责任及因此产生的赔偿费用由乙方承担。</w:t>
      </w:r>
    </w:p>
    <w:p>
      <w:pPr>
        <w:pStyle w:val="32"/>
        <w:widowControl w:val="0"/>
        <w:spacing w:beforeAutospacing="0" w:afterAutospacing="0" w:line="360" w:lineRule="auto"/>
        <w:ind w:firstLine="440" w:firstLineChars="200"/>
        <w:rPr>
          <w:rFonts w:cs="宋体"/>
          <w:sz w:val="22"/>
          <w:szCs w:val="22"/>
        </w:rPr>
      </w:pPr>
      <w:r>
        <w:rPr>
          <w:rFonts w:hint="eastAsia" w:cs="宋体"/>
          <w:sz w:val="22"/>
          <w:szCs w:val="22"/>
          <w:lang w:bidi="ar"/>
        </w:rPr>
        <w:t>7.8乙方新增用电负荷时，按照股份公司动力分公司的负荷申报规范进行用电申报。</w:t>
      </w:r>
    </w:p>
    <w:p>
      <w:pPr>
        <w:pStyle w:val="32"/>
        <w:widowControl w:val="0"/>
        <w:spacing w:beforeAutospacing="0" w:afterAutospacing="0" w:line="360" w:lineRule="auto"/>
        <w:ind w:firstLine="440" w:firstLineChars="200"/>
        <w:rPr>
          <w:rFonts w:cs="宋体"/>
          <w:sz w:val="22"/>
          <w:szCs w:val="22"/>
        </w:rPr>
      </w:pPr>
      <w:r>
        <w:rPr>
          <w:rFonts w:hint="eastAsia" w:cs="宋体"/>
          <w:sz w:val="22"/>
          <w:szCs w:val="22"/>
          <w:lang w:bidi="ar"/>
        </w:rPr>
        <w:t>7.9 乙方应配合甲方或丙方的要求，对施工场地内的用电安全进行巡视、检查，避免施工外力破坏电力管线、设备；参加甲方或丙方组织的用电安全检查，对检查不合格部位进行整改。</w:t>
      </w:r>
    </w:p>
    <w:p>
      <w:pPr>
        <w:spacing w:line="360" w:lineRule="auto"/>
        <w:ind w:firstLine="433" w:firstLineChars="196"/>
        <w:rPr>
          <w:rFonts w:ascii="宋体" w:hAnsi="宋体" w:cs="宋体"/>
          <w:b/>
          <w:bCs/>
          <w:sz w:val="22"/>
        </w:rPr>
      </w:pPr>
      <w:r>
        <w:rPr>
          <w:rFonts w:hint="eastAsia" w:ascii="宋体" w:hAnsi="宋体" w:cs="宋体"/>
          <w:b/>
          <w:bCs/>
          <w:sz w:val="22"/>
          <w:lang w:bidi="ar"/>
        </w:rPr>
        <w:t>6.丙方责任</w:t>
      </w:r>
    </w:p>
    <w:p>
      <w:pPr>
        <w:spacing w:line="360" w:lineRule="auto"/>
        <w:ind w:firstLine="431" w:firstLineChars="196"/>
        <w:rPr>
          <w:rFonts w:ascii="宋体" w:hAnsi="宋体" w:cs="宋体"/>
          <w:sz w:val="22"/>
        </w:rPr>
      </w:pPr>
      <w:r>
        <w:rPr>
          <w:rFonts w:hint="eastAsia" w:ascii="宋体" w:hAnsi="宋体" w:cs="宋体"/>
          <w:sz w:val="22"/>
          <w:lang w:bidi="ar"/>
        </w:rPr>
        <w:t>6.1作为白云机场三期扩建工程临时用电实施单位，负责甲方产权范围内设备的施工、维护和管理工作。对合同范围内的工作内容承担主体责任。</w:t>
      </w:r>
    </w:p>
    <w:p>
      <w:pPr>
        <w:spacing w:line="360" w:lineRule="auto"/>
        <w:ind w:firstLine="431" w:firstLineChars="196"/>
        <w:rPr>
          <w:rFonts w:ascii="宋体" w:hAnsi="宋体" w:cs="宋体"/>
          <w:sz w:val="22"/>
        </w:rPr>
      </w:pPr>
      <w:r>
        <w:rPr>
          <w:rFonts w:hint="eastAsia" w:ascii="宋体" w:hAnsi="宋体" w:cs="宋体"/>
          <w:sz w:val="22"/>
          <w:lang w:bidi="ar"/>
        </w:rPr>
        <w:t>6.2制定临电线路保护方案、维护巡查方案和应急预案等，并得到股份公司与甲方认可，敦促乙方制定相应的临电线路保护方案和应急预案。</w:t>
      </w:r>
    </w:p>
    <w:p>
      <w:pPr>
        <w:spacing w:line="360" w:lineRule="auto"/>
        <w:ind w:firstLine="431" w:firstLineChars="196"/>
        <w:rPr>
          <w:rFonts w:ascii="宋体" w:hAnsi="宋体" w:cs="宋体"/>
          <w:sz w:val="22"/>
        </w:rPr>
      </w:pPr>
      <w:r>
        <w:rPr>
          <w:rFonts w:hint="eastAsia" w:ascii="宋体" w:hAnsi="宋体" w:cs="宋体"/>
          <w:sz w:val="22"/>
          <w:lang w:bidi="ar"/>
        </w:rPr>
        <w:t>6.3代表甲方检查、督促乙方执行临电线路保护方案和应急预案，对乙方违规行为进行制止、纠正并发出整改通知单，直至清退出场。</w:t>
      </w:r>
    </w:p>
    <w:p>
      <w:pPr>
        <w:spacing w:line="360" w:lineRule="auto"/>
        <w:ind w:firstLine="431" w:firstLineChars="196"/>
        <w:rPr>
          <w:rFonts w:ascii="宋体" w:hAnsi="宋体" w:cs="宋体"/>
          <w:sz w:val="22"/>
        </w:rPr>
      </w:pPr>
      <w:r>
        <w:rPr>
          <w:rFonts w:hint="eastAsia" w:ascii="宋体" w:hAnsi="宋体" w:cs="宋体"/>
          <w:sz w:val="22"/>
          <w:lang w:bidi="ar"/>
        </w:rPr>
        <w:t>6.4在机场其它线路检修的保供电时期，甲方有权要求乙方加强作业区间的电缆线路保护力度。</w:t>
      </w:r>
    </w:p>
    <w:p>
      <w:pPr>
        <w:spacing w:line="360" w:lineRule="auto"/>
        <w:ind w:firstLine="431" w:firstLineChars="196"/>
        <w:rPr>
          <w:rFonts w:ascii="宋体" w:hAnsi="宋体" w:cs="宋体"/>
          <w:sz w:val="22"/>
        </w:rPr>
      </w:pPr>
      <w:r>
        <w:rPr>
          <w:rFonts w:hint="eastAsia" w:ascii="宋体" w:hAnsi="宋体" w:cs="宋体"/>
          <w:sz w:val="22"/>
          <w:lang w:bidi="ar"/>
        </w:rPr>
        <w:t>6.5丙方分管的设备、线路，除另有约定外，未经同意，不得操作或更动。当遇到危及电网或用电安全，或可能造成人身伤亡、设备损坏，或违约用电、窃电欠费时，可根据实际情况停止相应回路的供电，并对相关单位进行处罚。</w:t>
      </w:r>
    </w:p>
    <w:p>
      <w:pPr>
        <w:spacing w:line="360" w:lineRule="auto"/>
        <w:ind w:firstLine="431" w:firstLineChars="196"/>
        <w:rPr>
          <w:rFonts w:ascii="宋体" w:hAnsi="宋体" w:cs="宋体"/>
          <w:sz w:val="22"/>
        </w:rPr>
      </w:pPr>
      <w:r>
        <w:rPr>
          <w:rFonts w:hint="eastAsia" w:ascii="宋体" w:hAnsi="宋体" w:cs="宋体"/>
          <w:sz w:val="22"/>
          <w:lang w:bidi="ar"/>
        </w:rPr>
        <w:t>6.6丙方应对所管理范围内的供电设备定期进行检查、检修和试验，做好安全措施，及时消除设备隐患，预防设备事故。</w:t>
      </w:r>
    </w:p>
    <w:p>
      <w:pPr>
        <w:spacing w:line="360" w:lineRule="auto"/>
        <w:ind w:firstLine="431" w:firstLineChars="196"/>
        <w:rPr>
          <w:rFonts w:ascii="宋体" w:hAnsi="宋体" w:cs="宋体"/>
          <w:sz w:val="22"/>
        </w:rPr>
      </w:pPr>
      <w:r>
        <w:rPr>
          <w:rFonts w:hint="eastAsia" w:ascii="宋体" w:hAnsi="宋体" w:cs="宋体"/>
          <w:sz w:val="22"/>
          <w:lang w:bidi="ar"/>
        </w:rPr>
        <w:t>6.7甲方有权要求丙方配合有关单位对停电事故开展调查、分析、处理和制定预防措施，对事故做到“四不放过”。同时丙方有权要求乙方配合有关单位对停电事故开展调查、分析、处理和制定预防措施，对事故做到“四不放过”</w:t>
      </w:r>
    </w:p>
    <w:p>
      <w:pPr>
        <w:spacing w:line="360" w:lineRule="auto"/>
        <w:ind w:firstLine="431" w:firstLineChars="196"/>
        <w:rPr>
          <w:rFonts w:ascii="宋体" w:hAnsi="宋体" w:cs="宋体"/>
          <w:sz w:val="22"/>
        </w:rPr>
      </w:pPr>
      <w:r>
        <w:rPr>
          <w:rFonts w:hint="eastAsia" w:ascii="宋体" w:hAnsi="宋体" w:cs="宋体"/>
          <w:sz w:val="22"/>
          <w:lang w:bidi="ar"/>
        </w:rPr>
        <w:t>6.8建立健全临时用电应急处置预案，建立应急联动机制。</w:t>
      </w:r>
    </w:p>
    <w:p>
      <w:pPr>
        <w:spacing w:line="360" w:lineRule="auto"/>
        <w:ind w:firstLine="431" w:firstLineChars="196"/>
        <w:rPr>
          <w:rFonts w:ascii="宋体" w:hAnsi="宋体" w:cs="宋体"/>
          <w:sz w:val="22"/>
        </w:rPr>
      </w:pPr>
      <w:r>
        <w:rPr>
          <w:rFonts w:hint="eastAsia" w:ascii="宋体" w:hAnsi="宋体" w:cs="宋体"/>
          <w:sz w:val="22"/>
          <w:lang w:bidi="ar"/>
        </w:rPr>
        <w:t>6.9对乙方用电行为进行不定期安全抽查，并对乙方的不安全用电行为下发《安全隐患整改通知单》。</w:t>
      </w:r>
    </w:p>
    <w:p>
      <w:pPr>
        <w:pStyle w:val="32"/>
        <w:widowControl w:val="0"/>
        <w:spacing w:beforeAutospacing="0" w:afterAutospacing="0" w:line="360" w:lineRule="auto"/>
        <w:ind w:firstLine="440" w:firstLineChars="200"/>
        <w:jc w:val="both"/>
        <w:rPr>
          <w:rFonts w:cs="宋体"/>
          <w:sz w:val="22"/>
          <w:szCs w:val="22"/>
        </w:rPr>
      </w:pPr>
      <w:r>
        <w:rPr>
          <w:rFonts w:hint="eastAsia" w:cs="宋体"/>
          <w:sz w:val="22"/>
          <w:szCs w:val="22"/>
          <w:lang w:bidi="ar"/>
        </w:rPr>
        <w:t>6.10对供电线设备安全事故（事件）应主动并及时报告甲方或股份公司。</w:t>
      </w:r>
    </w:p>
    <w:p>
      <w:pPr>
        <w:pStyle w:val="32"/>
        <w:widowControl w:val="0"/>
        <w:spacing w:beforeAutospacing="0" w:afterAutospacing="0" w:line="360" w:lineRule="auto"/>
        <w:ind w:firstLine="440" w:firstLineChars="200"/>
        <w:jc w:val="both"/>
        <w:rPr>
          <w:rFonts w:cs="宋体"/>
          <w:sz w:val="22"/>
          <w:szCs w:val="22"/>
        </w:rPr>
      </w:pPr>
      <w:r>
        <w:rPr>
          <w:rFonts w:hint="eastAsia" w:cs="宋体"/>
          <w:sz w:val="22"/>
          <w:szCs w:val="22"/>
          <w:lang w:bidi="ar"/>
        </w:rPr>
        <w:t>6.11 对丙方实施的工程内容承担自身安全责任，并接受股份公司或甲方的检查。</w:t>
      </w:r>
    </w:p>
    <w:p>
      <w:pPr>
        <w:spacing w:line="360" w:lineRule="auto"/>
        <w:ind w:firstLine="442" w:firstLineChars="200"/>
        <w:rPr>
          <w:rFonts w:ascii="宋体" w:hAnsi="宋体" w:cs="宋体"/>
          <w:b/>
          <w:bCs/>
          <w:sz w:val="22"/>
        </w:rPr>
      </w:pPr>
      <w:r>
        <w:rPr>
          <w:rFonts w:hint="eastAsia" w:ascii="宋体" w:hAnsi="宋体" w:cs="宋体"/>
          <w:b/>
          <w:bCs/>
          <w:sz w:val="22"/>
          <w:lang w:bidi="ar"/>
        </w:rPr>
        <w:t>8.相关处罚</w:t>
      </w:r>
    </w:p>
    <w:p>
      <w:pPr>
        <w:pStyle w:val="32"/>
        <w:widowControl w:val="0"/>
        <w:spacing w:beforeAutospacing="0" w:afterAutospacing="0" w:line="360" w:lineRule="auto"/>
        <w:ind w:firstLine="440" w:firstLineChars="200"/>
        <w:rPr>
          <w:rFonts w:cs="宋体"/>
          <w:sz w:val="22"/>
          <w:szCs w:val="22"/>
        </w:rPr>
      </w:pPr>
      <w:r>
        <w:rPr>
          <w:rFonts w:hint="eastAsia" w:cs="宋体"/>
          <w:sz w:val="22"/>
          <w:szCs w:val="22"/>
          <w:lang w:bidi="ar"/>
        </w:rPr>
        <w:t>8.</w:t>
      </w:r>
      <w:r>
        <w:rPr>
          <w:rFonts w:hint="eastAsia" w:cs="宋体"/>
          <w:kern w:val="2"/>
          <w:sz w:val="22"/>
          <w:szCs w:val="22"/>
          <w:lang w:bidi="ar"/>
        </w:rPr>
        <w:t>1因乙方（或丙方）责任原因导致机场电压波动，造成航站楼部分设施设备停用，影响航站楼部分区域正常运行保障，未引起旅客或者航司有效投诉的，每次处罚50万元。</w:t>
      </w:r>
    </w:p>
    <w:p>
      <w:pPr>
        <w:pStyle w:val="32"/>
        <w:widowControl w:val="0"/>
        <w:spacing w:beforeAutospacing="0" w:afterAutospacing="0" w:line="360" w:lineRule="auto"/>
        <w:ind w:firstLine="440" w:firstLineChars="200"/>
        <w:rPr>
          <w:rFonts w:cs="宋体"/>
          <w:sz w:val="22"/>
          <w:szCs w:val="22"/>
        </w:rPr>
      </w:pPr>
      <w:r>
        <w:rPr>
          <w:rFonts w:hint="eastAsia" w:cs="宋体"/>
          <w:sz w:val="22"/>
          <w:szCs w:val="22"/>
          <w:lang w:bidi="ar"/>
        </w:rPr>
        <w:t>8.</w:t>
      </w:r>
      <w:r>
        <w:rPr>
          <w:rFonts w:hint="eastAsia" w:cs="宋体"/>
          <w:kern w:val="2"/>
          <w:sz w:val="22"/>
          <w:szCs w:val="22"/>
          <w:lang w:bidi="ar"/>
        </w:rPr>
        <w:t>2 因乙方（或丙方）责任原因导致机场电压波动，造成航站楼重要设施设备停用，导致航班、行李延误或者引起旅客、航司有效投诉的，每次处罚100万元；</w:t>
      </w:r>
    </w:p>
    <w:p>
      <w:pPr>
        <w:pStyle w:val="32"/>
        <w:widowControl w:val="0"/>
        <w:spacing w:beforeAutospacing="0" w:afterAutospacing="0" w:line="360" w:lineRule="auto"/>
        <w:ind w:firstLine="440" w:firstLineChars="200"/>
        <w:rPr>
          <w:rFonts w:cs="宋体"/>
          <w:sz w:val="22"/>
          <w:szCs w:val="22"/>
        </w:rPr>
      </w:pPr>
      <w:r>
        <w:rPr>
          <w:rFonts w:hint="eastAsia" w:cs="宋体"/>
          <w:sz w:val="22"/>
          <w:szCs w:val="22"/>
          <w:lang w:bidi="ar"/>
        </w:rPr>
        <w:t>8.</w:t>
      </w:r>
      <w:r>
        <w:rPr>
          <w:rFonts w:hint="eastAsia" w:cs="宋体"/>
          <w:kern w:val="2"/>
          <w:sz w:val="22"/>
          <w:szCs w:val="22"/>
          <w:lang w:bidi="ar"/>
        </w:rPr>
        <w:t>3 因乙方（或丙方）责任原因，导致股份公司被民航监管单位、集团公司等上级单位通报批评的，每次处罚200万元。</w:t>
      </w:r>
    </w:p>
    <w:p>
      <w:pPr>
        <w:pStyle w:val="32"/>
        <w:widowControl w:val="0"/>
        <w:spacing w:beforeAutospacing="0" w:afterAutospacing="0" w:line="360" w:lineRule="auto"/>
        <w:ind w:firstLine="440" w:firstLineChars="200"/>
        <w:rPr>
          <w:rFonts w:cs="宋体"/>
          <w:sz w:val="22"/>
          <w:szCs w:val="22"/>
        </w:rPr>
      </w:pPr>
      <w:r>
        <w:rPr>
          <w:rFonts w:hint="eastAsia" w:cs="宋体"/>
          <w:sz w:val="22"/>
          <w:szCs w:val="22"/>
          <w:lang w:bidi="ar"/>
        </w:rPr>
        <w:t>8.</w:t>
      </w:r>
      <w:r>
        <w:rPr>
          <w:rFonts w:hint="eastAsia" w:cs="宋体"/>
          <w:kern w:val="2"/>
          <w:sz w:val="22"/>
          <w:szCs w:val="22"/>
          <w:lang w:bidi="ar"/>
        </w:rPr>
        <w:t>4 因乙方（或丙方）责任原因，导致股份公司被民航监管单位、集团公司等上级单位考核扣分或行政处罚的，每次处罚300万元。</w:t>
      </w:r>
    </w:p>
    <w:p>
      <w:pPr>
        <w:pStyle w:val="32"/>
        <w:widowControl w:val="0"/>
        <w:spacing w:beforeAutospacing="0" w:afterAutospacing="0" w:line="360" w:lineRule="auto"/>
        <w:ind w:firstLine="440" w:firstLineChars="200"/>
        <w:rPr>
          <w:rFonts w:cs="宋体"/>
          <w:sz w:val="22"/>
          <w:szCs w:val="22"/>
        </w:rPr>
      </w:pPr>
      <w:r>
        <w:rPr>
          <w:rFonts w:hint="eastAsia" w:cs="宋体"/>
          <w:sz w:val="22"/>
          <w:szCs w:val="22"/>
          <w:lang w:bidi="ar"/>
        </w:rPr>
        <w:t>8.</w:t>
      </w:r>
      <w:r>
        <w:rPr>
          <w:rFonts w:hint="eastAsia" w:cs="宋体"/>
          <w:kern w:val="2"/>
          <w:sz w:val="22"/>
          <w:szCs w:val="22"/>
          <w:lang w:bidi="ar"/>
        </w:rPr>
        <w:t>5 因乙方（或丙方）责任原因，造成机场110kV电站跳闸全站停电，每次处罚500万元。</w:t>
      </w:r>
    </w:p>
    <w:p>
      <w:pPr>
        <w:pStyle w:val="32"/>
        <w:widowControl w:val="0"/>
        <w:spacing w:beforeAutospacing="0" w:afterAutospacing="0" w:line="360" w:lineRule="auto"/>
        <w:ind w:firstLine="440" w:firstLineChars="200"/>
        <w:rPr>
          <w:rFonts w:cs="宋体"/>
          <w:sz w:val="22"/>
          <w:szCs w:val="22"/>
        </w:rPr>
      </w:pPr>
      <w:r>
        <w:rPr>
          <w:rFonts w:hint="eastAsia" w:cs="宋体"/>
          <w:sz w:val="22"/>
          <w:szCs w:val="22"/>
          <w:lang w:bidi="ar"/>
        </w:rPr>
        <w:t>8.</w:t>
      </w:r>
      <w:r>
        <w:rPr>
          <w:rFonts w:hint="eastAsia" w:cs="宋体"/>
          <w:kern w:val="2"/>
          <w:sz w:val="22"/>
          <w:szCs w:val="22"/>
          <w:lang w:bidi="ar"/>
        </w:rPr>
        <w:t>6 如出现上述白云机场三期扩建工程用电异常情况，乙方（或丙方）主动报告的处罚按照50%执行，乙方（或丙方）瞒报的则按处罚条款加倍执行。</w:t>
      </w:r>
    </w:p>
    <w:p>
      <w:pPr>
        <w:spacing w:line="360" w:lineRule="auto"/>
        <w:rPr>
          <w:rFonts w:ascii="宋体" w:hAnsi="宋体" w:cs="宋体"/>
          <w:sz w:val="22"/>
        </w:rPr>
      </w:pPr>
      <w:r>
        <w:rPr>
          <w:rFonts w:hint="eastAsia" w:ascii="宋体" w:hAnsi="宋体" w:cs="宋体"/>
          <w:sz w:val="22"/>
          <w:lang w:bidi="ar"/>
        </w:rPr>
        <w:t xml:space="preserve"> </w:t>
      </w:r>
    </w:p>
    <w:p>
      <w:pPr>
        <w:spacing w:line="360" w:lineRule="auto"/>
        <w:ind w:firstLine="431" w:firstLineChars="196"/>
        <w:rPr>
          <w:rFonts w:ascii="宋体" w:hAnsi="宋体" w:cs="宋体"/>
          <w:sz w:val="22"/>
        </w:rPr>
      </w:pPr>
      <w:r>
        <w:rPr>
          <w:rFonts w:hint="eastAsia" w:ascii="宋体" w:hAnsi="宋体" w:cs="宋体"/>
          <w:sz w:val="22"/>
          <w:lang w:bidi="ar"/>
        </w:rPr>
        <w:t>9.有效期  自签订之日起，至项目建设完成。</w:t>
      </w:r>
    </w:p>
    <w:p>
      <w:pPr>
        <w:spacing w:line="360" w:lineRule="auto"/>
        <w:ind w:firstLine="651" w:firstLineChars="296"/>
        <w:rPr>
          <w:rFonts w:ascii="宋体" w:hAnsi="宋体" w:cs="宋体"/>
          <w:sz w:val="22"/>
        </w:rPr>
      </w:pPr>
      <w:r>
        <w:rPr>
          <w:rFonts w:hint="eastAsia" w:ascii="宋体" w:hAnsi="宋体" w:cs="宋体"/>
          <w:sz w:val="22"/>
          <w:lang w:bidi="ar"/>
        </w:rPr>
        <w:t>责任书壹式肆份，甲方执贰份，乙方执贰份。</w:t>
      </w:r>
    </w:p>
    <w:p>
      <w:pPr>
        <w:spacing w:line="360" w:lineRule="auto"/>
        <w:ind w:firstLine="431" w:firstLineChars="196"/>
        <w:rPr>
          <w:rFonts w:ascii="宋体" w:hAnsi="宋体" w:cs="宋体"/>
          <w:sz w:val="22"/>
        </w:rPr>
      </w:pPr>
      <w:r>
        <w:rPr>
          <w:rFonts w:hint="eastAsia" w:ascii="宋体" w:hAnsi="宋体" w:cs="宋体"/>
          <w:sz w:val="22"/>
          <w:lang w:bidi="ar"/>
        </w:rPr>
        <w:t xml:space="preserve"> </w:t>
      </w:r>
    </w:p>
    <w:p>
      <w:pPr>
        <w:spacing w:line="360" w:lineRule="auto"/>
        <w:ind w:firstLine="431" w:firstLineChars="196"/>
        <w:rPr>
          <w:rFonts w:ascii="宋体" w:hAnsi="宋体" w:cs="宋体"/>
          <w:sz w:val="22"/>
        </w:rPr>
      </w:pPr>
      <w:r>
        <w:rPr>
          <w:rFonts w:hint="eastAsia" w:ascii="宋体" w:hAnsi="宋体" w:cs="宋体"/>
          <w:sz w:val="22"/>
          <w:lang w:bidi="ar"/>
        </w:rPr>
        <w:t xml:space="preserve"> </w:t>
      </w:r>
    </w:p>
    <w:p>
      <w:pPr>
        <w:spacing w:line="360" w:lineRule="auto"/>
        <w:rPr>
          <w:rFonts w:ascii="宋体" w:hAnsi="宋体" w:cs="宋体"/>
          <w:sz w:val="22"/>
        </w:rPr>
      </w:pPr>
      <w:r>
        <w:rPr>
          <w:rFonts w:hint="eastAsia" w:ascii="宋体" w:hAnsi="宋体" w:cs="宋体"/>
          <w:sz w:val="22"/>
          <w:lang w:bidi="ar"/>
        </w:rPr>
        <w:t xml:space="preserve">甲方：                                 </w:t>
      </w:r>
    </w:p>
    <w:p>
      <w:pPr>
        <w:spacing w:line="360" w:lineRule="auto"/>
        <w:rPr>
          <w:rFonts w:ascii="宋体" w:hAnsi="宋体" w:cs="宋体"/>
          <w:sz w:val="22"/>
        </w:rPr>
      </w:pPr>
      <w:r>
        <w:rPr>
          <w:rFonts w:hint="eastAsia" w:ascii="宋体" w:hAnsi="宋体" w:cs="宋体"/>
          <w:sz w:val="22"/>
          <w:lang w:bidi="ar"/>
        </w:rPr>
        <w:t xml:space="preserve">广东省机场管理集团有限公司工程建设指挥部            </w:t>
      </w:r>
    </w:p>
    <w:p>
      <w:pPr>
        <w:spacing w:line="360" w:lineRule="auto"/>
        <w:rPr>
          <w:rFonts w:ascii="宋体" w:hAnsi="宋体" w:cs="宋体"/>
          <w:sz w:val="22"/>
        </w:rPr>
      </w:pPr>
      <w:r>
        <w:rPr>
          <w:rFonts w:hint="eastAsia" w:ascii="宋体" w:hAnsi="宋体" w:cs="宋体"/>
          <w:sz w:val="22"/>
          <w:lang w:bidi="ar"/>
        </w:rPr>
        <w:t xml:space="preserve">                        </w:t>
      </w:r>
    </w:p>
    <w:p>
      <w:pPr>
        <w:spacing w:line="360" w:lineRule="auto"/>
        <w:ind w:left="118" w:hanging="118"/>
        <w:rPr>
          <w:rFonts w:ascii="宋体" w:hAnsi="宋体" w:cs="宋体"/>
          <w:sz w:val="22"/>
        </w:rPr>
      </w:pPr>
      <w:r>
        <w:rPr>
          <w:rFonts w:hint="eastAsia" w:ascii="宋体" w:hAnsi="宋体" w:cs="宋体"/>
          <w:sz w:val="22"/>
          <w:lang w:bidi="ar"/>
        </w:rPr>
        <w:t xml:space="preserve">（印 章）                       </w:t>
      </w:r>
    </w:p>
    <w:p>
      <w:pPr>
        <w:spacing w:line="360" w:lineRule="auto"/>
        <w:rPr>
          <w:rFonts w:ascii="宋体" w:hAnsi="宋体" w:cs="宋体"/>
          <w:sz w:val="22"/>
        </w:rPr>
      </w:pPr>
      <w:r>
        <w:rPr>
          <w:rFonts w:hint="eastAsia" w:ascii="宋体" w:hAnsi="宋体" w:cs="宋体"/>
          <w:sz w:val="22"/>
          <w:lang w:bidi="ar"/>
        </w:rPr>
        <w:t xml:space="preserve">       </w:t>
      </w:r>
    </w:p>
    <w:p>
      <w:pPr>
        <w:spacing w:line="360" w:lineRule="auto"/>
        <w:ind w:left="118" w:hanging="118"/>
        <w:rPr>
          <w:rFonts w:ascii="宋体" w:hAnsi="宋体" w:cs="宋体"/>
          <w:sz w:val="22"/>
        </w:rPr>
      </w:pPr>
      <w:r>
        <w:rPr>
          <w:rFonts w:hint="eastAsia" w:ascii="宋体" w:hAnsi="宋体" w:cs="宋体"/>
          <w:sz w:val="22"/>
          <w:lang w:bidi="ar"/>
        </w:rPr>
        <w:t>安全第一责任人：                       签字日期：20  年  月  日</w:t>
      </w:r>
    </w:p>
    <w:p>
      <w:pPr>
        <w:spacing w:line="360" w:lineRule="auto"/>
        <w:rPr>
          <w:rFonts w:ascii="宋体" w:hAnsi="宋体" w:cs="宋体"/>
          <w:sz w:val="22"/>
        </w:rPr>
      </w:pPr>
      <w:r>
        <w:rPr>
          <w:rFonts w:hint="eastAsia" w:ascii="宋体" w:hAnsi="宋体" w:cs="宋体"/>
          <w:sz w:val="22"/>
          <w:lang w:bidi="ar"/>
        </w:rPr>
        <w:t xml:space="preserve"> </w:t>
      </w:r>
    </w:p>
    <w:p>
      <w:pPr>
        <w:pStyle w:val="32"/>
        <w:widowControl w:val="0"/>
        <w:spacing w:beforeAutospacing="0" w:afterAutospacing="0"/>
        <w:jc w:val="both"/>
        <w:rPr>
          <w:rFonts w:cs="宋体"/>
          <w:sz w:val="22"/>
          <w:szCs w:val="22"/>
        </w:rPr>
      </w:pPr>
      <w:r>
        <w:rPr>
          <w:rFonts w:hint="eastAsia" w:cs="宋体"/>
          <w:kern w:val="2"/>
          <w:sz w:val="22"/>
          <w:szCs w:val="22"/>
          <w:lang w:bidi="ar"/>
        </w:rPr>
        <w:t xml:space="preserve"> </w:t>
      </w:r>
    </w:p>
    <w:p>
      <w:pPr>
        <w:spacing w:line="360" w:lineRule="auto"/>
        <w:rPr>
          <w:rFonts w:ascii="宋体" w:hAnsi="宋体" w:cs="宋体"/>
          <w:sz w:val="22"/>
        </w:rPr>
      </w:pPr>
      <w:r>
        <w:rPr>
          <w:rFonts w:hint="eastAsia" w:ascii="宋体" w:hAnsi="宋体" w:cs="宋体"/>
          <w:sz w:val="22"/>
          <w:lang w:bidi="ar"/>
        </w:rPr>
        <w:t xml:space="preserve">乙方：                                                               </w:t>
      </w:r>
    </w:p>
    <w:p>
      <w:pPr>
        <w:spacing w:line="360" w:lineRule="auto"/>
        <w:rPr>
          <w:rFonts w:ascii="宋体" w:hAnsi="宋体" w:cs="宋体"/>
          <w:sz w:val="22"/>
        </w:rPr>
      </w:pPr>
      <w:r>
        <w:rPr>
          <w:rFonts w:hint="eastAsia" w:ascii="宋体" w:hAnsi="宋体" w:cs="宋体"/>
          <w:sz w:val="22"/>
          <w:lang w:bidi="ar"/>
        </w:rPr>
        <w:t xml:space="preserve">（印 章）                            </w:t>
      </w:r>
    </w:p>
    <w:p>
      <w:pPr>
        <w:spacing w:line="360" w:lineRule="auto"/>
        <w:rPr>
          <w:rFonts w:ascii="宋体" w:hAnsi="宋体" w:cs="宋体"/>
          <w:sz w:val="22"/>
        </w:rPr>
      </w:pPr>
      <w:r>
        <w:rPr>
          <w:rFonts w:hint="eastAsia" w:ascii="宋体" w:hAnsi="宋体" w:cs="宋体"/>
          <w:sz w:val="22"/>
          <w:lang w:bidi="ar"/>
        </w:rPr>
        <w:t xml:space="preserve">安全第一责任人：                      签字日期：20  年  月  日                        </w:t>
      </w:r>
    </w:p>
    <w:p>
      <w:pPr>
        <w:pStyle w:val="32"/>
        <w:widowControl w:val="0"/>
        <w:spacing w:beforeAutospacing="0" w:afterAutospacing="0"/>
        <w:jc w:val="both"/>
        <w:rPr>
          <w:rFonts w:cs="宋体"/>
          <w:sz w:val="22"/>
          <w:szCs w:val="22"/>
        </w:rPr>
      </w:pPr>
      <w:r>
        <w:rPr>
          <w:rFonts w:hint="eastAsia" w:cs="宋体"/>
          <w:kern w:val="2"/>
          <w:sz w:val="22"/>
          <w:szCs w:val="22"/>
          <w:lang w:bidi="ar"/>
        </w:rPr>
        <w:t xml:space="preserve"> </w:t>
      </w:r>
    </w:p>
    <w:p>
      <w:pPr>
        <w:pStyle w:val="32"/>
        <w:widowControl w:val="0"/>
        <w:spacing w:beforeAutospacing="0" w:afterAutospacing="0"/>
        <w:jc w:val="both"/>
        <w:rPr>
          <w:rFonts w:cs="宋体"/>
          <w:sz w:val="22"/>
          <w:szCs w:val="22"/>
        </w:rPr>
      </w:pPr>
      <w:r>
        <w:rPr>
          <w:rFonts w:hint="eastAsia" w:cs="宋体"/>
          <w:kern w:val="2"/>
          <w:sz w:val="22"/>
          <w:szCs w:val="22"/>
          <w:lang w:bidi="ar"/>
        </w:rPr>
        <w:t xml:space="preserve"> </w:t>
      </w:r>
    </w:p>
    <w:p>
      <w:pPr>
        <w:spacing w:line="360" w:lineRule="auto"/>
        <w:rPr>
          <w:rFonts w:ascii="宋体" w:hAnsi="宋体" w:cs="宋体"/>
          <w:sz w:val="22"/>
        </w:rPr>
      </w:pPr>
      <w:r>
        <w:rPr>
          <w:rFonts w:hint="eastAsia" w:ascii="宋体" w:hAnsi="宋体" w:cs="宋体"/>
          <w:sz w:val="22"/>
          <w:lang w:bidi="ar"/>
        </w:rPr>
        <w:t xml:space="preserve">丙方：                                                            </w:t>
      </w:r>
    </w:p>
    <w:p>
      <w:pPr>
        <w:spacing w:line="360" w:lineRule="auto"/>
        <w:rPr>
          <w:rFonts w:ascii="宋体" w:hAnsi="宋体" w:cs="宋体"/>
          <w:sz w:val="22"/>
        </w:rPr>
      </w:pPr>
      <w:r>
        <w:rPr>
          <w:rFonts w:hint="eastAsia" w:ascii="宋体" w:hAnsi="宋体" w:cs="宋体"/>
          <w:sz w:val="22"/>
          <w:lang w:bidi="ar"/>
        </w:rPr>
        <w:t xml:space="preserve">（印 章）                              </w:t>
      </w:r>
    </w:p>
    <w:p>
      <w:pPr>
        <w:spacing w:line="360" w:lineRule="auto"/>
        <w:ind w:left="118" w:hanging="118"/>
        <w:rPr>
          <w:rFonts w:ascii="宋体" w:hAnsi="宋体" w:cs="宋体"/>
          <w:sz w:val="22"/>
        </w:rPr>
      </w:pPr>
      <w:r>
        <w:rPr>
          <w:rFonts w:hint="eastAsia" w:ascii="宋体" w:hAnsi="宋体" w:cs="宋体"/>
          <w:sz w:val="22"/>
          <w:lang w:bidi="ar"/>
        </w:rPr>
        <w:t>安全第一责任人：                      签字日期：20  年  月  日</w:t>
      </w:r>
    </w:p>
    <w:p>
      <w:pPr>
        <w:pStyle w:val="32"/>
        <w:widowControl w:val="0"/>
        <w:spacing w:beforeAutospacing="0" w:afterAutospacing="0"/>
        <w:jc w:val="both"/>
        <w:rPr>
          <w:rFonts w:cs="宋体"/>
          <w:sz w:val="22"/>
          <w:szCs w:val="22"/>
        </w:rPr>
      </w:pPr>
      <w:r>
        <w:rPr>
          <w:rFonts w:hint="eastAsia" w:cs="宋体"/>
          <w:kern w:val="2"/>
          <w:sz w:val="22"/>
          <w:szCs w:val="22"/>
          <w:lang w:bidi="ar"/>
        </w:rPr>
        <w:t xml:space="preserve"> </w:t>
      </w:r>
    </w:p>
    <w:p>
      <w:pPr>
        <w:pStyle w:val="32"/>
        <w:spacing w:beforeAutospacing="0" w:afterAutospacing="0"/>
        <w:rPr>
          <w:rFonts w:cs="宋体"/>
          <w:sz w:val="22"/>
          <w:szCs w:val="22"/>
        </w:rPr>
      </w:pPr>
      <w:r>
        <w:rPr>
          <w:rFonts w:hint="eastAsia" w:cs="宋体"/>
          <w:kern w:val="2"/>
          <w:sz w:val="22"/>
          <w:szCs w:val="22"/>
          <w:lang w:bidi="ar"/>
        </w:rPr>
        <w:t xml:space="preserve"> （法定代表人或经过授权的签约人作为安全第一责任人）</w:t>
      </w:r>
    </w:p>
    <w:p>
      <w:pPr>
        <w:pStyle w:val="32"/>
        <w:widowControl w:val="0"/>
        <w:spacing w:beforeAutospacing="0" w:afterAutospacing="0"/>
        <w:rPr>
          <w:rFonts w:cs="宋体"/>
          <w:kern w:val="2"/>
          <w:sz w:val="22"/>
          <w:szCs w:val="22"/>
          <w:lang w:bidi="ar"/>
        </w:rPr>
      </w:pPr>
    </w:p>
    <w:p>
      <w:pPr>
        <w:pStyle w:val="32"/>
        <w:widowControl w:val="0"/>
        <w:spacing w:beforeAutospacing="0" w:afterAutospacing="0"/>
        <w:rPr>
          <w:rFonts w:cs="宋体"/>
          <w:kern w:val="2"/>
          <w:sz w:val="22"/>
          <w:szCs w:val="22"/>
          <w:lang w:bidi="ar"/>
        </w:rPr>
      </w:pPr>
    </w:p>
    <w:p>
      <w:pPr>
        <w:pStyle w:val="32"/>
        <w:widowControl w:val="0"/>
        <w:spacing w:beforeAutospacing="0" w:afterAutospacing="0"/>
        <w:rPr>
          <w:rFonts w:cs="宋体"/>
          <w:kern w:val="2"/>
          <w:sz w:val="22"/>
          <w:szCs w:val="22"/>
          <w:lang w:bidi="ar"/>
        </w:rPr>
      </w:pPr>
    </w:p>
    <w:p>
      <w:pPr>
        <w:pStyle w:val="32"/>
        <w:widowControl w:val="0"/>
        <w:spacing w:beforeAutospacing="0" w:afterAutospacing="0"/>
        <w:rPr>
          <w:rFonts w:cs="宋体"/>
          <w:kern w:val="2"/>
          <w:sz w:val="22"/>
          <w:szCs w:val="22"/>
          <w:lang w:bidi="ar"/>
        </w:rPr>
      </w:pPr>
    </w:p>
    <w:p>
      <w:pPr>
        <w:pStyle w:val="32"/>
        <w:widowControl w:val="0"/>
        <w:spacing w:beforeAutospacing="0" w:afterAutospacing="0"/>
        <w:rPr>
          <w:rFonts w:cs="宋体"/>
          <w:kern w:val="2"/>
          <w:sz w:val="22"/>
          <w:szCs w:val="22"/>
          <w:lang w:bidi="ar"/>
        </w:rPr>
      </w:pPr>
    </w:p>
    <w:p>
      <w:pPr>
        <w:pStyle w:val="32"/>
        <w:widowControl w:val="0"/>
        <w:spacing w:beforeAutospacing="0" w:afterAutospacing="0"/>
        <w:rPr>
          <w:rFonts w:cs="宋体"/>
          <w:kern w:val="2"/>
          <w:sz w:val="22"/>
          <w:szCs w:val="22"/>
          <w:lang w:bidi="ar"/>
        </w:rPr>
      </w:pPr>
    </w:p>
    <w:p>
      <w:pPr>
        <w:pStyle w:val="32"/>
        <w:widowControl w:val="0"/>
        <w:spacing w:beforeAutospacing="0" w:afterAutospacing="0"/>
        <w:rPr>
          <w:rFonts w:cs="宋体"/>
          <w:kern w:val="2"/>
          <w:sz w:val="22"/>
          <w:szCs w:val="22"/>
          <w:lang w:bidi="ar"/>
        </w:rPr>
      </w:pPr>
    </w:p>
    <w:p>
      <w:pPr>
        <w:pStyle w:val="32"/>
        <w:widowControl w:val="0"/>
        <w:spacing w:beforeAutospacing="0" w:afterAutospacing="0"/>
        <w:rPr>
          <w:rFonts w:cs="宋体"/>
          <w:kern w:val="2"/>
          <w:sz w:val="22"/>
          <w:szCs w:val="22"/>
          <w:lang w:bidi="ar"/>
        </w:rPr>
      </w:pPr>
    </w:p>
    <w:p>
      <w:pPr>
        <w:pStyle w:val="32"/>
        <w:widowControl w:val="0"/>
        <w:spacing w:beforeAutospacing="0" w:afterAutospacing="0"/>
        <w:rPr>
          <w:rFonts w:cs="宋体"/>
          <w:kern w:val="2"/>
          <w:sz w:val="22"/>
          <w:szCs w:val="22"/>
          <w:lang w:bidi="ar"/>
        </w:rPr>
      </w:pPr>
    </w:p>
    <w:p>
      <w:pPr>
        <w:pStyle w:val="32"/>
        <w:widowControl w:val="0"/>
        <w:spacing w:beforeAutospacing="0" w:afterAutospacing="0"/>
        <w:rPr>
          <w:rFonts w:cs="宋体"/>
          <w:kern w:val="2"/>
          <w:sz w:val="22"/>
          <w:szCs w:val="22"/>
          <w:lang w:bidi="ar"/>
        </w:rPr>
      </w:pPr>
    </w:p>
    <w:p>
      <w:pPr>
        <w:pStyle w:val="32"/>
        <w:widowControl w:val="0"/>
        <w:spacing w:beforeAutospacing="0" w:afterAutospacing="0"/>
        <w:rPr>
          <w:rFonts w:cs="宋体"/>
          <w:kern w:val="2"/>
          <w:sz w:val="22"/>
          <w:szCs w:val="22"/>
          <w:lang w:bidi="ar"/>
        </w:rPr>
      </w:pPr>
    </w:p>
    <w:p>
      <w:pPr>
        <w:pStyle w:val="32"/>
        <w:widowControl w:val="0"/>
        <w:spacing w:beforeAutospacing="0" w:afterAutospacing="0"/>
        <w:rPr>
          <w:rFonts w:cs="宋体"/>
          <w:kern w:val="2"/>
          <w:sz w:val="22"/>
          <w:szCs w:val="22"/>
          <w:lang w:bidi="ar"/>
        </w:rPr>
      </w:pPr>
    </w:p>
    <w:p>
      <w:pPr>
        <w:pStyle w:val="32"/>
        <w:widowControl w:val="0"/>
        <w:spacing w:beforeAutospacing="0" w:afterAutospacing="0"/>
        <w:rPr>
          <w:rFonts w:cs="宋体"/>
          <w:kern w:val="2"/>
          <w:sz w:val="22"/>
          <w:szCs w:val="22"/>
          <w:lang w:bidi="ar"/>
        </w:rPr>
      </w:pPr>
    </w:p>
    <w:p>
      <w:pPr>
        <w:pStyle w:val="32"/>
        <w:widowControl w:val="0"/>
        <w:spacing w:beforeAutospacing="0" w:afterAutospacing="0"/>
        <w:rPr>
          <w:rFonts w:cs="宋体"/>
          <w:kern w:val="2"/>
          <w:sz w:val="22"/>
          <w:szCs w:val="22"/>
          <w:lang w:bidi="ar"/>
        </w:rPr>
      </w:pPr>
    </w:p>
    <w:p>
      <w:pPr>
        <w:pStyle w:val="32"/>
        <w:widowControl w:val="0"/>
        <w:spacing w:beforeAutospacing="0" w:afterAutospacing="0"/>
        <w:rPr>
          <w:rFonts w:cs="宋体"/>
          <w:kern w:val="2"/>
          <w:sz w:val="22"/>
          <w:szCs w:val="22"/>
          <w:lang w:bidi="ar"/>
        </w:rPr>
      </w:pPr>
    </w:p>
    <w:p>
      <w:pPr>
        <w:pStyle w:val="32"/>
        <w:widowControl w:val="0"/>
        <w:spacing w:beforeAutospacing="0" w:afterAutospacing="0"/>
        <w:rPr>
          <w:rFonts w:cs="宋体"/>
          <w:kern w:val="2"/>
          <w:sz w:val="22"/>
          <w:szCs w:val="22"/>
          <w:lang w:bidi="ar"/>
        </w:rPr>
      </w:pPr>
    </w:p>
    <w:p>
      <w:pPr>
        <w:pStyle w:val="32"/>
        <w:widowControl w:val="0"/>
        <w:spacing w:beforeAutospacing="0" w:afterAutospacing="0"/>
        <w:rPr>
          <w:rFonts w:cs="宋体"/>
          <w:kern w:val="2"/>
          <w:sz w:val="22"/>
          <w:szCs w:val="22"/>
          <w:lang w:bidi="ar"/>
        </w:rPr>
      </w:pPr>
    </w:p>
    <w:p>
      <w:pPr>
        <w:pStyle w:val="32"/>
        <w:widowControl w:val="0"/>
        <w:spacing w:beforeAutospacing="0" w:afterAutospacing="0"/>
        <w:rPr>
          <w:rFonts w:cs="宋体"/>
          <w:kern w:val="2"/>
          <w:sz w:val="22"/>
          <w:szCs w:val="22"/>
          <w:lang w:bidi="ar"/>
        </w:rPr>
      </w:pPr>
    </w:p>
    <w:p>
      <w:pPr>
        <w:pStyle w:val="32"/>
        <w:widowControl w:val="0"/>
        <w:spacing w:beforeAutospacing="0" w:afterAutospacing="0"/>
        <w:rPr>
          <w:rFonts w:cs="宋体"/>
          <w:kern w:val="2"/>
          <w:sz w:val="22"/>
          <w:szCs w:val="22"/>
          <w:lang w:bidi="ar"/>
        </w:rPr>
      </w:pPr>
    </w:p>
    <w:p>
      <w:pPr>
        <w:pStyle w:val="32"/>
        <w:widowControl w:val="0"/>
        <w:spacing w:beforeAutospacing="0" w:afterAutospacing="0"/>
        <w:rPr>
          <w:rFonts w:cs="宋体"/>
          <w:kern w:val="2"/>
          <w:sz w:val="22"/>
          <w:szCs w:val="22"/>
          <w:lang w:bidi="ar"/>
        </w:rPr>
      </w:pPr>
    </w:p>
    <w:p>
      <w:pPr>
        <w:pStyle w:val="32"/>
        <w:widowControl w:val="0"/>
        <w:spacing w:beforeAutospacing="0" w:afterAutospacing="0"/>
        <w:rPr>
          <w:rFonts w:cs="宋体"/>
          <w:kern w:val="2"/>
          <w:sz w:val="22"/>
          <w:szCs w:val="22"/>
          <w:lang w:bidi="ar"/>
        </w:rPr>
      </w:pPr>
    </w:p>
    <w:p>
      <w:pPr>
        <w:pStyle w:val="32"/>
        <w:widowControl w:val="0"/>
        <w:spacing w:beforeAutospacing="0" w:afterAutospacing="0"/>
        <w:rPr>
          <w:rFonts w:cs="宋体"/>
          <w:kern w:val="2"/>
          <w:sz w:val="22"/>
          <w:szCs w:val="22"/>
          <w:lang w:bidi="ar"/>
        </w:rPr>
      </w:pPr>
    </w:p>
    <w:p>
      <w:pPr>
        <w:pStyle w:val="32"/>
        <w:widowControl w:val="0"/>
        <w:spacing w:beforeAutospacing="0" w:afterAutospacing="0"/>
        <w:rPr>
          <w:rFonts w:cs="宋体"/>
          <w:kern w:val="2"/>
          <w:sz w:val="22"/>
          <w:szCs w:val="22"/>
          <w:lang w:bidi="ar"/>
        </w:rPr>
      </w:pPr>
    </w:p>
    <w:p>
      <w:pPr>
        <w:pStyle w:val="32"/>
        <w:widowControl w:val="0"/>
        <w:spacing w:beforeAutospacing="0" w:afterAutospacing="0"/>
        <w:rPr>
          <w:rFonts w:cs="宋体"/>
          <w:kern w:val="2"/>
          <w:sz w:val="22"/>
          <w:szCs w:val="22"/>
          <w:lang w:bidi="ar"/>
        </w:rPr>
      </w:pPr>
    </w:p>
    <w:p>
      <w:pPr>
        <w:pStyle w:val="32"/>
        <w:widowControl w:val="0"/>
        <w:spacing w:beforeAutospacing="0" w:afterAutospacing="0"/>
        <w:rPr>
          <w:rFonts w:cs="宋体"/>
          <w:kern w:val="2"/>
          <w:sz w:val="22"/>
          <w:szCs w:val="22"/>
          <w:lang w:bidi="ar"/>
        </w:rPr>
      </w:pPr>
    </w:p>
    <w:p>
      <w:pPr>
        <w:pStyle w:val="32"/>
        <w:widowControl w:val="0"/>
        <w:spacing w:beforeAutospacing="0" w:afterAutospacing="0"/>
        <w:rPr>
          <w:rFonts w:cs="宋体"/>
          <w:kern w:val="2"/>
          <w:sz w:val="22"/>
          <w:szCs w:val="22"/>
          <w:lang w:bidi="ar"/>
        </w:rPr>
      </w:pPr>
    </w:p>
    <w:p>
      <w:pPr>
        <w:pStyle w:val="32"/>
        <w:widowControl w:val="0"/>
        <w:spacing w:beforeAutospacing="0" w:afterAutospacing="0"/>
        <w:rPr>
          <w:rFonts w:cs="宋体"/>
          <w:kern w:val="2"/>
          <w:sz w:val="22"/>
          <w:szCs w:val="22"/>
          <w:lang w:bidi="ar"/>
        </w:rPr>
      </w:pPr>
    </w:p>
    <w:p>
      <w:pPr>
        <w:pStyle w:val="32"/>
        <w:widowControl w:val="0"/>
        <w:spacing w:beforeAutospacing="0" w:afterAutospacing="0"/>
        <w:rPr>
          <w:rFonts w:cs="宋体"/>
          <w:kern w:val="2"/>
          <w:sz w:val="22"/>
          <w:szCs w:val="22"/>
          <w:lang w:bidi="ar"/>
        </w:rPr>
      </w:pPr>
    </w:p>
    <w:p>
      <w:pPr>
        <w:pStyle w:val="32"/>
        <w:widowControl w:val="0"/>
        <w:spacing w:beforeAutospacing="0" w:afterAutospacing="0"/>
        <w:rPr>
          <w:rFonts w:cs="宋体"/>
          <w:kern w:val="2"/>
          <w:sz w:val="22"/>
          <w:szCs w:val="22"/>
          <w:lang w:bidi="ar"/>
        </w:rPr>
      </w:pPr>
    </w:p>
    <w:p>
      <w:pPr>
        <w:pStyle w:val="32"/>
        <w:widowControl w:val="0"/>
        <w:spacing w:beforeAutospacing="0" w:afterAutospacing="0"/>
        <w:rPr>
          <w:rFonts w:cs="宋体"/>
          <w:kern w:val="2"/>
          <w:sz w:val="22"/>
          <w:szCs w:val="22"/>
          <w:lang w:bidi="ar"/>
        </w:rPr>
      </w:pPr>
    </w:p>
    <w:p>
      <w:pPr>
        <w:pStyle w:val="32"/>
        <w:widowControl w:val="0"/>
        <w:spacing w:beforeAutospacing="0" w:afterAutospacing="0"/>
        <w:rPr>
          <w:rFonts w:cs="宋体"/>
          <w:kern w:val="2"/>
          <w:sz w:val="22"/>
          <w:szCs w:val="22"/>
          <w:lang w:bidi="ar"/>
        </w:rPr>
      </w:pPr>
    </w:p>
    <w:p>
      <w:pPr>
        <w:pStyle w:val="32"/>
        <w:widowControl w:val="0"/>
        <w:spacing w:beforeAutospacing="0" w:afterAutospacing="0"/>
        <w:rPr>
          <w:rFonts w:cs="宋体"/>
          <w:kern w:val="2"/>
          <w:sz w:val="22"/>
          <w:szCs w:val="22"/>
          <w:lang w:bidi="ar"/>
        </w:rPr>
      </w:pPr>
    </w:p>
    <w:p>
      <w:pPr>
        <w:pStyle w:val="32"/>
        <w:widowControl w:val="0"/>
        <w:spacing w:beforeAutospacing="0" w:afterAutospacing="0"/>
        <w:rPr>
          <w:rFonts w:cs="宋体"/>
          <w:kern w:val="2"/>
          <w:sz w:val="22"/>
          <w:szCs w:val="22"/>
          <w:lang w:bidi="ar"/>
        </w:rPr>
      </w:pPr>
      <w:r>
        <w:rPr>
          <w:rFonts w:hint="eastAsia" w:cs="宋体"/>
          <w:kern w:val="2"/>
          <w:sz w:val="22"/>
          <w:szCs w:val="22"/>
          <w:lang w:bidi="ar"/>
        </w:rPr>
        <w:t xml:space="preserve"> 附件六</w:t>
      </w:r>
    </w:p>
    <w:p>
      <w:pPr>
        <w:jc w:val="center"/>
        <w:rPr>
          <w:rFonts w:ascii="宋体" w:hAnsi="宋体" w:cs="宋体"/>
          <w:sz w:val="48"/>
          <w:szCs w:val="48"/>
        </w:rPr>
      </w:pPr>
      <w:r>
        <w:rPr>
          <w:rFonts w:hint="eastAsia" w:ascii="宋体" w:hAnsi="宋体" w:cs="宋体"/>
          <w:sz w:val="48"/>
          <w:szCs w:val="48"/>
          <w:lang w:bidi="ar"/>
        </w:rPr>
        <w:t xml:space="preserve"> </w:t>
      </w:r>
    </w:p>
    <w:p>
      <w:pPr>
        <w:jc w:val="center"/>
        <w:rPr>
          <w:rFonts w:ascii="宋体" w:hAnsi="宋体" w:cs="宋体"/>
          <w:sz w:val="48"/>
          <w:szCs w:val="48"/>
        </w:rPr>
      </w:pPr>
      <w:r>
        <w:rPr>
          <w:rFonts w:hint="eastAsia" w:ascii="宋体" w:hAnsi="宋体" w:cs="宋体"/>
          <w:sz w:val="48"/>
          <w:szCs w:val="48"/>
          <w:lang w:bidi="ar"/>
        </w:rPr>
        <w:t xml:space="preserve"> </w:t>
      </w:r>
    </w:p>
    <w:p>
      <w:pPr>
        <w:jc w:val="center"/>
        <w:rPr>
          <w:rFonts w:ascii="宋体" w:hAnsi="宋体" w:cs="宋体"/>
          <w:sz w:val="48"/>
          <w:szCs w:val="48"/>
        </w:rPr>
      </w:pPr>
      <w:r>
        <w:rPr>
          <w:rFonts w:hint="eastAsia" w:ascii="宋体" w:hAnsi="宋体" w:cs="宋体"/>
          <w:sz w:val="48"/>
          <w:szCs w:val="48"/>
          <w:lang w:bidi="ar"/>
        </w:rPr>
        <w:t>智能建造联合创新工作室</w:t>
      </w:r>
    </w:p>
    <w:p>
      <w:pPr>
        <w:jc w:val="center"/>
        <w:rPr>
          <w:rFonts w:ascii="宋体" w:hAnsi="宋体" w:cs="宋体"/>
          <w:sz w:val="44"/>
          <w:szCs w:val="44"/>
        </w:rPr>
      </w:pPr>
      <w:r>
        <w:rPr>
          <w:rFonts w:hint="eastAsia" w:ascii="宋体" w:hAnsi="宋体" w:cs="宋体"/>
          <w:sz w:val="44"/>
          <w:szCs w:val="44"/>
          <w:lang w:bidi="ar"/>
        </w:rPr>
        <w:t>合作协议</w:t>
      </w:r>
    </w:p>
    <w:p>
      <w:pPr>
        <w:ind w:firstLine="200"/>
        <w:rPr>
          <w:rFonts w:ascii="宋体" w:hAnsi="宋体" w:cs="宋体"/>
          <w:sz w:val="40"/>
          <w:szCs w:val="40"/>
        </w:rPr>
      </w:pPr>
      <w:r>
        <w:rPr>
          <w:rFonts w:hint="eastAsia" w:ascii="宋体" w:hAnsi="宋体" w:cs="宋体"/>
          <w:sz w:val="40"/>
          <w:szCs w:val="40"/>
          <w:lang w:bidi="ar"/>
        </w:rPr>
        <w:t xml:space="preserve"> </w:t>
      </w:r>
    </w:p>
    <w:p>
      <w:pPr>
        <w:ind w:firstLine="200"/>
        <w:rPr>
          <w:rFonts w:ascii="宋体" w:hAnsi="宋体" w:cs="宋体"/>
          <w:sz w:val="40"/>
          <w:szCs w:val="40"/>
        </w:rPr>
      </w:pPr>
      <w:r>
        <w:rPr>
          <w:rFonts w:hint="eastAsia" w:ascii="宋体" w:hAnsi="宋体" w:cs="宋体"/>
          <w:sz w:val="40"/>
          <w:szCs w:val="40"/>
          <w:lang w:bidi="ar"/>
        </w:rPr>
        <w:t xml:space="preserve"> </w:t>
      </w:r>
    </w:p>
    <w:p>
      <w:pPr>
        <w:ind w:firstLine="200"/>
        <w:rPr>
          <w:rFonts w:ascii="宋体" w:hAnsi="宋体" w:cs="宋体"/>
          <w:sz w:val="40"/>
          <w:szCs w:val="40"/>
        </w:rPr>
      </w:pPr>
      <w:r>
        <w:rPr>
          <w:rFonts w:hint="eastAsia" w:ascii="宋体" w:hAnsi="宋体" w:cs="宋体"/>
          <w:sz w:val="40"/>
          <w:szCs w:val="40"/>
          <w:lang w:bidi="ar"/>
        </w:rPr>
        <w:t xml:space="preserve"> </w:t>
      </w:r>
    </w:p>
    <w:p>
      <w:pPr>
        <w:ind w:firstLine="200"/>
        <w:rPr>
          <w:rFonts w:ascii="宋体" w:hAnsi="宋体" w:cs="宋体"/>
          <w:sz w:val="40"/>
          <w:szCs w:val="40"/>
        </w:rPr>
      </w:pPr>
      <w:r>
        <w:rPr>
          <w:rFonts w:hint="eastAsia" w:ascii="宋体" w:hAnsi="宋体" w:cs="宋体"/>
          <w:sz w:val="40"/>
          <w:szCs w:val="40"/>
          <w:lang w:bidi="ar"/>
        </w:rPr>
        <w:t xml:space="preserve"> </w:t>
      </w:r>
    </w:p>
    <w:p>
      <w:pPr>
        <w:ind w:firstLine="200"/>
        <w:rPr>
          <w:rFonts w:ascii="宋体" w:hAnsi="宋体" w:cs="宋体"/>
          <w:sz w:val="40"/>
          <w:szCs w:val="40"/>
        </w:rPr>
      </w:pPr>
      <w:r>
        <w:rPr>
          <w:rFonts w:hint="eastAsia" w:ascii="宋体" w:hAnsi="宋体" w:cs="宋体"/>
          <w:sz w:val="40"/>
          <w:szCs w:val="40"/>
          <w:lang w:bidi="ar"/>
        </w:rPr>
        <w:t xml:space="preserve"> </w:t>
      </w:r>
    </w:p>
    <w:p>
      <w:pPr>
        <w:ind w:firstLine="200"/>
        <w:rPr>
          <w:rFonts w:ascii="宋体" w:hAnsi="宋体" w:cs="宋体"/>
          <w:sz w:val="40"/>
          <w:szCs w:val="40"/>
        </w:rPr>
      </w:pPr>
      <w:r>
        <w:rPr>
          <w:rFonts w:hint="eastAsia" w:ascii="宋体" w:hAnsi="宋体" w:cs="宋体"/>
          <w:sz w:val="40"/>
          <w:szCs w:val="40"/>
          <w:lang w:bidi="ar"/>
        </w:rPr>
        <w:t xml:space="preserve"> </w:t>
      </w:r>
    </w:p>
    <w:p>
      <w:pPr>
        <w:rPr>
          <w:rFonts w:ascii="宋体" w:hAnsi="宋体" w:cs="宋体"/>
          <w:sz w:val="40"/>
          <w:szCs w:val="40"/>
        </w:rPr>
      </w:pPr>
      <w:r>
        <w:rPr>
          <w:rFonts w:hint="eastAsia" w:ascii="宋体" w:hAnsi="宋体" w:cs="宋体"/>
          <w:sz w:val="40"/>
          <w:szCs w:val="40"/>
          <w:lang w:bidi="ar"/>
        </w:rPr>
        <w:t xml:space="preserve"> </w:t>
      </w:r>
    </w:p>
    <w:p>
      <w:pPr>
        <w:jc w:val="center"/>
        <w:rPr>
          <w:rFonts w:ascii="宋体" w:hAnsi="宋体" w:cs="宋体"/>
          <w:spacing w:val="-2"/>
          <w:sz w:val="24"/>
          <w:szCs w:val="24"/>
        </w:rPr>
      </w:pPr>
      <w:r>
        <w:rPr>
          <w:rFonts w:hint="eastAsia" w:ascii="宋体" w:hAnsi="宋体" w:cs="宋体"/>
          <w:spacing w:val="-2"/>
          <w:sz w:val="28"/>
          <w:szCs w:val="28"/>
          <w:lang w:bidi="ar"/>
        </w:rPr>
        <w:t xml:space="preserve">   </w:t>
      </w:r>
      <w:r>
        <w:rPr>
          <w:rFonts w:hint="eastAsia" w:ascii="宋体" w:hAnsi="宋体" w:cs="宋体"/>
          <w:spacing w:val="-2"/>
          <w:sz w:val="24"/>
          <w:szCs w:val="24"/>
          <w:lang w:bidi="ar"/>
        </w:rPr>
        <w:t>甲    方：广东省机场管理集团有限公司工程建设指挥部</w:t>
      </w:r>
    </w:p>
    <w:p>
      <w:pPr>
        <w:ind w:left="420" w:firstLine="944" w:firstLineChars="400"/>
        <w:rPr>
          <w:rFonts w:ascii="宋体" w:hAnsi="宋体" w:cs="宋体"/>
          <w:spacing w:val="-2"/>
          <w:sz w:val="24"/>
          <w:szCs w:val="24"/>
        </w:rPr>
      </w:pPr>
      <w:r>
        <w:rPr>
          <w:rFonts w:hint="eastAsia" w:ascii="宋体" w:hAnsi="宋体" w:cs="宋体"/>
          <w:spacing w:val="-2"/>
          <w:sz w:val="24"/>
          <w:szCs w:val="24"/>
          <w:lang w:bidi="ar"/>
        </w:rPr>
        <w:t xml:space="preserve">乙    方： </w:t>
      </w:r>
    </w:p>
    <w:p>
      <w:pPr>
        <w:jc w:val="center"/>
        <w:rPr>
          <w:rFonts w:ascii="宋体" w:hAnsi="宋体" w:cs="宋体"/>
          <w:spacing w:val="-2"/>
          <w:sz w:val="24"/>
          <w:szCs w:val="24"/>
        </w:rPr>
      </w:pPr>
      <w:r>
        <w:rPr>
          <w:rFonts w:hint="eastAsia" w:ascii="宋体" w:hAnsi="宋体" w:cs="宋体"/>
          <w:spacing w:val="-2"/>
          <w:sz w:val="24"/>
          <w:szCs w:val="24"/>
          <w:lang w:bidi="ar"/>
        </w:rPr>
        <w:t>2022年  月</w:t>
      </w:r>
    </w:p>
    <w:p>
      <w:pPr>
        <w:jc w:val="center"/>
        <w:rPr>
          <w:rFonts w:ascii="宋体" w:hAnsi="宋体" w:cs="宋体"/>
          <w:spacing w:val="-2"/>
          <w:sz w:val="28"/>
          <w:szCs w:val="28"/>
        </w:rPr>
      </w:pPr>
      <w:r>
        <w:rPr>
          <w:rFonts w:hint="eastAsia" w:ascii="宋体" w:hAnsi="宋体" w:cs="宋体"/>
          <w:spacing w:val="-2"/>
          <w:sz w:val="28"/>
          <w:szCs w:val="28"/>
          <w:lang w:bidi="ar"/>
        </w:rPr>
        <w:t xml:space="preserve"> </w:t>
      </w:r>
    </w:p>
    <w:p>
      <w:pPr>
        <w:rPr>
          <w:rFonts w:ascii="宋体" w:hAnsi="宋体" w:cs="宋体"/>
          <w:spacing w:val="-2"/>
          <w:sz w:val="24"/>
          <w:szCs w:val="24"/>
        </w:rPr>
      </w:pPr>
      <w:r>
        <w:rPr>
          <w:rFonts w:hint="eastAsia" w:ascii="宋体" w:hAnsi="宋体" w:cs="宋体"/>
          <w:spacing w:val="-2"/>
          <w:sz w:val="24"/>
          <w:szCs w:val="24"/>
          <w:lang w:bidi="ar"/>
        </w:rPr>
        <w:t xml:space="preserve"> </w:t>
      </w:r>
    </w:p>
    <w:p>
      <w:pPr>
        <w:rPr>
          <w:rFonts w:ascii="宋体" w:hAnsi="宋体" w:cs="宋体"/>
          <w:spacing w:val="-2"/>
          <w:sz w:val="24"/>
          <w:szCs w:val="24"/>
        </w:rPr>
      </w:pPr>
      <w:r>
        <w:rPr>
          <w:rFonts w:hint="eastAsia" w:ascii="宋体" w:hAnsi="宋体" w:cs="宋体"/>
          <w:spacing w:val="-2"/>
          <w:sz w:val="24"/>
          <w:szCs w:val="24"/>
          <w:lang w:bidi="ar"/>
        </w:rPr>
        <w:t xml:space="preserve"> </w:t>
      </w:r>
    </w:p>
    <w:p>
      <w:pPr>
        <w:rPr>
          <w:rFonts w:ascii="宋体" w:hAnsi="宋体" w:cs="宋体"/>
          <w:spacing w:val="-2"/>
          <w:sz w:val="24"/>
          <w:szCs w:val="24"/>
        </w:rPr>
      </w:pPr>
      <w:r>
        <w:rPr>
          <w:rFonts w:hint="eastAsia" w:ascii="宋体" w:hAnsi="宋体" w:cs="宋体"/>
          <w:spacing w:val="-2"/>
          <w:sz w:val="24"/>
          <w:szCs w:val="24"/>
          <w:lang w:bidi="ar"/>
        </w:rPr>
        <w:t xml:space="preserve"> </w:t>
      </w:r>
    </w:p>
    <w:p>
      <w:pPr>
        <w:rPr>
          <w:rFonts w:ascii="宋体" w:hAnsi="宋体" w:cs="宋体"/>
          <w:spacing w:val="-2"/>
          <w:sz w:val="24"/>
          <w:szCs w:val="24"/>
        </w:rPr>
      </w:pPr>
      <w:r>
        <w:rPr>
          <w:rFonts w:hint="eastAsia" w:ascii="宋体" w:hAnsi="宋体" w:cs="宋体"/>
          <w:spacing w:val="-2"/>
          <w:sz w:val="24"/>
          <w:szCs w:val="24"/>
          <w:lang w:bidi="ar"/>
        </w:rPr>
        <w:t xml:space="preserve"> </w:t>
      </w:r>
    </w:p>
    <w:p>
      <w:pPr>
        <w:rPr>
          <w:rFonts w:ascii="宋体" w:hAnsi="宋体" w:cs="宋体"/>
          <w:spacing w:val="-2"/>
          <w:sz w:val="24"/>
          <w:szCs w:val="24"/>
        </w:rPr>
      </w:pPr>
      <w:r>
        <w:rPr>
          <w:rFonts w:hint="eastAsia" w:ascii="宋体" w:hAnsi="宋体" w:cs="宋体"/>
          <w:spacing w:val="-2"/>
          <w:sz w:val="24"/>
          <w:szCs w:val="24"/>
          <w:lang w:bidi="ar"/>
        </w:rPr>
        <w:t xml:space="preserve"> </w:t>
      </w:r>
    </w:p>
    <w:p>
      <w:pPr>
        <w:rPr>
          <w:rFonts w:ascii="宋体" w:hAnsi="宋体" w:cs="宋体"/>
          <w:spacing w:val="-2"/>
          <w:sz w:val="24"/>
          <w:szCs w:val="24"/>
        </w:rPr>
      </w:pPr>
      <w:r>
        <w:rPr>
          <w:rFonts w:hint="eastAsia" w:ascii="宋体" w:hAnsi="宋体" w:cs="宋体"/>
          <w:spacing w:val="-2"/>
          <w:sz w:val="24"/>
          <w:szCs w:val="24"/>
          <w:lang w:bidi="ar"/>
        </w:rPr>
        <w:t xml:space="preserve"> </w:t>
      </w:r>
    </w:p>
    <w:p>
      <w:pPr>
        <w:rPr>
          <w:rFonts w:ascii="宋体" w:hAnsi="宋体" w:cs="宋体"/>
          <w:spacing w:val="-2"/>
          <w:sz w:val="24"/>
          <w:szCs w:val="24"/>
        </w:rPr>
      </w:pPr>
      <w:r>
        <w:rPr>
          <w:rFonts w:hint="eastAsia" w:ascii="宋体" w:hAnsi="宋体" w:cs="宋体"/>
          <w:spacing w:val="-2"/>
          <w:sz w:val="24"/>
          <w:szCs w:val="24"/>
          <w:lang w:bidi="ar"/>
        </w:rPr>
        <w:t xml:space="preserve"> </w:t>
      </w:r>
    </w:p>
    <w:p>
      <w:pPr>
        <w:rPr>
          <w:rFonts w:ascii="宋体" w:hAnsi="宋体" w:cs="宋体"/>
          <w:spacing w:val="-2"/>
          <w:sz w:val="24"/>
          <w:szCs w:val="24"/>
        </w:rPr>
      </w:pPr>
      <w:r>
        <w:rPr>
          <w:rFonts w:hint="eastAsia" w:ascii="宋体" w:hAnsi="宋体" w:cs="宋体"/>
          <w:spacing w:val="-2"/>
          <w:sz w:val="24"/>
          <w:szCs w:val="24"/>
          <w:lang w:bidi="ar"/>
        </w:rPr>
        <w:t xml:space="preserve"> </w:t>
      </w:r>
    </w:p>
    <w:p>
      <w:pPr>
        <w:rPr>
          <w:rFonts w:ascii="宋体" w:hAnsi="宋体" w:cs="宋体"/>
          <w:spacing w:val="-2"/>
          <w:sz w:val="24"/>
          <w:szCs w:val="24"/>
        </w:rPr>
      </w:pPr>
      <w:r>
        <w:rPr>
          <w:rFonts w:hint="eastAsia" w:ascii="宋体" w:hAnsi="宋体" w:cs="宋体"/>
          <w:spacing w:val="-2"/>
          <w:sz w:val="24"/>
          <w:szCs w:val="24"/>
          <w:lang w:bidi="ar"/>
        </w:rPr>
        <w:t xml:space="preserve"> </w:t>
      </w:r>
    </w:p>
    <w:p>
      <w:pPr>
        <w:pStyle w:val="32"/>
        <w:widowControl w:val="0"/>
        <w:spacing w:beforeAutospacing="0" w:afterAutospacing="0"/>
        <w:jc w:val="both"/>
        <w:rPr>
          <w:rFonts w:cs="宋体"/>
          <w:kern w:val="2"/>
          <w:sz w:val="20"/>
          <w:szCs w:val="20"/>
        </w:rPr>
      </w:pPr>
      <w:r>
        <w:rPr>
          <w:rFonts w:hint="eastAsia" w:cs="宋体"/>
          <w:kern w:val="2"/>
          <w:sz w:val="20"/>
          <w:szCs w:val="20"/>
          <w:lang w:bidi="ar"/>
        </w:rPr>
        <w:t xml:space="preserve"> </w:t>
      </w:r>
    </w:p>
    <w:p>
      <w:pPr>
        <w:rPr>
          <w:rFonts w:ascii="宋体" w:hAnsi="宋体" w:cs="宋体"/>
          <w:spacing w:val="-2"/>
          <w:sz w:val="24"/>
          <w:szCs w:val="24"/>
        </w:rPr>
      </w:pPr>
      <w:r>
        <w:rPr>
          <w:rFonts w:hint="eastAsia" w:ascii="宋体" w:hAnsi="宋体" w:cs="宋体"/>
          <w:spacing w:val="-2"/>
          <w:sz w:val="24"/>
          <w:szCs w:val="24"/>
          <w:lang w:bidi="ar"/>
        </w:rPr>
        <w:t xml:space="preserve"> </w:t>
      </w:r>
    </w:p>
    <w:p>
      <w:pPr>
        <w:rPr>
          <w:rFonts w:ascii="宋体" w:hAnsi="宋体" w:cs="宋体"/>
          <w:spacing w:val="-2"/>
          <w:sz w:val="24"/>
          <w:szCs w:val="24"/>
        </w:rPr>
      </w:pPr>
      <w:r>
        <w:rPr>
          <w:rFonts w:hint="eastAsia" w:ascii="宋体" w:hAnsi="宋体" w:cs="宋体"/>
          <w:spacing w:val="-2"/>
          <w:sz w:val="24"/>
          <w:szCs w:val="24"/>
          <w:lang w:bidi="ar"/>
        </w:rPr>
        <w:t xml:space="preserve"> </w:t>
      </w:r>
    </w:p>
    <w:p>
      <w:pPr>
        <w:rPr>
          <w:rFonts w:ascii="宋体" w:hAnsi="宋体" w:cs="宋体"/>
          <w:spacing w:val="-2"/>
          <w:sz w:val="24"/>
          <w:szCs w:val="24"/>
        </w:rPr>
      </w:pPr>
      <w:r>
        <w:rPr>
          <w:rFonts w:hint="eastAsia" w:ascii="宋体" w:hAnsi="宋体" w:cs="宋体"/>
          <w:spacing w:val="-2"/>
          <w:sz w:val="24"/>
          <w:szCs w:val="24"/>
          <w:lang w:bidi="ar"/>
        </w:rPr>
        <w:t>甲方： 广东省机场管理集团有限公司工程建设指挥部（以下简称“指挥部”）</w:t>
      </w:r>
    </w:p>
    <w:p>
      <w:pPr>
        <w:rPr>
          <w:rFonts w:ascii="宋体" w:hAnsi="宋体" w:cs="宋体"/>
          <w:sz w:val="24"/>
          <w:szCs w:val="24"/>
        </w:rPr>
      </w:pPr>
      <w:r>
        <w:rPr>
          <w:rFonts w:hint="eastAsia" w:ascii="宋体" w:hAnsi="宋体" w:cs="宋体"/>
          <w:sz w:val="24"/>
          <w:szCs w:val="24"/>
          <w:lang w:bidi="ar"/>
        </w:rPr>
        <w:t xml:space="preserve">乙方： </w:t>
      </w:r>
    </w:p>
    <w:p>
      <w:pPr>
        <w:rPr>
          <w:rFonts w:ascii="宋体" w:hAnsi="宋体" w:cs="宋体"/>
          <w:sz w:val="24"/>
          <w:szCs w:val="24"/>
          <w:lang w:bidi="ar"/>
        </w:rPr>
      </w:pPr>
    </w:p>
    <w:p>
      <w:pPr>
        <w:rPr>
          <w:rFonts w:ascii="宋体" w:hAnsi="宋体" w:cs="宋体"/>
          <w:sz w:val="24"/>
          <w:szCs w:val="24"/>
          <w:lang w:bidi="ar"/>
        </w:rPr>
      </w:pPr>
    </w:p>
    <w:p>
      <w:pPr>
        <w:rPr>
          <w:rFonts w:ascii="宋体" w:hAnsi="宋体" w:cs="宋体"/>
          <w:sz w:val="24"/>
          <w:szCs w:val="24"/>
          <w:lang w:bidi="ar"/>
        </w:rPr>
      </w:pPr>
    </w:p>
    <w:p>
      <w:pPr>
        <w:rPr>
          <w:rFonts w:ascii="宋体" w:hAnsi="宋体" w:cs="宋体"/>
          <w:sz w:val="24"/>
          <w:szCs w:val="24"/>
          <w:lang w:bidi="ar"/>
        </w:rPr>
      </w:pPr>
    </w:p>
    <w:p>
      <w:pPr>
        <w:rPr>
          <w:rFonts w:ascii="宋体" w:hAnsi="宋体" w:cs="宋体"/>
          <w:sz w:val="24"/>
          <w:szCs w:val="24"/>
          <w:lang w:bidi="ar"/>
        </w:rPr>
      </w:pPr>
    </w:p>
    <w:p>
      <w:pPr>
        <w:rPr>
          <w:rFonts w:ascii="宋体" w:hAnsi="宋体" w:cs="宋体"/>
          <w:sz w:val="24"/>
          <w:szCs w:val="24"/>
          <w:lang w:bidi="ar"/>
        </w:rPr>
      </w:pPr>
    </w:p>
    <w:p>
      <w:pPr>
        <w:rPr>
          <w:rFonts w:ascii="宋体" w:hAnsi="宋体" w:cs="宋体"/>
          <w:sz w:val="24"/>
          <w:szCs w:val="24"/>
        </w:rPr>
      </w:pPr>
      <w:r>
        <w:rPr>
          <w:rFonts w:hint="eastAsia" w:ascii="宋体" w:hAnsi="宋体" w:cs="宋体"/>
          <w:sz w:val="24"/>
          <w:szCs w:val="24"/>
          <w:lang w:bidi="ar"/>
        </w:rPr>
        <w:t>根据《中华人民共和国民法典》及其他有关法律法规，甲乙双方在平等自愿的基础上，经充分友好协商，就智能建造联合创新工作室的建设达成本协议。</w:t>
      </w:r>
    </w:p>
    <w:p>
      <w:pPr>
        <w:rPr>
          <w:rFonts w:ascii="宋体" w:hAnsi="宋体" w:cs="宋体"/>
          <w:sz w:val="22"/>
        </w:rPr>
      </w:pPr>
      <w:r>
        <w:rPr>
          <w:rFonts w:hint="eastAsia" w:ascii="宋体" w:hAnsi="宋体" w:cs="宋体"/>
          <w:sz w:val="22"/>
          <w:lang w:bidi="ar"/>
        </w:rPr>
        <w:t xml:space="preserve"> </w:t>
      </w:r>
    </w:p>
    <w:p>
      <w:pPr>
        <w:rPr>
          <w:rFonts w:ascii="宋体" w:hAnsi="宋体" w:cs="宋体"/>
          <w:sz w:val="22"/>
        </w:rPr>
      </w:pPr>
      <w:r>
        <w:rPr>
          <w:rFonts w:hint="eastAsia" w:ascii="宋体" w:hAnsi="宋体" w:cs="宋体"/>
          <w:sz w:val="22"/>
          <w:lang w:bidi="ar"/>
        </w:rPr>
        <w:t xml:space="preserve"> </w:t>
      </w:r>
    </w:p>
    <w:p>
      <w:pPr>
        <w:pStyle w:val="32"/>
        <w:widowControl w:val="0"/>
        <w:numPr>
          <w:ilvl w:val="0"/>
          <w:numId w:val="11"/>
        </w:numPr>
        <w:spacing w:before="240" w:beforeLines="100" w:beforeAutospacing="0" w:afterAutospacing="0" w:line="560" w:lineRule="exact"/>
        <w:jc w:val="center"/>
        <w:rPr>
          <w:rFonts w:cs="宋体"/>
          <w:b/>
          <w:bCs/>
          <w:kern w:val="2"/>
        </w:rPr>
      </w:pPr>
      <w:r>
        <w:rPr>
          <w:rFonts w:hint="eastAsia" w:cs="宋体"/>
          <w:b/>
          <w:bCs/>
          <w:kern w:val="2"/>
          <w:lang w:bidi="ar"/>
        </w:rPr>
        <w:t>总则</w:t>
      </w:r>
    </w:p>
    <w:p>
      <w:pPr>
        <w:numPr>
          <w:ilvl w:val="0"/>
          <w:numId w:val="12"/>
        </w:numPr>
        <w:spacing w:line="560" w:lineRule="exact"/>
        <w:ind w:left="1" w:firstLine="0"/>
        <w:rPr>
          <w:rFonts w:ascii="宋体" w:hAnsi="宋体" w:cs="宋体"/>
          <w:b/>
          <w:sz w:val="24"/>
          <w:szCs w:val="24"/>
        </w:rPr>
      </w:pPr>
      <w:r>
        <w:rPr>
          <w:rFonts w:hint="eastAsia" w:ascii="宋体" w:hAnsi="宋体" w:cs="宋体"/>
          <w:sz w:val="24"/>
          <w:szCs w:val="24"/>
          <w:lang w:bidi="ar"/>
        </w:rPr>
        <w:t>双方本着“平等互利、优势互补、注重实效、共同发展”的原则，充分发挥双方的人才优势、资源优势、科研创新优势，建立紧密型合作关系，围绕智慧机场应用的前沿技术，合作建设“智能建造联合创新工作室”。</w:t>
      </w:r>
    </w:p>
    <w:p>
      <w:pPr>
        <w:numPr>
          <w:ilvl w:val="0"/>
          <w:numId w:val="12"/>
        </w:numPr>
        <w:spacing w:line="560" w:lineRule="exact"/>
        <w:ind w:left="0" w:firstLine="0"/>
        <w:rPr>
          <w:rFonts w:ascii="宋体" w:hAnsi="宋体" w:cs="宋体"/>
          <w:sz w:val="24"/>
          <w:szCs w:val="24"/>
        </w:rPr>
      </w:pPr>
      <w:r>
        <w:rPr>
          <w:rFonts w:hint="eastAsia" w:ascii="宋体" w:hAnsi="宋体" w:cs="宋体"/>
          <w:sz w:val="24"/>
          <w:szCs w:val="24"/>
          <w:lang w:bidi="ar"/>
        </w:rPr>
        <w:t>工作室是各合作方发挥各自创新资源优势进行研究课题合作、新技术应用示范与人才培养等方面的合作平台。</w:t>
      </w:r>
    </w:p>
    <w:p>
      <w:pPr>
        <w:numPr>
          <w:ilvl w:val="0"/>
          <w:numId w:val="12"/>
        </w:numPr>
        <w:spacing w:line="560" w:lineRule="exact"/>
        <w:ind w:left="30" w:firstLine="0"/>
        <w:rPr>
          <w:rFonts w:ascii="宋体" w:hAnsi="宋体" w:cs="宋体"/>
          <w:sz w:val="24"/>
          <w:szCs w:val="24"/>
        </w:rPr>
      </w:pPr>
      <w:r>
        <w:rPr>
          <w:rFonts w:hint="eastAsia" w:ascii="宋体" w:hAnsi="宋体" w:cs="宋体"/>
          <w:sz w:val="24"/>
          <w:szCs w:val="24"/>
          <w:lang w:bidi="ar"/>
        </w:rPr>
        <w:t>双方共同制订并自愿遵守本协议。</w:t>
      </w:r>
    </w:p>
    <w:p>
      <w:pPr>
        <w:pStyle w:val="32"/>
        <w:widowControl w:val="0"/>
        <w:numPr>
          <w:ilvl w:val="0"/>
          <w:numId w:val="11"/>
        </w:numPr>
        <w:spacing w:before="240" w:beforeLines="100" w:beforeAutospacing="0" w:afterAutospacing="0" w:line="560" w:lineRule="exact"/>
        <w:jc w:val="center"/>
        <w:rPr>
          <w:rFonts w:cs="宋体"/>
          <w:b/>
          <w:bCs/>
          <w:kern w:val="2"/>
        </w:rPr>
      </w:pPr>
      <w:r>
        <w:rPr>
          <w:rFonts w:hint="eastAsia" w:cs="宋体"/>
          <w:b/>
          <w:bCs/>
          <w:kern w:val="2"/>
          <w:lang w:bidi="ar"/>
        </w:rPr>
        <w:t>组织机构及议事规则</w:t>
      </w:r>
    </w:p>
    <w:p>
      <w:pPr>
        <w:numPr>
          <w:ilvl w:val="0"/>
          <w:numId w:val="12"/>
        </w:numPr>
        <w:spacing w:line="560" w:lineRule="exact"/>
        <w:ind w:left="0" w:firstLine="0"/>
        <w:rPr>
          <w:rFonts w:ascii="宋体" w:hAnsi="宋体" w:cs="宋体"/>
          <w:sz w:val="24"/>
          <w:szCs w:val="24"/>
        </w:rPr>
      </w:pPr>
      <w:r>
        <w:rPr>
          <w:rFonts w:hint="eastAsia" w:ascii="宋体" w:hAnsi="宋体" w:cs="宋体"/>
          <w:sz w:val="24"/>
          <w:szCs w:val="24"/>
          <w:lang w:bidi="ar"/>
        </w:rPr>
        <w:t>工作室设置管理委员会，管理委员会由工作室各合作方相关领导组成，每个参与工作室建设的合作方设1名管理成员，管理委员会的职责是：</w:t>
      </w:r>
    </w:p>
    <w:p>
      <w:pPr>
        <w:spacing w:line="560" w:lineRule="exact"/>
        <w:rPr>
          <w:rFonts w:ascii="宋体" w:hAnsi="宋体" w:cs="宋体"/>
          <w:sz w:val="24"/>
          <w:szCs w:val="24"/>
        </w:rPr>
      </w:pPr>
      <w:r>
        <w:rPr>
          <w:rFonts w:hint="eastAsia" w:ascii="宋体" w:hAnsi="宋体" w:cs="宋体"/>
          <w:sz w:val="24"/>
          <w:szCs w:val="24"/>
          <w:lang w:bidi="ar"/>
        </w:rPr>
        <w:t>1. 制定工作室管理章程；</w:t>
      </w:r>
    </w:p>
    <w:p>
      <w:pPr>
        <w:spacing w:line="560" w:lineRule="exact"/>
        <w:rPr>
          <w:rFonts w:ascii="宋体" w:hAnsi="宋体" w:cs="宋体"/>
          <w:sz w:val="24"/>
          <w:szCs w:val="24"/>
        </w:rPr>
      </w:pPr>
      <w:r>
        <w:rPr>
          <w:rFonts w:hint="eastAsia" w:ascii="宋体" w:hAnsi="宋体" w:cs="宋体"/>
          <w:sz w:val="24"/>
          <w:szCs w:val="24"/>
          <w:lang w:bidi="ar"/>
        </w:rPr>
        <w:t>2. 为工作室运行提供组织保障。</w:t>
      </w:r>
    </w:p>
    <w:p>
      <w:pPr>
        <w:spacing w:line="560" w:lineRule="exact"/>
        <w:ind w:left="1"/>
        <w:rPr>
          <w:rFonts w:ascii="宋体" w:hAnsi="宋体" w:cs="宋体"/>
          <w:sz w:val="24"/>
          <w:szCs w:val="24"/>
        </w:rPr>
      </w:pPr>
      <w:r>
        <w:rPr>
          <w:rFonts w:hint="eastAsia" w:ascii="宋体" w:hAnsi="宋体" w:cs="宋体"/>
          <w:sz w:val="24"/>
          <w:szCs w:val="24"/>
          <w:lang w:bidi="ar"/>
        </w:rPr>
        <w:t>3. 管理委员会负责工作室每年资源投入的审核，双方依据工作室年度研究规划决策投入资源。</w:t>
      </w:r>
    </w:p>
    <w:p>
      <w:pPr>
        <w:numPr>
          <w:ilvl w:val="0"/>
          <w:numId w:val="12"/>
        </w:numPr>
        <w:spacing w:line="560" w:lineRule="exact"/>
        <w:ind w:left="0" w:firstLine="0"/>
        <w:rPr>
          <w:rFonts w:ascii="宋体" w:hAnsi="宋体" w:cs="宋体"/>
          <w:sz w:val="24"/>
          <w:szCs w:val="24"/>
        </w:rPr>
      </w:pPr>
      <w:r>
        <w:rPr>
          <w:rFonts w:hint="eastAsia" w:ascii="宋体" w:hAnsi="宋体" w:cs="宋体"/>
          <w:sz w:val="24"/>
          <w:szCs w:val="24"/>
          <w:lang w:bidi="ar"/>
        </w:rPr>
        <w:t>工作室是由双方合作设立的、无独立法人资格的常设组织机构，不是独立的法人实体，日常人员的考核管理，由各自公司负责。</w:t>
      </w:r>
    </w:p>
    <w:p>
      <w:pPr>
        <w:numPr>
          <w:ilvl w:val="0"/>
          <w:numId w:val="12"/>
        </w:numPr>
        <w:spacing w:line="560" w:lineRule="exact"/>
        <w:ind w:left="0" w:firstLine="0"/>
        <w:rPr>
          <w:rFonts w:ascii="宋体" w:hAnsi="宋体" w:cs="宋体"/>
          <w:sz w:val="24"/>
          <w:szCs w:val="24"/>
        </w:rPr>
      </w:pPr>
      <w:r>
        <w:rPr>
          <w:rFonts w:hint="eastAsia" w:ascii="宋体" w:hAnsi="宋体" w:cs="宋体"/>
          <w:sz w:val="24"/>
          <w:szCs w:val="24"/>
          <w:lang w:bidi="ar"/>
        </w:rPr>
        <w:t>双方分别负责工作室团队中各自成员的工资、福利待遇及其他人力成本。除本协议有明确约定的费用承担之外，如果发生其他费用，需要共同承担的，应提前和另一方协商一致，否则不能向另一方主张费用分担。</w:t>
      </w:r>
    </w:p>
    <w:p>
      <w:pPr>
        <w:numPr>
          <w:ilvl w:val="0"/>
          <w:numId w:val="12"/>
        </w:numPr>
        <w:spacing w:line="560" w:lineRule="exact"/>
        <w:ind w:left="0" w:firstLine="0"/>
        <w:rPr>
          <w:rFonts w:ascii="宋体" w:hAnsi="宋体" w:cs="宋体"/>
          <w:sz w:val="24"/>
          <w:szCs w:val="24"/>
        </w:rPr>
      </w:pPr>
      <w:r>
        <w:rPr>
          <w:rFonts w:hint="eastAsia" w:ascii="宋体" w:hAnsi="宋体" w:cs="宋体"/>
          <w:sz w:val="24"/>
          <w:szCs w:val="24"/>
          <w:lang w:bidi="ar"/>
        </w:rPr>
        <w:t>工作室设置技术专家委员会，技术专家委员会主要由各个合作方相关专家组成，也可邀请相关领域的独立顾问或专家。技术专家委员会的职责是：</w:t>
      </w:r>
    </w:p>
    <w:p>
      <w:pPr>
        <w:spacing w:line="560" w:lineRule="exact"/>
        <w:ind w:firstLine="2"/>
        <w:rPr>
          <w:rFonts w:ascii="宋体" w:hAnsi="宋体" w:cs="宋体"/>
          <w:sz w:val="24"/>
          <w:szCs w:val="24"/>
        </w:rPr>
      </w:pPr>
      <w:r>
        <w:rPr>
          <w:rFonts w:hint="eastAsia" w:ascii="宋体" w:hAnsi="宋体" w:cs="宋体"/>
          <w:sz w:val="24"/>
          <w:szCs w:val="24"/>
          <w:lang w:bidi="ar"/>
        </w:rPr>
        <w:t>1. 确定工作室的总体技术路线和发展方向，并发布年度创新应用研究课题计划；</w:t>
      </w:r>
    </w:p>
    <w:p>
      <w:pPr>
        <w:spacing w:line="560" w:lineRule="exact"/>
        <w:ind w:firstLine="2"/>
        <w:rPr>
          <w:rFonts w:ascii="宋体" w:hAnsi="宋体" w:cs="宋体"/>
          <w:sz w:val="24"/>
          <w:szCs w:val="24"/>
        </w:rPr>
      </w:pPr>
      <w:r>
        <w:rPr>
          <w:rFonts w:hint="eastAsia" w:ascii="宋体" w:hAnsi="宋体" w:cs="宋体"/>
          <w:sz w:val="24"/>
          <w:szCs w:val="24"/>
          <w:lang w:bidi="ar"/>
        </w:rPr>
        <w:t>2. 指导工作室的创新研究工作；</w:t>
      </w:r>
    </w:p>
    <w:p>
      <w:pPr>
        <w:spacing w:line="560" w:lineRule="exact"/>
        <w:ind w:firstLine="2"/>
        <w:rPr>
          <w:rFonts w:ascii="宋体" w:hAnsi="宋体" w:cs="宋体"/>
          <w:sz w:val="24"/>
          <w:szCs w:val="24"/>
        </w:rPr>
      </w:pPr>
      <w:r>
        <w:rPr>
          <w:rFonts w:hint="eastAsia" w:ascii="宋体" w:hAnsi="宋体" w:cs="宋体"/>
          <w:sz w:val="24"/>
          <w:szCs w:val="24"/>
          <w:lang w:bidi="ar"/>
        </w:rPr>
        <w:t>3. 指导工作室人才培养工作。</w:t>
      </w:r>
    </w:p>
    <w:p>
      <w:pPr>
        <w:numPr>
          <w:ilvl w:val="0"/>
          <w:numId w:val="12"/>
        </w:numPr>
        <w:spacing w:line="560" w:lineRule="exact"/>
        <w:ind w:left="0" w:firstLine="0"/>
        <w:rPr>
          <w:rFonts w:ascii="宋体" w:hAnsi="宋体" w:cs="宋体"/>
          <w:sz w:val="24"/>
          <w:szCs w:val="24"/>
        </w:rPr>
      </w:pPr>
      <w:r>
        <w:rPr>
          <w:rFonts w:hint="eastAsia" w:ascii="宋体" w:hAnsi="宋体" w:cs="宋体"/>
          <w:sz w:val="24"/>
          <w:szCs w:val="24"/>
          <w:lang w:bidi="ar"/>
        </w:rPr>
        <w:t>技术专家委员会会议由主任召集并主持，定期会议原则上每半年至少召开一次，临时会议可根据工作需要由技术专家委员会决定召开。</w:t>
      </w:r>
    </w:p>
    <w:p>
      <w:pPr>
        <w:numPr>
          <w:ilvl w:val="0"/>
          <w:numId w:val="12"/>
        </w:numPr>
        <w:spacing w:line="560" w:lineRule="exact"/>
        <w:ind w:left="0" w:firstLine="0"/>
        <w:rPr>
          <w:rFonts w:ascii="宋体" w:hAnsi="宋体" w:cs="宋体"/>
          <w:sz w:val="24"/>
          <w:szCs w:val="24"/>
        </w:rPr>
      </w:pPr>
      <w:r>
        <w:rPr>
          <w:rFonts w:hint="eastAsia" w:ascii="宋体" w:hAnsi="宋体" w:cs="宋体"/>
          <w:sz w:val="24"/>
          <w:szCs w:val="24"/>
          <w:lang w:bidi="ar"/>
        </w:rPr>
        <w:t>经各方同意，可增加工作室合作建设单位，并通过签订合作协议明确合作方的责权利。</w:t>
      </w:r>
    </w:p>
    <w:p>
      <w:pPr>
        <w:pStyle w:val="32"/>
        <w:widowControl w:val="0"/>
        <w:numPr>
          <w:ilvl w:val="0"/>
          <w:numId w:val="11"/>
        </w:numPr>
        <w:spacing w:before="240" w:beforeLines="100" w:beforeAutospacing="0" w:afterAutospacing="0" w:line="560" w:lineRule="exact"/>
        <w:jc w:val="center"/>
        <w:rPr>
          <w:rFonts w:cs="宋体"/>
          <w:b/>
          <w:bCs/>
          <w:kern w:val="2"/>
        </w:rPr>
      </w:pPr>
      <w:r>
        <w:rPr>
          <w:rFonts w:hint="eastAsia" w:cs="宋体"/>
          <w:b/>
          <w:bCs/>
          <w:kern w:val="2"/>
          <w:lang w:bidi="ar"/>
        </w:rPr>
        <w:t>合作内容</w:t>
      </w:r>
    </w:p>
    <w:p>
      <w:pPr>
        <w:numPr>
          <w:ilvl w:val="0"/>
          <w:numId w:val="12"/>
        </w:numPr>
        <w:spacing w:line="560" w:lineRule="exact"/>
        <w:ind w:left="0" w:firstLine="0"/>
        <w:rPr>
          <w:rFonts w:ascii="宋体" w:hAnsi="宋体" w:cs="宋体"/>
          <w:sz w:val="24"/>
          <w:szCs w:val="24"/>
        </w:rPr>
      </w:pPr>
      <w:r>
        <w:rPr>
          <w:rFonts w:hint="eastAsia" w:ascii="宋体" w:hAnsi="宋体" w:cs="宋体"/>
          <w:sz w:val="24"/>
          <w:szCs w:val="24"/>
          <w:lang w:bidi="ar"/>
        </w:rPr>
        <w:t>工作室要充分发挥技术、市场合作优势，瞄准智慧机场应用的发展前沿，主要在以下方向形成合作（后续研究内容将根据各研究方向的发展情况，由双方协商一致并签署补充协议后进行补充或删减）：</w:t>
      </w:r>
    </w:p>
    <w:p>
      <w:pPr>
        <w:spacing w:line="560" w:lineRule="exact"/>
        <w:jc w:val="left"/>
        <w:rPr>
          <w:rFonts w:ascii="宋体" w:hAnsi="宋体" w:cs="宋体"/>
          <w:b/>
          <w:sz w:val="24"/>
          <w:szCs w:val="24"/>
        </w:rPr>
      </w:pPr>
      <w:r>
        <w:rPr>
          <w:rFonts w:hint="eastAsia" w:ascii="宋体" w:hAnsi="宋体" w:cs="宋体"/>
          <w:b/>
          <w:sz w:val="24"/>
          <w:szCs w:val="24"/>
          <w:lang w:bidi="ar"/>
        </w:rPr>
        <w:t>根据航站楼的规模、结构形式、项目特点等，智能建造的应用方向可分为一个六个方向。</w:t>
      </w:r>
    </w:p>
    <w:p>
      <w:pPr>
        <w:spacing w:line="560" w:lineRule="exact"/>
        <w:jc w:val="left"/>
        <w:rPr>
          <w:rFonts w:ascii="宋体" w:hAnsi="宋体" w:cs="宋体"/>
          <w:b/>
          <w:sz w:val="24"/>
          <w:szCs w:val="24"/>
        </w:rPr>
      </w:pPr>
      <w:r>
        <w:rPr>
          <w:rFonts w:hint="eastAsia" w:ascii="宋体" w:hAnsi="宋体" w:cs="宋体"/>
          <w:b/>
          <w:sz w:val="24"/>
          <w:szCs w:val="24"/>
          <w:lang w:bidi="ar"/>
        </w:rPr>
        <w:t>一、智能运输装备：包括水平运输和垂直运输；</w:t>
      </w:r>
    </w:p>
    <w:p>
      <w:pPr>
        <w:spacing w:line="560" w:lineRule="exact"/>
        <w:jc w:val="left"/>
        <w:rPr>
          <w:rFonts w:ascii="宋体" w:hAnsi="宋体" w:cs="宋体"/>
          <w:b/>
          <w:sz w:val="24"/>
          <w:szCs w:val="24"/>
        </w:rPr>
      </w:pPr>
      <w:r>
        <w:rPr>
          <w:rFonts w:hint="eastAsia" w:ascii="宋体" w:hAnsi="宋体" w:cs="宋体"/>
          <w:b/>
          <w:sz w:val="24"/>
          <w:szCs w:val="24"/>
          <w:lang w:bidi="ar"/>
        </w:rPr>
        <w:t>二、智能建造装备：全自动或者半自动完成部分施工任务，例如：焊接、砌筑、抹灰、浇筑等；</w:t>
      </w:r>
    </w:p>
    <w:p>
      <w:pPr>
        <w:spacing w:line="560" w:lineRule="exact"/>
        <w:jc w:val="left"/>
        <w:rPr>
          <w:rFonts w:ascii="宋体" w:hAnsi="宋体" w:cs="宋体"/>
          <w:b/>
          <w:sz w:val="24"/>
          <w:szCs w:val="24"/>
        </w:rPr>
      </w:pPr>
      <w:r>
        <w:rPr>
          <w:rFonts w:hint="eastAsia" w:ascii="宋体" w:hAnsi="宋体" w:cs="宋体"/>
          <w:b/>
          <w:sz w:val="24"/>
          <w:szCs w:val="24"/>
          <w:lang w:bidi="ar"/>
        </w:rPr>
        <w:t>三、智能巡检装备：能在项目现场进行巡查并收集资料，具有一定的自我判断和筛选数据的能力。</w:t>
      </w:r>
    </w:p>
    <w:p>
      <w:pPr>
        <w:spacing w:line="560" w:lineRule="exact"/>
        <w:jc w:val="left"/>
        <w:rPr>
          <w:rFonts w:ascii="宋体" w:hAnsi="宋体" w:cs="宋体"/>
          <w:b/>
          <w:sz w:val="24"/>
          <w:szCs w:val="24"/>
        </w:rPr>
      </w:pPr>
      <w:r>
        <w:rPr>
          <w:rFonts w:hint="eastAsia" w:ascii="宋体" w:hAnsi="宋体" w:cs="宋体"/>
          <w:b/>
          <w:sz w:val="24"/>
          <w:szCs w:val="24"/>
          <w:lang w:bidi="ar"/>
        </w:rPr>
        <w:t>四、智能监控设备：在传统的视频录像基础功能上能进行AI行为分析，及时发现现场的不正常情况并发出提醒。</w:t>
      </w:r>
    </w:p>
    <w:p>
      <w:pPr>
        <w:spacing w:line="560" w:lineRule="exact"/>
        <w:jc w:val="left"/>
        <w:rPr>
          <w:rFonts w:ascii="宋体" w:hAnsi="宋体" w:cs="宋体"/>
          <w:b/>
          <w:sz w:val="24"/>
          <w:szCs w:val="24"/>
        </w:rPr>
      </w:pPr>
      <w:r>
        <w:rPr>
          <w:rFonts w:hint="eastAsia" w:ascii="宋体" w:hAnsi="宋体" w:cs="宋体"/>
          <w:b/>
          <w:sz w:val="24"/>
          <w:szCs w:val="24"/>
          <w:lang w:bidi="ar"/>
        </w:rPr>
        <w:t>五、环境自动调节系统：例如自动扬尘控制系统、有限空间氧气浓度控制系统、火灾报警及消防水炮控制系统等。</w:t>
      </w:r>
    </w:p>
    <w:p>
      <w:pPr>
        <w:spacing w:line="560" w:lineRule="exact"/>
        <w:jc w:val="left"/>
        <w:rPr>
          <w:rFonts w:ascii="宋体" w:hAnsi="宋体" w:cs="宋体"/>
          <w:b/>
          <w:sz w:val="24"/>
          <w:szCs w:val="24"/>
        </w:rPr>
      </w:pPr>
      <w:r>
        <w:rPr>
          <w:rFonts w:hint="eastAsia" w:ascii="宋体" w:hAnsi="宋体" w:cs="宋体"/>
          <w:b/>
          <w:sz w:val="24"/>
          <w:szCs w:val="24"/>
          <w:lang w:bidi="ar"/>
        </w:rPr>
        <w:t>六、其他与本项目相关的科技类奖项的规划和申报工作等。</w:t>
      </w:r>
    </w:p>
    <w:p>
      <w:pPr>
        <w:spacing w:line="560" w:lineRule="exact"/>
        <w:jc w:val="left"/>
        <w:rPr>
          <w:rFonts w:ascii="宋体" w:hAnsi="宋体" w:cs="宋体"/>
          <w:b/>
          <w:sz w:val="24"/>
          <w:szCs w:val="24"/>
        </w:rPr>
      </w:pPr>
      <w:r>
        <w:rPr>
          <w:rFonts w:hint="eastAsia" w:ascii="宋体" w:hAnsi="宋体" w:cs="宋体"/>
          <w:b/>
          <w:sz w:val="24"/>
          <w:szCs w:val="24"/>
          <w:lang w:bidi="ar"/>
        </w:rPr>
        <w:t>说明：上述方向在招标阶段仅为建议性，具体合作研究内容在乙方进场双方商议一致后另行确认。</w:t>
      </w:r>
    </w:p>
    <w:p>
      <w:pPr>
        <w:spacing w:line="560" w:lineRule="exact"/>
        <w:rPr>
          <w:rFonts w:ascii="宋体" w:hAnsi="宋体" w:cs="宋体"/>
          <w:sz w:val="24"/>
          <w:szCs w:val="24"/>
        </w:rPr>
      </w:pPr>
      <w:r>
        <w:rPr>
          <w:rFonts w:hint="eastAsia" w:ascii="宋体" w:hAnsi="宋体" w:cs="宋体"/>
          <w:sz w:val="24"/>
          <w:szCs w:val="24"/>
          <w:lang w:bidi="ar"/>
        </w:rPr>
        <w:t xml:space="preserve"> </w:t>
      </w:r>
    </w:p>
    <w:p>
      <w:pPr>
        <w:numPr>
          <w:ilvl w:val="0"/>
          <w:numId w:val="12"/>
        </w:numPr>
        <w:spacing w:line="560" w:lineRule="exact"/>
        <w:ind w:left="0" w:firstLine="0"/>
        <w:rPr>
          <w:rFonts w:ascii="宋体" w:hAnsi="宋体" w:cs="宋体"/>
          <w:sz w:val="24"/>
          <w:szCs w:val="24"/>
        </w:rPr>
      </w:pPr>
      <w:r>
        <w:rPr>
          <w:rFonts w:hint="eastAsia" w:ascii="宋体" w:hAnsi="宋体" w:cs="宋体"/>
          <w:sz w:val="24"/>
          <w:szCs w:val="24"/>
          <w:lang w:bidi="ar"/>
        </w:rPr>
        <w:t>协议双方以工作室为载体，共同开展以下工作：</w:t>
      </w:r>
    </w:p>
    <w:p>
      <w:pPr>
        <w:spacing w:line="560" w:lineRule="exact"/>
        <w:rPr>
          <w:rFonts w:ascii="宋体" w:hAnsi="宋体" w:cs="宋体"/>
          <w:sz w:val="24"/>
          <w:szCs w:val="24"/>
        </w:rPr>
      </w:pPr>
      <w:r>
        <w:rPr>
          <w:rFonts w:hint="eastAsia" w:ascii="宋体" w:hAnsi="宋体" w:cs="宋体"/>
          <w:sz w:val="24"/>
          <w:szCs w:val="24"/>
          <w:lang w:bidi="ar"/>
        </w:rPr>
        <w:t>1．联合开展智能建造在机场航站楼工程中的应用研究；</w:t>
      </w:r>
    </w:p>
    <w:p>
      <w:pPr>
        <w:spacing w:line="560" w:lineRule="exact"/>
        <w:rPr>
          <w:rFonts w:ascii="宋体" w:hAnsi="宋体" w:cs="宋体"/>
          <w:sz w:val="24"/>
          <w:szCs w:val="24"/>
        </w:rPr>
      </w:pPr>
      <w:r>
        <w:rPr>
          <w:rFonts w:hint="eastAsia" w:ascii="宋体" w:hAnsi="宋体" w:cs="宋体"/>
          <w:sz w:val="24"/>
          <w:szCs w:val="24"/>
          <w:lang w:bidi="ar"/>
        </w:rPr>
        <w:t>3．联合开展系统实用化研究（现场测试、装备实验）；</w:t>
      </w:r>
    </w:p>
    <w:p>
      <w:pPr>
        <w:spacing w:line="560" w:lineRule="exact"/>
        <w:rPr>
          <w:rFonts w:ascii="宋体" w:hAnsi="宋体" w:cs="宋体"/>
          <w:sz w:val="24"/>
          <w:szCs w:val="24"/>
        </w:rPr>
      </w:pPr>
      <w:r>
        <w:rPr>
          <w:rFonts w:hint="eastAsia" w:ascii="宋体" w:hAnsi="宋体" w:cs="宋体"/>
          <w:sz w:val="24"/>
          <w:szCs w:val="24"/>
          <w:lang w:bidi="ar"/>
        </w:rPr>
        <w:t>4．由指挥部牵头，申报各类各级科技研究项目；</w:t>
      </w:r>
    </w:p>
    <w:p>
      <w:pPr>
        <w:spacing w:line="560" w:lineRule="exact"/>
        <w:rPr>
          <w:rFonts w:ascii="宋体" w:hAnsi="宋体" w:cs="宋体"/>
          <w:sz w:val="24"/>
          <w:szCs w:val="24"/>
        </w:rPr>
      </w:pPr>
      <w:r>
        <w:rPr>
          <w:rFonts w:hint="eastAsia" w:ascii="宋体" w:hAnsi="宋体" w:cs="宋体"/>
          <w:sz w:val="24"/>
          <w:szCs w:val="24"/>
          <w:lang w:bidi="ar"/>
        </w:rPr>
        <w:t>5．共享双方有关专家，针对合作项目的申请、立项、实施进行评审，针对技术战略方向进行咨询和研讨，不定期举办技术研讨会，规范和推进合作项目的顺利开展，减少项目的技术风险。</w:t>
      </w:r>
    </w:p>
    <w:p>
      <w:pPr>
        <w:spacing w:line="560" w:lineRule="exact"/>
        <w:ind w:left="2"/>
        <w:rPr>
          <w:rFonts w:ascii="宋体" w:hAnsi="宋体" w:cs="宋体"/>
          <w:sz w:val="24"/>
          <w:szCs w:val="24"/>
        </w:rPr>
      </w:pPr>
      <w:r>
        <w:rPr>
          <w:rFonts w:hint="eastAsia" w:ascii="宋体" w:hAnsi="宋体" w:cs="宋体"/>
          <w:sz w:val="24"/>
          <w:szCs w:val="24"/>
          <w:lang w:bidi="ar"/>
        </w:rPr>
        <w:t>6. 双方在国内共同举办有关工作室研究前沿技术的合作交流活动，主要采用研讨会形式，每年至少1次，会期约1-2天，参加人数约15-20人。会议交流内容由双方共同商定，指挥部主要负责邀请国内知名专家、民航局或各大机场相关领导，并协调组织会议活动。</w:t>
      </w:r>
    </w:p>
    <w:p>
      <w:pPr>
        <w:spacing w:line="560" w:lineRule="exact"/>
        <w:ind w:left="2"/>
        <w:rPr>
          <w:rFonts w:ascii="宋体" w:hAnsi="宋体" w:cs="宋体"/>
          <w:sz w:val="24"/>
          <w:szCs w:val="24"/>
        </w:rPr>
      </w:pPr>
      <w:r>
        <w:rPr>
          <w:rFonts w:hint="eastAsia" w:ascii="宋体" w:hAnsi="宋体" w:cs="宋体"/>
          <w:sz w:val="24"/>
          <w:szCs w:val="24"/>
          <w:lang w:bidi="ar"/>
        </w:rPr>
        <w:t>......</w:t>
      </w:r>
    </w:p>
    <w:p>
      <w:pPr>
        <w:numPr>
          <w:ilvl w:val="0"/>
          <w:numId w:val="12"/>
        </w:numPr>
        <w:spacing w:line="560" w:lineRule="exact"/>
        <w:ind w:left="0" w:firstLine="0"/>
        <w:rPr>
          <w:rFonts w:ascii="宋体" w:hAnsi="宋体" w:cs="宋体"/>
          <w:sz w:val="24"/>
          <w:szCs w:val="24"/>
        </w:rPr>
      </w:pPr>
      <w:r>
        <w:rPr>
          <w:rFonts w:hint="eastAsia" w:ascii="宋体" w:hAnsi="宋体" w:cs="宋体"/>
          <w:sz w:val="24"/>
          <w:szCs w:val="24"/>
          <w:lang w:bidi="ar"/>
        </w:rPr>
        <w:t>指挥部利用优势资源，大力推进创新研究课题研究，合作方应配置优势资源，对研究课题示范项目进行重点保障。具体合作项目通过双方签订的具体项目合作协议，确定合同金额、支付方式、成果分享和利益分配等事项。</w:t>
      </w:r>
    </w:p>
    <w:p>
      <w:pPr>
        <w:pStyle w:val="32"/>
        <w:widowControl w:val="0"/>
        <w:numPr>
          <w:ilvl w:val="0"/>
          <w:numId w:val="11"/>
        </w:numPr>
        <w:spacing w:before="240" w:beforeLines="100" w:beforeAutospacing="0" w:afterAutospacing="0" w:line="560" w:lineRule="exact"/>
        <w:jc w:val="center"/>
        <w:rPr>
          <w:rFonts w:cs="宋体"/>
          <w:b/>
          <w:bCs/>
          <w:kern w:val="2"/>
        </w:rPr>
      </w:pPr>
      <w:r>
        <w:rPr>
          <w:rFonts w:hint="eastAsia" w:cs="宋体"/>
          <w:b/>
          <w:bCs/>
          <w:kern w:val="2"/>
          <w:lang w:bidi="ar"/>
        </w:rPr>
        <w:t>运行机制</w:t>
      </w:r>
    </w:p>
    <w:p>
      <w:pPr>
        <w:numPr>
          <w:ilvl w:val="0"/>
          <w:numId w:val="12"/>
        </w:numPr>
        <w:spacing w:line="560" w:lineRule="exact"/>
        <w:ind w:left="0" w:firstLine="0"/>
        <w:rPr>
          <w:rFonts w:ascii="宋体" w:hAnsi="宋体" w:cs="宋体"/>
          <w:sz w:val="24"/>
          <w:szCs w:val="24"/>
        </w:rPr>
      </w:pPr>
      <w:r>
        <w:rPr>
          <w:rFonts w:hint="eastAsia" w:ascii="宋体" w:hAnsi="宋体" w:cs="宋体"/>
          <w:sz w:val="24"/>
          <w:szCs w:val="24"/>
          <w:lang w:bidi="ar"/>
        </w:rPr>
        <w:t>以指挥部为主体，工作室场所由乙方提供，双方合作，共同组建产学研用于一体的团队，为工作室提供科研项目支持，并为工作室科学技术研究提供现场测试的应用环境。合作公司....方式投入工作室运行所需资源，用于工作室日常运转。</w:t>
      </w:r>
    </w:p>
    <w:p>
      <w:pPr>
        <w:numPr>
          <w:ilvl w:val="0"/>
          <w:numId w:val="12"/>
        </w:numPr>
        <w:spacing w:line="560" w:lineRule="exact"/>
        <w:ind w:left="0" w:firstLine="0"/>
        <w:rPr>
          <w:rFonts w:ascii="宋体" w:hAnsi="宋体" w:cs="宋体"/>
          <w:sz w:val="24"/>
          <w:szCs w:val="24"/>
        </w:rPr>
      </w:pPr>
      <w:r>
        <w:rPr>
          <w:rFonts w:hint="eastAsia" w:ascii="宋体" w:hAnsi="宋体" w:cs="宋体"/>
          <w:sz w:val="24"/>
          <w:szCs w:val="24"/>
          <w:lang w:bidi="ar"/>
        </w:rPr>
        <w:t>工作室的创新研究类项目由工作室负责立项和全程监管，由课题负责人同工作室签订任务书，实行课题负责人责任制。</w:t>
      </w:r>
    </w:p>
    <w:p>
      <w:pPr>
        <w:numPr>
          <w:ilvl w:val="0"/>
          <w:numId w:val="12"/>
        </w:numPr>
        <w:spacing w:line="560" w:lineRule="exact"/>
        <w:ind w:left="0" w:firstLine="0"/>
        <w:rPr>
          <w:rFonts w:ascii="宋体" w:hAnsi="宋体" w:cs="宋体"/>
          <w:sz w:val="24"/>
          <w:szCs w:val="24"/>
        </w:rPr>
      </w:pPr>
      <w:r>
        <w:rPr>
          <w:rFonts w:hint="eastAsia" w:ascii="宋体" w:hAnsi="宋体" w:cs="宋体"/>
          <w:sz w:val="24"/>
          <w:szCs w:val="24"/>
          <w:lang w:bidi="ar"/>
        </w:rPr>
        <w:t>工作室研究方向与课题的选择，以智慧机场领域需求为核心展开，在符合双方在机场领域战略发展方向上，共同投入人员，形成技术应用突破项目、为满足机场系统需求的定制化研究项目、以技术方向为主的基础性探索项目等，或在双方感兴趣领域形成长期研究项目。工作室的研究工作以研究成果能实际应用、推广为目标。工作室团队在开发解决方案中所有的需求确认须经技术委员会成员审定并签署认可。</w:t>
      </w:r>
    </w:p>
    <w:p>
      <w:pPr>
        <w:numPr>
          <w:ilvl w:val="0"/>
          <w:numId w:val="12"/>
        </w:numPr>
        <w:spacing w:line="560" w:lineRule="exact"/>
        <w:ind w:left="0" w:firstLine="0"/>
        <w:rPr>
          <w:rFonts w:ascii="宋体" w:hAnsi="宋体" w:cs="宋体"/>
          <w:sz w:val="24"/>
          <w:szCs w:val="24"/>
        </w:rPr>
      </w:pPr>
      <w:r>
        <w:rPr>
          <w:rFonts w:hint="eastAsia" w:ascii="宋体" w:hAnsi="宋体" w:cs="宋体"/>
          <w:sz w:val="24"/>
          <w:szCs w:val="24"/>
          <w:lang w:bidi="ar"/>
        </w:rPr>
        <w:t>合作公司用于工作室软硬件设备类别的资源，在有市场项目支撑的情况下，从市场项目消化；在没有市场项目支撑时，设备为借用属性，借出方在借用合同到期后对于借用设备可以回收。</w:t>
      </w:r>
    </w:p>
    <w:p>
      <w:pPr>
        <w:spacing w:line="560" w:lineRule="exact"/>
        <w:rPr>
          <w:rFonts w:ascii="宋体" w:hAnsi="宋体" w:cs="宋体"/>
          <w:sz w:val="24"/>
          <w:szCs w:val="24"/>
        </w:rPr>
      </w:pPr>
      <w:r>
        <w:rPr>
          <w:rFonts w:hint="eastAsia" w:ascii="宋体" w:hAnsi="宋体" w:cs="宋体"/>
          <w:sz w:val="24"/>
          <w:szCs w:val="24"/>
          <w:lang w:bidi="ar"/>
        </w:rPr>
        <w:t>......</w:t>
      </w:r>
    </w:p>
    <w:p>
      <w:pPr>
        <w:pStyle w:val="32"/>
        <w:widowControl w:val="0"/>
        <w:numPr>
          <w:ilvl w:val="0"/>
          <w:numId w:val="11"/>
        </w:numPr>
        <w:spacing w:before="240" w:beforeLines="100" w:beforeAutospacing="0" w:afterAutospacing="0" w:line="560" w:lineRule="exact"/>
        <w:jc w:val="center"/>
        <w:rPr>
          <w:rFonts w:cs="宋体"/>
          <w:b/>
          <w:bCs/>
          <w:kern w:val="2"/>
        </w:rPr>
      </w:pPr>
      <w:r>
        <w:rPr>
          <w:rFonts w:hint="eastAsia" w:cs="宋体"/>
          <w:b/>
          <w:bCs/>
          <w:kern w:val="2"/>
          <w:lang w:bidi="ar"/>
        </w:rPr>
        <w:t>知识产权</w:t>
      </w:r>
    </w:p>
    <w:p>
      <w:pPr>
        <w:numPr>
          <w:ilvl w:val="0"/>
          <w:numId w:val="12"/>
        </w:numPr>
        <w:spacing w:line="560" w:lineRule="exact"/>
        <w:ind w:left="0" w:firstLine="0"/>
        <w:rPr>
          <w:rFonts w:ascii="宋体" w:hAnsi="宋体" w:cs="宋体"/>
          <w:sz w:val="24"/>
          <w:szCs w:val="24"/>
        </w:rPr>
      </w:pPr>
      <w:r>
        <w:rPr>
          <w:rFonts w:hint="eastAsia" w:ascii="宋体" w:hAnsi="宋体" w:cs="宋体"/>
          <w:sz w:val="24"/>
          <w:szCs w:val="24"/>
          <w:lang w:bidi="ar"/>
        </w:rPr>
        <w:t>双方拥有本协议生效前各自已经存在并拥有或控制的所有知识产权，协议期限内，双方独自完成的产品（包括但不限于其他方仅提供非自主设计的规格信息、数据等）以及其包含的知识产权归属完成方独自所有。协议期限内，双方在共同研究、工程实践、项目合作等过程中所形成的知识产权以及收益分配情况，由双方在具体的研究项目合同中进行约定。</w:t>
      </w:r>
    </w:p>
    <w:p>
      <w:pPr>
        <w:numPr>
          <w:ilvl w:val="0"/>
          <w:numId w:val="12"/>
        </w:numPr>
        <w:spacing w:line="560" w:lineRule="exact"/>
        <w:ind w:left="0" w:firstLine="0"/>
        <w:rPr>
          <w:rFonts w:ascii="宋体" w:hAnsi="宋体" w:cs="宋体"/>
          <w:sz w:val="24"/>
          <w:szCs w:val="24"/>
        </w:rPr>
      </w:pPr>
      <w:r>
        <w:rPr>
          <w:rFonts w:hint="eastAsia" w:ascii="宋体" w:hAnsi="宋体" w:cs="宋体"/>
          <w:sz w:val="24"/>
          <w:szCs w:val="24"/>
          <w:lang w:bidi="ar"/>
        </w:rPr>
        <w:t>非经协议双方书面同意，双方均不得在本协议及依据本协议而签署的其他协议约定的许可范围之外，使用或授予本合同主体之外的第三方使用与本协议双方共同拥有的知识产权。任何一方非按照上述协议约定而使用另一方知识产权的，需对另一方因其违约、侵权行为造成的所有损失承担赔偿责任。</w:t>
      </w:r>
    </w:p>
    <w:p>
      <w:pPr>
        <w:numPr>
          <w:ilvl w:val="0"/>
          <w:numId w:val="12"/>
        </w:numPr>
        <w:spacing w:line="560" w:lineRule="exact"/>
        <w:ind w:left="0" w:firstLine="0"/>
        <w:rPr>
          <w:rFonts w:ascii="宋体" w:hAnsi="宋体" w:cs="宋体"/>
          <w:sz w:val="24"/>
          <w:szCs w:val="24"/>
        </w:rPr>
      </w:pPr>
      <w:r>
        <w:rPr>
          <w:rFonts w:hint="eastAsia" w:ascii="宋体" w:hAnsi="宋体" w:cs="宋体"/>
          <w:sz w:val="24"/>
          <w:szCs w:val="24"/>
          <w:lang w:bidi="ar"/>
        </w:rPr>
        <w:t>协议双方在申请包括但不限于国家各类科技计划、地方各类科技计划、政府间科技合作计划时，另一方有配合的义务，该类计划的知识产权由双方额外签署“技术研究协议书”约定。</w:t>
      </w:r>
    </w:p>
    <w:p>
      <w:pPr>
        <w:pStyle w:val="32"/>
        <w:widowControl w:val="0"/>
        <w:numPr>
          <w:ilvl w:val="0"/>
          <w:numId w:val="11"/>
        </w:numPr>
        <w:spacing w:before="240" w:beforeLines="100" w:beforeAutospacing="0" w:afterAutospacing="0" w:line="560" w:lineRule="exact"/>
        <w:jc w:val="center"/>
        <w:rPr>
          <w:rFonts w:cs="宋体"/>
          <w:b/>
          <w:bCs/>
          <w:kern w:val="2"/>
        </w:rPr>
      </w:pPr>
      <w:r>
        <w:rPr>
          <w:rFonts w:hint="eastAsia" w:cs="宋体"/>
          <w:b/>
          <w:bCs/>
          <w:kern w:val="2"/>
          <w:lang w:bidi="ar"/>
        </w:rPr>
        <w:t>保密管理</w:t>
      </w:r>
    </w:p>
    <w:p>
      <w:pPr>
        <w:numPr>
          <w:ilvl w:val="0"/>
          <w:numId w:val="12"/>
        </w:numPr>
        <w:spacing w:line="560" w:lineRule="exact"/>
        <w:ind w:left="141" w:leftChars="67" w:firstLine="0"/>
        <w:rPr>
          <w:rFonts w:ascii="宋体" w:hAnsi="宋体" w:cs="宋体"/>
          <w:sz w:val="24"/>
          <w:szCs w:val="24"/>
        </w:rPr>
      </w:pPr>
      <w:r>
        <w:rPr>
          <w:rFonts w:hint="eastAsia" w:ascii="宋体" w:hAnsi="宋体" w:cs="宋体"/>
          <w:b/>
          <w:bCs/>
          <w:sz w:val="24"/>
          <w:szCs w:val="24"/>
          <w:lang w:bidi="ar"/>
        </w:rPr>
        <w:t xml:space="preserve"> </w:t>
      </w:r>
      <w:r>
        <w:rPr>
          <w:rFonts w:hint="eastAsia" w:ascii="宋体" w:hAnsi="宋体" w:cs="宋体"/>
          <w:bCs/>
          <w:sz w:val="24"/>
          <w:szCs w:val="24"/>
          <w:lang w:bidi="ar"/>
        </w:rPr>
        <w:t>“保密信息”即任何非公开的商业、财务、技术或其他信息，包括但不限于规格、设计、计划、图纸、软件、数据、原型、工艺等。保密信息若以书面形式披露，则披露方应在其上标明披露方名称、披露日期及“保密”或类似字样。保密信息若首先以口头等其他非书面方式披露，则披露方应将其所披露的保密信息、披露方名称及披露日期整理成书面形式，并自首次口头披露之日起三十日内将其交付给接收方。除非另有约定，本协议中的一方也包括该方的关联公司。某一方的“关联公司”是指任何一方现在或将来控制、受其控制或与其共同被控制的任何公司或合法机构。“控制”指对受控或共同受控机构选举董事（或其它管理负责人）的股份或其它证券，直接或间接地拥有至少百分之三十（30％）的投票权。</w:t>
      </w:r>
    </w:p>
    <w:p>
      <w:pPr>
        <w:numPr>
          <w:ilvl w:val="0"/>
          <w:numId w:val="12"/>
        </w:numPr>
        <w:spacing w:line="560" w:lineRule="exact"/>
        <w:ind w:left="141" w:leftChars="67" w:firstLine="0"/>
        <w:rPr>
          <w:rFonts w:ascii="宋体" w:hAnsi="宋体" w:cs="宋体"/>
          <w:bCs/>
          <w:sz w:val="24"/>
          <w:szCs w:val="24"/>
        </w:rPr>
      </w:pPr>
      <w:r>
        <w:rPr>
          <w:rFonts w:hint="eastAsia" w:ascii="宋体" w:hAnsi="宋体" w:cs="宋体"/>
          <w:bCs/>
          <w:sz w:val="24"/>
          <w:szCs w:val="24"/>
          <w:lang w:bidi="ar"/>
        </w:rPr>
        <w:t>保密信息不包括如下信息：（1）已成为公知信息，而接收方对此并无过错；或（2）披露时接收方已经知晓的信息；或（3）接收方从第三方合法获得的信息，且未附加保密的义务；或（4）接收方并未使用保密信息，而自行研发获得的信息；或（5）披露方事先书面同意披露或使用的信息；或（6）未根据1.2款的约定标明“保密”或确认其保密性质的信息。根据司法或政府部门的强制性要求，若接收方满足如下任一条件：（1）一旦知晓前述强制性要求，立即将此种情形书面通知披露方，或（2）获得前述司法或政府部门对所接收的保密信息予以严格保密的书面保证，则接收方有权应此强制性要求披露保密信息。</w:t>
      </w:r>
    </w:p>
    <w:p>
      <w:pPr>
        <w:numPr>
          <w:ilvl w:val="0"/>
          <w:numId w:val="12"/>
        </w:numPr>
        <w:spacing w:line="560" w:lineRule="exact"/>
        <w:ind w:left="141" w:leftChars="67" w:firstLine="0"/>
        <w:rPr>
          <w:rFonts w:ascii="宋体" w:hAnsi="宋体" w:cs="宋体"/>
          <w:bCs/>
          <w:sz w:val="24"/>
          <w:szCs w:val="24"/>
        </w:rPr>
      </w:pPr>
      <w:r>
        <w:rPr>
          <w:rFonts w:hint="eastAsia" w:ascii="宋体" w:hAnsi="宋体" w:cs="宋体"/>
          <w:bCs/>
          <w:sz w:val="24"/>
          <w:szCs w:val="24"/>
          <w:lang w:bidi="ar"/>
        </w:rPr>
        <w:t>接收方同意，只为协议目的接收和使用披露方的保密信息。接收方理解并同意，除另有约定外，接收方不得开发、销售或向他人许可包含部分或完整的披露方保密信息的零部件、产品、服务、文档或信息。未经披露方事先书面同意，接收方不得为己方或任何第三方的利益使用保密信息。接收方一旦发现任何对保密信息的非授权使用或披露、或接收方、其雇员及顾问违反本协议的行为，应立即通知披露方授权代表，且应采取合理措施协助披露方重新掌控该等保密信息和防止对该等保密信息的进一步滥用或披露。</w:t>
      </w:r>
    </w:p>
    <w:p>
      <w:pPr>
        <w:numPr>
          <w:ilvl w:val="0"/>
          <w:numId w:val="12"/>
        </w:numPr>
        <w:spacing w:line="560" w:lineRule="exact"/>
        <w:ind w:left="141" w:leftChars="67" w:firstLine="0"/>
        <w:rPr>
          <w:rFonts w:ascii="宋体" w:hAnsi="宋体" w:cs="宋体"/>
          <w:bCs/>
          <w:sz w:val="24"/>
          <w:szCs w:val="24"/>
        </w:rPr>
      </w:pPr>
      <w:r>
        <w:rPr>
          <w:rFonts w:hint="eastAsia" w:ascii="宋体" w:hAnsi="宋体" w:cs="宋体"/>
          <w:bCs/>
          <w:sz w:val="24"/>
          <w:szCs w:val="24"/>
          <w:lang w:bidi="ar"/>
        </w:rPr>
        <w:t>除非协议双方均同意，任一方均不应向第三方披露或公开宣称如下事项：（1）双方正在或即将进行某种磋商、或双方缔结某种合作关系的可能性；或（2）双方即将缔结、或已缔结、或已终止某种项目合作关系。</w:t>
      </w:r>
    </w:p>
    <w:p>
      <w:pPr>
        <w:numPr>
          <w:ilvl w:val="0"/>
          <w:numId w:val="12"/>
        </w:numPr>
        <w:spacing w:line="560" w:lineRule="exact"/>
        <w:ind w:left="141" w:leftChars="67" w:firstLine="0"/>
        <w:rPr>
          <w:rFonts w:ascii="宋体" w:hAnsi="宋体" w:cs="宋体"/>
          <w:bCs/>
          <w:sz w:val="24"/>
          <w:szCs w:val="24"/>
        </w:rPr>
      </w:pPr>
      <w:r>
        <w:rPr>
          <w:rFonts w:hint="eastAsia" w:ascii="宋体" w:hAnsi="宋体" w:cs="宋体"/>
          <w:bCs/>
          <w:sz w:val="24"/>
          <w:szCs w:val="24"/>
          <w:lang w:bidi="ar"/>
        </w:rPr>
        <w:t>保密信息的返还：一旦披露方要求，接收方应立即向披露方返还或销毁自披露方获得的全部保密信息的原件、复制件、摘要及任何包含保密信息的材料。</w:t>
      </w:r>
    </w:p>
    <w:p>
      <w:pPr>
        <w:pStyle w:val="32"/>
        <w:widowControl w:val="0"/>
        <w:numPr>
          <w:ilvl w:val="0"/>
          <w:numId w:val="11"/>
        </w:numPr>
        <w:spacing w:before="240" w:beforeLines="100" w:beforeAutospacing="0" w:afterAutospacing="0" w:line="560" w:lineRule="exact"/>
        <w:jc w:val="center"/>
        <w:rPr>
          <w:rFonts w:cs="宋体"/>
          <w:b/>
          <w:bCs/>
          <w:kern w:val="2"/>
        </w:rPr>
      </w:pPr>
      <w:r>
        <w:rPr>
          <w:rFonts w:hint="eastAsia" w:cs="宋体"/>
          <w:b/>
          <w:bCs/>
          <w:kern w:val="2"/>
          <w:lang w:bidi="ar"/>
        </w:rPr>
        <w:t>附则</w:t>
      </w:r>
    </w:p>
    <w:p>
      <w:pPr>
        <w:numPr>
          <w:ilvl w:val="0"/>
          <w:numId w:val="12"/>
        </w:numPr>
        <w:spacing w:line="560" w:lineRule="exact"/>
        <w:ind w:left="0" w:firstLine="0"/>
        <w:rPr>
          <w:rFonts w:ascii="宋体" w:hAnsi="宋体" w:cs="宋体"/>
          <w:bCs/>
          <w:sz w:val="24"/>
          <w:szCs w:val="24"/>
        </w:rPr>
      </w:pPr>
      <w:r>
        <w:rPr>
          <w:rFonts w:hint="eastAsia" w:ascii="宋体" w:hAnsi="宋体" w:cs="宋体"/>
          <w:sz w:val="24"/>
          <w:szCs w:val="24"/>
          <w:lang w:bidi="ar"/>
        </w:rPr>
        <w:t>本协议及协议的变更由各合作方共同订立，由各合作方授权代表签署后生效，协议有效期三年。</w:t>
      </w:r>
    </w:p>
    <w:p>
      <w:pPr>
        <w:numPr>
          <w:ilvl w:val="0"/>
          <w:numId w:val="12"/>
        </w:numPr>
        <w:spacing w:line="560" w:lineRule="exact"/>
        <w:ind w:left="0" w:firstLine="0"/>
        <w:rPr>
          <w:rFonts w:ascii="宋体" w:hAnsi="宋体" w:cs="宋体"/>
          <w:sz w:val="24"/>
          <w:szCs w:val="24"/>
        </w:rPr>
      </w:pPr>
      <w:r>
        <w:rPr>
          <w:rFonts w:hint="eastAsia" w:ascii="宋体" w:hAnsi="宋体" w:cs="宋体"/>
          <w:sz w:val="24"/>
          <w:szCs w:val="24"/>
          <w:lang w:bidi="ar"/>
        </w:rPr>
        <w:t>在非违约条件下，本协议提前终止需要双方共同确认，由双方授权代表书面确认后终止。</w:t>
      </w:r>
    </w:p>
    <w:p>
      <w:pPr>
        <w:numPr>
          <w:ilvl w:val="0"/>
          <w:numId w:val="12"/>
        </w:numPr>
        <w:spacing w:line="560" w:lineRule="exact"/>
        <w:ind w:left="0" w:firstLine="0"/>
        <w:rPr>
          <w:rFonts w:ascii="宋体" w:hAnsi="宋体" w:cs="宋体"/>
          <w:sz w:val="24"/>
          <w:szCs w:val="24"/>
        </w:rPr>
      </w:pPr>
      <w:r>
        <w:rPr>
          <w:rFonts w:hint="eastAsia" w:ascii="宋体" w:hAnsi="宋体" w:cs="宋体"/>
          <w:sz w:val="24"/>
          <w:szCs w:val="24"/>
          <w:lang w:bidi="ar"/>
        </w:rPr>
        <w:t>本协议受中华人民共和国法律约束，如发生争议，双方应本着友好合作的原则协商解决。协商不成，任何一方可向有管辖权的法院提起诉讼。</w:t>
      </w:r>
    </w:p>
    <w:p>
      <w:pPr>
        <w:numPr>
          <w:ilvl w:val="0"/>
          <w:numId w:val="12"/>
        </w:numPr>
        <w:spacing w:line="560" w:lineRule="exact"/>
        <w:ind w:left="0" w:firstLine="0"/>
        <w:rPr>
          <w:rFonts w:ascii="宋体" w:hAnsi="宋体" w:cs="宋体"/>
          <w:sz w:val="24"/>
          <w:szCs w:val="24"/>
        </w:rPr>
      </w:pPr>
      <w:r>
        <w:rPr>
          <w:rFonts w:hint="eastAsia" w:ascii="宋体" w:hAnsi="宋体" w:cs="宋体"/>
          <w:sz w:val="24"/>
          <w:szCs w:val="24"/>
          <w:lang w:bidi="ar"/>
        </w:rPr>
        <w:t>本协议一式贰份，每方各执壹份，具有同等的法律效力，本协议未尽事宜，双方另行协商确定。</w:t>
      </w:r>
    </w:p>
    <w:p>
      <w:pPr>
        <w:rPr>
          <w:rFonts w:ascii="宋体" w:hAnsi="宋体" w:cs="宋体"/>
          <w:b/>
          <w:sz w:val="24"/>
          <w:szCs w:val="24"/>
        </w:rPr>
      </w:pPr>
      <w:r>
        <w:rPr>
          <w:rFonts w:hint="eastAsia" w:ascii="宋体" w:hAnsi="宋体" w:cs="宋体"/>
          <w:b/>
          <w:sz w:val="24"/>
          <w:szCs w:val="24"/>
          <w:lang w:bidi="ar"/>
        </w:rPr>
        <w:t xml:space="preserve"> </w:t>
      </w:r>
    </w:p>
    <w:p>
      <w:pPr>
        <w:rPr>
          <w:rFonts w:ascii="宋体" w:hAnsi="宋体" w:cs="宋体"/>
          <w:b/>
          <w:sz w:val="24"/>
          <w:szCs w:val="24"/>
        </w:rPr>
      </w:pPr>
      <w:r>
        <w:rPr>
          <w:rFonts w:hint="eastAsia" w:ascii="宋体" w:hAnsi="宋体" w:cs="宋体"/>
          <w:b/>
          <w:sz w:val="24"/>
          <w:szCs w:val="24"/>
          <w:lang w:bidi="ar"/>
        </w:rPr>
        <w:t xml:space="preserve"> </w:t>
      </w:r>
    </w:p>
    <w:p>
      <w:pPr>
        <w:rPr>
          <w:rFonts w:ascii="宋体" w:hAnsi="宋体" w:cs="宋体"/>
          <w:b/>
          <w:sz w:val="24"/>
          <w:szCs w:val="24"/>
        </w:rPr>
      </w:pPr>
      <w:r>
        <w:rPr>
          <w:rFonts w:hint="eastAsia" w:ascii="宋体" w:hAnsi="宋体" w:cs="宋体"/>
          <w:b/>
          <w:sz w:val="24"/>
          <w:szCs w:val="24"/>
          <w:lang w:bidi="ar"/>
        </w:rPr>
        <w:t xml:space="preserve"> </w:t>
      </w:r>
    </w:p>
    <w:p>
      <w:pPr>
        <w:rPr>
          <w:rFonts w:ascii="宋体" w:hAnsi="宋体" w:cs="宋体"/>
          <w:b/>
          <w:sz w:val="24"/>
          <w:szCs w:val="24"/>
        </w:rPr>
      </w:pPr>
      <w:r>
        <w:rPr>
          <w:rFonts w:hint="eastAsia" w:ascii="宋体" w:hAnsi="宋体" w:cs="宋体"/>
          <w:b/>
          <w:sz w:val="24"/>
          <w:szCs w:val="24"/>
          <w:lang w:bidi="ar"/>
        </w:rPr>
        <w:t xml:space="preserve"> </w:t>
      </w:r>
    </w:p>
    <w:p>
      <w:pPr>
        <w:rPr>
          <w:rFonts w:ascii="宋体" w:hAnsi="宋体" w:cs="宋体"/>
          <w:b/>
          <w:sz w:val="24"/>
          <w:szCs w:val="24"/>
        </w:rPr>
      </w:pPr>
      <w:r>
        <w:rPr>
          <w:rFonts w:hint="eastAsia" w:ascii="宋体" w:hAnsi="宋体" w:cs="宋体"/>
          <w:b/>
          <w:sz w:val="24"/>
          <w:szCs w:val="24"/>
          <w:lang w:bidi="ar"/>
        </w:rPr>
        <w:t xml:space="preserve"> </w:t>
      </w:r>
    </w:p>
    <w:p>
      <w:pPr>
        <w:rPr>
          <w:rFonts w:ascii="宋体" w:hAnsi="宋体" w:cs="宋体"/>
          <w:b/>
          <w:sz w:val="24"/>
          <w:szCs w:val="24"/>
        </w:rPr>
      </w:pPr>
      <w:r>
        <w:rPr>
          <w:rFonts w:hint="eastAsia" w:ascii="宋体" w:hAnsi="宋体" w:cs="宋体"/>
          <w:b/>
          <w:sz w:val="24"/>
          <w:szCs w:val="24"/>
          <w:lang w:bidi="ar"/>
        </w:rPr>
        <w:t xml:space="preserve"> </w:t>
      </w:r>
    </w:p>
    <w:p>
      <w:pPr>
        <w:rPr>
          <w:rFonts w:ascii="宋体" w:hAnsi="宋体" w:cs="宋体"/>
          <w:b/>
          <w:sz w:val="24"/>
          <w:szCs w:val="24"/>
        </w:rPr>
      </w:pPr>
      <w:r>
        <w:rPr>
          <w:rFonts w:hint="eastAsia" w:ascii="宋体" w:hAnsi="宋体" w:cs="宋体"/>
          <w:b/>
          <w:sz w:val="24"/>
          <w:szCs w:val="24"/>
          <w:lang w:bidi="ar"/>
        </w:rPr>
        <w:t>（本页无正文）</w:t>
      </w:r>
    </w:p>
    <w:p>
      <w:pPr>
        <w:rPr>
          <w:rFonts w:ascii="宋体" w:hAnsi="宋体" w:cs="宋体"/>
          <w:b/>
          <w:sz w:val="24"/>
          <w:szCs w:val="24"/>
        </w:rPr>
      </w:pPr>
      <w:r>
        <w:rPr>
          <w:rFonts w:hint="eastAsia" w:ascii="宋体" w:hAnsi="宋体" w:cs="宋体"/>
          <w:b/>
          <w:sz w:val="24"/>
          <w:szCs w:val="24"/>
          <w:lang w:bidi="ar"/>
        </w:rPr>
        <w:t xml:space="preserve"> </w:t>
      </w:r>
    </w:p>
    <w:p>
      <w:pPr>
        <w:rPr>
          <w:rFonts w:ascii="宋体" w:hAnsi="宋体" w:cs="宋体"/>
          <w:b/>
          <w:sz w:val="24"/>
          <w:szCs w:val="24"/>
        </w:rPr>
      </w:pPr>
      <w:r>
        <w:rPr>
          <w:rFonts w:hint="eastAsia" w:ascii="宋体" w:hAnsi="宋体" w:cs="宋体"/>
          <w:b/>
          <w:sz w:val="24"/>
          <w:szCs w:val="24"/>
          <w:lang w:bidi="ar"/>
        </w:rPr>
        <w:t xml:space="preserve"> </w:t>
      </w:r>
    </w:p>
    <w:p>
      <w:pPr>
        <w:rPr>
          <w:rFonts w:ascii="宋体" w:hAnsi="宋体" w:cs="宋体"/>
          <w:b/>
          <w:sz w:val="24"/>
          <w:szCs w:val="24"/>
        </w:rPr>
      </w:pPr>
      <w:r>
        <w:rPr>
          <w:rFonts w:hint="eastAsia" w:ascii="宋体" w:hAnsi="宋体" w:cs="宋体"/>
          <w:b/>
          <w:sz w:val="24"/>
          <w:szCs w:val="24"/>
          <w:lang w:bidi="ar"/>
        </w:rPr>
        <w:t xml:space="preserve"> </w:t>
      </w:r>
    </w:p>
    <w:p>
      <w:pPr>
        <w:rPr>
          <w:rFonts w:ascii="宋体" w:hAnsi="宋体" w:cs="宋体"/>
          <w:b/>
          <w:sz w:val="24"/>
          <w:szCs w:val="24"/>
        </w:rPr>
      </w:pPr>
      <w:r>
        <w:rPr>
          <w:rFonts w:hint="eastAsia" w:ascii="宋体" w:hAnsi="宋体" w:cs="宋体"/>
          <w:b/>
          <w:sz w:val="24"/>
          <w:szCs w:val="24"/>
          <w:lang w:bidi="ar"/>
        </w:rPr>
        <w:t xml:space="preserve"> </w:t>
      </w:r>
    </w:p>
    <w:p>
      <w:pPr>
        <w:rPr>
          <w:rFonts w:ascii="宋体" w:hAnsi="宋体" w:cs="宋体"/>
          <w:b/>
          <w:sz w:val="24"/>
          <w:szCs w:val="24"/>
        </w:rPr>
      </w:pPr>
      <w:r>
        <w:rPr>
          <w:rFonts w:hint="eastAsia" w:ascii="宋体" w:hAnsi="宋体" w:cs="宋体"/>
          <w:b/>
          <w:sz w:val="24"/>
          <w:szCs w:val="24"/>
          <w:lang w:bidi="ar"/>
        </w:rPr>
        <w:t>广东省机场管理集团有限公司</w:t>
      </w:r>
    </w:p>
    <w:p>
      <w:pPr>
        <w:rPr>
          <w:rFonts w:ascii="宋体" w:hAnsi="宋体" w:cs="宋体"/>
          <w:b/>
          <w:sz w:val="24"/>
          <w:szCs w:val="24"/>
        </w:rPr>
      </w:pPr>
      <w:r>
        <w:rPr>
          <w:rFonts w:hint="eastAsia" w:ascii="宋体" w:hAnsi="宋体" w:cs="宋体"/>
          <w:b/>
          <w:sz w:val="24"/>
          <w:szCs w:val="24"/>
          <w:lang w:bidi="ar"/>
        </w:rPr>
        <w:t xml:space="preserve">工程建设指挥部           </w:t>
      </w:r>
      <w:r>
        <w:rPr>
          <w:rFonts w:hint="eastAsia" w:ascii="宋体" w:hAnsi="宋体" w:cs="宋体"/>
          <w:b/>
          <w:sz w:val="24"/>
          <w:szCs w:val="24"/>
          <w:lang w:bidi="ar"/>
        </w:rPr>
        <w:tab/>
      </w:r>
      <w:r>
        <w:rPr>
          <w:rFonts w:hint="eastAsia" w:ascii="宋体" w:hAnsi="宋体" w:cs="宋体"/>
          <w:b/>
          <w:sz w:val="24"/>
          <w:szCs w:val="24"/>
          <w:lang w:bidi="ar"/>
        </w:rPr>
        <w:t xml:space="preserve">                </w:t>
      </w:r>
    </w:p>
    <w:p>
      <w:pPr>
        <w:rPr>
          <w:rFonts w:ascii="宋体" w:hAnsi="宋体" w:cs="宋体"/>
          <w:b/>
          <w:sz w:val="24"/>
          <w:szCs w:val="24"/>
        </w:rPr>
      </w:pPr>
      <w:r>
        <w:rPr>
          <w:rFonts w:hint="eastAsia" w:ascii="宋体" w:hAnsi="宋体" w:cs="宋体"/>
          <w:b/>
          <w:sz w:val="24"/>
          <w:szCs w:val="24"/>
          <w:lang w:bidi="ar"/>
        </w:rPr>
        <w:t>签字：</w:t>
      </w:r>
      <w:r>
        <w:rPr>
          <w:rFonts w:hint="eastAsia" w:ascii="宋体" w:hAnsi="宋体" w:cs="宋体"/>
          <w:b/>
          <w:sz w:val="24"/>
          <w:szCs w:val="24"/>
          <w:lang w:bidi="ar"/>
        </w:rPr>
        <w:tab/>
      </w:r>
      <w:r>
        <w:rPr>
          <w:rFonts w:hint="eastAsia" w:ascii="宋体" w:hAnsi="宋体" w:cs="宋体"/>
          <w:b/>
          <w:sz w:val="24"/>
          <w:szCs w:val="24"/>
          <w:lang w:bidi="ar"/>
        </w:rPr>
        <w:tab/>
      </w:r>
      <w:r>
        <w:rPr>
          <w:rFonts w:hint="eastAsia" w:ascii="宋体" w:hAnsi="宋体" w:cs="宋体"/>
          <w:b/>
          <w:sz w:val="24"/>
          <w:szCs w:val="24"/>
          <w:lang w:bidi="ar"/>
        </w:rPr>
        <w:t xml:space="preserve">                              签字：</w:t>
      </w:r>
    </w:p>
    <w:p>
      <w:pPr>
        <w:rPr>
          <w:rFonts w:ascii="宋体" w:hAnsi="宋体" w:cs="宋体"/>
          <w:b/>
          <w:sz w:val="24"/>
          <w:szCs w:val="24"/>
        </w:rPr>
      </w:pPr>
      <w:r>
        <w:rPr>
          <w:rFonts w:hint="eastAsia" w:ascii="宋体" w:hAnsi="宋体" w:cs="宋体"/>
          <w:b/>
          <w:sz w:val="24"/>
          <w:szCs w:val="24"/>
          <w:lang w:bidi="ar"/>
        </w:rPr>
        <w:t xml:space="preserve"> </w:t>
      </w:r>
    </w:p>
    <w:p>
      <w:pPr>
        <w:rPr>
          <w:rFonts w:ascii="宋体" w:hAnsi="宋体" w:cs="宋体"/>
          <w:b/>
          <w:sz w:val="24"/>
          <w:szCs w:val="24"/>
        </w:rPr>
      </w:pPr>
      <w:r>
        <w:rPr>
          <w:rFonts w:hint="eastAsia" w:ascii="宋体" w:hAnsi="宋体" w:cs="宋体"/>
          <w:b/>
          <w:sz w:val="24"/>
          <w:szCs w:val="24"/>
          <w:lang w:bidi="ar"/>
        </w:rPr>
        <w:t>姓名（印刷体）：</w:t>
      </w:r>
      <w:r>
        <w:rPr>
          <w:rFonts w:hint="eastAsia" w:ascii="宋体" w:hAnsi="宋体" w:cs="宋体"/>
          <w:b/>
          <w:sz w:val="24"/>
          <w:szCs w:val="24"/>
          <w:lang w:bidi="ar"/>
        </w:rPr>
        <w:tab/>
      </w:r>
      <w:r>
        <w:rPr>
          <w:rFonts w:hint="eastAsia" w:ascii="宋体" w:hAnsi="宋体" w:cs="宋体"/>
          <w:b/>
          <w:sz w:val="24"/>
          <w:szCs w:val="24"/>
          <w:lang w:bidi="ar"/>
        </w:rPr>
        <w:tab/>
      </w:r>
      <w:r>
        <w:rPr>
          <w:rFonts w:hint="eastAsia" w:ascii="宋体" w:hAnsi="宋体" w:cs="宋体"/>
          <w:b/>
          <w:sz w:val="24"/>
          <w:szCs w:val="24"/>
          <w:lang w:bidi="ar"/>
        </w:rPr>
        <w:t xml:space="preserve">                     姓名（印刷体）：</w:t>
      </w:r>
    </w:p>
    <w:p>
      <w:pPr>
        <w:rPr>
          <w:rFonts w:ascii="宋体" w:hAnsi="宋体" w:cs="宋体"/>
          <w:b/>
          <w:sz w:val="24"/>
          <w:szCs w:val="24"/>
        </w:rPr>
      </w:pPr>
      <w:r>
        <w:rPr>
          <w:rFonts w:hint="eastAsia" w:ascii="宋体" w:hAnsi="宋体" w:cs="宋体"/>
          <w:b/>
          <w:sz w:val="24"/>
          <w:szCs w:val="24"/>
          <w:lang w:bidi="ar"/>
        </w:rPr>
        <w:t xml:space="preserve"> </w:t>
      </w:r>
    </w:p>
    <w:p>
      <w:pPr>
        <w:rPr>
          <w:rFonts w:ascii="宋体" w:hAnsi="宋体" w:cs="宋体"/>
          <w:b/>
          <w:sz w:val="24"/>
          <w:szCs w:val="24"/>
        </w:rPr>
      </w:pPr>
      <w:r>
        <w:rPr>
          <w:rFonts w:hint="eastAsia" w:ascii="宋体" w:hAnsi="宋体" w:cs="宋体"/>
          <w:b/>
          <w:sz w:val="24"/>
          <w:szCs w:val="24"/>
          <w:lang w:bidi="ar"/>
        </w:rPr>
        <w:t>职务：</w:t>
      </w:r>
      <w:r>
        <w:rPr>
          <w:rFonts w:hint="eastAsia" w:ascii="宋体" w:hAnsi="宋体" w:cs="宋体"/>
          <w:b/>
          <w:sz w:val="24"/>
          <w:szCs w:val="24"/>
          <w:lang w:bidi="ar"/>
        </w:rPr>
        <w:tab/>
      </w:r>
      <w:r>
        <w:rPr>
          <w:rFonts w:hint="eastAsia" w:ascii="宋体" w:hAnsi="宋体" w:cs="宋体"/>
          <w:b/>
          <w:sz w:val="24"/>
          <w:szCs w:val="24"/>
          <w:lang w:bidi="ar"/>
        </w:rPr>
        <w:tab/>
      </w:r>
      <w:r>
        <w:rPr>
          <w:rFonts w:hint="eastAsia" w:ascii="宋体" w:hAnsi="宋体" w:cs="宋体"/>
          <w:b/>
          <w:sz w:val="24"/>
          <w:szCs w:val="24"/>
          <w:lang w:bidi="ar"/>
        </w:rPr>
        <w:t xml:space="preserve">                              职务：</w:t>
      </w:r>
    </w:p>
    <w:p>
      <w:pPr>
        <w:rPr>
          <w:rFonts w:ascii="宋体" w:hAnsi="宋体" w:cs="宋体"/>
          <w:b/>
          <w:sz w:val="24"/>
          <w:szCs w:val="24"/>
        </w:rPr>
      </w:pPr>
      <w:r>
        <w:rPr>
          <w:rFonts w:hint="eastAsia" w:ascii="宋体" w:hAnsi="宋体" w:cs="宋体"/>
          <w:b/>
          <w:sz w:val="24"/>
          <w:szCs w:val="24"/>
          <w:lang w:bidi="ar"/>
        </w:rPr>
        <w:t xml:space="preserve"> </w:t>
      </w:r>
    </w:p>
    <w:p>
      <w:pPr>
        <w:rPr>
          <w:rFonts w:ascii="宋体" w:hAnsi="宋体" w:cs="宋体"/>
          <w:b/>
          <w:sz w:val="24"/>
          <w:szCs w:val="24"/>
        </w:rPr>
      </w:pPr>
      <w:r>
        <w:rPr>
          <w:rFonts w:hint="eastAsia" w:ascii="宋体" w:hAnsi="宋体" w:cs="宋体"/>
          <w:b/>
          <w:sz w:val="24"/>
          <w:szCs w:val="24"/>
          <w:lang w:bidi="ar"/>
        </w:rPr>
        <w:t>日期：</w:t>
      </w:r>
      <w:r>
        <w:rPr>
          <w:rFonts w:hint="eastAsia" w:ascii="宋体" w:hAnsi="宋体" w:cs="宋体"/>
          <w:b/>
          <w:sz w:val="24"/>
          <w:szCs w:val="24"/>
          <w:lang w:bidi="ar"/>
        </w:rPr>
        <w:tab/>
      </w:r>
      <w:r>
        <w:rPr>
          <w:rFonts w:hint="eastAsia" w:ascii="宋体" w:hAnsi="宋体" w:cs="宋体"/>
          <w:b/>
          <w:sz w:val="24"/>
          <w:szCs w:val="24"/>
          <w:lang w:bidi="ar"/>
        </w:rPr>
        <w:tab/>
      </w:r>
      <w:r>
        <w:rPr>
          <w:rFonts w:hint="eastAsia" w:ascii="宋体" w:hAnsi="宋体" w:cs="宋体"/>
          <w:b/>
          <w:sz w:val="24"/>
          <w:szCs w:val="24"/>
          <w:lang w:bidi="ar"/>
        </w:rPr>
        <w:t xml:space="preserve">                              日期：</w:t>
      </w:r>
    </w:p>
    <w:p>
      <w:pPr>
        <w:rPr>
          <w:sz w:val="24"/>
          <w:szCs w:val="24"/>
        </w:rPr>
      </w:pPr>
      <w:r>
        <w:rPr>
          <w:rFonts w:hint="eastAsia" w:ascii="宋体" w:hAnsi="宋体" w:cs="宋体"/>
          <w:b/>
          <w:sz w:val="24"/>
          <w:szCs w:val="24"/>
          <w:lang w:bidi="ar"/>
        </w:rPr>
        <w:t xml:space="preserve"> </w:t>
      </w:r>
      <w:r>
        <w:rPr>
          <w:rFonts w:hint="eastAsia" w:ascii="宋体" w:hAnsi="宋体" w:cs="宋体"/>
          <w:sz w:val="22"/>
        </w:rPr>
        <w:br w:type="page"/>
      </w:r>
    </w:p>
    <w:p>
      <w:pPr>
        <w:pStyle w:val="3"/>
        <w:jc w:val="center"/>
        <w:rPr>
          <w:b/>
          <w:bCs/>
        </w:rPr>
      </w:pPr>
      <w:bookmarkStart w:id="322" w:name="_Toc21525512"/>
      <w:bookmarkStart w:id="323" w:name="_Toc2272567"/>
      <w:r>
        <w:rPr>
          <w:rFonts w:hint="eastAsia"/>
          <w:b/>
          <w:bCs/>
        </w:rPr>
        <w:t>第四章</w:t>
      </w:r>
      <w:r>
        <w:rPr>
          <w:b/>
          <w:bCs/>
        </w:rPr>
        <w:t xml:space="preserve">  </w:t>
      </w:r>
      <w:r>
        <w:rPr>
          <w:rFonts w:hint="eastAsia"/>
          <w:b/>
          <w:bCs/>
        </w:rPr>
        <w:t>投标文件格式</w:t>
      </w:r>
      <w:bookmarkEnd w:id="322"/>
      <w:bookmarkEnd w:id="323"/>
    </w:p>
    <w:p>
      <w:pPr>
        <w:jc w:val="center"/>
        <w:rPr>
          <w:rFonts w:ascii="宋体" w:hAnsi="宋体"/>
          <w:b/>
          <w:bCs/>
          <w:sz w:val="28"/>
          <w:szCs w:val="28"/>
        </w:rPr>
      </w:pPr>
      <w:bookmarkStart w:id="324" w:name="_Toc5500"/>
      <w:r>
        <w:rPr>
          <w:rFonts w:hint="eastAsia" w:ascii="宋体" w:hAnsi="宋体"/>
          <w:b/>
          <w:bCs/>
          <w:sz w:val="28"/>
          <w:szCs w:val="28"/>
        </w:rPr>
        <w:t>投标文件与评审项目对应说明表</w:t>
      </w:r>
      <w:bookmarkEnd w:id="324"/>
    </w:p>
    <w:p>
      <w:pPr>
        <w:rPr>
          <w:rFonts w:ascii="宋体" w:hAnsi="宋体"/>
          <w:szCs w:val="21"/>
        </w:rPr>
      </w:pPr>
      <w:r>
        <w:rPr>
          <w:rFonts w:hint="eastAsia" w:ascii="宋体" w:hAnsi="宋体"/>
          <w:szCs w:val="21"/>
        </w:rPr>
        <w:t>说明：投标人应根据投标文件的具体内容填写本对应表，并且在“投标文件对应页码”栏中明确填写所评审的项目对应在投标文件中具体的页码。本表请放在技术标书的目录后面。</w:t>
      </w:r>
    </w:p>
    <w:p>
      <w:pPr>
        <w:rPr>
          <w:rFonts w:ascii="宋体" w:hAnsi="宋体"/>
          <w:szCs w:val="21"/>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616"/>
        <w:gridCol w:w="3839"/>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Header/>
          <w:jc w:val="center"/>
        </w:trPr>
        <w:tc>
          <w:tcPr>
            <w:tcW w:w="2576" w:type="dxa"/>
            <w:gridSpan w:val="2"/>
            <w:vAlign w:val="center"/>
          </w:tcPr>
          <w:p>
            <w:pPr>
              <w:jc w:val="center"/>
              <w:rPr>
                <w:rFonts w:ascii="宋体" w:hAnsi="宋体"/>
                <w:szCs w:val="21"/>
              </w:rPr>
            </w:pPr>
            <w:r>
              <w:rPr>
                <w:rFonts w:hint="eastAsia" w:ascii="宋体" w:hAnsi="宋体"/>
                <w:szCs w:val="21"/>
              </w:rPr>
              <w:t>条款号</w:t>
            </w:r>
          </w:p>
        </w:tc>
        <w:tc>
          <w:tcPr>
            <w:tcW w:w="3839" w:type="dxa"/>
            <w:vAlign w:val="center"/>
          </w:tcPr>
          <w:p>
            <w:pPr>
              <w:jc w:val="center"/>
              <w:rPr>
                <w:rFonts w:ascii="宋体" w:hAnsi="宋体"/>
                <w:szCs w:val="21"/>
              </w:rPr>
            </w:pPr>
            <w:r>
              <w:rPr>
                <w:rFonts w:hint="eastAsia" w:ascii="宋体" w:hAnsi="宋体"/>
                <w:szCs w:val="21"/>
              </w:rPr>
              <w:t>审查项目</w:t>
            </w:r>
          </w:p>
        </w:tc>
        <w:tc>
          <w:tcPr>
            <w:tcW w:w="2225" w:type="dxa"/>
            <w:vAlign w:val="center"/>
          </w:tcPr>
          <w:p>
            <w:pPr>
              <w:jc w:val="center"/>
              <w:rPr>
                <w:rFonts w:ascii="宋体" w:hAnsi="宋体"/>
                <w:szCs w:val="21"/>
              </w:rPr>
            </w:pPr>
            <w:r>
              <w:rPr>
                <w:rFonts w:hint="eastAsia" w:ascii="宋体" w:hAnsi="宋体"/>
                <w:szCs w:val="21"/>
              </w:rPr>
              <w:t>投标文件对应页码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60" w:type="dxa"/>
            <w:vMerge w:val="restart"/>
            <w:vAlign w:val="center"/>
          </w:tcPr>
          <w:p>
            <w:pPr>
              <w:jc w:val="center"/>
              <w:rPr>
                <w:rFonts w:ascii="宋体" w:hAnsi="宋体"/>
                <w:szCs w:val="21"/>
              </w:rPr>
            </w:pPr>
            <w:r>
              <w:rPr>
                <w:rFonts w:hint="eastAsia" w:ascii="宋体" w:hAnsi="宋体"/>
                <w:szCs w:val="21"/>
              </w:rPr>
              <w:t>1</w:t>
            </w:r>
          </w:p>
        </w:tc>
        <w:tc>
          <w:tcPr>
            <w:tcW w:w="1616" w:type="dxa"/>
            <w:vMerge w:val="restart"/>
            <w:vAlign w:val="center"/>
          </w:tcPr>
          <w:p>
            <w:pPr>
              <w:jc w:val="center"/>
              <w:rPr>
                <w:rFonts w:ascii="宋体" w:hAnsi="宋体"/>
                <w:szCs w:val="21"/>
              </w:rPr>
            </w:pPr>
            <w:r>
              <w:rPr>
                <w:rFonts w:hint="eastAsia" w:ascii="宋体" w:hAnsi="宋体"/>
                <w:szCs w:val="21"/>
              </w:rPr>
              <w:t>投标人资格审查</w:t>
            </w:r>
          </w:p>
        </w:tc>
        <w:tc>
          <w:tcPr>
            <w:tcW w:w="3839" w:type="dxa"/>
            <w:vAlign w:val="center"/>
          </w:tcPr>
          <w:p>
            <w:pPr>
              <w:rPr>
                <w:rFonts w:ascii="宋体" w:hAnsi="宋体"/>
                <w:szCs w:val="21"/>
              </w:rPr>
            </w:pPr>
            <w:r>
              <w:rPr>
                <w:rFonts w:hint="eastAsia" w:ascii="宋体" w:hAnsi="宋体"/>
                <w:szCs w:val="21"/>
              </w:rPr>
              <w:t>1、对应资格审查表第1项</w:t>
            </w:r>
          </w:p>
        </w:tc>
        <w:tc>
          <w:tcPr>
            <w:tcW w:w="222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60" w:type="dxa"/>
            <w:vMerge w:val="continue"/>
            <w:vAlign w:val="center"/>
          </w:tcPr>
          <w:p>
            <w:pPr>
              <w:jc w:val="center"/>
              <w:rPr>
                <w:rFonts w:ascii="宋体" w:hAnsi="宋体"/>
                <w:szCs w:val="21"/>
              </w:rPr>
            </w:pPr>
          </w:p>
        </w:tc>
        <w:tc>
          <w:tcPr>
            <w:tcW w:w="1616" w:type="dxa"/>
            <w:vMerge w:val="continue"/>
            <w:vAlign w:val="center"/>
          </w:tcPr>
          <w:p>
            <w:pPr>
              <w:jc w:val="center"/>
              <w:rPr>
                <w:rFonts w:ascii="宋体" w:hAnsi="宋体"/>
                <w:szCs w:val="21"/>
              </w:rPr>
            </w:pPr>
          </w:p>
        </w:tc>
        <w:tc>
          <w:tcPr>
            <w:tcW w:w="3839" w:type="dxa"/>
            <w:vAlign w:val="center"/>
          </w:tcPr>
          <w:p>
            <w:pPr>
              <w:rPr>
                <w:rFonts w:ascii="宋体" w:hAnsi="宋体"/>
                <w:szCs w:val="21"/>
              </w:rPr>
            </w:pPr>
            <w:r>
              <w:rPr>
                <w:rFonts w:hint="eastAsia" w:ascii="宋体" w:hAnsi="宋体"/>
                <w:szCs w:val="21"/>
              </w:rPr>
              <w:t>2、对应资格审查表第2项</w:t>
            </w:r>
          </w:p>
        </w:tc>
        <w:tc>
          <w:tcPr>
            <w:tcW w:w="222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continue"/>
            <w:vAlign w:val="center"/>
          </w:tcPr>
          <w:p>
            <w:pPr>
              <w:jc w:val="center"/>
              <w:rPr>
                <w:rFonts w:ascii="宋体" w:hAnsi="宋体"/>
                <w:szCs w:val="21"/>
              </w:rPr>
            </w:pPr>
          </w:p>
        </w:tc>
        <w:tc>
          <w:tcPr>
            <w:tcW w:w="1616" w:type="dxa"/>
            <w:vMerge w:val="continue"/>
            <w:vAlign w:val="center"/>
          </w:tcPr>
          <w:p>
            <w:pPr>
              <w:jc w:val="center"/>
              <w:rPr>
                <w:rFonts w:ascii="宋体" w:hAnsi="宋体"/>
                <w:szCs w:val="21"/>
              </w:rPr>
            </w:pPr>
          </w:p>
        </w:tc>
        <w:tc>
          <w:tcPr>
            <w:tcW w:w="3839" w:type="dxa"/>
            <w:vAlign w:val="center"/>
          </w:tcPr>
          <w:p>
            <w:pPr>
              <w:rPr>
                <w:rFonts w:ascii="宋体" w:hAnsi="宋体"/>
                <w:szCs w:val="21"/>
              </w:rPr>
            </w:pPr>
            <w:r>
              <w:rPr>
                <w:rFonts w:hint="eastAsia" w:ascii="宋体" w:hAnsi="宋体"/>
                <w:szCs w:val="21"/>
              </w:rPr>
              <w:t>……</w:t>
            </w:r>
          </w:p>
        </w:tc>
        <w:tc>
          <w:tcPr>
            <w:tcW w:w="222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60" w:type="dxa"/>
            <w:vMerge w:val="restart"/>
            <w:vAlign w:val="center"/>
          </w:tcPr>
          <w:p>
            <w:pPr>
              <w:jc w:val="center"/>
              <w:rPr>
                <w:rFonts w:ascii="宋体" w:hAnsi="宋体"/>
                <w:szCs w:val="21"/>
              </w:rPr>
            </w:pPr>
            <w:r>
              <w:rPr>
                <w:rFonts w:hint="eastAsia" w:ascii="宋体" w:hAnsi="宋体"/>
                <w:szCs w:val="21"/>
              </w:rPr>
              <w:t>2</w:t>
            </w:r>
          </w:p>
        </w:tc>
        <w:tc>
          <w:tcPr>
            <w:tcW w:w="1616" w:type="dxa"/>
            <w:vMerge w:val="restart"/>
            <w:vAlign w:val="center"/>
          </w:tcPr>
          <w:p>
            <w:pPr>
              <w:jc w:val="center"/>
              <w:rPr>
                <w:rFonts w:ascii="宋体" w:hAnsi="宋体"/>
                <w:szCs w:val="21"/>
              </w:rPr>
            </w:pPr>
            <w:r>
              <w:rPr>
                <w:rFonts w:hint="eastAsia" w:ascii="宋体" w:hAnsi="宋体"/>
                <w:szCs w:val="21"/>
              </w:rPr>
              <w:t>技术标有效性审查</w:t>
            </w:r>
          </w:p>
        </w:tc>
        <w:tc>
          <w:tcPr>
            <w:tcW w:w="3839" w:type="dxa"/>
            <w:vAlign w:val="center"/>
          </w:tcPr>
          <w:p>
            <w:pPr>
              <w:rPr>
                <w:rFonts w:ascii="宋体" w:hAnsi="宋体"/>
                <w:szCs w:val="21"/>
              </w:rPr>
            </w:pPr>
            <w:r>
              <w:rPr>
                <w:rFonts w:hint="eastAsia" w:ascii="宋体" w:hAnsi="宋体"/>
                <w:szCs w:val="21"/>
              </w:rPr>
              <w:t>1、对应技术标有效性审查表第1项</w:t>
            </w:r>
          </w:p>
        </w:tc>
        <w:tc>
          <w:tcPr>
            <w:tcW w:w="222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60" w:type="dxa"/>
            <w:vMerge w:val="continue"/>
            <w:vAlign w:val="center"/>
          </w:tcPr>
          <w:p>
            <w:pPr>
              <w:jc w:val="center"/>
              <w:rPr>
                <w:rFonts w:ascii="宋体" w:hAnsi="宋体"/>
                <w:szCs w:val="21"/>
              </w:rPr>
            </w:pPr>
          </w:p>
        </w:tc>
        <w:tc>
          <w:tcPr>
            <w:tcW w:w="1616" w:type="dxa"/>
            <w:vMerge w:val="continue"/>
            <w:vAlign w:val="center"/>
          </w:tcPr>
          <w:p>
            <w:pPr>
              <w:jc w:val="center"/>
              <w:rPr>
                <w:rFonts w:ascii="宋体" w:hAnsi="宋体"/>
                <w:szCs w:val="21"/>
              </w:rPr>
            </w:pPr>
          </w:p>
        </w:tc>
        <w:tc>
          <w:tcPr>
            <w:tcW w:w="3839" w:type="dxa"/>
            <w:vAlign w:val="center"/>
          </w:tcPr>
          <w:p>
            <w:pPr>
              <w:rPr>
                <w:rFonts w:ascii="宋体" w:hAnsi="宋体"/>
                <w:szCs w:val="21"/>
              </w:rPr>
            </w:pPr>
            <w:r>
              <w:rPr>
                <w:rFonts w:hint="eastAsia" w:ascii="宋体" w:hAnsi="宋体"/>
                <w:szCs w:val="21"/>
              </w:rPr>
              <w:t>2、对应技术标有效性审查表第2项</w:t>
            </w:r>
          </w:p>
        </w:tc>
        <w:tc>
          <w:tcPr>
            <w:tcW w:w="222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960" w:type="dxa"/>
            <w:vMerge w:val="continue"/>
            <w:vAlign w:val="center"/>
          </w:tcPr>
          <w:p>
            <w:pPr>
              <w:jc w:val="center"/>
              <w:rPr>
                <w:rFonts w:ascii="宋体" w:hAnsi="宋体"/>
                <w:szCs w:val="21"/>
              </w:rPr>
            </w:pPr>
          </w:p>
        </w:tc>
        <w:tc>
          <w:tcPr>
            <w:tcW w:w="1616" w:type="dxa"/>
            <w:vMerge w:val="continue"/>
            <w:vAlign w:val="center"/>
          </w:tcPr>
          <w:p>
            <w:pPr>
              <w:jc w:val="center"/>
              <w:rPr>
                <w:rFonts w:ascii="宋体" w:hAnsi="宋体"/>
                <w:szCs w:val="21"/>
              </w:rPr>
            </w:pPr>
          </w:p>
        </w:tc>
        <w:tc>
          <w:tcPr>
            <w:tcW w:w="3839" w:type="dxa"/>
            <w:vAlign w:val="center"/>
          </w:tcPr>
          <w:p>
            <w:pPr>
              <w:rPr>
                <w:rFonts w:ascii="宋体" w:hAnsi="宋体"/>
                <w:szCs w:val="21"/>
              </w:rPr>
            </w:pPr>
            <w:r>
              <w:rPr>
                <w:rFonts w:hint="eastAsia" w:ascii="宋体" w:hAnsi="宋体"/>
                <w:szCs w:val="21"/>
              </w:rPr>
              <w:t>……</w:t>
            </w:r>
          </w:p>
        </w:tc>
        <w:tc>
          <w:tcPr>
            <w:tcW w:w="222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60" w:type="dxa"/>
            <w:vMerge w:val="restart"/>
            <w:vAlign w:val="center"/>
          </w:tcPr>
          <w:p>
            <w:pPr>
              <w:jc w:val="center"/>
              <w:rPr>
                <w:rFonts w:ascii="宋体" w:hAnsi="宋体"/>
                <w:szCs w:val="21"/>
              </w:rPr>
            </w:pPr>
            <w:r>
              <w:rPr>
                <w:rFonts w:ascii="宋体" w:hAnsi="宋体"/>
                <w:szCs w:val="21"/>
              </w:rPr>
              <w:t>3</w:t>
            </w:r>
          </w:p>
        </w:tc>
        <w:tc>
          <w:tcPr>
            <w:tcW w:w="1616" w:type="dxa"/>
            <w:vMerge w:val="restart"/>
            <w:vAlign w:val="center"/>
          </w:tcPr>
          <w:p>
            <w:pPr>
              <w:jc w:val="center"/>
              <w:rPr>
                <w:rFonts w:ascii="宋体" w:hAnsi="宋体"/>
                <w:szCs w:val="21"/>
              </w:rPr>
            </w:pPr>
            <w:r>
              <w:rPr>
                <w:rFonts w:hint="eastAsia" w:ascii="宋体" w:hAnsi="宋体"/>
                <w:szCs w:val="21"/>
              </w:rPr>
              <w:t>经济标有效性审查</w:t>
            </w:r>
          </w:p>
        </w:tc>
        <w:tc>
          <w:tcPr>
            <w:tcW w:w="3839" w:type="dxa"/>
            <w:vAlign w:val="center"/>
          </w:tcPr>
          <w:p>
            <w:pPr>
              <w:rPr>
                <w:rFonts w:ascii="宋体" w:hAnsi="宋体"/>
                <w:szCs w:val="21"/>
              </w:rPr>
            </w:pPr>
            <w:r>
              <w:rPr>
                <w:rFonts w:hint="eastAsia" w:ascii="宋体" w:hAnsi="宋体"/>
                <w:szCs w:val="21"/>
              </w:rPr>
              <w:t>1、对应经济标有效性审查表第1项</w:t>
            </w:r>
          </w:p>
        </w:tc>
        <w:tc>
          <w:tcPr>
            <w:tcW w:w="222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60" w:type="dxa"/>
            <w:vMerge w:val="continue"/>
            <w:vAlign w:val="center"/>
          </w:tcPr>
          <w:p>
            <w:pPr>
              <w:jc w:val="center"/>
              <w:rPr>
                <w:rFonts w:ascii="宋体" w:hAnsi="宋体"/>
                <w:szCs w:val="21"/>
              </w:rPr>
            </w:pPr>
          </w:p>
        </w:tc>
        <w:tc>
          <w:tcPr>
            <w:tcW w:w="1616" w:type="dxa"/>
            <w:vMerge w:val="continue"/>
            <w:vAlign w:val="center"/>
          </w:tcPr>
          <w:p>
            <w:pPr>
              <w:jc w:val="center"/>
              <w:rPr>
                <w:rFonts w:ascii="宋体" w:hAnsi="宋体"/>
                <w:szCs w:val="21"/>
              </w:rPr>
            </w:pPr>
          </w:p>
        </w:tc>
        <w:tc>
          <w:tcPr>
            <w:tcW w:w="3839" w:type="dxa"/>
            <w:vAlign w:val="center"/>
          </w:tcPr>
          <w:p>
            <w:pPr>
              <w:rPr>
                <w:rFonts w:ascii="宋体" w:hAnsi="宋体"/>
                <w:szCs w:val="21"/>
              </w:rPr>
            </w:pPr>
            <w:r>
              <w:rPr>
                <w:rFonts w:hint="eastAsia" w:ascii="宋体" w:hAnsi="宋体"/>
                <w:szCs w:val="21"/>
              </w:rPr>
              <w:t>2、对应经济标有效性审查表第2项</w:t>
            </w:r>
          </w:p>
        </w:tc>
        <w:tc>
          <w:tcPr>
            <w:tcW w:w="222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960" w:type="dxa"/>
            <w:vMerge w:val="continue"/>
            <w:vAlign w:val="center"/>
          </w:tcPr>
          <w:p>
            <w:pPr>
              <w:jc w:val="center"/>
              <w:rPr>
                <w:rFonts w:ascii="宋体" w:hAnsi="宋体"/>
                <w:szCs w:val="21"/>
              </w:rPr>
            </w:pPr>
          </w:p>
        </w:tc>
        <w:tc>
          <w:tcPr>
            <w:tcW w:w="1616" w:type="dxa"/>
            <w:vMerge w:val="continue"/>
            <w:vAlign w:val="center"/>
          </w:tcPr>
          <w:p>
            <w:pPr>
              <w:jc w:val="center"/>
              <w:rPr>
                <w:rFonts w:ascii="宋体" w:hAnsi="宋体"/>
                <w:szCs w:val="21"/>
              </w:rPr>
            </w:pPr>
          </w:p>
        </w:tc>
        <w:tc>
          <w:tcPr>
            <w:tcW w:w="3839" w:type="dxa"/>
            <w:vAlign w:val="center"/>
          </w:tcPr>
          <w:p>
            <w:pPr>
              <w:rPr>
                <w:rFonts w:ascii="宋体" w:hAnsi="宋体"/>
                <w:szCs w:val="21"/>
              </w:rPr>
            </w:pPr>
            <w:r>
              <w:rPr>
                <w:rFonts w:hint="eastAsia" w:ascii="宋体" w:hAnsi="宋体"/>
                <w:szCs w:val="21"/>
              </w:rPr>
              <w:t>……</w:t>
            </w:r>
          </w:p>
        </w:tc>
        <w:tc>
          <w:tcPr>
            <w:tcW w:w="222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60" w:type="dxa"/>
            <w:vMerge w:val="restart"/>
            <w:vAlign w:val="center"/>
          </w:tcPr>
          <w:p>
            <w:pPr>
              <w:jc w:val="center"/>
              <w:rPr>
                <w:rFonts w:ascii="宋体" w:hAnsi="宋体"/>
                <w:szCs w:val="21"/>
              </w:rPr>
            </w:pPr>
            <w:r>
              <w:rPr>
                <w:rFonts w:hint="eastAsia" w:ascii="宋体" w:hAnsi="宋体"/>
                <w:szCs w:val="21"/>
              </w:rPr>
              <w:t>3</w:t>
            </w:r>
          </w:p>
        </w:tc>
        <w:tc>
          <w:tcPr>
            <w:tcW w:w="1616" w:type="dxa"/>
            <w:vMerge w:val="restart"/>
            <w:vAlign w:val="center"/>
          </w:tcPr>
          <w:p>
            <w:pPr>
              <w:jc w:val="center"/>
              <w:rPr>
                <w:rFonts w:ascii="宋体" w:hAnsi="宋体"/>
                <w:szCs w:val="21"/>
              </w:rPr>
            </w:pPr>
            <w:r>
              <w:rPr>
                <w:rFonts w:hint="eastAsia" w:ascii="宋体" w:hAnsi="宋体"/>
                <w:szCs w:val="21"/>
              </w:rPr>
              <w:t>技术标详细审查评分</w:t>
            </w:r>
          </w:p>
        </w:tc>
        <w:tc>
          <w:tcPr>
            <w:tcW w:w="3839" w:type="dxa"/>
            <w:vAlign w:val="center"/>
          </w:tcPr>
          <w:p>
            <w:pPr>
              <w:rPr>
                <w:rFonts w:ascii="宋体" w:hAnsi="宋体"/>
                <w:szCs w:val="21"/>
              </w:rPr>
            </w:pPr>
            <w:r>
              <w:rPr>
                <w:rFonts w:hint="eastAsia" w:ascii="宋体" w:hAnsi="宋体"/>
                <w:szCs w:val="21"/>
              </w:rPr>
              <w:t>1、对应</w:t>
            </w:r>
            <w:r>
              <w:rPr>
                <w:rFonts w:hint="eastAsia" w:ascii="宋体" w:hAnsi="宋体" w:cs="宋体"/>
              </w:rPr>
              <w:t>技术标详细审查评分表</w:t>
            </w:r>
            <w:r>
              <w:rPr>
                <w:rFonts w:hint="eastAsia" w:ascii="宋体" w:hAnsi="宋体"/>
                <w:szCs w:val="21"/>
              </w:rPr>
              <w:t>第1项</w:t>
            </w:r>
          </w:p>
        </w:tc>
        <w:tc>
          <w:tcPr>
            <w:tcW w:w="222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60" w:type="dxa"/>
            <w:vMerge w:val="continue"/>
            <w:vAlign w:val="center"/>
          </w:tcPr>
          <w:p>
            <w:pPr>
              <w:jc w:val="center"/>
              <w:rPr>
                <w:rFonts w:ascii="宋体" w:hAnsi="宋体"/>
                <w:szCs w:val="21"/>
              </w:rPr>
            </w:pPr>
          </w:p>
        </w:tc>
        <w:tc>
          <w:tcPr>
            <w:tcW w:w="1616" w:type="dxa"/>
            <w:vMerge w:val="continue"/>
            <w:vAlign w:val="center"/>
          </w:tcPr>
          <w:p>
            <w:pPr>
              <w:jc w:val="center"/>
              <w:rPr>
                <w:rFonts w:ascii="宋体" w:hAnsi="宋体"/>
                <w:szCs w:val="21"/>
              </w:rPr>
            </w:pPr>
          </w:p>
        </w:tc>
        <w:tc>
          <w:tcPr>
            <w:tcW w:w="3839" w:type="dxa"/>
            <w:vAlign w:val="center"/>
          </w:tcPr>
          <w:p>
            <w:pPr>
              <w:rPr>
                <w:rFonts w:ascii="宋体" w:hAnsi="宋体"/>
                <w:szCs w:val="21"/>
              </w:rPr>
            </w:pPr>
            <w:r>
              <w:rPr>
                <w:rFonts w:hint="eastAsia" w:ascii="宋体" w:hAnsi="宋体"/>
                <w:szCs w:val="21"/>
              </w:rPr>
              <w:t>2、对应</w:t>
            </w:r>
            <w:r>
              <w:rPr>
                <w:rFonts w:hint="eastAsia" w:ascii="宋体" w:hAnsi="宋体" w:cs="宋体"/>
              </w:rPr>
              <w:t>技术标详细审查评分表</w:t>
            </w:r>
            <w:r>
              <w:rPr>
                <w:rFonts w:hint="eastAsia" w:ascii="宋体" w:hAnsi="宋体"/>
                <w:szCs w:val="21"/>
              </w:rPr>
              <w:t>第</w:t>
            </w:r>
            <w:r>
              <w:rPr>
                <w:rFonts w:ascii="宋体" w:hAnsi="宋体"/>
                <w:szCs w:val="21"/>
              </w:rPr>
              <w:t>2</w:t>
            </w:r>
            <w:r>
              <w:rPr>
                <w:rFonts w:hint="eastAsia" w:ascii="宋体" w:hAnsi="宋体"/>
                <w:szCs w:val="21"/>
              </w:rPr>
              <w:t>项</w:t>
            </w:r>
          </w:p>
        </w:tc>
        <w:tc>
          <w:tcPr>
            <w:tcW w:w="222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60" w:type="dxa"/>
            <w:vMerge w:val="continue"/>
            <w:vAlign w:val="center"/>
          </w:tcPr>
          <w:p>
            <w:pPr>
              <w:jc w:val="center"/>
              <w:rPr>
                <w:rFonts w:ascii="宋体" w:hAnsi="宋体"/>
                <w:szCs w:val="21"/>
              </w:rPr>
            </w:pPr>
          </w:p>
        </w:tc>
        <w:tc>
          <w:tcPr>
            <w:tcW w:w="1616" w:type="dxa"/>
            <w:vMerge w:val="continue"/>
            <w:vAlign w:val="center"/>
          </w:tcPr>
          <w:p>
            <w:pPr>
              <w:jc w:val="center"/>
              <w:rPr>
                <w:rFonts w:ascii="宋体" w:hAnsi="宋体"/>
                <w:szCs w:val="21"/>
              </w:rPr>
            </w:pPr>
          </w:p>
        </w:tc>
        <w:tc>
          <w:tcPr>
            <w:tcW w:w="3839" w:type="dxa"/>
            <w:vAlign w:val="center"/>
          </w:tcPr>
          <w:p>
            <w:pPr>
              <w:rPr>
                <w:rFonts w:ascii="宋体" w:hAnsi="宋体"/>
                <w:szCs w:val="21"/>
              </w:rPr>
            </w:pPr>
            <w:r>
              <w:rPr>
                <w:rFonts w:hint="eastAsia" w:ascii="宋体" w:hAnsi="宋体"/>
                <w:szCs w:val="21"/>
              </w:rPr>
              <w:t>3、……</w:t>
            </w:r>
          </w:p>
        </w:tc>
        <w:tc>
          <w:tcPr>
            <w:tcW w:w="222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60" w:type="dxa"/>
            <w:vMerge w:val="continue"/>
            <w:vAlign w:val="center"/>
          </w:tcPr>
          <w:p>
            <w:pPr>
              <w:jc w:val="center"/>
              <w:rPr>
                <w:rFonts w:ascii="宋体" w:hAnsi="宋体"/>
                <w:szCs w:val="21"/>
              </w:rPr>
            </w:pPr>
          </w:p>
        </w:tc>
        <w:tc>
          <w:tcPr>
            <w:tcW w:w="1616" w:type="dxa"/>
            <w:vMerge w:val="continue"/>
            <w:vAlign w:val="center"/>
          </w:tcPr>
          <w:p>
            <w:pPr>
              <w:jc w:val="center"/>
              <w:rPr>
                <w:rFonts w:ascii="宋体" w:hAnsi="宋体"/>
                <w:szCs w:val="21"/>
              </w:rPr>
            </w:pPr>
          </w:p>
        </w:tc>
        <w:tc>
          <w:tcPr>
            <w:tcW w:w="3839" w:type="dxa"/>
            <w:vAlign w:val="center"/>
          </w:tcPr>
          <w:p>
            <w:pPr>
              <w:rPr>
                <w:rFonts w:ascii="宋体" w:hAnsi="宋体"/>
                <w:szCs w:val="21"/>
              </w:rPr>
            </w:pPr>
            <w:r>
              <w:rPr>
                <w:rFonts w:hint="eastAsia" w:ascii="宋体" w:hAnsi="宋体"/>
                <w:szCs w:val="21"/>
              </w:rPr>
              <w:t>……</w:t>
            </w:r>
          </w:p>
        </w:tc>
        <w:tc>
          <w:tcPr>
            <w:tcW w:w="222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60" w:type="dxa"/>
            <w:vMerge w:val="continue"/>
            <w:vAlign w:val="center"/>
          </w:tcPr>
          <w:p>
            <w:pPr>
              <w:jc w:val="center"/>
              <w:rPr>
                <w:rFonts w:ascii="宋体" w:hAnsi="宋体"/>
                <w:szCs w:val="21"/>
              </w:rPr>
            </w:pPr>
          </w:p>
        </w:tc>
        <w:tc>
          <w:tcPr>
            <w:tcW w:w="1616" w:type="dxa"/>
            <w:vMerge w:val="continue"/>
            <w:vAlign w:val="center"/>
          </w:tcPr>
          <w:p>
            <w:pPr>
              <w:jc w:val="center"/>
              <w:rPr>
                <w:rFonts w:ascii="宋体" w:hAnsi="宋体"/>
                <w:szCs w:val="21"/>
              </w:rPr>
            </w:pPr>
          </w:p>
        </w:tc>
        <w:tc>
          <w:tcPr>
            <w:tcW w:w="3839" w:type="dxa"/>
            <w:vAlign w:val="center"/>
          </w:tcPr>
          <w:p>
            <w:pPr>
              <w:rPr>
                <w:rFonts w:ascii="宋体" w:hAnsi="宋体"/>
                <w:szCs w:val="21"/>
              </w:rPr>
            </w:pPr>
            <w:r>
              <w:rPr>
                <w:rFonts w:hint="eastAsia" w:ascii="宋体" w:hAnsi="宋体"/>
                <w:szCs w:val="21"/>
              </w:rPr>
              <w:t>……</w:t>
            </w:r>
          </w:p>
        </w:tc>
        <w:tc>
          <w:tcPr>
            <w:tcW w:w="222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60" w:type="dxa"/>
            <w:vMerge w:val="continue"/>
            <w:vAlign w:val="center"/>
          </w:tcPr>
          <w:p>
            <w:pPr>
              <w:jc w:val="center"/>
              <w:rPr>
                <w:rFonts w:ascii="宋体" w:hAnsi="宋体"/>
                <w:szCs w:val="21"/>
              </w:rPr>
            </w:pPr>
          </w:p>
        </w:tc>
        <w:tc>
          <w:tcPr>
            <w:tcW w:w="1616" w:type="dxa"/>
            <w:vMerge w:val="continue"/>
            <w:vAlign w:val="center"/>
          </w:tcPr>
          <w:p>
            <w:pPr>
              <w:jc w:val="center"/>
              <w:rPr>
                <w:rFonts w:ascii="宋体" w:hAnsi="宋体"/>
                <w:szCs w:val="21"/>
              </w:rPr>
            </w:pPr>
          </w:p>
        </w:tc>
        <w:tc>
          <w:tcPr>
            <w:tcW w:w="3839" w:type="dxa"/>
            <w:vAlign w:val="center"/>
          </w:tcPr>
          <w:p>
            <w:pPr>
              <w:rPr>
                <w:rFonts w:ascii="宋体" w:hAnsi="宋体"/>
                <w:szCs w:val="21"/>
              </w:rPr>
            </w:pPr>
            <w:r>
              <w:rPr>
                <w:rFonts w:hint="eastAsia" w:ascii="宋体" w:hAnsi="宋体"/>
                <w:szCs w:val="21"/>
              </w:rPr>
              <w:t>……</w:t>
            </w:r>
          </w:p>
        </w:tc>
        <w:tc>
          <w:tcPr>
            <w:tcW w:w="222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60" w:type="dxa"/>
            <w:vMerge w:val="continue"/>
            <w:vAlign w:val="center"/>
          </w:tcPr>
          <w:p>
            <w:pPr>
              <w:jc w:val="center"/>
              <w:rPr>
                <w:rFonts w:ascii="宋体" w:hAnsi="宋体"/>
                <w:szCs w:val="21"/>
              </w:rPr>
            </w:pPr>
          </w:p>
        </w:tc>
        <w:tc>
          <w:tcPr>
            <w:tcW w:w="1616" w:type="dxa"/>
            <w:vMerge w:val="continue"/>
            <w:vAlign w:val="center"/>
          </w:tcPr>
          <w:p>
            <w:pPr>
              <w:jc w:val="center"/>
              <w:rPr>
                <w:rFonts w:ascii="宋体" w:hAnsi="宋体"/>
                <w:szCs w:val="21"/>
              </w:rPr>
            </w:pPr>
          </w:p>
        </w:tc>
        <w:tc>
          <w:tcPr>
            <w:tcW w:w="3839" w:type="dxa"/>
            <w:vAlign w:val="center"/>
          </w:tcPr>
          <w:p>
            <w:pPr>
              <w:rPr>
                <w:rFonts w:ascii="宋体" w:hAnsi="宋体"/>
                <w:szCs w:val="21"/>
              </w:rPr>
            </w:pPr>
            <w:r>
              <w:rPr>
                <w:rFonts w:hint="eastAsia" w:ascii="宋体" w:hAnsi="宋体"/>
                <w:szCs w:val="21"/>
              </w:rPr>
              <w:t>……</w:t>
            </w:r>
          </w:p>
        </w:tc>
        <w:tc>
          <w:tcPr>
            <w:tcW w:w="222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60" w:type="dxa"/>
            <w:vMerge w:val="continue"/>
            <w:vAlign w:val="center"/>
          </w:tcPr>
          <w:p>
            <w:pPr>
              <w:jc w:val="center"/>
              <w:rPr>
                <w:rFonts w:ascii="宋体" w:hAnsi="宋体"/>
                <w:szCs w:val="21"/>
              </w:rPr>
            </w:pPr>
          </w:p>
        </w:tc>
        <w:tc>
          <w:tcPr>
            <w:tcW w:w="1616" w:type="dxa"/>
            <w:vMerge w:val="continue"/>
            <w:vAlign w:val="center"/>
          </w:tcPr>
          <w:p>
            <w:pPr>
              <w:jc w:val="center"/>
              <w:rPr>
                <w:rFonts w:ascii="宋体" w:hAnsi="宋体"/>
                <w:szCs w:val="21"/>
              </w:rPr>
            </w:pPr>
          </w:p>
        </w:tc>
        <w:tc>
          <w:tcPr>
            <w:tcW w:w="3839" w:type="dxa"/>
            <w:vAlign w:val="center"/>
          </w:tcPr>
          <w:p>
            <w:pPr>
              <w:rPr>
                <w:rFonts w:ascii="宋体" w:hAnsi="宋体"/>
                <w:szCs w:val="21"/>
              </w:rPr>
            </w:pPr>
          </w:p>
        </w:tc>
        <w:tc>
          <w:tcPr>
            <w:tcW w:w="222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60" w:type="dxa"/>
            <w:vMerge w:val="continue"/>
            <w:vAlign w:val="center"/>
          </w:tcPr>
          <w:p>
            <w:pPr>
              <w:jc w:val="center"/>
              <w:rPr>
                <w:rFonts w:ascii="宋体" w:hAnsi="宋体"/>
                <w:szCs w:val="21"/>
              </w:rPr>
            </w:pPr>
          </w:p>
        </w:tc>
        <w:tc>
          <w:tcPr>
            <w:tcW w:w="1616" w:type="dxa"/>
            <w:vMerge w:val="continue"/>
            <w:vAlign w:val="center"/>
          </w:tcPr>
          <w:p>
            <w:pPr>
              <w:jc w:val="center"/>
              <w:rPr>
                <w:rFonts w:ascii="宋体" w:hAnsi="宋体"/>
                <w:szCs w:val="21"/>
              </w:rPr>
            </w:pPr>
          </w:p>
        </w:tc>
        <w:tc>
          <w:tcPr>
            <w:tcW w:w="3839" w:type="dxa"/>
            <w:vAlign w:val="center"/>
          </w:tcPr>
          <w:p>
            <w:pPr>
              <w:rPr>
                <w:rFonts w:ascii="宋体" w:hAnsi="宋体"/>
                <w:szCs w:val="21"/>
              </w:rPr>
            </w:pPr>
          </w:p>
        </w:tc>
        <w:tc>
          <w:tcPr>
            <w:tcW w:w="2225" w:type="dxa"/>
            <w:vAlign w:val="center"/>
          </w:tcPr>
          <w:p>
            <w:pPr>
              <w:jc w:val="center"/>
              <w:rPr>
                <w:rFonts w:ascii="宋体" w:hAnsi="宋体"/>
                <w:szCs w:val="21"/>
              </w:rPr>
            </w:pPr>
          </w:p>
        </w:tc>
      </w:tr>
    </w:tbl>
    <w:p>
      <w:pPr>
        <w:jc w:val="left"/>
        <w:rPr>
          <w:rFonts w:ascii="宋体" w:hAnsi="宋体"/>
          <w:szCs w:val="21"/>
        </w:rPr>
      </w:pPr>
    </w:p>
    <w:p>
      <w:pPr>
        <w:spacing w:line="360" w:lineRule="auto"/>
        <w:rPr>
          <w:rFonts w:ascii="宋体" w:hAnsi="宋体"/>
          <w:sz w:val="24"/>
        </w:rPr>
      </w:pPr>
    </w:p>
    <w:p>
      <w:pPr>
        <w:spacing w:line="360" w:lineRule="auto"/>
        <w:rPr>
          <w:rFonts w:ascii="宋体" w:hAnsi="宋体"/>
          <w:sz w:val="24"/>
        </w:rPr>
      </w:pPr>
    </w:p>
    <w:p>
      <w:pPr>
        <w:widowControl/>
        <w:jc w:val="left"/>
        <w:rPr>
          <w:rFonts w:ascii="宋体" w:hAnsi="宋体"/>
          <w:b/>
          <w:szCs w:val="21"/>
        </w:rPr>
      </w:pPr>
      <w:r>
        <w:rPr>
          <w:rFonts w:ascii="宋体" w:hAnsi="宋体"/>
          <w:b/>
          <w:szCs w:val="21"/>
        </w:rPr>
        <w:br w:type="page"/>
      </w:r>
    </w:p>
    <w:p>
      <w:pPr>
        <w:pStyle w:val="5"/>
        <w:spacing w:before="120" w:after="120"/>
      </w:pPr>
      <w:bookmarkStart w:id="325" w:name="_Toc4948"/>
      <w:r>
        <w:rPr>
          <w:rFonts w:hint="eastAsia"/>
        </w:rPr>
        <w:t>格式一：技术标封面</w:t>
      </w:r>
      <w:bookmarkEnd w:id="325"/>
    </w:p>
    <w:p>
      <w:pPr>
        <w:pStyle w:val="35"/>
        <w:ind w:firstLine="210"/>
        <w:rPr>
          <w:rFonts w:ascii="宋体" w:hAnsi="宋体"/>
        </w:rPr>
      </w:pPr>
    </w:p>
    <w:p>
      <w:pPr>
        <w:jc w:val="center"/>
        <w:rPr>
          <w:rFonts w:ascii="宋体" w:hAnsi="宋体"/>
          <w:sz w:val="20"/>
          <w:u w:val="single"/>
        </w:rPr>
      </w:pPr>
      <w:r>
        <w:rPr>
          <w:rFonts w:hint="eastAsia" w:ascii="宋体" w:hAnsi="宋体"/>
          <w:b/>
          <w:sz w:val="48"/>
          <w:szCs w:val="48"/>
          <w:u w:val="single"/>
        </w:rPr>
        <w:t xml:space="preserve">        （项目名称）</w:t>
      </w:r>
    </w:p>
    <w:p>
      <w:pPr>
        <w:rPr>
          <w:rFonts w:ascii="宋体" w:hAnsi="宋体"/>
          <w:sz w:val="20"/>
        </w:rPr>
      </w:pPr>
    </w:p>
    <w:p>
      <w:pPr>
        <w:rPr>
          <w:rFonts w:ascii="宋体" w:hAnsi="宋体"/>
          <w:sz w:val="20"/>
        </w:rPr>
      </w:pPr>
    </w:p>
    <w:p>
      <w:pPr>
        <w:rPr>
          <w:rFonts w:ascii="宋体" w:hAnsi="宋体"/>
          <w:sz w:val="20"/>
        </w:rPr>
      </w:pPr>
    </w:p>
    <w:p>
      <w:pPr>
        <w:rPr>
          <w:rFonts w:ascii="宋体" w:hAnsi="宋体"/>
          <w:sz w:val="20"/>
        </w:rPr>
      </w:pPr>
    </w:p>
    <w:p>
      <w:pPr>
        <w:rPr>
          <w:rFonts w:ascii="宋体" w:hAnsi="宋体"/>
          <w:sz w:val="20"/>
        </w:rPr>
      </w:pPr>
    </w:p>
    <w:p>
      <w:pPr>
        <w:rPr>
          <w:rFonts w:ascii="宋体" w:hAnsi="宋体"/>
          <w:sz w:val="20"/>
        </w:rPr>
      </w:pPr>
    </w:p>
    <w:p>
      <w:pPr>
        <w:rPr>
          <w:rFonts w:ascii="宋体" w:hAnsi="宋体"/>
          <w:sz w:val="20"/>
        </w:rPr>
      </w:pPr>
    </w:p>
    <w:p>
      <w:pPr>
        <w:rPr>
          <w:rFonts w:ascii="宋体" w:hAnsi="宋体"/>
          <w:sz w:val="20"/>
        </w:rPr>
      </w:pPr>
    </w:p>
    <w:p>
      <w:pPr>
        <w:rPr>
          <w:rFonts w:ascii="宋体" w:hAnsi="宋体"/>
          <w:sz w:val="20"/>
        </w:rPr>
      </w:pPr>
    </w:p>
    <w:p>
      <w:pPr>
        <w:rPr>
          <w:rFonts w:ascii="宋体" w:hAnsi="宋体"/>
          <w:sz w:val="20"/>
        </w:rPr>
      </w:pPr>
    </w:p>
    <w:p>
      <w:pPr>
        <w:jc w:val="center"/>
        <w:rPr>
          <w:rFonts w:ascii="宋体" w:hAnsi="宋体"/>
          <w:sz w:val="44"/>
          <w:szCs w:val="44"/>
        </w:rPr>
      </w:pPr>
      <w:r>
        <w:rPr>
          <w:rFonts w:ascii="宋体" w:hAnsi="宋体"/>
          <w:sz w:val="44"/>
          <w:szCs w:val="44"/>
        </w:rPr>
        <w:t>投  标  文  件</w:t>
      </w:r>
    </w:p>
    <w:p>
      <w:pPr>
        <w:jc w:val="center"/>
        <w:rPr>
          <w:rFonts w:ascii="宋体" w:hAnsi="宋体"/>
          <w:sz w:val="32"/>
          <w:szCs w:val="32"/>
        </w:rPr>
      </w:pPr>
    </w:p>
    <w:p>
      <w:pPr>
        <w:jc w:val="center"/>
        <w:rPr>
          <w:rFonts w:ascii="宋体" w:hAnsi="宋体"/>
          <w:sz w:val="32"/>
          <w:szCs w:val="32"/>
        </w:rPr>
      </w:pPr>
      <w:r>
        <w:rPr>
          <w:rFonts w:hint="eastAsia" w:ascii="宋体" w:hAnsi="宋体"/>
          <w:sz w:val="32"/>
          <w:szCs w:val="32"/>
        </w:rPr>
        <w:t>技术标书（含资格审查文件）</w:t>
      </w:r>
    </w:p>
    <w:p>
      <w:pPr>
        <w:rPr>
          <w:rFonts w:ascii="宋体" w:hAnsi="宋体"/>
          <w:sz w:val="28"/>
          <w:szCs w:val="28"/>
        </w:rPr>
      </w:pPr>
    </w:p>
    <w:p>
      <w:pPr>
        <w:rPr>
          <w:rFonts w:ascii="宋体" w:hAnsi="宋体"/>
          <w:sz w:val="28"/>
          <w:szCs w:val="28"/>
        </w:rPr>
      </w:pPr>
    </w:p>
    <w:p>
      <w:pPr>
        <w:pStyle w:val="19"/>
      </w:pPr>
    </w:p>
    <w:p>
      <w:pPr>
        <w:pStyle w:val="19"/>
      </w:pPr>
    </w:p>
    <w:p>
      <w:pPr>
        <w:pStyle w:val="19"/>
      </w:pPr>
    </w:p>
    <w:p>
      <w:pPr>
        <w:pStyle w:val="19"/>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jc w:val="center"/>
        <w:rPr>
          <w:rFonts w:ascii="宋体" w:hAnsi="宋体"/>
          <w:sz w:val="28"/>
          <w:szCs w:val="28"/>
          <w:u w:val="single"/>
        </w:rPr>
      </w:pPr>
      <w:r>
        <w:rPr>
          <w:rFonts w:ascii="宋体" w:hAnsi="宋体"/>
          <w:sz w:val="28"/>
          <w:szCs w:val="28"/>
        </w:rPr>
        <w:t>投标人：</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w:t>
      </w:r>
      <w:r>
        <w:rPr>
          <w:rFonts w:hint="eastAsia" w:ascii="宋体" w:hAnsi="宋体"/>
          <w:sz w:val="28"/>
          <w:szCs w:val="28"/>
        </w:rPr>
        <w:t>盖法人公章</w:t>
      </w:r>
      <w:r>
        <w:rPr>
          <w:rFonts w:ascii="宋体" w:hAnsi="宋体"/>
          <w:sz w:val="28"/>
          <w:szCs w:val="28"/>
        </w:rPr>
        <w:t>）</w:t>
      </w:r>
    </w:p>
    <w:p>
      <w:pPr>
        <w:ind w:firstLine="700" w:firstLineChars="250"/>
        <w:rPr>
          <w:rFonts w:ascii="宋体" w:hAnsi="宋体"/>
          <w:sz w:val="28"/>
          <w:szCs w:val="28"/>
        </w:rPr>
      </w:pPr>
      <w:r>
        <w:rPr>
          <w:rFonts w:ascii="宋体" w:hAnsi="宋体"/>
          <w:sz w:val="28"/>
          <w:szCs w:val="28"/>
        </w:rPr>
        <w:t>法定代表人或</w:t>
      </w:r>
      <w:r>
        <w:rPr>
          <w:rFonts w:hint="eastAsia" w:ascii="宋体" w:hAnsi="宋体"/>
          <w:sz w:val="28"/>
          <w:szCs w:val="28"/>
        </w:rPr>
        <w:t>被授权</w:t>
      </w:r>
      <w:r>
        <w:rPr>
          <w:rFonts w:ascii="宋体" w:hAnsi="宋体"/>
          <w:sz w:val="28"/>
          <w:szCs w:val="28"/>
        </w:rPr>
        <w:t>人：</w:t>
      </w:r>
      <w:r>
        <w:rPr>
          <w:rFonts w:ascii="宋体" w:hAnsi="宋体"/>
          <w:sz w:val="28"/>
          <w:szCs w:val="28"/>
          <w:u w:val="single"/>
        </w:rPr>
        <w:t xml:space="preserve">            </w:t>
      </w:r>
      <w:r>
        <w:rPr>
          <w:rFonts w:ascii="宋体" w:hAnsi="宋体"/>
          <w:sz w:val="28"/>
          <w:szCs w:val="28"/>
        </w:rPr>
        <w:t>（签字</w:t>
      </w:r>
      <w:r>
        <w:rPr>
          <w:rFonts w:hint="eastAsia" w:ascii="宋体" w:hAnsi="宋体"/>
          <w:sz w:val="28"/>
          <w:szCs w:val="28"/>
        </w:rPr>
        <w:t>或盖章</w:t>
      </w:r>
      <w:r>
        <w:rPr>
          <w:rFonts w:ascii="宋体" w:hAnsi="宋体"/>
          <w:sz w:val="28"/>
          <w:szCs w:val="28"/>
        </w:rPr>
        <w:t>）</w:t>
      </w:r>
    </w:p>
    <w:p>
      <w:pPr>
        <w:jc w:val="center"/>
        <w:rPr>
          <w:rFonts w:ascii="宋体" w:hAnsi="宋体"/>
          <w:sz w:val="28"/>
          <w:szCs w:val="28"/>
        </w:rPr>
      </w:pP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pPr>
        <w:spacing w:line="360" w:lineRule="auto"/>
        <w:rPr>
          <w:rFonts w:ascii="宋体" w:hAnsi="宋体"/>
          <w:b/>
          <w:szCs w:val="21"/>
        </w:rPr>
      </w:pPr>
    </w:p>
    <w:p>
      <w:pPr>
        <w:widowControl/>
        <w:jc w:val="left"/>
        <w:rPr>
          <w:rFonts w:ascii="宋体" w:hAnsi="宋体"/>
          <w:sz w:val="24"/>
          <w:szCs w:val="21"/>
        </w:rPr>
      </w:pPr>
      <w:r>
        <w:rPr>
          <w:rFonts w:ascii="宋体" w:hAnsi="宋体"/>
          <w:b/>
          <w:szCs w:val="21"/>
        </w:rPr>
        <w:br w:type="page"/>
      </w:r>
    </w:p>
    <w:p>
      <w:pPr>
        <w:pStyle w:val="5"/>
        <w:spacing w:before="120" w:after="120"/>
      </w:pPr>
      <w:bookmarkStart w:id="326" w:name="_Toc30467"/>
      <w:r>
        <w:rPr>
          <w:rFonts w:hint="eastAsia" w:ascii="Times New Roman" w:hAnsi="Times New Roman"/>
          <w:szCs w:val="24"/>
        </w:rPr>
        <w:t>格式</w:t>
      </w:r>
      <w:r>
        <w:rPr>
          <w:rFonts w:hint="eastAsia"/>
        </w:rPr>
        <w:t>二</w:t>
      </w:r>
      <w:bookmarkEnd w:id="326"/>
    </w:p>
    <w:p>
      <w:pPr>
        <w:jc w:val="center"/>
        <w:rPr>
          <w:rFonts w:ascii="宋体" w:hAnsi="宋体" w:cs="宋体"/>
          <w:b/>
          <w:bCs/>
          <w:sz w:val="44"/>
          <w:szCs w:val="44"/>
          <w:lang w:val="zh-CN"/>
        </w:rPr>
      </w:pPr>
      <w:r>
        <w:rPr>
          <w:rFonts w:hint="eastAsia" w:ascii="宋体" w:hAnsi="宋体" w:cs="宋体"/>
          <w:b/>
          <w:bCs/>
          <w:sz w:val="44"/>
          <w:szCs w:val="44"/>
          <w:lang w:val="zh-CN"/>
        </w:rPr>
        <w:t>投    标    函</w:t>
      </w:r>
    </w:p>
    <w:p>
      <w:pPr>
        <w:spacing w:line="400" w:lineRule="exact"/>
        <w:rPr>
          <w:rFonts w:ascii="宋体" w:hAnsi="宋体"/>
          <w:b/>
          <w:szCs w:val="21"/>
        </w:rPr>
      </w:pPr>
    </w:p>
    <w:p>
      <w:pPr>
        <w:spacing w:line="400" w:lineRule="exact"/>
        <w:rPr>
          <w:rFonts w:ascii="宋体" w:hAnsi="宋体"/>
          <w:szCs w:val="21"/>
        </w:rPr>
      </w:pPr>
      <w:r>
        <w:rPr>
          <w:rFonts w:hint="eastAsia" w:ascii="宋体" w:hAnsi="宋体"/>
          <w:szCs w:val="21"/>
        </w:rPr>
        <w:t>致：</w:t>
      </w:r>
      <w:r>
        <w:rPr>
          <w:rFonts w:hint="eastAsia" w:ascii="宋体" w:hAnsi="宋体"/>
          <w:snapToGrid w:val="0"/>
          <w:szCs w:val="21"/>
          <w:u w:val="single"/>
        </w:rPr>
        <w:t xml:space="preserve"> </w:t>
      </w:r>
      <w:r>
        <w:rPr>
          <w:rFonts w:ascii="宋体" w:hAnsi="宋体"/>
          <w:snapToGrid w:val="0"/>
          <w:szCs w:val="21"/>
          <w:u w:val="single"/>
        </w:rPr>
        <w:t xml:space="preserve">    </w:t>
      </w:r>
      <w:r>
        <w:rPr>
          <w:rFonts w:hint="eastAsia" w:ascii="宋体" w:hAnsi="宋体"/>
          <w:snapToGrid w:val="0"/>
          <w:szCs w:val="21"/>
          <w:u w:val="single"/>
        </w:rPr>
        <w:t xml:space="preserve">招标人名称 </w:t>
      </w:r>
      <w:r>
        <w:rPr>
          <w:rFonts w:ascii="宋体" w:hAnsi="宋体"/>
          <w:snapToGrid w:val="0"/>
          <w:szCs w:val="21"/>
          <w:u w:val="single"/>
        </w:rPr>
        <w:t xml:space="preserve">   </w:t>
      </w:r>
    </w:p>
    <w:p>
      <w:pPr>
        <w:spacing w:line="400" w:lineRule="exact"/>
        <w:ind w:firstLine="560"/>
        <w:rPr>
          <w:rFonts w:ascii="宋体" w:hAnsi="宋体"/>
          <w:szCs w:val="21"/>
        </w:rPr>
      </w:pPr>
    </w:p>
    <w:p>
      <w:pPr>
        <w:spacing w:line="400" w:lineRule="exact"/>
        <w:ind w:firstLine="560"/>
        <w:rPr>
          <w:rFonts w:ascii="宋体" w:hAnsi="宋体"/>
          <w:szCs w:val="21"/>
        </w:rPr>
      </w:pPr>
      <w:r>
        <w:rPr>
          <w:rFonts w:hint="eastAsia" w:ascii="宋体" w:hAnsi="宋体"/>
          <w:szCs w:val="21"/>
        </w:rPr>
        <w:t>1、根据你方</w:t>
      </w:r>
      <w:r>
        <w:rPr>
          <w:rFonts w:hint="eastAsia" w:ascii="宋体" w:hAnsi="宋体"/>
          <w:szCs w:val="21"/>
          <w:u w:val="single"/>
        </w:rPr>
        <w:t xml:space="preserve">                            项目</w:t>
      </w:r>
      <w:r>
        <w:rPr>
          <w:rFonts w:hint="eastAsia" w:ascii="宋体" w:hAnsi="宋体"/>
          <w:szCs w:val="21"/>
        </w:rPr>
        <w:t>的招标文件，经考察工程现场和研究上述项目招标文件所有条款后，现投送该项目投标文件，我方愿以《广州建设工程施工招标投标书》中的总价，按招标文件之规定范围与条件以及投标文件所有条款的承诺，承包上述工程施工、竣工和缺陷责任。</w:t>
      </w:r>
    </w:p>
    <w:p>
      <w:pPr>
        <w:spacing w:line="400" w:lineRule="exact"/>
        <w:ind w:firstLine="560"/>
        <w:rPr>
          <w:rFonts w:ascii="宋体" w:hAnsi="宋体"/>
          <w:szCs w:val="21"/>
        </w:rPr>
      </w:pPr>
      <w:r>
        <w:rPr>
          <w:rFonts w:hint="eastAsia" w:ascii="宋体" w:hAnsi="宋体"/>
          <w:szCs w:val="21"/>
        </w:rPr>
        <w:t>2、一旦我公司中标，我方保证在接到开工令后三天内开工 ，在我方《广州建设工程施工招标投标书》中承诺的工期内完成并移交合同规定的全部工程。</w:t>
      </w:r>
    </w:p>
    <w:p>
      <w:pPr>
        <w:spacing w:line="400" w:lineRule="exact"/>
        <w:ind w:firstLine="560"/>
        <w:rPr>
          <w:rFonts w:ascii="宋体" w:hAnsi="宋体"/>
          <w:szCs w:val="21"/>
        </w:rPr>
      </w:pPr>
      <w:r>
        <w:rPr>
          <w:rFonts w:hint="eastAsia" w:ascii="宋体" w:hAnsi="宋体"/>
          <w:szCs w:val="21"/>
        </w:rPr>
        <w:t>3、如果我方中标，我方将按照规定提交上述总价10%的银行保函，作为履约保证金，共同地和分别地承担责任。</w:t>
      </w:r>
    </w:p>
    <w:p>
      <w:pPr>
        <w:spacing w:line="400" w:lineRule="exact"/>
        <w:ind w:firstLine="560"/>
        <w:rPr>
          <w:rFonts w:ascii="宋体" w:hAnsi="宋体"/>
          <w:szCs w:val="21"/>
        </w:rPr>
      </w:pPr>
      <w:r>
        <w:rPr>
          <w:rFonts w:hint="eastAsia" w:ascii="宋体" w:hAnsi="宋体"/>
          <w:szCs w:val="21"/>
        </w:rPr>
        <w:t>4、我方同意本投标函的有效期按招标文件规定的投标有效期内有效，在此期间我方的投标随时愿意被业主接受，我方将受此约束。</w:t>
      </w:r>
    </w:p>
    <w:p>
      <w:pPr>
        <w:spacing w:line="400" w:lineRule="exact"/>
        <w:ind w:firstLine="560"/>
        <w:rPr>
          <w:rFonts w:ascii="宋体" w:hAnsi="宋体"/>
          <w:szCs w:val="21"/>
        </w:rPr>
      </w:pPr>
      <w:r>
        <w:rPr>
          <w:rFonts w:hint="eastAsia" w:ascii="宋体" w:hAnsi="宋体"/>
          <w:szCs w:val="21"/>
        </w:rPr>
        <w:t>5、除非另外达成协议并生效，你方的中标通知书和本投标函将构成约束我们双方的合同。</w:t>
      </w:r>
    </w:p>
    <w:p>
      <w:pPr>
        <w:spacing w:line="400" w:lineRule="exact"/>
        <w:ind w:firstLine="560"/>
        <w:rPr>
          <w:rFonts w:ascii="宋体" w:hAnsi="宋体"/>
          <w:szCs w:val="21"/>
        </w:rPr>
      </w:pPr>
      <w:r>
        <w:rPr>
          <w:rFonts w:hint="eastAsia" w:ascii="宋体" w:hAnsi="宋体"/>
          <w:szCs w:val="21"/>
        </w:rPr>
        <w:t>6、我方理解：你方不一定授标给最低报价的投标或收到的某一投标。</w:t>
      </w:r>
    </w:p>
    <w:p>
      <w:pPr>
        <w:spacing w:line="400" w:lineRule="exact"/>
        <w:ind w:firstLine="560"/>
        <w:rPr>
          <w:rFonts w:ascii="宋体" w:hAnsi="宋体"/>
          <w:szCs w:val="21"/>
        </w:rPr>
      </w:pPr>
      <w:r>
        <w:rPr>
          <w:rFonts w:hint="eastAsia" w:ascii="宋体" w:hAnsi="宋体"/>
          <w:szCs w:val="21"/>
        </w:rPr>
        <w:t>7、如我方成为本项目中标候选人，我方同意并授权招标人将我方投标文件商务部分的人员、业绩、奖项等资料进行公示。</w:t>
      </w:r>
    </w:p>
    <w:p>
      <w:pPr>
        <w:snapToGrid w:val="0"/>
        <w:spacing w:line="400" w:lineRule="exact"/>
        <w:ind w:firstLine="560"/>
        <w:rPr>
          <w:rFonts w:ascii="宋体" w:hAnsi="宋体"/>
          <w:szCs w:val="21"/>
        </w:rPr>
      </w:pPr>
    </w:p>
    <w:p>
      <w:pPr>
        <w:spacing w:line="400" w:lineRule="exact"/>
        <w:outlineLvl w:val="0"/>
        <w:rPr>
          <w:rFonts w:ascii="宋体" w:hAnsi="宋体"/>
          <w:szCs w:val="21"/>
        </w:rPr>
      </w:pPr>
      <w:bookmarkStart w:id="327" w:name="_Toc248602721"/>
    </w:p>
    <w:p>
      <w:pPr>
        <w:spacing w:line="400" w:lineRule="exact"/>
        <w:ind w:firstLine="4514"/>
        <w:outlineLvl w:val="0"/>
        <w:rPr>
          <w:rFonts w:ascii="宋体" w:hAnsi="宋体"/>
          <w:szCs w:val="21"/>
        </w:rPr>
      </w:pPr>
    </w:p>
    <w:p>
      <w:pPr>
        <w:spacing w:line="400" w:lineRule="exact"/>
        <w:ind w:firstLine="4514"/>
        <w:outlineLvl w:val="0"/>
        <w:rPr>
          <w:rFonts w:ascii="宋体" w:hAnsi="宋体"/>
          <w:szCs w:val="21"/>
        </w:rPr>
      </w:pPr>
    </w:p>
    <w:p>
      <w:pPr>
        <w:spacing w:line="400" w:lineRule="exact"/>
        <w:ind w:firstLine="4514"/>
        <w:outlineLvl w:val="0"/>
        <w:rPr>
          <w:rFonts w:ascii="宋体" w:hAnsi="宋体"/>
          <w:szCs w:val="21"/>
        </w:rPr>
      </w:pPr>
      <w:bookmarkStart w:id="328" w:name="_Toc267577882"/>
      <w:bookmarkStart w:id="329" w:name="_Toc10558"/>
      <w:bookmarkStart w:id="330" w:name="_Toc272500284"/>
      <w:bookmarkStart w:id="331" w:name="_Toc327344415"/>
      <w:bookmarkStart w:id="332" w:name="_Toc267577806"/>
      <w:bookmarkStart w:id="333" w:name="_Toc490078263"/>
      <w:bookmarkStart w:id="334" w:name="_Toc273606051"/>
      <w:bookmarkStart w:id="335" w:name="_Toc40271727"/>
      <w:bookmarkStart w:id="336" w:name="_Toc267577550"/>
      <w:r>
        <w:rPr>
          <w:rFonts w:hint="eastAsia" w:ascii="宋体" w:hAnsi="宋体"/>
          <w:szCs w:val="21"/>
        </w:rPr>
        <w:t>投标人：（盖章）</w:t>
      </w:r>
      <w:bookmarkEnd w:id="327"/>
      <w:bookmarkEnd w:id="328"/>
      <w:bookmarkEnd w:id="329"/>
      <w:bookmarkEnd w:id="330"/>
      <w:bookmarkEnd w:id="331"/>
      <w:bookmarkEnd w:id="332"/>
      <w:bookmarkEnd w:id="333"/>
      <w:bookmarkEnd w:id="334"/>
      <w:bookmarkEnd w:id="335"/>
      <w:bookmarkEnd w:id="336"/>
    </w:p>
    <w:p>
      <w:pPr>
        <w:spacing w:line="400" w:lineRule="exact"/>
        <w:ind w:firstLine="4514"/>
        <w:rPr>
          <w:rFonts w:ascii="宋体" w:hAnsi="宋体"/>
          <w:szCs w:val="21"/>
        </w:rPr>
      </w:pPr>
    </w:p>
    <w:p>
      <w:pPr>
        <w:spacing w:line="400" w:lineRule="exact"/>
        <w:ind w:firstLine="4514"/>
        <w:rPr>
          <w:rFonts w:ascii="宋体" w:hAnsi="宋体"/>
          <w:szCs w:val="21"/>
        </w:rPr>
      </w:pPr>
      <w:r>
        <w:rPr>
          <w:rFonts w:hint="eastAsia" w:ascii="宋体" w:hAnsi="宋体"/>
          <w:szCs w:val="21"/>
        </w:rPr>
        <w:t>法定代表人：（签字或盖章）</w:t>
      </w:r>
    </w:p>
    <w:p>
      <w:pPr>
        <w:spacing w:line="400" w:lineRule="exact"/>
        <w:ind w:firstLine="3360" w:firstLineChars="1600"/>
        <w:rPr>
          <w:rFonts w:ascii="宋体" w:hAnsi="宋体"/>
          <w:szCs w:val="21"/>
        </w:rPr>
      </w:pPr>
    </w:p>
    <w:p>
      <w:pPr>
        <w:spacing w:line="400" w:lineRule="exact"/>
        <w:ind w:firstLine="4515" w:firstLineChars="2150"/>
        <w:rPr>
          <w:rFonts w:ascii="宋体" w:hAnsi="宋体"/>
          <w:b/>
          <w:szCs w:val="21"/>
        </w:rPr>
      </w:pPr>
      <w:r>
        <w:rPr>
          <w:rFonts w:hint="eastAsia" w:ascii="宋体" w:hAnsi="宋体"/>
          <w:szCs w:val="21"/>
        </w:rPr>
        <w:t>授权代理人：（签字或盖章）</w:t>
      </w:r>
    </w:p>
    <w:p>
      <w:pPr>
        <w:spacing w:line="400" w:lineRule="exact"/>
        <w:ind w:firstLine="3360" w:firstLineChars="1600"/>
        <w:rPr>
          <w:rFonts w:ascii="宋体" w:hAnsi="宋体"/>
          <w:szCs w:val="21"/>
        </w:rPr>
      </w:pPr>
    </w:p>
    <w:p>
      <w:pPr>
        <w:spacing w:line="400" w:lineRule="exact"/>
        <w:ind w:firstLine="4515" w:firstLineChars="2150"/>
        <w:rPr>
          <w:rFonts w:ascii="宋体" w:hAnsi="宋体"/>
          <w:sz w:val="24"/>
        </w:rPr>
        <w:sectPr>
          <w:headerReference r:id="rId19" w:type="default"/>
          <w:footerReference r:id="rId20" w:type="default"/>
          <w:endnotePr>
            <w:numFmt w:val="decimal"/>
          </w:endnotePr>
          <w:pgSz w:w="11906" w:h="16840"/>
          <w:pgMar w:top="1304" w:right="1417" w:bottom="1417" w:left="1417" w:header="850" w:footer="850" w:gutter="0"/>
          <w:cols w:space="720" w:num="1"/>
          <w:docGrid w:linePitch="312" w:charSpace="0"/>
        </w:sectPr>
      </w:pPr>
      <w:r>
        <w:rPr>
          <w:rFonts w:hint="eastAsia" w:ascii="宋体" w:hAnsi="宋体"/>
          <w:szCs w:val="21"/>
        </w:rPr>
        <w:t>日   期：     年    月      日</w:t>
      </w:r>
    </w:p>
    <w:p>
      <w:pPr>
        <w:pStyle w:val="5"/>
        <w:spacing w:before="120" w:after="120"/>
      </w:pPr>
      <w:bookmarkStart w:id="337" w:name="_Toc23530"/>
      <w:r>
        <w:rPr>
          <w:rFonts w:hint="eastAsia"/>
        </w:rPr>
        <w:t>格式三：广州建设工程施工招标投标书</w:t>
      </w:r>
      <w:bookmarkEnd w:id="337"/>
    </w:p>
    <w:p>
      <w:pPr>
        <w:autoSpaceDE w:val="0"/>
        <w:autoSpaceDN w:val="0"/>
        <w:adjustRightInd w:val="0"/>
        <w:ind w:left="-540" w:leftChars="-257" w:firstLine="1135" w:firstLineChars="257"/>
        <w:jc w:val="center"/>
        <w:rPr>
          <w:rFonts w:ascii="宋体" w:hAnsi="宋体" w:cs="宋体"/>
          <w:b/>
          <w:bCs/>
          <w:sz w:val="44"/>
          <w:szCs w:val="44"/>
          <w:lang w:val="zh-CN"/>
        </w:rPr>
      </w:pPr>
    </w:p>
    <w:p>
      <w:pPr>
        <w:autoSpaceDE w:val="0"/>
        <w:autoSpaceDN w:val="0"/>
        <w:adjustRightInd w:val="0"/>
        <w:ind w:left="-540" w:leftChars="-257" w:firstLine="1135" w:firstLineChars="257"/>
        <w:jc w:val="center"/>
        <w:rPr>
          <w:rFonts w:ascii="宋体" w:hAnsi="宋体"/>
          <w:b/>
          <w:bCs/>
          <w:sz w:val="52"/>
          <w:szCs w:val="52"/>
        </w:rPr>
      </w:pPr>
      <w:r>
        <w:rPr>
          <w:rFonts w:hint="eastAsia" w:ascii="宋体" w:hAnsi="宋体" w:cs="宋体"/>
          <w:b/>
          <w:bCs/>
          <w:sz w:val="44"/>
          <w:szCs w:val="44"/>
          <w:lang w:val="zh-CN"/>
        </w:rPr>
        <w:t>广州建设工程施工招标投标书</w:t>
      </w:r>
    </w:p>
    <w:tbl>
      <w:tblPr>
        <w:tblStyle w:val="36"/>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工</w:t>
            </w:r>
            <w:r>
              <w:rPr>
                <w:rFonts w:ascii="宋体" w:hAnsi="宋体" w:cs="宋体"/>
                <w:b/>
                <w:sz w:val="24"/>
                <w:szCs w:val="24"/>
                <w:lang w:val="zh-CN"/>
              </w:rPr>
              <w:t xml:space="preserve"> </w:t>
            </w:r>
            <w:r>
              <w:rPr>
                <w:rFonts w:hint="eastAsia" w:ascii="宋体" w:hAnsi="宋体" w:cs="宋体"/>
                <w:b/>
                <w:sz w:val="24"/>
                <w:szCs w:val="24"/>
                <w:lang w:val="zh-CN"/>
              </w:rPr>
              <w:t>程</w:t>
            </w:r>
            <w:r>
              <w:rPr>
                <w:rFonts w:ascii="宋体" w:hAnsi="宋体" w:cs="宋体"/>
                <w:b/>
                <w:sz w:val="24"/>
                <w:szCs w:val="24"/>
                <w:lang w:val="zh-CN"/>
              </w:rPr>
              <w:t xml:space="preserve"> </w:t>
            </w:r>
            <w:r>
              <w:rPr>
                <w:rFonts w:hint="eastAsia" w:ascii="宋体" w:hAnsi="宋体" w:cs="宋体"/>
                <w:b/>
                <w:sz w:val="24"/>
                <w:szCs w:val="24"/>
                <w:lang w:val="zh-CN"/>
              </w:rPr>
              <w:t>名</w:t>
            </w:r>
            <w:r>
              <w:rPr>
                <w:rFonts w:ascii="宋体" w:hAnsi="宋体" w:cs="宋体"/>
                <w:b/>
                <w:sz w:val="24"/>
                <w:szCs w:val="24"/>
                <w:lang w:val="zh-CN"/>
              </w:rPr>
              <w:t xml:space="preserve"> </w:t>
            </w:r>
            <w:r>
              <w:rPr>
                <w:rFonts w:hint="eastAsia" w:ascii="宋体" w:hAnsi="宋体" w:cs="宋体"/>
                <w:b/>
                <w:sz w:val="24"/>
                <w:szCs w:val="24"/>
                <w:lang w:val="zh-CN"/>
              </w:rPr>
              <w:t>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其中：</w:t>
            </w:r>
            <w:r>
              <w:rPr>
                <w:rFonts w:hint="eastAsia" w:ascii="宋体" w:hAnsi="宋体" w:cs="宋体"/>
                <w:b/>
                <w:bCs/>
                <w:sz w:val="24"/>
                <w:szCs w:val="24"/>
                <w:lang w:val="zh-CN"/>
              </w:rPr>
              <w:t>人工费</w:t>
            </w:r>
            <w:r>
              <w:rPr>
                <w:rFonts w:hint="eastAsia" w:ascii="宋体" w:hAnsi="宋体" w:cs="宋体"/>
                <w:b/>
                <w:sz w:val="24"/>
                <w:szCs w:val="24"/>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 w:val="24"/>
                <w:szCs w:val="24"/>
                <w:lang w:val="zh-CN"/>
              </w:rPr>
            </w:pPr>
            <w:r>
              <w:rPr>
                <w:rFonts w:hint="eastAsia" w:ascii="宋体" w:hAnsi="宋体" w:cs="宋体"/>
                <w:b/>
                <w:bCs/>
                <w:sz w:val="24"/>
                <w:szCs w:val="24"/>
                <w:lang w:val="zh-CN"/>
              </w:rPr>
              <w:t>其中：</w:t>
            </w:r>
            <w:r>
              <w:rPr>
                <w:rFonts w:hint="eastAsia" w:ascii="宋体" w:hAnsi="宋体" w:cs="宋体"/>
                <w:b/>
                <w:sz w:val="24"/>
                <w:szCs w:val="24"/>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lang w:val="zh-CN"/>
              </w:rPr>
            </w:pPr>
            <w:r>
              <w:rPr>
                <w:rFonts w:hint="eastAsia" w:ascii="宋体" w:hAnsi="宋体" w:cs="宋体"/>
                <w:b/>
                <w:sz w:val="24"/>
                <w:szCs w:val="24"/>
                <w:lang w:val="zh-CN"/>
              </w:rPr>
              <w:t>投</w:t>
            </w:r>
            <w:r>
              <w:rPr>
                <w:rFonts w:ascii="宋体" w:hAnsi="宋体" w:cs="宋体"/>
                <w:b/>
                <w:sz w:val="24"/>
                <w:szCs w:val="24"/>
                <w:lang w:val="zh-CN"/>
              </w:rPr>
              <w:t xml:space="preserve"> </w:t>
            </w:r>
            <w:r>
              <w:rPr>
                <w:rFonts w:hint="eastAsia" w:ascii="宋体" w:hAnsi="宋体" w:cs="宋体"/>
                <w:b/>
                <w:sz w:val="24"/>
                <w:szCs w:val="24"/>
                <w:lang w:val="zh-CN"/>
              </w:rPr>
              <w:t>标</w:t>
            </w:r>
            <w:r>
              <w:rPr>
                <w:rFonts w:ascii="宋体" w:hAnsi="宋体" w:cs="宋体"/>
                <w:b/>
                <w:sz w:val="24"/>
                <w:szCs w:val="24"/>
                <w:lang w:val="zh-CN"/>
              </w:rPr>
              <w:t xml:space="preserve"> </w:t>
            </w:r>
            <w:r>
              <w:rPr>
                <w:rFonts w:hint="eastAsia" w:ascii="宋体" w:hAnsi="宋体" w:cs="宋体"/>
                <w:b/>
                <w:sz w:val="24"/>
                <w:szCs w:val="24"/>
                <w:lang w:val="zh-CN"/>
              </w:rPr>
              <w:t>总 工</w:t>
            </w:r>
            <w:r>
              <w:rPr>
                <w:rFonts w:ascii="宋体" w:hAnsi="宋体" w:cs="宋体"/>
                <w:b/>
                <w:sz w:val="24"/>
                <w:szCs w:val="24"/>
                <w:lang w:val="zh-CN"/>
              </w:rPr>
              <w:t xml:space="preserve"> </w:t>
            </w:r>
            <w:r>
              <w:rPr>
                <w:rFonts w:hint="eastAsia" w:ascii="宋体" w:hAnsi="宋体" w:cs="宋体"/>
                <w:b/>
                <w:sz w:val="24"/>
                <w:szCs w:val="24"/>
                <w:lang w:val="zh-CN"/>
              </w:rPr>
              <w:t>期</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bCs/>
                <w:sz w:val="24"/>
                <w:szCs w:val="24"/>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szCs w:val="24"/>
              </w:rPr>
            </w:pPr>
            <w:r>
              <w:rPr>
                <w:rFonts w:hint="eastAsia" w:ascii="宋体" w:hAnsi="宋体" w:cs="宋体"/>
                <w:b/>
                <w:sz w:val="24"/>
                <w:szCs w:val="24"/>
                <w:lang w:val="zh-CN"/>
              </w:rPr>
              <w:t>工程质量标准</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bCs/>
                <w:sz w:val="24"/>
                <w:szCs w:val="24"/>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sz w:val="24"/>
                <w:szCs w:val="24"/>
                <w:lang w:val="zh-CN"/>
              </w:rPr>
              <w:t>保</w:t>
            </w:r>
            <w:r>
              <w:rPr>
                <w:rFonts w:ascii="宋体" w:hAnsi="宋体" w:cs="宋体"/>
                <w:b/>
                <w:sz w:val="24"/>
                <w:szCs w:val="24"/>
                <w:lang w:val="zh-CN"/>
              </w:rPr>
              <w:t xml:space="preserve"> </w:t>
            </w:r>
            <w:r>
              <w:rPr>
                <w:rFonts w:hint="eastAsia" w:ascii="宋体" w:hAnsi="宋体" w:cs="宋体"/>
                <w:b/>
                <w:sz w:val="24"/>
                <w:szCs w:val="24"/>
                <w:lang w:val="zh-CN"/>
              </w:rPr>
              <w:t>修</w:t>
            </w:r>
            <w:r>
              <w:rPr>
                <w:rFonts w:ascii="宋体" w:hAnsi="宋体" w:cs="宋体"/>
                <w:b/>
                <w:sz w:val="24"/>
                <w:szCs w:val="24"/>
                <w:lang w:val="zh-CN"/>
              </w:rPr>
              <w:t xml:space="preserve"> </w:t>
            </w:r>
            <w:r>
              <w:rPr>
                <w:rFonts w:hint="eastAsia" w:ascii="宋体" w:hAnsi="宋体" w:cs="宋体"/>
                <w:b/>
                <w:sz w:val="24"/>
                <w:szCs w:val="24"/>
                <w:lang w:val="zh-CN"/>
              </w:rPr>
              <w:t>期</w:t>
            </w:r>
            <w:r>
              <w:rPr>
                <w:rFonts w:ascii="宋体" w:hAnsi="宋体" w:cs="宋体"/>
                <w:b/>
                <w:sz w:val="24"/>
                <w:szCs w:val="24"/>
                <w:lang w:val="zh-CN"/>
              </w:rPr>
              <w:t xml:space="preserve"> </w:t>
            </w:r>
            <w:r>
              <w:rPr>
                <w:rFonts w:hint="eastAsia" w:ascii="宋体" w:hAnsi="宋体" w:cs="宋体"/>
                <w:b/>
                <w:sz w:val="24"/>
                <w:szCs w:val="24"/>
                <w:lang w:val="zh-CN"/>
              </w:rPr>
              <w:t>限</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bCs/>
                <w:sz w:val="24"/>
                <w:szCs w:val="24"/>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投标有效期</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lang w:val="zh-CN"/>
              </w:rPr>
            </w:pPr>
            <w:r>
              <w:rPr>
                <w:rFonts w:hint="eastAsia" w:ascii="宋体" w:hAnsi="宋体" w:cs="宋体"/>
                <w:b/>
                <w:bCs/>
                <w:sz w:val="24"/>
                <w:szCs w:val="24"/>
                <w:lang w:val="zh-CN"/>
              </w:rPr>
              <w:t>按招标文件要求</w:t>
            </w:r>
          </w:p>
        </w:tc>
      </w:tr>
    </w:tbl>
    <w:p>
      <w:pPr>
        <w:pStyle w:val="8"/>
        <w:ind w:firstLine="0"/>
      </w:pPr>
    </w:p>
    <w:p>
      <w:pPr>
        <w:widowControl/>
        <w:jc w:val="left"/>
        <w:rPr>
          <w:b/>
          <w:sz w:val="24"/>
          <w:szCs w:val="24"/>
        </w:rPr>
      </w:pPr>
      <w:r>
        <w:br w:type="page"/>
      </w:r>
    </w:p>
    <w:p>
      <w:pPr>
        <w:pStyle w:val="5"/>
        <w:spacing w:before="120" w:after="120"/>
      </w:pPr>
      <w:bookmarkStart w:id="338" w:name="_Toc1087"/>
      <w:r>
        <w:rPr>
          <w:rFonts w:hint="eastAsia"/>
        </w:rPr>
        <w:t>格式四</w:t>
      </w:r>
      <w:bookmarkEnd w:id="338"/>
    </w:p>
    <w:p>
      <w:pPr>
        <w:snapToGrid w:val="0"/>
        <w:spacing w:line="360" w:lineRule="auto"/>
        <w:outlineLvl w:val="0"/>
        <w:rPr>
          <w:rFonts w:ascii="宋体" w:hAnsi="宋体"/>
          <w:b/>
          <w:snapToGrid w:val="0"/>
          <w:sz w:val="28"/>
          <w:szCs w:val="28"/>
        </w:rPr>
      </w:pPr>
    </w:p>
    <w:p>
      <w:pPr>
        <w:snapToGrid w:val="0"/>
        <w:spacing w:line="360" w:lineRule="auto"/>
        <w:jc w:val="center"/>
        <w:outlineLvl w:val="0"/>
        <w:rPr>
          <w:rFonts w:ascii="宋体" w:hAnsi="宋体"/>
          <w:b/>
          <w:snapToGrid w:val="0"/>
          <w:sz w:val="28"/>
          <w:szCs w:val="28"/>
        </w:rPr>
      </w:pPr>
      <w:bookmarkStart w:id="339" w:name="_Toc490078255"/>
      <w:bookmarkStart w:id="340" w:name="_Toc13535"/>
      <w:bookmarkStart w:id="341" w:name="_Toc40271718"/>
      <w:r>
        <w:rPr>
          <w:rFonts w:hint="eastAsia" w:ascii="宋体" w:hAnsi="宋体"/>
          <w:b/>
          <w:snapToGrid w:val="0"/>
          <w:sz w:val="28"/>
          <w:szCs w:val="28"/>
        </w:rPr>
        <w:t>法定代表人证明书</w:t>
      </w:r>
      <w:bookmarkEnd w:id="339"/>
      <w:bookmarkEnd w:id="340"/>
      <w:bookmarkEnd w:id="341"/>
    </w:p>
    <w:p>
      <w:pPr>
        <w:snapToGrid w:val="0"/>
        <w:spacing w:line="360" w:lineRule="auto"/>
        <w:jc w:val="center"/>
        <w:outlineLvl w:val="0"/>
        <w:rPr>
          <w:rFonts w:ascii="宋体" w:hAnsi="宋体"/>
          <w:b/>
          <w:snapToGrid w:val="0"/>
          <w:sz w:val="24"/>
        </w:rPr>
      </w:pPr>
    </w:p>
    <w:p>
      <w:pPr>
        <w:snapToGrid w:val="0"/>
        <w:spacing w:line="360" w:lineRule="auto"/>
        <w:outlineLvl w:val="0"/>
        <w:rPr>
          <w:rFonts w:ascii="宋体" w:hAnsi="宋体"/>
          <w:snapToGrid w:val="0"/>
          <w:szCs w:val="21"/>
        </w:rPr>
      </w:pPr>
      <w:r>
        <w:rPr>
          <w:rFonts w:hint="eastAsia" w:ascii="宋体" w:hAnsi="宋体"/>
          <w:b/>
          <w:snapToGrid w:val="0"/>
          <w:sz w:val="24"/>
        </w:rPr>
        <w:t xml:space="preserve">     </w:t>
      </w:r>
      <w:r>
        <w:rPr>
          <w:rFonts w:hint="eastAsia" w:ascii="宋体" w:hAnsi="宋体"/>
          <w:snapToGrid w:val="0"/>
          <w:sz w:val="24"/>
        </w:rPr>
        <w:t xml:space="preserve">   </w:t>
      </w:r>
      <w:r>
        <w:rPr>
          <w:rFonts w:hint="eastAsia" w:ascii="宋体" w:hAnsi="宋体"/>
          <w:snapToGrid w:val="0"/>
          <w:szCs w:val="21"/>
          <w:u w:val="single"/>
        </w:rPr>
        <w:t xml:space="preserve">          </w:t>
      </w:r>
      <w:bookmarkStart w:id="342" w:name="_Toc9745"/>
      <w:bookmarkStart w:id="343" w:name="_Toc40271719"/>
      <w:bookmarkStart w:id="344" w:name="_Toc490078256"/>
      <w:r>
        <w:rPr>
          <w:rFonts w:hint="eastAsia" w:ascii="宋体" w:hAnsi="宋体"/>
          <w:snapToGrid w:val="0"/>
          <w:szCs w:val="21"/>
        </w:rPr>
        <w:t>同志，现任我单位</w:t>
      </w:r>
      <w:r>
        <w:rPr>
          <w:rFonts w:hint="eastAsia" w:ascii="宋体" w:hAnsi="宋体"/>
          <w:snapToGrid w:val="0"/>
          <w:szCs w:val="21"/>
          <w:u w:val="single"/>
        </w:rPr>
        <w:t xml:space="preserve">          </w:t>
      </w:r>
      <w:r>
        <w:rPr>
          <w:rFonts w:hint="eastAsia" w:ascii="宋体" w:hAnsi="宋体"/>
          <w:snapToGrid w:val="0"/>
          <w:szCs w:val="21"/>
        </w:rPr>
        <w:t>职务，为法定代表人，特此证明。</w:t>
      </w:r>
      <w:bookmarkEnd w:id="342"/>
      <w:bookmarkEnd w:id="343"/>
      <w:bookmarkEnd w:id="344"/>
    </w:p>
    <w:p>
      <w:pPr>
        <w:snapToGrid w:val="0"/>
        <w:spacing w:line="360" w:lineRule="auto"/>
        <w:outlineLvl w:val="0"/>
        <w:rPr>
          <w:rFonts w:ascii="宋体" w:hAnsi="宋体"/>
          <w:snapToGrid w:val="0"/>
          <w:szCs w:val="21"/>
        </w:rPr>
      </w:pPr>
    </w:p>
    <w:p>
      <w:pPr>
        <w:snapToGrid w:val="0"/>
        <w:spacing w:line="360" w:lineRule="auto"/>
        <w:outlineLvl w:val="0"/>
        <w:rPr>
          <w:rFonts w:ascii="宋体" w:hAnsi="宋体"/>
          <w:snapToGrid w:val="0"/>
          <w:szCs w:val="21"/>
          <w:u w:val="single"/>
        </w:rPr>
      </w:pPr>
      <w:r>
        <w:rPr>
          <w:rFonts w:hint="eastAsia" w:ascii="宋体" w:hAnsi="宋体"/>
          <w:snapToGrid w:val="0"/>
          <w:szCs w:val="21"/>
        </w:rPr>
        <w:t xml:space="preserve">  </w:t>
      </w:r>
      <w:bookmarkStart w:id="345" w:name="_Toc490078257"/>
      <w:bookmarkStart w:id="346" w:name="_Toc40271720"/>
      <w:bookmarkStart w:id="347" w:name="_Toc2421"/>
      <w:r>
        <w:rPr>
          <w:rFonts w:hint="eastAsia" w:ascii="宋体" w:hAnsi="宋体"/>
          <w:snapToGrid w:val="0"/>
          <w:szCs w:val="21"/>
        </w:rPr>
        <w:t>有效日期：</w:t>
      </w:r>
      <w:r>
        <w:rPr>
          <w:rFonts w:hint="eastAsia" w:ascii="宋体" w:hAnsi="宋体"/>
          <w:snapToGrid w:val="0"/>
          <w:szCs w:val="21"/>
          <w:u w:val="single"/>
        </w:rPr>
        <w:t xml:space="preserve">       </w:t>
      </w:r>
      <w:r>
        <w:rPr>
          <w:rFonts w:hint="eastAsia" w:ascii="宋体" w:hAnsi="宋体"/>
          <w:snapToGrid w:val="0"/>
          <w:szCs w:val="21"/>
        </w:rPr>
        <w:t xml:space="preserve">  签发日期：</w:t>
      </w:r>
      <w:r>
        <w:rPr>
          <w:rFonts w:hint="eastAsia" w:ascii="宋体" w:hAnsi="宋体"/>
          <w:snapToGrid w:val="0"/>
          <w:szCs w:val="21"/>
          <w:u w:val="single"/>
        </w:rPr>
        <w:t xml:space="preserve">       </w:t>
      </w:r>
      <w:r>
        <w:rPr>
          <w:rFonts w:hint="eastAsia" w:ascii="宋体" w:hAnsi="宋体"/>
          <w:snapToGrid w:val="0"/>
          <w:szCs w:val="21"/>
        </w:rPr>
        <w:t xml:space="preserve"> 单位：</w:t>
      </w:r>
      <w:r>
        <w:rPr>
          <w:rFonts w:hint="eastAsia" w:ascii="宋体" w:hAnsi="宋体"/>
          <w:snapToGrid w:val="0"/>
          <w:szCs w:val="21"/>
          <w:u w:val="single"/>
        </w:rPr>
        <w:t xml:space="preserve">      </w:t>
      </w:r>
      <w:r>
        <w:rPr>
          <w:rFonts w:hint="eastAsia" w:ascii="宋体" w:hAnsi="宋体"/>
          <w:snapToGrid w:val="0"/>
          <w:szCs w:val="21"/>
        </w:rPr>
        <w:t>（公章）</w:t>
      </w:r>
      <w:bookmarkEnd w:id="345"/>
      <w:r>
        <w:rPr>
          <w:rFonts w:hint="eastAsia" w:ascii="宋体" w:hAnsi="宋体"/>
          <w:snapToGrid w:val="0"/>
          <w:szCs w:val="21"/>
        </w:rPr>
        <w:t>法定代表人签字</w:t>
      </w:r>
      <w:r>
        <w:rPr>
          <w:rFonts w:hint="eastAsia" w:ascii="宋体" w:hAnsi="宋体"/>
          <w:szCs w:val="21"/>
        </w:rPr>
        <w:t>或盖章</w:t>
      </w:r>
      <w:r>
        <w:rPr>
          <w:rFonts w:hint="eastAsia" w:ascii="宋体" w:hAnsi="宋体"/>
          <w:snapToGrid w:val="0"/>
          <w:szCs w:val="21"/>
        </w:rPr>
        <w:t>：</w:t>
      </w:r>
      <w:bookmarkEnd w:id="346"/>
      <w:bookmarkEnd w:id="347"/>
      <w:r>
        <w:rPr>
          <w:rFonts w:hint="eastAsia" w:ascii="宋体" w:hAnsi="宋体"/>
          <w:snapToGrid w:val="0"/>
          <w:szCs w:val="21"/>
          <w:u w:val="single"/>
        </w:rPr>
        <w:t xml:space="preserve">       </w:t>
      </w:r>
    </w:p>
    <w:p>
      <w:pPr>
        <w:snapToGrid w:val="0"/>
        <w:spacing w:line="360" w:lineRule="auto"/>
        <w:outlineLvl w:val="0"/>
        <w:rPr>
          <w:rFonts w:ascii="宋体" w:hAnsi="宋体"/>
          <w:snapToGrid w:val="0"/>
          <w:szCs w:val="21"/>
        </w:rPr>
      </w:pPr>
    </w:p>
    <w:p>
      <w:pPr>
        <w:snapToGrid w:val="0"/>
        <w:spacing w:line="360" w:lineRule="auto"/>
        <w:outlineLvl w:val="0"/>
        <w:rPr>
          <w:rFonts w:ascii="宋体" w:hAnsi="宋体"/>
          <w:snapToGrid w:val="0"/>
          <w:szCs w:val="21"/>
          <w:u w:val="single"/>
        </w:rPr>
      </w:pPr>
      <w:r>
        <w:rPr>
          <w:rFonts w:hint="eastAsia" w:ascii="宋体" w:hAnsi="宋体"/>
          <w:snapToGrid w:val="0"/>
          <w:szCs w:val="21"/>
        </w:rPr>
        <w:t xml:space="preserve">  </w:t>
      </w:r>
      <w:bookmarkStart w:id="348" w:name="_Toc490078258"/>
      <w:bookmarkStart w:id="349" w:name="_Toc14799"/>
      <w:bookmarkStart w:id="350" w:name="_Toc40271721"/>
      <w:r>
        <w:rPr>
          <w:rFonts w:hint="eastAsia" w:ascii="宋体" w:hAnsi="宋体"/>
          <w:snapToGrid w:val="0"/>
          <w:szCs w:val="21"/>
        </w:rPr>
        <w:t>附：代表人性别：</w:t>
      </w:r>
      <w:r>
        <w:rPr>
          <w:rFonts w:hint="eastAsia" w:ascii="宋体" w:hAnsi="宋体"/>
          <w:snapToGrid w:val="0"/>
          <w:szCs w:val="21"/>
          <w:u w:val="single"/>
        </w:rPr>
        <w:t xml:space="preserve">            </w:t>
      </w:r>
      <w:r>
        <w:rPr>
          <w:rFonts w:hint="eastAsia" w:ascii="宋体" w:hAnsi="宋体"/>
          <w:snapToGrid w:val="0"/>
          <w:szCs w:val="21"/>
        </w:rPr>
        <w:t xml:space="preserve"> 年龄：</w:t>
      </w:r>
      <w:r>
        <w:rPr>
          <w:rFonts w:hint="eastAsia" w:ascii="宋体" w:hAnsi="宋体"/>
          <w:snapToGrid w:val="0"/>
          <w:szCs w:val="21"/>
          <w:u w:val="single"/>
        </w:rPr>
        <w:t xml:space="preserve">            </w:t>
      </w:r>
      <w:r>
        <w:rPr>
          <w:rFonts w:hint="eastAsia" w:ascii="宋体" w:hAnsi="宋体"/>
          <w:snapToGrid w:val="0"/>
          <w:szCs w:val="21"/>
        </w:rPr>
        <w:t xml:space="preserve"> 身份证号码：</w:t>
      </w:r>
      <w:bookmarkEnd w:id="348"/>
      <w:bookmarkEnd w:id="349"/>
      <w:bookmarkEnd w:id="350"/>
      <w:r>
        <w:rPr>
          <w:rFonts w:hint="eastAsia" w:ascii="宋体" w:hAnsi="宋体"/>
          <w:snapToGrid w:val="0"/>
          <w:szCs w:val="21"/>
          <w:u w:val="single"/>
        </w:rPr>
        <w:t xml:space="preserve">               </w:t>
      </w:r>
    </w:p>
    <w:p>
      <w:pPr>
        <w:snapToGrid w:val="0"/>
        <w:spacing w:line="360" w:lineRule="auto"/>
        <w:outlineLvl w:val="0"/>
        <w:rPr>
          <w:rFonts w:ascii="宋体" w:hAnsi="宋体"/>
          <w:snapToGrid w:val="0"/>
          <w:szCs w:val="21"/>
        </w:rPr>
      </w:pPr>
    </w:p>
    <w:p>
      <w:pPr>
        <w:snapToGrid w:val="0"/>
        <w:spacing w:line="360" w:lineRule="auto"/>
        <w:outlineLvl w:val="0"/>
        <w:rPr>
          <w:rFonts w:ascii="宋体" w:hAnsi="宋体"/>
          <w:snapToGrid w:val="0"/>
          <w:szCs w:val="21"/>
          <w:u w:val="single"/>
        </w:rPr>
      </w:pPr>
      <w:r>
        <w:rPr>
          <w:rFonts w:hint="eastAsia" w:ascii="宋体" w:hAnsi="宋体"/>
          <w:snapToGrid w:val="0"/>
          <w:szCs w:val="21"/>
        </w:rPr>
        <w:t xml:space="preserve">  </w:t>
      </w:r>
      <w:bookmarkStart w:id="351" w:name="_Toc23267"/>
      <w:bookmarkStart w:id="352" w:name="_Toc490078259"/>
      <w:bookmarkStart w:id="353" w:name="_Toc40271722"/>
      <w:r>
        <w:rPr>
          <w:rFonts w:hint="eastAsia" w:ascii="宋体" w:hAnsi="宋体"/>
          <w:snapToGrid w:val="0"/>
          <w:szCs w:val="21"/>
        </w:rPr>
        <w:t>营业执照号码：</w:t>
      </w:r>
      <w:r>
        <w:rPr>
          <w:rFonts w:hint="eastAsia" w:ascii="宋体" w:hAnsi="宋体"/>
          <w:snapToGrid w:val="0"/>
          <w:szCs w:val="21"/>
          <w:u w:val="single"/>
        </w:rPr>
        <w:t xml:space="preserve">                     </w:t>
      </w:r>
      <w:r>
        <w:rPr>
          <w:rFonts w:hint="eastAsia" w:ascii="宋体" w:hAnsi="宋体"/>
          <w:snapToGrid w:val="0"/>
          <w:szCs w:val="21"/>
        </w:rPr>
        <w:t xml:space="preserve">      经济性质：</w:t>
      </w:r>
      <w:bookmarkEnd w:id="351"/>
      <w:bookmarkEnd w:id="352"/>
      <w:bookmarkEnd w:id="353"/>
      <w:r>
        <w:rPr>
          <w:rFonts w:hint="eastAsia" w:ascii="宋体" w:hAnsi="宋体"/>
          <w:snapToGrid w:val="0"/>
          <w:szCs w:val="21"/>
          <w:u w:val="single"/>
        </w:rPr>
        <w:t xml:space="preserve">                     </w:t>
      </w:r>
    </w:p>
    <w:p>
      <w:pPr>
        <w:snapToGrid w:val="0"/>
        <w:spacing w:line="360" w:lineRule="auto"/>
        <w:outlineLvl w:val="0"/>
        <w:rPr>
          <w:rFonts w:ascii="宋体" w:hAnsi="宋体"/>
          <w:snapToGrid w:val="0"/>
          <w:szCs w:val="21"/>
        </w:rPr>
      </w:pPr>
    </w:p>
    <w:p>
      <w:pPr>
        <w:snapToGrid w:val="0"/>
        <w:spacing w:line="360" w:lineRule="auto"/>
        <w:ind w:firstLine="560"/>
        <w:outlineLvl w:val="0"/>
        <w:rPr>
          <w:rFonts w:ascii="宋体" w:hAnsi="宋体"/>
          <w:snapToGrid w:val="0"/>
          <w:szCs w:val="21"/>
        </w:rPr>
      </w:pPr>
      <w:bookmarkStart w:id="354" w:name="_Toc40271723"/>
      <w:bookmarkStart w:id="355" w:name="_Toc490078260"/>
      <w:bookmarkStart w:id="356" w:name="_Toc23599"/>
      <w:r>
        <w:rPr>
          <w:rFonts w:hint="eastAsia" w:ascii="宋体" w:hAnsi="宋体"/>
          <w:snapToGrid w:val="0"/>
          <w:szCs w:val="21"/>
        </w:rPr>
        <w:t>主营（产）：</w:t>
      </w:r>
      <w:bookmarkEnd w:id="354"/>
      <w:bookmarkEnd w:id="355"/>
      <w:bookmarkEnd w:id="356"/>
      <w:r>
        <w:rPr>
          <w:rFonts w:hint="eastAsia" w:ascii="宋体" w:hAnsi="宋体"/>
          <w:snapToGrid w:val="0"/>
          <w:szCs w:val="21"/>
          <w:u w:val="single"/>
        </w:rPr>
        <w:t xml:space="preserve">                     </w:t>
      </w:r>
    </w:p>
    <w:p>
      <w:pPr>
        <w:snapToGrid w:val="0"/>
        <w:spacing w:line="360" w:lineRule="auto"/>
        <w:ind w:firstLine="560"/>
        <w:outlineLvl w:val="0"/>
        <w:rPr>
          <w:rFonts w:ascii="宋体" w:hAnsi="宋体"/>
          <w:snapToGrid w:val="0"/>
          <w:sz w:val="24"/>
        </w:rPr>
      </w:pPr>
    </w:p>
    <w:p>
      <w:pPr>
        <w:snapToGrid w:val="0"/>
        <w:spacing w:line="360" w:lineRule="auto"/>
        <w:ind w:firstLine="560"/>
        <w:outlineLvl w:val="0"/>
        <w:rPr>
          <w:rFonts w:ascii="宋体" w:hAnsi="宋体"/>
          <w:snapToGrid w:val="0"/>
          <w:szCs w:val="21"/>
        </w:rPr>
      </w:pPr>
      <w:bookmarkStart w:id="357" w:name="_Toc40271724"/>
      <w:bookmarkStart w:id="358" w:name="_Toc490078261"/>
      <w:bookmarkStart w:id="359" w:name="_Toc31197"/>
      <w:r>
        <w:rPr>
          <w:rFonts w:hint="eastAsia" w:ascii="宋体" w:hAnsi="宋体"/>
          <w:snapToGrid w:val="0"/>
          <w:szCs w:val="21"/>
        </w:rPr>
        <w:t>兼营（产）：</w:t>
      </w:r>
      <w:bookmarkEnd w:id="357"/>
      <w:bookmarkEnd w:id="358"/>
      <w:bookmarkEnd w:id="359"/>
      <w:r>
        <w:rPr>
          <w:rFonts w:hint="eastAsia" w:ascii="宋体" w:hAnsi="宋体"/>
          <w:snapToGrid w:val="0"/>
          <w:szCs w:val="21"/>
          <w:u w:val="single"/>
        </w:rPr>
        <w:t xml:space="preserve">                     </w:t>
      </w:r>
    </w:p>
    <w:p>
      <w:pPr>
        <w:snapToGrid w:val="0"/>
        <w:spacing w:line="360" w:lineRule="auto"/>
        <w:ind w:firstLine="560"/>
        <w:outlineLvl w:val="0"/>
        <w:rPr>
          <w:rFonts w:ascii="宋体" w:hAnsi="宋体"/>
          <w:snapToGrid w:val="0"/>
          <w:szCs w:val="21"/>
        </w:rPr>
      </w:pPr>
    </w:p>
    <w:p>
      <w:pPr>
        <w:snapToGrid w:val="0"/>
        <w:spacing w:line="360" w:lineRule="auto"/>
        <w:ind w:firstLine="560"/>
        <w:outlineLvl w:val="0"/>
        <w:rPr>
          <w:rFonts w:ascii="宋体" w:hAnsi="宋体"/>
          <w:snapToGrid w:val="0"/>
          <w:szCs w:val="21"/>
        </w:rPr>
      </w:pPr>
    </w:p>
    <w:p>
      <w:pPr>
        <w:snapToGrid w:val="0"/>
        <w:spacing w:line="360" w:lineRule="auto"/>
        <w:ind w:firstLine="560"/>
        <w:outlineLvl w:val="0"/>
        <w:rPr>
          <w:rFonts w:ascii="宋体" w:hAnsi="宋体"/>
          <w:snapToGrid w:val="0"/>
          <w:szCs w:val="21"/>
          <w:u w:val="single"/>
        </w:rPr>
      </w:pPr>
      <w:bookmarkStart w:id="360" w:name="_Toc40271725"/>
      <w:bookmarkStart w:id="361" w:name="_Toc3727"/>
      <w:r>
        <w:rPr>
          <w:rFonts w:hint="eastAsia" w:ascii="宋体" w:hAnsi="宋体"/>
          <w:snapToGrid w:val="0"/>
          <w:szCs w:val="21"/>
        </w:rPr>
        <w:t>身份证复印件：</w:t>
      </w:r>
      <w:bookmarkEnd w:id="360"/>
      <w:bookmarkEnd w:id="361"/>
      <w:r>
        <w:rPr>
          <w:rFonts w:hint="eastAsia" w:ascii="宋体" w:hAnsi="宋体"/>
          <w:snapToGrid w:val="0"/>
          <w:szCs w:val="21"/>
          <w:u w:val="single"/>
        </w:rPr>
        <w:t xml:space="preserve">                     </w:t>
      </w:r>
    </w:p>
    <w:p>
      <w:pPr>
        <w:snapToGrid w:val="0"/>
        <w:spacing w:line="360" w:lineRule="auto"/>
        <w:ind w:firstLine="560"/>
        <w:outlineLvl w:val="0"/>
        <w:rPr>
          <w:rFonts w:ascii="宋体" w:hAnsi="宋体"/>
          <w:snapToGrid w:val="0"/>
          <w:szCs w:val="21"/>
          <w:u w:val="single"/>
        </w:rPr>
      </w:pPr>
    </w:p>
    <w:p>
      <w:pPr>
        <w:snapToGrid w:val="0"/>
        <w:spacing w:line="360" w:lineRule="auto"/>
        <w:ind w:firstLine="560"/>
        <w:outlineLvl w:val="0"/>
        <w:rPr>
          <w:rFonts w:ascii="宋体" w:hAnsi="宋体"/>
          <w:snapToGrid w:val="0"/>
          <w:szCs w:val="21"/>
          <w:u w:val="single"/>
        </w:rPr>
      </w:pPr>
    </w:p>
    <w:p>
      <w:pPr>
        <w:snapToGrid w:val="0"/>
        <w:spacing w:line="360" w:lineRule="auto"/>
        <w:ind w:firstLine="560"/>
        <w:outlineLvl w:val="0"/>
        <w:rPr>
          <w:rFonts w:ascii="宋体" w:hAnsi="宋体"/>
          <w:snapToGrid w:val="0"/>
          <w:szCs w:val="21"/>
          <w:u w:val="single"/>
        </w:rPr>
      </w:pPr>
    </w:p>
    <w:p>
      <w:pPr>
        <w:snapToGrid w:val="0"/>
        <w:spacing w:line="360" w:lineRule="auto"/>
        <w:ind w:firstLine="560"/>
        <w:outlineLvl w:val="0"/>
        <w:rPr>
          <w:rFonts w:ascii="宋体" w:hAnsi="宋体"/>
          <w:snapToGrid w:val="0"/>
          <w:szCs w:val="21"/>
          <w:u w:val="single"/>
        </w:rPr>
      </w:pPr>
    </w:p>
    <w:p>
      <w:pPr>
        <w:spacing w:line="360" w:lineRule="auto"/>
        <w:rPr>
          <w:rFonts w:ascii="宋体" w:hAnsi="宋体"/>
          <w:b/>
          <w:szCs w:val="21"/>
        </w:rPr>
      </w:pPr>
    </w:p>
    <w:p>
      <w:pPr>
        <w:pStyle w:val="5"/>
        <w:spacing w:before="120" w:after="120"/>
        <w:rPr>
          <w:rFonts w:ascii="Times New Roman" w:hAnsi="Times New Roman"/>
          <w:szCs w:val="24"/>
        </w:rPr>
      </w:pPr>
      <w:r>
        <w:rPr>
          <w:b/>
          <w:szCs w:val="21"/>
        </w:rPr>
        <w:br w:type="page"/>
      </w:r>
      <w:bookmarkStart w:id="362" w:name="_Toc20473"/>
      <w:r>
        <w:rPr>
          <w:rFonts w:hint="eastAsia" w:ascii="Times New Roman" w:hAnsi="Times New Roman"/>
          <w:szCs w:val="24"/>
        </w:rPr>
        <w:t>格式</w:t>
      </w:r>
      <w:r>
        <w:rPr>
          <w:rFonts w:hint="eastAsia"/>
        </w:rPr>
        <w:t>四</w:t>
      </w:r>
      <w:bookmarkEnd w:id="362"/>
    </w:p>
    <w:p>
      <w:pPr>
        <w:spacing w:line="360" w:lineRule="auto"/>
        <w:rPr>
          <w:rFonts w:ascii="宋体" w:hAnsi="宋体"/>
          <w:b/>
          <w:szCs w:val="21"/>
        </w:rPr>
      </w:pPr>
    </w:p>
    <w:p>
      <w:pPr>
        <w:snapToGrid w:val="0"/>
        <w:spacing w:line="360" w:lineRule="auto"/>
        <w:jc w:val="center"/>
        <w:outlineLvl w:val="0"/>
        <w:rPr>
          <w:rFonts w:ascii="宋体" w:hAnsi="宋体"/>
          <w:b/>
          <w:snapToGrid w:val="0"/>
          <w:sz w:val="28"/>
          <w:szCs w:val="28"/>
        </w:rPr>
      </w:pPr>
      <w:bookmarkStart w:id="363" w:name="_Toc490078262"/>
      <w:bookmarkStart w:id="364" w:name="_Toc29480"/>
      <w:bookmarkStart w:id="365" w:name="_Toc40271726"/>
      <w:r>
        <w:rPr>
          <w:rFonts w:hint="eastAsia" w:ascii="宋体" w:hAnsi="宋体"/>
          <w:b/>
          <w:snapToGrid w:val="0"/>
          <w:sz w:val="28"/>
          <w:szCs w:val="28"/>
        </w:rPr>
        <w:t>法人授权委托证明书</w:t>
      </w:r>
      <w:bookmarkEnd w:id="363"/>
      <w:bookmarkEnd w:id="364"/>
      <w:bookmarkEnd w:id="365"/>
    </w:p>
    <w:p>
      <w:pPr>
        <w:snapToGrid w:val="0"/>
        <w:spacing w:line="360" w:lineRule="auto"/>
        <w:rPr>
          <w:rFonts w:ascii="宋体" w:hAnsi="宋体"/>
          <w:snapToGrid w:val="0"/>
          <w:sz w:val="24"/>
        </w:rPr>
      </w:pPr>
    </w:p>
    <w:p>
      <w:pPr>
        <w:snapToGrid w:val="0"/>
        <w:spacing w:line="360" w:lineRule="auto"/>
        <w:rPr>
          <w:rFonts w:ascii="宋体" w:hAnsi="宋体"/>
          <w:snapToGrid w:val="0"/>
          <w:szCs w:val="21"/>
        </w:rPr>
      </w:pPr>
      <w:r>
        <w:rPr>
          <w:rFonts w:hint="eastAsia" w:ascii="宋体" w:hAnsi="宋体"/>
          <w:snapToGrid w:val="0"/>
          <w:szCs w:val="21"/>
        </w:rPr>
        <w:t>致：</w:t>
      </w:r>
      <w:r>
        <w:rPr>
          <w:rFonts w:hint="eastAsia" w:ascii="宋体" w:hAnsi="宋体"/>
          <w:szCs w:val="21"/>
        </w:rPr>
        <w:t xml:space="preserve"> </w:t>
      </w:r>
    </w:p>
    <w:p>
      <w:pPr>
        <w:snapToGrid w:val="0"/>
        <w:spacing w:line="360" w:lineRule="auto"/>
        <w:rPr>
          <w:rFonts w:ascii="宋体" w:hAnsi="宋体"/>
          <w:snapToGrid w:val="0"/>
          <w:szCs w:val="21"/>
        </w:rPr>
      </w:pPr>
    </w:p>
    <w:p>
      <w:pPr>
        <w:snapToGrid w:val="0"/>
        <w:spacing w:line="360" w:lineRule="auto"/>
        <w:rPr>
          <w:rFonts w:ascii="宋体" w:hAnsi="宋体"/>
          <w:snapToGrid w:val="0"/>
          <w:szCs w:val="21"/>
        </w:rPr>
      </w:pPr>
      <w:r>
        <w:rPr>
          <w:rFonts w:hint="eastAsia" w:ascii="宋体" w:hAnsi="宋体"/>
          <w:snapToGrid w:val="0"/>
          <w:szCs w:val="21"/>
        </w:rPr>
        <w:t xml:space="preserve">    本授权委托证明书宣告：</w:t>
      </w:r>
      <w:r>
        <w:rPr>
          <w:rFonts w:hint="eastAsia" w:ascii="宋体" w:hAnsi="宋体"/>
          <w:snapToGrid w:val="0"/>
          <w:szCs w:val="21"/>
          <w:u w:val="single"/>
        </w:rPr>
        <w:t xml:space="preserve">                               </w:t>
      </w:r>
      <w:r>
        <w:rPr>
          <w:rFonts w:hint="eastAsia" w:ascii="宋体" w:hAnsi="宋体"/>
          <w:snapToGrid w:val="0"/>
          <w:szCs w:val="21"/>
        </w:rPr>
        <w:t>（投标人名称）</w:t>
      </w:r>
      <w:r>
        <w:rPr>
          <w:rFonts w:hint="eastAsia" w:ascii="宋体" w:hAnsi="宋体"/>
          <w:snapToGrid w:val="0"/>
          <w:szCs w:val="21"/>
          <w:u w:val="single"/>
        </w:rPr>
        <w:t xml:space="preserve">                </w:t>
      </w:r>
      <w:r>
        <w:rPr>
          <w:rFonts w:hint="eastAsia" w:ascii="宋体" w:hAnsi="宋体"/>
          <w:snapToGrid w:val="0"/>
          <w:szCs w:val="21"/>
        </w:rPr>
        <w:t>（职务）</w:t>
      </w:r>
      <w:r>
        <w:rPr>
          <w:rFonts w:hint="eastAsia" w:ascii="宋体" w:hAnsi="宋体"/>
          <w:snapToGrid w:val="0"/>
          <w:szCs w:val="21"/>
          <w:u w:val="single"/>
        </w:rPr>
        <w:t xml:space="preserve">               </w:t>
      </w:r>
      <w:r>
        <w:rPr>
          <w:rFonts w:hint="eastAsia" w:ascii="宋体" w:hAnsi="宋体"/>
          <w:snapToGrid w:val="0"/>
          <w:szCs w:val="21"/>
        </w:rPr>
        <w:t>（法定代表人姓名）合法地代表我单位，授权</w:t>
      </w:r>
      <w:r>
        <w:rPr>
          <w:rFonts w:ascii="宋体" w:hAnsi="宋体"/>
          <w:snapToGrid w:val="0"/>
          <w:szCs w:val="21"/>
          <w:u w:val="single"/>
        </w:rPr>
        <w:t xml:space="preserve">  </w:t>
      </w:r>
      <w:r>
        <w:rPr>
          <w:rFonts w:hint="eastAsia" w:ascii="宋体" w:hAnsi="宋体"/>
          <w:snapToGrid w:val="0"/>
          <w:szCs w:val="21"/>
          <w:u w:val="single"/>
        </w:rPr>
        <w:t xml:space="preserve">          </w:t>
      </w:r>
      <w:r>
        <w:rPr>
          <w:rFonts w:hint="eastAsia" w:ascii="宋体" w:hAnsi="宋体"/>
          <w:snapToGrid w:val="0"/>
          <w:szCs w:val="21"/>
        </w:rPr>
        <w:t>（职务）</w:t>
      </w:r>
      <w:r>
        <w:rPr>
          <w:rFonts w:hint="eastAsia" w:ascii="宋体" w:hAnsi="宋体"/>
          <w:snapToGrid w:val="0"/>
          <w:szCs w:val="21"/>
          <w:u w:val="single"/>
        </w:rPr>
        <w:t xml:space="preserve">             </w:t>
      </w:r>
      <w:r>
        <w:rPr>
          <w:rFonts w:hint="eastAsia" w:ascii="宋体" w:hAnsi="宋体"/>
          <w:snapToGrid w:val="0"/>
          <w:szCs w:val="21"/>
        </w:rPr>
        <w:t>（姓名）为我单位代理人，该代理人有权在</w:t>
      </w:r>
      <w:r>
        <w:rPr>
          <w:rFonts w:ascii="宋体" w:hAnsi="宋体"/>
          <w:snapToGrid w:val="0"/>
          <w:szCs w:val="21"/>
        </w:rPr>
        <w:t>______________________________</w:t>
      </w:r>
      <w:r>
        <w:rPr>
          <w:rFonts w:hint="eastAsia" w:ascii="宋体" w:hAnsi="宋体"/>
          <w:snapToGrid w:val="0"/>
          <w:szCs w:val="21"/>
        </w:rPr>
        <w:t>活动中，以我单位的名义签署投标书，与业主协商、签订合同协议书以及一切与此有关的事项。</w:t>
      </w:r>
    </w:p>
    <w:p>
      <w:pPr>
        <w:snapToGrid w:val="0"/>
        <w:spacing w:line="360" w:lineRule="auto"/>
        <w:rPr>
          <w:rFonts w:ascii="宋体" w:hAnsi="宋体"/>
          <w:snapToGrid w:val="0"/>
          <w:szCs w:val="21"/>
        </w:rPr>
      </w:pPr>
      <w:r>
        <w:rPr>
          <w:rFonts w:hint="eastAsia" w:ascii="宋体" w:hAnsi="宋体"/>
          <w:snapToGrid w:val="0"/>
          <w:szCs w:val="21"/>
        </w:rPr>
        <w:t xml:space="preserve">    代理人无转委权。</w:t>
      </w:r>
    </w:p>
    <w:p>
      <w:pPr>
        <w:snapToGrid w:val="0"/>
        <w:spacing w:line="360" w:lineRule="auto"/>
        <w:rPr>
          <w:rFonts w:ascii="宋体" w:hAnsi="宋体"/>
          <w:snapToGrid w:val="0"/>
          <w:szCs w:val="21"/>
        </w:rPr>
      </w:pPr>
    </w:p>
    <w:p>
      <w:pPr>
        <w:snapToGrid w:val="0"/>
        <w:spacing w:line="360" w:lineRule="auto"/>
        <w:rPr>
          <w:rFonts w:ascii="宋体" w:hAnsi="宋体"/>
          <w:snapToGrid w:val="0"/>
          <w:szCs w:val="21"/>
        </w:rPr>
      </w:pPr>
    </w:p>
    <w:p>
      <w:pPr>
        <w:snapToGrid w:val="0"/>
        <w:spacing w:line="360" w:lineRule="auto"/>
        <w:rPr>
          <w:rFonts w:ascii="宋体" w:hAnsi="宋体"/>
          <w:snapToGrid w:val="0"/>
          <w:szCs w:val="21"/>
        </w:rPr>
      </w:pPr>
    </w:p>
    <w:p>
      <w:pPr>
        <w:snapToGrid w:val="0"/>
        <w:spacing w:line="360" w:lineRule="auto"/>
        <w:rPr>
          <w:rFonts w:ascii="宋体" w:hAnsi="宋体"/>
          <w:snapToGrid w:val="0"/>
          <w:szCs w:val="21"/>
        </w:rPr>
      </w:pPr>
      <w:r>
        <w:rPr>
          <w:rFonts w:hint="eastAsia" w:ascii="宋体" w:hAnsi="宋体"/>
          <w:snapToGrid w:val="0"/>
          <w:szCs w:val="21"/>
        </w:rPr>
        <w:t>身份证复印件：</w:t>
      </w:r>
    </w:p>
    <w:p>
      <w:pPr>
        <w:snapToGrid w:val="0"/>
        <w:spacing w:line="360" w:lineRule="auto"/>
        <w:rPr>
          <w:rFonts w:ascii="宋体" w:hAnsi="宋体"/>
          <w:snapToGrid w:val="0"/>
          <w:szCs w:val="21"/>
        </w:rPr>
      </w:pPr>
    </w:p>
    <w:p>
      <w:pPr>
        <w:snapToGrid w:val="0"/>
        <w:spacing w:line="360" w:lineRule="auto"/>
        <w:rPr>
          <w:rFonts w:ascii="宋体" w:hAnsi="宋体"/>
          <w:snapToGrid w:val="0"/>
          <w:szCs w:val="21"/>
        </w:rPr>
      </w:pPr>
    </w:p>
    <w:p>
      <w:pPr>
        <w:snapToGrid w:val="0"/>
        <w:spacing w:line="360" w:lineRule="auto"/>
        <w:rPr>
          <w:rFonts w:ascii="宋体" w:hAnsi="宋体"/>
          <w:snapToGrid w:val="0"/>
          <w:szCs w:val="21"/>
        </w:rPr>
      </w:pPr>
    </w:p>
    <w:p>
      <w:pPr>
        <w:snapToGrid w:val="0"/>
        <w:spacing w:line="360" w:lineRule="auto"/>
        <w:rPr>
          <w:rFonts w:ascii="宋体" w:hAnsi="宋体"/>
          <w:snapToGrid w:val="0"/>
          <w:szCs w:val="21"/>
        </w:rPr>
      </w:pPr>
    </w:p>
    <w:p>
      <w:pPr>
        <w:snapToGrid w:val="0"/>
        <w:spacing w:line="360" w:lineRule="auto"/>
        <w:rPr>
          <w:rFonts w:ascii="宋体" w:hAnsi="宋体"/>
          <w:snapToGrid w:val="0"/>
          <w:szCs w:val="21"/>
          <w:u w:val="single"/>
        </w:rPr>
      </w:pPr>
      <w:r>
        <w:rPr>
          <w:rFonts w:hint="eastAsia" w:ascii="宋体" w:hAnsi="宋体"/>
          <w:snapToGrid w:val="0"/>
          <w:szCs w:val="21"/>
        </w:rPr>
        <w:t>投  标  单  位：</w:t>
      </w:r>
      <w:r>
        <w:rPr>
          <w:rFonts w:hint="eastAsia" w:ascii="宋体" w:hAnsi="宋体"/>
          <w:snapToGrid w:val="0"/>
          <w:szCs w:val="21"/>
          <w:u w:val="single"/>
        </w:rPr>
        <w:t xml:space="preserve">       （盖章）       </w:t>
      </w:r>
    </w:p>
    <w:p>
      <w:pPr>
        <w:snapToGrid w:val="0"/>
        <w:spacing w:line="360" w:lineRule="auto"/>
        <w:rPr>
          <w:rFonts w:ascii="宋体" w:hAnsi="宋体"/>
          <w:snapToGrid w:val="0"/>
          <w:szCs w:val="21"/>
          <w:u w:val="single"/>
        </w:rPr>
      </w:pPr>
    </w:p>
    <w:p>
      <w:pPr>
        <w:snapToGrid w:val="0"/>
        <w:spacing w:line="360" w:lineRule="auto"/>
        <w:rPr>
          <w:rFonts w:ascii="宋体" w:hAnsi="宋体"/>
          <w:snapToGrid w:val="0"/>
          <w:szCs w:val="21"/>
          <w:u w:val="single"/>
        </w:rPr>
      </w:pPr>
      <w:r>
        <w:rPr>
          <w:rFonts w:hint="eastAsia" w:ascii="宋体" w:hAnsi="宋体"/>
          <w:snapToGrid w:val="0"/>
          <w:szCs w:val="21"/>
        </w:rPr>
        <w:t>授    权    人：</w:t>
      </w:r>
      <w:r>
        <w:rPr>
          <w:rFonts w:hint="eastAsia" w:ascii="宋体" w:hAnsi="宋体"/>
          <w:snapToGrid w:val="0"/>
          <w:szCs w:val="21"/>
          <w:u w:val="single"/>
        </w:rPr>
        <w:t xml:space="preserve">       </w:t>
      </w:r>
      <w:r>
        <w:rPr>
          <w:rFonts w:hint="eastAsia" w:ascii="宋体" w:hAnsi="宋体"/>
          <w:szCs w:val="21"/>
          <w:u w:val="single"/>
        </w:rPr>
        <w:t>（签字或盖章）</w:t>
      </w:r>
      <w:r>
        <w:rPr>
          <w:rFonts w:hint="eastAsia" w:ascii="宋体" w:hAnsi="宋体"/>
          <w:snapToGrid w:val="0"/>
          <w:szCs w:val="21"/>
          <w:u w:val="single"/>
        </w:rPr>
        <w:t xml:space="preserve">      </w:t>
      </w:r>
    </w:p>
    <w:p>
      <w:pPr>
        <w:snapToGrid w:val="0"/>
        <w:spacing w:line="360" w:lineRule="auto"/>
        <w:rPr>
          <w:rFonts w:ascii="宋体" w:hAnsi="宋体"/>
          <w:snapToGrid w:val="0"/>
          <w:szCs w:val="21"/>
        </w:rPr>
      </w:pPr>
    </w:p>
    <w:p>
      <w:pPr>
        <w:snapToGrid w:val="0"/>
        <w:spacing w:line="360" w:lineRule="auto"/>
        <w:rPr>
          <w:rFonts w:ascii="宋体" w:hAnsi="宋体"/>
          <w:snapToGrid w:val="0"/>
          <w:szCs w:val="21"/>
          <w:u w:val="single"/>
        </w:rPr>
      </w:pPr>
      <w:r>
        <w:rPr>
          <w:rFonts w:hint="eastAsia" w:ascii="宋体" w:hAnsi="宋体"/>
          <w:snapToGrid w:val="0"/>
          <w:szCs w:val="21"/>
        </w:rPr>
        <w:t>代    理    人：</w:t>
      </w:r>
      <w:r>
        <w:rPr>
          <w:rFonts w:hint="eastAsia" w:ascii="宋体" w:hAnsi="宋体"/>
          <w:snapToGrid w:val="0"/>
          <w:szCs w:val="21"/>
          <w:u w:val="single"/>
        </w:rPr>
        <w:t xml:space="preserve">       </w:t>
      </w:r>
      <w:r>
        <w:rPr>
          <w:rFonts w:hint="eastAsia" w:ascii="宋体" w:hAnsi="宋体"/>
          <w:szCs w:val="21"/>
          <w:u w:val="single"/>
        </w:rPr>
        <w:t>（签字或盖章）</w:t>
      </w:r>
      <w:r>
        <w:rPr>
          <w:rFonts w:hint="eastAsia" w:ascii="宋体" w:hAnsi="宋体"/>
          <w:snapToGrid w:val="0"/>
          <w:szCs w:val="21"/>
          <w:u w:val="single"/>
        </w:rPr>
        <w:t xml:space="preserve">       </w:t>
      </w:r>
    </w:p>
    <w:p>
      <w:pPr>
        <w:snapToGrid w:val="0"/>
        <w:spacing w:line="360" w:lineRule="auto"/>
        <w:rPr>
          <w:rFonts w:ascii="宋体" w:hAnsi="宋体"/>
          <w:snapToGrid w:val="0"/>
          <w:szCs w:val="21"/>
        </w:rPr>
      </w:pPr>
    </w:p>
    <w:p>
      <w:pPr>
        <w:spacing w:line="360" w:lineRule="auto"/>
      </w:pPr>
      <w:r>
        <w:rPr>
          <w:rFonts w:hint="eastAsia" w:ascii="宋体" w:hAnsi="宋体"/>
          <w:snapToGrid w:val="0"/>
          <w:szCs w:val="21"/>
        </w:rPr>
        <w:t>日          期：</w:t>
      </w:r>
      <w:r>
        <w:rPr>
          <w:rFonts w:hint="eastAsia" w:ascii="宋体" w:hAnsi="宋体"/>
          <w:snapToGrid w:val="0"/>
          <w:szCs w:val="21"/>
          <w:u w:val="single"/>
        </w:rPr>
        <w:t xml:space="preserve">       </w:t>
      </w:r>
      <w:r>
        <w:rPr>
          <w:rFonts w:hint="eastAsia" w:ascii="宋体" w:hAnsi="宋体"/>
          <w:snapToGrid w:val="0"/>
          <w:szCs w:val="21"/>
        </w:rPr>
        <w:t xml:space="preserve"> 年</w:t>
      </w:r>
      <w:r>
        <w:rPr>
          <w:rFonts w:hint="eastAsia" w:ascii="宋体" w:hAnsi="宋体"/>
          <w:snapToGrid w:val="0"/>
          <w:szCs w:val="21"/>
          <w:u w:val="single"/>
        </w:rPr>
        <w:t xml:space="preserve">     </w:t>
      </w:r>
      <w:r>
        <w:rPr>
          <w:rFonts w:hint="eastAsia" w:ascii="宋体" w:hAnsi="宋体"/>
          <w:snapToGrid w:val="0"/>
          <w:szCs w:val="21"/>
        </w:rPr>
        <w:t xml:space="preserve"> 月</w:t>
      </w:r>
      <w:r>
        <w:rPr>
          <w:rFonts w:hint="eastAsia" w:ascii="宋体" w:hAnsi="宋体"/>
          <w:snapToGrid w:val="0"/>
          <w:szCs w:val="21"/>
          <w:u w:val="single"/>
        </w:rPr>
        <w:t xml:space="preserve">       </w:t>
      </w:r>
      <w:r>
        <w:rPr>
          <w:rFonts w:hint="eastAsia" w:ascii="宋体" w:hAnsi="宋体"/>
          <w:snapToGrid w:val="0"/>
          <w:szCs w:val="21"/>
        </w:rPr>
        <w:t>日</w:t>
      </w:r>
    </w:p>
    <w:p>
      <w:pPr>
        <w:spacing w:line="400" w:lineRule="exact"/>
        <w:jc w:val="left"/>
        <w:sectPr>
          <w:headerReference r:id="rId21" w:type="default"/>
          <w:footerReference r:id="rId22" w:type="default"/>
          <w:footerReference r:id="rId23" w:type="even"/>
          <w:endnotePr>
            <w:numFmt w:val="decimal"/>
          </w:endnotePr>
          <w:pgSz w:w="11906" w:h="16840"/>
          <w:pgMar w:top="1304" w:right="1417" w:bottom="1417" w:left="1417" w:header="850" w:footer="850" w:gutter="0"/>
          <w:cols w:space="720" w:num="1"/>
          <w:docGrid w:linePitch="312" w:charSpace="0"/>
        </w:sectPr>
      </w:pPr>
    </w:p>
    <w:p>
      <w:pPr>
        <w:spacing w:line="400" w:lineRule="exact"/>
        <w:rPr>
          <w:rFonts w:ascii="宋体" w:hAnsi="宋体"/>
          <w:b/>
          <w:szCs w:val="21"/>
        </w:rPr>
      </w:pPr>
      <w:r>
        <w:rPr>
          <w:rFonts w:hint="eastAsia" w:ascii="宋体" w:hAnsi="宋体"/>
          <w:b/>
          <w:szCs w:val="21"/>
        </w:rPr>
        <w:t>格式五</w:t>
      </w:r>
    </w:p>
    <w:p>
      <w:pPr>
        <w:spacing w:line="400" w:lineRule="exact"/>
        <w:ind w:firstLine="570"/>
        <w:jc w:val="center"/>
        <w:rPr>
          <w:rFonts w:hAnsi="宋体"/>
          <w:b/>
          <w:bCs/>
          <w:sz w:val="28"/>
          <w:szCs w:val="28"/>
        </w:rPr>
      </w:pPr>
      <w:r>
        <w:rPr>
          <w:rFonts w:hint="eastAsia" w:hAnsi="宋体"/>
          <w:b/>
          <w:bCs/>
          <w:sz w:val="28"/>
          <w:szCs w:val="28"/>
        </w:rPr>
        <w:t>企业工程业绩情况一览表</w:t>
      </w:r>
    </w:p>
    <w:p>
      <w:pPr>
        <w:spacing w:line="400" w:lineRule="exact"/>
        <w:rPr>
          <w:rFonts w:hAnsi="宋体"/>
          <w:b/>
        </w:rPr>
      </w:pPr>
      <w:r>
        <w:rPr>
          <w:rFonts w:hint="eastAsia" w:hAnsi="宋体"/>
          <w:b/>
        </w:rPr>
        <w:t>工程（标段）名称：</w:t>
      </w:r>
    </w:p>
    <w:p>
      <w:pPr>
        <w:spacing w:line="400" w:lineRule="exact"/>
        <w:rPr>
          <w:rFonts w:hAnsi="宋体"/>
          <w:b/>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522"/>
        <w:gridCol w:w="960"/>
        <w:gridCol w:w="1298"/>
        <w:gridCol w:w="923"/>
        <w:gridCol w:w="923"/>
        <w:gridCol w:w="1719"/>
        <w:gridCol w:w="1693"/>
        <w:gridCol w:w="1868"/>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1145" w:type="dxa"/>
            <w:vAlign w:val="center"/>
          </w:tcPr>
          <w:p>
            <w:pPr>
              <w:spacing w:line="400" w:lineRule="exact"/>
              <w:jc w:val="center"/>
              <w:rPr>
                <w:rFonts w:hAnsi="宋体"/>
              </w:rPr>
            </w:pPr>
            <w:r>
              <w:rPr>
                <w:rFonts w:hint="eastAsia" w:hAnsi="宋体"/>
              </w:rPr>
              <w:t>序号</w:t>
            </w:r>
          </w:p>
        </w:tc>
        <w:tc>
          <w:tcPr>
            <w:tcW w:w="1522" w:type="dxa"/>
            <w:vAlign w:val="center"/>
          </w:tcPr>
          <w:p>
            <w:pPr>
              <w:spacing w:line="400" w:lineRule="exact"/>
              <w:jc w:val="center"/>
              <w:rPr>
                <w:rFonts w:hAnsi="宋体"/>
              </w:rPr>
            </w:pPr>
            <w:r>
              <w:rPr>
                <w:rFonts w:hint="eastAsia"/>
              </w:rPr>
              <w:t>工程名称</w:t>
            </w:r>
          </w:p>
        </w:tc>
        <w:tc>
          <w:tcPr>
            <w:tcW w:w="960" w:type="dxa"/>
            <w:vAlign w:val="center"/>
          </w:tcPr>
          <w:p>
            <w:pPr>
              <w:spacing w:line="400" w:lineRule="exact"/>
              <w:jc w:val="center"/>
            </w:pPr>
            <w:r>
              <w:rPr>
                <w:rFonts w:hint="eastAsia"/>
              </w:rPr>
              <w:t>项目</w:t>
            </w:r>
          </w:p>
          <w:p>
            <w:pPr>
              <w:spacing w:line="400" w:lineRule="exact"/>
              <w:jc w:val="center"/>
              <w:rPr>
                <w:rFonts w:hAnsi="宋体"/>
              </w:rPr>
            </w:pPr>
            <w:r>
              <w:rPr>
                <w:rFonts w:hint="eastAsia"/>
              </w:rPr>
              <w:t>地点</w:t>
            </w:r>
          </w:p>
        </w:tc>
        <w:tc>
          <w:tcPr>
            <w:tcW w:w="1298" w:type="dxa"/>
            <w:vAlign w:val="center"/>
          </w:tcPr>
          <w:p>
            <w:pPr>
              <w:spacing w:line="400" w:lineRule="exact"/>
              <w:jc w:val="center"/>
            </w:pPr>
            <w:r>
              <w:rPr>
                <w:rFonts w:hint="eastAsia"/>
              </w:rPr>
              <w:t>合同金额(人民币：万元)</w:t>
            </w:r>
          </w:p>
        </w:tc>
        <w:tc>
          <w:tcPr>
            <w:tcW w:w="923" w:type="dxa"/>
            <w:vAlign w:val="center"/>
          </w:tcPr>
          <w:p>
            <w:pPr>
              <w:spacing w:line="400" w:lineRule="exact"/>
              <w:jc w:val="center"/>
            </w:pPr>
            <w:r>
              <w:rPr>
                <w:rFonts w:hint="eastAsia"/>
              </w:rPr>
              <w:t>开工日期</w:t>
            </w:r>
          </w:p>
        </w:tc>
        <w:tc>
          <w:tcPr>
            <w:tcW w:w="923" w:type="dxa"/>
            <w:vAlign w:val="center"/>
          </w:tcPr>
          <w:p>
            <w:pPr>
              <w:spacing w:line="400" w:lineRule="exact"/>
              <w:jc w:val="center"/>
              <w:rPr>
                <w:rFonts w:hAnsi="宋体"/>
              </w:rPr>
            </w:pPr>
            <w:r>
              <w:rPr>
                <w:rFonts w:hint="eastAsia"/>
              </w:rPr>
              <w:t>竣工日期</w:t>
            </w:r>
          </w:p>
        </w:tc>
        <w:tc>
          <w:tcPr>
            <w:tcW w:w="1719" w:type="dxa"/>
            <w:vAlign w:val="center"/>
          </w:tcPr>
          <w:p>
            <w:pPr>
              <w:spacing w:line="400" w:lineRule="exact"/>
              <w:jc w:val="center"/>
            </w:pPr>
            <w:r>
              <w:rPr>
                <w:rFonts w:hint="eastAsia"/>
              </w:rPr>
              <w:t>中标通知书签发日期</w:t>
            </w:r>
          </w:p>
        </w:tc>
        <w:tc>
          <w:tcPr>
            <w:tcW w:w="1693" w:type="dxa"/>
            <w:vAlign w:val="center"/>
          </w:tcPr>
          <w:p>
            <w:pPr>
              <w:spacing w:line="400" w:lineRule="exact"/>
              <w:jc w:val="center"/>
              <w:rPr>
                <w:rFonts w:hAnsi="宋体"/>
              </w:rPr>
            </w:pPr>
            <w:r>
              <w:rPr>
                <w:rFonts w:hint="eastAsia"/>
              </w:rPr>
              <w:t>建设单位</w:t>
            </w:r>
          </w:p>
        </w:tc>
        <w:tc>
          <w:tcPr>
            <w:tcW w:w="1868" w:type="dxa"/>
            <w:vAlign w:val="center"/>
          </w:tcPr>
          <w:p>
            <w:pPr>
              <w:spacing w:line="400" w:lineRule="exact"/>
              <w:jc w:val="center"/>
              <w:rPr>
                <w:rFonts w:hAnsi="宋体"/>
              </w:rPr>
            </w:pPr>
            <w:r>
              <w:rPr>
                <w:rFonts w:hint="eastAsia"/>
              </w:rPr>
              <w:t>建设单位联系人和电话</w:t>
            </w:r>
          </w:p>
        </w:tc>
        <w:tc>
          <w:tcPr>
            <w:tcW w:w="1869" w:type="dxa"/>
            <w:vAlign w:val="center"/>
          </w:tcPr>
          <w:p>
            <w:pPr>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145" w:type="dxa"/>
            <w:vAlign w:val="center"/>
          </w:tcPr>
          <w:p>
            <w:pPr>
              <w:spacing w:line="520" w:lineRule="exact"/>
              <w:jc w:val="center"/>
              <w:rPr>
                <w:rFonts w:hAnsi="宋体"/>
                <w:sz w:val="28"/>
              </w:rPr>
            </w:pPr>
          </w:p>
        </w:tc>
        <w:tc>
          <w:tcPr>
            <w:tcW w:w="1522" w:type="dxa"/>
            <w:vAlign w:val="center"/>
          </w:tcPr>
          <w:p>
            <w:pPr>
              <w:spacing w:line="520" w:lineRule="exact"/>
              <w:jc w:val="center"/>
              <w:rPr>
                <w:rFonts w:hAnsi="宋体"/>
                <w:sz w:val="28"/>
              </w:rPr>
            </w:pPr>
          </w:p>
        </w:tc>
        <w:tc>
          <w:tcPr>
            <w:tcW w:w="960" w:type="dxa"/>
            <w:vAlign w:val="center"/>
          </w:tcPr>
          <w:p>
            <w:pPr>
              <w:spacing w:line="520" w:lineRule="exact"/>
              <w:jc w:val="center"/>
              <w:rPr>
                <w:rFonts w:hAnsi="宋体"/>
                <w:sz w:val="28"/>
              </w:rPr>
            </w:pPr>
          </w:p>
        </w:tc>
        <w:tc>
          <w:tcPr>
            <w:tcW w:w="1298" w:type="dxa"/>
            <w:vAlign w:val="center"/>
          </w:tcPr>
          <w:p>
            <w:pPr>
              <w:pStyle w:val="118"/>
              <w:spacing w:line="520" w:lineRule="exact"/>
              <w:ind w:left="5250"/>
              <w:jc w:val="center"/>
              <w:rPr>
                <w:rFonts w:hAnsi="宋体" w:cs="宋体"/>
                <w:kern w:val="2"/>
                <w:sz w:val="21"/>
              </w:rPr>
            </w:pPr>
          </w:p>
        </w:tc>
        <w:tc>
          <w:tcPr>
            <w:tcW w:w="923" w:type="dxa"/>
            <w:vAlign w:val="center"/>
          </w:tcPr>
          <w:p>
            <w:pPr>
              <w:pStyle w:val="118"/>
              <w:ind w:left="5250"/>
              <w:rPr>
                <w:rFonts w:hAnsi="宋体" w:cs="宋体"/>
                <w:kern w:val="2"/>
                <w:sz w:val="28"/>
              </w:rPr>
            </w:pPr>
          </w:p>
        </w:tc>
        <w:tc>
          <w:tcPr>
            <w:tcW w:w="923" w:type="dxa"/>
            <w:vAlign w:val="center"/>
          </w:tcPr>
          <w:p>
            <w:pPr>
              <w:pStyle w:val="118"/>
              <w:ind w:left="5250"/>
              <w:rPr>
                <w:rFonts w:hAnsi="宋体" w:cs="宋体"/>
                <w:kern w:val="2"/>
                <w:sz w:val="28"/>
              </w:rPr>
            </w:pPr>
          </w:p>
        </w:tc>
        <w:tc>
          <w:tcPr>
            <w:tcW w:w="1719" w:type="dxa"/>
            <w:vAlign w:val="center"/>
          </w:tcPr>
          <w:p>
            <w:pPr>
              <w:spacing w:line="520" w:lineRule="exact"/>
              <w:jc w:val="center"/>
              <w:rPr>
                <w:rFonts w:hAnsi="宋体"/>
                <w:sz w:val="28"/>
              </w:rPr>
            </w:pPr>
          </w:p>
        </w:tc>
        <w:tc>
          <w:tcPr>
            <w:tcW w:w="1693" w:type="dxa"/>
            <w:vAlign w:val="center"/>
          </w:tcPr>
          <w:p>
            <w:pPr>
              <w:spacing w:line="520" w:lineRule="exact"/>
              <w:jc w:val="center"/>
              <w:rPr>
                <w:rFonts w:hAnsi="宋体"/>
                <w:sz w:val="28"/>
              </w:rPr>
            </w:pPr>
          </w:p>
        </w:tc>
        <w:tc>
          <w:tcPr>
            <w:tcW w:w="1868" w:type="dxa"/>
            <w:vAlign w:val="center"/>
          </w:tcPr>
          <w:p>
            <w:pPr>
              <w:spacing w:line="520" w:lineRule="exact"/>
              <w:jc w:val="center"/>
              <w:rPr>
                <w:rFonts w:hAnsi="宋体"/>
                <w:sz w:val="28"/>
              </w:rPr>
            </w:pPr>
          </w:p>
        </w:tc>
        <w:tc>
          <w:tcPr>
            <w:tcW w:w="1869" w:type="dxa"/>
            <w:vAlign w:val="center"/>
          </w:tcPr>
          <w:p>
            <w:pPr>
              <w:spacing w:line="520" w:lineRule="exact"/>
              <w:jc w:val="center"/>
              <w:rPr>
                <w:rFonts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145" w:type="dxa"/>
            <w:vAlign w:val="center"/>
          </w:tcPr>
          <w:p>
            <w:pPr>
              <w:spacing w:line="520" w:lineRule="exact"/>
              <w:jc w:val="center"/>
              <w:rPr>
                <w:rFonts w:hAnsi="宋体"/>
                <w:sz w:val="28"/>
              </w:rPr>
            </w:pPr>
          </w:p>
        </w:tc>
        <w:tc>
          <w:tcPr>
            <w:tcW w:w="1522" w:type="dxa"/>
            <w:vAlign w:val="center"/>
          </w:tcPr>
          <w:p>
            <w:pPr>
              <w:spacing w:line="520" w:lineRule="exact"/>
              <w:jc w:val="center"/>
              <w:rPr>
                <w:rFonts w:hAnsi="宋体"/>
                <w:sz w:val="28"/>
              </w:rPr>
            </w:pPr>
          </w:p>
        </w:tc>
        <w:tc>
          <w:tcPr>
            <w:tcW w:w="960" w:type="dxa"/>
            <w:vAlign w:val="center"/>
          </w:tcPr>
          <w:p>
            <w:pPr>
              <w:spacing w:line="520" w:lineRule="exact"/>
              <w:jc w:val="center"/>
              <w:rPr>
                <w:rFonts w:hAnsi="宋体"/>
                <w:sz w:val="28"/>
              </w:rPr>
            </w:pPr>
          </w:p>
        </w:tc>
        <w:tc>
          <w:tcPr>
            <w:tcW w:w="1298" w:type="dxa"/>
            <w:vAlign w:val="center"/>
          </w:tcPr>
          <w:p>
            <w:pPr>
              <w:spacing w:line="520" w:lineRule="exact"/>
              <w:jc w:val="center"/>
              <w:rPr>
                <w:rFonts w:hAnsi="宋体"/>
                <w:sz w:val="28"/>
              </w:rPr>
            </w:pPr>
          </w:p>
        </w:tc>
        <w:tc>
          <w:tcPr>
            <w:tcW w:w="923" w:type="dxa"/>
            <w:vAlign w:val="center"/>
          </w:tcPr>
          <w:p>
            <w:pPr>
              <w:rPr>
                <w:rFonts w:hAnsi="宋体"/>
              </w:rPr>
            </w:pPr>
          </w:p>
        </w:tc>
        <w:tc>
          <w:tcPr>
            <w:tcW w:w="923" w:type="dxa"/>
            <w:vAlign w:val="center"/>
          </w:tcPr>
          <w:p>
            <w:pPr>
              <w:rPr>
                <w:rFonts w:hAnsi="宋体"/>
              </w:rPr>
            </w:pPr>
          </w:p>
        </w:tc>
        <w:tc>
          <w:tcPr>
            <w:tcW w:w="1719" w:type="dxa"/>
            <w:vAlign w:val="center"/>
          </w:tcPr>
          <w:p>
            <w:pPr>
              <w:pStyle w:val="118"/>
              <w:spacing w:line="520" w:lineRule="exact"/>
              <w:ind w:left="5250"/>
              <w:jc w:val="center"/>
              <w:rPr>
                <w:rFonts w:hAnsi="宋体" w:cs="宋体"/>
                <w:kern w:val="2"/>
                <w:sz w:val="21"/>
              </w:rPr>
            </w:pPr>
          </w:p>
        </w:tc>
        <w:tc>
          <w:tcPr>
            <w:tcW w:w="1693" w:type="dxa"/>
            <w:vAlign w:val="center"/>
          </w:tcPr>
          <w:p>
            <w:pPr>
              <w:pStyle w:val="118"/>
              <w:spacing w:line="520" w:lineRule="exact"/>
              <w:ind w:left="5250"/>
              <w:jc w:val="center"/>
              <w:rPr>
                <w:rFonts w:hAnsi="宋体" w:cs="宋体"/>
                <w:kern w:val="2"/>
                <w:sz w:val="21"/>
              </w:rPr>
            </w:pPr>
          </w:p>
        </w:tc>
        <w:tc>
          <w:tcPr>
            <w:tcW w:w="1868" w:type="dxa"/>
            <w:vAlign w:val="center"/>
          </w:tcPr>
          <w:p>
            <w:pPr>
              <w:spacing w:line="520" w:lineRule="exact"/>
              <w:jc w:val="center"/>
              <w:rPr>
                <w:rFonts w:hAnsi="宋体"/>
                <w:sz w:val="28"/>
              </w:rPr>
            </w:pPr>
          </w:p>
        </w:tc>
        <w:tc>
          <w:tcPr>
            <w:tcW w:w="1869" w:type="dxa"/>
            <w:vAlign w:val="center"/>
          </w:tcPr>
          <w:p>
            <w:pPr>
              <w:spacing w:line="520" w:lineRule="exact"/>
              <w:jc w:val="center"/>
              <w:rPr>
                <w:rFonts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8" w:hRule="atLeast"/>
          <w:jc w:val="center"/>
        </w:trPr>
        <w:tc>
          <w:tcPr>
            <w:tcW w:w="1145" w:type="dxa"/>
            <w:vAlign w:val="center"/>
          </w:tcPr>
          <w:p>
            <w:pPr>
              <w:spacing w:line="520" w:lineRule="exact"/>
              <w:jc w:val="center"/>
              <w:rPr>
                <w:rFonts w:hAnsi="宋体"/>
                <w:sz w:val="28"/>
              </w:rPr>
            </w:pPr>
          </w:p>
        </w:tc>
        <w:tc>
          <w:tcPr>
            <w:tcW w:w="1522" w:type="dxa"/>
            <w:vAlign w:val="center"/>
          </w:tcPr>
          <w:p>
            <w:pPr>
              <w:spacing w:line="520" w:lineRule="exact"/>
              <w:jc w:val="center"/>
              <w:rPr>
                <w:rFonts w:hAnsi="宋体"/>
                <w:sz w:val="28"/>
              </w:rPr>
            </w:pPr>
          </w:p>
        </w:tc>
        <w:tc>
          <w:tcPr>
            <w:tcW w:w="960" w:type="dxa"/>
            <w:vAlign w:val="center"/>
          </w:tcPr>
          <w:p>
            <w:pPr>
              <w:spacing w:line="520" w:lineRule="exact"/>
              <w:jc w:val="center"/>
              <w:rPr>
                <w:rFonts w:hAnsi="宋体"/>
                <w:sz w:val="28"/>
              </w:rPr>
            </w:pPr>
          </w:p>
        </w:tc>
        <w:tc>
          <w:tcPr>
            <w:tcW w:w="1298" w:type="dxa"/>
            <w:vAlign w:val="center"/>
          </w:tcPr>
          <w:p>
            <w:pPr>
              <w:spacing w:line="520" w:lineRule="exact"/>
              <w:jc w:val="center"/>
              <w:rPr>
                <w:rFonts w:hAnsi="宋体"/>
                <w:sz w:val="28"/>
              </w:rPr>
            </w:pPr>
          </w:p>
        </w:tc>
        <w:tc>
          <w:tcPr>
            <w:tcW w:w="923" w:type="dxa"/>
            <w:vAlign w:val="center"/>
          </w:tcPr>
          <w:p>
            <w:pPr>
              <w:spacing w:line="520" w:lineRule="exact"/>
              <w:jc w:val="center"/>
              <w:rPr>
                <w:rFonts w:hAnsi="宋体"/>
                <w:sz w:val="28"/>
              </w:rPr>
            </w:pPr>
          </w:p>
        </w:tc>
        <w:tc>
          <w:tcPr>
            <w:tcW w:w="923" w:type="dxa"/>
            <w:vAlign w:val="center"/>
          </w:tcPr>
          <w:p>
            <w:pPr>
              <w:spacing w:line="520" w:lineRule="exact"/>
              <w:jc w:val="center"/>
              <w:rPr>
                <w:rFonts w:hAnsi="宋体"/>
                <w:sz w:val="28"/>
              </w:rPr>
            </w:pPr>
          </w:p>
        </w:tc>
        <w:tc>
          <w:tcPr>
            <w:tcW w:w="1719" w:type="dxa"/>
            <w:vAlign w:val="center"/>
          </w:tcPr>
          <w:p>
            <w:pPr>
              <w:spacing w:line="520" w:lineRule="exact"/>
              <w:jc w:val="center"/>
              <w:rPr>
                <w:rFonts w:hAnsi="宋体"/>
                <w:sz w:val="28"/>
              </w:rPr>
            </w:pPr>
          </w:p>
        </w:tc>
        <w:tc>
          <w:tcPr>
            <w:tcW w:w="1693" w:type="dxa"/>
            <w:vAlign w:val="center"/>
          </w:tcPr>
          <w:p>
            <w:pPr>
              <w:spacing w:line="520" w:lineRule="exact"/>
              <w:jc w:val="center"/>
              <w:rPr>
                <w:rFonts w:hAnsi="宋体"/>
                <w:sz w:val="28"/>
              </w:rPr>
            </w:pPr>
          </w:p>
        </w:tc>
        <w:tc>
          <w:tcPr>
            <w:tcW w:w="1868" w:type="dxa"/>
            <w:vAlign w:val="center"/>
          </w:tcPr>
          <w:p>
            <w:pPr>
              <w:spacing w:line="520" w:lineRule="exact"/>
              <w:jc w:val="center"/>
              <w:rPr>
                <w:rFonts w:hAnsi="宋体"/>
                <w:sz w:val="28"/>
              </w:rPr>
            </w:pPr>
          </w:p>
        </w:tc>
        <w:tc>
          <w:tcPr>
            <w:tcW w:w="1869" w:type="dxa"/>
            <w:vAlign w:val="center"/>
          </w:tcPr>
          <w:p>
            <w:pPr>
              <w:spacing w:line="520" w:lineRule="exact"/>
              <w:jc w:val="center"/>
              <w:rPr>
                <w:rFonts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145" w:type="dxa"/>
            <w:vAlign w:val="center"/>
          </w:tcPr>
          <w:p>
            <w:pPr>
              <w:spacing w:line="520" w:lineRule="exact"/>
              <w:jc w:val="center"/>
              <w:rPr>
                <w:rFonts w:hAnsi="宋体"/>
                <w:sz w:val="28"/>
              </w:rPr>
            </w:pPr>
          </w:p>
        </w:tc>
        <w:tc>
          <w:tcPr>
            <w:tcW w:w="1522" w:type="dxa"/>
            <w:vAlign w:val="center"/>
          </w:tcPr>
          <w:p>
            <w:pPr>
              <w:spacing w:line="520" w:lineRule="exact"/>
              <w:jc w:val="center"/>
              <w:rPr>
                <w:rFonts w:hAnsi="宋体"/>
                <w:sz w:val="28"/>
              </w:rPr>
            </w:pPr>
          </w:p>
        </w:tc>
        <w:tc>
          <w:tcPr>
            <w:tcW w:w="960" w:type="dxa"/>
            <w:vAlign w:val="center"/>
          </w:tcPr>
          <w:p>
            <w:pPr>
              <w:spacing w:line="520" w:lineRule="exact"/>
              <w:jc w:val="center"/>
              <w:rPr>
                <w:rFonts w:hAnsi="宋体"/>
                <w:sz w:val="28"/>
              </w:rPr>
            </w:pPr>
          </w:p>
        </w:tc>
        <w:tc>
          <w:tcPr>
            <w:tcW w:w="1298" w:type="dxa"/>
            <w:vAlign w:val="center"/>
          </w:tcPr>
          <w:p>
            <w:pPr>
              <w:spacing w:line="520" w:lineRule="exact"/>
              <w:jc w:val="center"/>
              <w:rPr>
                <w:rFonts w:hAnsi="宋体"/>
                <w:sz w:val="28"/>
              </w:rPr>
            </w:pPr>
          </w:p>
        </w:tc>
        <w:tc>
          <w:tcPr>
            <w:tcW w:w="923" w:type="dxa"/>
            <w:vAlign w:val="center"/>
          </w:tcPr>
          <w:p>
            <w:pPr>
              <w:spacing w:line="520" w:lineRule="exact"/>
              <w:jc w:val="center"/>
              <w:rPr>
                <w:rFonts w:hAnsi="宋体"/>
                <w:sz w:val="28"/>
              </w:rPr>
            </w:pPr>
          </w:p>
        </w:tc>
        <w:tc>
          <w:tcPr>
            <w:tcW w:w="923" w:type="dxa"/>
            <w:vAlign w:val="center"/>
          </w:tcPr>
          <w:p>
            <w:pPr>
              <w:spacing w:line="520" w:lineRule="exact"/>
              <w:jc w:val="center"/>
              <w:rPr>
                <w:rFonts w:hAnsi="宋体"/>
                <w:sz w:val="28"/>
              </w:rPr>
            </w:pPr>
          </w:p>
        </w:tc>
        <w:tc>
          <w:tcPr>
            <w:tcW w:w="1719" w:type="dxa"/>
            <w:vAlign w:val="center"/>
          </w:tcPr>
          <w:p>
            <w:pPr>
              <w:spacing w:line="520" w:lineRule="exact"/>
              <w:jc w:val="center"/>
              <w:rPr>
                <w:rFonts w:hAnsi="宋体"/>
                <w:sz w:val="28"/>
              </w:rPr>
            </w:pPr>
          </w:p>
        </w:tc>
        <w:tc>
          <w:tcPr>
            <w:tcW w:w="1693" w:type="dxa"/>
            <w:vAlign w:val="center"/>
          </w:tcPr>
          <w:p>
            <w:pPr>
              <w:spacing w:line="520" w:lineRule="exact"/>
              <w:jc w:val="center"/>
              <w:rPr>
                <w:rFonts w:hAnsi="宋体"/>
                <w:sz w:val="28"/>
              </w:rPr>
            </w:pPr>
          </w:p>
        </w:tc>
        <w:tc>
          <w:tcPr>
            <w:tcW w:w="1868" w:type="dxa"/>
            <w:vAlign w:val="center"/>
          </w:tcPr>
          <w:p>
            <w:pPr>
              <w:spacing w:line="520" w:lineRule="exact"/>
              <w:jc w:val="center"/>
              <w:rPr>
                <w:rFonts w:hAnsi="宋体"/>
                <w:sz w:val="28"/>
              </w:rPr>
            </w:pPr>
          </w:p>
        </w:tc>
        <w:tc>
          <w:tcPr>
            <w:tcW w:w="1869" w:type="dxa"/>
            <w:vAlign w:val="center"/>
          </w:tcPr>
          <w:p>
            <w:pPr>
              <w:spacing w:line="520" w:lineRule="exact"/>
              <w:jc w:val="center"/>
              <w:rPr>
                <w:rFonts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145" w:type="dxa"/>
            <w:vAlign w:val="center"/>
          </w:tcPr>
          <w:p>
            <w:pPr>
              <w:spacing w:line="520" w:lineRule="exact"/>
              <w:jc w:val="center"/>
              <w:rPr>
                <w:rFonts w:hAnsi="宋体"/>
                <w:sz w:val="28"/>
              </w:rPr>
            </w:pPr>
          </w:p>
        </w:tc>
        <w:tc>
          <w:tcPr>
            <w:tcW w:w="1522" w:type="dxa"/>
            <w:vAlign w:val="center"/>
          </w:tcPr>
          <w:p>
            <w:pPr>
              <w:spacing w:line="520" w:lineRule="exact"/>
              <w:jc w:val="center"/>
              <w:rPr>
                <w:rFonts w:hAnsi="宋体"/>
                <w:sz w:val="28"/>
              </w:rPr>
            </w:pPr>
          </w:p>
        </w:tc>
        <w:tc>
          <w:tcPr>
            <w:tcW w:w="960" w:type="dxa"/>
            <w:vAlign w:val="center"/>
          </w:tcPr>
          <w:p>
            <w:pPr>
              <w:spacing w:line="520" w:lineRule="exact"/>
              <w:jc w:val="center"/>
              <w:rPr>
                <w:rFonts w:hAnsi="宋体"/>
                <w:sz w:val="28"/>
              </w:rPr>
            </w:pPr>
          </w:p>
        </w:tc>
        <w:tc>
          <w:tcPr>
            <w:tcW w:w="1298" w:type="dxa"/>
            <w:vAlign w:val="center"/>
          </w:tcPr>
          <w:p>
            <w:pPr>
              <w:spacing w:line="520" w:lineRule="exact"/>
              <w:jc w:val="center"/>
              <w:rPr>
                <w:rFonts w:hAnsi="宋体"/>
                <w:sz w:val="28"/>
              </w:rPr>
            </w:pPr>
          </w:p>
        </w:tc>
        <w:tc>
          <w:tcPr>
            <w:tcW w:w="923" w:type="dxa"/>
            <w:vAlign w:val="center"/>
          </w:tcPr>
          <w:p>
            <w:pPr>
              <w:spacing w:line="520" w:lineRule="exact"/>
              <w:jc w:val="center"/>
              <w:rPr>
                <w:rFonts w:hAnsi="宋体"/>
                <w:sz w:val="28"/>
              </w:rPr>
            </w:pPr>
          </w:p>
        </w:tc>
        <w:tc>
          <w:tcPr>
            <w:tcW w:w="923" w:type="dxa"/>
            <w:vAlign w:val="center"/>
          </w:tcPr>
          <w:p>
            <w:pPr>
              <w:spacing w:line="520" w:lineRule="exact"/>
              <w:jc w:val="center"/>
              <w:rPr>
                <w:rFonts w:hAnsi="宋体"/>
                <w:sz w:val="28"/>
              </w:rPr>
            </w:pPr>
          </w:p>
        </w:tc>
        <w:tc>
          <w:tcPr>
            <w:tcW w:w="1719" w:type="dxa"/>
            <w:vAlign w:val="center"/>
          </w:tcPr>
          <w:p>
            <w:pPr>
              <w:spacing w:line="520" w:lineRule="exact"/>
              <w:jc w:val="center"/>
              <w:rPr>
                <w:rFonts w:hAnsi="宋体"/>
                <w:sz w:val="28"/>
              </w:rPr>
            </w:pPr>
          </w:p>
        </w:tc>
        <w:tc>
          <w:tcPr>
            <w:tcW w:w="1693" w:type="dxa"/>
            <w:vAlign w:val="center"/>
          </w:tcPr>
          <w:p>
            <w:pPr>
              <w:spacing w:line="520" w:lineRule="exact"/>
              <w:jc w:val="center"/>
              <w:rPr>
                <w:rFonts w:hAnsi="宋体"/>
                <w:sz w:val="28"/>
              </w:rPr>
            </w:pPr>
          </w:p>
        </w:tc>
        <w:tc>
          <w:tcPr>
            <w:tcW w:w="1868" w:type="dxa"/>
            <w:vAlign w:val="center"/>
          </w:tcPr>
          <w:p>
            <w:pPr>
              <w:spacing w:line="520" w:lineRule="exact"/>
              <w:jc w:val="center"/>
              <w:rPr>
                <w:rFonts w:hAnsi="宋体"/>
                <w:sz w:val="28"/>
              </w:rPr>
            </w:pPr>
          </w:p>
        </w:tc>
        <w:tc>
          <w:tcPr>
            <w:tcW w:w="1869" w:type="dxa"/>
            <w:vAlign w:val="center"/>
          </w:tcPr>
          <w:p>
            <w:pPr>
              <w:spacing w:line="520" w:lineRule="exact"/>
              <w:jc w:val="center"/>
              <w:rPr>
                <w:rFonts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145" w:type="dxa"/>
            <w:vAlign w:val="center"/>
          </w:tcPr>
          <w:p>
            <w:pPr>
              <w:spacing w:line="520" w:lineRule="exact"/>
              <w:jc w:val="center"/>
              <w:rPr>
                <w:rFonts w:hAnsi="宋体"/>
                <w:sz w:val="28"/>
              </w:rPr>
            </w:pPr>
          </w:p>
        </w:tc>
        <w:tc>
          <w:tcPr>
            <w:tcW w:w="1522" w:type="dxa"/>
            <w:vAlign w:val="center"/>
          </w:tcPr>
          <w:p>
            <w:pPr>
              <w:spacing w:line="520" w:lineRule="exact"/>
              <w:jc w:val="center"/>
              <w:rPr>
                <w:rFonts w:hAnsi="宋体"/>
                <w:sz w:val="28"/>
              </w:rPr>
            </w:pPr>
          </w:p>
        </w:tc>
        <w:tc>
          <w:tcPr>
            <w:tcW w:w="960" w:type="dxa"/>
            <w:vAlign w:val="center"/>
          </w:tcPr>
          <w:p>
            <w:pPr>
              <w:spacing w:line="520" w:lineRule="exact"/>
              <w:jc w:val="center"/>
              <w:rPr>
                <w:rFonts w:hAnsi="宋体"/>
                <w:sz w:val="28"/>
              </w:rPr>
            </w:pPr>
          </w:p>
        </w:tc>
        <w:tc>
          <w:tcPr>
            <w:tcW w:w="1298" w:type="dxa"/>
            <w:vAlign w:val="center"/>
          </w:tcPr>
          <w:p>
            <w:pPr>
              <w:spacing w:line="520" w:lineRule="exact"/>
              <w:jc w:val="center"/>
              <w:rPr>
                <w:rFonts w:hAnsi="宋体"/>
                <w:sz w:val="28"/>
              </w:rPr>
            </w:pPr>
          </w:p>
        </w:tc>
        <w:tc>
          <w:tcPr>
            <w:tcW w:w="923" w:type="dxa"/>
            <w:vAlign w:val="center"/>
          </w:tcPr>
          <w:p>
            <w:pPr>
              <w:spacing w:line="520" w:lineRule="exact"/>
              <w:jc w:val="center"/>
              <w:rPr>
                <w:rFonts w:hAnsi="宋体"/>
                <w:sz w:val="28"/>
              </w:rPr>
            </w:pPr>
          </w:p>
        </w:tc>
        <w:tc>
          <w:tcPr>
            <w:tcW w:w="923" w:type="dxa"/>
            <w:vAlign w:val="center"/>
          </w:tcPr>
          <w:p>
            <w:pPr>
              <w:spacing w:line="520" w:lineRule="exact"/>
              <w:jc w:val="center"/>
              <w:rPr>
                <w:rFonts w:hAnsi="宋体"/>
                <w:sz w:val="28"/>
              </w:rPr>
            </w:pPr>
          </w:p>
        </w:tc>
        <w:tc>
          <w:tcPr>
            <w:tcW w:w="1719" w:type="dxa"/>
            <w:vAlign w:val="center"/>
          </w:tcPr>
          <w:p>
            <w:pPr>
              <w:spacing w:line="520" w:lineRule="exact"/>
              <w:jc w:val="center"/>
              <w:rPr>
                <w:rFonts w:hAnsi="宋体"/>
                <w:sz w:val="28"/>
              </w:rPr>
            </w:pPr>
          </w:p>
        </w:tc>
        <w:tc>
          <w:tcPr>
            <w:tcW w:w="1693" w:type="dxa"/>
            <w:vAlign w:val="center"/>
          </w:tcPr>
          <w:p>
            <w:pPr>
              <w:spacing w:line="520" w:lineRule="exact"/>
              <w:jc w:val="center"/>
              <w:rPr>
                <w:rFonts w:hAnsi="宋体"/>
                <w:sz w:val="28"/>
              </w:rPr>
            </w:pPr>
          </w:p>
        </w:tc>
        <w:tc>
          <w:tcPr>
            <w:tcW w:w="1868" w:type="dxa"/>
            <w:vAlign w:val="center"/>
          </w:tcPr>
          <w:p>
            <w:pPr>
              <w:spacing w:line="520" w:lineRule="exact"/>
              <w:jc w:val="center"/>
              <w:rPr>
                <w:rFonts w:hAnsi="宋体"/>
                <w:sz w:val="28"/>
              </w:rPr>
            </w:pPr>
          </w:p>
        </w:tc>
        <w:tc>
          <w:tcPr>
            <w:tcW w:w="1869" w:type="dxa"/>
            <w:vAlign w:val="center"/>
          </w:tcPr>
          <w:p>
            <w:pPr>
              <w:spacing w:line="520" w:lineRule="exact"/>
              <w:jc w:val="center"/>
              <w:rPr>
                <w:rFonts w:hAnsi="宋体"/>
                <w:sz w:val="28"/>
              </w:rPr>
            </w:pPr>
          </w:p>
        </w:tc>
      </w:tr>
    </w:tbl>
    <w:p>
      <w:pPr>
        <w:spacing w:line="400" w:lineRule="exact"/>
        <w:rPr>
          <w:rFonts w:ascii="宋体" w:hAnsi="宋体"/>
          <w:b/>
          <w:szCs w:val="21"/>
        </w:rPr>
        <w:sectPr>
          <w:endnotePr>
            <w:numFmt w:val="decimal"/>
          </w:endnotePr>
          <w:pgSz w:w="16840" w:h="11906" w:orient="landscape"/>
          <w:pgMar w:top="1417" w:right="1304" w:bottom="1417" w:left="1417" w:header="850" w:footer="850" w:gutter="0"/>
          <w:cols w:space="720" w:num="1"/>
          <w:docGrid w:linePitch="312" w:charSpace="0"/>
        </w:sectPr>
      </w:pPr>
      <w:r>
        <w:rPr>
          <w:rFonts w:hint="eastAsia" w:hAnsi="宋体"/>
          <w:sz w:val="18"/>
          <w:szCs w:val="18"/>
        </w:rPr>
        <w:t>注：按第二章《资格审查表》和《技术标详细审查评分表》</w:t>
      </w:r>
      <w:r>
        <w:rPr>
          <w:rFonts w:hAnsi="宋体"/>
          <w:sz w:val="18"/>
          <w:szCs w:val="18"/>
        </w:rPr>
        <w:t>的</w:t>
      </w:r>
      <w:r>
        <w:rPr>
          <w:rFonts w:hint="eastAsia" w:hAnsi="宋体"/>
          <w:sz w:val="18"/>
          <w:szCs w:val="18"/>
        </w:rPr>
        <w:t>要求提供业绩证明</w:t>
      </w:r>
    </w:p>
    <w:p>
      <w:pPr>
        <w:spacing w:line="400" w:lineRule="exact"/>
        <w:jc w:val="left"/>
      </w:pPr>
      <w:r>
        <w:rPr>
          <w:rFonts w:hint="eastAsia" w:ascii="宋体" w:hAnsi="宋体"/>
          <w:b/>
          <w:szCs w:val="21"/>
        </w:rPr>
        <w:t>格式六</w:t>
      </w:r>
    </w:p>
    <w:p>
      <w:pPr>
        <w:pStyle w:val="119"/>
        <w:spacing w:line="276" w:lineRule="auto"/>
        <w:rPr>
          <w:rFonts w:ascii="宋体" w:hAnsi="宋体"/>
        </w:rPr>
      </w:pPr>
    </w:p>
    <w:p>
      <w:pPr>
        <w:pStyle w:val="118"/>
        <w:ind w:left="99" w:leftChars="47"/>
        <w:jc w:val="center"/>
        <w:rPr>
          <w:rFonts w:hAnsi="宋体"/>
          <w:b/>
          <w:bCs/>
          <w:sz w:val="26"/>
        </w:rPr>
      </w:pPr>
      <w:r>
        <w:rPr>
          <w:rFonts w:hint="eastAsia" w:hAnsi="宋体"/>
          <w:b/>
          <w:bCs/>
          <w:sz w:val="26"/>
        </w:rPr>
        <w:t>投标保函/投标保证保险复印件</w:t>
      </w:r>
    </w:p>
    <w:p>
      <w:pPr>
        <w:rPr>
          <w:rFonts w:ascii="Arial" w:hAnsi="Arial" w:cs="Arial"/>
        </w:rPr>
      </w:pPr>
    </w:p>
    <w:p>
      <w:pPr>
        <w:widowControl/>
        <w:spacing w:line="480" w:lineRule="auto"/>
        <w:jc w:val="left"/>
        <w:rPr>
          <w:rFonts w:ascii="Arial" w:hAnsi="Arial" w:cs="Arial"/>
        </w:rPr>
      </w:pPr>
      <w:r>
        <w:rPr>
          <w:rFonts w:hint="eastAsia" w:ascii="Arial" w:hAnsi="Arial" w:cs="Arial"/>
        </w:rPr>
        <w:t>如采用保函或保险等形式提交的，投标人应在投标文件中提交投标保函或投标保证保险复印件并加盖投标人电子印章。</w:t>
      </w:r>
    </w:p>
    <w:p>
      <w:pPr>
        <w:widowControl/>
        <w:jc w:val="left"/>
        <w:rPr>
          <w:rFonts w:ascii="宋体" w:hAnsi="宋体"/>
          <w:b/>
          <w:szCs w:val="21"/>
        </w:rPr>
      </w:pPr>
      <w:r>
        <w:rPr>
          <w:rFonts w:ascii="宋体" w:hAnsi="宋体"/>
          <w:b/>
          <w:szCs w:val="21"/>
        </w:rPr>
        <w:br w:type="page"/>
      </w:r>
    </w:p>
    <w:p>
      <w:pPr>
        <w:spacing w:line="400" w:lineRule="exact"/>
        <w:rPr>
          <w:rFonts w:ascii="宋体" w:hAnsi="宋体"/>
          <w:b/>
          <w:szCs w:val="21"/>
        </w:rPr>
      </w:pPr>
      <w:r>
        <w:rPr>
          <w:rFonts w:hint="eastAsia" w:ascii="宋体" w:hAnsi="宋体"/>
          <w:b/>
          <w:szCs w:val="21"/>
        </w:rPr>
        <w:t>格式七</w:t>
      </w:r>
    </w:p>
    <w:p>
      <w:pPr>
        <w:spacing w:line="400" w:lineRule="exact"/>
        <w:ind w:firstLine="570"/>
        <w:jc w:val="center"/>
        <w:rPr>
          <w:rFonts w:ascii="宋体" w:hAnsi="宋体"/>
          <w:b/>
          <w:szCs w:val="21"/>
        </w:rPr>
      </w:pPr>
    </w:p>
    <w:p>
      <w:pPr>
        <w:spacing w:line="400" w:lineRule="exact"/>
        <w:ind w:firstLine="570"/>
        <w:jc w:val="center"/>
        <w:rPr>
          <w:rFonts w:ascii="宋体" w:hAnsi="宋体"/>
          <w:b/>
          <w:sz w:val="28"/>
          <w:szCs w:val="28"/>
        </w:rPr>
      </w:pPr>
      <w:r>
        <w:rPr>
          <w:rFonts w:hint="eastAsia" w:ascii="宋体" w:hAnsi="宋体"/>
          <w:b/>
          <w:sz w:val="28"/>
          <w:szCs w:val="28"/>
        </w:rPr>
        <w:t>拟派驻本工程项目机构管理人员一览表</w:t>
      </w:r>
    </w:p>
    <w:p/>
    <w:tbl>
      <w:tblPr>
        <w:tblStyle w:val="36"/>
        <w:tblpPr w:leftFromText="180" w:rightFromText="180" w:vertAnchor="text" w:horzAnchor="margin" w:tblpY="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252"/>
        <w:gridCol w:w="939"/>
        <w:gridCol w:w="939"/>
        <w:gridCol w:w="1252"/>
        <w:gridCol w:w="939"/>
        <w:gridCol w:w="1565"/>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9" w:type="dxa"/>
            <w:vAlign w:val="center"/>
          </w:tcPr>
          <w:p>
            <w:pPr>
              <w:spacing w:line="400" w:lineRule="exact"/>
              <w:jc w:val="center"/>
              <w:rPr>
                <w:rFonts w:ascii="宋体" w:hAnsi="宋体"/>
                <w:b/>
                <w:szCs w:val="21"/>
              </w:rPr>
            </w:pPr>
            <w:r>
              <w:rPr>
                <w:rFonts w:hint="eastAsia" w:ascii="宋体" w:hAnsi="宋体"/>
                <w:b/>
                <w:szCs w:val="21"/>
              </w:rPr>
              <w:t>序号</w:t>
            </w:r>
          </w:p>
        </w:tc>
        <w:tc>
          <w:tcPr>
            <w:tcW w:w="1252" w:type="dxa"/>
            <w:vAlign w:val="center"/>
          </w:tcPr>
          <w:p>
            <w:pPr>
              <w:spacing w:line="400" w:lineRule="exact"/>
              <w:jc w:val="center"/>
              <w:rPr>
                <w:rFonts w:ascii="宋体" w:hAnsi="宋体"/>
                <w:b/>
                <w:szCs w:val="21"/>
              </w:rPr>
            </w:pPr>
            <w:r>
              <w:rPr>
                <w:rFonts w:hint="eastAsia" w:ascii="宋体" w:hAnsi="宋体"/>
                <w:b/>
                <w:szCs w:val="21"/>
              </w:rPr>
              <w:t>姓名</w:t>
            </w:r>
          </w:p>
        </w:tc>
        <w:tc>
          <w:tcPr>
            <w:tcW w:w="939" w:type="dxa"/>
            <w:vAlign w:val="center"/>
          </w:tcPr>
          <w:p>
            <w:pPr>
              <w:spacing w:line="400" w:lineRule="exact"/>
              <w:jc w:val="center"/>
              <w:rPr>
                <w:rFonts w:ascii="宋体" w:hAnsi="宋体"/>
                <w:b/>
                <w:szCs w:val="21"/>
              </w:rPr>
            </w:pPr>
            <w:r>
              <w:rPr>
                <w:rFonts w:hint="eastAsia" w:ascii="宋体" w:hAnsi="宋体"/>
                <w:b/>
                <w:szCs w:val="21"/>
              </w:rPr>
              <w:t>性别</w:t>
            </w:r>
          </w:p>
        </w:tc>
        <w:tc>
          <w:tcPr>
            <w:tcW w:w="939" w:type="dxa"/>
            <w:vAlign w:val="center"/>
          </w:tcPr>
          <w:p>
            <w:pPr>
              <w:spacing w:line="400" w:lineRule="exact"/>
              <w:jc w:val="center"/>
              <w:rPr>
                <w:rFonts w:ascii="宋体" w:hAnsi="宋体"/>
                <w:b/>
                <w:szCs w:val="21"/>
              </w:rPr>
            </w:pPr>
            <w:r>
              <w:rPr>
                <w:rFonts w:hint="eastAsia" w:ascii="宋体" w:hAnsi="宋体"/>
                <w:b/>
                <w:szCs w:val="21"/>
              </w:rPr>
              <w:t>年龄</w:t>
            </w:r>
          </w:p>
        </w:tc>
        <w:tc>
          <w:tcPr>
            <w:tcW w:w="1252" w:type="dxa"/>
            <w:vAlign w:val="center"/>
          </w:tcPr>
          <w:p>
            <w:pPr>
              <w:spacing w:line="400" w:lineRule="exact"/>
              <w:jc w:val="center"/>
              <w:rPr>
                <w:rFonts w:ascii="宋体" w:hAnsi="宋体"/>
                <w:b/>
                <w:szCs w:val="21"/>
              </w:rPr>
            </w:pPr>
            <w:r>
              <w:rPr>
                <w:rFonts w:hint="eastAsia" w:ascii="宋体" w:hAnsi="宋体"/>
                <w:b/>
                <w:szCs w:val="21"/>
              </w:rPr>
              <w:t>职称</w:t>
            </w:r>
          </w:p>
        </w:tc>
        <w:tc>
          <w:tcPr>
            <w:tcW w:w="939" w:type="dxa"/>
            <w:vAlign w:val="center"/>
          </w:tcPr>
          <w:p>
            <w:pPr>
              <w:spacing w:line="400" w:lineRule="exact"/>
              <w:jc w:val="center"/>
              <w:rPr>
                <w:rFonts w:ascii="宋体" w:hAnsi="宋体"/>
                <w:b/>
                <w:szCs w:val="21"/>
              </w:rPr>
            </w:pPr>
            <w:r>
              <w:rPr>
                <w:rFonts w:hint="eastAsia" w:ascii="宋体" w:hAnsi="宋体"/>
                <w:b/>
                <w:szCs w:val="21"/>
              </w:rPr>
              <w:t>专业</w:t>
            </w:r>
          </w:p>
        </w:tc>
        <w:tc>
          <w:tcPr>
            <w:tcW w:w="1565" w:type="dxa"/>
            <w:vAlign w:val="center"/>
          </w:tcPr>
          <w:p>
            <w:pPr>
              <w:spacing w:line="400" w:lineRule="exact"/>
              <w:jc w:val="center"/>
              <w:rPr>
                <w:rFonts w:ascii="宋体" w:hAnsi="宋体"/>
                <w:b/>
                <w:szCs w:val="21"/>
              </w:rPr>
            </w:pPr>
            <w:r>
              <w:rPr>
                <w:rFonts w:hint="eastAsia" w:ascii="宋体" w:hAnsi="宋体"/>
                <w:b/>
                <w:szCs w:val="21"/>
              </w:rPr>
              <w:t>经验年限</w:t>
            </w:r>
          </w:p>
        </w:tc>
        <w:tc>
          <w:tcPr>
            <w:tcW w:w="1535" w:type="dxa"/>
            <w:vAlign w:val="center"/>
          </w:tcPr>
          <w:p>
            <w:pPr>
              <w:spacing w:line="400" w:lineRule="exact"/>
              <w:jc w:val="center"/>
              <w:rPr>
                <w:rFonts w:ascii="宋体" w:hAnsi="宋体"/>
                <w:b/>
                <w:szCs w:val="21"/>
              </w:rPr>
            </w:pPr>
            <w:r>
              <w:rPr>
                <w:rFonts w:hint="eastAsia" w:ascii="宋体" w:hAnsi="宋体"/>
                <w:b/>
                <w:szCs w:val="21"/>
              </w:rPr>
              <w:t>拟担任职务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9" w:type="dxa"/>
            <w:vAlign w:val="center"/>
          </w:tcPr>
          <w:p>
            <w:pPr>
              <w:spacing w:line="520" w:lineRule="exact"/>
              <w:jc w:val="center"/>
              <w:rPr>
                <w:rFonts w:ascii="宋体" w:hAnsi="宋体"/>
                <w:sz w:val="28"/>
              </w:rPr>
            </w:pPr>
          </w:p>
        </w:tc>
        <w:tc>
          <w:tcPr>
            <w:tcW w:w="1252"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1252" w:type="dxa"/>
            <w:vAlign w:val="center"/>
          </w:tcPr>
          <w:p>
            <w:pPr>
              <w:spacing w:line="520" w:lineRule="exact"/>
              <w:ind w:left="8000"/>
              <w:jc w:val="center"/>
            </w:pPr>
          </w:p>
        </w:tc>
        <w:tc>
          <w:tcPr>
            <w:tcW w:w="939" w:type="dxa"/>
            <w:vAlign w:val="center"/>
          </w:tcPr>
          <w:p>
            <w:pPr>
              <w:spacing w:line="520" w:lineRule="exact"/>
              <w:jc w:val="center"/>
              <w:rPr>
                <w:rFonts w:ascii="宋体" w:hAnsi="宋体"/>
                <w:sz w:val="28"/>
              </w:rPr>
            </w:pPr>
          </w:p>
        </w:tc>
        <w:tc>
          <w:tcPr>
            <w:tcW w:w="1565" w:type="dxa"/>
            <w:vAlign w:val="center"/>
          </w:tcPr>
          <w:p>
            <w:pPr>
              <w:spacing w:line="520" w:lineRule="exact"/>
              <w:jc w:val="center"/>
              <w:rPr>
                <w:rFonts w:ascii="宋体" w:hAnsi="宋体"/>
                <w:sz w:val="28"/>
              </w:rPr>
            </w:pPr>
          </w:p>
        </w:tc>
        <w:tc>
          <w:tcPr>
            <w:tcW w:w="1535" w:type="dxa"/>
            <w:vAlign w:val="center"/>
          </w:tcPr>
          <w:p>
            <w:pPr>
              <w:spacing w:line="52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9" w:type="dxa"/>
            <w:vAlign w:val="center"/>
          </w:tcPr>
          <w:p>
            <w:pPr>
              <w:spacing w:line="520" w:lineRule="exact"/>
              <w:jc w:val="center"/>
              <w:rPr>
                <w:rFonts w:ascii="宋体" w:hAnsi="宋体"/>
                <w:sz w:val="28"/>
              </w:rPr>
            </w:pPr>
          </w:p>
        </w:tc>
        <w:tc>
          <w:tcPr>
            <w:tcW w:w="1252"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1252" w:type="dxa"/>
            <w:vAlign w:val="center"/>
          </w:tcPr>
          <w:p>
            <w:pPr>
              <w:spacing w:line="520" w:lineRule="exact"/>
              <w:jc w:val="center"/>
              <w:rPr>
                <w:rFonts w:ascii="宋体" w:hAnsi="宋体"/>
                <w:sz w:val="28"/>
              </w:rPr>
            </w:pPr>
          </w:p>
        </w:tc>
        <w:tc>
          <w:tcPr>
            <w:tcW w:w="939" w:type="dxa"/>
            <w:vAlign w:val="center"/>
          </w:tcPr>
          <w:p>
            <w:pPr>
              <w:spacing w:line="520" w:lineRule="exact"/>
              <w:ind w:left="8000"/>
              <w:jc w:val="center"/>
            </w:pPr>
          </w:p>
        </w:tc>
        <w:tc>
          <w:tcPr>
            <w:tcW w:w="1565" w:type="dxa"/>
            <w:vAlign w:val="center"/>
          </w:tcPr>
          <w:p>
            <w:pPr>
              <w:spacing w:line="520" w:lineRule="exact"/>
              <w:ind w:left="8000"/>
              <w:jc w:val="center"/>
            </w:pPr>
          </w:p>
        </w:tc>
        <w:tc>
          <w:tcPr>
            <w:tcW w:w="1535" w:type="dxa"/>
            <w:vAlign w:val="center"/>
          </w:tcPr>
          <w:p>
            <w:pPr>
              <w:spacing w:line="52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9" w:type="dxa"/>
            <w:vAlign w:val="center"/>
          </w:tcPr>
          <w:p>
            <w:pPr>
              <w:spacing w:line="520" w:lineRule="exact"/>
              <w:jc w:val="center"/>
              <w:rPr>
                <w:rFonts w:ascii="宋体" w:hAnsi="宋体"/>
                <w:sz w:val="28"/>
              </w:rPr>
            </w:pPr>
          </w:p>
        </w:tc>
        <w:tc>
          <w:tcPr>
            <w:tcW w:w="1252"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1252"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1565" w:type="dxa"/>
            <w:vAlign w:val="center"/>
          </w:tcPr>
          <w:p>
            <w:pPr>
              <w:spacing w:line="520" w:lineRule="exact"/>
              <w:jc w:val="center"/>
              <w:rPr>
                <w:rFonts w:ascii="宋体" w:hAnsi="宋体"/>
                <w:sz w:val="28"/>
              </w:rPr>
            </w:pPr>
          </w:p>
        </w:tc>
        <w:tc>
          <w:tcPr>
            <w:tcW w:w="1535" w:type="dxa"/>
            <w:vAlign w:val="center"/>
          </w:tcPr>
          <w:p>
            <w:pPr>
              <w:spacing w:line="52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9" w:type="dxa"/>
            <w:vAlign w:val="center"/>
          </w:tcPr>
          <w:p>
            <w:pPr>
              <w:spacing w:line="520" w:lineRule="exact"/>
              <w:jc w:val="center"/>
              <w:rPr>
                <w:rFonts w:ascii="宋体" w:hAnsi="宋体"/>
                <w:sz w:val="28"/>
              </w:rPr>
            </w:pPr>
          </w:p>
        </w:tc>
        <w:tc>
          <w:tcPr>
            <w:tcW w:w="1252"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1252" w:type="dxa"/>
            <w:vAlign w:val="center"/>
          </w:tcPr>
          <w:p>
            <w:pPr>
              <w:spacing w:line="520" w:lineRule="exact"/>
              <w:ind w:left="8000"/>
              <w:jc w:val="center"/>
            </w:pPr>
          </w:p>
        </w:tc>
        <w:tc>
          <w:tcPr>
            <w:tcW w:w="939" w:type="dxa"/>
            <w:vAlign w:val="center"/>
          </w:tcPr>
          <w:p>
            <w:pPr>
              <w:spacing w:line="520" w:lineRule="exact"/>
              <w:jc w:val="center"/>
              <w:rPr>
                <w:rFonts w:ascii="宋体" w:hAnsi="宋体"/>
                <w:sz w:val="28"/>
              </w:rPr>
            </w:pPr>
          </w:p>
        </w:tc>
        <w:tc>
          <w:tcPr>
            <w:tcW w:w="1565" w:type="dxa"/>
            <w:vAlign w:val="center"/>
          </w:tcPr>
          <w:p>
            <w:pPr>
              <w:spacing w:line="520" w:lineRule="exact"/>
              <w:jc w:val="center"/>
              <w:rPr>
                <w:rFonts w:ascii="宋体" w:hAnsi="宋体"/>
                <w:sz w:val="28"/>
              </w:rPr>
            </w:pPr>
          </w:p>
        </w:tc>
        <w:tc>
          <w:tcPr>
            <w:tcW w:w="1535" w:type="dxa"/>
            <w:vAlign w:val="center"/>
          </w:tcPr>
          <w:p>
            <w:pPr>
              <w:spacing w:line="52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9" w:type="dxa"/>
            <w:vAlign w:val="center"/>
          </w:tcPr>
          <w:p>
            <w:pPr>
              <w:spacing w:line="520" w:lineRule="exact"/>
              <w:jc w:val="center"/>
              <w:rPr>
                <w:rFonts w:ascii="宋体" w:hAnsi="宋体"/>
                <w:sz w:val="28"/>
              </w:rPr>
            </w:pPr>
          </w:p>
        </w:tc>
        <w:tc>
          <w:tcPr>
            <w:tcW w:w="1252"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1252" w:type="dxa"/>
            <w:vAlign w:val="center"/>
          </w:tcPr>
          <w:p>
            <w:pPr>
              <w:spacing w:line="520" w:lineRule="exact"/>
              <w:jc w:val="center"/>
              <w:rPr>
                <w:rFonts w:ascii="宋体" w:hAnsi="宋体"/>
                <w:sz w:val="28"/>
              </w:rPr>
            </w:pPr>
          </w:p>
        </w:tc>
        <w:tc>
          <w:tcPr>
            <w:tcW w:w="939" w:type="dxa"/>
            <w:vAlign w:val="center"/>
          </w:tcPr>
          <w:p>
            <w:pPr>
              <w:spacing w:line="520" w:lineRule="exact"/>
              <w:ind w:left="8000"/>
              <w:jc w:val="center"/>
            </w:pPr>
          </w:p>
        </w:tc>
        <w:tc>
          <w:tcPr>
            <w:tcW w:w="1565" w:type="dxa"/>
            <w:vAlign w:val="center"/>
          </w:tcPr>
          <w:p>
            <w:pPr>
              <w:spacing w:line="520" w:lineRule="exact"/>
              <w:ind w:left="8000"/>
              <w:jc w:val="center"/>
            </w:pPr>
          </w:p>
        </w:tc>
        <w:tc>
          <w:tcPr>
            <w:tcW w:w="1535" w:type="dxa"/>
            <w:vAlign w:val="center"/>
          </w:tcPr>
          <w:p>
            <w:pPr>
              <w:spacing w:line="52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9" w:type="dxa"/>
            <w:vAlign w:val="center"/>
          </w:tcPr>
          <w:p>
            <w:pPr>
              <w:spacing w:line="520" w:lineRule="exact"/>
              <w:jc w:val="center"/>
              <w:rPr>
                <w:rFonts w:ascii="宋体" w:hAnsi="宋体"/>
                <w:sz w:val="28"/>
              </w:rPr>
            </w:pPr>
          </w:p>
        </w:tc>
        <w:tc>
          <w:tcPr>
            <w:tcW w:w="1252"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1252"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1565" w:type="dxa"/>
            <w:vAlign w:val="center"/>
          </w:tcPr>
          <w:p>
            <w:pPr>
              <w:spacing w:line="520" w:lineRule="exact"/>
              <w:jc w:val="center"/>
              <w:rPr>
                <w:rFonts w:ascii="宋体" w:hAnsi="宋体"/>
                <w:sz w:val="28"/>
              </w:rPr>
            </w:pPr>
          </w:p>
        </w:tc>
        <w:tc>
          <w:tcPr>
            <w:tcW w:w="1535" w:type="dxa"/>
            <w:vAlign w:val="center"/>
          </w:tcPr>
          <w:p>
            <w:pPr>
              <w:spacing w:line="52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9" w:type="dxa"/>
            <w:vAlign w:val="center"/>
          </w:tcPr>
          <w:p>
            <w:pPr>
              <w:spacing w:line="520" w:lineRule="exact"/>
              <w:jc w:val="center"/>
              <w:rPr>
                <w:rFonts w:ascii="宋体" w:hAnsi="宋体"/>
                <w:sz w:val="28"/>
              </w:rPr>
            </w:pPr>
          </w:p>
        </w:tc>
        <w:tc>
          <w:tcPr>
            <w:tcW w:w="1252"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1252"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1565" w:type="dxa"/>
            <w:vAlign w:val="center"/>
          </w:tcPr>
          <w:p>
            <w:pPr>
              <w:spacing w:line="520" w:lineRule="exact"/>
              <w:jc w:val="center"/>
              <w:rPr>
                <w:rFonts w:ascii="宋体" w:hAnsi="宋体"/>
                <w:sz w:val="28"/>
              </w:rPr>
            </w:pPr>
          </w:p>
        </w:tc>
        <w:tc>
          <w:tcPr>
            <w:tcW w:w="1535" w:type="dxa"/>
            <w:vAlign w:val="center"/>
          </w:tcPr>
          <w:p>
            <w:pPr>
              <w:spacing w:line="52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9" w:type="dxa"/>
            <w:vAlign w:val="center"/>
          </w:tcPr>
          <w:p>
            <w:pPr>
              <w:spacing w:line="520" w:lineRule="exact"/>
              <w:jc w:val="center"/>
              <w:rPr>
                <w:rFonts w:ascii="宋体" w:hAnsi="宋体"/>
                <w:sz w:val="28"/>
              </w:rPr>
            </w:pPr>
          </w:p>
        </w:tc>
        <w:tc>
          <w:tcPr>
            <w:tcW w:w="1252"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1252"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1565" w:type="dxa"/>
            <w:vAlign w:val="center"/>
          </w:tcPr>
          <w:p>
            <w:pPr>
              <w:spacing w:line="520" w:lineRule="exact"/>
              <w:jc w:val="center"/>
              <w:rPr>
                <w:rFonts w:ascii="宋体" w:hAnsi="宋体"/>
                <w:sz w:val="28"/>
              </w:rPr>
            </w:pPr>
          </w:p>
        </w:tc>
        <w:tc>
          <w:tcPr>
            <w:tcW w:w="1535" w:type="dxa"/>
            <w:vAlign w:val="center"/>
          </w:tcPr>
          <w:p>
            <w:pPr>
              <w:spacing w:line="52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9" w:type="dxa"/>
            <w:vAlign w:val="center"/>
          </w:tcPr>
          <w:p>
            <w:pPr>
              <w:spacing w:line="520" w:lineRule="exact"/>
              <w:jc w:val="center"/>
              <w:rPr>
                <w:rFonts w:ascii="宋体" w:hAnsi="宋体"/>
                <w:sz w:val="28"/>
              </w:rPr>
            </w:pPr>
          </w:p>
        </w:tc>
        <w:tc>
          <w:tcPr>
            <w:tcW w:w="1252"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1252"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1565" w:type="dxa"/>
            <w:vAlign w:val="center"/>
          </w:tcPr>
          <w:p>
            <w:pPr>
              <w:spacing w:line="520" w:lineRule="exact"/>
              <w:jc w:val="center"/>
              <w:rPr>
                <w:rFonts w:ascii="宋体" w:hAnsi="宋体"/>
                <w:sz w:val="28"/>
              </w:rPr>
            </w:pPr>
          </w:p>
        </w:tc>
        <w:tc>
          <w:tcPr>
            <w:tcW w:w="1535" w:type="dxa"/>
            <w:vAlign w:val="center"/>
          </w:tcPr>
          <w:p>
            <w:pPr>
              <w:spacing w:line="52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9" w:type="dxa"/>
            <w:vAlign w:val="center"/>
          </w:tcPr>
          <w:p>
            <w:pPr>
              <w:spacing w:line="520" w:lineRule="exact"/>
              <w:jc w:val="center"/>
              <w:rPr>
                <w:rFonts w:ascii="宋体" w:hAnsi="宋体"/>
                <w:sz w:val="28"/>
              </w:rPr>
            </w:pPr>
          </w:p>
        </w:tc>
        <w:tc>
          <w:tcPr>
            <w:tcW w:w="1252"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1252"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1565" w:type="dxa"/>
            <w:vAlign w:val="center"/>
          </w:tcPr>
          <w:p>
            <w:pPr>
              <w:spacing w:line="520" w:lineRule="exact"/>
              <w:jc w:val="center"/>
              <w:rPr>
                <w:rFonts w:ascii="宋体" w:hAnsi="宋体"/>
                <w:sz w:val="28"/>
              </w:rPr>
            </w:pPr>
          </w:p>
        </w:tc>
        <w:tc>
          <w:tcPr>
            <w:tcW w:w="1535" w:type="dxa"/>
            <w:vAlign w:val="center"/>
          </w:tcPr>
          <w:p>
            <w:pPr>
              <w:spacing w:line="52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9" w:type="dxa"/>
            <w:vAlign w:val="center"/>
          </w:tcPr>
          <w:p>
            <w:pPr>
              <w:spacing w:line="520" w:lineRule="exact"/>
              <w:jc w:val="center"/>
              <w:rPr>
                <w:rFonts w:ascii="宋体" w:hAnsi="宋体"/>
                <w:sz w:val="28"/>
              </w:rPr>
            </w:pPr>
          </w:p>
        </w:tc>
        <w:tc>
          <w:tcPr>
            <w:tcW w:w="1252"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1252"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1565" w:type="dxa"/>
            <w:vAlign w:val="center"/>
          </w:tcPr>
          <w:p>
            <w:pPr>
              <w:spacing w:line="520" w:lineRule="exact"/>
              <w:jc w:val="center"/>
              <w:rPr>
                <w:rFonts w:ascii="宋体" w:hAnsi="宋体"/>
                <w:sz w:val="28"/>
              </w:rPr>
            </w:pPr>
          </w:p>
        </w:tc>
        <w:tc>
          <w:tcPr>
            <w:tcW w:w="1535" w:type="dxa"/>
            <w:vAlign w:val="center"/>
          </w:tcPr>
          <w:p>
            <w:pPr>
              <w:spacing w:line="52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9" w:type="dxa"/>
            <w:vAlign w:val="center"/>
          </w:tcPr>
          <w:p>
            <w:pPr>
              <w:spacing w:line="520" w:lineRule="exact"/>
              <w:jc w:val="center"/>
              <w:rPr>
                <w:rFonts w:ascii="宋体" w:hAnsi="宋体"/>
                <w:sz w:val="28"/>
              </w:rPr>
            </w:pPr>
          </w:p>
        </w:tc>
        <w:tc>
          <w:tcPr>
            <w:tcW w:w="1252"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1252"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1565" w:type="dxa"/>
            <w:vAlign w:val="center"/>
          </w:tcPr>
          <w:p>
            <w:pPr>
              <w:spacing w:line="520" w:lineRule="exact"/>
              <w:jc w:val="center"/>
              <w:rPr>
                <w:rFonts w:ascii="宋体" w:hAnsi="宋体"/>
                <w:sz w:val="28"/>
              </w:rPr>
            </w:pPr>
          </w:p>
        </w:tc>
        <w:tc>
          <w:tcPr>
            <w:tcW w:w="1535" w:type="dxa"/>
            <w:vAlign w:val="center"/>
          </w:tcPr>
          <w:p>
            <w:pPr>
              <w:spacing w:line="52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9" w:type="dxa"/>
            <w:vAlign w:val="center"/>
          </w:tcPr>
          <w:p>
            <w:pPr>
              <w:spacing w:line="520" w:lineRule="exact"/>
              <w:jc w:val="center"/>
              <w:rPr>
                <w:rFonts w:ascii="宋体" w:hAnsi="宋体"/>
                <w:sz w:val="28"/>
              </w:rPr>
            </w:pPr>
          </w:p>
        </w:tc>
        <w:tc>
          <w:tcPr>
            <w:tcW w:w="1252"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1252"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1565" w:type="dxa"/>
            <w:vAlign w:val="center"/>
          </w:tcPr>
          <w:p>
            <w:pPr>
              <w:spacing w:line="520" w:lineRule="exact"/>
              <w:jc w:val="center"/>
              <w:rPr>
                <w:rFonts w:ascii="宋体" w:hAnsi="宋体"/>
                <w:sz w:val="28"/>
              </w:rPr>
            </w:pPr>
          </w:p>
        </w:tc>
        <w:tc>
          <w:tcPr>
            <w:tcW w:w="1535" w:type="dxa"/>
            <w:vAlign w:val="center"/>
          </w:tcPr>
          <w:p>
            <w:pPr>
              <w:spacing w:line="52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9" w:type="dxa"/>
            <w:vAlign w:val="center"/>
          </w:tcPr>
          <w:p>
            <w:pPr>
              <w:spacing w:line="520" w:lineRule="exact"/>
              <w:jc w:val="center"/>
              <w:rPr>
                <w:rFonts w:ascii="宋体" w:hAnsi="宋体"/>
                <w:sz w:val="28"/>
              </w:rPr>
            </w:pPr>
          </w:p>
        </w:tc>
        <w:tc>
          <w:tcPr>
            <w:tcW w:w="1252"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1252" w:type="dxa"/>
            <w:vAlign w:val="center"/>
          </w:tcPr>
          <w:p>
            <w:pPr>
              <w:spacing w:line="520" w:lineRule="exact"/>
              <w:jc w:val="center"/>
              <w:rPr>
                <w:rFonts w:ascii="宋体" w:hAnsi="宋体"/>
                <w:sz w:val="28"/>
              </w:rPr>
            </w:pPr>
          </w:p>
        </w:tc>
        <w:tc>
          <w:tcPr>
            <w:tcW w:w="939" w:type="dxa"/>
            <w:vAlign w:val="center"/>
          </w:tcPr>
          <w:p>
            <w:pPr>
              <w:spacing w:line="520" w:lineRule="exact"/>
              <w:jc w:val="center"/>
              <w:rPr>
                <w:rFonts w:ascii="宋体" w:hAnsi="宋体"/>
                <w:sz w:val="28"/>
              </w:rPr>
            </w:pPr>
          </w:p>
        </w:tc>
        <w:tc>
          <w:tcPr>
            <w:tcW w:w="1565" w:type="dxa"/>
            <w:vAlign w:val="center"/>
          </w:tcPr>
          <w:p>
            <w:pPr>
              <w:spacing w:line="520" w:lineRule="exact"/>
              <w:jc w:val="center"/>
              <w:rPr>
                <w:rFonts w:ascii="宋体" w:hAnsi="宋体"/>
                <w:sz w:val="28"/>
              </w:rPr>
            </w:pPr>
          </w:p>
        </w:tc>
        <w:tc>
          <w:tcPr>
            <w:tcW w:w="1535" w:type="dxa"/>
            <w:vAlign w:val="center"/>
          </w:tcPr>
          <w:p>
            <w:pPr>
              <w:spacing w:line="520" w:lineRule="exact"/>
              <w:jc w:val="center"/>
              <w:rPr>
                <w:rFonts w:ascii="宋体" w:hAnsi="宋体"/>
                <w:sz w:val="28"/>
              </w:rPr>
            </w:pPr>
          </w:p>
        </w:tc>
      </w:tr>
    </w:tbl>
    <w:p/>
    <w:p>
      <w:r>
        <w:rPr>
          <w:rFonts w:hint="eastAsia"/>
        </w:rPr>
        <w:t>注：：须按招标文件要求提供</w:t>
      </w:r>
      <w:r>
        <w:rPr>
          <w:rFonts w:hint="eastAsia" w:ascii="宋体" w:hAnsi="宋体"/>
          <w:szCs w:val="21"/>
          <w:u w:val="single"/>
        </w:rPr>
        <w:t>相关证书（扫描件）及近1个月在本单位购买社保的证明（扫描件）。</w:t>
      </w:r>
    </w:p>
    <w:p>
      <w:pPr>
        <w:spacing w:line="360" w:lineRule="auto"/>
        <w:jc w:val="center"/>
        <w:rPr>
          <w:rFonts w:ascii="宋体" w:hAnsi="宋体"/>
          <w:sz w:val="24"/>
        </w:rPr>
        <w:sectPr>
          <w:endnotePr>
            <w:numFmt w:val="decimal"/>
          </w:endnotePr>
          <w:pgSz w:w="11906" w:h="16840"/>
          <w:pgMar w:top="1304" w:right="1417" w:bottom="1417" w:left="1417" w:header="850" w:footer="850" w:gutter="0"/>
          <w:cols w:space="720" w:num="1"/>
          <w:docGrid w:linePitch="312" w:charSpace="0"/>
        </w:sectPr>
      </w:pPr>
    </w:p>
    <w:p>
      <w:pPr>
        <w:pStyle w:val="118"/>
        <w:ind w:left="99" w:leftChars="47"/>
        <w:rPr>
          <w:rFonts w:hAnsi="宋体"/>
          <w:sz w:val="18"/>
          <w:szCs w:val="18"/>
        </w:rPr>
      </w:pPr>
    </w:p>
    <w:p>
      <w:pPr>
        <w:spacing w:line="400" w:lineRule="exact"/>
        <w:rPr>
          <w:rFonts w:ascii="宋体" w:hAnsi="宋体"/>
          <w:b/>
        </w:rPr>
      </w:pPr>
      <w:r>
        <w:rPr>
          <w:rFonts w:hint="eastAsia" w:ascii="宋体" w:hAnsi="宋体"/>
          <w:b/>
          <w:szCs w:val="30"/>
        </w:rPr>
        <w:t>格式八</w:t>
      </w:r>
    </w:p>
    <w:p>
      <w:pPr>
        <w:tabs>
          <w:tab w:val="left" w:pos="3040"/>
        </w:tabs>
        <w:spacing w:line="400" w:lineRule="exact"/>
        <w:jc w:val="center"/>
        <w:rPr>
          <w:rFonts w:ascii="宋体" w:hAnsi="宋体"/>
          <w:b/>
          <w:sz w:val="30"/>
          <w:szCs w:val="30"/>
        </w:rPr>
      </w:pPr>
    </w:p>
    <w:p>
      <w:pPr>
        <w:tabs>
          <w:tab w:val="left" w:pos="3040"/>
        </w:tabs>
        <w:spacing w:line="400" w:lineRule="exact"/>
        <w:jc w:val="center"/>
        <w:rPr>
          <w:rFonts w:ascii="宋体" w:hAnsi="宋体"/>
          <w:b/>
          <w:sz w:val="28"/>
          <w:szCs w:val="30"/>
        </w:rPr>
      </w:pPr>
      <w:r>
        <w:rPr>
          <w:rFonts w:hint="eastAsia" w:ascii="宋体" w:hAnsi="宋体"/>
          <w:b/>
          <w:sz w:val="28"/>
          <w:szCs w:val="30"/>
        </w:rPr>
        <w:t>为完成本工程所需要投入不构成工程实体的施工机械、设备及车辆</w:t>
      </w:r>
    </w:p>
    <w:p>
      <w:pPr>
        <w:tabs>
          <w:tab w:val="left" w:pos="3040"/>
        </w:tabs>
        <w:spacing w:line="400" w:lineRule="exact"/>
        <w:jc w:val="center"/>
        <w:rPr>
          <w:rFonts w:ascii="宋体" w:hAnsi="宋体"/>
          <w:b/>
          <w:sz w:val="28"/>
          <w:szCs w:val="30"/>
        </w:rPr>
      </w:pPr>
      <w:r>
        <w:rPr>
          <w:rFonts w:hint="eastAsia" w:ascii="宋体" w:hAnsi="宋体"/>
          <w:b/>
          <w:sz w:val="28"/>
          <w:szCs w:val="30"/>
        </w:rPr>
        <w:t>一览表</w:t>
      </w:r>
    </w:p>
    <w:p>
      <w:pPr>
        <w:tabs>
          <w:tab w:val="left" w:pos="3040"/>
        </w:tabs>
        <w:spacing w:line="400" w:lineRule="exact"/>
        <w:jc w:val="center"/>
        <w:rPr>
          <w:rFonts w:ascii="宋体" w:hAnsi="宋体"/>
          <w:b/>
          <w:sz w:val="30"/>
          <w:szCs w:val="30"/>
        </w:rPr>
      </w:pP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280"/>
        <w:gridCol w:w="1203"/>
        <w:gridCol w:w="717"/>
        <w:gridCol w:w="740"/>
        <w:gridCol w:w="860"/>
        <w:gridCol w:w="800"/>
        <w:gridCol w:w="800"/>
        <w:gridCol w:w="12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80" w:type="dxa"/>
            <w:vAlign w:val="center"/>
          </w:tcPr>
          <w:p>
            <w:pPr>
              <w:spacing w:line="400" w:lineRule="exact"/>
              <w:jc w:val="center"/>
              <w:rPr>
                <w:rFonts w:ascii="宋体" w:hAnsi="宋体"/>
                <w:b/>
                <w:szCs w:val="21"/>
              </w:rPr>
            </w:pPr>
            <w:r>
              <w:rPr>
                <w:rFonts w:hint="eastAsia" w:ascii="宋体" w:hAnsi="宋体"/>
                <w:b/>
                <w:szCs w:val="21"/>
              </w:rPr>
              <w:t>序号</w:t>
            </w:r>
          </w:p>
        </w:tc>
        <w:tc>
          <w:tcPr>
            <w:tcW w:w="1280" w:type="dxa"/>
            <w:vAlign w:val="center"/>
          </w:tcPr>
          <w:p>
            <w:pPr>
              <w:spacing w:line="400" w:lineRule="exact"/>
              <w:jc w:val="center"/>
              <w:rPr>
                <w:rFonts w:ascii="宋体" w:hAnsi="宋体"/>
                <w:b/>
                <w:szCs w:val="21"/>
              </w:rPr>
            </w:pPr>
            <w:r>
              <w:rPr>
                <w:rFonts w:hint="eastAsia" w:ascii="宋体" w:hAnsi="宋体"/>
                <w:b/>
                <w:szCs w:val="21"/>
              </w:rPr>
              <w:t>设备名称</w:t>
            </w:r>
          </w:p>
        </w:tc>
        <w:tc>
          <w:tcPr>
            <w:tcW w:w="1203" w:type="dxa"/>
            <w:vAlign w:val="center"/>
          </w:tcPr>
          <w:p>
            <w:pPr>
              <w:spacing w:line="400" w:lineRule="exact"/>
              <w:jc w:val="center"/>
              <w:rPr>
                <w:rFonts w:ascii="宋体" w:hAnsi="宋体"/>
                <w:b/>
                <w:szCs w:val="21"/>
              </w:rPr>
            </w:pPr>
            <w:r>
              <w:rPr>
                <w:rFonts w:hint="eastAsia" w:ascii="宋体" w:hAnsi="宋体"/>
                <w:b/>
                <w:szCs w:val="21"/>
              </w:rPr>
              <w:t>规格型号</w:t>
            </w:r>
          </w:p>
        </w:tc>
        <w:tc>
          <w:tcPr>
            <w:tcW w:w="717" w:type="dxa"/>
            <w:vAlign w:val="center"/>
          </w:tcPr>
          <w:p>
            <w:pPr>
              <w:spacing w:line="400" w:lineRule="exact"/>
              <w:jc w:val="center"/>
              <w:rPr>
                <w:rFonts w:ascii="宋体" w:hAnsi="宋体"/>
                <w:b/>
                <w:szCs w:val="21"/>
              </w:rPr>
            </w:pPr>
            <w:r>
              <w:rPr>
                <w:rFonts w:hint="eastAsia" w:ascii="宋体" w:hAnsi="宋体"/>
                <w:b/>
                <w:szCs w:val="21"/>
              </w:rPr>
              <w:t>产地</w:t>
            </w:r>
          </w:p>
        </w:tc>
        <w:tc>
          <w:tcPr>
            <w:tcW w:w="740" w:type="dxa"/>
            <w:vAlign w:val="center"/>
          </w:tcPr>
          <w:p>
            <w:pPr>
              <w:spacing w:line="400" w:lineRule="exact"/>
              <w:jc w:val="center"/>
              <w:rPr>
                <w:rFonts w:ascii="宋体" w:hAnsi="宋体"/>
                <w:b/>
                <w:szCs w:val="21"/>
              </w:rPr>
            </w:pPr>
            <w:r>
              <w:rPr>
                <w:rFonts w:hint="eastAsia" w:ascii="宋体" w:hAnsi="宋体"/>
                <w:b/>
                <w:szCs w:val="21"/>
              </w:rPr>
              <w:t>数量</w:t>
            </w:r>
          </w:p>
        </w:tc>
        <w:tc>
          <w:tcPr>
            <w:tcW w:w="860" w:type="dxa"/>
            <w:vAlign w:val="center"/>
          </w:tcPr>
          <w:p>
            <w:pPr>
              <w:spacing w:line="400" w:lineRule="exact"/>
              <w:jc w:val="center"/>
              <w:rPr>
                <w:rFonts w:ascii="宋体" w:hAnsi="宋体"/>
                <w:b/>
                <w:szCs w:val="21"/>
              </w:rPr>
            </w:pPr>
            <w:r>
              <w:rPr>
                <w:rFonts w:hint="eastAsia" w:ascii="宋体" w:hAnsi="宋体"/>
                <w:b/>
                <w:szCs w:val="21"/>
              </w:rPr>
              <w:t>出厂</w:t>
            </w:r>
          </w:p>
          <w:p>
            <w:pPr>
              <w:spacing w:line="400" w:lineRule="exact"/>
              <w:jc w:val="center"/>
              <w:rPr>
                <w:rFonts w:ascii="宋体" w:hAnsi="宋体"/>
                <w:b/>
                <w:szCs w:val="21"/>
              </w:rPr>
            </w:pPr>
            <w:r>
              <w:rPr>
                <w:rFonts w:hint="eastAsia" w:ascii="宋体" w:hAnsi="宋体"/>
                <w:b/>
                <w:szCs w:val="21"/>
              </w:rPr>
              <w:t>时间</w:t>
            </w:r>
          </w:p>
        </w:tc>
        <w:tc>
          <w:tcPr>
            <w:tcW w:w="800" w:type="dxa"/>
            <w:vAlign w:val="center"/>
          </w:tcPr>
          <w:p>
            <w:pPr>
              <w:spacing w:line="400" w:lineRule="exact"/>
              <w:jc w:val="center"/>
              <w:rPr>
                <w:rFonts w:ascii="宋体" w:hAnsi="宋体"/>
                <w:b/>
                <w:szCs w:val="21"/>
              </w:rPr>
            </w:pPr>
            <w:r>
              <w:rPr>
                <w:rFonts w:hint="eastAsia" w:ascii="宋体" w:hAnsi="宋体"/>
                <w:b/>
                <w:szCs w:val="21"/>
              </w:rPr>
              <w:t>使用时间</w:t>
            </w:r>
          </w:p>
        </w:tc>
        <w:tc>
          <w:tcPr>
            <w:tcW w:w="800" w:type="dxa"/>
            <w:vAlign w:val="center"/>
          </w:tcPr>
          <w:p>
            <w:pPr>
              <w:spacing w:line="400" w:lineRule="exact"/>
              <w:jc w:val="center"/>
              <w:rPr>
                <w:rFonts w:ascii="宋体" w:hAnsi="宋体"/>
                <w:b/>
                <w:szCs w:val="21"/>
              </w:rPr>
            </w:pPr>
            <w:r>
              <w:rPr>
                <w:rFonts w:hint="eastAsia" w:ascii="宋体" w:hAnsi="宋体"/>
                <w:b/>
                <w:szCs w:val="21"/>
              </w:rPr>
              <w:t>进场时间</w:t>
            </w:r>
          </w:p>
        </w:tc>
        <w:tc>
          <w:tcPr>
            <w:tcW w:w="1220" w:type="dxa"/>
            <w:vAlign w:val="center"/>
          </w:tcPr>
          <w:p>
            <w:pPr>
              <w:spacing w:line="400" w:lineRule="exact"/>
              <w:jc w:val="center"/>
              <w:rPr>
                <w:rFonts w:ascii="宋体" w:hAnsi="宋体"/>
                <w:b/>
                <w:szCs w:val="21"/>
              </w:rPr>
            </w:pPr>
            <w:r>
              <w:rPr>
                <w:rFonts w:hint="eastAsia" w:ascii="宋体" w:hAnsi="宋体"/>
                <w:b/>
                <w:szCs w:val="21"/>
              </w:rPr>
              <w:t>自有/租赁</w:t>
            </w:r>
          </w:p>
        </w:tc>
        <w:tc>
          <w:tcPr>
            <w:tcW w:w="1260" w:type="dxa"/>
            <w:vAlign w:val="center"/>
          </w:tcPr>
          <w:p>
            <w:pPr>
              <w:spacing w:line="400" w:lineRule="exact"/>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Pr>
          <w:p>
            <w:pPr>
              <w:spacing w:line="400" w:lineRule="exact"/>
              <w:rPr>
                <w:rFonts w:ascii="宋体" w:hAnsi="宋体"/>
                <w:sz w:val="28"/>
              </w:rPr>
            </w:pPr>
          </w:p>
        </w:tc>
        <w:tc>
          <w:tcPr>
            <w:tcW w:w="1280" w:type="dxa"/>
          </w:tcPr>
          <w:p>
            <w:pPr>
              <w:spacing w:line="400" w:lineRule="exact"/>
              <w:rPr>
                <w:rFonts w:ascii="宋体" w:hAnsi="宋体"/>
                <w:sz w:val="28"/>
              </w:rPr>
            </w:pPr>
          </w:p>
        </w:tc>
        <w:tc>
          <w:tcPr>
            <w:tcW w:w="1203" w:type="dxa"/>
          </w:tcPr>
          <w:p>
            <w:pPr>
              <w:spacing w:line="400" w:lineRule="exact"/>
              <w:rPr>
                <w:rFonts w:ascii="宋体" w:hAnsi="宋体"/>
                <w:sz w:val="28"/>
              </w:rPr>
            </w:pPr>
          </w:p>
        </w:tc>
        <w:tc>
          <w:tcPr>
            <w:tcW w:w="717" w:type="dxa"/>
          </w:tcPr>
          <w:p>
            <w:pPr>
              <w:spacing w:line="400" w:lineRule="exact"/>
              <w:rPr>
                <w:rFonts w:ascii="宋体" w:hAnsi="宋体"/>
                <w:sz w:val="28"/>
              </w:rPr>
            </w:pPr>
          </w:p>
        </w:tc>
        <w:tc>
          <w:tcPr>
            <w:tcW w:w="740" w:type="dxa"/>
          </w:tcPr>
          <w:p>
            <w:pPr>
              <w:spacing w:line="400" w:lineRule="exact"/>
              <w:rPr>
                <w:rFonts w:ascii="宋体" w:hAnsi="宋体"/>
                <w:sz w:val="28"/>
              </w:rPr>
            </w:pPr>
          </w:p>
        </w:tc>
        <w:tc>
          <w:tcPr>
            <w:tcW w:w="860" w:type="dxa"/>
          </w:tcPr>
          <w:p>
            <w:pPr>
              <w:spacing w:line="400" w:lineRule="exact"/>
              <w:ind w:left="8000"/>
            </w:pPr>
          </w:p>
        </w:tc>
        <w:tc>
          <w:tcPr>
            <w:tcW w:w="800" w:type="dxa"/>
          </w:tcPr>
          <w:p>
            <w:pPr>
              <w:spacing w:line="400" w:lineRule="exact"/>
              <w:rPr>
                <w:rFonts w:ascii="宋体" w:hAnsi="宋体"/>
                <w:sz w:val="28"/>
              </w:rPr>
            </w:pPr>
          </w:p>
        </w:tc>
        <w:tc>
          <w:tcPr>
            <w:tcW w:w="800" w:type="dxa"/>
          </w:tcPr>
          <w:p>
            <w:pPr>
              <w:spacing w:line="400" w:lineRule="exact"/>
              <w:rPr>
                <w:rFonts w:ascii="宋体" w:hAnsi="宋体"/>
                <w:sz w:val="28"/>
              </w:rPr>
            </w:pPr>
          </w:p>
        </w:tc>
        <w:tc>
          <w:tcPr>
            <w:tcW w:w="1220" w:type="dxa"/>
          </w:tcPr>
          <w:p>
            <w:pPr>
              <w:spacing w:line="400" w:lineRule="exact"/>
              <w:rPr>
                <w:rFonts w:ascii="宋体" w:hAnsi="宋体"/>
                <w:sz w:val="28"/>
              </w:rPr>
            </w:pPr>
          </w:p>
        </w:tc>
        <w:tc>
          <w:tcPr>
            <w:tcW w:w="1260" w:type="dxa"/>
          </w:tcPr>
          <w:p>
            <w:pPr>
              <w:spacing w:line="400" w:lineRule="exac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Pr>
          <w:p>
            <w:pPr>
              <w:spacing w:line="400" w:lineRule="exact"/>
              <w:rPr>
                <w:rFonts w:ascii="宋体" w:hAnsi="宋体"/>
                <w:sz w:val="28"/>
              </w:rPr>
            </w:pPr>
          </w:p>
        </w:tc>
        <w:tc>
          <w:tcPr>
            <w:tcW w:w="1280" w:type="dxa"/>
          </w:tcPr>
          <w:p>
            <w:pPr>
              <w:spacing w:line="400" w:lineRule="exact"/>
              <w:rPr>
                <w:rFonts w:ascii="宋体" w:hAnsi="宋体"/>
                <w:sz w:val="28"/>
              </w:rPr>
            </w:pPr>
          </w:p>
        </w:tc>
        <w:tc>
          <w:tcPr>
            <w:tcW w:w="1203" w:type="dxa"/>
          </w:tcPr>
          <w:p>
            <w:pPr>
              <w:spacing w:line="400" w:lineRule="exact"/>
              <w:rPr>
                <w:rFonts w:ascii="宋体" w:hAnsi="宋体"/>
                <w:sz w:val="28"/>
              </w:rPr>
            </w:pPr>
          </w:p>
        </w:tc>
        <w:tc>
          <w:tcPr>
            <w:tcW w:w="717" w:type="dxa"/>
          </w:tcPr>
          <w:p>
            <w:pPr>
              <w:spacing w:line="400" w:lineRule="exact"/>
              <w:ind w:left="8000"/>
            </w:pPr>
          </w:p>
        </w:tc>
        <w:tc>
          <w:tcPr>
            <w:tcW w:w="740" w:type="dxa"/>
          </w:tcPr>
          <w:p>
            <w:pPr>
              <w:spacing w:line="400" w:lineRule="exact"/>
              <w:rPr>
                <w:rFonts w:ascii="宋体" w:hAnsi="宋体"/>
                <w:sz w:val="28"/>
              </w:rPr>
            </w:pPr>
          </w:p>
        </w:tc>
        <w:tc>
          <w:tcPr>
            <w:tcW w:w="860" w:type="dxa"/>
          </w:tcPr>
          <w:p>
            <w:pPr>
              <w:spacing w:line="400" w:lineRule="exact"/>
              <w:rPr>
                <w:rFonts w:ascii="宋体" w:hAnsi="宋体"/>
                <w:sz w:val="28"/>
              </w:rPr>
            </w:pPr>
          </w:p>
        </w:tc>
        <w:tc>
          <w:tcPr>
            <w:tcW w:w="800" w:type="dxa"/>
          </w:tcPr>
          <w:p>
            <w:pPr>
              <w:spacing w:line="400" w:lineRule="exact"/>
              <w:rPr>
                <w:rFonts w:ascii="宋体" w:hAnsi="宋体"/>
                <w:sz w:val="28"/>
              </w:rPr>
            </w:pPr>
          </w:p>
        </w:tc>
        <w:tc>
          <w:tcPr>
            <w:tcW w:w="800" w:type="dxa"/>
          </w:tcPr>
          <w:p>
            <w:pPr>
              <w:spacing w:line="400" w:lineRule="exact"/>
              <w:rPr>
                <w:rFonts w:ascii="宋体" w:hAnsi="宋体"/>
                <w:sz w:val="28"/>
              </w:rPr>
            </w:pPr>
          </w:p>
        </w:tc>
        <w:tc>
          <w:tcPr>
            <w:tcW w:w="1220" w:type="dxa"/>
          </w:tcPr>
          <w:p>
            <w:pPr>
              <w:spacing w:line="400" w:lineRule="exact"/>
              <w:rPr>
                <w:rFonts w:ascii="宋体" w:hAnsi="宋体"/>
                <w:sz w:val="28"/>
              </w:rPr>
            </w:pPr>
          </w:p>
        </w:tc>
        <w:tc>
          <w:tcPr>
            <w:tcW w:w="1260" w:type="dxa"/>
          </w:tcPr>
          <w:p>
            <w:pPr>
              <w:spacing w:line="400" w:lineRule="exac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Pr>
          <w:p>
            <w:pPr>
              <w:spacing w:line="400" w:lineRule="exact"/>
              <w:rPr>
                <w:rFonts w:ascii="宋体" w:hAnsi="宋体"/>
                <w:sz w:val="28"/>
              </w:rPr>
            </w:pPr>
          </w:p>
        </w:tc>
        <w:tc>
          <w:tcPr>
            <w:tcW w:w="1280" w:type="dxa"/>
          </w:tcPr>
          <w:p>
            <w:pPr>
              <w:spacing w:line="400" w:lineRule="exact"/>
              <w:rPr>
                <w:rFonts w:ascii="宋体" w:hAnsi="宋体"/>
                <w:sz w:val="28"/>
              </w:rPr>
            </w:pPr>
          </w:p>
        </w:tc>
        <w:tc>
          <w:tcPr>
            <w:tcW w:w="1203" w:type="dxa"/>
          </w:tcPr>
          <w:p>
            <w:pPr>
              <w:spacing w:line="400" w:lineRule="exact"/>
              <w:rPr>
                <w:rFonts w:ascii="宋体" w:hAnsi="宋体"/>
                <w:sz w:val="28"/>
              </w:rPr>
            </w:pPr>
          </w:p>
        </w:tc>
        <w:tc>
          <w:tcPr>
            <w:tcW w:w="717" w:type="dxa"/>
          </w:tcPr>
          <w:p>
            <w:pPr>
              <w:spacing w:line="400" w:lineRule="exact"/>
              <w:ind w:left="8000"/>
            </w:pPr>
          </w:p>
        </w:tc>
        <w:tc>
          <w:tcPr>
            <w:tcW w:w="740" w:type="dxa"/>
          </w:tcPr>
          <w:p>
            <w:pPr>
              <w:spacing w:line="400" w:lineRule="exact"/>
              <w:rPr>
                <w:rFonts w:ascii="宋体" w:hAnsi="宋体"/>
                <w:sz w:val="28"/>
              </w:rPr>
            </w:pPr>
          </w:p>
        </w:tc>
        <w:tc>
          <w:tcPr>
            <w:tcW w:w="860" w:type="dxa"/>
          </w:tcPr>
          <w:p>
            <w:pPr>
              <w:spacing w:line="400" w:lineRule="exact"/>
              <w:rPr>
                <w:rFonts w:ascii="宋体" w:hAnsi="宋体"/>
                <w:sz w:val="28"/>
              </w:rPr>
            </w:pPr>
          </w:p>
        </w:tc>
        <w:tc>
          <w:tcPr>
            <w:tcW w:w="800" w:type="dxa"/>
          </w:tcPr>
          <w:p>
            <w:pPr>
              <w:spacing w:line="400" w:lineRule="exact"/>
              <w:rPr>
                <w:rFonts w:ascii="宋体" w:hAnsi="宋体"/>
                <w:sz w:val="28"/>
              </w:rPr>
            </w:pPr>
          </w:p>
        </w:tc>
        <w:tc>
          <w:tcPr>
            <w:tcW w:w="800" w:type="dxa"/>
          </w:tcPr>
          <w:p>
            <w:pPr>
              <w:spacing w:line="400" w:lineRule="exact"/>
              <w:rPr>
                <w:rFonts w:ascii="宋体" w:hAnsi="宋体"/>
                <w:sz w:val="28"/>
              </w:rPr>
            </w:pPr>
          </w:p>
        </w:tc>
        <w:tc>
          <w:tcPr>
            <w:tcW w:w="1220" w:type="dxa"/>
          </w:tcPr>
          <w:p>
            <w:pPr>
              <w:spacing w:line="400" w:lineRule="exact"/>
              <w:rPr>
                <w:rFonts w:ascii="宋体" w:hAnsi="宋体"/>
                <w:sz w:val="28"/>
              </w:rPr>
            </w:pPr>
          </w:p>
        </w:tc>
        <w:tc>
          <w:tcPr>
            <w:tcW w:w="1260" w:type="dxa"/>
          </w:tcPr>
          <w:p>
            <w:pPr>
              <w:spacing w:line="400" w:lineRule="exac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Pr>
          <w:p>
            <w:pPr>
              <w:spacing w:line="400" w:lineRule="exact"/>
              <w:rPr>
                <w:rFonts w:ascii="宋体" w:hAnsi="宋体"/>
                <w:sz w:val="28"/>
              </w:rPr>
            </w:pPr>
          </w:p>
        </w:tc>
        <w:tc>
          <w:tcPr>
            <w:tcW w:w="1280" w:type="dxa"/>
          </w:tcPr>
          <w:p>
            <w:pPr>
              <w:spacing w:line="400" w:lineRule="exact"/>
              <w:rPr>
                <w:rFonts w:ascii="宋体" w:hAnsi="宋体"/>
                <w:sz w:val="28"/>
              </w:rPr>
            </w:pPr>
          </w:p>
        </w:tc>
        <w:tc>
          <w:tcPr>
            <w:tcW w:w="1203" w:type="dxa"/>
          </w:tcPr>
          <w:p>
            <w:pPr>
              <w:spacing w:line="400" w:lineRule="exact"/>
              <w:rPr>
                <w:rFonts w:ascii="宋体" w:hAnsi="宋体"/>
                <w:sz w:val="28"/>
              </w:rPr>
            </w:pPr>
          </w:p>
        </w:tc>
        <w:tc>
          <w:tcPr>
            <w:tcW w:w="717" w:type="dxa"/>
          </w:tcPr>
          <w:p>
            <w:pPr>
              <w:spacing w:line="400" w:lineRule="exact"/>
              <w:ind w:left="8000"/>
            </w:pPr>
          </w:p>
        </w:tc>
        <w:tc>
          <w:tcPr>
            <w:tcW w:w="740" w:type="dxa"/>
          </w:tcPr>
          <w:p>
            <w:pPr>
              <w:spacing w:line="400" w:lineRule="exact"/>
              <w:rPr>
                <w:rFonts w:ascii="宋体" w:hAnsi="宋体"/>
                <w:sz w:val="28"/>
              </w:rPr>
            </w:pPr>
          </w:p>
        </w:tc>
        <w:tc>
          <w:tcPr>
            <w:tcW w:w="860" w:type="dxa"/>
          </w:tcPr>
          <w:p>
            <w:pPr>
              <w:spacing w:line="400" w:lineRule="exact"/>
              <w:rPr>
                <w:rFonts w:ascii="宋体" w:hAnsi="宋体"/>
                <w:sz w:val="28"/>
              </w:rPr>
            </w:pPr>
          </w:p>
        </w:tc>
        <w:tc>
          <w:tcPr>
            <w:tcW w:w="800" w:type="dxa"/>
          </w:tcPr>
          <w:p>
            <w:pPr>
              <w:spacing w:line="400" w:lineRule="exact"/>
              <w:rPr>
                <w:rFonts w:ascii="宋体" w:hAnsi="宋体"/>
                <w:sz w:val="28"/>
              </w:rPr>
            </w:pPr>
          </w:p>
        </w:tc>
        <w:tc>
          <w:tcPr>
            <w:tcW w:w="800" w:type="dxa"/>
          </w:tcPr>
          <w:p>
            <w:pPr>
              <w:spacing w:line="400" w:lineRule="exact"/>
              <w:rPr>
                <w:rFonts w:ascii="宋体" w:hAnsi="宋体"/>
                <w:sz w:val="28"/>
              </w:rPr>
            </w:pPr>
          </w:p>
        </w:tc>
        <w:tc>
          <w:tcPr>
            <w:tcW w:w="1220" w:type="dxa"/>
          </w:tcPr>
          <w:p>
            <w:pPr>
              <w:spacing w:line="400" w:lineRule="exact"/>
              <w:rPr>
                <w:rFonts w:ascii="宋体" w:hAnsi="宋体"/>
                <w:sz w:val="28"/>
              </w:rPr>
            </w:pPr>
          </w:p>
        </w:tc>
        <w:tc>
          <w:tcPr>
            <w:tcW w:w="1260" w:type="dxa"/>
          </w:tcPr>
          <w:p>
            <w:pPr>
              <w:spacing w:line="400" w:lineRule="exac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Pr>
          <w:p>
            <w:pPr>
              <w:spacing w:line="400" w:lineRule="exact"/>
              <w:rPr>
                <w:rFonts w:ascii="宋体" w:hAnsi="宋体"/>
                <w:sz w:val="28"/>
              </w:rPr>
            </w:pPr>
          </w:p>
        </w:tc>
        <w:tc>
          <w:tcPr>
            <w:tcW w:w="1280" w:type="dxa"/>
          </w:tcPr>
          <w:p>
            <w:pPr>
              <w:spacing w:line="400" w:lineRule="exact"/>
              <w:rPr>
                <w:rFonts w:ascii="宋体" w:hAnsi="宋体"/>
                <w:sz w:val="28"/>
              </w:rPr>
            </w:pPr>
          </w:p>
        </w:tc>
        <w:tc>
          <w:tcPr>
            <w:tcW w:w="1203" w:type="dxa"/>
          </w:tcPr>
          <w:p>
            <w:pPr>
              <w:spacing w:line="400" w:lineRule="exact"/>
              <w:rPr>
                <w:rFonts w:ascii="宋体" w:hAnsi="宋体"/>
                <w:sz w:val="28"/>
              </w:rPr>
            </w:pPr>
          </w:p>
        </w:tc>
        <w:tc>
          <w:tcPr>
            <w:tcW w:w="717" w:type="dxa"/>
          </w:tcPr>
          <w:p>
            <w:pPr>
              <w:spacing w:line="400" w:lineRule="exact"/>
              <w:ind w:left="8000"/>
            </w:pPr>
          </w:p>
        </w:tc>
        <w:tc>
          <w:tcPr>
            <w:tcW w:w="740" w:type="dxa"/>
          </w:tcPr>
          <w:p>
            <w:pPr>
              <w:spacing w:line="400" w:lineRule="exact"/>
              <w:rPr>
                <w:rFonts w:ascii="宋体" w:hAnsi="宋体"/>
                <w:sz w:val="28"/>
              </w:rPr>
            </w:pPr>
          </w:p>
        </w:tc>
        <w:tc>
          <w:tcPr>
            <w:tcW w:w="860" w:type="dxa"/>
          </w:tcPr>
          <w:p>
            <w:pPr>
              <w:spacing w:line="400" w:lineRule="exact"/>
              <w:rPr>
                <w:rFonts w:ascii="宋体" w:hAnsi="宋体"/>
                <w:sz w:val="28"/>
              </w:rPr>
            </w:pPr>
          </w:p>
        </w:tc>
        <w:tc>
          <w:tcPr>
            <w:tcW w:w="800" w:type="dxa"/>
          </w:tcPr>
          <w:p>
            <w:pPr>
              <w:spacing w:line="400" w:lineRule="exact"/>
              <w:rPr>
                <w:rFonts w:ascii="宋体" w:hAnsi="宋体"/>
                <w:sz w:val="28"/>
              </w:rPr>
            </w:pPr>
          </w:p>
        </w:tc>
        <w:tc>
          <w:tcPr>
            <w:tcW w:w="800" w:type="dxa"/>
          </w:tcPr>
          <w:p>
            <w:pPr>
              <w:spacing w:line="400" w:lineRule="exact"/>
              <w:rPr>
                <w:rFonts w:ascii="宋体" w:hAnsi="宋体"/>
                <w:sz w:val="28"/>
              </w:rPr>
            </w:pPr>
          </w:p>
        </w:tc>
        <w:tc>
          <w:tcPr>
            <w:tcW w:w="1220" w:type="dxa"/>
          </w:tcPr>
          <w:p>
            <w:pPr>
              <w:spacing w:line="400" w:lineRule="exact"/>
              <w:rPr>
                <w:rFonts w:ascii="宋体" w:hAnsi="宋体"/>
                <w:sz w:val="28"/>
              </w:rPr>
            </w:pPr>
          </w:p>
        </w:tc>
        <w:tc>
          <w:tcPr>
            <w:tcW w:w="1260" w:type="dxa"/>
          </w:tcPr>
          <w:p>
            <w:pPr>
              <w:spacing w:line="400" w:lineRule="exac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Pr>
          <w:p>
            <w:pPr>
              <w:spacing w:line="400" w:lineRule="exact"/>
              <w:rPr>
                <w:rFonts w:ascii="宋体" w:hAnsi="宋体"/>
                <w:sz w:val="28"/>
              </w:rPr>
            </w:pPr>
          </w:p>
        </w:tc>
        <w:tc>
          <w:tcPr>
            <w:tcW w:w="1280" w:type="dxa"/>
          </w:tcPr>
          <w:p>
            <w:pPr>
              <w:spacing w:line="400" w:lineRule="exact"/>
              <w:rPr>
                <w:rFonts w:ascii="宋体" w:hAnsi="宋体"/>
                <w:sz w:val="28"/>
              </w:rPr>
            </w:pPr>
          </w:p>
        </w:tc>
        <w:tc>
          <w:tcPr>
            <w:tcW w:w="1203" w:type="dxa"/>
          </w:tcPr>
          <w:p>
            <w:pPr>
              <w:spacing w:line="400" w:lineRule="exact"/>
              <w:rPr>
                <w:rFonts w:ascii="宋体" w:hAnsi="宋体"/>
                <w:sz w:val="28"/>
              </w:rPr>
            </w:pPr>
          </w:p>
        </w:tc>
        <w:tc>
          <w:tcPr>
            <w:tcW w:w="717" w:type="dxa"/>
          </w:tcPr>
          <w:p>
            <w:pPr>
              <w:spacing w:line="400" w:lineRule="exact"/>
              <w:ind w:left="8000"/>
            </w:pPr>
          </w:p>
        </w:tc>
        <w:tc>
          <w:tcPr>
            <w:tcW w:w="740" w:type="dxa"/>
          </w:tcPr>
          <w:p>
            <w:pPr>
              <w:spacing w:line="400" w:lineRule="exact"/>
              <w:rPr>
                <w:rFonts w:ascii="宋体" w:hAnsi="宋体"/>
                <w:sz w:val="28"/>
              </w:rPr>
            </w:pPr>
          </w:p>
        </w:tc>
        <w:tc>
          <w:tcPr>
            <w:tcW w:w="860" w:type="dxa"/>
          </w:tcPr>
          <w:p>
            <w:pPr>
              <w:spacing w:line="400" w:lineRule="exact"/>
              <w:rPr>
                <w:rFonts w:ascii="宋体" w:hAnsi="宋体"/>
                <w:sz w:val="28"/>
              </w:rPr>
            </w:pPr>
          </w:p>
        </w:tc>
        <w:tc>
          <w:tcPr>
            <w:tcW w:w="800" w:type="dxa"/>
          </w:tcPr>
          <w:p>
            <w:pPr>
              <w:spacing w:line="400" w:lineRule="exact"/>
              <w:rPr>
                <w:rFonts w:ascii="宋体" w:hAnsi="宋体"/>
                <w:sz w:val="28"/>
              </w:rPr>
            </w:pPr>
          </w:p>
        </w:tc>
        <w:tc>
          <w:tcPr>
            <w:tcW w:w="800" w:type="dxa"/>
          </w:tcPr>
          <w:p>
            <w:pPr>
              <w:spacing w:line="400" w:lineRule="exact"/>
              <w:rPr>
                <w:rFonts w:ascii="宋体" w:hAnsi="宋体"/>
                <w:sz w:val="28"/>
              </w:rPr>
            </w:pPr>
          </w:p>
        </w:tc>
        <w:tc>
          <w:tcPr>
            <w:tcW w:w="1220" w:type="dxa"/>
          </w:tcPr>
          <w:p>
            <w:pPr>
              <w:spacing w:line="400" w:lineRule="exact"/>
              <w:rPr>
                <w:rFonts w:ascii="宋体" w:hAnsi="宋体"/>
                <w:sz w:val="28"/>
              </w:rPr>
            </w:pPr>
          </w:p>
        </w:tc>
        <w:tc>
          <w:tcPr>
            <w:tcW w:w="1260" w:type="dxa"/>
          </w:tcPr>
          <w:p>
            <w:pPr>
              <w:spacing w:line="400" w:lineRule="exac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Pr>
          <w:p>
            <w:pPr>
              <w:spacing w:line="400" w:lineRule="exact"/>
              <w:rPr>
                <w:rFonts w:ascii="宋体" w:hAnsi="宋体"/>
                <w:sz w:val="28"/>
              </w:rPr>
            </w:pPr>
          </w:p>
        </w:tc>
        <w:tc>
          <w:tcPr>
            <w:tcW w:w="1280" w:type="dxa"/>
          </w:tcPr>
          <w:p>
            <w:pPr>
              <w:spacing w:line="400" w:lineRule="exact"/>
              <w:rPr>
                <w:rFonts w:ascii="宋体" w:hAnsi="宋体"/>
                <w:sz w:val="28"/>
              </w:rPr>
            </w:pPr>
          </w:p>
        </w:tc>
        <w:tc>
          <w:tcPr>
            <w:tcW w:w="1203" w:type="dxa"/>
          </w:tcPr>
          <w:p>
            <w:pPr>
              <w:spacing w:line="400" w:lineRule="exact"/>
              <w:rPr>
                <w:rFonts w:ascii="宋体" w:hAnsi="宋体"/>
                <w:sz w:val="28"/>
              </w:rPr>
            </w:pPr>
          </w:p>
        </w:tc>
        <w:tc>
          <w:tcPr>
            <w:tcW w:w="717" w:type="dxa"/>
          </w:tcPr>
          <w:p>
            <w:pPr>
              <w:spacing w:line="400" w:lineRule="exact"/>
              <w:ind w:left="8000"/>
            </w:pPr>
          </w:p>
        </w:tc>
        <w:tc>
          <w:tcPr>
            <w:tcW w:w="740" w:type="dxa"/>
          </w:tcPr>
          <w:p>
            <w:pPr>
              <w:spacing w:line="400" w:lineRule="exact"/>
              <w:rPr>
                <w:rFonts w:ascii="宋体" w:hAnsi="宋体"/>
                <w:sz w:val="28"/>
              </w:rPr>
            </w:pPr>
          </w:p>
        </w:tc>
        <w:tc>
          <w:tcPr>
            <w:tcW w:w="860" w:type="dxa"/>
          </w:tcPr>
          <w:p>
            <w:pPr>
              <w:spacing w:line="400" w:lineRule="exact"/>
              <w:rPr>
                <w:rFonts w:ascii="宋体" w:hAnsi="宋体"/>
                <w:sz w:val="28"/>
              </w:rPr>
            </w:pPr>
          </w:p>
        </w:tc>
        <w:tc>
          <w:tcPr>
            <w:tcW w:w="800" w:type="dxa"/>
          </w:tcPr>
          <w:p>
            <w:pPr>
              <w:spacing w:line="400" w:lineRule="exact"/>
              <w:rPr>
                <w:rFonts w:ascii="宋体" w:hAnsi="宋体"/>
                <w:sz w:val="28"/>
              </w:rPr>
            </w:pPr>
          </w:p>
        </w:tc>
        <w:tc>
          <w:tcPr>
            <w:tcW w:w="800" w:type="dxa"/>
          </w:tcPr>
          <w:p>
            <w:pPr>
              <w:spacing w:line="400" w:lineRule="exact"/>
              <w:rPr>
                <w:rFonts w:ascii="宋体" w:hAnsi="宋体"/>
                <w:sz w:val="28"/>
              </w:rPr>
            </w:pPr>
          </w:p>
        </w:tc>
        <w:tc>
          <w:tcPr>
            <w:tcW w:w="1220" w:type="dxa"/>
          </w:tcPr>
          <w:p>
            <w:pPr>
              <w:spacing w:line="400" w:lineRule="exact"/>
              <w:rPr>
                <w:rFonts w:ascii="宋体" w:hAnsi="宋体"/>
                <w:sz w:val="28"/>
              </w:rPr>
            </w:pPr>
          </w:p>
        </w:tc>
        <w:tc>
          <w:tcPr>
            <w:tcW w:w="1260" w:type="dxa"/>
          </w:tcPr>
          <w:p>
            <w:pPr>
              <w:spacing w:line="400" w:lineRule="exac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Pr>
          <w:p>
            <w:pPr>
              <w:spacing w:line="400" w:lineRule="exact"/>
              <w:rPr>
                <w:rFonts w:ascii="宋体" w:hAnsi="宋体"/>
                <w:sz w:val="28"/>
              </w:rPr>
            </w:pPr>
          </w:p>
        </w:tc>
        <w:tc>
          <w:tcPr>
            <w:tcW w:w="1280" w:type="dxa"/>
          </w:tcPr>
          <w:p>
            <w:pPr>
              <w:spacing w:line="400" w:lineRule="exact"/>
              <w:rPr>
                <w:rFonts w:ascii="宋体" w:hAnsi="宋体"/>
                <w:sz w:val="28"/>
              </w:rPr>
            </w:pPr>
          </w:p>
        </w:tc>
        <w:tc>
          <w:tcPr>
            <w:tcW w:w="1203" w:type="dxa"/>
          </w:tcPr>
          <w:p>
            <w:pPr>
              <w:spacing w:line="400" w:lineRule="exact"/>
              <w:rPr>
                <w:rFonts w:ascii="宋体" w:hAnsi="宋体"/>
                <w:sz w:val="28"/>
              </w:rPr>
            </w:pPr>
          </w:p>
        </w:tc>
        <w:tc>
          <w:tcPr>
            <w:tcW w:w="717" w:type="dxa"/>
          </w:tcPr>
          <w:p>
            <w:pPr>
              <w:spacing w:line="400" w:lineRule="exact"/>
              <w:ind w:left="8000"/>
            </w:pPr>
          </w:p>
        </w:tc>
        <w:tc>
          <w:tcPr>
            <w:tcW w:w="740" w:type="dxa"/>
          </w:tcPr>
          <w:p>
            <w:pPr>
              <w:spacing w:line="400" w:lineRule="exact"/>
              <w:rPr>
                <w:rFonts w:ascii="宋体" w:hAnsi="宋体"/>
                <w:sz w:val="28"/>
              </w:rPr>
            </w:pPr>
          </w:p>
        </w:tc>
        <w:tc>
          <w:tcPr>
            <w:tcW w:w="860" w:type="dxa"/>
          </w:tcPr>
          <w:p>
            <w:pPr>
              <w:spacing w:line="400" w:lineRule="exact"/>
              <w:rPr>
                <w:rFonts w:ascii="宋体" w:hAnsi="宋体"/>
                <w:sz w:val="28"/>
              </w:rPr>
            </w:pPr>
          </w:p>
        </w:tc>
        <w:tc>
          <w:tcPr>
            <w:tcW w:w="800" w:type="dxa"/>
          </w:tcPr>
          <w:p>
            <w:pPr>
              <w:spacing w:line="400" w:lineRule="exact"/>
              <w:rPr>
                <w:rFonts w:ascii="宋体" w:hAnsi="宋体"/>
                <w:sz w:val="28"/>
              </w:rPr>
            </w:pPr>
          </w:p>
        </w:tc>
        <w:tc>
          <w:tcPr>
            <w:tcW w:w="800" w:type="dxa"/>
          </w:tcPr>
          <w:p>
            <w:pPr>
              <w:spacing w:line="400" w:lineRule="exact"/>
              <w:rPr>
                <w:rFonts w:ascii="宋体" w:hAnsi="宋体"/>
                <w:sz w:val="28"/>
              </w:rPr>
            </w:pPr>
          </w:p>
        </w:tc>
        <w:tc>
          <w:tcPr>
            <w:tcW w:w="1220" w:type="dxa"/>
          </w:tcPr>
          <w:p>
            <w:pPr>
              <w:spacing w:line="400" w:lineRule="exact"/>
              <w:rPr>
                <w:rFonts w:ascii="宋体" w:hAnsi="宋体"/>
                <w:sz w:val="28"/>
              </w:rPr>
            </w:pPr>
          </w:p>
        </w:tc>
        <w:tc>
          <w:tcPr>
            <w:tcW w:w="1260" w:type="dxa"/>
          </w:tcPr>
          <w:p>
            <w:pPr>
              <w:spacing w:line="400" w:lineRule="exac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Pr>
          <w:p>
            <w:pPr>
              <w:spacing w:line="400" w:lineRule="exact"/>
              <w:rPr>
                <w:rFonts w:ascii="宋体" w:hAnsi="宋体"/>
                <w:sz w:val="28"/>
              </w:rPr>
            </w:pPr>
          </w:p>
        </w:tc>
        <w:tc>
          <w:tcPr>
            <w:tcW w:w="1280" w:type="dxa"/>
          </w:tcPr>
          <w:p>
            <w:pPr>
              <w:spacing w:line="400" w:lineRule="exact"/>
              <w:rPr>
                <w:rFonts w:ascii="宋体" w:hAnsi="宋体"/>
                <w:sz w:val="28"/>
              </w:rPr>
            </w:pPr>
          </w:p>
        </w:tc>
        <w:tc>
          <w:tcPr>
            <w:tcW w:w="1203" w:type="dxa"/>
          </w:tcPr>
          <w:p>
            <w:pPr>
              <w:spacing w:line="400" w:lineRule="exact"/>
              <w:rPr>
                <w:rFonts w:ascii="宋体" w:hAnsi="宋体"/>
                <w:sz w:val="28"/>
              </w:rPr>
            </w:pPr>
          </w:p>
        </w:tc>
        <w:tc>
          <w:tcPr>
            <w:tcW w:w="717" w:type="dxa"/>
          </w:tcPr>
          <w:p>
            <w:pPr>
              <w:spacing w:line="400" w:lineRule="exact"/>
              <w:ind w:left="8000"/>
            </w:pPr>
          </w:p>
        </w:tc>
        <w:tc>
          <w:tcPr>
            <w:tcW w:w="740" w:type="dxa"/>
          </w:tcPr>
          <w:p>
            <w:pPr>
              <w:spacing w:line="400" w:lineRule="exact"/>
              <w:rPr>
                <w:rFonts w:ascii="宋体" w:hAnsi="宋体"/>
                <w:sz w:val="28"/>
              </w:rPr>
            </w:pPr>
          </w:p>
        </w:tc>
        <w:tc>
          <w:tcPr>
            <w:tcW w:w="860" w:type="dxa"/>
          </w:tcPr>
          <w:p>
            <w:pPr>
              <w:spacing w:line="400" w:lineRule="exact"/>
              <w:rPr>
                <w:rFonts w:ascii="宋体" w:hAnsi="宋体"/>
                <w:sz w:val="28"/>
              </w:rPr>
            </w:pPr>
          </w:p>
        </w:tc>
        <w:tc>
          <w:tcPr>
            <w:tcW w:w="800" w:type="dxa"/>
          </w:tcPr>
          <w:p>
            <w:pPr>
              <w:spacing w:line="400" w:lineRule="exact"/>
              <w:rPr>
                <w:rFonts w:ascii="宋体" w:hAnsi="宋体"/>
                <w:sz w:val="28"/>
              </w:rPr>
            </w:pPr>
          </w:p>
        </w:tc>
        <w:tc>
          <w:tcPr>
            <w:tcW w:w="800" w:type="dxa"/>
          </w:tcPr>
          <w:p>
            <w:pPr>
              <w:spacing w:line="400" w:lineRule="exact"/>
              <w:rPr>
                <w:rFonts w:ascii="宋体" w:hAnsi="宋体"/>
                <w:sz w:val="28"/>
              </w:rPr>
            </w:pPr>
          </w:p>
        </w:tc>
        <w:tc>
          <w:tcPr>
            <w:tcW w:w="1220" w:type="dxa"/>
          </w:tcPr>
          <w:p>
            <w:pPr>
              <w:spacing w:line="400" w:lineRule="exact"/>
              <w:rPr>
                <w:rFonts w:ascii="宋体" w:hAnsi="宋体"/>
                <w:sz w:val="28"/>
              </w:rPr>
            </w:pPr>
          </w:p>
        </w:tc>
        <w:tc>
          <w:tcPr>
            <w:tcW w:w="1260" w:type="dxa"/>
          </w:tcPr>
          <w:p>
            <w:pPr>
              <w:spacing w:line="400" w:lineRule="exac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Pr>
          <w:p>
            <w:pPr>
              <w:spacing w:line="400" w:lineRule="exact"/>
              <w:rPr>
                <w:rFonts w:ascii="宋体" w:hAnsi="宋体"/>
                <w:sz w:val="28"/>
              </w:rPr>
            </w:pPr>
          </w:p>
        </w:tc>
        <w:tc>
          <w:tcPr>
            <w:tcW w:w="1280" w:type="dxa"/>
          </w:tcPr>
          <w:p>
            <w:pPr>
              <w:spacing w:line="400" w:lineRule="exact"/>
              <w:rPr>
                <w:rFonts w:ascii="宋体" w:hAnsi="宋体"/>
                <w:sz w:val="28"/>
              </w:rPr>
            </w:pPr>
          </w:p>
        </w:tc>
        <w:tc>
          <w:tcPr>
            <w:tcW w:w="1203" w:type="dxa"/>
          </w:tcPr>
          <w:p>
            <w:pPr>
              <w:spacing w:line="400" w:lineRule="exact"/>
              <w:rPr>
                <w:rFonts w:ascii="宋体" w:hAnsi="宋体"/>
                <w:sz w:val="28"/>
              </w:rPr>
            </w:pPr>
          </w:p>
        </w:tc>
        <w:tc>
          <w:tcPr>
            <w:tcW w:w="717" w:type="dxa"/>
          </w:tcPr>
          <w:p>
            <w:pPr>
              <w:spacing w:line="400" w:lineRule="exact"/>
              <w:ind w:left="8000"/>
            </w:pPr>
          </w:p>
        </w:tc>
        <w:tc>
          <w:tcPr>
            <w:tcW w:w="740" w:type="dxa"/>
          </w:tcPr>
          <w:p>
            <w:pPr>
              <w:spacing w:line="400" w:lineRule="exact"/>
              <w:rPr>
                <w:rFonts w:ascii="宋体" w:hAnsi="宋体"/>
                <w:sz w:val="28"/>
              </w:rPr>
            </w:pPr>
          </w:p>
        </w:tc>
        <w:tc>
          <w:tcPr>
            <w:tcW w:w="860" w:type="dxa"/>
          </w:tcPr>
          <w:p>
            <w:pPr>
              <w:spacing w:line="400" w:lineRule="exact"/>
              <w:rPr>
                <w:rFonts w:ascii="宋体" w:hAnsi="宋体"/>
                <w:sz w:val="28"/>
              </w:rPr>
            </w:pPr>
          </w:p>
        </w:tc>
        <w:tc>
          <w:tcPr>
            <w:tcW w:w="800" w:type="dxa"/>
          </w:tcPr>
          <w:p>
            <w:pPr>
              <w:spacing w:line="400" w:lineRule="exact"/>
              <w:rPr>
                <w:rFonts w:ascii="宋体" w:hAnsi="宋体"/>
                <w:sz w:val="28"/>
              </w:rPr>
            </w:pPr>
          </w:p>
        </w:tc>
        <w:tc>
          <w:tcPr>
            <w:tcW w:w="800" w:type="dxa"/>
          </w:tcPr>
          <w:p>
            <w:pPr>
              <w:spacing w:line="400" w:lineRule="exact"/>
              <w:rPr>
                <w:rFonts w:ascii="宋体" w:hAnsi="宋体"/>
                <w:sz w:val="28"/>
              </w:rPr>
            </w:pPr>
          </w:p>
        </w:tc>
        <w:tc>
          <w:tcPr>
            <w:tcW w:w="1220" w:type="dxa"/>
          </w:tcPr>
          <w:p>
            <w:pPr>
              <w:spacing w:line="400" w:lineRule="exact"/>
              <w:rPr>
                <w:rFonts w:ascii="宋体" w:hAnsi="宋体"/>
                <w:sz w:val="28"/>
              </w:rPr>
            </w:pPr>
          </w:p>
        </w:tc>
        <w:tc>
          <w:tcPr>
            <w:tcW w:w="1260" w:type="dxa"/>
          </w:tcPr>
          <w:p>
            <w:pPr>
              <w:spacing w:line="400" w:lineRule="exac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Pr>
          <w:p>
            <w:pPr>
              <w:spacing w:line="400" w:lineRule="exact"/>
              <w:rPr>
                <w:rFonts w:ascii="宋体" w:hAnsi="宋体"/>
                <w:sz w:val="28"/>
              </w:rPr>
            </w:pPr>
          </w:p>
        </w:tc>
        <w:tc>
          <w:tcPr>
            <w:tcW w:w="1280" w:type="dxa"/>
          </w:tcPr>
          <w:p>
            <w:pPr>
              <w:spacing w:line="400" w:lineRule="exact"/>
              <w:rPr>
                <w:rFonts w:ascii="宋体" w:hAnsi="宋体"/>
                <w:sz w:val="28"/>
              </w:rPr>
            </w:pPr>
          </w:p>
        </w:tc>
        <w:tc>
          <w:tcPr>
            <w:tcW w:w="1203" w:type="dxa"/>
          </w:tcPr>
          <w:p>
            <w:pPr>
              <w:spacing w:line="400" w:lineRule="exact"/>
              <w:rPr>
                <w:rFonts w:ascii="宋体" w:hAnsi="宋体"/>
                <w:sz w:val="28"/>
              </w:rPr>
            </w:pPr>
          </w:p>
        </w:tc>
        <w:tc>
          <w:tcPr>
            <w:tcW w:w="717" w:type="dxa"/>
          </w:tcPr>
          <w:p>
            <w:pPr>
              <w:spacing w:line="400" w:lineRule="exact"/>
              <w:ind w:left="8000"/>
            </w:pPr>
          </w:p>
        </w:tc>
        <w:tc>
          <w:tcPr>
            <w:tcW w:w="740" w:type="dxa"/>
          </w:tcPr>
          <w:p>
            <w:pPr>
              <w:spacing w:line="400" w:lineRule="exact"/>
              <w:rPr>
                <w:rFonts w:ascii="宋体" w:hAnsi="宋体"/>
                <w:sz w:val="28"/>
              </w:rPr>
            </w:pPr>
          </w:p>
        </w:tc>
        <w:tc>
          <w:tcPr>
            <w:tcW w:w="860" w:type="dxa"/>
          </w:tcPr>
          <w:p>
            <w:pPr>
              <w:spacing w:line="400" w:lineRule="exact"/>
              <w:rPr>
                <w:rFonts w:ascii="宋体" w:hAnsi="宋体"/>
                <w:sz w:val="28"/>
              </w:rPr>
            </w:pPr>
          </w:p>
        </w:tc>
        <w:tc>
          <w:tcPr>
            <w:tcW w:w="800" w:type="dxa"/>
          </w:tcPr>
          <w:p>
            <w:pPr>
              <w:spacing w:line="400" w:lineRule="exact"/>
              <w:rPr>
                <w:rFonts w:ascii="宋体" w:hAnsi="宋体"/>
                <w:sz w:val="28"/>
              </w:rPr>
            </w:pPr>
          </w:p>
        </w:tc>
        <w:tc>
          <w:tcPr>
            <w:tcW w:w="800" w:type="dxa"/>
          </w:tcPr>
          <w:p>
            <w:pPr>
              <w:spacing w:line="400" w:lineRule="exact"/>
              <w:rPr>
                <w:rFonts w:ascii="宋体" w:hAnsi="宋体"/>
                <w:sz w:val="28"/>
              </w:rPr>
            </w:pPr>
          </w:p>
        </w:tc>
        <w:tc>
          <w:tcPr>
            <w:tcW w:w="1220" w:type="dxa"/>
          </w:tcPr>
          <w:p>
            <w:pPr>
              <w:spacing w:line="400" w:lineRule="exact"/>
              <w:rPr>
                <w:rFonts w:ascii="宋体" w:hAnsi="宋体"/>
                <w:sz w:val="28"/>
              </w:rPr>
            </w:pPr>
          </w:p>
        </w:tc>
        <w:tc>
          <w:tcPr>
            <w:tcW w:w="1260" w:type="dxa"/>
          </w:tcPr>
          <w:p>
            <w:pPr>
              <w:spacing w:line="400" w:lineRule="exac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Pr>
          <w:p>
            <w:pPr>
              <w:spacing w:line="400" w:lineRule="exact"/>
              <w:rPr>
                <w:rFonts w:ascii="宋体" w:hAnsi="宋体"/>
                <w:sz w:val="28"/>
              </w:rPr>
            </w:pPr>
          </w:p>
        </w:tc>
        <w:tc>
          <w:tcPr>
            <w:tcW w:w="1280" w:type="dxa"/>
          </w:tcPr>
          <w:p>
            <w:pPr>
              <w:spacing w:line="400" w:lineRule="exact"/>
              <w:rPr>
                <w:rFonts w:ascii="宋体" w:hAnsi="宋体"/>
                <w:sz w:val="28"/>
              </w:rPr>
            </w:pPr>
          </w:p>
        </w:tc>
        <w:tc>
          <w:tcPr>
            <w:tcW w:w="1203" w:type="dxa"/>
          </w:tcPr>
          <w:p>
            <w:pPr>
              <w:spacing w:line="400" w:lineRule="exact"/>
              <w:rPr>
                <w:rFonts w:ascii="宋体" w:hAnsi="宋体"/>
                <w:sz w:val="28"/>
              </w:rPr>
            </w:pPr>
          </w:p>
        </w:tc>
        <w:tc>
          <w:tcPr>
            <w:tcW w:w="717" w:type="dxa"/>
          </w:tcPr>
          <w:p>
            <w:pPr>
              <w:spacing w:line="400" w:lineRule="exact"/>
              <w:ind w:left="8000"/>
            </w:pPr>
          </w:p>
        </w:tc>
        <w:tc>
          <w:tcPr>
            <w:tcW w:w="740" w:type="dxa"/>
          </w:tcPr>
          <w:p>
            <w:pPr>
              <w:spacing w:line="400" w:lineRule="exact"/>
              <w:rPr>
                <w:rFonts w:ascii="宋体" w:hAnsi="宋体"/>
                <w:sz w:val="28"/>
              </w:rPr>
            </w:pPr>
          </w:p>
        </w:tc>
        <w:tc>
          <w:tcPr>
            <w:tcW w:w="860" w:type="dxa"/>
          </w:tcPr>
          <w:p>
            <w:pPr>
              <w:spacing w:line="400" w:lineRule="exact"/>
              <w:rPr>
                <w:rFonts w:ascii="宋体" w:hAnsi="宋体"/>
                <w:sz w:val="28"/>
              </w:rPr>
            </w:pPr>
          </w:p>
        </w:tc>
        <w:tc>
          <w:tcPr>
            <w:tcW w:w="800" w:type="dxa"/>
          </w:tcPr>
          <w:p>
            <w:pPr>
              <w:spacing w:line="400" w:lineRule="exact"/>
              <w:rPr>
                <w:rFonts w:ascii="宋体" w:hAnsi="宋体"/>
                <w:sz w:val="28"/>
              </w:rPr>
            </w:pPr>
          </w:p>
        </w:tc>
        <w:tc>
          <w:tcPr>
            <w:tcW w:w="800" w:type="dxa"/>
          </w:tcPr>
          <w:p>
            <w:pPr>
              <w:spacing w:line="400" w:lineRule="exact"/>
              <w:rPr>
                <w:rFonts w:ascii="宋体" w:hAnsi="宋体"/>
                <w:sz w:val="28"/>
              </w:rPr>
            </w:pPr>
          </w:p>
        </w:tc>
        <w:tc>
          <w:tcPr>
            <w:tcW w:w="1220" w:type="dxa"/>
          </w:tcPr>
          <w:p>
            <w:pPr>
              <w:spacing w:line="400" w:lineRule="exact"/>
              <w:rPr>
                <w:rFonts w:ascii="宋体" w:hAnsi="宋体"/>
                <w:sz w:val="28"/>
              </w:rPr>
            </w:pPr>
          </w:p>
        </w:tc>
        <w:tc>
          <w:tcPr>
            <w:tcW w:w="1260" w:type="dxa"/>
          </w:tcPr>
          <w:p>
            <w:pPr>
              <w:spacing w:line="400" w:lineRule="exac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Pr>
          <w:p>
            <w:pPr>
              <w:spacing w:line="400" w:lineRule="exact"/>
              <w:rPr>
                <w:rFonts w:ascii="宋体" w:hAnsi="宋体"/>
                <w:sz w:val="28"/>
              </w:rPr>
            </w:pPr>
          </w:p>
        </w:tc>
        <w:tc>
          <w:tcPr>
            <w:tcW w:w="1280" w:type="dxa"/>
          </w:tcPr>
          <w:p>
            <w:pPr>
              <w:spacing w:line="400" w:lineRule="exact"/>
              <w:rPr>
                <w:rFonts w:ascii="宋体" w:hAnsi="宋体"/>
                <w:sz w:val="28"/>
              </w:rPr>
            </w:pPr>
          </w:p>
        </w:tc>
        <w:tc>
          <w:tcPr>
            <w:tcW w:w="1203" w:type="dxa"/>
          </w:tcPr>
          <w:p>
            <w:pPr>
              <w:spacing w:line="400" w:lineRule="exact"/>
              <w:rPr>
                <w:rFonts w:ascii="宋体" w:hAnsi="宋体"/>
                <w:sz w:val="28"/>
              </w:rPr>
            </w:pPr>
          </w:p>
        </w:tc>
        <w:tc>
          <w:tcPr>
            <w:tcW w:w="717" w:type="dxa"/>
          </w:tcPr>
          <w:p>
            <w:pPr>
              <w:spacing w:line="400" w:lineRule="exact"/>
              <w:ind w:left="8000"/>
            </w:pPr>
          </w:p>
        </w:tc>
        <w:tc>
          <w:tcPr>
            <w:tcW w:w="740" w:type="dxa"/>
          </w:tcPr>
          <w:p>
            <w:pPr>
              <w:spacing w:line="400" w:lineRule="exact"/>
              <w:rPr>
                <w:rFonts w:ascii="宋体" w:hAnsi="宋体"/>
                <w:sz w:val="28"/>
              </w:rPr>
            </w:pPr>
          </w:p>
        </w:tc>
        <w:tc>
          <w:tcPr>
            <w:tcW w:w="860" w:type="dxa"/>
          </w:tcPr>
          <w:p>
            <w:pPr>
              <w:spacing w:line="400" w:lineRule="exact"/>
              <w:rPr>
                <w:rFonts w:ascii="宋体" w:hAnsi="宋体"/>
                <w:sz w:val="28"/>
              </w:rPr>
            </w:pPr>
          </w:p>
        </w:tc>
        <w:tc>
          <w:tcPr>
            <w:tcW w:w="800" w:type="dxa"/>
          </w:tcPr>
          <w:p>
            <w:pPr>
              <w:spacing w:line="400" w:lineRule="exact"/>
              <w:rPr>
                <w:rFonts w:ascii="宋体" w:hAnsi="宋体"/>
                <w:sz w:val="28"/>
              </w:rPr>
            </w:pPr>
          </w:p>
        </w:tc>
        <w:tc>
          <w:tcPr>
            <w:tcW w:w="800" w:type="dxa"/>
          </w:tcPr>
          <w:p>
            <w:pPr>
              <w:spacing w:line="400" w:lineRule="exact"/>
              <w:rPr>
                <w:rFonts w:ascii="宋体" w:hAnsi="宋体"/>
                <w:sz w:val="28"/>
              </w:rPr>
            </w:pPr>
          </w:p>
        </w:tc>
        <w:tc>
          <w:tcPr>
            <w:tcW w:w="1220" w:type="dxa"/>
          </w:tcPr>
          <w:p>
            <w:pPr>
              <w:spacing w:line="400" w:lineRule="exact"/>
              <w:rPr>
                <w:rFonts w:ascii="宋体" w:hAnsi="宋体"/>
                <w:sz w:val="28"/>
              </w:rPr>
            </w:pPr>
          </w:p>
        </w:tc>
        <w:tc>
          <w:tcPr>
            <w:tcW w:w="1260" w:type="dxa"/>
          </w:tcPr>
          <w:p>
            <w:pPr>
              <w:spacing w:line="400" w:lineRule="exac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Pr>
          <w:p>
            <w:pPr>
              <w:spacing w:line="400" w:lineRule="exact"/>
              <w:rPr>
                <w:rFonts w:ascii="宋体" w:hAnsi="宋体"/>
                <w:sz w:val="28"/>
              </w:rPr>
            </w:pPr>
          </w:p>
        </w:tc>
        <w:tc>
          <w:tcPr>
            <w:tcW w:w="1280" w:type="dxa"/>
          </w:tcPr>
          <w:p>
            <w:pPr>
              <w:spacing w:line="400" w:lineRule="exact"/>
              <w:rPr>
                <w:rFonts w:ascii="宋体" w:hAnsi="宋体"/>
                <w:sz w:val="28"/>
              </w:rPr>
            </w:pPr>
          </w:p>
        </w:tc>
        <w:tc>
          <w:tcPr>
            <w:tcW w:w="1203" w:type="dxa"/>
          </w:tcPr>
          <w:p>
            <w:pPr>
              <w:spacing w:line="400" w:lineRule="exact"/>
              <w:rPr>
                <w:rFonts w:ascii="宋体" w:hAnsi="宋体"/>
                <w:sz w:val="28"/>
              </w:rPr>
            </w:pPr>
          </w:p>
        </w:tc>
        <w:tc>
          <w:tcPr>
            <w:tcW w:w="717" w:type="dxa"/>
          </w:tcPr>
          <w:p>
            <w:pPr>
              <w:spacing w:line="400" w:lineRule="exact"/>
              <w:ind w:left="8000"/>
            </w:pPr>
          </w:p>
        </w:tc>
        <w:tc>
          <w:tcPr>
            <w:tcW w:w="740" w:type="dxa"/>
          </w:tcPr>
          <w:p>
            <w:pPr>
              <w:spacing w:line="400" w:lineRule="exact"/>
              <w:rPr>
                <w:rFonts w:ascii="宋体" w:hAnsi="宋体"/>
                <w:sz w:val="28"/>
              </w:rPr>
            </w:pPr>
          </w:p>
        </w:tc>
        <w:tc>
          <w:tcPr>
            <w:tcW w:w="860" w:type="dxa"/>
          </w:tcPr>
          <w:p>
            <w:pPr>
              <w:spacing w:line="400" w:lineRule="exact"/>
              <w:rPr>
                <w:rFonts w:ascii="宋体" w:hAnsi="宋体"/>
                <w:sz w:val="28"/>
              </w:rPr>
            </w:pPr>
          </w:p>
        </w:tc>
        <w:tc>
          <w:tcPr>
            <w:tcW w:w="800" w:type="dxa"/>
          </w:tcPr>
          <w:p>
            <w:pPr>
              <w:spacing w:line="400" w:lineRule="exact"/>
              <w:rPr>
                <w:rFonts w:ascii="宋体" w:hAnsi="宋体"/>
                <w:sz w:val="28"/>
              </w:rPr>
            </w:pPr>
          </w:p>
        </w:tc>
        <w:tc>
          <w:tcPr>
            <w:tcW w:w="800" w:type="dxa"/>
          </w:tcPr>
          <w:p>
            <w:pPr>
              <w:spacing w:line="400" w:lineRule="exact"/>
              <w:rPr>
                <w:rFonts w:ascii="宋体" w:hAnsi="宋体"/>
                <w:sz w:val="28"/>
              </w:rPr>
            </w:pPr>
          </w:p>
        </w:tc>
        <w:tc>
          <w:tcPr>
            <w:tcW w:w="1220" w:type="dxa"/>
          </w:tcPr>
          <w:p>
            <w:pPr>
              <w:spacing w:line="400" w:lineRule="exact"/>
              <w:rPr>
                <w:rFonts w:ascii="宋体" w:hAnsi="宋体"/>
                <w:sz w:val="28"/>
              </w:rPr>
            </w:pPr>
          </w:p>
        </w:tc>
        <w:tc>
          <w:tcPr>
            <w:tcW w:w="1260" w:type="dxa"/>
          </w:tcPr>
          <w:p>
            <w:pPr>
              <w:spacing w:line="400" w:lineRule="exac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Pr>
          <w:p>
            <w:pPr>
              <w:spacing w:line="400" w:lineRule="exact"/>
              <w:rPr>
                <w:rFonts w:ascii="宋体" w:hAnsi="宋体"/>
                <w:sz w:val="28"/>
              </w:rPr>
            </w:pPr>
          </w:p>
        </w:tc>
        <w:tc>
          <w:tcPr>
            <w:tcW w:w="1280" w:type="dxa"/>
          </w:tcPr>
          <w:p>
            <w:pPr>
              <w:spacing w:line="400" w:lineRule="exact"/>
              <w:rPr>
                <w:rFonts w:ascii="宋体" w:hAnsi="宋体"/>
                <w:sz w:val="28"/>
              </w:rPr>
            </w:pPr>
          </w:p>
        </w:tc>
        <w:tc>
          <w:tcPr>
            <w:tcW w:w="1203" w:type="dxa"/>
          </w:tcPr>
          <w:p>
            <w:pPr>
              <w:spacing w:line="400" w:lineRule="exact"/>
              <w:rPr>
                <w:rFonts w:ascii="宋体" w:hAnsi="宋体"/>
                <w:sz w:val="28"/>
              </w:rPr>
            </w:pPr>
          </w:p>
        </w:tc>
        <w:tc>
          <w:tcPr>
            <w:tcW w:w="717" w:type="dxa"/>
          </w:tcPr>
          <w:p>
            <w:pPr>
              <w:spacing w:line="400" w:lineRule="exact"/>
              <w:ind w:left="8000"/>
            </w:pPr>
          </w:p>
        </w:tc>
        <w:tc>
          <w:tcPr>
            <w:tcW w:w="740" w:type="dxa"/>
          </w:tcPr>
          <w:p>
            <w:pPr>
              <w:spacing w:line="400" w:lineRule="exact"/>
              <w:rPr>
                <w:rFonts w:ascii="宋体" w:hAnsi="宋体"/>
                <w:sz w:val="28"/>
              </w:rPr>
            </w:pPr>
          </w:p>
        </w:tc>
        <w:tc>
          <w:tcPr>
            <w:tcW w:w="860" w:type="dxa"/>
          </w:tcPr>
          <w:p>
            <w:pPr>
              <w:spacing w:line="400" w:lineRule="exact"/>
              <w:rPr>
                <w:rFonts w:ascii="宋体" w:hAnsi="宋体"/>
                <w:sz w:val="28"/>
              </w:rPr>
            </w:pPr>
          </w:p>
        </w:tc>
        <w:tc>
          <w:tcPr>
            <w:tcW w:w="800" w:type="dxa"/>
          </w:tcPr>
          <w:p>
            <w:pPr>
              <w:spacing w:line="400" w:lineRule="exact"/>
              <w:rPr>
                <w:rFonts w:ascii="宋体" w:hAnsi="宋体"/>
                <w:sz w:val="28"/>
              </w:rPr>
            </w:pPr>
          </w:p>
        </w:tc>
        <w:tc>
          <w:tcPr>
            <w:tcW w:w="800" w:type="dxa"/>
          </w:tcPr>
          <w:p>
            <w:pPr>
              <w:spacing w:line="400" w:lineRule="exact"/>
              <w:rPr>
                <w:rFonts w:ascii="宋体" w:hAnsi="宋体"/>
                <w:sz w:val="28"/>
              </w:rPr>
            </w:pPr>
          </w:p>
        </w:tc>
        <w:tc>
          <w:tcPr>
            <w:tcW w:w="1220" w:type="dxa"/>
          </w:tcPr>
          <w:p>
            <w:pPr>
              <w:spacing w:line="400" w:lineRule="exact"/>
              <w:rPr>
                <w:rFonts w:ascii="宋体" w:hAnsi="宋体"/>
                <w:sz w:val="28"/>
              </w:rPr>
            </w:pPr>
          </w:p>
        </w:tc>
        <w:tc>
          <w:tcPr>
            <w:tcW w:w="1260" w:type="dxa"/>
          </w:tcPr>
          <w:p>
            <w:pPr>
              <w:spacing w:line="400" w:lineRule="exac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Pr>
          <w:p>
            <w:pPr>
              <w:spacing w:line="400" w:lineRule="exact"/>
              <w:rPr>
                <w:rFonts w:ascii="宋体" w:hAnsi="宋体"/>
                <w:sz w:val="28"/>
              </w:rPr>
            </w:pPr>
          </w:p>
        </w:tc>
        <w:tc>
          <w:tcPr>
            <w:tcW w:w="1280" w:type="dxa"/>
          </w:tcPr>
          <w:p>
            <w:pPr>
              <w:spacing w:line="400" w:lineRule="exact"/>
              <w:rPr>
                <w:rFonts w:ascii="宋体" w:hAnsi="宋体"/>
                <w:sz w:val="28"/>
              </w:rPr>
            </w:pPr>
          </w:p>
        </w:tc>
        <w:tc>
          <w:tcPr>
            <w:tcW w:w="1203" w:type="dxa"/>
          </w:tcPr>
          <w:p>
            <w:pPr>
              <w:spacing w:line="400" w:lineRule="exact"/>
              <w:rPr>
                <w:rFonts w:ascii="宋体" w:hAnsi="宋体"/>
                <w:sz w:val="28"/>
              </w:rPr>
            </w:pPr>
          </w:p>
        </w:tc>
        <w:tc>
          <w:tcPr>
            <w:tcW w:w="717" w:type="dxa"/>
          </w:tcPr>
          <w:p>
            <w:pPr>
              <w:spacing w:line="400" w:lineRule="exact"/>
              <w:ind w:left="8000"/>
            </w:pPr>
          </w:p>
        </w:tc>
        <w:tc>
          <w:tcPr>
            <w:tcW w:w="740" w:type="dxa"/>
          </w:tcPr>
          <w:p>
            <w:pPr>
              <w:spacing w:line="400" w:lineRule="exact"/>
              <w:rPr>
                <w:rFonts w:ascii="宋体" w:hAnsi="宋体"/>
                <w:sz w:val="28"/>
              </w:rPr>
            </w:pPr>
          </w:p>
        </w:tc>
        <w:tc>
          <w:tcPr>
            <w:tcW w:w="860" w:type="dxa"/>
          </w:tcPr>
          <w:p>
            <w:pPr>
              <w:spacing w:line="400" w:lineRule="exact"/>
              <w:rPr>
                <w:rFonts w:ascii="宋体" w:hAnsi="宋体"/>
                <w:sz w:val="28"/>
              </w:rPr>
            </w:pPr>
          </w:p>
        </w:tc>
        <w:tc>
          <w:tcPr>
            <w:tcW w:w="800" w:type="dxa"/>
          </w:tcPr>
          <w:p>
            <w:pPr>
              <w:spacing w:line="400" w:lineRule="exact"/>
              <w:rPr>
                <w:rFonts w:ascii="宋体" w:hAnsi="宋体"/>
                <w:sz w:val="28"/>
              </w:rPr>
            </w:pPr>
          </w:p>
        </w:tc>
        <w:tc>
          <w:tcPr>
            <w:tcW w:w="800" w:type="dxa"/>
          </w:tcPr>
          <w:p>
            <w:pPr>
              <w:spacing w:line="400" w:lineRule="exact"/>
              <w:rPr>
                <w:rFonts w:ascii="宋体" w:hAnsi="宋体"/>
                <w:sz w:val="28"/>
              </w:rPr>
            </w:pPr>
          </w:p>
        </w:tc>
        <w:tc>
          <w:tcPr>
            <w:tcW w:w="1220" w:type="dxa"/>
          </w:tcPr>
          <w:p>
            <w:pPr>
              <w:spacing w:line="400" w:lineRule="exact"/>
              <w:rPr>
                <w:rFonts w:ascii="宋体" w:hAnsi="宋体"/>
                <w:sz w:val="28"/>
              </w:rPr>
            </w:pPr>
          </w:p>
        </w:tc>
        <w:tc>
          <w:tcPr>
            <w:tcW w:w="1260" w:type="dxa"/>
          </w:tcPr>
          <w:p>
            <w:pPr>
              <w:spacing w:line="400" w:lineRule="exac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Pr>
          <w:p>
            <w:pPr>
              <w:spacing w:line="400" w:lineRule="exact"/>
              <w:rPr>
                <w:rFonts w:ascii="宋体" w:hAnsi="宋体"/>
                <w:sz w:val="28"/>
              </w:rPr>
            </w:pPr>
          </w:p>
        </w:tc>
        <w:tc>
          <w:tcPr>
            <w:tcW w:w="1280" w:type="dxa"/>
          </w:tcPr>
          <w:p>
            <w:pPr>
              <w:spacing w:line="400" w:lineRule="exact"/>
              <w:rPr>
                <w:rFonts w:ascii="宋体" w:hAnsi="宋体"/>
                <w:sz w:val="28"/>
              </w:rPr>
            </w:pPr>
          </w:p>
        </w:tc>
        <w:tc>
          <w:tcPr>
            <w:tcW w:w="1203" w:type="dxa"/>
          </w:tcPr>
          <w:p>
            <w:pPr>
              <w:spacing w:line="400" w:lineRule="exact"/>
              <w:rPr>
                <w:rFonts w:ascii="宋体" w:hAnsi="宋体"/>
                <w:sz w:val="28"/>
              </w:rPr>
            </w:pPr>
          </w:p>
        </w:tc>
        <w:tc>
          <w:tcPr>
            <w:tcW w:w="717" w:type="dxa"/>
          </w:tcPr>
          <w:p>
            <w:pPr>
              <w:spacing w:line="400" w:lineRule="exact"/>
              <w:ind w:left="8000"/>
            </w:pPr>
          </w:p>
        </w:tc>
        <w:tc>
          <w:tcPr>
            <w:tcW w:w="740" w:type="dxa"/>
          </w:tcPr>
          <w:p>
            <w:pPr>
              <w:spacing w:line="400" w:lineRule="exact"/>
              <w:rPr>
                <w:rFonts w:ascii="宋体" w:hAnsi="宋体"/>
                <w:sz w:val="28"/>
              </w:rPr>
            </w:pPr>
          </w:p>
        </w:tc>
        <w:tc>
          <w:tcPr>
            <w:tcW w:w="860" w:type="dxa"/>
          </w:tcPr>
          <w:p>
            <w:pPr>
              <w:spacing w:line="400" w:lineRule="exact"/>
              <w:rPr>
                <w:rFonts w:ascii="宋体" w:hAnsi="宋体"/>
                <w:sz w:val="28"/>
              </w:rPr>
            </w:pPr>
          </w:p>
        </w:tc>
        <w:tc>
          <w:tcPr>
            <w:tcW w:w="800" w:type="dxa"/>
          </w:tcPr>
          <w:p>
            <w:pPr>
              <w:spacing w:line="400" w:lineRule="exact"/>
              <w:rPr>
                <w:rFonts w:ascii="宋体" w:hAnsi="宋体"/>
                <w:sz w:val="28"/>
              </w:rPr>
            </w:pPr>
          </w:p>
        </w:tc>
        <w:tc>
          <w:tcPr>
            <w:tcW w:w="800" w:type="dxa"/>
          </w:tcPr>
          <w:p>
            <w:pPr>
              <w:spacing w:line="400" w:lineRule="exact"/>
              <w:rPr>
                <w:rFonts w:ascii="宋体" w:hAnsi="宋体"/>
                <w:sz w:val="28"/>
              </w:rPr>
            </w:pPr>
          </w:p>
        </w:tc>
        <w:tc>
          <w:tcPr>
            <w:tcW w:w="1220" w:type="dxa"/>
          </w:tcPr>
          <w:p>
            <w:pPr>
              <w:spacing w:line="400" w:lineRule="exact"/>
              <w:rPr>
                <w:rFonts w:ascii="宋体" w:hAnsi="宋体"/>
                <w:sz w:val="28"/>
              </w:rPr>
            </w:pPr>
          </w:p>
        </w:tc>
        <w:tc>
          <w:tcPr>
            <w:tcW w:w="1260" w:type="dxa"/>
          </w:tcPr>
          <w:p>
            <w:pPr>
              <w:spacing w:line="400" w:lineRule="exact"/>
              <w:rPr>
                <w:rFonts w:ascii="宋体" w:hAnsi="宋体"/>
                <w:sz w:val="28"/>
              </w:rPr>
            </w:pPr>
          </w:p>
        </w:tc>
      </w:tr>
    </w:tbl>
    <w:p>
      <w:pPr>
        <w:spacing w:line="400" w:lineRule="exact"/>
        <w:rPr>
          <w:rFonts w:ascii="宋体" w:hAnsi="宋体"/>
          <w:sz w:val="28"/>
        </w:rPr>
      </w:pPr>
    </w:p>
    <w:p>
      <w:pPr>
        <w:spacing w:line="360" w:lineRule="auto"/>
        <w:jc w:val="center"/>
        <w:rPr>
          <w:rFonts w:ascii="宋体" w:hAnsi="宋体"/>
          <w:sz w:val="24"/>
        </w:rPr>
        <w:sectPr>
          <w:endnotePr>
            <w:numFmt w:val="decimal"/>
          </w:endnotePr>
          <w:pgSz w:w="11906" w:h="16840"/>
          <w:pgMar w:top="1304" w:right="1417" w:bottom="1417" w:left="1417" w:header="850" w:footer="850" w:gutter="0"/>
          <w:cols w:space="720" w:num="1"/>
          <w:docGrid w:linePitch="312" w:charSpace="0"/>
        </w:sectPr>
      </w:pPr>
    </w:p>
    <w:p>
      <w:pPr>
        <w:spacing w:line="400" w:lineRule="exact"/>
        <w:rPr>
          <w:rFonts w:ascii="宋体" w:hAnsi="宋体"/>
          <w:b/>
        </w:rPr>
      </w:pPr>
      <w:r>
        <w:rPr>
          <w:rFonts w:hint="eastAsia" w:ascii="宋体" w:hAnsi="宋体"/>
          <w:b/>
          <w:szCs w:val="30"/>
        </w:rPr>
        <w:t>格式九</w:t>
      </w:r>
    </w:p>
    <w:p>
      <w:pPr>
        <w:widowControl/>
        <w:spacing w:line="400" w:lineRule="exact"/>
        <w:rPr>
          <w:rFonts w:hAnsi="宋体"/>
          <w:sz w:val="28"/>
          <w:szCs w:val="36"/>
        </w:rPr>
      </w:pPr>
    </w:p>
    <w:p>
      <w:pPr>
        <w:widowControl/>
        <w:spacing w:line="400" w:lineRule="exact"/>
        <w:jc w:val="center"/>
        <w:rPr>
          <w:rFonts w:hAnsi="宋体"/>
          <w:b/>
          <w:bCs/>
          <w:sz w:val="28"/>
          <w:szCs w:val="36"/>
        </w:rPr>
      </w:pPr>
      <w:r>
        <w:rPr>
          <w:rFonts w:hint="eastAsia" w:hAnsi="宋体"/>
          <w:b/>
          <w:bCs/>
          <w:sz w:val="28"/>
          <w:szCs w:val="36"/>
        </w:rPr>
        <w:t>施工组织设计</w:t>
      </w:r>
    </w:p>
    <w:p>
      <w:pPr>
        <w:rPr>
          <w:rFonts w:ascii="宋体" w:hAnsi="宋体"/>
          <w:b/>
          <w:szCs w:val="30"/>
        </w:rPr>
      </w:pPr>
    </w:p>
    <w:p>
      <w:pPr>
        <w:pBdr>
          <w:bottom w:val="single" w:color="auto" w:sz="6" w:space="1"/>
        </w:pBdr>
        <w:spacing w:line="360" w:lineRule="auto"/>
        <w:ind w:firstLine="470" w:firstLineChars="224"/>
        <w:rPr>
          <w:rFonts w:ascii="宋体" w:hAnsi="宋体"/>
          <w:bCs/>
          <w:szCs w:val="21"/>
        </w:rPr>
      </w:pPr>
      <w:r>
        <w:rPr>
          <w:rFonts w:hint="eastAsia" w:ascii="宋体" w:hAnsi="宋体"/>
          <w:bCs/>
          <w:szCs w:val="21"/>
        </w:rPr>
        <w:t>施工组织设计须响应本招标工程要求，应含如下（但不限于）各项完整详细的内容：</w:t>
      </w:r>
    </w:p>
    <w:p>
      <w:pPr>
        <w:pBdr>
          <w:bottom w:val="single" w:color="auto" w:sz="6" w:space="1"/>
        </w:pBdr>
        <w:spacing w:line="360" w:lineRule="auto"/>
        <w:ind w:firstLine="470" w:firstLineChars="224"/>
        <w:rPr>
          <w:rFonts w:ascii="宋体" w:hAnsi="宋体"/>
          <w:bCs/>
          <w:szCs w:val="21"/>
        </w:rPr>
      </w:pPr>
      <w:r>
        <w:rPr>
          <w:rFonts w:hint="eastAsia" w:ascii="宋体" w:hAnsi="宋体" w:cs="宋体"/>
          <w:szCs w:val="21"/>
          <w:lang w:bidi="ar"/>
        </w:rPr>
        <w:t>（1）</w:t>
      </w:r>
      <w:r>
        <w:rPr>
          <w:rFonts w:hint="eastAsia" w:ascii="宋体" w:hAnsi="宋体"/>
          <w:bCs/>
          <w:szCs w:val="21"/>
        </w:rPr>
        <w:t>施工准备计划；</w:t>
      </w:r>
    </w:p>
    <w:p>
      <w:pPr>
        <w:pBdr>
          <w:bottom w:val="single" w:color="auto" w:sz="6" w:space="1"/>
        </w:pBdr>
        <w:spacing w:line="360" w:lineRule="auto"/>
        <w:ind w:firstLine="470" w:firstLineChars="224"/>
        <w:rPr>
          <w:rFonts w:ascii="宋体" w:hAnsi="宋体"/>
          <w:bCs/>
          <w:szCs w:val="21"/>
        </w:rPr>
      </w:pPr>
      <w:r>
        <w:rPr>
          <w:rFonts w:hint="eastAsia" w:ascii="宋体" w:hAnsi="宋体" w:cs="宋体"/>
          <w:szCs w:val="21"/>
          <w:lang w:bidi="ar"/>
        </w:rPr>
        <w:t>（2）</w:t>
      </w:r>
      <w:r>
        <w:rPr>
          <w:rFonts w:hint="eastAsia" w:ascii="宋体" w:hAnsi="宋体"/>
          <w:bCs/>
          <w:szCs w:val="21"/>
        </w:rPr>
        <w:t>施工方案和主要分项工程的施工方法；</w:t>
      </w:r>
    </w:p>
    <w:p>
      <w:pPr>
        <w:pBdr>
          <w:bottom w:val="single" w:color="auto" w:sz="6" w:space="1"/>
        </w:pBdr>
        <w:spacing w:line="360" w:lineRule="auto"/>
        <w:ind w:firstLine="470" w:firstLineChars="224"/>
        <w:rPr>
          <w:rFonts w:ascii="宋体" w:hAnsi="宋体"/>
          <w:bCs/>
          <w:szCs w:val="21"/>
        </w:rPr>
      </w:pPr>
      <w:r>
        <w:rPr>
          <w:rFonts w:hint="eastAsia" w:ascii="宋体" w:hAnsi="宋体" w:cs="宋体"/>
          <w:szCs w:val="21"/>
          <w:lang w:bidi="ar"/>
        </w:rPr>
        <w:t>（3）</w:t>
      </w:r>
      <w:r>
        <w:rPr>
          <w:rFonts w:hint="eastAsia" w:ascii="宋体" w:hAnsi="宋体"/>
          <w:bCs/>
          <w:szCs w:val="21"/>
        </w:rPr>
        <w:t>施工进度控制网络计划；</w:t>
      </w:r>
    </w:p>
    <w:p>
      <w:pPr>
        <w:pBdr>
          <w:bottom w:val="single" w:color="auto" w:sz="6" w:space="1"/>
        </w:pBdr>
        <w:spacing w:line="360" w:lineRule="auto"/>
        <w:ind w:firstLine="470" w:firstLineChars="224"/>
        <w:rPr>
          <w:rFonts w:ascii="宋体" w:hAnsi="宋体"/>
          <w:bCs/>
          <w:szCs w:val="21"/>
        </w:rPr>
      </w:pPr>
      <w:r>
        <w:rPr>
          <w:rFonts w:hint="eastAsia" w:ascii="宋体" w:hAnsi="宋体" w:cs="宋体"/>
          <w:szCs w:val="21"/>
          <w:lang w:bidi="ar"/>
        </w:rPr>
        <w:t>（4）</w:t>
      </w:r>
      <w:r>
        <w:rPr>
          <w:rFonts w:hint="eastAsia" w:ascii="宋体" w:hAnsi="宋体"/>
          <w:bCs/>
          <w:szCs w:val="21"/>
        </w:rPr>
        <w:t>施工资源供应计划（劳动力、材料、施工主要机械、机具及检测设备的型号、规格、数量等，主要选用的设备材料表及设备品牌）；</w:t>
      </w:r>
    </w:p>
    <w:p>
      <w:pPr>
        <w:pBdr>
          <w:bottom w:val="single" w:color="auto" w:sz="6" w:space="1"/>
        </w:pBdr>
        <w:spacing w:line="360" w:lineRule="auto"/>
        <w:ind w:firstLine="470" w:firstLineChars="224"/>
        <w:rPr>
          <w:rFonts w:ascii="宋体" w:hAnsi="宋体"/>
          <w:bCs/>
          <w:szCs w:val="21"/>
        </w:rPr>
      </w:pPr>
      <w:r>
        <w:rPr>
          <w:rFonts w:hint="eastAsia" w:ascii="宋体" w:hAnsi="宋体" w:cs="宋体"/>
          <w:szCs w:val="21"/>
          <w:lang w:bidi="ar"/>
        </w:rPr>
        <w:t>（5）</w:t>
      </w:r>
      <w:r>
        <w:rPr>
          <w:rFonts w:hint="eastAsia" w:ascii="宋体" w:hAnsi="宋体"/>
          <w:bCs/>
          <w:szCs w:val="21"/>
        </w:rPr>
        <w:t>施工平面布置图；</w:t>
      </w:r>
    </w:p>
    <w:p>
      <w:pPr>
        <w:pBdr>
          <w:bottom w:val="single" w:color="auto" w:sz="6" w:space="1"/>
        </w:pBdr>
        <w:spacing w:line="360" w:lineRule="auto"/>
        <w:ind w:firstLine="470" w:firstLineChars="224"/>
        <w:rPr>
          <w:rFonts w:ascii="宋体" w:hAnsi="宋体"/>
          <w:bCs/>
          <w:szCs w:val="21"/>
        </w:rPr>
      </w:pPr>
      <w:r>
        <w:rPr>
          <w:rFonts w:hint="eastAsia" w:ascii="宋体" w:hAnsi="宋体" w:cs="宋体"/>
          <w:szCs w:val="21"/>
          <w:lang w:bidi="ar"/>
        </w:rPr>
        <w:t>（6）</w:t>
      </w:r>
      <w:r>
        <w:rPr>
          <w:rFonts w:hint="eastAsia" w:ascii="宋体" w:hAnsi="宋体"/>
          <w:bCs/>
          <w:szCs w:val="21"/>
        </w:rPr>
        <w:t>质量保证措施；</w:t>
      </w:r>
    </w:p>
    <w:p>
      <w:pPr>
        <w:pBdr>
          <w:bottom w:val="single" w:color="auto" w:sz="6" w:space="1"/>
        </w:pBdr>
        <w:spacing w:line="360" w:lineRule="auto"/>
        <w:ind w:firstLine="470" w:firstLineChars="224"/>
        <w:rPr>
          <w:rFonts w:ascii="宋体" w:hAnsi="宋体"/>
          <w:bCs/>
          <w:szCs w:val="21"/>
        </w:rPr>
      </w:pPr>
      <w:r>
        <w:rPr>
          <w:rFonts w:hint="eastAsia" w:ascii="宋体" w:hAnsi="宋体" w:cs="宋体"/>
          <w:szCs w:val="21"/>
          <w:lang w:bidi="ar"/>
        </w:rPr>
        <w:t>（7）</w:t>
      </w:r>
      <w:r>
        <w:rPr>
          <w:rFonts w:hint="eastAsia" w:ascii="宋体" w:hAnsi="宋体"/>
          <w:bCs/>
          <w:szCs w:val="21"/>
        </w:rPr>
        <w:t>工期保证措施；</w:t>
      </w:r>
    </w:p>
    <w:p>
      <w:pPr>
        <w:pBdr>
          <w:bottom w:val="single" w:color="auto" w:sz="6" w:space="1"/>
        </w:pBdr>
        <w:spacing w:line="360" w:lineRule="auto"/>
        <w:ind w:firstLine="470" w:firstLineChars="224"/>
        <w:rPr>
          <w:rFonts w:ascii="宋体" w:hAnsi="宋体"/>
          <w:b/>
          <w:szCs w:val="30"/>
        </w:rPr>
      </w:pPr>
      <w:r>
        <w:rPr>
          <w:rFonts w:hint="eastAsia" w:ascii="宋体" w:hAnsi="宋体" w:cs="宋体"/>
          <w:szCs w:val="21"/>
          <w:lang w:bidi="ar"/>
        </w:rPr>
        <w:t>（8）</w:t>
      </w:r>
      <w:r>
        <w:rPr>
          <w:rFonts w:hint="eastAsia" w:ascii="宋体" w:hAnsi="宋体"/>
          <w:bCs/>
          <w:szCs w:val="21"/>
        </w:rPr>
        <w:t>安全施工措施；</w:t>
      </w:r>
    </w:p>
    <w:p>
      <w:pPr>
        <w:pBdr>
          <w:bottom w:val="single" w:color="auto" w:sz="6" w:space="1"/>
        </w:pBdr>
        <w:spacing w:line="360" w:lineRule="auto"/>
        <w:ind w:firstLine="470" w:firstLineChars="224"/>
        <w:rPr>
          <w:rFonts w:ascii="宋体" w:hAnsi="宋体"/>
          <w:b/>
          <w:szCs w:val="30"/>
        </w:rPr>
      </w:pPr>
      <w:r>
        <w:rPr>
          <w:rFonts w:hint="eastAsia" w:ascii="宋体" w:hAnsi="宋体" w:cs="宋体"/>
          <w:szCs w:val="21"/>
          <w:lang w:bidi="ar"/>
        </w:rPr>
        <w:t>（9）</w:t>
      </w:r>
      <w:r>
        <w:rPr>
          <w:rFonts w:hint="eastAsia" w:ascii="宋体" w:hAnsi="宋体"/>
          <w:bCs/>
          <w:szCs w:val="21"/>
        </w:rPr>
        <w:t>临时生产、生活设施情况；</w:t>
      </w:r>
    </w:p>
    <w:p>
      <w:pPr>
        <w:pBdr>
          <w:bottom w:val="single" w:color="auto" w:sz="6" w:space="1"/>
        </w:pBdr>
        <w:spacing w:line="360" w:lineRule="auto"/>
        <w:ind w:firstLine="470" w:firstLineChars="224"/>
        <w:rPr>
          <w:rFonts w:ascii="宋体" w:hAnsi="宋体"/>
          <w:b/>
          <w:szCs w:val="30"/>
        </w:rPr>
      </w:pPr>
      <w:r>
        <w:rPr>
          <w:rFonts w:hint="eastAsia" w:ascii="宋体" w:hAnsi="宋体" w:cs="宋体"/>
          <w:szCs w:val="21"/>
          <w:lang w:bidi="ar"/>
        </w:rPr>
        <w:t>（10）</w:t>
      </w:r>
      <w:r>
        <w:rPr>
          <w:rFonts w:hint="eastAsia" w:ascii="宋体" w:hAnsi="宋体"/>
          <w:bCs/>
          <w:szCs w:val="21"/>
        </w:rPr>
        <w:t>文明施工、保护环境措施；</w:t>
      </w:r>
    </w:p>
    <w:p>
      <w:pPr>
        <w:pBdr>
          <w:bottom w:val="single" w:color="auto" w:sz="6" w:space="1"/>
        </w:pBdr>
        <w:spacing w:line="360" w:lineRule="auto"/>
        <w:ind w:firstLine="470" w:firstLineChars="224"/>
        <w:rPr>
          <w:rFonts w:ascii="宋体" w:hAnsi="宋体"/>
          <w:b/>
          <w:szCs w:val="30"/>
        </w:rPr>
      </w:pPr>
      <w:r>
        <w:rPr>
          <w:rFonts w:hint="eastAsia" w:ascii="宋体" w:hAnsi="宋体" w:cs="宋体"/>
          <w:szCs w:val="21"/>
          <w:lang w:bidi="ar"/>
        </w:rPr>
        <w:t>（11）</w:t>
      </w:r>
      <w:r>
        <w:rPr>
          <w:rFonts w:hint="eastAsia" w:ascii="宋体" w:hAnsi="宋体"/>
          <w:bCs/>
          <w:szCs w:val="21"/>
        </w:rPr>
        <w:t>工程保修承诺和措施。</w:t>
      </w:r>
    </w:p>
    <w:p>
      <w:pPr>
        <w:pBdr>
          <w:bottom w:val="single" w:color="auto" w:sz="6" w:space="1"/>
        </w:pBdr>
        <w:spacing w:line="360" w:lineRule="auto"/>
        <w:rPr>
          <w:rFonts w:ascii="宋体" w:hAnsi="宋体"/>
          <w:b/>
          <w:szCs w:val="30"/>
        </w:rPr>
      </w:pPr>
    </w:p>
    <w:p>
      <w:pPr>
        <w:pBdr>
          <w:bottom w:val="single" w:color="auto" w:sz="6" w:space="1"/>
        </w:pBdr>
        <w:spacing w:line="360" w:lineRule="auto"/>
        <w:rPr>
          <w:rFonts w:ascii="宋体" w:hAnsi="宋体"/>
          <w:b/>
          <w:szCs w:val="30"/>
        </w:rPr>
      </w:pPr>
      <w:r>
        <w:rPr>
          <w:rFonts w:hint="eastAsia" w:ascii="宋体" w:hAnsi="宋体"/>
          <w:b/>
          <w:szCs w:val="30"/>
        </w:rPr>
        <w:br w:type="page"/>
      </w:r>
    </w:p>
    <w:p>
      <w:pPr>
        <w:spacing w:line="400" w:lineRule="exact"/>
        <w:rPr>
          <w:rFonts w:ascii="宋体" w:hAnsi="宋体"/>
          <w:b/>
        </w:rPr>
      </w:pPr>
      <w:r>
        <w:rPr>
          <w:rFonts w:hint="eastAsia" w:ascii="宋体" w:hAnsi="宋体"/>
          <w:b/>
          <w:szCs w:val="30"/>
        </w:rPr>
        <w:t>格式十</w:t>
      </w:r>
    </w:p>
    <w:p>
      <w:pPr>
        <w:widowControl/>
        <w:spacing w:line="400" w:lineRule="exact"/>
        <w:rPr>
          <w:rFonts w:hAnsi="宋体"/>
          <w:sz w:val="28"/>
          <w:szCs w:val="36"/>
        </w:rPr>
      </w:pPr>
    </w:p>
    <w:p>
      <w:pPr>
        <w:widowControl/>
        <w:spacing w:line="400" w:lineRule="exact"/>
        <w:jc w:val="center"/>
        <w:rPr>
          <w:rFonts w:hAnsi="宋体"/>
          <w:b/>
          <w:bCs/>
          <w:sz w:val="28"/>
          <w:szCs w:val="36"/>
        </w:rPr>
      </w:pPr>
      <w:r>
        <w:rPr>
          <w:rFonts w:hint="eastAsia" w:hAnsi="宋体"/>
          <w:b/>
          <w:bCs/>
          <w:sz w:val="28"/>
          <w:szCs w:val="36"/>
        </w:rPr>
        <w:t>智能建造实施方案</w:t>
      </w:r>
    </w:p>
    <w:p>
      <w:pPr>
        <w:rPr>
          <w:rFonts w:ascii="宋体" w:hAnsi="宋体"/>
          <w:b/>
          <w:szCs w:val="30"/>
        </w:rPr>
      </w:pP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投标人按招标文件要求编制本项目的智能建造实施方案包括但不限于以下内容：</w:t>
      </w:r>
    </w:p>
    <w:p>
      <w:pPr>
        <w:adjustRightInd w:val="0"/>
        <w:snapToGrid w:val="0"/>
        <w:spacing w:line="360" w:lineRule="auto"/>
        <w:ind w:firstLine="420" w:firstLineChars="200"/>
        <w:rPr>
          <w:rFonts w:ascii="宋体" w:hAnsi="宋体" w:cs="宋体"/>
          <w:szCs w:val="21"/>
        </w:rPr>
      </w:pPr>
      <w:r>
        <w:rPr>
          <w:rFonts w:hint="eastAsia" w:ascii="宋体" w:hAnsi="宋体" w:cs="宋体"/>
          <w:szCs w:val="21"/>
          <w:lang w:bidi="ar"/>
        </w:rPr>
        <w:t>（1）智能建造实施目标；</w:t>
      </w:r>
    </w:p>
    <w:p>
      <w:pPr>
        <w:adjustRightInd w:val="0"/>
        <w:snapToGrid w:val="0"/>
        <w:spacing w:line="360" w:lineRule="auto"/>
        <w:ind w:firstLine="420" w:firstLineChars="200"/>
        <w:rPr>
          <w:rFonts w:ascii="宋体" w:hAnsi="宋体" w:cs="宋体"/>
          <w:szCs w:val="21"/>
        </w:rPr>
      </w:pPr>
      <w:r>
        <w:rPr>
          <w:rFonts w:hint="eastAsia" w:ascii="宋体" w:hAnsi="宋体" w:cs="宋体"/>
          <w:szCs w:val="21"/>
          <w:lang w:bidi="ar"/>
        </w:rPr>
        <w:t>（2）智能建造实施范围和内容；</w:t>
      </w:r>
    </w:p>
    <w:p>
      <w:pPr>
        <w:adjustRightInd w:val="0"/>
        <w:snapToGrid w:val="0"/>
        <w:spacing w:line="360" w:lineRule="auto"/>
        <w:ind w:firstLine="420" w:firstLineChars="200"/>
        <w:rPr>
          <w:rFonts w:ascii="宋体" w:hAnsi="宋体" w:cs="宋体"/>
          <w:szCs w:val="21"/>
        </w:rPr>
      </w:pPr>
      <w:r>
        <w:rPr>
          <w:rFonts w:hint="eastAsia" w:ascii="宋体" w:hAnsi="宋体" w:cs="宋体"/>
          <w:szCs w:val="21"/>
          <w:lang w:bidi="ar"/>
        </w:rPr>
        <w:t>（3）项目重难点分析及应对措施；</w:t>
      </w:r>
    </w:p>
    <w:p>
      <w:pPr>
        <w:adjustRightInd w:val="0"/>
        <w:snapToGrid w:val="0"/>
        <w:spacing w:line="360" w:lineRule="auto"/>
        <w:ind w:firstLine="420" w:firstLineChars="200"/>
        <w:rPr>
          <w:rFonts w:ascii="宋体" w:hAnsi="宋体" w:cs="宋体"/>
          <w:szCs w:val="21"/>
        </w:rPr>
      </w:pPr>
      <w:r>
        <w:rPr>
          <w:rFonts w:hint="eastAsia" w:ascii="宋体" w:hAnsi="宋体" w:cs="宋体"/>
          <w:szCs w:val="21"/>
          <w:lang w:bidi="ar"/>
        </w:rPr>
        <w:t>（4）人员组织架构和相应职责；</w:t>
      </w:r>
    </w:p>
    <w:p>
      <w:pPr>
        <w:adjustRightInd w:val="0"/>
        <w:snapToGrid w:val="0"/>
        <w:spacing w:line="360" w:lineRule="auto"/>
        <w:ind w:firstLine="420" w:firstLineChars="200"/>
        <w:rPr>
          <w:rFonts w:ascii="宋体" w:hAnsi="宋体" w:cs="宋体"/>
          <w:szCs w:val="21"/>
        </w:rPr>
      </w:pPr>
      <w:r>
        <w:rPr>
          <w:rFonts w:hint="eastAsia" w:ascii="宋体" w:hAnsi="宋体" w:cs="宋体"/>
          <w:szCs w:val="21"/>
          <w:lang w:bidi="ar"/>
        </w:rPr>
        <w:t>（5）模型创建（深化）及应用进度计划；</w:t>
      </w:r>
    </w:p>
    <w:p>
      <w:pPr>
        <w:adjustRightInd w:val="0"/>
        <w:snapToGrid w:val="0"/>
        <w:spacing w:line="360" w:lineRule="auto"/>
        <w:ind w:firstLine="420" w:firstLineChars="200"/>
        <w:rPr>
          <w:rFonts w:ascii="宋体" w:hAnsi="宋体" w:cs="宋体"/>
          <w:szCs w:val="21"/>
        </w:rPr>
      </w:pPr>
      <w:r>
        <w:rPr>
          <w:rFonts w:hint="eastAsia" w:ascii="宋体" w:hAnsi="宋体" w:cs="宋体"/>
          <w:szCs w:val="21"/>
          <w:lang w:bidi="ar"/>
        </w:rPr>
        <w:t>（6）模型应用内容、方法及流程；</w:t>
      </w:r>
    </w:p>
    <w:p>
      <w:pPr>
        <w:adjustRightInd w:val="0"/>
        <w:snapToGrid w:val="0"/>
        <w:spacing w:line="360" w:lineRule="auto"/>
        <w:ind w:firstLine="420" w:firstLineChars="200"/>
        <w:rPr>
          <w:rFonts w:ascii="宋体" w:hAnsi="宋体" w:cs="宋体"/>
          <w:szCs w:val="21"/>
        </w:rPr>
      </w:pPr>
      <w:r>
        <w:rPr>
          <w:rFonts w:hint="eastAsia" w:ascii="宋体" w:hAnsi="宋体" w:cs="宋体"/>
          <w:szCs w:val="21"/>
          <w:lang w:bidi="ar"/>
        </w:rPr>
        <w:t>（7）模型质量控制和信息安全要求；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lang w:bidi="ar"/>
        </w:rPr>
        <w:t>（8）智能建造实施成果提交计划；</w:t>
      </w:r>
    </w:p>
    <w:p>
      <w:pPr>
        <w:adjustRightInd w:val="0"/>
        <w:snapToGrid w:val="0"/>
        <w:spacing w:line="360" w:lineRule="auto"/>
        <w:ind w:firstLine="420" w:firstLineChars="200"/>
        <w:rPr>
          <w:rFonts w:ascii="宋体" w:hAnsi="宋体" w:cs="宋体"/>
          <w:szCs w:val="21"/>
        </w:rPr>
      </w:pPr>
      <w:r>
        <w:rPr>
          <w:rFonts w:hint="eastAsia" w:ascii="宋体" w:hAnsi="宋体" w:cs="宋体"/>
          <w:szCs w:val="21"/>
          <w:lang w:bidi="ar"/>
        </w:rPr>
        <w:t>（9）智能建造实施风险防范与保障措施；</w:t>
      </w:r>
    </w:p>
    <w:p>
      <w:pPr>
        <w:ind w:firstLine="420" w:firstLineChars="200"/>
        <w:rPr>
          <w:rFonts w:ascii="宋体" w:hAnsi="宋体" w:cs="宋体"/>
          <w:b/>
          <w:szCs w:val="21"/>
        </w:rPr>
      </w:pPr>
      <w:r>
        <w:rPr>
          <w:rFonts w:hint="eastAsia" w:ascii="宋体" w:hAnsi="宋体" w:cs="宋体"/>
          <w:szCs w:val="21"/>
          <w:lang w:bidi="ar"/>
        </w:rPr>
        <w:t>（10）报奖创优计划。</w:t>
      </w:r>
    </w:p>
    <w:p>
      <w:pPr>
        <w:rPr>
          <w:rFonts w:ascii="宋体" w:hAnsi="宋体"/>
          <w:b/>
          <w:szCs w:val="30"/>
        </w:rPr>
      </w:pPr>
    </w:p>
    <w:p>
      <w:pPr>
        <w:rPr>
          <w:rFonts w:ascii="宋体" w:hAnsi="宋体"/>
          <w:b/>
          <w:szCs w:val="30"/>
        </w:rPr>
      </w:pPr>
      <w:r>
        <w:rPr>
          <w:rFonts w:hint="eastAsia" w:ascii="宋体" w:hAnsi="宋体"/>
          <w:b/>
          <w:szCs w:val="30"/>
        </w:rPr>
        <w:br w:type="page"/>
      </w:r>
    </w:p>
    <w:p>
      <w:pPr>
        <w:spacing w:line="400" w:lineRule="exact"/>
        <w:rPr>
          <w:rFonts w:ascii="宋体" w:hAnsi="宋体"/>
          <w:b/>
        </w:rPr>
      </w:pPr>
      <w:r>
        <w:rPr>
          <w:rFonts w:hint="eastAsia" w:ascii="宋体" w:hAnsi="宋体"/>
          <w:b/>
          <w:szCs w:val="30"/>
        </w:rPr>
        <w:t>格式十一</w:t>
      </w:r>
    </w:p>
    <w:p>
      <w:pPr>
        <w:widowControl/>
        <w:spacing w:line="400" w:lineRule="exact"/>
        <w:rPr>
          <w:rFonts w:hAnsi="宋体"/>
          <w:sz w:val="28"/>
          <w:szCs w:val="36"/>
        </w:rPr>
      </w:pPr>
    </w:p>
    <w:p>
      <w:pPr>
        <w:widowControl/>
        <w:spacing w:line="400" w:lineRule="exact"/>
        <w:jc w:val="center"/>
        <w:rPr>
          <w:rFonts w:hAnsi="宋体"/>
          <w:b/>
          <w:bCs/>
          <w:sz w:val="28"/>
          <w:szCs w:val="36"/>
        </w:rPr>
      </w:pPr>
      <w:r>
        <w:rPr>
          <w:rFonts w:hint="eastAsia" w:hAnsi="宋体"/>
          <w:b/>
          <w:bCs/>
          <w:sz w:val="28"/>
          <w:szCs w:val="36"/>
        </w:rPr>
        <w:t>属于本工程实体项目内的主要材料和设备表</w:t>
      </w:r>
    </w:p>
    <w:p>
      <w:pPr>
        <w:spacing w:line="400" w:lineRule="exact"/>
        <w:rPr>
          <w:rFonts w:hAnsi="宋体"/>
          <w:sz w:val="28"/>
          <w:szCs w:val="36"/>
        </w:rPr>
      </w:pPr>
      <w:r>
        <w:rPr>
          <w:rFonts w:hint="eastAsia" w:hAnsi="宋体"/>
          <w:b/>
        </w:rPr>
        <w:t>工程（标段）名称：</w:t>
      </w:r>
    </w:p>
    <w:tbl>
      <w:tblPr>
        <w:tblStyle w:val="36"/>
        <w:tblW w:w="0" w:type="auto"/>
        <w:jc w:val="center"/>
        <w:tblLayout w:type="fixed"/>
        <w:tblCellMar>
          <w:top w:w="0" w:type="dxa"/>
          <w:left w:w="108" w:type="dxa"/>
          <w:bottom w:w="0" w:type="dxa"/>
          <w:right w:w="108" w:type="dxa"/>
        </w:tblCellMar>
      </w:tblPr>
      <w:tblGrid>
        <w:gridCol w:w="525"/>
        <w:gridCol w:w="1470"/>
        <w:gridCol w:w="1392"/>
        <w:gridCol w:w="1440"/>
        <w:gridCol w:w="4353"/>
      </w:tblGrid>
      <w:tr>
        <w:tblPrEx>
          <w:tblCellMar>
            <w:top w:w="0" w:type="dxa"/>
            <w:left w:w="108" w:type="dxa"/>
            <w:bottom w:w="0" w:type="dxa"/>
            <w:right w:w="108" w:type="dxa"/>
          </w:tblCellMar>
        </w:tblPrEx>
        <w:trPr>
          <w:trHeight w:val="495" w:hRule="atLeast"/>
          <w:jc w:val="center"/>
        </w:trPr>
        <w:tc>
          <w:tcPr>
            <w:tcW w:w="525" w:type="dxa"/>
            <w:tcBorders>
              <w:top w:val="double" w:color="auto" w:sz="6" w:space="0"/>
              <w:left w:val="double" w:color="auto" w:sz="6" w:space="0"/>
              <w:bottom w:val="single" w:color="auto" w:sz="4" w:space="0"/>
              <w:right w:val="single" w:color="auto" w:sz="4" w:space="0"/>
            </w:tcBorders>
            <w:vAlign w:val="center"/>
          </w:tcPr>
          <w:p>
            <w:pPr>
              <w:widowControl/>
              <w:spacing w:line="400" w:lineRule="exact"/>
              <w:jc w:val="center"/>
              <w:rPr>
                <w:rFonts w:hAnsi="宋体"/>
              </w:rPr>
            </w:pPr>
            <w:r>
              <w:rPr>
                <w:rFonts w:hint="eastAsia" w:hAnsi="宋体"/>
              </w:rPr>
              <w:t>序号</w:t>
            </w:r>
          </w:p>
        </w:tc>
        <w:tc>
          <w:tcPr>
            <w:tcW w:w="1470" w:type="dxa"/>
            <w:tcBorders>
              <w:top w:val="double" w:color="auto" w:sz="6" w:space="0"/>
              <w:left w:val="nil"/>
              <w:bottom w:val="single" w:color="auto" w:sz="4" w:space="0"/>
              <w:right w:val="single" w:color="auto" w:sz="4" w:space="0"/>
            </w:tcBorders>
            <w:vAlign w:val="center"/>
          </w:tcPr>
          <w:p>
            <w:pPr>
              <w:widowControl/>
              <w:spacing w:line="400" w:lineRule="exact"/>
              <w:jc w:val="center"/>
              <w:rPr>
                <w:rFonts w:hAnsi="宋体"/>
              </w:rPr>
            </w:pPr>
            <w:r>
              <w:rPr>
                <w:rFonts w:hint="eastAsia" w:hAnsi="宋体"/>
              </w:rPr>
              <w:t>材料（设备）名称</w:t>
            </w:r>
          </w:p>
        </w:tc>
        <w:tc>
          <w:tcPr>
            <w:tcW w:w="1392" w:type="dxa"/>
            <w:tcBorders>
              <w:top w:val="double" w:color="auto" w:sz="6" w:space="0"/>
              <w:left w:val="nil"/>
              <w:bottom w:val="single" w:color="auto" w:sz="4" w:space="0"/>
              <w:right w:val="single" w:color="auto" w:sz="4" w:space="0"/>
            </w:tcBorders>
            <w:vAlign w:val="center"/>
          </w:tcPr>
          <w:p>
            <w:pPr>
              <w:widowControl/>
              <w:spacing w:line="400" w:lineRule="exact"/>
              <w:jc w:val="center"/>
              <w:rPr>
                <w:rFonts w:hAnsi="宋体"/>
              </w:rPr>
            </w:pPr>
            <w:r>
              <w:rPr>
                <w:rFonts w:hint="eastAsia" w:hAnsi="宋体"/>
              </w:rPr>
              <w:t>规格、型号</w:t>
            </w:r>
          </w:p>
          <w:p>
            <w:pPr>
              <w:widowControl/>
              <w:spacing w:line="400" w:lineRule="exact"/>
              <w:jc w:val="center"/>
              <w:rPr>
                <w:rFonts w:hAnsi="宋体"/>
              </w:rPr>
            </w:pPr>
            <w:r>
              <w:rPr>
                <w:rFonts w:hint="eastAsia" w:hAnsi="宋体"/>
              </w:rPr>
              <w:t>等特殊要求</w:t>
            </w:r>
          </w:p>
        </w:tc>
        <w:tc>
          <w:tcPr>
            <w:tcW w:w="1440" w:type="dxa"/>
            <w:tcBorders>
              <w:top w:val="double" w:color="auto" w:sz="6" w:space="0"/>
              <w:left w:val="nil"/>
              <w:bottom w:val="single" w:color="auto" w:sz="4" w:space="0"/>
              <w:right w:val="single" w:color="auto" w:sz="4" w:space="0"/>
            </w:tcBorders>
            <w:vAlign w:val="center"/>
          </w:tcPr>
          <w:p>
            <w:pPr>
              <w:widowControl/>
              <w:spacing w:line="400" w:lineRule="exact"/>
              <w:jc w:val="center"/>
              <w:rPr>
                <w:rFonts w:hAnsi="宋体"/>
              </w:rPr>
            </w:pPr>
            <w:r>
              <w:rPr>
                <w:rFonts w:hint="eastAsia" w:hAnsi="宋体"/>
              </w:rPr>
              <w:t>产地及品牌</w:t>
            </w:r>
          </w:p>
        </w:tc>
        <w:tc>
          <w:tcPr>
            <w:tcW w:w="4353" w:type="dxa"/>
            <w:tcBorders>
              <w:top w:val="double" w:color="auto" w:sz="6" w:space="0"/>
              <w:left w:val="single" w:color="auto" w:sz="4" w:space="0"/>
              <w:bottom w:val="single" w:color="auto" w:sz="4" w:space="0"/>
              <w:right w:val="double" w:color="auto" w:sz="6" w:space="0"/>
            </w:tcBorders>
            <w:vAlign w:val="center"/>
          </w:tcPr>
          <w:p>
            <w:pPr>
              <w:spacing w:line="400" w:lineRule="exact"/>
              <w:jc w:val="center"/>
              <w:rPr>
                <w:rFonts w:hAnsi="宋体"/>
              </w:rPr>
            </w:pPr>
            <w:r>
              <w:rPr>
                <w:rFonts w:hAnsi="宋体"/>
              </w:rPr>
              <w:t>供应计划</w:t>
            </w:r>
          </w:p>
        </w:tc>
      </w:tr>
      <w:tr>
        <w:tblPrEx>
          <w:tblCellMar>
            <w:top w:w="0" w:type="dxa"/>
            <w:left w:w="108" w:type="dxa"/>
            <w:bottom w:w="0" w:type="dxa"/>
            <w:right w:w="108" w:type="dxa"/>
          </w:tblCellMar>
        </w:tblPrEx>
        <w:trPr>
          <w:trHeight w:val="70" w:hRule="atLeast"/>
          <w:jc w:val="center"/>
        </w:trPr>
        <w:tc>
          <w:tcPr>
            <w:tcW w:w="525"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rPr>
            </w:pPr>
          </w:p>
        </w:tc>
        <w:tc>
          <w:tcPr>
            <w:tcW w:w="1470"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392"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440" w:type="dxa"/>
            <w:tcBorders>
              <w:top w:val="nil"/>
              <w:left w:val="nil"/>
              <w:bottom w:val="single" w:color="auto" w:sz="4" w:space="0"/>
              <w:right w:val="single" w:color="auto" w:sz="4" w:space="0"/>
            </w:tcBorders>
            <w:vAlign w:val="bottom"/>
          </w:tcPr>
          <w:p>
            <w:pPr>
              <w:widowControl/>
              <w:spacing w:line="400" w:lineRule="exact"/>
              <w:jc w:val="left"/>
              <w:rPr>
                <w:rFonts w:hAnsi="宋体"/>
              </w:rPr>
            </w:pPr>
          </w:p>
        </w:tc>
        <w:tc>
          <w:tcPr>
            <w:tcW w:w="4353" w:type="dxa"/>
            <w:tcBorders>
              <w:top w:val="nil"/>
              <w:left w:val="single" w:color="auto" w:sz="4" w:space="0"/>
              <w:bottom w:val="single" w:color="auto" w:sz="4" w:space="0"/>
              <w:right w:val="double" w:color="auto" w:sz="6" w:space="0"/>
            </w:tcBorders>
            <w:vAlign w:val="bottom"/>
          </w:tcPr>
          <w:p>
            <w:pPr>
              <w:widowControl/>
              <w:spacing w:line="400" w:lineRule="exact"/>
              <w:jc w:val="left"/>
              <w:rPr>
                <w:rFonts w:hAnsi="宋体"/>
              </w:rPr>
            </w:pPr>
          </w:p>
        </w:tc>
      </w:tr>
      <w:tr>
        <w:tblPrEx>
          <w:tblCellMar>
            <w:top w:w="0" w:type="dxa"/>
            <w:left w:w="108" w:type="dxa"/>
            <w:bottom w:w="0" w:type="dxa"/>
            <w:right w:w="108" w:type="dxa"/>
          </w:tblCellMar>
        </w:tblPrEx>
        <w:trPr>
          <w:trHeight w:val="70" w:hRule="atLeast"/>
          <w:jc w:val="center"/>
        </w:trPr>
        <w:tc>
          <w:tcPr>
            <w:tcW w:w="525"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rPr>
            </w:pPr>
          </w:p>
        </w:tc>
        <w:tc>
          <w:tcPr>
            <w:tcW w:w="1470"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392"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440" w:type="dxa"/>
            <w:tcBorders>
              <w:top w:val="nil"/>
              <w:left w:val="nil"/>
              <w:bottom w:val="single" w:color="auto" w:sz="4" w:space="0"/>
              <w:right w:val="single" w:color="auto" w:sz="4" w:space="0"/>
            </w:tcBorders>
            <w:vAlign w:val="bottom"/>
          </w:tcPr>
          <w:p>
            <w:pPr>
              <w:widowControl/>
              <w:spacing w:line="400" w:lineRule="exact"/>
              <w:jc w:val="left"/>
              <w:rPr>
                <w:rFonts w:hAnsi="宋体"/>
              </w:rPr>
            </w:pPr>
          </w:p>
        </w:tc>
        <w:tc>
          <w:tcPr>
            <w:tcW w:w="4353" w:type="dxa"/>
            <w:tcBorders>
              <w:top w:val="nil"/>
              <w:left w:val="single" w:color="auto" w:sz="4" w:space="0"/>
              <w:bottom w:val="single" w:color="auto" w:sz="4" w:space="0"/>
              <w:right w:val="double" w:color="auto" w:sz="6" w:space="0"/>
            </w:tcBorders>
            <w:vAlign w:val="bottom"/>
          </w:tcPr>
          <w:p>
            <w:pPr>
              <w:widowControl/>
              <w:spacing w:line="400" w:lineRule="exact"/>
              <w:jc w:val="left"/>
              <w:rPr>
                <w:rFonts w:hAnsi="宋体"/>
              </w:rPr>
            </w:pPr>
          </w:p>
        </w:tc>
      </w:tr>
      <w:tr>
        <w:tblPrEx>
          <w:tblCellMar>
            <w:top w:w="0" w:type="dxa"/>
            <w:left w:w="108" w:type="dxa"/>
            <w:bottom w:w="0" w:type="dxa"/>
            <w:right w:w="108" w:type="dxa"/>
          </w:tblCellMar>
        </w:tblPrEx>
        <w:trPr>
          <w:trHeight w:val="70" w:hRule="atLeast"/>
          <w:jc w:val="center"/>
        </w:trPr>
        <w:tc>
          <w:tcPr>
            <w:tcW w:w="525"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rPr>
            </w:pPr>
          </w:p>
        </w:tc>
        <w:tc>
          <w:tcPr>
            <w:tcW w:w="1470"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392"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440" w:type="dxa"/>
            <w:tcBorders>
              <w:top w:val="nil"/>
              <w:left w:val="nil"/>
              <w:bottom w:val="single" w:color="auto" w:sz="4" w:space="0"/>
              <w:right w:val="single" w:color="auto" w:sz="4" w:space="0"/>
            </w:tcBorders>
            <w:vAlign w:val="bottom"/>
          </w:tcPr>
          <w:p>
            <w:pPr>
              <w:widowControl/>
              <w:spacing w:line="400" w:lineRule="exact"/>
              <w:jc w:val="left"/>
              <w:rPr>
                <w:rFonts w:hAnsi="宋体"/>
              </w:rPr>
            </w:pPr>
          </w:p>
        </w:tc>
        <w:tc>
          <w:tcPr>
            <w:tcW w:w="4353" w:type="dxa"/>
            <w:tcBorders>
              <w:top w:val="nil"/>
              <w:left w:val="single" w:color="auto" w:sz="4" w:space="0"/>
              <w:bottom w:val="single" w:color="auto" w:sz="4" w:space="0"/>
              <w:right w:val="double" w:color="auto" w:sz="6" w:space="0"/>
            </w:tcBorders>
            <w:vAlign w:val="bottom"/>
          </w:tcPr>
          <w:p>
            <w:pPr>
              <w:widowControl/>
              <w:spacing w:line="400" w:lineRule="exact"/>
              <w:jc w:val="left"/>
              <w:rPr>
                <w:rFonts w:hAnsi="宋体"/>
              </w:rPr>
            </w:pPr>
          </w:p>
        </w:tc>
      </w:tr>
      <w:tr>
        <w:tblPrEx>
          <w:tblCellMar>
            <w:top w:w="0" w:type="dxa"/>
            <w:left w:w="108" w:type="dxa"/>
            <w:bottom w:w="0" w:type="dxa"/>
            <w:right w:w="108" w:type="dxa"/>
          </w:tblCellMar>
        </w:tblPrEx>
        <w:trPr>
          <w:trHeight w:val="70" w:hRule="atLeast"/>
          <w:jc w:val="center"/>
        </w:trPr>
        <w:tc>
          <w:tcPr>
            <w:tcW w:w="525"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rPr>
            </w:pPr>
          </w:p>
        </w:tc>
        <w:tc>
          <w:tcPr>
            <w:tcW w:w="1470"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392"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440" w:type="dxa"/>
            <w:tcBorders>
              <w:top w:val="nil"/>
              <w:left w:val="nil"/>
              <w:bottom w:val="single" w:color="auto" w:sz="4" w:space="0"/>
              <w:right w:val="single" w:color="auto" w:sz="4" w:space="0"/>
            </w:tcBorders>
            <w:vAlign w:val="bottom"/>
          </w:tcPr>
          <w:p>
            <w:pPr>
              <w:widowControl/>
              <w:spacing w:line="400" w:lineRule="exact"/>
              <w:jc w:val="left"/>
              <w:rPr>
                <w:rFonts w:hAnsi="宋体"/>
              </w:rPr>
            </w:pPr>
          </w:p>
        </w:tc>
        <w:tc>
          <w:tcPr>
            <w:tcW w:w="4353" w:type="dxa"/>
            <w:tcBorders>
              <w:top w:val="nil"/>
              <w:left w:val="single" w:color="auto" w:sz="4" w:space="0"/>
              <w:bottom w:val="single" w:color="auto" w:sz="4" w:space="0"/>
              <w:right w:val="double" w:color="auto" w:sz="6" w:space="0"/>
            </w:tcBorders>
            <w:vAlign w:val="bottom"/>
          </w:tcPr>
          <w:p>
            <w:pPr>
              <w:widowControl/>
              <w:spacing w:line="400" w:lineRule="exact"/>
              <w:jc w:val="left"/>
              <w:rPr>
                <w:rFonts w:hAnsi="宋体"/>
              </w:rPr>
            </w:pPr>
          </w:p>
        </w:tc>
      </w:tr>
      <w:tr>
        <w:tblPrEx>
          <w:tblCellMar>
            <w:top w:w="0" w:type="dxa"/>
            <w:left w:w="108" w:type="dxa"/>
            <w:bottom w:w="0" w:type="dxa"/>
            <w:right w:w="108" w:type="dxa"/>
          </w:tblCellMar>
        </w:tblPrEx>
        <w:trPr>
          <w:trHeight w:val="70" w:hRule="atLeast"/>
          <w:jc w:val="center"/>
        </w:trPr>
        <w:tc>
          <w:tcPr>
            <w:tcW w:w="525"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rPr>
            </w:pPr>
          </w:p>
        </w:tc>
        <w:tc>
          <w:tcPr>
            <w:tcW w:w="1470"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392"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440" w:type="dxa"/>
            <w:tcBorders>
              <w:top w:val="nil"/>
              <w:left w:val="nil"/>
              <w:bottom w:val="single" w:color="auto" w:sz="4" w:space="0"/>
              <w:right w:val="single" w:color="auto" w:sz="4" w:space="0"/>
            </w:tcBorders>
            <w:vAlign w:val="bottom"/>
          </w:tcPr>
          <w:p>
            <w:pPr>
              <w:widowControl/>
              <w:spacing w:line="400" w:lineRule="exact"/>
              <w:jc w:val="left"/>
              <w:rPr>
                <w:rFonts w:hAnsi="宋体"/>
              </w:rPr>
            </w:pPr>
          </w:p>
        </w:tc>
        <w:tc>
          <w:tcPr>
            <w:tcW w:w="4353" w:type="dxa"/>
            <w:tcBorders>
              <w:top w:val="nil"/>
              <w:left w:val="single" w:color="auto" w:sz="4" w:space="0"/>
              <w:bottom w:val="single" w:color="auto" w:sz="4" w:space="0"/>
              <w:right w:val="double" w:color="auto" w:sz="6" w:space="0"/>
            </w:tcBorders>
            <w:vAlign w:val="bottom"/>
          </w:tcPr>
          <w:p>
            <w:pPr>
              <w:widowControl/>
              <w:spacing w:line="400" w:lineRule="exact"/>
              <w:jc w:val="left"/>
              <w:rPr>
                <w:rFonts w:hAnsi="宋体"/>
              </w:rPr>
            </w:pPr>
          </w:p>
        </w:tc>
      </w:tr>
      <w:tr>
        <w:tblPrEx>
          <w:tblCellMar>
            <w:top w:w="0" w:type="dxa"/>
            <w:left w:w="108" w:type="dxa"/>
            <w:bottom w:w="0" w:type="dxa"/>
            <w:right w:w="108" w:type="dxa"/>
          </w:tblCellMar>
        </w:tblPrEx>
        <w:trPr>
          <w:trHeight w:val="70" w:hRule="atLeast"/>
          <w:jc w:val="center"/>
        </w:trPr>
        <w:tc>
          <w:tcPr>
            <w:tcW w:w="525"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rPr>
            </w:pPr>
          </w:p>
        </w:tc>
        <w:tc>
          <w:tcPr>
            <w:tcW w:w="1470"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392"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440" w:type="dxa"/>
            <w:tcBorders>
              <w:top w:val="nil"/>
              <w:left w:val="nil"/>
              <w:bottom w:val="single" w:color="auto" w:sz="4" w:space="0"/>
              <w:right w:val="single" w:color="auto" w:sz="4" w:space="0"/>
            </w:tcBorders>
            <w:vAlign w:val="bottom"/>
          </w:tcPr>
          <w:p>
            <w:pPr>
              <w:widowControl/>
              <w:spacing w:line="400" w:lineRule="exact"/>
              <w:jc w:val="left"/>
              <w:rPr>
                <w:rFonts w:hAnsi="宋体"/>
              </w:rPr>
            </w:pPr>
          </w:p>
        </w:tc>
        <w:tc>
          <w:tcPr>
            <w:tcW w:w="4353" w:type="dxa"/>
            <w:tcBorders>
              <w:top w:val="nil"/>
              <w:left w:val="single" w:color="auto" w:sz="4" w:space="0"/>
              <w:bottom w:val="single" w:color="auto" w:sz="4" w:space="0"/>
              <w:right w:val="double" w:color="auto" w:sz="6" w:space="0"/>
            </w:tcBorders>
            <w:vAlign w:val="bottom"/>
          </w:tcPr>
          <w:p>
            <w:pPr>
              <w:widowControl/>
              <w:spacing w:line="400" w:lineRule="exact"/>
              <w:jc w:val="left"/>
              <w:rPr>
                <w:rFonts w:hAnsi="宋体"/>
              </w:rPr>
            </w:pPr>
          </w:p>
        </w:tc>
      </w:tr>
      <w:tr>
        <w:tblPrEx>
          <w:tblCellMar>
            <w:top w:w="0" w:type="dxa"/>
            <w:left w:w="108" w:type="dxa"/>
            <w:bottom w:w="0" w:type="dxa"/>
            <w:right w:w="108" w:type="dxa"/>
          </w:tblCellMar>
        </w:tblPrEx>
        <w:trPr>
          <w:trHeight w:val="70" w:hRule="atLeast"/>
          <w:jc w:val="center"/>
        </w:trPr>
        <w:tc>
          <w:tcPr>
            <w:tcW w:w="525"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rPr>
            </w:pPr>
          </w:p>
        </w:tc>
        <w:tc>
          <w:tcPr>
            <w:tcW w:w="1470"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392"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440" w:type="dxa"/>
            <w:tcBorders>
              <w:top w:val="nil"/>
              <w:left w:val="nil"/>
              <w:bottom w:val="single" w:color="auto" w:sz="4" w:space="0"/>
              <w:right w:val="single" w:color="auto" w:sz="4" w:space="0"/>
            </w:tcBorders>
            <w:vAlign w:val="bottom"/>
          </w:tcPr>
          <w:p>
            <w:pPr>
              <w:widowControl/>
              <w:spacing w:line="400" w:lineRule="exact"/>
              <w:jc w:val="left"/>
              <w:rPr>
                <w:rFonts w:hAnsi="宋体"/>
              </w:rPr>
            </w:pPr>
          </w:p>
        </w:tc>
        <w:tc>
          <w:tcPr>
            <w:tcW w:w="4353" w:type="dxa"/>
            <w:tcBorders>
              <w:top w:val="nil"/>
              <w:left w:val="single" w:color="auto" w:sz="4" w:space="0"/>
              <w:bottom w:val="single" w:color="auto" w:sz="4" w:space="0"/>
              <w:right w:val="double" w:color="auto" w:sz="6" w:space="0"/>
            </w:tcBorders>
            <w:vAlign w:val="bottom"/>
          </w:tcPr>
          <w:p>
            <w:pPr>
              <w:widowControl/>
              <w:spacing w:line="400" w:lineRule="exact"/>
              <w:jc w:val="left"/>
              <w:rPr>
                <w:rFonts w:hAnsi="宋体"/>
              </w:rPr>
            </w:pPr>
          </w:p>
        </w:tc>
      </w:tr>
      <w:tr>
        <w:tblPrEx>
          <w:tblCellMar>
            <w:top w:w="0" w:type="dxa"/>
            <w:left w:w="108" w:type="dxa"/>
            <w:bottom w:w="0" w:type="dxa"/>
            <w:right w:w="108" w:type="dxa"/>
          </w:tblCellMar>
        </w:tblPrEx>
        <w:trPr>
          <w:trHeight w:val="70" w:hRule="atLeast"/>
          <w:jc w:val="center"/>
        </w:trPr>
        <w:tc>
          <w:tcPr>
            <w:tcW w:w="525"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rPr>
            </w:pPr>
          </w:p>
        </w:tc>
        <w:tc>
          <w:tcPr>
            <w:tcW w:w="1470"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392"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440" w:type="dxa"/>
            <w:tcBorders>
              <w:top w:val="nil"/>
              <w:left w:val="nil"/>
              <w:bottom w:val="single" w:color="auto" w:sz="4" w:space="0"/>
              <w:right w:val="single" w:color="auto" w:sz="4" w:space="0"/>
            </w:tcBorders>
            <w:vAlign w:val="bottom"/>
          </w:tcPr>
          <w:p>
            <w:pPr>
              <w:widowControl/>
              <w:spacing w:line="400" w:lineRule="exact"/>
              <w:jc w:val="left"/>
              <w:rPr>
                <w:rFonts w:hAnsi="宋体"/>
              </w:rPr>
            </w:pPr>
          </w:p>
        </w:tc>
        <w:tc>
          <w:tcPr>
            <w:tcW w:w="4353" w:type="dxa"/>
            <w:tcBorders>
              <w:top w:val="nil"/>
              <w:left w:val="single" w:color="auto" w:sz="4" w:space="0"/>
              <w:bottom w:val="single" w:color="auto" w:sz="4" w:space="0"/>
              <w:right w:val="double" w:color="auto" w:sz="6" w:space="0"/>
            </w:tcBorders>
            <w:vAlign w:val="bottom"/>
          </w:tcPr>
          <w:p>
            <w:pPr>
              <w:widowControl/>
              <w:spacing w:line="400" w:lineRule="exact"/>
              <w:jc w:val="left"/>
              <w:rPr>
                <w:rFonts w:hAnsi="宋体"/>
              </w:rPr>
            </w:pPr>
          </w:p>
        </w:tc>
      </w:tr>
      <w:tr>
        <w:tblPrEx>
          <w:tblCellMar>
            <w:top w:w="0" w:type="dxa"/>
            <w:left w:w="108" w:type="dxa"/>
            <w:bottom w:w="0" w:type="dxa"/>
            <w:right w:w="108" w:type="dxa"/>
          </w:tblCellMar>
        </w:tblPrEx>
        <w:trPr>
          <w:trHeight w:val="70" w:hRule="atLeast"/>
          <w:jc w:val="center"/>
        </w:trPr>
        <w:tc>
          <w:tcPr>
            <w:tcW w:w="525"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rPr>
            </w:pPr>
          </w:p>
        </w:tc>
        <w:tc>
          <w:tcPr>
            <w:tcW w:w="1470"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392"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440" w:type="dxa"/>
            <w:tcBorders>
              <w:top w:val="nil"/>
              <w:left w:val="nil"/>
              <w:bottom w:val="single" w:color="auto" w:sz="4" w:space="0"/>
              <w:right w:val="single" w:color="auto" w:sz="4" w:space="0"/>
            </w:tcBorders>
            <w:vAlign w:val="bottom"/>
          </w:tcPr>
          <w:p>
            <w:pPr>
              <w:widowControl/>
              <w:spacing w:line="400" w:lineRule="exact"/>
              <w:jc w:val="left"/>
              <w:rPr>
                <w:rFonts w:hAnsi="宋体"/>
              </w:rPr>
            </w:pPr>
          </w:p>
        </w:tc>
        <w:tc>
          <w:tcPr>
            <w:tcW w:w="4353" w:type="dxa"/>
            <w:tcBorders>
              <w:top w:val="nil"/>
              <w:left w:val="single" w:color="auto" w:sz="4" w:space="0"/>
              <w:bottom w:val="single" w:color="auto" w:sz="4" w:space="0"/>
              <w:right w:val="double" w:color="auto" w:sz="6" w:space="0"/>
            </w:tcBorders>
            <w:vAlign w:val="bottom"/>
          </w:tcPr>
          <w:p>
            <w:pPr>
              <w:widowControl/>
              <w:spacing w:line="400" w:lineRule="exact"/>
              <w:jc w:val="left"/>
              <w:rPr>
                <w:rFonts w:hAnsi="宋体"/>
              </w:rPr>
            </w:pPr>
          </w:p>
        </w:tc>
      </w:tr>
      <w:tr>
        <w:tblPrEx>
          <w:tblCellMar>
            <w:top w:w="0" w:type="dxa"/>
            <w:left w:w="108" w:type="dxa"/>
            <w:bottom w:w="0" w:type="dxa"/>
            <w:right w:w="108" w:type="dxa"/>
          </w:tblCellMar>
        </w:tblPrEx>
        <w:trPr>
          <w:trHeight w:val="70" w:hRule="atLeast"/>
          <w:jc w:val="center"/>
        </w:trPr>
        <w:tc>
          <w:tcPr>
            <w:tcW w:w="525"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rPr>
            </w:pPr>
          </w:p>
        </w:tc>
        <w:tc>
          <w:tcPr>
            <w:tcW w:w="1470"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392"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440" w:type="dxa"/>
            <w:tcBorders>
              <w:top w:val="nil"/>
              <w:left w:val="nil"/>
              <w:bottom w:val="single" w:color="auto" w:sz="4" w:space="0"/>
              <w:right w:val="single" w:color="auto" w:sz="4" w:space="0"/>
            </w:tcBorders>
            <w:vAlign w:val="bottom"/>
          </w:tcPr>
          <w:p>
            <w:pPr>
              <w:widowControl/>
              <w:spacing w:line="400" w:lineRule="exact"/>
              <w:jc w:val="left"/>
              <w:rPr>
                <w:rFonts w:hAnsi="宋体"/>
              </w:rPr>
            </w:pPr>
          </w:p>
        </w:tc>
        <w:tc>
          <w:tcPr>
            <w:tcW w:w="4353" w:type="dxa"/>
            <w:tcBorders>
              <w:top w:val="nil"/>
              <w:left w:val="single" w:color="auto" w:sz="4" w:space="0"/>
              <w:bottom w:val="single" w:color="auto" w:sz="4" w:space="0"/>
              <w:right w:val="double" w:color="auto" w:sz="6" w:space="0"/>
            </w:tcBorders>
            <w:vAlign w:val="bottom"/>
          </w:tcPr>
          <w:p>
            <w:pPr>
              <w:widowControl/>
              <w:spacing w:line="400" w:lineRule="exact"/>
              <w:jc w:val="left"/>
              <w:rPr>
                <w:rFonts w:hAnsi="宋体"/>
              </w:rPr>
            </w:pPr>
          </w:p>
        </w:tc>
      </w:tr>
      <w:tr>
        <w:tblPrEx>
          <w:tblCellMar>
            <w:top w:w="0" w:type="dxa"/>
            <w:left w:w="108" w:type="dxa"/>
            <w:bottom w:w="0" w:type="dxa"/>
            <w:right w:w="108" w:type="dxa"/>
          </w:tblCellMar>
        </w:tblPrEx>
        <w:trPr>
          <w:trHeight w:val="70" w:hRule="atLeast"/>
          <w:jc w:val="center"/>
        </w:trPr>
        <w:tc>
          <w:tcPr>
            <w:tcW w:w="525"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rPr>
            </w:pPr>
          </w:p>
        </w:tc>
        <w:tc>
          <w:tcPr>
            <w:tcW w:w="1470"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392"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440" w:type="dxa"/>
            <w:tcBorders>
              <w:top w:val="nil"/>
              <w:left w:val="nil"/>
              <w:bottom w:val="single" w:color="auto" w:sz="4" w:space="0"/>
              <w:right w:val="single" w:color="auto" w:sz="4" w:space="0"/>
            </w:tcBorders>
            <w:vAlign w:val="bottom"/>
          </w:tcPr>
          <w:p>
            <w:pPr>
              <w:widowControl/>
              <w:spacing w:line="400" w:lineRule="exact"/>
              <w:jc w:val="left"/>
              <w:rPr>
                <w:rFonts w:hAnsi="宋体"/>
              </w:rPr>
            </w:pPr>
          </w:p>
        </w:tc>
        <w:tc>
          <w:tcPr>
            <w:tcW w:w="4353" w:type="dxa"/>
            <w:tcBorders>
              <w:top w:val="nil"/>
              <w:left w:val="single" w:color="auto" w:sz="4" w:space="0"/>
              <w:bottom w:val="single" w:color="auto" w:sz="4" w:space="0"/>
              <w:right w:val="double" w:color="auto" w:sz="6" w:space="0"/>
            </w:tcBorders>
            <w:vAlign w:val="bottom"/>
          </w:tcPr>
          <w:p>
            <w:pPr>
              <w:widowControl/>
              <w:spacing w:line="400" w:lineRule="exact"/>
              <w:jc w:val="left"/>
              <w:rPr>
                <w:rFonts w:hAnsi="宋体"/>
              </w:rPr>
            </w:pPr>
          </w:p>
        </w:tc>
      </w:tr>
      <w:tr>
        <w:tblPrEx>
          <w:tblCellMar>
            <w:top w:w="0" w:type="dxa"/>
            <w:left w:w="108" w:type="dxa"/>
            <w:bottom w:w="0" w:type="dxa"/>
            <w:right w:w="108" w:type="dxa"/>
          </w:tblCellMar>
        </w:tblPrEx>
        <w:trPr>
          <w:trHeight w:val="70" w:hRule="atLeast"/>
          <w:jc w:val="center"/>
        </w:trPr>
        <w:tc>
          <w:tcPr>
            <w:tcW w:w="525"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rPr>
            </w:pPr>
          </w:p>
        </w:tc>
        <w:tc>
          <w:tcPr>
            <w:tcW w:w="1470"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392"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440" w:type="dxa"/>
            <w:tcBorders>
              <w:top w:val="nil"/>
              <w:left w:val="nil"/>
              <w:bottom w:val="single" w:color="auto" w:sz="4" w:space="0"/>
              <w:right w:val="single" w:color="auto" w:sz="4" w:space="0"/>
            </w:tcBorders>
            <w:vAlign w:val="bottom"/>
          </w:tcPr>
          <w:p>
            <w:pPr>
              <w:widowControl/>
              <w:spacing w:line="400" w:lineRule="exact"/>
              <w:jc w:val="left"/>
              <w:rPr>
                <w:rFonts w:hAnsi="宋体"/>
              </w:rPr>
            </w:pPr>
          </w:p>
        </w:tc>
        <w:tc>
          <w:tcPr>
            <w:tcW w:w="4353" w:type="dxa"/>
            <w:tcBorders>
              <w:top w:val="nil"/>
              <w:left w:val="single" w:color="auto" w:sz="4" w:space="0"/>
              <w:bottom w:val="single" w:color="auto" w:sz="4" w:space="0"/>
              <w:right w:val="double" w:color="auto" w:sz="6" w:space="0"/>
            </w:tcBorders>
            <w:vAlign w:val="bottom"/>
          </w:tcPr>
          <w:p>
            <w:pPr>
              <w:widowControl/>
              <w:spacing w:line="400" w:lineRule="exact"/>
              <w:jc w:val="left"/>
              <w:rPr>
                <w:rFonts w:hAnsi="宋体"/>
              </w:rPr>
            </w:pPr>
          </w:p>
        </w:tc>
      </w:tr>
      <w:tr>
        <w:tblPrEx>
          <w:tblCellMar>
            <w:top w:w="0" w:type="dxa"/>
            <w:left w:w="108" w:type="dxa"/>
            <w:bottom w:w="0" w:type="dxa"/>
            <w:right w:w="108" w:type="dxa"/>
          </w:tblCellMar>
        </w:tblPrEx>
        <w:trPr>
          <w:trHeight w:val="70" w:hRule="atLeast"/>
          <w:jc w:val="center"/>
        </w:trPr>
        <w:tc>
          <w:tcPr>
            <w:tcW w:w="525"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rPr>
            </w:pPr>
          </w:p>
        </w:tc>
        <w:tc>
          <w:tcPr>
            <w:tcW w:w="1470"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392"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440" w:type="dxa"/>
            <w:tcBorders>
              <w:top w:val="nil"/>
              <w:left w:val="nil"/>
              <w:bottom w:val="single" w:color="auto" w:sz="4" w:space="0"/>
              <w:right w:val="single" w:color="auto" w:sz="4" w:space="0"/>
            </w:tcBorders>
            <w:vAlign w:val="bottom"/>
          </w:tcPr>
          <w:p>
            <w:pPr>
              <w:widowControl/>
              <w:spacing w:line="400" w:lineRule="exact"/>
              <w:jc w:val="left"/>
              <w:rPr>
                <w:rFonts w:hAnsi="宋体"/>
              </w:rPr>
            </w:pPr>
          </w:p>
        </w:tc>
        <w:tc>
          <w:tcPr>
            <w:tcW w:w="4353" w:type="dxa"/>
            <w:tcBorders>
              <w:top w:val="nil"/>
              <w:left w:val="single" w:color="auto" w:sz="4" w:space="0"/>
              <w:bottom w:val="single" w:color="auto" w:sz="4" w:space="0"/>
              <w:right w:val="double" w:color="auto" w:sz="6" w:space="0"/>
            </w:tcBorders>
            <w:vAlign w:val="bottom"/>
          </w:tcPr>
          <w:p>
            <w:pPr>
              <w:widowControl/>
              <w:spacing w:line="400" w:lineRule="exact"/>
              <w:jc w:val="left"/>
              <w:rPr>
                <w:rFonts w:hAnsi="宋体"/>
              </w:rPr>
            </w:pPr>
          </w:p>
        </w:tc>
      </w:tr>
      <w:tr>
        <w:tblPrEx>
          <w:tblCellMar>
            <w:top w:w="0" w:type="dxa"/>
            <w:left w:w="108" w:type="dxa"/>
            <w:bottom w:w="0" w:type="dxa"/>
            <w:right w:w="108" w:type="dxa"/>
          </w:tblCellMar>
        </w:tblPrEx>
        <w:trPr>
          <w:trHeight w:val="70" w:hRule="atLeast"/>
          <w:jc w:val="center"/>
        </w:trPr>
        <w:tc>
          <w:tcPr>
            <w:tcW w:w="525"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rPr>
            </w:pPr>
          </w:p>
        </w:tc>
        <w:tc>
          <w:tcPr>
            <w:tcW w:w="1470"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392"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440" w:type="dxa"/>
            <w:tcBorders>
              <w:top w:val="nil"/>
              <w:left w:val="nil"/>
              <w:bottom w:val="single" w:color="auto" w:sz="4" w:space="0"/>
              <w:right w:val="single" w:color="auto" w:sz="4" w:space="0"/>
            </w:tcBorders>
            <w:vAlign w:val="bottom"/>
          </w:tcPr>
          <w:p>
            <w:pPr>
              <w:widowControl/>
              <w:spacing w:line="400" w:lineRule="exact"/>
              <w:jc w:val="left"/>
              <w:rPr>
                <w:rFonts w:hAnsi="宋体"/>
              </w:rPr>
            </w:pPr>
          </w:p>
        </w:tc>
        <w:tc>
          <w:tcPr>
            <w:tcW w:w="4353" w:type="dxa"/>
            <w:tcBorders>
              <w:top w:val="nil"/>
              <w:left w:val="single" w:color="auto" w:sz="4" w:space="0"/>
              <w:bottom w:val="single" w:color="auto" w:sz="4" w:space="0"/>
              <w:right w:val="double" w:color="auto" w:sz="6" w:space="0"/>
            </w:tcBorders>
            <w:vAlign w:val="bottom"/>
          </w:tcPr>
          <w:p>
            <w:pPr>
              <w:widowControl/>
              <w:spacing w:line="400" w:lineRule="exact"/>
              <w:jc w:val="left"/>
              <w:rPr>
                <w:rFonts w:hAnsi="宋体"/>
              </w:rPr>
            </w:pPr>
          </w:p>
        </w:tc>
      </w:tr>
      <w:tr>
        <w:tblPrEx>
          <w:tblCellMar>
            <w:top w:w="0" w:type="dxa"/>
            <w:left w:w="108" w:type="dxa"/>
            <w:bottom w:w="0" w:type="dxa"/>
            <w:right w:w="108" w:type="dxa"/>
          </w:tblCellMar>
        </w:tblPrEx>
        <w:trPr>
          <w:trHeight w:val="70" w:hRule="atLeast"/>
          <w:jc w:val="center"/>
        </w:trPr>
        <w:tc>
          <w:tcPr>
            <w:tcW w:w="525"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rPr>
            </w:pPr>
          </w:p>
        </w:tc>
        <w:tc>
          <w:tcPr>
            <w:tcW w:w="1470"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392"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440" w:type="dxa"/>
            <w:tcBorders>
              <w:top w:val="nil"/>
              <w:left w:val="nil"/>
              <w:bottom w:val="single" w:color="auto" w:sz="4" w:space="0"/>
              <w:right w:val="single" w:color="auto" w:sz="4" w:space="0"/>
            </w:tcBorders>
            <w:vAlign w:val="bottom"/>
          </w:tcPr>
          <w:p>
            <w:pPr>
              <w:widowControl/>
              <w:spacing w:line="400" w:lineRule="exact"/>
              <w:jc w:val="left"/>
              <w:rPr>
                <w:rFonts w:hAnsi="宋体"/>
              </w:rPr>
            </w:pPr>
          </w:p>
        </w:tc>
        <w:tc>
          <w:tcPr>
            <w:tcW w:w="4353" w:type="dxa"/>
            <w:tcBorders>
              <w:top w:val="nil"/>
              <w:left w:val="single" w:color="auto" w:sz="4" w:space="0"/>
              <w:bottom w:val="single" w:color="auto" w:sz="4" w:space="0"/>
              <w:right w:val="double" w:color="auto" w:sz="6" w:space="0"/>
            </w:tcBorders>
            <w:vAlign w:val="bottom"/>
          </w:tcPr>
          <w:p>
            <w:pPr>
              <w:widowControl/>
              <w:spacing w:line="400" w:lineRule="exact"/>
              <w:jc w:val="left"/>
              <w:rPr>
                <w:rFonts w:hAnsi="宋体"/>
              </w:rPr>
            </w:pPr>
          </w:p>
        </w:tc>
      </w:tr>
      <w:tr>
        <w:tblPrEx>
          <w:tblCellMar>
            <w:top w:w="0" w:type="dxa"/>
            <w:left w:w="108" w:type="dxa"/>
            <w:bottom w:w="0" w:type="dxa"/>
            <w:right w:w="108" w:type="dxa"/>
          </w:tblCellMar>
        </w:tblPrEx>
        <w:trPr>
          <w:trHeight w:val="70" w:hRule="atLeast"/>
          <w:jc w:val="center"/>
        </w:trPr>
        <w:tc>
          <w:tcPr>
            <w:tcW w:w="525"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rPr>
            </w:pPr>
          </w:p>
        </w:tc>
        <w:tc>
          <w:tcPr>
            <w:tcW w:w="1470"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392"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440" w:type="dxa"/>
            <w:tcBorders>
              <w:top w:val="nil"/>
              <w:left w:val="nil"/>
              <w:bottom w:val="single" w:color="auto" w:sz="4" w:space="0"/>
              <w:right w:val="single" w:color="auto" w:sz="4" w:space="0"/>
            </w:tcBorders>
            <w:vAlign w:val="bottom"/>
          </w:tcPr>
          <w:p>
            <w:pPr>
              <w:widowControl/>
              <w:spacing w:line="400" w:lineRule="exact"/>
              <w:jc w:val="left"/>
              <w:rPr>
                <w:rFonts w:hAnsi="宋体"/>
              </w:rPr>
            </w:pPr>
          </w:p>
        </w:tc>
        <w:tc>
          <w:tcPr>
            <w:tcW w:w="4353" w:type="dxa"/>
            <w:tcBorders>
              <w:top w:val="nil"/>
              <w:left w:val="single" w:color="auto" w:sz="4" w:space="0"/>
              <w:bottom w:val="single" w:color="auto" w:sz="4" w:space="0"/>
              <w:right w:val="double" w:color="auto" w:sz="6" w:space="0"/>
            </w:tcBorders>
            <w:vAlign w:val="bottom"/>
          </w:tcPr>
          <w:p>
            <w:pPr>
              <w:widowControl/>
              <w:spacing w:line="400" w:lineRule="exact"/>
              <w:jc w:val="left"/>
              <w:rPr>
                <w:rFonts w:hAnsi="宋体"/>
              </w:rPr>
            </w:pPr>
          </w:p>
        </w:tc>
      </w:tr>
      <w:tr>
        <w:tblPrEx>
          <w:tblCellMar>
            <w:top w:w="0" w:type="dxa"/>
            <w:left w:w="108" w:type="dxa"/>
            <w:bottom w:w="0" w:type="dxa"/>
            <w:right w:w="108" w:type="dxa"/>
          </w:tblCellMar>
        </w:tblPrEx>
        <w:trPr>
          <w:trHeight w:val="70" w:hRule="atLeast"/>
          <w:jc w:val="center"/>
        </w:trPr>
        <w:tc>
          <w:tcPr>
            <w:tcW w:w="525"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rPr>
            </w:pPr>
          </w:p>
        </w:tc>
        <w:tc>
          <w:tcPr>
            <w:tcW w:w="1470"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392"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440" w:type="dxa"/>
            <w:tcBorders>
              <w:top w:val="nil"/>
              <w:left w:val="nil"/>
              <w:bottom w:val="single" w:color="auto" w:sz="4" w:space="0"/>
              <w:right w:val="single" w:color="auto" w:sz="4" w:space="0"/>
            </w:tcBorders>
            <w:vAlign w:val="bottom"/>
          </w:tcPr>
          <w:p>
            <w:pPr>
              <w:widowControl/>
              <w:spacing w:line="400" w:lineRule="exact"/>
              <w:jc w:val="left"/>
              <w:rPr>
                <w:rFonts w:hAnsi="宋体"/>
              </w:rPr>
            </w:pPr>
          </w:p>
        </w:tc>
        <w:tc>
          <w:tcPr>
            <w:tcW w:w="4353" w:type="dxa"/>
            <w:tcBorders>
              <w:top w:val="nil"/>
              <w:left w:val="single" w:color="auto" w:sz="4" w:space="0"/>
              <w:bottom w:val="single" w:color="auto" w:sz="4" w:space="0"/>
              <w:right w:val="double" w:color="auto" w:sz="6" w:space="0"/>
            </w:tcBorders>
            <w:vAlign w:val="bottom"/>
          </w:tcPr>
          <w:p>
            <w:pPr>
              <w:widowControl/>
              <w:spacing w:line="400" w:lineRule="exact"/>
              <w:jc w:val="left"/>
              <w:rPr>
                <w:rFonts w:hAnsi="宋体"/>
              </w:rPr>
            </w:pPr>
          </w:p>
        </w:tc>
      </w:tr>
      <w:tr>
        <w:tblPrEx>
          <w:tblCellMar>
            <w:top w:w="0" w:type="dxa"/>
            <w:left w:w="108" w:type="dxa"/>
            <w:bottom w:w="0" w:type="dxa"/>
            <w:right w:w="108" w:type="dxa"/>
          </w:tblCellMar>
        </w:tblPrEx>
        <w:trPr>
          <w:trHeight w:val="70" w:hRule="atLeast"/>
          <w:jc w:val="center"/>
        </w:trPr>
        <w:tc>
          <w:tcPr>
            <w:tcW w:w="525"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rPr>
            </w:pPr>
          </w:p>
        </w:tc>
        <w:tc>
          <w:tcPr>
            <w:tcW w:w="1470"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392"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440" w:type="dxa"/>
            <w:tcBorders>
              <w:top w:val="nil"/>
              <w:left w:val="nil"/>
              <w:bottom w:val="single" w:color="auto" w:sz="4" w:space="0"/>
              <w:right w:val="single" w:color="auto" w:sz="4" w:space="0"/>
            </w:tcBorders>
            <w:vAlign w:val="bottom"/>
          </w:tcPr>
          <w:p>
            <w:pPr>
              <w:widowControl/>
              <w:spacing w:line="400" w:lineRule="exact"/>
              <w:jc w:val="left"/>
              <w:rPr>
                <w:rFonts w:hAnsi="宋体"/>
              </w:rPr>
            </w:pPr>
          </w:p>
        </w:tc>
        <w:tc>
          <w:tcPr>
            <w:tcW w:w="4353" w:type="dxa"/>
            <w:tcBorders>
              <w:top w:val="nil"/>
              <w:left w:val="single" w:color="auto" w:sz="4" w:space="0"/>
              <w:bottom w:val="single" w:color="auto" w:sz="4" w:space="0"/>
              <w:right w:val="double" w:color="auto" w:sz="6" w:space="0"/>
            </w:tcBorders>
            <w:vAlign w:val="bottom"/>
          </w:tcPr>
          <w:p>
            <w:pPr>
              <w:widowControl/>
              <w:spacing w:line="400" w:lineRule="exact"/>
              <w:jc w:val="left"/>
              <w:rPr>
                <w:rFonts w:hAnsi="宋体"/>
              </w:rPr>
            </w:pPr>
          </w:p>
        </w:tc>
      </w:tr>
      <w:tr>
        <w:tblPrEx>
          <w:tblCellMar>
            <w:top w:w="0" w:type="dxa"/>
            <w:left w:w="108" w:type="dxa"/>
            <w:bottom w:w="0" w:type="dxa"/>
            <w:right w:w="108" w:type="dxa"/>
          </w:tblCellMar>
        </w:tblPrEx>
        <w:trPr>
          <w:trHeight w:val="70" w:hRule="atLeast"/>
          <w:jc w:val="center"/>
        </w:trPr>
        <w:tc>
          <w:tcPr>
            <w:tcW w:w="525"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rPr>
            </w:pPr>
          </w:p>
        </w:tc>
        <w:tc>
          <w:tcPr>
            <w:tcW w:w="1470"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392"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440" w:type="dxa"/>
            <w:tcBorders>
              <w:top w:val="nil"/>
              <w:left w:val="nil"/>
              <w:bottom w:val="single" w:color="auto" w:sz="4" w:space="0"/>
              <w:right w:val="single" w:color="auto" w:sz="4" w:space="0"/>
            </w:tcBorders>
            <w:vAlign w:val="bottom"/>
          </w:tcPr>
          <w:p>
            <w:pPr>
              <w:widowControl/>
              <w:spacing w:line="400" w:lineRule="exact"/>
              <w:jc w:val="left"/>
              <w:rPr>
                <w:rFonts w:hAnsi="宋体"/>
              </w:rPr>
            </w:pPr>
          </w:p>
        </w:tc>
        <w:tc>
          <w:tcPr>
            <w:tcW w:w="4353" w:type="dxa"/>
            <w:tcBorders>
              <w:top w:val="nil"/>
              <w:left w:val="single" w:color="auto" w:sz="4" w:space="0"/>
              <w:bottom w:val="single" w:color="auto" w:sz="4" w:space="0"/>
              <w:right w:val="double" w:color="auto" w:sz="6" w:space="0"/>
            </w:tcBorders>
            <w:vAlign w:val="bottom"/>
          </w:tcPr>
          <w:p>
            <w:pPr>
              <w:widowControl/>
              <w:spacing w:line="400" w:lineRule="exact"/>
              <w:jc w:val="left"/>
              <w:rPr>
                <w:rFonts w:hAnsi="宋体"/>
              </w:rPr>
            </w:pPr>
          </w:p>
        </w:tc>
      </w:tr>
      <w:tr>
        <w:tblPrEx>
          <w:tblCellMar>
            <w:top w:w="0" w:type="dxa"/>
            <w:left w:w="108" w:type="dxa"/>
            <w:bottom w:w="0" w:type="dxa"/>
            <w:right w:w="108" w:type="dxa"/>
          </w:tblCellMar>
        </w:tblPrEx>
        <w:trPr>
          <w:trHeight w:val="70" w:hRule="atLeast"/>
          <w:jc w:val="center"/>
        </w:trPr>
        <w:tc>
          <w:tcPr>
            <w:tcW w:w="525"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rPr>
            </w:pPr>
          </w:p>
        </w:tc>
        <w:tc>
          <w:tcPr>
            <w:tcW w:w="1470"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392"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440" w:type="dxa"/>
            <w:tcBorders>
              <w:top w:val="nil"/>
              <w:left w:val="nil"/>
              <w:bottom w:val="single" w:color="auto" w:sz="4" w:space="0"/>
              <w:right w:val="single" w:color="auto" w:sz="4" w:space="0"/>
            </w:tcBorders>
            <w:vAlign w:val="bottom"/>
          </w:tcPr>
          <w:p>
            <w:pPr>
              <w:widowControl/>
              <w:spacing w:line="400" w:lineRule="exact"/>
              <w:jc w:val="left"/>
              <w:rPr>
                <w:rFonts w:hAnsi="宋体"/>
              </w:rPr>
            </w:pPr>
          </w:p>
        </w:tc>
        <w:tc>
          <w:tcPr>
            <w:tcW w:w="4353" w:type="dxa"/>
            <w:tcBorders>
              <w:top w:val="nil"/>
              <w:left w:val="single" w:color="auto" w:sz="4" w:space="0"/>
              <w:bottom w:val="single" w:color="auto" w:sz="4" w:space="0"/>
              <w:right w:val="double" w:color="auto" w:sz="6" w:space="0"/>
            </w:tcBorders>
            <w:vAlign w:val="bottom"/>
          </w:tcPr>
          <w:p>
            <w:pPr>
              <w:widowControl/>
              <w:spacing w:line="400" w:lineRule="exact"/>
              <w:jc w:val="left"/>
              <w:rPr>
                <w:rFonts w:hAnsi="宋体"/>
              </w:rPr>
            </w:pPr>
          </w:p>
        </w:tc>
      </w:tr>
      <w:tr>
        <w:tblPrEx>
          <w:tblCellMar>
            <w:top w:w="0" w:type="dxa"/>
            <w:left w:w="108" w:type="dxa"/>
            <w:bottom w:w="0" w:type="dxa"/>
            <w:right w:w="108" w:type="dxa"/>
          </w:tblCellMar>
        </w:tblPrEx>
        <w:trPr>
          <w:trHeight w:val="123" w:hRule="atLeast"/>
          <w:jc w:val="center"/>
        </w:trPr>
        <w:tc>
          <w:tcPr>
            <w:tcW w:w="525"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rPr>
            </w:pPr>
          </w:p>
        </w:tc>
        <w:tc>
          <w:tcPr>
            <w:tcW w:w="1470"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392"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440" w:type="dxa"/>
            <w:tcBorders>
              <w:top w:val="nil"/>
              <w:left w:val="nil"/>
              <w:bottom w:val="single" w:color="auto" w:sz="4" w:space="0"/>
              <w:right w:val="single" w:color="auto" w:sz="4" w:space="0"/>
            </w:tcBorders>
            <w:vAlign w:val="bottom"/>
          </w:tcPr>
          <w:p>
            <w:pPr>
              <w:widowControl/>
              <w:spacing w:line="400" w:lineRule="exact"/>
              <w:jc w:val="left"/>
              <w:rPr>
                <w:rFonts w:hAnsi="宋体"/>
              </w:rPr>
            </w:pPr>
          </w:p>
        </w:tc>
        <w:tc>
          <w:tcPr>
            <w:tcW w:w="4353" w:type="dxa"/>
            <w:tcBorders>
              <w:top w:val="nil"/>
              <w:left w:val="single" w:color="auto" w:sz="4" w:space="0"/>
              <w:bottom w:val="single" w:color="auto" w:sz="4" w:space="0"/>
              <w:right w:val="double" w:color="auto" w:sz="6" w:space="0"/>
            </w:tcBorders>
            <w:vAlign w:val="bottom"/>
          </w:tcPr>
          <w:p>
            <w:pPr>
              <w:widowControl/>
              <w:spacing w:line="400" w:lineRule="exact"/>
              <w:jc w:val="left"/>
              <w:rPr>
                <w:rFonts w:hAnsi="宋体"/>
              </w:rPr>
            </w:pPr>
          </w:p>
        </w:tc>
      </w:tr>
      <w:tr>
        <w:tblPrEx>
          <w:tblCellMar>
            <w:top w:w="0" w:type="dxa"/>
            <w:left w:w="108" w:type="dxa"/>
            <w:bottom w:w="0" w:type="dxa"/>
            <w:right w:w="108" w:type="dxa"/>
          </w:tblCellMar>
        </w:tblPrEx>
        <w:trPr>
          <w:trHeight w:val="186" w:hRule="atLeast"/>
          <w:jc w:val="center"/>
        </w:trPr>
        <w:tc>
          <w:tcPr>
            <w:tcW w:w="525"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rPr>
            </w:pPr>
          </w:p>
        </w:tc>
        <w:tc>
          <w:tcPr>
            <w:tcW w:w="1470"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392"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440" w:type="dxa"/>
            <w:tcBorders>
              <w:top w:val="nil"/>
              <w:left w:val="nil"/>
              <w:bottom w:val="single" w:color="auto" w:sz="4" w:space="0"/>
              <w:right w:val="single" w:color="auto" w:sz="4" w:space="0"/>
            </w:tcBorders>
            <w:vAlign w:val="bottom"/>
          </w:tcPr>
          <w:p>
            <w:pPr>
              <w:widowControl/>
              <w:spacing w:line="400" w:lineRule="exact"/>
              <w:jc w:val="left"/>
              <w:rPr>
                <w:rFonts w:hAnsi="宋体"/>
              </w:rPr>
            </w:pPr>
          </w:p>
        </w:tc>
        <w:tc>
          <w:tcPr>
            <w:tcW w:w="4353" w:type="dxa"/>
            <w:tcBorders>
              <w:top w:val="nil"/>
              <w:left w:val="single" w:color="auto" w:sz="4" w:space="0"/>
              <w:bottom w:val="single" w:color="auto" w:sz="4" w:space="0"/>
              <w:right w:val="double" w:color="auto" w:sz="6" w:space="0"/>
            </w:tcBorders>
            <w:vAlign w:val="bottom"/>
          </w:tcPr>
          <w:p>
            <w:pPr>
              <w:widowControl/>
              <w:spacing w:line="400" w:lineRule="exact"/>
              <w:jc w:val="left"/>
              <w:rPr>
                <w:rFonts w:hAnsi="宋体"/>
              </w:rPr>
            </w:pPr>
          </w:p>
        </w:tc>
      </w:tr>
      <w:tr>
        <w:tblPrEx>
          <w:tblCellMar>
            <w:top w:w="0" w:type="dxa"/>
            <w:left w:w="108" w:type="dxa"/>
            <w:bottom w:w="0" w:type="dxa"/>
            <w:right w:w="108" w:type="dxa"/>
          </w:tblCellMar>
        </w:tblPrEx>
        <w:trPr>
          <w:trHeight w:val="233" w:hRule="atLeast"/>
          <w:jc w:val="center"/>
        </w:trPr>
        <w:tc>
          <w:tcPr>
            <w:tcW w:w="525"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rPr>
            </w:pPr>
          </w:p>
        </w:tc>
        <w:tc>
          <w:tcPr>
            <w:tcW w:w="1470" w:type="dxa"/>
            <w:tcBorders>
              <w:top w:val="nil"/>
              <w:left w:val="nil"/>
              <w:bottom w:val="single" w:color="auto" w:sz="4" w:space="0"/>
              <w:right w:val="single" w:color="auto" w:sz="4" w:space="0"/>
            </w:tcBorders>
            <w:vAlign w:val="center"/>
          </w:tcPr>
          <w:p>
            <w:pPr>
              <w:widowControl/>
              <w:spacing w:line="400" w:lineRule="exact"/>
              <w:jc w:val="left"/>
              <w:rPr>
                <w:rFonts w:hAnsi="宋体"/>
              </w:rPr>
            </w:pPr>
          </w:p>
        </w:tc>
        <w:tc>
          <w:tcPr>
            <w:tcW w:w="1392" w:type="dxa"/>
            <w:tcBorders>
              <w:top w:val="nil"/>
              <w:left w:val="single" w:color="auto" w:sz="4" w:space="0"/>
              <w:bottom w:val="single" w:color="auto" w:sz="4" w:space="0"/>
              <w:right w:val="single" w:color="auto" w:sz="4" w:space="0"/>
            </w:tcBorders>
            <w:vAlign w:val="center"/>
          </w:tcPr>
          <w:p>
            <w:pPr>
              <w:widowControl/>
              <w:spacing w:line="400" w:lineRule="exact"/>
              <w:jc w:val="left"/>
              <w:rPr>
                <w:rFonts w:hAnsi="宋体"/>
              </w:rPr>
            </w:pPr>
          </w:p>
        </w:tc>
        <w:tc>
          <w:tcPr>
            <w:tcW w:w="1440" w:type="dxa"/>
            <w:tcBorders>
              <w:top w:val="nil"/>
              <w:left w:val="nil"/>
              <w:bottom w:val="single" w:color="auto" w:sz="4" w:space="0"/>
              <w:right w:val="single" w:color="auto" w:sz="4" w:space="0"/>
            </w:tcBorders>
            <w:vAlign w:val="bottom"/>
          </w:tcPr>
          <w:p>
            <w:pPr>
              <w:widowControl/>
              <w:spacing w:line="400" w:lineRule="exact"/>
              <w:jc w:val="left"/>
              <w:rPr>
                <w:rFonts w:hAnsi="宋体"/>
              </w:rPr>
            </w:pPr>
          </w:p>
        </w:tc>
        <w:tc>
          <w:tcPr>
            <w:tcW w:w="4353" w:type="dxa"/>
            <w:tcBorders>
              <w:top w:val="nil"/>
              <w:left w:val="single" w:color="auto" w:sz="4" w:space="0"/>
              <w:bottom w:val="single" w:color="auto" w:sz="4" w:space="0"/>
              <w:right w:val="double" w:color="auto" w:sz="6" w:space="0"/>
            </w:tcBorders>
            <w:vAlign w:val="bottom"/>
          </w:tcPr>
          <w:p>
            <w:pPr>
              <w:widowControl/>
              <w:spacing w:line="400" w:lineRule="exact"/>
              <w:jc w:val="left"/>
              <w:rPr>
                <w:rFonts w:hAnsi="宋体"/>
              </w:rPr>
            </w:pPr>
          </w:p>
        </w:tc>
      </w:tr>
      <w:tr>
        <w:tblPrEx>
          <w:tblCellMar>
            <w:top w:w="0" w:type="dxa"/>
            <w:left w:w="108" w:type="dxa"/>
            <w:bottom w:w="0" w:type="dxa"/>
            <w:right w:w="108" w:type="dxa"/>
          </w:tblCellMar>
        </w:tblPrEx>
        <w:trPr>
          <w:trHeight w:val="70" w:hRule="atLeast"/>
          <w:jc w:val="center"/>
        </w:trPr>
        <w:tc>
          <w:tcPr>
            <w:tcW w:w="525" w:type="dxa"/>
            <w:tcBorders>
              <w:top w:val="nil"/>
              <w:left w:val="double" w:color="auto" w:sz="6" w:space="0"/>
              <w:bottom w:val="double" w:color="auto" w:sz="6" w:space="0"/>
              <w:right w:val="single" w:color="auto" w:sz="4" w:space="0"/>
            </w:tcBorders>
            <w:vAlign w:val="center"/>
          </w:tcPr>
          <w:p>
            <w:pPr>
              <w:widowControl/>
              <w:spacing w:line="400" w:lineRule="exact"/>
              <w:jc w:val="center"/>
              <w:rPr>
                <w:rFonts w:hAnsi="宋体"/>
              </w:rPr>
            </w:pPr>
          </w:p>
        </w:tc>
        <w:tc>
          <w:tcPr>
            <w:tcW w:w="1470" w:type="dxa"/>
            <w:tcBorders>
              <w:top w:val="single" w:color="auto" w:sz="4" w:space="0"/>
              <w:left w:val="nil"/>
              <w:bottom w:val="double" w:color="auto" w:sz="6" w:space="0"/>
              <w:right w:val="single" w:color="auto" w:sz="4" w:space="0"/>
            </w:tcBorders>
            <w:vAlign w:val="center"/>
          </w:tcPr>
          <w:p>
            <w:pPr>
              <w:widowControl/>
              <w:spacing w:line="400" w:lineRule="exact"/>
              <w:jc w:val="left"/>
              <w:rPr>
                <w:rFonts w:hAnsi="宋体"/>
              </w:rPr>
            </w:pPr>
          </w:p>
        </w:tc>
        <w:tc>
          <w:tcPr>
            <w:tcW w:w="1392" w:type="dxa"/>
            <w:tcBorders>
              <w:top w:val="single" w:color="auto" w:sz="4" w:space="0"/>
              <w:left w:val="single" w:color="auto" w:sz="4" w:space="0"/>
              <w:bottom w:val="double" w:color="auto" w:sz="6" w:space="0"/>
              <w:right w:val="single" w:color="auto" w:sz="4" w:space="0"/>
            </w:tcBorders>
            <w:vAlign w:val="center"/>
          </w:tcPr>
          <w:p>
            <w:pPr>
              <w:widowControl/>
              <w:spacing w:line="400" w:lineRule="exact"/>
              <w:jc w:val="left"/>
              <w:rPr>
                <w:rFonts w:hAnsi="宋体"/>
              </w:rPr>
            </w:pPr>
          </w:p>
        </w:tc>
        <w:tc>
          <w:tcPr>
            <w:tcW w:w="1440" w:type="dxa"/>
            <w:tcBorders>
              <w:top w:val="nil"/>
              <w:left w:val="nil"/>
              <w:bottom w:val="double" w:color="auto" w:sz="6" w:space="0"/>
              <w:right w:val="single" w:color="auto" w:sz="4" w:space="0"/>
            </w:tcBorders>
            <w:vAlign w:val="bottom"/>
          </w:tcPr>
          <w:p>
            <w:pPr>
              <w:widowControl/>
              <w:spacing w:line="400" w:lineRule="exact"/>
              <w:jc w:val="left"/>
              <w:rPr>
                <w:rFonts w:hAnsi="宋体"/>
              </w:rPr>
            </w:pPr>
          </w:p>
        </w:tc>
        <w:tc>
          <w:tcPr>
            <w:tcW w:w="4353" w:type="dxa"/>
            <w:tcBorders>
              <w:top w:val="nil"/>
              <w:left w:val="single" w:color="auto" w:sz="4" w:space="0"/>
              <w:bottom w:val="double" w:color="auto" w:sz="6" w:space="0"/>
              <w:right w:val="double" w:color="auto" w:sz="6" w:space="0"/>
            </w:tcBorders>
          </w:tcPr>
          <w:p>
            <w:pPr>
              <w:widowControl/>
              <w:spacing w:line="400" w:lineRule="exact"/>
              <w:jc w:val="left"/>
              <w:rPr>
                <w:rFonts w:hAnsi="宋体"/>
              </w:rPr>
            </w:pPr>
          </w:p>
        </w:tc>
      </w:tr>
    </w:tbl>
    <w:p>
      <w:pPr>
        <w:spacing w:line="360" w:lineRule="auto"/>
        <w:jc w:val="center"/>
        <w:rPr>
          <w:rFonts w:hAnsi="宋体"/>
          <w:sz w:val="32"/>
          <w:szCs w:val="32"/>
        </w:rPr>
      </w:pPr>
    </w:p>
    <w:p>
      <w:pPr>
        <w:spacing w:line="360" w:lineRule="auto"/>
        <w:jc w:val="center"/>
        <w:rPr>
          <w:rFonts w:hAnsi="宋体"/>
          <w:sz w:val="32"/>
          <w:szCs w:val="32"/>
        </w:rPr>
      </w:pPr>
    </w:p>
    <w:p>
      <w:pPr>
        <w:widowControl/>
        <w:spacing w:line="400" w:lineRule="exact"/>
        <w:jc w:val="center"/>
        <w:rPr>
          <w:rFonts w:ascii="宋体" w:hAnsi="宋体"/>
          <w:sz w:val="28"/>
          <w:szCs w:val="36"/>
        </w:rPr>
      </w:pPr>
      <w:r>
        <w:rPr>
          <w:rFonts w:ascii="宋体" w:hAnsi="宋体"/>
          <w:sz w:val="28"/>
          <w:szCs w:val="36"/>
        </w:rPr>
        <w:br w:type="page"/>
      </w:r>
    </w:p>
    <w:p>
      <w:pPr>
        <w:tabs>
          <w:tab w:val="left" w:pos="720"/>
        </w:tabs>
        <w:snapToGrid w:val="0"/>
        <w:spacing w:line="400" w:lineRule="exact"/>
        <w:rPr>
          <w:rFonts w:ascii="宋体" w:hAnsi="宋体"/>
          <w:b/>
          <w:szCs w:val="21"/>
        </w:rPr>
      </w:pPr>
      <w:r>
        <w:rPr>
          <w:rFonts w:hint="eastAsia" w:ascii="宋体" w:hAnsi="宋体"/>
          <w:b/>
          <w:szCs w:val="21"/>
        </w:rPr>
        <w:t>格式十二</w:t>
      </w:r>
    </w:p>
    <w:p>
      <w:pPr>
        <w:spacing w:line="400" w:lineRule="exact"/>
        <w:jc w:val="center"/>
        <w:rPr>
          <w:rFonts w:ascii="宋体" w:hAnsi="宋体"/>
          <w:b/>
          <w:szCs w:val="21"/>
        </w:rPr>
      </w:pPr>
    </w:p>
    <w:p>
      <w:pPr>
        <w:spacing w:line="400" w:lineRule="exact"/>
        <w:jc w:val="center"/>
        <w:rPr>
          <w:rFonts w:ascii="宋体" w:hAnsi="宋体"/>
          <w:b/>
          <w:sz w:val="28"/>
          <w:szCs w:val="28"/>
        </w:rPr>
      </w:pPr>
      <w:r>
        <w:rPr>
          <w:rFonts w:hint="eastAsia" w:ascii="宋体" w:hAnsi="宋体"/>
          <w:b/>
          <w:sz w:val="28"/>
          <w:szCs w:val="28"/>
        </w:rPr>
        <w:t>关于提交资料真实性的承诺书</w:t>
      </w:r>
    </w:p>
    <w:p>
      <w:pPr>
        <w:spacing w:line="400" w:lineRule="exact"/>
        <w:ind w:firstLine="420" w:firstLineChars="200"/>
        <w:rPr>
          <w:rFonts w:ascii="宋体" w:hAnsi="宋体"/>
          <w:szCs w:val="21"/>
        </w:rPr>
      </w:pPr>
    </w:p>
    <w:p>
      <w:pPr>
        <w:spacing w:line="400" w:lineRule="exact"/>
        <w:ind w:firstLine="420" w:firstLineChars="200"/>
        <w:rPr>
          <w:rFonts w:ascii="宋体" w:hAnsi="宋体"/>
          <w:szCs w:val="21"/>
        </w:rPr>
      </w:pPr>
    </w:p>
    <w:p>
      <w:pPr>
        <w:spacing w:line="400" w:lineRule="exact"/>
        <w:ind w:firstLine="420" w:firstLineChars="200"/>
        <w:rPr>
          <w:rFonts w:ascii="宋体" w:hAnsi="宋体"/>
          <w:szCs w:val="21"/>
        </w:rPr>
      </w:pPr>
      <w:r>
        <w:rPr>
          <w:rFonts w:hint="eastAsia" w:ascii="宋体" w:hAnsi="宋体"/>
          <w:szCs w:val="21"/>
        </w:rPr>
        <w:t>我公司提交的一切资料都是真实、有效、合法，不存在虚假材料。我公司承诺如有造假行为，愿意无条件接受招标人和建设行政主管部门的以下处理：</w:t>
      </w:r>
    </w:p>
    <w:p>
      <w:pPr>
        <w:numPr>
          <w:ilvl w:val="0"/>
          <w:numId w:val="13"/>
        </w:numPr>
        <w:spacing w:line="400" w:lineRule="exact"/>
        <w:rPr>
          <w:rFonts w:ascii="宋体" w:hAnsi="宋体"/>
          <w:szCs w:val="21"/>
        </w:rPr>
      </w:pPr>
      <w:r>
        <w:rPr>
          <w:rFonts w:hint="eastAsia" w:ascii="宋体" w:hAnsi="宋体"/>
          <w:szCs w:val="21"/>
        </w:rPr>
        <w:t>取消投标、中标资格，并在相关网站告示；</w:t>
      </w:r>
    </w:p>
    <w:p>
      <w:pPr>
        <w:numPr>
          <w:ilvl w:val="0"/>
          <w:numId w:val="13"/>
        </w:numPr>
        <w:spacing w:line="400" w:lineRule="exact"/>
        <w:rPr>
          <w:rFonts w:ascii="宋体" w:hAnsi="宋体"/>
          <w:szCs w:val="21"/>
        </w:rPr>
      </w:pPr>
      <w:r>
        <w:rPr>
          <w:rFonts w:hint="eastAsia" w:ascii="宋体" w:hAnsi="宋体"/>
          <w:szCs w:val="21"/>
        </w:rPr>
        <w:t>招标人不予退还已递交的投标保证金或合同履约保证金；</w:t>
      </w:r>
    </w:p>
    <w:p>
      <w:pPr>
        <w:numPr>
          <w:ilvl w:val="0"/>
          <w:numId w:val="13"/>
        </w:numPr>
        <w:spacing w:line="400" w:lineRule="exact"/>
        <w:rPr>
          <w:rFonts w:ascii="宋体" w:hAnsi="宋体"/>
          <w:szCs w:val="21"/>
        </w:rPr>
      </w:pPr>
      <w:r>
        <w:rPr>
          <w:rFonts w:hint="eastAsia" w:ascii="宋体" w:hAnsi="宋体"/>
          <w:szCs w:val="21"/>
        </w:rPr>
        <w:t>对不良行为予以纪录，并进行公告；</w:t>
      </w:r>
    </w:p>
    <w:p>
      <w:pPr>
        <w:numPr>
          <w:ilvl w:val="0"/>
          <w:numId w:val="13"/>
        </w:numPr>
        <w:spacing w:line="400" w:lineRule="exact"/>
        <w:rPr>
          <w:rFonts w:ascii="宋体" w:hAnsi="宋体"/>
          <w:szCs w:val="21"/>
        </w:rPr>
      </w:pPr>
      <w:r>
        <w:rPr>
          <w:rFonts w:hint="eastAsia" w:ascii="宋体" w:hAnsi="宋体"/>
          <w:szCs w:val="21"/>
        </w:rPr>
        <w:t>报当地建设行政主管部门备案；</w:t>
      </w:r>
    </w:p>
    <w:p>
      <w:pPr>
        <w:numPr>
          <w:ilvl w:val="0"/>
          <w:numId w:val="13"/>
        </w:numPr>
        <w:spacing w:line="400" w:lineRule="exact"/>
        <w:rPr>
          <w:rFonts w:ascii="宋体" w:hAnsi="宋体"/>
          <w:szCs w:val="21"/>
        </w:rPr>
      </w:pPr>
      <w:r>
        <w:rPr>
          <w:rFonts w:hint="eastAsia" w:ascii="宋体" w:hAnsi="宋体"/>
          <w:szCs w:val="21"/>
        </w:rPr>
        <w:t>其他行政处理决定。</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napToGrid w:val="0"/>
        <w:spacing w:line="400" w:lineRule="exact"/>
        <w:rPr>
          <w:rFonts w:ascii="宋体" w:hAnsi="宋体"/>
          <w:snapToGrid w:val="0"/>
          <w:szCs w:val="21"/>
        </w:rPr>
      </w:pPr>
    </w:p>
    <w:p>
      <w:pPr>
        <w:snapToGrid w:val="0"/>
        <w:spacing w:line="400" w:lineRule="exact"/>
        <w:rPr>
          <w:rFonts w:ascii="宋体" w:hAnsi="宋体"/>
          <w:snapToGrid w:val="0"/>
          <w:szCs w:val="21"/>
        </w:rPr>
      </w:pPr>
    </w:p>
    <w:p>
      <w:pPr>
        <w:snapToGrid w:val="0"/>
        <w:spacing w:line="400" w:lineRule="exact"/>
        <w:rPr>
          <w:rFonts w:ascii="宋体" w:hAnsi="宋体"/>
          <w:snapToGrid w:val="0"/>
          <w:szCs w:val="21"/>
          <w:u w:val="single"/>
        </w:rPr>
      </w:pPr>
      <w:r>
        <w:rPr>
          <w:rFonts w:hint="eastAsia" w:ascii="宋体" w:hAnsi="宋体"/>
          <w:snapToGrid w:val="0"/>
          <w:szCs w:val="21"/>
        </w:rPr>
        <w:t>投  标  单  位：</w:t>
      </w:r>
      <w:r>
        <w:rPr>
          <w:rFonts w:hint="eastAsia" w:ascii="宋体" w:hAnsi="宋体"/>
          <w:snapToGrid w:val="0"/>
          <w:szCs w:val="21"/>
          <w:u w:val="single"/>
        </w:rPr>
        <w:t xml:space="preserve">       （盖章）       </w:t>
      </w:r>
    </w:p>
    <w:p>
      <w:pPr>
        <w:snapToGrid w:val="0"/>
        <w:spacing w:line="400" w:lineRule="exact"/>
        <w:rPr>
          <w:rFonts w:ascii="宋体" w:hAnsi="宋体"/>
          <w:snapToGrid w:val="0"/>
          <w:szCs w:val="21"/>
        </w:rPr>
      </w:pPr>
    </w:p>
    <w:p>
      <w:pPr>
        <w:snapToGrid w:val="0"/>
        <w:spacing w:line="400" w:lineRule="exact"/>
        <w:rPr>
          <w:rFonts w:ascii="宋体" w:hAnsi="宋体"/>
          <w:snapToGrid w:val="0"/>
          <w:szCs w:val="21"/>
        </w:rPr>
      </w:pPr>
    </w:p>
    <w:p>
      <w:pPr>
        <w:snapToGrid w:val="0"/>
        <w:spacing w:line="400" w:lineRule="exact"/>
        <w:rPr>
          <w:rFonts w:ascii="宋体" w:hAnsi="宋体"/>
          <w:snapToGrid w:val="0"/>
          <w:szCs w:val="21"/>
        </w:rPr>
      </w:pPr>
      <w:r>
        <w:rPr>
          <w:rFonts w:hint="eastAsia" w:ascii="宋体" w:hAnsi="宋体"/>
          <w:snapToGrid w:val="0"/>
          <w:szCs w:val="21"/>
        </w:rPr>
        <w:t>授    权    人：</w:t>
      </w:r>
      <w:r>
        <w:rPr>
          <w:rFonts w:hint="eastAsia" w:ascii="宋体" w:hAnsi="宋体"/>
          <w:snapToGrid w:val="0"/>
          <w:szCs w:val="21"/>
          <w:u w:val="single"/>
        </w:rPr>
        <w:t xml:space="preserve">     （签字</w:t>
      </w:r>
      <w:r>
        <w:rPr>
          <w:rFonts w:hint="eastAsia" w:ascii="宋体" w:hAnsi="宋体"/>
          <w:szCs w:val="21"/>
          <w:u w:val="single"/>
        </w:rPr>
        <w:t>或盖章</w:t>
      </w:r>
      <w:r>
        <w:rPr>
          <w:rFonts w:hint="eastAsia" w:ascii="宋体" w:hAnsi="宋体"/>
          <w:snapToGrid w:val="0"/>
          <w:szCs w:val="21"/>
          <w:u w:val="single"/>
        </w:rPr>
        <w:t xml:space="preserve">）   </w:t>
      </w:r>
    </w:p>
    <w:p>
      <w:pPr>
        <w:snapToGrid w:val="0"/>
        <w:spacing w:line="400" w:lineRule="exact"/>
        <w:rPr>
          <w:rFonts w:ascii="宋体" w:hAnsi="宋体"/>
          <w:snapToGrid w:val="0"/>
          <w:szCs w:val="21"/>
        </w:rPr>
      </w:pPr>
    </w:p>
    <w:p>
      <w:pPr>
        <w:spacing w:line="400" w:lineRule="exact"/>
        <w:rPr>
          <w:rFonts w:ascii="宋体" w:hAnsi="宋体"/>
          <w:snapToGrid w:val="0"/>
          <w:szCs w:val="21"/>
        </w:rPr>
      </w:pPr>
    </w:p>
    <w:p>
      <w:pPr>
        <w:spacing w:line="400" w:lineRule="exact"/>
        <w:rPr>
          <w:rFonts w:ascii="宋体" w:hAnsi="宋体"/>
          <w:sz w:val="28"/>
          <w:szCs w:val="28"/>
        </w:rPr>
        <w:sectPr>
          <w:endnotePr>
            <w:numFmt w:val="decimal"/>
          </w:endnotePr>
          <w:pgSz w:w="11906" w:h="16840"/>
          <w:pgMar w:top="1304" w:right="1417" w:bottom="1417" w:left="1417" w:header="850" w:footer="850" w:gutter="0"/>
          <w:cols w:space="720" w:num="1"/>
          <w:docGrid w:linePitch="312" w:charSpace="0"/>
        </w:sectPr>
      </w:pPr>
      <w:r>
        <w:rPr>
          <w:rFonts w:hint="eastAsia" w:ascii="宋体" w:hAnsi="宋体"/>
          <w:snapToGrid w:val="0"/>
          <w:szCs w:val="21"/>
        </w:rPr>
        <w:t>日          期：</w:t>
      </w:r>
      <w:r>
        <w:rPr>
          <w:rFonts w:hint="eastAsia" w:ascii="宋体" w:hAnsi="宋体"/>
          <w:snapToGrid w:val="0"/>
          <w:szCs w:val="21"/>
          <w:u w:val="single"/>
        </w:rPr>
        <w:t xml:space="preserve">       </w:t>
      </w:r>
      <w:r>
        <w:rPr>
          <w:rFonts w:hint="eastAsia" w:ascii="宋体" w:hAnsi="宋体"/>
          <w:snapToGrid w:val="0"/>
          <w:szCs w:val="21"/>
        </w:rPr>
        <w:t xml:space="preserve"> 年</w:t>
      </w:r>
      <w:r>
        <w:rPr>
          <w:rFonts w:hint="eastAsia" w:ascii="宋体" w:hAnsi="宋体"/>
          <w:snapToGrid w:val="0"/>
          <w:szCs w:val="21"/>
          <w:u w:val="single"/>
        </w:rPr>
        <w:t xml:space="preserve">     </w:t>
      </w:r>
      <w:r>
        <w:rPr>
          <w:rFonts w:hint="eastAsia" w:ascii="宋体" w:hAnsi="宋体"/>
          <w:snapToGrid w:val="0"/>
          <w:szCs w:val="21"/>
        </w:rPr>
        <w:t xml:space="preserve"> 月</w:t>
      </w:r>
      <w:r>
        <w:rPr>
          <w:rFonts w:hint="eastAsia" w:ascii="宋体" w:hAnsi="宋体"/>
          <w:snapToGrid w:val="0"/>
          <w:szCs w:val="21"/>
          <w:u w:val="single"/>
        </w:rPr>
        <w:t xml:space="preserve">       </w:t>
      </w:r>
      <w:r>
        <w:rPr>
          <w:rFonts w:hint="eastAsia" w:ascii="宋体" w:hAnsi="宋体"/>
          <w:snapToGrid w:val="0"/>
          <w:szCs w:val="21"/>
        </w:rPr>
        <w:t>日</w:t>
      </w:r>
    </w:p>
    <w:p>
      <w:pPr>
        <w:tabs>
          <w:tab w:val="left" w:pos="720"/>
        </w:tabs>
        <w:snapToGrid w:val="0"/>
        <w:spacing w:line="400" w:lineRule="exact"/>
        <w:rPr>
          <w:rFonts w:ascii="宋体" w:hAnsi="宋体"/>
          <w:b/>
          <w:szCs w:val="21"/>
        </w:rPr>
      </w:pPr>
      <w:r>
        <w:rPr>
          <w:rFonts w:hint="eastAsia" w:ascii="宋体" w:hAnsi="宋体"/>
          <w:b/>
          <w:szCs w:val="21"/>
        </w:rPr>
        <w:t>格式十三</w:t>
      </w:r>
    </w:p>
    <w:p>
      <w:pPr>
        <w:spacing w:line="400" w:lineRule="exact"/>
        <w:jc w:val="center"/>
        <w:rPr>
          <w:rFonts w:ascii="宋体" w:hAnsi="宋体"/>
          <w:b/>
          <w:szCs w:val="21"/>
        </w:rPr>
      </w:pPr>
    </w:p>
    <w:p>
      <w:pPr>
        <w:spacing w:line="400" w:lineRule="exact"/>
        <w:jc w:val="center"/>
        <w:rPr>
          <w:rFonts w:ascii="宋体" w:hAnsi="宋体"/>
          <w:b/>
          <w:sz w:val="28"/>
          <w:szCs w:val="28"/>
        </w:rPr>
      </w:pPr>
      <w:r>
        <w:rPr>
          <w:rFonts w:hint="eastAsia" w:ascii="宋体" w:hAnsi="宋体"/>
          <w:b/>
          <w:sz w:val="28"/>
          <w:szCs w:val="28"/>
        </w:rPr>
        <w:t>科研创新工作承诺书</w:t>
      </w:r>
    </w:p>
    <w:p>
      <w:pPr>
        <w:spacing w:line="400" w:lineRule="exact"/>
        <w:ind w:firstLine="420" w:firstLineChars="200"/>
        <w:rPr>
          <w:rFonts w:ascii="宋体" w:hAnsi="宋体"/>
          <w:szCs w:val="21"/>
        </w:rPr>
      </w:pPr>
    </w:p>
    <w:p>
      <w:pPr>
        <w:spacing w:line="400" w:lineRule="exact"/>
        <w:ind w:firstLine="420" w:firstLineChars="200"/>
        <w:rPr>
          <w:rFonts w:ascii="宋体" w:hAnsi="宋体"/>
          <w:szCs w:val="21"/>
        </w:rPr>
      </w:pPr>
    </w:p>
    <w:p>
      <w:pPr>
        <w:spacing w:line="400" w:lineRule="exact"/>
        <w:ind w:firstLine="420" w:firstLineChars="200"/>
        <w:rPr>
          <w:rFonts w:ascii="宋体" w:hAnsi="宋体"/>
          <w:szCs w:val="21"/>
        </w:rPr>
      </w:pPr>
      <w:r>
        <w:rPr>
          <w:rFonts w:hint="eastAsia" w:ascii="宋体" w:hAnsi="宋体"/>
          <w:szCs w:val="21"/>
        </w:rPr>
        <w:t>我公司积极开展科研创新工作，在满足国家规范的前提下进行技术创新。现对于科研创新工作进行承诺。承诺内容如下：</w:t>
      </w:r>
    </w:p>
    <w:tbl>
      <w:tblPr>
        <w:tblStyle w:val="3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7"/>
        <w:gridCol w:w="1134"/>
        <w:gridCol w:w="1134"/>
        <w:gridCol w:w="1985"/>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rPr>
                <w:rFonts w:ascii="宋体" w:hAnsi="宋体"/>
                <w:lang w:eastAsia="zh-Hans"/>
              </w:rPr>
            </w:pPr>
            <w:r>
              <w:rPr>
                <w:rFonts w:hint="eastAsia" w:ascii="宋体" w:hAnsi="宋体"/>
                <w:lang w:eastAsia="zh-Hans"/>
              </w:rPr>
              <w:t>序号</w:t>
            </w:r>
          </w:p>
        </w:tc>
        <w:tc>
          <w:tcPr>
            <w:tcW w:w="1417" w:type="dxa"/>
          </w:tcPr>
          <w:p>
            <w:pPr>
              <w:spacing w:line="440" w:lineRule="exact"/>
              <w:rPr>
                <w:rFonts w:ascii="宋体" w:hAnsi="宋体"/>
              </w:rPr>
            </w:pPr>
            <w:r>
              <w:rPr>
                <w:rFonts w:hint="eastAsia" w:ascii="宋体" w:hAnsi="宋体"/>
              </w:rPr>
              <w:t>承诺科技创新内容</w:t>
            </w:r>
          </w:p>
        </w:tc>
        <w:tc>
          <w:tcPr>
            <w:tcW w:w="1134" w:type="dxa"/>
          </w:tcPr>
          <w:p>
            <w:pPr>
              <w:spacing w:line="440" w:lineRule="exact"/>
              <w:rPr>
                <w:rFonts w:ascii="宋体" w:hAnsi="宋体"/>
              </w:rPr>
            </w:pPr>
            <w:r>
              <w:rPr>
                <w:rFonts w:hint="eastAsia" w:ascii="宋体" w:hAnsi="宋体"/>
              </w:rPr>
              <w:t>承诺个数</w:t>
            </w:r>
          </w:p>
        </w:tc>
        <w:tc>
          <w:tcPr>
            <w:tcW w:w="1134" w:type="dxa"/>
          </w:tcPr>
          <w:p>
            <w:pPr>
              <w:spacing w:line="440" w:lineRule="exact"/>
              <w:rPr>
                <w:rFonts w:ascii="宋体" w:hAnsi="宋体"/>
              </w:rPr>
            </w:pPr>
            <w:r>
              <w:rPr>
                <w:rFonts w:hint="eastAsia" w:ascii="宋体" w:hAnsi="宋体"/>
              </w:rPr>
              <w:t>实施计划</w:t>
            </w:r>
          </w:p>
        </w:tc>
        <w:tc>
          <w:tcPr>
            <w:tcW w:w="1985" w:type="dxa"/>
          </w:tcPr>
          <w:p>
            <w:pPr>
              <w:spacing w:line="440" w:lineRule="exact"/>
              <w:rPr>
                <w:rFonts w:ascii="宋体" w:hAnsi="宋体"/>
              </w:rPr>
            </w:pPr>
            <w:r>
              <w:rPr>
                <w:rFonts w:hint="eastAsia" w:ascii="宋体" w:hAnsi="宋体"/>
              </w:rPr>
              <w:t>未达到的违约责任</w:t>
            </w:r>
          </w:p>
        </w:tc>
        <w:tc>
          <w:tcPr>
            <w:tcW w:w="2410" w:type="dxa"/>
          </w:tcPr>
          <w:p>
            <w:pPr>
              <w:spacing w:line="440" w:lineRule="exact"/>
              <w:ind w:firstLine="420" w:firstLineChars="200"/>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9" w:type="dxa"/>
          </w:tcPr>
          <w:p>
            <w:pPr>
              <w:spacing w:line="440" w:lineRule="exact"/>
              <w:rPr>
                <w:rFonts w:ascii="宋体" w:hAnsi="宋体"/>
              </w:rPr>
            </w:pPr>
            <w:r>
              <w:rPr>
                <w:rFonts w:hint="eastAsia" w:ascii="宋体" w:hAnsi="宋体"/>
              </w:rPr>
              <w:t>1</w:t>
            </w:r>
          </w:p>
        </w:tc>
        <w:tc>
          <w:tcPr>
            <w:tcW w:w="1417" w:type="dxa"/>
          </w:tcPr>
          <w:p>
            <w:pPr>
              <w:spacing w:line="440" w:lineRule="exact"/>
              <w:rPr>
                <w:rFonts w:ascii="宋体" w:hAnsi="宋体"/>
              </w:rPr>
            </w:pPr>
            <w:r>
              <w:rPr>
                <w:rFonts w:hint="eastAsia" w:ascii="宋体" w:hAnsi="宋体"/>
              </w:rPr>
              <w:t>国家级</w:t>
            </w:r>
          </w:p>
        </w:tc>
        <w:tc>
          <w:tcPr>
            <w:tcW w:w="1134" w:type="dxa"/>
          </w:tcPr>
          <w:p>
            <w:pPr>
              <w:spacing w:line="440" w:lineRule="exact"/>
              <w:ind w:firstLine="420" w:firstLineChars="200"/>
              <w:rPr>
                <w:rFonts w:ascii="宋体" w:hAnsi="宋体"/>
              </w:rPr>
            </w:pPr>
          </w:p>
        </w:tc>
        <w:tc>
          <w:tcPr>
            <w:tcW w:w="1134" w:type="dxa"/>
          </w:tcPr>
          <w:p>
            <w:pPr>
              <w:spacing w:line="440" w:lineRule="exact"/>
              <w:ind w:firstLine="420" w:firstLineChars="200"/>
              <w:rPr>
                <w:rFonts w:ascii="宋体" w:hAnsi="宋体"/>
              </w:rPr>
            </w:pPr>
          </w:p>
        </w:tc>
        <w:tc>
          <w:tcPr>
            <w:tcW w:w="1985" w:type="dxa"/>
          </w:tcPr>
          <w:p>
            <w:pPr>
              <w:jc w:val="center"/>
              <w:rPr>
                <w:rFonts w:ascii="宋体" w:hAnsi="宋体"/>
              </w:rPr>
            </w:pPr>
            <w:r>
              <w:rPr>
                <w:rFonts w:hint="eastAsia"/>
              </w:rPr>
              <w:t>200万/个</w:t>
            </w:r>
          </w:p>
        </w:tc>
        <w:tc>
          <w:tcPr>
            <w:tcW w:w="2410" w:type="dxa"/>
          </w:tcPr>
          <w:p>
            <w:pPr>
              <w:spacing w:line="440" w:lineRule="exact"/>
              <w:rPr>
                <w:rFonts w:ascii="宋体" w:hAnsi="宋体"/>
              </w:rPr>
            </w:pPr>
            <w:r>
              <w:rPr>
                <w:rFonts w:hint="eastAsia" w:ascii="宋体" w:hAnsi="宋体"/>
              </w:rPr>
              <w:t>国家级行政机关或协会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rPr>
                <w:rFonts w:ascii="宋体" w:hAnsi="宋体"/>
              </w:rPr>
            </w:pPr>
            <w:r>
              <w:rPr>
                <w:rFonts w:hint="eastAsia" w:ascii="宋体" w:hAnsi="宋体"/>
              </w:rPr>
              <w:t>2</w:t>
            </w:r>
          </w:p>
        </w:tc>
        <w:tc>
          <w:tcPr>
            <w:tcW w:w="1417" w:type="dxa"/>
          </w:tcPr>
          <w:p>
            <w:pPr>
              <w:spacing w:line="440" w:lineRule="exact"/>
              <w:rPr>
                <w:rFonts w:ascii="宋体" w:hAnsi="宋体"/>
              </w:rPr>
            </w:pPr>
            <w:r>
              <w:rPr>
                <w:rFonts w:hint="eastAsia" w:ascii="宋体" w:hAnsi="宋体"/>
              </w:rPr>
              <w:t>省级</w:t>
            </w:r>
          </w:p>
        </w:tc>
        <w:tc>
          <w:tcPr>
            <w:tcW w:w="1134" w:type="dxa"/>
          </w:tcPr>
          <w:p>
            <w:pPr>
              <w:spacing w:line="440" w:lineRule="exact"/>
              <w:ind w:firstLine="420" w:firstLineChars="200"/>
              <w:rPr>
                <w:rFonts w:ascii="宋体" w:hAnsi="宋体"/>
              </w:rPr>
            </w:pPr>
          </w:p>
        </w:tc>
        <w:tc>
          <w:tcPr>
            <w:tcW w:w="1134" w:type="dxa"/>
          </w:tcPr>
          <w:p>
            <w:pPr>
              <w:spacing w:line="440" w:lineRule="exact"/>
              <w:ind w:firstLine="420" w:firstLineChars="200"/>
              <w:rPr>
                <w:rFonts w:ascii="宋体" w:hAnsi="宋体"/>
              </w:rPr>
            </w:pPr>
          </w:p>
        </w:tc>
        <w:tc>
          <w:tcPr>
            <w:tcW w:w="1985" w:type="dxa"/>
          </w:tcPr>
          <w:p>
            <w:pPr>
              <w:jc w:val="center"/>
              <w:rPr>
                <w:rFonts w:ascii="宋体" w:hAnsi="宋体"/>
              </w:rPr>
            </w:pPr>
            <w:r>
              <w:rPr>
                <w:rFonts w:hint="eastAsia"/>
              </w:rPr>
              <w:t>100万/个</w:t>
            </w:r>
          </w:p>
        </w:tc>
        <w:tc>
          <w:tcPr>
            <w:tcW w:w="2410" w:type="dxa"/>
          </w:tcPr>
          <w:p>
            <w:pPr>
              <w:spacing w:line="440" w:lineRule="exact"/>
              <w:rPr>
                <w:rFonts w:ascii="宋体" w:hAnsi="宋体"/>
              </w:rPr>
            </w:pPr>
            <w:r>
              <w:rPr>
                <w:rFonts w:hint="eastAsia" w:ascii="宋体" w:hAnsi="宋体"/>
              </w:rPr>
              <w:t>省级行政机关或协会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rPr>
                <w:rFonts w:ascii="宋体" w:hAnsi="宋体"/>
              </w:rPr>
            </w:pPr>
            <w:r>
              <w:rPr>
                <w:rFonts w:hint="eastAsia" w:ascii="宋体" w:hAnsi="宋体"/>
              </w:rPr>
              <w:t>3</w:t>
            </w:r>
          </w:p>
        </w:tc>
        <w:tc>
          <w:tcPr>
            <w:tcW w:w="1417" w:type="dxa"/>
          </w:tcPr>
          <w:p>
            <w:pPr>
              <w:spacing w:line="440" w:lineRule="exact"/>
              <w:rPr>
                <w:rFonts w:ascii="宋体" w:hAnsi="宋体"/>
              </w:rPr>
            </w:pPr>
            <w:r>
              <w:rPr>
                <w:rFonts w:hint="eastAsia" w:ascii="宋体" w:hAnsi="宋体"/>
              </w:rPr>
              <w:t>市级</w:t>
            </w:r>
          </w:p>
        </w:tc>
        <w:tc>
          <w:tcPr>
            <w:tcW w:w="1134" w:type="dxa"/>
          </w:tcPr>
          <w:p>
            <w:pPr>
              <w:spacing w:line="440" w:lineRule="exact"/>
              <w:ind w:firstLine="420" w:firstLineChars="200"/>
              <w:rPr>
                <w:rFonts w:ascii="宋体" w:hAnsi="宋体"/>
              </w:rPr>
            </w:pPr>
          </w:p>
        </w:tc>
        <w:tc>
          <w:tcPr>
            <w:tcW w:w="1134" w:type="dxa"/>
          </w:tcPr>
          <w:p>
            <w:pPr>
              <w:spacing w:line="440" w:lineRule="exact"/>
              <w:ind w:firstLine="420" w:firstLineChars="200"/>
              <w:rPr>
                <w:rFonts w:ascii="宋体" w:hAnsi="宋体"/>
              </w:rPr>
            </w:pPr>
          </w:p>
        </w:tc>
        <w:tc>
          <w:tcPr>
            <w:tcW w:w="1985" w:type="dxa"/>
          </w:tcPr>
          <w:p>
            <w:pPr>
              <w:jc w:val="center"/>
              <w:rPr>
                <w:rFonts w:ascii="宋体" w:hAnsi="宋体"/>
              </w:rPr>
            </w:pPr>
            <w:r>
              <w:rPr>
                <w:rFonts w:hint="eastAsia"/>
              </w:rPr>
              <w:t>50万/个</w:t>
            </w:r>
          </w:p>
        </w:tc>
        <w:tc>
          <w:tcPr>
            <w:tcW w:w="2410" w:type="dxa"/>
          </w:tcPr>
          <w:p>
            <w:pPr>
              <w:spacing w:line="440" w:lineRule="exact"/>
              <w:rPr>
                <w:rFonts w:ascii="宋体" w:hAnsi="宋体"/>
              </w:rPr>
            </w:pPr>
            <w:r>
              <w:rPr>
                <w:rFonts w:hint="eastAsia" w:ascii="宋体" w:hAnsi="宋体"/>
              </w:rPr>
              <w:t>市级行政机关或协会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rPr>
                <w:rFonts w:ascii="宋体" w:hAnsi="宋体"/>
              </w:rPr>
            </w:pPr>
            <w:r>
              <w:rPr>
                <w:rFonts w:hint="eastAsia" w:ascii="宋体" w:hAnsi="宋体"/>
              </w:rPr>
              <w:t>4</w:t>
            </w:r>
          </w:p>
        </w:tc>
        <w:tc>
          <w:tcPr>
            <w:tcW w:w="1417" w:type="dxa"/>
          </w:tcPr>
          <w:p>
            <w:pPr>
              <w:spacing w:line="440" w:lineRule="exact"/>
              <w:rPr>
                <w:rFonts w:ascii="宋体" w:hAnsi="宋体"/>
              </w:rPr>
            </w:pPr>
            <w:r>
              <w:rPr>
                <w:rFonts w:hint="eastAsia" w:ascii="宋体" w:hAnsi="宋体"/>
              </w:rPr>
              <w:t>专利</w:t>
            </w:r>
          </w:p>
        </w:tc>
        <w:tc>
          <w:tcPr>
            <w:tcW w:w="1134" w:type="dxa"/>
          </w:tcPr>
          <w:p>
            <w:pPr>
              <w:spacing w:line="440" w:lineRule="exact"/>
              <w:ind w:firstLine="420" w:firstLineChars="200"/>
              <w:rPr>
                <w:rFonts w:ascii="宋体" w:hAnsi="宋体"/>
              </w:rPr>
            </w:pPr>
          </w:p>
        </w:tc>
        <w:tc>
          <w:tcPr>
            <w:tcW w:w="1134" w:type="dxa"/>
          </w:tcPr>
          <w:p>
            <w:pPr>
              <w:spacing w:line="440" w:lineRule="exact"/>
              <w:ind w:firstLine="420" w:firstLineChars="200"/>
              <w:rPr>
                <w:rFonts w:ascii="宋体" w:hAnsi="宋体"/>
              </w:rPr>
            </w:pPr>
          </w:p>
        </w:tc>
        <w:tc>
          <w:tcPr>
            <w:tcW w:w="1985" w:type="dxa"/>
          </w:tcPr>
          <w:p>
            <w:pPr>
              <w:jc w:val="center"/>
              <w:rPr>
                <w:rFonts w:ascii="宋体" w:hAnsi="宋体"/>
              </w:rPr>
            </w:pPr>
            <w:r>
              <w:rPr>
                <w:rFonts w:hint="eastAsia"/>
              </w:rPr>
              <w:t>50万/个</w:t>
            </w:r>
          </w:p>
        </w:tc>
        <w:tc>
          <w:tcPr>
            <w:tcW w:w="2410" w:type="dxa"/>
          </w:tcPr>
          <w:p>
            <w:pPr>
              <w:spacing w:line="440" w:lineRule="exact"/>
              <w:rPr>
                <w:rFonts w:ascii="宋体" w:hAnsi="宋体"/>
              </w:rPr>
            </w:pPr>
            <w:r>
              <w:rPr>
                <w:rFonts w:hint="eastAsia" w:ascii="宋体" w:hAnsi="宋体"/>
              </w:rPr>
              <w:t>发明或实用新型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rPr>
                <w:rFonts w:ascii="宋体" w:hAnsi="宋体"/>
              </w:rPr>
            </w:pPr>
            <w:r>
              <w:rPr>
                <w:rFonts w:hint="eastAsia" w:ascii="宋体" w:hAnsi="宋体"/>
              </w:rPr>
              <w:t>5</w:t>
            </w:r>
          </w:p>
        </w:tc>
        <w:tc>
          <w:tcPr>
            <w:tcW w:w="1417" w:type="dxa"/>
          </w:tcPr>
          <w:p>
            <w:pPr>
              <w:spacing w:line="440" w:lineRule="exact"/>
              <w:rPr>
                <w:rFonts w:ascii="宋体" w:hAnsi="宋体"/>
              </w:rPr>
            </w:pPr>
            <w:r>
              <w:rPr>
                <w:rFonts w:hint="eastAsia" w:ascii="宋体" w:hAnsi="宋体"/>
              </w:rPr>
              <w:t>论文</w:t>
            </w:r>
          </w:p>
        </w:tc>
        <w:tc>
          <w:tcPr>
            <w:tcW w:w="1134" w:type="dxa"/>
          </w:tcPr>
          <w:p>
            <w:pPr>
              <w:spacing w:line="440" w:lineRule="exact"/>
              <w:ind w:firstLine="420" w:firstLineChars="200"/>
              <w:rPr>
                <w:rFonts w:ascii="宋体" w:hAnsi="宋体"/>
              </w:rPr>
            </w:pPr>
          </w:p>
        </w:tc>
        <w:tc>
          <w:tcPr>
            <w:tcW w:w="1134" w:type="dxa"/>
          </w:tcPr>
          <w:p>
            <w:pPr>
              <w:spacing w:line="440" w:lineRule="exact"/>
              <w:ind w:firstLine="420" w:firstLineChars="200"/>
              <w:rPr>
                <w:rFonts w:ascii="宋体" w:hAnsi="宋体"/>
              </w:rPr>
            </w:pPr>
          </w:p>
        </w:tc>
        <w:tc>
          <w:tcPr>
            <w:tcW w:w="1985" w:type="dxa"/>
          </w:tcPr>
          <w:p>
            <w:pPr>
              <w:jc w:val="center"/>
              <w:rPr>
                <w:rFonts w:ascii="宋体" w:hAnsi="宋体"/>
              </w:rPr>
            </w:pPr>
            <w:r>
              <w:rPr>
                <w:rFonts w:hint="eastAsia"/>
              </w:rPr>
              <w:t>50万/个</w:t>
            </w:r>
          </w:p>
        </w:tc>
        <w:tc>
          <w:tcPr>
            <w:tcW w:w="2410" w:type="dxa"/>
          </w:tcPr>
          <w:p>
            <w:pPr>
              <w:spacing w:line="440" w:lineRule="exact"/>
              <w:rPr>
                <w:rFonts w:ascii="宋体" w:hAnsi="宋体"/>
              </w:rPr>
            </w:pPr>
            <w:r>
              <w:rPr>
                <w:rFonts w:hint="eastAsia" w:ascii="宋体" w:hAnsi="宋体"/>
              </w:rPr>
              <w:t>包括专著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40" w:lineRule="exact"/>
              <w:rPr>
                <w:rFonts w:ascii="宋体" w:hAnsi="宋体"/>
              </w:rPr>
            </w:pPr>
            <w:r>
              <w:rPr>
                <w:rFonts w:hint="eastAsia" w:ascii="宋体" w:hAnsi="宋体"/>
              </w:rPr>
              <w:t>6</w:t>
            </w:r>
          </w:p>
        </w:tc>
        <w:tc>
          <w:tcPr>
            <w:tcW w:w="1417" w:type="dxa"/>
          </w:tcPr>
          <w:p>
            <w:pPr>
              <w:spacing w:line="440" w:lineRule="exact"/>
              <w:rPr>
                <w:rFonts w:ascii="宋体" w:hAnsi="宋体"/>
              </w:rPr>
            </w:pPr>
            <w:r>
              <w:rPr>
                <w:rFonts w:hint="eastAsia" w:ascii="宋体" w:hAnsi="宋体"/>
              </w:rPr>
              <w:t>工法标准</w:t>
            </w:r>
          </w:p>
        </w:tc>
        <w:tc>
          <w:tcPr>
            <w:tcW w:w="1134" w:type="dxa"/>
          </w:tcPr>
          <w:p>
            <w:pPr>
              <w:spacing w:line="440" w:lineRule="exact"/>
              <w:ind w:firstLine="420" w:firstLineChars="200"/>
              <w:rPr>
                <w:rFonts w:ascii="宋体" w:hAnsi="宋体"/>
              </w:rPr>
            </w:pPr>
          </w:p>
        </w:tc>
        <w:tc>
          <w:tcPr>
            <w:tcW w:w="1134" w:type="dxa"/>
          </w:tcPr>
          <w:p>
            <w:pPr>
              <w:spacing w:line="440" w:lineRule="exact"/>
              <w:ind w:firstLine="420" w:firstLineChars="200"/>
              <w:rPr>
                <w:rFonts w:ascii="宋体" w:hAnsi="宋体"/>
              </w:rPr>
            </w:pPr>
          </w:p>
        </w:tc>
        <w:tc>
          <w:tcPr>
            <w:tcW w:w="1985" w:type="dxa"/>
          </w:tcPr>
          <w:p>
            <w:pPr>
              <w:jc w:val="center"/>
              <w:rPr>
                <w:rFonts w:ascii="宋体" w:hAnsi="宋体"/>
              </w:rPr>
            </w:pPr>
            <w:r>
              <w:rPr>
                <w:rFonts w:hint="eastAsia"/>
              </w:rPr>
              <w:t>50万/个</w:t>
            </w:r>
          </w:p>
        </w:tc>
        <w:tc>
          <w:tcPr>
            <w:tcW w:w="2410" w:type="dxa"/>
          </w:tcPr>
          <w:p>
            <w:pPr>
              <w:spacing w:line="440" w:lineRule="exact"/>
              <w:jc w:val="center"/>
              <w:rPr>
                <w:rFonts w:ascii="宋体" w:hAnsi="宋体"/>
              </w:rPr>
            </w:pPr>
            <w:r>
              <w:rPr>
                <w:rFonts w:hint="eastAsia" w:ascii="宋体" w:hAnsi="宋体"/>
              </w:rPr>
              <w:t>国家、省市、协会均可</w:t>
            </w:r>
          </w:p>
        </w:tc>
      </w:tr>
    </w:tbl>
    <w:p>
      <w:pPr>
        <w:pStyle w:val="32"/>
        <w:widowControl w:val="0"/>
        <w:spacing w:line="360" w:lineRule="auto"/>
        <w:ind w:firstLine="210" w:firstLineChars="100"/>
        <w:jc w:val="both"/>
        <w:rPr>
          <w:rFonts w:ascii="Times New Roman" w:hAnsi="Times New Roman"/>
          <w:kern w:val="2"/>
          <w:sz w:val="21"/>
          <w:szCs w:val="21"/>
        </w:rPr>
      </w:pPr>
    </w:p>
    <w:p>
      <w:pPr>
        <w:numPr>
          <w:ilvl w:val="255"/>
          <w:numId w:val="0"/>
        </w:numPr>
        <w:spacing w:line="400" w:lineRule="exact"/>
        <w:ind w:left="480"/>
        <w:rPr>
          <w:rFonts w:ascii="宋体" w:hAnsi="宋体"/>
          <w:szCs w:val="21"/>
        </w:rPr>
      </w:pPr>
    </w:p>
    <w:p>
      <w:pPr>
        <w:spacing w:line="400" w:lineRule="exact"/>
        <w:ind w:firstLine="3570" w:firstLineChars="1700"/>
        <w:rPr>
          <w:rFonts w:ascii="宋体" w:hAnsi="宋体"/>
          <w:szCs w:val="21"/>
        </w:rPr>
      </w:pPr>
      <w:r>
        <w:rPr>
          <w:rFonts w:hint="eastAsia" w:ascii="宋体" w:hAnsi="宋体"/>
          <w:szCs w:val="21"/>
        </w:rPr>
        <w:t>投标人：（盖章）</w:t>
      </w:r>
    </w:p>
    <w:p>
      <w:pPr>
        <w:spacing w:line="400" w:lineRule="exact"/>
        <w:rPr>
          <w:rFonts w:ascii="宋体" w:hAnsi="宋体"/>
          <w:szCs w:val="21"/>
        </w:rPr>
      </w:pPr>
      <w:r>
        <w:rPr>
          <w:rFonts w:hint="eastAsia" w:ascii="宋体" w:hAnsi="宋体"/>
          <w:szCs w:val="21"/>
        </w:rPr>
        <w:t xml:space="preserve">                                  </w:t>
      </w:r>
    </w:p>
    <w:p>
      <w:pPr>
        <w:spacing w:line="400" w:lineRule="exact"/>
        <w:ind w:firstLine="3570" w:firstLineChars="1700"/>
        <w:rPr>
          <w:rFonts w:ascii="宋体" w:hAnsi="宋体"/>
          <w:szCs w:val="21"/>
        </w:rPr>
      </w:pPr>
      <w:r>
        <w:rPr>
          <w:rFonts w:hint="eastAsia" w:ascii="宋体" w:hAnsi="宋体"/>
          <w:szCs w:val="21"/>
        </w:rPr>
        <w:t>法定代表人：（签字或盖章）</w:t>
      </w:r>
    </w:p>
    <w:p>
      <w:pPr>
        <w:spacing w:line="400" w:lineRule="exact"/>
        <w:ind w:firstLine="3570" w:firstLineChars="1700"/>
        <w:rPr>
          <w:rFonts w:ascii="宋体" w:hAnsi="宋体"/>
          <w:szCs w:val="21"/>
        </w:rPr>
      </w:pPr>
    </w:p>
    <w:p>
      <w:pPr>
        <w:spacing w:line="400" w:lineRule="exact"/>
        <w:ind w:firstLine="3570" w:firstLineChars="1700"/>
        <w:rPr>
          <w:rFonts w:ascii="宋体" w:hAnsi="宋体"/>
          <w:szCs w:val="21"/>
        </w:rPr>
      </w:pPr>
      <w:r>
        <w:rPr>
          <w:rFonts w:hint="eastAsia" w:ascii="宋体" w:hAnsi="宋体"/>
          <w:szCs w:val="21"/>
        </w:rPr>
        <w:t>授权代理人：（签字或盖章）</w:t>
      </w:r>
    </w:p>
    <w:p>
      <w:pPr>
        <w:spacing w:line="400" w:lineRule="exact"/>
        <w:rPr>
          <w:rFonts w:ascii="宋体" w:hAnsi="宋体"/>
          <w:szCs w:val="21"/>
        </w:rPr>
      </w:pPr>
      <w:r>
        <w:rPr>
          <w:rFonts w:hint="eastAsia" w:ascii="宋体" w:hAnsi="宋体"/>
          <w:szCs w:val="21"/>
        </w:rPr>
        <w:t xml:space="preserve">                                  </w:t>
      </w:r>
    </w:p>
    <w:p>
      <w:pPr>
        <w:spacing w:line="400" w:lineRule="exact"/>
        <w:ind w:firstLine="3570" w:firstLineChars="1700"/>
        <w:outlineLvl w:val="0"/>
        <w:rPr>
          <w:rFonts w:ascii="宋体" w:hAnsi="宋体"/>
          <w:b/>
          <w:sz w:val="28"/>
          <w:szCs w:val="28"/>
        </w:rPr>
      </w:pPr>
      <w:r>
        <w:rPr>
          <w:rFonts w:hint="eastAsia" w:ascii="宋体" w:hAnsi="宋体"/>
          <w:szCs w:val="21"/>
        </w:rPr>
        <w:t>日   期：     年    月     日</w:t>
      </w:r>
    </w:p>
    <w:p>
      <w:pPr>
        <w:spacing w:line="360" w:lineRule="auto"/>
        <w:jc w:val="center"/>
        <w:rPr>
          <w:rFonts w:ascii="宋体" w:hAnsi="宋体"/>
          <w:sz w:val="24"/>
        </w:rPr>
      </w:pPr>
    </w:p>
    <w:p>
      <w:pPr>
        <w:rPr>
          <w:rFonts w:ascii="宋体" w:hAnsi="宋体"/>
          <w:b/>
          <w:szCs w:val="21"/>
        </w:rPr>
      </w:pPr>
      <w:r>
        <w:rPr>
          <w:rFonts w:hint="eastAsia" w:ascii="宋体" w:hAnsi="宋体"/>
          <w:b/>
          <w:szCs w:val="21"/>
        </w:rPr>
        <w:br w:type="page"/>
      </w:r>
    </w:p>
    <w:p>
      <w:pPr>
        <w:tabs>
          <w:tab w:val="left" w:pos="720"/>
          <w:tab w:val="left" w:pos="3690"/>
        </w:tabs>
        <w:snapToGrid w:val="0"/>
        <w:spacing w:line="400" w:lineRule="exact"/>
        <w:rPr>
          <w:rFonts w:ascii="宋体" w:hAnsi="宋体"/>
          <w:b/>
          <w:szCs w:val="21"/>
        </w:rPr>
      </w:pPr>
      <w:r>
        <w:rPr>
          <w:rFonts w:hint="eastAsia" w:ascii="宋体" w:hAnsi="宋体"/>
          <w:b/>
          <w:szCs w:val="21"/>
        </w:rPr>
        <w:t>格式十四</w:t>
      </w:r>
    </w:p>
    <w:p>
      <w:pPr>
        <w:tabs>
          <w:tab w:val="left" w:pos="720"/>
        </w:tabs>
        <w:snapToGrid w:val="0"/>
        <w:spacing w:line="400" w:lineRule="exact"/>
        <w:jc w:val="center"/>
        <w:rPr>
          <w:rFonts w:ascii="宋体" w:hAnsi="宋体"/>
          <w:b/>
          <w:szCs w:val="21"/>
        </w:rPr>
      </w:pPr>
    </w:p>
    <w:p>
      <w:pPr>
        <w:tabs>
          <w:tab w:val="left" w:pos="720"/>
        </w:tabs>
        <w:snapToGrid w:val="0"/>
        <w:spacing w:line="400" w:lineRule="exact"/>
        <w:jc w:val="center"/>
        <w:rPr>
          <w:rFonts w:ascii="宋体" w:hAnsi="宋体"/>
          <w:b/>
          <w:szCs w:val="21"/>
        </w:rPr>
      </w:pPr>
    </w:p>
    <w:p>
      <w:pPr>
        <w:tabs>
          <w:tab w:val="left" w:pos="720"/>
        </w:tabs>
        <w:snapToGrid w:val="0"/>
        <w:spacing w:line="400" w:lineRule="exact"/>
        <w:jc w:val="center"/>
        <w:rPr>
          <w:rFonts w:ascii="宋体" w:hAnsi="宋体"/>
          <w:b/>
          <w:sz w:val="28"/>
          <w:szCs w:val="28"/>
        </w:rPr>
      </w:pPr>
      <w:r>
        <w:rPr>
          <w:rFonts w:hint="eastAsia" w:ascii="宋体" w:hAnsi="宋体"/>
          <w:b/>
          <w:sz w:val="28"/>
          <w:szCs w:val="28"/>
        </w:rPr>
        <w:t>参与编制技术标投标文件人员名单</w:t>
      </w:r>
    </w:p>
    <w:p>
      <w:pPr>
        <w:tabs>
          <w:tab w:val="left" w:pos="720"/>
        </w:tabs>
        <w:snapToGrid w:val="0"/>
        <w:spacing w:line="400" w:lineRule="exact"/>
        <w:jc w:val="center"/>
        <w:rPr>
          <w:rFonts w:ascii="宋体" w:hAnsi="宋体"/>
          <w:b/>
          <w:szCs w:val="21"/>
        </w:rPr>
      </w:pPr>
    </w:p>
    <w:p>
      <w:pPr>
        <w:tabs>
          <w:tab w:val="left" w:pos="720"/>
        </w:tabs>
        <w:snapToGrid w:val="0"/>
        <w:spacing w:line="400" w:lineRule="exact"/>
        <w:jc w:val="center"/>
        <w:rPr>
          <w:rFonts w:ascii="宋体" w:hAnsi="宋体"/>
          <w:b/>
          <w:szCs w:val="21"/>
        </w:rPr>
      </w:pP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330"/>
        <w:gridCol w:w="2442"/>
        <w:gridCol w:w="2341"/>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79" w:type="dxa"/>
            <w:gridSpan w:val="5"/>
            <w:vAlign w:val="center"/>
          </w:tcPr>
          <w:p>
            <w:pPr>
              <w:tabs>
                <w:tab w:val="left" w:pos="720"/>
              </w:tabs>
              <w:snapToGrid w:val="0"/>
              <w:spacing w:line="400" w:lineRule="exact"/>
              <w:jc w:val="center"/>
              <w:rPr>
                <w:rFonts w:ascii="宋体" w:hAnsi="宋体"/>
                <w:b/>
                <w:szCs w:val="21"/>
              </w:rPr>
            </w:pPr>
            <w:r>
              <w:rPr>
                <w:rFonts w:hint="eastAsia" w:ascii="宋体" w:hAnsi="宋体"/>
                <w:b/>
                <w:szCs w:val="21"/>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30" w:type="dxa"/>
            <w:vAlign w:val="center"/>
          </w:tcPr>
          <w:p>
            <w:pPr>
              <w:tabs>
                <w:tab w:val="left" w:pos="720"/>
              </w:tabs>
              <w:snapToGrid w:val="0"/>
              <w:spacing w:line="400" w:lineRule="exact"/>
              <w:jc w:val="center"/>
              <w:rPr>
                <w:rFonts w:ascii="宋体" w:hAnsi="宋体"/>
                <w:b/>
                <w:szCs w:val="21"/>
              </w:rPr>
            </w:pPr>
            <w:r>
              <w:rPr>
                <w:rFonts w:hint="eastAsia" w:ascii="宋体" w:hAnsi="宋体"/>
                <w:b/>
                <w:szCs w:val="21"/>
              </w:rPr>
              <w:t>姓名</w:t>
            </w:r>
          </w:p>
        </w:tc>
        <w:tc>
          <w:tcPr>
            <w:tcW w:w="1330" w:type="dxa"/>
            <w:vAlign w:val="center"/>
          </w:tcPr>
          <w:p>
            <w:pPr>
              <w:tabs>
                <w:tab w:val="left" w:pos="720"/>
              </w:tabs>
              <w:snapToGrid w:val="0"/>
              <w:spacing w:line="400" w:lineRule="exact"/>
              <w:jc w:val="center"/>
              <w:rPr>
                <w:rFonts w:ascii="宋体" w:hAnsi="宋体"/>
                <w:b/>
                <w:szCs w:val="21"/>
              </w:rPr>
            </w:pPr>
            <w:r>
              <w:rPr>
                <w:rFonts w:hint="eastAsia" w:ascii="宋体" w:hAnsi="宋体"/>
                <w:b/>
                <w:szCs w:val="21"/>
              </w:rPr>
              <w:t>职务</w:t>
            </w:r>
          </w:p>
        </w:tc>
        <w:tc>
          <w:tcPr>
            <w:tcW w:w="2442" w:type="dxa"/>
            <w:vAlign w:val="center"/>
          </w:tcPr>
          <w:p>
            <w:pPr>
              <w:tabs>
                <w:tab w:val="left" w:pos="720"/>
              </w:tabs>
              <w:snapToGrid w:val="0"/>
              <w:spacing w:line="400" w:lineRule="exact"/>
              <w:jc w:val="center"/>
              <w:rPr>
                <w:rFonts w:ascii="宋体" w:hAnsi="宋体"/>
                <w:b/>
                <w:szCs w:val="21"/>
              </w:rPr>
            </w:pPr>
            <w:r>
              <w:rPr>
                <w:rFonts w:hint="eastAsia" w:ascii="宋体" w:hAnsi="宋体"/>
                <w:b/>
                <w:szCs w:val="21"/>
              </w:rPr>
              <w:t>所承担工作</w:t>
            </w:r>
          </w:p>
        </w:tc>
        <w:tc>
          <w:tcPr>
            <w:tcW w:w="2341" w:type="dxa"/>
            <w:vAlign w:val="center"/>
          </w:tcPr>
          <w:p>
            <w:pPr>
              <w:tabs>
                <w:tab w:val="left" w:pos="720"/>
              </w:tabs>
              <w:snapToGrid w:val="0"/>
              <w:spacing w:line="400" w:lineRule="exact"/>
              <w:jc w:val="center"/>
              <w:rPr>
                <w:rFonts w:ascii="宋体" w:hAnsi="宋体"/>
                <w:b/>
                <w:szCs w:val="21"/>
              </w:rPr>
            </w:pPr>
            <w:r>
              <w:rPr>
                <w:rFonts w:hint="eastAsia" w:ascii="宋体" w:hAnsi="宋体"/>
                <w:b/>
                <w:szCs w:val="21"/>
              </w:rPr>
              <w:t>身份证号码</w:t>
            </w:r>
          </w:p>
        </w:tc>
        <w:tc>
          <w:tcPr>
            <w:tcW w:w="1836" w:type="dxa"/>
            <w:vAlign w:val="center"/>
          </w:tcPr>
          <w:p>
            <w:pPr>
              <w:tabs>
                <w:tab w:val="left" w:pos="720"/>
              </w:tabs>
              <w:snapToGrid w:val="0"/>
              <w:spacing w:line="400" w:lineRule="exact"/>
              <w:jc w:val="center"/>
              <w:rPr>
                <w:rFonts w:ascii="宋体" w:hAnsi="宋体"/>
                <w:b/>
                <w:szCs w:val="21"/>
              </w:rPr>
            </w:pPr>
            <w:r>
              <w:rPr>
                <w:rFonts w:hint="eastAsia" w:ascii="宋体" w:hAnsi="宋体"/>
                <w:b/>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30" w:type="dxa"/>
            <w:vAlign w:val="center"/>
          </w:tcPr>
          <w:p>
            <w:pPr>
              <w:tabs>
                <w:tab w:val="left" w:pos="720"/>
              </w:tabs>
              <w:snapToGrid w:val="0"/>
              <w:spacing w:line="400" w:lineRule="exact"/>
              <w:jc w:val="center"/>
              <w:rPr>
                <w:rFonts w:ascii="宋体" w:hAnsi="宋体"/>
                <w:sz w:val="24"/>
              </w:rPr>
            </w:pPr>
          </w:p>
        </w:tc>
        <w:tc>
          <w:tcPr>
            <w:tcW w:w="1330" w:type="dxa"/>
            <w:vAlign w:val="center"/>
          </w:tcPr>
          <w:p>
            <w:pPr>
              <w:tabs>
                <w:tab w:val="left" w:pos="720"/>
              </w:tabs>
              <w:snapToGrid w:val="0"/>
              <w:spacing w:line="400" w:lineRule="exact"/>
              <w:jc w:val="center"/>
              <w:rPr>
                <w:rFonts w:ascii="宋体" w:hAnsi="宋体"/>
                <w:sz w:val="24"/>
              </w:rPr>
            </w:pPr>
          </w:p>
        </w:tc>
        <w:tc>
          <w:tcPr>
            <w:tcW w:w="2442" w:type="dxa"/>
            <w:vAlign w:val="center"/>
          </w:tcPr>
          <w:p>
            <w:pPr>
              <w:tabs>
                <w:tab w:val="left" w:pos="720"/>
              </w:tabs>
              <w:snapToGrid w:val="0"/>
              <w:spacing w:line="400" w:lineRule="exact"/>
              <w:jc w:val="center"/>
              <w:rPr>
                <w:rFonts w:ascii="宋体" w:hAnsi="宋体"/>
                <w:sz w:val="24"/>
              </w:rPr>
            </w:pPr>
          </w:p>
        </w:tc>
        <w:tc>
          <w:tcPr>
            <w:tcW w:w="2341" w:type="dxa"/>
            <w:vAlign w:val="center"/>
          </w:tcPr>
          <w:p>
            <w:pPr>
              <w:tabs>
                <w:tab w:val="left" w:pos="720"/>
              </w:tabs>
              <w:snapToGrid w:val="0"/>
              <w:spacing w:line="400" w:lineRule="exact"/>
              <w:jc w:val="center"/>
              <w:rPr>
                <w:rFonts w:ascii="宋体" w:hAnsi="宋体"/>
                <w:sz w:val="24"/>
              </w:rPr>
            </w:pPr>
          </w:p>
        </w:tc>
        <w:tc>
          <w:tcPr>
            <w:tcW w:w="1836" w:type="dxa"/>
            <w:vAlign w:val="center"/>
          </w:tcPr>
          <w:p>
            <w:pPr>
              <w:tabs>
                <w:tab w:val="left" w:pos="720"/>
              </w:tabs>
              <w:snapToGrid w:val="0"/>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0" w:type="dxa"/>
            <w:vAlign w:val="center"/>
          </w:tcPr>
          <w:p>
            <w:pPr>
              <w:tabs>
                <w:tab w:val="left" w:pos="720"/>
              </w:tabs>
              <w:snapToGrid w:val="0"/>
              <w:spacing w:line="400" w:lineRule="exact"/>
              <w:jc w:val="center"/>
              <w:rPr>
                <w:rFonts w:ascii="宋体" w:hAnsi="宋体"/>
                <w:sz w:val="24"/>
              </w:rPr>
            </w:pPr>
          </w:p>
        </w:tc>
        <w:tc>
          <w:tcPr>
            <w:tcW w:w="1330" w:type="dxa"/>
            <w:vAlign w:val="center"/>
          </w:tcPr>
          <w:p>
            <w:pPr>
              <w:tabs>
                <w:tab w:val="left" w:pos="720"/>
              </w:tabs>
              <w:snapToGrid w:val="0"/>
              <w:spacing w:line="400" w:lineRule="exact"/>
              <w:jc w:val="center"/>
              <w:rPr>
                <w:rFonts w:ascii="宋体" w:hAnsi="宋体"/>
                <w:sz w:val="24"/>
              </w:rPr>
            </w:pPr>
          </w:p>
        </w:tc>
        <w:tc>
          <w:tcPr>
            <w:tcW w:w="2442" w:type="dxa"/>
            <w:vAlign w:val="center"/>
          </w:tcPr>
          <w:p>
            <w:pPr>
              <w:tabs>
                <w:tab w:val="left" w:pos="720"/>
              </w:tabs>
              <w:snapToGrid w:val="0"/>
              <w:spacing w:line="400" w:lineRule="exact"/>
              <w:jc w:val="center"/>
              <w:rPr>
                <w:rFonts w:ascii="宋体" w:hAnsi="宋体"/>
                <w:sz w:val="24"/>
              </w:rPr>
            </w:pPr>
          </w:p>
        </w:tc>
        <w:tc>
          <w:tcPr>
            <w:tcW w:w="2341" w:type="dxa"/>
            <w:vAlign w:val="center"/>
          </w:tcPr>
          <w:p>
            <w:pPr>
              <w:tabs>
                <w:tab w:val="left" w:pos="720"/>
              </w:tabs>
              <w:snapToGrid w:val="0"/>
              <w:spacing w:line="400" w:lineRule="exact"/>
              <w:jc w:val="center"/>
              <w:rPr>
                <w:rFonts w:ascii="宋体" w:hAnsi="宋体"/>
                <w:sz w:val="24"/>
              </w:rPr>
            </w:pPr>
          </w:p>
        </w:tc>
        <w:tc>
          <w:tcPr>
            <w:tcW w:w="1836" w:type="dxa"/>
            <w:vAlign w:val="center"/>
          </w:tcPr>
          <w:p>
            <w:pPr>
              <w:tabs>
                <w:tab w:val="left" w:pos="720"/>
              </w:tabs>
              <w:snapToGrid w:val="0"/>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0" w:type="dxa"/>
            <w:vAlign w:val="center"/>
          </w:tcPr>
          <w:p>
            <w:pPr>
              <w:tabs>
                <w:tab w:val="left" w:pos="720"/>
              </w:tabs>
              <w:snapToGrid w:val="0"/>
              <w:spacing w:line="400" w:lineRule="exact"/>
              <w:jc w:val="center"/>
              <w:rPr>
                <w:rFonts w:ascii="宋体" w:hAnsi="宋体"/>
                <w:sz w:val="24"/>
              </w:rPr>
            </w:pPr>
          </w:p>
        </w:tc>
        <w:tc>
          <w:tcPr>
            <w:tcW w:w="1330" w:type="dxa"/>
            <w:vAlign w:val="center"/>
          </w:tcPr>
          <w:p>
            <w:pPr>
              <w:tabs>
                <w:tab w:val="left" w:pos="720"/>
              </w:tabs>
              <w:snapToGrid w:val="0"/>
              <w:spacing w:line="400" w:lineRule="exact"/>
              <w:jc w:val="center"/>
              <w:rPr>
                <w:rFonts w:ascii="宋体" w:hAnsi="宋体"/>
                <w:sz w:val="24"/>
              </w:rPr>
            </w:pPr>
          </w:p>
        </w:tc>
        <w:tc>
          <w:tcPr>
            <w:tcW w:w="2442" w:type="dxa"/>
            <w:vAlign w:val="center"/>
          </w:tcPr>
          <w:p>
            <w:pPr>
              <w:tabs>
                <w:tab w:val="left" w:pos="720"/>
              </w:tabs>
              <w:snapToGrid w:val="0"/>
              <w:spacing w:line="400" w:lineRule="exact"/>
              <w:jc w:val="center"/>
              <w:rPr>
                <w:rFonts w:ascii="宋体" w:hAnsi="宋体"/>
                <w:sz w:val="24"/>
              </w:rPr>
            </w:pPr>
          </w:p>
        </w:tc>
        <w:tc>
          <w:tcPr>
            <w:tcW w:w="2341" w:type="dxa"/>
            <w:vAlign w:val="center"/>
          </w:tcPr>
          <w:p>
            <w:pPr>
              <w:tabs>
                <w:tab w:val="left" w:pos="720"/>
              </w:tabs>
              <w:snapToGrid w:val="0"/>
              <w:spacing w:line="400" w:lineRule="exact"/>
              <w:jc w:val="center"/>
              <w:rPr>
                <w:rFonts w:ascii="宋体" w:hAnsi="宋体"/>
                <w:sz w:val="24"/>
              </w:rPr>
            </w:pPr>
          </w:p>
        </w:tc>
        <w:tc>
          <w:tcPr>
            <w:tcW w:w="1836" w:type="dxa"/>
            <w:vAlign w:val="center"/>
          </w:tcPr>
          <w:p>
            <w:pPr>
              <w:tabs>
                <w:tab w:val="left" w:pos="720"/>
              </w:tabs>
              <w:snapToGrid w:val="0"/>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0" w:type="dxa"/>
            <w:vAlign w:val="center"/>
          </w:tcPr>
          <w:p>
            <w:pPr>
              <w:tabs>
                <w:tab w:val="left" w:pos="720"/>
              </w:tabs>
              <w:snapToGrid w:val="0"/>
              <w:spacing w:line="400" w:lineRule="exact"/>
              <w:jc w:val="center"/>
              <w:rPr>
                <w:rFonts w:ascii="宋体" w:hAnsi="宋体"/>
                <w:sz w:val="24"/>
              </w:rPr>
            </w:pPr>
          </w:p>
        </w:tc>
        <w:tc>
          <w:tcPr>
            <w:tcW w:w="1330" w:type="dxa"/>
            <w:vAlign w:val="center"/>
          </w:tcPr>
          <w:p>
            <w:pPr>
              <w:tabs>
                <w:tab w:val="left" w:pos="720"/>
              </w:tabs>
              <w:snapToGrid w:val="0"/>
              <w:spacing w:line="400" w:lineRule="exact"/>
              <w:jc w:val="center"/>
              <w:rPr>
                <w:rFonts w:ascii="宋体" w:hAnsi="宋体"/>
                <w:sz w:val="24"/>
              </w:rPr>
            </w:pPr>
          </w:p>
        </w:tc>
        <w:tc>
          <w:tcPr>
            <w:tcW w:w="2442" w:type="dxa"/>
            <w:vAlign w:val="center"/>
          </w:tcPr>
          <w:p>
            <w:pPr>
              <w:tabs>
                <w:tab w:val="left" w:pos="720"/>
              </w:tabs>
              <w:snapToGrid w:val="0"/>
              <w:spacing w:line="400" w:lineRule="exact"/>
              <w:jc w:val="center"/>
              <w:rPr>
                <w:rFonts w:ascii="宋体" w:hAnsi="宋体"/>
                <w:sz w:val="24"/>
              </w:rPr>
            </w:pPr>
          </w:p>
        </w:tc>
        <w:tc>
          <w:tcPr>
            <w:tcW w:w="2341" w:type="dxa"/>
            <w:vAlign w:val="center"/>
          </w:tcPr>
          <w:p>
            <w:pPr>
              <w:tabs>
                <w:tab w:val="left" w:pos="720"/>
              </w:tabs>
              <w:snapToGrid w:val="0"/>
              <w:spacing w:line="400" w:lineRule="exact"/>
              <w:jc w:val="center"/>
              <w:rPr>
                <w:rFonts w:ascii="宋体" w:hAnsi="宋体"/>
                <w:sz w:val="24"/>
              </w:rPr>
            </w:pPr>
          </w:p>
        </w:tc>
        <w:tc>
          <w:tcPr>
            <w:tcW w:w="1836" w:type="dxa"/>
            <w:vAlign w:val="center"/>
          </w:tcPr>
          <w:p>
            <w:pPr>
              <w:tabs>
                <w:tab w:val="left" w:pos="720"/>
              </w:tabs>
              <w:snapToGrid w:val="0"/>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0" w:type="dxa"/>
            <w:vAlign w:val="center"/>
          </w:tcPr>
          <w:p>
            <w:pPr>
              <w:tabs>
                <w:tab w:val="left" w:pos="720"/>
              </w:tabs>
              <w:snapToGrid w:val="0"/>
              <w:spacing w:line="400" w:lineRule="exact"/>
              <w:jc w:val="center"/>
              <w:rPr>
                <w:rFonts w:ascii="宋体" w:hAnsi="宋体"/>
                <w:sz w:val="24"/>
              </w:rPr>
            </w:pPr>
          </w:p>
        </w:tc>
        <w:tc>
          <w:tcPr>
            <w:tcW w:w="1330" w:type="dxa"/>
            <w:vAlign w:val="center"/>
          </w:tcPr>
          <w:p>
            <w:pPr>
              <w:tabs>
                <w:tab w:val="left" w:pos="720"/>
              </w:tabs>
              <w:snapToGrid w:val="0"/>
              <w:spacing w:line="400" w:lineRule="exact"/>
              <w:jc w:val="center"/>
              <w:rPr>
                <w:rFonts w:ascii="宋体" w:hAnsi="宋体"/>
                <w:sz w:val="24"/>
              </w:rPr>
            </w:pPr>
          </w:p>
        </w:tc>
        <w:tc>
          <w:tcPr>
            <w:tcW w:w="2442" w:type="dxa"/>
            <w:vAlign w:val="center"/>
          </w:tcPr>
          <w:p>
            <w:pPr>
              <w:tabs>
                <w:tab w:val="left" w:pos="720"/>
              </w:tabs>
              <w:snapToGrid w:val="0"/>
              <w:spacing w:line="400" w:lineRule="exact"/>
              <w:jc w:val="center"/>
              <w:rPr>
                <w:rFonts w:ascii="宋体" w:hAnsi="宋体"/>
                <w:sz w:val="24"/>
              </w:rPr>
            </w:pPr>
          </w:p>
        </w:tc>
        <w:tc>
          <w:tcPr>
            <w:tcW w:w="2341" w:type="dxa"/>
            <w:vAlign w:val="center"/>
          </w:tcPr>
          <w:p>
            <w:pPr>
              <w:tabs>
                <w:tab w:val="left" w:pos="720"/>
              </w:tabs>
              <w:snapToGrid w:val="0"/>
              <w:spacing w:line="400" w:lineRule="exact"/>
              <w:jc w:val="center"/>
              <w:rPr>
                <w:rFonts w:ascii="宋体" w:hAnsi="宋体"/>
                <w:sz w:val="24"/>
              </w:rPr>
            </w:pPr>
          </w:p>
        </w:tc>
        <w:tc>
          <w:tcPr>
            <w:tcW w:w="1836" w:type="dxa"/>
            <w:vAlign w:val="center"/>
          </w:tcPr>
          <w:p>
            <w:pPr>
              <w:tabs>
                <w:tab w:val="left" w:pos="720"/>
              </w:tabs>
              <w:snapToGrid w:val="0"/>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0" w:type="dxa"/>
            <w:vAlign w:val="center"/>
          </w:tcPr>
          <w:p>
            <w:pPr>
              <w:tabs>
                <w:tab w:val="left" w:pos="720"/>
              </w:tabs>
              <w:snapToGrid w:val="0"/>
              <w:spacing w:line="400" w:lineRule="exact"/>
              <w:jc w:val="center"/>
              <w:rPr>
                <w:rFonts w:ascii="宋体" w:hAnsi="宋体"/>
                <w:sz w:val="24"/>
              </w:rPr>
            </w:pPr>
          </w:p>
        </w:tc>
        <w:tc>
          <w:tcPr>
            <w:tcW w:w="1330" w:type="dxa"/>
            <w:vAlign w:val="center"/>
          </w:tcPr>
          <w:p>
            <w:pPr>
              <w:tabs>
                <w:tab w:val="left" w:pos="720"/>
              </w:tabs>
              <w:snapToGrid w:val="0"/>
              <w:spacing w:line="400" w:lineRule="exact"/>
              <w:jc w:val="center"/>
              <w:rPr>
                <w:rFonts w:ascii="宋体" w:hAnsi="宋体"/>
                <w:sz w:val="24"/>
              </w:rPr>
            </w:pPr>
          </w:p>
        </w:tc>
        <w:tc>
          <w:tcPr>
            <w:tcW w:w="2442" w:type="dxa"/>
            <w:vAlign w:val="center"/>
          </w:tcPr>
          <w:p>
            <w:pPr>
              <w:tabs>
                <w:tab w:val="left" w:pos="720"/>
              </w:tabs>
              <w:snapToGrid w:val="0"/>
              <w:spacing w:line="400" w:lineRule="exact"/>
              <w:jc w:val="center"/>
              <w:rPr>
                <w:rFonts w:ascii="宋体" w:hAnsi="宋体"/>
                <w:sz w:val="24"/>
              </w:rPr>
            </w:pPr>
          </w:p>
        </w:tc>
        <w:tc>
          <w:tcPr>
            <w:tcW w:w="2341" w:type="dxa"/>
            <w:vAlign w:val="center"/>
          </w:tcPr>
          <w:p>
            <w:pPr>
              <w:tabs>
                <w:tab w:val="left" w:pos="720"/>
              </w:tabs>
              <w:snapToGrid w:val="0"/>
              <w:spacing w:line="400" w:lineRule="exact"/>
              <w:jc w:val="center"/>
              <w:rPr>
                <w:rFonts w:ascii="宋体" w:hAnsi="宋体"/>
                <w:sz w:val="24"/>
              </w:rPr>
            </w:pPr>
          </w:p>
        </w:tc>
        <w:tc>
          <w:tcPr>
            <w:tcW w:w="1836" w:type="dxa"/>
            <w:vAlign w:val="center"/>
          </w:tcPr>
          <w:p>
            <w:pPr>
              <w:tabs>
                <w:tab w:val="left" w:pos="720"/>
              </w:tabs>
              <w:snapToGrid w:val="0"/>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30" w:type="dxa"/>
            <w:vAlign w:val="center"/>
          </w:tcPr>
          <w:p>
            <w:pPr>
              <w:tabs>
                <w:tab w:val="left" w:pos="720"/>
              </w:tabs>
              <w:snapToGrid w:val="0"/>
              <w:spacing w:line="400" w:lineRule="exact"/>
              <w:jc w:val="center"/>
              <w:rPr>
                <w:rFonts w:ascii="宋体" w:hAnsi="宋体"/>
                <w:sz w:val="24"/>
              </w:rPr>
            </w:pPr>
          </w:p>
        </w:tc>
        <w:tc>
          <w:tcPr>
            <w:tcW w:w="1330" w:type="dxa"/>
            <w:vAlign w:val="center"/>
          </w:tcPr>
          <w:p>
            <w:pPr>
              <w:tabs>
                <w:tab w:val="left" w:pos="720"/>
              </w:tabs>
              <w:snapToGrid w:val="0"/>
              <w:spacing w:line="400" w:lineRule="exact"/>
              <w:jc w:val="center"/>
              <w:rPr>
                <w:rFonts w:ascii="宋体" w:hAnsi="宋体"/>
                <w:sz w:val="24"/>
              </w:rPr>
            </w:pPr>
          </w:p>
        </w:tc>
        <w:tc>
          <w:tcPr>
            <w:tcW w:w="2442" w:type="dxa"/>
            <w:vAlign w:val="center"/>
          </w:tcPr>
          <w:p>
            <w:pPr>
              <w:tabs>
                <w:tab w:val="left" w:pos="720"/>
              </w:tabs>
              <w:snapToGrid w:val="0"/>
              <w:spacing w:line="400" w:lineRule="exact"/>
              <w:jc w:val="center"/>
              <w:rPr>
                <w:rFonts w:ascii="宋体" w:hAnsi="宋体"/>
                <w:sz w:val="24"/>
              </w:rPr>
            </w:pPr>
          </w:p>
        </w:tc>
        <w:tc>
          <w:tcPr>
            <w:tcW w:w="2341" w:type="dxa"/>
            <w:vAlign w:val="center"/>
          </w:tcPr>
          <w:p>
            <w:pPr>
              <w:tabs>
                <w:tab w:val="left" w:pos="720"/>
              </w:tabs>
              <w:snapToGrid w:val="0"/>
              <w:spacing w:line="400" w:lineRule="exact"/>
              <w:jc w:val="center"/>
              <w:rPr>
                <w:rFonts w:ascii="宋体" w:hAnsi="宋体"/>
                <w:sz w:val="24"/>
              </w:rPr>
            </w:pPr>
          </w:p>
        </w:tc>
        <w:tc>
          <w:tcPr>
            <w:tcW w:w="1836" w:type="dxa"/>
            <w:vAlign w:val="center"/>
          </w:tcPr>
          <w:p>
            <w:pPr>
              <w:tabs>
                <w:tab w:val="left" w:pos="720"/>
              </w:tabs>
              <w:snapToGrid w:val="0"/>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30" w:type="dxa"/>
            <w:vAlign w:val="center"/>
          </w:tcPr>
          <w:p>
            <w:pPr>
              <w:tabs>
                <w:tab w:val="left" w:pos="720"/>
              </w:tabs>
              <w:snapToGrid w:val="0"/>
              <w:spacing w:line="400" w:lineRule="exact"/>
              <w:jc w:val="center"/>
              <w:rPr>
                <w:rFonts w:ascii="宋体" w:hAnsi="宋体"/>
                <w:sz w:val="24"/>
              </w:rPr>
            </w:pPr>
          </w:p>
        </w:tc>
        <w:tc>
          <w:tcPr>
            <w:tcW w:w="1330" w:type="dxa"/>
            <w:vAlign w:val="center"/>
          </w:tcPr>
          <w:p>
            <w:pPr>
              <w:tabs>
                <w:tab w:val="left" w:pos="720"/>
              </w:tabs>
              <w:snapToGrid w:val="0"/>
              <w:spacing w:line="400" w:lineRule="exact"/>
              <w:jc w:val="center"/>
              <w:rPr>
                <w:rFonts w:ascii="宋体" w:hAnsi="宋体"/>
                <w:sz w:val="24"/>
              </w:rPr>
            </w:pPr>
          </w:p>
        </w:tc>
        <w:tc>
          <w:tcPr>
            <w:tcW w:w="2442" w:type="dxa"/>
            <w:vAlign w:val="center"/>
          </w:tcPr>
          <w:p>
            <w:pPr>
              <w:tabs>
                <w:tab w:val="left" w:pos="720"/>
              </w:tabs>
              <w:snapToGrid w:val="0"/>
              <w:spacing w:line="400" w:lineRule="exact"/>
              <w:jc w:val="center"/>
              <w:rPr>
                <w:rFonts w:ascii="宋体" w:hAnsi="宋体"/>
                <w:sz w:val="24"/>
              </w:rPr>
            </w:pPr>
          </w:p>
        </w:tc>
        <w:tc>
          <w:tcPr>
            <w:tcW w:w="2341" w:type="dxa"/>
            <w:vAlign w:val="center"/>
          </w:tcPr>
          <w:p>
            <w:pPr>
              <w:tabs>
                <w:tab w:val="left" w:pos="720"/>
              </w:tabs>
              <w:snapToGrid w:val="0"/>
              <w:spacing w:line="400" w:lineRule="exact"/>
              <w:jc w:val="center"/>
              <w:rPr>
                <w:rFonts w:ascii="宋体" w:hAnsi="宋体"/>
                <w:sz w:val="24"/>
              </w:rPr>
            </w:pPr>
          </w:p>
        </w:tc>
        <w:tc>
          <w:tcPr>
            <w:tcW w:w="1836" w:type="dxa"/>
            <w:vAlign w:val="center"/>
          </w:tcPr>
          <w:p>
            <w:pPr>
              <w:tabs>
                <w:tab w:val="left" w:pos="720"/>
              </w:tabs>
              <w:snapToGrid w:val="0"/>
              <w:spacing w:line="400" w:lineRule="exact"/>
              <w:jc w:val="center"/>
              <w:rPr>
                <w:rFonts w:ascii="宋体" w:hAnsi="宋体"/>
                <w:sz w:val="24"/>
              </w:rPr>
            </w:pPr>
          </w:p>
        </w:tc>
      </w:tr>
    </w:tbl>
    <w:p>
      <w:pPr>
        <w:tabs>
          <w:tab w:val="left" w:pos="720"/>
        </w:tabs>
        <w:snapToGrid w:val="0"/>
        <w:spacing w:line="400" w:lineRule="exact"/>
        <w:rPr>
          <w:rFonts w:ascii="宋体" w:hAnsi="宋体"/>
          <w:szCs w:val="21"/>
        </w:rPr>
      </w:pPr>
    </w:p>
    <w:p>
      <w:pPr>
        <w:spacing w:line="400" w:lineRule="exact"/>
        <w:rPr>
          <w:rFonts w:ascii="宋体" w:hAnsi="宋体"/>
          <w:sz w:val="24"/>
        </w:rPr>
        <w:sectPr>
          <w:endnotePr>
            <w:numFmt w:val="decimal"/>
          </w:endnotePr>
          <w:pgSz w:w="11906" w:h="16840"/>
          <w:pgMar w:top="1304" w:right="1417" w:bottom="1417" w:left="1417" w:header="850" w:footer="850" w:gutter="0"/>
          <w:cols w:space="720" w:num="1"/>
          <w:docGrid w:linePitch="312" w:charSpace="0"/>
        </w:sectPr>
      </w:pPr>
      <w:r>
        <w:rPr>
          <w:rFonts w:hint="eastAsia" w:ascii="宋体" w:hAnsi="宋体"/>
          <w:szCs w:val="21"/>
        </w:rPr>
        <w:t>注：参与编制技术标书所有人员名单应包括如编制技术投标方案、负责清样校对、负责打印及复印等所有人员在内的人员名单。</w:t>
      </w:r>
    </w:p>
    <w:p>
      <w:pPr>
        <w:spacing w:line="400" w:lineRule="exact"/>
        <w:rPr>
          <w:rFonts w:ascii="宋体" w:hAnsi="宋体"/>
          <w:b/>
          <w:szCs w:val="21"/>
        </w:rPr>
      </w:pPr>
      <w:r>
        <w:rPr>
          <w:rFonts w:hint="eastAsia" w:ascii="宋体" w:hAnsi="宋体"/>
          <w:b/>
          <w:szCs w:val="21"/>
        </w:rPr>
        <w:t>投标格式</w:t>
      </w:r>
      <w:r>
        <w:rPr>
          <w:rFonts w:hint="eastAsia" w:ascii="宋体" w:hAnsi="宋体"/>
          <w:b/>
          <w:kern w:val="0"/>
          <w:szCs w:val="21"/>
        </w:rPr>
        <w:t>十五</w:t>
      </w:r>
    </w:p>
    <w:p>
      <w:pPr>
        <w:spacing w:line="400" w:lineRule="exact"/>
        <w:rPr>
          <w:rFonts w:ascii="宋体" w:hAnsi="宋体"/>
          <w:b/>
          <w:szCs w:val="21"/>
        </w:rPr>
      </w:pPr>
    </w:p>
    <w:p>
      <w:pPr>
        <w:spacing w:line="400" w:lineRule="exact"/>
        <w:jc w:val="center"/>
        <w:rPr>
          <w:rFonts w:ascii="宋体" w:hAnsi="宋体"/>
          <w:b/>
          <w:sz w:val="28"/>
          <w:szCs w:val="28"/>
        </w:rPr>
      </w:pPr>
      <w:r>
        <w:rPr>
          <w:rFonts w:hint="eastAsia" w:ascii="宋体" w:hAnsi="宋体"/>
          <w:b/>
          <w:sz w:val="28"/>
          <w:szCs w:val="28"/>
        </w:rPr>
        <w:t>投标保证书</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致：广东省机场管理集团有限公司工程建设指挥部、中铁建工集团有限公司</w:t>
      </w:r>
    </w:p>
    <w:p>
      <w:pPr>
        <w:spacing w:line="400" w:lineRule="exact"/>
        <w:rPr>
          <w:rFonts w:ascii="宋体" w:hAnsi="宋体"/>
          <w:szCs w:val="21"/>
        </w:rPr>
      </w:pPr>
      <w:r>
        <w:rPr>
          <w:rFonts w:hint="eastAsia" w:ascii="宋体" w:hAnsi="宋体"/>
          <w:szCs w:val="21"/>
        </w:rPr>
        <w:t xml:space="preserve">    我方同意从确定的接受投标之日起至投标有效期满止，在此期间的任何时间，本投标保证书和投标文件一直对我方具有约束力，我方将承担以下责任：</w:t>
      </w:r>
    </w:p>
    <w:p>
      <w:pPr>
        <w:spacing w:line="400" w:lineRule="exact"/>
        <w:rPr>
          <w:rFonts w:ascii="宋体" w:hAnsi="宋体"/>
          <w:szCs w:val="21"/>
        </w:rPr>
      </w:pPr>
      <w:r>
        <w:rPr>
          <w:rFonts w:hint="eastAsia" w:ascii="宋体" w:hAnsi="宋体"/>
          <w:szCs w:val="21"/>
        </w:rPr>
        <w:t>1、不撤回本投标文件；</w:t>
      </w:r>
    </w:p>
    <w:p>
      <w:pPr>
        <w:spacing w:line="400" w:lineRule="exact"/>
        <w:rPr>
          <w:rFonts w:ascii="宋体" w:hAnsi="宋体"/>
          <w:szCs w:val="21"/>
        </w:rPr>
      </w:pPr>
      <w:r>
        <w:rPr>
          <w:rFonts w:hint="eastAsia" w:ascii="宋体" w:hAnsi="宋体"/>
          <w:szCs w:val="21"/>
        </w:rPr>
        <w:t>2、随时接受中标，在接到中标通知书后按规定期限与你方签订工程建设施工合同。</w:t>
      </w:r>
    </w:p>
    <w:p>
      <w:pPr>
        <w:spacing w:line="400" w:lineRule="exact"/>
        <w:rPr>
          <w:rFonts w:ascii="宋体" w:hAnsi="宋体"/>
          <w:szCs w:val="21"/>
        </w:rPr>
      </w:pPr>
      <w:r>
        <w:rPr>
          <w:rFonts w:hint="eastAsia" w:ascii="宋体" w:hAnsi="宋体"/>
          <w:szCs w:val="21"/>
        </w:rPr>
        <w:t>3、投标人有串通投标、以虚假资料投标或向投标人、评标委员会成员行贿等非法行为的；</w:t>
      </w:r>
    </w:p>
    <w:p>
      <w:pPr>
        <w:spacing w:line="400" w:lineRule="exact"/>
        <w:rPr>
          <w:rFonts w:ascii="宋体" w:hAnsi="宋体"/>
          <w:szCs w:val="21"/>
        </w:rPr>
      </w:pPr>
      <w:r>
        <w:rPr>
          <w:rFonts w:hint="eastAsia" w:ascii="宋体" w:hAnsi="宋体"/>
          <w:szCs w:val="21"/>
        </w:rPr>
        <w:t>4、其它违反招标文件规定的情形。</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 xml:space="preserve">    在投标期间，若我方违反上述责任中的任何一款或招标文件中的要求，你方有权在本次招标结束后不退还我们交纳的投标保证金，我方愿承担由此所造成给业主一切损失的费用。</w:t>
      </w:r>
    </w:p>
    <w:p>
      <w:pPr>
        <w:spacing w:line="400" w:lineRule="exact"/>
        <w:ind w:firstLine="3570" w:firstLineChars="1700"/>
        <w:rPr>
          <w:rFonts w:ascii="宋体" w:hAnsi="宋体"/>
          <w:szCs w:val="21"/>
        </w:rPr>
      </w:pPr>
    </w:p>
    <w:p>
      <w:pPr>
        <w:spacing w:line="400" w:lineRule="exact"/>
        <w:ind w:firstLine="3570" w:firstLineChars="1700"/>
        <w:rPr>
          <w:rFonts w:ascii="宋体" w:hAnsi="宋体"/>
          <w:szCs w:val="21"/>
        </w:rPr>
      </w:pPr>
    </w:p>
    <w:p>
      <w:pPr>
        <w:spacing w:line="400" w:lineRule="exact"/>
        <w:ind w:firstLine="3570" w:firstLineChars="1700"/>
        <w:rPr>
          <w:rFonts w:ascii="宋体" w:hAnsi="宋体"/>
          <w:szCs w:val="21"/>
        </w:rPr>
      </w:pPr>
    </w:p>
    <w:p>
      <w:pPr>
        <w:spacing w:line="400" w:lineRule="exact"/>
        <w:ind w:firstLine="3570" w:firstLineChars="1700"/>
        <w:rPr>
          <w:rFonts w:ascii="宋体" w:hAnsi="宋体"/>
          <w:szCs w:val="21"/>
        </w:rPr>
      </w:pPr>
    </w:p>
    <w:p>
      <w:pPr>
        <w:spacing w:line="400" w:lineRule="exact"/>
        <w:ind w:firstLine="3570" w:firstLineChars="1700"/>
        <w:rPr>
          <w:rFonts w:ascii="宋体" w:hAnsi="宋体"/>
          <w:szCs w:val="21"/>
        </w:rPr>
      </w:pPr>
    </w:p>
    <w:p>
      <w:pPr>
        <w:spacing w:line="400" w:lineRule="exact"/>
        <w:ind w:firstLine="3570" w:firstLineChars="1700"/>
        <w:rPr>
          <w:rFonts w:ascii="宋体" w:hAnsi="宋体"/>
          <w:szCs w:val="21"/>
        </w:rPr>
      </w:pPr>
    </w:p>
    <w:p>
      <w:pPr>
        <w:spacing w:line="400" w:lineRule="exact"/>
        <w:ind w:firstLine="3570" w:firstLineChars="1700"/>
        <w:rPr>
          <w:rFonts w:ascii="宋体" w:hAnsi="宋体"/>
          <w:szCs w:val="21"/>
        </w:rPr>
      </w:pPr>
      <w:r>
        <w:rPr>
          <w:rFonts w:hint="eastAsia" w:ascii="宋体" w:hAnsi="宋体"/>
          <w:szCs w:val="21"/>
        </w:rPr>
        <w:t>投标人：（盖章）</w:t>
      </w:r>
    </w:p>
    <w:p>
      <w:pPr>
        <w:spacing w:line="400" w:lineRule="exact"/>
        <w:rPr>
          <w:rFonts w:ascii="宋体" w:hAnsi="宋体"/>
          <w:szCs w:val="21"/>
        </w:rPr>
      </w:pPr>
      <w:r>
        <w:rPr>
          <w:rFonts w:hint="eastAsia" w:ascii="宋体" w:hAnsi="宋体"/>
          <w:szCs w:val="21"/>
        </w:rPr>
        <w:t xml:space="preserve">                                  </w:t>
      </w:r>
    </w:p>
    <w:p>
      <w:pPr>
        <w:spacing w:line="400" w:lineRule="exact"/>
        <w:ind w:firstLine="3570" w:firstLineChars="1700"/>
        <w:rPr>
          <w:rFonts w:ascii="宋体" w:hAnsi="宋体"/>
          <w:szCs w:val="21"/>
        </w:rPr>
      </w:pPr>
      <w:r>
        <w:rPr>
          <w:rFonts w:hint="eastAsia" w:ascii="宋体" w:hAnsi="宋体"/>
          <w:szCs w:val="21"/>
        </w:rPr>
        <w:t>法定代表人：（签字或盖章）</w:t>
      </w:r>
    </w:p>
    <w:p>
      <w:pPr>
        <w:spacing w:line="400" w:lineRule="exact"/>
        <w:ind w:firstLine="3570" w:firstLineChars="1700"/>
        <w:rPr>
          <w:rFonts w:ascii="宋体" w:hAnsi="宋体"/>
          <w:szCs w:val="21"/>
        </w:rPr>
      </w:pPr>
    </w:p>
    <w:p>
      <w:pPr>
        <w:spacing w:line="400" w:lineRule="exact"/>
        <w:ind w:firstLine="3570" w:firstLineChars="1700"/>
        <w:rPr>
          <w:rFonts w:ascii="宋体" w:hAnsi="宋体"/>
          <w:szCs w:val="21"/>
        </w:rPr>
      </w:pPr>
      <w:r>
        <w:rPr>
          <w:rFonts w:hint="eastAsia" w:ascii="宋体" w:hAnsi="宋体"/>
          <w:szCs w:val="21"/>
        </w:rPr>
        <w:t>授权代理人：（签字或盖章）</w:t>
      </w:r>
    </w:p>
    <w:p>
      <w:pPr>
        <w:spacing w:line="400" w:lineRule="exact"/>
        <w:rPr>
          <w:rFonts w:ascii="宋体" w:hAnsi="宋体"/>
          <w:szCs w:val="21"/>
        </w:rPr>
      </w:pPr>
      <w:r>
        <w:rPr>
          <w:rFonts w:hint="eastAsia" w:ascii="宋体" w:hAnsi="宋体"/>
          <w:szCs w:val="21"/>
        </w:rPr>
        <w:t xml:space="preserve">                                  </w:t>
      </w:r>
    </w:p>
    <w:p>
      <w:pPr>
        <w:spacing w:line="400" w:lineRule="exact"/>
        <w:ind w:firstLine="3570" w:firstLineChars="1700"/>
        <w:outlineLvl w:val="0"/>
        <w:rPr>
          <w:rFonts w:ascii="宋体" w:hAnsi="宋体"/>
          <w:b/>
          <w:sz w:val="28"/>
          <w:szCs w:val="28"/>
        </w:rPr>
      </w:pPr>
      <w:bookmarkStart w:id="366" w:name="_Toc490078264"/>
      <w:bookmarkStart w:id="367" w:name="_Toc40271728"/>
      <w:bookmarkStart w:id="368" w:name="_Toc272500285"/>
      <w:bookmarkStart w:id="369" w:name="_Toc24964"/>
      <w:bookmarkStart w:id="370" w:name="_Toc273606052"/>
      <w:bookmarkStart w:id="371" w:name="_Toc267577807"/>
      <w:bookmarkStart w:id="372" w:name="_Toc327344416"/>
      <w:bookmarkStart w:id="373" w:name="_Toc267577883"/>
      <w:bookmarkStart w:id="374" w:name="_Toc267577551"/>
      <w:r>
        <w:rPr>
          <w:rFonts w:hint="eastAsia" w:ascii="宋体" w:hAnsi="宋体"/>
          <w:szCs w:val="21"/>
        </w:rPr>
        <w:t>日   期：     年    月     日</w:t>
      </w:r>
      <w:bookmarkEnd w:id="366"/>
      <w:bookmarkEnd w:id="367"/>
      <w:bookmarkEnd w:id="368"/>
      <w:bookmarkEnd w:id="369"/>
      <w:bookmarkEnd w:id="370"/>
      <w:bookmarkEnd w:id="371"/>
      <w:bookmarkEnd w:id="372"/>
      <w:bookmarkEnd w:id="373"/>
      <w:bookmarkEnd w:id="374"/>
    </w:p>
    <w:p>
      <w:pPr>
        <w:spacing w:line="360" w:lineRule="auto"/>
        <w:jc w:val="center"/>
        <w:rPr>
          <w:rFonts w:ascii="宋体" w:hAnsi="宋体"/>
          <w:sz w:val="24"/>
        </w:rPr>
      </w:pPr>
    </w:p>
    <w:p>
      <w:pPr>
        <w:spacing w:line="360" w:lineRule="auto"/>
        <w:rPr>
          <w:rFonts w:ascii="宋体" w:hAnsi="宋体"/>
          <w:snapToGrid w:val="0"/>
          <w:sz w:val="24"/>
        </w:rPr>
      </w:pPr>
    </w:p>
    <w:p>
      <w:pPr>
        <w:spacing w:line="360" w:lineRule="auto"/>
        <w:rPr>
          <w:rFonts w:ascii="宋体" w:hAnsi="宋体"/>
          <w:snapToGrid w:val="0"/>
          <w:sz w:val="24"/>
        </w:rPr>
      </w:pPr>
    </w:p>
    <w:p>
      <w:pPr>
        <w:spacing w:line="360" w:lineRule="auto"/>
        <w:rPr>
          <w:rFonts w:ascii="宋体" w:hAnsi="宋体"/>
          <w:snapToGrid w:val="0"/>
          <w:sz w:val="24"/>
        </w:rPr>
      </w:pPr>
    </w:p>
    <w:p>
      <w:pPr>
        <w:spacing w:line="360" w:lineRule="auto"/>
        <w:rPr>
          <w:rFonts w:ascii="宋体" w:hAnsi="宋体"/>
          <w:snapToGrid w:val="0"/>
          <w:sz w:val="24"/>
        </w:rPr>
      </w:pPr>
    </w:p>
    <w:p>
      <w:pPr>
        <w:spacing w:line="360" w:lineRule="auto"/>
        <w:rPr>
          <w:rFonts w:ascii="宋体" w:hAnsi="宋体"/>
          <w:snapToGrid w:val="0"/>
          <w:sz w:val="24"/>
        </w:rPr>
      </w:pPr>
    </w:p>
    <w:p>
      <w:pPr>
        <w:spacing w:line="360" w:lineRule="auto"/>
        <w:rPr>
          <w:rFonts w:ascii="宋体" w:hAnsi="宋体"/>
          <w:snapToGrid w:val="0"/>
          <w:sz w:val="24"/>
        </w:rPr>
        <w:sectPr>
          <w:endnotePr>
            <w:numFmt w:val="decimal"/>
          </w:endnotePr>
          <w:pgSz w:w="11906" w:h="16840"/>
          <w:pgMar w:top="1304" w:right="1417" w:bottom="1417" w:left="1417" w:header="850" w:footer="850" w:gutter="0"/>
          <w:cols w:space="720" w:num="1"/>
          <w:docGrid w:linePitch="312" w:charSpace="0"/>
        </w:sectPr>
      </w:pPr>
    </w:p>
    <w:p>
      <w:pPr>
        <w:spacing w:line="400" w:lineRule="exact"/>
        <w:jc w:val="left"/>
      </w:pPr>
      <w:r>
        <w:rPr>
          <w:rFonts w:hint="eastAsia" w:ascii="宋体" w:hAnsi="宋体"/>
          <w:b/>
          <w:szCs w:val="21"/>
        </w:rPr>
        <w:t>投标格式</w:t>
      </w:r>
      <w:r>
        <w:rPr>
          <w:rFonts w:hint="eastAsia" w:ascii="宋体" w:hAnsi="宋体"/>
          <w:b/>
          <w:kern w:val="0"/>
          <w:szCs w:val="21"/>
        </w:rPr>
        <w:t>十六</w:t>
      </w:r>
    </w:p>
    <w:p>
      <w:pPr>
        <w:snapToGrid w:val="0"/>
        <w:spacing w:line="360" w:lineRule="auto"/>
        <w:outlineLvl w:val="0"/>
        <w:rPr>
          <w:rFonts w:ascii="宋体" w:hAnsi="宋体"/>
          <w:b/>
          <w:snapToGrid w:val="0"/>
          <w:sz w:val="28"/>
          <w:szCs w:val="28"/>
        </w:rPr>
      </w:pPr>
    </w:p>
    <w:p>
      <w:pPr>
        <w:spacing w:line="400" w:lineRule="exact"/>
        <w:jc w:val="center"/>
        <w:rPr>
          <w:rFonts w:ascii="宋体" w:hAnsi="宋体"/>
          <w:b/>
          <w:sz w:val="28"/>
          <w:szCs w:val="28"/>
        </w:rPr>
      </w:pPr>
      <w:r>
        <w:rPr>
          <w:rFonts w:hint="eastAsia" w:ascii="宋体" w:hAnsi="宋体"/>
          <w:b/>
          <w:sz w:val="28"/>
          <w:szCs w:val="28"/>
        </w:rPr>
        <w:t>投标人拟派项目负责人、技术负责人签字确认书</w:t>
      </w:r>
    </w:p>
    <w:p>
      <w:pPr>
        <w:snapToGrid w:val="0"/>
        <w:spacing w:line="360" w:lineRule="auto"/>
        <w:rPr>
          <w:rFonts w:ascii="宋体" w:hAnsi="宋体"/>
          <w:snapToGrid w:val="0"/>
          <w:szCs w:val="21"/>
        </w:rPr>
      </w:pPr>
    </w:p>
    <w:p>
      <w:pPr>
        <w:snapToGrid w:val="0"/>
        <w:spacing w:line="360" w:lineRule="auto"/>
        <w:rPr>
          <w:rFonts w:ascii="宋体" w:hAnsi="宋体"/>
          <w:snapToGrid w:val="0"/>
          <w:szCs w:val="21"/>
        </w:rPr>
      </w:pPr>
      <w:r>
        <w:rPr>
          <w:rFonts w:hint="eastAsia" w:ascii="宋体" w:hAnsi="宋体"/>
          <w:snapToGrid w:val="0"/>
          <w:szCs w:val="21"/>
        </w:rPr>
        <w:t>致：</w:t>
      </w:r>
      <w:r>
        <w:rPr>
          <w:rFonts w:hint="eastAsia" w:ascii="宋体" w:hAnsi="宋体"/>
          <w:szCs w:val="21"/>
        </w:rPr>
        <w:t xml:space="preserve"> 广东省机场管理集团有限公司工程建设指挥部、中铁建工集团有限公司</w:t>
      </w:r>
    </w:p>
    <w:p>
      <w:pPr>
        <w:spacing w:line="360" w:lineRule="auto"/>
        <w:ind w:firstLine="420" w:firstLineChars="200"/>
        <w:rPr>
          <w:rFonts w:ascii="Arial" w:hAnsi="Arial" w:cs="Arial"/>
        </w:rPr>
      </w:pPr>
    </w:p>
    <w:p>
      <w:pPr>
        <w:spacing w:line="360" w:lineRule="auto"/>
        <w:ind w:firstLine="420" w:firstLineChars="200"/>
        <w:rPr>
          <w:rFonts w:ascii="宋体" w:hAnsi="宋体"/>
          <w:snapToGrid w:val="0"/>
          <w:szCs w:val="21"/>
        </w:rPr>
      </w:pPr>
      <w:r>
        <w:rPr>
          <w:rFonts w:hint="eastAsia" w:ascii="Arial" w:hAnsi="Arial" w:cs="Arial"/>
        </w:rPr>
        <w:t>我方为</w:t>
      </w:r>
      <w:r>
        <w:rPr>
          <w:rFonts w:hint="eastAsia" w:ascii="Arial" w:hAnsi="Arial" w:cs="Arial"/>
          <w:u w:val="single"/>
        </w:rPr>
        <w:t xml:space="preserve">                         项目</w:t>
      </w:r>
      <w:r>
        <w:rPr>
          <w:rFonts w:hint="eastAsia" w:ascii="Arial" w:hAnsi="Arial" w:cs="Arial"/>
        </w:rPr>
        <w:t>派出的项目负责人为</w:t>
      </w:r>
      <w:r>
        <w:rPr>
          <w:rFonts w:hint="eastAsia" w:ascii="Arial" w:hAnsi="Arial" w:cs="Arial"/>
          <w:u w:val="single"/>
        </w:rPr>
        <w:t xml:space="preserve">          （姓名）     （职务）      （身份证号）</w:t>
      </w:r>
      <w:r>
        <w:rPr>
          <w:rFonts w:hint="eastAsia" w:ascii="Arial" w:hAnsi="Arial" w:cs="Arial"/>
        </w:rPr>
        <w:t>，技术负责人为</w:t>
      </w:r>
      <w:r>
        <w:rPr>
          <w:rFonts w:hint="eastAsia" w:ascii="Arial" w:hAnsi="Arial" w:cs="Arial"/>
          <w:u w:val="single"/>
        </w:rPr>
        <w:t xml:space="preserve">          （姓名）     （职务）      （身份证号）</w:t>
      </w:r>
      <w:r>
        <w:rPr>
          <w:rFonts w:hint="eastAsia" w:ascii="Arial" w:hAnsi="Arial" w:cs="Arial"/>
        </w:rPr>
        <w:t>。</w:t>
      </w:r>
    </w:p>
    <w:p>
      <w:pPr>
        <w:snapToGrid w:val="0"/>
        <w:spacing w:line="360" w:lineRule="auto"/>
        <w:rPr>
          <w:rFonts w:ascii="宋体" w:hAnsi="宋体"/>
          <w:snapToGrid w:val="0"/>
          <w:szCs w:val="21"/>
        </w:rPr>
      </w:pPr>
    </w:p>
    <w:p>
      <w:pPr>
        <w:snapToGrid w:val="0"/>
        <w:spacing w:line="360" w:lineRule="auto"/>
        <w:rPr>
          <w:rFonts w:ascii="宋体" w:hAnsi="宋体"/>
          <w:snapToGrid w:val="0"/>
          <w:szCs w:val="21"/>
        </w:rPr>
      </w:pPr>
    </w:p>
    <w:p>
      <w:pPr>
        <w:snapToGrid w:val="0"/>
        <w:spacing w:line="360" w:lineRule="auto"/>
        <w:rPr>
          <w:rFonts w:ascii="宋体" w:hAnsi="宋体"/>
          <w:snapToGrid w:val="0"/>
          <w:szCs w:val="21"/>
        </w:rPr>
      </w:pPr>
      <w:r>
        <w:rPr>
          <w:rFonts w:hint="eastAsia" w:ascii="宋体" w:hAnsi="宋体"/>
          <w:snapToGrid w:val="0"/>
          <w:szCs w:val="21"/>
        </w:rPr>
        <w:t>项目负责人、技术负责人身份证复印件（加盖公章）：</w:t>
      </w:r>
    </w:p>
    <w:p>
      <w:pPr>
        <w:snapToGrid w:val="0"/>
        <w:spacing w:line="360" w:lineRule="auto"/>
        <w:rPr>
          <w:rFonts w:ascii="宋体" w:hAnsi="宋体"/>
          <w:snapToGrid w:val="0"/>
          <w:szCs w:val="21"/>
        </w:rPr>
      </w:pPr>
    </w:p>
    <w:p>
      <w:pPr>
        <w:snapToGrid w:val="0"/>
        <w:spacing w:line="360" w:lineRule="auto"/>
        <w:rPr>
          <w:rFonts w:ascii="宋体" w:hAnsi="宋体"/>
          <w:snapToGrid w:val="0"/>
          <w:szCs w:val="21"/>
        </w:rPr>
      </w:pPr>
    </w:p>
    <w:p>
      <w:pPr>
        <w:snapToGrid w:val="0"/>
        <w:spacing w:line="360" w:lineRule="auto"/>
        <w:rPr>
          <w:rFonts w:ascii="宋体" w:hAnsi="宋体"/>
          <w:snapToGrid w:val="0"/>
          <w:szCs w:val="21"/>
        </w:rPr>
      </w:pPr>
    </w:p>
    <w:p>
      <w:pPr>
        <w:snapToGrid w:val="0"/>
        <w:spacing w:line="360" w:lineRule="auto"/>
        <w:rPr>
          <w:rFonts w:ascii="宋体" w:hAnsi="宋体"/>
          <w:snapToGrid w:val="0"/>
          <w:szCs w:val="21"/>
          <w:u w:val="single"/>
        </w:rPr>
      </w:pPr>
      <w:r>
        <w:rPr>
          <w:rFonts w:hint="eastAsia" w:ascii="宋体" w:hAnsi="宋体"/>
          <w:snapToGrid w:val="0"/>
          <w:szCs w:val="21"/>
        </w:rPr>
        <w:t>投  标  单  位：</w:t>
      </w:r>
      <w:r>
        <w:rPr>
          <w:rFonts w:hint="eastAsia" w:ascii="宋体" w:hAnsi="宋体"/>
          <w:snapToGrid w:val="0"/>
          <w:szCs w:val="21"/>
          <w:u w:val="single"/>
        </w:rPr>
        <w:t xml:space="preserve">       （盖章）       </w:t>
      </w:r>
    </w:p>
    <w:p>
      <w:pPr>
        <w:snapToGrid w:val="0"/>
        <w:spacing w:line="360" w:lineRule="auto"/>
        <w:rPr>
          <w:rFonts w:ascii="宋体" w:hAnsi="宋体"/>
          <w:snapToGrid w:val="0"/>
          <w:szCs w:val="21"/>
          <w:u w:val="single"/>
        </w:rPr>
      </w:pPr>
    </w:p>
    <w:p>
      <w:pPr>
        <w:snapToGrid w:val="0"/>
        <w:spacing w:line="360" w:lineRule="auto"/>
        <w:rPr>
          <w:rFonts w:ascii="宋体" w:hAnsi="宋体"/>
          <w:snapToGrid w:val="0"/>
          <w:szCs w:val="21"/>
          <w:u w:val="single"/>
        </w:rPr>
      </w:pPr>
      <w:r>
        <w:rPr>
          <w:rFonts w:hint="eastAsia" w:ascii="宋体" w:hAnsi="宋体"/>
          <w:snapToGrid w:val="0"/>
          <w:szCs w:val="21"/>
        </w:rPr>
        <w:t>项  目  负  责  人：</w:t>
      </w:r>
      <w:r>
        <w:rPr>
          <w:rFonts w:hint="eastAsia" w:ascii="宋体" w:hAnsi="宋体"/>
          <w:snapToGrid w:val="0"/>
          <w:szCs w:val="21"/>
          <w:u w:val="single"/>
        </w:rPr>
        <w:t xml:space="preserve">       </w:t>
      </w:r>
      <w:r>
        <w:rPr>
          <w:rFonts w:hint="eastAsia" w:ascii="宋体" w:hAnsi="宋体"/>
          <w:b/>
          <w:bCs/>
          <w:sz w:val="32"/>
          <w:szCs w:val="32"/>
          <w:u w:val="single"/>
        </w:rPr>
        <w:t>（签字）</w:t>
      </w:r>
      <w:r>
        <w:rPr>
          <w:rFonts w:hint="eastAsia" w:ascii="宋体" w:hAnsi="宋体"/>
          <w:snapToGrid w:val="0"/>
          <w:szCs w:val="21"/>
          <w:u w:val="single"/>
        </w:rPr>
        <w:t xml:space="preserve">      </w:t>
      </w:r>
    </w:p>
    <w:p>
      <w:pPr>
        <w:snapToGrid w:val="0"/>
        <w:spacing w:line="360" w:lineRule="auto"/>
        <w:rPr>
          <w:rFonts w:ascii="宋体" w:hAnsi="宋体"/>
          <w:snapToGrid w:val="0"/>
          <w:szCs w:val="21"/>
        </w:rPr>
      </w:pPr>
    </w:p>
    <w:p>
      <w:pPr>
        <w:snapToGrid w:val="0"/>
        <w:spacing w:line="360" w:lineRule="auto"/>
        <w:rPr>
          <w:rFonts w:ascii="宋体" w:hAnsi="宋体"/>
          <w:snapToGrid w:val="0"/>
          <w:szCs w:val="21"/>
          <w:u w:val="single"/>
        </w:rPr>
      </w:pPr>
      <w:r>
        <w:rPr>
          <w:rFonts w:hint="eastAsia" w:ascii="宋体" w:hAnsi="宋体"/>
          <w:snapToGrid w:val="0"/>
          <w:szCs w:val="21"/>
        </w:rPr>
        <w:t>技  术  负  责  人：</w:t>
      </w:r>
      <w:r>
        <w:rPr>
          <w:rFonts w:hint="eastAsia" w:ascii="宋体" w:hAnsi="宋体"/>
          <w:snapToGrid w:val="0"/>
          <w:szCs w:val="21"/>
          <w:u w:val="single"/>
        </w:rPr>
        <w:t xml:space="preserve">       </w:t>
      </w:r>
      <w:r>
        <w:rPr>
          <w:rFonts w:hint="eastAsia" w:ascii="宋体" w:hAnsi="宋体"/>
          <w:b/>
          <w:bCs/>
          <w:sz w:val="32"/>
          <w:szCs w:val="32"/>
          <w:u w:val="single"/>
        </w:rPr>
        <w:t>（签字）</w:t>
      </w:r>
      <w:r>
        <w:rPr>
          <w:rFonts w:hint="eastAsia" w:ascii="宋体" w:hAnsi="宋体"/>
          <w:snapToGrid w:val="0"/>
          <w:szCs w:val="21"/>
          <w:u w:val="single"/>
        </w:rPr>
        <w:t xml:space="preserve">       </w:t>
      </w:r>
    </w:p>
    <w:p>
      <w:pPr>
        <w:snapToGrid w:val="0"/>
        <w:spacing w:line="360" w:lineRule="auto"/>
        <w:rPr>
          <w:rFonts w:ascii="宋体" w:hAnsi="宋体"/>
          <w:snapToGrid w:val="0"/>
          <w:szCs w:val="21"/>
        </w:rPr>
      </w:pPr>
    </w:p>
    <w:p>
      <w:pPr>
        <w:spacing w:line="360" w:lineRule="auto"/>
        <w:rPr>
          <w:rFonts w:ascii="宋体" w:hAnsi="宋体"/>
          <w:snapToGrid w:val="0"/>
          <w:szCs w:val="21"/>
        </w:rPr>
      </w:pPr>
      <w:r>
        <w:rPr>
          <w:rFonts w:hint="eastAsia" w:ascii="宋体" w:hAnsi="宋体"/>
          <w:snapToGrid w:val="0"/>
          <w:szCs w:val="21"/>
        </w:rPr>
        <w:t>日          期：</w:t>
      </w:r>
      <w:r>
        <w:rPr>
          <w:rFonts w:hint="eastAsia" w:ascii="宋体" w:hAnsi="宋体"/>
          <w:snapToGrid w:val="0"/>
          <w:szCs w:val="21"/>
          <w:u w:val="single"/>
        </w:rPr>
        <w:t xml:space="preserve">     </w:t>
      </w:r>
      <w:r>
        <w:rPr>
          <w:rFonts w:hint="eastAsia" w:ascii="宋体" w:hAnsi="宋体"/>
          <w:snapToGrid w:val="0"/>
          <w:szCs w:val="21"/>
        </w:rPr>
        <w:t xml:space="preserve"> 年</w:t>
      </w:r>
      <w:r>
        <w:rPr>
          <w:rFonts w:hint="eastAsia" w:ascii="宋体" w:hAnsi="宋体"/>
          <w:snapToGrid w:val="0"/>
          <w:szCs w:val="21"/>
          <w:u w:val="single"/>
        </w:rPr>
        <w:t xml:space="preserve">   </w:t>
      </w:r>
      <w:r>
        <w:rPr>
          <w:rFonts w:hint="eastAsia" w:ascii="宋体" w:hAnsi="宋体"/>
          <w:snapToGrid w:val="0"/>
          <w:szCs w:val="21"/>
        </w:rPr>
        <w:t xml:space="preserve"> 月</w:t>
      </w:r>
      <w:r>
        <w:rPr>
          <w:rFonts w:hint="eastAsia" w:ascii="宋体" w:hAnsi="宋体"/>
          <w:snapToGrid w:val="0"/>
          <w:szCs w:val="21"/>
          <w:u w:val="single"/>
        </w:rPr>
        <w:t xml:space="preserve">     </w:t>
      </w:r>
      <w:r>
        <w:rPr>
          <w:rFonts w:hint="eastAsia" w:ascii="宋体" w:hAnsi="宋体"/>
          <w:snapToGrid w:val="0"/>
          <w:szCs w:val="21"/>
        </w:rPr>
        <w:t>日</w:t>
      </w:r>
    </w:p>
    <w:p>
      <w:pPr>
        <w:spacing w:line="400" w:lineRule="exact"/>
        <w:jc w:val="left"/>
      </w:pPr>
      <w:r>
        <w:rPr>
          <w:rFonts w:hint="eastAsia" w:ascii="宋体" w:hAnsi="宋体"/>
          <w:b/>
          <w:szCs w:val="21"/>
        </w:rPr>
        <w:br w:type="page"/>
      </w:r>
      <w:r>
        <w:rPr>
          <w:rFonts w:hint="eastAsia" w:ascii="宋体" w:hAnsi="宋体"/>
          <w:b/>
          <w:szCs w:val="21"/>
        </w:rPr>
        <w:t>投标格式</w:t>
      </w:r>
      <w:r>
        <w:rPr>
          <w:rFonts w:hint="eastAsia" w:ascii="宋体" w:hAnsi="宋体"/>
          <w:b/>
          <w:kern w:val="0"/>
          <w:szCs w:val="21"/>
        </w:rPr>
        <w:t>十七</w:t>
      </w:r>
    </w:p>
    <w:p>
      <w:pPr>
        <w:spacing w:line="400" w:lineRule="exact"/>
        <w:jc w:val="left"/>
      </w:pPr>
    </w:p>
    <w:p>
      <w:pPr>
        <w:snapToGrid w:val="0"/>
        <w:spacing w:line="360" w:lineRule="auto"/>
        <w:outlineLvl w:val="0"/>
        <w:rPr>
          <w:rFonts w:ascii="宋体" w:hAnsi="宋体"/>
          <w:b/>
          <w:snapToGrid w:val="0"/>
          <w:sz w:val="28"/>
          <w:szCs w:val="28"/>
        </w:rPr>
      </w:pPr>
    </w:p>
    <w:p>
      <w:pPr>
        <w:pStyle w:val="120"/>
        <w:spacing w:line="360" w:lineRule="auto"/>
        <w:jc w:val="center"/>
        <w:rPr>
          <w:rFonts w:ascii="仿宋" w:hAnsi="仿宋" w:eastAsia="仿宋"/>
          <w:b/>
          <w:sz w:val="32"/>
          <w:szCs w:val="32"/>
        </w:rPr>
      </w:pPr>
      <w:r>
        <w:rPr>
          <w:rFonts w:hint="eastAsia" w:ascii="仿宋" w:hAnsi="仿宋" w:eastAsia="仿宋"/>
          <w:b/>
          <w:sz w:val="32"/>
          <w:szCs w:val="32"/>
        </w:rPr>
        <w:t>危险性较大的分部分项工程清单及超过一定规模的危险性较大的分部分项工程清单</w:t>
      </w:r>
    </w:p>
    <w:p>
      <w:pPr>
        <w:pStyle w:val="92"/>
        <w:numPr>
          <w:ilvl w:val="0"/>
          <w:numId w:val="14"/>
        </w:numPr>
        <w:autoSpaceDE w:val="0"/>
        <w:autoSpaceDN w:val="0"/>
        <w:adjustRightInd w:val="0"/>
        <w:spacing w:line="360" w:lineRule="auto"/>
        <w:ind w:firstLineChars="0"/>
        <w:jc w:val="left"/>
        <w:rPr>
          <w:rFonts w:ascii="宋体" w:hAnsi="宋体"/>
          <w:sz w:val="24"/>
          <w:szCs w:val="28"/>
        </w:rPr>
      </w:pPr>
      <w:r>
        <w:rPr>
          <w:rFonts w:hint="eastAsia" w:ascii="宋体" w:hAnsi="宋体"/>
          <w:sz w:val="24"/>
          <w:szCs w:val="28"/>
        </w:rPr>
        <w:t>根据中华人民共和国住房和城乡建设部令第37号《危险性较大的分部分项工程安全管理规定》（以下简称“37号文”），投标人在投标时须补充完善危大工程清单并明确相应的安全管理措施。</w:t>
      </w:r>
    </w:p>
    <w:p>
      <w:pPr>
        <w:pStyle w:val="92"/>
        <w:numPr>
          <w:ilvl w:val="0"/>
          <w:numId w:val="14"/>
        </w:numPr>
        <w:autoSpaceDE w:val="0"/>
        <w:autoSpaceDN w:val="0"/>
        <w:adjustRightInd w:val="0"/>
        <w:spacing w:line="360" w:lineRule="auto"/>
        <w:ind w:firstLineChars="0"/>
        <w:jc w:val="left"/>
        <w:rPr>
          <w:rFonts w:ascii="宋体" w:hAnsi="宋体"/>
          <w:sz w:val="24"/>
          <w:szCs w:val="28"/>
        </w:rPr>
      </w:pPr>
      <w:r>
        <w:rPr>
          <w:rFonts w:hint="eastAsia" w:ascii="宋体" w:hAnsi="宋体"/>
          <w:sz w:val="24"/>
          <w:szCs w:val="28"/>
        </w:rPr>
        <w:t>招标人根据设计文件的要求及37号文、</w:t>
      </w:r>
      <w:r>
        <w:rPr>
          <w:rFonts w:ascii="宋体" w:hAnsi="宋体"/>
          <w:sz w:val="24"/>
          <w:szCs w:val="28"/>
        </w:rPr>
        <w:t>粤建规范〔2019〕2号</w:t>
      </w:r>
      <w:r>
        <w:rPr>
          <w:rFonts w:hint="eastAsia" w:ascii="宋体" w:hAnsi="宋体"/>
          <w:sz w:val="24"/>
          <w:szCs w:val="28"/>
        </w:rPr>
        <w:t>文的规定列出“危险性较大的分部分项工程清单及超过一定规模的危险性较大的分部分项工程清单”中与本招标项目相关的清单项，具体详见第5点“打</w:t>
      </w:r>
      <w:r>
        <w:rPr>
          <w:rFonts w:hint="eastAsia" w:ascii="宋体" w:hAnsi="宋体"/>
          <w:sz w:val="24"/>
          <w:szCs w:val="36"/>
        </w:rPr>
        <w:t>√”标识。</w:t>
      </w:r>
    </w:p>
    <w:p>
      <w:pPr>
        <w:pStyle w:val="92"/>
        <w:numPr>
          <w:ilvl w:val="0"/>
          <w:numId w:val="15"/>
        </w:numPr>
        <w:autoSpaceDE w:val="0"/>
        <w:autoSpaceDN w:val="0"/>
        <w:adjustRightInd w:val="0"/>
        <w:spacing w:line="360" w:lineRule="auto"/>
        <w:ind w:firstLineChars="0"/>
        <w:jc w:val="left"/>
        <w:rPr>
          <w:rFonts w:ascii="宋体" w:hAnsi="宋体"/>
          <w:sz w:val="24"/>
          <w:szCs w:val="36"/>
        </w:rPr>
      </w:pPr>
      <w:r>
        <w:rPr>
          <w:rFonts w:hint="eastAsia" w:ascii="宋体" w:hAnsi="宋体"/>
          <w:sz w:val="24"/>
          <w:szCs w:val="28"/>
        </w:rPr>
        <w:t>投标单位同意建设单位在清单中标识的该项请在对应项打“</w:t>
      </w:r>
      <w:r>
        <w:rPr>
          <w:rFonts w:hint="eastAsia" w:ascii="宋体" w:hAnsi="宋体"/>
          <w:sz w:val="24"/>
          <w:szCs w:val="36"/>
        </w:rPr>
        <w:t>√”标识，并在投标文件中提供相应的安全管理措施。</w:t>
      </w:r>
    </w:p>
    <w:p>
      <w:pPr>
        <w:pStyle w:val="92"/>
        <w:numPr>
          <w:ilvl w:val="0"/>
          <w:numId w:val="15"/>
        </w:numPr>
        <w:autoSpaceDE w:val="0"/>
        <w:autoSpaceDN w:val="0"/>
        <w:adjustRightInd w:val="0"/>
        <w:spacing w:line="360" w:lineRule="auto"/>
        <w:ind w:firstLineChars="0"/>
        <w:jc w:val="left"/>
        <w:rPr>
          <w:rFonts w:ascii="宋体" w:hAnsi="宋体"/>
          <w:sz w:val="24"/>
          <w:szCs w:val="36"/>
        </w:rPr>
      </w:pPr>
      <w:r>
        <w:rPr>
          <w:rFonts w:hint="eastAsia" w:ascii="宋体" w:hAnsi="宋体"/>
          <w:sz w:val="24"/>
          <w:szCs w:val="28"/>
        </w:rPr>
        <w:t>建设单位未在清单对应项打“</w:t>
      </w:r>
      <w:r>
        <w:rPr>
          <w:rFonts w:hint="eastAsia" w:ascii="宋体" w:hAnsi="宋体"/>
          <w:sz w:val="24"/>
          <w:szCs w:val="36"/>
        </w:rPr>
        <w:t>√”标识，</w:t>
      </w:r>
      <w:r>
        <w:rPr>
          <w:rFonts w:hint="eastAsia" w:ascii="宋体" w:hAnsi="宋体"/>
          <w:sz w:val="24"/>
          <w:szCs w:val="28"/>
        </w:rPr>
        <w:t>投标单位认为需要补充的，请在对应项打“</w:t>
      </w:r>
      <w:r>
        <w:rPr>
          <w:rFonts w:hint="eastAsia" w:ascii="宋体" w:hAnsi="宋体"/>
          <w:sz w:val="24"/>
          <w:szCs w:val="36"/>
        </w:rPr>
        <w:t>√”标识，并在投标文件中提供相应的安全管理措施。</w:t>
      </w:r>
    </w:p>
    <w:p>
      <w:pPr>
        <w:pStyle w:val="92"/>
        <w:numPr>
          <w:ilvl w:val="0"/>
          <w:numId w:val="15"/>
        </w:numPr>
        <w:autoSpaceDE w:val="0"/>
        <w:autoSpaceDN w:val="0"/>
        <w:adjustRightInd w:val="0"/>
        <w:spacing w:line="360" w:lineRule="auto"/>
        <w:ind w:firstLineChars="0"/>
        <w:jc w:val="left"/>
        <w:rPr>
          <w:rFonts w:ascii="宋体" w:hAnsi="宋体"/>
          <w:sz w:val="24"/>
          <w:szCs w:val="28"/>
        </w:rPr>
      </w:pPr>
      <w:r>
        <w:rPr>
          <w:rFonts w:hint="eastAsia" w:ascii="宋体" w:hAnsi="宋体"/>
          <w:sz w:val="24"/>
          <w:szCs w:val="36"/>
        </w:rPr>
        <w:t>投标单位不同意建设单位</w:t>
      </w:r>
      <w:r>
        <w:rPr>
          <w:rFonts w:hint="eastAsia" w:ascii="宋体" w:hAnsi="宋体"/>
          <w:sz w:val="24"/>
          <w:szCs w:val="28"/>
        </w:rPr>
        <w:t>在清单中标识的该项</w:t>
      </w:r>
      <w:r>
        <w:rPr>
          <w:rFonts w:hint="eastAsia" w:ascii="宋体" w:hAnsi="宋体"/>
          <w:sz w:val="24"/>
          <w:szCs w:val="36"/>
        </w:rPr>
        <w:t>请在对应项打“×”标识，并在备注栏填上相关说明。</w:t>
      </w:r>
    </w:p>
    <w:p>
      <w:pPr>
        <w:pStyle w:val="92"/>
        <w:numPr>
          <w:ilvl w:val="0"/>
          <w:numId w:val="14"/>
        </w:numPr>
        <w:autoSpaceDE w:val="0"/>
        <w:autoSpaceDN w:val="0"/>
        <w:adjustRightInd w:val="0"/>
        <w:spacing w:line="360" w:lineRule="auto"/>
        <w:ind w:firstLineChars="0"/>
        <w:jc w:val="left"/>
        <w:rPr>
          <w:rFonts w:ascii="宋体" w:hAnsi="宋体"/>
          <w:b/>
          <w:sz w:val="24"/>
          <w:szCs w:val="28"/>
          <w:u w:val="single"/>
        </w:rPr>
      </w:pPr>
      <w:r>
        <w:rPr>
          <w:rFonts w:hint="eastAsia" w:ascii="宋体" w:hAnsi="宋体"/>
          <w:b/>
          <w:sz w:val="24"/>
          <w:szCs w:val="28"/>
          <w:u w:val="single"/>
        </w:rPr>
        <w:t>投标单位应当在投标时根据招标人提供的下述第5点清单，在投标施工组织中编制专项施工方案。</w:t>
      </w:r>
    </w:p>
    <w:p>
      <w:pPr>
        <w:pStyle w:val="92"/>
        <w:numPr>
          <w:ilvl w:val="0"/>
          <w:numId w:val="14"/>
        </w:numPr>
        <w:autoSpaceDE w:val="0"/>
        <w:autoSpaceDN w:val="0"/>
        <w:adjustRightInd w:val="0"/>
        <w:spacing w:line="360" w:lineRule="auto"/>
        <w:ind w:firstLineChars="0"/>
        <w:jc w:val="left"/>
        <w:rPr>
          <w:rFonts w:ascii="宋体" w:hAnsi="宋体"/>
          <w:sz w:val="24"/>
          <w:szCs w:val="28"/>
        </w:rPr>
      </w:pPr>
      <w:r>
        <w:rPr>
          <w:rFonts w:hint="eastAsia" w:ascii="宋体" w:hAnsi="宋体"/>
          <w:sz w:val="24"/>
          <w:szCs w:val="28"/>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spacing w:line="360" w:lineRule="auto"/>
      </w:pPr>
      <w:r>
        <w:rPr>
          <w:rFonts w:hint="eastAsia" w:ascii="宋体" w:hAnsi="宋体"/>
          <w:sz w:val="24"/>
          <w:szCs w:val="28"/>
        </w:rPr>
        <w:t>5、危险性较大的分部分项工程清单及超过一定规模的危险性较大的分部分项工程清单：</w:t>
      </w:r>
    </w:p>
    <w:tbl>
      <w:tblPr>
        <w:tblStyle w:val="36"/>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1361"/>
        <w:gridCol w:w="136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rPr>
            </w:pPr>
            <w:r>
              <w:rPr>
                <w:rFonts w:hint="eastAsia" w:ascii="宋体" w:hAnsi="宋体"/>
                <w:b/>
                <w:sz w:val="24"/>
              </w:rPr>
              <w:t>一、危险性较大的分部分项工程清单</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r>
              <w:rPr>
                <w:rFonts w:hint="eastAsia" w:ascii="宋体" w:hAnsi="宋体"/>
                <w:sz w:val="24"/>
                <w:szCs w:val="36"/>
              </w:rPr>
              <w:t>建设单位</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r>
              <w:rPr>
                <w:rFonts w:hint="eastAsia" w:ascii="宋体" w:hAnsi="宋体"/>
                <w:sz w:val="24"/>
                <w:szCs w:val="36"/>
              </w:rPr>
              <w:t>投标单位</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r>
              <w:rPr>
                <w:rFonts w:hint="eastAsia" w:ascii="宋体" w:hAnsi="宋体"/>
                <w:sz w:val="24"/>
                <w:szCs w:val="3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一、基坑支护</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（一）开挖深度超过3m（含3m）的基坑（槽）的土方开挖、支护、降水工程。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（二）开挖深度虽未超过3m，但地质条件、周围环境和地下管线复杂，或影响毗邻建、构筑物安全的基坑（槽）的土方开挖、支护、降水工程。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二、模板工程及支撑体系</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（一）各类工具式模板工程：包括滑模、爬模、飞模、隧道模等工程。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（二）混凝土模板支撑工程：搭设高度5m及以上，或搭设跨度10m及以上，或施工总荷载（荷载效应基本组合的设计值，以下简称设计值）10kN/ m2及以上，或集中线荷载（设计值）15kN/m及以上，或高度大于支撑水平投影宽度且相对独立无联系构件的混凝土模板支撑工程。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360" w:lineRule="atLeast"/>
              <w:jc w:val="left"/>
              <w:rPr>
                <w:rFonts w:ascii="宋体" w:hAnsi="宋体" w:cs="宋体"/>
                <w:sz w:val="24"/>
              </w:rPr>
            </w:pPr>
            <w:r>
              <w:rPr>
                <w:rFonts w:hint="eastAsia" w:ascii="宋体" w:hAnsi="宋体" w:cs="宋体"/>
                <w:sz w:val="24"/>
              </w:rPr>
              <w:t>（三）承重支撑体系：用于钢结构安装等满堂支撑体系。</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360" w:lineRule="atLeast"/>
              <w:jc w:val="left"/>
              <w:rPr>
                <w:rFonts w:ascii="宋体" w:hAnsi="宋体" w:cs="宋体"/>
                <w:sz w:val="24"/>
              </w:rPr>
            </w:pPr>
            <w:r>
              <w:rPr>
                <w:rFonts w:hint="eastAsia" w:ascii="宋体" w:hAnsi="宋体" w:cs="宋体"/>
                <w:sz w:val="24"/>
              </w:rPr>
              <w:t>　三、起重吊装及起重机械安装拆卸工程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360" w:lineRule="atLeast"/>
              <w:jc w:val="left"/>
              <w:rPr>
                <w:rFonts w:ascii="宋体" w:hAnsi="宋体" w:cs="宋体"/>
                <w:sz w:val="24"/>
              </w:rPr>
            </w:pPr>
            <w:r>
              <w:rPr>
                <w:rFonts w:hint="eastAsia" w:ascii="宋体" w:hAnsi="宋体" w:cs="宋体"/>
                <w:sz w:val="24"/>
              </w:rPr>
              <w:t>（一）采用非常规起重设备、方法，且单件起吊重量在10kN及以上的起重吊装工程。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cs="宋体"/>
                <w:sz w:val="24"/>
              </w:rPr>
              <w:t>（二）采用起重机械进行安装的工程。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（三）起重机械安装和拆卸工程。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r>
              <w:rPr>
                <w:rFonts w:hint="eastAsia" w:ascii="宋体" w:hAnsi="宋体"/>
                <w:sz w:val="24"/>
                <w:szCs w:val="36"/>
              </w:rPr>
              <w:t>(√)</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r>
              <w:rPr>
                <w:rFonts w:hint="eastAsia" w:ascii="宋体" w:hAnsi="宋体" w:cs="宋体"/>
                <w:sz w:val="24"/>
              </w:rPr>
              <w:t>（四）起重机械的基础和附着工程。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四、脚手架工程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（一）搭设高度24m及以上的落地式钢管脚手架工程（包括采光井、电梯井脚手架）。</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（二）附着式升降脚手架工程。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（三）悬挑式脚手架工程。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（四）高处作业吊篮。</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（五）卸料平台、操作平台工程。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（六）异型脚手架工程。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五、拆除工程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可能影响行人、交通、电力设施、通讯设施或其它建、构筑物安全的拆除工程。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六、暗挖工程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采用矿山法、盾构法、顶管法施工的隧道、洞室工程。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七、结建式人防工程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结构工程的模板工程（支撑）;孔口防护工程的门框墙制作（门框采用起重机械进行吊装）、防护门（防护密闭门、密闭门）吊装。</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八、其它</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（一）建筑幕墙安装工程。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（二）钢结构、网架和索膜结构安装工程。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（三）人工挖孔桩工程。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（四）水下作业工程。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（五）装配式建筑混凝土预制构件安装工程。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（六）采用新技术、新工艺、新材料、新设备可能影响工程施工安全，尚无国家、行业及地方技术标准的分部分项工程。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（七）建设、勘察、设计、施工、监理单位三方以上共同认定或建设主管部门及其委托的安全监督机构认定为危险性较大的分部分项工程。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spacing w:line="360" w:lineRule="atLeast"/>
              <w:rPr>
                <w:rFonts w:ascii="宋体" w:hAnsi="宋体" w:cs="宋体"/>
                <w:b/>
                <w:sz w:val="24"/>
              </w:rPr>
            </w:pPr>
            <w:r>
              <w:rPr>
                <w:rFonts w:hint="eastAsia" w:ascii="宋体" w:hAnsi="宋体" w:cs="宋体"/>
                <w:b/>
                <w:bCs/>
                <w:sz w:val="24"/>
              </w:rPr>
              <w:t>二、超过一定规模的危险性较大的分部分项工程清单</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一、深基坑工程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（一）开挖深度超过5m（含5m）的基坑（槽）的土方开挖、支护、降水工程。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（二）开挖深度虽未超过5m，但地质条件、周围环境和地下管线复杂，或影响毗邻建筑（构筑物）安全基坑（槽）的土方开挖、高边坡、支护、降水工程。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r>
              <w:rPr>
                <w:rFonts w:hint="eastAsia" w:ascii="宋体" w:hAnsi="宋体"/>
                <w:sz w:val="24"/>
                <w:szCs w:val="36"/>
              </w:rPr>
              <w:t>(√)</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二、模板工程及支撑体系</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（一）各类工具式模板工程：包括滑模、爬模、飞模、隧道模等工程。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（二）混凝土模板支撑工程：搭设高度8m及以上，或搭设跨度18m及以上，或施工总荷载（设计值）15kN/m2及以上，或集中线荷载（设计值）20kN/m及以上。</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（三）承重支撑体系：用于钢结构安装等满堂支撑体系，承受单点集中荷载7kN及以上。</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　三、起重吊装及起重机械安装拆卸工程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（一）采用非常规起重设备、方法，且单件起吊重量在100kN及以上的起重吊装工程。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（二）起重量300kN及以上，或搭设总高度200m及以上，或搭设基础标高在200m及以上的起重机械安装和拆卸工程。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（三）发生严重变形或事故的起重机械的拆除工程。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四）采用高承台、钢结构平台、利用原有建筑结构的特殊基础工程；附着距离达1.5倍制造商的设计最大值、附着杆数量少于制造商的设计数量、附着杆均位于垂直附着面中心线的同一侧的起重机械附着工程，以及附着杆与垂直附着面中心线之间的夹角小于15°或大于65°的塔式起重机附着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四、脚手架工程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（一）搭设高度50m及以上的落地式钢管脚手架工程。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（二）提升高度在150m及以上的附着式升降脚手架工程或附着式升降操作平台工程。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（三）分段架体搭设高度20m及以上的悬挑式脚手架工程。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（四）作业面异形、复杂的或无法按产品说明书要求安装的的高处作业吊篮工程。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五、拆除工程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（一）码头、桥梁、高架、烟囱、水塔或拆除中容易引起有毒有害气（液）体或粉尘扩散、易燃易爆事故发生的特殊建（构）筑物，以及周边环境复杂的拆除工程。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（二）文物保护建筑、优秀历史建筑或历史文化风貌区影响范围内的拆除工程。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六、暗挖工程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采用矿山法、盾构法、顶管法施工的隧道、洞室工程。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七、其它</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（一）施工高度50m及以上的建筑幕墙安装工程。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（二）跨度36m及以上的钢结构安装工程，或跨度60m及以上的网架和索膜结构安装工程。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（三）开挖深度16m及以上的人工挖孔桩工程。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（四）水下作业工程。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（五）重量1000kN及以上的大型结构整体顶升、平移、转体等施工工艺。</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（六）采用新技术、新工艺、新材料、新设备可能影响工程施工安全，尚无国家、行业及地方技术标准的分部分项工程。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jc w:val="left"/>
              <w:rPr>
                <w:rFonts w:ascii="宋体" w:hAnsi="宋体"/>
                <w:sz w:val="24"/>
              </w:rPr>
            </w:pPr>
            <w:r>
              <w:rPr>
                <w:rFonts w:hint="eastAsia" w:ascii="宋体" w:hAnsi="宋体"/>
                <w:sz w:val="24"/>
              </w:rPr>
              <w:t>（七）建设、勘察、设计、施工、监理单位三方以上共同认定或建设主管部门及其委托的安全监督机构认定为超过一定规模的危险性较大的分部分项工程。</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r>
              <w:rPr>
                <w:rFonts w:hint="eastAsia" w:ascii="宋体" w:hAnsi="宋体"/>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r>
              <w:rPr>
                <w:rFonts w:hint="eastAsia" w:ascii="宋体" w:hAnsi="宋体"/>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36"/>
              </w:rPr>
            </w:pPr>
          </w:p>
        </w:tc>
      </w:tr>
    </w:tbl>
    <w:p>
      <w:pPr>
        <w:spacing w:line="360" w:lineRule="auto"/>
        <w:rPr>
          <w:rFonts w:ascii="宋体" w:hAnsi="宋体" w:cs="宋体"/>
          <w:sz w:val="24"/>
          <w:szCs w:val="20"/>
        </w:rPr>
      </w:pPr>
    </w:p>
    <w:p>
      <w:pPr>
        <w:spacing w:line="360" w:lineRule="auto"/>
        <w:rPr>
          <w:rFonts w:ascii="宋体" w:hAnsi="宋体" w:cs="宋体"/>
          <w:sz w:val="24"/>
          <w:szCs w:val="20"/>
        </w:rPr>
      </w:pPr>
      <w:r>
        <w:rPr>
          <w:rFonts w:hint="eastAsia" w:ascii="宋体" w:hAnsi="宋体" w:cs="宋体"/>
          <w:sz w:val="24"/>
          <w:szCs w:val="20"/>
        </w:rPr>
        <w:t>注：投标人可根据说明在投标单位对应项中自行修改标识，</w:t>
      </w:r>
      <w:r>
        <w:rPr>
          <w:rFonts w:hint="eastAsia" w:ascii="宋体" w:hAnsi="宋体"/>
          <w:sz w:val="24"/>
          <w:szCs w:val="36"/>
        </w:rPr>
        <w:t>，并在备注栏填上相关说明。</w:t>
      </w:r>
    </w:p>
    <w:p>
      <w:pPr>
        <w:spacing w:line="360" w:lineRule="auto"/>
        <w:ind w:firstLine="3000" w:firstLineChars="1250"/>
        <w:rPr>
          <w:rFonts w:ascii="宋体" w:hAnsi="宋体" w:cs="宋体"/>
          <w:sz w:val="24"/>
          <w:szCs w:val="20"/>
        </w:rPr>
      </w:pPr>
    </w:p>
    <w:p>
      <w:pPr>
        <w:spacing w:line="360" w:lineRule="auto"/>
        <w:ind w:firstLine="3000" w:firstLineChars="1250"/>
        <w:rPr>
          <w:rFonts w:ascii="宋体" w:hAnsi="宋体" w:cs="宋体"/>
          <w:sz w:val="24"/>
          <w:szCs w:val="20"/>
          <w:u w:val="single"/>
        </w:rPr>
      </w:pPr>
      <w:r>
        <w:rPr>
          <w:rFonts w:hint="eastAsia" w:ascii="宋体" w:hAnsi="宋体" w:cs="宋体"/>
          <w:sz w:val="24"/>
          <w:szCs w:val="20"/>
        </w:rPr>
        <w:t>投标人名称（盖章）：</w:t>
      </w:r>
    </w:p>
    <w:p>
      <w:pPr>
        <w:spacing w:line="360" w:lineRule="auto"/>
        <w:ind w:firstLine="3000" w:firstLineChars="1250"/>
        <w:rPr>
          <w:rFonts w:ascii="宋体" w:hAnsi="宋体" w:cs="宋体"/>
          <w:sz w:val="24"/>
          <w:szCs w:val="20"/>
          <w:u w:val="single"/>
        </w:rPr>
      </w:pPr>
      <w:r>
        <w:rPr>
          <w:rFonts w:hint="eastAsia" w:ascii="宋体" w:hAnsi="宋体" w:cs="宋体"/>
          <w:sz w:val="24"/>
          <w:szCs w:val="20"/>
        </w:rPr>
        <w:t>法定代表人或被授权人（签字或盖章）：</w:t>
      </w:r>
    </w:p>
    <w:p>
      <w:pPr>
        <w:ind w:firstLine="3600" w:firstLineChars="1500"/>
        <w:jc w:val="left"/>
        <w:rPr>
          <w:sz w:val="24"/>
          <w:szCs w:val="24"/>
        </w:rPr>
      </w:pPr>
      <w:r>
        <w:rPr>
          <w:rFonts w:hint="eastAsia" w:ascii="宋体" w:hAnsi="宋体" w:cs="宋体"/>
          <w:sz w:val="24"/>
          <w:szCs w:val="20"/>
        </w:rPr>
        <w:t>日期：   年  月  日</w:t>
      </w:r>
      <w:bookmarkStart w:id="375" w:name="_Toc9260"/>
      <w:r>
        <w:rPr>
          <w:rFonts w:hint="eastAsia"/>
          <w:sz w:val="24"/>
          <w:szCs w:val="24"/>
        </w:rPr>
        <w:br w:type="page"/>
      </w:r>
    </w:p>
    <w:p>
      <w:pPr>
        <w:rPr>
          <w:sz w:val="18"/>
          <w:szCs w:val="18"/>
        </w:rPr>
      </w:pPr>
      <w:r>
        <w:rPr>
          <w:rFonts w:hint="eastAsia"/>
          <w:sz w:val="24"/>
          <w:szCs w:val="24"/>
        </w:rPr>
        <w:t>格式</w:t>
      </w:r>
      <w:r>
        <w:rPr>
          <w:rFonts w:hint="eastAsia"/>
          <w:kern w:val="0"/>
          <w:sz w:val="24"/>
          <w:szCs w:val="24"/>
        </w:rPr>
        <w:t>十八</w:t>
      </w:r>
    </w:p>
    <w:p>
      <w:pPr>
        <w:jc w:val="center"/>
        <w:rPr>
          <w:rFonts w:ascii="宋体" w:hAnsi="宋体" w:cs="宋体"/>
          <w:sz w:val="44"/>
          <w:szCs w:val="44"/>
        </w:rPr>
      </w:pPr>
      <w:r>
        <w:rPr>
          <w:rFonts w:hint="eastAsia" w:ascii="宋体" w:hAnsi="宋体" w:cs="宋体"/>
          <w:b/>
          <w:bCs/>
          <w:sz w:val="44"/>
          <w:szCs w:val="44"/>
        </w:rPr>
        <w:t>廉 洁 承 诺 书</w:t>
      </w:r>
    </w:p>
    <w:p>
      <w:pPr>
        <w:rPr>
          <w:rFonts w:ascii="仿宋_GB2312" w:hAnsi="仿宋_GB2312" w:eastAsia="仿宋_GB2312" w:cs="仿宋_GB2312"/>
          <w:sz w:val="32"/>
          <w:szCs w:val="32"/>
        </w:rPr>
      </w:pPr>
    </w:p>
    <w:p>
      <w:pPr>
        <w:spacing w:line="540" w:lineRule="exact"/>
        <w:rPr>
          <w:rFonts w:ascii="宋体" w:hAnsi="宋体"/>
          <w:sz w:val="24"/>
          <w:szCs w:val="24"/>
        </w:rPr>
      </w:pPr>
      <w:r>
        <w:rPr>
          <w:rFonts w:hint="eastAsia" w:ascii="宋体" w:hAnsi="宋体"/>
          <w:sz w:val="24"/>
          <w:szCs w:val="24"/>
        </w:rPr>
        <w:t>广东省机场管理集团有限公司工程建设指挥部：</w:t>
      </w:r>
    </w:p>
    <w:p>
      <w:pPr>
        <w:spacing w:line="540" w:lineRule="exact"/>
        <w:rPr>
          <w:rFonts w:ascii="宋体" w:hAnsi="宋体" w:cs="仿宋_GB2312"/>
          <w:sz w:val="24"/>
          <w:szCs w:val="24"/>
        </w:rPr>
      </w:pPr>
      <w:r>
        <w:rPr>
          <w:rFonts w:hint="eastAsia" w:ascii="宋体" w:hAnsi="宋体"/>
          <w:sz w:val="24"/>
          <w:szCs w:val="24"/>
        </w:rPr>
        <w:t xml:space="preserve">    为了落实全力打造“精品工程、样板工程、平安工程、廉洁工程”的要求，防范廉洁风险，推进落实机场建设工程“廉洁控制”的相关要求，促进合同依法依规履行，我方对在承揽的广州白云国际机场三期扩建工程配冷供冷工程合同所涉工程项目作</w:t>
      </w:r>
      <w:r>
        <w:rPr>
          <w:rFonts w:hint="eastAsia" w:ascii="宋体" w:hAnsi="宋体" w:cs="仿宋_GB2312"/>
          <w:sz w:val="24"/>
          <w:szCs w:val="24"/>
        </w:rPr>
        <w:t>廉洁承诺，具体如下：</w:t>
      </w:r>
    </w:p>
    <w:p>
      <w:pPr>
        <w:spacing w:line="540" w:lineRule="exact"/>
        <w:ind w:firstLine="480" w:firstLineChars="200"/>
        <w:rPr>
          <w:rFonts w:ascii="宋体" w:hAnsi="宋体"/>
          <w:sz w:val="24"/>
          <w:szCs w:val="24"/>
        </w:rPr>
      </w:pPr>
      <w:r>
        <w:rPr>
          <w:rFonts w:hint="eastAsia" w:ascii="宋体" w:hAnsi="宋体" w:cs="仿宋_GB2312"/>
          <w:sz w:val="24"/>
          <w:szCs w:val="24"/>
        </w:rPr>
        <w:t>一、我方承诺建立健全工程劳务分包、专业工程分包、材料采购、安全管理等制度</w:t>
      </w:r>
      <w:r>
        <w:rPr>
          <w:rFonts w:hint="eastAsia" w:ascii="宋体" w:hAnsi="宋体"/>
          <w:sz w:val="24"/>
          <w:szCs w:val="24"/>
        </w:rPr>
        <w:t>；</w:t>
      </w:r>
      <w:r>
        <w:rPr>
          <w:rFonts w:hint="eastAsia" w:ascii="宋体" w:hAnsi="宋体" w:cs="仿宋_GB2312"/>
          <w:sz w:val="24"/>
          <w:szCs w:val="24"/>
        </w:rPr>
        <w:t>做好工地现场廉洁宣传</w:t>
      </w:r>
      <w:r>
        <w:rPr>
          <w:rFonts w:hint="eastAsia" w:ascii="宋体" w:hAnsi="宋体"/>
          <w:sz w:val="24"/>
          <w:szCs w:val="24"/>
        </w:rPr>
        <w:t>，对</w:t>
      </w:r>
      <w:r>
        <w:rPr>
          <w:rFonts w:hint="eastAsia" w:ascii="宋体" w:hAnsi="宋体" w:cs="仿宋_GB2312"/>
          <w:sz w:val="24"/>
          <w:szCs w:val="24"/>
        </w:rPr>
        <w:t>本单位工作人员开展廉洁教育，</w:t>
      </w:r>
      <w:r>
        <w:rPr>
          <w:rFonts w:hint="eastAsia" w:ascii="宋体" w:hAnsi="宋体"/>
          <w:sz w:val="24"/>
          <w:szCs w:val="24"/>
        </w:rPr>
        <w:t>并接受贵公司监督检查</w:t>
      </w:r>
      <w:r>
        <w:rPr>
          <w:rFonts w:hint="eastAsia" w:ascii="宋体" w:hAnsi="宋体" w:cs="仿宋_GB2312"/>
          <w:sz w:val="24"/>
          <w:szCs w:val="24"/>
        </w:rPr>
        <w:t>。</w:t>
      </w:r>
    </w:p>
    <w:p>
      <w:pPr>
        <w:spacing w:line="540" w:lineRule="exact"/>
        <w:ind w:firstLine="480" w:firstLineChars="200"/>
        <w:rPr>
          <w:rFonts w:ascii="宋体" w:hAnsi="宋体" w:cs="仿宋_GB2312"/>
          <w:sz w:val="24"/>
          <w:szCs w:val="24"/>
        </w:rPr>
      </w:pPr>
      <w:r>
        <w:rPr>
          <w:rFonts w:hint="eastAsia" w:ascii="宋体" w:hAnsi="宋体" w:cs="仿宋_GB2312"/>
          <w:sz w:val="24"/>
          <w:szCs w:val="24"/>
        </w:rPr>
        <w:t>二、我方承诺将约束我方的工作人员、所使用的的分包队伍、协作队伍、材料供应商以及其工作人员，或者基于本工程所需要，所使用的直接或间接参与工程的人员，遵守本廉洁承诺书。</w:t>
      </w:r>
    </w:p>
    <w:p>
      <w:pPr>
        <w:spacing w:line="540" w:lineRule="exact"/>
        <w:ind w:firstLine="480" w:firstLineChars="200"/>
        <w:rPr>
          <w:rFonts w:ascii="宋体" w:hAnsi="宋体" w:cs="仿宋_GB2312"/>
          <w:sz w:val="24"/>
          <w:szCs w:val="24"/>
        </w:rPr>
      </w:pPr>
      <w:r>
        <w:rPr>
          <w:rFonts w:hint="eastAsia" w:ascii="宋体" w:hAnsi="宋体" w:cs="仿宋_GB2312"/>
          <w:sz w:val="24"/>
          <w:szCs w:val="24"/>
        </w:rPr>
        <w:t>三、我方承诺落实本单位工作人员廉洁从业行为规范：</w:t>
      </w:r>
    </w:p>
    <w:p>
      <w:pPr>
        <w:spacing w:line="540" w:lineRule="exact"/>
        <w:ind w:firstLine="480" w:firstLineChars="200"/>
        <w:rPr>
          <w:rFonts w:ascii="宋体" w:hAnsi="宋体" w:cs="仿宋_GB2312"/>
          <w:sz w:val="24"/>
          <w:szCs w:val="24"/>
        </w:rPr>
      </w:pPr>
      <w:r>
        <w:rPr>
          <w:rFonts w:hint="eastAsia" w:ascii="宋体" w:hAnsi="宋体"/>
          <w:sz w:val="24"/>
          <w:szCs w:val="24"/>
        </w:rPr>
        <w:t>1.</w:t>
      </w:r>
      <w:r>
        <w:rPr>
          <w:rFonts w:hint="eastAsia" w:ascii="宋体" w:hAnsi="宋体" w:cs="仿宋_GB2312"/>
          <w:sz w:val="24"/>
          <w:szCs w:val="24"/>
        </w:rPr>
        <w:t>不得向贵公司工作人员(含工作人员的配偶、子女及亲属等,下同)行贿，提供回扣、宴请、旅游、娱乐活动或带有赌博性质的活动等行为；</w:t>
      </w:r>
    </w:p>
    <w:p>
      <w:pPr>
        <w:spacing w:line="540" w:lineRule="exact"/>
        <w:ind w:firstLine="480" w:firstLineChars="200"/>
        <w:rPr>
          <w:rFonts w:ascii="宋体" w:hAnsi="宋体" w:cs="仿宋_GB2312"/>
          <w:sz w:val="24"/>
          <w:szCs w:val="24"/>
        </w:rPr>
      </w:pPr>
      <w:r>
        <w:rPr>
          <w:rFonts w:hint="eastAsia" w:ascii="宋体" w:hAnsi="宋体"/>
          <w:sz w:val="24"/>
          <w:szCs w:val="24"/>
        </w:rPr>
        <w:t>2.</w:t>
      </w:r>
      <w:r>
        <w:rPr>
          <w:rFonts w:hint="eastAsia" w:ascii="宋体" w:hAnsi="宋体" w:cs="仿宋_GB2312"/>
          <w:sz w:val="24"/>
          <w:szCs w:val="24"/>
        </w:rPr>
        <w:t>不得为贵公司工作人员购置或者无偿提供通讯工具、交通工具、家电、办公用品等物品；</w:t>
      </w:r>
    </w:p>
    <w:p>
      <w:pPr>
        <w:spacing w:line="540" w:lineRule="exact"/>
        <w:ind w:firstLine="480" w:firstLineChars="200"/>
        <w:rPr>
          <w:rFonts w:ascii="宋体" w:hAnsi="宋体" w:cs="仿宋_GB2312"/>
          <w:sz w:val="24"/>
          <w:szCs w:val="24"/>
        </w:rPr>
      </w:pPr>
      <w:r>
        <w:rPr>
          <w:rFonts w:hint="eastAsia" w:ascii="宋体" w:hAnsi="宋体"/>
          <w:sz w:val="24"/>
          <w:szCs w:val="24"/>
        </w:rPr>
        <w:t>3.</w:t>
      </w:r>
      <w:r>
        <w:rPr>
          <w:rFonts w:hint="eastAsia" w:ascii="宋体" w:hAnsi="宋体" w:cs="仿宋_GB2312"/>
          <w:sz w:val="24"/>
          <w:szCs w:val="24"/>
        </w:rPr>
        <w:t>不得为谋取私利与贵公司工作人员就项目工作进行私下商谈或达成默契，损害贵公司利益；</w:t>
      </w:r>
    </w:p>
    <w:p>
      <w:pPr>
        <w:spacing w:line="540" w:lineRule="exact"/>
        <w:ind w:firstLine="480" w:firstLineChars="200"/>
        <w:rPr>
          <w:rFonts w:ascii="宋体" w:hAnsi="宋体" w:cs="仿宋_GB2312"/>
          <w:sz w:val="24"/>
          <w:szCs w:val="24"/>
        </w:rPr>
      </w:pPr>
      <w:r>
        <w:rPr>
          <w:rFonts w:hint="eastAsia" w:ascii="宋体" w:hAnsi="宋体" w:cs="仿宋_GB2312"/>
          <w:sz w:val="24"/>
          <w:szCs w:val="24"/>
        </w:rPr>
        <w:t>4.不得向贵公司工作人员提供借款或者报销应由贵公司或者贵公司工作人员自行承担的费用；</w:t>
      </w:r>
    </w:p>
    <w:p>
      <w:pPr>
        <w:spacing w:line="540" w:lineRule="exact"/>
        <w:ind w:firstLine="480" w:firstLineChars="200"/>
        <w:rPr>
          <w:rFonts w:ascii="宋体" w:hAnsi="宋体" w:cs="仿宋_GB2312"/>
          <w:sz w:val="24"/>
          <w:szCs w:val="24"/>
        </w:rPr>
      </w:pPr>
      <w:r>
        <w:rPr>
          <w:rFonts w:hint="eastAsia" w:ascii="宋体" w:hAnsi="宋体" w:cs="仿宋_GB2312"/>
          <w:sz w:val="24"/>
          <w:szCs w:val="24"/>
        </w:rPr>
        <w:t>5</w:t>
      </w:r>
      <w:r>
        <w:rPr>
          <w:rFonts w:hint="eastAsia" w:ascii="宋体" w:hAnsi="宋体"/>
          <w:sz w:val="24"/>
          <w:szCs w:val="24"/>
        </w:rPr>
        <w:t>.</w:t>
      </w:r>
      <w:r>
        <w:rPr>
          <w:rFonts w:hint="eastAsia" w:ascii="宋体" w:hAnsi="宋体" w:cs="仿宋_GB2312"/>
          <w:sz w:val="24"/>
          <w:szCs w:val="24"/>
        </w:rPr>
        <w:t>不得有其他任何有可能影响公正廉洁开展建设工作的活动。</w:t>
      </w:r>
    </w:p>
    <w:p>
      <w:pPr>
        <w:spacing w:line="540" w:lineRule="exact"/>
        <w:ind w:firstLine="480" w:firstLineChars="200"/>
        <w:rPr>
          <w:rFonts w:ascii="宋体" w:hAnsi="宋体"/>
          <w:sz w:val="24"/>
          <w:szCs w:val="24"/>
        </w:rPr>
      </w:pPr>
      <w:r>
        <w:rPr>
          <w:rFonts w:hint="eastAsia" w:ascii="宋体" w:hAnsi="宋体" w:cs="仿宋_GB2312"/>
          <w:sz w:val="24"/>
          <w:szCs w:val="24"/>
        </w:rPr>
        <w:t>四、我方承诺发现贵公司</w:t>
      </w:r>
      <w:r>
        <w:rPr>
          <w:rFonts w:hint="eastAsia" w:ascii="宋体" w:hAnsi="宋体"/>
          <w:sz w:val="24"/>
          <w:szCs w:val="24"/>
        </w:rPr>
        <w:t>工作人员及其利益关系人有以下行为，应主动如实向贵公司纪检机构或上级纪检机构、司法机关举报情况：</w:t>
      </w:r>
    </w:p>
    <w:p>
      <w:pPr>
        <w:spacing w:line="540" w:lineRule="exact"/>
        <w:ind w:firstLine="480" w:firstLineChars="200"/>
        <w:rPr>
          <w:rFonts w:ascii="宋体" w:hAnsi="宋体"/>
          <w:sz w:val="24"/>
          <w:szCs w:val="24"/>
        </w:rPr>
      </w:pPr>
      <w:r>
        <w:rPr>
          <w:rFonts w:hint="eastAsia" w:ascii="宋体" w:hAnsi="宋体"/>
          <w:sz w:val="24"/>
          <w:szCs w:val="24"/>
        </w:rPr>
        <w:t>1.索贿或报销任何应个人支付的费用。</w:t>
      </w:r>
    </w:p>
    <w:p>
      <w:pPr>
        <w:spacing w:line="540" w:lineRule="exact"/>
        <w:ind w:firstLine="480" w:firstLineChars="200"/>
        <w:rPr>
          <w:rFonts w:ascii="宋体" w:hAnsi="宋体"/>
          <w:sz w:val="24"/>
          <w:szCs w:val="24"/>
        </w:rPr>
      </w:pPr>
      <w:r>
        <w:rPr>
          <w:rFonts w:hint="eastAsia" w:ascii="宋体" w:hAnsi="宋体"/>
          <w:sz w:val="24"/>
          <w:szCs w:val="24"/>
        </w:rPr>
        <w:t>2.要求、暗示或接受为其住房装修、婚丧嫁娶活动、配偶子女安排工作以及出国出境、旅游等提供方便。</w:t>
      </w:r>
    </w:p>
    <w:p>
      <w:pPr>
        <w:spacing w:line="540" w:lineRule="exact"/>
        <w:ind w:firstLine="480" w:firstLineChars="200"/>
        <w:rPr>
          <w:rFonts w:ascii="宋体" w:hAnsi="宋体"/>
          <w:sz w:val="24"/>
          <w:szCs w:val="24"/>
        </w:rPr>
      </w:pPr>
      <w:r>
        <w:rPr>
          <w:rFonts w:hint="eastAsia" w:ascii="宋体" w:hAnsi="宋体"/>
          <w:sz w:val="24"/>
          <w:szCs w:val="24"/>
        </w:rPr>
        <w:t>3.在本单位及其他关联单位兼职、挂靠或从事与合同工程有关的材料设备供应、工程分包、劳务、有偿中介等经济活动，或有参与项目建设、服务。</w:t>
      </w:r>
    </w:p>
    <w:p>
      <w:pPr>
        <w:spacing w:line="540" w:lineRule="exact"/>
        <w:ind w:firstLine="480" w:firstLineChars="200"/>
        <w:rPr>
          <w:rFonts w:ascii="宋体" w:hAnsi="宋体"/>
          <w:sz w:val="24"/>
          <w:szCs w:val="24"/>
        </w:rPr>
      </w:pPr>
      <w:r>
        <w:rPr>
          <w:rFonts w:hint="eastAsia" w:ascii="宋体" w:hAnsi="宋体"/>
          <w:sz w:val="24"/>
          <w:szCs w:val="24"/>
        </w:rPr>
        <w:t>4.其他违法违纪行为。</w:t>
      </w:r>
    </w:p>
    <w:p>
      <w:pPr>
        <w:spacing w:line="540" w:lineRule="exact"/>
        <w:ind w:firstLine="480" w:firstLineChars="200"/>
        <w:rPr>
          <w:rFonts w:ascii="宋体" w:hAnsi="宋体"/>
          <w:sz w:val="24"/>
          <w:szCs w:val="24"/>
        </w:rPr>
      </w:pPr>
      <w:r>
        <w:rPr>
          <w:rFonts w:hint="eastAsia" w:ascii="宋体" w:hAnsi="宋体"/>
          <w:sz w:val="24"/>
          <w:szCs w:val="24"/>
        </w:rPr>
        <w:t>五、如经贵公司查证属实的有违反上述承诺的行为，我方愿接受相应处罚，并在三年内不得承揽贵公司所辖范围工程建设项目。</w:t>
      </w:r>
    </w:p>
    <w:p>
      <w:pPr>
        <w:spacing w:line="540" w:lineRule="exact"/>
        <w:ind w:firstLine="480" w:firstLineChars="200"/>
        <w:rPr>
          <w:rFonts w:ascii="宋体" w:hAnsi="宋体"/>
          <w:sz w:val="24"/>
          <w:szCs w:val="24"/>
        </w:rPr>
      </w:pPr>
      <w:r>
        <w:rPr>
          <w:rFonts w:hint="eastAsia" w:ascii="宋体" w:hAnsi="宋体"/>
          <w:sz w:val="24"/>
          <w:szCs w:val="24"/>
        </w:rPr>
        <w:t>六、双方纪检机构应互相合作，建立联络方式加强沟通交流，对承诺事项开展联合检查。</w:t>
      </w:r>
    </w:p>
    <w:p>
      <w:pPr>
        <w:wordWrap w:val="0"/>
        <w:adjustRightInd w:val="0"/>
        <w:snapToGrid w:val="0"/>
        <w:spacing w:line="360" w:lineRule="auto"/>
        <w:ind w:left="2100" w:leftChars="1000"/>
        <w:jc w:val="left"/>
        <w:rPr>
          <w:rFonts w:ascii="宋体" w:hAnsi="宋体" w:cs="仿宋_GB2312"/>
          <w:sz w:val="24"/>
          <w:szCs w:val="24"/>
        </w:rPr>
      </w:pPr>
      <w:r>
        <w:rPr>
          <w:rFonts w:hint="eastAsia" w:ascii="宋体" w:hAnsi="宋体" w:cs="仿宋_GB2312"/>
          <w:sz w:val="24"/>
          <w:szCs w:val="24"/>
        </w:rPr>
        <w:t xml:space="preserve">承诺单位（盖公章）：          </w:t>
      </w:r>
    </w:p>
    <w:p>
      <w:pPr>
        <w:wordWrap w:val="0"/>
        <w:adjustRightInd w:val="0"/>
        <w:snapToGrid w:val="0"/>
        <w:spacing w:line="360" w:lineRule="auto"/>
        <w:ind w:left="2100" w:leftChars="1000"/>
        <w:jc w:val="left"/>
        <w:rPr>
          <w:rFonts w:ascii="宋体" w:hAnsi="宋体" w:cs="仿宋_GB2312"/>
          <w:sz w:val="24"/>
          <w:szCs w:val="24"/>
        </w:rPr>
      </w:pPr>
      <w:r>
        <w:rPr>
          <w:rFonts w:hint="eastAsia" w:ascii="宋体" w:hAnsi="宋体" w:cs="仿宋_GB2312"/>
          <w:sz w:val="24"/>
          <w:szCs w:val="24"/>
        </w:rPr>
        <w:t>法定代表人或其授权委托人（签名或盖章）：</w:t>
      </w:r>
    </w:p>
    <w:p>
      <w:pPr>
        <w:wordWrap w:val="0"/>
        <w:adjustRightInd w:val="0"/>
        <w:snapToGrid w:val="0"/>
        <w:spacing w:line="360" w:lineRule="auto"/>
        <w:ind w:left="2100" w:leftChars="1000"/>
        <w:jc w:val="left"/>
        <w:rPr>
          <w:rFonts w:ascii="宋体" w:hAnsi="宋体" w:cs="仿宋_GB2312"/>
          <w:sz w:val="24"/>
          <w:szCs w:val="24"/>
        </w:rPr>
      </w:pPr>
      <w:r>
        <w:rPr>
          <w:rFonts w:hint="eastAsia" w:ascii="宋体" w:hAnsi="宋体" w:cs="仿宋_GB2312"/>
          <w:sz w:val="24"/>
          <w:szCs w:val="24"/>
        </w:rPr>
        <w:t xml:space="preserve">廉洁工作联系人（签名或盖章）：         </w:t>
      </w:r>
    </w:p>
    <w:p>
      <w:pPr>
        <w:wordWrap w:val="0"/>
        <w:adjustRightInd w:val="0"/>
        <w:snapToGrid w:val="0"/>
        <w:spacing w:line="360" w:lineRule="auto"/>
        <w:ind w:left="2100" w:leftChars="1000"/>
        <w:jc w:val="left"/>
        <w:rPr>
          <w:rFonts w:ascii="宋体" w:hAnsi="宋体" w:cs="仿宋_GB2312"/>
          <w:sz w:val="24"/>
          <w:szCs w:val="24"/>
        </w:rPr>
      </w:pPr>
      <w:r>
        <w:rPr>
          <w:rFonts w:hint="eastAsia" w:ascii="宋体" w:hAnsi="宋体" w:cs="仿宋_GB2312"/>
          <w:sz w:val="24"/>
          <w:szCs w:val="24"/>
        </w:rPr>
        <w:t>廉洁工作联系人电话：</w:t>
      </w:r>
    </w:p>
    <w:p>
      <w:pPr>
        <w:autoSpaceDE w:val="0"/>
        <w:autoSpaceDN w:val="0"/>
        <w:adjustRightInd w:val="0"/>
        <w:jc w:val="right"/>
        <w:rPr>
          <w:rFonts w:ascii="仿宋_GB2312" w:hAnsi="仿宋_GB2312" w:eastAsia="仿宋_GB2312" w:cs="仿宋_GB2312"/>
          <w:sz w:val="32"/>
          <w:szCs w:val="32"/>
        </w:rPr>
      </w:pPr>
      <w:r>
        <w:rPr>
          <w:rFonts w:hint="eastAsia" w:ascii="宋体" w:hAnsi="宋体" w:cs="仿宋_GB2312"/>
          <w:sz w:val="24"/>
          <w:szCs w:val="24"/>
        </w:rPr>
        <w:t>年     月     日</w:t>
      </w:r>
    </w:p>
    <w:p>
      <w:pPr>
        <w:spacing w:before="120" w:after="120"/>
      </w:pPr>
      <w:r>
        <w:rPr>
          <w:rFonts w:hint="eastAsia" w:ascii="仿宋_GB2312" w:hAnsi="仿宋_GB2312" w:eastAsia="仿宋_GB2312" w:cs="仿宋_GB2312"/>
          <w:sz w:val="32"/>
          <w:szCs w:val="32"/>
        </w:rPr>
        <w:t xml:space="preserve">        </w:t>
      </w:r>
      <w:r>
        <w:br w:type="page"/>
      </w:r>
    </w:p>
    <w:p>
      <w:pPr>
        <w:pStyle w:val="5"/>
        <w:spacing w:before="120" w:after="120"/>
      </w:pPr>
      <w:r>
        <w:rPr>
          <w:rFonts w:hint="eastAsia"/>
        </w:rPr>
        <w:t>格式十九：经济标封面</w:t>
      </w:r>
      <w:bookmarkEnd w:id="375"/>
    </w:p>
    <w:p>
      <w:pPr>
        <w:pStyle w:val="8"/>
      </w:pPr>
    </w:p>
    <w:p>
      <w:pPr>
        <w:pStyle w:val="8"/>
      </w:pPr>
    </w:p>
    <w:p>
      <w:pPr>
        <w:pStyle w:val="8"/>
      </w:pPr>
    </w:p>
    <w:p>
      <w:pPr>
        <w:jc w:val="center"/>
        <w:rPr>
          <w:rFonts w:ascii="宋体" w:hAnsi="宋体"/>
          <w:sz w:val="20"/>
          <w:u w:val="single"/>
        </w:rPr>
      </w:pPr>
      <w:r>
        <w:rPr>
          <w:rFonts w:hint="eastAsia" w:ascii="宋体" w:hAnsi="宋体"/>
          <w:b/>
          <w:sz w:val="48"/>
          <w:szCs w:val="48"/>
          <w:u w:val="single"/>
        </w:rPr>
        <w:t xml:space="preserve">        （项目名称）</w:t>
      </w:r>
    </w:p>
    <w:p>
      <w:pPr>
        <w:rPr>
          <w:rFonts w:ascii="宋体" w:hAnsi="宋体"/>
          <w:sz w:val="20"/>
        </w:rPr>
      </w:pPr>
    </w:p>
    <w:p>
      <w:pPr>
        <w:rPr>
          <w:rFonts w:ascii="宋体" w:hAnsi="宋体"/>
          <w:sz w:val="20"/>
        </w:rPr>
      </w:pPr>
    </w:p>
    <w:p>
      <w:pPr>
        <w:rPr>
          <w:rFonts w:ascii="宋体" w:hAnsi="宋体"/>
          <w:sz w:val="20"/>
        </w:rPr>
      </w:pPr>
    </w:p>
    <w:p>
      <w:pPr>
        <w:rPr>
          <w:rFonts w:ascii="宋体" w:hAnsi="宋体"/>
          <w:sz w:val="20"/>
        </w:rPr>
      </w:pPr>
    </w:p>
    <w:p>
      <w:pPr>
        <w:rPr>
          <w:rFonts w:ascii="宋体" w:hAnsi="宋体"/>
          <w:sz w:val="20"/>
        </w:rPr>
      </w:pPr>
    </w:p>
    <w:p>
      <w:pPr>
        <w:rPr>
          <w:rFonts w:ascii="宋体" w:hAnsi="宋体"/>
          <w:sz w:val="20"/>
        </w:rPr>
      </w:pPr>
    </w:p>
    <w:p>
      <w:pPr>
        <w:rPr>
          <w:rFonts w:ascii="宋体" w:hAnsi="宋体"/>
          <w:sz w:val="20"/>
        </w:rPr>
      </w:pPr>
    </w:p>
    <w:p>
      <w:pPr>
        <w:rPr>
          <w:rFonts w:ascii="宋体" w:hAnsi="宋体"/>
          <w:sz w:val="20"/>
        </w:rPr>
      </w:pPr>
    </w:p>
    <w:p>
      <w:pPr>
        <w:rPr>
          <w:rFonts w:ascii="宋体" w:hAnsi="宋体"/>
          <w:sz w:val="20"/>
        </w:rPr>
      </w:pPr>
    </w:p>
    <w:p>
      <w:pPr>
        <w:rPr>
          <w:rFonts w:ascii="宋体" w:hAnsi="宋体"/>
          <w:sz w:val="20"/>
        </w:rPr>
      </w:pPr>
    </w:p>
    <w:p>
      <w:pPr>
        <w:jc w:val="center"/>
        <w:rPr>
          <w:rFonts w:ascii="宋体" w:hAnsi="宋体"/>
          <w:sz w:val="44"/>
          <w:szCs w:val="44"/>
        </w:rPr>
      </w:pPr>
      <w:r>
        <w:rPr>
          <w:rFonts w:ascii="宋体" w:hAnsi="宋体"/>
          <w:sz w:val="44"/>
          <w:szCs w:val="44"/>
        </w:rPr>
        <w:t>投  标  文  件</w:t>
      </w:r>
    </w:p>
    <w:p>
      <w:pPr>
        <w:jc w:val="center"/>
        <w:rPr>
          <w:rFonts w:ascii="宋体" w:hAnsi="宋体"/>
          <w:sz w:val="32"/>
          <w:szCs w:val="32"/>
        </w:rPr>
      </w:pPr>
    </w:p>
    <w:p>
      <w:pPr>
        <w:jc w:val="center"/>
        <w:rPr>
          <w:rFonts w:ascii="宋体" w:hAnsi="宋体"/>
          <w:sz w:val="32"/>
          <w:szCs w:val="32"/>
        </w:rPr>
      </w:pPr>
      <w:r>
        <w:rPr>
          <w:rFonts w:hint="eastAsia" w:ascii="宋体" w:hAnsi="宋体"/>
          <w:sz w:val="32"/>
          <w:szCs w:val="32"/>
        </w:rPr>
        <w:t>经济标书</w:t>
      </w: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jc w:val="center"/>
        <w:rPr>
          <w:rFonts w:ascii="宋体" w:hAnsi="宋体"/>
          <w:sz w:val="28"/>
          <w:szCs w:val="28"/>
          <w:u w:val="single"/>
        </w:rPr>
      </w:pPr>
      <w:r>
        <w:rPr>
          <w:rFonts w:ascii="宋体" w:hAnsi="宋体"/>
          <w:sz w:val="28"/>
          <w:szCs w:val="28"/>
        </w:rPr>
        <w:t>投标人：</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w:t>
      </w:r>
      <w:r>
        <w:rPr>
          <w:rFonts w:hint="eastAsia" w:ascii="宋体" w:hAnsi="宋体"/>
          <w:sz w:val="28"/>
          <w:szCs w:val="28"/>
        </w:rPr>
        <w:t>盖法人公章</w:t>
      </w:r>
      <w:r>
        <w:rPr>
          <w:rFonts w:ascii="宋体" w:hAnsi="宋体"/>
          <w:sz w:val="28"/>
          <w:szCs w:val="28"/>
        </w:rPr>
        <w:t>）</w:t>
      </w:r>
    </w:p>
    <w:p>
      <w:pPr>
        <w:ind w:firstLine="700" w:firstLineChars="250"/>
        <w:rPr>
          <w:rFonts w:ascii="宋体" w:hAnsi="宋体"/>
          <w:sz w:val="28"/>
          <w:szCs w:val="28"/>
        </w:rPr>
      </w:pPr>
      <w:r>
        <w:rPr>
          <w:rFonts w:ascii="宋体" w:hAnsi="宋体"/>
          <w:sz w:val="28"/>
          <w:szCs w:val="28"/>
        </w:rPr>
        <w:t>法定代表人或</w:t>
      </w:r>
      <w:r>
        <w:rPr>
          <w:rFonts w:hint="eastAsia" w:ascii="宋体" w:hAnsi="宋体"/>
          <w:sz w:val="28"/>
          <w:szCs w:val="28"/>
        </w:rPr>
        <w:t>被授权人</w:t>
      </w:r>
      <w:r>
        <w:rPr>
          <w:rFonts w:ascii="宋体" w:hAnsi="宋体"/>
          <w:sz w:val="28"/>
          <w:szCs w:val="28"/>
        </w:rPr>
        <w:t>：</w:t>
      </w:r>
      <w:r>
        <w:rPr>
          <w:rFonts w:ascii="宋体" w:hAnsi="宋体"/>
          <w:sz w:val="28"/>
          <w:szCs w:val="28"/>
          <w:u w:val="single"/>
        </w:rPr>
        <w:t xml:space="preserve">            </w:t>
      </w:r>
      <w:r>
        <w:rPr>
          <w:rFonts w:ascii="宋体" w:hAnsi="宋体"/>
          <w:sz w:val="28"/>
          <w:szCs w:val="28"/>
        </w:rPr>
        <w:t>（签字</w:t>
      </w:r>
      <w:r>
        <w:rPr>
          <w:rFonts w:hint="eastAsia" w:ascii="宋体" w:hAnsi="宋体"/>
          <w:sz w:val="28"/>
          <w:szCs w:val="28"/>
        </w:rPr>
        <w:t>或盖章</w:t>
      </w:r>
      <w:r>
        <w:rPr>
          <w:rFonts w:ascii="宋体" w:hAnsi="宋体"/>
          <w:sz w:val="28"/>
          <w:szCs w:val="28"/>
        </w:rPr>
        <w:t>）</w:t>
      </w:r>
    </w:p>
    <w:p>
      <w:pPr>
        <w:jc w:val="center"/>
        <w:rPr>
          <w:rFonts w:ascii="宋体" w:hAnsi="宋体"/>
          <w:sz w:val="28"/>
          <w:szCs w:val="28"/>
        </w:rPr>
      </w:pP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pPr>
        <w:pStyle w:val="35"/>
        <w:ind w:firstLine="210"/>
        <w:rPr>
          <w:rFonts w:ascii="宋体" w:hAnsi="宋体"/>
        </w:rPr>
      </w:pPr>
    </w:p>
    <w:p>
      <w:pPr>
        <w:pStyle w:val="35"/>
        <w:ind w:firstLine="210"/>
        <w:rPr>
          <w:rFonts w:ascii="宋体" w:hAnsi="宋体"/>
        </w:rPr>
      </w:pPr>
    </w:p>
    <w:p>
      <w:pPr>
        <w:pStyle w:val="5"/>
        <w:spacing w:before="120" w:after="120"/>
      </w:pPr>
      <w:bookmarkStart w:id="376" w:name="_Toc12975"/>
      <w:r>
        <w:rPr>
          <w:rFonts w:hint="eastAsia"/>
        </w:rPr>
        <w:t>格式二十：参与编制经济标投标文件人员名单</w:t>
      </w:r>
      <w:bookmarkEnd w:id="376"/>
    </w:p>
    <w:p>
      <w:pPr>
        <w:pStyle w:val="8"/>
      </w:pPr>
    </w:p>
    <w:p>
      <w:pPr>
        <w:tabs>
          <w:tab w:val="left" w:pos="720"/>
        </w:tabs>
        <w:snapToGrid w:val="0"/>
        <w:spacing w:line="360" w:lineRule="auto"/>
        <w:jc w:val="center"/>
        <w:rPr>
          <w:rFonts w:ascii="宋体" w:hAnsi="宋体"/>
          <w:b/>
          <w:sz w:val="32"/>
          <w:szCs w:val="32"/>
        </w:rPr>
      </w:pPr>
      <w:r>
        <w:rPr>
          <w:rFonts w:hint="eastAsia" w:ascii="宋体" w:hAnsi="宋体"/>
          <w:b/>
          <w:sz w:val="28"/>
          <w:szCs w:val="28"/>
        </w:rPr>
        <w:t>参与编制经济标投标文件人员名单</w:t>
      </w:r>
    </w:p>
    <w:p>
      <w:pPr>
        <w:tabs>
          <w:tab w:val="left" w:pos="720"/>
        </w:tabs>
        <w:snapToGrid w:val="0"/>
        <w:spacing w:line="360" w:lineRule="auto"/>
        <w:jc w:val="center"/>
        <w:rPr>
          <w:rFonts w:ascii="宋体" w:hAnsi="宋体"/>
          <w:szCs w:val="21"/>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bl>
    <w:p>
      <w:pPr>
        <w:pStyle w:val="35"/>
        <w:spacing w:after="0" w:line="360" w:lineRule="auto"/>
        <w:ind w:left="-2" w:leftChars="-1" w:firstLine="2"/>
        <w:jc w:val="left"/>
        <w:rPr>
          <w:rFonts w:ascii="宋体" w:hAnsi="宋体"/>
          <w:szCs w:val="21"/>
        </w:rPr>
      </w:pPr>
      <w:r>
        <w:rPr>
          <w:rFonts w:hint="eastAsia" w:ascii="宋体" w:hAnsi="宋体"/>
        </w:rPr>
        <w:t>注：参与编制经济标书所有人员名单应包括如编制各种专业工程量清单投标报价、负责清样校对、负责打印及复印等所有人员在内的人员名单。</w:t>
      </w:r>
    </w:p>
    <w:p>
      <w:pPr>
        <w:pStyle w:val="5"/>
        <w:spacing w:before="120" w:after="120"/>
        <w:rPr>
          <w:sz w:val="24"/>
          <w:szCs w:val="24"/>
        </w:rPr>
      </w:pPr>
      <w:r>
        <w:br w:type="page"/>
      </w:r>
      <w:bookmarkStart w:id="377" w:name="_Toc17571"/>
      <w:r>
        <w:rPr>
          <w:rFonts w:hint="eastAsia"/>
          <w:sz w:val="24"/>
          <w:szCs w:val="24"/>
        </w:rPr>
        <w:t>格式</w:t>
      </w:r>
      <w:r>
        <w:rPr>
          <w:rFonts w:hint="eastAsia"/>
        </w:rPr>
        <w:t>二十一</w:t>
      </w:r>
      <w:r>
        <w:rPr>
          <w:rFonts w:hint="eastAsia"/>
          <w:sz w:val="24"/>
          <w:szCs w:val="24"/>
        </w:rPr>
        <w:t>：对投标文件编制的承诺</w:t>
      </w:r>
      <w:bookmarkEnd w:id="377"/>
    </w:p>
    <w:p>
      <w:pPr>
        <w:pStyle w:val="35"/>
        <w:spacing w:after="0" w:line="360" w:lineRule="auto"/>
        <w:ind w:firstLine="320"/>
        <w:jc w:val="center"/>
        <w:rPr>
          <w:sz w:val="32"/>
          <w:szCs w:val="32"/>
        </w:rPr>
      </w:pPr>
      <w:r>
        <w:rPr>
          <w:rFonts w:hint="eastAsia"/>
          <w:b/>
          <w:sz w:val="32"/>
          <w:szCs w:val="32"/>
        </w:rPr>
        <w:t>对投标文件编制的承诺</w:t>
      </w:r>
    </w:p>
    <w:p>
      <w:pPr>
        <w:pStyle w:val="35"/>
        <w:spacing w:after="0" w:line="360" w:lineRule="auto"/>
        <w:ind w:left="-2" w:leftChars="-1" w:firstLine="540" w:firstLineChars="225"/>
        <w:rPr>
          <w:rFonts w:ascii="宋体" w:hAnsi="宋体"/>
          <w:sz w:val="24"/>
          <w:szCs w:val="24"/>
        </w:rPr>
      </w:pPr>
      <w:r>
        <w:rPr>
          <w:rFonts w:hint="eastAsia" w:ascii="宋体" w:hAnsi="宋体"/>
          <w:sz w:val="24"/>
          <w:szCs w:val="24"/>
        </w:rPr>
        <w:t>本公司授权</w:t>
      </w:r>
      <w:r>
        <w:rPr>
          <w:rFonts w:hint="eastAsia" w:ascii="宋体" w:hAnsi="宋体"/>
          <w:sz w:val="24"/>
          <w:szCs w:val="24"/>
          <w:u w:val="single"/>
        </w:rPr>
        <w:t xml:space="preserve">         （身份证号：               ）</w:t>
      </w:r>
      <w:r>
        <w:rPr>
          <w:rFonts w:hint="eastAsia" w:ascii="宋体" w:hAnsi="宋体"/>
          <w:sz w:val="24"/>
          <w:szCs w:val="24"/>
        </w:rPr>
        <w:t>负责对投标文件的编制及内容进行解释、说明，并承诺以下事项：</w:t>
      </w:r>
    </w:p>
    <w:p>
      <w:pPr>
        <w:pStyle w:val="35"/>
        <w:spacing w:after="0" w:line="360" w:lineRule="auto"/>
        <w:ind w:left="-2" w:leftChars="-1" w:firstLine="540" w:firstLineChars="225"/>
        <w:rPr>
          <w:rFonts w:ascii="宋体" w:hAnsi="宋体"/>
          <w:sz w:val="24"/>
          <w:szCs w:val="24"/>
        </w:rPr>
      </w:pPr>
      <w:r>
        <w:rPr>
          <w:rFonts w:hint="eastAsia" w:ascii="宋体" w:hAnsi="宋体"/>
          <w:sz w:val="24"/>
          <w:szCs w:val="24"/>
        </w:rPr>
        <w:t>1.被授权人清楚投标文件编制的具体情况，包括技术方案文件、工程量清单、以及投标文件的加密打包的理解；</w:t>
      </w:r>
    </w:p>
    <w:p>
      <w:pPr>
        <w:pStyle w:val="35"/>
        <w:spacing w:after="0" w:line="360" w:lineRule="auto"/>
        <w:ind w:left="-2" w:leftChars="-1" w:firstLine="540" w:firstLineChars="225"/>
        <w:rPr>
          <w:rFonts w:ascii="宋体" w:hAnsi="宋体"/>
          <w:sz w:val="24"/>
          <w:szCs w:val="24"/>
        </w:rPr>
      </w:pPr>
      <w:r>
        <w:rPr>
          <w:rFonts w:hint="eastAsia" w:ascii="宋体" w:hAnsi="宋体"/>
          <w:sz w:val="24"/>
          <w:szCs w:val="24"/>
        </w:rPr>
        <w:t>2.在本项目开标至评标结束前，努力确保被授权人在项目评标所在地附近；</w:t>
      </w:r>
    </w:p>
    <w:p>
      <w:pPr>
        <w:pStyle w:val="35"/>
        <w:spacing w:after="0" w:line="360" w:lineRule="auto"/>
        <w:ind w:left="-2" w:leftChars="-1" w:firstLine="540" w:firstLineChars="225"/>
        <w:rPr>
          <w:rFonts w:ascii="宋体" w:hAnsi="宋体"/>
          <w:sz w:val="24"/>
          <w:szCs w:val="24"/>
        </w:rPr>
      </w:pPr>
      <w:r>
        <w:rPr>
          <w:rFonts w:hint="eastAsia" w:ascii="宋体" w:hAnsi="宋体"/>
          <w:sz w:val="24"/>
          <w:szCs w:val="24"/>
        </w:rPr>
        <w:t>3.从评标委员会要求澄清起二小时内，被授权人应如实地书面澄清。</w:t>
      </w:r>
    </w:p>
    <w:p>
      <w:pPr>
        <w:pStyle w:val="35"/>
        <w:spacing w:after="0" w:line="360" w:lineRule="auto"/>
        <w:ind w:left="-2" w:leftChars="-1" w:firstLine="540" w:firstLineChars="225"/>
        <w:rPr>
          <w:rFonts w:ascii="宋体" w:hAnsi="宋体"/>
          <w:sz w:val="24"/>
          <w:szCs w:val="24"/>
        </w:rPr>
      </w:pPr>
      <w:r>
        <w:rPr>
          <w:rFonts w:hint="eastAsia" w:ascii="宋体" w:hAnsi="宋体"/>
          <w:sz w:val="24"/>
          <w:szCs w:val="24"/>
        </w:rPr>
        <w:t xml:space="preserve">如由于未遵守上述承诺内容之一导致无法进行澄清的，我公司认可和接受评标委员会作出的评审结论。                                 </w:t>
      </w:r>
    </w:p>
    <w:p>
      <w:pPr>
        <w:pStyle w:val="35"/>
        <w:spacing w:after="0" w:line="360" w:lineRule="auto"/>
        <w:ind w:firstLine="360" w:firstLineChars="150"/>
        <w:rPr>
          <w:rFonts w:ascii="宋体" w:hAnsi="宋体"/>
          <w:sz w:val="24"/>
          <w:szCs w:val="24"/>
        </w:rPr>
      </w:pPr>
      <w:r>
        <w:rPr>
          <w:rFonts w:hint="eastAsia" w:ascii="宋体" w:hAnsi="宋体"/>
          <w:sz w:val="24"/>
          <w:szCs w:val="24"/>
        </w:rPr>
        <w:t xml:space="preserve"> </w:t>
      </w:r>
    </w:p>
    <w:p>
      <w:pPr>
        <w:pStyle w:val="35"/>
        <w:spacing w:after="0" w:line="360" w:lineRule="auto"/>
        <w:ind w:firstLine="480" w:firstLineChars="200"/>
        <w:rPr>
          <w:rFonts w:ascii="宋体" w:hAnsi="宋体"/>
          <w:sz w:val="24"/>
          <w:szCs w:val="24"/>
        </w:rPr>
      </w:pPr>
      <w:r>
        <w:rPr>
          <w:rFonts w:hint="eastAsia" w:ascii="宋体" w:hAnsi="宋体"/>
          <w:sz w:val="24"/>
          <w:szCs w:val="24"/>
        </w:rPr>
        <w:t>附件：《投标文件编制情况》</w:t>
      </w:r>
    </w:p>
    <w:p>
      <w:pPr>
        <w:spacing w:line="360" w:lineRule="auto"/>
        <w:ind w:right="90" w:firstLine="3240" w:firstLineChars="1350"/>
        <w:rPr>
          <w:rFonts w:ascii="宋体" w:hAnsi="宋体"/>
          <w:sz w:val="24"/>
          <w:szCs w:val="24"/>
          <w:u w:val="single"/>
        </w:rPr>
      </w:pPr>
      <w:r>
        <w:rPr>
          <w:rFonts w:hint="eastAsia" w:ascii="宋体" w:hAnsi="宋体"/>
          <w:sz w:val="24"/>
          <w:szCs w:val="24"/>
        </w:rPr>
        <w:t xml:space="preserve"> 投标人名称（盖法人公章）：</w:t>
      </w:r>
      <w:r>
        <w:rPr>
          <w:rFonts w:hint="eastAsia" w:ascii="宋体" w:hAnsi="宋体"/>
          <w:sz w:val="24"/>
          <w:szCs w:val="24"/>
          <w:u w:val="single"/>
        </w:rPr>
        <w:t xml:space="preserve">                  </w:t>
      </w:r>
    </w:p>
    <w:p>
      <w:pPr>
        <w:spacing w:line="360" w:lineRule="auto"/>
        <w:ind w:firstLine="2160" w:firstLineChars="900"/>
        <w:rPr>
          <w:rFonts w:ascii="宋体" w:hAnsi="宋体"/>
          <w:sz w:val="24"/>
          <w:szCs w:val="24"/>
          <w:u w:val="single"/>
        </w:rPr>
      </w:pPr>
      <w:r>
        <w:rPr>
          <w:rFonts w:hint="eastAsia" w:ascii="宋体" w:hAnsi="宋体"/>
          <w:sz w:val="24"/>
          <w:szCs w:val="24"/>
        </w:rPr>
        <w:t>法定代表人或被授权人（签字或盖章）：</w:t>
      </w:r>
      <w:r>
        <w:rPr>
          <w:rFonts w:hint="eastAsia" w:ascii="宋体" w:hAnsi="宋体"/>
          <w:sz w:val="24"/>
          <w:szCs w:val="24"/>
          <w:u w:val="single"/>
        </w:rPr>
        <w:t xml:space="preserve">                  </w:t>
      </w:r>
    </w:p>
    <w:p>
      <w:pPr>
        <w:spacing w:line="360" w:lineRule="auto"/>
        <w:ind w:firstLine="4440" w:firstLineChars="1850"/>
        <w:jc w:val="center"/>
        <w:rPr>
          <w:sz w:val="24"/>
          <w:szCs w:val="24"/>
        </w:rPr>
      </w:pPr>
      <w:r>
        <w:rPr>
          <w:rFonts w:hint="eastAsia"/>
          <w:sz w:val="24"/>
          <w:szCs w:val="24"/>
        </w:rPr>
        <w:t xml:space="preserve"> 日期：      年   月   日 </w:t>
      </w:r>
      <w:r>
        <w:rPr>
          <w:rFonts w:hint="eastAsia"/>
          <w:sz w:val="18"/>
          <w:szCs w:val="18"/>
        </w:rPr>
        <w:t xml:space="preserve"> </w:t>
      </w:r>
      <w:r>
        <w:rPr>
          <w:rFonts w:hint="eastAsia"/>
          <w:sz w:val="24"/>
          <w:szCs w:val="24"/>
        </w:rPr>
        <w:t xml:space="preserve">    </w:t>
      </w:r>
    </w:p>
    <w:p>
      <w:pPr>
        <w:pStyle w:val="35"/>
        <w:spacing w:after="0" w:line="360" w:lineRule="auto"/>
        <w:ind w:firstLine="320"/>
        <w:rPr>
          <w:b/>
          <w:sz w:val="32"/>
          <w:szCs w:val="32"/>
        </w:rPr>
      </w:pPr>
    </w:p>
    <w:p>
      <w:pPr>
        <w:widowControl/>
        <w:jc w:val="left"/>
        <w:rPr>
          <w:rFonts w:ascii="等线" w:hAnsi="等线" w:eastAsia="等线"/>
          <w:b/>
          <w:sz w:val="32"/>
          <w:szCs w:val="32"/>
        </w:rPr>
      </w:pPr>
      <w:r>
        <w:rPr>
          <w:b/>
          <w:sz w:val="32"/>
          <w:szCs w:val="32"/>
        </w:rPr>
        <w:br w:type="page"/>
      </w:r>
    </w:p>
    <w:p>
      <w:pPr>
        <w:pStyle w:val="35"/>
        <w:spacing w:after="0" w:line="360" w:lineRule="auto"/>
        <w:ind w:firstLine="643" w:firstLineChars="200"/>
        <w:jc w:val="center"/>
        <w:rPr>
          <w:sz w:val="18"/>
          <w:szCs w:val="18"/>
        </w:rPr>
      </w:pPr>
      <w:r>
        <w:rPr>
          <w:rFonts w:hint="eastAsia"/>
          <w:b/>
          <w:sz w:val="32"/>
          <w:szCs w:val="32"/>
        </w:rPr>
        <w:t>投标文件编制情况</w:t>
      </w:r>
    </w:p>
    <w:p>
      <w:pPr>
        <w:pStyle w:val="35"/>
        <w:spacing w:after="0" w:line="360" w:lineRule="auto"/>
        <w:ind w:firstLine="480" w:firstLineChars="200"/>
        <w:rPr>
          <w:rFonts w:ascii="宋体" w:hAnsi="宋体"/>
          <w:sz w:val="24"/>
          <w:szCs w:val="24"/>
          <w:u w:val="single"/>
        </w:rPr>
      </w:pPr>
      <w:r>
        <w:rPr>
          <w:rFonts w:hint="eastAsia" w:ascii="宋体" w:hAnsi="宋体"/>
          <w:sz w:val="24"/>
          <w:szCs w:val="24"/>
        </w:rPr>
        <w:t>1.投标文件报价编制方式: □自行编制的，编制的负责人：</w:t>
      </w:r>
      <w:r>
        <w:rPr>
          <w:rFonts w:hint="eastAsia" w:ascii="宋体" w:hAnsi="宋体"/>
          <w:sz w:val="24"/>
          <w:szCs w:val="24"/>
          <w:u w:val="single"/>
        </w:rPr>
        <w:t xml:space="preserve"> （盖造价工程师执业专用章或全国建设工程造价员章，执业单位应与投标人一致） </w:t>
      </w:r>
      <w:r>
        <w:rPr>
          <w:rFonts w:hint="eastAsia" w:ascii="宋体" w:hAnsi="宋体"/>
          <w:sz w:val="24"/>
          <w:szCs w:val="24"/>
        </w:rPr>
        <w:t>。□委托编制的，受委托单位</w:t>
      </w:r>
      <w:r>
        <w:rPr>
          <w:rFonts w:hint="eastAsia" w:ascii="宋体" w:hAnsi="宋体"/>
          <w:sz w:val="24"/>
          <w:szCs w:val="24"/>
          <w:u w:val="single"/>
        </w:rPr>
        <w:t xml:space="preserve">                    </w:t>
      </w:r>
      <w:r>
        <w:rPr>
          <w:rFonts w:hint="eastAsia" w:ascii="宋体" w:hAnsi="宋体"/>
          <w:sz w:val="24"/>
          <w:szCs w:val="24"/>
        </w:rPr>
        <w:t>，编制的负责人：</w:t>
      </w:r>
      <w:r>
        <w:rPr>
          <w:rFonts w:hint="eastAsia" w:ascii="宋体" w:hAnsi="宋体"/>
          <w:sz w:val="24"/>
          <w:szCs w:val="24"/>
          <w:u w:val="single"/>
        </w:rPr>
        <w:t xml:space="preserve"> （盖造价工程师执业专用章或全国建设工程造价员章，执业单位应与受委托单位一致） </w:t>
      </w:r>
      <w:r>
        <w:rPr>
          <w:rFonts w:hint="eastAsia" w:ascii="宋体" w:hAnsi="宋体"/>
          <w:sz w:val="24"/>
          <w:szCs w:val="24"/>
        </w:rPr>
        <w:t>。</w:t>
      </w:r>
    </w:p>
    <w:p>
      <w:pPr>
        <w:pStyle w:val="35"/>
        <w:spacing w:after="0" w:line="360" w:lineRule="auto"/>
        <w:ind w:firstLine="480" w:firstLineChars="200"/>
        <w:rPr>
          <w:rFonts w:ascii="宋体" w:hAnsi="宋体"/>
          <w:sz w:val="24"/>
          <w:szCs w:val="24"/>
        </w:rPr>
      </w:pPr>
      <w:r>
        <w:rPr>
          <w:rFonts w:hint="eastAsia" w:ascii="宋体" w:hAnsi="宋体"/>
          <w:sz w:val="24"/>
          <w:szCs w:val="24"/>
        </w:rPr>
        <w:t>2.投标文件加密打包的电脑情况</w:t>
      </w:r>
    </w:p>
    <w:tbl>
      <w:tblPr>
        <w:tblStyle w:val="36"/>
        <w:tblpPr w:leftFromText="180" w:rightFromText="180" w:vertAnchor="text" w:horzAnchor="margin" w:tblpY="122"/>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tcPr>
          <w:p>
            <w:pPr>
              <w:pStyle w:val="35"/>
              <w:spacing w:after="0" w:line="360" w:lineRule="auto"/>
              <w:ind w:firstLine="240"/>
              <w:rPr>
                <w:rFonts w:ascii="宋体" w:hAnsi="宋体" w:cs="等线"/>
                <w:sz w:val="24"/>
                <w:szCs w:val="24"/>
              </w:rPr>
            </w:pPr>
            <w:r>
              <w:rPr>
                <w:rFonts w:hint="eastAsia" w:ascii="宋体" w:hAnsi="宋体" w:cs="等线"/>
                <w:sz w:val="24"/>
                <w:szCs w:val="24"/>
              </w:rPr>
              <w:t>投标文件加密打包的电脑     自有   □      外包    □     其他    □</w:t>
            </w:r>
          </w:p>
          <w:p>
            <w:pPr>
              <w:pStyle w:val="35"/>
              <w:spacing w:after="0" w:line="360" w:lineRule="auto"/>
              <w:ind w:firstLine="240"/>
              <w:rPr>
                <w:rFonts w:ascii="宋体" w:hAnsi="宋体" w:cs="等线"/>
                <w:sz w:val="24"/>
                <w:szCs w:val="24"/>
              </w:rPr>
            </w:pPr>
            <w:r>
              <w:rPr>
                <w:rFonts w:hint="eastAsia" w:ascii="宋体" w:hAnsi="宋体" w:cs="等线"/>
                <w:sz w:val="24"/>
                <w:szCs w:val="24"/>
              </w:rPr>
              <w:t>电脑类型</w:t>
            </w:r>
          </w:p>
          <w:p>
            <w:pPr>
              <w:pStyle w:val="35"/>
              <w:spacing w:after="0" w:line="360" w:lineRule="auto"/>
              <w:ind w:firstLine="240"/>
              <w:rPr>
                <w:rFonts w:ascii="宋体" w:hAnsi="宋体" w:cs="等线"/>
                <w:sz w:val="24"/>
                <w:szCs w:val="24"/>
              </w:rPr>
            </w:pPr>
            <w:r>
              <w:rPr>
                <w:rFonts w:hint="eastAsia" w:ascii="宋体" w:hAnsi="宋体" w:cs="等线"/>
                <w:sz w:val="24"/>
                <w:szCs w:val="24"/>
              </w:rPr>
              <w:t>电脑所属单位</w:t>
            </w:r>
          </w:p>
          <w:p>
            <w:pPr>
              <w:pStyle w:val="35"/>
              <w:spacing w:after="0" w:line="360" w:lineRule="auto"/>
              <w:ind w:firstLine="240"/>
              <w:rPr>
                <w:rFonts w:ascii="宋体" w:hAnsi="宋体" w:cs="等线"/>
                <w:sz w:val="24"/>
                <w:szCs w:val="24"/>
              </w:rPr>
            </w:pPr>
            <w:r>
              <w:rPr>
                <w:rFonts w:hint="eastAsia" w:ascii="宋体" w:hAnsi="宋体" w:cs="等线"/>
                <w:sz w:val="24"/>
                <w:szCs w:val="24"/>
              </w:rPr>
              <w:t>电脑所在地址        （如××市××区(县) ××街（路）××号××大厦××房）</w:t>
            </w:r>
          </w:p>
        </w:tc>
      </w:tr>
    </w:tbl>
    <w:p>
      <w:pPr>
        <w:pStyle w:val="35"/>
        <w:spacing w:after="0" w:line="360" w:lineRule="auto"/>
        <w:ind w:firstLine="0"/>
        <w:rPr>
          <w:b/>
          <w:sz w:val="32"/>
          <w:szCs w:val="32"/>
        </w:rPr>
      </w:pPr>
    </w:p>
    <w:p>
      <w:pPr>
        <w:tabs>
          <w:tab w:val="left" w:pos="720"/>
        </w:tabs>
        <w:snapToGrid w:val="0"/>
        <w:spacing w:line="360" w:lineRule="auto"/>
        <w:jc w:val="center"/>
        <w:rPr>
          <w:rStyle w:val="61"/>
        </w:rPr>
      </w:pPr>
      <w:r>
        <w:rPr>
          <w:sz w:val="18"/>
          <w:szCs w:val="18"/>
        </w:rPr>
        <w:br w:type="page"/>
      </w:r>
      <w:bookmarkStart w:id="378" w:name="_Toc21525513"/>
      <w:bookmarkStart w:id="379" w:name="_Toc2272568"/>
      <w:r>
        <w:rPr>
          <w:rStyle w:val="61"/>
          <w:rFonts w:hint="eastAsia"/>
        </w:rPr>
        <w:t>第五章</w:t>
      </w:r>
      <w:r>
        <w:rPr>
          <w:rStyle w:val="61"/>
        </w:rPr>
        <w:t xml:space="preserve">  </w:t>
      </w:r>
      <w:r>
        <w:rPr>
          <w:rStyle w:val="61"/>
          <w:rFonts w:hint="eastAsia"/>
        </w:rPr>
        <w:t>技术条件（工程建设标准）</w:t>
      </w:r>
      <w:bookmarkEnd w:id="378"/>
      <w:bookmarkEnd w:id="379"/>
      <w:bookmarkStart w:id="380" w:name="_TOC_250028"/>
      <w:bookmarkEnd w:id="380"/>
      <w:bookmarkStart w:id="381" w:name="_Toc2272569"/>
      <w:bookmarkStart w:id="382" w:name="_Toc21525514"/>
    </w:p>
    <w:p>
      <w:pPr>
        <w:tabs>
          <w:tab w:val="left" w:pos="720"/>
        </w:tabs>
        <w:snapToGrid w:val="0"/>
        <w:spacing w:line="360" w:lineRule="auto"/>
        <w:rPr>
          <w:rFonts w:ascii="宋体" w:hAnsi="宋体" w:cs="宋体"/>
          <w:b/>
          <w:bCs/>
          <w:color w:val="000000"/>
          <w:szCs w:val="21"/>
        </w:rPr>
      </w:pPr>
      <w:r>
        <w:rPr>
          <w:rFonts w:hint="eastAsia" w:ascii="宋体" w:hAnsi="宋体" w:cs="宋体"/>
          <w:b/>
          <w:bCs/>
          <w:color w:val="000000"/>
          <w:szCs w:val="21"/>
        </w:rPr>
        <w:t>1</w:t>
      </w:r>
      <w:r>
        <w:rPr>
          <w:rFonts w:ascii="宋体" w:hAnsi="宋体" w:cs="宋体"/>
          <w:b/>
          <w:bCs/>
          <w:color w:val="000000"/>
          <w:szCs w:val="21"/>
        </w:rPr>
        <w:t>.</w:t>
      </w:r>
      <w:r>
        <w:rPr>
          <w:rFonts w:hint="eastAsia" w:ascii="宋体" w:hAnsi="宋体" w:cs="宋体"/>
          <w:b/>
          <w:bCs/>
          <w:color w:val="000000"/>
          <w:szCs w:val="21"/>
        </w:rPr>
        <w:t>总则</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.1</w:t>
      </w:r>
      <w:r>
        <w:rPr>
          <w:rFonts w:hint="eastAsia" w:ascii="宋体" w:hAnsi="宋体" w:cs="宋体"/>
          <w:color w:val="000000"/>
          <w:szCs w:val="21"/>
        </w:rPr>
        <w:t>本</w:t>
      </w:r>
      <w:r>
        <w:rPr>
          <w:rFonts w:hint="eastAsia" w:ascii="宋体" w:hAnsi="宋体"/>
          <w:szCs w:val="21"/>
        </w:rPr>
        <w:t>技术条件（工程建设标准），作为投标单位编制投标文件的依据</w:t>
      </w:r>
      <w:r>
        <w:rPr>
          <w:rFonts w:hint="eastAsia" w:ascii="宋体" w:hAnsi="宋体" w:cs="宋体"/>
          <w:color w:val="000000"/>
          <w:szCs w:val="21"/>
        </w:rPr>
        <w:t>。</w:t>
      </w:r>
    </w:p>
    <w:p>
      <w:pPr>
        <w:spacing w:line="440" w:lineRule="exact"/>
        <w:ind w:firstLine="420" w:firstLineChars="200"/>
        <w:rPr>
          <w:rFonts w:ascii="宋体" w:hAnsi="宋体"/>
          <w:szCs w:val="21"/>
        </w:rPr>
      </w:pPr>
      <w:r>
        <w:rPr>
          <w:rFonts w:ascii="宋体" w:hAnsi="宋体" w:cs="宋体"/>
          <w:color w:val="000000"/>
          <w:szCs w:val="21"/>
        </w:rPr>
        <w:t>1.2</w:t>
      </w:r>
      <w:r>
        <w:rPr>
          <w:rFonts w:hint="eastAsia" w:ascii="宋体" w:hAnsi="宋体"/>
          <w:szCs w:val="21"/>
        </w:rPr>
        <w:t>本技术条件（工程建设标准）与图纸不符合的地方，投标人可在招标答疑时提出；施工过程中发现与图纸不符的，应以联系单形式提出要求发包人解释。</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.3</w:t>
      </w:r>
      <w:r>
        <w:rPr>
          <w:rFonts w:hint="eastAsia" w:ascii="宋体" w:hAnsi="宋体"/>
          <w:szCs w:val="21"/>
        </w:rPr>
        <w:t>投标方应按本技术规格进行报价，业主将根据投标方提出的施工方案、技术措施，加工工艺和材料质量以及安装、报价等方面进行综合评定，本工程技术要求中所述可能引起工程费用增加的内容，请投标人在投标答疑中予以提问并要求发包人进行澄清，否则将视为不会对工程费用造成影响或已由投标人综合考虑在投标报价内，不予调价。</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.4</w:t>
      </w:r>
      <w:r>
        <w:rPr>
          <w:rFonts w:hint="eastAsia" w:ascii="宋体" w:hAnsi="宋体"/>
          <w:szCs w:val="21"/>
        </w:rPr>
        <w:t>词语定义与缩写</w:t>
      </w:r>
    </w:p>
    <w:p>
      <w:pPr>
        <w:spacing w:line="440" w:lineRule="exact"/>
        <w:ind w:firstLine="420"/>
        <w:rPr>
          <w:rFonts w:ascii="宋体" w:hAnsi="宋体"/>
          <w:szCs w:val="21"/>
        </w:rPr>
      </w:pPr>
      <w:r>
        <w:rPr>
          <w:rFonts w:hint="eastAsia" w:ascii="宋体" w:hAnsi="宋体"/>
          <w:szCs w:val="21"/>
        </w:rPr>
        <w:t>以下所列的词语定义或解释均适用于本技术条件（工程建设标准）。</w:t>
      </w:r>
    </w:p>
    <w:p>
      <w:pPr>
        <w:spacing w:line="440" w:lineRule="exact"/>
        <w:ind w:firstLine="420" w:firstLineChars="200"/>
        <w:rPr>
          <w:rFonts w:ascii="宋体" w:hAnsi="宋体"/>
          <w:szCs w:val="21"/>
        </w:rPr>
      </w:pPr>
      <w:r>
        <w:rPr>
          <w:rFonts w:hint="eastAsia" w:ascii="宋体" w:hAnsi="宋体"/>
          <w:szCs w:val="21"/>
        </w:rPr>
        <w:t>（1）发</w:t>
      </w:r>
      <w:r>
        <w:rPr>
          <w:rFonts w:ascii="宋体" w:hAnsi="宋体"/>
          <w:szCs w:val="21"/>
        </w:rPr>
        <w:t>包人</w:t>
      </w:r>
      <w:r>
        <w:rPr>
          <w:rFonts w:hint="eastAsia" w:ascii="宋体" w:hAnsi="宋体"/>
          <w:szCs w:val="21"/>
        </w:rPr>
        <w:t>：广东省机场管理集团有限公司工程建设指挥部，与下文出现的“业主”、“指挥部”、“招标人”等均为同一人。</w:t>
      </w:r>
    </w:p>
    <w:p>
      <w:pPr>
        <w:spacing w:line="440" w:lineRule="exact"/>
        <w:ind w:firstLine="420" w:firstLineChars="200"/>
        <w:rPr>
          <w:rFonts w:ascii="宋体" w:hAnsi="宋体"/>
          <w:szCs w:val="21"/>
        </w:rPr>
      </w:pPr>
      <w:r>
        <w:rPr>
          <w:rFonts w:hint="eastAsia" w:ascii="宋体" w:hAnsi="宋体"/>
          <w:szCs w:val="21"/>
        </w:rPr>
        <w:t>（2）承包人：承担本次招标范围内工程施工任务和整个工程承包管理服务直至交付使用（含陪伴运行期间）的承包商，与下文出现的“中标人”、“施工单位”、“投标人”、“承包单位”等均为同一人。</w:t>
      </w:r>
    </w:p>
    <w:p>
      <w:pPr>
        <w:spacing w:line="440" w:lineRule="exact"/>
        <w:ind w:firstLine="420" w:firstLineChars="200"/>
        <w:rPr>
          <w:rFonts w:cs="宋体"/>
          <w:szCs w:val="21"/>
          <w:lang w:bidi="ar"/>
        </w:rPr>
      </w:pPr>
      <w:r>
        <w:rPr>
          <w:rFonts w:hint="eastAsia" w:ascii="宋体" w:hAnsi="宋体"/>
          <w:szCs w:val="21"/>
        </w:rPr>
        <w:t>（3）关联单位：</w:t>
      </w:r>
      <w:r>
        <w:rPr>
          <w:rFonts w:hint="eastAsia" w:cs="宋体"/>
          <w:szCs w:val="21"/>
          <w:lang w:bidi="ar"/>
        </w:rPr>
        <w:t>指与发包人有关联的需要在本标段范围内实施自建项目和开展相关业务的单位，包括但不限于：广东空港置业有限公司、广州白云国际机场股份有限公司及其下属单位。</w:t>
      </w:r>
    </w:p>
    <w:p>
      <w:pPr>
        <w:spacing w:line="440" w:lineRule="exact"/>
        <w:ind w:firstLine="420" w:firstLineChars="200"/>
        <w:rPr>
          <w:rFonts w:cs="宋体"/>
          <w:szCs w:val="21"/>
          <w:lang w:bidi="ar"/>
        </w:rPr>
      </w:pPr>
      <w:r>
        <w:rPr>
          <w:rFonts w:hint="eastAsia" w:cs="宋体"/>
          <w:szCs w:val="21"/>
          <w:lang w:bidi="ar"/>
        </w:rPr>
        <w:t>（4）分包人：主要指发包人及关联单位另行发包的承担部分工程、系统、装置、材料、设备等的承包商，与下文出现的“分包单位”均为同一人</w:t>
      </w:r>
    </w:p>
    <w:p>
      <w:pPr>
        <w:spacing w:line="440" w:lineRule="exact"/>
        <w:ind w:firstLine="420" w:firstLineChars="200"/>
        <w:rPr>
          <w:rFonts w:ascii="宋体" w:hAnsi="宋体"/>
          <w:szCs w:val="21"/>
        </w:rPr>
      </w:pPr>
      <w:r>
        <w:rPr>
          <w:rFonts w:hint="eastAsia" w:cs="宋体"/>
          <w:szCs w:val="21"/>
          <w:lang w:bidi="ar"/>
        </w:rPr>
        <w:t>（5）承包管理：承担整个广州白云国际机场三期扩建工程配套供冷工程施工期间项目管理，直至交付使用（含陪伴运行）的全过程管理服务工作。</w:t>
      </w:r>
    </w:p>
    <w:p>
      <w:pPr>
        <w:spacing w:line="440" w:lineRule="exact"/>
        <w:rPr>
          <w:rFonts w:ascii="宋体" w:hAnsi="宋体"/>
          <w:b/>
          <w:bCs/>
          <w:szCs w:val="21"/>
        </w:rPr>
      </w:pPr>
      <w:r>
        <w:rPr>
          <w:rFonts w:hint="eastAsia" w:ascii="宋体" w:hAnsi="宋体"/>
          <w:b/>
          <w:bCs/>
          <w:szCs w:val="21"/>
        </w:rPr>
        <w:t>2.工程概况</w:t>
      </w:r>
    </w:p>
    <w:p>
      <w:pPr>
        <w:snapToGrid w:val="0"/>
        <w:spacing w:line="440" w:lineRule="exact"/>
        <w:ind w:firstLine="420" w:firstLineChars="200"/>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.1建设单位:</w:t>
      </w:r>
      <w:r>
        <w:rPr>
          <w:rFonts w:hint="eastAsia" w:ascii="宋体" w:hAnsi="宋体"/>
          <w:szCs w:val="21"/>
        </w:rPr>
        <w:t xml:space="preserve"> 广东省机场管理集团有限公司工程建设指挥部</w:t>
      </w:r>
    </w:p>
    <w:p>
      <w:pPr>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.2</w:t>
      </w:r>
      <w:r>
        <w:rPr>
          <w:rFonts w:hint="eastAsia" w:ascii="宋体" w:hAnsi="宋体" w:cs="宋体"/>
          <w:color w:val="000000"/>
          <w:szCs w:val="21"/>
        </w:rPr>
        <w:t>勘察单位：北京市勘察设计研究院有限公司</w:t>
      </w:r>
    </w:p>
    <w:p>
      <w:pPr>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.3</w:t>
      </w:r>
      <w:r>
        <w:rPr>
          <w:rFonts w:hint="eastAsia" w:ascii="宋体" w:hAnsi="宋体" w:cs="宋体"/>
          <w:color w:val="000000"/>
          <w:szCs w:val="21"/>
        </w:rPr>
        <w:t>设计单位：广东省建筑设计研究院有限公司、中国建筑西南设计研究院有限公司</w:t>
      </w:r>
    </w:p>
    <w:p>
      <w:pPr>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w:t>
      </w:r>
      <w:r>
        <w:rPr>
          <w:rFonts w:hint="eastAsia" w:ascii="宋体" w:hAnsi="宋体" w:cs="宋体"/>
          <w:color w:val="000000"/>
          <w:szCs w:val="21"/>
        </w:rPr>
        <w:t>4监理单位：（主）上海市建设工程监理咨询有限公司（成）广州珠江监理咨询集团有限公司</w:t>
      </w:r>
    </w:p>
    <w:p>
      <w:pPr>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2.5工程地点：</w:t>
      </w:r>
      <w:r>
        <w:rPr>
          <w:rFonts w:hint="eastAsia" w:ascii="宋体" w:hAnsi="宋体"/>
          <w:szCs w:val="21"/>
        </w:rPr>
        <w:t>广州白云国际机场</w:t>
      </w:r>
      <w:bookmarkStart w:id="383" w:name="监理单位问题"/>
      <w:bookmarkEnd w:id="383"/>
    </w:p>
    <w:p>
      <w:pPr>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2.6本期建设规模：</w:t>
      </w:r>
    </w:p>
    <w:p>
      <w:pPr>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本项目为广州白云国际机场三期扩建工程</w:t>
      </w:r>
      <w:r>
        <w:rPr>
          <w:rFonts w:hint="eastAsia" w:cs="宋体"/>
          <w:szCs w:val="21"/>
          <w:lang w:bidi="ar"/>
        </w:rPr>
        <w:t>配套供冷工程</w:t>
      </w:r>
      <w:r>
        <w:rPr>
          <w:rFonts w:hint="eastAsia" w:ascii="宋体" w:hAnsi="宋体" w:cs="宋体"/>
          <w:color w:val="000000"/>
          <w:szCs w:val="21"/>
        </w:rPr>
        <w:t>,位于广州市花都区,绿色建筑星级为二星级。</w:t>
      </w:r>
    </w:p>
    <w:p>
      <w:pPr>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制冷站计划本期供冷建筑为T3 航站楼、综合交通中心(GTC)、旅客过夜酒店、南工作区E10 地块办公楼；预留后期为航站区南部商业区、T3 航站楼二期南指廊、南工作区E05、E06、E07、E07供冷的能力。</w:t>
      </w:r>
    </w:p>
    <w:p>
      <w:pPr>
        <w:spacing w:line="440" w:lineRule="exact"/>
        <w:ind w:firstLine="480"/>
        <w:rPr>
          <w:rFonts w:ascii="宋体" w:hAnsi="宋体"/>
          <w:bCs/>
          <w:color w:val="000000"/>
          <w:szCs w:val="21"/>
        </w:rPr>
      </w:pPr>
      <w:r>
        <w:rPr>
          <w:rFonts w:hint="eastAsia" w:ascii="宋体" w:hAnsi="宋体" w:cs="宋体"/>
          <w:color w:val="000000"/>
          <w:szCs w:val="21"/>
        </w:rPr>
        <w:t>制冷站地上2层,建筑高度约10.3米,总建筑面积约7217m2。其中,首层为制冷机房、电房、消防水泵房、卫生间等；二层为电房、监控室、值班室等。</w:t>
      </w:r>
    </w:p>
    <w:p>
      <w:pPr>
        <w:spacing w:line="440" w:lineRule="exact"/>
        <w:ind w:firstLine="480"/>
        <w:rPr>
          <w:rFonts w:ascii="宋体" w:hAnsi="宋体" w:cs="宋体"/>
          <w:color w:val="000000"/>
          <w:szCs w:val="21"/>
        </w:rPr>
      </w:pPr>
      <w:r>
        <w:rPr>
          <w:rFonts w:ascii="宋体" w:hAnsi="宋体"/>
          <w:bCs/>
          <w:color w:val="000000"/>
          <w:szCs w:val="21"/>
        </w:rPr>
        <w:t>2.</w:t>
      </w:r>
      <w:r>
        <w:rPr>
          <w:rFonts w:hint="eastAsia" w:ascii="宋体" w:hAnsi="宋体"/>
          <w:bCs/>
          <w:color w:val="000000"/>
          <w:szCs w:val="21"/>
        </w:rPr>
        <w:t>7</w:t>
      </w:r>
      <w:r>
        <w:rPr>
          <w:rFonts w:hint="eastAsia" w:ascii="宋体" w:hAnsi="宋体"/>
          <w:color w:val="000000"/>
          <w:szCs w:val="21"/>
        </w:rPr>
        <w:t>自然地理及场地工程地质情况：投标人自行对工程现场和周围环境进行现场考察，熟悉施工现场的地形、地貌、林地、水塘、沟渠等情况，以获得可能影响投标报价的直接资料，所需发生的费用应在投标报价中综合考虑。投标人将一律被视为已确认所有现场条件，并预料到了可能发生的任何费用。中标单位不得以不了解现场情况为由，提出投标报价以外的费用要求，对此招标人将不作考虑。考察现场的费用由投标人自己承担。</w:t>
      </w:r>
    </w:p>
    <w:p>
      <w:pPr>
        <w:pStyle w:val="2"/>
      </w:pPr>
    </w:p>
    <w:p>
      <w:pPr>
        <w:spacing w:line="440" w:lineRule="exact"/>
        <w:rPr>
          <w:rFonts w:ascii="宋体" w:hAnsi="宋体" w:cs="宋体"/>
          <w:b/>
          <w:bCs/>
          <w:color w:val="000000"/>
          <w:szCs w:val="21"/>
        </w:rPr>
      </w:pPr>
      <w:r>
        <w:rPr>
          <w:rFonts w:hint="eastAsia" w:ascii="宋体" w:hAnsi="宋体" w:cs="宋体"/>
          <w:b/>
          <w:bCs/>
          <w:color w:val="000000"/>
          <w:szCs w:val="21"/>
        </w:rPr>
        <w:t>3</w:t>
      </w:r>
      <w:r>
        <w:rPr>
          <w:rFonts w:ascii="宋体" w:hAnsi="宋体" w:cs="宋体"/>
          <w:b/>
          <w:bCs/>
          <w:color w:val="000000"/>
          <w:szCs w:val="21"/>
        </w:rPr>
        <w:t>.</w:t>
      </w:r>
      <w:r>
        <w:rPr>
          <w:rFonts w:hint="eastAsia" w:ascii="宋体" w:hAnsi="宋体" w:cs="宋体"/>
          <w:b/>
          <w:bCs/>
          <w:color w:val="000000"/>
          <w:szCs w:val="21"/>
        </w:rPr>
        <w:t>工程招标范围、内容、分包及其他要求</w:t>
      </w:r>
    </w:p>
    <w:p>
      <w:pPr>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按发包人提供的招标文件、招标答疑、施工图、工程量清单及相关资料，承包</w:t>
      </w:r>
      <w:r>
        <w:rPr>
          <w:rFonts w:hint="eastAsia" w:ascii="宋体" w:hAnsi="宋体" w:cs="宋体"/>
          <w:color w:val="000000"/>
          <w:szCs w:val="21"/>
          <w:u w:val="single"/>
        </w:rPr>
        <w:t>广州白云国际机场三期扩建工程配套供冷工程</w:t>
      </w:r>
      <w:r>
        <w:rPr>
          <w:rFonts w:hint="eastAsia" w:ascii="宋体" w:hAnsi="宋体" w:cs="宋体"/>
          <w:color w:val="000000"/>
          <w:szCs w:val="21"/>
        </w:rPr>
        <w:t>，以及按《</w:t>
      </w:r>
      <w:r>
        <w:rPr>
          <w:rFonts w:hint="eastAsia" w:ascii="宋体" w:hAnsi="宋体" w:cs="宋体"/>
          <w:szCs w:val="21"/>
        </w:rPr>
        <w:t>广州白云国际机场三期扩建工程配套供冷工程</w:t>
      </w:r>
      <w:r>
        <w:rPr>
          <w:rFonts w:hint="eastAsia" w:ascii="宋体" w:hAnsi="宋体" w:cs="宋体"/>
          <w:bCs/>
          <w:szCs w:val="21"/>
          <w:lang w:eastAsia="zh-Hans"/>
        </w:rPr>
        <w:t>智能建造工</w:t>
      </w:r>
      <w:r>
        <w:rPr>
          <w:rFonts w:hint="eastAsia" w:ascii="宋体" w:hAnsi="宋体" w:cs="宋体"/>
          <w:color w:val="000000"/>
          <w:szCs w:val="21"/>
        </w:rPr>
        <w:t>作要求》完成相关工作。工程范围及内容参考施工图及工程量清单，主要包括但不限于：</w:t>
      </w:r>
    </w:p>
    <w:p>
      <w:pPr>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3.1配套供冷工程施工内容包括：地基与基础工程、基坑支护工程、主体结构工程、墙体砌筑工程、建筑装饰装修工程、建筑给水排水、蓄冷罐安装工程、通风与空调工程、电气工程、照明工程、建筑节能工程、室外工程、消防工程、道路工程、园林绿化工程、标识标牌、甲购设备安装等。</w:t>
      </w:r>
    </w:p>
    <w:p>
      <w:pPr>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3.2负责牵头组织制冷站水蓄冷调试工作，配合T3航站楼、GTC停车楼、工作区等区域的空调调试。</w:t>
      </w:r>
    </w:p>
    <w:p>
      <w:pPr>
        <w:snapToGrid w:val="0"/>
        <w:spacing w:line="440" w:lineRule="exact"/>
        <w:ind w:firstLine="420" w:firstLineChars="200"/>
        <w:rPr>
          <w:rFonts w:hAnsi="宋体" w:cs="宋体"/>
          <w:color w:val="000000"/>
          <w:szCs w:val="21"/>
        </w:rPr>
      </w:pPr>
      <w:r>
        <w:rPr>
          <w:rFonts w:hint="eastAsia" w:ascii="宋体" w:hAnsi="宋体" w:cs="宋体"/>
          <w:color w:val="000000"/>
          <w:szCs w:val="21"/>
        </w:rPr>
        <w:t>3.3负责本标段范围内的海绵城市建设效果评估工作，编制评估报告。</w:t>
      </w:r>
      <w:r>
        <w:rPr>
          <w:rFonts w:hint="eastAsia" w:hAnsi="宋体" w:cs="宋体"/>
          <w:color w:val="000000"/>
          <w:szCs w:val="21"/>
        </w:rPr>
        <w:t xml:space="preserve"> </w:t>
      </w:r>
    </w:p>
    <w:p>
      <w:pPr>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w:t>
      </w:r>
      <w:r>
        <w:rPr>
          <w:rFonts w:hint="eastAsia" w:ascii="宋体" w:hAnsi="宋体" w:cs="宋体"/>
          <w:color w:val="000000"/>
          <w:szCs w:val="21"/>
        </w:rPr>
        <w:t>4本工程范围内白蚁防治。</w:t>
      </w:r>
    </w:p>
    <w:p>
      <w:pPr>
        <w:snapToGrid w:val="0"/>
        <w:spacing w:line="440" w:lineRule="exact"/>
        <w:ind w:firstLine="420" w:firstLineChars="200"/>
        <w:rPr>
          <w:rFonts w:ascii="宋体" w:hAnsi="宋体"/>
          <w:szCs w:val="21"/>
        </w:rPr>
      </w:pPr>
      <w:r>
        <w:rPr>
          <w:rFonts w:hint="eastAsia" w:ascii="宋体" w:hAnsi="宋体" w:cs="宋体"/>
          <w:color w:val="000000"/>
          <w:szCs w:val="21"/>
        </w:rPr>
        <w:t>3</w:t>
      </w:r>
      <w:r>
        <w:rPr>
          <w:rFonts w:ascii="宋体" w:hAnsi="宋体" w:cs="宋体"/>
          <w:color w:val="000000"/>
          <w:szCs w:val="21"/>
        </w:rPr>
        <w:t>.</w:t>
      </w:r>
      <w:r>
        <w:rPr>
          <w:rFonts w:hint="eastAsia" w:ascii="宋体" w:hAnsi="宋体" w:cs="宋体"/>
          <w:color w:val="000000"/>
          <w:szCs w:val="21"/>
        </w:rPr>
        <w:t>5</w:t>
      </w:r>
      <w:r>
        <w:rPr>
          <w:rFonts w:hint="eastAsia" w:ascii="宋体" w:hAnsi="宋体"/>
          <w:szCs w:val="21"/>
        </w:rPr>
        <w:t>承包人须负责本项目场地区域内的各专业管理工作（含</w:t>
      </w:r>
      <w:r>
        <w:rPr>
          <w:rFonts w:hint="eastAsia" w:cs="宋体"/>
          <w:szCs w:val="21"/>
          <w:lang w:bidi="ar"/>
        </w:rPr>
        <w:t>发包人、关联单位等另行发包工程</w:t>
      </w:r>
      <w:r>
        <w:rPr>
          <w:rFonts w:hint="eastAsia" w:ascii="宋体" w:hAnsi="宋体"/>
          <w:szCs w:val="21"/>
        </w:rPr>
        <w:t>）以及与其他项目承包单位（含T3航站楼、GTC停车楼、工作区房建、工作区市政、景观河、树木迁移等项目）沟通协调等工作。</w:t>
      </w:r>
    </w:p>
    <w:p>
      <w:pPr>
        <w:snapToGrid w:val="0"/>
        <w:spacing w:line="440" w:lineRule="exact"/>
        <w:ind w:firstLine="420" w:firstLineChars="200"/>
        <w:rPr>
          <w:rFonts w:ascii="宋体" w:hAnsi="宋体" w:cs="宋体"/>
          <w:color w:val="000000"/>
          <w:szCs w:val="21"/>
        </w:rPr>
      </w:pPr>
      <w:r>
        <w:rPr>
          <w:rFonts w:hint="eastAsia" w:ascii="宋体" w:hAnsi="宋体"/>
          <w:szCs w:val="21"/>
        </w:rPr>
        <w:t>3</w:t>
      </w:r>
      <w:r>
        <w:rPr>
          <w:rFonts w:ascii="宋体" w:hAnsi="宋体"/>
          <w:szCs w:val="21"/>
        </w:rPr>
        <w:t xml:space="preserve">.6 </w:t>
      </w:r>
      <w:r>
        <w:rPr>
          <w:rFonts w:hint="eastAsia" w:hAnsi="宋体"/>
          <w:szCs w:val="21"/>
        </w:rPr>
        <w:t>深化设计</w:t>
      </w:r>
      <w:r>
        <w:rPr>
          <w:rFonts w:hAnsi="宋体"/>
          <w:szCs w:val="21"/>
        </w:rPr>
        <w:t>BIM模型创建</w:t>
      </w:r>
      <w:r>
        <w:rPr>
          <w:rFonts w:hint="eastAsia" w:hAnsi="宋体"/>
          <w:szCs w:val="21"/>
        </w:rPr>
        <w:t>、各专业项目BIM模型合模。本项目实施全过程、全专业、全员参与的基于BIM（建筑信息模型building information modeling，以下简称BIM）的智能建造，中标单位须在总承包单位的组织和协调下，在约定的范围内采用BIM及有关技术，按照业主（或三期工程BIM咨询）提供的BIM模型要求，完成本项目的BIM深化设计，完成BIM施工模型和竣工模型，并提交机场智能建造审核，审图通过才可进行施工（详见附件：机电设备产品BIM技术要求）。本项目需按数据中台、数据治理标准、以及数字孪生机场系统提供的数据采集、数据获取的标准和要求，通过融合集成平台或接口方式，开放并提供数据中台和数字孪生机场系统要求的相关数据等。费用综合考虑。（详见《智能建造工作要求》）</w:t>
      </w:r>
    </w:p>
    <w:p>
      <w:pPr>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.7</w:t>
      </w:r>
      <w:r>
        <w:rPr>
          <w:rFonts w:hint="eastAsia" w:ascii="宋体" w:hAnsi="宋体" w:cs="宋体"/>
          <w:color w:val="000000"/>
          <w:szCs w:val="21"/>
        </w:rPr>
        <w:t>上述工程内容未列出，但属于本项目范围内新增的其他工作，如设计变更及临时、零星工程等。包含但不限于：管线迁改、临时围蔽、临时排水、临时道路、临时交通疏解等。</w:t>
      </w:r>
    </w:p>
    <w:p>
      <w:pPr>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.8</w:t>
      </w:r>
      <w:r>
        <w:rPr>
          <w:rFonts w:hint="eastAsia" w:ascii="宋体" w:hAnsi="宋体" w:cs="宋体"/>
          <w:color w:val="000000"/>
          <w:szCs w:val="21"/>
        </w:rPr>
        <w:t>以上概述不应认为是完整的。除招标人指定承包的工程范围外，承包人不得拒绝执行为完成全部工程而须执行的可能遗漏的工程。</w:t>
      </w:r>
    </w:p>
    <w:p>
      <w:pPr>
        <w:snapToGrid w:val="0"/>
        <w:spacing w:line="440" w:lineRule="exact"/>
        <w:ind w:firstLine="420" w:firstLineChars="200"/>
        <w:rPr>
          <w:rFonts w:ascii="宋体" w:hAnsi="宋体" w:cs="宋体"/>
          <w:color w:val="000000"/>
          <w:szCs w:val="21"/>
        </w:rPr>
      </w:pPr>
      <w:bookmarkStart w:id="384" w:name="施工界面"/>
      <w:r>
        <w:rPr>
          <w:rFonts w:ascii="宋体" w:hAnsi="宋体" w:cs="宋体"/>
          <w:color w:val="000000"/>
          <w:szCs w:val="21"/>
        </w:rPr>
        <w:t>3.9</w:t>
      </w:r>
      <w:r>
        <w:rPr>
          <w:rFonts w:hint="eastAsia" w:ascii="宋体" w:hAnsi="宋体" w:cs="宋体"/>
          <w:color w:val="000000"/>
          <w:szCs w:val="21"/>
        </w:rPr>
        <w:t>施工界面</w:t>
      </w:r>
    </w:p>
    <w:p>
      <w:pPr>
        <w:pStyle w:val="19"/>
        <w:spacing w:line="440" w:lineRule="exact"/>
        <w:ind w:firstLine="405"/>
        <w:rPr>
          <w:rFonts w:hAnsi="宋体" w:cs="宋体"/>
          <w:color w:val="000000"/>
          <w:szCs w:val="21"/>
        </w:rPr>
      </w:pPr>
      <w:r>
        <w:rPr>
          <w:rFonts w:hint="eastAsia" w:hAnsi="宋体" w:cs="宋体"/>
          <w:color w:val="000000"/>
          <w:szCs w:val="21"/>
        </w:rPr>
        <w:t>3</w:t>
      </w:r>
      <w:r>
        <w:rPr>
          <w:rFonts w:hAnsi="宋体" w:cs="宋体"/>
          <w:color w:val="000000"/>
          <w:szCs w:val="21"/>
        </w:rPr>
        <w:t>.9.1</w:t>
      </w:r>
      <w:r>
        <w:rPr>
          <w:rFonts w:hint="eastAsia" w:hAnsi="宋体" w:cs="宋体"/>
          <w:color w:val="000000"/>
          <w:szCs w:val="21"/>
        </w:rPr>
        <w:t>甲购设备界面：</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925"/>
        <w:gridCol w:w="1887"/>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tcPr>
          <w:p>
            <w:pPr>
              <w:snapToGrid w:val="0"/>
              <w:spacing w:line="440" w:lineRule="exact"/>
              <w:ind w:firstLine="210" w:firstLineChars="100"/>
              <w:jc w:val="left"/>
              <w:rPr>
                <w:rFonts w:ascii="宋体" w:hAnsi="宋体" w:cs="宋体"/>
                <w:color w:val="000000"/>
                <w:szCs w:val="21"/>
              </w:rPr>
            </w:pPr>
            <w:r>
              <w:rPr>
                <w:rFonts w:hint="eastAsia" w:ascii="宋体" w:hAnsi="宋体" w:cs="宋体"/>
                <w:color w:val="000000"/>
                <w:szCs w:val="21"/>
              </w:rPr>
              <w:t>序号</w:t>
            </w:r>
          </w:p>
        </w:tc>
        <w:tc>
          <w:tcPr>
            <w:tcW w:w="2925" w:type="dxa"/>
          </w:tcPr>
          <w:p>
            <w:pPr>
              <w:snapToGrid w:val="0"/>
              <w:spacing w:line="440" w:lineRule="exact"/>
              <w:ind w:firstLine="420" w:firstLineChars="200"/>
              <w:jc w:val="center"/>
              <w:rPr>
                <w:rFonts w:ascii="宋体" w:hAnsi="宋体" w:cs="宋体"/>
                <w:color w:val="000000"/>
                <w:szCs w:val="21"/>
              </w:rPr>
            </w:pPr>
            <w:r>
              <w:rPr>
                <w:rFonts w:hint="eastAsia" w:ascii="宋体" w:hAnsi="宋体" w:cs="宋体"/>
                <w:color w:val="000000"/>
                <w:szCs w:val="21"/>
              </w:rPr>
              <w:t>甲购设备名称</w:t>
            </w:r>
          </w:p>
        </w:tc>
        <w:tc>
          <w:tcPr>
            <w:tcW w:w="1887" w:type="dxa"/>
          </w:tcPr>
          <w:p>
            <w:pPr>
              <w:snapToGrid w:val="0"/>
              <w:spacing w:line="440" w:lineRule="exact"/>
              <w:ind w:firstLine="420" w:firstLineChars="200"/>
              <w:jc w:val="left"/>
              <w:rPr>
                <w:rFonts w:ascii="宋体" w:hAnsi="宋体" w:cs="宋体"/>
                <w:color w:val="000000"/>
                <w:szCs w:val="21"/>
              </w:rPr>
            </w:pPr>
            <w:r>
              <w:rPr>
                <w:rFonts w:hint="eastAsia" w:ascii="宋体" w:hAnsi="宋体" w:cs="宋体"/>
                <w:color w:val="000000"/>
                <w:szCs w:val="21"/>
              </w:rPr>
              <w:t>使用范围</w:t>
            </w:r>
          </w:p>
        </w:tc>
        <w:tc>
          <w:tcPr>
            <w:tcW w:w="2375" w:type="dxa"/>
          </w:tcPr>
          <w:p>
            <w:pPr>
              <w:snapToGrid w:val="0"/>
              <w:spacing w:line="440" w:lineRule="exact"/>
              <w:ind w:firstLine="840" w:firstLineChars="400"/>
              <w:rPr>
                <w:rFonts w:ascii="宋体" w:hAnsi="宋体" w:cs="宋体"/>
                <w:color w:val="000000"/>
                <w:szCs w:val="21"/>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vAlign w:val="center"/>
          </w:tcPr>
          <w:p>
            <w:pPr>
              <w:snapToGrid w:val="0"/>
              <w:spacing w:line="440" w:lineRule="exact"/>
              <w:ind w:firstLine="420" w:firstLineChars="200"/>
              <w:jc w:val="left"/>
              <w:rPr>
                <w:rFonts w:ascii="宋体" w:hAnsi="宋体" w:cs="宋体"/>
                <w:color w:val="000000"/>
                <w:szCs w:val="21"/>
              </w:rPr>
            </w:pPr>
            <w:r>
              <w:rPr>
                <w:rFonts w:hint="eastAsia" w:ascii="宋体" w:hAnsi="宋体" w:cs="宋体"/>
                <w:color w:val="000000"/>
                <w:szCs w:val="21"/>
              </w:rPr>
              <w:t>1</w:t>
            </w:r>
          </w:p>
        </w:tc>
        <w:tc>
          <w:tcPr>
            <w:tcW w:w="2925" w:type="dxa"/>
          </w:tcPr>
          <w:p>
            <w:pPr>
              <w:snapToGrid w:val="0"/>
              <w:spacing w:line="440" w:lineRule="exact"/>
              <w:jc w:val="center"/>
              <w:rPr>
                <w:rFonts w:ascii="宋体" w:hAnsi="宋体" w:cs="宋体"/>
                <w:color w:val="000000"/>
                <w:szCs w:val="21"/>
              </w:rPr>
            </w:pPr>
            <w:r>
              <w:rPr>
                <w:rFonts w:hint="eastAsia" w:ascii="宋体" w:hAnsi="宋体" w:cs="宋体"/>
                <w:color w:val="000000"/>
                <w:szCs w:val="21"/>
              </w:rPr>
              <w:t>冷水主机及相关配套设备</w:t>
            </w:r>
          </w:p>
        </w:tc>
        <w:tc>
          <w:tcPr>
            <w:tcW w:w="1887" w:type="dxa"/>
          </w:tcPr>
          <w:p>
            <w:pPr>
              <w:snapToGrid w:val="0"/>
              <w:spacing w:line="440" w:lineRule="exact"/>
              <w:ind w:firstLine="420" w:firstLineChars="200"/>
              <w:jc w:val="left"/>
              <w:rPr>
                <w:rFonts w:ascii="宋体" w:hAnsi="宋体" w:cs="宋体"/>
                <w:color w:val="000000"/>
                <w:szCs w:val="21"/>
              </w:rPr>
            </w:pPr>
            <w:r>
              <w:rPr>
                <w:rFonts w:hint="eastAsia" w:ascii="宋体" w:hAnsi="宋体" w:cs="宋体"/>
                <w:color w:val="000000"/>
                <w:szCs w:val="21"/>
              </w:rPr>
              <w:t>制冷站</w:t>
            </w:r>
          </w:p>
        </w:tc>
        <w:tc>
          <w:tcPr>
            <w:tcW w:w="2375" w:type="dxa"/>
          </w:tcPr>
          <w:p>
            <w:pPr>
              <w:snapToGrid w:val="0"/>
              <w:spacing w:line="440" w:lineRule="exact"/>
              <w:jc w:val="center"/>
              <w:rPr>
                <w:rFonts w:ascii="宋体" w:hAnsi="宋体" w:cs="宋体"/>
                <w:color w:val="000000"/>
                <w:szCs w:val="21"/>
              </w:rPr>
            </w:pPr>
            <w:r>
              <w:rPr>
                <w:rFonts w:hint="eastAsia" w:ascii="宋体" w:hAnsi="宋体" w:cs="宋体"/>
                <w:color w:val="000000"/>
                <w:szCs w:val="21"/>
              </w:rPr>
              <w:t>甲购，投标人安装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vAlign w:val="center"/>
          </w:tcPr>
          <w:p>
            <w:pPr>
              <w:snapToGrid w:val="0"/>
              <w:spacing w:line="440" w:lineRule="exact"/>
              <w:ind w:firstLine="420" w:firstLineChars="200"/>
              <w:jc w:val="left"/>
              <w:rPr>
                <w:rFonts w:ascii="宋体" w:hAnsi="宋体" w:cs="宋体"/>
                <w:color w:val="000000"/>
                <w:szCs w:val="21"/>
              </w:rPr>
            </w:pPr>
            <w:r>
              <w:rPr>
                <w:rFonts w:hint="eastAsia" w:ascii="宋体" w:hAnsi="宋体" w:cs="宋体"/>
                <w:color w:val="000000"/>
                <w:szCs w:val="21"/>
              </w:rPr>
              <w:t>2</w:t>
            </w:r>
          </w:p>
        </w:tc>
        <w:tc>
          <w:tcPr>
            <w:tcW w:w="2925" w:type="dxa"/>
          </w:tcPr>
          <w:p>
            <w:pPr>
              <w:snapToGrid w:val="0"/>
              <w:spacing w:line="440" w:lineRule="exact"/>
              <w:ind w:firstLine="420" w:firstLineChars="200"/>
              <w:jc w:val="center"/>
              <w:rPr>
                <w:rFonts w:ascii="宋体" w:hAnsi="宋体" w:cs="宋体"/>
                <w:color w:val="000000"/>
                <w:szCs w:val="21"/>
              </w:rPr>
            </w:pPr>
            <w:r>
              <w:rPr>
                <w:rFonts w:hint="eastAsia" w:ascii="宋体" w:hAnsi="宋体" w:cs="宋体"/>
                <w:color w:val="000000"/>
                <w:szCs w:val="21"/>
              </w:rPr>
              <w:t>高压柜、APF装置</w:t>
            </w:r>
          </w:p>
        </w:tc>
        <w:tc>
          <w:tcPr>
            <w:tcW w:w="1887" w:type="dxa"/>
          </w:tcPr>
          <w:p>
            <w:pPr>
              <w:snapToGrid w:val="0"/>
              <w:spacing w:line="440" w:lineRule="exact"/>
              <w:ind w:firstLine="420" w:firstLineChars="200"/>
              <w:jc w:val="left"/>
              <w:rPr>
                <w:rFonts w:ascii="宋体" w:hAnsi="宋体" w:cs="宋体"/>
                <w:color w:val="000000"/>
                <w:szCs w:val="21"/>
              </w:rPr>
            </w:pPr>
            <w:r>
              <w:rPr>
                <w:rFonts w:hint="eastAsia" w:ascii="宋体" w:hAnsi="宋体" w:cs="宋体"/>
                <w:color w:val="000000"/>
                <w:szCs w:val="21"/>
              </w:rPr>
              <w:t>高压配电室</w:t>
            </w:r>
          </w:p>
        </w:tc>
        <w:tc>
          <w:tcPr>
            <w:tcW w:w="2375" w:type="dxa"/>
          </w:tcPr>
          <w:p>
            <w:pPr>
              <w:snapToGrid w:val="0"/>
              <w:spacing w:line="440" w:lineRule="exact"/>
              <w:jc w:val="center"/>
              <w:rPr>
                <w:rFonts w:ascii="宋体" w:hAnsi="宋体" w:cs="宋体"/>
                <w:color w:val="000000"/>
                <w:szCs w:val="21"/>
              </w:rPr>
            </w:pPr>
            <w:r>
              <w:rPr>
                <w:rFonts w:hint="eastAsia" w:ascii="宋体" w:hAnsi="宋体" w:cs="宋体"/>
                <w:color w:val="000000"/>
                <w:szCs w:val="21"/>
              </w:rPr>
              <w:t>甲购，投标人安装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vAlign w:val="center"/>
          </w:tcPr>
          <w:p>
            <w:pPr>
              <w:snapToGrid w:val="0"/>
              <w:spacing w:line="440" w:lineRule="exact"/>
              <w:ind w:firstLine="420" w:firstLineChars="200"/>
              <w:jc w:val="left"/>
              <w:rPr>
                <w:rFonts w:ascii="宋体" w:hAnsi="宋体" w:cs="宋体"/>
                <w:color w:val="000000"/>
                <w:szCs w:val="21"/>
              </w:rPr>
            </w:pPr>
            <w:r>
              <w:rPr>
                <w:rFonts w:hint="eastAsia" w:ascii="宋体" w:hAnsi="宋体" w:cs="宋体"/>
                <w:color w:val="000000"/>
                <w:szCs w:val="21"/>
              </w:rPr>
              <w:t>3</w:t>
            </w:r>
          </w:p>
        </w:tc>
        <w:tc>
          <w:tcPr>
            <w:tcW w:w="2925" w:type="dxa"/>
          </w:tcPr>
          <w:p>
            <w:pPr>
              <w:snapToGrid w:val="0"/>
              <w:spacing w:line="440" w:lineRule="exact"/>
              <w:ind w:firstLine="420" w:firstLineChars="200"/>
              <w:jc w:val="center"/>
              <w:rPr>
                <w:rFonts w:ascii="宋体" w:hAnsi="宋体" w:cs="宋体"/>
                <w:color w:val="000000"/>
                <w:szCs w:val="21"/>
              </w:rPr>
            </w:pPr>
            <w:r>
              <w:rPr>
                <w:rFonts w:hint="eastAsia" w:ascii="宋体" w:hAnsi="宋体" w:cs="宋体"/>
                <w:color w:val="000000"/>
                <w:szCs w:val="21"/>
              </w:rPr>
              <w:t>变压器</w:t>
            </w:r>
          </w:p>
        </w:tc>
        <w:tc>
          <w:tcPr>
            <w:tcW w:w="1887" w:type="dxa"/>
          </w:tcPr>
          <w:p>
            <w:pPr>
              <w:snapToGrid w:val="0"/>
              <w:spacing w:line="440" w:lineRule="exact"/>
              <w:ind w:firstLine="420" w:firstLineChars="200"/>
              <w:jc w:val="left"/>
              <w:rPr>
                <w:rFonts w:ascii="宋体" w:hAnsi="宋体" w:cs="宋体"/>
                <w:color w:val="000000"/>
                <w:szCs w:val="21"/>
              </w:rPr>
            </w:pPr>
            <w:r>
              <w:rPr>
                <w:rFonts w:hint="eastAsia" w:ascii="宋体" w:hAnsi="宋体" w:cs="宋体"/>
                <w:color w:val="000000"/>
                <w:szCs w:val="21"/>
              </w:rPr>
              <w:t>变压器室</w:t>
            </w:r>
          </w:p>
        </w:tc>
        <w:tc>
          <w:tcPr>
            <w:tcW w:w="2375" w:type="dxa"/>
          </w:tcPr>
          <w:p>
            <w:pPr>
              <w:snapToGrid w:val="0"/>
              <w:spacing w:line="440" w:lineRule="exact"/>
              <w:jc w:val="center"/>
              <w:rPr>
                <w:rFonts w:ascii="宋体" w:hAnsi="宋体" w:cs="宋体"/>
                <w:color w:val="000000"/>
                <w:szCs w:val="21"/>
              </w:rPr>
            </w:pPr>
            <w:r>
              <w:rPr>
                <w:rFonts w:hint="eastAsia" w:ascii="宋体" w:hAnsi="宋体" w:cs="宋体"/>
                <w:color w:val="000000"/>
                <w:szCs w:val="21"/>
              </w:rPr>
              <w:t>甲购，投标人安装</w:t>
            </w:r>
          </w:p>
        </w:tc>
      </w:tr>
    </w:tbl>
    <w:p>
      <w:pPr>
        <w:pStyle w:val="19"/>
        <w:spacing w:line="440" w:lineRule="exact"/>
        <w:ind w:firstLine="405"/>
        <w:rPr>
          <w:rFonts w:hAnsi="宋体" w:cs="宋体"/>
          <w:color w:val="000000"/>
          <w:szCs w:val="21"/>
        </w:rPr>
      </w:pPr>
      <w:r>
        <w:rPr>
          <w:rFonts w:hint="eastAsia" w:hAnsi="宋体" w:cs="宋体"/>
          <w:color w:val="000000"/>
          <w:szCs w:val="21"/>
        </w:rPr>
        <w:t>（1）制冷机组</w:t>
      </w:r>
    </w:p>
    <w:p>
      <w:pPr>
        <w:pStyle w:val="19"/>
        <w:spacing w:line="440" w:lineRule="exact"/>
        <w:ind w:firstLine="405"/>
        <w:rPr>
          <w:rFonts w:hAnsi="宋体" w:cs="宋体"/>
          <w:color w:val="000000"/>
          <w:szCs w:val="21"/>
        </w:rPr>
      </w:pPr>
      <w:r>
        <w:rPr>
          <w:rFonts w:hint="eastAsia" w:hAnsi="宋体" w:cs="宋体"/>
          <w:color w:val="000000"/>
          <w:szCs w:val="21"/>
        </w:rPr>
        <w:t>1）冷水主机及相关配套设备的采购由甲购厂家负责，安装由投标人负责。</w:t>
      </w:r>
    </w:p>
    <w:p>
      <w:pPr>
        <w:pStyle w:val="19"/>
        <w:spacing w:line="440" w:lineRule="exact"/>
        <w:ind w:firstLine="405"/>
        <w:rPr>
          <w:rFonts w:hAnsi="宋体" w:cs="宋体"/>
          <w:color w:val="000000"/>
          <w:szCs w:val="21"/>
        </w:rPr>
      </w:pPr>
      <w:r>
        <w:rPr>
          <w:rFonts w:hint="eastAsia" w:hAnsi="宋体" w:cs="宋体"/>
          <w:color w:val="000000"/>
          <w:szCs w:val="21"/>
        </w:rPr>
        <w:t>2）强电及弱电线缆、线管、线槽及安装由投标人负责；</w:t>
      </w:r>
    </w:p>
    <w:p>
      <w:pPr>
        <w:pStyle w:val="19"/>
        <w:spacing w:line="440" w:lineRule="exact"/>
        <w:ind w:firstLine="405"/>
        <w:rPr>
          <w:rFonts w:hAnsi="宋体" w:cs="宋体"/>
          <w:color w:val="000000"/>
          <w:szCs w:val="21"/>
        </w:rPr>
      </w:pPr>
      <w:r>
        <w:rPr>
          <w:rFonts w:hint="eastAsia" w:hAnsi="宋体" w:cs="宋体"/>
          <w:color w:val="000000"/>
          <w:szCs w:val="21"/>
        </w:rPr>
        <w:t>（2）高压柜、变压器</w:t>
      </w:r>
    </w:p>
    <w:p>
      <w:pPr>
        <w:pStyle w:val="19"/>
        <w:spacing w:line="440" w:lineRule="exact"/>
        <w:ind w:firstLine="405"/>
        <w:rPr>
          <w:szCs w:val="21"/>
        </w:rPr>
      </w:pPr>
      <w:r>
        <w:rPr>
          <w:rFonts w:hint="eastAsia"/>
          <w:szCs w:val="21"/>
        </w:rPr>
        <w:t>高压柜、APF装置、变压器由甲购厂家供货，投标人负责高压柜、变压器的安装、电缆及母线的供货及安装。</w:t>
      </w:r>
    </w:p>
    <w:p>
      <w:pPr>
        <w:pStyle w:val="19"/>
        <w:spacing w:line="440" w:lineRule="exact"/>
        <w:ind w:firstLine="405"/>
        <w:rPr>
          <w:szCs w:val="21"/>
        </w:rPr>
      </w:pPr>
      <w:r>
        <w:rPr>
          <w:rFonts w:hint="eastAsia"/>
          <w:szCs w:val="21"/>
        </w:rPr>
        <w:t>3.9.2与甲购自控系统的界面</w:t>
      </w:r>
    </w:p>
    <w:p>
      <w:pPr>
        <w:pStyle w:val="19"/>
        <w:spacing w:line="440" w:lineRule="exact"/>
        <w:ind w:firstLine="405"/>
        <w:rPr>
          <w:szCs w:val="21"/>
        </w:rPr>
      </w:pPr>
      <w:r>
        <w:rPr>
          <w:szCs w:val="21"/>
        </w:rPr>
        <w:t>（1）甲购自控系统包括不限于：</w:t>
      </w:r>
      <w:r>
        <w:rPr>
          <w:rFonts w:hint="eastAsia"/>
          <w:szCs w:val="21"/>
        </w:rPr>
        <w:t>电力监控系统</w:t>
      </w:r>
      <w:r>
        <w:rPr>
          <w:szCs w:val="21"/>
        </w:rPr>
        <w:t>、</w:t>
      </w:r>
      <w:r>
        <w:rPr>
          <w:rFonts w:hint="eastAsia"/>
          <w:szCs w:val="21"/>
        </w:rPr>
        <w:t>智慧水务系统</w:t>
      </w:r>
      <w:r>
        <w:rPr>
          <w:szCs w:val="21"/>
        </w:rPr>
        <w:t>；由业主另行委托实施。</w:t>
      </w:r>
    </w:p>
    <w:p>
      <w:pPr>
        <w:pStyle w:val="19"/>
        <w:spacing w:line="440" w:lineRule="exact"/>
        <w:ind w:firstLine="405"/>
        <w:rPr>
          <w:szCs w:val="21"/>
        </w:rPr>
      </w:pPr>
      <w:r>
        <w:rPr>
          <w:szCs w:val="21"/>
        </w:rPr>
        <w:t>（2）</w:t>
      </w:r>
      <w:r>
        <w:rPr>
          <w:rFonts w:hint="eastAsia"/>
          <w:szCs w:val="21"/>
        </w:rPr>
        <w:t>电力监控</w:t>
      </w:r>
      <w:r>
        <w:rPr>
          <w:szCs w:val="21"/>
        </w:rPr>
        <w:t>系统：电力监控系统</w:t>
      </w:r>
      <w:r>
        <w:rPr>
          <w:rFonts w:hint="eastAsia"/>
          <w:szCs w:val="21"/>
        </w:rPr>
        <w:t>由甲方采购并安装；投标人应提供相应接口并配合相关工作。</w:t>
      </w:r>
    </w:p>
    <w:p>
      <w:pPr>
        <w:pStyle w:val="19"/>
        <w:spacing w:line="440" w:lineRule="exact"/>
        <w:ind w:firstLine="405"/>
        <w:rPr>
          <w:szCs w:val="21"/>
        </w:rPr>
      </w:pPr>
      <w:r>
        <w:rPr>
          <w:rFonts w:hint="eastAsia"/>
          <w:szCs w:val="21"/>
        </w:rPr>
        <w:t>（3）智慧水务系统：智慧水务系统由甲方采购并安装；投标人应提供相应接口并配合相关工作。</w:t>
      </w:r>
    </w:p>
    <w:p>
      <w:pPr>
        <w:pStyle w:val="19"/>
        <w:spacing w:line="440" w:lineRule="exact"/>
        <w:ind w:firstLine="405"/>
        <w:rPr>
          <w:rFonts w:hAnsi="宋体" w:cs="宋体"/>
          <w:color w:val="000000"/>
          <w:szCs w:val="21"/>
        </w:rPr>
      </w:pPr>
      <w:r>
        <w:rPr>
          <w:rFonts w:hint="eastAsia" w:hAnsi="宋体" w:cs="宋体"/>
          <w:color w:val="000000"/>
          <w:szCs w:val="21"/>
        </w:rPr>
        <w:t>3</w:t>
      </w:r>
      <w:r>
        <w:rPr>
          <w:rFonts w:hAnsi="宋体" w:cs="宋体"/>
          <w:color w:val="000000"/>
          <w:szCs w:val="21"/>
        </w:rPr>
        <w:t>.9.</w:t>
      </w:r>
      <w:r>
        <w:rPr>
          <w:rFonts w:hint="eastAsia" w:hAnsi="宋体" w:cs="宋体"/>
          <w:color w:val="000000"/>
          <w:szCs w:val="21"/>
        </w:rPr>
        <w:t>3弱电工程界面：</w:t>
      </w:r>
    </w:p>
    <w:p>
      <w:pPr>
        <w:pStyle w:val="19"/>
        <w:spacing w:line="440" w:lineRule="exact"/>
        <w:ind w:firstLine="420" w:firstLineChars="200"/>
        <w:rPr>
          <w:rFonts w:hAnsi="宋体" w:cs="宋体"/>
          <w:szCs w:val="21"/>
        </w:rPr>
      </w:pPr>
      <w:r>
        <w:rPr>
          <w:rFonts w:hint="eastAsia" w:hAnsi="宋体" w:cs="宋体"/>
          <w:szCs w:val="21"/>
        </w:rPr>
        <w:t>（1）综合布线、信息网络系统、视频安防监控系统、出入口控制系统、停车场管理系统、智能化配电系统不在本标段范围。</w:t>
      </w:r>
    </w:p>
    <w:p>
      <w:pPr>
        <w:pStyle w:val="19"/>
        <w:spacing w:line="440" w:lineRule="exact"/>
        <w:ind w:firstLine="405"/>
        <w:rPr>
          <w:rFonts w:hAnsi="宋体" w:cs="宋体"/>
          <w:szCs w:val="21"/>
        </w:rPr>
      </w:pPr>
      <w:r>
        <w:rPr>
          <w:rFonts w:hint="eastAsia" w:hAnsi="宋体" w:cs="宋体"/>
          <w:szCs w:val="21"/>
        </w:rPr>
        <w:t>（2）冷站群控系统：由投标人负责，包括但不限于系统软件、服务器、工作站、末端DDC、网关、强弱电一体柜、各类传感器、公共信号控制箱、站级总控柜、线缆敷设等。</w:t>
      </w:r>
    </w:p>
    <w:p>
      <w:pPr>
        <w:pStyle w:val="19"/>
        <w:spacing w:line="440" w:lineRule="exact"/>
        <w:ind w:firstLine="405"/>
        <w:rPr>
          <w:rFonts w:hAnsi="宋体" w:cs="宋体"/>
          <w:szCs w:val="21"/>
        </w:rPr>
      </w:pPr>
      <w:r>
        <w:rPr>
          <w:rFonts w:hint="eastAsia" w:hAnsi="宋体" w:cs="宋体"/>
          <w:szCs w:val="21"/>
        </w:rPr>
        <w:t>（3）能源计量系统：由投标人负责并接入区域管理器（区域管理器由能源管理系统投标人提供）,配合全场能源管理系统进行调试。</w:t>
      </w:r>
    </w:p>
    <w:p>
      <w:pPr>
        <w:pStyle w:val="19"/>
        <w:spacing w:line="440" w:lineRule="exact"/>
        <w:ind w:firstLine="405"/>
        <w:rPr>
          <w:rFonts w:hAnsi="宋体" w:cs="宋体"/>
          <w:szCs w:val="21"/>
        </w:rPr>
      </w:pPr>
      <w:r>
        <w:rPr>
          <w:rFonts w:hint="eastAsia" w:hAnsi="宋体" w:cs="宋体"/>
          <w:szCs w:val="21"/>
        </w:rPr>
        <w:t>（4）首层弱电机房、监控室：机房装修由投标人负责；UPS主机、电池、机柜、防雷接地、液晶拼接屏、控制台、坐席等由其他标段负责。。</w:t>
      </w:r>
    </w:p>
    <w:p>
      <w:pPr>
        <w:pStyle w:val="19"/>
        <w:spacing w:line="440" w:lineRule="exact"/>
        <w:ind w:firstLine="405"/>
        <w:rPr>
          <w:rFonts w:hAnsi="宋体" w:cs="宋体"/>
          <w:szCs w:val="21"/>
        </w:rPr>
      </w:pPr>
      <w:r>
        <w:rPr>
          <w:rFonts w:hint="eastAsia" w:hAnsi="宋体" w:cs="宋体"/>
          <w:szCs w:val="21"/>
        </w:rPr>
        <w:t>3.9.4外电进线界面</w:t>
      </w:r>
    </w:p>
    <w:p>
      <w:pPr>
        <w:pStyle w:val="19"/>
        <w:spacing w:line="440" w:lineRule="exact"/>
        <w:ind w:firstLine="420" w:firstLineChars="200"/>
        <w:rPr>
          <w:rFonts w:hAnsi="宋体" w:cs="宋体"/>
          <w:szCs w:val="21"/>
        </w:rPr>
      </w:pPr>
      <w:r>
        <w:rPr>
          <w:rFonts w:hint="eastAsia" w:hAnsi="宋体" w:cs="宋体"/>
          <w:szCs w:val="21"/>
        </w:rPr>
        <w:t>机场云港东110KV变电站至制冷站变电所的10KV电缆、电力排管敷设、电缆井制作等由投标人负责。</w:t>
      </w:r>
    </w:p>
    <w:p>
      <w:pPr>
        <w:pStyle w:val="19"/>
        <w:spacing w:line="440" w:lineRule="exact"/>
        <w:ind w:firstLine="405"/>
        <w:rPr>
          <w:rFonts w:hAnsi="宋体" w:cs="宋体"/>
          <w:szCs w:val="21"/>
        </w:rPr>
      </w:pPr>
      <w:r>
        <w:rPr>
          <w:rFonts w:hint="eastAsia" w:hAnsi="宋体" w:cs="宋体"/>
          <w:szCs w:val="21"/>
        </w:rPr>
        <w:t>3.9.5给排水工程界面</w:t>
      </w:r>
    </w:p>
    <w:p>
      <w:pPr>
        <w:pStyle w:val="19"/>
        <w:spacing w:line="440" w:lineRule="exact"/>
        <w:ind w:firstLine="405"/>
        <w:rPr>
          <w:rFonts w:hAnsi="宋体" w:cs="宋体"/>
          <w:szCs w:val="21"/>
        </w:rPr>
      </w:pPr>
      <w:r>
        <w:rPr>
          <w:rFonts w:hint="eastAsia" w:hAnsi="宋体" w:cs="宋体"/>
          <w:szCs w:val="21"/>
        </w:rPr>
        <w:t>（1）市政给水管网至E01地块内第一个阀门井的给水管线由其他单位实施，E01地块第一个阀门井至制冷站的所有给水管线（含阀门井、总水表）均由投标人负责实施。</w:t>
      </w:r>
    </w:p>
    <w:p>
      <w:pPr>
        <w:pStyle w:val="19"/>
        <w:spacing w:line="440" w:lineRule="exact"/>
        <w:ind w:firstLine="405"/>
        <w:rPr>
          <w:rFonts w:hAnsi="宋体" w:cs="宋体"/>
          <w:szCs w:val="21"/>
        </w:rPr>
      </w:pPr>
      <w:r>
        <w:rPr>
          <w:rFonts w:hint="eastAsia" w:hAnsi="宋体" w:cs="宋体"/>
          <w:szCs w:val="21"/>
        </w:rPr>
        <w:t>（2）市政雨水、污水、中水管网至各地块内第一个检查井的管线由其他单位实施，E01地块第一个检查井、阀门井至制冷站的所有雨水、污水、中水管线（含检查井、阀门井、中水总表）均由投标人负责实施。</w:t>
      </w:r>
    </w:p>
    <w:p>
      <w:pPr>
        <w:pStyle w:val="19"/>
        <w:spacing w:line="440" w:lineRule="exact"/>
        <w:ind w:firstLine="405"/>
        <w:rPr>
          <w:rFonts w:hAnsi="宋体" w:cs="宋体"/>
          <w:szCs w:val="21"/>
        </w:rPr>
      </w:pPr>
      <w:r>
        <w:rPr>
          <w:rFonts w:hint="eastAsia" w:hAnsi="宋体" w:cs="宋体"/>
          <w:szCs w:val="21"/>
        </w:rPr>
        <w:t>3.9.6供冷工程的界面</w:t>
      </w:r>
    </w:p>
    <w:p>
      <w:pPr>
        <w:pStyle w:val="19"/>
        <w:spacing w:line="440" w:lineRule="exact"/>
        <w:ind w:firstLine="405"/>
        <w:rPr>
          <w:rFonts w:hAnsi="宋体" w:cs="宋体"/>
          <w:szCs w:val="21"/>
        </w:rPr>
      </w:pPr>
      <w:r>
        <w:rPr>
          <w:rFonts w:hint="eastAsia" w:hAnsi="宋体" w:cs="宋体"/>
          <w:szCs w:val="21"/>
        </w:rPr>
        <w:t>（1）与GTC供冷工程的界面：制冷站的室外冷冻水管经过综合管廊进入板式换热机房1米范围之前的冷冻水管、支撑钢架、管座、管道保温、阀门（含阀门井）等施工内容由投标人负责。GTC换热机房内的冷冻水管、板式换热器、水泵、阀门等所有内容由其他单位负责。</w:t>
      </w:r>
    </w:p>
    <w:p>
      <w:pPr>
        <w:pStyle w:val="19"/>
        <w:spacing w:line="440" w:lineRule="exact"/>
        <w:ind w:firstLine="405"/>
        <w:rPr>
          <w:rFonts w:hAnsi="宋体" w:cs="宋体"/>
          <w:szCs w:val="21"/>
        </w:rPr>
      </w:pPr>
      <w:r>
        <w:rPr>
          <w:rFonts w:hint="eastAsia" w:hAnsi="宋体" w:cs="宋体"/>
          <w:szCs w:val="21"/>
        </w:rPr>
        <w:t>（2）与过夜酒店供冷工程的界面：制冷站的室外冷冻水管经过综合管廊进入GTC地下二层车库1m范围内，进入车库1米范围之前的冷冻水管、支撑钢架、管座、管道保温、阀门（含阀门井）等施工内容由投标人负责。车库范围1m之后的冷冻水管、阀门等所有内容由其他单位负责。</w:t>
      </w:r>
    </w:p>
    <w:p>
      <w:pPr>
        <w:pStyle w:val="19"/>
        <w:spacing w:line="440" w:lineRule="exact"/>
        <w:ind w:firstLine="405"/>
        <w:rPr>
          <w:rFonts w:hAnsi="宋体" w:cs="宋体"/>
          <w:szCs w:val="21"/>
        </w:rPr>
      </w:pPr>
      <w:r>
        <w:rPr>
          <w:rFonts w:hint="eastAsia" w:hAnsi="宋体" w:cs="宋体"/>
          <w:szCs w:val="21"/>
        </w:rPr>
        <w:t>（3）与工作区供冷工程的界面：以工作区换热机房的板式换热器为界线，制冷站至工作区换热机房的板式换热器的冷冻水管及其保温、阀门井等施工内容由投标人负责；工作区换热机房的板式换热器（由其他单位负责）至各单体的冷冻水管及其保温等施工内容由其他单位负责。</w:t>
      </w:r>
      <w:bookmarkEnd w:id="384"/>
      <w:r>
        <w:rPr>
          <w:rFonts w:hint="eastAsia" w:hAnsi="宋体" w:cs="宋体"/>
          <w:szCs w:val="21"/>
        </w:rPr>
        <w:br w:type="textWrapping"/>
      </w:r>
      <w:r>
        <w:rPr>
          <w:rFonts w:hint="eastAsia" w:hAnsi="宋体" w:cs="宋体"/>
          <w:szCs w:val="21"/>
        </w:rPr>
        <w:t xml:space="preserve">    注：与其他单位的管道接驳前，投标人需完成承包范围内的管道清洗工作。自动加药装置首次投加的药剂由投标人承担。</w:t>
      </w:r>
    </w:p>
    <w:p>
      <w:pPr>
        <w:pStyle w:val="19"/>
        <w:spacing w:line="440" w:lineRule="exact"/>
        <w:ind w:firstLine="405"/>
        <w:rPr>
          <w:rFonts w:hAnsi="宋体" w:cs="宋体"/>
          <w:szCs w:val="21"/>
        </w:rPr>
      </w:pPr>
      <w:r>
        <w:rPr>
          <w:rFonts w:hint="eastAsia" w:hAnsi="宋体" w:cs="宋体"/>
          <w:szCs w:val="21"/>
        </w:rPr>
        <w:t>3.9.7 其他</w:t>
      </w:r>
    </w:p>
    <w:p>
      <w:pPr>
        <w:pStyle w:val="19"/>
        <w:spacing w:line="440" w:lineRule="exact"/>
        <w:ind w:firstLine="405"/>
        <w:rPr>
          <w:rFonts w:hAnsi="宋体" w:cs="宋体"/>
          <w:szCs w:val="21"/>
        </w:rPr>
      </w:pPr>
      <w:r>
        <w:rPr>
          <w:rFonts w:hint="eastAsia" w:hAnsi="宋体" w:cs="宋体"/>
          <w:szCs w:val="21"/>
        </w:rPr>
        <w:t>投标人针对本工程10KV电气设备、电缆的调试，需提交具有国家承认的承装（修、试）电力资质的单位盖章的交接试验报告及继电保护装置整定计算单，并完成所有送电的工作。</w:t>
      </w:r>
    </w:p>
    <w:p>
      <w:pPr>
        <w:pStyle w:val="19"/>
        <w:spacing w:line="440" w:lineRule="exact"/>
        <w:ind w:firstLine="405"/>
        <w:rPr>
          <w:rFonts w:hAnsi="宋体" w:cs="宋体"/>
          <w:szCs w:val="21"/>
        </w:rPr>
      </w:pPr>
      <w:r>
        <w:rPr>
          <w:rFonts w:hint="eastAsia" w:hAnsi="宋体" w:cs="宋体"/>
          <w:szCs w:val="21"/>
        </w:rPr>
        <w:t>3</w:t>
      </w:r>
      <w:r>
        <w:rPr>
          <w:rFonts w:hAnsi="宋体" w:cs="宋体"/>
          <w:szCs w:val="21"/>
        </w:rPr>
        <w:t>.9.</w:t>
      </w:r>
      <w:r>
        <w:rPr>
          <w:rFonts w:hint="eastAsia" w:hAnsi="宋体" w:cs="宋体"/>
          <w:szCs w:val="21"/>
        </w:rPr>
        <w:t>8以上界面未尽事宜，在实施过程中所遇到的问题，由发包人、监理单位结合现场实际情况安排承包人召集有关方共商解决。</w:t>
      </w:r>
    </w:p>
    <w:p>
      <w:pPr>
        <w:snapToGrid w:val="0"/>
        <w:spacing w:line="440" w:lineRule="exact"/>
        <w:ind w:firstLine="420" w:firstLineChars="200"/>
        <w:rPr>
          <w:rFonts w:ascii="宋体" w:hAnsi="宋体"/>
          <w:bCs/>
          <w:iCs/>
          <w:szCs w:val="21"/>
        </w:rPr>
      </w:pPr>
      <w:r>
        <w:rPr>
          <w:rFonts w:hint="eastAsia" w:ascii="宋体" w:hAnsi="宋体"/>
          <w:bCs/>
          <w:iCs/>
          <w:szCs w:val="21"/>
        </w:rPr>
        <w:t>3</w:t>
      </w:r>
      <w:r>
        <w:rPr>
          <w:rFonts w:ascii="宋体" w:hAnsi="宋体"/>
          <w:bCs/>
          <w:iCs/>
          <w:szCs w:val="21"/>
        </w:rPr>
        <w:t>.10</w:t>
      </w:r>
      <w:r>
        <w:rPr>
          <w:rFonts w:hint="eastAsia" w:ascii="宋体" w:hAnsi="宋体"/>
          <w:bCs/>
          <w:iCs/>
          <w:szCs w:val="21"/>
        </w:rPr>
        <w:t>分包说明</w:t>
      </w:r>
    </w:p>
    <w:p>
      <w:pPr>
        <w:spacing w:line="440" w:lineRule="exact"/>
        <w:ind w:firstLine="420" w:firstLineChars="200"/>
      </w:pPr>
      <w:r>
        <w:rPr>
          <w:rFonts w:hint="eastAsia"/>
        </w:rPr>
        <w:t>主体工作，不允许分包；</w:t>
      </w:r>
      <w:r>
        <w:t>非主体</w:t>
      </w:r>
      <w:r>
        <w:rPr>
          <w:rFonts w:hint="eastAsia"/>
        </w:rPr>
        <w:t>工作，经发包人同意后</w:t>
      </w:r>
      <w:r>
        <w:t>容许</w:t>
      </w:r>
      <w:r>
        <w:rPr>
          <w:rFonts w:hint="eastAsia"/>
        </w:rPr>
        <w:t>依法分包。</w:t>
      </w:r>
    </w:p>
    <w:p>
      <w:pPr>
        <w:snapToGrid w:val="0"/>
        <w:spacing w:line="440" w:lineRule="exact"/>
        <w:ind w:firstLine="420" w:firstLineChars="200"/>
        <w:rPr>
          <w:rFonts w:ascii="宋体" w:hAnsi="宋体" w:cs="宋体"/>
          <w:szCs w:val="21"/>
        </w:rPr>
      </w:pPr>
      <w:r>
        <w:rPr>
          <w:rFonts w:hint="eastAsia" w:ascii="宋体" w:hAnsi="宋体" w:cs="宋体"/>
          <w:color w:val="000000"/>
          <w:szCs w:val="21"/>
        </w:rPr>
        <w:t>3</w:t>
      </w:r>
      <w:r>
        <w:rPr>
          <w:rFonts w:ascii="宋体" w:hAnsi="宋体" w:cs="宋体"/>
          <w:color w:val="000000"/>
          <w:szCs w:val="21"/>
        </w:rPr>
        <w:t>.11</w:t>
      </w:r>
      <w:r>
        <w:rPr>
          <w:rFonts w:hint="eastAsia" w:ascii="宋体" w:hAnsi="宋体" w:cs="宋体"/>
          <w:color w:val="000000"/>
          <w:szCs w:val="21"/>
        </w:rPr>
        <w:t>施</w:t>
      </w:r>
      <w:r>
        <w:rPr>
          <w:rFonts w:hint="eastAsia" w:ascii="宋体" w:hAnsi="宋体" w:cs="宋体"/>
          <w:szCs w:val="21"/>
        </w:rPr>
        <w:t>工范围及工作内容调整：发包人有权在施工过程中对施工范围及工作内容进行增加或删减调整，具体调整内容以设计变更、补充协议等为准，承包人不得以任何理由拒绝执行。</w:t>
      </w:r>
    </w:p>
    <w:p>
      <w:pPr>
        <w:snapToGrid w:val="0"/>
        <w:spacing w:line="440" w:lineRule="exact"/>
        <w:ind w:firstLine="420" w:firstLineChars="200"/>
        <w:rPr>
          <w:rFonts w:ascii="宋体" w:hAnsi="宋体" w:cs="宋体"/>
          <w:szCs w:val="21"/>
        </w:rPr>
      </w:pPr>
      <w:r>
        <w:rPr>
          <w:rFonts w:hint="eastAsia" w:ascii="宋体" w:hAnsi="宋体" w:cs="宋体"/>
          <w:szCs w:val="21"/>
        </w:rPr>
        <w:t>3</w:t>
      </w:r>
      <w:r>
        <w:rPr>
          <w:rFonts w:ascii="宋体" w:hAnsi="宋体" w:cs="宋体"/>
          <w:szCs w:val="21"/>
        </w:rPr>
        <w:t>.12</w:t>
      </w:r>
      <w:r>
        <w:rPr>
          <w:rFonts w:hint="eastAsia" w:ascii="宋体" w:hAnsi="宋体" w:cs="宋体"/>
          <w:color w:val="000000"/>
          <w:szCs w:val="21"/>
        </w:rPr>
        <w:t>招标</w:t>
      </w:r>
      <w:r>
        <w:rPr>
          <w:rFonts w:hint="eastAsia"/>
        </w:rPr>
        <w:t>内容切除：</w:t>
      </w:r>
      <w:r>
        <w:rPr>
          <w:rFonts w:hint="eastAsia" w:ascii="宋体" w:hAnsi="宋体" w:cs="宋体"/>
          <w:szCs w:val="21"/>
        </w:rPr>
        <w:t>如果工程实施过程中发生因承包人施工组织不力原因，工程进展严重受阻，多次出现进度计划滞后，承包人消极应</w:t>
      </w:r>
      <w:r>
        <w:rPr>
          <w:rFonts w:hint="eastAsia" w:ascii="宋体" w:hAnsi="宋体" w:cs="宋体"/>
          <w:szCs w:val="21"/>
          <w:lang w:eastAsia="zh-Hans"/>
        </w:rPr>
        <w:t>付</w:t>
      </w:r>
      <w:r>
        <w:rPr>
          <w:rFonts w:hint="eastAsia" w:ascii="宋体" w:hAnsi="宋体" w:cs="宋体"/>
          <w:szCs w:val="21"/>
        </w:rPr>
        <w:t>工程进度纠偏，不加大资源投入，经发包人书面通知仍不积极采取纠偏措施的情况下，发包人有权将部分承包人承担的工作进行切除，划分给其他单位实施，如果发包人与其他单位洽商的单价高于承包人投标价，发包人将对承包人进行反索赔，如果发包人与其他单位洽商的单价低于承包人投标价，仍按承包人投标价切除，对此，承包人不得有异议。</w:t>
      </w:r>
    </w:p>
    <w:p>
      <w:pPr>
        <w:spacing w:line="440" w:lineRule="exact"/>
        <w:ind w:left="422" w:hanging="422" w:hangingChars="200"/>
        <w:rPr>
          <w:rFonts w:ascii="宋体" w:hAnsi="宋体" w:cs="宋体"/>
          <w:b/>
          <w:color w:val="000000"/>
          <w:szCs w:val="21"/>
        </w:rPr>
      </w:pPr>
      <w:r>
        <w:rPr>
          <w:rFonts w:hint="eastAsia" w:ascii="宋体" w:hAnsi="宋体" w:cs="宋体"/>
          <w:b/>
          <w:color w:val="000000"/>
          <w:szCs w:val="21"/>
        </w:rPr>
        <w:t>4.施工工作目标</w:t>
      </w:r>
    </w:p>
    <w:p>
      <w:pPr>
        <w:spacing w:line="440" w:lineRule="exact"/>
        <w:ind w:left="420" w:leftChars="200"/>
        <w:rPr>
          <w:rFonts w:ascii="宋体" w:hAnsi="宋体" w:cs="宋体"/>
          <w:bCs/>
          <w:color w:val="000000"/>
          <w:szCs w:val="21"/>
        </w:rPr>
      </w:pPr>
      <w:r>
        <w:rPr>
          <w:rFonts w:hint="eastAsia" w:ascii="宋体" w:hAnsi="宋体" w:cs="宋体"/>
          <w:bCs/>
          <w:color w:val="000000"/>
          <w:szCs w:val="21"/>
        </w:rPr>
        <w:t>4</w:t>
      </w:r>
      <w:r>
        <w:rPr>
          <w:rFonts w:ascii="宋体" w:hAnsi="宋体" w:cs="宋体"/>
          <w:bCs/>
          <w:color w:val="000000"/>
          <w:szCs w:val="21"/>
        </w:rPr>
        <w:t>.1</w:t>
      </w:r>
      <w:r>
        <w:rPr>
          <w:rFonts w:hint="eastAsia" w:ascii="宋体" w:hAnsi="宋体" w:cs="宋体"/>
          <w:bCs/>
          <w:color w:val="000000"/>
          <w:szCs w:val="21"/>
        </w:rPr>
        <w:t>工程进度目标：详见第5条。</w:t>
      </w:r>
    </w:p>
    <w:p>
      <w:pPr>
        <w:spacing w:line="440" w:lineRule="exact"/>
        <w:ind w:left="420" w:leftChars="200"/>
        <w:rPr>
          <w:rFonts w:ascii="宋体" w:hAnsi="宋体" w:cs="宋体"/>
          <w:bCs/>
          <w:color w:val="000000"/>
          <w:szCs w:val="21"/>
        </w:rPr>
      </w:pPr>
      <w:r>
        <w:rPr>
          <w:rFonts w:hint="eastAsia" w:ascii="宋体" w:hAnsi="宋体" w:cs="宋体"/>
          <w:bCs/>
          <w:color w:val="000000"/>
          <w:szCs w:val="21"/>
        </w:rPr>
        <w:t>4</w:t>
      </w:r>
      <w:r>
        <w:rPr>
          <w:rFonts w:ascii="宋体" w:hAnsi="宋体" w:cs="宋体"/>
          <w:bCs/>
          <w:color w:val="000000"/>
          <w:szCs w:val="21"/>
        </w:rPr>
        <w:t>.2</w:t>
      </w:r>
      <w:r>
        <w:rPr>
          <w:rFonts w:hint="eastAsia" w:ascii="宋体" w:hAnsi="宋体" w:cs="宋体"/>
          <w:bCs/>
          <w:color w:val="000000"/>
          <w:szCs w:val="21"/>
        </w:rPr>
        <w:t>工程质量目标：合格。</w:t>
      </w:r>
    </w:p>
    <w:p>
      <w:pPr>
        <w:spacing w:line="440" w:lineRule="exact"/>
        <w:ind w:firstLine="420" w:firstLineChars="200"/>
        <w:rPr>
          <w:rFonts w:ascii="宋体" w:hAnsi="宋体"/>
        </w:rPr>
      </w:pPr>
      <w:r>
        <w:rPr>
          <w:rFonts w:hint="eastAsia" w:ascii="宋体" w:hAnsi="宋体" w:cs="宋体"/>
          <w:bCs/>
          <w:color w:val="000000"/>
          <w:szCs w:val="21"/>
        </w:rPr>
        <w:t>4</w:t>
      </w:r>
      <w:r>
        <w:rPr>
          <w:rFonts w:ascii="宋体" w:hAnsi="宋体" w:cs="宋体"/>
          <w:bCs/>
          <w:color w:val="000000"/>
          <w:szCs w:val="21"/>
        </w:rPr>
        <w:t>.3</w:t>
      </w:r>
      <w:r>
        <w:rPr>
          <w:rFonts w:hint="eastAsia" w:ascii="宋体" w:hAnsi="宋体" w:cs="宋体"/>
          <w:bCs/>
          <w:color w:val="000000"/>
          <w:szCs w:val="21"/>
        </w:rPr>
        <w:t>工程安全目标：</w:t>
      </w:r>
      <w:r>
        <w:rPr>
          <w:rFonts w:ascii="宋体" w:hAnsi="宋体"/>
          <w:szCs w:val="21"/>
        </w:rPr>
        <w:t>年负伤率控制在0.3%内，年死亡事故为0</w:t>
      </w:r>
      <w:r>
        <w:rPr>
          <w:rFonts w:hint="eastAsia" w:ascii="宋体" w:hAnsi="宋体"/>
          <w:szCs w:val="21"/>
        </w:rPr>
        <w:t>，火灾、交通及其他较大以上生产安全事故为</w:t>
      </w:r>
      <w:r>
        <w:rPr>
          <w:rFonts w:ascii="宋体" w:hAnsi="宋体"/>
          <w:szCs w:val="21"/>
        </w:rPr>
        <w:t>0</w:t>
      </w:r>
      <w:r>
        <w:rPr>
          <w:rFonts w:hint="eastAsia" w:ascii="宋体" w:hAnsi="宋体"/>
          <w:szCs w:val="21"/>
        </w:rPr>
        <w:t>；争</w:t>
      </w:r>
      <w:r>
        <w:rPr>
          <w:rFonts w:ascii="宋体" w:hAnsi="宋体"/>
          <w:szCs w:val="21"/>
        </w:rPr>
        <w:t>创省</w:t>
      </w:r>
      <w:r>
        <w:rPr>
          <w:rFonts w:hint="eastAsia" w:ascii="宋体" w:hAnsi="宋体"/>
          <w:szCs w:val="21"/>
        </w:rPr>
        <w:t>、</w:t>
      </w:r>
      <w:r>
        <w:rPr>
          <w:rFonts w:ascii="宋体" w:hAnsi="宋体"/>
          <w:szCs w:val="21"/>
        </w:rPr>
        <w:t>市安全文明施工工地</w:t>
      </w:r>
      <w:r>
        <w:rPr>
          <w:rFonts w:hint="eastAsia" w:ascii="宋体" w:hAnsi="宋体"/>
          <w:szCs w:val="21"/>
        </w:rPr>
        <w:t>。</w:t>
      </w:r>
      <w:r>
        <w:rPr>
          <w:rFonts w:hint="eastAsia" w:ascii="宋体" w:hAnsi="宋体"/>
        </w:rPr>
        <w:t>若发生死亡事故，每死亡一人，罚款5</w:t>
      </w:r>
      <w:r>
        <w:rPr>
          <w:rFonts w:ascii="宋体" w:hAnsi="宋体"/>
        </w:rPr>
        <w:t>00</w:t>
      </w:r>
      <w:r>
        <w:rPr>
          <w:rFonts w:hint="eastAsia" w:ascii="宋体" w:hAnsi="宋体"/>
        </w:rPr>
        <w:t>万元。</w:t>
      </w:r>
    </w:p>
    <w:p>
      <w:pPr>
        <w:spacing w:line="440" w:lineRule="exact"/>
        <w:ind w:left="422" w:hanging="422" w:hangingChars="200"/>
        <w:rPr>
          <w:rFonts w:ascii="宋体" w:hAnsi="宋体" w:cs="宋体"/>
          <w:b/>
          <w:color w:val="000000"/>
          <w:szCs w:val="21"/>
        </w:rPr>
      </w:pPr>
      <w:r>
        <w:rPr>
          <w:rFonts w:hint="eastAsia" w:ascii="宋体" w:hAnsi="宋体" w:cs="宋体"/>
          <w:b/>
          <w:color w:val="000000"/>
          <w:szCs w:val="21"/>
        </w:rPr>
        <w:t>5</w:t>
      </w:r>
      <w:r>
        <w:rPr>
          <w:rFonts w:ascii="宋体" w:hAnsi="宋体" w:cs="宋体"/>
          <w:b/>
          <w:color w:val="000000"/>
          <w:szCs w:val="21"/>
        </w:rPr>
        <w:t>.</w:t>
      </w:r>
      <w:r>
        <w:rPr>
          <w:rFonts w:hint="eastAsia" w:ascii="宋体" w:hAnsi="宋体" w:cs="宋体"/>
          <w:b/>
          <w:color w:val="000000"/>
          <w:szCs w:val="21"/>
        </w:rPr>
        <w:t>工期要求及发包人有关规定</w:t>
      </w:r>
    </w:p>
    <w:p>
      <w:pPr>
        <w:autoSpaceDE w:val="0"/>
        <w:autoSpaceDN w:val="0"/>
        <w:snapToGrid w:val="0"/>
        <w:spacing w:line="440" w:lineRule="exact"/>
        <w:ind w:left="707" w:leftChars="190" w:hanging="308" w:hangingChars="147"/>
        <w:rPr>
          <w:rFonts w:ascii="宋体" w:hAnsi="宋体"/>
          <w:color w:val="000000"/>
          <w:szCs w:val="21"/>
        </w:rPr>
      </w:pPr>
      <w:r>
        <w:rPr>
          <w:rFonts w:ascii="宋体" w:hAnsi="宋体"/>
          <w:color w:val="000000"/>
          <w:szCs w:val="21"/>
        </w:rPr>
        <w:t>5</w:t>
      </w:r>
      <w:r>
        <w:rPr>
          <w:rFonts w:hint="eastAsia" w:ascii="宋体" w:hAnsi="宋体"/>
          <w:color w:val="000000"/>
          <w:szCs w:val="21"/>
        </w:rPr>
        <w:t>.1本招标工程工期为</w:t>
      </w:r>
      <w:r>
        <w:rPr>
          <w:rFonts w:hint="eastAsia" w:ascii="宋体" w:hAnsi="宋体"/>
          <w:color w:val="000000"/>
          <w:szCs w:val="21"/>
          <w:u w:val="single"/>
        </w:rPr>
        <w:t xml:space="preserve"> 487 </w:t>
      </w:r>
      <w:r>
        <w:rPr>
          <w:rFonts w:hint="eastAsia" w:ascii="宋体" w:hAnsi="宋体"/>
          <w:color w:val="000000"/>
          <w:szCs w:val="21"/>
        </w:rPr>
        <w:t>日历天，开工日期以发包人批准开工报告为准，计划2023年11月30日开工，</w:t>
      </w:r>
      <w:r>
        <w:rPr>
          <w:rFonts w:hint="eastAsia" w:ascii="宋体" w:hAnsi="宋体"/>
          <w:szCs w:val="21"/>
        </w:rPr>
        <w:t>202</w:t>
      </w:r>
      <w:r>
        <w:rPr>
          <w:rFonts w:ascii="宋体" w:hAnsi="宋体"/>
          <w:szCs w:val="21"/>
        </w:rPr>
        <w:t>5</w:t>
      </w:r>
      <w:r>
        <w:rPr>
          <w:rFonts w:hint="eastAsia" w:ascii="宋体" w:hAnsi="宋体"/>
          <w:szCs w:val="21"/>
        </w:rPr>
        <w:t>年3月30日</w:t>
      </w:r>
      <w:r>
        <w:rPr>
          <w:rFonts w:hint="eastAsia" w:ascii="宋体" w:hAnsi="宋体"/>
          <w:color w:val="000000"/>
          <w:szCs w:val="21"/>
        </w:rPr>
        <w:t>竣工。工程竣工验收通过、承包人送交竣工验收资料的日期作为实际竣工日（其中节假日、雨天以及由承包人施工质量或施工程序不合格所造成的耽误日期也并记在内，不能后延）。其中关键里程碑工期（以下称节点工期）要求如下表：</w:t>
      </w:r>
    </w:p>
    <w:p>
      <w:pPr>
        <w:autoSpaceDE w:val="0"/>
        <w:autoSpaceDN w:val="0"/>
        <w:snapToGrid w:val="0"/>
        <w:spacing w:line="440" w:lineRule="exact"/>
        <w:ind w:left="707" w:leftChars="190" w:hanging="308" w:hangingChars="147"/>
        <w:rPr>
          <w:rFonts w:ascii="宋体" w:hAnsi="宋体"/>
          <w:b/>
          <w:bCs/>
          <w:color w:val="000000"/>
          <w:szCs w:val="21"/>
        </w:rPr>
      </w:pPr>
      <w:r>
        <w:rPr>
          <w:rFonts w:hint="eastAsia" w:ascii="宋体" w:hAnsi="宋体"/>
          <w:color w:val="000000"/>
          <w:szCs w:val="21"/>
        </w:rPr>
        <w:t xml:space="preserve"> </w:t>
      </w:r>
      <w:r>
        <w:rPr>
          <w:rFonts w:ascii="宋体" w:hAnsi="宋体"/>
          <w:color w:val="000000"/>
          <w:szCs w:val="21"/>
        </w:rPr>
        <w:t xml:space="preserve">                         </w:t>
      </w:r>
      <w:r>
        <w:rPr>
          <w:rFonts w:ascii="宋体" w:hAnsi="宋体"/>
          <w:b/>
          <w:bCs/>
          <w:color w:val="000000"/>
          <w:szCs w:val="21"/>
        </w:rPr>
        <w:t xml:space="preserve"> </w:t>
      </w:r>
      <w:r>
        <w:rPr>
          <w:rFonts w:hint="eastAsia" w:ascii="宋体" w:hAnsi="宋体"/>
          <w:b/>
          <w:bCs/>
          <w:color w:val="000000"/>
          <w:szCs w:val="21"/>
        </w:rPr>
        <w:t>节点工期计划要求</w:t>
      </w:r>
    </w:p>
    <w:tbl>
      <w:tblPr>
        <w:tblStyle w:val="36"/>
        <w:tblW w:w="4389" w:type="pct"/>
        <w:jc w:val="center"/>
        <w:shd w:val="clear" w:color="auto" w:fill="FFFFFF"/>
        <w:tblLayout w:type="fixed"/>
        <w:tblCellMar>
          <w:top w:w="0" w:type="dxa"/>
          <w:left w:w="108" w:type="dxa"/>
          <w:bottom w:w="0" w:type="dxa"/>
          <w:right w:w="108" w:type="dxa"/>
        </w:tblCellMar>
      </w:tblPr>
      <w:tblGrid>
        <w:gridCol w:w="533"/>
        <w:gridCol w:w="3051"/>
        <w:gridCol w:w="1479"/>
        <w:gridCol w:w="1404"/>
        <w:gridCol w:w="1014"/>
      </w:tblGrid>
      <w:tr>
        <w:tblPrEx>
          <w:shd w:val="clear" w:color="auto" w:fill="FFFFFF"/>
          <w:tblCellMar>
            <w:top w:w="0" w:type="dxa"/>
            <w:left w:w="108" w:type="dxa"/>
            <w:bottom w:w="0" w:type="dxa"/>
            <w:right w:w="108" w:type="dxa"/>
          </w:tblCellMar>
        </w:tblPrEx>
        <w:trPr>
          <w:trHeight w:val="470" w:hRule="atLeast"/>
          <w:jc w:val="center"/>
        </w:trPr>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9"/>
              <w:spacing w:line="240" w:lineRule="auto"/>
              <w:ind w:firstLine="0" w:firstLineChars="0"/>
              <w:rPr>
                <w:rFonts w:ascii="宋体" w:hAnsi="宋体" w:cs="宋体"/>
                <w:b/>
                <w:kern w:val="0"/>
                <w:sz w:val="21"/>
                <w:szCs w:val="21"/>
              </w:rPr>
            </w:pPr>
            <w:r>
              <w:rPr>
                <w:rFonts w:hint="eastAsia" w:ascii="宋体" w:hAnsi="宋体" w:cs="宋体"/>
                <w:b/>
                <w:kern w:val="0"/>
                <w:sz w:val="21"/>
                <w:szCs w:val="21"/>
              </w:rPr>
              <w:t>序号</w:t>
            </w:r>
          </w:p>
        </w:tc>
        <w:tc>
          <w:tcPr>
            <w:tcW w:w="3051" w:type="dxa"/>
            <w:tcBorders>
              <w:top w:val="single" w:color="auto" w:sz="4" w:space="0"/>
              <w:left w:val="nil"/>
              <w:bottom w:val="single" w:color="auto" w:sz="4" w:space="0"/>
              <w:right w:val="single" w:color="auto" w:sz="4" w:space="0"/>
            </w:tcBorders>
            <w:shd w:val="clear" w:color="auto" w:fill="auto"/>
            <w:vAlign w:val="center"/>
          </w:tcPr>
          <w:p>
            <w:pPr>
              <w:pStyle w:val="139"/>
              <w:spacing w:line="240" w:lineRule="auto"/>
              <w:ind w:firstLine="0" w:firstLineChars="0"/>
              <w:jc w:val="center"/>
              <w:rPr>
                <w:rFonts w:ascii="宋体" w:hAnsi="宋体" w:cs="宋体"/>
                <w:b/>
                <w:kern w:val="0"/>
                <w:sz w:val="21"/>
                <w:szCs w:val="21"/>
              </w:rPr>
            </w:pPr>
            <w:r>
              <w:rPr>
                <w:rFonts w:hint="eastAsia" w:ascii="宋体" w:hAnsi="宋体" w:cs="宋体"/>
                <w:b/>
                <w:kern w:val="0"/>
                <w:sz w:val="21"/>
                <w:szCs w:val="21"/>
              </w:rPr>
              <w:t>节点名称</w:t>
            </w:r>
          </w:p>
        </w:tc>
        <w:tc>
          <w:tcPr>
            <w:tcW w:w="1479" w:type="dxa"/>
            <w:tcBorders>
              <w:top w:val="single" w:color="auto" w:sz="4" w:space="0"/>
              <w:left w:val="single" w:color="auto" w:sz="4" w:space="0"/>
              <w:bottom w:val="single" w:color="auto" w:sz="4" w:space="0"/>
              <w:right w:val="single" w:color="auto" w:sz="4" w:space="0"/>
            </w:tcBorders>
            <w:shd w:val="clear" w:color="auto" w:fill="auto"/>
          </w:tcPr>
          <w:p>
            <w:pPr>
              <w:pStyle w:val="139"/>
              <w:spacing w:line="240" w:lineRule="auto"/>
              <w:ind w:firstLine="0" w:firstLineChars="0"/>
              <w:jc w:val="center"/>
              <w:rPr>
                <w:rFonts w:ascii="宋体" w:hAnsi="宋体" w:cs="宋体"/>
                <w:b/>
                <w:kern w:val="0"/>
                <w:sz w:val="21"/>
                <w:szCs w:val="21"/>
              </w:rPr>
            </w:pPr>
            <w:r>
              <w:rPr>
                <w:rFonts w:hint="eastAsia" w:ascii="宋体" w:hAnsi="宋体" w:cs="宋体"/>
                <w:b/>
                <w:kern w:val="0"/>
                <w:sz w:val="21"/>
                <w:szCs w:val="21"/>
              </w:rPr>
              <w:t>节点开工</w:t>
            </w:r>
          </w:p>
          <w:p>
            <w:pPr>
              <w:pStyle w:val="139"/>
              <w:spacing w:line="240" w:lineRule="auto"/>
              <w:ind w:firstLine="0" w:firstLineChars="0"/>
              <w:jc w:val="center"/>
              <w:rPr>
                <w:rFonts w:ascii="宋体" w:hAnsi="宋体" w:cs="宋体"/>
                <w:b/>
                <w:kern w:val="0"/>
                <w:sz w:val="21"/>
                <w:szCs w:val="21"/>
              </w:rPr>
            </w:pPr>
            <w:r>
              <w:rPr>
                <w:rFonts w:hint="eastAsia" w:ascii="宋体" w:hAnsi="宋体" w:cs="宋体"/>
                <w:b/>
                <w:kern w:val="0"/>
                <w:sz w:val="21"/>
                <w:szCs w:val="21"/>
              </w:rPr>
              <w:t>计划时间</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9"/>
              <w:spacing w:line="240" w:lineRule="auto"/>
              <w:ind w:firstLine="0" w:firstLineChars="0"/>
              <w:jc w:val="center"/>
              <w:rPr>
                <w:rFonts w:ascii="宋体" w:hAnsi="宋体" w:cs="宋体"/>
                <w:b/>
                <w:kern w:val="0"/>
                <w:sz w:val="21"/>
                <w:szCs w:val="21"/>
              </w:rPr>
            </w:pPr>
            <w:r>
              <w:rPr>
                <w:rFonts w:hint="eastAsia" w:ascii="宋体" w:hAnsi="宋体" w:cs="宋体"/>
                <w:b/>
                <w:kern w:val="0"/>
                <w:sz w:val="21"/>
                <w:szCs w:val="21"/>
              </w:rPr>
              <w:t>节点完成</w:t>
            </w:r>
          </w:p>
          <w:p>
            <w:pPr>
              <w:pStyle w:val="139"/>
              <w:spacing w:line="240" w:lineRule="auto"/>
              <w:ind w:firstLine="0" w:firstLineChars="0"/>
              <w:jc w:val="center"/>
              <w:rPr>
                <w:rFonts w:ascii="宋体" w:hAnsi="宋体" w:cs="宋体"/>
                <w:b/>
                <w:kern w:val="0"/>
                <w:sz w:val="21"/>
                <w:szCs w:val="21"/>
              </w:rPr>
            </w:pPr>
            <w:r>
              <w:rPr>
                <w:rFonts w:hint="eastAsia" w:ascii="宋体" w:hAnsi="宋体" w:cs="宋体"/>
                <w:b/>
                <w:kern w:val="0"/>
                <w:sz w:val="21"/>
                <w:szCs w:val="21"/>
              </w:rPr>
              <w:t>计划时间</w:t>
            </w:r>
          </w:p>
        </w:tc>
        <w:tc>
          <w:tcPr>
            <w:tcW w:w="1014" w:type="dxa"/>
            <w:tcBorders>
              <w:top w:val="single" w:color="auto" w:sz="4" w:space="0"/>
              <w:left w:val="nil"/>
              <w:bottom w:val="single" w:color="auto" w:sz="4" w:space="0"/>
              <w:right w:val="single" w:color="auto" w:sz="4" w:space="0"/>
            </w:tcBorders>
            <w:shd w:val="clear" w:color="auto" w:fill="auto"/>
            <w:vAlign w:val="center"/>
          </w:tcPr>
          <w:p>
            <w:pPr>
              <w:pStyle w:val="139"/>
              <w:spacing w:line="240" w:lineRule="auto"/>
              <w:ind w:firstLine="0" w:firstLineChars="0"/>
              <w:jc w:val="center"/>
              <w:rPr>
                <w:rFonts w:ascii="宋体" w:hAnsi="宋体" w:cs="宋体"/>
                <w:b/>
                <w:kern w:val="0"/>
                <w:sz w:val="21"/>
                <w:szCs w:val="21"/>
              </w:rPr>
            </w:pPr>
            <w:r>
              <w:rPr>
                <w:rFonts w:hint="eastAsia" w:ascii="宋体" w:hAnsi="宋体" w:cs="宋体"/>
                <w:b/>
                <w:kern w:val="0"/>
                <w:sz w:val="21"/>
                <w:szCs w:val="21"/>
              </w:rPr>
              <w:t>备注</w:t>
            </w:r>
          </w:p>
        </w:tc>
      </w:tr>
      <w:tr>
        <w:tblPrEx>
          <w:tblCellMar>
            <w:top w:w="0" w:type="dxa"/>
            <w:left w:w="108" w:type="dxa"/>
            <w:bottom w:w="0" w:type="dxa"/>
            <w:right w:w="108" w:type="dxa"/>
          </w:tblCellMar>
        </w:tblPrEx>
        <w:trPr>
          <w:trHeight w:val="470" w:hRule="atLeast"/>
          <w:jc w:val="center"/>
        </w:trPr>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t>1</w:t>
            </w:r>
          </w:p>
        </w:tc>
        <w:tc>
          <w:tcPr>
            <w:tcW w:w="3051" w:type="dxa"/>
            <w:tcBorders>
              <w:top w:val="single" w:color="auto" w:sz="4" w:space="0"/>
              <w:left w:val="nil"/>
              <w:bottom w:val="single" w:color="auto" w:sz="4" w:space="0"/>
              <w:right w:val="single" w:color="auto" w:sz="4" w:space="0"/>
            </w:tcBorders>
            <w:shd w:val="clear" w:color="auto" w:fill="auto"/>
            <w:vAlign w:val="center"/>
          </w:tcPr>
          <w:p>
            <w:pPr>
              <w:pStyle w:val="139"/>
              <w:spacing w:line="240" w:lineRule="auto"/>
              <w:ind w:firstLine="0" w:firstLineChars="0"/>
              <w:rPr>
                <w:rFonts w:ascii="宋体" w:hAnsi="宋体" w:cs="宋体"/>
                <w:kern w:val="0"/>
                <w:sz w:val="21"/>
                <w:szCs w:val="21"/>
              </w:rPr>
            </w:pPr>
            <w:r>
              <w:rPr>
                <w:rFonts w:hint="eastAsia" w:ascii="宋体" w:hAnsi="宋体" w:cs="宋体"/>
                <w:kern w:val="0"/>
                <w:sz w:val="21"/>
                <w:szCs w:val="21"/>
              </w:rPr>
              <w:t>施工深化BIM模型创建与审核</w:t>
            </w:r>
          </w:p>
        </w:tc>
        <w:tc>
          <w:tcPr>
            <w:tcW w:w="1479" w:type="dxa"/>
            <w:tcBorders>
              <w:top w:val="single" w:color="auto" w:sz="4" w:space="0"/>
              <w:left w:val="single" w:color="auto" w:sz="4" w:space="0"/>
              <w:bottom w:val="single" w:color="auto" w:sz="4" w:space="0"/>
              <w:right w:val="single" w:color="auto" w:sz="4" w:space="0"/>
            </w:tcBorders>
            <w:shd w:val="clear" w:color="auto" w:fill="auto"/>
          </w:tcPr>
          <w:p>
            <w:pPr>
              <w:pStyle w:val="139"/>
              <w:spacing w:line="240" w:lineRule="auto"/>
              <w:ind w:firstLine="0" w:firstLineChars="0"/>
              <w:jc w:val="center"/>
              <w:rPr>
                <w:rFonts w:ascii="宋体" w:hAnsi="宋体" w:cs="宋体"/>
                <w:bCs/>
                <w:kern w:val="0"/>
                <w:sz w:val="21"/>
                <w:szCs w:val="21"/>
              </w:rPr>
            </w:pPr>
            <w:r>
              <w:rPr>
                <w:rFonts w:hint="eastAsia" w:ascii="宋体" w:hAnsi="宋体" w:cs="宋体"/>
                <w:bCs/>
                <w:kern w:val="0"/>
                <w:sz w:val="21"/>
                <w:szCs w:val="21"/>
              </w:rPr>
              <w:t>收到中标通知书</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9"/>
              <w:spacing w:line="240" w:lineRule="auto"/>
              <w:ind w:firstLine="0" w:firstLineChars="0"/>
              <w:rPr>
                <w:rFonts w:ascii="宋体" w:hAnsi="宋体" w:cs="宋体"/>
                <w:kern w:val="0"/>
                <w:sz w:val="21"/>
                <w:szCs w:val="21"/>
              </w:rPr>
            </w:pPr>
            <w:r>
              <w:rPr>
                <w:rFonts w:hint="eastAsia" w:ascii="宋体" w:hAnsi="宋体" w:cs="宋体"/>
                <w:kern w:val="0"/>
                <w:sz w:val="21"/>
                <w:szCs w:val="21"/>
              </w:rPr>
              <w:t>中标后一个月内</w:t>
            </w:r>
          </w:p>
        </w:tc>
        <w:tc>
          <w:tcPr>
            <w:tcW w:w="1014" w:type="dxa"/>
            <w:tcBorders>
              <w:top w:val="single" w:color="auto" w:sz="4" w:space="0"/>
              <w:left w:val="nil"/>
              <w:bottom w:val="single" w:color="auto" w:sz="4" w:space="0"/>
              <w:right w:val="single" w:color="auto" w:sz="4" w:space="0"/>
            </w:tcBorders>
            <w:shd w:val="clear" w:color="auto" w:fill="auto"/>
            <w:vAlign w:val="center"/>
          </w:tcPr>
          <w:p>
            <w:pPr>
              <w:pStyle w:val="139"/>
              <w:spacing w:line="240" w:lineRule="auto"/>
              <w:ind w:firstLine="0" w:firstLineChars="0"/>
              <w:rPr>
                <w:rFonts w:ascii="宋体" w:hAnsi="宋体" w:cs="宋体"/>
                <w:kern w:val="0"/>
                <w:sz w:val="21"/>
                <w:szCs w:val="21"/>
              </w:rPr>
            </w:pPr>
          </w:p>
        </w:tc>
      </w:tr>
      <w:tr>
        <w:tblPrEx>
          <w:tblCellMar>
            <w:top w:w="0" w:type="dxa"/>
            <w:left w:w="108" w:type="dxa"/>
            <w:bottom w:w="0" w:type="dxa"/>
            <w:right w:w="108" w:type="dxa"/>
          </w:tblCellMar>
        </w:tblPrEx>
        <w:trPr>
          <w:trHeight w:val="470" w:hRule="atLeast"/>
          <w:jc w:val="center"/>
        </w:trPr>
        <w:tc>
          <w:tcPr>
            <w:tcW w:w="5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2</w:t>
            </w:r>
          </w:p>
        </w:tc>
        <w:tc>
          <w:tcPr>
            <w:tcW w:w="3051" w:type="dxa"/>
            <w:tcBorders>
              <w:top w:val="single" w:color="auto" w:sz="4" w:space="0"/>
              <w:left w:val="nil"/>
              <w:bottom w:val="single" w:color="auto" w:sz="4" w:space="0"/>
              <w:right w:val="single" w:color="auto" w:sz="4" w:space="0"/>
            </w:tcBorders>
            <w:shd w:val="clear" w:color="auto" w:fill="auto"/>
            <w:vAlign w:val="center"/>
          </w:tcPr>
          <w:p>
            <w:pPr>
              <w:pStyle w:val="139"/>
              <w:spacing w:line="240" w:lineRule="auto"/>
              <w:ind w:firstLine="0" w:firstLineChars="0"/>
              <w:rPr>
                <w:rFonts w:ascii="宋体" w:hAnsi="宋体"/>
                <w:szCs w:val="21"/>
              </w:rPr>
            </w:pPr>
            <w:r>
              <w:rPr>
                <w:rFonts w:hint="eastAsia" w:ascii="宋体" w:hAnsi="宋体" w:cs="宋体"/>
                <w:kern w:val="0"/>
                <w:sz w:val="21"/>
                <w:szCs w:val="21"/>
              </w:rPr>
              <w:t>完成水蓄冷调试工作</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9"/>
              <w:spacing w:line="240" w:lineRule="auto"/>
              <w:ind w:firstLine="0" w:firstLineChars="0"/>
              <w:jc w:val="center"/>
              <w:rPr>
                <w:rFonts w:ascii="宋体" w:hAnsi="宋体" w:cs="宋体"/>
                <w:b/>
                <w:kern w:val="0"/>
                <w:sz w:val="21"/>
                <w:szCs w:val="21"/>
              </w:rPr>
            </w:pPr>
            <w:r>
              <w:rPr>
                <w:rFonts w:ascii="宋体" w:hAnsi="宋体" w:cs="宋体"/>
                <w:bCs/>
                <w:kern w:val="0"/>
                <w:sz w:val="21"/>
                <w:szCs w:val="21"/>
              </w:rPr>
              <w:t>202</w:t>
            </w:r>
            <w:r>
              <w:rPr>
                <w:rFonts w:hint="eastAsia" w:ascii="宋体" w:hAnsi="宋体" w:cs="宋体"/>
                <w:bCs/>
                <w:kern w:val="0"/>
                <w:sz w:val="21"/>
                <w:szCs w:val="21"/>
              </w:rPr>
              <w:t>5年1月</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9"/>
              <w:spacing w:line="240" w:lineRule="auto"/>
              <w:ind w:firstLine="0" w:firstLineChars="0"/>
              <w:jc w:val="center"/>
              <w:rPr>
                <w:rFonts w:ascii="宋体" w:hAnsi="宋体" w:cs="宋体"/>
                <w:kern w:val="0"/>
                <w:sz w:val="21"/>
                <w:szCs w:val="21"/>
              </w:rPr>
            </w:pPr>
            <w:r>
              <w:rPr>
                <w:rFonts w:hint="eastAsia" w:ascii="宋体" w:hAnsi="宋体" w:cs="宋体"/>
                <w:kern w:val="0"/>
                <w:sz w:val="21"/>
                <w:szCs w:val="21"/>
              </w:rPr>
              <w:t>2</w:t>
            </w:r>
            <w:r>
              <w:rPr>
                <w:rFonts w:ascii="宋体" w:hAnsi="宋体" w:cs="宋体"/>
                <w:kern w:val="0"/>
                <w:sz w:val="21"/>
                <w:szCs w:val="21"/>
              </w:rPr>
              <w:t>02</w:t>
            </w:r>
            <w:r>
              <w:rPr>
                <w:rFonts w:hint="eastAsia" w:ascii="宋体" w:hAnsi="宋体" w:cs="宋体"/>
                <w:kern w:val="0"/>
                <w:sz w:val="21"/>
                <w:szCs w:val="21"/>
              </w:rPr>
              <w:t>5年2月</w:t>
            </w:r>
          </w:p>
        </w:tc>
        <w:tc>
          <w:tcPr>
            <w:tcW w:w="1014" w:type="dxa"/>
            <w:tcBorders>
              <w:top w:val="single" w:color="auto" w:sz="4" w:space="0"/>
              <w:left w:val="nil"/>
              <w:bottom w:val="single" w:color="auto" w:sz="4" w:space="0"/>
              <w:right w:val="single" w:color="auto" w:sz="4" w:space="0"/>
            </w:tcBorders>
            <w:shd w:val="clear" w:color="auto" w:fill="auto"/>
            <w:vAlign w:val="center"/>
          </w:tcPr>
          <w:p>
            <w:pPr>
              <w:pStyle w:val="139"/>
              <w:spacing w:line="240" w:lineRule="auto"/>
              <w:ind w:firstLine="0" w:firstLineChars="0"/>
              <w:rPr>
                <w:rFonts w:ascii="宋体" w:hAnsi="宋体" w:cs="宋体"/>
                <w:kern w:val="0"/>
                <w:sz w:val="21"/>
                <w:szCs w:val="21"/>
              </w:rPr>
            </w:pPr>
          </w:p>
        </w:tc>
        <w:bookmarkStart w:id="385" w:name="工期"/>
      </w:tr>
      <w:bookmarkEnd w:id="385"/>
    </w:tbl>
    <w:p>
      <w:pPr>
        <w:autoSpaceDE w:val="0"/>
        <w:autoSpaceDN w:val="0"/>
        <w:snapToGrid w:val="0"/>
        <w:spacing w:line="440" w:lineRule="exact"/>
        <w:ind w:firstLine="420" w:firstLineChars="200"/>
        <w:rPr>
          <w:rFonts w:ascii="宋体" w:hAnsi="宋体"/>
          <w:color w:val="000000"/>
          <w:szCs w:val="21"/>
        </w:rPr>
      </w:pPr>
      <w:r>
        <w:rPr>
          <w:rFonts w:ascii="宋体" w:hAnsi="宋体"/>
          <w:color w:val="000000"/>
          <w:szCs w:val="21"/>
        </w:rPr>
        <w:t>5</w:t>
      </w: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发包人欢迎各投标单位根据企业自身实际能力，在施工组织和施工方法合理、可行的前提下，对工程的工期进行优化，提出相应缩短工期的投标文件。</w:t>
      </w:r>
    </w:p>
    <w:p>
      <w:pPr>
        <w:autoSpaceDE w:val="0"/>
        <w:autoSpaceDN w:val="0"/>
        <w:snapToGrid w:val="0"/>
        <w:spacing w:line="440" w:lineRule="exact"/>
        <w:ind w:firstLine="420" w:firstLineChars="200"/>
      </w:pPr>
      <w:r>
        <w:rPr>
          <w:rFonts w:ascii="宋体" w:hAnsi="宋体"/>
          <w:color w:val="000000"/>
          <w:szCs w:val="21"/>
        </w:rPr>
        <w:t>5</w:t>
      </w: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承包人因自身原因而加班赶工，其费用在投标报价中综合考虑。</w:t>
      </w:r>
    </w:p>
    <w:p>
      <w:pPr>
        <w:autoSpaceDE w:val="0"/>
        <w:autoSpaceDN w:val="0"/>
        <w:snapToGrid w:val="0"/>
        <w:spacing w:line="440" w:lineRule="exact"/>
        <w:ind w:firstLine="420" w:firstLineChars="200"/>
        <w:rPr>
          <w:rFonts w:ascii="宋体" w:hAnsi="宋体"/>
          <w:color w:val="000000"/>
          <w:szCs w:val="21"/>
        </w:rPr>
      </w:pPr>
      <w:r>
        <w:rPr>
          <w:rFonts w:ascii="宋体" w:hAnsi="宋体"/>
          <w:color w:val="000000"/>
          <w:szCs w:val="21"/>
        </w:rPr>
        <w:t>5</w:t>
      </w:r>
      <w:r>
        <w:rPr>
          <w:rFonts w:hint="eastAsia" w:ascii="宋体" w:hAnsi="宋体"/>
          <w:color w:val="000000"/>
          <w:szCs w:val="21"/>
        </w:rPr>
        <w:t>.</w:t>
      </w:r>
      <w:r>
        <w:rPr>
          <w:rFonts w:ascii="宋体" w:hAnsi="宋体"/>
          <w:color w:val="000000"/>
          <w:szCs w:val="21"/>
        </w:rPr>
        <w:t>4</w:t>
      </w:r>
      <w:r>
        <w:rPr>
          <w:rFonts w:hint="eastAsia" w:ascii="宋体" w:hAnsi="宋体"/>
          <w:szCs w:val="21"/>
        </w:rPr>
        <w:t>因征地、拆迁或</w:t>
      </w:r>
      <w:r>
        <w:rPr>
          <w:rFonts w:hint="eastAsia" w:ascii="宋体" w:hAnsi="宋体"/>
          <w:color w:val="000000"/>
          <w:szCs w:val="21"/>
        </w:rPr>
        <w:t>因不可抗力的原因造成的工期延误，在得到监理工程师和发包人的认可后，工期可相应顺延，双方办理同意顺延工期手续。</w:t>
      </w:r>
      <w:r>
        <w:rPr>
          <w:rFonts w:hint="eastAsia" w:ascii="宋体" w:hAnsi="宋体"/>
          <w:szCs w:val="21"/>
        </w:rPr>
        <w:t>工期延长不增加费用。</w:t>
      </w:r>
    </w:p>
    <w:p>
      <w:pPr>
        <w:pStyle w:val="2"/>
        <w:spacing w:line="440" w:lineRule="exact"/>
        <w:ind w:left="0" w:leftChars="0" w:firstLine="420" w:firstLineChars="200"/>
      </w:pPr>
      <w:r>
        <w:rPr>
          <w:rFonts w:ascii="宋体" w:hAnsi="宋体"/>
        </w:rPr>
        <w:t>5</w:t>
      </w:r>
      <w:r>
        <w:rPr>
          <w:rFonts w:hint="eastAsia" w:ascii="宋体" w:hAnsi="宋体"/>
        </w:rPr>
        <w:t>.</w:t>
      </w:r>
      <w:r>
        <w:rPr>
          <w:rFonts w:ascii="宋体" w:hAnsi="宋体"/>
        </w:rPr>
        <w:t>5</w:t>
      </w:r>
      <w:r>
        <w:rPr>
          <w:rFonts w:hint="eastAsia" w:ascii="宋体" w:hAnsi="宋体"/>
          <w:color w:val="000000"/>
        </w:rPr>
        <w:t>因承包人的原因造成工期或里程碑节点延误的，按合同相关条款执行。因发包人原因造成工期延误的，工期相应后延。</w:t>
      </w:r>
    </w:p>
    <w:p>
      <w:pPr>
        <w:spacing w:line="440" w:lineRule="exact"/>
        <w:ind w:firstLine="420" w:firstLineChars="200"/>
        <w:rPr>
          <w:rFonts w:ascii="宋体" w:hAnsi="宋体"/>
        </w:rPr>
      </w:pPr>
      <w:r>
        <w:rPr>
          <w:rFonts w:hint="eastAsia" w:ascii="宋体" w:hAnsi="宋体"/>
          <w:szCs w:val="21"/>
        </w:rPr>
        <w:t>5</w:t>
      </w:r>
      <w:r>
        <w:rPr>
          <w:rFonts w:ascii="宋体" w:hAnsi="宋体"/>
          <w:szCs w:val="21"/>
        </w:rPr>
        <w:t>.6</w:t>
      </w:r>
      <w:r>
        <w:rPr>
          <w:rFonts w:hint="eastAsia" w:ascii="宋体" w:hAnsi="宋体"/>
          <w:szCs w:val="21"/>
        </w:rPr>
        <w:t>除非</w:t>
      </w:r>
      <w:r>
        <w:rPr>
          <w:rFonts w:hint="eastAsia" w:ascii="宋体" w:hAnsi="宋体" w:cs="宋体"/>
          <w:szCs w:val="21"/>
        </w:rPr>
        <w:t>合同有特殊说明，否则，工期与节点工期应按照日历天数计算，不得扣除其中所包含的任何假期、休息日及各相关专业工程所需的施工时间。承包人按照发包人指令所完成与本合同工程相关的零星、辅助、临时工程时间均包含在合同约定的工期内。</w:t>
      </w:r>
    </w:p>
    <w:p>
      <w:pPr>
        <w:spacing w:line="440" w:lineRule="exact"/>
        <w:rPr>
          <w:rFonts w:ascii="宋体" w:hAnsi="宋体"/>
          <w:b/>
          <w:bCs/>
          <w:szCs w:val="21"/>
        </w:rPr>
      </w:pPr>
      <w:r>
        <w:rPr>
          <w:rFonts w:hint="eastAsia" w:ascii="宋体" w:hAnsi="宋体"/>
          <w:b/>
          <w:bCs/>
          <w:szCs w:val="21"/>
        </w:rPr>
        <w:t>6</w:t>
      </w:r>
      <w:r>
        <w:rPr>
          <w:rFonts w:ascii="宋体" w:hAnsi="宋体"/>
          <w:b/>
          <w:bCs/>
          <w:szCs w:val="21"/>
        </w:rPr>
        <w:t>.</w:t>
      </w:r>
      <w:r>
        <w:rPr>
          <w:rFonts w:hint="eastAsia" w:ascii="宋体" w:hAnsi="宋体"/>
          <w:b/>
          <w:bCs/>
          <w:szCs w:val="21"/>
        </w:rPr>
        <w:t>拟派驻本工程项目机构主要管理人员要求</w:t>
      </w:r>
    </w:p>
    <w:p>
      <w:pPr>
        <w:spacing w:line="440" w:lineRule="exact"/>
        <w:ind w:firstLine="420" w:firstLineChars="200"/>
        <w:rPr>
          <w:rFonts w:ascii="宋体" w:hAnsi="宋体" w:cs="宋体"/>
          <w:szCs w:val="21"/>
        </w:rPr>
      </w:pPr>
      <w:r>
        <w:rPr>
          <w:rFonts w:hint="eastAsia" w:ascii="宋体" w:hAnsi="宋体"/>
          <w:szCs w:val="21"/>
        </w:rPr>
        <w:t>6</w:t>
      </w:r>
      <w:r>
        <w:rPr>
          <w:rFonts w:ascii="宋体" w:hAnsi="宋体"/>
          <w:szCs w:val="21"/>
        </w:rPr>
        <w:t>.1</w:t>
      </w:r>
      <w:r>
        <w:rPr>
          <w:rFonts w:hint="eastAsia" w:ascii="宋体" w:hAnsi="宋体" w:cs="宋体"/>
          <w:szCs w:val="21"/>
        </w:rPr>
        <w:t>施工管理人员资质数量等要求</w:t>
      </w:r>
    </w:p>
    <w:p>
      <w:pPr>
        <w:spacing w:line="440" w:lineRule="exact"/>
        <w:ind w:firstLine="420" w:firstLineChars="200"/>
        <w:rPr>
          <w:rFonts w:ascii="宋体" w:hAnsi="宋体" w:cs="宋体"/>
          <w:szCs w:val="21"/>
        </w:rPr>
      </w:pPr>
      <w:r>
        <w:rPr>
          <w:rFonts w:hint="eastAsia" w:ascii="宋体" w:hAnsi="宋体" w:cs="宋体"/>
          <w:szCs w:val="21"/>
        </w:rPr>
        <w:t>主要人员包括但不限于下表要求，并应提供相关资质证明文件：</w:t>
      </w:r>
    </w:p>
    <w:tbl>
      <w:tblPr>
        <w:tblStyle w:val="36"/>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1088"/>
        <w:gridCol w:w="4224"/>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vAlign w:val="center"/>
          </w:tcPr>
          <w:p>
            <w:pPr>
              <w:pStyle w:val="113"/>
              <w:ind w:firstLine="0" w:firstLineChars="0"/>
              <w:jc w:val="center"/>
              <w:outlineLvl w:val="3"/>
              <w:rPr>
                <w:rFonts w:hAnsi="宋体"/>
                <w:b/>
                <w:bCs/>
                <w:szCs w:val="21"/>
              </w:rPr>
            </w:pPr>
            <w:r>
              <w:rPr>
                <w:rFonts w:hint="eastAsia" w:hAnsi="宋体"/>
                <w:b/>
                <w:bCs/>
                <w:szCs w:val="21"/>
              </w:rPr>
              <w:t>岗位名称</w:t>
            </w:r>
          </w:p>
        </w:tc>
        <w:tc>
          <w:tcPr>
            <w:tcW w:w="1088" w:type="dxa"/>
            <w:vAlign w:val="center"/>
          </w:tcPr>
          <w:p>
            <w:pPr>
              <w:pStyle w:val="113"/>
              <w:ind w:firstLine="0" w:firstLineChars="0"/>
              <w:jc w:val="center"/>
              <w:outlineLvl w:val="3"/>
              <w:rPr>
                <w:rFonts w:hAnsi="宋体"/>
                <w:b/>
                <w:bCs/>
                <w:szCs w:val="21"/>
              </w:rPr>
            </w:pPr>
            <w:r>
              <w:rPr>
                <w:rFonts w:hint="eastAsia" w:hAnsi="宋体"/>
                <w:b/>
                <w:bCs/>
                <w:szCs w:val="21"/>
              </w:rPr>
              <w:t>数量（人</w:t>
            </w:r>
            <w:r>
              <w:rPr>
                <w:rFonts w:hAnsi="宋体"/>
                <w:b/>
                <w:bCs/>
                <w:szCs w:val="21"/>
              </w:rPr>
              <w:t>）</w:t>
            </w:r>
          </w:p>
        </w:tc>
        <w:tc>
          <w:tcPr>
            <w:tcW w:w="4224" w:type="dxa"/>
            <w:vAlign w:val="center"/>
          </w:tcPr>
          <w:p>
            <w:pPr>
              <w:pStyle w:val="113"/>
              <w:ind w:firstLine="0" w:firstLineChars="0"/>
              <w:jc w:val="center"/>
              <w:outlineLvl w:val="3"/>
              <w:rPr>
                <w:rFonts w:hAnsi="宋体"/>
                <w:b/>
                <w:bCs/>
                <w:szCs w:val="21"/>
              </w:rPr>
            </w:pPr>
            <w:r>
              <w:rPr>
                <w:rFonts w:hint="eastAsia" w:hAnsi="宋体"/>
                <w:b/>
                <w:bCs/>
                <w:szCs w:val="21"/>
              </w:rPr>
              <w:t>资质要求</w:t>
            </w:r>
          </w:p>
        </w:tc>
        <w:tc>
          <w:tcPr>
            <w:tcW w:w="1145" w:type="dxa"/>
            <w:vAlign w:val="center"/>
          </w:tcPr>
          <w:p>
            <w:pPr>
              <w:pStyle w:val="113"/>
              <w:ind w:firstLine="0" w:firstLineChars="0"/>
              <w:jc w:val="center"/>
              <w:outlineLvl w:val="3"/>
              <w:rPr>
                <w:rFonts w:hAnsi="宋体"/>
                <w:b/>
                <w:bCs/>
                <w:szCs w:val="21"/>
              </w:rPr>
            </w:pPr>
            <w:r>
              <w:rPr>
                <w:rFonts w:hint="eastAsia" w:hAnsi="宋体"/>
                <w:b/>
                <w:bCs/>
                <w:szCs w:val="21"/>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vAlign w:val="center"/>
          </w:tcPr>
          <w:p>
            <w:pPr>
              <w:pStyle w:val="113"/>
              <w:ind w:firstLine="0" w:firstLineChars="0"/>
              <w:outlineLvl w:val="3"/>
              <w:rPr>
                <w:rFonts w:hAnsi="宋体"/>
                <w:szCs w:val="21"/>
              </w:rPr>
            </w:pPr>
            <w:r>
              <w:rPr>
                <w:rFonts w:hint="eastAsia" w:hAnsi="宋体"/>
                <w:szCs w:val="21"/>
              </w:rPr>
              <w:t>项目经理</w:t>
            </w:r>
          </w:p>
        </w:tc>
        <w:tc>
          <w:tcPr>
            <w:tcW w:w="1088" w:type="dxa"/>
            <w:vAlign w:val="center"/>
          </w:tcPr>
          <w:p>
            <w:pPr>
              <w:pStyle w:val="113"/>
              <w:ind w:firstLine="0" w:firstLineChars="0"/>
              <w:jc w:val="center"/>
              <w:outlineLvl w:val="3"/>
              <w:rPr>
                <w:rFonts w:hAnsi="宋体"/>
                <w:szCs w:val="21"/>
              </w:rPr>
            </w:pPr>
            <w:r>
              <w:rPr>
                <w:rFonts w:hint="eastAsia" w:ascii="宋体" w:hAnsi="宋体" w:cs="宋体"/>
                <w:szCs w:val="21"/>
              </w:rPr>
              <w:t>1</w:t>
            </w:r>
          </w:p>
        </w:tc>
        <w:tc>
          <w:tcPr>
            <w:tcW w:w="4224" w:type="dxa"/>
          </w:tcPr>
          <w:p>
            <w:pPr>
              <w:pStyle w:val="113"/>
              <w:ind w:firstLine="0" w:firstLineChars="0"/>
              <w:outlineLvl w:val="3"/>
              <w:rPr>
                <w:rFonts w:hAnsi="宋体"/>
                <w:szCs w:val="21"/>
              </w:rPr>
            </w:pPr>
            <w:r>
              <w:rPr>
                <w:rFonts w:hint="eastAsia" w:ascii="宋体" w:hAnsi="宋体" w:cs="宋体"/>
                <w:szCs w:val="21"/>
              </w:rPr>
              <w:t>注册一级建造师（机电专业），</w:t>
            </w:r>
            <w:r>
              <w:rPr>
                <w:rFonts w:hint="eastAsia"/>
                <w:szCs w:val="21"/>
              </w:rPr>
              <w:t>具备5年及以上相关专业的工作经验</w:t>
            </w:r>
          </w:p>
        </w:tc>
        <w:tc>
          <w:tcPr>
            <w:tcW w:w="1145" w:type="dxa"/>
            <w:vAlign w:val="center"/>
          </w:tcPr>
          <w:p>
            <w:pPr>
              <w:pStyle w:val="113"/>
              <w:ind w:firstLine="0" w:firstLineChars="0"/>
              <w:outlineLvl w:val="3"/>
              <w:rPr>
                <w:rFonts w:hAnsi="宋体"/>
                <w:szCs w:val="21"/>
              </w:rPr>
            </w:pPr>
            <w:r>
              <w:rPr>
                <w:rFonts w:hint="eastAsia" w:hAnsi="宋体"/>
                <w:szCs w:val="21"/>
              </w:rPr>
              <w:t>常驻现场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vAlign w:val="center"/>
          </w:tcPr>
          <w:p>
            <w:pPr>
              <w:pStyle w:val="113"/>
              <w:ind w:firstLine="0" w:firstLineChars="0"/>
              <w:outlineLvl w:val="3"/>
              <w:rPr>
                <w:rFonts w:ascii="宋体" w:hAnsi="宋体" w:cs="宋体"/>
                <w:szCs w:val="21"/>
              </w:rPr>
            </w:pPr>
            <w:r>
              <w:rPr>
                <w:rFonts w:hint="eastAsia" w:hAnsi="宋体"/>
                <w:szCs w:val="21"/>
              </w:rPr>
              <w:t>技术负责人</w:t>
            </w:r>
          </w:p>
        </w:tc>
        <w:tc>
          <w:tcPr>
            <w:tcW w:w="1088" w:type="dxa"/>
            <w:vAlign w:val="center"/>
          </w:tcPr>
          <w:p>
            <w:pPr>
              <w:pStyle w:val="113"/>
              <w:ind w:firstLine="0" w:firstLineChars="0"/>
              <w:jc w:val="center"/>
              <w:outlineLvl w:val="3"/>
              <w:rPr>
                <w:rFonts w:ascii="宋体" w:hAnsi="宋体" w:cs="宋体"/>
                <w:szCs w:val="21"/>
              </w:rPr>
            </w:pPr>
            <w:r>
              <w:rPr>
                <w:rFonts w:hint="eastAsia" w:ascii="宋体" w:hAnsi="宋体" w:cs="宋体"/>
                <w:szCs w:val="21"/>
              </w:rPr>
              <w:t>1</w:t>
            </w:r>
          </w:p>
        </w:tc>
        <w:tc>
          <w:tcPr>
            <w:tcW w:w="4224" w:type="dxa"/>
          </w:tcPr>
          <w:p>
            <w:pPr>
              <w:pStyle w:val="113"/>
              <w:ind w:firstLine="0" w:firstLineChars="0"/>
              <w:outlineLvl w:val="3"/>
              <w:rPr>
                <w:rFonts w:ascii="宋体" w:hAnsi="宋体" w:cs="宋体"/>
                <w:szCs w:val="21"/>
              </w:rPr>
            </w:pPr>
            <w:r>
              <w:rPr>
                <w:rFonts w:hint="eastAsia" w:hAnsi="宋体"/>
                <w:szCs w:val="21"/>
              </w:rPr>
              <w:t>高级</w:t>
            </w:r>
            <w:r>
              <w:rPr>
                <w:rFonts w:hint="eastAsia" w:ascii="宋体" w:hAnsi="宋体" w:cs="宋体"/>
                <w:szCs w:val="21"/>
              </w:rPr>
              <w:t>（含）</w:t>
            </w:r>
            <w:r>
              <w:rPr>
                <w:rFonts w:hint="eastAsia" w:hAnsi="宋体"/>
                <w:szCs w:val="21"/>
              </w:rPr>
              <w:t>以上职称（机电专业），</w:t>
            </w:r>
            <w:r>
              <w:rPr>
                <w:rFonts w:hint="eastAsia"/>
                <w:szCs w:val="21"/>
              </w:rPr>
              <w:t>具备5年及以上相关专业的工作经验</w:t>
            </w:r>
          </w:p>
        </w:tc>
        <w:tc>
          <w:tcPr>
            <w:tcW w:w="1145" w:type="dxa"/>
            <w:vAlign w:val="center"/>
          </w:tcPr>
          <w:p>
            <w:pPr>
              <w:pStyle w:val="113"/>
              <w:ind w:firstLine="0" w:firstLineChars="0"/>
              <w:outlineLvl w:val="3"/>
              <w:rPr>
                <w:rFonts w:ascii="宋体" w:hAnsi="宋体" w:cs="宋体"/>
                <w:szCs w:val="21"/>
              </w:rPr>
            </w:pPr>
            <w:r>
              <w:rPr>
                <w:rFonts w:hint="eastAsia" w:ascii="宋体" w:hAnsi="宋体" w:cs="宋体"/>
                <w:szCs w:val="21"/>
              </w:rPr>
              <w:t>常驻现场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vAlign w:val="center"/>
          </w:tcPr>
          <w:p>
            <w:pPr>
              <w:pStyle w:val="113"/>
              <w:ind w:firstLine="0" w:firstLineChars="0"/>
              <w:outlineLvl w:val="3"/>
              <w:rPr>
                <w:rFonts w:ascii="宋体" w:hAnsi="宋体" w:cs="宋体"/>
                <w:szCs w:val="21"/>
              </w:rPr>
            </w:pPr>
            <w:r>
              <w:rPr>
                <w:rFonts w:hAnsi="宋体"/>
                <w:szCs w:val="21"/>
              </w:rPr>
              <w:t>项目副经理</w:t>
            </w:r>
          </w:p>
        </w:tc>
        <w:tc>
          <w:tcPr>
            <w:tcW w:w="1088" w:type="dxa"/>
            <w:vAlign w:val="center"/>
          </w:tcPr>
          <w:p>
            <w:pPr>
              <w:pStyle w:val="113"/>
              <w:ind w:firstLine="0" w:firstLineChars="0"/>
              <w:jc w:val="center"/>
              <w:outlineLvl w:val="3"/>
              <w:rPr>
                <w:rFonts w:ascii="宋体" w:hAnsi="宋体" w:cs="宋体"/>
                <w:szCs w:val="21"/>
              </w:rPr>
            </w:pPr>
            <w:r>
              <w:rPr>
                <w:rFonts w:hint="eastAsia" w:ascii="宋体" w:hAnsi="宋体" w:cs="宋体"/>
                <w:szCs w:val="21"/>
              </w:rPr>
              <w:t>1</w:t>
            </w:r>
          </w:p>
        </w:tc>
        <w:tc>
          <w:tcPr>
            <w:tcW w:w="4224" w:type="dxa"/>
          </w:tcPr>
          <w:p>
            <w:pPr>
              <w:pStyle w:val="113"/>
              <w:ind w:firstLine="0" w:firstLineChars="0"/>
              <w:outlineLvl w:val="3"/>
              <w:rPr>
                <w:rFonts w:ascii="宋体" w:hAnsi="宋体" w:cs="宋体"/>
                <w:szCs w:val="21"/>
              </w:rPr>
            </w:pPr>
            <w:r>
              <w:rPr>
                <w:rFonts w:hint="eastAsia" w:ascii="宋体" w:hAnsi="宋体" w:cs="宋体"/>
                <w:szCs w:val="21"/>
              </w:rPr>
              <w:t>1名</w:t>
            </w:r>
            <w:r>
              <w:rPr>
                <w:rFonts w:ascii="宋体" w:hAnsi="宋体" w:cs="宋体"/>
                <w:szCs w:val="21"/>
              </w:rPr>
              <w:t>中级</w:t>
            </w:r>
            <w:r>
              <w:rPr>
                <w:rFonts w:hint="eastAsia" w:ascii="宋体" w:hAnsi="宋体" w:cs="宋体"/>
                <w:szCs w:val="21"/>
              </w:rPr>
              <w:t>（含）</w:t>
            </w:r>
            <w:r>
              <w:rPr>
                <w:rFonts w:ascii="宋体" w:hAnsi="宋体" w:cs="宋体"/>
                <w:szCs w:val="21"/>
              </w:rPr>
              <w:t>以上职称</w:t>
            </w:r>
            <w:r>
              <w:rPr>
                <w:rFonts w:hint="eastAsia" w:ascii="宋体" w:hAnsi="宋体" w:cs="宋体"/>
                <w:szCs w:val="21"/>
              </w:rPr>
              <w:t>（</w:t>
            </w:r>
            <w:r>
              <w:rPr>
                <w:rFonts w:hint="eastAsia" w:hAnsi="宋体"/>
                <w:szCs w:val="21"/>
              </w:rPr>
              <w:t>房屋建筑工程专业</w:t>
            </w:r>
            <w:r>
              <w:rPr>
                <w:rFonts w:hint="eastAsia" w:ascii="宋体" w:hAnsi="宋体" w:cs="宋体"/>
                <w:szCs w:val="21"/>
              </w:rPr>
              <w:t>）。</w:t>
            </w:r>
          </w:p>
        </w:tc>
        <w:tc>
          <w:tcPr>
            <w:tcW w:w="1145" w:type="dxa"/>
            <w:vAlign w:val="center"/>
          </w:tcPr>
          <w:p>
            <w:pPr>
              <w:pStyle w:val="113"/>
              <w:ind w:firstLine="0" w:firstLineChars="0"/>
              <w:outlineLvl w:val="3"/>
              <w:rPr>
                <w:rFonts w:ascii="宋体" w:hAnsi="宋体" w:cs="宋体"/>
                <w:szCs w:val="21"/>
              </w:rPr>
            </w:pPr>
            <w:r>
              <w:rPr>
                <w:rFonts w:hint="eastAsia" w:ascii="宋体" w:hAnsi="宋体" w:cs="宋体"/>
                <w:szCs w:val="21"/>
              </w:rPr>
              <w:t>常驻现场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vAlign w:val="center"/>
          </w:tcPr>
          <w:p>
            <w:pPr>
              <w:pStyle w:val="113"/>
              <w:ind w:firstLine="0" w:firstLineChars="0"/>
              <w:outlineLvl w:val="3"/>
              <w:rPr>
                <w:rFonts w:ascii="宋体" w:hAnsi="宋体" w:cs="宋体"/>
                <w:szCs w:val="21"/>
              </w:rPr>
            </w:pPr>
            <w:r>
              <w:rPr>
                <w:rFonts w:hAnsi="宋体"/>
                <w:szCs w:val="21"/>
              </w:rPr>
              <w:t>安全经理</w:t>
            </w:r>
          </w:p>
        </w:tc>
        <w:tc>
          <w:tcPr>
            <w:tcW w:w="1088" w:type="dxa"/>
            <w:vAlign w:val="center"/>
          </w:tcPr>
          <w:p>
            <w:pPr>
              <w:pStyle w:val="113"/>
              <w:ind w:firstLine="0" w:firstLineChars="0"/>
              <w:jc w:val="center"/>
              <w:outlineLvl w:val="3"/>
              <w:rPr>
                <w:rFonts w:ascii="宋体" w:hAnsi="宋体" w:cs="宋体"/>
                <w:szCs w:val="21"/>
              </w:rPr>
            </w:pPr>
            <w:r>
              <w:rPr>
                <w:rFonts w:hint="eastAsia" w:ascii="宋体" w:hAnsi="宋体" w:cs="宋体"/>
                <w:szCs w:val="21"/>
              </w:rPr>
              <w:t>1</w:t>
            </w:r>
          </w:p>
        </w:tc>
        <w:tc>
          <w:tcPr>
            <w:tcW w:w="4224" w:type="dxa"/>
          </w:tcPr>
          <w:p>
            <w:pPr>
              <w:pStyle w:val="113"/>
              <w:ind w:firstLine="0" w:firstLineChars="0"/>
              <w:outlineLvl w:val="3"/>
              <w:rPr>
                <w:rFonts w:ascii="宋体" w:hAnsi="宋体" w:cs="宋体"/>
                <w:szCs w:val="21"/>
              </w:rPr>
            </w:pPr>
            <w:r>
              <w:t>须具有行政主管部门颁发的安全生产考核合格证（C 类）</w:t>
            </w:r>
            <w:r>
              <w:rPr>
                <w:rFonts w:hint="eastAsia"/>
              </w:rPr>
              <w:t>，</w:t>
            </w:r>
            <w:r>
              <w:rPr>
                <w:rFonts w:hint="eastAsia"/>
                <w:szCs w:val="21"/>
              </w:rPr>
              <w:t>且具备5年及以上相关专业的工作经验。</w:t>
            </w:r>
            <w:r>
              <w:rPr>
                <w:szCs w:val="21"/>
              </w:rPr>
              <w:t xml:space="preserve">  </w:t>
            </w:r>
          </w:p>
        </w:tc>
        <w:tc>
          <w:tcPr>
            <w:tcW w:w="1145" w:type="dxa"/>
            <w:vAlign w:val="center"/>
          </w:tcPr>
          <w:p>
            <w:pPr>
              <w:pStyle w:val="113"/>
              <w:ind w:firstLine="0" w:firstLineChars="0"/>
              <w:outlineLvl w:val="3"/>
              <w:rPr>
                <w:rFonts w:ascii="宋体" w:hAnsi="宋体" w:cs="宋体"/>
                <w:szCs w:val="21"/>
              </w:rPr>
            </w:pPr>
            <w:r>
              <w:rPr>
                <w:rFonts w:hint="eastAsia" w:ascii="宋体" w:hAnsi="宋体" w:cs="宋体"/>
                <w:szCs w:val="21"/>
              </w:rPr>
              <w:t>常驻现场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vAlign w:val="center"/>
          </w:tcPr>
          <w:p>
            <w:pPr>
              <w:pStyle w:val="126"/>
              <w:spacing w:before="30"/>
              <w:ind w:right="16" w:firstLine="0" w:firstLineChars="0"/>
              <w:jc w:val="both"/>
              <w:rPr>
                <w:sz w:val="21"/>
                <w:szCs w:val="21"/>
              </w:rPr>
            </w:pPr>
            <w:r>
              <w:rPr>
                <w:rFonts w:hint="eastAsia"/>
                <w:sz w:val="21"/>
                <w:szCs w:val="21"/>
              </w:rPr>
              <w:t>造价负责人</w:t>
            </w:r>
          </w:p>
        </w:tc>
        <w:tc>
          <w:tcPr>
            <w:tcW w:w="1088" w:type="dxa"/>
            <w:vAlign w:val="center"/>
          </w:tcPr>
          <w:p>
            <w:pPr>
              <w:pStyle w:val="113"/>
              <w:ind w:firstLine="0" w:firstLineChars="0"/>
              <w:jc w:val="center"/>
              <w:outlineLvl w:val="3"/>
              <w:rPr>
                <w:rFonts w:ascii="宋体" w:hAnsi="宋体" w:cs="宋体"/>
                <w:szCs w:val="21"/>
              </w:rPr>
            </w:pPr>
            <w:r>
              <w:rPr>
                <w:rFonts w:hint="eastAsia" w:ascii="宋体" w:hAnsi="宋体" w:cs="宋体"/>
                <w:szCs w:val="21"/>
              </w:rPr>
              <w:t>1</w:t>
            </w:r>
          </w:p>
        </w:tc>
        <w:tc>
          <w:tcPr>
            <w:tcW w:w="4224" w:type="dxa"/>
          </w:tcPr>
          <w:p>
            <w:pPr>
              <w:pStyle w:val="126"/>
              <w:spacing w:before="30"/>
              <w:ind w:firstLine="420"/>
              <w:rPr>
                <w:sz w:val="21"/>
                <w:szCs w:val="21"/>
              </w:rPr>
            </w:pPr>
            <w:r>
              <w:rPr>
                <w:rFonts w:hint="eastAsia"/>
                <w:sz w:val="21"/>
                <w:szCs w:val="21"/>
              </w:rPr>
              <w:t>中级或以上职称，且具备5年及以上相关专业的工作经验。</w:t>
            </w:r>
            <w:r>
              <w:rPr>
                <w:sz w:val="21"/>
                <w:szCs w:val="21"/>
              </w:rPr>
              <w:t xml:space="preserve">  </w:t>
            </w:r>
          </w:p>
        </w:tc>
        <w:tc>
          <w:tcPr>
            <w:tcW w:w="1145" w:type="dxa"/>
            <w:vAlign w:val="center"/>
          </w:tcPr>
          <w:p>
            <w:pPr>
              <w:pStyle w:val="113"/>
              <w:ind w:firstLine="0" w:firstLineChars="0"/>
              <w:outlineLvl w:val="3"/>
              <w:rPr>
                <w:rFonts w:ascii="宋体" w:hAnsi="宋体" w:cs="宋体"/>
                <w:szCs w:val="21"/>
              </w:rPr>
            </w:pPr>
            <w:r>
              <w:rPr>
                <w:rFonts w:hint="eastAsia" w:ascii="宋体" w:hAnsi="宋体" w:cs="宋体"/>
                <w:szCs w:val="21"/>
              </w:rPr>
              <w:t>常驻现场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vAlign w:val="center"/>
          </w:tcPr>
          <w:p>
            <w:pPr>
              <w:pStyle w:val="113"/>
              <w:ind w:firstLine="0" w:firstLineChars="0"/>
              <w:outlineLvl w:val="3"/>
              <w:rPr>
                <w:rFonts w:hAnsi="宋体"/>
                <w:szCs w:val="21"/>
                <w:lang w:eastAsia="zh-Hans"/>
              </w:rPr>
            </w:pPr>
            <w:r>
              <w:rPr>
                <w:rFonts w:hint="eastAsia" w:hAnsi="宋体"/>
                <w:szCs w:val="21"/>
                <w:lang w:eastAsia="zh-Hans"/>
              </w:rPr>
              <w:t>专职安全员</w:t>
            </w:r>
          </w:p>
        </w:tc>
        <w:tc>
          <w:tcPr>
            <w:tcW w:w="1088" w:type="dxa"/>
            <w:vAlign w:val="center"/>
          </w:tcPr>
          <w:p>
            <w:pPr>
              <w:pStyle w:val="113"/>
              <w:ind w:firstLine="0" w:firstLineChars="0"/>
              <w:jc w:val="center"/>
              <w:outlineLvl w:val="3"/>
              <w:rPr>
                <w:rFonts w:ascii="宋体" w:hAnsi="宋体" w:cs="宋体"/>
                <w:szCs w:val="21"/>
              </w:rPr>
            </w:pPr>
            <w:r>
              <w:rPr>
                <w:rFonts w:ascii="宋体" w:hAnsi="宋体" w:cs="宋体"/>
                <w:szCs w:val="21"/>
              </w:rPr>
              <w:t>1</w:t>
            </w:r>
          </w:p>
        </w:tc>
        <w:tc>
          <w:tcPr>
            <w:tcW w:w="4224" w:type="dxa"/>
          </w:tcPr>
          <w:p>
            <w:pPr>
              <w:pStyle w:val="113"/>
              <w:ind w:firstLine="0" w:firstLineChars="0"/>
              <w:outlineLvl w:val="3"/>
              <w:rPr>
                <w:rFonts w:ascii="宋体" w:hAnsi="宋体" w:cs="宋体"/>
                <w:szCs w:val="21"/>
              </w:rPr>
            </w:pPr>
            <w:r>
              <w:t>须具有行政主管部门颁发的安全生产考核合格证（C 类）</w:t>
            </w:r>
          </w:p>
        </w:tc>
        <w:tc>
          <w:tcPr>
            <w:tcW w:w="1145" w:type="dxa"/>
            <w:vAlign w:val="center"/>
          </w:tcPr>
          <w:p>
            <w:pPr>
              <w:pStyle w:val="113"/>
              <w:ind w:firstLine="0" w:firstLineChars="0"/>
              <w:outlineLvl w:val="3"/>
              <w:rPr>
                <w:rFonts w:ascii="宋体" w:hAnsi="宋体" w:cs="宋体"/>
                <w:szCs w:val="21"/>
              </w:rPr>
            </w:pPr>
            <w:r>
              <w:rPr>
                <w:rFonts w:hint="eastAsia" w:ascii="宋体" w:hAnsi="宋体" w:cs="宋体"/>
                <w:szCs w:val="21"/>
              </w:rPr>
              <w:t>常驻现场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vAlign w:val="center"/>
          </w:tcPr>
          <w:p>
            <w:pPr>
              <w:pStyle w:val="113"/>
              <w:ind w:firstLine="0" w:firstLineChars="0"/>
              <w:outlineLvl w:val="3"/>
              <w:rPr>
                <w:rFonts w:hAnsi="宋体"/>
                <w:szCs w:val="21"/>
                <w:lang w:eastAsia="zh-Hans"/>
              </w:rPr>
            </w:pPr>
            <w:r>
              <w:rPr>
                <w:rFonts w:hint="eastAsia" w:hAnsi="宋体"/>
                <w:szCs w:val="21"/>
                <w:lang w:eastAsia="zh-Hans"/>
              </w:rPr>
              <w:t>安全员</w:t>
            </w:r>
          </w:p>
        </w:tc>
        <w:tc>
          <w:tcPr>
            <w:tcW w:w="1088" w:type="dxa"/>
            <w:vAlign w:val="center"/>
          </w:tcPr>
          <w:p>
            <w:pPr>
              <w:pStyle w:val="113"/>
              <w:ind w:firstLine="0" w:firstLineChars="0"/>
              <w:jc w:val="center"/>
              <w:outlineLvl w:val="3"/>
              <w:rPr>
                <w:rFonts w:ascii="宋体" w:hAnsi="宋体" w:cs="宋体"/>
                <w:szCs w:val="21"/>
                <w:lang w:eastAsia="zh-Hans"/>
              </w:rPr>
            </w:pPr>
            <w:r>
              <w:rPr>
                <w:rFonts w:hint="eastAsia" w:ascii="宋体" w:hAnsi="宋体" w:cs="宋体"/>
                <w:szCs w:val="21"/>
                <w:lang w:eastAsia="zh-Hans"/>
              </w:rPr>
              <w:t>满足相关规定</w:t>
            </w:r>
          </w:p>
        </w:tc>
        <w:tc>
          <w:tcPr>
            <w:tcW w:w="4224" w:type="dxa"/>
            <w:vAlign w:val="center"/>
          </w:tcPr>
          <w:p>
            <w:pPr>
              <w:pStyle w:val="113"/>
              <w:ind w:firstLine="0" w:firstLineChars="0"/>
              <w:outlineLvl w:val="3"/>
              <w:rPr>
                <w:rFonts w:ascii="宋体" w:hAnsi="宋体" w:cs="宋体"/>
                <w:szCs w:val="21"/>
              </w:rPr>
            </w:pPr>
            <w:r>
              <w:rPr>
                <w:rFonts w:hint="eastAsia" w:ascii="宋体" w:hAnsi="宋体" w:cs="宋体"/>
                <w:szCs w:val="21"/>
                <w:lang w:eastAsia="zh-Hans"/>
              </w:rPr>
              <w:t>满足相关规定</w:t>
            </w:r>
          </w:p>
        </w:tc>
        <w:tc>
          <w:tcPr>
            <w:tcW w:w="1145" w:type="dxa"/>
            <w:vAlign w:val="center"/>
          </w:tcPr>
          <w:p>
            <w:pPr>
              <w:pStyle w:val="113"/>
              <w:ind w:firstLine="0" w:firstLineChars="0"/>
              <w:outlineLvl w:val="3"/>
              <w:rPr>
                <w:rFonts w:ascii="宋体" w:hAnsi="宋体" w:cs="宋体"/>
                <w:szCs w:val="21"/>
              </w:rPr>
            </w:pPr>
            <w:r>
              <w:rPr>
                <w:rFonts w:hint="eastAsia" w:ascii="宋体" w:hAnsi="宋体" w:cs="宋体"/>
                <w:szCs w:val="21"/>
              </w:rPr>
              <w:t>常驻现场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vMerge w:val="restart"/>
            <w:vAlign w:val="center"/>
          </w:tcPr>
          <w:p>
            <w:pPr>
              <w:pStyle w:val="113"/>
              <w:ind w:firstLine="0" w:firstLineChars="0"/>
              <w:outlineLvl w:val="3"/>
              <w:rPr>
                <w:rFonts w:hAnsi="宋体"/>
                <w:szCs w:val="21"/>
              </w:rPr>
            </w:pPr>
            <w:r>
              <w:rPr>
                <w:rFonts w:hint="eastAsia" w:hAnsi="宋体"/>
                <w:szCs w:val="21"/>
              </w:rPr>
              <w:t>专业工程师</w:t>
            </w:r>
          </w:p>
        </w:tc>
        <w:tc>
          <w:tcPr>
            <w:tcW w:w="1088" w:type="dxa"/>
            <w:vAlign w:val="center"/>
          </w:tcPr>
          <w:p>
            <w:pPr>
              <w:pStyle w:val="113"/>
              <w:ind w:firstLine="0" w:firstLineChars="0"/>
              <w:jc w:val="center"/>
              <w:outlineLvl w:val="3"/>
              <w:rPr>
                <w:rFonts w:ascii="宋体" w:hAnsi="宋体" w:cs="宋体"/>
                <w:szCs w:val="21"/>
              </w:rPr>
            </w:pPr>
            <w:r>
              <w:rPr>
                <w:rFonts w:hint="eastAsia" w:ascii="宋体" w:hAnsi="宋体" w:cs="宋体"/>
                <w:szCs w:val="21"/>
              </w:rPr>
              <w:t>1</w:t>
            </w:r>
          </w:p>
        </w:tc>
        <w:tc>
          <w:tcPr>
            <w:tcW w:w="4224" w:type="dxa"/>
          </w:tcPr>
          <w:p>
            <w:pPr>
              <w:pStyle w:val="113"/>
              <w:ind w:firstLine="0" w:firstLineChars="0"/>
              <w:outlineLvl w:val="3"/>
              <w:rPr>
                <w:rFonts w:ascii="宋体" w:hAnsi="宋体" w:cs="宋体"/>
                <w:szCs w:val="21"/>
              </w:rPr>
            </w:pPr>
            <w:r>
              <w:rPr>
                <w:rFonts w:ascii="宋体" w:hAnsi="宋体" w:cs="宋体"/>
                <w:szCs w:val="21"/>
              </w:rPr>
              <w:t>中级</w:t>
            </w:r>
            <w:r>
              <w:rPr>
                <w:rFonts w:hint="eastAsia" w:ascii="宋体" w:hAnsi="宋体" w:cs="宋体"/>
                <w:szCs w:val="21"/>
              </w:rPr>
              <w:t>（含）</w:t>
            </w:r>
            <w:r>
              <w:rPr>
                <w:rFonts w:ascii="宋体" w:hAnsi="宋体" w:cs="宋体"/>
                <w:szCs w:val="21"/>
              </w:rPr>
              <w:t>以上职称</w:t>
            </w:r>
            <w:r>
              <w:rPr>
                <w:rFonts w:hint="eastAsia" w:ascii="宋体" w:hAnsi="宋体" w:cs="宋体"/>
                <w:szCs w:val="21"/>
              </w:rPr>
              <w:t>（房建</w:t>
            </w:r>
            <w:r>
              <w:rPr>
                <w:rFonts w:hint="eastAsia" w:hAnsi="宋体"/>
                <w:szCs w:val="21"/>
              </w:rPr>
              <w:t>专业</w:t>
            </w:r>
            <w:r>
              <w:rPr>
                <w:rFonts w:hint="eastAsia" w:ascii="宋体" w:hAnsi="宋体" w:cs="宋体"/>
                <w:szCs w:val="21"/>
              </w:rPr>
              <w:t>）</w:t>
            </w:r>
          </w:p>
        </w:tc>
        <w:tc>
          <w:tcPr>
            <w:tcW w:w="1145" w:type="dxa"/>
            <w:vAlign w:val="center"/>
          </w:tcPr>
          <w:p>
            <w:pPr>
              <w:pStyle w:val="113"/>
              <w:ind w:firstLine="0" w:firstLineChars="0"/>
              <w:outlineLvl w:val="3"/>
              <w:rPr>
                <w:rFonts w:ascii="宋体" w:hAnsi="宋体" w:cs="宋体"/>
                <w:szCs w:val="21"/>
              </w:rPr>
            </w:pPr>
            <w:r>
              <w:rPr>
                <w:rFonts w:hint="eastAsia" w:ascii="宋体" w:hAnsi="宋体" w:cs="宋体"/>
                <w:szCs w:val="21"/>
              </w:rPr>
              <w:t>常驻现场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vMerge w:val="continue"/>
            <w:vAlign w:val="center"/>
          </w:tcPr>
          <w:p>
            <w:pPr>
              <w:pStyle w:val="113"/>
              <w:ind w:firstLine="0" w:firstLineChars="0"/>
              <w:outlineLvl w:val="3"/>
              <w:rPr>
                <w:rFonts w:hAnsi="宋体"/>
                <w:szCs w:val="21"/>
              </w:rPr>
            </w:pPr>
          </w:p>
        </w:tc>
        <w:tc>
          <w:tcPr>
            <w:tcW w:w="1088" w:type="dxa"/>
            <w:vAlign w:val="center"/>
          </w:tcPr>
          <w:p>
            <w:pPr>
              <w:pStyle w:val="113"/>
              <w:ind w:firstLine="0" w:firstLineChars="0"/>
              <w:jc w:val="center"/>
              <w:outlineLvl w:val="3"/>
              <w:rPr>
                <w:rFonts w:ascii="宋体" w:hAnsi="宋体" w:cs="宋体"/>
                <w:szCs w:val="21"/>
              </w:rPr>
            </w:pPr>
            <w:r>
              <w:rPr>
                <w:rFonts w:hint="eastAsia" w:ascii="宋体" w:hAnsi="宋体" w:cs="宋体"/>
                <w:szCs w:val="21"/>
              </w:rPr>
              <w:t>1</w:t>
            </w:r>
          </w:p>
        </w:tc>
        <w:tc>
          <w:tcPr>
            <w:tcW w:w="4224" w:type="dxa"/>
          </w:tcPr>
          <w:p>
            <w:pPr>
              <w:pStyle w:val="113"/>
              <w:ind w:firstLine="0" w:firstLineChars="0"/>
              <w:outlineLvl w:val="3"/>
              <w:rPr>
                <w:rFonts w:ascii="宋体" w:hAnsi="宋体" w:cs="宋体"/>
                <w:szCs w:val="21"/>
              </w:rPr>
            </w:pPr>
            <w:r>
              <w:rPr>
                <w:rFonts w:ascii="宋体" w:hAnsi="宋体" w:cs="宋体"/>
                <w:szCs w:val="21"/>
              </w:rPr>
              <w:t>中级</w:t>
            </w:r>
            <w:r>
              <w:rPr>
                <w:rFonts w:hint="eastAsia" w:ascii="宋体" w:hAnsi="宋体" w:cs="宋体"/>
                <w:szCs w:val="21"/>
              </w:rPr>
              <w:t>（含）</w:t>
            </w:r>
            <w:r>
              <w:rPr>
                <w:rFonts w:ascii="宋体" w:hAnsi="宋体" w:cs="宋体"/>
                <w:szCs w:val="21"/>
              </w:rPr>
              <w:t>以上职称</w:t>
            </w:r>
            <w:r>
              <w:rPr>
                <w:rFonts w:hint="eastAsia" w:ascii="宋体" w:hAnsi="宋体" w:cs="宋体"/>
                <w:szCs w:val="21"/>
              </w:rPr>
              <w:t>（</w:t>
            </w:r>
            <w:r>
              <w:rPr>
                <w:rFonts w:hint="eastAsia" w:hAnsi="宋体"/>
                <w:szCs w:val="21"/>
              </w:rPr>
              <w:t>电气专业</w:t>
            </w:r>
            <w:r>
              <w:rPr>
                <w:rFonts w:hint="eastAsia" w:ascii="宋体" w:hAnsi="宋体" w:cs="宋体"/>
                <w:szCs w:val="21"/>
              </w:rPr>
              <w:t>），具备3年及以上工作经验。</w:t>
            </w:r>
          </w:p>
        </w:tc>
        <w:tc>
          <w:tcPr>
            <w:tcW w:w="1145" w:type="dxa"/>
            <w:vAlign w:val="center"/>
          </w:tcPr>
          <w:p>
            <w:pPr>
              <w:pStyle w:val="113"/>
              <w:ind w:firstLine="0" w:firstLineChars="0"/>
              <w:outlineLvl w:val="3"/>
              <w:rPr>
                <w:rFonts w:ascii="宋体" w:hAnsi="宋体" w:cs="宋体"/>
                <w:szCs w:val="21"/>
              </w:rPr>
            </w:pPr>
            <w:r>
              <w:rPr>
                <w:rFonts w:hint="eastAsia" w:ascii="宋体" w:hAnsi="宋体" w:cs="宋体"/>
                <w:szCs w:val="21"/>
              </w:rPr>
              <w:t>常驻现场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vMerge w:val="continue"/>
            <w:vAlign w:val="center"/>
          </w:tcPr>
          <w:p>
            <w:pPr>
              <w:pStyle w:val="113"/>
              <w:ind w:firstLine="0" w:firstLineChars="0"/>
              <w:outlineLvl w:val="3"/>
              <w:rPr>
                <w:rFonts w:hAnsi="宋体"/>
                <w:szCs w:val="21"/>
              </w:rPr>
            </w:pPr>
          </w:p>
        </w:tc>
        <w:tc>
          <w:tcPr>
            <w:tcW w:w="1088" w:type="dxa"/>
            <w:vAlign w:val="center"/>
          </w:tcPr>
          <w:p>
            <w:pPr>
              <w:pStyle w:val="113"/>
              <w:ind w:firstLine="0" w:firstLineChars="0"/>
              <w:jc w:val="center"/>
              <w:outlineLvl w:val="3"/>
              <w:rPr>
                <w:rFonts w:ascii="宋体" w:hAnsi="宋体" w:cs="宋体"/>
                <w:szCs w:val="21"/>
              </w:rPr>
            </w:pPr>
            <w:r>
              <w:rPr>
                <w:rFonts w:hint="eastAsia" w:ascii="宋体" w:hAnsi="宋体" w:cs="宋体"/>
                <w:szCs w:val="21"/>
              </w:rPr>
              <w:t>2</w:t>
            </w:r>
          </w:p>
        </w:tc>
        <w:tc>
          <w:tcPr>
            <w:tcW w:w="4224" w:type="dxa"/>
          </w:tcPr>
          <w:p>
            <w:pPr>
              <w:pStyle w:val="113"/>
              <w:ind w:firstLine="0" w:firstLineChars="0"/>
              <w:outlineLvl w:val="3"/>
              <w:rPr>
                <w:rFonts w:ascii="宋体" w:hAnsi="宋体" w:cs="宋体"/>
                <w:szCs w:val="21"/>
              </w:rPr>
            </w:pPr>
            <w:r>
              <w:rPr>
                <w:rFonts w:ascii="宋体" w:hAnsi="宋体" w:cs="宋体"/>
                <w:szCs w:val="21"/>
              </w:rPr>
              <w:t>中级</w:t>
            </w:r>
            <w:r>
              <w:rPr>
                <w:rFonts w:hint="eastAsia" w:ascii="宋体" w:hAnsi="宋体" w:cs="宋体"/>
                <w:szCs w:val="21"/>
              </w:rPr>
              <w:t>（含）</w:t>
            </w:r>
            <w:r>
              <w:rPr>
                <w:rFonts w:ascii="宋体" w:hAnsi="宋体" w:cs="宋体"/>
                <w:szCs w:val="21"/>
              </w:rPr>
              <w:t>以上职称</w:t>
            </w:r>
            <w:r>
              <w:rPr>
                <w:rFonts w:hint="eastAsia" w:ascii="宋体" w:hAnsi="宋体" w:cs="宋体"/>
                <w:szCs w:val="21"/>
              </w:rPr>
              <w:t>（暖通</w:t>
            </w:r>
            <w:r>
              <w:rPr>
                <w:rFonts w:hint="eastAsia" w:hAnsi="宋体"/>
                <w:szCs w:val="21"/>
              </w:rPr>
              <w:t>专业</w:t>
            </w:r>
            <w:r>
              <w:rPr>
                <w:rFonts w:hint="eastAsia" w:ascii="宋体" w:hAnsi="宋体" w:cs="宋体"/>
                <w:szCs w:val="21"/>
              </w:rPr>
              <w:t>），具备3年及以上工作经验。</w:t>
            </w:r>
          </w:p>
        </w:tc>
        <w:tc>
          <w:tcPr>
            <w:tcW w:w="1145" w:type="dxa"/>
            <w:vAlign w:val="center"/>
          </w:tcPr>
          <w:p>
            <w:pPr>
              <w:pStyle w:val="113"/>
              <w:ind w:firstLine="0" w:firstLineChars="0"/>
              <w:outlineLvl w:val="3"/>
              <w:rPr>
                <w:rFonts w:ascii="宋体" w:hAnsi="宋体" w:cs="宋体"/>
                <w:szCs w:val="21"/>
              </w:rPr>
            </w:pPr>
            <w:r>
              <w:rPr>
                <w:rFonts w:hint="eastAsia" w:ascii="宋体" w:hAnsi="宋体" w:cs="宋体"/>
                <w:szCs w:val="21"/>
              </w:rPr>
              <w:t>常驻现场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vAlign w:val="center"/>
          </w:tcPr>
          <w:p>
            <w:pPr>
              <w:pStyle w:val="113"/>
              <w:ind w:firstLine="0" w:firstLineChars="0"/>
              <w:outlineLvl w:val="3"/>
              <w:rPr>
                <w:rFonts w:hAnsi="宋体"/>
                <w:szCs w:val="21"/>
              </w:rPr>
            </w:pPr>
            <w:r>
              <w:rPr>
                <w:rFonts w:hint="eastAsia" w:hAnsi="宋体"/>
                <w:szCs w:val="21"/>
              </w:rPr>
              <w:t>施工员</w:t>
            </w:r>
          </w:p>
        </w:tc>
        <w:tc>
          <w:tcPr>
            <w:tcW w:w="1088" w:type="dxa"/>
            <w:vAlign w:val="center"/>
          </w:tcPr>
          <w:p>
            <w:pPr>
              <w:pStyle w:val="113"/>
              <w:ind w:firstLine="0" w:firstLineChars="0"/>
              <w:jc w:val="center"/>
              <w:outlineLvl w:val="3"/>
              <w:rPr>
                <w:rFonts w:ascii="宋体" w:hAnsi="宋体" w:cs="宋体"/>
                <w:szCs w:val="21"/>
              </w:rPr>
            </w:pPr>
            <w:r>
              <w:rPr>
                <w:rFonts w:hint="eastAsia" w:ascii="宋体" w:hAnsi="宋体" w:cs="宋体"/>
                <w:szCs w:val="21"/>
              </w:rPr>
              <w:t>满足工程需求</w:t>
            </w:r>
          </w:p>
        </w:tc>
        <w:tc>
          <w:tcPr>
            <w:tcW w:w="4224" w:type="dxa"/>
          </w:tcPr>
          <w:p>
            <w:pPr>
              <w:pStyle w:val="113"/>
              <w:ind w:firstLine="0" w:firstLineChars="0"/>
              <w:outlineLvl w:val="3"/>
              <w:rPr>
                <w:rFonts w:ascii="宋体" w:hAnsi="宋体" w:cs="宋体"/>
                <w:szCs w:val="21"/>
              </w:rPr>
            </w:pPr>
          </w:p>
        </w:tc>
        <w:tc>
          <w:tcPr>
            <w:tcW w:w="1145" w:type="dxa"/>
            <w:vAlign w:val="center"/>
          </w:tcPr>
          <w:p>
            <w:pPr>
              <w:pStyle w:val="113"/>
              <w:ind w:firstLine="0" w:firstLineChars="0"/>
              <w:outlineLvl w:val="3"/>
              <w:rPr>
                <w:rFonts w:ascii="宋体" w:hAnsi="宋体" w:cs="宋体"/>
                <w:szCs w:val="21"/>
              </w:rPr>
            </w:pPr>
            <w:r>
              <w:rPr>
                <w:rFonts w:hint="eastAsia" w:ascii="宋体" w:hAnsi="宋体" w:cs="宋体"/>
                <w:szCs w:val="21"/>
              </w:rPr>
              <w:t>常驻现场</w:t>
            </w:r>
          </w:p>
        </w:tc>
        <w:bookmarkStart w:id="386" w:name="人员资质"/>
      </w:tr>
      <w:bookmarkEnd w:id="3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vAlign w:val="center"/>
          </w:tcPr>
          <w:p>
            <w:pPr>
              <w:pStyle w:val="113"/>
              <w:ind w:firstLine="0" w:firstLineChars="0"/>
              <w:outlineLvl w:val="3"/>
              <w:rPr>
                <w:rFonts w:hAnsi="宋体"/>
                <w:szCs w:val="21"/>
              </w:rPr>
            </w:pPr>
            <w:r>
              <w:rPr>
                <w:rFonts w:hint="eastAsia" w:hAnsi="宋体"/>
                <w:szCs w:val="21"/>
              </w:rPr>
              <w:t>资料员</w:t>
            </w:r>
          </w:p>
        </w:tc>
        <w:tc>
          <w:tcPr>
            <w:tcW w:w="1088" w:type="dxa"/>
            <w:vAlign w:val="center"/>
          </w:tcPr>
          <w:p>
            <w:pPr>
              <w:pStyle w:val="113"/>
              <w:ind w:firstLine="0" w:firstLineChars="0"/>
              <w:jc w:val="center"/>
              <w:outlineLvl w:val="3"/>
              <w:rPr>
                <w:rFonts w:ascii="宋体" w:hAnsi="宋体" w:cs="宋体"/>
                <w:szCs w:val="21"/>
              </w:rPr>
            </w:pPr>
            <w:r>
              <w:rPr>
                <w:rFonts w:hint="eastAsia" w:ascii="宋体" w:hAnsi="宋体" w:cs="宋体"/>
                <w:szCs w:val="21"/>
              </w:rPr>
              <w:t>1</w:t>
            </w:r>
          </w:p>
        </w:tc>
        <w:tc>
          <w:tcPr>
            <w:tcW w:w="4224" w:type="dxa"/>
          </w:tcPr>
          <w:p>
            <w:pPr>
              <w:pStyle w:val="113"/>
              <w:ind w:firstLine="0" w:firstLineChars="0"/>
              <w:outlineLvl w:val="3"/>
              <w:rPr>
                <w:rFonts w:ascii="宋体" w:hAnsi="宋体" w:cs="宋体"/>
                <w:szCs w:val="21"/>
              </w:rPr>
            </w:pPr>
          </w:p>
        </w:tc>
        <w:tc>
          <w:tcPr>
            <w:tcW w:w="1145" w:type="dxa"/>
            <w:vAlign w:val="center"/>
          </w:tcPr>
          <w:p>
            <w:pPr>
              <w:pStyle w:val="113"/>
              <w:ind w:firstLine="0" w:firstLineChars="0"/>
              <w:outlineLvl w:val="3"/>
              <w:rPr>
                <w:rFonts w:ascii="宋体" w:hAnsi="宋体" w:cs="宋体"/>
                <w:szCs w:val="21"/>
              </w:rPr>
            </w:pPr>
            <w:r>
              <w:rPr>
                <w:rFonts w:hint="eastAsia" w:ascii="宋体" w:hAnsi="宋体" w:cs="宋体"/>
                <w:szCs w:val="21"/>
              </w:rPr>
              <w:t>常驻现场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6" w:type="dxa"/>
            <w:gridSpan w:val="4"/>
          </w:tcPr>
          <w:p>
            <w:pPr>
              <w:pStyle w:val="113"/>
              <w:ind w:left="1050" w:hanging="1050" w:hangingChars="500"/>
              <w:outlineLvl w:val="3"/>
              <w:rPr>
                <w:rFonts w:ascii="宋体" w:hAnsi="宋体" w:cs="宋体"/>
                <w:szCs w:val="21"/>
                <w:lang w:eastAsia="zh-Hans"/>
              </w:rPr>
            </w:pPr>
            <w:r>
              <w:rPr>
                <w:rFonts w:hint="eastAsia" w:ascii="宋体" w:hAnsi="宋体" w:cs="宋体"/>
                <w:szCs w:val="21"/>
                <w:lang w:eastAsia="zh-Hans"/>
              </w:rPr>
              <w:t>附注：常驻现场的定义为：每月不少于</w:t>
            </w:r>
            <w:r>
              <w:rPr>
                <w:rFonts w:ascii="宋体" w:hAnsi="宋体" w:cs="宋体"/>
                <w:szCs w:val="21"/>
                <w:lang w:eastAsia="zh-Hans"/>
              </w:rPr>
              <w:t>25</w:t>
            </w:r>
            <w:r>
              <w:rPr>
                <w:rFonts w:hint="eastAsia" w:ascii="宋体" w:hAnsi="宋体" w:cs="宋体"/>
                <w:szCs w:val="21"/>
                <w:lang w:eastAsia="zh-Hans"/>
              </w:rPr>
              <w:t>天。</w:t>
            </w:r>
          </w:p>
          <w:p>
            <w:pPr>
              <w:pStyle w:val="113"/>
              <w:ind w:firstLine="0" w:firstLineChars="0"/>
              <w:outlineLvl w:val="3"/>
              <w:rPr>
                <w:rFonts w:ascii="宋体" w:hAnsi="宋体" w:cs="宋体"/>
                <w:szCs w:val="21"/>
                <w:lang w:eastAsia="zh-Hans"/>
              </w:rPr>
            </w:pPr>
            <w:r>
              <w:rPr>
                <w:rFonts w:hint="eastAsia" w:ascii="宋体" w:hAnsi="宋体" w:cs="宋体"/>
                <w:szCs w:val="21"/>
                <w:lang w:eastAsia="zh-Hans"/>
              </w:rPr>
              <w:t>项目经理</w:t>
            </w:r>
            <w:r>
              <w:rPr>
                <w:rFonts w:hint="eastAsia" w:ascii="宋体" w:hAnsi="宋体" w:cs="宋体"/>
                <w:szCs w:val="21"/>
              </w:rPr>
              <w:t>、</w:t>
            </w:r>
            <w:r>
              <w:rPr>
                <w:rFonts w:hint="eastAsia" w:ascii="宋体" w:hAnsi="宋体" w:cs="宋体"/>
                <w:szCs w:val="21"/>
                <w:lang w:eastAsia="zh-Hans"/>
              </w:rPr>
              <w:t>技术负责人、</w:t>
            </w:r>
            <w:r>
              <w:rPr>
                <w:rFonts w:hint="eastAsia" w:ascii="宋体" w:hAnsi="宋体" w:cs="宋体"/>
                <w:szCs w:val="21"/>
              </w:rPr>
              <w:t>安全经理、</w:t>
            </w:r>
            <w:r>
              <w:rPr>
                <w:rFonts w:hint="eastAsia" w:ascii="宋体" w:hAnsi="宋体" w:cs="宋体"/>
                <w:szCs w:val="21"/>
                <w:lang w:eastAsia="zh-Hans"/>
              </w:rPr>
              <w:t>专职安全员不为同一人</w:t>
            </w:r>
          </w:p>
          <w:p>
            <w:pPr>
              <w:pStyle w:val="113"/>
              <w:ind w:firstLine="0" w:firstLineChars="0"/>
              <w:outlineLvl w:val="3"/>
              <w:rPr>
                <w:rFonts w:ascii="宋体" w:hAnsi="宋体" w:cs="宋体"/>
                <w:szCs w:val="21"/>
              </w:rPr>
            </w:pPr>
            <w:r>
              <w:rPr>
                <w:rFonts w:hint="eastAsia" w:ascii="宋体" w:hAnsi="宋体" w:cs="宋体"/>
                <w:szCs w:val="21"/>
              </w:rPr>
              <w:t>智能建造人员配备要求详见《智能建造工作要求》</w:t>
            </w:r>
          </w:p>
          <w:p>
            <w:pPr>
              <w:pStyle w:val="113"/>
              <w:ind w:firstLine="0" w:firstLineChars="0"/>
              <w:outlineLvl w:val="3"/>
              <w:rPr>
                <w:rFonts w:ascii="宋体" w:hAnsi="宋体" w:cs="宋体"/>
                <w:szCs w:val="21"/>
              </w:rPr>
            </w:pPr>
            <w:r>
              <w:rPr>
                <w:rFonts w:hint="eastAsia" w:ascii="宋体" w:hAnsi="宋体" w:cs="宋体"/>
                <w:szCs w:val="21"/>
              </w:rPr>
              <w:t>智能建造联合创新工作室人员配备要求详见第27点</w:t>
            </w:r>
          </w:p>
        </w:tc>
      </w:tr>
    </w:tbl>
    <w:p>
      <w:pPr>
        <w:spacing w:line="440" w:lineRule="exact"/>
        <w:ind w:firstLine="420" w:firstLineChars="200"/>
        <w:rPr>
          <w:rFonts w:ascii="宋体" w:hAnsi="宋体" w:cs="宋体"/>
          <w:color w:val="000000"/>
          <w:szCs w:val="21"/>
        </w:rPr>
      </w:pPr>
      <w:r>
        <w:rPr>
          <w:rFonts w:hint="eastAsia" w:ascii="宋体" w:hAnsi="宋体" w:cs="宋体"/>
          <w:color w:val="000000"/>
          <w:szCs w:val="21"/>
        </w:rPr>
        <w:t>6</w:t>
      </w:r>
      <w:r>
        <w:rPr>
          <w:rFonts w:ascii="宋体" w:hAnsi="宋体" w:cs="宋体"/>
          <w:color w:val="000000"/>
          <w:szCs w:val="21"/>
        </w:rPr>
        <w:t>.2</w:t>
      </w:r>
      <w:r>
        <w:rPr>
          <w:rFonts w:hint="eastAsia" w:ascii="宋体" w:hAnsi="宋体" w:cs="宋体"/>
          <w:color w:val="000000"/>
          <w:szCs w:val="21"/>
        </w:rPr>
        <w:t>人员更换要求及不到位违约处理</w:t>
      </w:r>
    </w:p>
    <w:p>
      <w:pPr>
        <w:spacing w:line="440" w:lineRule="exact"/>
        <w:ind w:firstLine="420" w:firstLineChars="200"/>
        <w:rPr>
          <w:rFonts w:ascii="宋体" w:hAnsi="宋体" w:cs="宋体"/>
          <w:szCs w:val="21"/>
        </w:rPr>
      </w:pPr>
      <w:r>
        <w:rPr>
          <w:rFonts w:hint="eastAsia" w:ascii="宋体" w:hAnsi="宋体" w:cs="宋体"/>
          <w:color w:val="000000"/>
          <w:szCs w:val="21"/>
        </w:rPr>
        <w:t>（1）人</w:t>
      </w:r>
      <w:r>
        <w:rPr>
          <w:rFonts w:hint="eastAsia" w:ascii="宋体" w:hAnsi="宋体" w:cs="宋体"/>
          <w:szCs w:val="21"/>
        </w:rPr>
        <w:t>员更换要求：承包人必须保证按投标承诺的人员名单到岗，并不得随意更换人员，当需要更换时（特殊情况时提出），必须事前提出同等或资质更高的人员报发包人批准后方可更换。经发包人同意，承包人更换项目经理时，承包人需向发包人支付违约金60万元/人次；经发包人同意，更换安全经理、项目副经理、技术负责人时，承包人需向发包人支付违约金30万元/人次。（出现相关人离职或有医院证明患有重大疾病等无法到岗任职的情况，免于支付违约金）。</w:t>
      </w:r>
    </w:p>
    <w:p>
      <w:pPr>
        <w:spacing w:line="440" w:lineRule="exact"/>
        <w:ind w:firstLine="420" w:firstLineChars="200"/>
        <w:rPr>
          <w:rFonts w:ascii="宋体" w:hAnsi="宋体" w:cs="宋体"/>
          <w:szCs w:val="21"/>
        </w:rPr>
      </w:pPr>
      <w:r>
        <w:rPr>
          <w:rFonts w:hint="eastAsia" w:ascii="宋体" w:hAnsi="宋体" w:cs="宋体"/>
          <w:szCs w:val="21"/>
        </w:rPr>
        <w:t>（2）承包人必须保证按投标承诺的人员名单到岗，承包单位未按招投标文件要求配备足够管理人员的，需接受招标文件要求的违约处理，对管理人员特别明确如下：</w:t>
      </w:r>
    </w:p>
    <w:p>
      <w:pPr>
        <w:spacing w:line="440" w:lineRule="exact"/>
        <w:ind w:firstLine="420" w:firstLineChars="200"/>
        <w:rPr>
          <w:rFonts w:ascii="宋体" w:hAnsi="宋体" w:cs="宋体"/>
          <w:szCs w:val="21"/>
        </w:rPr>
      </w:pPr>
      <w:r>
        <w:rPr>
          <w:rFonts w:hint="eastAsia" w:ascii="宋体" w:hAnsi="宋体" w:cs="宋体"/>
          <w:szCs w:val="21"/>
        </w:rPr>
        <w:t>项目经理不按投标承诺到位扣除违约金100万元人民币，安全经理不按投标承诺到位，扣除违约金60万元人民币，其他负责人不按投标承诺到位扣除违约金20万元人民币。上述管理人员出现以下条件之一即被认定为不按投标承诺到位：</w:t>
      </w:r>
    </w:p>
    <w:p>
      <w:pPr>
        <w:spacing w:line="440" w:lineRule="exact"/>
        <w:ind w:firstLine="420" w:firstLineChars="200"/>
        <w:rPr>
          <w:rFonts w:ascii="宋体" w:hAnsi="宋体" w:cs="宋体"/>
          <w:szCs w:val="21"/>
        </w:rPr>
      </w:pPr>
      <w:r>
        <w:rPr>
          <w:rFonts w:hint="eastAsia" w:ascii="宋体" w:hAnsi="宋体" w:cs="宋体"/>
          <w:szCs w:val="21"/>
        </w:rPr>
        <w:t>1）发出中标通知书后20天内不到项目管理部开展管理工作的；</w:t>
      </w:r>
    </w:p>
    <w:p>
      <w:pPr>
        <w:spacing w:line="440" w:lineRule="exact"/>
        <w:ind w:firstLine="420" w:firstLineChars="200"/>
        <w:rPr>
          <w:rFonts w:ascii="宋体" w:hAnsi="宋体" w:cs="宋体"/>
          <w:szCs w:val="21"/>
        </w:rPr>
      </w:pPr>
      <w:r>
        <w:rPr>
          <w:rFonts w:hint="eastAsia" w:ascii="宋体" w:hAnsi="宋体" w:cs="宋体"/>
          <w:szCs w:val="21"/>
        </w:rPr>
        <w:t>2）应出席的工程例会、专题会议每月累计缺席三次（含）以上的；</w:t>
      </w:r>
    </w:p>
    <w:p>
      <w:pPr>
        <w:spacing w:line="440" w:lineRule="exact"/>
        <w:ind w:firstLine="420" w:firstLineChars="200"/>
        <w:rPr>
          <w:rFonts w:ascii="宋体" w:hAnsi="宋体" w:cs="宋体"/>
          <w:szCs w:val="21"/>
        </w:rPr>
      </w:pPr>
      <w:r>
        <w:rPr>
          <w:rFonts w:hint="eastAsia" w:ascii="宋体" w:hAnsi="宋体" w:cs="宋体"/>
          <w:szCs w:val="21"/>
        </w:rPr>
        <w:t>3）以上投标管理人员未按投标文件承诺的资格或数量要求足额配置的；</w:t>
      </w:r>
    </w:p>
    <w:p>
      <w:pPr>
        <w:spacing w:line="440" w:lineRule="exact"/>
        <w:ind w:firstLine="420" w:firstLineChars="200"/>
        <w:rPr>
          <w:rFonts w:ascii="宋体" w:hAnsi="宋体" w:cs="宋体"/>
          <w:szCs w:val="21"/>
        </w:rPr>
      </w:pPr>
      <w:r>
        <w:rPr>
          <w:rFonts w:hint="eastAsia" w:ascii="宋体" w:hAnsi="宋体" w:cs="宋体"/>
          <w:szCs w:val="21"/>
        </w:rPr>
        <w:t>4）以上违约金将按照监理单位的月度及年度或项目总结报告直接在结算中扣除。</w:t>
      </w:r>
      <w:bookmarkStart w:id="387" w:name="人员违约处理"/>
      <w:bookmarkEnd w:id="387"/>
    </w:p>
    <w:p>
      <w:pPr>
        <w:spacing w:line="440" w:lineRule="exact"/>
        <w:ind w:firstLine="420" w:firstLineChars="200"/>
        <w:rPr>
          <w:rFonts w:ascii="宋体" w:hAnsi="宋体" w:cs="宋体"/>
          <w:szCs w:val="21"/>
        </w:rPr>
      </w:pPr>
      <w:r>
        <w:rPr>
          <w:rFonts w:hint="eastAsia" w:ascii="宋体" w:hAnsi="宋体" w:cs="宋体"/>
          <w:szCs w:val="21"/>
        </w:rPr>
        <w:t>6.3人员请假要求：项目经理或安全经理或技术负责人短期离开施工场地，应事先征得监理工程师和发包人同意（两天及两天以上须获得书面批准意见），并委派代表代行其职责。发包人定期、不定期对承包人的人员履约情况进行检查，项目经理或安全经理或技术负责人未经监理工程师和发包人同意擅自离开施工场地的，按以下约定处罚：</w:t>
      </w:r>
    </w:p>
    <w:p>
      <w:pPr>
        <w:spacing w:line="440" w:lineRule="exact"/>
        <w:ind w:firstLine="420" w:firstLineChars="200"/>
        <w:rPr>
          <w:rFonts w:ascii="宋体" w:hAnsi="宋体" w:cs="宋体"/>
          <w:szCs w:val="21"/>
        </w:rPr>
      </w:pPr>
      <w:r>
        <w:rPr>
          <w:rFonts w:hint="eastAsia" w:ascii="宋体" w:hAnsi="宋体" w:cs="宋体"/>
          <w:color w:val="000000"/>
          <w:szCs w:val="21"/>
        </w:rPr>
        <w:t>（1）项目</w:t>
      </w:r>
      <w:r>
        <w:rPr>
          <w:rFonts w:hint="eastAsia" w:ascii="宋体" w:hAnsi="宋体" w:cs="宋体"/>
          <w:szCs w:val="21"/>
        </w:rPr>
        <w:t>经理擅自离开施工场地一天以内（含一天），承包人需向发包人支付违约金5万元/次；项目经理擅自离开施工场地连续两天及以上的，自第二天起承包人每天需向发包人支付合同总价（不含暂列金和暂估价）的万分之三作为违约金，违约金分次累计计算；以上违约金累计金额以合同总价（不含暂列金和暂估价）的</w:t>
      </w:r>
      <w:r>
        <w:rPr>
          <w:rFonts w:ascii="宋体" w:hAnsi="宋体" w:cs="宋体"/>
          <w:szCs w:val="21"/>
        </w:rPr>
        <w:t>4</w:t>
      </w:r>
      <w:r>
        <w:rPr>
          <w:rFonts w:hint="eastAsia" w:ascii="宋体" w:hAnsi="宋体" w:cs="宋体"/>
          <w:szCs w:val="21"/>
        </w:rPr>
        <w:t>%为限。</w:t>
      </w:r>
    </w:p>
    <w:p>
      <w:pPr>
        <w:spacing w:line="440" w:lineRule="exact"/>
        <w:ind w:firstLine="420" w:firstLineChars="200"/>
        <w:rPr>
          <w:rFonts w:ascii="宋体" w:hAnsi="宋体" w:cs="宋体"/>
          <w:szCs w:val="21"/>
        </w:rPr>
      </w:pPr>
      <w:r>
        <w:rPr>
          <w:rFonts w:hint="eastAsia" w:ascii="宋体" w:hAnsi="宋体" w:cs="宋体"/>
          <w:szCs w:val="21"/>
        </w:rPr>
        <w:t>（2）安全经理擅自离开施工场地一天以内（含一天），承包人需向发包人支付违约金2万元/次，安全经理擅自离开施工场地连续两天及以上的，自第二天起承包人每天需向发包人支付合同总价（不含暂列金和暂估价）的万分之一作为违约金，违约金分次累计计算；以上违约金累计金额以合同总价（不含暂列金和暂估价）的2%为限。</w:t>
      </w:r>
    </w:p>
    <w:p>
      <w:pPr>
        <w:spacing w:line="440" w:lineRule="exact"/>
        <w:ind w:firstLine="420" w:firstLineChars="200"/>
      </w:pPr>
      <w:r>
        <w:rPr>
          <w:rFonts w:hint="eastAsia" w:ascii="宋体" w:hAnsi="宋体" w:cs="宋体"/>
          <w:szCs w:val="21"/>
        </w:rPr>
        <w:t>（3）技术</w:t>
      </w:r>
      <w:r>
        <w:rPr>
          <w:rFonts w:hint="eastAsia"/>
        </w:rPr>
        <w:t>负责人擅自离开施工场地一天以内（含一天），承包人需向发包人支付违约金2万元/次，技术负责人擅自离开施工场地连续两天及以上的，自第二天起承包人每天需向发包人支付合同总价（不含暂列金和暂估价）的万分之一作为违约金，违约金分次累计计算；以上违约金累计金额以合同总价（不含暂列金和暂估价）的1%为限。</w:t>
      </w:r>
    </w:p>
    <w:p>
      <w:pPr>
        <w:pStyle w:val="2"/>
        <w:spacing w:line="440" w:lineRule="exact"/>
        <w:ind w:left="0" w:leftChars="0" w:firstLine="420" w:firstLineChars="200"/>
      </w:pPr>
      <w:r>
        <w:rPr>
          <w:rFonts w:hint="eastAsia"/>
        </w:rPr>
        <w:t>（4）发包人将委托BIM咨询单位对承包人的BIM工作进行检查，对违反工作要求的行为扣罚违约金，以合同总价（不含暂列金和暂估价）的3%为限，具体扣罚办法按照招标文件智能建造工作要求的违约责任规定。</w:t>
      </w:r>
    </w:p>
    <w:p>
      <w:pPr>
        <w:spacing w:line="440" w:lineRule="exact"/>
        <w:ind w:firstLine="420" w:firstLineChars="200"/>
        <w:rPr>
          <w:rFonts w:ascii="宋体" w:hAnsi="宋体" w:cs="宋体"/>
          <w:szCs w:val="21"/>
        </w:rPr>
      </w:pPr>
      <w:r>
        <w:rPr>
          <w:rFonts w:hint="eastAsia" w:ascii="宋体" w:hAnsi="宋体"/>
        </w:rPr>
        <w:t>6</w:t>
      </w:r>
      <w:r>
        <w:rPr>
          <w:rFonts w:ascii="宋体" w:hAnsi="宋体"/>
        </w:rPr>
        <w:t>.4</w:t>
      </w:r>
      <w:r>
        <w:rPr>
          <w:rFonts w:hint="eastAsia" w:ascii="宋体" w:hAnsi="宋体"/>
        </w:rPr>
        <w:t>人员</w:t>
      </w:r>
      <w:r>
        <w:rPr>
          <w:rFonts w:hint="eastAsia" w:ascii="宋体" w:hAnsi="宋体" w:cs="宋体"/>
          <w:szCs w:val="21"/>
        </w:rPr>
        <w:t>休假要求：如果驻地管理人员享受国家规定节假日及探亲假等超过5天时，需选派资格和经验为发包人所接受的人员替换后方可休假。</w:t>
      </w:r>
    </w:p>
    <w:p>
      <w:pPr>
        <w:spacing w:line="440" w:lineRule="exact"/>
        <w:ind w:firstLine="420" w:firstLineChars="200"/>
        <w:rPr>
          <w:rFonts w:ascii="宋体" w:hAnsi="宋体" w:cs="宋体"/>
          <w:szCs w:val="21"/>
        </w:rPr>
      </w:pPr>
      <w:r>
        <w:rPr>
          <w:rFonts w:hint="eastAsia" w:ascii="宋体" w:hAnsi="宋体" w:cs="宋体"/>
          <w:szCs w:val="21"/>
        </w:rPr>
        <w:t>6</w:t>
      </w:r>
      <w:r>
        <w:rPr>
          <w:rFonts w:ascii="宋体" w:hAnsi="宋体" w:cs="宋体"/>
          <w:szCs w:val="21"/>
        </w:rPr>
        <w:t>.5</w:t>
      </w:r>
      <w:r>
        <w:rPr>
          <w:rFonts w:hint="eastAsia" w:ascii="宋体" w:hAnsi="宋体" w:cs="宋体"/>
          <w:szCs w:val="21"/>
        </w:rPr>
        <w:t>人员考核要求：在整个施工期间，发包人有权对承包人提供的管理人员进行考核，对考核不合格的人员，发包人提出调换，承包人应无条件接受。发包人发现承包人管理人员因工作职责履行缺陷要求撤换相应管理人员时，新上岗人员资质、业绩不低于被撤换人员并经发包人批准后予以更换，否则按管理人员不到位情况扣除违约金</w:t>
      </w:r>
    </w:p>
    <w:p>
      <w:pPr>
        <w:spacing w:line="440" w:lineRule="exact"/>
        <w:ind w:firstLine="420" w:firstLineChars="200"/>
        <w:rPr>
          <w:rFonts w:ascii="宋体" w:hAnsi="宋体" w:cs="宋体"/>
          <w:szCs w:val="21"/>
        </w:rPr>
      </w:pPr>
      <w:r>
        <w:rPr>
          <w:rFonts w:ascii="宋体" w:hAnsi="宋体" w:cs="宋体"/>
          <w:szCs w:val="21"/>
        </w:rPr>
        <w:t>6.6</w:t>
      </w:r>
      <w:r>
        <w:rPr>
          <w:rFonts w:hint="eastAsia" w:ascii="宋体" w:hAnsi="宋体" w:cs="宋体"/>
          <w:szCs w:val="21"/>
        </w:rPr>
        <w:t>廉洁要求：管理人员应有良好的职业道德和严谨的工作作风，不得接受被管理方的钱物和宴请；不得向被管理方指定材料、产品和指定分包商；不得参与可能与合同规定的与发包人利益相冲突的任何活动，且在本合同履行期内，不得泄露与本工程有关的保密资料。</w:t>
      </w:r>
    </w:p>
    <w:p>
      <w:pPr>
        <w:spacing w:line="440" w:lineRule="exact"/>
        <w:ind w:firstLine="420" w:firstLineChars="200"/>
        <w:rPr>
          <w:rFonts w:ascii="宋体" w:hAnsi="宋体" w:cs="宋体"/>
          <w:szCs w:val="21"/>
        </w:rPr>
      </w:pPr>
      <w:r>
        <w:rPr>
          <w:rFonts w:hint="eastAsia" w:ascii="宋体" w:hAnsi="宋体" w:cs="宋体"/>
          <w:szCs w:val="21"/>
        </w:rPr>
        <w:t>6</w:t>
      </w:r>
      <w:r>
        <w:rPr>
          <w:rFonts w:ascii="宋体" w:hAnsi="宋体" w:cs="宋体"/>
          <w:szCs w:val="21"/>
        </w:rPr>
        <w:t>.7</w:t>
      </w:r>
      <w:r>
        <w:rPr>
          <w:rFonts w:hint="eastAsia" w:ascii="宋体" w:hAnsi="宋体" w:cs="宋体"/>
          <w:szCs w:val="21"/>
        </w:rPr>
        <w:t>承包人应保证相应的管理人员从事工程各阶段管理工作，包括但不限于工程收尾、工程整改、陪伴运行、工程结算、缺陷责任期等管理工作。</w:t>
      </w:r>
    </w:p>
    <w:p>
      <w:pPr>
        <w:spacing w:line="440" w:lineRule="exact"/>
        <w:rPr>
          <w:rFonts w:ascii="宋体" w:hAnsi="宋体"/>
          <w:b/>
          <w:bCs/>
        </w:rPr>
      </w:pPr>
      <w:r>
        <w:rPr>
          <w:rFonts w:hint="eastAsia" w:ascii="宋体" w:hAnsi="宋体" w:cs="宋体"/>
          <w:b/>
          <w:bCs/>
          <w:szCs w:val="21"/>
        </w:rPr>
        <w:t>7</w:t>
      </w:r>
      <w:r>
        <w:rPr>
          <w:rFonts w:ascii="宋体" w:hAnsi="宋体" w:cs="宋体"/>
          <w:b/>
          <w:bCs/>
          <w:szCs w:val="21"/>
        </w:rPr>
        <w:t>.</w:t>
      </w:r>
      <w:r>
        <w:rPr>
          <w:rFonts w:hint="eastAsia" w:ascii="宋体" w:hAnsi="宋体"/>
          <w:b/>
          <w:bCs/>
        </w:rPr>
        <w:t xml:space="preserve"> 现场条件</w:t>
      </w:r>
    </w:p>
    <w:p>
      <w:pPr>
        <w:pStyle w:val="113"/>
        <w:tabs>
          <w:tab w:val="left" w:pos="420"/>
        </w:tabs>
        <w:spacing w:line="360" w:lineRule="auto"/>
        <w:rPr>
          <w:rFonts w:ascii="宋体" w:hAnsi="宋体"/>
          <w:bCs/>
          <w:szCs w:val="21"/>
        </w:rPr>
      </w:pPr>
      <w:r>
        <w:rPr>
          <w:rFonts w:hint="eastAsia" w:ascii="宋体" w:hAnsi="宋体"/>
          <w:bCs/>
          <w:szCs w:val="21"/>
        </w:rPr>
        <w:t>发包人提供的施工现场资料和数据等说明，只是为了使投标人能够利用发包人现有的资料。发包人对投标人由此而</w:t>
      </w:r>
      <w:r>
        <w:rPr>
          <w:rFonts w:ascii="宋体" w:hAnsi="宋体"/>
          <w:bCs/>
          <w:szCs w:val="21"/>
        </w:rPr>
        <w:t>做出</w:t>
      </w:r>
      <w:r>
        <w:rPr>
          <w:rFonts w:hint="eastAsia" w:ascii="宋体" w:hAnsi="宋体"/>
          <w:bCs/>
          <w:szCs w:val="21"/>
        </w:rPr>
        <w:t>的推论、理解和结论概不负责。</w:t>
      </w:r>
    </w:p>
    <w:p>
      <w:pPr>
        <w:spacing w:line="440" w:lineRule="exact"/>
        <w:ind w:firstLine="420" w:firstLineChars="200"/>
        <w:rPr>
          <w:rFonts w:ascii="宋体" w:hAnsi="宋体"/>
          <w:bCs/>
          <w:szCs w:val="21"/>
        </w:rPr>
      </w:pPr>
      <w:r>
        <w:rPr>
          <w:rFonts w:hint="eastAsia" w:ascii="宋体" w:hAnsi="宋体"/>
          <w:bCs/>
          <w:szCs w:val="21"/>
        </w:rPr>
        <w:t>投标人可自行前往现场考察，熟悉施工现场的地形、标高、沟渠等情况，以获得可能影响投标报价的直接资料，所需发生的费用应在投标报价中综合考虑。投标人将一律被视为已确认所有现场条件，并预料到了可能发生的任何费用，招标结束后不得以不了解现场情况为由，提出投标报价以外的费用要求，对此发包人将不作考虑。考察现场的费用由投标人自己承担。</w:t>
      </w:r>
    </w:p>
    <w:p>
      <w:pPr>
        <w:spacing w:line="440" w:lineRule="exact"/>
        <w:ind w:left="420" w:leftChars="200"/>
        <w:rPr>
          <w:rFonts w:ascii="宋体" w:hAnsi="宋体"/>
          <w:bCs/>
          <w:szCs w:val="21"/>
        </w:rPr>
      </w:pPr>
      <w:r>
        <w:rPr>
          <w:rFonts w:hint="eastAsia" w:ascii="宋体" w:hAnsi="宋体"/>
          <w:bCs/>
          <w:szCs w:val="21"/>
        </w:rPr>
        <w:t>工作区E01地块主要位于白云区明星村，方华公路北侧，施工现场房屋已经拆迁完。</w:t>
      </w:r>
    </w:p>
    <w:p>
      <w:pPr>
        <w:spacing w:line="440" w:lineRule="exact"/>
        <w:ind w:firstLine="420" w:firstLineChars="200"/>
        <w:rPr>
          <w:rFonts w:ascii="宋体" w:hAnsi="宋体"/>
          <w:bCs/>
          <w:color w:val="FF0000"/>
          <w:szCs w:val="21"/>
        </w:rPr>
      </w:pPr>
      <w:r>
        <w:rPr>
          <w:rFonts w:hint="eastAsia" w:ascii="宋体" w:hAnsi="宋体"/>
          <w:bCs/>
          <w:szCs w:val="21"/>
        </w:rPr>
        <w:t>7</w:t>
      </w:r>
      <w:r>
        <w:rPr>
          <w:rFonts w:ascii="宋体" w:hAnsi="宋体"/>
          <w:bCs/>
          <w:szCs w:val="21"/>
        </w:rPr>
        <w:t>.1</w:t>
      </w:r>
      <w:r>
        <w:rPr>
          <w:rFonts w:hint="eastAsia" w:ascii="宋体" w:hAnsi="宋体"/>
          <w:bCs/>
          <w:szCs w:val="21"/>
        </w:rPr>
        <w:t>机场红线外市政道路：场外市政道路可通行至机场红线边，施工期间，施工车辆必须遵守地方交通管理规定，经过场外周边村庄道路时，不得产生扬尘，如果对道路产生污染，必须采取</w:t>
      </w:r>
      <w:r>
        <w:rPr>
          <w:rFonts w:hint="eastAsia"/>
        </w:rPr>
        <w:t>清扫、铲泥、洒水、喷雾等保洁</w:t>
      </w:r>
      <w:r>
        <w:rPr>
          <w:rFonts w:hint="eastAsia" w:ascii="宋体" w:hAnsi="宋体"/>
          <w:bCs/>
          <w:szCs w:val="21"/>
        </w:rPr>
        <w:t>措施，费用综合考虑在投标报价内。</w:t>
      </w:r>
    </w:p>
    <w:p>
      <w:pPr>
        <w:spacing w:line="440" w:lineRule="exact"/>
        <w:ind w:firstLine="420" w:firstLineChars="200"/>
        <w:rPr>
          <w:rFonts w:ascii="宋体" w:hAnsi="宋体"/>
          <w:bCs/>
          <w:color w:val="FF0000"/>
          <w:szCs w:val="21"/>
        </w:rPr>
      </w:pPr>
      <w:r>
        <w:rPr>
          <w:rFonts w:hint="eastAsia" w:ascii="宋体" w:hAnsi="宋体"/>
        </w:rPr>
        <w:t>7</w:t>
      </w:r>
      <w:r>
        <w:rPr>
          <w:rFonts w:ascii="宋体" w:hAnsi="宋体"/>
        </w:rPr>
        <w:t>.2</w:t>
      </w:r>
      <w:r>
        <w:rPr>
          <w:rFonts w:hint="eastAsia" w:ascii="宋体" w:hAnsi="宋体"/>
        </w:rPr>
        <w:t>机场</w:t>
      </w:r>
      <w:r>
        <w:rPr>
          <w:rFonts w:hint="eastAsia" w:ascii="宋体" w:hAnsi="宋体"/>
          <w:bCs/>
          <w:szCs w:val="21"/>
        </w:rPr>
        <w:t>红线内现有道路：机场三期扩建的施工场区内有乡道以及部分施工便道，承包人进场后办理接收手续后可以使用这些道路，在与社会车辆混用期间需采取措施确保道路交通安全。承包人在使用后应履行有关维护保养职责，进行日常</w:t>
      </w:r>
      <w:r>
        <w:rPr>
          <w:rFonts w:hint="eastAsia"/>
        </w:rPr>
        <w:t>清扫、铲泥、洒水、喷雾，清除排水沟淤泥等维护措施</w:t>
      </w:r>
      <w:r>
        <w:rPr>
          <w:rFonts w:hint="eastAsia" w:ascii="宋体" w:hAnsi="宋体"/>
          <w:bCs/>
          <w:szCs w:val="21"/>
        </w:rPr>
        <w:t>，道路损坏需进行维修。保持道路清洁、畅通以及各方协调所需费用在投标报价内综合考虑。</w:t>
      </w:r>
    </w:p>
    <w:p>
      <w:pPr>
        <w:spacing w:line="440" w:lineRule="exact"/>
        <w:ind w:firstLine="420" w:firstLineChars="200"/>
        <w:rPr>
          <w:rFonts w:ascii="宋体" w:hAnsi="宋体"/>
          <w:bCs/>
          <w:szCs w:val="21"/>
        </w:rPr>
      </w:pPr>
      <w:r>
        <w:rPr>
          <w:rFonts w:hint="eastAsia" w:ascii="宋体" w:hAnsi="宋体"/>
        </w:rPr>
        <w:t>7</w:t>
      </w:r>
      <w:r>
        <w:rPr>
          <w:rFonts w:ascii="宋体" w:hAnsi="宋体"/>
        </w:rPr>
        <w:t>.3</w:t>
      </w:r>
      <w:r>
        <w:rPr>
          <w:rFonts w:hint="eastAsia" w:ascii="宋体" w:hAnsi="宋体"/>
          <w:bCs/>
          <w:szCs w:val="21"/>
        </w:rPr>
        <w:t>施工便道：</w:t>
      </w:r>
      <w:r>
        <w:rPr>
          <w:rFonts w:hint="eastAsia" w:ascii="宋体" w:hAnsi="宋体" w:cs="宋体"/>
          <w:color w:val="000000"/>
          <w:szCs w:val="21"/>
        </w:rPr>
        <w:t>白云三期扩建工程工作区、航站区、飞行区规划有为全场服务的施工便道，经发包人同意后可使用，</w:t>
      </w:r>
      <w:r>
        <w:rPr>
          <w:rFonts w:hint="eastAsia" w:ascii="宋体" w:hAnsi="宋体"/>
          <w:bCs/>
          <w:szCs w:val="21"/>
        </w:rPr>
        <w:t>承包人在使用后应履行有关维护保养职责，除此之外的施工便道由承包人自行规划和修筑，并负责道路维护及保洁。上述费用在投标报价中综合考虑。</w:t>
      </w:r>
    </w:p>
    <w:p>
      <w:pPr>
        <w:spacing w:line="440" w:lineRule="exact"/>
        <w:ind w:firstLine="420" w:firstLineChars="200"/>
        <w:rPr>
          <w:rFonts w:ascii="宋体" w:hAnsi="宋体"/>
          <w:szCs w:val="21"/>
        </w:rPr>
      </w:pPr>
      <w:r>
        <w:rPr>
          <w:rFonts w:hint="eastAsia" w:ascii="宋体" w:hAnsi="宋体"/>
          <w:bCs/>
          <w:szCs w:val="21"/>
        </w:rPr>
        <w:t>7</w:t>
      </w:r>
      <w:r>
        <w:rPr>
          <w:rFonts w:ascii="宋体" w:hAnsi="宋体"/>
          <w:bCs/>
          <w:szCs w:val="21"/>
        </w:rPr>
        <w:t>.4</w:t>
      </w:r>
      <w:r>
        <w:rPr>
          <w:rFonts w:hint="eastAsia" w:ascii="宋体" w:hAnsi="宋体"/>
          <w:bCs/>
          <w:szCs w:val="21"/>
        </w:rPr>
        <w:t>工程</w:t>
      </w:r>
      <w:r>
        <w:rPr>
          <w:rFonts w:hint="eastAsia" w:ascii="宋体" w:hAnsi="宋体"/>
          <w:szCs w:val="21"/>
        </w:rPr>
        <w:t>周边其他项目施工情况</w:t>
      </w:r>
    </w:p>
    <w:p>
      <w:pPr>
        <w:spacing w:line="440" w:lineRule="exact"/>
        <w:ind w:firstLine="420" w:firstLineChars="200"/>
        <w:rPr>
          <w:rFonts w:ascii="宋体" w:hAnsi="宋体"/>
          <w:szCs w:val="21"/>
          <w:lang w:eastAsia="zh-Hans"/>
        </w:rPr>
      </w:pPr>
      <w:r>
        <w:rPr>
          <w:rFonts w:hint="eastAsia" w:ascii="宋体" w:hAnsi="宋体"/>
          <w:szCs w:val="21"/>
        </w:rPr>
        <w:t>请投标人充分认识了解以下情况，涉及费用综合考虑</w:t>
      </w:r>
      <w:r>
        <w:rPr>
          <w:rFonts w:hint="eastAsia" w:ascii="宋体" w:hAnsi="宋体"/>
          <w:szCs w:val="21"/>
          <w:lang w:eastAsia="zh-Hans"/>
        </w:rPr>
        <w:t>到投标报价中</w:t>
      </w:r>
      <w:r>
        <w:rPr>
          <w:rFonts w:hint="eastAsia" w:ascii="宋体" w:hAnsi="宋体"/>
          <w:szCs w:val="21"/>
        </w:rPr>
        <w:t>，中标后不再对</w:t>
      </w:r>
      <w:r>
        <w:rPr>
          <w:rFonts w:hint="eastAsia" w:ascii="宋体" w:hAnsi="宋体"/>
          <w:szCs w:val="21"/>
          <w:lang w:eastAsia="zh-Hans"/>
        </w:rPr>
        <w:t>涉及费用进行签证（经设计院、业主审核批准同意的除外）。</w:t>
      </w:r>
    </w:p>
    <w:p>
      <w:pPr>
        <w:spacing w:line="440" w:lineRule="exact"/>
        <w:ind w:firstLine="420" w:firstLineChars="200"/>
        <w:rPr>
          <w:rFonts w:ascii="宋体" w:hAnsi="宋体"/>
          <w:bCs/>
          <w:szCs w:val="21"/>
        </w:rPr>
      </w:pPr>
      <w:r>
        <w:rPr>
          <w:rFonts w:hint="eastAsia" w:ascii="宋体" w:hAnsi="宋体"/>
          <w:szCs w:val="21"/>
        </w:rPr>
        <w:t>7</w:t>
      </w:r>
      <w:r>
        <w:rPr>
          <w:rFonts w:ascii="宋体" w:hAnsi="宋体"/>
          <w:szCs w:val="21"/>
        </w:rPr>
        <w:t>.5</w:t>
      </w:r>
      <w:r>
        <w:rPr>
          <w:rFonts w:hint="eastAsia" w:ascii="宋体" w:hAnsi="宋体"/>
          <w:szCs w:val="21"/>
        </w:rPr>
        <w:t>场地标高：</w:t>
      </w:r>
      <w:r>
        <w:rPr>
          <w:rFonts w:hint="eastAsia" w:ascii="宋体" w:hAnsi="宋体"/>
          <w:bCs/>
          <w:szCs w:val="21"/>
        </w:rPr>
        <w:t>承包人进场后，发包人和监理原则上不组织对原地面标高进行复测，也不认可承包人自行复测的结果。</w:t>
      </w:r>
    </w:p>
    <w:p>
      <w:pPr>
        <w:spacing w:line="440" w:lineRule="exact"/>
        <w:rPr>
          <w:rFonts w:ascii="宋体" w:hAnsi="宋体"/>
          <w:bCs/>
          <w:iCs/>
          <w:szCs w:val="21"/>
        </w:rPr>
      </w:pPr>
      <w:r>
        <w:rPr>
          <w:rFonts w:hint="eastAsia" w:ascii="宋体" w:hAnsi="宋体" w:cs="宋体"/>
          <w:b/>
          <w:bCs/>
          <w:color w:val="000000"/>
          <w:szCs w:val="21"/>
        </w:rPr>
        <w:t>8</w:t>
      </w:r>
      <w:r>
        <w:rPr>
          <w:rFonts w:ascii="宋体" w:hAnsi="宋体" w:cs="宋体"/>
          <w:b/>
          <w:bCs/>
          <w:color w:val="000000"/>
          <w:szCs w:val="21"/>
        </w:rPr>
        <w:t>.</w:t>
      </w:r>
      <w:r>
        <w:rPr>
          <w:rFonts w:hint="eastAsia" w:ascii="宋体" w:hAnsi="宋体" w:cs="宋体"/>
          <w:b/>
          <w:bCs/>
          <w:color w:val="000000"/>
          <w:szCs w:val="21"/>
        </w:rPr>
        <w:t>施工临时设施及发包人要求</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承包人除应按《广州市建设工程文明施工管理规定》要求布置施工现场与项目部生活区域，发包人对临建设施有如下要求：</w:t>
      </w:r>
    </w:p>
    <w:p>
      <w:pPr>
        <w:spacing w:line="360" w:lineRule="auto"/>
        <w:ind w:firstLine="420" w:firstLineChars="200"/>
        <w:rPr>
          <w:rFonts w:ascii="宋体" w:hAnsi="宋体"/>
          <w:color w:val="000000"/>
          <w:szCs w:val="21"/>
        </w:rPr>
      </w:pPr>
      <w:r>
        <w:rPr>
          <w:rFonts w:ascii="宋体" w:hAnsi="宋体" w:cs="宋体"/>
          <w:color w:val="000000"/>
          <w:szCs w:val="21"/>
        </w:rPr>
        <w:t>8</w:t>
      </w:r>
      <w:r>
        <w:rPr>
          <w:rFonts w:hint="eastAsia" w:ascii="宋体" w:hAnsi="宋体" w:cs="宋体"/>
          <w:color w:val="000000"/>
          <w:szCs w:val="21"/>
        </w:rPr>
        <w:t>.1施工项目部：施工单位在机场周边甲方指定场地搭建临设，临设布置需甲方批准，工程项目部场地必须用水泥混凝土进行硬化，房屋建设必须采取防台风措施，费用计入投标报价内。工程项目部实施封闭式管理，并做到排水排污畅通。项目部建设必须功能部门齐全，配备多功能会议室（会议室面积不小于50㎡）</w:t>
      </w:r>
      <w:r>
        <w:rPr>
          <w:rFonts w:hint="eastAsia" w:ascii="宋体" w:hAnsi="宋体"/>
          <w:color w:val="000000"/>
          <w:szCs w:val="21"/>
        </w:rPr>
        <w:t>。施工单位临建在工程结束竣工验收后，必须按业主要求在规定时间内拆除和移交场地。</w:t>
      </w:r>
    </w:p>
    <w:p>
      <w:pPr>
        <w:spacing w:line="360" w:lineRule="auto"/>
        <w:ind w:firstLine="420" w:firstLineChars="200"/>
        <w:rPr>
          <w:rFonts w:ascii="宋体" w:hAnsi="宋体"/>
          <w:bCs/>
          <w:szCs w:val="21"/>
        </w:rPr>
      </w:pPr>
      <w:r>
        <w:rPr>
          <w:rFonts w:ascii="宋体" w:hAnsi="宋体"/>
          <w:bCs/>
          <w:szCs w:val="21"/>
        </w:rPr>
        <w:t>8.2</w:t>
      </w:r>
      <w:r>
        <w:rPr>
          <w:rFonts w:hint="eastAsia" w:ascii="宋体" w:hAnsi="宋体"/>
          <w:bCs/>
          <w:szCs w:val="21"/>
        </w:rPr>
        <w:t>施工总平面布置方案的制定要以不影响现机场正常安全运营为前提，正式实施前必须报监理与业主批准。</w:t>
      </w:r>
    </w:p>
    <w:p>
      <w:pPr>
        <w:spacing w:line="440" w:lineRule="exact"/>
        <w:ind w:firstLine="420" w:firstLineChars="200"/>
        <w:rPr>
          <w:rFonts w:ascii="宋体" w:hAnsi="宋体" w:cs="宋体"/>
          <w:color w:val="000000"/>
          <w:szCs w:val="21"/>
        </w:rPr>
      </w:pPr>
      <w:r>
        <w:rPr>
          <w:rFonts w:ascii="宋体" w:hAnsi="宋体" w:cs="宋体"/>
          <w:color w:val="000000"/>
          <w:szCs w:val="21"/>
        </w:rPr>
        <w:t>8.3</w:t>
      </w:r>
      <w:r>
        <w:rPr>
          <w:rFonts w:hint="eastAsia" w:ascii="宋体" w:hAnsi="宋体" w:cs="宋体"/>
          <w:color w:val="000000"/>
          <w:szCs w:val="21"/>
        </w:rPr>
        <w:t>中标单位必须提供满足施工项目部足够人员状态下的办公设备（电脑、打印机、传真机、投影仪、数码相机等一批）和交通工具。</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8</w:t>
      </w:r>
      <w:r>
        <w:rPr>
          <w:rFonts w:ascii="宋体" w:hAnsi="宋体" w:cs="宋体"/>
          <w:color w:val="000000"/>
          <w:szCs w:val="21"/>
        </w:rPr>
        <w:t>.4</w:t>
      </w:r>
      <w:r>
        <w:rPr>
          <w:rFonts w:hint="eastAsia" w:ascii="宋体" w:hAnsi="宋体" w:cs="宋体"/>
          <w:color w:val="000000"/>
          <w:szCs w:val="21"/>
        </w:rPr>
        <w:t>由于白云三期扩建正在进行，各工程同步实施，用地非常紧张，若施工项目部需要进行拆改，承包人应积极配合实施拆改，并按发包人要求恢复或另行搭建，相关费用在投标报价中综合考虑。</w:t>
      </w:r>
    </w:p>
    <w:p>
      <w:pPr>
        <w:spacing w:line="440" w:lineRule="exact"/>
        <w:rPr>
          <w:rFonts w:ascii="宋体" w:hAnsi="宋体"/>
        </w:rPr>
      </w:pPr>
    </w:p>
    <w:p>
      <w:pPr>
        <w:spacing w:line="440" w:lineRule="exact"/>
        <w:rPr>
          <w:rFonts w:ascii="宋体" w:hAnsi="宋体" w:cs="宋体"/>
          <w:b/>
          <w:color w:val="000000"/>
          <w:szCs w:val="21"/>
        </w:rPr>
      </w:pPr>
      <w:r>
        <w:rPr>
          <w:rFonts w:hint="eastAsia" w:ascii="宋体" w:hAnsi="宋体" w:cs="宋体"/>
          <w:b/>
          <w:color w:val="000000"/>
          <w:szCs w:val="21"/>
        </w:rPr>
        <w:t>9</w:t>
      </w:r>
      <w:r>
        <w:rPr>
          <w:rFonts w:ascii="宋体" w:hAnsi="宋体" w:cs="宋体"/>
          <w:b/>
          <w:color w:val="000000"/>
          <w:szCs w:val="21"/>
        </w:rPr>
        <w:t>.</w:t>
      </w:r>
      <w:r>
        <w:rPr>
          <w:rFonts w:hint="eastAsia" w:ascii="宋体" w:hAnsi="宋体" w:cs="宋体"/>
          <w:b/>
          <w:color w:val="000000"/>
          <w:szCs w:val="21"/>
        </w:rPr>
        <w:t>施工管理要求</w:t>
      </w:r>
    </w:p>
    <w:p>
      <w:pPr>
        <w:spacing w:line="440" w:lineRule="exact"/>
        <w:ind w:firstLine="420"/>
        <w:rPr>
          <w:rFonts w:ascii="宋体" w:hAnsi="宋体"/>
          <w:szCs w:val="21"/>
        </w:rPr>
      </w:pPr>
      <w:r>
        <w:rPr>
          <w:rFonts w:hint="eastAsia" w:ascii="宋体" w:hAnsi="宋体" w:cs="宋体"/>
          <w:color w:val="000000"/>
          <w:szCs w:val="21"/>
        </w:rPr>
        <w:t>9</w:t>
      </w:r>
      <w:r>
        <w:rPr>
          <w:rFonts w:ascii="宋体" w:hAnsi="宋体" w:cs="宋体"/>
          <w:color w:val="000000"/>
          <w:szCs w:val="21"/>
        </w:rPr>
        <w:t>.1</w:t>
      </w:r>
      <w:r>
        <w:rPr>
          <w:rFonts w:hint="eastAsia" w:ascii="宋体" w:hAnsi="宋体"/>
          <w:szCs w:val="21"/>
          <w:lang w:eastAsia="zh-Hans"/>
        </w:rPr>
        <w:t>投</w:t>
      </w:r>
      <w:r>
        <w:rPr>
          <w:rFonts w:hint="eastAsia" w:ascii="宋体" w:hAnsi="宋体"/>
          <w:szCs w:val="21"/>
        </w:rPr>
        <w:t>入的劳动力、机械、设备应满足本工程需要，满足工期要求。</w:t>
      </w:r>
    </w:p>
    <w:p>
      <w:pPr>
        <w:spacing w:line="440" w:lineRule="exact"/>
        <w:ind w:firstLine="420"/>
        <w:rPr>
          <w:rFonts w:ascii="宋体" w:hAnsi="宋体"/>
          <w:szCs w:val="21"/>
        </w:rPr>
      </w:pPr>
      <w:r>
        <w:rPr>
          <w:rFonts w:ascii="宋体" w:hAnsi="宋体"/>
          <w:szCs w:val="21"/>
        </w:rPr>
        <w:t>9.2</w:t>
      </w:r>
      <w:r>
        <w:rPr>
          <w:rFonts w:hint="eastAsia" w:ascii="宋体" w:hAnsi="宋体"/>
          <w:szCs w:val="21"/>
        </w:rPr>
        <w:t>承包人必须保证在履行合同的整个阶段严格遵守相关工程法规、标准、规范以及发包人的相关工程建设管理制度规定，如有违反，承包人将承担全部法律责任及经济责任。</w:t>
      </w:r>
    </w:p>
    <w:p>
      <w:pPr>
        <w:spacing w:line="440" w:lineRule="exact"/>
        <w:ind w:firstLine="420"/>
        <w:rPr>
          <w:rFonts w:ascii="宋体" w:hAnsi="宋体"/>
        </w:rPr>
      </w:pPr>
      <w:r>
        <w:rPr>
          <w:rFonts w:hint="eastAsia" w:ascii="宋体" w:hAnsi="宋体" w:cs="宋体"/>
          <w:color w:val="000000"/>
          <w:szCs w:val="21"/>
        </w:rPr>
        <w:t>9</w:t>
      </w:r>
      <w:r>
        <w:rPr>
          <w:rFonts w:ascii="宋体" w:hAnsi="宋体" w:cs="宋体"/>
          <w:color w:val="000000"/>
          <w:szCs w:val="21"/>
        </w:rPr>
        <w:t>.3</w:t>
      </w:r>
      <w:r>
        <w:rPr>
          <w:rFonts w:hint="eastAsia" w:ascii="宋体" w:hAnsi="宋体" w:cs="宋体"/>
          <w:color w:val="000000"/>
          <w:szCs w:val="21"/>
        </w:rPr>
        <w:t>本工程施工执行现行国家行业验收评定标准与施工技术规范，进行质量评定。工程质量不合格、达不到设计要求与施工技术规范的，监理与发包人有权要求承包人停工和返工，因停工和返工造成的一切损失由承包人自行承担，工期不予顺延。</w:t>
      </w:r>
    </w:p>
    <w:p>
      <w:pPr>
        <w:pStyle w:val="2"/>
        <w:spacing w:line="440" w:lineRule="exact"/>
        <w:ind w:left="0" w:leftChars="0" w:firstLine="420" w:firstLineChars="200"/>
        <w:rPr>
          <w:rFonts w:ascii="宋体" w:hAnsi="宋体"/>
          <w:bCs/>
        </w:rPr>
      </w:pPr>
      <w:r>
        <w:rPr>
          <w:rFonts w:hint="eastAsia" w:ascii="宋体" w:hAnsi="宋体"/>
          <w:bCs/>
        </w:rPr>
        <w:t>9</w:t>
      </w:r>
      <w:r>
        <w:rPr>
          <w:rFonts w:ascii="宋体" w:hAnsi="宋体"/>
          <w:bCs/>
        </w:rPr>
        <w:t>.5</w:t>
      </w:r>
      <w:r>
        <w:rPr>
          <w:rFonts w:hint="eastAsia" w:ascii="宋体" w:hAnsi="宋体"/>
          <w:bCs/>
        </w:rPr>
        <w:t>甲购设备的安装：</w:t>
      </w:r>
    </w:p>
    <w:p>
      <w:pPr>
        <w:pStyle w:val="2"/>
        <w:spacing w:line="440" w:lineRule="exact"/>
        <w:ind w:left="-198" w:leftChars="0" w:firstLine="612" w:firstLineChars="300"/>
        <w:rPr>
          <w:spacing w:val="-3"/>
        </w:rPr>
      </w:pPr>
      <w:r>
        <w:rPr>
          <w:rFonts w:hint="eastAsia"/>
          <w:spacing w:val="-3"/>
        </w:rPr>
        <w:t>（1）由承包人负责安装的甲购设备，承包人应根据总进度计划制定甲购设备的生产、到货、安装及验收计划，并经发包人审批，以使设备和现场做到无缝对接。否则由此造成的工期、仓储等成本由承包单位承担。</w:t>
      </w:r>
    </w:p>
    <w:p>
      <w:pPr>
        <w:spacing w:line="440" w:lineRule="exact"/>
        <w:ind w:firstLine="408" w:firstLineChars="200"/>
        <w:rPr>
          <w:rFonts w:ascii="Times New Roman" w:hAnsi="Times New Roman"/>
          <w:spacing w:val="-3"/>
        </w:rPr>
      </w:pPr>
      <w:r>
        <w:rPr>
          <w:rFonts w:hint="eastAsia" w:ascii="Times New Roman" w:hAnsi="Times New Roman"/>
          <w:spacing w:val="-3"/>
        </w:rPr>
        <w:t>（2）由承包人负责安装的甲购设备由厂家运送到施工现场，移交给承包人，由承包人负责运输就位、安装、保管，并负责成品保护。</w:t>
      </w:r>
    </w:p>
    <w:p>
      <w:pPr>
        <w:pStyle w:val="2"/>
        <w:spacing w:line="440" w:lineRule="exact"/>
        <w:ind w:left="0" w:leftChars="0" w:firstLine="420" w:firstLineChars="200"/>
        <w:rPr>
          <w:rFonts w:ascii="宋体" w:hAnsi="宋体"/>
          <w:bCs/>
        </w:rPr>
      </w:pPr>
      <w:r>
        <w:rPr>
          <w:rFonts w:hint="eastAsia" w:ascii="宋体" w:hAnsi="宋体"/>
          <w:bCs/>
        </w:rPr>
        <w:t>9</w:t>
      </w:r>
      <w:r>
        <w:rPr>
          <w:rFonts w:ascii="宋体" w:hAnsi="宋体"/>
          <w:bCs/>
        </w:rPr>
        <w:t>.6</w:t>
      </w:r>
      <w:r>
        <w:rPr>
          <w:rFonts w:hint="eastAsia" w:ascii="宋体" w:hAnsi="宋体"/>
          <w:bCs/>
        </w:rPr>
        <w:t xml:space="preserve">施工前承包人应对施工区域内管线、障碍物等进行复测，并按股份公司、发包人的地下管线管理规定做好施工范围内的管线保护，在完成保护或迁改工作后方可进行施工。须遵守的管理规定包括但不限于：附件2 </w:t>
      </w:r>
      <w:r>
        <w:rPr>
          <w:rFonts w:hint="eastAsia" w:ascii="宋体" w:hAnsi="宋体" w:cs="宋体"/>
        </w:rPr>
        <w:t>《广东省机场集团有限公司工程建设指挥部地下管线施工安全管理规定》。以上所需费用由投标人在投标报价中综合考虑。</w:t>
      </w:r>
    </w:p>
    <w:p>
      <w:pPr>
        <w:spacing w:line="440" w:lineRule="exact"/>
        <w:rPr>
          <w:rFonts w:ascii="宋体" w:hAnsi="宋体"/>
        </w:rPr>
      </w:pPr>
      <w:r>
        <w:rPr>
          <w:rFonts w:hint="eastAsia" w:ascii="宋体" w:hAnsi="宋体"/>
        </w:rPr>
        <w:t xml:space="preserve"> </w:t>
      </w:r>
      <w:r>
        <w:rPr>
          <w:rFonts w:ascii="宋体" w:hAnsi="宋体"/>
        </w:rPr>
        <w:t xml:space="preserve">   9.7</w:t>
      </w:r>
      <w:r>
        <w:rPr>
          <w:rFonts w:hint="eastAsia" w:ascii="宋体" w:hAnsi="宋体" w:cs="宋体"/>
          <w:color w:val="000000"/>
          <w:szCs w:val="21"/>
        </w:rPr>
        <w:t>承包人根据现有路网条件自行考虑建设临时施工道路，且必须负责所属道路的维护与清理，所需费用在投标报价中综合考虑。</w:t>
      </w:r>
    </w:p>
    <w:p>
      <w:pPr>
        <w:spacing w:line="440" w:lineRule="exact"/>
        <w:rPr>
          <w:rFonts w:ascii="宋体" w:hAnsi="宋体"/>
        </w:rPr>
      </w:pPr>
      <w:r>
        <w:rPr>
          <w:rFonts w:hint="eastAsia" w:ascii="宋体" w:hAnsi="宋体"/>
        </w:rPr>
        <w:t xml:space="preserve"> </w:t>
      </w:r>
      <w:r>
        <w:rPr>
          <w:rFonts w:ascii="宋体" w:hAnsi="宋体"/>
        </w:rPr>
        <w:t xml:space="preserve">   9.8</w:t>
      </w:r>
      <w:r>
        <w:rPr>
          <w:rFonts w:hint="eastAsia" w:ascii="宋体" w:hAnsi="宋体"/>
        </w:rPr>
        <w:t>临水、临电由承包人自行负责解决</w:t>
      </w:r>
      <w:r>
        <w:rPr>
          <w:rFonts w:hint="eastAsia" w:ascii="宋体" w:hAnsi="宋体"/>
          <w:bCs/>
          <w:szCs w:val="21"/>
        </w:rPr>
        <w:t>，临水、临电所需费用包含在投标报价内。</w:t>
      </w:r>
    </w:p>
    <w:p>
      <w:pPr>
        <w:spacing w:line="440" w:lineRule="exact"/>
        <w:ind w:firstLine="420" w:firstLineChars="200"/>
        <w:rPr>
          <w:rFonts w:ascii="宋体" w:hAnsi="宋体" w:cs="宋体"/>
          <w:color w:val="000000"/>
          <w:szCs w:val="21"/>
        </w:rPr>
      </w:pPr>
      <w:r>
        <w:rPr>
          <w:rFonts w:ascii="宋体" w:hAnsi="宋体" w:cs="宋体"/>
          <w:color w:val="000000"/>
          <w:szCs w:val="21"/>
        </w:rPr>
        <w:t>9</w:t>
      </w:r>
      <w:r>
        <w:rPr>
          <w:rFonts w:hint="eastAsia" w:ascii="宋体" w:hAnsi="宋体" w:cs="宋体"/>
          <w:color w:val="000000"/>
          <w:szCs w:val="21"/>
        </w:rPr>
        <w:t>.</w:t>
      </w:r>
      <w:r>
        <w:rPr>
          <w:rFonts w:ascii="宋体" w:hAnsi="宋体" w:cs="宋体"/>
          <w:color w:val="000000"/>
          <w:szCs w:val="21"/>
        </w:rPr>
        <w:t>9</w:t>
      </w:r>
      <w:r>
        <w:rPr>
          <w:rFonts w:hint="eastAsia" w:ascii="宋体" w:hAnsi="宋体" w:cs="宋体"/>
          <w:szCs w:val="21"/>
        </w:rPr>
        <w:t>施</w:t>
      </w:r>
      <w:r>
        <w:rPr>
          <w:rFonts w:hint="eastAsia" w:ascii="宋体" w:hAnsi="宋体"/>
          <w:szCs w:val="21"/>
        </w:rPr>
        <w:t>工期间现场的余方、软土、淤泥等若无法合理利用的，经发包人同意后</w:t>
      </w:r>
      <w:r>
        <w:rPr>
          <w:rFonts w:ascii="宋体" w:hAnsi="宋体"/>
          <w:szCs w:val="21"/>
        </w:rPr>
        <w:t>由承包人清运到机场红线外</w:t>
      </w:r>
      <w:r>
        <w:rPr>
          <w:rFonts w:hint="eastAsia" w:ascii="宋体" w:hAnsi="宋体"/>
          <w:szCs w:val="21"/>
        </w:rPr>
        <w:t>，符合当地余泥渣土等弃置规定。</w:t>
      </w:r>
      <w:r>
        <w:rPr>
          <w:rFonts w:hint="eastAsia" w:ascii="宋体" w:hAnsi="宋体" w:cs="宋体"/>
          <w:szCs w:val="21"/>
        </w:rPr>
        <w:t>外弃运输路线、弃土点、运距等均由承包人负责，中标后不再调整。</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9</w:t>
      </w:r>
      <w:r>
        <w:rPr>
          <w:rFonts w:ascii="宋体" w:hAnsi="宋体" w:cs="宋体"/>
          <w:color w:val="000000"/>
          <w:szCs w:val="21"/>
        </w:rPr>
        <w:t>.10</w:t>
      </w:r>
      <w:r>
        <w:rPr>
          <w:rFonts w:hint="eastAsia" w:ascii="宋体" w:hAnsi="宋体"/>
          <w:bCs/>
          <w:szCs w:val="21"/>
        </w:rPr>
        <w:t>本工程的土石方需服从场内的统一调配，土石方来源于白云三期扩建工程红线范围内的施工区域，包括但不限于工作区、航站区等；</w:t>
      </w:r>
      <w:r>
        <w:rPr>
          <w:rFonts w:hint="eastAsia" w:ascii="宋体" w:hAnsi="宋体" w:cs="宋体"/>
          <w:color w:val="000000"/>
          <w:szCs w:val="21"/>
        </w:rPr>
        <w:t>承包人应按相关要求做好耕植土剥离等工作。</w:t>
      </w:r>
    </w:p>
    <w:p>
      <w:pPr>
        <w:spacing w:line="440" w:lineRule="exact"/>
        <w:ind w:firstLine="420" w:firstLineChars="200"/>
        <w:rPr>
          <w:rFonts w:ascii="宋体" w:hAnsi="宋体" w:cs="宋体"/>
          <w:color w:val="000000"/>
          <w:szCs w:val="21"/>
        </w:rPr>
      </w:pPr>
      <w:r>
        <w:rPr>
          <w:rFonts w:hint="eastAsia" w:ascii="宋体" w:hAnsi="宋体" w:cs="宋体"/>
          <w:color w:val="000000"/>
          <w:szCs w:val="21"/>
        </w:rPr>
        <w:t>9.11</w:t>
      </w:r>
      <w:r>
        <w:rPr>
          <w:rFonts w:hint="eastAsia" w:ascii="宋体" w:hAnsi="宋体"/>
          <w:szCs w:val="21"/>
          <w:lang w:eastAsia="zh-Hans"/>
        </w:rPr>
        <w:t>承包人填土范围和临时弃土点范围，因施工组织需要而不能立即施工的，</w:t>
      </w:r>
      <w:r>
        <w:rPr>
          <w:rFonts w:hint="eastAsia" w:ascii="宋体" w:hAnsi="宋体"/>
          <w:szCs w:val="21"/>
        </w:rPr>
        <w:t>承包人</w:t>
      </w:r>
      <w:r>
        <w:rPr>
          <w:rFonts w:hint="eastAsia" w:ascii="宋体" w:hAnsi="宋体"/>
          <w:szCs w:val="21"/>
          <w:lang w:eastAsia="zh-Hans"/>
        </w:rPr>
        <w:t>应采取绿网覆盖或者固化等措施，涉及费用综合考虑到</w:t>
      </w:r>
      <w:r>
        <w:rPr>
          <w:rFonts w:hint="eastAsia" w:ascii="宋体" w:hAnsi="宋体"/>
          <w:szCs w:val="21"/>
        </w:rPr>
        <w:t>绿色安全防护措施费</w:t>
      </w:r>
      <w:r>
        <w:rPr>
          <w:rFonts w:hint="eastAsia" w:ascii="宋体" w:hAnsi="宋体"/>
          <w:szCs w:val="21"/>
          <w:lang w:eastAsia="zh-Hans"/>
        </w:rPr>
        <w:t>中。</w:t>
      </w:r>
    </w:p>
    <w:p>
      <w:pPr>
        <w:spacing w:line="440" w:lineRule="exact"/>
        <w:ind w:firstLine="420" w:firstLineChars="200"/>
        <w:rPr>
          <w:rFonts w:ascii="宋体" w:hAnsi="宋体"/>
          <w:szCs w:val="21"/>
        </w:rPr>
      </w:pPr>
      <w:r>
        <w:rPr>
          <w:rFonts w:ascii="宋体" w:hAnsi="宋体" w:cs="宋体"/>
          <w:color w:val="000000"/>
          <w:szCs w:val="21"/>
        </w:rPr>
        <w:t>9.1</w:t>
      </w:r>
      <w:r>
        <w:rPr>
          <w:rFonts w:hint="eastAsia" w:ascii="宋体" w:hAnsi="宋体" w:cs="宋体"/>
          <w:color w:val="000000"/>
          <w:szCs w:val="21"/>
        </w:rPr>
        <w:t>2</w:t>
      </w:r>
      <w:r>
        <w:rPr>
          <w:rFonts w:ascii="宋体" w:hAnsi="宋体"/>
          <w:szCs w:val="21"/>
        </w:rPr>
        <w:t>如发现承包人在机场红线范围内偷倒</w:t>
      </w:r>
      <w:r>
        <w:rPr>
          <w:rFonts w:hint="eastAsia" w:ascii="宋体" w:hAnsi="宋体"/>
          <w:szCs w:val="21"/>
        </w:rPr>
        <w:t>余泥、</w:t>
      </w:r>
      <w:r>
        <w:rPr>
          <w:rFonts w:ascii="宋体" w:hAnsi="宋体"/>
          <w:szCs w:val="21"/>
        </w:rPr>
        <w:t>建筑垃圾</w:t>
      </w:r>
      <w:r>
        <w:rPr>
          <w:rFonts w:hint="eastAsia" w:ascii="宋体" w:hAnsi="宋体"/>
          <w:szCs w:val="21"/>
        </w:rPr>
        <w:t>等行为，</w:t>
      </w:r>
      <w:r>
        <w:rPr>
          <w:rFonts w:ascii="宋体" w:hAnsi="宋体"/>
          <w:szCs w:val="21"/>
        </w:rPr>
        <w:t>除责令</w:t>
      </w:r>
      <w:r>
        <w:rPr>
          <w:rFonts w:hint="eastAsia" w:ascii="宋体" w:hAnsi="宋体"/>
          <w:szCs w:val="21"/>
        </w:rPr>
        <w:t>承包人</w:t>
      </w:r>
      <w:r>
        <w:rPr>
          <w:rFonts w:ascii="宋体" w:hAnsi="宋体"/>
          <w:szCs w:val="21"/>
        </w:rPr>
        <w:t>负责清理出机场红线范围外</w:t>
      </w:r>
      <w:r>
        <w:rPr>
          <w:rFonts w:hint="eastAsia" w:ascii="宋体" w:hAnsi="宋体"/>
          <w:szCs w:val="21"/>
        </w:rPr>
        <w:t>，</w:t>
      </w:r>
      <w:r>
        <w:rPr>
          <w:rFonts w:ascii="宋体" w:hAnsi="宋体"/>
          <w:szCs w:val="21"/>
        </w:rPr>
        <w:t>还将接受</w:t>
      </w:r>
      <w:r>
        <w:rPr>
          <w:rFonts w:hint="eastAsia" w:ascii="宋体" w:hAnsi="宋体"/>
          <w:szCs w:val="21"/>
        </w:rPr>
        <w:t>发包人扣除2万元/每车的违约金。</w:t>
      </w:r>
    </w:p>
    <w:p>
      <w:pPr>
        <w:spacing w:line="440" w:lineRule="exact"/>
        <w:ind w:firstLine="420" w:firstLineChars="200"/>
        <w:rPr>
          <w:rFonts w:ascii="宋体" w:hAnsi="宋体"/>
          <w:bCs/>
          <w:szCs w:val="21"/>
        </w:rPr>
      </w:pPr>
      <w:r>
        <w:rPr>
          <w:rFonts w:hint="eastAsia" w:ascii="宋体" w:hAnsi="宋体"/>
          <w:szCs w:val="21"/>
        </w:rPr>
        <w:t>9</w:t>
      </w:r>
      <w:r>
        <w:rPr>
          <w:rFonts w:ascii="宋体" w:hAnsi="宋体"/>
          <w:szCs w:val="21"/>
        </w:rPr>
        <w:t>.1</w:t>
      </w:r>
      <w:r>
        <w:rPr>
          <w:rFonts w:hint="eastAsia" w:ascii="宋体" w:hAnsi="宋体"/>
          <w:szCs w:val="21"/>
        </w:rPr>
        <w:t>3本</w:t>
      </w:r>
      <w:r>
        <w:rPr>
          <w:rFonts w:hint="eastAsia" w:ascii="宋体" w:hAnsi="宋体"/>
          <w:bCs/>
          <w:szCs w:val="21"/>
        </w:rPr>
        <w:t>工程施工期间，</w:t>
      </w:r>
      <w:r>
        <w:rPr>
          <w:rFonts w:ascii="宋体" w:hAnsi="宋体"/>
          <w:bCs/>
          <w:szCs w:val="21"/>
        </w:rPr>
        <w:t>由</w:t>
      </w:r>
      <w:r>
        <w:rPr>
          <w:rFonts w:hint="eastAsia" w:ascii="宋体" w:hAnsi="宋体"/>
          <w:bCs/>
          <w:szCs w:val="21"/>
        </w:rPr>
        <w:t>承包人规划修筑场内临时排水设施并进行维护，利用场区新老沟渠自行排除并确保排水畅通，避免施工期间发生内涝现象。施工及日常雨水排水进入发包人指定地点时（现场沟渠，或者机场红线边排水点），必须采取沉淀降砂等措施并定期清理沉砂，所需费用综合考虑到投标报价内。</w:t>
      </w:r>
    </w:p>
    <w:p>
      <w:pPr>
        <w:spacing w:line="440" w:lineRule="exact"/>
        <w:ind w:firstLine="420" w:firstLineChars="200"/>
        <w:rPr>
          <w:rFonts w:ascii="宋体" w:hAnsi="宋体"/>
          <w:bCs/>
          <w:szCs w:val="21"/>
        </w:rPr>
      </w:pPr>
      <w:r>
        <w:rPr>
          <w:rFonts w:hint="eastAsia" w:ascii="宋体" w:hAnsi="宋体"/>
          <w:bCs/>
          <w:szCs w:val="21"/>
        </w:rPr>
        <w:t>9</w:t>
      </w:r>
      <w:r>
        <w:rPr>
          <w:rFonts w:ascii="宋体" w:hAnsi="宋体"/>
          <w:bCs/>
          <w:szCs w:val="21"/>
        </w:rPr>
        <w:t>.1</w:t>
      </w:r>
      <w:r>
        <w:rPr>
          <w:rFonts w:hint="eastAsia" w:ascii="宋体" w:hAnsi="宋体"/>
          <w:bCs/>
          <w:szCs w:val="21"/>
        </w:rPr>
        <w:t>4由于本工程施工而影响其他单位的正常排水，破坏其他单位修筑的设施，或者引起周边村庄农民和政府部门的投诉，应由承包人负责修复、处理纠纷和赔偿相应费用，投标人应在投标报价中考虑这一因素，所需费用综合考虑到投标报价内，中标后业主不对此项费用进行任何签认。</w:t>
      </w:r>
    </w:p>
    <w:p>
      <w:pPr>
        <w:spacing w:line="440" w:lineRule="exact"/>
        <w:ind w:firstLine="420" w:firstLineChars="200"/>
        <w:rPr>
          <w:sz w:val="22"/>
          <w:lang w:eastAsia="zh-Hans"/>
        </w:rPr>
      </w:pPr>
      <w:r>
        <w:rPr>
          <w:rFonts w:hint="eastAsia" w:ascii="宋体" w:hAnsi="宋体"/>
          <w:bCs/>
          <w:szCs w:val="21"/>
        </w:rPr>
        <w:t>9</w:t>
      </w:r>
      <w:r>
        <w:rPr>
          <w:rFonts w:ascii="宋体" w:hAnsi="宋体"/>
          <w:bCs/>
          <w:szCs w:val="21"/>
        </w:rPr>
        <w:t>.1</w:t>
      </w:r>
      <w:r>
        <w:rPr>
          <w:rFonts w:hint="eastAsia" w:ascii="宋体" w:hAnsi="宋体"/>
          <w:bCs/>
          <w:szCs w:val="21"/>
        </w:rPr>
        <w:t>5场</w:t>
      </w:r>
      <w:r>
        <w:rPr>
          <w:rFonts w:ascii="宋体" w:hAnsi="宋体"/>
          <w:bCs/>
          <w:szCs w:val="21"/>
          <w:lang w:eastAsia="zh-Hans"/>
        </w:rPr>
        <w:t>地</w:t>
      </w:r>
      <w:r>
        <w:rPr>
          <w:rFonts w:hint="eastAsia" w:ascii="宋体" w:hAnsi="宋体"/>
          <w:szCs w:val="21"/>
          <w:lang w:eastAsia="zh-Hans"/>
        </w:rPr>
        <w:t>硬化：施工</w:t>
      </w:r>
      <w:r>
        <w:rPr>
          <w:rFonts w:hint="eastAsia" w:ascii="宋体" w:hAnsi="宋体"/>
          <w:bCs/>
          <w:szCs w:val="21"/>
          <w:lang w:eastAsia="zh-Hans"/>
        </w:rPr>
        <w:t>场地需要硬化的费用应综合考虑在</w:t>
      </w:r>
      <w:r>
        <w:rPr>
          <w:rFonts w:hint="eastAsia" w:ascii="宋体" w:hAnsi="宋体"/>
          <w:bCs/>
          <w:szCs w:val="21"/>
        </w:rPr>
        <w:t>绿色安全防护措施费</w:t>
      </w:r>
      <w:r>
        <w:rPr>
          <w:rFonts w:hint="eastAsia" w:ascii="宋体" w:hAnsi="宋体"/>
          <w:bCs/>
          <w:szCs w:val="21"/>
          <w:lang w:eastAsia="zh-Hans"/>
        </w:rPr>
        <w:t>中，中标后不再签认任何费用，例如施工现场主要道路硬化，模板存放、料具码放场地硬化等。</w:t>
      </w:r>
    </w:p>
    <w:p>
      <w:pPr>
        <w:spacing w:line="440" w:lineRule="exact"/>
        <w:ind w:firstLine="420" w:firstLineChars="200"/>
        <w:rPr>
          <w:rFonts w:ascii="宋体" w:hAnsi="宋体"/>
          <w:szCs w:val="21"/>
        </w:rPr>
      </w:pPr>
      <w:r>
        <w:rPr>
          <w:rFonts w:hint="eastAsia" w:ascii="宋体" w:hAnsi="宋体"/>
          <w:szCs w:val="21"/>
        </w:rPr>
        <w:t>9</w:t>
      </w:r>
      <w:r>
        <w:rPr>
          <w:rFonts w:ascii="宋体" w:hAnsi="宋体"/>
          <w:szCs w:val="21"/>
        </w:rPr>
        <w:t>.1</w:t>
      </w:r>
      <w:r>
        <w:rPr>
          <w:rFonts w:hint="eastAsia" w:ascii="宋体" w:hAnsi="宋体"/>
          <w:szCs w:val="21"/>
        </w:rPr>
        <w:t>6拆除材料处理：本工程拆除的所有材料设备，除在本次施工中需使用外，如发包人不要求回收，则由承包人自行处理。</w:t>
      </w:r>
    </w:p>
    <w:p>
      <w:pPr>
        <w:spacing w:line="440" w:lineRule="exact"/>
        <w:ind w:firstLine="420" w:firstLineChars="200"/>
        <w:rPr>
          <w:rFonts w:ascii="宋体" w:hAnsi="宋体"/>
          <w:szCs w:val="21"/>
        </w:rPr>
      </w:pPr>
      <w:r>
        <w:rPr>
          <w:rFonts w:hint="eastAsia" w:ascii="宋体" w:hAnsi="宋体"/>
          <w:szCs w:val="21"/>
        </w:rPr>
        <w:t>9</w:t>
      </w:r>
      <w:r>
        <w:rPr>
          <w:rFonts w:ascii="宋体" w:hAnsi="宋体"/>
          <w:szCs w:val="21"/>
        </w:rPr>
        <w:t>.1</w:t>
      </w:r>
      <w:r>
        <w:rPr>
          <w:rFonts w:hint="eastAsia" w:ascii="宋体" w:hAnsi="宋体"/>
          <w:szCs w:val="21"/>
        </w:rPr>
        <w:t>7成品设施保护：承包人在施工过程中必须注意成品、半成品的保护，直至竣工验收交付发包人使用。期间如发生成品、半成品、设施、设备被盗或被损均由承包人负责。</w:t>
      </w:r>
    </w:p>
    <w:p>
      <w:pPr>
        <w:spacing w:line="440" w:lineRule="exact"/>
        <w:ind w:firstLine="420" w:firstLineChars="200"/>
      </w:pPr>
      <w:r>
        <w:rPr>
          <w:rFonts w:hint="eastAsia" w:ascii="宋体" w:hAnsi="宋体"/>
          <w:szCs w:val="21"/>
        </w:rPr>
        <w:t>9</w:t>
      </w:r>
      <w:r>
        <w:rPr>
          <w:rFonts w:ascii="宋体" w:hAnsi="宋体"/>
          <w:szCs w:val="21"/>
        </w:rPr>
        <w:t>.1</w:t>
      </w:r>
      <w:r>
        <w:rPr>
          <w:rFonts w:hint="eastAsia" w:ascii="宋体" w:hAnsi="宋体"/>
          <w:szCs w:val="21"/>
        </w:rPr>
        <w:t>8需要</w:t>
      </w:r>
      <w:r>
        <w:rPr>
          <w:rFonts w:hint="eastAsia"/>
        </w:rPr>
        <w:t>进行试验段施工的，承包人必须提前制作试验段</w:t>
      </w:r>
      <w:r>
        <w:t>，</w:t>
      </w:r>
      <w:r>
        <w:rPr>
          <w:rFonts w:hint="eastAsia" w:ascii="宋体" w:hAnsi="宋体"/>
          <w:szCs w:val="21"/>
        </w:rPr>
        <w:t>试验段施工完成、提交试验报告经监理、发包人批准后方可进行大规模施工，</w:t>
      </w:r>
      <w:r>
        <w:t>否则应无条件返工</w:t>
      </w:r>
      <w:r>
        <w:rPr>
          <w:rFonts w:hint="eastAsia"/>
        </w:rPr>
        <w:t>。</w:t>
      </w:r>
    </w:p>
    <w:p>
      <w:pPr>
        <w:spacing w:line="440" w:lineRule="exact"/>
        <w:ind w:firstLine="420" w:firstLineChars="200"/>
        <w:rPr>
          <w:rFonts w:ascii="宋体" w:hAnsi="宋体"/>
          <w:szCs w:val="21"/>
        </w:rPr>
      </w:pPr>
      <w:r>
        <w:rPr>
          <w:rFonts w:hint="eastAsia" w:ascii="宋体" w:hAnsi="宋体"/>
        </w:rPr>
        <w:t>9</w:t>
      </w:r>
      <w:r>
        <w:rPr>
          <w:rFonts w:ascii="宋体" w:hAnsi="宋体"/>
        </w:rPr>
        <w:t>.1</w:t>
      </w:r>
      <w:r>
        <w:rPr>
          <w:rFonts w:hint="eastAsia" w:ascii="宋体" w:hAnsi="宋体"/>
        </w:rPr>
        <w:t>9监督抽检：</w:t>
      </w:r>
      <w:r>
        <w:rPr>
          <w:rFonts w:hint="eastAsia" w:ascii="宋体" w:hAnsi="宋体"/>
          <w:szCs w:val="21"/>
        </w:rPr>
        <w:t>质量安全监督部门在工程质量监督管理过程中，如需作一定的抽检，承包人应予以支持配合。</w:t>
      </w:r>
    </w:p>
    <w:p>
      <w:pPr>
        <w:spacing w:line="440" w:lineRule="exact"/>
        <w:ind w:firstLine="420" w:firstLineChars="200"/>
        <w:rPr>
          <w:rFonts w:ascii="宋体" w:hAnsi="宋体"/>
          <w:szCs w:val="21"/>
        </w:rPr>
      </w:pPr>
      <w:r>
        <w:rPr>
          <w:rFonts w:ascii="宋体" w:hAnsi="宋体"/>
          <w:szCs w:val="21"/>
        </w:rPr>
        <w:t>9.</w:t>
      </w:r>
      <w:r>
        <w:rPr>
          <w:rFonts w:hint="eastAsia" w:ascii="宋体" w:hAnsi="宋体"/>
          <w:szCs w:val="21"/>
        </w:rPr>
        <w:t>20发包人委托的第三方检测、监测单位在工程施工过程中将会按照一定的频率对工程材料和工程实体的指标及参数进行独立的实验和验证。承包人应予以配合、为抽检取样提供必要的便利条件，并如实提供材料样品，不得弄虚作假。</w:t>
      </w:r>
    </w:p>
    <w:p>
      <w:pPr>
        <w:spacing w:line="440" w:lineRule="exact"/>
        <w:ind w:firstLine="420" w:firstLineChars="200"/>
        <w:rPr>
          <w:rFonts w:ascii="宋体" w:hAnsi="宋体"/>
          <w:szCs w:val="21"/>
        </w:rPr>
      </w:pPr>
      <w:r>
        <w:rPr>
          <w:rFonts w:hint="eastAsia" w:ascii="宋体" w:hAnsi="宋体"/>
          <w:szCs w:val="21"/>
        </w:rPr>
        <w:t>9</w:t>
      </w:r>
      <w:r>
        <w:rPr>
          <w:rFonts w:ascii="宋体" w:hAnsi="宋体"/>
          <w:szCs w:val="21"/>
        </w:rPr>
        <w:t>.2</w:t>
      </w:r>
      <w:r>
        <w:rPr>
          <w:rFonts w:hint="eastAsia" w:ascii="宋体" w:hAnsi="宋体"/>
          <w:szCs w:val="21"/>
        </w:rPr>
        <w:t>1为保证工程质量得到有效控制，承包人使用的各种试验、测量、检测设备必须经过地市以上技术监督部门的标定。若在现场设实验室必须按规定报有关技术监督部门认可、备案。</w:t>
      </w:r>
    </w:p>
    <w:p>
      <w:pPr>
        <w:spacing w:line="440" w:lineRule="exact"/>
        <w:ind w:firstLine="420" w:firstLineChars="200"/>
        <w:rPr>
          <w:rFonts w:ascii="宋体" w:hAnsi="宋体"/>
          <w:szCs w:val="21"/>
        </w:rPr>
      </w:pPr>
      <w:r>
        <w:rPr>
          <w:rFonts w:hint="eastAsia" w:ascii="宋体" w:hAnsi="宋体" w:cs="宋体"/>
          <w:color w:val="000000"/>
          <w:szCs w:val="21"/>
        </w:rPr>
        <w:t>9</w:t>
      </w:r>
      <w:r>
        <w:rPr>
          <w:rFonts w:ascii="宋体" w:hAnsi="宋体" w:cs="宋体"/>
          <w:color w:val="000000"/>
          <w:szCs w:val="21"/>
        </w:rPr>
        <w:t>.2</w:t>
      </w:r>
      <w:r>
        <w:rPr>
          <w:rFonts w:hint="eastAsia" w:ascii="宋体" w:hAnsi="宋体" w:cs="宋体"/>
          <w:color w:val="000000"/>
          <w:szCs w:val="21"/>
        </w:rPr>
        <w:t>2施工</w:t>
      </w:r>
      <w:r>
        <w:rPr>
          <w:rFonts w:hint="eastAsia" w:ascii="宋体" w:hAnsi="宋体"/>
          <w:szCs w:val="21"/>
        </w:rPr>
        <w:t>进度计划管理：承包人</w:t>
      </w:r>
      <w:r>
        <w:rPr>
          <w:rFonts w:ascii="宋体" w:hAnsi="宋体"/>
          <w:szCs w:val="21"/>
        </w:rPr>
        <w:t>必须报施工总进度计划</w:t>
      </w:r>
      <w:r>
        <w:rPr>
          <w:rFonts w:hint="eastAsia" w:ascii="宋体" w:hAnsi="宋体"/>
          <w:szCs w:val="21"/>
        </w:rPr>
        <w:t>、专项工程进度计划、月度计划、周计划、日计划（业主有要求时编制）、主要材料订货进场计划给发包人，并及时进行进度计划纠偏管理。</w:t>
      </w:r>
    </w:p>
    <w:p>
      <w:pPr>
        <w:spacing w:line="440" w:lineRule="exact"/>
        <w:ind w:firstLine="420" w:firstLineChars="200"/>
        <w:rPr>
          <w:rFonts w:ascii="宋体" w:hAnsi="宋体"/>
          <w:szCs w:val="21"/>
        </w:rPr>
      </w:pPr>
      <w:r>
        <w:rPr>
          <w:rFonts w:hint="eastAsia" w:ascii="宋体" w:hAnsi="宋体"/>
          <w:szCs w:val="21"/>
        </w:rPr>
        <w:t>9</w:t>
      </w:r>
      <w:r>
        <w:rPr>
          <w:rFonts w:ascii="宋体" w:hAnsi="宋体"/>
          <w:szCs w:val="21"/>
        </w:rPr>
        <w:t>.2</w:t>
      </w:r>
      <w:r>
        <w:rPr>
          <w:rFonts w:hint="eastAsia" w:ascii="宋体" w:hAnsi="宋体"/>
          <w:szCs w:val="21"/>
        </w:rPr>
        <w:t>3水土保持管理：施工作业严格限定在用地范围内，严禁随意占压、扰动和破坏地表植被，合理安排施工顺序和水土保持措施，严格控制施工期间可能造成的水土流失。</w:t>
      </w:r>
    </w:p>
    <w:p>
      <w:pPr>
        <w:spacing w:line="440" w:lineRule="exact"/>
        <w:ind w:firstLine="420" w:firstLineChars="200"/>
        <w:rPr>
          <w:rFonts w:ascii="宋体" w:hAnsi="宋体"/>
          <w:szCs w:val="21"/>
          <w:lang w:eastAsia="zh-Hans"/>
        </w:rPr>
      </w:pPr>
      <w:r>
        <w:rPr>
          <w:rFonts w:hint="eastAsia" w:ascii="宋体" w:hAnsi="宋体"/>
          <w:szCs w:val="21"/>
        </w:rPr>
        <w:t>9</w:t>
      </w:r>
      <w:r>
        <w:rPr>
          <w:rFonts w:ascii="宋体" w:hAnsi="宋体"/>
          <w:szCs w:val="21"/>
        </w:rPr>
        <w:t>.2</w:t>
      </w:r>
      <w:r>
        <w:rPr>
          <w:rFonts w:hint="eastAsia" w:ascii="宋体" w:hAnsi="宋体"/>
          <w:szCs w:val="21"/>
        </w:rPr>
        <w:t>4</w:t>
      </w:r>
      <w:r>
        <w:rPr>
          <w:rFonts w:hint="eastAsia" w:ascii="宋体" w:hAnsi="宋体"/>
          <w:szCs w:val="21"/>
          <w:lang w:eastAsia="zh-Hans"/>
        </w:rPr>
        <w:t>若施工区域临近运营中的飞行区，</w:t>
      </w:r>
      <w:r>
        <w:rPr>
          <w:rFonts w:hint="eastAsia" w:ascii="宋体" w:hAnsi="宋体"/>
          <w:szCs w:val="21"/>
        </w:rPr>
        <w:t>施工必须符合《运输机场运行安全管理规定》，</w:t>
      </w:r>
      <w:r>
        <w:rPr>
          <w:rFonts w:hint="eastAsia" w:ascii="宋体" w:hAnsi="宋体"/>
          <w:szCs w:val="21"/>
          <w:lang w:eastAsia="zh-Hans"/>
        </w:rPr>
        <w:t>业主如对施工现场的机械设备高度、灯光设置和防撞警示有要求，</w:t>
      </w:r>
      <w:r>
        <w:rPr>
          <w:rFonts w:hint="eastAsia" w:ascii="宋体" w:hAnsi="宋体"/>
          <w:szCs w:val="21"/>
        </w:rPr>
        <w:t>承包人</w:t>
      </w:r>
      <w:r>
        <w:rPr>
          <w:rFonts w:hint="eastAsia" w:ascii="宋体" w:hAnsi="宋体"/>
          <w:szCs w:val="21"/>
          <w:lang w:eastAsia="zh-Hans"/>
        </w:rPr>
        <w:t>必须服从管理。</w:t>
      </w:r>
    </w:p>
    <w:p>
      <w:pPr>
        <w:spacing w:line="440" w:lineRule="exact"/>
        <w:ind w:firstLine="420" w:firstLineChars="200"/>
        <w:rPr>
          <w:rFonts w:ascii="宋体" w:hAnsi="宋体"/>
          <w:szCs w:val="21"/>
          <w:lang w:eastAsia="zh-Hans"/>
        </w:rPr>
      </w:pPr>
      <w:r>
        <w:rPr>
          <w:rFonts w:hint="eastAsia" w:ascii="宋体" w:hAnsi="宋体"/>
          <w:szCs w:val="21"/>
        </w:rPr>
        <w:t>9</w:t>
      </w:r>
      <w:r>
        <w:rPr>
          <w:rFonts w:ascii="宋体" w:hAnsi="宋体"/>
          <w:szCs w:val="21"/>
        </w:rPr>
        <w:t>.2</w:t>
      </w:r>
      <w:r>
        <w:rPr>
          <w:rFonts w:hint="eastAsia" w:ascii="宋体" w:hAnsi="宋体"/>
          <w:szCs w:val="21"/>
        </w:rPr>
        <w:t>5施工</w:t>
      </w:r>
      <w:r>
        <w:rPr>
          <w:rFonts w:hint="eastAsia" w:ascii="宋体" w:hAnsi="宋体"/>
          <w:szCs w:val="21"/>
          <w:lang w:eastAsia="zh-Hans"/>
        </w:rPr>
        <w:t>单位对可能产生扬尘污染的建筑材料应当在库房存放或者进行严密遮盖；油料存放应当采取防止泄漏和防止污染措施。</w:t>
      </w:r>
    </w:p>
    <w:p>
      <w:pPr>
        <w:spacing w:line="440" w:lineRule="exact"/>
        <w:ind w:firstLine="420" w:firstLineChars="200"/>
        <w:rPr>
          <w:rFonts w:ascii="宋体" w:hAnsi="宋体"/>
          <w:szCs w:val="21"/>
        </w:rPr>
      </w:pPr>
      <w:r>
        <w:rPr>
          <w:rFonts w:hint="eastAsia" w:ascii="宋体" w:hAnsi="宋体"/>
          <w:szCs w:val="21"/>
        </w:rPr>
        <w:t>9</w:t>
      </w:r>
      <w:r>
        <w:rPr>
          <w:rFonts w:ascii="宋体" w:hAnsi="宋体"/>
          <w:szCs w:val="21"/>
        </w:rPr>
        <w:t>.2</w:t>
      </w:r>
      <w:r>
        <w:rPr>
          <w:rFonts w:hint="eastAsia" w:ascii="宋体" w:hAnsi="宋体"/>
          <w:szCs w:val="21"/>
        </w:rPr>
        <w:t>6绿色施工：施工过程应符合国家、省、市关于绿色施工的相关规定。</w:t>
      </w:r>
    </w:p>
    <w:p>
      <w:pPr>
        <w:spacing w:line="440" w:lineRule="exact"/>
        <w:ind w:firstLine="420" w:firstLineChars="200"/>
        <w:rPr>
          <w:rFonts w:ascii="宋体" w:hAnsi="宋体"/>
          <w:szCs w:val="21"/>
        </w:rPr>
      </w:pPr>
      <w:r>
        <w:rPr>
          <w:rFonts w:hint="eastAsia" w:ascii="宋体" w:hAnsi="宋体"/>
          <w:szCs w:val="21"/>
        </w:rPr>
        <w:t>9</w:t>
      </w:r>
      <w:r>
        <w:rPr>
          <w:rFonts w:ascii="宋体" w:hAnsi="宋体"/>
          <w:szCs w:val="21"/>
        </w:rPr>
        <w:t>.2</w:t>
      </w:r>
      <w:r>
        <w:rPr>
          <w:rFonts w:hint="eastAsia" w:ascii="宋体" w:hAnsi="宋体"/>
          <w:szCs w:val="21"/>
        </w:rPr>
        <w:t>7设计变更、签证管理：严格按指挥部设计变更、签证管理制度执行。</w:t>
      </w:r>
    </w:p>
    <w:p>
      <w:pPr>
        <w:spacing w:line="440" w:lineRule="exact"/>
        <w:ind w:firstLine="420" w:firstLineChars="200"/>
        <w:rPr>
          <w:rFonts w:ascii="宋体" w:hAnsi="宋体" w:cs="宋体"/>
          <w:color w:val="000000"/>
          <w:szCs w:val="21"/>
        </w:rPr>
      </w:pPr>
      <w:r>
        <w:rPr>
          <w:rFonts w:hint="eastAsia" w:ascii="宋体" w:hAnsi="宋体"/>
          <w:szCs w:val="21"/>
        </w:rPr>
        <w:t>9</w:t>
      </w:r>
      <w:r>
        <w:rPr>
          <w:rFonts w:ascii="宋体" w:hAnsi="宋体"/>
          <w:szCs w:val="21"/>
        </w:rPr>
        <w:t>.2</w:t>
      </w:r>
      <w:r>
        <w:rPr>
          <w:rFonts w:hint="eastAsia" w:ascii="宋体" w:hAnsi="宋体"/>
          <w:szCs w:val="21"/>
        </w:rPr>
        <w:t>8</w:t>
      </w:r>
      <w:r>
        <w:rPr>
          <w:rFonts w:hint="eastAsia" w:ascii="宋体" w:hAnsi="宋体" w:cs="宋体"/>
          <w:color w:val="000000"/>
          <w:szCs w:val="21"/>
        </w:rPr>
        <w:t>承包人必须遵守发包人单位的相关管理规定及制度，发包人有权根据相关规定和制度对承包人进行考核、处罚。</w:t>
      </w:r>
    </w:p>
    <w:p>
      <w:pPr>
        <w:spacing w:line="440" w:lineRule="exact"/>
        <w:ind w:firstLine="420" w:firstLineChars="200"/>
        <w:rPr>
          <w:rFonts w:ascii="宋体" w:hAnsi="宋体"/>
          <w:bCs/>
          <w:szCs w:val="21"/>
        </w:rPr>
      </w:pPr>
      <w:r>
        <w:rPr>
          <w:rFonts w:hint="eastAsia" w:ascii="宋体" w:hAnsi="宋体" w:cs="宋体"/>
          <w:color w:val="000000"/>
          <w:szCs w:val="21"/>
        </w:rPr>
        <w:t>9</w:t>
      </w:r>
      <w:r>
        <w:rPr>
          <w:rFonts w:ascii="宋体" w:hAnsi="宋体" w:cs="宋体"/>
          <w:color w:val="000000"/>
          <w:szCs w:val="21"/>
        </w:rPr>
        <w:t>.2</w:t>
      </w:r>
      <w:r>
        <w:rPr>
          <w:rFonts w:hint="eastAsia" w:ascii="宋体" w:hAnsi="宋体" w:cs="宋体"/>
          <w:color w:val="000000"/>
          <w:szCs w:val="21"/>
        </w:rPr>
        <w:t>9距运行</w:t>
      </w:r>
      <w:r>
        <w:rPr>
          <w:rFonts w:hint="eastAsia" w:ascii="宋体" w:hAnsi="宋体"/>
          <w:bCs/>
          <w:szCs w:val="21"/>
        </w:rPr>
        <w:t>中的机场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spacing w:line="440" w:lineRule="exact"/>
        <w:ind w:firstLine="420" w:firstLineChars="200"/>
        <w:rPr>
          <w:rFonts w:ascii="宋体" w:hAnsi="宋体"/>
          <w:bCs/>
          <w:szCs w:val="21"/>
        </w:rPr>
      </w:pPr>
      <w:r>
        <w:rPr>
          <w:rFonts w:hint="eastAsia" w:ascii="宋体" w:hAnsi="宋体"/>
          <w:bCs/>
          <w:szCs w:val="21"/>
        </w:rPr>
        <w:t>9</w:t>
      </w:r>
      <w:r>
        <w:rPr>
          <w:rFonts w:ascii="宋体" w:hAnsi="宋体"/>
          <w:bCs/>
          <w:szCs w:val="21"/>
        </w:rPr>
        <w:t>.</w:t>
      </w:r>
      <w:r>
        <w:rPr>
          <w:rFonts w:hint="eastAsia" w:ascii="宋体" w:hAnsi="宋体"/>
          <w:bCs/>
          <w:szCs w:val="21"/>
        </w:rPr>
        <w:t>30承包人必须严格遵守民用航空安全、空防管理的法律、法规和机场安全管理的各项规章制度。属于机场不停航施工项目或需进入机场控制区施工的项目，其人员和车辆实行机场控制区通行证管理制度。通行证的办理及有关手续需遵从广州白云国际机场股份有限公司建管部、飞管部、安检、机场交警支队有关管理规定。在申请办理人员通行证时应当提供真实有效的身份证明、证照及其他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进入机场控制区施工的人员和车辆需由发包人派员负责引领并主动接受机场管理人员的安全检查，服从机场相关职能部门的监管，无通行证者一律不得进入。有关办证费用综合考虑。</w:t>
      </w:r>
    </w:p>
    <w:p>
      <w:pPr>
        <w:spacing w:line="440" w:lineRule="exact"/>
        <w:ind w:firstLine="420" w:firstLineChars="200"/>
        <w:rPr>
          <w:rFonts w:ascii="宋体" w:hAnsi="宋体"/>
          <w:szCs w:val="21"/>
          <w:lang w:eastAsia="zh-Hans"/>
        </w:rPr>
      </w:pPr>
      <w:r>
        <w:rPr>
          <w:rFonts w:hint="eastAsia" w:ascii="宋体" w:hAnsi="宋体"/>
          <w:bCs/>
          <w:szCs w:val="21"/>
        </w:rPr>
        <w:t>9</w:t>
      </w:r>
      <w:r>
        <w:rPr>
          <w:rFonts w:ascii="宋体" w:hAnsi="宋体"/>
          <w:bCs/>
          <w:szCs w:val="21"/>
        </w:rPr>
        <w:t>.3</w:t>
      </w:r>
      <w:r>
        <w:rPr>
          <w:rFonts w:hint="eastAsia" w:ascii="宋体" w:hAnsi="宋体"/>
          <w:bCs/>
          <w:szCs w:val="21"/>
        </w:rPr>
        <w:t>1劳动竞赛：</w:t>
      </w:r>
      <w:r>
        <w:rPr>
          <w:rFonts w:hint="eastAsia" w:ascii="宋体" w:hAnsi="宋体"/>
          <w:szCs w:val="21"/>
        </w:rPr>
        <w:t>中标人必须参与招标人组织的劳动竞赛活动，在中标进场后签订劳动竞赛协议。中标人</w:t>
      </w:r>
      <w:r>
        <w:rPr>
          <w:rFonts w:hint="eastAsia"/>
        </w:rPr>
        <w:t>签订合同后，在预付款支付后5个工作日内向发包人一次性缴纳合同金额（不含暂列金、不含暂估价）的0.4‰作为劳动竞赛活动奖励基金的组成部分</w:t>
      </w:r>
      <w:r>
        <w:rPr>
          <w:rFonts w:hint="eastAsia" w:ascii="宋体" w:hAnsi="宋体"/>
          <w:szCs w:val="21"/>
        </w:rPr>
        <w:t>，劳动竞赛具体细则按招标人劳动竞赛实施方案约定执行</w:t>
      </w:r>
      <w:r>
        <w:rPr>
          <w:rFonts w:hint="eastAsia" w:ascii="宋体" w:hAnsi="宋体"/>
          <w:szCs w:val="21"/>
          <w:lang w:eastAsia="zh-Hans"/>
        </w:rPr>
        <w:t>，详见附件</w:t>
      </w:r>
      <w:r>
        <w:rPr>
          <w:rFonts w:hint="eastAsia" w:ascii="宋体" w:hAnsi="宋体"/>
          <w:szCs w:val="21"/>
        </w:rPr>
        <w:t>3</w:t>
      </w:r>
      <w:r>
        <w:rPr>
          <w:rFonts w:hint="eastAsia" w:ascii="宋体" w:hAnsi="宋体"/>
          <w:szCs w:val="21"/>
          <w:lang w:eastAsia="zh-Hans"/>
        </w:rPr>
        <w:t>：劳动竞赛实施方案。</w:t>
      </w:r>
    </w:p>
    <w:p>
      <w:pPr>
        <w:spacing w:line="440" w:lineRule="exact"/>
        <w:ind w:firstLine="420" w:firstLineChars="200"/>
        <w:rPr>
          <w:rFonts w:ascii="宋体" w:hAnsi="宋体"/>
          <w:szCs w:val="21"/>
        </w:rPr>
      </w:pPr>
      <w:r>
        <w:rPr>
          <w:rFonts w:hint="eastAsia" w:ascii="宋体" w:hAnsi="宋体"/>
          <w:szCs w:val="21"/>
        </w:rPr>
        <w:t>9</w:t>
      </w:r>
      <w:r>
        <w:rPr>
          <w:rFonts w:ascii="宋体" w:hAnsi="宋体"/>
          <w:szCs w:val="21"/>
        </w:rPr>
        <w:t>.3</w:t>
      </w:r>
      <w:r>
        <w:rPr>
          <w:rFonts w:hint="eastAsia" w:ascii="宋体" w:hAnsi="宋体"/>
          <w:szCs w:val="21"/>
        </w:rPr>
        <w:t>2承包人须与发包人签订廉洁协议、安全协议等，并提交《节点工期履约承诺书》等。</w:t>
      </w:r>
    </w:p>
    <w:p>
      <w:pPr>
        <w:pStyle w:val="2"/>
        <w:spacing w:line="440" w:lineRule="exact"/>
        <w:ind w:left="0" w:leftChars="0" w:firstLine="420" w:firstLineChars="200"/>
      </w:pPr>
      <w:r>
        <w:rPr>
          <w:rFonts w:hint="eastAsia" w:ascii="宋体" w:hAnsi="宋体"/>
        </w:rPr>
        <w:t>9.33</w:t>
      </w:r>
      <w:r>
        <w:rPr>
          <w:rFonts w:hint="eastAsia"/>
        </w:rPr>
        <w:t>承包人应按设计、规范要求做好项目完工移交前的绿化养护工作，且在移交使用单位前保证绿化苗木成活，相关费用在投标报价中综合考虑。承包人未按要求实施的，发包人将另行委托实施，由此产生的费用由承包人负责。</w:t>
      </w:r>
    </w:p>
    <w:p>
      <w:pPr>
        <w:spacing w:line="440" w:lineRule="exact"/>
        <w:ind w:firstLine="420" w:firstLineChars="200"/>
        <w:rPr>
          <w:rFonts w:ascii="宋体" w:hAnsi="宋体"/>
          <w:bCs/>
          <w:szCs w:val="21"/>
        </w:rPr>
      </w:pPr>
      <w:r>
        <w:rPr>
          <w:rFonts w:hint="eastAsia" w:ascii="宋体" w:hAnsi="宋体"/>
          <w:szCs w:val="21"/>
        </w:rPr>
        <w:t>9.</w:t>
      </w:r>
      <w:r>
        <w:rPr>
          <w:rFonts w:hint="eastAsia" w:ascii="宋体" w:hAnsi="宋体"/>
          <w:bCs/>
          <w:szCs w:val="21"/>
        </w:rPr>
        <w:t>34基坑开挖施工承包人应按要求做好地下水位处理，采取降水井等措施，费用计入投标报价内。</w:t>
      </w:r>
    </w:p>
    <w:p>
      <w:pPr>
        <w:spacing w:line="440" w:lineRule="exact"/>
        <w:ind w:firstLine="420" w:firstLineChars="200"/>
        <w:rPr>
          <w:rFonts w:ascii="宋体" w:hAnsi="宋体"/>
          <w:bCs/>
          <w:szCs w:val="21"/>
        </w:rPr>
      </w:pPr>
      <w:r>
        <w:rPr>
          <w:rFonts w:hint="eastAsia" w:ascii="宋体" w:hAnsi="宋体"/>
          <w:bCs/>
          <w:szCs w:val="21"/>
        </w:rPr>
        <w:t>9.35施工围蔽：承包人进场后应根据发包人要求、行政主管部门的有关规定编制施工围蔽方案，按审批通过的围蔽方案实施，竣工后围蔽拆除处理由承包人自行负责。围蔽符合《广州市建设工程绿色施工围蔽指导图集（V2.0版）》</w:t>
      </w:r>
      <w:r>
        <w:rPr>
          <w:rFonts w:hint="eastAsia"/>
          <w:spacing w:val="-12"/>
          <w:szCs w:val="21"/>
        </w:rPr>
        <w:t>《广州白云国际机场公共区施工围蔽标准（试行）》等有关规定</w:t>
      </w:r>
      <w:r>
        <w:rPr>
          <w:rFonts w:hint="eastAsia" w:ascii="宋体" w:hAnsi="宋体"/>
          <w:bCs/>
          <w:szCs w:val="21"/>
        </w:rPr>
        <w:t>的要求。若因围蔽不符合规定，被政府部门、发包人要求整改的，承包人应配合整改，因拆改围蔽产生的费用由承包人负责。</w:t>
      </w:r>
    </w:p>
    <w:p>
      <w:pPr>
        <w:spacing w:line="440" w:lineRule="exact"/>
        <w:ind w:firstLine="420" w:firstLineChars="200"/>
        <w:rPr>
          <w:rFonts w:ascii="宋体" w:hAnsi="宋体"/>
          <w:bCs/>
          <w:szCs w:val="21"/>
        </w:rPr>
      </w:pPr>
      <w:r>
        <w:rPr>
          <w:rFonts w:hint="eastAsia" w:ascii="宋体" w:hAnsi="宋体"/>
          <w:bCs/>
          <w:szCs w:val="21"/>
        </w:rPr>
        <w:t>9</w:t>
      </w:r>
      <w:r>
        <w:rPr>
          <w:rFonts w:ascii="宋体" w:hAnsi="宋体"/>
          <w:bCs/>
          <w:szCs w:val="21"/>
        </w:rPr>
        <w:t>.3</w:t>
      </w:r>
      <w:r>
        <w:rPr>
          <w:rFonts w:hint="eastAsia" w:ascii="宋体" w:hAnsi="宋体"/>
          <w:bCs/>
          <w:szCs w:val="21"/>
        </w:rPr>
        <w:t>6</w:t>
      </w:r>
      <w:r>
        <w:rPr>
          <w:rFonts w:ascii="宋体" w:hAnsi="宋体"/>
          <w:bCs/>
          <w:szCs w:val="21"/>
        </w:rPr>
        <w:t xml:space="preserve"> </w:t>
      </w:r>
      <w:r>
        <w:rPr>
          <w:rFonts w:hint="eastAsia" w:ascii="宋体" w:hAnsi="宋体"/>
          <w:bCs/>
          <w:szCs w:val="21"/>
        </w:rPr>
        <w:t>承包人需协助办理工程开工、验收、竣工等所需的各项相关手续，包括但不限于施工许可证（或临时施工许可证）、报建手续、余泥排放证、排污手续、排水接驳、水质检测、排水许可证、排污口规范化、噪音排放、环保检测、环保验收、消防验收、水保监测、水保验收、防雷验收、节能备案及验收、海绵城市评估及验收、竣工验收备案</w:t>
      </w:r>
      <w:r>
        <w:rPr>
          <w:rFonts w:ascii="宋体" w:hAnsi="宋体"/>
          <w:bCs/>
          <w:szCs w:val="21"/>
        </w:rPr>
        <w:t>,并承担办理上述手续中需</w:t>
      </w:r>
      <w:r>
        <w:rPr>
          <w:rFonts w:hint="eastAsia" w:ascii="宋体" w:hAnsi="宋体"/>
          <w:bCs/>
          <w:szCs w:val="21"/>
        </w:rPr>
        <w:t>承包人</w:t>
      </w:r>
      <w:r>
        <w:rPr>
          <w:rFonts w:ascii="宋体" w:hAnsi="宋体"/>
          <w:bCs/>
          <w:szCs w:val="21"/>
        </w:rPr>
        <w:t>承担的费用</w:t>
      </w:r>
      <w:r>
        <w:rPr>
          <w:rFonts w:hint="eastAsia" w:ascii="宋体" w:hAnsi="宋体"/>
          <w:bCs/>
          <w:szCs w:val="21"/>
        </w:rPr>
        <w:t>。</w:t>
      </w:r>
    </w:p>
    <w:p>
      <w:pPr>
        <w:pStyle w:val="2"/>
        <w:spacing w:line="440" w:lineRule="exact"/>
        <w:ind w:left="0" w:leftChars="0" w:firstLine="420" w:firstLineChars="200"/>
        <w:rPr>
          <w:rFonts w:ascii="宋体" w:hAnsi="宋体"/>
          <w:bCs/>
        </w:rPr>
      </w:pPr>
      <w:r>
        <w:rPr>
          <w:rFonts w:hint="eastAsia" w:ascii="宋体" w:hAnsi="宋体"/>
          <w:bCs/>
        </w:rPr>
        <w:t>9</w:t>
      </w:r>
      <w:r>
        <w:rPr>
          <w:rFonts w:ascii="宋体" w:hAnsi="宋体"/>
          <w:bCs/>
        </w:rPr>
        <w:t>.3</w:t>
      </w:r>
      <w:r>
        <w:rPr>
          <w:rFonts w:hint="eastAsia" w:ascii="宋体" w:hAnsi="宋体"/>
          <w:bCs/>
        </w:rPr>
        <w:t>7承包人负责协调施工过程中的相关职能部门、其他施工单位及周边影响项目开发进展的单位、公司和居民，包括且不限于：街道居委、公安派出所、交通部门、消防部门、质安监、城管、建管、地保办等。</w:t>
      </w:r>
    </w:p>
    <w:p>
      <w:pPr>
        <w:pStyle w:val="2"/>
        <w:spacing w:line="440" w:lineRule="exact"/>
        <w:ind w:left="0" w:leftChars="0" w:firstLine="420" w:firstLineChars="200"/>
        <w:rPr>
          <w:rFonts w:ascii="宋体" w:hAnsi="宋体"/>
          <w:bCs/>
        </w:rPr>
      </w:pPr>
      <w:r>
        <w:rPr>
          <w:rFonts w:ascii="宋体" w:hAnsi="宋体" w:cs="宋体"/>
        </w:rPr>
        <w:t xml:space="preserve">9.38 </w:t>
      </w:r>
      <w:r>
        <w:rPr>
          <w:rFonts w:hint="eastAsia" w:ascii="宋体" w:hAnsi="宋体" w:cs="宋体"/>
        </w:rPr>
        <w:t>开洞与恢复。施工图上包含有预留或预埋的开洞、开槽等内容，由承包人负责。其余开洞、开槽原则上“谁用谁开谁封堵”。承包人应加强对本工程范围内各单位的开洞打槽施工</w:t>
      </w:r>
      <w:r>
        <w:rPr>
          <w:rFonts w:hint="eastAsia" w:ascii="宋体" w:hAnsi="宋体"/>
          <w:bCs/>
        </w:rPr>
        <w:t>检查，若未能发现责任人或产生争执的，无人封堵的洞口槽坑</w:t>
      </w:r>
      <w:r>
        <w:rPr>
          <w:rFonts w:hint="eastAsia" w:ascii="宋体" w:hAnsi="宋体"/>
          <w:bCs/>
          <w:lang w:eastAsia="zh-Hans"/>
        </w:rPr>
        <w:t>均由承包人负责</w:t>
      </w:r>
      <w:r>
        <w:rPr>
          <w:rFonts w:hint="eastAsia" w:ascii="宋体" w:hAnsi="宋体"/>
          <w:bCs/>
        </w:rPr>
        <w:t>，费用在投标报价中综合考虑。</w:t>
      </w:r>
    </w:p>
    <w:p>
      <w:pPr>
        <w:pStyle w:val="2"/>
        <w:spacing w:line="440" w:lineRule="exact"/>
        <w:ind w:left="0" w:leftChars="0" w:firstLine="420" w:firstLineChars="200"/>
        <w:rPr>
          <w:rFonts w:ascii="宋体" w:hAnsi="宋体"/>
          <w:bCs/>
        </w:rPr>
      </w:pPr>
      <w:r>
        <w:rPr>
          <w:rFonts w:hint="eastAsia" w:ascii="宋体" w:hAnsi="宋体"/>
          <w:bCs/>
        </w:rPr>
        <w:t>9.39承包人因本项目获得的工法、专利证书，应提交复印件给发包人存档。</w:t>
      </w:r>
    </w:p>
    <w:p>
      <w:pPr>
        <w:pStyle w:val="2"/>
        <w:spacing w:line="440" w:lineRule="exact"/>
        <w:ind w:left="0" w:leftChars="0" w:firstLine="420" w:firstLineChars="200"/>
        <w:rPr>
          <w:rFonts w:ascii="宋体" w:hAnsi="宋体"/>
          <w:bCs/>
        </w:rPr>
      </w:pPr>
      <w:r>
        <w:rPr>
          <w:rFonts w:hint="eastAsia" w:ascii="宋体" w:hAnsi="宋体"/>
          <w:bCs/>
        </w:rPr>
        <w:t>9.40交通疏解: 工程实施过程中，若因占用原有市政道路空间，导致市政道路车行、人行交通组织发生改变，为保障各类交通运行通畅、安全，降低施工占道影响，承包人应对影响范围内的道路进行车流及行人疏导，保证该段交通正常运行，包括但不限于设置信号灯、警示灯、安全分隔等，必要时应安排专人到现场指挥。相关费用由投标人综合考虑在投标报价内，除合同另有规定外，结算时不作调整。</w:t>
      </w:r>
    </w:p>
    <w:p>
      <w:pPr>
        <w:pStyle w:val="2"/>
        <w:spacing w:line="440" w:lineRule="exact"/>
        <w:ind w:left="0" w:leftChars="0" w:firstLine="420" w:firstLineChars="200"/>
        <w:rPr>
          <w:rFonts w:ascii="宋体" w:hAnsi="宋体"/>
          <w:bCs/>
        </w:rPr>
      </w:pPr>
      <w:r>
        <w:rPr>
          <w:rFonts w:hint="eastAsia" w:ascii="宋体" w:hAnsi="宋体"/>
          <w:bCs/>
        </w:rPr>
        <w:t>9.41承包人配合工作内容：承包人对发包人另行发包工程（含发包人提供材料及设备等）的配合工作包括但不限于以下内容：提供承包人工地内现有的设备和设施，包括临时用水用电接驳点、爬梯、脚手架、垂直运输机械、施工道路、施工场地、卫生设施、工地上现有的机械设备；建筑表面修复；提供标高和定位的基本点线；核对相关预留孔洞的尺寸形状；为各类第三方检测监测提供便利等。</w:t>
      </w:r>
    </w:p>
    <w:p>
      <w:pPr>
        <w:spacing w:line="440" w:lineRule="exact"/>
        <w:ind w:firstLine="435"/>
        <w:rPr>
          <w:rFonts w:ascii="宋体" w:hAnsi="宋体"/>
          <w:bCs/>
          <w:szCs w:val="21"/>
        </w:rPr>
      </w:pPr>
      <w:r>
        <w:rPr>
          <w:rFonts w:ascii="宋体" w:hAnsi="宋体"/>
          <w:bCs/>
          <w:szCs w:val="21"/>
        </w:rPr>
        <w:t xml:space="preserve">9.42 </w:t>
      </w:r>
      <w:r>
        <w:rPr>
          <w:rFonts w:hint="eastAsia" w:ascii="宋体" w:hAnsi="宋体"/>
          <w:bCs/>
          <w:szCs w:val="21"/>
        </w:rPr>
        <w:t>承包人负责本标段范围内竣工图纸的绘制和打印，并须经监理和设计审核、签署、盖章，相关费用由承包人负责。</w:t>
      </w:r>
    </w:p>
    <w:p>
      <w:pPr>
        <w:spacing w:line="440" w:lineRule="exact"/>
        <w:ind w:firstLine="435"/>
        <w:rPr>
          <w:rFonts w:ascii="宋体" w:hAnsi="宋体"/>
          <w:bCs/>
          <w:szCs w:val="21"/>
        </w:rPr>
      </w:pPr>
      <w:r>
        <w:rPr>
          <w:rFonts w:hint="eastAsia" w:ascii="宋体" w:hAnsi="宋体"/>
          <w:bCs/>
          <w:szCs w:val="21"/>
        </w:rPr>
        <w:t>9</w:t>
      </w:r>
      <w:r>
        <w:rPr>
          <w:rFonts w:ascii="宋体" w:hAnsi="宋体"/>
          <w:bCs/>
          <w:szCs w:val="21"/>
        </w:rPr>
        <w:t>.44</w:t>
      </w:r>
      <w:r>
        <w:rPr>
          <w:rFonts w:hint="eastAsia" w:ascii="宋体" w:hAnsi="宋体"/>
          <w:bCs/>
          <w:szCs w:val="21"/>
        </w:rPr>
        <w:t xml:space="preserve"> 本项目位于白云机场周边，施工区域有限高要求，承包人应根据要求自行合理规划塔吊、施工机械、设备布置，确保施工满足机场限高要求。</w:t>
      </w:r>
    </w:p>
    <w:p>
      <w:pPr>
        <w:spacing w:line="440" w:lineRule="exact"/>
        <w:ind w:firstLine="435"/>
        <w:rPr>
          <w:rFonts w:ascii="宋体" w:hAnsi="宋体"/>
          <w:bCs/>
          <w:szCs w:val="21"/>
        </w:rPr>
      </w:pPr>
      <w:r>
        <w:rPr>
          <w:rFonts w:hint="eastAsia" w:ascii="宋体" w:hAnsi="宋体"/>
          <w:bCs/>
          <w:szCs w:val="21"/>
        </w:rPr>
        <w:t>9</w:t>
      </w:r>
      <w:r>
        <w:rPr>
          <w:rFonts w:ascii="宋体" w:hAnsi="宋体"/>
          <w:bCs/>
          <w:szCs w:val="21"/>
        </w:rPr>
        <w:t xml:space="preserve">.45 </w:t>
      </w:r>
      <w:r>
        <w:rPr>
          <w:rFonts w:hint="eastAsia" w:ascii="宋体" w:hAnsi="宋体"/>
          <w:bCs/>
          <w:szCs w:val="21"/>
        </w:rPr>
        <w:t>承包人应综合考虑现场实际情况、工期节点，优化桩基础工程施工方案，桩基础工程产生的空桩费用由承包人在投标报价中综合考虑。</w:t>
      </w:r>
    </w:p>
    <w:p>
      <w:pPr>
        <w:spacing w:line="440" w:lineRule="exact"/>
        <w:rPr>
          <w:rFonts w:ascii="宋体" w:hAnsi="宋体"/>
          <w:bCs/>
          <w:szCs w:val="21"/>
        </w:rPr>
      </w:pPr>
      <w:r>
        <w:rPr>
          <w:rFonts w:hint="eastAsia" w:ascii="宋体" w:hAnsi="宋体"/>
          <w:bCs/>
          <w:szCs w:val="21"/>
        </w:rPr>
        <w:t xml:space="preserve">    9.46 承包人应按相关规定做好建筑垃圾减量化工作，减少施工现场建筑垃圾排放量，所需费用在报价中综合考虑，具体要求包括但不限于：（1）承包人应按要求编制落实建筑垃圾减量化专项方案和管理制度；（2）承包人应加强施工工程质量管控，提高施工水平，减少返工或修补；（3）承包人在满足规范的前提下，建筑垃圾优先就地利用；（4）承包人应提高临时设施和周转材料重复利用率；（5）承包人应在工地实行建筑垃圾分类管理；（6）承包人应按要求使用建筑垃圾综合利用产品。</w:t>
      </w:r>
    </w:p>
    <w:p>
      <w:pPr>
        <w:pStyle w:val="92"/>
        <w:spacing w:line="440" w:lineRule="exact"/>
        <w:ind w:firstLine="0" w:firstLineChars="0"/>
        <w:rPr>
          <w:rFonts w:ascii="宋体" w:hAnsi="宋体"/>
          <w:bCs/>
          <w:szCs w:val="21"/>
        </w:rPr>
      </w:pPr>
    </w:p>
    <w:p>
      <w:pPr>
        <w:spacing w:line="440" w:lineRule="exact"/>
        <w:ind w:firstLine="422" w:firstLineChars="200"/>
        <w:rPr>
          <w:rFonts w:ascii="宋体" w:hAnsi="宋体"/>
          <w:b/>
          <w:szCs w:val="21"/>
        </w:rPr>
      </w:pPr>
      <w:r>
        <w:rPr>
          <w:rFonts w:ascii="宋体" w:hAnsi="宋体"/>
          <w:b/>
          <w:szCs w:val="21"/>
        </w:rPr>
        <w:t>10.</w:t>
      </w:r>
      <w:r>
        <w:rPr>
          <w:rFonts w:hint="eastAsia" w:ascii="宋体" w:hAnsi="宋体"/>
          <w:b/>
          <w:szCs w:val="21"/>
        </w:rPr>
        <w:t>质量保修</w:t>
      </w:r>
    </w:p>
    <w:p>
      <w:pPr>
        <w:spacing w:line="440" w:lineRule="exact"/>
        <w:ind w:firstLine="420" w:firstLineChars="200"/>
        <w:rPr>
          <w:rFonts w:ascii="宋体" w:hAnsi="宋体"/>
          <w:szCs w:val="21"/>
        </w:rPr>
      </w:pPr>
      <w:r>
        <w:rPr>
          <w:rFonts w:ascii="宋体" w:hAnsi="宋体"/>
          <w:szCs w:val="21"/>
        </w:rPr>
        <w:t>10.1</w:t>
      </w:r>
      <w:r>
        <w:rPr>
          <w:rFonts w:hint="eastAsia" w:ascii="宋体" w:hAnsi="宋体"/>
          <w:szCs w:val="21"/>
        </w:rPr>
        <w:t>承包人应按时与发包人签订《工程质量保修书》。</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0.2</w:t>
      </w:r>
      <w:r>
        <w:rPr>
          <w:rFonts w:hint="eastAsia" w:ascii="宋体" w:hAnsi="宋体"/>
          <w:szCs w:val="21"/>
        </w:rPr>
        <w:t>属于保修范围的项目，承包人应在接到发包人通知后的</w:t>
      </w:r>
      <w:r>
        <w:rPr>
          <w:rFonts w:ascii="宋体" w:hAnsi="宋体"/>
          <w:szCs w:val="21"/>
        </w:rPr>
        <w:t xml:space="preserve"> 7 </w:t>
      </w:r>
      <w:r>
        <w:rPr>
          <w:rFonts w:hint="eastAsia" w:ascii="宋体" w:hAnsi="宋体"/>
          <w:szCs w:val="21"/>
        </w:rPr>
        <w:t>天内派人保修。承包人未能在规定时间内派人保修的，发包人可自行或委托第三方保修。</w:t>
      </w:r>
    </w:p>
    <w:p>
      <w:pPr>
        <w:spacing w:line="440" w:lineRule="exact"/>
        <w:ind w:firstLine="420" w:firstLineChars="200"/>
        <w:rPr>
          <w:rFonts w:ascii="宋体" w:hAnsi="宋体"/>
          <w:szCs w:val="21"/>
        </w:rPr>
      </w:pPr>
      <w:r>
        <w:rPr>
          <w:rFonts w:ascii="宋体" w:hAnsi="宋体"/>
          <w:szCs w:val="21"/>
        </w:rPr>
        <w:t>10.3</w:t>
      </w:r>
      <w:r>
        <w:rPr>
          <w:rFonts w:hint="eastAsia" w:ascii="宋体" w:hAnsi="宋体"/>
          <w:szCs w:val="21"/>
        </w:rPr>
        <w:t>发生紧急抢修事故的，承包人在接到通知后，应立即到达事故现场抢修。</w:t>
      </w:r>
    </w:p>
    <w:p>
      <w:pPr>
        <w:spacing w:line="440" w:lineRule="exact"/>
        <w:ind w:firstLine="420" w:firstLineChars="200"/>
        <w:rPr>
          <w:rFonts w:ascii="宋体" w:hAnsi="宋体"/>
          <w:szCs w:val="21"/>
        </w:rPr>
      </w:pPr>
      <w:r>
        <w:rPr>
          <w:rFonts w:ascii="宋体" w:hAnsi="宋体"/>
          <w:szCs w:val="21"/>
        </w:rPr>
        <w:t>10.4</w:t>
      </w:r>
      <w:r>
        <w:rPr>
          <w:rFonts w:hint="eastAsia" w:ascii="宋体" w:hAnsi="宋体"/>
          <w:szCs w:val="21"/>
        </w:rPr>
        <w:t>在国家规定的合理使用期限内，承包人应确保地基基础工程和主体结构的质量和安全。凡出现质量问题，应立即报告当地建设行政主管部门，经设计人提出保修方案后，承包人应立即实施保修。</w:t>
      </w:r>
    </w:p>
    <w:p>
      <w:pPr>
        <w:spacing w:line="440" w:lineRule="exact"/>
        <w:ind w:firstLine="420" w:firstLineChars="200"/>
        <w:rPr>
          <w:rFonts w:ascii="宋体" w:hAnsi="宋体"/>
          <w:szCs w:val="21"/>
        </w:rPr>
      </w:pPr>
      <w:r>
        <w:rPr>
          <w:rFonts w:ascii="宋体" w:hAnsi="宋体"/>
          <w:szCs w:val="21"/>
        </w:rPr>
        <w:t>10.5</w:t>
      </w:r>
      <w:r>
        <w:rPr>
          <w:rFonts w:hint="eastAsia" w:ascii="宋体" w:hAnsi="宋体"/>
          <w:szCs w:val="21"/>
        </w:rPr>
        <w:t>质量保修完成后，由发包人组织验收。</w:t>
      </w:r>
    </w:p>
    <w:p>
      <w:pPr>
        <w:spacing w:line="440" w:lineRule="exact"/>
        <w:ind w:firstLine="420" w:firstLineChars="200"/>
        <w:rPr>
          <w:rFonts w:ascii="宋体" w:hAnsi="宋体"/>
          <w:szCs w:val="21"/>
        </w:rPr>
      </w:pPr>
    </w:p>
    <w:p>
      <w:pPr>
        <w:spacing w:line="440" w:lineRule="exact"/>
        <w:rPr>
          <w:rFonts w:ascii="宋体" w:hAnsi="宋体"/>
          <w:b/>
          <w:szCs w:val="21"/>
        </w:rPr>
      </w:pPr>
      <w:r>
        <w:rPr>
          <w:rFonts w:hint="eastAsia" w:ascii="宋体" w:hAnsi="宋体"/>
          <w:b/>
          <w:szCs w:val="21"/>
        </w:rPr>
        <w:t>1</w:t>
      </w:r>
      <w:r>
        <w:rPr>
          <w:rFonts w:ascii="宋体" w:hAnsi="宋体"/>
          <w:b/>
          <w:szCs w:val="21"/>
        </w:rPr>
        <w:t>1.</w:t>
      </w:r>
      <w:r>
        <w:rPr>
          <w:rFonts w:hint="eastAsia" w:ascii="宋体" w:hAnsi="宋体"/>
          <w:b/>
          <w:szCs w:val="21"/>
        </w:rPr>
        <w:t>施工现场视频监控要求</w:t>
      </w:r>
    </w:p>
    <w:p>
      <w:pPr>
        <w:spacing w:line="440" w:lineRule="exact"/>
        <w:ind w:firstLine="420" w:firstLineChars="200"/>
        <w:rPr>
          <w:rFonts w:ascii="宋体" w:hAnsi="宋体"/>
        </w:rPr>
      </w:pPr>
      <w:r>
        <w:rPr>
          <w:rFonts w:ascii="宋体" w:hAnsi="宋体"/>
          <w:bCs/>
          <w:szCs w:val="21"/>
        </w:rPr>
        <w:t>11.1</w:t>
      </w:r>
      <w:r>
        <w:rPr>
          <w:rFonts w:hint="eastAsia" w:ascii="宋体" w:hAnsi="宋体"/>
          <w:bCs/>
          <w:szCs w:val="21"/>
        </w:rPr>
        <w:t>承包人</w:t>
      </w:r>
      <w:r>
        <w:rPr>
          <w:rFonts w:hint="eastAsia" w:ascii="宋体" w:hAnsi="宋体"/>
        </w:rPr>
        <w:t>进场后需搭建施工监控平台，在现场相应位置部署监控枪，并在项目部搭建起视频会议系统与集团工程建设指挥部完成对接工作，如机场有关管理单位、政府主管部门也有对接要求，也必须按要求执行，有关费用在投标报价中综合考虑。</w:t>
      </w:r>
    </w:p>
    <w:p>
      <w:pPr>
        <w:spacing w:line="440" w:lineRule="exact"/>
        <w:ind w:firstLine="420" w:firstLineChars="200"/>
        <w:rPr>
          <w:rFonts w:ascii="宋体" w:hAnsi="宋体"/>
        </w:rPr>
      </w:pPr>
      <w:r>
        <w:rPr>
          <w:rFonts w:hint="eastAsia" w:ascii="宋体" w:hAnsi="宋体"/>
        </w:rPr>
        <w:t>1</w:t>
      </w:r>
      <w:r>
        <w:rPr>
          <w:rFonts w:ascii="宋体" w:hAnsi="宋体"/>
        </w:rPr>
        <w:t>1.2</w:t>
      </w:r>
      <w:r>
        <w:rPr>
          <w:rFonts w:hint="eastAsia" w:ascii="宋体" w:hAnsi="宋体"/>
        </w:rPr>
        <w:t>视频监控建设要求</w:t>
      </w:r>
    </w:p>
    <w:p>
      <w:pPr>
        <w:tabs>
          <w:tab w:val="left" w:pos="0"/>
        </w:tabs>
        <w:spacing w:line="440" w:lineRule="exact"/>
        <w:ind w:firstLine="420" w:firstLineChars="200"/>
        <w:rPr>
          <w:rFonts w:ascii="宋体" w:hAnsi="宋体"/>
        </w:rPr>
      </w:pPr>
      <w:r>
        <w:rPr>
          <w:rFonts w:hint="eastAsia" w:ascii="宋体" w:hAnsi="宋体"/>
        </w:rPr>
        <w:t>（1）视频系统建设原则上在不转动摄像机的情况下，能够实现对楼内外所有重要施工作业面的监控。要求对关键施工区域等能够监控到全部施工实时信息，需要但不限于在下列部位安装视频监控设备：</w:t>
      </w:r>
    </w:p>
    <w:p>
      <w:pPr>
        <w:tabs>
          <w:tab w:val="left" w:pos="0"/>
        </w:tabs>
        <w:spacing w:line="440" w:lineRule="exact"/>
        <w:ind w:firstLine="630" w:firstLineChars="300"/>
        <w:rPr>
          <w:rFonts w:ascii="宋体" w:hAnsi="宋体"/>
        </w:rPr>
      </w:pPr>
      <w:r>
        <w:rPr>
          <w:rFonts w:hint="eastAsia" w:ascii="宋体" w:hAnsi="宋体"/>
        </w:rPr>
        <w:t>1）施工现场高点、施工人员主要出入口、现场进出材料的大门等关键区域；</w:t>
      </w:r>
    </w:p>
    <w:p>
      <w:pPr>
        <w:tabs>
          <w:tab w:val="left" w:pos="0"/>
        </w:tabs>
        <w:spacing w:line="440" w:lineRule="exact"/>
        <w:ind w:firstLine="630" w:firstLineChars="300"/>
        <w:rPr>
          <w:rFonts w:ascii="宋体" w:hAnsi="宋体"/>
        </w:rPr>
      </w:pPr>
      <w:r>
        <w:rPr>
          <w:rFonts w:hint="eastAsia" w:ascii="宋体" w:hAnsi="宋体"/>
        </w:rPr>
        <w:t>2）堆料场、现场仓库等关键场地；</w:t>
      </w:r>
    </w:p>
    <w:p>
      <w:pPr>
        <w:tabs>
          <w:tab w:val="left" w:pos="0"/>
        </w:tabs>
        <w:spacing w:line="440" w:lineRule="exact"/>
        <w:ind w:firstLine="630" w:firstLineChars="300"/>
        <w:rPr>
          <w:rFonts w:ascii="宋体" w:hAnsi="宋体"/>
        </w:rPr>
      </w:pPr>
      <w:r>
        <w:rPr>
          <w:rFonts w:hint="eastAsia" w:ascii="宋体" w:hAnsi="宋体"/>
        </w:rPr>
        <w:t>3）其他需要重点监控的部位。</w:t>
      </w:r>
    </w:p>
    <w:p>
      <w:pPr>
        <w:tabs>
          <w:tab w:val="left" w:pos="0"/>
        </w:tabs>
        <w:spacing w:line="440" w:lineRule="exact"/>
        <w:ind w:firstLine="420" w:firstLineChars="200"/>
        <w:rPr>
          <w:rFonts w:ascii="宋体" w:hAnsi="宋体"/>
        </w:rPr>
      </w:pPr>
      <w:r>
        <w:rPr>
          <w:rFonts w:hint="eastAsia" w:ascii="宋体" w:hAnsi="宋体"/>
        </w:rPr>
        <w:t>（2）应提供不小于10㎡的施工现场视频监控室；施工现场监控室设置不小于22寸专用液晶视频监控屏；须配置UPS电源，断电后UPS供电时间不小于20分钟。</w:t>
      </w:r>
    </w:p>
    <w:p>
      <w:pPr>
        <w:tabs>
          <w:tab w:val="left" w:pos="0"/>
        </w:tabs>
        <w:spacing w:line="440" w:lineRule="exact"/>
        <w:ind w:firstLine="420" w:firstLineChars="200"/>
        <w:rPr>
          <w:rFonts w:ascii="宋体" w:hAnsi="宋体"/>
        </w:rPr>
      </w:pPr>
      <w:r>
        <w:rPr>
          <w:rFonts w:hint="eastAsia" w:ascii="宋体" w:hAnsi="宋体"/>
        </w:rPr>
        <w:t>（3）施工现场视频监控的时间要求为从施工开工至整体完工，竣工验收后完成相应的拆除工作并将材料设备等移交建设单位。</w:t>
      </w:r>
    </w:p>
    <w:p>
      <w:pPr>
        <w:tabs>
          <w:tab w:val="left" w:pos="0"/>
        </w:tabs>
        <w:spacing w:line="440" w:lineRule="exact"/>
        <w:ind w:firstLine="420" w:firstLineChars="200"/>
        <w:rPr>
          <w:rFonts w:ascii="宋体" w:hAnsi="宋体"/>
        </w:rPr>
      </w:pPr>
      <w:r>
        <w:rPr>
          <w:rFonts w:hint="eastAsia" w:ascii="宋体" w:hAnsi="宋体"/>
        </w:rPr>
        <w:t>（4）施工监控存储时间不少于90天。</w:t>
      </w:r>
    </w:p>
    <w:p>
      <w:pPr>
        <w:tabs>
          <w:tab w:val="left" w:pos="0"/>
        </w:tabs>
        <w:spacing w:line="440" w:lineRule="exact"/>
        <w:ind w:firstLine="420" w:firstLineChars="200"/>
        <w:rPr>
          <w:rFonts w:ascii="宋体" w:hAnsi="宋体"/>
        </w:rPr>
      </w:pPr>
      <w:r>
        <w:rPr>
          <w:rFonts w:hint="eastAsia" w:ascii="宋体" w:hAnsi="宋体"/>
        </w:rPr>
        <w:t>（5）进场后30天内向建设单位提交现场施工视频监控实施方案，施工现场视频监控实施方案要经建设单位及监理单位审批同意后才能实施，施工单位委托比选确定的专业技术支持单位按照施工方案组织视频系统的设备采购、安装、调试及维护工作。</w:t>
      </w:r>
    </w:p>
    <w:p>
      <w:pPr>
        <w:tabs>
          <w:tab w:val="left" w:pos="0"/>
        </w:tabs>
        <w:spacing w:line="440" w:lineRule="exact"/>
        <w:ind w:firstLine="420" w:firstLineChars="200"/>
        <w:rPr>
          <w:rFonts w:ascii="宋体" w:hAnsi="宋体"/>
        </w:rPr>
      </w:pPr>
      <w:r>
        <w:rPr>
          <w:rFonts w:hint="eastAsia" w:ascii="宋体" w:hAnsi="宋体"/>
        </w:rPr>
        <w:t>（6）视频系统安装、调试完毕后，施工单位填报验收申请表及提交验收材料，建设单位、监理单位、施工单位进行现场验收，验收合格后各方签字，验收材料报建设单位备案。</w:t>
      </w:r>
    </w:p>
    <w:p>
      <w:pPr>
        <w:tabs>
          <w:tab w:val="left" w:pos="0"/>
        </w:tabs>
        <w:spacing w:line="440" w:lineRule="exact"/>
        <w:ind w:firstLine="420" w:firstLineChars="200"/>
        <w:rPr>
          <w:rFonts w:ascii="宋体" w:hAnsi="宋体"/>
        </w:rPr>
      </w:pPr>
      <w:r>
        <w:rPr>
          <w:rFonts w:hint="eastAsia" w:ascii="宋体" w:hAnsi="宋体"/>
        </w:rPr>
        <w:t>（7）施工现场视频监控要先与工程建设指挥部工地视频监控系统完成对接工作，待智慧工地管理系统建成后接入智慧工地管理系统。现场到指挥部的网络传输应满足从上下行带宽≥100Mbps的网络专线，并满足公安及其他管理单位远程调看现场监控视频的需求。</w:t>
      </w:r>
    </w:p>
    <w:p>
      <w:pPr>
        <w:tabs>
          <w:tab w:val="left" w:pos="0"/>
        </w:tabs>
        <w:spacing w:line="440" w:lineRule="exact"/>
        <w:ind w:firstLine="420" w:firstLineChars="200"/>
        <w:rPr>
          <w:rFonts w:ascii="宋体" w:hAnsi="宋体"/>
        </w:rPr>
      </w:pPr>
      <w:r>
        <w:rPr>
          <w:rFonts w:hint="eastAsia" w:ascii="宋体" w:hAnsi="宋体"/>
        </w:rPr>
        <w:t>（8）上述施工现场视频监控采购、安装、调试及维护费用及连接公安、指挥部和其他管理单位的网络传输费用，由投标人在绿色施工安全防护措施费及投标报价中综合考虑，中标后发包人不再签证。</w:t>
      </w:r>
    </w:p>
    <w:p>
      <w:pPr>
        <w:tabs>
          <w:tab w:val="left" w:pos="0"/>
          <w:tab w:val="left" w:pos="420"/>
        </w:tabs>
        <w:spacing w:line="440" w:lineRule="exact"/>
        <w:ind w:firstLine="420" w:firstLineChars="200"/>
        <w:rPr>
          <w:rFonts w:ascii="宋体" w:hAnsi="宋体"/>
        </w:rPr>
      </w:pPr>
      <w:r>
        <w:rPr>
          <w:rFonts w:hint="eastAsia" w:ascii="宋体" w:hAnsi="宋体"/>
        </w:rPr>
        <w:t>（9）在整体施工期间，根据现场情况的变化，建设单位、公安及相关管理单位会调整现场临时监控的设置点位，需要对视频监控点位进行迁移或增加，</w:t>
      </w:r>
      <w:r>
        <w:rPr>
          <w:rFonts w:hint="eastAsia" w:ascii="宋体" w:hAnsi="宋体" w:cs="宋体"/>
          <w:szCs w:val="21"/>
        </w:rPr>
        <w:t>承包人</w:t>
      </w:r>
      <w:r>
        <w:rPr>
          <w:rFonts w:hint="eastAsia" w:ascii="宋体" w:hAnsi="宋体"/>
        </w:rPr>
        <w:t>必须无条件满足调整要求，该部分费用在绿色施工安全防护措施费及投标报价中综合考虑，中标后发包人不再签证。</w:t>
      </w:r>
    </w:p>
    <w:p>
      <w:pPr>
        <w:tabs>
          <w:tab w:val="left" w:pos="0"/>
        </w:tabs>
        <w:spacing w:line="440" w:lineRule="exact"/>
        <w:ind w:firstLine="420" w:firstLineChars="200"/>
        <w:rPr>
          <w:rFonts w:ascii="宋体" w:hAnsi="宋体"/>
        </w:rPr>
      </w:pPr>
      <w:r>
        <w:rPr>
          <w:rFonts w:hint="eastAsia" w:ascii="宋体" w:hAnsi="宋体"/>
        </w:rPr>
        <w:t>（1</w:t>
      </w:r>
      <w:r>
        <w:rPr>
          <w:rFonts w:ascii="宋体" w:hAnsi="宋体"/>
        </w:rPr>
        <w:t>0</w:t>
      </w:r>
      <w:r>
        <w:rPr>
          <w:rFonts w:hint="eastAsia" w:ascii="宋体" w:hAnsi="宋体"/>
        </w:rPr>
        <w:t>）施工现场视频监控出现任何系统运作和故障情况，要24小时之内修复完毕。</w:t>
      </w:r>
    </w:p>
    <w:p>
      <w:pPr>
        <w:spacing w:line="440" w:lineRule="exact"/>
        <w:rPr>
          <w:rFonts w:ascii="宋体" w:hAnsi="宋体"/>
          <w:bCs/>
          <w:szCs w:val="21"/>
        </w:rPr>
      </w:pPr>
    </w:p>
    <w:p>
      <w:pPr>
        <w:spacing w:line="440" w:lineRule="exact"/>
        <w:rPr>
          <w:rFonts w:ascii="宋体" w:hAnsi="宋体"/>
          <w:b/>
          <w:szCs w:val="21"/>
        </w:rPr>
      </w:pPr>
      <w:r>
        <w:rPr>
          <w:rFonts w:hint="eastAsia" w:ascii="宋体" w:hAnsi="宋体"/>
          <w:b/>
          <w:szCs w:val="21"/>
        </w:rPr>
        <w:t>1</w:t>
      </w:r>
      <w:r>
        <w:rPr>
          <w:rFonts w:ascii="宋体" w:hAnsi="宋体"/>
          <w:b/>
          <w:szCs w:val="21"/>
        </w:rPr>
        <w:t>2.</w:t>
      </w:r>
      <w:r>
        <w:rPr>
          <w:rFonts w:hint="eastAsia" w:ascii="宋体" w:hAnsi="宋体"/>
          <w:b/>
          <w:szCs w:val="21"/>
        </w:rPr>
        <w:t>工地出入口管理要求</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2.1</w:t>
      </w:r>
      <w:r>
        <w:rPr>
          <w:rFonts w:hint="eastAsia" w:ascii="宋体" w:hAnsi="宋体"/>
          <w:szCs w:val="21"/>
        </w:rPr>
        <w:t>工地出入口相关设备及管理系统要按《广州白云国际机场三期扩建工程智慧工地技术要求》实施。</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2.2</w:t>
      </w:r>
      <w:r>
        <w:rPr>
          <w:rFonts w:hint="eastAsia" w:ascii="宋体" w:hAnsi="宋体"/>
          <w:szCs w:val="21"/>
        </w:rPr>
        <w:t>工地出入口相关设备及管理系统先与现有的白云三期工地通行综合管理系统对接，待智慧工地管理系统建成后接入智慧工地管理系统。对接系统、网络传输等费用在绿色施工安全防护措施费及投标报价中综合考虑，中标后发包人不再签证。</w:t>
      </w:r>
    </w:p>
    <w:p>
      <w:pPr>
        <w:spacing w:line="440" w:lineRule="exact"/>
        <w:rPr>
          <w:rFonts w:ascii="宋体" w:hAnsi="宋体"/>
          <w:bCs/>
          <w:szCs w:val="21"/>
        </w:rPr>
      </w:pPr>
    </w:p>
    <w:p>
      <w:pPr>
        <w:spacing w:line="440" w:lineRule="exact"/>
        <w:rPr>
          <w:rFonts w:ascii="宋体" w:hAnsi="宋体"/>
          <w:b/>
          <w:color w:val="000000"/>
          <w:szCs w:val="21"/>
        </w:rPr>
      </w:pPr>
      <w:r>
        <w:rPr>
          <w:rFonts w:hint="eastAsia" w:ascii="宋体" w:hAnsi="宋体"/>
          <w:b/>
          <w:bCs/>
          <w:color w:val="000000"/>
          <w:szCs w:val="21"/>
        </w:rPr>
        <w:t>1</w:t>
      </w:r>
      <w:r>
        <w:rPr>
          <w:rFonts w:ascii="宋体" w:hAnsi="宋体"/>
          <w:b/>
          <w:bCs/>
          <w:color w:val="000000"/>
          <w:szCs w:val="21"/>
        </w:rPr>
        <w:t>3.</w:t>
      </w:r>
      <w:r>
        <w:rPr>
          <w:rFonts w:hint="eastAsia" w:ascii="宋体" w:hAnsi="宋体"/>
          <w:b/>
          <w:bCs/>
          <w:color w:val="000000"/>
          <w:szCs w:val="21"/>
        </w:rPr>
        <w:t>安全文明施工要求</w:t>
      </w:r>
    </w:p>
    <w:p>
      <w:pPr>
        <w:spacing w:line="440" w:lineRule="exact"/>
        <w:ind w:firstLine="420" w:firstLineChars="200"/>
        <w:rPr>
          <w:rFonts w:ascii="宋体" w:hAnsi="宋体"/>
        </w:rPr>
      </w:pPr>
      <w:r>
        <w:rPr>
          <w:rFonts w:hint="eastAsia" w:ascii="宋体" w:hAnsi="宋体"/>
        </w:rPr>
        <w:t>承包人应按《广州市建设工程文明施工管理规定》（广州市人民政府令第 62 号）要求开展施工活动，同时需满足如下要求：</w:t>
      </w:r>
    </w:p>
    <w:p>
      <w:pPr>
        <w:spacing w:line="440" w:lineRule="exact"/>
        <w:ind w:firstLine="420" w:firstLineChars="200"/>
        <w:rPr>
          <w:rFonts w:ascii="宋体" w:hAnsi="宋体"/>
        </w:rPr>
      </w:pPr>
      <w:r>
        <w:rPr>
          <w:rFonts w:hint="eastAsia" w:ascii="宋体" w:hAnsi="宋体"/>
        </w:rPr>
        <w:t>1</w:t>
      </w:r>
      <w:r>
        <w:rPr>
          <w:rFonts w:ascii="宋体" w:hAnsi="宋体"/>
        </w:rPr>
        <w:t>3.1</w:t>
      </w:r>
      <w:r>
        <w:rPr>
          <w:rFonts w:hint="eastAsia" w:ascii="宋体" w:hAnsi="宋体"/>
        </w:rPr>
        <w:t>机构与人员：建立安全文明施工管理领导小组和管理机构，建立工地安全文明施工管理及制定责任人名单。</w:t>
      </w:r>
    </w:p>
    <w:p>
      <w:pPr>
        <w:spacing w:line="440" w:lineRule="exact"/>
        <w:ind w:firstLine="420" w:firstLineChars="200"/>
        <w:rPr>
          <w:rFonts w:ascii="宋体" w:hAnsi="宋体"/>
        </w:rPr>
      </w:pPr>
      <w:r>
        <w:rPr>
          <w:rFonts w:hint="eastAsia" w:ascii="宋体" w:hAnsi="宋体"/>
        </w:rPr>
        <w:t>1</w:t>
      </w:r>
      <w:r>
        <w:rPr>
          <w:rFonts w:ascii="宋体" w:hAnsi="宋体"/>
        </w:rPr>
        <w:t>3.2</w:t>
      </w:r>
      <w:r>
        <w:rPr>
          <w:rFonts w:hint="eastAsia" w:ascii="宋体" w:hAnsi="宋体"/>
        </w:rPr>
        <w:t>安全事故违约：为加强施工安全管理和文明施工，确保承包人安全保证及文明施工措施的落实，如发生因承包人自身原因造成的安全责任事故，发包人会根据事故的严重程度按附件4.《工程建设指挥部建设项目安全生产处罚实施细则》执行。如未按照发包人文明施工要求执行，发两次书面整改通知单无效后，每次扣除违约金5万元。所有违约金由监理人、发包人确定后直接从工程款里扣除。发生责任安全事故的，承包人除应接受经济处罚外，还应及时采取必要的补救措施，赔偿相关方的损失。</w:t>
      </w:r>
    </w:p>
    <w:p>
      <w:pPr>
        <w:spacing w:line="440" w:lineRule="exact"/>
        <w:ind w:firstLine="420" w:firstLineChars="200"/>
        <w:rPr>
          <w:rFonts w:ascii="宋体" w:hAnsi="宋体"/>
        </w:rPr>
      </w:pPr>
      <w:r>
        <w:rPr>
          <w:rFonts w:hint="eastAsia" w:ascii="宋体" w:hAnsi="宋体"/>
        </w:rPr>
        <w:t>1</w:t>
      </w:r>
      <w:r>
        <w:rPr>
          <w:rFonts w:ascii="宋体" w:hAnsi="宋体"/>
        </w:rPr>
        <w:t>3.3</w:t>
      </w:r>
      <w:r>
        <w:rPr>
          <w:rFonts w:hint="eastAsia" w:ascii="宋体" w:hAnsi="宋体"/>
        </w:rPr>
        <w:t>粉尘控制：施工现场必须采取有效措施控制粉尘。</w:t>
      </w:r>
    </w:p>
    <w:p>
      <w:pPr>
        <w:spacing w:line="440" w:lineRule="exact"/>
        <w:ind w:firstLine="420" w:firstLineChars="200"/>
        <w:rPr>
          <w:rFonts w:ascii="宋体" w:hAnsi="宋体"/>
        </w:rPr>
      </w:pPr>
      <w:r>
        <w:rPr>
          <w:rFonts w:hint="eastAsia" w:ascii="宋体" w:hAnsi="宋体"/>
        </w:rPr>
        <w:t>1</w:t>
      </w:r>
      <w:r>
        <w:rPr>
          <w:rFonts w:ascii="宋体" w:hAnsi="宋体"/>
        </w:rPr>
        <w:t>3.4</w:t>
      </w:r>
      <w:r>
        <w:rPr>
          <w:rFonts w:hint="eastAsia" w:ascii="宋体" w:hAnsi="宋体"/>
        </w:rPr>
        <w:t>道路整洁卫生畅通：现场配备洒水车</w:t>
      </w:r>
      <w:r>
        <w:rPr>
          <w:rFonts w:ascii="宋体" w:hAnsi="宋体"/>
        </w:rPr>
        <w:t>2</w:t>
      </w:r>
      <w:r>
        <w:rPr>
          <w:rFonts w:hint="eastAsia" w:ascii="宋体" w:hAnsi="宋体"/>
        </w:rPr>
        <w:t>台、喷雾车1台，保证施工区域和所负责维护的道路整洁卫生畅通，不得发生因道路受阻而影响机场建设正常开展。</w:t>
      </w:r>
    </w:p>
    <w:p>
      <w:pPr>
        <w:spacing w:line="440" w:lineRule="exact"/>
        <w:ind w:firstLine="420" w:firstLineChars="200"/>
        <w:rPr>
          <w:rFonts w:ascii="宋体" w:hAnsi="宋体"/>
        </w:rPr>
      </w:pPr>
      <w:r>
        <w:rPr>
          <w:rFonts w:hint="eastAsia" w:ascii="宋体" w:hAnsi="宋体"/>
        </w:rPr>
        <w:t>1</w:t>
      </w:r>
      <w:r>
        <w:rPr>
          <w:rFonts w:ascii="宋体" w:hAnsi="宋体"/>
        </w:rPr>
        <w:t>3.5</w:t>
      </w:r>
      <w:r>
        <w:rPr>
          <w:rFonts w:hint="eastAsia" w:ascii="宋体" w:hAnsi="宋体"/>
        </w:rPr>
        <w:t>生活区和办公区围栏整洁、铭牌书写和挂放工整规范。</w:t>
      </w:r>
    </w:p>
    <w:p>
      <w:pPr>
        <w:spacing w:line="440" w:lineRule="exact"/>
        <w:ind w:firstLine="420" w:firstLineChars="200"/>
        <w:rPr>
          <w:rFonts w:ascii="宋体" w:hAnsi="宋体"/>
        </w:rPr>
      </w:pPr>
      <w:r>
        <w:rPr>
          <w:rFonts w:hint="eastAsia" w:ascii="宋体" w:hAnsi="宋体"/>
        </w:rPr>
        <w:t>1</w:t>
      </w:r>
      <w:r>
        <w:rPr>
          <w:rFonts w:ascii="宋体" w:hAnsi="宋体"/>
        </w:rPr>
        <w:t>3.6</w:t>
      </w:r>
      <w:r>
        <w:rPr>
          <w:rFonts w:hint="eastAsia" w:ascii="宋体" w:hAnsi="宋体"/>
        </w:rPr>
        <w:t>施工现场和生活区排水沟畅通。</w:t>
      </w:r>
    </w:p>
    <w:p>
      <w:pPr>
        <w:spacing w:line="440" w:lineRule="exact"/>
        <w:ind w:firstLine="420" w:firstLineChars="200"/>
        <w:rPr>
          <w:rFonts w:ascii="宋体" w:hAnsi="宋体"/>
        </w:rPr>
      </w:pPr>
      <w:r>
        <w:rPr>
          <w:rFonts w:hint="eastAsia" w:ascii="宋体" w:hAnsi="宋体"/>
        </w:rPr>
        <w:t>1</w:t>
      </w:r>
      <w:r>
        <w:rPr>
          <w:rFonts w:ascii="宋体" w:hAnsi="宋体"/>
        </w:rPr>
        <w:t>3.7</w:t>
      </w:r>
      <w:r>
        <w:rPr>
          <w:rFonts w:hint="eastAsia" w:ascii="宋体" w:hAnsi="宋体"/>
        </w:rPr>
        <w:t>工具设备、施工材料堆放有序，各类警示标志醒目齐全。</w:t>
      </w:r>
    </w:p>
    <w:p>
      <w:pPr>
        <w:spacing w:line="440" w:lineRule="exact"/>
        <w:ind w:firstLine="420" w:firstLineChars="200"/>
        <w:rPr>
          <w:rFonts w:ascii="宋体" w:hAnsi="宋体"/>
        </w:rPr>
      </w:pPr>
      <w:r>
        <w:rPr>
          <w:rFonts w:hint="eastAsia" w:ascii="宋体" w:hAnsi="宋体"/>
        </w:rPr>
        <w:t>1</w:t>
      </w:r>
      <w:r>
        <w:rPr>
          <w:rFonts w:ascii="宋体" w:hAnsi="宋体"/>
        </w:rPr>
        <w:t>3.8</w:t>
      </w:r>
      <w:r>
        <w:rPr>
          <w:rFonts w:hint="eastAsia" w:ascii="宋体" w:hAnsi="宋体"/>
        </w:rPr>
        <w:t>食堂有有效卫生许可证，炊事人员有有效健康证。</w:t>
      </w:r>
    </w:p>
    <w:p>
      <w:pPr>
        <w:spacing w:line="440" w:lineRule="exact"/>
        <w:ind w:firstLine="420" w:firstLineChars="200"/>
        <w:rPr>
          <w:rFonts w:ascii="宋体" w:hAnsi="宋体"/>
        </w:rPr>
      </w:pPr>
      <w:r>
        <w:rPr>
          <w:rFonts w:ascii="宋体" w:hAnsi="宋体"/>
        </w:rPr>
        <w:t>13.9</w:t>
      </w:r>
      <w:r>
        <w:rPr>
          <w:rFonts w:hint="eastAsia" w:ascii="宋体" w:hAnsi="宋体"/>
        </w:rPr>
        <w:t>厕所有冲洗设备，无异味、无污垢。</w:t>
      </w:r>
    </w:p>
    <w:p>
      <w:pPr>
        <w:spacing w:line="440" w:lineRule="exact"/>
        <w:ind w:firstLine="420" w:firstLineChars="200"/>
        <w:rPr>
          <w:rFonts w:ascii="宋体" w:hAnsi="宋体"/>
        </w:rPr>
      </w:pPr>
      <w:r>
        <w:rPr>
          <w:rFonts w:hint="eastAsia" w:ascii="宋体" w:hAnsi="宋体"/>
        </w:rPr>
        <w:t>1</w:t>
      </w:r>
      <w:r>
        <w:rPr>
          <w:rFonts w:ascii="宋体" w:hAnsi="宋体"/>
        </w:rPr>
        <w:t>3.10</w:t>
      </w:r>
      <w:r>
        <w:rPr>
          <w:rFonts w:hint="eastAsia" w:ascii="宋体" w:hAnsi="宋体"/>
        </w:rPr>
        <w:t>项目部有卫生自查和每月检查、考核记录。</w:t>
      </w:r>
    </w:p>
    <w:p>
      <w:pPr>
        <w:spacing w:line="440" w:lineRule="exact"/>
        <w:ind w:firstLine="420" w:firstLineChars="200"/>
        <w:rPr>
          <w:rFonts w:ascii="宋体" w:hAnsi="宋体"/>
        </w:rPr>
      </w:pPr>
      <w:r>
        <w:rPr>
          <w:rFonts w:hint="eastAsia" w:ascii="宋体" w:hAnsi="宋体"/>
        </w:rPr>
        <w:t>1</w:t>
      </w:r>
      <w:r>
        <w:rPr>
          <w:rFonts w:ascii="宋体" w:hAnsi="宋体"/>
        </w:rPr>
        <w:t>3.11</w:t>
      </w:r>
      <w:r>
        <w:rPr>
          <w:rFonts w:hint="eastAsia" w:ascii="宋体" w:hAnsi="宋体"/>
        </w:rPr>
        <w:t>项目部生活垃圾的清运由承包人自行负责，如果发包人实行统一清运管理，则由承包人按要求缴纳相关费用。</w:t>
      </w:r>
    </w:p>
    <w:p>
      <w:pPr>
        <w:spacing w:line="440" w:lineRule="exact"/>
        <w:ind w:firstLine="420" w:firstLineChars="200"/>
        <w:rPr>
          <w:rFonts w:ascii="宋体" w:hAnsi="宋体"/>
        </w:rPr>
      </w:pPr>
      <w:r>
        <w:rPr>
          <w:rFonts w:hint="eastAsia" w:ascii="宋体" w:hAnsi="宋体"/>
        </w:rPr>
        <w:t>1</w:t>
      </w:r>
      <w:r>
        <w:rPr>
          <w:rFonts w:ascii="宋体" w:hAnsi="宋体"/>
        </w:rPr>
        <w:t>3.12</w:t>
      </w:r>
      <w:r>
        <w:rPr>
          <w:rFonts w:hint="eastAsia" w:ascii="宋体" w:hAnsi="宋体"/>
        </w:rPr>
        <w:t>施工场地采用封闭式管理，封闭材料应满足当地建设行政管理部门安全文明施工要求，与其他区域接壤的封闭材料会因其他区域的施工计划而多次拆除和安装，请承包人综合考虑到投标报价中。</w:t>
      </w:r>
    </w:p>
    <w:p>
      <w:pPr>
        <w:spacing w:line="440" w:lineRule="exact"/>
        <w:ind w:firstLine="420" w:firstLineChars="200"/>
        <w:rPr>
          <w:rFonts w:ascii="宋体" w:hAnsi="宋体"/>
        </w:rPr>
      </w:pPr>
      <w:r>
        <w:rPr>
          <w:rFonts w:hint="eastAsia" w:ascii="宋体" w:hAnsi="宋体"/>
        </w:rPr>
        <w:t>1</w:t>
      </w:r>
      <w:r>
        <w:rPr>
          <w:rFonts w:ascii="宋体" w:hAnsi="宋体"/>
        </w:rPr>
        <w:t>3.13</w:t>
      </w:r>
      <w:r>
        <w:rPr>
          <w:rFonts w:hint="eastAsia" w:ascii="宋体" w:hAnsi="宋体"/>
        </w:rPr>
        <w:t>在主要出入口处设置门岗，由专业保安人员值守。承包人所有施工及管理人员进出施工现场必须佩戴证件，并服从发包人方管理。</w:t>
      </w:r>
    </w:p>
    <w:p>
      <w:pPr>
        <w:spacing w:line="440" w:lineRule="exact"/>
        <w:ind w:firstLine="420" w:firstLineChars="200"/>
        <w:rPr>
          <w:rFonts w:ascii="宋体" w:hAnsi="宋体"/>
        </w:rPr>
      </w:pPr>
      <w:r>
        <w:rPr>
          <w:rFonts w:hint="eastAsia" w:ascii="宋体" w:hAnsi="宋体"/>
        </w:rPr>
        <w:t>1</w:t>
      </w:r>
      <w:r>
        <w:rPr>
          <w:rFonts w:ascii="宋体" w:hAnsi="宋体"/>
        </w:rPr>
        <w:t>3.14</w:t>
      </w:r>
      <w:r>
        <w:rPr>
          <w:rFonts w:hint="eastAsia" w:ascii="宋体" w:hAnsi="宋体"/>
        </w:rPr>
        <w:t>安全生产：建立应急预案，建立安全责任制度以保证安全施工目标的实现，包括安全教育制度、安全检查制度。要加强安全教育，提高广大施工人员的安全防范意识与能力；定期进行安全检查，消除事故隐患；重点进行施工用车和用电安全、设备吊装安全的管理，确保满足本项目安全目标。若发生死亡事故，每死亡一人，罚款5</w:t>
      </w:r>
      <w:r>
        <w:rPr>
          <w:rFonts w:ascii="宋体" w:hAnsi="宋体"/>
        </w:rPr>
        <w:t>00</w:t>
      </w:r>
      <w:r>
        <w:rPr>
          <w:rFonts w:hint="eastAsia" w:ascii="宋体" w:hAnsi="宋体"/>
        </w:rPr>
        <w:t>万元。</w:t>
      </w:r>
    </w:p>
    <w:p>
      <w:pPr>
        <w:spacing w:line="440" w:lineRule="exact"/>
        <w:ind w:firstLine="420" w:firstLineChars="200"/>
        <w:rPr>
          <w:rFonts w:ascii="宋体" w:hAnsi="宋体"/>
        </w:rPr>
      </w:pPr>
      <w:r>
        <w:rPr>
          <w:rFonts w:hint="eastAsia" w:ascii="宋体" w:hAnsi="宋体"/>
        </w:rPr>
        <w:t>1</w:t>
      </w:r>
      <w:r>
        <w:rPr>
          <w:rFonts w:ascii="宋体" w:hAnsi="宋体"/>
        </w:rPr>
        <w:t>3.15</w:t>
      </w:r>
      <w:r>
        <w:rPr>
          <w:rFonts w:hint="eastAsia" w:ascii="宋体" w:hAnsi="宋体"/>
        </w:rPr>
        <w:t>文明施工：目标是创文明工地。建立文明施工制度以保证文明工地目标的实现，包括民工宿舍管理、食堂管理、厕所浴室卫生、场容场貌管理、消防管理、治安管理等一整套管理制度。杜绝“脏、乱、差”，建整洁文明的民工生活区。</w:t>
      </w:r>
    </w:p>
    <w:p>
      <w:pPr>
        <w:spacing w:line="440" w:lineRule="exact"/>
        <w:ind w:firstLine="420" w:firstLineChars="200"/>
        <w:rPr>
          <w:rFonts w:ascii="宋体" w:hAnsi="宋体"/>
          <w:color w:val="000000"/>
          <w:szCs w:val="21"/>
        </w:rPr>
      </w:pPr>
      <w:r>
        <w:rPr>
          <w:rFonts w:hint="eastAsia" w:ascii="宋体" w:hAnsi="宋体"/>
        </w:rPr>
        <w:t>1</w:t>
      </w:r>
      <w:r>
        <w:rPr>
          <w:rFonts w:ascii="宋体" w:hAnsi="宋体"/>
        </w:rPr>
        <w:t>3.16</w:t>
      </w:r>
      <w:r>
        <w:rPr>
          <w:rFonts w:hint="eastAsia" w:ascii="宋体" w:hAnsi="宋体"/>
        </w:rPr>
        <w:t>环境保护：</w:t>
      </w:r>
      <w:r>
        <w:rPr>
          <w:rFonts w:hint="eastAsia" w:ascii="宋体" w:hAnsi="宋体"/>
          <w:szCs w:val="21"/>
        </w:rPr>
        <w:t>施工现场必须采取有效措施控制粉尘，长期不使用的堆土必须覆盖处理。承包人必须在施工场地出入场外公共道路处建洗车池，施工期间所有施工车辆出入公共道路必须进行必要的清理，达到规定的要求，严禁泥头车带泥上路。</w:t>
      </w:r>
      <w:r>
        <w:rPr>
          <w:rFonts w:hint="eastAsia" w:ascii="宋体" w:hAnsi="宋体"/>
          <w:color w:val="000000"/>
          <w:szCs w:val="21"/>
        </w:rPr>
        <w:t>承包人项目部要成立保洁队，对运输道路与施工区域进行保洁、洒水，控制扬尘</w:t>
      </w:r>
      <w:r>
        <w:rPr>
          <w:rFonts w:ascii="宋体" w:hAnsi="宋体"/>
          <w:bCs/>
          <w:szCs w:val="21"/>
        </w:rPr>
        <w:t>等文明施工工作必须达标，经</w:t>
      </w:r>
      <w:r>
        <w:rPr>
          <w:rFonts w:hint="eastAsia" w:ascii="宋体" w:hAnsi="宋体"/>
          <w:bCs/>
          <w:szCs w:val="21"/>
        </w:rPr>
        <w:t>发包人</w:t>
      </w:r>
      <w:r>
        <w:rPr>
          <w:rFonts w:ascii="宋体" w:hAnsi="宋体"/>
          <w:bCs/>
          <w:szCs w:val="21"/>
        </w:rPr>
        <w:t>或监理</w:t>
      </w:r>
      <w:r>
        <w:rPr>
          <w:rFonts w:hint="eastAsia" w:ascii="宋体" w:hAnsi="宋体"/>
          <w:bCs/>
          <w:szCs w:val="21"/>
        </w:rPr>
        <w:t>检查一次不达标扣安全文明施工费用1000元，遭周边村民、地方政府或上级领导投诉一次，扣安全文明施工费用3000元。</w:t>
      </w:r>
      <w:r>
        <w:rPr>
          <w:rFonts w:hint="eastAsia" w:ascii="宋体" w:hAnsi="宋体"/>
          <w:color w:val="000000"/>
          <w:szCs w:val="21"/>
        </w:rPr>
        <w:t>因承包人原因造成场外道路、河渠污染引起诉讼纠纷的，由承包人自负其责。</w:t>
      </w:r>
    </w:p>
    <w:p>
      <w:pPr>
        <w:spacing w:line="440" w:lineRule="exact"/>
        <w:ind w:firstLine="420" w:firstLineChars="200"/>
        <w:rPr>
          <w:rFonts w:ascii="宋体" w:hAnsi="宋体"/>
        </w:rPr>
      </w:pPr>
      <w:r>
        <w:rPr>
          <w:rFonts w:ascii="宋体" w:hAnsi="宋体"/>
          <w:color w:val="000000"/>
          <w:szCs w:val="21"/>
        </w:rPr>
        <w:t>13.17</w:t>
      </w:r>
      <w:r>
        <w:rPr>
          <w:rFonts w:hint="eastAsia" w:ascii="宋体" w:hAnsi="宋体"/>
        </w:rPr>
        <w:t>洗车池：承包人必须在施工场地出入口建洗车池，施工期间所有施工车辆出入施工场地必须进行必要的清理，车辆上路须达到规定的要求，严禁泥头车带泥上路，确保车辆运行畅通和施工安全。</w:t>
      </w:r>
    </w:p>
    <w:p>
      <w:pPr>
        <w:spacing w:line="440" w:lineRule="exact"/>
        <w:ind w:firstLine="420" w:firstLineChars="200"/>
        <w:rPr>
          <w:rFonts w:ascii="宋体" w:hAnsi="宋体"/>
        </w:rPr>
      </w:pPr>
      <w:r>
        <w:rPr>
          <w:rFonts w:hint="eastAsia" w:ascii="宋体" w:hAnsi="宋体"/>
        </w:rPr>
        <w:t>1</w:t>
      </w:r>
      <w:r>
        <w:rPr>
          <w:rFonts w:ascii="宋体" w:hAnsi="宋体"/>
        </w:rPr>
        <w:t xml:space="preserve">3.18 </w:t>
      </w:r>
      <w:r>
        <w:rPr>
          <w:rFonts w:hint="eastAsia" w:ascii="宋体" w:hAnsi="宋体"/>
        </w:rPr>
        <w:t>施工用电安全要求：严格按照国家、行业用电规范标准开展施工，</w:t>
      </w:r>
      <w:r>
        <w:rPr>
          <w:rFonts w:hint="eastAsia" w:ascii="宋体" w:hAnsi="宋体"/>
          <w:lang w:eastAsia="zh-Hans"/>
        </w:rPr>
        <w:t>中标人进场后需与</w:t>
      </w:r>
      <w:r>
        <w:rPr>
          <w:rFonts w:hint="eastAsia" w:ascii="宋体" w:hAnsi="宋体"/>
        </w:rPr>
        <w:t>发包人</w:t>
      </w:r>
      <w:r>
        <w:rPr>
          <w:rFonts w:hint="eastAsia" w:ascii="宋体" w:hAnsi="宋体"/>
          <w:lang w:eastAsia="zh-Hans"/>
        </w:rPr>
        <w:t>签订施工用电安全责任书，</w:t>
      </w:r>
      <w:r>
        <w:rPr>
          <w:rFonts w:hint="eastAsia" w:ascii="宋体" w:hAnsi="宋体"/>
        </w:rPr>
        <w:t>详见附件5</w:t>
      </w:r>
      <w:r>
        <w:rPr>
          <w:rFonts w:hint="eastAsia" w:ascii="宋体" w:hAnsi="宋体"/>
          <w:lang w:eastAsia="zh-Hans"/>
        </w:rPr>
        <w:t>：</w:t>
      </w:r>
      <w:r>
        <w:rPr>
          <w:rFonts w:hint="eastAsia" w:ascii="宋体" w:hAnsi="宋体"/>
        </w:rPr>
        <w:t>广州白云国际机场三期扩建工程施工用电安全责任书</w:t>
      </w:r>
      <w:r>
        <w:rPr>
          <w:rFonts w:hint="eastAsia" w:ascii="宋体" w:hAnsi="宋体"/>
          <w:lang w:eastAsia="zh-Hans"/>
        </w:rPr>
        <w:t>。</w:t>
      </w:r>
    </w:p>
    <w:p>
      <w:pPr>
        <w:pStyle w:val="2"/>
        <w:spacing w:line="440" w:lineRule="exact"/>
        <w:ind w:left="0" w:leftChars="0" w:firstLine="420" w:firstLineChars="200"/>
        <w:rPr>
          <w:rFonts w:ascii="宋体" w:hAnsi="宋体"/>
        </w:rPr>
      </w:pPr>
      <w:r>
        <w:rPr>
          <w:rFonts w:hint="eastAsia" w:ascii="宋体" w:hAnsi="宋体"/>
        </w:rPr>
        <w:t>1</w:t>
      </w:r>
      <w:r>
        <w:rPr>
          <w:rFonts w:ascii="宋体" w:hAnsi="宋体"/>
        </w:rPr>
        <w:t>3.19</w:t>
      </w:r>
      <w:r>
        <w:rPr>
          <w:rFonts w:hint="eastAsia" w:ascii="宋体" w:hAnsi="宋体"/>
        </w:rPr>
        <w:t>疫情防控要求：严格按照国家、广州市和发包人疫情防控要求开展。根据疫情形势，发包人可以随时调整相关工地疫情防控要求，承包人不得拒绝执行，产生的费用在报价中综合考虑。</w:t>
      </w:r>
    </w:p>
    <w:p>
      <w:pPr>
        <w:pStyle w:val="2"/>
        <w:spacing w:line="440" w:lineRule="exact"/>
        <w:ind w:left="0" w:leftChars="0" w:firstLine="420" w:firstLineChars="200"/>
        <w:rPr>
          <w:rFonts w:ascii="宋体" w:hAnsi="宋体"/>
        </w:rPr>
      </w:pPr>
      <w:r>
        <w:rPr>
          <w:rFonts w:hint="eastAsia" w:ascii="宋体" w:hAnsi="宋体"/>
        </w:rPr>
        <w:t>13.20承包人应配合白云三期扩建工程红线围蔽管理，由此产生的费用在投标报价中综合考虑。</w:t>
      </w:r>
    </w:p>
    <w:p>
      <w:pPr>
        <w:pStyle w:val="2"/>
        <w:spacing w:line="440" w:lineRule="exact"/>
        <w:ind w:left="0" w:leftChars="0" w:firstLine="420" w:firstLineChars="200"/>
        <w:rPr>
          <w:rFonts w:ascii="宋体" w:hAnsi="宋体"/>
        </w:rPr>
      </w:pPr>
      <w:r>
        <w:rPr>
          <w:rFonts w:hint="eastAsia" w:ascii="宋体" w:hAnsi="宋体"/>
        </w:rPr>
        <w:t>13.21承包人应按广州市相关规定做好扬尘治理，落实扬尘污染防治“6个100%”管理标准。</w:t>
      </w:r>
    </w:p>
    <w:p>
      <w:pPr>
        <w:spacing w:line="440" w:lineRule="exact"/>
      </w:pPr>
      <w:r>
        <w:rPr>
          <w:rFonts w:hint="eastAsia"/>
        </w:rPr>
        <w:t xml:space="preserve"> </w:t>
      </w:r>
      <w:r>
        <w:t xml:space="preserve">   13</w:t>
      </w:r>
      <w:r>
        <w:rPr>
          <w:rFonts w:hint="eastAsia"/>
        </w:rPr>
        <w:t>.</w:t>
      </w:r>
      <w:r>
        <w:t xml:space="preserve">22 </w:t>
      </w:r>
      <w:r>
        <w:rPr>
          <w:rFonts w:hint="eastAsia"/>
        </w:rPr>
        <w:t>日常保洁要求：</w:t>
      </w:r>
      <w:r>
        <w:rPr>
          <w:rFonts w:hint="eastAsia" w:ascii="宋体" w:hAnsi="宋体" w:cs="宋体"/>
          <w:szCs w:val="21"/>
        </w:rPr>
        <w:t>承包人每天必须安排一定数量的保洁工人进行专职保洁工作，发包人出于临时安排的紧迫性，仍然会要求承包人对巡查的施工区域进行保洁工作，承包人不得推诿，并把所需费用综合考虑在投标报价内。实施过程中，发包人不再对以上保洁工作进行签认费用。</w:t>
      </w:r>
    </w:p>
    <w:p/>
    <w:p>
      <w:pPr>
        <w:spacing w:line="440" w:lineRule="exact"/>
        <w:rPr>
          <w:b/>
          <w:bCs/>
        </w:rPr>
      </w:pPr>
      <w:r>
        <w:rPr>
          <w:rFonts w:hint="eastAsia"/>
          <w:b/>
          <w:bCs/>
        </w:rPr>
        <w:t>1</w:t>
      </w:r>
      <w:r>
        <w:rPr>
          <w:b/>
          <w:bCs/>
        </w:rPr>
        <w:t>4.</w:t>
      </w:r>
      <w:r>
        <w:rPr>
          <w:rFonts w:hint="eastAsia"/>
          <w:b/>
          <w:bCs/>
        </w:rPr>
        <w:t>竣工资料</w:t>
      </w:r>
    </w:p>
    <w:p>
      <w:pPr>
        <w:spacing w:line="440" w:lineRule="exact"/>
        <w:ind w:firstLine="420" w:firstLineChars="200"/>
        <w:rPr>
          <w:rFonts w:ascii="宋体" w:hAnsi="宋体" w:cs="仿宋"/>
          <w:szCs w:val="21"/>
        </w:rPr>
      </w:pPr>
      <w:r>
        <w:rPr>
          <w:rFonts w:ascii="宋体" w:hAnsi="宋体" w:cs="仿宋"/>
          <w:szCs w:val="21"/>
        </w:rPr>
        <w:t>14.1</w:t>
      </w:r>
      <w:r>
        <w:rPr>
          <w:rFonts w:hint="eastAsia" w:ascii="宋体" w:hAnsi="宋体" w:cs="仿宋"/>
          <w:szCs w:val="21"/>
        </w:rPr>
        <w:t>施工单位应按国家、广东省、广州市、民航局及指挥部有关档案规定，编制、收集有关施工档案资料（指施工文件、竣工图、电子文件及声像文件四部分），</w:t>
      </w:r>
      <w:r>
        <w:rPr>
          <w:rFonts w:hint="eastAsia" w:ascii="宋体" w:hAnsi="宋体" w:cs="仿宋"/>
          <w:kern w:val="0"/>
          <w:szCs w:val="21"/>
        </w:rPr>
        <w:t>按规定</w:t>
      </w:r>
      <w:r>
        <w:rPr>
          <w:rFonts w:hint="eastAsia" w:ascii="宋体" w:hAnsi="宋体" w:cs="仿宋"/>
          <w:szCs w:val="21"/>
        </w:rPr>
        <w:t>整理后向指挥部档案管理部门移交归档。归档的施工档案资料必须符合档案行业规范要求以及《广东省机场管理集团有限公司工程建设指挥部建设工程施工文件归档细则》、《广东省机场管理集团有限公司工程建设指挥部建设工程竣工图归档细则》、《广东省机场管理集团有限公司工程建设指挥部电子文件归档细则》、《广东省机场管理集团有限公司工程建设指挥部建设工程声像文件归档细则》等文件要求。</w:t>
      </w:r>
    </w:p>
    <w:p>
      <w:pPr>
        <w:spacing w:line="440" w:lineRule="exact"/>
        <w:ind w:firstLine="420" w:firstLineChars="200"/>
        <w:rPr>
          <w:rFonts w:ascii="宋体" w:hAnsi="宋体" w:cs="仿宋"/>
          <w:szCs w:val="21"/>
        </w:rPr>
      </w:pPr>
      <w:r>
        <w:rPr>
          <w:rFonts w:ascii="宋体" w:hAnsi="宋体" w:cs="仿宋"/>
          <w:szCs w:val="21"/>
        </w:rPr>
        <w:t>14.2</w:t>
      </w:r>
      <w:r>
        <w:rPr>
          <w:rFonts w:hint="eastAsia" w:ascii="宋体" w:hAnsi="宋体" w:cs="仿宋"/>
          <w:szCs w:val="21"/>
        </w:rPr>
        <w:t>承包单位需负责整个项目施工档案资料的管理，包括编制、收集、整理、验收及归档移交工作；及时督促、定期检查各分包单位按规定编制、整理施工档案资料。各分包单位负责其分包工程施工文件及竣工图的编制、收集、整理，提交承包单位汇总；承包单位除应编制自行施工的施工档案资料外，还应负责汇总整理各分包单位编制、整理的施工档案资料。承包单位还应配合完成工程分部工程质量验收、单位工程竣工验收、档案等专项验收及竣工备案等相关文件的编制、收集、整理及归档移交工作。</w:t>
      </w:r>
    </w:p>
    <w:p>
      <w:pPr>
        <w:spacing w:line="440" w:lineRule="exact"/>
        <w:ind w:firstLine="420" w:firstLineChars="200"/>
        <w:rPr>
          <w:rFonts w:ascii="宋体" w:hAnsi="宋体" w:cs="仿宋"/>
          <w:szCs w:val="21"/>
        </w:rPr>
      </w:pPr>
      <w:r>
        <w:rPr>
          <w:rFonts w:ascii="宋体" w:hAnsi="宋体" w:cs="仿宋"/>
          <w:szCs w:val="21"/>
        </w:rPr>
        <w:t>14.3</w:t>
      </w:r>
      <w:r>
        <w:rPr>
          <w:rFonts w:hint="eastAsia" w:ascii="宋体" w:hAnsi="宋体" w:cs="仿宋"/>
          <w:szCs w:val="21"/>
        </w:rPr>
        <w:t>分部工程质量验收前，承包单位应配合监理单位完成分部工程施工档案资料的预验收，预验收合格后方可组织分部工程质量验收。</w:t>
      </w:r>
    </w:p>
    <w:p>
      <w:pPr>
        <w:spacing w:line="440" w:lineRule="exact"/>
        <w:ind w:firstLine="420" w:firstLineChars="200"/>
        <w:rPr>
          <w:rFonts w:ascii="宋体" w:hAnsi="宋体" w:cs="仿宋"/>
          <w:szCs w:val="21"/>
        </w:rPr>
      </w:pPr>
      <w:r>
        <w:rPr>
          <w:rFonts w:ascii="宋体" w:hAnsi="宋体" w:cs="仿宋"/>
          <w:szCs w:val="21"/>
        </w:rPr>
        <w:t>14.4</w:t>
      </w:r>
      <w:r>
        <w:rPr>
          <w:rFonts w:hint="eastAsia" w:ascii="宋体" w:hAnsi="宋体" w:cs="仿宋"/>
          <w:szCs w:val="21"/>
        </w:rPr>
        <w:t>单位工程竣工验收前，承包单位应配合指挥部完成单位工程施工档案资料的预验收，预验收合格后方可组织单位工程竣工验收。</w:t>
      </w:r>
    </w:p>
    <w:p>
      <w:pPr>
        <w:spacing w:line="440" w:lineRule="exact"/>
        <w:ind w:firstLine="420" w:firstLineChars="200"/>
        <w:rPr>
          <w:rFonts w:ascii="宋体" w:hAnsi="宋体" w:cs="仿宋"/>
          <w:szCs w:val="21"/>
        </w:rPr>
      </w:pPr>
      <w:r>
        <w:rPr>
          <w:rFonts w:ascii="宋体" w:hAnsi="宋体" w:cs="仿宋"/>
          <w:szCs w:val="21"/>
        </w:rPr>
        <w:t>14.5</w:t>
      </w:r>
      <w:r>
        <w:rPr>
          <w:rFonts w:hint="eastAsia" w:ascii="宋体" w:hAnsi="宋体" w:cs="仿宋"/>
          <w:szCs w:val="21"/>
        </w:rPr>
        <w:t>承包单位应配合指挥部做好广州市城建档案馆组织的城建档案验收移交以及广东省或广州市档案局组织的重大建设项目档案专项验收有关工作。档案验收不合格或没有经过档案验收的工程，不得办理工程验收手续，不得交付使用，不得申报优质工程和其他奖励。</w:t>
      </w:r>
    </w:p>
    <w:p>
      <w:pPr>
        <w:spacing w:line="440" w:lineRule="exact"/>
        <w:ind w:firstLine="420" w:firstLineChars="200"/>
        <w:rPr>
          <w:rFonts w:ascii="宋体" w:hAnsi="宋体" w:cs="仿宋"/>
          <w:szCs w:val="21"/>
        </w:rPr>
      </w:pPr>
      <w:r>
        <w:rPr>
          <w:rFonts w:ascii="宋体" w:hAnsi="宋体" w:cs="仿宋"/>
          <w:szCs w:val="21"/>
        </w:rPr>
        <w:t>14.6</w:t>
      </w:r>
      <w:r>
        <w:rPr>
          <w:rFonts w:hint="eastAsia" w:ascii="宋体" w:hAnsi="宋体" w:cs="仿宋"/>
          <w:szCs w:val="21"/>
        </w:rPr>
        <w:t>施工单位应在工程验收后90天内向指挥部档案管理部门归档移交合同范围内的全部施工档案，形式包括三部分：</w:t>
      </w:r>
    </w:p>
    <w:p>
      <w:pPr>
        <w:spacing w:line="440" w:lineRule="exact"/>
        <w:ind w:firstLine="420" w:firstLineChars="200"/>
        <w:rPr>
          <w:rFonts w:ascii="宋体" w:hAnsi="宋体" w:cs="仿宋"/>
          <w:szCs w:val="21"/>
        </w:rPr>
      </w:pPr>
      <w:r>
        <w:rPr>
          <w:rFonts w:hint="eastAsia" w:ascii="宋体" w:hAnsi="宋体" w:cs="仿宋"/>
          <w:szCs w:val="21"/>
        </w:rPr>
        <w:t>①纸质档案：原件四套。</w:t>
      </w:r>
    </w:p>
    <w:p>
      <w:pPr>
        <w:spacing w:line="440" w:lineRule="exact"/>
        <w:ind w:firstLine="420" w:firstLineChars="200"/>
        <w:rPr>
          <w:rFonts w:ascii="宋体" w:hAnsi="宋体" w:cs="仿宋"/>
          <w:szCs w:val="21"/>
        </w:rPr>
      </w:pPr>
      <w:r>
        <w:rPr>
          <w:rFonts w:hint="eastAsia" w:ascii="宋体" w:hAnsi="宋体" w:cs="仿宋"/>
          <w:szCs w:val="21"/>
        </w:rPr>
        <w:t>②电子档案：用文字处理技术形成的文本电子文件、表格文件，用计算机绘图等设备形成的图形电子文件，用施工管理系统产生的竣工验收技术资料统一用表，以及纸质档案数字化加工扫描的图像电子文件等。以档案级光盘作为存储介质，一式四套。</w:t>
      </w:r>
    </w:p>
    <w:p>
      <w:pPr>
        <w:spacing w:line="440" w:lineRule="exact"/>
        <w:ind w:firstLine="420" w:firstLineChars="200"/>
        <w:rPr>
          <w:rFonts w:ascii="宋体" w:hAnsi="宋体" w:cs="仿宋"/>
          <w:szCs w:val="21"/>
        </w:rPr>
      </w:pPr>
      <w:r>
        <w:rPr>
          <w:rFonts w:hint="eastAsia" w:ascii="宋体" w:hAnsi="宋体" w:cs="仿宋"/>
          <w:szCs w:val="21"/>
        </w:rPr>
        <w:t>③声像档案：包括照片及视频，一式四套。</w:t>
      </w:r>
    </w:p>
    <w:p>
      <w:pPr>
        <w:spacing w:line="440" w:lineRule="exact"/>
        <w:ind w:firstLine="420" w:firstLineChars="200"/>
        <w:rPr>
          <w:rFonts w:ascii="宋体" w:hAnsi="宋体" w:cs="仿宋"/>
          <w:szCs w:val="21"/>
        </w:rPr>
      </w:pPr>
      <w:r>
        <w:rPr>
          <w:rFonts w:ascii="宋体" w:hAnsi="宋体" w:cs="仿宋"/>
          <w:szCs w:val="21"/>
        </w:rPr>
        <w:t>14.7</w:t>
      </w:r>
      <w:r>
        <w:rPr>
          <w:rFonts w:hint="eastAsia" w:ascii="宋体" w:hAnsi="宋体" w:cs="仿宋"/>
          <w:szCs w:val="21"/>
        </w:rPr>
        <w:t>列入广州市城建档案馆接收范围的工程，施工单位必须向广州市城建档案馆移交一套符合城建档案要求的施工档案（原件）。各分包单位负责其分包范围城建档案的编制、整理，提交承包单位汇总；承包单位除应编制自行施工范围的城建档案外，还应负责汇总整理各分包单位提交的城建档案。</w:t>
      </w:r>
    </w:p>
    <w:p>
      <w:pPr>
        <w:spacing w:line="440" w:lineRule="exact"/>
        <w:ind w:firstLine="420" w:firstLineChars="200"/>
        <w:rPr>
          <w:rFonts w:ascii="宋体" w:hAnsi="宋体" w:cs="仿宋"/>
          <w:szCs w:val="21"/>
        </w:rPr>
      </w:pPr>
      <w:r>
        <w:rPr>
          <w:rFonts w:ascii="宋体" w:hAnsi="宋体" w:cs="仿宋"/>
          <w:szCs w:val="21"/>
        </w:rPr>
        <w:t>14.8</w:t>
      </w:r>
      <w:r>
        <w:rPr>
          <w:rFonts w:hint="eastAsia" w:ascii="宋体" w:hAnsi="宋体" w:cs="宋体"/>
          <w:kern w:val="0"/>
          <w:szCs w:val="21"/>
        </w:rPr>
        <w:t>对于档案验收不合格且整改不合格的施工档案，由施工单位填写《不合格文件移交单》，</w:t>
      </w:r>
      <w:r>
        <w:rPr>
          <w:rFonts w:hint="eastAsia" w:ascii="宋体" w:hAnsi="宋体" w:cs="仿宋"/>
          <w:szCs w:val="21"/>
        </w:rPr>
        <w:t>依次提交指挥部业务部门、档案部门、结算部门提出意见后，报</w:t>
      </w:r>
      <w:r>
        <w:rPr>
          <w:rFonts w:hint="eastAsia" w:ascii="宋体" w:hAnsi="宋体" w:cs="宋体"/>
          <w:kern w:val="0"/>
          <w:szCs w:val="21"/>
        </w:rPr>
        <w:t>指挥部领导批准。指挥部档案管理部门据此办理不合格文件接收手续，结算部门据此酌情扣留一百万以下（含一百万）工程尾款。</w:t>
      </w:r>
      <w:r>
        <w:rPr>
          <w:rFonts w:hint="eastAsia" w:ascii="宋体" w:hAnsi="宋体" w:cs="仿宋"/>
          <w:szCs w:val="21"/>
        </w:rPr>
        <w:t>未能向指挥部档案管理部门归档移交施工档案的施工单位，指挥部将不予进行工程结算。</w:t>
      </w:r>
    </w:p>
    <w:p>
      <w:pPr>
        <w:spacing w:line="440" w:lineRule="exact"/>
        <w:rPr>
          <w:b/>
          <w:bCs/>
        </w:rPr>
      </w:pPr>
    </w:p>
    <w:p>
      <w:pPr>
        <w:spacing w:line="440" w:lineRule="exact"/>
        <w:rPr>
          <w:rFonts w:ascii="宋体" w:hAnsi="宋体"/>
          <w:b/>
          <w:color w:val="000000"/>
          <w:szCs w:val="21"/>
        </w:rPr>
      </w:pPr>
      <w:r>
        <w:rPr>
          <w:rFonts w:ascii="宋体" w:hAnsi="宋体"/>
          <w:b/>
          <w:bCs/>
        </w:rPr>
        <w:t>15.</w:t>
      </w:r>
      <w:r>
        <w:rPr>
          <w:rFonts w:hint="eastAsia" w:ascii="宋体" w:hAnsi="宋体"/>
          <w:b/>
          <w:color w:val="000000"/>
          <w:szCs w:val="21"/>
        </w:rPr>
        <w:t>用工实名管理和工资支付要求</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5.1</w:t>
      </w:r>
      <w:r>
        <w:rPr>
          <w:rFonts w:hint="eastAsia" w:ascii="宋体" w:hAnsi="宋体"/>
          <w:szCs w:val="21"/>
        </w:rPr>
        <w:t>承包人需落实广东省政府办公厅粤府办〔2016〕111号《广东省人民政府办公厅关于全面治理拖欠异地务工人员工资问题的实施意见》中针对承包和分包企业的各项管理要求。</w:t>
      </w:r>
    </w:p>
    <w:p>
      <w:pPr>
        <w:spacing w:line="440" w:lineRule="exact"/>
        <w:ind w:firstLine="420" w:firstLineChars="200"/>
        <w:rPr>
          <w:rFonts w:ascii="宋体" w:hAnsi="宋体"/>
          <w:szCs w:val="21"/>
        </w:rPr>
      </w:pPr>
      <w:r>
        <w:rPr>
          <w:rFonts w:ascii="宋体" w:hAnsi="宋体"/>
          <w:szCs w:val="21"/>
        </w:rPr>
        <w:t>15.2</w:t>
      </w:r>
      <w:r>
        <w:rPr>
          <w:rFonts w:hint="eastAsia" w:ascii="宋体" w:hAnsi="宋体"/>
          <w:szCs w:val="21"/>
        </w:rPr>
        <w:t>承包人应该实行先签订劳动合同后上岗作业。</w:t>
      </w:r>
    </w:p>
    <w:p>
      <w:pPr>
        <w:spacing w:line="440" w:lineRule="exact"/>
        <w:ind w:firstLine="420" w:firstLineChars="200"/>
        <w:rPr>
          <w:rFonts w:ascii="宋体" w:hAnsi="宋体"/>
          <w:szCs w:val="21"/>
        </w:rPr>
      </w:pPr>
      <w:r>
        <w:rPr>
          <w:rFonts w:ascii="宋体" w:hAnsi="宋体"/>
          <w:szCs w:val="21"/>
        </w:rPr>
        <w:t>15.3</w:t>
      </w:r>
      <w:r>
        <w:rPr>
          <w:rFonts w:hint="eastAsia" w:ascii="宋体" w:hAnsi="宋体"/>
          <w:szCs w:val="21"/>
        </w:rPr>
        <w:t>承包人应在工程项目部配备专门劳资管理人员，编制施工现场作业异地务工人员（包括直接招用和分包企业招用人员）用工台账，记录进场施工异地务工人员身份、考勤和工资支付等信息，由异地务工人员本人确认签字并保存两年以上备查。</w:t>
      </w:r>
    </w:p>
    <w:p>
      <w:pPr>
        <w:spacing w:line="440" w:lineRule="exact"/>
        <w:ind w:firstLine="420" w:firstLineChars="200"/>
        <w:rPr>
          <w:rFonts w:ascii="宋体" w:hAnsi="宋体"/>
          <w:szCs w:val="21"/>
        </w:rPr>
      </w:pPr>
      <w:r>
        <w:rPr>
          <w:rFonts w:ascii="宋体" w:hAnsi="宋体"/>
          <w:szCs w:val="21"/>
        </w:rPr>
        <w:t>15.4</w:t>
      </w:r>
      <w:r>
        <w:rPr>
          <w:rFonts w:hint="eastAsia" w:ascii="宋体" w:hAnsi="宋体"/>
          <w:szCs w:val="21"/>
        </w:rPr>
        <w:t>承包人应实行异地务工人员工资专用账户管理，保证账户资金充足，严禁被挪用账户资金。</w:t>
      </w:r>
    </w:p>
    <w:p>
      <w:pPr>
        <w:spacing w:line="440" w:lineRule="exact"/>
        <w:ind w:firstLine="420" w:firstLineChars="200"/>
        <w:rPr>
          <w:rFonts w:ascii="宋体" w:hAnsi="宋体"/>
          <w:szCs w:val="21"/>
        </w:rPr>
      </w:pPr>
      <w:r>
        <w:rPr>
          <w:rFonts w:ascii="宋体" w:hAnsi="宋体"/>
          <w:szCs w:val="21"/>
        </w:rPr>
        <w:t>15.5</w:t>
      </w:r>
      <w:r>
        <w:rPr>
          <w:rFonts w:hint="eastAsia" w:ascii="宋体" w:hAnsi="宋体"/>
          <w:szCs w:val="21"/>
        </w:rPr>
        <w:t>承包人应按照要求缴纳工资保证金。</w:t>
      </w:r>
    </w:p>
    <w:p>
      <w:pPr>
        <w:spacing w:line="440" w:lineRule="exact"/>
        <w:ind w:firstLine="420" w:firstLineChars="200"/>
        <w:rPr>
          <w:rFonts w:ascii="宋体" w:hAnsi="宋体"/>
          <w:szCs w:val="21"/>
        </w:rPr>
      </w:pPr>
      <w:r>
        <w:rPr>
          <w:rFonts w:ascii="宋体" w:hAnsi="宋体"/>
          <w:szCs w:val="21"/>
        </w:rPr>
        <w:t>15.6</w:t>
      </w:r>
      <w:r>
        <w:rPr>
          <w:rFonts w:hint="eastAsia" w:ascii="宋体" w:hAnsi="宋体"/>
          <w:szCs w:val="21"/>
        </w:rPr>
        <w:t>施工企业对招用的异地务工人员工资支付负主体责任，必须依法按时足额将工资支付给异地务工人员本人，严禁将工资支付给不具备用工主体资格的组织或个人。</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5.7</w:t>
      </w:r>
      <w:r>
        <w:rPr>
          <w:rFonts w:hint="eastAsia" w:ascii="宋体" w:hAnsi="宋体"/>
          <w:szCs w:val="21"/>
        </w:rPr>
        <w:t>承包人应优先保障异地务工人员工资支付，承包人（包括发包人直接发包工程的专业承包企业）对所承包的建设项目异地务工人员工资支付负总责；分包企业对其所招用的异地务工人员工资支付负直接责任，各级分包施工企业不得以工程款未到位为由克扣或拖欠异地务工人员工资。承包人或分包企业将工程项目违法发包、转包或分包给不具备用工主体资格的组织或个人，导致拖欠异地务工人员工资的，由承包人或分包企业依法承担直接清偿责任。承包人未按照施工进度和合同约定支付工程款，致使分包企业拖欠异地务工人员工资的，由承包人先行垫付异地务工人员工资。</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5.8</w:t>
      </w:r>
      <w:r>
        <w:rPr>
          <w:rFonts w:hint="eastAsia" w:ascii="宋体" w:hAnsi="宋体"/>
          <w:szCs w:val="21"/>
        </w:rPr>
        <w:t>承包人负责在施工现场醒目位置设立维权信息告示牌，明确标示发包人、承包人及所在项目部、分包企业、行业监管部门等基本信息；明确标示劳动用工相关法律法规、当地最低工资标准、工资支付日期等信息；明确标示属地行业监管部门投诉举报电话和劳动争议调解仲裁、劳动保障监察投诉举报电话等信息，实现所有施工场地全覆盖。</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5.9</w:t>
      </w:r>
      <w:r>
        <w:rPr>
          <w:rFonts w:hint="eastAsia" w:ascii="宋体" w:hAnsi="宋体"/>
          <w:szCs w:val="21"/>
        </w:rPr>
        <w:t>承包人需落实广东省住房和城乡建设厅粤建规范〔2018〕1号《关于印发房屋建筑和市政基础设施工程用工实名管理暂行办法的通知》针对施工单位的各项管理要求。</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5.10</w:t>
      </w:r>
      <w:r>
        <w:rPr>
          <w:rFonts w:hint="eastAsia" w:ascii="宋体" w:hAnsi="宋体"/>
          <w:szCs w:val="21"/>
        </w:rPr>
        <w:t>依法应当取得施工许可的房屋建筑和市政基础设施在建建筑工程，建筑施工企业应当利用信息技术手段，对施工现场人员建立基本信息档案、实行实名管理的制度。</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5.11</w:t>
      </w:r>
      <w:r>
        <w:rPr>
          <w:rFonts w:hint="eastAsia" w:ascii="宋体" w:hAnsi="宋体"/>
          <w:szCs w:val="21"/>
        </w:rPr>
        <w:t>实名管理对象，是指建筑项目负责人、现场管理人员和作业工人。建筑项目负责人包括项目经理、技术负责人、安全负责人、质量负责人。现场管理人员包括施工员、安全员、质量员、材料员、资料员、劳资专管员等。作业工人包括特种作业人员、技术工人和普通工人。</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5.12</w:t>
      </w:r>
      <w:r>
        <w:rPr>
          <w:rFonts w:hint="eastAsia" w:ascii="宋体" w:hAnsi="宋体"/>
          <w:szCs w:val="21"/>
        </w:rPr>
        <w:t>实名管理信息内容是指通过实名管理系统对施工现场人员登记并进行监管的各项信息，其基本信息包括身份信息、从业资格、项目岗位、出入场考勤、作业记录、培训教育、诚信记录等。根据实际情况经本人同意后，可以增加个人生物信息（含人脸、虹膜、掌型、指纹等之一）作为基本信息。作业工人实名登记的信息除以上基本信息外还包括工资支付、职业技能、劳务合同、用工评价等信息。身份信息包括姓名、性别、出生年月、住址、民族、身份证件号码、电子照片、手机号码等。</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5.13</w:t>
      </w:r>
      <w:r>
        <w:rPr>
          <w:rFonts w:hint="eastAsia" w:ascii="宋体" w:hAnsi="宋体"/>
          <w:szCs w:val="21"/>
        </w:rPr>
        <w:t>承包人（专业承包企业）应当建立实名管理制度，开展实名管理所需数据的提取、登记、审核、报送和档案管理等工作。各类纸质档案管理台账保存至工程竣工且工资全部结清后至少2年。</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5.14</w:t>
      </w:r>
      <w:r>
        <w:rPr>
          <w:rFonts w:hint="eastAsia" w:ascii="宋体" w:hAnsi="宋体"/>
          <w:szCs w:val="21"/>
        </w:rPr>
        <w:t>持住房城乡建设主管部门认可电子信息卡（含平安卡）的施工现场人员可增加相关信息作为实名管理信息使用；未办理电子信息卡的施工现场人员应当按规定采集实名管理信息。</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5.15</w:t>
      </w:r>
      <w:r>
        <w:rPr>
          <w:rFonts w:hint="eastAsia" w:ascii="宋体" w:hAnsi="宋体"/>
          <w:szCs w:val="21"/>
        </w:rPr>
        <w:t>施工现场人员在房屋建筑和市政基础设施工程项目上岗之前应当完成个人信息入库采集，个人信息入库采集的单位应该是住房城乡建设主管部门认可的单位。施工企业应当聘用已在省级实名管理系统信息库登记的施工现场人员。</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5.16</w:t>
      </w:r>
      <w:r>
        <w:rPr>
          <w:rFonts w:hint="eastAsia" w:ascii="宋体" w:hAnsi="宋体"/>
          <w:szCs w:val="21"/>
        </w:rPr>
        <w:t>施工现场人员应当按照规定的实名管理信息内容完成个人信息采集，并对录入资料的真实性、准确性负责。</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5.17</w:t>
      </w:r>
      <w:r>
        <w:rPr>
          <w:rFonts w:hint="eastAsia" w:ascii="宋体" w:hAnsi="宋体"/>
          <w:szCs w:val="21"/>
        </w:rPr>
        <w:t>承包人（专业承包企业）开通实名管理系统账号后，应当在建设项目负责人、现场管理人员进场前，提取个人实名管理信息，并进行动态更新，实时上传至实名管理系统。</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5.18</w:t>
      </w:r>
      <w:r>
        <w:rPr>
          <w:rFonts w:hint="eastAsia" w:ascii="宋体" w:hAnsi="宋体"/>
          <w:szCs w:val="21"/>
        </w:rPr>
        <w:t>施工企业在项目施工现场设立信息提取点，对首次进入施工现场的作业工人提取个人实名管理信息，并将审核后的信息实时传送至实名管理系统，实行动态监管。</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5.19</w:t>
      </w:r>
      <w:r>
        <w:rPr>
          <w:rFonts w:hint="eastAsia" w:ascii="宋体" w:hAnsi="宋体"/>
          <w:szCs w:val="21"/>
        </w:rPr>
        <w:t>承包人（专业承包企业）对实名管理负总责；专业分包企业和劳务分包企业按照合同约定，对本企业施工范围的实名管理负直接责任。</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5.20</w:t>
      </w:r>
      <w:r>
        <w:rPr>
          <w:rFonts w:hint="eastAsia" w:ascii="宋体" w:hAnsi="宋体"/>
          <w:szCs w:val="21"/>
        </w:rPr>
        <w:t>承包人（专业承包企业）应当对依法分包的专业分包企业和劳务分包企业实施统一管理，监督其用工企业按时足额支付作业工人工资，督促落实实名管理制度。</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5.21</w:t>
      </w:r>
      <w:r>
        <w:rPr>
          <w:rFonts w:hint="eastAsia" w:ascii="宋体" w:hAnsi="宋体"/>
          <w:szCs w:val="21"/>
        </w:rPr>
        <w:t>发包人依法直接发包的分包企业，应与承包人（专业承包企业）签订分包管理协议，明确现场管理责任，并按照承包人（专业承包企业）的要求开展实名管理的相关工作。</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5.22</w:t>
      </w:r>
      <w:r>
        <w:rPr>
          <w:rFonts w:hint="eastAsia" w:ascii="宋体" w:hAnsi="宋体"/>
          <w:szCs w:val="21"/>
        </w:rPr>
        <w:t>承包人（专业承包企业）应当在施工区域安装电子信息卡刷卡或者个人生物信息识别设备等门禁设施，用于施工现场人员的日常考勤和工作情况记录。</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5.23</w:t>
      </w:r>
      <w:r>
        <w:rPr>
          <w:rFonts w:hint="eastAsia" w:ascii="宋体" w:hAnsi="宋体"/>
          <w:szCs w:val="21"/>
        </w:rPr>
        <w:t>承包人（专业承包企业）在开工进场后5日内要向发包人或者受其委托的监理人报送施工现场人员实名登记信息资料并实时更新。</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5.24</w:t>
      </w:r>
      <w:r>
        <w:rPr>
          <w:rFonts w:hint="eastAsia" w:ascii="宋体" w:hAnsi="宋体"/>
          <w:szCs w:val="21"/>
        </w:rPr>
        <w:t>专业分包企业和劳务分包企业招用施工现场作业工人，必须在进入施工现场前签订劳动合同，并报承包人（专业承包企业）备案。</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5.25</w:t>
      </w:r>
      <w:r>
        <w:rPr>
          <w:rFonts w:hint="eastAsia" w:ascii="宋体" w:hAnsi="宋体"/>
          <w:szCs w:val="21"/>
        </w:rPr>
        <w:t>专业分包企业和劳务分包企业应当服从承包企业的用工实名管理，在施工现场配备用工管理劳资专管员，编制作业工人工资支付表，按劳动合同约定按时足额支付工资。</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5.26</w:t>
      </w:r>
      <w:r>
        <w:rPr>
          <w:rFonts w:hint="eastAsia" w:ascii="宋体" w:hAnsi="宋体"/>
          <w:szCs w:val="21"/>
        </w:rPr>
        <w:t>施工现场人员出入施工区域必须刷卡或者按实名注册识别方式进行考勤，不得代他人刷卡。</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5.27</w:t>
      </w:r>
      <w:r>
        <w:rPr>
          <w:rFonts w:hint="eastAsia" w:ascii="宋体" w:hAnsi="宋体"/>
          <w:szCs w:val="21"/>
        </w:rPr>
        <w:t>施工企业应当在项目现场设置公示牌，将每月经施工现场人员确认的考勤与工资支付信息在公示牌上进行公示，公示期不少于5日。</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5.28</w:t>
      </w:r>
      <w:r>
        <w:rPr>
          <w:rFonts w:hint="eastAsia" w:ascii="宋体" w:hAnsi="宋体"/>
          <w:szCs w:val="21"/>
        </w:rPr>
        <w:t>施工现场人员退场时，施工企业应当为其办理退场登记，填报登记退场日期、用工评价或者诚信记录。</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5.29</w:t>
      </w:r>
      <w:r>
        <w:rPr>
          <w:rFonts w:hint="eastAsia" w:ascii="宋体" w:hAnsi="宋体"/>
          <w:szCs w:val="21"/>
        </w:rPr>
        <w:t>施工企业应当按照有关规定在银行开设工资专用账户，确保进行了实名信息采集的作业工人使用银行卡领取工资。发包人将按照合同约定将工程款中的工资款项拨入承包人（专业承包企业）设立的工资支付专用账户，用于发放作业工人工资。</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5.30</w:t>
      </w:r>
      <w:r>
        <w:rPr>
          <w:rFonts w:hint="eastAsia" w:ascii="宋体" w:hAnsi="宋体"/>
          <w:szCs w:val="21"/>
        </w:rPr>
        <w:t>施工企业在完成个人实名信息审核后，应当为作业工人统一办理用于发放工资的银行卡。银行卡由作业工人本人保管，施工企业和其他个人不得非法代持作业工人银行卡。</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5.31</w:t>
      </w:r>
      <w:r>
        <w:rPr>
          <w:rFonts w:hint="eastAsia" w:ascii="宋体" w:hAnsi="宋体"/>
          <w:szCs w:val="21"/>
        </w:rPr>
        <w:t>已有银行卡的作业工人，提供本人银行卡账户信息并与实名管理信息绑定后，可以不再办理新的银行卡。</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5.32</w:t>
      </w:r>
      <w:r>
        <w:rPr>
          <w:rFonts w:hint="eastAsia" w:ascii="宋体" w:hAnsi="宋体"/>
          <w:szCs w:val="21"/>
        </w:rPr>
        <w:t>施工企业编制作业工人工资表，经作业工人本人签字确认后，由施工企业按照承发包关系通过实名监管系统上传，并委托银行从工资支付专用账户直接将工资划入作业工人的银行卡。</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5.33</w:t>
      </w:r>
      <w:r>
        <w:rPr>
          <w:rFonts w:hint="eastAsia" w:ascii="宋体" w:hAnsi="宋体"/>
          <w:szCs w:val="21"/>
        </w:rPr>
        <w:t>施工企业提请银行将银行卡制作发放信息、工资支付信息归集后上传至实名监管系统，并向作业工人反馈其工资收入信息。</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5.34</w:t>
      </w:r>
      <w:r>
        <w:rPr>
          <w:rFonts w:hint="eastAsia" w:ascii="宋体" w:hAnsi="宋体"/>
          <w:szCs w:val="21"/>
        </w:rPr>
        <w:t>施工企业应当向发包人提供项目施工区域设置信息提取点、配备实名管理所需软硬件的证明材料，配合办理施工安全监督手续时。</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5.35</w:t>
      </w:r>
      <w:r>
        <w:rPr>
          <w:rFonts w:hint="eastAsia" w:ascii="宋体" w:hAnsi="宋体"/>
          <w:szCs w:val="21"/>
        </w:rPr>
        <w:t>发包人有权对施工企业落实实名管理实施工作进行监督检查，施工企业未按本办法落实实名管理或者在实施过程中弄虚作假的，发包人有权依法采取约束和惩戒措施。</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5.36</w:t>
      </w:r>
      <w:r>
        <w:rPr>
          <w:rFonts w:hint="eastAsia" w:ascii="宋体" w:hAnsi="宋体"/>
          <w:szCs w:val="21"/>
        </w:rPr>
        <w:t>承包人需落实《广东省工资支付条例》对用工单位的各项管理要求并承担违反该条例对发包方的违约责任。</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5.37</w:t>
      </w:r>
      <w:r>
        <w:rPr>
          <w:rFonts w:hint="eastAsia" w:ascii="宋体" w:hAnsi="宋体"/>
          <w:szCs w:val="21"/>
        </w:rPr>
        <w:t>承包人应当建立施工人员进出场登记制度，加强对分包单位劳动用工和工资发放的监督管理。</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5.38</w:t>
      </w:r>
      <w:r>
        <w:rPr>
          <w:rFonts w:hint="eastAsia" w:ascii="宋体" w:hAnsi="宋体"/>
          <w:szCs w:val="21"/>
        </w:rPr>
        <w:t>承包人、分包单位应当建立用工管理台账，并保存至工程竣工且工资全部结清后至少两年。</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5.39</w:t>
      </w:r>
      <w:r>
        <w:rPr>
          <w:rFonts w:hint="eastAsia" w:ascii="宋体" w:hAnsi="宋体"/>
          <w:szCs w:val="21"/>
        </w:rPr>
        <w:t>承包人和分包单位应当将建设项目工程款中的劳动者工资与其他款项分开银行账户管理。工资支付专用账户内的资金除发放工资外，不得用于其他用途，不得提取现金。</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5.40</w:t>
      </w:r>
      <w:r>
        <w:rPr>
          <w:rFonts w:hint="eastAsia" w:ascii="宋体" w:hAnsi="宋体"/>
          <w:szCs w:val="21"/>
        </w:rPr>
        <w:t>发包人与承包人、承包人与分包单位签订工程承包合同时，应当对工程款中的人工费比例和支付期限作出明确约定。签订合同时，承包人应当提出工程款中人工费的比例报发包人，经协商一致后列入双方签订的工程承包合同。发包人按照合同约定的比例按月将应付工程款中的人工费单独足额拨付到承包人开设的工资支付专用账户。承包人应当按照分包合同约定的比例按月将应付工程款中的人工费单独足额拨付到分包单位开设的工资支付专用账户。</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5.41</w:t>
      </w:r>
      <w:r>
        <w:rPr>
          <w:rFonts w:hint="eastAsia" w:ascii="宋体" w:hAnsi="宋体"/>
          <w:szCs w:val="21"/>
        </w:rPr>
        <w:t>工资支付专用账户内资金少于应发劳动者工资总额的，开户单位应当按时补足。工程竣工且工资全部结清后，工资支付专用账户可以注销，账户内余额归开户单位所有。</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5.42</w:t>
      </w:r>
      <w:r>
        <w:rPr>
          <w:rFonts w:hint="eastAsia" w:ascii="宋体" w:hAnsi="宋体"/>
          <w:szCs w:val="21"/>
        </w:rPr>
        <w:t>承包人应当提供工资支付专用账户的开立的证明材料，配合发包人申请施工许可证。</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5.43</w:t>
      </w:r>
      <w:r>
        <w:rPr>
          <w:rFonts w:hint="eastAsia" w:ascii="宋体" w:hAnsi="宋体"/>
          <w:szCs w:val="21"/>
        </w:rPr>
        <w:t>承包人将工程发包给不具备用人单位资格的单位和个人，出现拖欠或者克扣劳动者工资的，承包人应当先支付工资。</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5.44</w:t>
      </w:r>
      <w:r>
        <w:rPr>
          <w:rFonts w:hint="eastAsia" w:ascii="宋体" w:hAnsi="宋体"/>
          <w:szCs w:val="21"/>
        </w:rPr>
        <w:t>承包人未按照合同约定拨付或者结清工程款，致使承包人自行分包的分包人拖欠劳动者工资的，承包人应先行垫付劳动者工资。</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5.45</w:t>
      </w:r>
      <w:r>
        <w:rPr>
          <w:rFonts w:hint="eastAsia" w:ascii="宋体" w:hAnsi="宋体"/>
          <w:szCs w:val="21"/>
        </w:rPr>
        <w:t>承包人违法分包、转包或者违法允许他人以本企业名义承揽工程发生拖欠工资的，由承包人垫付劳动者工资。</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5.46</w:t>
      </w:r>
      <w:r>
        <w:rPr>
          <w:rFonts w:hint="eastAsia" w:ascii="宋体" w:hAnsi="宋体"/>
          <w:szCs w:val="21"/>
        </w:rPr>
        <w:t>承包人有义务将工资支付情况及工作支付报表按月报送发包人。发包人有权对承包人的工资支付行为进行监督检查，依法对承包人存在的工资支付违法行为追究违约责任，并有权向有关部门反映情况。</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5.47</w:t>
      </w:r>
      <w:r>
        <w:rPr>
          <w:rFonts w:hint="eastAsia" w:ascii="宋体" w:hAnsi="宋体"/>
          <w:szCs w:val="21"/>
        </w:rPr>
        <w:t>相应违约责任：</w:t>
      </w:r>
    </w:p>
    <w:p>
      <w:pPr>
        <w:spacing w:line="440" w:lineRule="exact"/>
        <w:ind w:firstLine="420" w:firstLineChars="200"/>
        <w:rPr>
          <w:rFonts w:ascii="宋体" w:hAnsi="宋体"/>
          <w:szCs w:val="21"/>
        </w:rPr>
      </w:pPr>
      <w:r>
        <w:rPr>
          <w:rFonts w:hint="eastAsia" w:ascii="宋体" w:hAnsi="宋体"/>
          <w:szCs w:val="21"/>
        </w:rPr>
        <w:t>（1）承包人及其分包单位没有按照规定实行用工实名管理的</w:t>
      </w:r>
      <w:r>
        <w:rPr>
          <w:rFonts w:hint="eastAsia" w:ascii="宋体" w:hAnsi="宋体"/>
          <w:szCs w:val="21"/>
          <w:lang w:eastAsia="zh-Hans"/>
        </w:rPr>
        <w:t>，</w:t>
      </w:r>
      <w:r>
        <w:rPr>
          <w:rFonts w:hint="eastAsia" w:ascii="宋体" w:hAnsi="宋体"/>
          <w:szCs w:val="21"/>
        </w:rPr>
        <w:t>或者实名管理不符合规定要求的，发包人有权要求承包人限期整改，未能限期整改的，每延期一天，承包人应向发包人承担一万元至五万元的违约金（具体违约金金额由发包人单方确定），发包人有权暂停工程款支付，发包人不得以此为理由延长工期。</w:t>
      </w:r>
    </w:p>
    <w:p>
      <w:pPr>
        <w:spacing w:line="440" w:lineRule="exact"/>
        <w:ind w:firstLine="420" w:firstLineChars="200"/>
        <w:rPr>
          <w:rFonts w:ascii="宋体" w:hAnsi="宋体"/>
          <w:szCs w:val="21"/>
        </w:rPr>
      </w:pPr>
      <w:r>
        <w:rPr>
          <w:rFonts w:hint="eastAsia" w:ascii="宋体" w:hAnsi="宋体"/>
          <w:szCs w:val="21"/>
        </w:rPr>
        <w:t>（2）承包人及其分包单位没有按照规定建立工资支付专用账户或者没有按照规定及时、足额、优先支付工人工资的，应当限期整改，未能限期整改的，每延期一天，承包人应向发包人承担一万元至五万元的违约金（具体违约金金额由发包人单方确定），发包人有权暂停工程款支付，发包人不得以此为理由延长工期。</w:t>
      </w:r>
    </w:p>
    <w:p>
      <w:pPr>
        <w:spacing w:line="440" w:lineRule="exact"/>
        <w:ind w:firstLine="420" w:firstLineChars="200"/>
        <w:rPr>
          <w:rFonts w:ascii="宋体" w:hAnsi="宋体"/>
          <w:szCs w:val="21"/>
        </w:rPr>
      </w:pPr>
      <w:r>
        <w:rPr>
          <w:rFonts w:hint="eastAsia" w:ascii="宋体" w:hAnsi="宋体"/>
          <w:szCs w:val="21"/>
        </w:rPr>
        <w:t>（3）承包人有下列行为之一的，视情节轻重，向发包人承担一万元至十万元的违约金（具体违约金金额由发包人单方确定）：a.拒绝、阻碍发包人对于实名用工、工资支付情况进行监督检查和管理的；b.不按照要求报送书面材料、隐瞒事实真相、出具伪证或者隐匿、毁灭证据的。</w:t>
      </w:r>
    </w:p>
    <w:p>
      <w:pPr>
        <w:spacing w:line="440" w:lineRule="exact"/>
        <w:ind w:firstLine="420" w:firstLineChars="200"/>
        <w:rPr>
          <w:rFonts w:ascii="宋体" w:hAnsi="宋体"/>
          <w:szCs w:val="21"/>
        </w:rPr>
      </w:pPr>
      <w:r>
        <w:rPr>
          <w:rFonts w:hint="eastAsia" w:ascii="宋体" w:hAnsi="宋体"/>
          <w:szCs w:val="21"/>
        </w:rPr>
        <w:t>（4）因拖欠、克扣工资而引发严重影响公共秩序事件的，单位法定代表人或者主要经营者未能在二十四小时内到现场协助处理的，承包人需视情况向发包人承担五万元至五十万元的违约金（具体违约金金额由发包人单方确定）。</w:t>
      </w:r>
    </w:p>
    <w:p>
      <w:pPr>
        <w:pStyle w:val="2"/>
        <w:ind w:left="0" w:leftChars="0"/>
      </w:pPr>
    </w:p>
    <w:p>
      <w:pPr>
        <w:spacing w:line="440" w:lineRule="exact"/>
        <w:rPr>
          <w:rFonts w:ascii="宋体" w:hAnsi="宋体"/>
          <w:b/>
          <w:szCs w:val="21"/>
        </w:rPr>
      </w:pPr>
      <w:r>
        <w:rPr>
          <w:rFonts w:hint="eastAsia" w:ascii="宋体" w:hAnsi="宋体"/>
          <w:b/>
          <w:szCs w:val="21"/>
        </w:rPr>
        <w:t>16深化设计要求</w:t>
      </w:r>
    </w:p>
    <w:p>
      <w:pPr>
        <w:spacing w:line="440" w:lineRule="exact"/>
        <w:ind w:firstLine="420" w:firstLineChars="200"/>
        <w:rPr>
          <w:rFonts w:ascii="宋体" w:hAnsi="宋体"/>
          <w:b/>
        </w:rPr>
      </w:pPr>
      <w:r>
        <w:rPr>
          <w:rFonts w:hint="eastAsia" w:ascii="宋体" w:hAnsi="宋体"/>
          <w:bCs/>
        </w:rPr>
        <w:t>16</w:t>
      </w:r>
      <w:r>
        <w:rPr>
          <w:rFonts w:ascii="宋体" w:hAnsi="宋体"/>
          <w:bCs/>
        </w:rPr>
        <w:t>.1</w:t>
      </w:r>
      <w:r>
        <w:rPr>
          <w:rFonts w:hint="eastAsia" w:ascii="宋体" w:hAnsi="宋体"/>
        </w:rPr>
        <w:t>深化设计图纸应满足原设计和施工技术规范的有关要求，且按程序经过设计、发包人和监理的批准后方可实施。</w:t>
      </w:r>
    </w:p>
    <w:p>
      <w:pPr>
        <w:spacing w:line="440" w:lineRule="exact"/>
        <w:ind w:firstLine="420" w:firstLineChars="200"/>
        <w:rPr>
          <w:rFonts w:ascii="宋体" w:hAnsi="宋体"/>
        </w:rPr>
      </w:pPr>
      <w:r>
        <w:rPr>
          <w:rFonts w:hint="eastAsia" w:ascii="宋体" w:hAnsi="宋体"/>
        </w:rPr>
        <w:t>16</w:t>
      </w:r>
      <w:r>
        <w:rPr>
          <w:rFonts w:ascii="宋体" w:hAnsi="宋体"/>
        </w:rPr>
        <w:t>.2</w:t>
      </w:r>
      <w:r>
        <w:rPr>
          <w:rFonts w:hint="eastAsia" w:ascii="宋体" w:hAnsi="宋体"/>
        </w:rPr>
        <w:t>本工程需要承包人深化设计的图纸应满足施工技术要求，且必须经过设计单位的批准，同时应提供足够数量并满足工程施工和存档的图纸及电子版文件。</w:t>
      </w:r>
    </w:p>
    <w:p>
      <w:pPr>
        <w:spacing w:line="440" w:lineRule="exact"/>
        <w:ind w:firstLine="420" w:firstLineChars="200"/>
        <w:rPr>
          <w:rFonts w:ascii="宋体" w:hAnsi="宋体"/>
        </w:rPr>
      </w:pPr>
      <w:r>
        <w:rPr>
          <w:rFonts w:hint="eastAsia" w:ascii="宋体" w:hAnsi="宋体"/>
        </w:rPr>
        <w:t>16</w:t>
      </w:r>
      <w:r>
        <w:rPr>
          <w:rFonts w:ascii="宋体" w:hAnsi="宋体"/>
        </w:rPr>
        <w:t>.3</w:t>
      </w:r>
      <w:r>
        <w:rPr>
          <w:rFonts w:hint="eastAsia" w:ascii="宋体" w:hAnsi="宋体"/>
        </w:rPr>
        <w:t>需深化设计的区域，必须在发包人及设计单位确认后方可施工。若未经确认而导致设备材料等的拆卸、安装、重新施工以及工期拖延等责任由承包人承担，所产生的费用由承包人承担。</w:t>
      </w:r>
    </w:p>
    <w:p>
      <w:pPr>
        <w:pStyle w:val="2"/>
      </w:pPr>
      <w:r>
        <w:rPr>
          <w:rFonts w:hint="eastAsia" w:ascii="宋体" w:hAnsi="宋体"/>
        </w:rPr>
        <w:t>16.4</w:t>
      </w:r>
      <w:r>
        <w:rPr>
          <w:rFonts w:hint="eastAsia"/>
        </w:rPr>
        <w:t>因深化设计增加工程费用除按指挥部要求出具设计变更外，其他不增加费用。</w:t>
      </w:r>
    </w:p>
    <w:p>
      <w:pPr>
        <w:spacing w:line="440" w:lineRule="exact"/>
        <w:rPr>
          <w:rFonts w:ascii="宋体" w:hAnsi="宋体"/>
          <w:bCs/>
          <w:szCs w:val="21"/>
        </w:rPr>
      </w:pPr>
    </w:p>
    <w:p>
      <w:pPr>
        <w:spacing w:line="440" w:lineRule="exact"/>
        <w:rPr>
          <w:rFonts w:ascii="宋体" w:hAnsi="宋体" w:cs="宋体"/>
          <w:b/>
          <w:color w:val="000000"/>
          <w:szCs w:val="21"/>
        </w:rPr>
      </w:pPr>
      <w:r>
        <w:rPr>
          <w:rFonts w:hint="eastAsia" w:ascii="宋体" w:hAnsi="宋体" w:cs="宋体"/>
          <w:b/>
          <w:color w:val="000000"/>
          <w:szCs w:val="21"/>
        </w:rPr>
        <w:t>17</w:t>
      </w:r>
      <w:r>
        <w:rPr>
          <w:rFonts w:ascii="宋体" w:hAnsi="宋体" w:cs="宋体"/>
          <w:b/>
          <w:color w:val="000000"/>
          <w:szCs w:val="21"/>
        </w:rPr>
        <w:t>.</w:t>
      </w:r>
      <w:r>
        <w:rPr>
          <w:rFonts w:hint="eastAsia" w:ascii="宋体" w:hAnsi="宋体" w:cs="宋体"/>
          <w:b/>
          <w:color w:val="000000"/>
          <w:szCs w:val="21"/>
        </w:rPr>
        <w:t>工厂监造和检验</w:t>
      </w:r>
    </w:p>
    <w:p>
      <w:pPr>
        <w:spacing w:line="440" w:lineRule="exact"/>
        <w:ind w:firstLine="420" w:firstLineChars="200"/>
        <w:rPr>
          <w:rFonts w:cs="宋体"/>
        </w:rPr>
      </w:pPr>
      <w:r>
        <w:rPr>
          <w:rFonts w:hint="eastAsia" w:ascii="宋体" w:hAnsi="宋体"/>
        </w:rPr>
        <w:t>17</w:t>
      </w:r>
      <w:r>
        <w:rPr>
          <w:rFonts w:ascii="宋体" w:hAnsi="宋体"/>
        </w:rPr>
        <w:t>.1</w:t>
      </w:r>
      <w:r>
        <w:rPr>
          <w:rFonts w:hint="eastAsia"/>
        </w:rPr>
        <w:t>承包人在产品生产期间，应邀请发包人代表到主要设备材料制造厂进行</w:t>
      </w:r>
      <w:r>
        <w:rPr>
          <w:rFonts w:hint="eastAsia"/>
          <w:bCs/>
        </w:rPr>
        <w:t>监造。</w:t>
      </w:r>
      <w:r>
        <w:rPr>
          <w:rFonts w:hint="eastAsia"/>
        </w:rPr>
        <w:t>当主要材料在中国制造，进行监造时，承包人应向发包人及监理人提前两周发出通知；当主要材料在国外制造，进行监造时，承包人应向发包人及监理人提前两月发出通知；承包人应同时提供发包人代表到组装或配套工厂（如有）进行工厂检验的计划。如果在规定的时间内发包人代表不到场，在发包人代表同意的前提下，工作可按发包人代表在场的情况进行，并应及时把结果报告发包人代表。</w:t>
      </w:r>
    </w:p>
    <w:p>
      <w:pPr>
        <w:spacing w:line="440" w:lineRule="exact"/>
        <w:ind w:firstLine="420" w:firstLineChars="200"/>
      </w:pPr>
      <w:r>
        <w:rPr>
          <w:rFonts w:hint="eastAsia" w:ascii="宋体" w:hAnsi="宋体"/>
        </w:rPr>
        <w:t>17</w:t>
      </w:r>
      <w:r>
        <w:rPr>
          <w:rFonts w:ascii="宋体" w:hAnsi="宋体"/>
        </w:rPr>
        <w:t>.2</w:t>
      </w:r>
      <w:r>
        <w:rPr>
          <w:rFonts w:hint="eastAsia"/>
        </w:rPr>
        <w:t>承包人必须在主要设备材料制造完成后的两周内将所有检验证书和报告提交监理人。</w:t>
      </w:r>
    </w:p>
    <w:p>
      <w:pPr>
        <w:spacing w:line="440" w:lineRule="exact"/>
        <w:ind w:firstLine="420" w:firstLineChars="200"/>
      </w:pPr>
      <w:r>
        <w:rPr>
          <w:rFonts w:hint="eastAsia" w:ascii="宋体" w:hAnsi="宋体"/>
        </w:rPr>
        <w:t>17</w:t>
      </w:r>
      <w:r>
        <w:rPr>
          <w:rFonts w:ascii="宋体" w:hAnsi="宋体"/>
        </w:rPr>
        <w:t>.3</w:t>
      </w:r>
      <w:r>
        <w:rPr>
          <w:rFonts w:hint="eastAsia"/>
        </w:rPr>
        <w:t>主要设备材料的检验应在工厂完成，承包人应提供必要的技术数据、图纸、检验标准和计划，供发包人代表认可。如果测试工作超出了承包人的能力，则应安排到有测试条件、具备相应资质的第四方（指除发包人、承包人、制造方以外的另一方）进行。测试工作的任何变化都应事先征得发包人代表的书面确认，如果某些产品在其他场所制造和测试时，承包人应替发包人办理进入现场的证明并亲自陪同。</w:t>
      </w:r>
    </w:p>
    <w:p>
      <w:pPr>
        <w:spacing w:line="440" w:lineRule="exact"/>
        <w:ind w:firstLine="420" w:firstLineChars="200"/>
      </w:pPr>
      <w:r>
        <w:rPr>
          <w:rFonts w:hint="eastAsia" w:ascii="宋体" w:hAnsi="宋体"/>
        </w:rPr>
        <w:t>17</w:t>
      </w:r>
      <w:r>
        <w:rPr>
          <w:rFonts w:ascii="宋体" w:hAnsi="宋体"/>
        </w:rPr>
        <w:t>.4</w:t>
      </w:r>
      <w:r>
        <w:rPr>
          <w:rFonts w:hint="eastAsia"/>
        </w:rPr>
        <w:t>承包人必须在每一个测试项目完成后的两周内，将测试证书和报告提交发包人。</w:t>
      </w:r>
    </w:p>
    <w:p>
      <w:pPr>
        <w:spacing w:line="440" w:lineRule="exact"/>
        <w:ind w:firstLine="420" w:firstLineChars="200"/>
      </w:pPr>
      <w:r>
        <w:rPr>
          <w:rFonts w:hint="eastAsia" w:ascii="宋体" w:hAnsi="宋体"/>
        </w:rPr>
        <w:t>17</w:t>
      </w:r>
      <w:r>
        <w:rPr>
          <w:rFonts w:ascii="宋体" w:hAnsi="宋体"/>
        </w:rPr>
        <w:t>.5</w:t>
      </w:r>
      <w:r>
        <w:rPr>
          <w:rFonts w:hint="eastAsia"/>
        </w:rPr>
        <w:t>制造期间，发包人代表拥有检查的权力，以及索取图纸和试验结果的权力，承包人应提供支持。如发包人代表有要求，承包人应解释监造、工厂检验的一切事项，直至达到发包人代表要求，如不符合本条款要求规定，承包人应按发包人要求</w:t>
      </w:r>
      <w:r>
        <w:rPr>
          <w:rFonts w:hint="eastAsia"/>
          <w:lang w:eastAsia="zh-Hans"/>
        </w:rPr>
        <w:t>做</w:t>
      </w:r>
      <w:r>
        <w:rPr>
          <w:rFonts w:hint="eastAsia"/>
        </w:rPr>
        <w:t>无偿改进。由此引起的延误，不得作为工期延期和增加费用的理由。</w:t>
      </w:r>
    </w:p>
    <w:p>
      <w:pPr>
        <w:spacing w:line="440" w:lineRule="exact"/>
        <w:rPr>
          <w:rFonts w:ascii="宋体" w:hAnsi="宋体" w:cs="宋体"/>
          <w:bCs/>
          <w:strike/>
          <w:color w:val="000000"/>
          <w:szCs w:val="21"/>
        </w:rPr>
      </w:pPr>
    </w:p>
    <w:p>
      <w:pPr>
        <w:spacing w:line="440" w:lineRule="exact"/>
        <w:rPr>
          <w:rFonts w:ascii="宋体" w:hAnsi="宋体" w:cs="宋体"/>
          <w:b/>
          <w:color w:val="000000"/>
          <w:szCs w:val="21"/>
        </w:rPr>
      </w:pPr>
      <w:r>
        <w:rPr>
          <w:rFonts w:hint="eastAsia" w:ascii="宋体" w:hAnsi="宋体" w:cs="宋体"/>
          <w:b/>
          <w:color w:val="000000"/>
          <w:szCs w:val="21"/>
        </w:rPr>
        <w:t>18</w:t>
      </w:r>
      <w:r>
        <w:rPr>
          <w:rFonts w:ascii="宋体" w:hAnsi="宋体" w:cs="宋体"/>
          <w:b/>
          <w:color w:val="000000"/>
          <w:szCs w:val="21"/>
        </w:rPr>
        <w:t>.</w:t>
      </w:r>
      <w:r>
        <w:rPr>
          <w:rFonts w:hint="eastAsia" w:ascii="宋体" w:hAnsi="宋体" w:cs="宋体"/>
          <w:b/>
          <w:color w:val="000000"/>
          <w:szCs w:val="21"/>
        </w:rPr>
        <w:t>施工材料要求、品牌档次要求和供应方式</w:t>
      </w:r>
    </w:p>
    <w:p>
      <w:pPr>
        <w:spacing w:line="440" w:lineRule="exact"/>
        <w:ind w:firstLine="420" w:firstLineChars="200"/>
        <w:rPr>
          <w:rFonts w:ascii="宋体" w:hAnsi="宋体"/>
        </w:rPr>
      </w:pPr>
      <w:r>
        <w:rPr>
          <w:rFonts w:hint="eastAsia" w:ascii="宋体" w:hAnsi="宋体"/>
        </w:rPr>
        <w:t>18</w:t>
      </w:r>
      <w:r>
        <w:rPr>
          <w:rFonts w:ascii="宋体" w:hAnsi="宋体"/>
        </w:rPr>
        <w:t>.1</w:t>
      </w:r>
      <w:r>
        <w:rPr>
          <w:rFonts w:hint="eastAsia" w:ascii="宋体" w:hAnsi="宋体"/>
        </w:rPr>
        <w:t>本招标工程所用的材料、设备按施工图和招标文件提供的技术要求及参考品牌的质量要求，且全部由承包人采购。承包人采购的设备、材料须报发包人和监理人认可备案。</w:t>
      </w:r>
    </w:p>
    <w:p>
      <w:pPr>
        <w:spacing w:line="440" w:lineRule="exact"/>
        <w:ind w:firstLine="420" w:firstLineChars="200"/>
        <w:rPr>
          <w:rFonts w:ascii="宋体" w:hAnsi="宋体"/>
        </w:rPr>
      </w:pPr>
      <w:r>
        <w:rPr>
          <w:rFonts w:ascii="宋体" w:hAnsi="宋体"/>
        </w:rPr>
        <w:t>1</w:t>
      </w:r>
      <w:r>
        <w:rPr>
          <w:rFonts w:hint="eastAsia" w:ascii="宋体" w:hAnsi="宋体"/>
        </w:rPr>
        <w:t>8</w:t>
      </w:r>
      <w:r>
        <w:rPr>
          <w:rFonts w:ascii="宋体" w:hAnsi="宋体"/>
        </w:rPr>
        <w:t>.2</w:t>
      </w:r>
      <w:r>
        <w:rPr>
          <w:rFonts w:hint="eastAsia" w:ascii="宋体" w:hAnsi="宋体"/>
        </w:rPr>
        <w:t>新型材料设备必须通过相关质量主管认证部门的质量鉴定，并经发包人同意。</w:t>
      </w:r>
    </w:p>
    <w:p>
      <w:pPr>
        <w:spacing w:line="440" w:lineRule="exact"/>
        <w:ind w:firstLine="420" w:firstLineChars="200"/>
        <w:rPr>
          <w:rFonts w:ascii="宋体" w:hAnsi="宋体"/>
        </w:rPr>
      </w:pPr>
      <w:r>
        <w:rPr>
          <w:rFonts w:ascii="宋体" w:hAnsi="宋体"/>
        </w:rPr>
        <w:t>1</w:t>
      </w:r>
      <w:r>
        <w:rPr>
          <w:rFonts w:hint="eastAsia" w:ascii="宋体" w:hAnsi="宋体"/>
        </w:rPr>
        <w:t>8</w:t>
      </w:r>
      <w:r>
        <w:rPr>
          <w:rFonts w:ascii="宋体" w:hAnsi="宋体"/>
        </w:rPr>
        <w:t>.3</w:t>
      </w:r>
      <w:r>
        <w:rPr>
          <w:rFonts w:hint="eastAsia" w:ascii="宋体" w:hAnsi="宋体"/>
        </w:rPr>
        <w:t>本工程所有工艺和设备或材料都必须满足设计要求，所有设备或材料都必须通过国家质量体系ISO9001（或ISO9002）认证。</w:t>
      </w:r>
    </w:p>
    <w:p>
      <w:pPr>
        <w:spacing w:line="440" w:lineRule="exact"/>
        <w:ind w:firstLine="420" w:firstLineChars="200"/>
        <w:rPr>
          <w:rFonts w:ascii="宋体" w:hAnsi="宋体"/>
        </w:rPr>
      </w:pPr>
      <w:r>
        <w:rPr>
          <w:rFonts w:ascii="宋体" w:hAnsi="宋体"/>
        </w:rPr>
        <w:t>1</w:t>
      </w:r>
      <w:r>
        <w:rPr>
          <w:rFonts w:hint="eastAsia" w:ascii="宋体" w:hAnsi="宋体"/>
        </w:rPr>
        <w:t>8</w:t>
      </w:r>
      <w:r>
        <w:rPr>
          <w:rFonts w:ascii="宋体" w:hAnsi="宋体"/>
        </w:rPr>
        <w:t>.4</w:t>
      </w:r>
      <w:r>
        <w:rPr>
          <w:rFonts w:hint="eastAsia" w:ascii="宋体" w:hAnsi="宋体"/>
        </w:rPr>
        <w:t>乙购材料、设备应是近二年的知名主流产品，且在同等规模项目使用过并验证质量良好。</w:t>
      </w:r>
    </w:p>
    <w:p>
      <w:pPr>
        <w:spacing w:line="440" w:lineRule="exact"/>
        <w:ind w:firstLine="420" w:firstLineChars="200"/>
        <w:rPr>
          <w:spacing w:val="-12"/>
        </w:rPr>
      </w:pPr>
      <w:r>
        <w:rPr>
          <w:rFonts w:ascii="宋体" w:hAnsi="宋体"/>
        </w:rPr>
        <w:t>1</w:t>
      </w:r>
      <w:r>
        <w:rPr>
          <w:rFonts w:hint="eastAsia" w:ascii="宋体" w:hAnsi="宋体"/>
        </w:rPr>
        <w:t>8</w:t>
      </w:r>
      <w:r>
        <w:rPr>
          <w:rFonts w:ascii="宋体" w:hAnsi="宋体"/>
        </w:rPr>
        <w:t>.5</w:t>
      </w:r>
      <w:r>
        <w:rPr>
          <w:rFonts w:hint="eastAsia" w:ascii="宋体" w:hAnsi="宋体"/>
        </w:rPr>
        <w:t>本工程主要的材料设备订货前承包人应提供样品报发包人，同时提供生产厂家的合格证书、试验报告等资料报监理人、发包人审核后才能订货。</w:t>
      </w:r>
      <w:r>
        <w:rPr>
          <w:spacing w:val="-3"/>
        </w:rPr>
        <w:t>承包人须在满足进度计划要求的前提下</w:t>
      </w:r>
      <w:r>
        <w:rPr>
          <w:rFonts w:ascii="宋体" w:hAnsi="宋体" w:cs="宋体"/>
          <w:spacing w:val="-8"/>
          <w:szCs w:val="21"/>
        </w:rPr>
        <w:t>按照</w:t>
      </w:r>
      <w:r>
        <w:rPr>
          <w:rFonts w:hint="eastAsia" w:ascii="宋体" w:hAnsi="宋体" w:cs="宋体"/>
          <w:spacing w:val="-8"/>
          <w:szCs w:val="21"/>
        </w:rPr>
        <w:t xml:space="preserve"> 附件6 </w:t>
      </w:r>
      <w:r>
        <w:rPr>
          <w:rFonts w:ascii="宋体" w:hAnsi="宋体" w:cs="宋体"/>
          <w:spacing w:val="-8"/>
          <w:kern w:val="0"/>
          <w:szCs w:val="21"/>
          <w:lang w:val="zh-CN" w:bidi="zh-CN"/>
        </w:rPr>
        <w:t>《广东省机场管理集团有限公司工程建设指挥部乙购材料设备送样封存管理细则》的要求，对工程品质、质量、外观、安全有较大影响的工程乙购材料设备需实行送样封存。</w:t>
      </w:r>
      <w:r>
        <w:rPr>
          <w:rFonts w:ascii="宋体" w:hAnsi="宋体" w:cs="宋体"/>
          <w:spacing w:val="-8"/>
          <w:szCs w:val="21"/>
        </w:rPr>
        <w:t>订货前中标单位应按规定提供样品</w:t>
      </w:r>
      <w:r>
        <w:rPr>
          <w:rFonts w:ascii="宋体" w:hAnsi="宋体" w:cs="宋体"/>
          <w:spacing w:val="-8"/>
          <w:szCs w:val="21"/>
          <w:lang w:val="zh-CN"/>
        </w:rPr>
        <w:t>送至</w:t>
      </w:r>
      <w:r>
        <w:rPr>
          <w:rFonts w:hint="eastAsia" w:ascii="宋体" w:hAnsi="宋体" w:cs="宋体"/>
          <w:spacing w:val="-8"/>
          <w:szCs w:val="21"/>
        </w:rPr>
        <w:t>发包</w:t>
      </w:r>
      <w:r>
        <w:rPr>
          <w:rFonts w:ascii="宋体" w:hAnsi="宋体" w:cs="宋体"/>
          <w:spacing w:val="-8"/>
          <w:szCs w:val="21"/>
          <w:lang w:val="zh-CN"/>
        </w:rPr>
        <w:t>人指定的地点封存</w:t>
      </w:r>
      <w:r>
        <w:rPr>
          <w:rFonts w:ascii="宋体" w:hAnsi="宋体" w:cs="宋体"/>
          <w:spacing w:val="-8"/>
          <w:szCs w:val="21"/>
        </w:rPr>
        <w:t>，同时提供生产厂家的合格证书、试验报告。</w:t>
      </w:r>
      <w:r>
        <w:rPr>
          <w:spacing w:val="-3"/>
        </w:rPr>
        <w:t>清单内应包括设备及材料</w:t>
      </w:r>
      <w:r>
        <w:rPr>
          <w:spacing w:val="-12"/>
        </w:rPr>
        <w:t>的名称、制造商名称、产地、型号等。</w:t>
      </w:r>
    </w:p>
    <w:p>
      <w:pPr>
        <w:spacing w:line="440" w:lineRule="exact"/>
        <w:ind w:firstLine="420" w:firstLineChars="200"/>
        <w:rPr>
          <w:rFonts w:ascii="Times New Roman" w:hAnsi="Times New Roman"/>
        </w:rPr>
      </w:pPr>
      <w:bookmarkStart w:id="388" w:name="送样封存"/>
      <w:r>
        <w:rPr>
          <w:rFonts w:hint="eastAsia" w:ascii="Times New Roman" w:hAnsi="Times New Roman"/>
        </w:rPr>
        <w:t>需送样封存的乙购材料设备的清单：</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4119"/>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序号</w:t>
            </w:r>
          </w:p>
        </w:tc>
        <w:tc>
          <w:tcPr>
            <w:tcW w:w="4119" w:type="dxa"/>
            <w:tcBorders>
              <w:top w:val="single" w:color="auto" w:sz="4" w:space="0"/>
              <w:left w:val="nil"/>
              <w:bottom w:val="single" w:color="auto" w:sz="4" w:space="0"/>
              <w:right w:val="single" w:color="auto" w:sz="4" w:space="0"/>
            </w:tcBorders>
            <w:vAlign w:val="center"/>
          </w:tcPr>
          <w:p>
            <w:pPr>
              <w:ind w:firstLine="360" w:firstLineChars="200"/>
              <w:jc w:val="center"/>
              <w:rPr>
                <w:rFonts w:ascii="宋体" w:hAnsi="宋体" w:cs="宋体"/>
                <w:sz w:val="18"/>
                <w:szCs w:val="18"/>
              </w:rPr>
            </w:pPr>
            <w:r>
              <w:rPr>
                <w:rFonts w:hint="eastAsia" w:ascii="宋体" w:hAnsi="宋体" w:cs="宋体"/>
                <w:sz w:val="18"/>
                <w:szCs w:val="18"/>
              </w:rPr>
              <w:t>设备、材料名称</w:t>
            </w:r>
          </w:p>
        </w:tc>
        <w:tc>
          <w:tcPr>
            <w:tcW w:w="2841" w:type="dxa"/>
            <w:tcBorders>
              <w:top w:val="single" w:color="auto" w:sz="4" w:space="0"/>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送样封存要求（是/否）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tcBorders>
              <w:top w:val="single" w:color="auto" w:sz="4" w:space="0"/>
              <w:left w:val="single" w:color="auto" w:sz="4" w:space="0"/>
              <w:bottom w:val="single" w:color="auto" w:sz="4" w:space="0"/>
              <w:right w:val="single" w:color="auto" w:sz="4" w:space="0"/>
            </w:tcBorders>
            <w:vAlign w:val="center"/>
          </w:tcPr>
          <w:p>
            <w:pPr>
              <w:ind w:firstLine="360" w:firstLineChars="200"/>
              <w:rPr>
                <w:rFonts w:ascii="宋体" w:hAnsi="宋体" w:cs="宋体"/>
                <w:sz w:val="18"/>
                <w:szCs w:val="18"/>
              </w:rPr>
            </w:pPr>
            <w:r>
              <w:rPr>
                <w:rFonts w:hint="eastAsia" w:ascii="宋体" w:hAnsi="宋体" w:cs="宋体"/>
                <w:sz w:val="18"/>
                <w:szCs w:val="18"/>
              </w:rPr>
              <w:t>1</w:t>
            </w:r>
          </w:p>
        </w:tc>
        <w:tc>
          <w:tcPr>
            <w:tcW w:w="4119" w:type="dxa"/>
            <w:tcBorders>
              <w:top w:val="single" w:color="auto" w:sz="4" w:space="0"/>
              <w:left w:val="nil"/>
              <w:bottom w:val="single" w:color="auto" w:sz="4" w:space="0"/>
              <w:right w:val="single" w:color="auto" w:sz="4" w:space="0"/>
            </w:tcBorders>
            <w:vAlign w:val="center"/>
          </w:tcPr>
          <w:p>
            <w:pPr>
              <w:ind w:firstLine="360" w:firstLineChars="200"/>
              <w:jc w:val="center"/>
              <w:rPr>
                <w:rFonts w:ascii="宋体" w:hAnsi="宋体" w:cs="宋体"/>
                <w:sz w:val="18"/>
                <w:szCs w:val="18"/>
              </w:rPr>
            </w:pPr>
            <w:r>
              <w:rPr>
                <w:rFonts w:hint="eastAsia" w:ascii="宋体" w:hAnsi="宋体" w:cs="宋体"/>
                <w:sz w:val="18"/>
                <w:szCs w:val="18"/>
              </w:rPr>
              <w:t>电线、电缆</w:t>
            </w:r>
          </w:p>
        </w:tc>
        <w:tc>
          <w:tcPr>
            <w:tcW w:w="2841" w:type="dxa"/>
            <w:tcBorders>
              <w:top w:val="single" w:color="auto" w:sz="4" w:space="0"/>
              <w:left w:val="nil"/>
              <w:bottom w:val="single" w:color="auto" w:sz="4" w:space="0"/>
              <w:right w:val="single" w:color="auto" w:sz="4" w:space="0"/>
            </w:tcBorders>
            <w:vAlign w:val="center"/>
          </w:tcPr>
          <w:p>
            <w:pPr>
              <w:ind w:firstLine="360" w:firstLineChars="200"/>
              <w:jc w:val="center"/>
              <w:rPr>
                <w:rFonts w:ascii="宋体" w:hAnsi="宋体" w:cs="宋体"/>
                <w:sz w:val="18"/>
                <w:szCs w:val="18"/>
              </w:rPr>
            </w:pPr>
            <w:r>
              <w:rPr>
                <w:rFonts w:hint="eastAsia" w:ascii="宋体" w:hAnsi="宋体" w:cs="宋体"/>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tcBorders>
              <w:top w:val="single" w:color="auto" w:sz="4" w:space="0"/>
              <w:left w:val="single" w:color="auto" w:sz="4" w:space="0"/>
              <w:bottom w:val="single" w:color="auto" w:sz="4" w:space="0"/>
              <w:right w:val="single" w:color="auto" w:sz="4" w:space="0"/>
            </w:tcBorders>
            <w:vAlign w:val="center"/>
          </w:tcPr>
          <w:p>
            <w:pPr>
              <w:ind w:firstLine="360" w:firstLineChars="200"/>
              <w:rPr>
                <w:rFonts w:ascii="宋体" w:hAnsi="宋体" w:cs="宋体"/>
                <w:sz w:val="18"/>
                <w:szCs w:val="18"/>
              </w:rPr>
            </w:pPr>
            <w:r>
              <w:rPr>
                <w:rFonts w:hint="eastAsia" w:ascii="宋体" w:hAnsi="宋体" w:cs="宋体"/>
                <w:sz w:val="18"/>
                <w:szCs w:val="18"/>
              </w:rPr>
              <w:t>2</w:t>
            </w:r>
          </w:p>
        </w:tc>
        <w:tc>
          <w:tcPr>
            <w:tcW w:w="4119" w:type="dxa"/>
            <w:tcBorders>
              <w:top w:val="single" w:color="auto" w:sz="4" w:space="0"/>
              <w:left w:val="nil"/>
              <w:bottom w:val="single" w:color="auto" w:sz="4" w:space="0"/>
              <w:right w:val="single" w:color="auto" w:sz="4" w:space="0"/>
            </w:tcBorders>
            <w:vAlign w:val="center"/>
          </w:tcPr>
          <w:p>
            <w:pPr>
              <w:ind w:firstLine="360" w:firstLineChars="200"/>
              <w:jc w:val="center"/>
              <w:rPr>
                <w:rFonts w:ascii="宋体" w:hAnsi="宋体" w:cs="宋体"/>
                <w:sz w:val="18"/>
                <w:szCs w:val="18"/>
              </w:rPr>
            </w:pPr>
            <w:r>
              <w:rPr>
                <w:rFonts w:hint="eastAsia" w:ascii="宋体" w:hAnsi="宋体" w:cs="宋体"/>
                <w:sz w:val="18"/>
                <w:szCs w:val="18"/>
              </w:rPr>
              <w:t>保温材料</w:t>
            </w:r>
          </w:p>
        </w:tc>
        <w:tc>
          <w:tcPr>
            <w:tcW w:w="2841" w:type="dxa"/>
            <w:tcBorders>
              <w:top w:val="single" w:color="auto" w:sz="4" w:space="0"/>
              <w:left w:val="nil"/>
              <w:bottom w:val="single" w:color="auto" w:sz="4" w:space="0"/>
              <w:right w:val="single" w:color="auto" w:sz="4" w:space="0"/>
            </w:tcBorders>
            <w:vAlign w:val="center"/>
          </w:tcPr>
          <w:p>
            <w:pPr>
              <w:ind w:firstLine="360" w:firstLineChars="200"/>
              <w:jc w:val="center"/>
              <w:rPr>
                <w:rFonts w:ascii="宋体" w:hAnsi="宋体" w:cs="宋体"/>
                <w:sz w:val="18"/>
                <w:szCs w:val="18"/>
              </w:rPr>
            </w:pPr>
            <w:r>
              <w:rPr>
                <w:rFonts w:hint="eastAsia" w:ascii="宋体" w:hAnsi="宋体" w:cs="宋体"/>
                <w:sz w:val="18"/>
                <w:szCs w:val="18"/>
              </w:rPr>
              <w:t>是</w:t>
            </w:r>
          </w:p>
        </w:tc>
      </w:tr>
      <w:bookmarkEnd w:id="388"/>
    </w:tbl>
    <w:p>
      <w:pPr>
        <w:pStyle w:val="2"/>
      </w:pPr>
    </w:p>
    <w:p>
      <w:pPr>
        <w:spacing w:line="440" w:lineRule="exact"/>
        <w:ind w:firstLine="420" w:firstLineChars="200"/>
        <w:rPr>
          <w:rFonts w:ascii="宋体" w:hAnsi="宋体"/>
        </w:rPr>
      </w:pPr>
      <w:r>
        <w:rPr>
          <w:rFonts w:ascii="宋体" w:hAnsi="宋体"/>
        </w:rPr>
        <w:t>1</w:t>
      </w:r>
      <w:r>
        <w:rPr>
          <w:rFonts w:hint="eastAsia" w:ascii="宋体" w:hAnsi="宋体"/>
        </w:rPr>
        <w:t>8</w:t>
      </w:r>
      <w:r>
        <w:rPr>
          <w:rFonts w:ascii="宋体" w:hAnsi="宋体"/>
        </w:rPr>
        <w:t>.6</w:t>
      </w:r>
      <w:r>
        <w:rPr>
          <w:rFonts w:hint="eastAsia" w:ascii="宋体" w:hAnsi="宋体"/>
        </w:rPr>
        <w:t>所有乙购材料、设备需经发包人及监理人确认，符合工程设计要求，方可使用。不符合要求的材料或设备不允许进场施工；如果在施工过程中发现所用材料或设备货不对板，不能达到设计要求或存在严重的质量问题，发包人有权在不增加造价的情况下责令承包人做第三方检测，造成的一切损失由施工方承担；业主有权在不增加造价的情况下责令使用达到要求的材料或设备，造成的一切损失由施工方承担。</w:t>
      </w:r>
    </w:p>
    <w:p>
      <w:pPr>
        <w:spacing w:line="440" w:lineRule="exact"/>
        <w:ind w:firstLine="420" w:firstLineChars="200"/>
        <w:rPr>
          <w:rFonts w:ascii="宋体" w:hAnsi="宋体"/>
        </w:rPr>
      </w:pPr>
      <w:r>
        <w:rPr>
          <w:rFonts w:hint="eastAsia" w:ascii="宋体" w:hAnsi="宋体"/>
        </w:rPr>
        <w:t>18</w:t>
      </w:r>
      <w:r>
        <w:rPr>
          <w:rFonts w:ascii="宋体" w:hAnsi="宋体"/>
        </w:rPr>
        <w:t>.7</w:t>
      </w:r>
      <w:r>
        <w:rPr>
          <w:rFonts w:hint="eastAsia" w:ascii="宋体" w:hAnsi="宋体"/>
        </w:rPr>
        <w:t>所有须检测的材料、设备，检测费全部由承包人承担，发包人委托的第三方检测费用除外。</w:t>
      </w:r>
    </w:p>
    <w:p>
      <w:pPr>
        <w:spacing w:line="440" w:lineRule="exact"/>
        <w:ind w:firstLine="420" w:firstLineChars="200"/>
        <w:rPr>
          <w:rFonts w:ascii="宋体" w:hAnsi="宋体"/>
        </w:rPr>
      </w:pPr>
      <w:r>
        <w:rPr>
          <w:rFonts w:ascii="宋体" w:hAnsi="宋体"/>
        </w:rPr>
        <w:t>1</w:t>
      </w:r>
      <w:r>
        <w:rPr>
          <w:rFonts w:hint="eastAsia" w:ascii="宋体" w:hAnsi="宋体"/>
        </w:rPr>
        <w:t>8</w:t>
      </w:r>
      <w:r>
        <w:rPr>
          <w:rFonts w:ascii="宋体" w:hAnsi="宋体"/>
        </w:rPr>
        <w:t>.8</w:t>
      </w:r>
      <w:r>
        <w:rPr>
          <w:rFonts w:hint="eastAsia" w:ascii="宋体" w:hAnsi="宋体"/>
        </w:rPr>
        <w:t>所有材料必须保证为全新及没有缺陷的优等品，承包人必须负责选购材料，确定的材料必须符合此标书和有关图纸的设计要求，承包人必须提供材料的有关试验报告以确认材料的质量。发包人对任何材料的批准并不分担承包人应负的责任。所有产品的规格、色彩、图案必须由发包人确认后方可生产加工。发包人有权根据设计的要求，更改颜色及图案，产品价格不得因此而引起变化。</w:t>
      </w:r>
    </w:p>
    <w:p>
      <w:pPr>
        <w:spacing w:line="440" w:lineRule="exact"/>
        <w:ind w:firstLine="420" w:firstLineChars="200"/>
        <w:rPr>
          <w:rFonts w:ascii="宋体" w:hAnsi="宋体"/>
        </w:rPr>
      </w:pPr>
      <w:r>
        <w:rPr>
          <w:rFonts w:hint="eastAsia" w:ascii="宋体" w:hAnsi="宋体"/>
        </w:rPr>
        <w:t>18</w:t>
      </w:r>
      <w:r>
        <w:rPr>
          <w:rFonts w:ascii="宋体" w:hAnsi="宋体"/>
        </w:rPr>
        <w:t>.9</w:t>
      </w:r>
      <w:r>
        <w:rPr>
          <w:rFonts w:hint="eastAsia" w:ascii="宋体" w:hAnsi="宋体"/>
        </w:rPr>
        <w:t>根据设计施工图纸和本技术要求，本工程项目的材料、设备、施工必须达到现行中华人民共和国及省、市、行业的一切有关法规、规范的要求，在相关标准及规范要求有出入则以较严格者为准。</w:t>
      </w:r>
    </w:p>
    <w:p>
      <w:pPr>
        <w:spacing w:line="440" w:lineRule="exact"/>
        <w:ind w:firstLine="420" w:firstLineChars="200"/>
        <w:rPr>
          <w:rFonts w:ascii="宋体" w:hAnsi="宋体"/>
        </w:rPr>
      </w:pPr>
      <w:r>
        <w:rPr>
          <w:rFonts w:ascii="宋体" w:hAnsi="宋体"/>
        </w:rPr>
        <w:t>1</w:t>
      </w:r>
      <w:r>
        <w:rPr>
          <w:rFonts w:hint="eastAsia" w:ascii="宋体" w:hAnsi="宋体"/>
        </w:rPr>
        <w:t>8</w:t>
      </w:r>
      <w:r>
        <w:rPr>
          <w:rFonts w:ascii="宋体" w:hAnsi="宋体"/>
        </w:rPr>
        <w:t>.10</w:t>
      </w:r>
      <w:r>
        <w:rPr>
          <w:rFonts w:hint="eastAsia" w:ascii="宋体" w:hAnsi="宋体"/>
        </w:rPr>
        <w:t>所有产品必须取得国家权威机构相关尚在有效期内的产品检测报告及合格证，与消防相关的产品必须取得消防部门颁发的合格证书。</w:t>
      </w:r>
    </w:p>
    <w:p>
      <w:pPr>
        <w:spacing w:line="440" w:lineRule="exact"/>
        <w:ind w:firstLine="420" w:firstLineChars="200"/>
        <w:rPr>
          <w:rFonts w:ascii="宋体" w:hAnsi="宋体"/>
        </w:rPr>
      </w:pPr>
      <w:r>
        <w:rPr>
          <w:rFonts w:ascii="宋体" w:hAnsi="宋体"/>
        </w:rPr>
        <w:t>1</w:t>
      </w:r>
      <w:r>
        <w:rPr>
          <w:rFonts w:hint="eastAsia" w:ascii="宋体" w:hAnsi="宋体"/>
        </w:rPr>
        <w:t>8</w:t>
      </w:r>
      <w:r>
        <w:rPr>
          <w:rFonts w:ascii="宋体" w:hAnsi="宋体"/>
        </w:rPr>
        <w:t>.11</w:t>
      </w:r>
      <w:r>
        <w:rPr>
          <w:rFonts w:hint="eastAsia" w:ascii="宋体" w:hAnsi="宋体"/>
        </w:rPr>
        <w:t>承包人应仔细审核招标设计图纸，严格按设计要求的质量标准考虑所采用的材料设备。承包人必须在投标文件中注明拟采用材料的品牌或生产厂家、主要技术参数和质量标准。中标后主要设备交货时必须提供原厂商出具的供货证明。</w:t>
      </w:r>
    </w:p>
    <w:p>
      <w:pPr>
        <w:spacing w:line="440" w:lineRule="exact"/>
        <w:ind w:firstLine="420" w:firstLineChars="200"/>
        <w:rPr>
          <w:rFonts w:ascii="宋体" w:hAnsi="宋体"/>
        </w:rPr>
      </w:pPr>
      <w:r>
        <w:rPr>
          <w:rFonts w:hint="eastAsia" w:ascii="宋体" w:hAnsi="宋体"/>
        </w:rPr>
        <w:t>18</w:t>
      </w:r>
      <w:r>
        <w:rPr>
          <w:rFonts w:ascii="宋体" w:hAnsi="宋体"/>
        </w:rPr>
        <w:t>.12</w:t>
      </w:r>
      <w:r>
        <w:rPr>
          <w:rFonts w:hint="eastAsia" w:ascii="宋体" w:hAnsi="宋体"/>
        </w:rPr>
        <w:t>承包人必须到具备二级以上资质的商品混凝土供应公司购买所需商品混凝土，同时须报发包人和监理人认可备案后才能使用；商品混凝土用砂严禁采用海砂或遭受海水污染。</w:t>
      </w:r>
    </w:p>
    <w:p>
      <w:pPr>
        <w:spacing w:line="440" w:lineRule="exact"/>
        <w:ind w:firstLine="420" w:firstLineChars="200"/>
        <w:rPr>
          <w:rFonts w:ascii="宋体" w:hAnsi="宋体"/>
        </w:rPr>
      </w:pPr>
      <w:r>
        <w:rPr>
          <w:rFonts w:ascii="宋体" w:hAnsi="宋体"/>
        </w:rPr>
        <w:t>1</w:t>
      </w:r>
      <w:r>
        <w:rPr>
          <w:rFonts w:hint="eastAsia" w:ascii="宋体" w:hAnsi="宋体"/>
        </w:rPr>
        <w:t>8</w:t>
      </w:r>
      <w:r>
        <w:rPr>
          <w:rFonts w:ascii="宋体" w:hAnsi="宋体"/>
        </w:rPr>
        <w:t>.13</w:t>
      </w:r>
      <w:r>
        <w:rPr>
          <w:rFonts w:hint="eastAsia" w:ascii="宋体" w:hAnsi="宋体"/>
        </w:rPr>
        <w:t>凡发包人给出品质要求的材料设备所涉及的项目，需在投标报价的材料设备一览表中注明材料设备的生产厂家、品牌。</w:t>
      </w:r>
    </w:p>
    <w:p>
      <w:pPr>
        <w:spacing w:line="440" w:lineRule="exact"/>
        <w:ind w:firstLine="420" w:firstLineChars="200"/>
        <w:rPr>
          <w:rFonts w:ascii="宋体" w:hAnsi="宋体"/>
        </w:rPr>
      </w:pPr>
      <w:r>
        <w:rPr>
          <w:rFonts w:ascii="宋体" w:hAnsi="宋体"/>
        </w:rPr>
        <w:t>1</w:t>
      </w:r>
      <w:r>
        <w:rPr>
          <w:rFonts w:hint="eastAsia" w:ascii="宋体" w:hAnsi="宋体"/>
        </w:rPr>
        <w:t>8</w:t>
      </w:r>
      <w:r>
        <w:rPr>
          <w:rFonts w:ascii="宋体" w:hAnsi="宋体"/>
        </w:rPr>
        <w:t>.14</w:t>
      </w:r>
      <w:r>
        <w:rPr>
          <w:rFonts w:hint="eastAsia" w:ascii="宋体" w:hAnsi="宋体"/>
        </w:rPr>
        <w:t>所选用的材料品牌厂家产品，必须符合国家最新出台的相关管理规定，不得危害国家利益。</w:t>
      </w:r>
    </w:p>
    <w:p>
      <w:pPr>
        <w:spacing w:line="440" w:lineRule="exact"/>
        <w:ind w:firstLine="420" w:firstLineChars="200"/>
        <w:rPr>
          <w:rFonts w:ascii="宋体" w:hAnsi="宋体"/>
        </w:rPr>
      </w:pPr>
      <w:r>
        <w:rPr>
          <w:rFonts w:ascii="宋体" w:hAnsi="宋体"/>
        </w:rPr>
        <w:t>1</w:t>
      </w:r>
      <w:r>
        <w:rPr>
          <w:rFonts w:hint="eastAsia" w:ascii="宋体" w:hAnsi="宋体"/>
        </w:rPr>
        <w:t>8</w:t>
      </w:r>
      <w:r>
        <w:rPr>
          <w:rFonts w:ascii="宋体" w:hAnsi="宋体"/>
        </w:rPr>
        <w:t>.15</w:t>
      </w:r>
      <w:r>
        <w:rPr>
          <w:rFonts w:hint="eastAsia" w:ascii="宋体" w:hAnsi="宋体"/>
        </w:rPr>
        <w:t>承包人应根据实际进度向发包人提交材料设备订货采购计划，材料、设备的订货不得影响现场施工。</w:t>
      </w:r>
    </w:p>
    <w:p>
      <w:pPr>
        <w:spacing w:line="440" w:lineRule="exact"/>
        <w:ind w:firstLine="420" w:firstLineChars="200"/>
        <w:rPr>
          <w:rFonts w:hAnsi="宋体"/>
          <w:szCs w:val="18"/>
        </w:rPr>
      </w:pPr>
      <w:r>
        <w:rPr>
          <w:rFonts w:ascii="宋体" w:hAnsi="宋体"/>
        </w:rPr>
        <w:t>1</w:t>
      </w:r>
      <w:r>
        <w:rPr>
          <w:rFonts w:hint="eastAsia" w:ascii="宋体" w:hAnsi="宋体"/>
        </w:rPr>
        <w:t>8</w:t>
      </w:r>
      <w:r>
        <w:rPr>
          <w:rFonts w:ascii="宋体" w:hAnsi="宋体"/>
        </w:rPr>
        <w:t>.16</w:t>
      </w:r>
      <w:r>
        <w:rPr>
          <w:rFonts w:hint="eastAsia" w:hAnsi="宋体"/>
          <w:szCs w:val="18"/>
        </w:rPr>
        <w:t>投标人所投材料、设备、元器件和配件等产品不在招标文件相应参考品牌范围之内的，投标文件需提供关于所投产品相当或优于参考品牌档次的证明材料以及主要技术规格、参数表。</w:t>
      </w:r>
    </w:p>
    <w:p>
      <w:pPr>
        <w:spacing w:line="440" w:lineRule="exact"/>
        <w:ind w:firstLine="420" w:firstLineChars="200"/>
        <w:rPr>
          <w:rFonts w:ascii="宋体" w:hAnsi="宋体" w:cs="宋体"/>
          <w:szCs w:val="21"/>
        </w:rPr>
      </w:pPr>
      <w:r>
        <w:rPr>
          <w:rFonts w:hint="eastAsia" w:ascii="宋体" w:hAnsi="宋体"/>
        </w:rPr>
        <w:t>18</w:t>
      </w:r>
      <w:r>
        <w:rPr>
          <w:rFonts w:ascii="宋体" w:hAnsi="宋体"/>
        </w:rPr>
        <w:t>.</w:t>
      </w:r>
      <w:r>
        <w:rPr>
          <w:rFonts w:hint="eastAsia" w:ascii="宋体" w:hAnsi="宋体"/>
        </w:rPr>
        <w:t>1</w:t>
      </w:r>
      <w:r>
        <w:rPr>
          <w:rFonts w:ascii="宋体" w:hAnsi="宋体"/>
        </w:rPr>
        <w:t>7</w:t>
      </w:r>
      <w:r>
        <w:rPr>
          <w:rFonts w:hint="eastAsia" w:ascii="宋体" w:hAnsi="宋体" w:cs="宋体"/>
          <w:szCs w:val="21"/>
        </w:rPr>
        <w:t>分部（分项）工程区域未列出参考品牌厂家的，可选其他分部（分项）工程区域品牌厂家。</w:t>
      </w:r>
    </w:p>
    <w:p>
      <w:pPr>
        <w:spacing w:line="440" w:lineRule="exact"/>
        <w:ind w:firstLine="420" w:firstLineChars="200"/>
        <w:rPr>
          <w:rFonts w:ascii="宋体" w:hAnsi="宋体" w:cs="宋体"/>
          <w:szCs w:val="21"/>
        </w:rPr>
      </w:pPr>
      <w:r>
        <w:rPr>
          <w:rFonts w:hint="eastAsia" w:ascii="宋体" w:hAnsi="宋体" w:cs="宋体"/>
          <w:szCs w:val="21"/>
        </w:rPr>
        <w:t>18</w:t>
      </w:r>
      <w:r>
        <w:rPr>
          <w:rFonts w:ascii="宋体" w:hAnsi="宋体" w:cs="宋体"/>
          <w:szCs w:val="21"/>
        </w:rPr>
        <w:t>.</w:t>
      </w:r>
      <w:r>
        <w:rPr>
          <w:rFonts w:hint="eastAsia" w:ascii="宋体" w:hAnsi="宋体" w:cs="宋体"/>
          <w:szCs w:val="21"/>
        </w:rPr>
        <w:t>1</w:t>
      </w:r>
      <w:r>
        <w:rPr>
          <w:rFonts w:ascii="宋体" w:hAnsi="宋体" w:cs="宋体"/>
          <w:szCs w:val="21"/>
        </w:rPr>
        <w:t>8</w:t>
      </w:r>
      <w:r>
        <w:rPr>
          <w:rFonts w:hint="eastAsia" w:ascii="宋体" w:hAnsi="宋体" w:cs="宋体"/>
          <w:szCs w:val="21"/>
        </w:rPr>
        <w:t>主要材料设备需经考察确定的，经发包人组织设计、监理单位、施工单位共同考察确认后，才能使用。其他由承包单位负责采购的设备材料，须报发包人和监理单位确认。</w:t>
      </w:r>
    </w:p>
    <w:p>
      <w:pPr>
        <w:spacing w:line="440" w:lineRule="exact"/>
        <w:ind w:firstLine="420" w:firstLineChars="200"/>
        <w:rPr>
          <w:rFonts w:ascii="宋体" w:hAnsi="宋体" w:cs="宋体"/>
          <w:szCs w:val="21"/>
        </w:rPr>
      </w:pPr>
      <w:r>
        <w:rPr>
          <w:rFonts w:hint="eastAsia" w:ascii="宋体" w:hAnsi="宋体" w:cs="宋体"/>
          <w:szCs w:val="21"/>
        </w:rPr>
        <w:t>18</w:t>
      </w:r>
      <w:r>
        <w:rPr>
          <w:rFonts w:ascii="宋体" w:hAnsi="宋体" w:cs="宋体"/>
          <w:szCs w:val="21"/>
        </w:rPr>
        <w:t>.</w:t>
      </w:r>
      <w:r>
        <w:rPr>
          <w:rFonts w:hint="eastAsia" w:ascii="宋体" w:hAnsi="宋体" w:cs="宋体"/>
          <w:szCs w:val="21"/>
        </w:rPr>
        <w:t>1</w:t>
      </w:r>
      <w:r>
        <w:rPr>
          <w:rFonts w:ascii="宋体" w:hAnsi="宋体" w:cs="宋体"/>
          <w:szCs w:val="21"/>
        </w:rPr>
        <w:t>9</w:t>
      </w:r>
      <w:r>
        <w:rPr>
          <w:rFonts w:hint="eastAsia" w:ascii="宋体" w:hAnsi="宋体" w:cs="宋体"/>
          <w:szCs w:val="21"/>
        </w:rPr>
        <w:t>承包人</w:t>
      </w:r>
      <w:r>
        <w:rPr>
          <w:rFonts w:hint="eastAsia" w:ascii="宋体" w:hAnsi="宋体"/>
          <w:szCs w:val="21"/>
        </w:rPr>
        <w:t>可以使用相当于或高于如下表所示品牌要求的厂家：</w:t>
      </w:r>
    </w:p>
    <w:p>
      <w:pPr>
        <w:spacing w:line="440" w:lineRule="exact"/>
        <w:ind w:firstLine="2741" w:firstLineChars="1300"/>
        <w:rPr>
          <w:b/>
          <w:bCs/>
          <w:szCs w:val="21"/>
        </w:rPr>
      </w:pPr>
      <w:r>
        <w:rPr>
          <w:rFonts w:hint="eastAsia"/>
          <w:b/>
          <w:bCs/>
          <w:szCs w:val="21"/>
        </w:rPr>
        <w:t>土建材料参考品牌表</w:t>
      </w:r>
    </w:p>
    <w:tbl>
      <w:tblPr>
        <w:tblStyle w:val="36"/>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3052"/>
        <w:gridCol w:w="4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tcPr>
          <w:p>
            <w:pPr>
              <w:spacing w:line="400" w:lineRule="exact"/>
              <w:jc w:val="center"/>
              <w:rPr>
                <w:rFonts w:ascii="宋体" w:hAnsi="宋体" w:cs="宋体"/>
                <w:szCs w:val="21"/>
              </w:rPr>
            </w:pPr>
            <w:r>
              <w:rPr>
                <w:rFonts w:hint="eastAsia" w:ascii="宋体" w:hAnsi="宋体" w:cs="宋体"/>
                <w:szCs w:val="21"/>
              </w:rPr>
              <w:t>序号</w:t>
            </w:r>
          </w:p>
        </w:tc>
        <w:tc>
          <w:tcPr>
            <w:tcW w:w="3052" w:type="dxa"/>
          </w:tcPr>
          <w:p>
            <w:pPr>
              <w:spacing w:line="400" w:lineRule="exact"/>
              <w:jc w:val="center"/>
              <w:rPr>
                <w:rFonts w:ascii="宋体" w:hAnsi="宋体" w:cs="宋体"/>
                <w:szCs w:val="21"/>
              </w:rPr>
            </w:pPr>
            <w:r>
              <w:rPr>
                <w:rFonts w:hint="eastAsia" w:ascii="宋体" w:hAnsi="宋体" w:cs="宋体"/>
                <w:szCs w:val="21"/>
              </w:rPr>
              <w:t>材料名称</w:t>
            </w:r>
          </w:p>
        </w:tc>
        <w:tc>
          <w:tcPr>
            <w:tcW w:w="4634" w:type="dxa"/>
          </w:tcPr>
          <w:p>
            <w:pPr>
              <w:spacing w:line="400" w:lineRule="exact"/>
              <w:jc w:val="center"/>
              <w:rPr>
                <w:rFonts w:ascii="宋体" w:hAnsi="宋体" w:cs="宋体"/>
                <w:szCs w:val="21"/>
              </w:rPr>
            </w:pPr>
            <w:r>
              <w:rPr>
                <w:rFonts w:hint="eastAsia" w:ascii="宋体" w:hAnsi="宋体" w:cs="宋体"/>
                <w:szCs w:val="21"/>
              </w:rPr>
              <w:t>参考品牌厂家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Align w:val="center"/>
          </w:tcPr>
          <w:p>
            <w:pPr>
              <w:numPr>
                <w:ilvl w:val="0"/>
                <w:numId w:val="16"/>
              </w:numPr>
              <w:spacing w:line="400" w:lineRule="exact"/>
              <w:jc w:val="center"/>
              <w:rPr>
                <w:rFonts w:ascii="宋体" w:hAnsi="宋体" w:cs="宋体"/>
                <w:szCs w:val="21"/>
              </w:rPr>
            </w:pPr>
          </w:p>
        </w:tc>
        <w:tc>
          <w:tcPr>
            <w:tcW w:w="3052" w:type="dxa"/>
            <w:vAlign w:val="center"/>
          </w:tcPr>
          <w:p>
            <w:pPr>
              <w:spacing w:line="400" w:lineRule="exact"/>
              <w:jc w:val="center"/>
              <w:rPr>
                <w:rFonts w:ascii="宋体" w:hAnsi="宋体" w:cs="宋体"/>
                <w:szCs w:val="21"/>
              </w:rPr>
            </w:pPr>
            <w:r>
              <w:rPr>
                <w:rFonts w:hint="eastAsia" w:ascii="宋体" w:hAnsi="宋体" w:cs="宋体"/>
                <w:szCs w:val="21"/>
              </w:rPr>
              <w:t>钢材（圆钢、螺纹钢）</w:t>
            </w:r>
          </w:p>
          <w:p>
            <w:pPr>
              <w:spacing w:line="400" w:lineRule="exact"/>
              <w:jc w:val="center"/>
              <w:rPr>
                <w:rFonts w:ascii="宋体" w:hAnsi="宋体" w:cs="宋体"/>
                <w:szCs w:val="21"/>
              </w:rPr>
            </w:pPr>
            <w:r>
              <w:rPr>
                <w:rFonts w:hint="eastAsia" w:ascii="宋体" w:hAnsi="宋体" w:cs="宋体"/>
                <w:szCs w:val="21"/>
              </w:rPr>
              <w:t>钢结构钢材</w:t>
            </w:r>
          </w:p>
        </w:tc>
        <w:tc>
          <w:tcPr>
            <w:tcW w:w="4634" w:type="dxa"/>
            <w:vAlign w:val="center"/>
          </w:tcPr>
          <w:p>
            <w:pPr>
              <w:pStyle w:val="126"/>
              <w:numPr>
                <w:ilvl w:val="0"/>
                <w:numId w:val="17"/>
              </w:numPr>
              <w:tabs>
                <w:tab w:val="left" w:pos="320"/>
              </w:tabs>
              <w:autoSpaceDE/>
              <w:autoSpaceDN/>
              <w:spacing w:before="43"/>
              <w:ind w:left="440" w:firstLine="420"/>
              <w:jc w:val="both"/>
              <w:rPr>
                <w:sz w:val="21"/>
              </w:rPr>
            </w:pPr>
            <w:r>
              <w:rPr>
                <w:rFonts w:hint="eastAsia"/>
                <w:sz w:val="21"/>
              </w:rPr>
              <w:t>宝武（中国宝武钢铁集团）</w:t>
            </w:r>
          </w:p>
          <w:p>
            <w:pPr>
              <w:pStyle w:val="126"/>
              <w:numPr>
                <w:ilvl w:val="0"/>
                <w:numId w:val="17"/>
              </w:numPr>
              <w:tabs>
                <w:tab w:val="left" w:pos="320"/>
              </w:tabs>
              <w:autoSpaceDE/>
              <w:autoSpaceDN/>
              <w:spacing w:before="43"/>
              <w:ind w:left="440" w:firstLine="420"/>
              <w:jc w:val="both"/>
              <w:rPr>
                <w:sz w:val="21"/>
              </w:rPr>
            </w:pPr>
            <w:r>
              <w:rPr>
                <w:rFonts w:hint="eastAsia"/>
                <w:sz w:val="21"/>
              </w:rPr>
              <w:t>韶钢(宝武集团广东韶关钢铁有限公司)</w:t>
            </w:r>
          </w:p>
          <w:p>
            <w:pPr>
              <w:pStyle w:val="126"/>
              <w:numPr>
                <w:ilvl w:val="0"/>
                <w:numId w:val="17"/>
              </w:numPr>
              <w:tabs>
                <w:tab w:val="left" w:pos="320"/>
              </w:tabs>
              <w:autoSpaceDE/>
              <w:autoSpaceDN/>
              <w:spacing w:before="43"/>
              <w:ind w:left="440" w:firstLine="420"/>
              <w:jc w:val="both"/>
              <w:rPr>
                <w:sz w:val="21"/>
              </w:rPr>
            </w:pPr>
            <w:r>
              <w:rPr>
                <w:rFonts w:hint="eastAsia"/>
                <w:sz w:val="21"/>
              </w:rPr>
              <w:t>鞍钢(鞍钢集团有限公司)</w:t>
            </w:r>
          </w:p>
          <w:p>
            <w:pPr>
              <w:pStyle w:val="126"/>
              <w:numPr>
                <w:ilvl w:val="0"/>
                <w:numId w:val="17"/>
              </w:numPr>
              <w:tabs>
                <w:tab w:val="left" w:pos="320"/>
              </w:tabs>
              <w:autoSpaceDE/>
              <w:autoSpaceDN/>
              <w:spacing w:before="43"/>
              <w:ind w:left="440" w:firstLine="420"/>
              <w:jc w:val="both"/>
              <w:rPr>
                <w:sz w:val="21"/>
              </w:rPr>
            </w:pPr>
            <w:r>
              <w:rPr>
                <w:rFonts w:hint="eastAsia"/>
                <w:sz w:val="21"/>
              </w:rPr>
              <w:t>柳钢(广西柳州钢铁集团有限公司)</w:t>
            </w:r>
          </w:p>
          <w:p>
            <w:pPr>
              <w:pStyle w:val="126"/>
              <w:numPr>
                <w:ilvl w:val="0"/>
                <w:numId w:val="17"/>
              </w:numPr>
              <w:tabs>
                <w:tab w:val="left" w:pos="320"/>
              </w:tabs>
              <w:autoSpaceDE/>
              <w:autoSpaceDN/>
              <w:spacing w:before="43"/>
              <w:ind w:firstLineChars="0"/>
              <w:jc w:val="both"/>
              <w:rPr>
                <w:sz w:val="21"/>
              </w:rPr>
            </w:pPr>
            <w:r>
              <w:rPr>
                <w:rFonts w:hint="eastAsia"/>
                <w:sz w:val="21"/>
              </w:rPr>
              <w:t>首钢（中国首钢集团）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Align w:val="center"/>
          </w:tcPr>
          <w:p>
            <w:pPr>
              <w:numPr>
                <w:ilvl w:val="0"/>
                <w:numId w:val="16"/>
              </w:numPr>
              <w:spacing w:line="400" w:lineRule="exact"/>
              <w:jc w:val="center"/>
              <w:rPr>
                <w:rFonts w:ascii="宋体" w:hAnsi="宋体" w:cs="宋体"/>
                <w:szCs w:val="21"/>
              </w:rPr>
            </w:pPr>
          </w:p>
        </w:tc>
        <w:tc>
          <w:tcPr>
            <w:tcW w:w="3052" w:type="dxa"/>
            <w:vAlign w:val="center"/>
          </w:tcPr>
          <w:p>
            <w:pPr>
              <w:adjustRightInd w:val="0"/>
              <w:snapToGrid w:val="0"/>
              <w:spacing w:line="360" w:lineRule="auto"/>
              <w:jc w:val="center"/>
              <w:rPr>
                <w:rFonts w:ascii="宋体" w:hAnsi="宋体" w:cs="宋体"/>
                <w:szCs w:val="21"/>
              </w:rPr>
            </w:pPr>
            <w:r>
              <w:rPr>
                <w:rFonts w:hint="eastAsia" w:ascii="宋体" w:hAnsi="宋体" w:cs="宋体"/>
                <w:szCs w:val="21"/>
                <w:lang w:bidi="zh-CN"/>
              </w:rPr>
              <w:t>水泥</w:t>
            </w:r>
          </w:p>
        </w:tc>
        <w:tc>
          <w:tcPr>
            <w:tcW w:w="4634" w:type="dxa"/>
            <w:vAlign w:val="center"/>
          </w:tcPr>
          <w:p>
            <w:pPr>
              <w:pStyle w:val="152"/>
              <w:tabs>
                <w:tab w:val="left" w:pos="420"/>
              </w:tabs>
              <w:ind w:firstLine="0" w:firstLineChars="0"/>
              <w:rPr>
                <w:rFonts w:ascii="宋体" w:hAnsi="宋体" w:cs="宋体"/>
                <w:szCs w:val="21"/>
                <w:lang w:val="zh-CN" w:bidi="zh-CN"/>
              </w:rPr>
            </w:pPr>
            <w:r>
              <w:rPr>
                <w:rFonts w:hint="eastAsia" w:ascii="宋体" w:hAnsi="宋体" w:cs="宋体"/>
                <w:szCs w:val="21"/>
                <w:lang w:val="zh-CN" w:bidi="zh-CN"/>
              </w:rPr>
              <w:t>1. 华润水泥</w:t>
            </w:r>
          </w:p>
          <w:p>
            <w:pPr>
              <w:pStyle w:val="152"/>
              <w:tabs>
                <w:tab w:val="left" w:pos="420"/>
              </w:tabs>
              <w:ind w:firstLine="0" w:firstLineChars="0"/>
              <w:rPr>
                <w:rFonts w:ascii="宋体" w:hAnsi="宋体" w:cs="宋体"/>
                <w:szCs w:val="21"/>
                <w:lang w:val="zh-CN" w:bidi="zh-CN"/>
              </w:rPr>
            </w:pPr>
            <w:r>
              <w:rPr>
                <w:rFonts w:hint="eastAsia" w:ascii="宋体" w:hAnsi="宋体" w:cs="宋体"/>
                <w:szCs w:val="21"/>
                <w:lang w:val="zh-CN" w:bidi="zh-CN"/>
              </w:rPr>
              <w:t>2. 珠江水泥</w:t>
            </w:r>
          </w:p>
          <w:p>
            <w:pPr>
              <w:pStyle w:val="152"/>
              <w:tabs>
                <w:tab w:val="left" w:pos="420"/>
              </w:tabs>
              <w:ind w:firstLine="0" w:firstLineChars="0"/>
              <w:rPr>
                <w:rFonts w:ascii="宋体" w:hAnsi="宋体" w:cs="宋体"/>
                <w:szCs w:val="21"/>
                <w:lang w:val="zh-CN" w:bidi="zh-CN"/>
              </w:rPr>
            </w:pPr>
            <w:r>
              <w:rPr>
                <w:rFonts w:hint="eastAsia" w:ascii="宋体" w:hAnsi="宋体" w:cs="宋体"/>
                <w:szCs w:val="21"/>
                <w:lang w:val="zh-CN" w:bidi="zh-CN"/>
              </w:rPr>
              <w:t>3. 海螺水泥</w:t>
            </w:r>
          </w:p>
          <w:p>
            <w:pPr>
              <w:pStyle w:val="152"/>
              <w:tabs>
                <w:tab w:val="left" w:pos="420"/>
              </w:tabs>
              <w:ind w:firstLine="0" w:firstLineChars="0"/>
              <w:rPr>
                <w:szCs w:val="21"/>
              </w:rPr>
            </w:pPr>
            <w:r>
              <w:rPr>
                <w:rFonts w:hint="eastAsia" w:ascii="宋体" w:hAnsi="宋体" w:cs="宋体"/>
                <w:szCs w:val="21"/>
                <w:lang w:val="zh-CN" w:bidi="zh-CN"/>
              </w:rPr>
              <w:t>4. 塔牌水泥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Align w:val="center"/>
          </w:tcPr>
          <w:p>
            <w:pPr>
              <w:numPr>
                <w:ilvl w:val="0"/>
                <w:numId w:val="16"/>
              </w:numPr>
              <w:spacing w:line="400" w:lineRule="exact"/>
              <w:jc w:val="center"/>
              <w:rPr>
                <w:rFonts w:ascii="宋体" w:hAnsi="宋体" w:cs="宋体"/>
                <w:szCs w:val="21"/>
              </w:rPr>
            </w:pPr>
          </w:p>
        </w:tc>
        <w:tc>
          <w:tcPr>
            <w:tcW w:w="3052" w:type="dxa"/>
            <w:vAlign w:val="center"/>
          </w:tcPr>
          <w:p>
            <w:pPr>
              <w:autoSpaceDE w:val="0"/>
              <w:autoSpaceDN w:val="0"/>
              <w:adjustRightInd w:val="0"/>
              <w:snapToGrid w:val="0"/>
              <w:spacing w:line="360" w:lineRule="auto"/>
              <w:jc w:val="center"/>
              <w:rPr>
                <w:rFonts w:ascii="宋体" w:hAnsi="宋体" w:cs="宋体"/>
                <w:szCs w:val="21"/>
                <w:lang w:bidi="zh-CN"/>
              </w:rPr>
            </w:pPr>
            <w:r>
              <w:rPr>
                <w:rFonts w:hint="eastAsia" w:ascii="宋体" w:hAnsi="宋体" w:cs="宋体"/>
                <w:szCs w:val="21"/>
                <w:lang w:bidi="zh-CN"/>
              </w:rPr>
              <w:t>防水材料（卷材、涂料）</w:t>
            </w:r>
          </w:p>
        </w:tc>
        <w:tc>
          <w:tcPr>
            <w:tcW w:w="4634" w:type="dxa"/>
          </w:tcPr>
          <w:p>
            <w:pPr>
              <w:ind w:right="328" w:rightChars="156"/>
              <w:rPr>
                <w:rFonts w:ascii="宋体" w:hAnsi="宋体" w:cs="宋体"/>
                <w:szCs w:val="21"/>
                <w:lang w:val="zh-CN" w:bidi="zh-CN"/>
              </w:rPr>
            </w:pPr>
            <w:r>
              <w:rPr>
                <w:rFonts w:hint="eastAsia" w:ascii="宋体" w:hAnsi="宋体" w:cs="宋体"/>
                <w:szCs w:val="21"/>
                <w:lang w:val="zh-CN" w:bidi="zh-CN"/>
              </w:rPr>
              <w:t>1. 东方雨虹</w:t>
            </w:r>
          </w:p>
          <w:p>
            <w:pPr>
              <w:ind w:right="328" w:rightChars="156"/>
              <w:rPr>
                <w:rFonts w:ascii="宋体" w:hAnsi="宋体" w:cs="宋体"/>
                <w:szCs w:val="21"/>
                <w:lang w:val="zh-CN" w:bidi="zh-CN"/>
              </w:rPr>
            </w:pPr>
            <w:r>
              <w:rPr>
                <w:rFonts w:hint="eastAsia" w:ascii="宋体" w:hAnsi="宋体" w:cs="宋体"/>
                <w:szCs w:val="21"/>
                <w:lang w:val="zh-CN" w:bidi="zh-CN"/>
              </w:rPr>
              <w:t>2. 大禹</w:t>
            </w:r>
          </w:p>
          <w:p>
            <w:pPr>
              <w:ind w:right="328" w:rightChars="156"/>
              <w:rPr>
                <w:rFonts w:ascii="宋体" w:hAnsi="宋体" w:cs="宋体"/>
                <w:szCs w:val="21"/>
                <w:lang w:val="zh-CN" w:bidi="zh-CN"/>
              </w:rPr>
            </w:pPr>
            <w:r>
              <w:rPr>
                <w:rFonts w:hint="eastAsia" w:ascii="宋体" w:hAnsi="宋体" w:cs="宋体"/>
                <w:szCs w:val="21"/>
                <w:lang w:val="zh-CN" w:bidi="zh-CN"/>
              </w:rPr>
              <w:t>3. 中油佳汇防水科技（深圳）股份有限公司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Align w:val="center"/>
          </w:tcPr>
          <w:p>
            <w:pPr>
              <w:numPr>
                <w:ilvl w:val="0"/>
                <w:numId w:val="16"/>
              </w:numPr>
              <w:spacing w:line="400" w:lineRule="exact"/>
              <w:jc w:val="center"/>
              <w:rPr>
                <w:rFonts w:ascii="宋体" w:hAnsi="宋体" w:cs="宋体"/>
                <w:szCs w:val="21"/>
              </w:rPr>
            </w:pPr>
          </w:p>
        </w:tc>
        <w:tc>
          <w:tcPr>
            <w:tcW w:w="3052" w:type="dxa"/>
            <w:vAlign w:val="center"/>
          </w:tcPr>
          <w:p>
            <w:pPr>
              <w:autoSpaceDE w:val="0"/>
              <w:autoSpaceDN w:val="0"/>
              <w:adjustRightInd w:val="0"/>
              <w:snapToGrid w:val="0"/>
              <w:spacing w:line="360" w:lineRule="auto"/>
              <w:jc w:val="center"/>
              <w:rPr>
                <w:rFonts w:ascii="宋体" w:hAnsi="宋体" w:cs="宋体"/>
                <w:szCs w:val="21"/>
                <w:lang w:bidi="zh-CN"/>
              </w:rPr>
            </w:pPr>
            <w:r>
              <w:rPr>
                <w:rFonts w:hint="eastAsia" w:ascii="宋体" w:hAnsi="宋体" w:cs="宋体"/>
                <w:szCs w:val="21"/>
                <w:lang w:bidi="zh-CN"/>
              </w:rPr>
              <w:t>铝合金门窗</w:t>
            </w:r>
          </w:p>
        </w:tc>
        <w:tc>
          <w:tcPr>
            <w:tcW w:w="4634" w:type="dxa"/>
          </w:tcPr>
          <w:p>
            <w:pPr>
              <w:ind w:right="328" w:rightChars="156"/>
              <w:rPr>
                <w:rFonts w:ascii="宋体" w:hAnsi="宋体" w:cs="宋体"/>
                <w:szCs w:val="21"/>
                <w:lang w:val="zh-CN" w:bidi="zh-CN"/>
              </w:rPr>
            </w:pPr>
            <w:r>
              <w:rPr>
                <w:rFonts w:hint="eastAsia" w:ascii="宋体" w:hAnsi="宋体" w:cs="宋体"/>
                <w:szCs w:val="21"/>
                <w:lang w:val="zh-CN" w:bidi="zh-CN"/>
              </w:rPr>
              <w:t>1.广东坚美铝型材有限公司</w:t>
            </w:r>
          </w:p>
          <w:p>
            <w:pPr>
              <w:ind w:right="328" w:rightChars="156"/>
              <w:rPr>
                <w:rFonts w:ascii="宋体" w:hAnsi="宋体" w:cs="宋体"/>
                <w:szCs w:val="21"/>
                <w:lang w:val="zh-CN" w:bidi="zh-CN"/>
              </w:rPr>
            </w:pPr>
            <w:r>
              <w:rPr>
                <w:rFonts w:hint="eastAsia" w:ascii="宋体" w:hAnsi="宋体" w:cs="宋体"/>
                <w:szCs w:val="21"/>
                <w:lang w:val="zh-CN" w:bidi="zh-CN"/>
              </w:rPr>
              <w:t>2.广东兴发铝业有限公司</w:t>
            </w:r>
          </w:p>
          <w:p>
            <w:pPr>
              <w:ind w:right="328" w:rightChars="156"/>
              <w:rPr>
                <w:rFonts w:ascii="宋体" w:hAnsi="宋体" w:cs="宋体"/>
                <w:szCs w:val="21"/>
                <w:lang w:val="zh-CN" w:bidi="zh-CN"/>
              </w:rPr>
            </w:pPr>
            <w:r>
              <w:rPr>
                <w:rFonts w:hint="eastAsia" w:ascii="宋体" w:hAnsi="宋体" w:cs="宋体"/>
                <w:szCs w:val="21"/>
                <w:lang w:val="zh-CN" w:bidi="zh-CN"/>
              </w:rPr>
              <w:t>3.广东凤铝铝业有限公司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Align w:val="center"/>
          </w:tcPr>
          <w:p>
            <w:pPr>
              <w:numPr>
                <w:ilvl w:val="0"/>
                <w:numId w:val="16"/>
              </w:numPr>
              <w:spacing w:line="400" w:lineRule="exact"/>
              <w:jc w:val="center"/>
              <w:rPr>
                <w:rFonts w:ascii="宋体" w:hAnsi="宋体" w:cs="宋体"/>
                <w:szCs w:val="21"/>
              </w:rPr>
            </w:pPr>
          </w:p>
        </w:tc>
        <w:tc>
          <w:tcPr>
            <w:tcW w:w="3052" w:type="dxa"/>
            <w:vAlign w:val="center"/>
          </w:tcPr>
          <w:p>
            <w:pPr>
              <w:autoSpaceDE w:val="0"/>
              <w:autoSpaceDN w:val="0"/>
              <w:adjustRightInd w:val="0"/>
              <w:snapToGrid w:val="0"/>
              <w:spacing w:line="360" w:lineRule="auto"/>
              <w:jc w:val="center"/>
              <w:rPr>
                <w:rFonts w:ascii="宋体" w:hAnsi="宋体" w:cs="宋体"/>
                <w:szCs w:val="21"/>
                <w:lang w:bidi="zh-CN"/>
              </w:rPr>
            </w:pPr>
            <w:r>
              <w:rPr>
                <w:rFonts w:hint="eastAsia" w:ascii="宋体" w:hAnsi="宋体" w:cs="宋体"/>
                <w:szCs w:val="21"/>
                <w:lang w:bidi="zh-CN"/>
              </w:rPr>
              <w:t>玻璃</w:t>
            </w:r>
          </w:p>
        </w:tc>
        <w:tc>
          <w:tcPr>
            <w:tcW w:w="4634" w:type="dxa"/>
          </w:tcPr>
          <w:p>
            <w:pPr>
              <w:ind w:right="328" w:rightChars="156"/>
              <w:rPr>
                <w:rFonts w:ascii="宋体" w:hAnsi="宋体" w:cs="宋体"/>
                <w:szCs w:val="21"/>
                <w:lang w:val="zh-CN" w:bidi="zh-CN"/>
              </w:rPr>
            </w:pPr>
            <w:r>
              <w:rPr>
                <w:rFonts w:hint="eastAsia" w:ascii="宋体" w:hAnsi="宋体" w:cs="宋体"/>
                <w:szCs w:val="21"/>
                <w:lang w:val="zh-CN" w:bidi="zh-CN"/>
              </w:rPr>
              <w:t>1.上海耀华皮尔金顿玻璃股份有限公司</w:t>
            </w:r>
          </w:p>
          <w:p>
            <w:pPr>
              <w:ind w:right="328" w:rightChars="156"/>
              <w:rPr>
                <w:rFonts w:ascii="宋体" w:hAnsi="宋体" w:cs="宋体"/>
                <w:szCs w:val="21"/>
                <w:lang w:val="zh-CN" w:bidi="zh-CN"/>
              </w:rPr>
            </w:pPr>
            <w:r>
              <w:rPr>
                <w:rFonts w:hint="eastAsia" w:ascii="宋体" w:hAnsi="宋体" w:cs="宋体"/>
                <w:szCs w:val="21"/>
                <w:lang w:val="zh-CN" w:bidi="zh-CN"/>
              </w:rPr>
              <w:t>2.信义玻璃工程东莞有限公司</w:t>
            </w:r>
          </w:p>
          <w:p>
            <w:pPr>
              <w:ind w:right="328" w:rightChars="156"/>
              <w:rPr>
                <w:rFonts w:ascii="宋体" w:hAnsi="宋体" w:cs="宋体"/>
                <w:szCs w:val="21"/>
                <w:lang w:bidi="zh-CN"/>
              </w:rPr>
            </w:pPr>
            <w:r>
              <w:rPr>
                <w:rFonts w:hint="eastAsia" w:ascii="宋体" w:hAnsi="宋体" w:cs="宋体"/>
                <w:szCs w:val="21"/>
                <w:lang w:val="zh-CN" w:bidi="zh-CN"/>
              </w:rPr>
              <w:t>3.广东旗滨节能玻璃有限公司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Align w:val="center"/>
          </w:tcPr>
          <w:p>
            <w:pPr>
              <w:numPr>
                <w:ilvl w:val="0"/>
                <w:numId w:val="16"/>
              </w:numPr>
              <w:spacing w:line="400" w:lineRule="exact"/>
              <w:jc w:val="center"/>
              <w:rPr>
                <w:rFonts w:ascii="宋体" w:hAnsi="宋体" w:cs="宋体"/>
                <w:szCs w:val="21"/>
              </w:rPr>
            </w:pPr>
          </w:p>
        </w:tc>
        <w:tc>
          <w:tcPr>
            <w:tcW w:w="3052" w:type="dxa"/>
            <w:vAlign w:val="center"/>
          </w:tcPr>
          <w:p>
            <w:pPr>
              <w:autoSpaceDE w:val="0"/>
              <w:autoSpaceDN w:val="0"/>
              <w:adjustRightInd w:val="0"/>
              <w:snapToGrid w:val="0"/>
              <w:spacing w:line="360" w:lineRule="auto"/>
              <w:jc w:val="center"/>
              <w:rPr>
                <w:rFonts w:ascii="宋体" w:hAnsi="宋体" w:cs="宋体"/>
                <w:szCs w:val="21"/>
                <w:lang w:bidi="zh-CN"/>
              </w:rPr>
            </w:pPr>
            <w:r>
              <w:rPr>
                <w:rFonts w:hint="eastAsia" w:ascii="宋体" w:hAnsi="宋体" w:cs="宋体"/>
                <w:szCs w:val="21"/>
                <w:lang w:bidi="zh-CN"/>
              </w:rPr>
              <w:t>涂料、乳胶漆</w:t>
            </w:r>
          </w:p>
        </w:tc>
        <w:tc>
          <w:tcPr>
            <w:tcW w:w="4634" w:type="dxa"/>
          </w:tcPr>
          <w:p>
            <w:pPr>
              <w:ind w:right="328" w:rightChars="156"/>
              <w:rPr>
                <w:rFonts w:ascii="宋体" w:hAnsi="宋体" w:cs="宋体"/>
                <w:color w:val="000000"/>
                <w:kern w:val="0"/>
                <w:sz w:val="20"/>
                <w:lang w:bidi="ar"/>
              </w:rPr>
            </w:pPr>
            <w:r>
              <w:rPr>
                <w:rFonts w:ascii="宋体" w:hAnsi="宋体" w:cs="宋体"/>
                <w:szCs w:val="21"/>
                <w:lang w:val="zh-CN" w:bidi="zh-CN"/>
              </w:rPr>
              <w:t>1</w:t>
            </w:r>
            <w:r>
              <w:rPr>
                <w:rFonts w:hint="eastAsia" w:ascii="宋体" w:hAnsi="宋体" w:cs="宋体"/>
                <w:szCs w:val="21"/>
                <w:lang w:val="zh-CN" w:bidi="zh-CN"/>
              </w:rPr>
              <w:t>．多乐士ICI</w:t>
            </w:r>
          </w:p>
          <w:p>
            <w:pPr>
              <w:ind w:right="328" w:rightChars="156"/>
              <w:rPr>
                <w:rFonts w:ascii="宋体" w:hAnsi="宋体" w:cs="宋体"/>
                <w:szCs w:val="21"/>
                <w:lang w:val="zh-CN" w:bidi="zh-CN"/>
              </w:rPr>
            </w:pPr>
            <w:r>
              <w:rPr>
                <w:rFonts w:ascii="宋体" w:hAnsi="宋体" w:cs="宋体"/>
                <w:szCs w:val="21"/>
                <w:lang w:val="zh-CN" w:bidi="zh-CN"/>
              </w:rPr>
              <w:t>2</w:t>
            </w:r>
            <w:r>
              <w:rPr>
                <w:rFonts w:hint="eastAsia" w:ascii="宋体" w:hAnsi="宋体" w:cs="宋体"/>
                <w:szCs w:val="21"/>
                <w:lang w:val="zh-CN" w:bidi="zh-CN"/>
              </w:rPr>
              <w:t>.立邦漆</w:t>
            </w:r>
          </w:p>
          <w:p>
            <w:pPr>
              <w:ind w:right="328" w:rightChars="156"/>
              <w:rPr>
                <w:rFonts w:ascii="宋体" w:hAnsi="宋体" w:cs="宋体"/>
                <w:szCs w:val="21"/>
                <w:lang w:val="zh-CN" w:bidi="zh-CN"/>
              </w:rPr>
            </w:pPr>
            <w:r>
              <w:rPr>
                <w:rFonts w:ascii="宋体" w:hAnsi="宋体" w:cs="宋体"/>
                <w:szCs w:val="21"/>
                <w:lang w:bidi="zh-CN"/>
              </w:rPr>
              <w:t>3</w:t>
            </w:r>
            <w:r>
              <w:rPr>
                <w:rFonts w:hint="eastAsia" w:ascii="宋体" w:hAnsi="宋体" w:cs="宋体"/>
                <w:szCs w:val="21"/>
                <w:lang w:bidi="zh-CN"/>
              </w:rPr>
              <w:t>.</w:t>
            </w:r>
            <w:r>
              <w:rPr>
                <w:rFonts w:hint="eastAsia" w:ascii="宋体" w:hAnsi="宋体" w:cs="宋体"/>
                <w:szCs w:val="21"/>
                <w:lang w:val="zh-CN" w:bidi="zh-CN"/>
              </w:rPr>
              <w:t>佐敦</w:t>
            </w:r>
          </w:p>
        </w:tc>
      </w:tr>
    </w:tbl>
    <w:p/>
    <w:p>
      <w:pPr>
        <w:spacing w:line="440" w:lineRule="exact"/>
        <w:ind w:firstLine="2741" w:firstLineChars="1300"/>
      </w:pPr>
      <w:bookmarkStart w:id="389" w:name="参考品牌"/>
      <w:bookmarkEnd w:id="389"/>
      <w:r>
        <w:rPr>
          <w:rFonts w:hint="eastAsia"/>
          <w:b/>
          <w:bCs/>
          <w:szCs w:val="21"/>
        </w:rPr>
        <w:t>机电材料参考品牌表</w:t>
      </w:r>
    </w:p>
    <w:tbl>
      <w:tblPr>
        <w:tblStyle w:val="36"/>
        <w:tblW w:w="8013" w:type="dxa"/>
        <w:jc w:val="center"/>
        <w:tblCellSpacing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3"/>
        <w:gridCol w:w="2081"/>
        <w:gridCol w:w="1334"/>
        <w:gridCol w:w="42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blCellSpacing w:w="0" w:type="dxa"/>
          <w:jc w:val="center"/>
        </w:trPr>
        <w:tc>
          <w:tcPr>
            <w:tcW w:w="373" w:type="dxa"/>
            <w:tcBorders>
              <w:tl2br w:val="nil"/>
              <w:tr2bl w:val="nil"/>
            </w:tcBorders>
            <w:vAlign w:val="center"/>
          </w:tcPr>
          <w:p>
            <w:pPr>
              <w:jc w:val="center"/>
              <w:rPr>
                <w:sz w:val="18"/>
                <w:szCs w:val="18"/>
              </w:rPr>
            </w:pPr>
            <w:r>
              <w:rPr>
                <w:rFonts w:hint="eastAsia"/>
                <w:sz w:val="18"/>
                <w:szCs w:val="18"/>
              </w:rPr>
              <w:t>序号</w:t>
            </w:r>
          </w:p>
        </w:tc>
        <w:tc>
          <w:tcPr>
            <w:tcW w:w="2081" w:type="dxa"/>
            <w:tcBorders>
              <w:tl2br w:val="nil"/>
              <w:tr2bl w:val="nil"/>
            </w:tcBorders>
            <w:vAlign w:val="center"/>
          </w:tcPr>
          <w:p>
            <w:pPr>
              <w:jc w:val="center"/>
              <w:rPr>
                <w:sz w:val="18"/>
                <w:szCs w:val="18"/>
              </w:rPr>
            </w:pPr>
            <w:r>
              <w:rPr>
                <w:rFonts w:hint="eastAsia"/>
                <w:sz w:val="18"/>
                <w:szCs w:val="18"/>
              </w:rPr>
              <w:t>设备及材料</w:t>
            </w:r>
          </w:p>
        </w:tc>
        <w:tc>
          <w:tcPr>
            <w:tcW w:w="1334" w:type="dxa"/>
            <w:tcBorders>
              <w:tl2br w:val="nil"/>
              <w:tr2bl w:val="nil"/>
            </w:tcBorders>
            <w:vAlign w:val="center"/>
          </w:tcPr>
          <w:p>
            <w:pPr>
              <w:jc w:val="center"/>
              <w:rPr>
                <w:sz w:val="18"/>
                <w:szCs w:val="18"/>
              </w:rPr>
            </w:pPr>
            <w:r>
              <w:rPr>
                <w:rFonts w:hint="eastAsia"/>
                <w:sz w:val="18"/>
                <w:szCs w:val="18"/>
              </w:rPr>
              <w:t>安装使用位置或技术要求</w:t>
            </w:r>
          </w:p>
        </w:tc>
        <w:tc>
          <w:tcPr>
            <w:tcW w:w="4225" w:type="dxa"/>
            <w:tcBorders>
              <w:tl2br w:val="nil"/>
              <w:tr2bl w:val="nil"/>
            </w:tcBorders>
            <w:vAlign w:val="center"/>
          </w:tcPr>
          <w:p>
            <w:pPr>
              <w:jc w:val="center"/>
              <w:rPr>
                <w:sz w:val="18"/>
                <w:szCs w:val="18"/>
              </w:rPr>
            </w:pPr>
            <w:r>
              <w:rPr>
                <w:rFonts w:hint="eastAsia"/>
                <w:sz w:val="18"/>
                <w:szCs w:val="18"/>
              </w:rPr>
              <w:t>品牌名称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blCellSpacing w:w="0" w:type="dxa"/>
          <w:jc w:val="center"/>
        </w:trPr>
        <w:tc>
          <w:tcPr>
            <w:tcW w:w="8013" w:type="dxa"/>
            <w:gridSpan w:val="4"/>
            <w:tcBorders>
              <w:tl2br w:val="nil"/>
              <w:tr2bl w:val="nil"/>
            </w:tcBorders>
            <w:vAlign w:val="center"/>
          </w:tcPr>
          <w:p>
            <w:pPr>
              <w:jc w:val="center"/>
              <w:rPr>
                <w:sz w:val="18"/>
                <w:szCs w:val="18"/>
              </w:rPr>
            </w:pPr>
            <w:r>
              <w:rPr>
                <w:rFonts w:hint="eastAsia"/>
                <w:b/>
                <w:bCs/>
                <w:sz w:val="18"/>
                <w:szCs w:val="18"/>
              </w:rPr>
              <w:t>电气及建筑智能化材料、设备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blCellSpacing w:w="0" w:type="dxa"/>
          <w:jc w:val="center"/>
        </w:trPr>
        <w:tc>
          <w:tcPr>
            <w:tcW w:w="373" w:type="dxa"/>
            <w:tcBorders>
              <w:tl2br w:val="nil"/>
              <w:tr2bl w:val="nil"/>
            </w:tcBorders>
            <w:vAlign w:val="center"/>
          </w:tcPr>
          <w:p>
            <w:pPr>
              <w:jc w:val="center"/>
              <w:rPr>
                <w:b/>
                <w:bCs/>
                <w:sz w:val="18"/>
                <w:szCs w:val="18"/>
              </w:rPr>
            </w:pPr>
            <w:r>
              <w:rPr>
                <w:rFonts w:hint="eastAsia" w:ascii="Times New Roman" w:hAnsi="Times New Roman"/>
                <w:sz w:val="18"/>
                <w:szCs w:val="18"/>
              </w:rPr>
              <w:t>1</w:t>
            </w:r>
          </w:p>
        </w:tc>
        <w:tc>
          <w:tcPr>
            <w:tcW w:w="2081" w:type="dxa"/>
            <w:tcBorders>
              <w:tl2br w:val="nil"/>
              <w:tr2bl w:val="nil"/>
            </w:tcBorders>
            <w:vAlign w:val="center"/>
          </w:tcPr>
          <w:p>
            <w:pPr>
              <w:jc w:val="center"/>
              <w:rPr>
                <w:rFonts w:ascii="Times New Roman" w:hAnsi="Times New Roman"/>
                <w:sz w:val="18"/>
                <w:szCs w:val="18"/>
              </w:rPr>
            </w:pPr>
            <w:r>
              <w:rPr>
                <w:rFonts w:hint="eastAsia" w:ascii="Times New Roman" w:hAnsi="Times New Roman"/>
                <w:sz w:val="18"/>
                <w:szCs w:val="18"/>
              </w:rPr>
              <w:t>低压柜</w:t>
            </w:r>
          </w:p>
        </w:tc>
        <w:tc>
          <w:tcPr>
            <w:tcW w:w="1334" w:type="dxa"/>
            <w:tcBorders>
              <w:tl2br w:val="nil"/>
              <w:tr2bl w:val="nil"/>
            </w:tcBorders>
            <w:vAlign w:val="center"/>
          </w:tcPr>
          <w:p>
            <w:pPr>
              <w:jc w:val="center"/>
              <w:rPr>
                <w:rFonts w:ascii="Times New Roman" w:hAnsi="Times New Roman"/>
                <w:sz w:val="18"/>
                <w:szCs w:val="18"/>
              </w:rPr>
            </w:pPr>
            <w:r>
              <w:rPr>
                <w:rFonts w:hint="eastAsia" w:ascii="Times New Roman" w:hAnsi="Times New Roman"/>
                <w:sz w:val="18"/>
                <w:szCs w:val="18"/>
              </w:rPr>
              <w:t>低压室</w:t>
            </w:r>
          </w:p>
        </w:tc>
        <w:tc>
          <w:tcPr>
            <w:tcW w:w="4225" w:type="dxa"/>
            <w:tcBorders>
              <w:tl2br w:val="nil"/>
              <w:tr2bl w:val="nil"/>
            </w:tcBorders>
            <w:vAlign w:val="center"/>
          </w:tcPr>
          <w:p>
            <w:pPr>
              <w:rPr>
                <w:rFonts w:ascii="Times New Roman" w:hAnsi="Times New Roman"/>
                <w:sz w:val="18"/>
                <w:szCs w:val="18"/>
              </w:rPr>
            </w:pPr>
            <w:r>
              <w:rPr>
                <w:rFonts w:hint="eastAsia" w:ascii="Times New Roman" w:hAnsi="Times New Roman"/>
                <w:sz w:val="18"/>
                <w:szCs w:val="18"/>
              </w:rPr>
              <w:t>1、白云电气集团有限公司</w:t>
            </w:r>
          </w:p>
          <w:p>
            <w:pPr>
              <w:rPr>
                <w:rFonts w:ascii="Times New Roman" w:hAnsi="Times New Roman"/>
                <w:sz w:val="18"/>
                <w:szCs w:val="18"/>
              </w:rPr>
            </w:pPr>
            <w:r>
              <w:rPr>
                <w:rFonts w:hint="eastAsia" w:ascii="Times New Roman" w:hAnsi="Times New Roman"/>
                <w:sz w:val="18"/>
                <w:szCs w:val="18"/>
              </w:rPr>
              <w:t>2、盛隆电气集团</w:t>
            </w:r>
          </w:p>
          <w:p>
            <w:pPr>
              <w:rPr>
                <w:b/>
                <w:bCs/>
                <w:sz w:val="18"/>
                <w:szCs w:val="18"/>
              </w:rPr>
            </w:pPr>
            <w:r>
              <w:rPr>
                <w:rFonts w:hint="eastAsia" w:ascii="Times New Roman" w:hAnsi="Times New Roman"/>
                <w:sz w:val="18"/>
                <w:szCs w:val="18"/>
              </w:rPr>
              <w:t>3、南京大全电气有限公司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blCellSpacing w:w="0" w:type="dxa"/>
          <w:jc w:val="center"/>
        </w:trPr>
        <w:tc>
          <w:tcPr>
            <w:tcW w:w="373" w:type="dxa"/>
            <w:vMerge w:val="restart"/>
            <w:tcBorders>
              <w:tl2br w:val="nil"/>
              <w:tr2bl w:val="nil"/>
            </w:tcBorders>
            <w:vAlign w:val="center"/>
          </w:tcPr>
          <w:p>
            <w:pPr>
              <w:jc w:val="center"/>
              <w:rPr>
                <w:sz w:val="18"/>
                <w:szCs w:val="18"/>
              </w:rPr>
            </w:pPr>
            <w:r>
              <w:rPr>
                <w:rFonts w:hint="eastAsia"/>
                <w:sz w:val="18"/>
                <w:szCs w:val="18"/>
              </w:rPr>
              <w:t>3</w:t>
            </w:r>
          </w:p>
        </w:tc>
        <w:tc>
          <w:tcPr>
            <w:tcW w:w="2081" w:type="dxa"/>
            <w:vMerge w:val="restart"/>
            <w:tcBorders>
              <w:tl2br w:val="nil"/>
              <w:tr2bl w:val="nil"/>
            </w:tcBorders>
            <w:vAlign w:val="center"/>
          </w:tcPr>
          <w:p>
            <w:pPr>
              <w:jc w:val="center"/>
              <w:rPr>
                <w:sz w:val="18"/>
                <w:szCs w:val="18"/>
              </w:rPr>
            </w:pPr>
            <w:r>
              <w:rPr>
                <w:rFonts w:hint="eastAsia"/>
                <w:sz w:val="18"/>
                <w:szCs w:val="18"/>
              </w:rPr>
              <w:t>照明箱（柜）、动力箱（柜）、控制箱（柜）</w:t>
            </w:r>
          </w:p>
        </w:tc>
        <w:tc>
          <w:tcPr>
            <w:tcW w:w="1334" w:type="dxa"/>
            <w:tcBorders>
              <w:tl2br w:val="nil"/>
              <w:tr2bl w:val="nil"/>
            </w:tcBorders>
            <w:vAlign w:val="center"/>
          </w:tcPr>
          <w:p>
            <w:pPr>
              <w:jc w:val="center"/>
              <w:rPr>
                <w:sz w:val="18"/>
                <w:szCs w:val="18"/>
              </w:rPr>
            </w:pPr>
            <w:r>
              <w:rPr>
                <w:rFonts w:hint="eastAsia"/>
                <w:sz w:val="18"/>
                <w:szCs w:val="18"/>
              </w:rPr>
              <w:t>楼层配电间或房间</w:t>
            </w:r>
          </w:p>
        </w:tc>
        <w:tc>
          <w:tcPr>
            <w:tcW w:w="4225" w:type="dxa"/>
            <w:tcBorders>
              <w:tl2br w:val="nil"/>
              <w:tr2bl w:val="nil"/>
            </w:tcBorders>
            <w:vAlign w:val="center"/>
          </w:tcPr>
          <w:p>
            <w:pPr>
              <w:rPr>
                <w:sz w:val="18"/>
                <w:szCs w:val="18"/>
              </w:rPr>
            </w:pPr>
            <w:r>
              <w:rPr>
                <w:rFonts w:hint="eastAsia"/>
                <w:sz w:val="18"/>
                <w:szCs w:val="18"/>
              </w:rPr>
              <w:t>1、ABB</w:t>
            </w:r>
          </w:p>
          <w:p>
            <w:pPr>
              <w:rPr>
                <w:sz w:val="18"/>
                <w:szCs w:val="18"/>
              </w:rPr>
            </w:pPr>
            <w:r>
              <w:rPr>
                <w:rFonts w:hint="eastAsia"/>
                <w:sz w:val="18"/>
                <w:szCs w:val="18"/>
              </w:rPr>
              <w:t>2、施耐德</w:t>
            </w:r>
          </w:p>
          <w:p>
            <w:pPr>
              <w:rPr>
                <w:sz w:val="18"/>
                <w:szCs w:val="18"/>
              </w:rPr>
            </w:pPr>
            <w:r>
              <w:rPr>
                <w:rFonts w:hint="eastAsia"/>
                <w:sz w:val="18"/>
                <w:szCs w:val="18"/>
              </w:rPr>
              <w:t>3、西门子</w:t>
            </w:r>
          </w:p>
          <w:p>
            <w:pPr>
              <w:rPr>
                <w:sz w:val="18"/>
                <w:szCs w:val="18"/>
              </w:rPr>
            </w:pPr>
            <w:r>
              <w:rPr>
                <w:rFonts w:hint="eastAsia"/>
                <w:sz w:val="18"/>
                <w:szCs w:val="18"/>
              </w:rPr>
              <w:t>4、广州白云电器设备股份有限公司</w:t>
            </w:r>
          </w:p>
          <w:p>
            <w:pPr>
              <w:rPr>
                <w:sz w:val="18"/>
                <w:szCs w:val="18"/>
              </w:rPr>
            </w:pPr>
            <w:r>
              <w:rPr>
                <w:rFonts w:hint="eastAsia"/>
                <w:sz w:val="18"/>
                <w:szCs w:val="18"/>
              </w:rPr>
              <w:t>5、盛隆电气集团</w:t>
            </w:r>
          </w:p>
          <w:p>
            <w:pPr>
              <w:rPr>
                <w:sz w:val="18"/>
                <w:szCs w:val="18"/>
              </w:rPr>
            </w:pPr>
            <w:r>
              <w:rPr>
                <w:rFonts w:hint="eastAsia"/>
                <w:sz w:val="18"/>
                <w:szCs w:val="18"/>
              </w:rPr>
              <w:t>6、大航有能电气有限公司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blCellSpacing w:w="0" w:type="dxa"/>
          <w:jc w:val="center"/>
        </w:trPr>
        <w:tc>
          <w:tcPr>
            <w:tcW w:w="373" w:type="dxa"/>
            <w:vMerge w:val="continue"/>
            <w:tcBorders>
              <w:tl2br w:val="nil"/>
              <w:tr2bl w:val="nil"/>
            </w:tcBorders>
            <w:vAlign w:val="center"/>
          </w:tcPr>
          <w:p>
            <w:pPr>
              <w:jc w:val="center"/>
              <w:rPr>
                <w:sz w:val="18"/>
                <w:szCs w:val="18"/>
              </w:rPr>
            </w:pPr>
          </w:p>
        </w:tc>
        <w:tc>
          <w:tcPr>
            <w:tcW w:w="2081" w:type="dxa"/>
            <w:vMerge w:val="continue"/>
            <w:tcBorders>
              <w:tl2br w:val="nil"/>
              <w:tr2bl w:val="nil"/>
            </w:tcBorders>
            <w:vAlign w:val="center"/>
          </w:tcPr>
          <w:p>
            <w:pPr>
              <w:jc w:val="center"/>
              <w:rPr>
                <w:sz w:val="18"/>
                <w:szCs w:val="18"/>
              </w:rPr>
            </w:pPr>
          </w:p>
        </w:tc>
        <w:tc>
          <w:tcPr>
            <w:tcW w:w="1334" w:type="dxa"/>
            <w:tcBorders>
              <w:tl2br w:val="nil"/>
              <w:tr2bl w:val="nil"/>
            </w:tcBorders>
            <w:vAlign w:val="center"/>
          </w:tcPr>
          <w:p>
            <w:pPr>
              <w:jc w:val="center"/>
              <w:rPr>
                <w:sz w:val="18"/>
                <w:szCs w:val="18"/>
              </w:rPr>
            </w:pPr>
            <w:r>
              <w:rPr>
                <w:rFonts w:hint="eastAsia"/>
                <w:sz w:val="18"/>
                <w:szCs w:val="18"/>
              </w:rPr>
              <w:t>智能电度表及能源计量系统</w:t>
            </w:r>
          </w:p>
        </w:tc>
        <w:tc>
          <w:tcPr>
            <w:tcW w:w="4225" w:type="dxa"/>
            <w:tcBorders>
              <w:tl2br w:val="nil"/>
              <w:tr2bl w:val="nil"/>
            </w:tcBorders>
            <w:vAlign w:val="center"/>
          </w:tcPr>
          <w:p>
            <w:pPr>
              <w:rPr>
                <w:sz w:val="18"/>
                <w:szCs w:val="18"/>
              </w:rPr>
            </w:pPr>
            <w:r>
              <w:rPr>
                <w:rFonts w:hint="eastAsia"/>
                <w:sz w:val="18"/>
                <w:szCs w:val="18"/>
              </w:rPr>
              <w:t>1、北京爱博精电科技有限公司</w:t>
            </w:r>
          </w:p>
          <w:p>
            <w:pPr>
              <w:rPr>
                <w:sz w:val="18"/>
                <w:szCs w:val="18"/>
              </w:rPr>
            </w:pPr>
            <w:r>
              <w:rPr>
                <w:rFonts w:hint="eastAsia"/>
                <w:sz w:val="18"/>
                <w:szCs w:val="18"/>
              </w:rPr>
              <w:t>2、珠海派诺科技股份有限公司</w:t>
            </w:r>
          </w:p>
          <w:p>
            <w:pPr>
              <w:rPr>
                <w:sz w:val="18"/>
                <w:szCs w:val="18"/>
              </w:rPr>
            </w:pPr>
            <w:r>
              <w:rPr>
                <w:rFonts w:hint="eastAsia"/>
                <w:sz w:val="18"/>
                <w:szCs w:val="18"/>
              </w:rPr>
              <w:t>3、南京南瑞继保工程技术有限公司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21" w:hRule="atLeast"/>
          <w:tblCellSpacing w:w="0" w:type="dxa"/>
          <w:jc w:val="center"/>
        </w:trPr>
        <w:tc>
          <w:tcPr>
            <w:tcW w:w="373" w:type="dxa"/>
            <w:vMerge w:val="continue"/>
            <w:tcBorders>
              <w:tl2br w:val="nil"/>
              <w:tr2bl w:val="nil"/>
            </w:tcBorders>
            <w:vAlign w:val="center"/>
          </w:tcPr>
          <w:p>
            <w:pPr>
              <w:jc w:val="center"/>
              <w:rPr>
                <w:sz w:val="18"/>
                <w:szCs w:val="18"/>
              </w:rPr>
            </w:pPr>
          </w:p>
        </w:tc>
        <w:tc>
          <w:tcPr>
            <w:tcW w:w="2081" w:type="dxa"/>
            <w:vMerge w:val="continue"/>
            <w:tcBorders>
              <w:tl2br w:val="nil"/>
              <w:tr2bl w:val="nil"/>
            </w:tcBorders>
            <w:vAlign w:val="center"/>
          </w:tcPr>
          <w:p>
            <w:pPr>
              <w:jc w:val="center"/>
              <w:rPr>
                <w:sz w:val="18"/>
                <w:szCs w:val="18"/>
              </w:rPr>
            </w:pPr>
          </w:p>
        </w:tc>
        <w:tc>
          <w:tcPr>
            <w:tcW w:w="1334" w:type="dxa"/>
            <w:tcBorders>
              <w:tl2br w:val="nil"/>
              <w:tr2bl w:val="nil"/>
            </w:tcBorders>
            <w:vAlign w:val="center"/>
          </w:tcPr>
          <w:p>
            <w:pPr>
              <w:jc w:val="center"/>
              <w:rPr>
                <w:sz w:val="18"/>
                <w:szCs w:val="18"/>
              </w:rPr>
            </w:pPr>
            <w:r>
              <w:rPr>
                <w:rFonts w:hint="eastAsia"/>
                <w:sz w:val="18"/>
                <w:szCs w:val="18"/>
              </w:rPr>
              <w:t>主要元器件</w:t>
            </w:r>
          </w:p>
        </w:tc>
        <w:tc>
          <w:tcPr>
            <w:tcW w:w="4225" w:type="dxa"/>
            <w:tcBorders>
              <w:tl2br w:val="nil"/>
              <w:tr2bl w:val="nil"/>
            </w:tcBorders>
            <w:vAlign w:val="center"/>
          </w:tcPr>
          <w:p>
            <w:pPr>
              <w:widowControl/>
              <w:numPr>
                <w:ilvl w:val="0"/>
                <w:numId w:val="18"/>
              </w:numPr>
              <w:rPr>
                <w:sz w:val="18"/>
                <w:szCs w:val="18"/>
              </w:rPr>
            </w:pPr>
            <w:r>
              <w:rPr>
                <w:rFonts w:hint="eastAsia"/>
                <w:sz w:val="18"/>
                <w:szCs w:val="18"/>
              </w:rPr>
              <w:t>西门子</w:t>
            </w:r>
          </w:p>
          <w:p>
            <w:pPr>
              <w:widowControl/>
              <w:numPr>
                <w:ilvl w:val="0"/>
                <w:numId w:val="18"/>
              </w:numPr>
              <w:rPr>
                <w:sz w:val="18"/>
                <w:szCs w:val="18"/>
              </w:rPr>
            </w:pPr>
            <w:r>
              <w:rPr>
                <w:rFonts w:hint="eastAsia"/>
                <w:sz w:val="18"/>
                <w:szCs w:val="18"/>
              </w:rPr>
              <w:t>施耐德</w:t>
            </w:r>
          </w:p>
          <w:p>
            <w:pPr>
              <w:numPr>
                <w:ilvl w:val="0"/>
                <w:numId w:val="18"/>
              </w:numPr>
              <w:rPr>
                <w:sz w:val="18"/>
                <w:szCs w:val="18"/>
              </w:rPr>
            </w:pPr>
            <w:r>
              <w:rPr>
                <w:rFonts w:hint="eastAsia"/>
                <w:sz w:val="18"/>
                <w:szCs w:val="18"/>
              </w:rPr>
              <w:t>ABB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34" w:hRule="atLeast"/>
          <w:tblCellSpacing w:w="0" w:type="dxa"/>
          <w:jc w:val="center"/>
        </w:trPr>
        <w:tc>
          <w:tcPr>
            <w:tcW w:w="373" w:type="dxa"/>
            <w:vMerge w:val="continue"/>
            <w:tcBorders>
              <w:tl2br w:val="nil"/>
              <w:tr2bl w:val="nil"/>
            </w:tcBorders>
            <w:vAlign w:val="center"/>
          </w:tcPr>
          <w:p>
            <w:pPr>
              <w:jc w:val="center"/>
              <w:rPr>
                <w:sz w:val="18"/>
                <w:szCs w:val="18"/>
              </w:rPr>
            </w:pPr>
          </w:p>
        </w:tc>
        <w:tc>
          <w:tcPr>
            <w:tcW w:w="2081" w:type="dxa"/>
            <w:vMerge w:val="continue"/>
            <w:tcBorders>
              <w:tl2br w:val="nil"/>
              <w:tr2bl w:val="nil"/>
            </w:tcBorders>
            <w:vAlign w:val="center"/>
          </w:tcPr>
          <w:p>
            <w:pPr>
              <w:jc w:val="center"/>
              <w:rPr>
                <w:sz w:val="18"/>
                <w:szCs w:val="18"/>
              </w:rPr>
            </w:pPr>
          </w:p>
        </w:tc>
        <w:tc>
          <w:tcPr>
            <w:tcW w:w="1334" w:type="dxa"/>
            <w:tcBorders>
              <w:tl2br w:val="nil"/>
              <w:tr2bl w:val="nil"/>
            </w:tcBorders>
            <w:vAlign w:val="center"/>
          </w:tcPr>
          <w:p>
            <w:pPr>
              <w:jc w:val="center"/>
              <w:rPr>
                <w:sz w:val="18"/>
                <w:szCs w:val="18"/>
              </w:rPr>
            </w:pPr>
            <w:r>
              <w:rPr>
                <w:rFonts w:hint="eastAsia"/>
                <w:sz w:val="18"/>
                <w:szCs w:val="18"/>
              </w:rPr>
              <w:t>变频器</w:t>
            </w:r>
          </w:p>
        </w:tc>
        <w:tc>
          <w:tcPr>
            <w:tcW w:w="4225" w:type="dxa"/>
            <w:tcBorders>
              <w:tl2br w:val="nil"/>
              <w:tr2bl w:val="nil"/>
            </w:tcBorders>
            <w:vAlign w:val="center"/>
          </w:tcPr>
          <w:p>
            <w:pPr>
              <w:numPr>
                <w:ilvl w:val="0"/>
                <w:numId w:val="19"/>
              </w:numPr>
              <w:rPr>
                <w:sz w:val="18"/>
                <w:szCs w:val="18"/>
              </w:rPr>
            </w:pPr>
            <w:r>
              <w:rPr>
                <w:rFonts w:hint="eastAsia"/>
                <w:sz w:val="18"/>
                <w:szCs w:val="18"/>
              </w:rPr>
              <w:t>丹佛斯FC302系列</w:t>
            </w:r>
          </w:p>
          <w:p>
            <w:pPr>
              <w:numPr>
                <w:ilvl w:val="0"/>
                <w:numId w:val="19"/>
              </w:numPr>
              <w:rPr>
                <w:sz w:val="18"/>
                <w:szCs w:val="18"/>
              </w:rPr>
            </w:pPr>
            <w:r>
              <w:rPr>
                <w:rFonts w:hint="eastAsia"/>
                <w:sz w:val="18"/>
                <w:szCs w:val="18"/>
              </w:rPr>
              <w:t>西门子S120系列</w:t>
            </w:r>
          </w:p>
          <w:p>
            <w:pPr>
              <w:numPr>
                <w:ilvl w:val="0"/>
                <w:numId w:val="19"/>
              </w:numPr>
              <w:rPr>
                <w:sz w:val="18"/>
                <w:szCs w:val="18"/>
              </w:rPr>
            </w:pPr>
            <w:r>
              <w:rPr>
                <w:rFonts w:hint="eastAsia"/>
                <w:sz w:val="18"/>
                <w:szCs w:val="18"/>
              </w:rPr>
              <w:t>ABB ACS880系列</w:t>
            </w:r>
          </w:p>
          <w:p>
            <w:pPr>
              <w:numPr>
                <w:ilvl w:val="0"/>
                <w:numId w:val="19"/>
              </w:numPr>
              <w:rPr>
                <w:sz w:val="18"/>
                <w:szCs w:val="18"/>
              </w:rPr>
            </w:pPr>
            <w:r>
              <w:rPr>
                <w:rFonts w:hint="eastAsia"/>
                <w:sz w:val="18"/>
                <w:szCs w:val="18"/>
              </w:rPr>
              <w:t>施耐德ATV930系列</w:t>
            </w:r>
          </w:p>
          <w:p>
            <w:pPr>
              <w:numPr>
                <w:ilvl w:val="0"/>
                <w:numId w:val="19"/>
              </w:numPr>
              <w:rPr>
                <w:sz w:val="18"/>
                <w:szCs w:val="18"/>
              </w:rPr>
            </w:pPr>
            <w:r>
              <w:rPr>
                <w:rFonts w:hint="eastAsia"/>
                <w:sz w:val="18"/>
                <w:szCs w:val="18"/>
              </w:rPr>
              <w:t xml:space="preserve">AB PF755系列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34" w:hRule="atLeast"/>
          <w:tblCellSpacing w:w="0" w:type="dxa"/>
          <w:jc w:val="center"/>
        </w:trPr>
        <w:tc>
          <w:tcPr>
            <w:tcW w:w="373" w:type="dxa"/>
            <w:vMerge w:val="restart"/>
            <w:tcBorders>
              <w:tl2br w:val="nil"/>
              <w:tr2bl w:val="nil"/>
            </w:tcBorders>
            <w:vAlign w:val="center"/>
          </w:tcPr>
          <w:p>
            <w:pPr>
              <w:jc w:val="center"/>
              <w:rPr>
                <w:sz w:val="18"/>
                <w:szCs w:val="18"/>
              </w:rPr>
            </w:pPr>
            <w:r>
              <w:rPr>
                <w:rFonts w:hint="eastAsia"/>
                <w:sz w:val="18"/>
                <w:szCs w:val="18"/>
              </w:rPr>
              <w:t>4</w:t>
            </w:r>
          </w:p>
        </w:tc>
        <w:tc>
          <w:tcPr>
            <w:tcW w:w="2081" w:type="dxa"/>
            <w:vMerge w:val="restart"/>
            <w:tcBorders>
              <w:tl2br w:val="nil"/>
              <w:tr2bl w:val="nil"/>
            </w:tcBorders>
            <w:vAlign w:val="center"/>
          </w:tcPr>
          <w:p>
            <w:pPr>
              <w:jc w:val="center"/>
              <w:rPr>
                <w:sz w:val="18"/>
                <w:szCs w:val="18"/>
              </w:rPr>
            </w:pPr>
            <w:r>
              <w:rPr>
                <w:rFonts w:hint="eastAsia"/>
                <w:sz w:val="18"/>
                <w:szCs w:val="18"/>
              </w:rPr>
              <w:t>强弱电一体柜</w:t>
            </w:r>
          </w:p>
        </w:tc>
        <w:tc>
          <w:tcPr>
            <w:tcW w:w="1334" w:type="dxa"/>
            <w:tcBorders>
              <w:tl2br w:val="nil"/>
              <w:tr2bl w:val="nil"/>
            </w:tcBorders>
            <w:vAlign w:val="center"/>
          </w:tcPr>
          <w:p>
            <w:pPr>
              <w:jc w:val="center"/>
              <w:rPr>
                <w:sz w:val="18"/>
                <w:szCs w:val="18"/>
              </w:rPr>
            </w:pPr>
            <w:r>
              <w:rPr>
                <w:rFonts w:hint="eastAsia"/>
                <w:sz w:val="18"/>
                <w:szCs w:val="18"/>
              </w:rPr>
              <w:t>智能电度表、多功能仪表</w:t>
            </w:r>
          </w:p>
        </w:tc>
        <w:tc>
          <w:tcPr>
            <w:tcW w:w="4225" w:type="dxa"/>
            <w:tcBorders>
              <w:tl2br w:val="nil"/>
              <w:tr2bl w:val="nil"/>
            </w:tcBorders>
            <w:vAlign w:val="center"/>
          </w:tcPr>
          <w:p>
            <w:pPr>
              <w:rPr>
                <w:sz w:val="18"/>
                <w:szCs w:val="18"/>
              </w:rPr>
            </w:pPr>
            <w:r>
              <w:rPr>
                <w:rFonts w:hint="eastAsia"/>
                <w:sz w:val="18"/>
                <w:szCs w:val="18"/>
              </w:rPr>
              <w:t>1、北京爱博精电科技有限公司</w:t>
            </w:r>
          </w:p>
          <w:p>
            <w:pPr>
              <w:rPr>
                <w:sz w:val="18"/>
                <w:szCs w:val="18"/>
              </w:rPr>
            </w:pPr>
            <w:r>
              <w:rPr>
                <w:rFonts w:hint="eastAsia"/>
                <w:sz w:val="18"/>
                <w:szCs w:val="18"/>
              </w:rPr>
              <w:t>2、珠海派诺科技股份有限公司</w:t>
            </w:r>
          </w:p>
          <w:p>
            <w:pPr>
              <w:rPr>
                <w:sz w:val="18"/>
                <w:szCs w:val="18"/>
              </w:rPr>
            </w:pPr>
            <w:r>
              <w:rPr>
                <w:rFonts w:hint="eastAsia"/>
                <w:sz w:val="18"/>
                <w:szCs w:val="18"/>
              </w:rPr>
              <w:t>3、南京南瑞继保工程技术有限公司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34" w:hRule="atLeast"/>
          <w:tblCellSpacing w:w="0" w:type="dxa"/>
          <w:jc w:val="center"/>
        </w:trPr>
        <w:tc>
          <w:tcPr>
            <w:tcW w:w="373" w:type="dxa"/>
            <w:vMerge w:val="continue"/>
            <w:tcBorders>
              <w:tl2br w:val="nil"/>
              <w:tr2bl w:val="nil"/>
            </w:tcBorders>
            <w:vAlign w:val="center"/>
          </w:tcPr>
          <w:p>
            <w:pPr>
              <w:jc w:val="center"/>
              <w:rPr>
                <w:sz w:val="18"/>
                <w:szCs w:val="18"/>
              </w:rPr>
            </w:pPr>
          </w:p>
        </w:tc>
        <w:tc>
          <w:tcPr>
            <w:tcW w:w="2081" w:type="dxa"/>
            <w:vMerge w:val="continue"/>
            <w:tcBorders>
              <w:tl2br w:val="nil"/>
              <w:tr2bl w:val="nil"/>
            </w:tcBorders>
            <w:vAlign w:val="center"/>
          </w:tcPr>
          <w:p>
            <w:pPr>
              <w:jc w:val="center"/>
              <w:rPr>
                <w:sz w:val="18"/>
                <w:szCs w:val="18"/>
              </w:rPr>
            </w:pPr>
          </w:p>
        </w:tc>
        <w:tc>
          <w:tcPr>
            <w:tcW w:w="1334" w:type="dxa"/>
            <w:tcBorders>
              <w:tl2br w:val="nil"/>
              <w:tr2bl w:val="nil"/>
            </w:tcBorders>
            <w:vAlign w:val="center"/>
          </w:tcPr>
          <w:p>
            <w:pPr>
              <w:jc w:val="center"/>
              <w:rPr>
                <w:sz w:val="18"/>
                <w:szCs w:val="18"/>
              </w:rPr>
            </w:pPr>
            <w:r>
              <w:rPr>
                <w:rFonts w:hint="eastAsia"/>
                <w:sz w:val="18"/>
                <w:szCs w:val="18"/>
              </w:rPr>
              <w:t>主要元器件</w:t>
            </w:r>
          </w:p>
        </w:tc>
        <w:tc>
          <w:tcPr>
            <w:tcW w:w="4225" w:type="dxa"/>
            <w:tcBorders>
              <w:tl2br w:val="nil"/>
              <w:tr2bl w:val="nil"/>
            </w:tcBorders>
            <w:vAlign w:val="center"/>
          </w:tcPr>
          <w:p>
            <w:pPr>
              <w:widowControl/>
              <w:rPr>
                <w:sz w:val="18"/>
                <w:szCs w:val="18"/>
              </w:rPr>
            </w:pPr>
            <w:r>
              <w:rPr>
                <w:rFonts w:hint="eastAsia"/>
                <w:sz w:val="18"/>
                <w:szCs w:val="18"/>
              </w:rPr>
              <w:t>1、西门子</w:t>
            </w:r>
          </w:p>
          <w:p>
            <w:pPr>
              <w:widowControl/>
              <w:rPr>
                <w:sz w:val="18"/>
                <w:szCs w:val="18"/>
              </w:rPr>
            </w:pPr>
            <w:r>
              <w:rPr>
                <w:rFonts w:hint="eastAsia"/>
                <w:sz w:val="18"/>
                <w:szCs w:val="18"/>
              </w:rPr>
              <w:t>2、施耐德</w:t>
            </w:r>
          </w:p>
          <w:p>
            <w:pPr>
              <w:rPr>
                <w:sz w:val="18"/>
                <w:szCs w:val="18"/>
              </w:rPr>
            </w:pPr>
            <w:r>
              <w:rPr>
                <w:rFonts w:hint="eastAsia"/>
                <w:sz w:val="18"/>
                <w:szCs w:val="18"/>
              </w:rPr>
              <w:t>3、ABB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34" w:hRule="atLeast"/>
          <w:tblCellSpacing w:w="0" w:type="dxa"/>
          <w:jc w:val="center"/>
        </w:trPr>
        <w:tc>
          <w:tcPr>
            <w:tcW w:w="373" w:type="dxa"/>
            <w:vMerge w:val="continue"/>
            <w:tcBorders>
              <w:tl2br w:val="nil"/>
              <w:tr2bl w:val="nil"/>
            </w:tcBorders>
            <w:vAlign w:val="center"/>
          </w:tcPr>
          <w:p>
            <w:pPr>
              <w:jc w:val="center"/>
              <w:rPr>
                <w:sz w:val="18"/>
                <w:szCs w:val="18"/>
              </w:rPr>
            </w:pPr>
          </w:p>
        </w:tc>
        <w:tc>
          <w:tcPr>
            <w:tcW w:w="2081" w:type="dxa"/>
            <w:vMerge w:val="continue"/>
            <w:tcBorders>
              <w:tl2br w:val="nil"/>
              <w:tr2bl w:val="nil"/>
            </w:tcBorders>
            <w:vAlign w:val="center"/>
          </w:tcPr>
          <w:p>
            <w:pPr>
              <w:jc w:val="center"/>
              <w:rPr>
                <w:sz w:val="18"/>
                <w:szCs w:val="18"/>
              </w:rPr>
            </w:pPr>
          </w:p>
        </w:tc>
        <w:tc>
          <w:tcPr>
            <w:tcW w:w="1334" w:type="dxa"/>
            <w:tcBorders>
              <w:tl2br w:val="nil"/>
              <w:tr2bl w:val="nil"/>
            </w:tcBorders>
            <w:vAlign w:val="center"/>
          </w:tcPr>
          <w:p>
            <w:pPr>
              <w:jc w:val="center"/>
              <w:rPr>
                <w:sz w:val="18"/>
                <w:szCs w:val="18"/>
              </w:rPr>
            </w:pPr>
            <w:r>
              <w:rPr>
                <w:rFonts w:hint="eastAsia"/>
                <w:sz w:val="18"/>
                <w:szCs w:val="18"/>
              </w:rPr>
              <w:t>变频器</w:t>
            </w:r>
          </w:p>
        </w:tc>
        <w:tc>
          <w:tcPr>
            <w:tcW w:w="4225" w:type="dxa"/>
            <w:tcBorders>
              <w:tl2br w:val="nil"/>
              <w:tr2bl w:val="nil"/>
            </w:tcBorders>
            <w:vAlign w:val="center"/>
          </w:tcPr>
          <w:p>
            <w:pPr>
              <w:numPr>
                <w:ilvl w:val="0"/>
                <w:numId w:val="19"/>
              </w:numPr>
              <w:rPr>
                <w:sz w:val="18"/>
                <w:szCs w:val="18"/>
              </w:rPr>
            </w:pPr>
            <w:r>
              <w:rPr>
                <w:rFonts w:hint="eastAsia"/>
                <w:sz w:val="18"/>
                <w:szCs w:val="18"/>
              </w:rPr>
              <w:t>丹佛斯FC302系列</w:t>
            </w:r>
          </w:p>
          <w:p>
            <w:pPr>
              <w:numPr>
                <w:ilvl w:val="0"/>
                <w:numId w:val="19"/>
              </w:numPr>
              <w:rPr>
                <w:sz w:val="18"/>
                <w:szCs w:val="18"/>
              </w:rPr>
            </w:pPr>
            <w:r>
              <w:rPr>
                <w:rFonts w:hint="eastAsia"/>
                <w:sz w:val="18"/>
                <w:szCs w:val="18"/>
              </w:rPr>
              <w:t>西门子S120系列</w:t>
            </w:r>
          </w:p>
          <w:p>
            <w:pPr>
              <w:numPr>
                <w:ilvl w:val="0"/>
                <w:numId w:val="19"/>
              </w:numPr>
              <w:rPr>
                <w:sz w:val="18"/>
                <w:szCs w:val="18"/>
              </w:rPr>
            </w:pPr>
            <w:r>
              <w:rPr>
                <w:rFonts w:hint="eastAsia"/>
                <w:sz w:val="18"/>
                <w:szCs w:val="18"/>
              </w:rPr>
              <w:t>ABB ACS880系列</w:t>
            </w:r>
          </w:p>
          <w:p>
            <w:pPr>
              <w:numPr>
                <w:ilvl w:val="0"/>
                <w:numId w:val="19"/>
              </w:numPr>
              <w:rPr>
                <w:sz w:val="18"/>
                <w:szCs w:val="18"/>
              </w:rPr>
            </w:pPr>
            <w:r>
              <w:rPr>
                <w:rFonts w:hint="eastAsia"/>
                <w:sz w:val="18"/>
                <w:szCs w:val="18"/>
              </w:rPr>
              <w:t>施耐德ATV930系列</w:t>
            </w:r>
          </w:p>
          <w:p>
            <w:pPr>
              <w:numPr>
                <w:ilvl w:val="0"/>
                <w:numId w:val="19"/>
              </w:numPr>
              <w:rPr>
                <w:sz w:val="18"/>
                <w:szCs w:val="18"/>
              </w:rPr>
            </w:pPr>
            <w:r>
              <w:rPr>
                <w:rFonts w:hint="eastAsia"/>
                <w:sz w:val="18"/>
                <w:szCs w:val="18"/>
              </w:rPr>
              <w:t xml:space="preserve">AB PF755系列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34" w:hRule="atLeast"/>
          <w:tblCellSpacing w:w="0" w:type="dxa"/>
          <w:jc w:val="center"/>
        </w:trPr>
        <w:tc>
          <w:tcPr>
            <w:tcW w:w="373" w:type="dxa"/>
            <w:vMerge w:val="continue"/>
            <w:tcBorders>
              <w:tl2br w:val="nil"/>
              <w:tr2bl w:val="nil"/>
            </w:tcBorders>
            <w:vAlign w:val="center"/>
          </w:tcPr>
          <w:p>
            <w:pPr>
              <w:jc w:val="center"/>
              <w:rPr>
                <w:sz w:val="18"/>
                <w:szCs w:val="18"/>
              </w:rPr>
            </w:pPr>
          </w:p>
        </w:tc>
        <w:tc>
          <w:tcPr>
            <w:tcW w:w="2081" w:type="dxa"/>
            <w:vMerge w:val="continue"/>
            <w:tcBorders>
              <w:tl2br w:val="nil"/>
              <w:tr2bl w:val="nil"/>
            </w:tcBorders>
            <w:vAlign w:val="center"/>
          </w:tcPr>
          <w:p>
            <w:pPr>
              <w:jc w:val="center"/>
              <w:rPr>
                <w:sz w:val="18"/>
                <w:szCs w:val="18"/>
              </w:rPr>
            </w:pPr>
          </w:p>
        </w:tc>
        <w:tc>
          <w:tcPr>
            <w:tcW w:w="1334" w:type="dxa"/>
            <w:tcBorders>
              <w:tl2br w:val="nil"/>
              <w:tr2bl w:val="nil"/>
            </w:tcBorders>
            <w:vAlign w:val="center"/>
          </w:tcPr>
          <w:p>
            <w:pPr>
              <w:jc w:val="center"/>
              <w:rPr>
                <w:sz w:val="18"/>
                <w:szCs w:val="18"/>
              </w:rPr>
            </w:pPr>
            <w:r>
              <w:rPr>
                <w:rFonts w:hint="eastAsia"/>
                <w:sz w:val="18"/>
                <w:szCs w:val="18"/>
              </w:rPr>
              <w:t>控制器</w:t>
            </w:r>
          </w:p>
        </w:tc>
        <w:tc>
          <w:tcPr>
            <w:tcW w:w="4225" w:type="dxa"/>
            <w:tcBorders>
              <w:tl2br w:val="nil"/>
              <w:tr2bl w:val="nil"/>
            </w:tcBorders>
            <w:vAlign w:val="center"/>
          </w:tcPr>
          <w:p>
            <w:pPr>
              <w:numPr>
                <w:ilvl w:val="0"/>
                <w:numId w:val="20"/>
              </w:numPr>
              <w:rPr>
                <w:sz w:val="18"/>
                <w:szCs w:val="18"/>
              </w:rPr>
            </w:pPr>
            <w:r>
              <w:rPr>
                <w:rFonts w:hint="eastAsia"/>
                <w:sz w:val="18"/>
                <w:szCs w:val="18"/>
              </w:rPr>
              <w:t>西门子Apogee</w:t>
            </w:r>
          </w:p>
          <w:p>
            <w:pPr>
              <w:numPr>
                <w:ilvl w:val="0"/>
                <w:numId w:val="20"/>
              </w:numPr>
              <w:rPr>
                <w:sz w:val="18"/>
                <w:szCs w:val="18"/>
              </w:rPr>
            </w:pPr>
            <w:r>
              <w:rPr>
                <w:rFonts w:hint="eastAsia"/>
                <w:sz w:val="18"/>
                <w:szCs w:val="18"/>
              </w:rPr>
              <w:t>江森自控CH系列</w:t>
            </w:r>
          </w:p>
          <w:p>
            <w:pPr>
              <w:numPr>
                <w:ilvl w:val="0"/>
                <w:numId w:val="20"/>
              </w:numPr>
              <w:rPr>
                <w:sz w:val="18"/>
                <w:szCs w:val="18"/>
              </w:rPr>
            </w:pPr>
            <w:r>
              <w:rPr>
                <w:rFonts w:hint="eastAsia"/>
                <w:sz w:val="18"/>
                <w:szCs w:val="18"/>
              </w:rPr>
              <w:t>霍尼韦尔（</w:t>
            </w:r>
            <w:r>
              <w:rPr>
                <w:sz w:val="18"/>
                <w:szCs w:val="18"/>
              </w:rPr>
              <w:t>excel8000</w:t>
            </w:r>
            <w:r>
              <w:rPr>
                <w:rFonts w:hint="eastAsia"/>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89" w:hRule="atLeast"/>
          <w:tblCellSpacing w:w="0" w:type="dxa"/>
          <w:jc w:val="center"/>
        </w:trPr>
        <w:tc>
          <w:tcPr>
            <w:tcW w:w="373" w:type="dxa"/>
            <w:tcBorders>
              <w:tl2br w:val="nil"/>
              <w:tr2bl w:val="nil"/>
            </w:tcBorders>
            <w:vAlign w:val="center"/>
          </w:tcPr>
          <w:p>
            <w:pPr>
              <w:jc w:val="center"/>
              <w:rPr>
                <w:sz w:val="18"/>
                <w:szCs w:val="18"/>
              </w:rPr>
            </w:pPr>
            <w:r>
              <w:rPr>
                <w:rFonts w:hint="eastAsia"/>
                <w:sz w:val="18"/>
                <w:szCs w:val="18"/>
              </w:rPr>
              <w:t>5</w:t>
            </w:r>
          </w:p>
        </w:tc>
        <w:tc>
          <w:tcPr>
            <w:tcW w:w="2081" w:type="dxa"/>
            <w:tcBorders>
              <w:tl2br w:val="nil"/>
              <w:tr2bl w:val="nil"/>
            </w:tcBorders>
            <w:vAlign w:val="center"/>
          </w:tcPr>
          <w:p>
            <w:pPr>
              <w:jc w:val="center"/>
              <w:rPr>
                <w:sz w:val="18"/>
                <w:szCs w:val="18"/>
              </w:rPr>
            </w:pPr>
            <w:r>
              <w:rPr>
                <w:rFonts w:hint="eastAsia"/>
                <w:sz w:val="18"/>
                <w:szCs w:val="18"/>
              </w:rPr>
              <w:t>密集型母线</w:t>
            </w:r>
          </w:p>
        </w:tc>
        <w:tc>
          <w:tcPr>
            <w:tcW w:w="1334" w:type="dxa"/>
            <w:tcBorders>
              <w:tl2br w:val="nil"/>
              <w:tr2bl w:val="nil"/>
            </w:tcBorders>
            <w:vAlign w:val="center"/>
          </w:tcPr>
          <w:p>
            <w:pPr>
              <w:jc w:val="center"/>
              <w:rPr>
                <w:sz w:val="18"/>
                <w:szCs w:val="18"/>
              </w:rPr>
            </w:pPr>
          </w:p>
        </w:tc>
        <w:tc>
          <w:tcPr>
            <w:tcW w:w="4225" w:type="dxa"/>
            <w:tcBorders>
              <w:tl2br w:val="nil"/>
              <w:tr2bl w:val="nil"/>
            </w:tcBorders>
            <w:vAlign w:val="center"/>
          </w:tcPr>
          <w:p>
            <w:pPr>
              <w:numPr>
                <w:ilvl w:val="0"/>
                <w:numId w:val="21"/>
              </w:numPr>
              <w:rPr>
                <w:sz w:val="18"/>
                <w:szCs w:val="18"/>
              </w:rPr>
            </w:pPr>
            <w:r>
              <w:rPr>
                <w:rFonts w:hint="eastAsia"/>
                <w:sz w:val="18"/>
                <w:szCs w:val="18"/>
              </w:rPr>
              <w:t>西门子（XLC -Ⅲ）</w:t>
            </w:r>
          </w:p>
          <w:p>
            <w:pPr>
              <w:numPr>
                <w:ilvl w:val="0"/>
                <w:numId w:val="21"/>
              </w:numPr>
              <w:rPr>
                <w:sz w:val="18"/>
                <w:szCs w:val="18"/>
              </w:rPr>
            </w:pPr>
            <w:r>
              <w:rPr>
                <w:rFonts w:hint="eastAsia"/>
                <w:sz w:val="18"/>
                <w:szCs w:val="18"/>
              </w:rPr>
              <w:t>施耐德（I LINE）</w:t>
            </w:r>
          </w:p>
          <w:p>
            <w:pPr>
              <w:numPr>
                <w:ilvl w:val="0"/>
                <w:numId w:val="21"/>
              </w:numPr>
              <w:rPr>
                <w:sz w:val="18"/>
                <w:szCs w:val="18"/>
              </w:rPr>
            </w:pPr>
            <w:r>
              <w:rPr>
                <w:sz w:val="18"/>
                <w:szCs w:val="18"/>
              </w:rPr>
              <w:t>ABB</w:t>
            </w:r>
            <w:r>
              <w:rPr>
                <w:rFonts w:hint="eastAsia"/>
                <w:sz w:val="18"/>
                <w:szCs w:val="18"/>
              </w:rPr>
              <w:t>（wavepro-</w:t>
            </w:r>
            <w:r>
              <w:rPr>
                <w:rFonts w:hint="eastAsia" w:ascii="宋体" w:hAnsi="宋体" w:cs="宋体"/>
                <w:sz w:val="18"/>
                <w:szCs w:val="18"/>
              </w:rPr>
              <w:t>II</w:t>
            </w:r>
            <w:r>
              <w:rPr>
                <w:rFonts w:hint="eastAsia"/>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89" w:hRule="atLeast"/>
          <w:tblCellSpacing w:w="0" w:type="dxa"/>
          <w:jc w:val="center"/>
        </w:trPr>
        <w:tc>
          <w:tcPr>
            <w:tcW w:w="373" w:type="dxa"/>
            <w:tcBorders>
              <w:tl2br w:val="nil"/>
              <w:tr2bl w:val="nil"/>
            </w:tcBorders>
            <w:vAlign w:val="center"/>
          </w:tcPr>
          <w:p>
            <w:pPr>
              <w:jc w:val="center"/>
              <w:rPr>
                <w:sz w:val="18"/>
                <w:szCs w:val="18"/>
              </w:rPr>
            </w:pPr>
            <w:r>
              <w:rPr>
                <w:rFonts w:hint="eastAsia"/>
                <w:sz w:val="18"/>
                <w:szCs w:val="18"/>
              </w:rPr>
              <w:t>6</w:t>
            </w:r>
          </w:p>
        </w:tc>
        <w:tc>
          <w:tcPr>
            <w:tcW w:w="2081" w:type="dxa"/>
            <w:tcBorders>
              <w:tl2br w:val="nil"/>
              <w:tr2bl w:val="nil"/>
            </w:tcBorders>
            <w:vAlign w:val="center"/>
          </w:tcPr>
          <w:p>
            <w:pPr>
              <w:jc w:val="center"/>
              <w:rPr>
                <w:sz w:val="18"/>
                <w:szCs w:val="18"/>
              </w:rPr>
            </w:pPr>
            <w:r>
              <w:rPr>
                <w:rFonts w:hint="eastAsia"/>
                <w:sz w:val="18"/>
                <w:szCs w:val="18"/>
              </w:rPr>
              <w:t>抗浪涌保护器</w:t>
            </w:r>
          </w:p>
        </w:tc>
        <w:tc>
          <w:tcPr>
            <w:tcW w:w="1334" w:type="dxa"/>
            <w:tcBorders>
              <w:tl2br w:val="nil"/>
              <w:tr2bl w:val="nil"/>
            </w:tcBorders>
            <w:vAlign w:val="center"/>
          </w:tcPr>
          <w:p>
            <w:pPr>
              <w:jc w:val="center"/>
              <w:rPr>
                <w:sz w:val="18"/>
                <w:szCs w:val="18"/>
              </w:rPr>
            </w:pPr>
          </w:p>
        </w:tc>
        <w:tc>
          <w:tcPr>
            <w:tcW w:w="4225" w:type="dxa"/>
            <w:tcBorders>
              <w:tl2br w:val="nil"/>
              <w:tr2bl w:val="nil"/>
            </w:tcBorders>
          </w:tcPr>
          <w:p>
            <w:pPr>
              <w:rPr>
                <w:sz w:val="18"/>
                <w:szCs w:val="18"/>
              </w:rPr>
            </w:pPr>
            <w:r>
              <w:rPr>
                <w:rFonts w:hint="eastAsia"/>
                <w:sz w:val="18"/>
                <w:szCs w:val="18"/>
              </w:rPr>
              <w:t>1.德国OBO</w:t>
            </w:r>
          </w:p>
          <w:p>
            <w:pPr>
              <w:rPr>
                <w:sz w:val="18"/>
                <w:szCs w:val="18"/>
              </w:rPr>
            </w:pPr>
            <w:r>
              <w:rPr>
                <w:rFonts w:hint="eastAsia"/>
                <w:sz w:val="18"/>
                <w:szCs w:val="18"/>
              </w:rPr>
              <w:t>2.德国DEHN</w:t>
            </w:r>
          </w:p>
          <w:p>
            <w:pPr>
              <w:rPr>
                <w:sz w:val="18"/>
                <w:szCs w:val="18"/>
              </w:rPr>
            </w:pPr>
            <w:r>
              <w:rPr>
                <w:rFonts w:hint="eastAsia"/>
                <w:sz w:val="18"/>
                <w:szCs w:val="18"/>
              </w:rPr>
              <w:t>3.ABB(FURSE)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blCellSpacing w:w="0" w:type="dxa"/>
          <w:jc w:val="center"/>
        </w:trPr>
        <w:tc>
          <w:tcPr>
            <w:tcW w:w="373" w:type="dxa"/>
            <w:tcBorders>
              <w:tl2br w:val="nil"/>
              <w:tr2bl w:val="nil"/>
            </w:tcBorders>
            <w:vAlign w:val="center"/>
          </w:tcPr>
          <w:p>
            <w:pPr>
              <w:jc w:val="center"/>
              <w:rPr>
                <w:sz w:val="18"/>
                <w:szCs w:val="18"/>
              </w:rPr>
            </w:pPr>
            <w:r>
              <w:rPr>
                <w:rFonts w:hint="eastAsia"/>
                <w:sz w:val="18"/>
                <w:szCs w:val="18"/>
              </w:rPr>
              <w:t>7</w:t>
            </w:r>
          </w:p>
        </w:tc>
        <w:tc>
          <w:tcPr>
            <w:tcW w:w="2081" w:type="dxa"/>
            <w:tcBorders>
              <w:tl2br w:val="nil"/>
              <w:tr2bl w:val="nil"/>
            </w:tcBorders>
            <w:vAlign w:val="center"/>
          </w:tcPr>
          <w:p>
            <w:pPr>
              <w:jc w:val="center"/>
              <w:rPr>
                <w:sz w:val="18"/>
                <w:szCs w:val="18"/>
              </w:rPr>
            </w:pPr>
            <w:r>
              <w:rPr>
                <w:rFonts w:hint="eastAsia"/>
                <w:sz w:val="18"/>
                <w:szCs w:val="18"/>
              </w:rPr>
              <w:t>开关、插座</w:t>
            </w:r>
          </w:p>
        </w:tc>
        <w:tc>
          <w:tcPr>
            <w:tcW w:w="1334" w:type="dxa"/>
            <w:tcBorders>
              <w:tl2br w:val="nil"/>
              <w:tr2bl w:val="nil"/>
            </w:tcBorders>
            <w:vAlign w:val="center"/>
          </w:tcPr>
          <w:p>
            <w:pPr>
              <w:jc w:val="center"/>
              <w:rPr>
                <w:sz w:val="18"/>
                <w:szCs w:val="18"/>
              </w:rPr>
            </w:pPr>
          </w:p>
        </w:tc>
        <w:tc>
          <w:tcPr>
            <w:tcW w:w="4225" w:type="dxa"/>
            <w:tcBorders>
              <w:tl2br w:val="nil"/>
              <w:tr2bl w:val="nil"/>
            </w:tcBorders>
            <w:vAlign w:val="center"/>
          </w:tcPr>
          <w:p>
            <w:pPr>
              <w:numPr>
                <w:ilvl w:val="0"/>
                <w:numId w:val="22"/>
              </w:numPr>
              <w:rPr>
                <w:sz w:val="18"/>
                <w:szCs w:val="18"/>
              </w:rPr>
            </w:pPr>
            <w:r>
              <w:rPr>
                <w:rFonts w:hint="eastAsia"/>
                <w:sz w:val="18"/>
                <w:szCs w:val="18"/>
              </w:rPr>
              <w:t>施耐德</w:t>
            </w:r>
          </w:p>
          <w:p>
            <w:pPr>
              <w:numPr>
                <w:ilvl w:val="0"/>
                <w:numId w:val="22"/>
              </w:numPr>
              <w:rPr>
                <w:sz w:val="18"/>
                <w:szCs w:val="18"/>
              </w:rPr>
            </w:pPr>
            <w:r>
              <w:rPr>
                <w:rFonts w:hint="eastAsia"/>
                <w:sz w:val="18"/>
                <w:szCs w:val="18"/>
              </w:rPr>
              <w:t>罗格朗</w:t>
            </w:r>
          </w:p>
          <w:p>
            <w:pPr>
              <w:numPr>
                <w:ilvl w:val="0"/>
                <w:numId w:val="22"/>
              </w:numPr>
              <w:rPr>
                <w:sz w:val="18"/>
                <w:szCs w:val="18"/>
              </w:rPr>
            </w:pPr>
            <w:r>
              <w:rPr>
                <w:rFonts w:hint="eastAsia"/>
                <w:sz w:val="18"/>
                <w:szCs w:val="18"/>
              </w:rPr>
              <w:t>松下</w:t>
            </w:r>
          </w:p>
          <w:p>
            <w:pPr>
              <w:numPr>
                <w:ilvl w:val="0"/>
                <w:numId w:val="22"/>
              </w:numPr>
              <w:rPr>
                <w:sz w:val="18"/>
                <w:szCs w:val="18"/>
              </w:rPr>
            </w:pPr>
            <w:r>
              <w:rPr>
                <w:rFonts w:hint="eastAsia"/>
                <w:sz w:val="18"/>
                <w:szCs w:val="18"/>
              </w:rPr>
              <w:t>ABB</w:t>
            </w:r>
          </w:p>
          <w:p>
            <w:pPr>
              <w:pStyle w:val="2"/>
              <w:ind w:left="0" w:leftChars="0"/>
              <w:rPr>
                <w:sz w:val="18"/>
                <w:szCs w:val="18"/>
              </w:rPr>
            </w:pPr>
            <w:r>
              <w:rPr>
                <w:rFonts w:hint="eastAsia"/>
                <w:sz w:val="18"/>
                <w:szCs w:val="18"/>
              </w:rPr>
              <w:t>5、</w:t>
            </w:r>
            <w:r>
              <w:rPr>
                <w:rFonts w:hint="eastAsia" w:ascii="宋体" w:hAnsi="宋体" w:cs="宋体"/>
                <w:sz w:val="18"/>
                <w:szCs w:val="18"/>
              </w:rPr>
              <w:t>西门子(SIEMENS)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blCellSpacing w:w="0" w:type="dxa"/>
          <w:jc w:val="center"/>
        </w:trPr>
        <w:tc>
          <w:tcPr>
            <w:tcW w:w="373" w:type="dxa"/>
            <w:tcBorders>
              <w:tl2br w:val="nil"/>
              <w:tr2bl w:val="nil"/>
            </w:tcBorders>
            <w:vAlign w:val="center"/>
          </w:tcPr>
          <w:p>
            <w:pPr>
              <w:jc w:val="center"/>
              <w:rPr>
                <w:sz w:val="18"/>
                <w:szCs w:val="18"/>
              </w:rPr>
            </w:pPr>
            <w:r>
              <w:rPr>
                <w:rFonts w:hint="eastAsia"/>
                <w:sz w:val="18"/>
                <w:szCs w:val="18"/>
              </w:rPr>
              <w:t>8</w:t>
            </w:r>
          </w:p>
        </w:tc>
        <w:tc>
          <w:tcPr>
            <w:tcW w:w="2081" w:type="dxa"/>
            <w:tcBorders>
              <w:tl2br w:val="nil"/>
              <w:tr2bl w:val="nil"/>
            </w:tcBorders>
            <w:vAlign w:val="center"/>
          </w:tcPr>
          <w:p>
            <w:pPr>
              <w:jc w:val="center"/>
              <w:rPr>
                <w:sz w:val="18"/>
                <w:szCs w:val="18"/>
              </w:rPr>
            </w:pPr>
            <w:r>
              <w:rPr>
                <w:rFonts w:hint="eastAsia"/>
                <w:sz w:val="18"/>
                <w:szCs w:val="18"/>
              </w:rPr>
              <w:t>电线电缆</w:t>
            </w:r>
          </w:p>
        </w:tc>
        <w:tc>
          <w:tcPr>
            <w:tcW w:w="1334" w:type="dxa"/>
            <w:tcBorders>
              <w:tl2br w:val="nil"/>
              <w:tr2bl w:val="nil"/>
            </w:tcBorders>
            <w:vAlign w:val="center"/>
          </w:tcPr>
          <w:p>
            <w:pPr>
              <w:jc w:val="center"/>
              <w:rPr>
                <w:sz w:val="18"/>
                <w:szCs w:val="18"/>
              </w:rPr>
            </w:pPr>
          </w:p>
        </w:tc>
        <w:tc>
          <w:tcPr>
            <w:tcW w:w="4225" w:type="dxa"/>
            <w:tcBorders>
              <w:tl2br w:val="nil"/>
              <w:tr2bl w:val="nil"/>
            </w:tcBorders>
            <w:vAlign w:val="center"/>
          </w:tcPr>
          <w:p>
            <w:pPr>
              <w:adjustRightInd w:val="0"/>
              <w:snapToGrid w:val="0"/>
              <w:rPr>
                <w:sz w:val="18"/>
                <w:szCs w:val="18"/>
              </w:rPr>
            </w:pPr>
            <w:r>
              <w:rPr>
                <w:rFonts w:hint="eastAsia"/>
                <w:sz w:val="18"/>
                <w:szCs w:val="18"/>
              </w:rPr>
              <w:t>1、远东电缆有限公司</w:t>
            </w:r>
          </w:p>
          <w:p>
            <w:pPr>
              <w:adjustRightInd w:val="0"/>
              <w:snapToGrid w:val="0"/>
              <w:rPr>
                <w:sz w:val="18"/>
                <w:szCs w:val="18"/>
              </w:rPr>
            </w:pPr>
            <w:r>
              <w:rPr>
                <w:rFonts w:hint="eastAsia"/>
                <w:sz w:val="18"/>
                <w:szCs w:val="18"/>
              </w:rPr>
              <w:t>2、江苏上上电缆集团有限公司</w:t>
            </w:r>
          </w:p>
          <w:p>
            <w:pPr>
              <w:adjustRightInd w:val="0"/>
              <w:snapToGrid w:val="0"/>
              <w:rPr>
                <w:sz w:val="18"/>
                <w:szCs w:val="18"/>
              </w:rPr>
            </w:pPr>
            <w:r>
              <w:rPr>
                <w:rFonts w:hint="eastAsia"/>
                <w:sz w:val="18"/>
                <w:szCs w:val="18"/>
              </w:rPr>
              <w:t>3、广州南洋电缆集团有限公司</w:t>
            </w:r>
          </w:p>
          <w:p>
            <w:pPr>
              <w:adjustRightInd w:val="0"/>
              <w:snapToGrid w:val="0"/>
              <w:rPr>
                <w:sz w:val="18"/>
                <w:szCs w:val="18"/>
              </w:rPr>
            </w:pPr>
            <w:r>
              <w:rPr>
                <w:rFonts w:hint="eastAsia"/>
                <w:sz w:val="18"/>
                <w:szCs w:val="18"/>
              </w:rPr>
              <w:t>4、广东电缆厂有限公司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blCellSpacing w:w="0" w:type="dxa"/>
          <w:jc w:val="center"/>
        </w:trPr>
        <w:tc>
          <w:tcPr>
            <w:tcW w:w="373" w:type="dxa"/>
            <w:tcBorders>
              <w:tl2br w:val="nil"/>
              <w:tr2bl w:val="nil"/>
            </w:tcBorders>
            <w:vAlign w:val="center"/>
          </w:tcPr>
          <w:p>
            <w:pPr>
              <w:jc w:val="center"/>
              <w:rPr>
                <w:sz w:val="18"/>
                <w:szCs w:val="18"/>
              </w:rPr>
            </w:pPr>
            <w:r>
              <w:rPr>
                <w:rFonts w:hint="eastAsia"/>
                <w:sz w:val="18"/>
                <w:szCs w:val="18"/>
              </w:rPr>
              <w:t>9</w:t>
            </w:r>
          </w:p>
        </w:tc>
        <w:tc>
          <w:tcPr>
            <w:tcW w:w="2081" w:type="dxa"/>
            <w:tcBorders>
              <w:tl2br w:val="nil"/>
              <w:tr2bl w:val="nil"/>
            </w:tcBorders>
            <w:vAlign w:val="center"/>
          </w:tcPr>
          <w:p>
            <w:pPr>
              <w:jc w:val="center"/>
              <w:rPr>
                <w:sz w:val="18"/>
                <w:szCs w:val="18"/>
              </w:rPr>
            </w:pPr>
            <w:r>
              <w:rPr>
                <w:rFonts w:hint="eastAsia"/>
                <w:sz w:val="18"/>
                <w:szCs w:val="18"/>
              </w:rPr>
              <w:t>矿物绝缘电缆</w:t>
            </w:r>
          </w:p>
        </w:tc>
        <w:tc>
          <w:tcPr>
            <w:tcW w:w="1334" w:type="dxa"/>
            <w:tcBorders>
              <w:tl2br w:val="nil"/>
              <w:tr2bl w:val="nil"/>
            </w:tcBorders>
            <w:vAlign w:val="center"/>
          </w:tcPr>
          <w:p>
            <w:pPr>
              <w:jc w:val="center"/>
              <w:rPr>
                <w:sz w:val="18"/>
                <w:szCs w:val="18"/>
              </w:rPr>
            </w:pPr>
          </w:p>
        </w:tc>
        <w:tc>
          <w:tcPr>
            <w:tcW w:w="4225" w:type="dxa"/>
            <w:tcBorders>
              <w:tl2br w:val="nil"/>
              <w:tr2bl w:val="nil"/>
            </w:tcBorders>
            <w:vAlign w:val="center"/>
          </w:tcPr>
          <w:p>
            <w:pPr>
              <w:rPr>
                <w:sz w:val="18"/>
                <w:szCs w:val="18"/>
              </w:rPr>
            </w:pPr>
            <w:r>
              <w:rPr>
                <w:rFonts w:hint="eastAsia"/>
                <w:sz w:val="18"/>
                <w:szCs w:val="18"/>
              </w:rPr>
              <w:t>1、久盛电气股份有限公司</w:t>
            </w:r>
          </w:p>
          <w:p>
            <w:pPr>
              <w:rPr>
                <w:sz w:val="18"/>
                <w:szCs w:val="18"/>
              </w:rPr>
            </w:pPr>
            <w:r>
              <w:rPr>
                <w:rFonts w:hint="eastAsia"/>
                <w:sz w:val="18"/>
                <w:szCs w:val="18"/>
              </w:rPr>
              <w:t>2、宝胜科技创新股份有限公司</w:t>
            </w:r>
          </w:p>
          <w:p>
            <w:pPr>
              <w:adjustRightInd w:val="0"/>
              <w:snapToGrid w:val="0"/>
              <w:rPr>
                <w:sz w:val="18"/>
                <w:szCs w:val="18"/>
              </w:rPr>
            </w:pPr>
            <w:r>
              <w:rPr>
                <w:rFonts w:hint="eastAsia"/>
                <w:sz w:val="18"/>
                <w:szCs w:val="18"/>
              </w:rPr>
              <w:t>3</w:t>
            </w:r>
            <w:r>
              <w:rPr>
                <w:sz w:val="18"/>
                <w:szCs w:val="18"/>
              </w:rPr>
              <w:t>、</w:t>
            </w:r>
            <w:r>
              <w:rPr>
                <w:rFonts w:hint="eastAsia"/>
                <w:sz w:val="18"/>
                <w:szCs w:val="18"/>
              </w:rPr>
              <w:t>华远高科电缆有限公司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blCellSpacing w:w="0" w:type="dxa"/>
          <w:jc w:val="center"/>
        </w:trPr>
        <w:tc>
          <w:tcPr>
            <w:tcW w:w="373" w:type="dxa"/>
            <w:tcBorders>
              <w:tl2br w:val="nil"/>
              <w:tr2bl w:val="nil"/>
            </w:tcBorders>
            <w:vAlign w:val="center"/>
          </w:tcPr>
          <w:p>
            <w:pPr>
              <w:jc w:val="center"/>
              <w:rPr>
                <w:sz w:val="18"/>
                <w:szCs w:val="18"/>
              </w:rPr>
            </w:pPr>
            <w:r>
              <w:rPr>
                <w:rFonts w:hint="eastAsia"/>
                <w:sz w:val="18"/>
                <w:szCs w:val="18"/>
              </w:rPr>
              <w:t>10</w:t>
            </w:r>
          </w:p>
        </w:tc>
        <w:tc>
          <w:tcPr>
            <w:tcW w:w="2081" w:type="dxa"/>
            <w:tcBorders>
              <w:tl2br w:val="nil"/>
              <w:tr2bl w:val="nil"/>
            </w:tcBorders>
            <w:vAlign w:val="center"/>
          </w:tcPr>
          <w:p>
            <w:pPr>
              <w:jc w:val="center"/>
              <w:rPr>
                <w:sz w:val="18"/>
                <w:szCs w:val="18"/>
              </w:rPr>
            </w:pPr>
            <w:r>
              <w:rPr>
                <w:rFonts w:hint="eastAsia"/>
                <w:sz w:val="18"/>
                <w:szCs w:val="18"/>
              </w:rPr>
              <w:t>电缆接头及附件（冷缩）</w:t>
            </w:r>
          </w:p>
        </w:tc>
        <w:tc>
          <w:tcPr>
            <w:tcW w:w="1334" w:type="dxa"/>
            <w:tcBorders>
              <w:tl2br w:val="nil"/>
              <w:tr2bl w:val="nil"/>
            </w:tcBorders>
            <w:vAlign w:val="center"/>
          </w:tcPr>
          <w:p>
            <w:pPr>
              <w:jc w:val="center"/>
              <w:rPr>
                <w:sz w:val="18"/>
                <w:szCs w:val="18"/>
              </w:rPr>
            </w:pPr>
          </w:p>
        </w:tc>
        <w:tc>
          <w:tcPr>
            <w:tcW w:w="4225" w:type="dxa"/>
            <w:tcBorders>
              <w:tl2br w:val="nil"/>
              <w:tr2bl w:val="nil"/>
            </w:tcBorders>
            <w:vAlign w:val="center"/>
          </w:tcPr>
          <w:p>
            <w:pPr>
              <w:numPr>
                <w:ilvl w:val="0"/>
                <w:numId w:val="23"/>
              </w:numPr>
              <w:rPr>
                <w:sz w:val="18"/>
                <w:szCs w:val="18"/>
              </w:rPr>
            </w:pPr>
            <w:r>
              <w:rPr>
                <w:rFonts w:hint="eastAsia"/>
                <w:sz w:val="18"/>
                <w:szCs w:val="18"/>
              </w:rPr>
              <w:t>ABB</w:t>
            </w:r>
          </w:p>
          <w:p>
            <w:pPr>
              <w:numPr>
                <w:ilvl w:val="0"/>
                <w:numId w:val="23"/>
              </w:numPr>
              <w:rPr>
                <w:sz w:val="18"/>
                <w:szCs w:val="18"/>
              </w:rPr>
            </w:pPr>
            <w:r>
              <w:rPr>
                <w:rFonts w:hint="eastAsia"/>
                <w:sz w:val="18"/>
                <w:szCs w:val="18"/>
              </w:rPr>
              <w:t>3M</w:t>
            </w:r>
          </w:p>
          <w:p>
            <w:pPr>
              <w:numPr>
                <w:ilvl w:val="0"/>
                <w:numId w:val="23"/>
              </w:numPr>
              <w:rPr>
                <w:sz w:val="18"/>
                <w:szCs w:val="18"/>
              </w:rPr>
            </w:pPr>
            <w:r>
              <w:rPr>
                <w:rFonts w:hint="eastAsia" w:ascii="宋体" w:hAnsi="宋体" w:cs="宋体"/>
                <w:sz w:val="18"/>
                <w:szCs w:val="18"/>
              </w:rPr>
              <w:t>耐克森（Nexans）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tblCellSpacing w:w="0" w:type="dxa"/>
          <w:jc w:val="center"/>
        </w:trPr>
        <w:tc>
          <w:tcPr>
            <w:tcW w:w="373" w:type="dxa"/>
            <w:tcBorders>
              <w:tl2br w:val="nil"/>
              <w:tr2bl w:val="nil"/>
            </w:tcBorders>
            <w:vAlign w:val="center"/>
          </w:tcPr>
          <w:p>
            <w:pPr>
              <w:jc w:val="center"/>
            </w:pPr>
            <w:r>
              <w:rPr>
                <w:rFonts w:hint="eastAsia"/>
                <w:sz w:val="18"/>
                <w:szCs w:val="18"/>
              </w:rPr>
              <w:t>11</w:t>
            </w:r>
          </w:p>
        </w:tc>
        <w:tc>
          <w:tcPr>
            <w:tcW w:w="2081" w:type="dxa"/>
            <w:tcBorders>
              <w:tl2br w:val="nil"/>
              <w:tr2bl w:val="nil"/>
            </w:tcBorders>
            <w:vAlign w:val="center"/>
          </w:tcPr>
          <w:p>
            <w:pPr>
              <w:jc w:val="center"/>
            </w:pPr>
            <w:r>
              <w:rPr>
                <w:rFonts w:hint="eastAsia"/>
                <w:sz w:val="18"/>
                <w:szCs w:val="18"/>
              </w:rPr>
              <w:t>防火门监控系统</w:t>
            </w:r>
          </w:p>
        </w:tc>
        <w:tc>
          <w:tcPr>
            <w:tcW w:w="1334" w:type="dxa"/>
            <w:tcBorders>
              <w:tl2br w:val="nil"/>
              <w:tr2bl w:val="nil"/>
            </w:tcBorders>
            <w:vAlign w:val="center"/>
          </w:tcPr>
          <w:p/>
        </w:tc>
        <w:tc>
          <w:tcPr>
            <w:tcW w:w="4225" w:type="dxa"/>
            <w:tcBorders>
              <w:tl2br w:val="nil"/>
              <w:tr2bl w:val="nil"/>
            </w:tcBorders>
            <w:vAlign w:val="center"/>
          </w:tcPr>
          <w:p>
            <w:pPr>
              <w:rPr>
                <w:sz w:val="18"/>
                <w:szCs w:val="18"/>
              </w:rPr>
            </w:pPr>
            <w:r>
              <w:rPr>
                <w:rFonts w:hint="eastAsia"/>
                <w:sz w:val="18"/>
                <w:szCs w:val="18"/>
              </w:rPr>
              <w:t>1、上海光华永盛消防智能系统股份有限公司</w:t>
            </w:r>
          </w:p>
          <w:p>
            <w:pPr>
              <w:rPr>
                <w:sz w:val="18"/>
                <w:szCs w:val="18"/>
              </w:rPr>
            </w:pPr>
            <w:r>
              <w:rPr>
                <w:rFonts w:hint="eastAsia"/>
                <w:sz w:val="18"/>
                <w:szCs w:val="18"/>
              </w:rPr>
              <w:t>2</w:t>
            </w:r>
            <w:r>
              <w:rPr>
                <w:sz w:val="18"/>
                <w:szCs w:val="18"/>
              </w:rPr>
              <w:t>、</w:t>
            </w:r>
            <w:r>
              <w:rPr>
                <w:rFonts w:hint="eastAsia"/>
                <w:sz w:val="18"/>
                <w:szCs w:val="18"/>
              </w:rPr>
              <w:t>广州六瑞消防科技有限公司</w:t>
            </w:r>
          </w:p>
          <w:p>
            <w:r>
              <w:rPr>
                <w:rFonts w:hint="eastAsia"/>
                <w:sz w:val="18"/>
                <w:szCs w:val="18"/>
              </w:rPr>
              <w:t>3、深圳泰和安科技有限公司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blCellSpacing w:w="0" w:type="dxa"/>
          <w:jc w:val="center"/>
        </w:trPr>
        <w:tc>
          <w:tcPr>
            <w:tcW w:w="373" w:type="dxa"/>
            <w:tcBorders>
              <w:tl2br w:val="nil"/>
              <w:tr2bl w:val="nil"/>
            </w:tcBorders>
            <w:vAlign w:val="center"/>
          </w:tcPr>
          <w:p>
            <w:pPr>
              <w:jc w:val="center"/>
              <w:rPr>
                <w:sz w:val="18"/>
                <w:szCs w:val="18"/>
              </w:rPr>
            </w:pPr>
            <w:r>
              <w:rPr>
                <w:rFonts w:hint="eastAsia"/>
                <w:sz w:val="18"/>
                <w:szCs w:val="18"/>
              </w:rPr>
              <w:t>12</w:t>
            </w:r>
          </w:p>
        </w:tc>
        <w:tc>
          <w:tcPr>
            <w:tcW w:w="2081" w:type="dxa"/>
            <w:tcBorders>
              <w:tl2br w:val="nil"/>
              <w:tr2bl w:val="nil"/>
            </w:tcBorders>
            <w:vAlign w:val="center"/>
          </w:tcPr>
          <w:p>
            <w:pPr>
              <w:jc w:val="center"/>
              <w:rPr>
                <w:sz w:val="18"/>
                <w:szCs w:val="18"/>
              </w:rPr>
            </w:pPr>
            <w:r>
              <w:rPr>
                <w:rFonts w:hint="eastAsia" w:ascii="宋体" w:hAnsi="宋体" w:cs="宋体"/>
                <w:sz w:val="18"/>
                <w:szCs w:val="18"/>
              </w:rPr>
              <w:t>消防应急照明和疏散指示系统</w:t>
            </w:r>
          </w:p>
        </w:tc>
        <w:tc>
          <w:tcPr>
            <w:tcW w:w="1334" w:type="dxa"/>
            <w:tcBorders>
              <w:tl2br w:val="nil"/>
              <w:tr2bl w:val="nil"/>
            </w:tcBorders>
            <w:vAlign w:val="center"/>
          </w:tcPr>
          <w:p>
            <w:pPr>
              <w:jc w:val="center"/>
              <w:rPr>
                <w:sz w:val="18"/>
                <w:szCs w:val="18"/>
              </w:rPr>
            </w:pPr>
          </w:p>
        </w:tc>
        <w:tc>
          <w:tcPr>
            <w:tcW w:w="4225" w:type="dxa"/>
            <w:tcBorders>
              <w:tl2br w:val="nil"/>
              <w:tr2bl w:val="nil"/>
            </w:tcBorders>
            <w:vAlign w:val="center"/>
          </w:tcPr>
          <w:p>
            <w:pPr>
              <w:rPr>
                <w:sz w:val="18"/>
                <w:szCs w:val="18"/>
              </w:rPr>
            </w:pPr>
            <w:r>
              <w:rPr>
                <w:rFonts w:hint="eastAsia"/>
                <w:sz w:val="18"/>
                <w:szCs w:val="18"/>
              </w:rPr>
              <w:t>1、中川电气科技有限公司</w:t>
            </w:r>
          </w:p>
          <w:p>
            <w:pPr>
              <w:rPr>
                <w:sz w:val="18"/>
                <w:szCs w:val="18"/>
              </w:rPr>
            </w:pPr>
            <w:r>
              <w:rPr>
                <w:rFonts w:hint="eastAsia"/>
                <w:sz w:val="18"/>
                <w:szCs w:val="18"/>
              </w:rPr>
              <w:t>2、珠海西默电气股份有限公司</w:t>
            </w:r>
          </w:p>
          <w:p>
            <w:pPr>
              <w:rPr>
                <w:sz w:val="18"/>
                <w:szCs w:val="18"/>
              </w:rPr>
            </w:pPr>
            <w:r>
              <w:rPr>
                <w:rFonts w:hint="eastAsia"/>
                <w:sz w:val="18"/>
                <w:szCs w:val="18"/>
              </w:rPr>
              <w:t xml:space="preserve">3、杭州海康威视电子有限公司 </w:t>
            </w:r>
          </w:p>
          <w:p>
            <w:pPr>
              <w:rPr>
                <w:sz w:val="18"/>
                <w:szCs w:val="18"/>
              </w:rPr>
            </w:pPr>
            <w:r>
              <w:rPr>
                <w:rFonts w:hint="eastAsia"/>
                <w:sz w:val="18"/>
                <w:szCs w:val="18"/>
              </w:rPr>
              <w:t>4、广东拿斯特照明有限公司</w:t>
            </w:r>
          </w:p>
          <w:p>
            <w:pPr>
              <w:pStyle w:val="2"/>
              <w:ind w:left="0" w:leftChars="0"/>
              <w:rPr>
                <w:sz w:val="18"/>
                <w:szCs w:val="18"/>
              </w:rPr>
            </w:pPr>
            <w:r>
              <w:rPr>
                <w:rFonts w:hint="eastAsia"/>
                <w:sz w:val="18"/>
                <w:szCs w:val="18"/>
              </w:rPr>
              <w:t>5、深圳泰和安科技有限公司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blCellSpacing w:w="0" w:type="dxa"/>
          <w:jc w:val="center"/>
        </w:trPr>
        <w:tc>
          <w:tcPr>
            <w:tcW w:w="373" w:type="dxa"/>
            <w:tcBorders>
              <w:tl2br w:val="nil"/>
              <w:tr2bl w:val="nil"/>
            </w:tcBorders>
            <w:vAlign w:val="center"/>
          </w:tcPr>
          <w:p>
            <w:pPr>
              <w:jc w:val="center"/>
              <w:rPr>
                <w:sz w:val="18"/>
                <w:szCs w:val="18"/>
              </w:rPr>
            </w:pPr>
            <w:r>
              <w:rPr>
                <w:rFonts w:hint="eastAsia"/>
                <w:sz w:val="18"/>
                <w:szCs w:val="18"/>
              </w:rPr>
              <w:t>13</w:t>
            </w:r>
          </w:p>
        </w:tc>
        <w:tc>
          <w:tcPr>
            <w:tcW w:w="2081" w:type="dxa"/>
            <w:tcBorders>
              <w:tl2br w:val="nil"/>
              <w:tr2bl w:val="nil"/>
            </w:tcBorders>
            <w:vAlign w:val="center"/>
          </w:tcPr>
          <w:p>
            <w:pPr>
              <w:jc w:val="center"/>
              <w:rPr>
                <w:sz w:val="18"/>
                <w:szCs w:val="18"/>
              </w:rPr>
            </w:pPr>
            <w:r>
              <w:rPr>
                <w:rFonts w:hint="eastAsia"/>
                <w:sz w:val="18"/>
                <w:szCs w:val="18"/>
              </w:rPr>
              <w:t>电气火灾监控系统、消防设备电源监控系统</w:t>
            </w:r>
          </w:p>
        </w:tc>
        <w:tc>
          <w:tcPr>
            <w:tcW w:w="1334" w:type="dxa"/>
            <w:tcBorders>
              <w:tl2br w:val="nil"/>
              <w:tr2bl w:val="nil"/>
            </w:tcBorders>
            <w:vAlign w:val="center"/>
          </w:tcPr>
          <w:p>
            <w:pPr>
              <w:rPr>
                <w:sz w:val="18"/>
                <w:szCs w:val="18"/>
              </w:rPr>
            </w:pPr>
          </w:p>
        </w:tc>
        <w:tc>
          <w:tcPr>
            <w:tcW w:w="4225" w:type="dxa"/>
            <w:tcBorders>
              <w:tl2br w:val="nil"/>
              <w:tr2bl w:val="nil"/>
            </w:tcBorders>
            <w:vAlign w:val="center"/>
          </w:tcPr>
          <w:p>
            <w:pPr>
              <w:rPr>
                <w:sz w:val="18"/>
                <w:szCs w:val="18"/>
              </w:rPr>
            </w:pPr>
            <w:r>
              <w:rPr>
                <w:rFonts w:hint="eastAsia"/>
                <w:sz w:val="18"/>
                <w:szCs w:val="18"/>
              </w:rPr>
              <w:t>1、上海光华永盛消防智能系统股份有限公司</w:t>
            </w:r>
          </w:p>
          <w:p>
            <w:pPr>
              <w:rPr>
                <w:sz w:val="18"/>
                <w:szCs w:val="18"/>
              </w:rPr>
            </w:pPr>
            <w:r>
              <w:rPr>
                <w:rFonts w:hint="eastAsia"/>
                <w:sz w:val="18"/>
                <w:szCs w:val="18"/>
              </w:rPr>
              <w:t>2、</w:t>
            </w:r>
            <w:r>
              <w:rPr>
                <w:sz w:val="18"/>
                <w:szCs w:val="18"/>
              </w:rPr>
              <w:t>珠海派诺科技股份有限公司</w:t>
            </w:r>
          </w:p>
          <w:p>
            <w:pPr>
              <w:rPr>
                <w:sz w:val="18"/>
                <w:szCs w:val="18"/>
              </w:rPr>
            </w:pPr>
            <w:r>
              <w:rPr>
                <w:rFonts w:hint="eastAsia"/>
                <w:sz w:val="18"/>
                <w:szCs w:val="18"/>
              </w:rPr>
              <w:t>3、北京爱博精电科技有限公司</w:t>
            </w:r>
          </w:p>
          <w:p>
            <w:pPr>
              <w:rPr>
                <w:sz w:val="18"/>
                <w:szCs w:val="18"/>
              </w:rPr>
            </w:pPr>
            <w:r>
              <w:rPr>
                <w:rFonts w:hint="eastAsia"/>
                <w:sz w:val="18"/>
                <w:szCs w:val="18"/>
              </w:rPr>
              <w:t>4、深圳泰和安科技有限公司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blCellSpacing w:w="0" w:type="dxa"/>
          <w:jc w:val="center"/>
        </w:trPr>
        <w:tc>
          <w:tcPr>
            <w:tcW w:w="373" w:type="dxa"/>
            <w:tcBorders>
              <w:tl2br w:val="nil"/>
              <w:tr2bl w:val="nil"/>
            </w:tcBorders>
            <w:vAlign w:val="center"/>
          </w:tcPr>
          <w:p>
            <w:pPr>
              <w:jc w:val="center"/>
              <w:rPr>
                <w:sz w:val="18"/>
                <w:szCs w:val="18"/>
              </w:rPr>
            </w:pPr>
            <w:r>
              <w:rPr>
                <w:rFonts w:hint="eastAsia"/>
                <w:sz w:val="18"/>
                <w:szCs w:val="18"/>
              </w:rPr>
              <w:t>15</w:t>
            </w:r>
          </w:p>
        </w:tc>
        <w:tc>
          <w:tcPr>
            <w:tcW w:w="2081" w:type="dxa"/>
            <w:tcBorders>
              <w:tl2br w:val="nil"/>
              <w:tr2bl w:val="nil"/>
            </w:tcBorders>
            <w:vAlign w:val="center"/>
          </w:tcPr>
          <w:p>
            <w:pPr>
              <w:jc w:val="center"/>
              <w:rPr>
                <w:sz w:val="18"/>
                <w:szCs w:val="18"/>
              </w:rPr>
            </w:pPr>
            <w:r>
              <w:rPr>
                <w:rFonts w:hint="eastAsia"/>
                <w:sz w:val="18"/>
                <w:szCs w:val="18"/>
              </w:rPr>
              <w:t>火灾自动报警系统</w:t>
            </w:r>
          </w:p>
        </w:tc>
        <w:tc>
          <w:tcPr>
            <w:tcW w:w="1334" w:type="dxa"/>
            <w:tcBorders>
              <w:tl2br w:val="nil"/>
              <w:tr2bl w:val="nil"/>
            </w:tcBorders>
            <w:vAlign w:val="center"/>
          </w:tcPr>
          <w:p>
            <w:pPr>
              <w:jc w:val="center"/>
              <w:rPr>
                <w:sz w:val="18"/>
                <w:szCs w:val="18"/>
              </w:rPr>
            </w:pPr>
          </w:p>
        </w:tc>
        <w:tc>
          <w:tcPr>
            <w:tcW w:w="4225" w:type="dxa"/>
            <w:tcBorders>
              <w:tl2br w:val="nil"/>
              <w:tr2bl w:val="nil"/>
            </w:tcBorders>
            <w:vAlign w:val="center"/>
          </w:tcPr>
          <w:p>
            <w:pPr>
              <w:numPr>
                <w:ilvl w:val="0"/>
                <w:numId w:val="24"/>
              </w:numPr>
              <w:rPr>
                <w:sz w:val="18"/>
                <w:szCs w:val="18"/>
              </w:rPr>
            </w:pPr>
            <w:r>
              <w:rPr>
                <w:rFonts w:hint="eastAsia"/>
                <w:sz w:val="18"/>
                <w:szCs w:val="18"/>
              </w:rPr>
              <w:t>EDWARDS（爱得华）EST3</w:t>
            </w:r>
          </w:p>
          <w:p>
            <w:pPr>
              <w:rPr>
                <w:sz w:val="18"/>
                <w:szCs w:val="18"/>
              </w:rPr>
            </w:pPr>
            <w:r>
              <w:rPr>
                <w:rFonts w:hint="eastAsia"/>
                <w:sz w:val="18"/>
                <w:szCs w:val="18"/>
              </w:rPr>
              <w:t>2、诺蒂菲尔（Notifier）NFS2-3030</w:t>
            </w:r>
          </w:p>
          <w:p>
            <w:pPr>
              <w:rPr>
                <w:sz w:val="18"/>
                <w:szCs w:val="18"/>
              </w:rPr>
            </w:pPr>
            <w:r>
              <w:rPr>
                <w:rFonts w:hint="eastAsia"/>
                <w:sz w:val="18"/>
                <w:szCs w:val="18"/>
              </w:rPr>
              <w:t>3、SIEMENS（西门子）726系列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blCellSpacing w:w="0" w:type="dxa"/>
          <w:jc w:val="center"/>
        </w:trPr>
        <w:tc>
          <w:tcPr>
            <w:tcW w:w="373" w:type="dxa"/>
            <w:tcBorders>
              <w:tl2br w:val="nil"/>
              <w:tr2bl w:val="nil"/>
            </w:tcBorders>
            <w:vAlign w:val="center"/>
          </w:tcPr>
          <w:p>
            <w:pPr>
              <w:jc w:val="center"/>
              <w:rPr>
                <w:sz w:val="18"/>
                <w:szCs w:val="18"/>
              </w:rPr>
            </w:pPr>
            <w:r>
              <w:rPr>
                <w:rFonts w:hint="eastAsia"/>
                <w:sz w:val="18"/>
                <w:szCs w:val="18"/>
              </w:rPr>
              <w:t>16</w:t>
            </w:r>
          </w:p>
        </w:tc>
        <w:tc>
          <w:tcPr>
            <w:tcW w:w="2081" w:type="dxa"/>
            <w:tcBorders>
              <w:tl2br w:val="nil"/>
              <w:tr2bl w:val="nil"/>
            </w:tcBorders>
            <w:vAlign w:val="center"/>
          </w:tcPr>
          <w:p>
            <w:pPr>
              <w:jc w:val="center"/>
              <w:rPr>
                <w:sz w:val="18"/>
                <w:szCs w:val="18"/>
              </w:rPr>
            </w:pPr>
            <w:r>
              <w:rPr>
                <w:rFonts w:hint="eastAsia"/>
                <w:sz w:val="18"/>
                <w:szCs w:val="18"/>
              </w:rPr>
              <w:t>气体灭火控制系统</w:t>
            </w:r>
          </w:p>
        </w:tc>
        <w:tc>
          <w:tcPr>
            <w:tcW w:w="1334" w:type="dxa"/>
            <w:tcBorders>
              <w:tl2br w:val="nil"/>
              <w:tr2bl w:val="nil"/>
            </w:tcBorders>
            <w:vAlign w:val="center"/>
          </w:tcPr>
          <w:p>
            <w:pPr>
              <w:jc w:val="center"/>
              <w:rPr>
                <w:sz w:val="18"/>
                <w:szCs w:val="18"/>
              </w:rPr>
            </w:pPr>
          </w:p>
        </w:tc>
        <w:tc>
          <w:tcPr>
            <w:tcW w:w="4225" w:type="dxa"/>
            <w:tcBorders>
              <w:tl2br w:val="nil"/>
              <w:tr2bl w:val="nil"/>
            </w:tcBorders>
            <w:vAlign w:val="center"/>
          </w:tcPr>
          <w:p>
            <w:pPr>
              <w:numPr>
                <w:ilvl w:val="0"/>
                <w:numId w:val="25"/>
              </w:numPr>
              <w:rPr>
                <w:sz w:val="18"/>
                <w:szCs w:val="18"/>
              </w:rPr>
            </w:pPr>
            <w:r>
              <w:rPr>
                <w:rFonts w:hint="eastAsia"/>
                <w:sz w:val="18"/>
                <w:szCs w:val="18"/>
              </w:rPr>
              <w:t>EDWARDS（爱得华）SIGA-REL-C型</w:t>
            </w:r>
          </w:p>
          <w:p>
            <w:pPr>
              <w:rPr>
                <w:sz w:val="18"/>
                <w:szCs w:val="18"/>
              </w:rPr>
            </w:pPr>
            <w:r>
              <w:rPr>
                <w:rFonts w:hint="eastAsia"/>
                <w:sz w:val="18"/>
                <w:szCs w:val="18"/>
              </w:rPr>
              <w:t xml:space="preserve">2、诺蒂菲尔 RP-1002PLUS </w:t>
            </w:r>
          </w:p>
          <w:p>
            <w:pPr>
              <w:rPr>
                <w:sz w:val="18"/>
                <w:szCs w:val="18"/>
              </w:rPr>
            </w:pPr>
            <w:r>
              <w:rPr>
                <w:rFonts w:hint="eastAsia"/>
                <w:sz w:val="18"/>
                <w:szCs w:val="18"/>
              </w:rPr>
              <w:t>3、SIEMENS（西门子）XC7201型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blCellSpacing w:w="0" w:type="dxa"/>
          <w:jc w:val="center"/>
        </w:trPr>
        <w:tc>
          <w:tcPr>
            <w:tcW w:w="373" w:type="dxa"/>
            <w:tcBorders>
              <w:tl2br w:val="nil"/>
              <w:tr2bl w:val="nil"/>
            </w:tcBorders>
            <w:vAlign w:val="center"/>
          </w:tcPr>
          <w:p>
            <w:pPr>
              <w:jc w:val="center"/>
              <w:rPr>
                <w:sz w:val="18"/>
                <w:szCs w:val="18"/>
              </w:rPr>
            </w:pPr>
            <w:r>
              <w:rPr>
                <w:rFonts w:hint="eastAsia"/>
                <w:sz w:val="18"/>
                <w:szCs w:val="18"/>
              </w:rPr>
              <w:t>18</w:t>
            </w:r>
          </w:p>
        </w:tc>
        <w:tc>
          <w:tcPr>
            <w:tcW w:w="2081" w:type="dxa"/>
            <w:tcBorders>
              <w:tl2br w:val="nil"/>
              <w:tr2bl w:val="nil"/>
            </w:tcBorders>
            <w:vAlign w:val="center"/>
          </w:tcPr>
          <w:p>
            <w:pPr>
              <w:jc w:val="center"/>
              <w:rPr>
                <w:sz w:val="18"/>
                <w:szCs w:val="18"/>
              </w:rPr>
            </w:pPr>
            <w:r>
              <w:rPr>
                <w:rFonts w:hint="eastAsia"/>
                <w:sz w:val="18"/>
                <w:szCs w:val="18"/>
              </w:rPr>
              <w:t>服务器、工作站</w:t>
            </w:r>
          </w:p>
        </w:tc>
        <w:tc>
          <w:tcPr>
            <w:tcW w:w="1334" w:type="dxa"/>
            <w:tcBorders>
              <w:tl2br w:val="nil"/>
              <w:tr2bl w:val="nil"/>
            </w:tcBorders>
            <w:vAlign w:val="center"/>
          </w:tcPr>
          <w:p>
            <w:pPr>
              <w:jc w:val="center"/>
              <w:rPr>
                <w:sz w:val="18"/>
                <w:szCs w:val="18"/>
              </w:rPr>
            </w:pPr>
          </w:p>
        </w:tc>
        <w:tc>
          <w:tcPr>
            <w:tcW w:w="4225" w:type="dxa"/>
            <w:tcBorders>
              <w:tl2br w:val="nil"/>
              <w:tr2bl w:val="nil"/>
            </w:tcBorders>
            <w:vAlign w:val="center"/>
          </w:tcPr>
          <w:p>
            <w:pPr>
              <w:numPr>
                <w:ilvl w:val="0"/>
                <w:numId w:val="26"/>
              </w:numPr>
              <w:rPr>
                <w:sz w:val="18"/>
                <w:szCs w:val="18"/>
              </w:rPr>
            </w:pPr>
            <w:r>
              <w:rPr>
                <w:rFonts w:hint="eastAsia"/>
                <w:sz w:val="18"/>
                <w:szCs w:val="18"/>
              </w:rPr>
              <w:t>联想</w:t>
            </w:r>
          </w:p>
          <w:p>
            <w:pPr>
              <w:numPr>
                <w:ilvl w:val="0"/>
                <w:numId w:val="26"/>
              </w:numPr>
              <w:rPr>
                <w:sz w:val="18"/>
                <w:szCs w:val="18"/>
              </w:rPr>
            </w:pPr>
            <w:r>
              <w:rPr>
                <w:rFonts w:hint="eastAsia"/>
                <w:sz w:val="18"/>
                <w:szCs w:val="18"/>
              </w:rPr>
              <w:t>浪潮</w:t>
            </w:r>
          </w:p>
          <w:p>
            <w:pPr>
              <w:numPr>
                <w:ilvl w:val="0"/>
                <w:numId w:val="26"/>
              </w:numPr>
              <w:rPr>
                <w:sz w:val="18"/>
                <w:szCs w:val="18"/>
              </w:rPr>
            </w:pPr>
            <w:r>
              <w:rPr>
                <w:rFonts w:hint="eastAsia"/>
                <w:sz w:val="18"/>
                <w:szCs w:val="18"/>
              </w:rPr>
              <w:t>华为</w:t>
            </w:r>
          </w:p>
          <w:p>
            <w:pPr>
              <w:numPr>
                <w:ilvl w:val="0"/>
                <w:numId w:val="26"/>
              </w:numPr>
              <w:rPr>
                <w:sz w:val="18"/>
                <w:szCs w:val="18"/>
              </w:rPr>
            </w:pPr>
            <w:r>
              <w:rPr>
                <w:rFonts w:hint="eastAsia"/>
                <w:sz w:val="18"/>
                <w:szCs w:val="18"/>
              </w:rPr>
              <w:t>新华三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blCellSpacing w:w="0" w:type="dxa"/>
          <w:jc w:val="center"/>
        </w:trPr>
        <w:tc>
          <w:tcPr>
            <w:tcW w:w="373" w:type="dxa"/>
            <w:tcBorders>
              <w:tl2br w:val="nil"/>
              <w:tr2bl w:val="nil"/>
            </w:tcBorders>
            <w:vAlign w:val="center"/>
          </w:tcPr>
          <w:p>
            <w:pPr>
              <w:jc w:val="center"/>
              <w:rPr>
                <w:sz w:val="18"/>
                <w:szCs w:val="18"/>
              </w:rPr>
            </w:pPr>
            <w:r>
              <w:rPr>
                <w:rFonts w:hint="eastAsia"/>
                <w:sz w:val="18"/>
                <w:szCs w:val="18"/>
              </w:rPr>
              <w:t>19</w:t>
            </w:r>
          </w:p>
        </w:tc>
        <w:tc>
          <w:tcPr>
            <w:tcW w:w="2081" w:type="dxa"/>
            <w:tcBorders>
              <w:tl2br w:val="nil"/>
              <w:tr2bl w:val="nil"/>
            </w:tcBorders>
            <w:vAlign w:val="center"/>
          </w:tcPr>
          <w:p>
            <w:pPr>
              <w:jc w:val="center"/>
              <w:rPr>
                <w:sz w:val="18"/>
                <w:szCs w:val="18"/>
              </w:rPr>
            </w:pPr>
            <w:r>
              <w:rPr>
                <w:rFonts w:hint="eastAsia"/>
                <w:sz w:val="18"/>
                <w:szCs w:val="18"/>
              </w:rPr>
              <w:t>室内灯具</w:t>
            </w:r>
          </w:p>
        </w:tc>
        <w:tc>
          <w:tcPr>
            <w:tcW w:w="1334" w:type="dxa"/>
            <w:tcBorders>
              <w:tl2br w:val="nil"/>
              <w:tr2bl w:val="nil"/>
            </w:tcBorders>
            <w:vAlign w:val="center"/>
          </w:tcPr>
          <w:p>
            <w:pPr>
              <w:jc w:val="center"/>
              <w:rPr>
                <w:sz w:val="18"/>
                <w:szCs w:val="18"/>
              </w:rPr>
            </w:pPr>
          </w:p>
        </w:tc>
        <w:tc>
          <w:tcPr>
            <w:tcW w:w="4225" w:type="dxa"/>
            <w:tcBorders>
              <w:tl2br w:val="nil"/>
              <w:tr2bl w:val="nil"/>
            </w:tcBorders>
            <w:vAlign w:val="center"/>
          </w:tcPr>
          <w:p>
            <w:pPr>
              <w:rPr>
                <w:rFonts w:ascii="Times New Roman" w:hAnsi="Times New Roman"/>
                <w:sz w:val="18"/>
                <w:szCs w:val="18"/>
              </w:rPr>
            </w:pPr>
            <w:r>
              <w:rPr>
                <w:rFonts w:hint="eastAsia" w:ascii="Times New Roman" w:hAnsi="Times New Roman"/>
                <w:sz w:val="18"/>
                <w:szCs w:val="18"/>
              </w:rPr>
              <w:t>1、佛山照明</w:t>
            </w:r>
          </w:p>
          <w:p>
            <w:pPr>
              <w:rPr>
                <w:rFonts w:ascii="Times New Roman" w:hAnsi="Times New Roman"/>
                <w:sz w:val="18"/>
                <w:szCs w:val="18"/>
              </w:rPr>
            </w:pPr>
            <w:r>
              <w:rPr>
                <w:rFonts w:hint="eastAsia" w:ascii="Times New Roman" w:hAnsi="Times New Roman"/>
                <w:sz w:val="18"/>
                <w:szCs w:val="18"/>
              </w:rPr>
              <w:t>2、欧普照明</w:t>
            </w:r>
          </w:p>
          <w:p>
            <w:pPr>
              <w:rPr>
                <w:rFonts w:ascii="Times New Roman" w:hAnsi="Times New Roman"/>
                <w:sz w:val="18"/>
                <w:szCs w:val="18"/>
              </w:rPr>
            </w:pPr>
            <w:r>
              <w:rPr>
                <w:rFonts w:hint="eastAsia" w:ascii="Times New Roman" w:hAnsi="Times New Roman"/>
                <w:sz w:val="18"/>
                <w:szCs w:val="18"/>
              </w:rPr>
              <w:t>3、雷士照明</w:t>
            </w:r>
          </w:p>
          <w:p>
            <w:pPr>
              <w:rPr>
                <w:rFonts w:ascii="Times New Roman" w:hAnsi="Times New Roman"/>
                <w:sz w:val="18"/>
                <w:szCs w:val="18"/>
              </w:rPr>
            </w:pPr>
            <w:r>
              <w:rPr>
                <w:rFonts w:hint="eastAsia" w:ascii="Times New Roman" w:hAnsi="Times New Roman"/>
                <w:sz w:val="18"/>
                <w:szCs w:val="18"/>
              </w:rPr>
              <w:t>4、飞利浦</w:t>
            </w:r>
          </w:p>
          <w:p>
            <w:pPr>
              <w:rPr>
                <w:rFonts w:ascii="Times New Roman" w:hAnsi="Times New Roman"/>
                <w:sz w:val="18"/>
                <w:szCs w:val="18"/>
              </w:rPr>
            </w:pPr>
            <w:r>
              <w:rPr>
                <w:rFonts w:hint="eastAsia" w:ascii="Times New Roman" w:hAnsi="Times New Roman"/>
                <w:sz w:val="18"/>
                <w:szCs w:val="18"/>
              </w:rPr>
              <w:t>5、欧司朗（OSRAM ）</w:t>
            </w:r>
          </w:p>
          <w:p>
            <w:r>
              <w:rPr>
                <w:rFonts w:hint="eastAsia" w:ascii="Times New Roman" w:hAnsi="Times New Roman"/>
                <w:sz w:val="18"/>
                <w:szCs w:val="18"/>
              </w:rPr>
              <w:t>6、索恩（THORN)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blCellSpacing w:w="0" w:type="dxa"/>
          <w:jc w:val="center"/>
        </w:trPr>
        <w:tc>
          <w:tcPr>
            <w:tcW w:w="373" w:type="dxa"/>
            <w:tcBorders>
              <w:tl2br w:val="nil"/>
              <w:tr2bl w:val="nil"/>
            </w:tcBorders>
            <w:vAlign w:val="center"/>
          </w:tcPr>
          <w:p>
            <w:pPr>
              <w:jc w:val="center"/>
              <w:rPr>
                <w:sz w:val="18"/>
                <w:szCs w:val="18"/>
              </w:rPr>
            </w:pPr>
            <w:r>
              <w:rPr>
                <w:rFonts w:hint="eastAsia"/>
                <w:sz w:val="18"/>
                <w:szCs w:val="18"/>
              </w:rPr>
              <w:t>20</w:t>
            </w:r>
          </w:p>
        </w:tc>
        <w:tc>
          <w:tcPr>
            <w:tcW w:w="2081" w:type="dxa"/>
            <w:tcBorders>
              <w:tl2br w:val="nil"/>
              <w:tr2bl w:val="nil"/>
            </w:tcBorders>
            <w:vAlign w:val="center"/>
          </w:tcPr>
          <w:p>
            <w:pPr>
              <w:jc w:val="center"/>
              <w:rPr>
                <w:sz w:val="18"/>
                <w:szCs w:val="18"/>
              </w:rPr>
            </w:pPr>
            <w:r>
              <w:rPr>
                <w:rFonts w:hint="eastAsia"/>
                <w:sz w:val="18"/>
                <w:szCs w:val="18"/>
              </w:rPr>
              <w:t>室外路灯</w:t>
            </w:r>
          </w:p>
        </w:tc>
        <w:tc>
          <w:tcPr>
            <w:tcW w:w="1334" w:type="dxa"/>
            <w:tcBorders>
              <w:tl2br w:val="nil"/>
              <w:tr2bl w:val="nil"/>
            </w:tcBorders>
            <w:vAlign w:val="center"/>
          </w:tcPr>
          <w:p>
            <w:pPr>
              <w:jc w:val="center"/>
              <w:rPr>
                <w:sz w:val="18"/>
                <w:szCs w:val="18"/>
              </w:rPr>
            </w:pPr>
          </w:p>
        </w:tc>
        <w:tc>
          <w:tcPr>
            <w:tcW w:w="4225" w:type="dxa"/>
            <w:tcBorders>
              <w:tl2br w:val="nil"/>
              <w:tr2bl w:val="nil"/>
            </w:tcBorders>
            <w:vAlign w:val="center"/>
          </w:tcPr>
          <w:p>
            <w:pPr>
              <w:rPr>
                <w:rFonts w:ascii="宋体" w:hAnsi="宋体" w:cs="宋体"/>
                <w:sz w:val="18"/>
                <w:szCs w:val="18"/>
              </w:rPr>
            </w:pPr>
            <w:r>
              <w:rPr>
                <w:rFonts w:hint="eastAsia" w:ascii="宋体" w:hAnsi="宋体" w:cs="宋体"/>
                <w:sz w:val="18"/>
                <w:szCs w:val="18"/>
              </w:rPr>
              <w:t>1.佛山照明</w:t>
            </w:r>
          </w:p>
          <w:p>
            <w:pPr>
              <w:rPr>
                <w:rFonts w:ascii="宋体" w:hAnsi="宋体" w:cs="宋体"/>
                <w:sz w:val="18"/>
                <w:szCs w:val="18"/>
              </w:rPr>
            </w:pPr>
            <w:r>
              <w:rPr>
                <w:rFonts w:hint="eastAsia" w:ascii="宋体" w:hAnsi="宋体" w:cs="宋体"/>
                <w:sz w:val="18"/>
                <w:szCs w:val="18"/>
              </w:rPr>
              <w:t>2.深圳洲明照明</w:t>
            </w:r>
          </w:p>
          <w:p>
            <w:pPr>
              <w:rPr>
                <w:rFonts w:ascii="宋体" w:hAnsi="宋体" w:cs="宋体"/>
                <w:sz w:val="18"/>
                <w:szCs w:val="18"/>
              </w:rPr>
            </w:pPr>
            <w:r>
              <w:rPr>
                <w:rFonts w:hint="eastAsia" w:ascii="宋体" w:hAnsi="宋体" w:cs="宋体"/>
                <w:sz w:val="18"/>
                <w:szCs w:val="18"/>
              </w:rPr>
              <w:t>3.广东德洛斯照明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blCellSpacing w:w="0" w:type="dxa"/>
          <w:jc w:val="center"/>
        </w:trPr>
        <w:tc>
          <w:tcPr>
            <w:tcW w:w="373" w:type="dxa"/>
            <w:tcBorders>
              <w:tl2br w:val="nil"/>
              <w:tr2bl w:val="nil"/>
            </w:tcBorders>
            <w:vAlign w:val="center"/>
          </w:tcPr>
          <w:p>
            <w:pPr>
              <w:jc w:val="center"/>
              <w:rPr>
                <w:sz w:val="18"/>
                <w:szCs w:val="18"/>
              </w:rPr>
            </w:pPr>
            <w:r>
              <w:rPr>
                <w:rFonts w:hint="eastAsia"/>
                <w:sz w:val="18"/>
                <w:szCs w:val="18"/>
              </w:rPr>
              <w:t>21</w:t>
            </w:r>
          </w:p>
        </w:tc>
        <w:tc>
          <w:tcPr>
            <w:tcW w:w="2081" w:type="dxa"/>
            <w:tcBorders>
              <w:tl2br w:val="nil"/>
              <w:tr2bl w:val="nil"/>
            </w:tcBorders>
            <w:vAlign w:val="center"/>
          </w:tcPr>
          <w:p>
            <w:pPr>
              <w:jc w:val="center"/>
              <w:rPr>
                <w:sz w:val="18"/>
                <w:szCs w:val="18"/>
              </w:rPr>
            </w:pPr>
            <w:r>
              <w:rPr>
                <w:rFonts w:hint="eastAsia"/>
                <w:sz w:val="18"/>
                <w:szCs w:val="18"/>
              </w:rPr>
              <w:t>ATS</w:t>
            </w:r>
          </w:p>
        </w:tc>
        <w:tc>
          <w:tcPr>
            <w:tcW w:w="1334" w:type="dxa"/>
            <w:tcBorders>
              <w:tl2br w:val="nil"/>
              <w:tr2bl w:val="nil"/>
            </w:tcBorders>
            <w:vAlign w:val="center"/>
          </w:tcPr>
          <w:p>
            <w:pPr>
              <w:jc w:val="center"/>
              <w:rPr>
                <w:sz w:val="18"/>
                <w:szCs w:val="18"/>
              </w:rPr>
            </w:pPr>
          </w:p>
        </w:tc>
        <w:tc>
          <w:tcPr>
            <w:tcW w:w="4225" w:type="dxa"/>
            <w:tcBorders>
              <w:tl2br w:val="nil"/>
              <w:tr2bl w:val="nil"/>
            </w:tcBorders>
            <w:vAlign w:val="center"/>
          </w:tcPr>
          <w:p>
            <w:pPr>
              <w:rPr>
                <w:sz w:val="18"/>
                <w:szCs w:val="18"/>
              </w:rPr>
            </w:pPr>
            <w:r>
              <w:rPr>
                <w:rFonts w:ascii="宋体" w:hAnsi="宋体" w:cs="宋体"/>
                <w:sz w:val="18"/>
                <w:szCs w:val="18"/>
              </w:rPr>
              <w:t>1.ASCO</w:t>
            </w:r>
            <w:r>
              <w:rPr>
                <w:rFonts w:ascii="宋体" w:hAnsi="宋体" w:cs="宋体"/>
                <w:sz w:val="18"/>
                <w:szCs w:val="18"/>
              </w:rPr>
              <w:br w:type="textWrapping"/>
            </w:r>
            <w:r>
              <w:rPr>
                <w:rFonts w:ascii="宋体" w:hAnsi="宋体" w:cs="宋体"/>
                <w:sz w:val="18"/>
                <w:szCs w:val="18"/>
              </w:rPr>
              <w:t>2.施耐德（Schneider）</w:t>
            </w:r>
            <w:r>
              <w:rPr>
                <w:rFonts w:ascii="宋体" w:hAnsi="宋体" w:cs="宋体"/>
                <w:sz w:val="18"/>
                <w:szCs w:val="18"/>
              </w:rPr>
              <w:br w:type="textWrapping"/>
            </w:r>
            <w:r>
              <w:rPr>
                <w:rFonts w:ascii="宋体" w:hAnsi="宋体" w:cs="宋体"/>
                <w:sz w:val="18"/>
                <w:szCs w:val="18"/>
              </w:rPr>
              <w:t>3.ABB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blCellSpacing w:w="0" w:type="dxa"/>
          <w:jc w:val="center"/>
        </w:trPr>
        <w:tc>
          <w:tcPr>
            <w:tcW w:w="373" w:type="dxa"/>
            <w:vMerge w:val="restart"/>
            <w:tcBorders>
              <w:tl2br w:val="nil"/>
              <w:tr2bl w:val="nil"/>
            </w:tcBorders>
            <w:vAlign w:val="center"/>
          </w:tcPr>
          <w:p>
            <w:pPr>
              <w:jc w:val="center"/>
              <w:rPr>
                <w:sz w:val="18"/>
                <w:szCs w:val="18"/>
              </w:rPr>
            </w:pPr>
            <w:r>
              <w:rPr>
                <w:rFonts w:hint="eastAsia"/>
                <w:sz w:val="18"/>
                <w:szCs w:val="18"/>
              </w:rPr>
              <w:t>22</w:t>
            </w:r>
          </w:p>
        </w:tc>
        <w:tc>
          <w:tcPr>
            <w:tcW w:w="2081" w:type="dxa"/>
            <w:vMerge w:val="restart"/>
            <w:tcBorders>
              <w:tl2br w:val="nil"/>
              <w:tr2bl w:val="nil"/>
            </w:tcBorders>
            <w:vAlign w:val="center"/>
          </w:tcPr>
          <w:p>
            <w:pPr>
              <w:jc w:val="center"/>
              <w:rPr>
                <w:sz w:val="18"/>
                <w:szCs w:val="18"/>
              </w:rPr>
            </w:pPr>
            <w:r>
              <w:rPr>
                <w:rFonts w:hint="eastAsia"/>
                <w:sz w:val="18"/>
                <w:szCs w:val="18"/>
              </w:rPr>
              <w:t>水蓄冷控制系统及布水系统</w:t>
            </w:r>
          </w:p>
        </w:tc>
        <w:tc>
          <w:tcPr>
            <w:tcW w:w="1334" w:type="dxa"/>
            <w:tcBorders>
              <w:tl2br w:val="nil"/>
              <w:tr2bl w:val="nil"/>
            </w:tcBorders>
            <w:vAlign w:val="center"/>
          </w:tcPr>
          <w:p>
            <w:pPr>
              <w:jc w:val="center"/>
              <w:rPr>
                <w:sz w:val="18"/>
                <w:szCs w:val="18"/>
              </w:rPr>
            </w:pPr>
            <w:r>
              <w:rPr>
                <w:rFonts w:hint="eastAsia"/>
                <w:sz w:val="18"/>
                <w:szCs w:val="18"/>
              </w:rPr>
              <w:t>传感器或控制器</w:t>
            </w:r>
          </w:p>
        </w:tc>
        <w:tc>
          <w:tcPr>
            <w:tcW w:w="4225" w:type="dxa"/>
            <w:tcBorders>
              <w:tl2br w:val="nil"/>
              <w:tr2bl w:val="nil"/>
            </w:tcBorders>
            <w:vAlign w:val="center"/>
          </w:tcPr>
          <w:p>
            <w:pPr>
              <w:numPr>
                <w:ilvl w:val="0"/>
                <w:numId w:val="27"/>
              </w:numPr>
              <w:rPr>
                <w:sz w:val="18"/>
                <w:szCs w:val="18"/>
              </w:rPr>
            </w:pPr>
            <w:r>
              <w:rPr>
                <w:rFonts w:hint="eastAsia"/>
                <w:sz w:val="18"/>
                <w:szCs w:val="18"/>
              </w:rPr>
              <w:t>施耐德</w:t>
            </w:r>
          </w:p>
          <w:p>
            <w:pPr>
              <w:numPr>
                <w:ilvl w:val="0"/>
                <w:numId w:val="27"/>
              </w:numPr>
              <w:rPr>
                <w:sz w:val="18"/>
                <w:szCs w:val="18"/>
              </w:rPr>
            </w:pPr>
            <w:r>
              <w:rPr>
                <w:rFonts w:hint="eastAsia"/>
                <w:sz w:val="18"/>
                <w:szCs w:val="18"/>
              </w:rPr>
              <w:t>西门子Apogee</w:t>
            </w:r>
          </w:p>
          <w:p>
            <w:pPr>
              <w:numPr>
                <w:ilvl w:val="0"/>
                <w:numId w:val="27"/>
              </w:numPr>
              <w:rPr>
                <w:sz w:val="18"/>
                <w:szCs w:val="18"/>
              </w:rPr>
            </w:pPr>
            <w:r>
              <w:rPr>
                <w:rFonts w:hint="eastAsia"/>
                <w:sz w:val="18"/>
                <w:szCs w:val="18"/>
              </w:rPr>
              <w:t>江森自控CH系列</w:t>
            </w:r>
          </w:p>
          <w:p>
            <w:pPr>
              <w:numPr>
                <w:ilvl w:val="0"/>
                <w:numId w:val="27"/>
              </w:numPr>
              <w:rPr>
                <w:rFonts w:ascii="宋体" w:hAnsi="宋体" w:cs="宋体"/>
                <w:sz w:val="18"/>
                <w:szCs w:val="18"/>
              </w:rPr>
            </w:pPr>
            <w:r>
              <w:rPr>
                <w:rFonts w:hint="eastAsia"/>
                <w:sz w:val="18"/>
                <w:szCs w:val="18"/>
              </w:rPr>
              <w:t>霍尼韦尔（</w:t>
            </w:r>
            <w:r>
              <w:rPr>
                <w:sz w:val="18"/>
                <w:szCs w:val="18"/>
              </w:rPr>
              <w:t>excel8000</w:t>
            </w:r>
            <w:r>
              <w:rPr>
                <w:rFonts w:hint="eastAsia"/>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blCellSpacing w:w="0" w:type="dxa"/>
          <w:jc w:val="center"/>
        </w:trPr>
        <w:tc>
          <w:tcPr>
            <w:tcW w:w="373" w:type="dxa"/>
            <w:vMerge w:val="continue"/>
            <w:tcBorders>
              <w:tl2br w:val="nil"/>
              <w:tr2bl w:val="nil"/>
            </w:tcBorders>
            <w:vAlign w:val="center"/>
          </w:tcPr>
          <w:p>
            <w:pPr>
              <w:jc w:val="center"/>
            </w:pPr>
          </w:p>
        </w:tc>
        <w:tc>
          <w:tcPr>
            <w:tcW w:w="2081" w:type="dxa"/>
            <w:vMerge w:val="continue"/>
            <w:tcBorders>
              <w:tl2br w:val="nil"/>
              <w:tr2bl w:val="nil"/>
            </w:tcBorders>
            <w:vAlign w:val="center"/>
          </w:tcPr>
          <w:p>
            <w:pPr>
              <w:jc w:val="center"/>
            </w:pPr>
          </w:p>
        </w:tc>
        <w:tc>
          <w:tcPr>
            <w:tcW w:w="1334" w:type="dxa"/>
            <w:tcBorders>
              <w:tl2br w:val="nil"/>
              <w:tr2bl w:val="nil"/>
            </w:tcBorders>
            <w:vAlign w:val="center"/>
          </w:tcPr>
          <w:p>
            <w:pPr>
              <w:jc w:val="center"/>
              <w:rPr>
                <w:sz w:val="18"/>
                <w:szCs w:val="18"/>
              </w:rPr>
            </w:pPr>
            <w:r>
              <w:rPr>
                <w:rFonts w:hint="eastAsia"/>
                <w:sz w:val="18"/>
                <w:szCs w:val="18"/>
              </w:rPr>
              <w:t>控制系统及布水器</w:t>
            </w:r>
          </w:p>
        </w:tc>
        <w:tc>
          <w:tcPr>
            <w:tcW w:w="4225" w:type="dxa"/>
            <w:tcBorders>
              <w:tl2br w:val="nil"/>
              <w:tr2bl w:val="nil"/>
            </w:tcBorders>
            <w:vAlign w:val="center"/>
          </w:tcPr>
          <w:p>
            <w:pPr>
              <w:rPr>
                <w:sz w:val="18"/>
                <w:szCs w:val="18"/>
              </w:rPr>
            </w:pPr>
            <w:r>
              <w:rPr>
                <w:rFonts w:hint="eastAsia"/>
                <w:sz w:val="18"/>
                <w:szCs w:val="18"/>
              </w:rPr>
              <w:t>1、北京佩尔优能源科技有限公司</w:t>
            </w:r>
          </w:p>
          <w:p>
            <w:pPr>
              <w:rPr>
                <w:sz w:val="18"/>
                <w:szCs w:val="18"/>
              </w:rPr>
            </w:pPr>
            <w:r>
              <w:rPr>
                <w:rFonts w:hint="eastAsia"/>
                <w:sz w:val="18"/>
                <w:szCs w:val="18"/>
              </w:rPr>
              <w:t>2、北京英洼能源技术有限公司</w:t>
            </w:r>
          </w:p>
          <w:p>
            <w:pPr>
              <w:rPr>
                <w:sz w:val="18"/>
                <w:szCs w:val="18"/>
              </w:rPr>
            </w:pPr>
            <w:r>
              <w:rPr>
                <w:rFonts w:hint="eastAsia"/>
                <w:sz w:val="18"/>
                <w:szCs w:val="18"/>
              </w:rPr>
              <w:t>3、杭州源牌科技股份有限公司</w:t>
            </w:r>
          </w:p>
          <w:p>
            <w:pPr>
              <w:rPr>
                <w:sz w:val="18"/>
                <w:szCs w:val="18"/>
              </w:rPr>
            </w:pPr>
            <w:r>
              <w:rPr>
                <w:rFonts w:hint="eastAsia"/>
                <w:sz w:val="18"/>
                <w:szCs w:val="18"/>
              </w:rPr>
              <w:t>4、深圳达实智能股份有限公司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blCellSpacing w:w="0" w:type="dxa"/>
          <w:jc w:val="center"/>
        </w:trPr>
        <w:tc>
          <w:tcPr>
            <w:tcW w:w="8013" w:type="dxa"/>
            <w:gridSpan w:val="4"/>
            <w:tcBorders>
              <w:tl2br w:val="nil"/>
              <w:tr2bl w:val="nil"/>
            </w:tcBorders>
            <w:vAlign w:val="center"/>
          </w:tcPr>
          <w:p>
            <w:pPr>
              <w:jc w:val="center"/>
              <w:rPr>
                <w:sz w:val="18"/>
                <w:szCs w:val="18"/>
              </w:rPr>
            </w:pPr>
            <w:r>
              <w:rPr>
                <w:rFonts w:hint="eastAsia"/>
                <w:b/>
                <w:bCs/>
                <w:sz w:val="18"/>
                <w:szCs w:val="18"/>
              </w:rPr>
              <w:t>给排水及暖通空调材料、设备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blCellSpacing w:w="0" w:type="dxa"/>
          <w:jc w:val="center"/>
        </w:trPr>
        <w:tc>
          <w:tcPr>
            <w:tcW w:w="373" w:type="dxa"/>
            <w:tcBorders>
              <w:tl2br w:val="nil"/>
              <w:tr2bl w:val="nil"/>
            </w:tcBorders>
            <w:vAlign w:val="center"/>
          </w:tcPr>
          <w:p>
            <w:pPr>
              <w:jc w:val="center"/>
              <w:rPr>
                <w:sz w:val="18"/>
                <w:szCs w:val="18"/>
              </w:rPr>
            </w:pPr>
            <w:r>
              <w:rPr>
                <w:rFonts w:hint="eastAsia"/>
                <w:sz w:val="18"/>
                <w:szCs w:val="18"/>
              </w:rPr>
              <w:t>1</w:t>
            </w:r>
          </w:p>
        </w:tc>
        <w:tc>
          <w:tcPr>
            <w:tcW w:w="2081" w:type="dxa"/>
            <w:tcBorders>
              <w:tl2br w:val="nil"/>
              <w:tr2bl w:val="nil"/>
            </w:tcBorders>
            <w:vAlign w:val="center"/>
          </w:tcPr>
          <w:p>
            <w:pPr>
              <w:jc w:val="center"/>
              <w:rPr>
                <w:sz w:val="18"/>
                <w:szCs w:val="18"/>
              </w:rPr>
            </w:pPr>
            <w:r>
              <w:rPr>
                <w:rFonts w:hint="eastAsia"/>
                <w:sz w:val="18"/>
                <w:szCs w:val="18"/>
              </w:rPr>
              <w:t>冷却塔</w:t>
            </w:r>
          </w:p>
        </w:tc>
        <w:tc>
          <w:tcPr>
            <w:tcW w:w="1334" w:type="dxa"/>
            <w:tcBorders>
              <w:tl2br w:val="nil"/>
              <w:tr2bl w:val="nil"/>
            </w:tcBorders>
            <w:vAlign w:val="center"/>
          </w:tcPr>
          <w:p>
            <w:pPr>
              <w:rPr>
                <w:rFonts w:ascii="Times New Roman" w:hAnsi="Times New Roman"/>
                <w:sz w:val="18"/>
                <w:szCs w:val="18"/>
              </w:rPr>
            </w:pPr>
          </w:p>
        </w:tc>
        <w:tc>
          <w:tcPr>
            <w:tcW w:w="4225" w:type="dxa"/>
            <w:tcBorders>
              <w:tl2br w:val="nil"/>
              <w:tr2bl w:val="nil"/>
            </w:tcBorders>
            <w:vAlign w:val="center"/>
          </w:tcPr>
          <w:p>
            <w:pPr>
              <w:rPr>
                <w:rFonts w:ascii="Times New Roman" w:hAnsi="Times New Roman"/>
                <w:sz w:val="18"/>
                <w:szCs w:val="18"/>
              </w:rPr>
            </w:pPr>
            <w:r>
              <w:rPr>
                <w:rFonts w:hint="eastAsia" w:ascii="Times New Roman" w:hAnsi="Times New Roman"/>
                <w:sz w:val="18"/>
                <w:szCs w:val="18"/>
              </w:rPr>
              <w:t>1、马利（Marley NC系列)</w:t>
            </w:r>
          </w:p>
          <w:p>
            <w:pPr>
              <w:rPr>
                <w:rFonts w:ascii="Times New Roman" w:hAnsi="Times New Roman"/>
                <w:sz w:val="18"/>
                <w:szCs w:val="18"/>
              </w:rPr>
            </w:pPr>
            <w:r>
              <w:rPr>
                <w:rFonts w:hint="eastAsia" w:ascii="Times New Roman" w:hAnsi="Times New Roman"/>
                <w:sz w:val="18"/>
                <w:szCs w:val="18"/>
              </w:rPr>
              <w:t>2、BAC（3000系列)</w:t>
            </w:r>
          </w:p>
          <w:p>
            <w:pPr>
              <w:rPr>
                <w:rFonts w:ascii="Times New Roman" w:hAnsi="Times New Roman"/>
                <w:sz w:val="18"/>
                <w:szCs w:val="18"/>
              </w:rPr>
            </w:pPr>
            <w:r>
              <w:rPr>
                <w:rFonts w:hint="eastAsia" w:ascii="Times New Roman" w:hAnsi="Times New Roman"/>
                <w:sz w:val="18"/>
                <w:szCs w:val="18"/>
              </w:rPr>
              <w:t>3、益美高（EVAPCO)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blCellSpacing w:w="0" w:type="dxa"/>
          <w:jc w:val="center"/>
        </w:trPr>
        <w:tc>
          <w:tcPr>
            <w:tcW w:w="373" w:type="dxa"/>
            <w:tcBorders>
              <w:tl2br w:val="nil"/>
              <w:tr2bl w:val="nil"/>
            </w:tcBorders>
            <w:vAlign w:val="center"/>
          </w:tcPr>
          <w:p>
            <w:pPr>
              <w:jc w:val="center"/>
              <w:rPr>
                <w:sz w:val="18"/>
                <w:szCs w:val="18"/>
              </w:rPr>
            </w:pPr>
            <w:r>
              <w:rPr>
                <w:rFonts w:hint="eastAsia"/>
                <w:sz w:val="18"/>
                <w:szCs w:val="18"/>
              </w:rPr>
              <w:t>2</w:t>
            </w:r>
          </w:p>
        </w:tc>
        <w:tc>
          <w:tcPr>
            <w:tcW w:w="2081" w:type="dxa"/>
            <w:tcBorders>
              <w:tl2br w:val="nil"/>
              <w:tr2bl w:val="nil"/>
            </w:tcBorders>
            <w:vAlign w:val="center"/>
          </w:tcPr>
          <w:p>
            <w:pPr>
              <w:jc w:val="center"/>
              <w:rPr>
                <w:sz w:val="18"/>
                <w:szCs w:val="18"/>
              </w:rPr>
            </w:pPr>
            <w:r>
              <w:rPr>
                <w:rFonts w:hint="eastAsia"/>
                <w:sz w:val="18"/>
                <w:szCs w:val="18"/>
              </w:rPr>
              <w:t>多联机</w:t>
            </w:r>
          </w:p>
        </w:tc>
        <w:tc>
          <w:tcPr>
            <w:tcW w:w="1334" w:type="dxa"/>
            <w:tcBorders>
              <w:tl2br w:val="nil"/>
              <w:tr2bl w:val="nil"/>
            </w:tcBorders>
            <w:vAlign w:val="center"/>
          </w:tcPr>
          <w:p>
            <w:pPr>
              <w:jc w:val="center"/>
              <w:rPr>
                <w:sz w:val="18"/>
                <w:szCs w:val="18"/>
              </w:rPr>
            </w:pPr>
          </w:p>
        </w:tc>
        <w:tc>
          <w:tcPr>
            <w:tcW w:w="4225" w:type="dxa"/>
            <w:tcBorders>
              <w:tl2br w:val="nil"/>
              <w:tr2bl w:val="nil"/>
            </w:tcBorders>
            <w:vAlign w:val="center"/>
          </w:tcPr>
          <w:p>
            <w:pPr>
              <w:rPr>
                <w:rFonts w:ascii="Times New Roman" w:hAnsi="Times New Roman"/>
                <w:sz w:val="18"/>
                <w:szCs w:val="18"/>
              </w:rPr>
            </w:pPr>
            <w:r>
              <w:rPr>
                <w:rFonts w:hint="eastAsia" w:ascii="Times New Roman" w:hAnsi="Times New Roman"/>
                <w:sz w:val="18"/>
                <w:szCs w:val="18"/>
              </w:rPr>
              <w:t>1、大金</w:t>
            </w:r>
          </w:p>
          <w:p>
            <w:pPr>
              <w:rPr>
                <w:rFonts w:ascii="Times New Roman" w:hAnsi="Times New Roman"/>
                <w:sz w:val="18"/>
                <w:szCs w:val="18"/>
              </w:rPr>
            </w:pPr>
            <w:r>
              <w:rPr>
                <w:rFonts w:hint="eastAsia" w:ascii="Times New Roman" w:hAnsi="Times New Roman"/>
                <w:sz w:val="18"/>
                <w:szCs w:val="18"/>
              </w:rPr>
              <w:t>2、海信日立</w:t>
            </w:r>
          </w:p>
          <w:p>
            <w:r>
              <w:rPr>
                <w:rFonts w:hint="eastAsia" w:ascii="Times New Roman" w:hAnsi="Times New Roman"/>
                <w:sz w:val="18"/>
                <w:szCs w:val="18"/>
              </w:rPr>
              <w:t>3、三菱电机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blCellSpacing w:w="0" w:type="dxa"/>
          <w:jc w:val="center"/>
        </w:trPr>
        <w:tc>
          <w:tcPr>
            <w:tcW w:w="373" w:type="dxa"/>
            <w:tcBorders>
              <w:tl2br w:val="nil"/>
              <w:tr2bl w:val="nil"/>
            </w:tcBorders>
            <w:vAlign w:val="center"/>
          </w:tcPr>
          <w:p>
            <w:pPr>
              <w:jc w:val="center"/>
              <w:rPr>
                <w:sz w:val="18"/>
                <w:szCs w:val="18"/>
              </w:rPr>
            </w:pPr>
            <w:r>
              <w:rPr>
                <w:rFonts w:hint="eastAsia"/>
                <w:sz w:val="18"/>
                <w:szCs w:val="18"/>
              </w:rPr>
              <w:t>3</w:t>
            </w:r>
          </w:p>
        </w:tc>
        <w:tc>
          <w:tcPr>
            <w:tcW w:w="2081" w:type="dxa"/>
            <w:tcBorders>
              <w:tl2br w:val="nil"/>
              <w:tr2bl w:val="nil"/>
            </w:tcBorders>
            <w:vAlign w:val="center"/>
          </w:tcPr>
          <w:p>
            <w:pPr>
              <w:jc w:val="center"/>
              <w:rPr>
                <w:sz w:val="18"/>
                <w:szCs w:val="18"/>
              </w:rPr>
            </w:pPr>
            <w:r>
              <w:rPr>
                <w:rFonts w:hint="eastAsia"/>
                <w:sz w:val="18"/>
                <w:szCs w:val="18"/>
              </w:rPr>
              <w:t>水阀门（包含手动蝶阀、闸阀、Y型过滤器、止回阀等、自动反冲排污过滤器）</w:t>
            </w:r>
          </w:p>
        </w:tc>
        <w:tc>
          <w:tcPr>
            <w:tcW w:w="1334" w:type="dxa"/>
            <w:tcBorders>
              <w:tl2br w:val="nil"/>
              <w:tr2bl w:val="nil"/>
            </w:tcBorders>
            <w:vAlign w:val="center"/>
          </w:tcPr>
          <w:p>
            <w:pPr>
              <w:jc w:val="center"/>
              <w:rPr>
                <w:sz w:val="18"/>
                <w:szCs w:val="18"/>
              </w:rPr>
            </w:pPr>
          </w:p>
          <w:p>
            <w:pPr>
              <w:jc w:val="center"/>
              <w:rPr>
                <w:sz w:val="18"/>
                <w:szCs w:val="18"/>
              </w:rPr>
            </w:pPr>
          </w:p>
        </w:tc>
        <w:tc>
          <w:tcPr>
            <w:tcW w:w="4225" w:type="dxa"/>
            <w:tcBorders>
              <w:tl2br w:val="nil"/>
              <w:tr2bl w:val="nil"/>
            </w:tcBorders>
            <w:vAlign w:val="center"/>
          </w:tcPr>
          <w:p>
            <w:pPr>
              <w:pStyle w:val="2"/>
              <w:ind w:left="0" w:leftChars="0"/>
              <w:rPr>
                <w:sz w:val="18"/>
                <w:szCs w:val="18"/>
              </w:rPr>
            </w:pPr>
            <w:r>
              <w:rPr>
                <w:rFonts w:hint="eastAsia"/>
                <w:sz w:val="18"/>
                <w:szCs w:val="18"/>
              </w:rPr>
              <w:t>1、上海冠龙阀门机械有限公司（KARON/上海）</w:t>
            </w:r>
          </w:p>
          <w:p>
            <w:pPr>
              <w:pStyle w:val="2"/>
              <w:ind w:left="0" w:leftChars="0"/>
              <w:rPr>
                <w:sz w:val="18"/>
                <w:szCs w:val="18"/>
              </w:rPr>
            </w:pPr>
            <w:r>
              <w:rPr>
                <w:rFonts w:hint="eastAsia"/>
                <w:color w:val="000000"/>
                <w:sz w:val="18"/>
                <w:szCs w:val="18"/>
                <w:lang w:bidi="ar"/>
              </w:rPr>
              <w:t>2、AVK</w:t>
            </w:r>
          </w:p>
          <w:p>
            <w:pPr>
              <w:pStyle w:val="2"/>
              <w:ind w:left="0" w:leftChars="0"/>
              <w:rPr>
                <w:sz w:val="18"/>
                <w:szCs w:val="18"/>
              </w:rPr>
            </w:pPr>
            <w:r>
              <w:rPr>
                <w:rFonts w:hint="eastAsia"/>
                <w:sz w:val="18"/>
                <w:szCs w:val="18"/>
              </w:rPr>
              <w:t>3、上海开滋（KITZ）</w:t>
            </w:r>
          </w:p>
          <w:p>
            <w:pPr>
              <w:pStyle w:val="2"/>
              <w:ind w:left="0" w:leftChars="0"/>
              <w:rPr>
                <w:sz w:val="18"/>
                <w:szCs w:val="18"/>
              </w:rPr>
            </w:pPr>
            <w:r>
              <w:rPr>
                <w:rFonts w:hint="eastAsia"/>
                <w:sz w:val="18"/>
                <w:szCs w:val="18"/>
              </w:rPr>
              <w:t>4、上海伯尔梅特BERMAD</w:t>
            </w:r>
          </w:p>
          <w:p>
            <w:r>
              <w:rPr>
                <w:rFonts w:hint="eastAsia"/>
                <w:sz w:val="18"/>
                <w:szCs w:val="18"/>
              </w:rPr>
              <w:t>5、天津塘沽瓦特斯阀门有限公司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blCellSpacing w:w="0" w:type="dxa"/>
          <w:jc w:val="center"/>
        </w:trPr>
        <w:tc>
          <w:tcPr>
            <w:tcW w:w="373" w:type="dxa"/>
            <w:tcBorders>
              <w:tl2br w:val="nil"/>
              <w:tr2bl w:val="nil"/>
            </w:tcBorders>
            <w:vAlign w:val="center"/>
          </w:tcPr>
          <w:p>
            <w:pPr>
              <w:jc w:val="center"/>
              <w:rPr>
                <w:sz w:val="18"/>
                <w:szCs w:val="18"/>
              </w:rPr>
            </w:pPr>
            <w:r>
              <w:rPr>
                <w:rFonts w:hint="eastAsia"/>
                <w:sz w:val="18"/>
                <w:szCs w:val="18"/>
              </w:rPr>
              <w:t>4</w:t>
            </w:r>
          </w:p>
        </w:tc>
        <w:tc>
          <w:tcPr>
            <w:tcW w:w="2081" w:type="dxa"/>
            <w:tcBorders>
              <w:tl2br w:val="nil"/>
              <w:tr2bl w:val="nil"/>
            </w:tcBorders>
            <w:vAlign w:val="center"/>
          </w:tcPr>
          <w:p>
            <w:pPr>
              <w:jc w:val="center"/>
              <w:rPr>
                <w:sz w:val="18"/>
                <w:szCs w:val="18"/>
              </w:rPr>
            </w:pPr>
            <w:r>
              <w:rPr>
                <w:rFonts w:hint="eastAsia"/>
                <w:sz w:val="18"/>
                <w:szCs w:val="18"/>
              </w:rPr>
              <w:t>电动阀</w:t>
            </w:r>
          </w:p>
        </w:tc>
        <w:tc>
          <w:tcPr>
            <w:tcW w:w="1334" w:type="dxa"/>
            <w:tcBorders>
              <w:tl2br w:val="nil"/>
              <w:tr2bl w:val="nil"/>
            </w:tcBorders>
            <w:vAlign w:val="center"/>
          </w:tcPr>
          <w:p>
            <w:pPr>
              <w:jc w:val="center"/>
              <w:rPr>
                <w:sz w:val="18"/>
                <w:szCs w:val="18"/>
              </w:rPr>
            </w:pPr>
          </w:p>
        </w:tc>
        <w:tc>
          <w:tcPr>
            <w:tcW w:w="4225" w:type="dxa"/>
            <w:tcBorders>
              <w:tl2br w:val="nil"/>
              <w:tr2bl w:val="nil"/>
            </w:tcBorders>
            <w:vAlign w:val="center"/>
          </w:tcPr>
          <w:p>
            <w:pPr>
              <w:numPr>
                <w:ilvl w:val="0"/>
                <w:numId w:val="28"/>
              </w:numPr>
              <w:rPr>
                <w:sz w:val="18"/>
                <w:szCs w:val="18"/>
              </w:rPr>
            </w:pPr>
            <w:r>
              <w:rPr>
                <w:rFonts w:hint="eastAsia"/>
                <w:sz w:val="18"/>
                <w:szCs w:val="18"/>
              </w:rPr>
              <w:t>江森</w:t>
            </w:r>
            <w:r>
              <w:rPr>
                <w:sz w:val="18"/>
                <w:szCs w:val="18"/>
              </w:rPr>
              <w:t>JOHNSON</w:t>
            </w:r>
          </w:p>
          <w:p>
            <w:pPr>
              <w:numPr>
                <w:ilvl w:val="0"/>
                <w:numId w:val="28"/>
              </w:numPr>
              <w:rPr>
                <w:sz w:val="18"/>
                <w:szCs w:val="18"/>
              </w:rPr>
            </w:pPr>
            <w:r>
              <w:rPr>
                <w:rFonts w:hint="eastAsia"/>
                <w:sz w:val="18"/>
                <w:szCs w:val="18"/>
              </w:rPr>
              <w:t>霍尼韦尔</w:t>
            </w:r>
            <w:r>
              <w:rPr>
                <w:sz w:val="18"/>
                <w:szCs w:val="18"/>
              </w:rPr>
              <w:t>HONYWELL</w:t>
            </w:r>
          </w:p>
          <w:p>
            <w:pPr>
              <w:numPr>
                <w:ilvl w:val="0"/>
                <w:numId w:val="28"/>
              </w:numPr>
              <w:rPr>
                <w:sz w:val="18"/>
                <w:szCs w:val="18"/>
              </w:rPr>
            </w:pPr>
            <w:r>
              <w:rPr>
                <w:rFonts w:hint="eastAsia"/>
                <w:sz w:val="18"/>
                <w:szCs w:val="18"/>
              </w:rPr>
              <w:t>搏力谋</w:t>
            </w:r>
          </w:p>
          <w:p>
            <w:pPr>
              <w:numPr>
                <w:ilvl w:val="0"/>
                <w:numId w:val="28"/>
              </w:numPr>
              <w:rPr>
                <w:sz w:val="18"/>
                <w:szCs w:val="18"/>
              </w:rPr>
            </w:pPr>
            <w:r>
              <w:rPr>
                <w:rFonts w:hint="eastAsia"/>
                <w:sz w:val="18"/>
                <w:szCs w:val="18"/>
              </w:rPr>
              <w:t>西门子</w:t>
            </w:r>
          </w:p>
          <w:p>
            <w:pPr>
              <w:numPr>
                <w:ilvl w:val="0"/>
                <w:numId w:val="28"/>
              </w:numPr>
              <w:rPr>
                <w:sz w:val="18"/>
                <w:szCs w:val="18"/>
              </w:rPr>
            </w:pPr>
            <w:r>
              <w:rPr>
                <w:rFonts w:hint="eastAsia"/>
                <w:sz w:val="18"/>
                <w:szCs w:val="18"/>
              </w:rPr>
              <w:t>丹佛斯</w:t>
            </w:r>
            <w:r>
              <w:rPr>
                <w:sz w:val="18"/>
                <w:szCs w:val="18"/>
              </w:rPr>
              <w:t>Danfoss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blCellSpacing w:w="0" w:type="dxa"/>
          <w:jc w:val="center"/>
        </w:trPr>
        <w:tc>
          <w:tcPr>
            <w:tcW w:w="373" w:type="dxa"/>
            <w:tcBorders>
              <w:tl2br w:val="nil"/>
              <w:tr2bl w:val="nil"/>
            </w:tcBorders>
            <w:vAlign w:val="center"/>
          </w:tcPr>
          <w:p>
            <w:pPr>
              <w:jc w:val="center"/>
              <w:rPr>
                <w:sz w:val="18"/>
                <w:szCs w:val="18"/>
              </w:rPr>
            </w:pPr>
            <w:r>
              <w:rPr>
                <w:rFonts w:hint="eastAsia"/>
                <w:sz w:val="18"/>
                <w:szCs w:val="18"/>
              </w:rPr>
              <w:t>5</w:t>
            </w:r>
          </w:p>
        </w:tc>
        <w:tc>
          <w:tcPr>
            <w:tcW w:w="2081" w:type="dxa"/>
            <w:tcBorders>
              <w:tl2br w:val="nil"/>
              <w:tr2bl w:val="nil"/>
            </w:tcBorders>
            <w:vAlign w:val="center"/>
          </w:tcPr>
          <w:p>
            <w:pPr>
              <w:jc w:val="center"/>
              <w:rPr>
                <w:sz w:val="18"/>
                <w:szCs w:val="18"/>
              </w:rPr>
            </w:pPr>
            <w:r>
              <w:rPr>
                <w:rFonts w:hint="eastAsia"/>
                <w:sz w:val="18"/>
                <w:szCs w:val="18"/>
              </w:rPr>
              <w:t>压差控制器</w:t>
            </w:r>
          </w:p>
        </w:tc>
        <w:tc>
          <w:tcPr>
            <w:tcW w:w="1334" w:type="dxa"/>
            <w:tcBorders>
              <w:tl2br w:val="nil"/>
              <w:tr2bl w:val="nil"/>
            </w:tcBorders>
            <w:vAlign w:val="center"/>
          </w:tcPr>
          <w:p>
            <w:pPr>
              <w:jc w:val="center"/>
              <w:rPr>
                <w:sz w:val="18"/>
                <w:szCs w:val="18"/>
              </w:rPr>
            </w:pPr>
          </w:p>
        </w:tc>
        <w:tc>
          <w:tcPr>
            <w:tcW w:w="4225" w:type="dxa"/>
            <w:tcBorders>
              <w:tl2br w:val="nil"/>
              <w:tr2bl w:val="nil"/>
            </w:tcBorders>
            <w:vAlign w:val="center"/>
          </w:tcPr>
          <w:p>
            <w:pPr>
              <w:numPr>
                <w:ilvl w:val="0"/>
                <w:numId w:val="29"/>
              </w:numPr>
              <w:rPr>
                <w:sz w:val="18"/>
                <w:szCs w:val="18"/>
              </w:rPr>
            </w:pPr>
            <w:r>
              <w:rPr>
                <w:rFonts w:hint="eastAsia"/>
                <w:sz w:val="18"/>
                <w:szCs w:val="18"/>
              </w:rPr>
              <w:t>图尔</w:t>
            </w:r>
            <w:r>
              <w:rPr>
                <w:sz w:val="18"/>
                <w:szCs w:val="18"/>
              </w:rPr>
              <w:t>&amp;</w:t>
            </w:r>
            <w:r>
              <w:rPr>
                <w:rFonts w:hint="eastAsia"/>
                <w:sz w:val="18"/>
                <w:szCs w:val="18"/>
              </w:rPr>
              <w:t>安德森（</w:t>
            </w:r>
            <w:r>
              <w:rPr>
                <w:sz w:val="18"/>
                <w:szCs w:val="18"/>
              </w:rPr>
              <w:t>TA/</w:t>
            </w:r>
            <w:r>
              <w:rPr>
                <w:rFonts w:hint="eastAsia"/>
                <w:sz w:val="18"/>
                <w:szCs w:val="18"/>
              </w:rPr>
              <w:t>瑞典）</w:t>
            </w:r>
          </w:p>
          <w:p>
            <w:pPr>
              <w:numPr>
                <w:ilvl w:val="0"/>
                <w:numId w:val="29"/>
              </w:numPr>
              <w:rPr>
                <w:sz w:val="18"/>
                <w:szCs w:val="18"/>
              </w:rPr>
            </w:pPr>
            <w:r>
              <w:rPr>
                <w:rFonts w:hint="eastAsia"/>
                <w:sz w:val="18"/>
                <w:szCs w:val="18"/>
              </w:rPr>
              <w:t>丹佛斯（</w:t>
            </w:r>
            <w:r>
              <w:rPr>
                <w:sz w:val="18"/>
                <w:szCs w:val="18"/>
              </w:rPr>
              <w:t>Danfoss/</w:t>
            </w:r>
            <w:r>
              <w:rPr>
                <w:rFonts w:hint="eastAsia"/>
                <w:sz w:val="18"/>
                <w:szCs w:val="18"/>
              </w:rPr>
              <w:t>丹麦）</w:t>
            </w:r>
          </w:p>
          <w:p>
            <w:pPr>
              <w:numPr>
                <w:ilvl w:val="0"/>
                <w:numId w:val="29"/>
              </w:numPr>
              <w:rPr>
                <w:sz w:val="18"/>
                <w:szCs w:val="18"/>
              </w:rPr>
            </w:pPr>
            <w:r>
              <w:rPr>
                <w:rFonts w:hint="eastAsia"/>
                <w:sz w:val="18"/>
                <w:szCs w:val="18"/>
              </w:rPr>
              <w:t>欧文托普（oventrop/德国）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blCellSpacing w:w="0" w:type="dxa"/>
          <w:jc w:val="center"/>
        </w:trPr>
        <w:tc>
          <w:tcPr>
            <w:tcW w:w="373" w:type="dxa"/>
            <w:tcBorders>
              <w:tl2br w:val="nil"/>
              <w:tr2bl w:val="nil"/>
            </w:tcBorders>
            <w:vAlign w:val="center"/>
          </w:tcPr>
          <w:p>
            <w:pPr>
              <w:jc w:val="center"/>
              <w:rPr>
                <w:sz w:val="18"/>
                <w:szCs w:val="18"/>
              </w:rPr>
            </w:pPr>
            <w:r>
              <w:rPr>
                <w:rFonts w:hint="eastAsia"/>
                <w:sz w:val="18"/>
                <w:szCs w:val="18"/>
              </w:rPr>
              <w:t>6</w:t>
            </w:r>
          </w:p>
        </w:tc>
        <w:tc>
          <w:tcPr>
            <w:tcW w:w="2081" w:type="dxa"/>
            <w:tcBorders>
              <w:tl2br w:val="nil"/>
              <w:tr2bl w:val="nil"/>
            </w:tcBorders>
            <w:vAlign w:val="center"/>
          </w:tcPr>
          <w:p>
            <w:pPr>
              <w:jc w:val="center"/>
              <w:rPr>
                <w:sz w:val="18"/>
                <w:szCs w:val="18"/>
              </w:rPr>
            </w:pPr>
            <w:r>
              <w:rPr>
                <w:rFonts w:hint="eastAsia"/>
                <w:sz w:val="18"/>
                <w:szCs w:val="18"/>
              </w:rPr>
              <w:t>橡塑保温材料、玻璃棉保温材料</w:t>
            </w:r>
          </w:p>
        </w:tc>
        <w:tc>
          <w:tcPr>
            <w:tcW w:w="1334" w:type="dxa"/>
            <w:tcBorders>
              <w:tl2br w:val="nil"/>
              <w:tr2bl w:val="nil"/>
            </w:tcBorders>
            <w:vAlign w:val="center"/>
          </w:tcPr>
          <w:p>
            <w:pPr>
              <w:jc w:val="center"/>
              <w:rPr>
                <w:sz w:val="18"/>
                <w:szCs w:val="18"/>
              </w:rPr>
            </w:pPr>
          </w:p>
        </w:tc>
        <w:tc>
          <w:tcPr>
            <w:tcW w:w="4225" w:type="dxa"/>
            <w:tcBorders>
              <w:tl2br w:val="nil"/>
              <w:tr2bl w:val="nil"/>
            </w:tcBorders>
            <w:vAlign w:val="center"/>
          </w:tcPr>
          <w:p>
            <w:pPr>
              <w:numPr>
                <w:ilvl w:val="0"/>
                <w:numId w:val="30"/>
              </w:numPr>
              <w:rPr>
                <w:sz w:val="18"/>
                <w:szCs w:val="18"/>
              </w:rPr>
            </w:pPr>
            <w:r>
              <w:rPr>
                <w:rFonts w:hint="eastAsia"/>
                <w:sz w:val="18"/>
                <w:szCs w:val="18"/>
              </w:rPr>
              <w:t>欧文斯科宁</w:t>
            </w:r>
          </w:p>
          <w:p>
            <w:pPr>
              <w:numPr>
                <w:ilvl w:val="0"/>
                <w:numId w:val="30"/>
              </w:numPr>
              <w:rPr>
                <w:sz w:val="18"/>
                <w:szCs w:val="18"/>
              </w:rPr>
            </w:pPr>
            <w:r>
              <w:rPr>
                <w:rFonts w:hint="eastAsia"/>
                <w:sz w:val="18"/>
                <w:szCs w:val="18"/>
              </w:rPr>
              <w:t>阿乐斯（Armaflex）</w:t>
            </w:r>
          </w:p>
          <w:p>
            <w:r>
              <w:rPr>
                <w:rFonts w:hint="eastAsia"/>
                <w:sz w:val="18"/>
                <w:szCs w:val="18"/>
              </w:rPr>
              <w:t>3、凯门富乐斯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blCellSpacing w:w="0" w:type="dxa"/>
          <w:jc w:val="center"/>
        </w:trPr>
        <w:tc>
          <w:tcPr>
            <w:tcW w:w="373" w:type="dxa"/>
            <w:tcBorders>
              <w:tl2br w:val="nil"/>
              <w:tr2bl w:val="nil"/>
            </w:tcBorders>
            <w:vAlign w:val="center"/>
          </w:tcPr>
          <w:p>
            <w:pPr>
              <w:jc w:val="center"/>
              <w:rPr>
                <w:sz w:val="18"/>
                <w:szCs w:val="18"/>
              </w:rPr>
            </w:pPr>
            <w:r>
              <w:rPr>
                <w:rFonts w:hint="eastAsia"/>
                <w:sz w:val="18"/>
                <w:szCs w:val="18"/>
              </w:rPr>
              <w:t>7</w:t>
            </w:r>
          </w:p>
        </w:tc>
        <w:tc>
          <w:tcPr>
            <w:tcW w:w="2081" w:type="dxa"/>
            <w:tcBorders>
              <w:tl2br w:val="nil"/>
              <w:tr2bl w:val="nil"/>
            </w:tcBorders>
            <w:vAlign w:val="center"/>
          </w:tcPr>
          <w:p>
            <w:pPr>
              <w:jc w:val="center"/>
              <w:rPr>
                <w:sz w:val="18"/>
                <w:szCs w:val="18"/>
              </w:rPr>
            </w:pPr>
            <w:r>
              <w:rPr>
                <w:rFonts w:hint="eastAsia"/>
                <w:sz w:val="18"/>
                <w:szCs w:val="18"/>
              </w:rPr>
              <w:t>风机（含消防风机）</w:t>
            </w:r>
          </w:p>
        </w:tc>
        <w:tc>
          <w:tcPr>
            <w:tcW w:w="1334" w:type="dxa"/>
            <w:tcBorders>
              <w:tl2br w:val="nil"/>
              <w:tr2bl w:val="nil"/>
            </w:tcBorders>
            <w:vAlign w:val="center"/>
          </w:tcPr>
          <w:p>
            <w:pPr>
              <w:jc w:val="center"/>
              <w:rPr>
                <w:sz w:val="18"/>
                <w:szCs w:val="18"/>
              </w:rPr>
            </w:pPr>
          </w:p>
        </w:tc>
        <w:tc>
          <w:tcPr>
            <w:tcW w:w="4225" w:type="dxa"/>
            <w:tcBorders>
              <w:tl2br w:val="nil"/>
              <w:tr2bl w:val="nil"/>
            </w:tcBorders>
            <w:vAlign w:val="center"/>
          </w:tcPr>
          <w:p>
            <w:pPr>
              <w:numPr>
                <w:ilvl w:val="0"/>
                <w:numId w:val="31"/>
              </w:numPr>
              <w:rPr>
                <w:sz w:val="18"/>
                <w:szCs w:val="18"/>
              </w:rPr>
            </w:pPr>
            <w:r>
              <w:rPr>
                <w:rFonts w:hint="eastAsia"/>
                <w:sz w:val="18"/>
                <w:szCs w:val="18"/>
              </w:rPr>
              <w:t>广州科禄格通风设备有限公司</w:t>
            </w:r>
          </w:p>
          <w:p>
            <w:pPr>
              <w:numPr>
                <w:ilvl w:val="0"/>
                <w:numId w:val="31"/>
              </w:numPr>
              <w:rPr>
                <w:sz w:val="18"/>
                <w:szCs w:val="18"/>
              </w:rPr>
            </w:pPr>
            <w:r>
              <w:rPr>
                <w:rFonts w:hint="eastAsia"/>
                <w:sz w:val="18"/>
                <w:szCs w:val="18"/>
              </w:rPr>
              <w:t>南方风机股份有限公司</w:t>
            </w:r>
          </w:p>
          <w:p>
            <w:pPr>
              <w:numPr>
                <w:ilvl w:val="0"/>
                <w:numId w:val="31"/>
              </w:numPr>
              <w:rPr>
                <w:sz w:val="18"/>
                <w:szCs w:val="18"/>
              </w:rPr>
            </w:pPr>
            <w:r>
              <w:rPr>
                <w:rFonts w:hint="eastAsia"/>
                <w:sz w:val="18"/>
                <w:szCs w:val="18"/>
              </w:rPr>
              <w:t>皇家动力（武汉）有限公司</w:t>
            </w:r>
          </w:p>
          <w:p>
            <w:pPr>
              <w:pStyle w:val="2"/>
              <w:ind w:left="0" w:leftChars="0"/>
            </w:pPr>
            <w:r>
              <w:rPr>
                <w:rFonts w:hint="eastAsia"/>
                <w:sz w:val="18"/>
                <w:szCs w:val="18"/>
              </w:rPr>
              <w:t>4、英飞同仁风机股份有限公司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blCellSpacing w:w="0" w:type="dxa"/>
          <w:jc w:val="center"/>
        </w:trPr>
        <w:tc>
          <w:tcPr>
            <w:tcW w:w="373" w:type="dxa"/>
            <w:tcBorders>
              <w:tl2br w:val="nil"/>
              <w:tr2bl w:val="nil"/>
            </w:tcBorders>
            <w:vAlign w:val="center"/>
          </w:tcPr>
          <w:p>
            <w:pPr>
              <w:jc w:val="center"/>
              <w:rPr>
                <w:sz w:val="18"/>
                <w:szCs w:val="18"/>
              </w:rPr>
            </w:pPr>
            <w:r>
              <w:rPr>
                <w:rFonts w:hint="eastAsia"/>
                <w:sz w:val="18"/>
                <w:szCs w:val="18"/>
              </w:rPr>
              <w:t>8</w:t>
            </w:r>
          </w:p>
        </w:tc>
        <w:tc>
          <w:tcPr>
            <w:tcW w:w="2081" w:type="dxa"/>
            <w:tcBorders>
              <w:tl2br w:val="nil"/>
              <w:tr2bl w:val="nil"/>
            </w:tcBorders>
            <w:vAlign w:val="center"/>
          </w:tcPr>
          <w:p>
            <w:pPr>
              <w:jc w:val="center"/>
              <w:rPr>
                <w:sz w:val="18"/>
                <w:szCs w:val="18"/>
              </w:rPr>
            </w:pPr>
            <w:r>
              <w:rPr>
                <w:rFonts w:hint="eastAsia"/>
                <w:sz w:val="18"/>
                <w:szCs w:val="18"/>
              </w:rPr>
              <w:t>自动加药装置/水处理装置</w:t>
            </w:r>
          </w:p>
        </w:tc>
        <w:tc>
          <w:tcPr>
            <w:tcW w:w="1334" w:type="dxa"/>
            <w:tcBorders>
              <w:tl2br w:val="nil"/>
              <w:tr2bl w:val="nil"/>
            </w:tcBorders>
            <w:vAlign w:val="center"/>
          </w:tcPr>
          <w:p>
            <w:pPr>
              <w:jc w:val="center"/>
              <w:rPr>
                <w:sz w:val="18"/>
                <w:szCs w:val="18"/>
              </w:rPr>
            </w:pPr>
          </w:p>
        </w:tc>
        <w:tc>
          <w:tcPr>
            <w:tcW w:w="4225" w:type="dxa"/>
            <w:tcBorders>
              <w:tl2br w:val="nil"/>
              <w:tr2bl w:val="nil"/>
            </w:tcBorders>
            <w:vAlign w:val="center"/>
          </w:tcPr>
          <w:p>
            <w:pPr>
              <w:numPr>
                <w:ilvl w:val="0"/>
                <w:numId w:val="32"/>
              </w:numPr>
              <w:rPr>
                <w:sz w:val="18"/>
                <w:szCs w:val="18"/>
              </w:rPr>
            </w:pPr>
            <w:r>
              <w:rPr>
                <w:rFonts w:hint="eastAsia"/>
                <w:sz w:val="18"/>
                <w:szCs w:val="18"/>
              </w:rPr>
              <w:t>杭州安康水处理设备有限公司</w:t>
            </w:r>
          </w:p>
          <w:p>
            <w:pPr>
              <w:numPr>
                <w:ilvl w:val="0"/>
                <w:numId w:val="32"/>
              </w:numPr>
              <w:rPr>
                <w:sz w:val="18"/>
                <w:szCs w:val="18"/>
              </w:rPr>
            </w:pPr>
            <w:r>
              <w:rPr>
                <w:rFonts w:hint="eastAsia"/>
                <w:sz w:val="18"/>
                <w:szCs w:val="18"/>
              </w:rPr>
              <w:t>广州水大陆环保科技有限公司</w:t>
            </w:r>
          </w:p>
          <w:p>
            <w:pPr>
              <w:numPr>
                <w:ilvl w:val="0"/>
                <w:numId w:val="32"/>
              </w:numPr>
              <w:rPr>
                <w:sz w:val="18"/>
                <w:szCs w:val="18"/>
              </w:rPr>
            </w:pPr>
            <w:r>
              <w:rPr>
                <w:rFonts w:hint="eastAsia"/>
                <w:sz w:val="18"/>
                <w:szCs w:val="18"/>
              </w:rPr>
              <w:t>广州智旭环保科技有限公司</w:t>
            </w:r>
          </w:p>
          <w:p>
            <w:pPr>
              <w:numPr>
                <w:ilvl w:val="0"/>
                <w:numId w:val="32"/>
              </w:numPr>
              <w:rPr>
                <w:sz w:val="18"/>
                <w:szCs w:val="18"/>
              </w:rPr>
            </w:pPr>
            <w:r>
              <w:rPr>
                <w:rFonts w:hint="eastAsia"/>
                <w:sz w:val="18"/>
                <w:szCs w:val="18"/>
              </w:rPr>
              <w:t>广州艾姆波特环保科技有限公司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blCellSpacing w:w="0" w:type="dxa"/>
          <w:jc w:val="center"/>
        </w:trPr>
        <w:tc>
          <w:tcPr>
            <w:tcW w:w="373" w:type="dxa"/>
            <w:tcBorders>
              <w:tl2br w:val="nil"/>
              <w:tr2bl w:val="nil"/>
            </w:tcBorders>
            <w:vAlign w:val="center"/>
          </w:tcPr>
          <w:p>
            <w:pPr>
              <w:jc w:val="center"/>
              <w:rPr>
                <w:sz w:val="18"/>
                <w:szCs w:val="18"/>
              </w:rPr>
            </w:pPr>
            <w:r>
              <w:rPr>
                <w:rFonts w:hint="eastAsia"/>
                <w:sz w:val="18"/>
                <w:szCs w:val="18"/>
              </w:rPr>
              <w:t>9</w:t>
            </w:r>
          </w:p>
        </w:tc>
        <w:tc>
          <w:tcPr>
            <w:tcW w:w="2081" w:type="dxa"/>
            <w:tcBorders>
              <w:tl2br w:val="nil"/>
              <w:tr2bl w:val="nil"/>
            </w:tcBorders>
            <w:vAlign w:val="center"/>
          </w:tcPr>
          <w:p>
            <w:pPr>
              <w:jc w:val="center"/>
              <w:rPr>
                <w:sz w:val="18"/>
                <w:szCs w:val="18"/>
              </w:rPr>
            </w:pPr>
            <w:r>
              <w:rPr>
                <w:rFonts w:hint="eastAsia"/>
                <w:sz w:val="18"/>
                <w:szCs w:val="18"/>
              </w:rPr>
              <w:t>减震装置、软接头</w:t>
            </w:r>
          </w:p>
        </w:tc>
        <w:tc>
          <w:tcPr>
            <w:tcW w:w="1334" w:type="dxa"/>
            <w:tcBorders>
              <w:tl2br w:val="nil"/>
              <w:tr2bl w:val="nil"/>
            </w:tcBorders>
            <w:vAlign w:val="center"/>
          </w:tcPr>
          <w:p>
            <w:pPr>
              <w:jc w:val="center"/>
              <w:rPr>
                <w:sz w:val="18"/>
                <w:szCs w:val="18"/>
              </w:rPr>
            </w:pPr>
          </w:p>
        </w:tc>
        <w:tc>
          <w:tcPr>
            <w:tcW w:w="4225" w:type="dxa"/>
            <w:tcBorders>
              <w:tl2br w:val="nil"/>
              <w:tr2bl w:val="nil"/>
            </w:tcBorders>
            <w:vAlign w:val="center"/>
          </w:tcPr>
          <w:p>
            <w:pPr>
              <w:numPr>
                <w:ilvl w:val="0"/>
                <w:numId w:val="33"/>
              </w:numPr>
              <w:rPr>
                <w:sz w:val="18"/>
                <w:szCs w:val="18"/>
              </w:rPr>
            </w:pPr>
            <w:r>
              <w:rPr>
                <w:rFonts w:hint="eastAsia"/>
                <w:sz w:val="18"/>
                <w:szCs w:val="18"/>
              </w:rPr>
              <w:t>隔而固（青岛）振动控制有限公司</w:t>
            </w:r>
          </w:p>
          <w:p>
            <w:pPr>
              <w:numPr>
                <w:ilvl w:val="0"/>
                <w:numId w:val="33"/>
              </w:numPr>
              <w:rPr>
                <w:sz w:val="18"/>
                <w:szCs w:val="18"/>
              </w:rPr>
            </w:pPr>
            <w:r>
              <w:rPr>
                <w:rFonts w:hint="eastAsia"/>
                <w:sz w:val="18"/>
                <w:szCs w:val="18"/>
              </w:rPr>
              <w:t>滔辰阀门（苏州）有限公司</w:t>
            </w:r>
          </w:p>
          <w:p>
            <w:pPr>
              <w:numPr>
                <w:ilvl w:val="0"/>
                <w:numId w:val="33"/>
              </w:numPr>
              <w:rPr>
                <w:sz w:val="18"/>
                <w:szCs w:val="18"/>
              </w:rPr>
            </w:pPr>
            <w:r>
              <w:rPr>
                <w:rFonts w:hint="eastAsia"/>
                <w:sz w:val="18"/>
                <w:szCs w:val="18"/>
              </w:rPr>
              <w:t>广州华侨振动控制科技有限公司</w:t>
            </w:r>
          </w:p>
          <w:p>
            <w:pPr>
              <w:numPr>
                <w:ilvl w:val="0"/>
                <w:numId w:val="33"/>
              </w:numPr>
              <w:rPr>
                <w:sz w:val="18"/>
                <w:szCs w:val="18"/>
              </w:rPr>
            </w:pPr>
            <w:r>
              <w:rPr>
                <w:rFonts w:hint="eastAsia"/>
                <w:sz w:val="18"/>
                <w:szCs w:val="18"/>
              </w:rPr>
              <w:t>广州贝菲乐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blCellSpacing w:w="0" w:type="dxa"/>
          <w:jc w:val="center"/>
        </w:trPr>
        <w:tc>
          <w:tcPr>
            <w:tcW w:w="373" w:type="dxa"/>
            <w:tcBorders>
              <w:tl2br w:val="nil"/>
              <w:tr2bl w:val="nil"/>
            </w:tcBorders>
            <w:vAlign w:val="center"/>
          </w:tcPr>
          <w:p>
            <w:pPr>
              <w:jc w:val="center"/>
              <w:rPr>
                <w:sz w:val="18"/>
                <w:szCs w:val="18"/>
              </w:rPr>
            </w:pPr>
            <w:r>
              <w:rPr>
                <w:rFonts w:hint="eastAsia"/>
                <w:sz w:val="18"/>
                <w:szCs w:val="18"/>
              </w:rPr>
              <w:t>10</w:t>
            </w:r>
          </w:p>
        </w:tc>
        <w:tc>
          <w:tcPr>
            <w:tcW w:w="2081" w:type="dxa"/>
            <w:tcBorders>
              <w:tl2br w:val="nil"/>
              <w:tr2bl w:val="nil"/>
            </w:tcBorders>
            <w:vAlign w:val="center"/>
          </w:tcPr>
          <w:p>
            <w:pPr>
              <w:jc w:val="center"/>
              <w:rPr>
                <w:sz w:val="18"/>
                <w:szCs w:val="18"/>
              </w:rPr>
            </w:pPr>
          </w:p>
          <w:p>
            <w:pPr>
              <w:jc w:val="center"/>
              <w:rPr>
                <w:sz w:val="18"/>
                <w:szCs w:val="18"/>
              </w:rPr>
            </w:pPr>
            <w:r>
              <w:rPr>
                <w:rFonts w:hint="eastAsia"/>
                <w:sz w:val="18"/>
                <w:szCs w:val="18"/>
              </w:rPr>
              <w:t>冷却水泵、冷水泵、消防泵</w:t>
            </w:r>
          </w:p>
          <w:p>
            <w:pPr>
              <w:jc w:val="center"/>
              <w:rPr>
                <w:sz w:val="18"/>
                <w:szCs w:val="18"/>
              </w:rPr>
            </w:pPr>
          </w:p>
        </w:tc>
        <w:tc>
          <w:tcPr>
            <w:tcW w:w="1334" w:type="dxa"/>
            <w:tcBorders>
              <w:tl2br w:val="nil"/>
              <w:tr2bl w:val="nil"/>
            </w:tcBorders>
            <w:vAlign w:val="center"/>
          </w:tcPr>
          <w:p>
            <w:pPr>
              <w:jc w:val="center"/>
              <w:rPr>
                <w:sz w:val="18"/>
                <w:szCs w:val="18"/>
              </w:rPr>
            </w:pPr>
            <w:r>
              <w:rPr>
                <w:rFonts w:hint="eastAsia"/>
                <w:sz w:val="18"/>
                <w:szCs w:val="18"/>
              </w:rPr>
              <w:t>消防泵带控制柜</w:t>
            </w:r>
          </w:p>
        </w:tc>
        <w:tc>
          <w:tcPr>
            <w:tcW w:w="4225" w:type="dxa"/>
            <w:tcBorders>
              <w:tl2br w:val="nil"/>
              <w:tr2bl w:val="nil"/>
            </w:tcBorders>
            <w:vAlign w:val="center"/>
          </w:tcPr>
          <w:p>
            <w:pPr>
              <w:numPr>
                <w:ilvl w:val="0"/>
                <w:numId w:val="34"/>
              </w:numPr>
              <w:rPr>
                <w:sz w:val="18"/>
                <w:szCs w:val="18"/>
              </w:rPr>
            </w:pPr>
            <w:r>
              <w:rPr>
                <w:rFonts w:hint="eastAsia"/>
                <w:sz w:val="18"/>
                <w:szCs w:val="18"/>
              </w:rPr>
              <w:t>Armstrong艾蒙斯特朗</w:t>
            </w:r>
          </w:p>
          <w:p>
            <w:pPr>
              <w:numPr>
                <w:ilvl w:val="0"/>
                <w:numId w:val="34"/>
              </w:numPr>
              <w:rPr>
                <w:sz w:val="18"/>
                <w:szCs w:val="18"/>
              </w:rPr>
            </w:pPr>
            <w:r>
              <w:rPr>
                <w:rFonts w:hint="eastAsia"/>
                <w:sz w:val="18"/>
                <w:szCs w:val="18"/>
              </w:rPr>
              <w:t>格兰富</w:t>
            </w:r>
          </w:p>
          <w:p>
            <w:pPr>
              <w:numPr>
                <w:ilvl w:val="0"/>
                <w:numId w:val="34"/>
              </w:numPr>
              <w:rPr>
                <w:sz w:val="18"/>
                <w:szCs w:val="18"/>
              </w:rPr>
            </w:pPr>
            <w:r>
              <w:rPr>
                <w:rFonts w:hint="eastAsia"/>
                <w:sz w:val="18"/>
                <w:szCs w:val="18"/>
              </w:rPr>
              <w:t>威乐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blCellSpacing w:w="0" w:type="dxa"/>
          <w:jc w:val="center"/>
        </w:trPr>
        <w:tc>
          <w:tcPr>
            <w:tcW w:w="373" w:type="dxa"/>
            <w:tcBorders>
              <w:tl2br w:val="nil"/>
              <w:tr2bl w:val="nil"/>
            </w:tcBorders>
            <w:vAlign w:val="center"/>
          </w:tcPr>
          <w:p>
            <w:pPr>
              <w:jc w:val="center"/>
              <w:rPr>
                <w:sz w:val="18"/>
                <w:szCs w:val="18"/>
              </w:rPr>
            </w:pPr>
            <w:r>
              <w:rPr>
                <w:rFonts w:hint="eastAsia"/>
                <w:sz w:val="18"/>
                <w:szCs w:val="18"/>
              </w:rPr>
              <w:t>11</w:t>
            </w:r>
          </w:p>
        </w:tc>
        <w:tc>
          <w:tcPr>
            <w:tcW w:w="2081" w:type="dxa"/>
            <w:tcBorders>
              <w:tl2br w:val="nil"/>
              <w:tr2bl w:val="nil"/>
            </w:tcBorders>
            <w:vAlign w:val="center"/>
          </w:tcPr>
          <w:p>
            <w:pPr>
              <w:jc w:val="center"/>
              <w:rPr>
                <w:sz w:val="18"/>
                <w:szCs w:val="18"/>
              </w:rPr>
            </w:pPr>
            <w:r>
              <w:rPr>
                <w:rFonts w:hint="eastAsia"/>
                <w:sz w:val="18"/>
                <w:szCs w:val="18"/>
              </w:rPr>
              <w:t>一体化雨水提升泵、潜污泵</w:t>
            </w:r>
          </w:p>
        </w:tc>
        <w:tc>
          <w:tcPr>
            <w:tcW w:w="1334" w:type="dxa"/>
            <w:tcBorders>
              <w:tl2br w:val="nil"/>
              <w:tr2bl w:val="nil"/>
            </w:tcBorders>
            <w:vAlign w:val="center"/>
          </w:tcPr>
          <w:p>
            <w:pPr>
              <w:jc w:val="center"/>
              <w:rPr>
                <w:sz w:val="18"/>
                <w:szCs w:val="18"/>
              </w:rPr>
            </w:pPr>
            <w:r>
              <w:rPr>
                <w:rFonts w:hint="eastAsia"/>
                <w:sz w:val="18"/>
                <w:szCs w:val="18"/>
              </w:rPr>
              <w:t>带控制柜</w:t>
            </w:r>
          </w:p>
        </w:tc>
        <w:tc>
          <w:tcPr>
            <w:tcW w:w="4225" w:type="dxa"/>
            <w:tcBorders>
              <w:tl2br w:val="nil"/>
              <w:tr2bl w:val="nil"/>
            </w:tcBorders>
            <w:vAlign w:val="center"/>
          </w:tcPr>
          <w:p>
            <w:pPr>
              <w:numPr>
                <w:ilvl w:val="0"/>
                <w:numId w:val="35"/>
              </w:numPr>
              <w:rPr>
                <w:sz w:val="18"/>
                <w:szCs w:val="18"/>
              </w:rPr>
            </w:pPr>
            <w:r>
              <w:rPr>
                <w:rFonts w:hint="eastAsia"/>
                <w:sz w:val="18"/>
                <w:szCs w:val="18"/>
              </w:rPr>
              <w:t>Xylem-飞力</w:t>
            </w:r>
          </w:p>
          <w:p>
            <w:pPr>
              <w:numPr>
                <w:ilvl w:val="0"/>
                <w:numId w:val="35"/>
              </w:numPr>
              <w:rPr>
                <w:sz w:val="18"/>
                <w:szCs w:val="18"/>
              </w:rPr>
            </w:pPr>
            <w:r>
              <w:rPr>
                <w:rFonts w:hint="eastAsia"/>
                <w:sz w:val="18"/>
                <w:szCs w:val="18"/>
              </w:rPr>
              <w:t>格兰富</w:t>
            </w:r>
          </w:p>
          <w:p>
            <w:pPr>
              <w:numPr>
                <w:ilvl w:val="0"/>
                <w:numId w:val="35"/>
              </w:numPr>
              <w:rPr>
                <w:sz w:val="18"/>
                <w:szCs w:val="18"/>
              </w:rPr>
            </w:pPr>
            <w:r>
              <w:rPr>
                <w:rFonts w:hint="eastAsia"/>
                <w:sz w:val="18"/>
                <w:szCs w:val="18"/>
              </w:rPr>
              <w:t>泽尼特</w:t>
            </w:r>
          </w:p>
          <w:p>
            <w:pPr>
              <w:numPr>
                <w:ilvl w:val="0"/>
                <w:numId w:val="35"/>
              </w:numPr>
              <w:rPr>
                <w:sz w:val="18"/>
                <w:szCs w:val="18"/>
              </w:rPr>
            </w:pPr>
            <w:r>
              <w:rPr>
                <w:rFonts w:hint="eastAsia"/>
                <w:sz w:val="18"/>
                <w:szCs w:val="18"/>
              </w:rPr>
              <w:t>威乐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blCellSpacing w:w="0" w:type="dxa"/>
          <w:jc w:val="center"/>
        </w:trPr>
        <w:tc>
          <w:tcPr>
            <w:tcW w:w="373" w:type="dxa"/>
            <w:tcBorders>
              <w:tl2br w:val="nil"/>
              <w:tr2bl w:val="nil"/>
            </w:tcBorders>
            <w:vAlign w:val="center"/>
          </w:tcPr>
          <w:p>
            <w:pPr>
              <w:jc w:val="center"/>
              <w:rPr>
                <w:sz w:val="18"/>
                <w:szCs w:val="18"/>
              </w:rPr>
            </w:pPr>
            <w:r>
              <w:rPr>
                <w:rFonts w:hint="eastAsia"/>
                <w:sz w:val="18"/>
                <w:szCs w:val="18"/>
              </w:rPr>
              <w:t>12</w:t>
            </w:r>
          </w:p>
        </w:tc>
        <w:tc>
          <w:tcPr>
            <w:tcW w:w="2081" w:type="dxa"/>
            <w:tcBorders>
              <w:tl2br w:val="nil"/>
              <w:tr2bl w:val="nil"/>
            </w:tcBorders>
            <w:vAlign w:val="center"/>
          </w:tcPr>
          <w:p>
            <w:pPr>
              <w:jc w:val="center"/>
              <w:rPr>
                <w:sz w:val="18"/>
                <w:szCs w:val="18"/>
              </w:rPr>
            </w:pPr>
            <w:r>
              <w:rPr>
                <w:rFonts w:hint="eastAsia"/>
                <w:sz w:val="18"/>
                <w:szCs w:val="18"/>
              </w:rPr>
              <w:t>气体灭火装置、消防栓箱（含配套附件）</w:t>
            </w:r>
          </w:p>
        </w:tc>
        <w:tc>
          <w:tcPr>
            <w:tcW w:w="1334" w:type="dxa"/>
            <w:tcBorders>
              <w:tl2br w:val="nil"/>
              <w:tr2bl w:val="nil"/>
            </w:tcBorders>
            <w:vAlign w:val="center"/>
          </w:tcPr>
          <w:p>
            <w:pPr>
              <w:jc w:val="center"/>
              <w:rPr>
                <w:sz w:val="18"/>
                <w:szCs w:val="18"/>
              </w:rPr>
            </w:pPr>
          </w:p>
        </w:tc>
        <w:tc>
          <w:tcPr>
            <w:tcW w:w="4225" w:type="dxa"/>
            <w:tcBorders>
              <w:tl2br w:val="nil"/>
              <w:tr2bl w:val="nil"/>
            </w:tcBorders>
            <w:vAlign w:val="center"/>
          </w:tcPr>
          <w:p>
            <w:pPr>
              <w:pStyle w:val="152"/>
              <w:ind w:firstLine="0" w:firstLineChars="0"/>
              <w:rPr>
                <w:rFonts w:ascii="宋体" w:hAnsi="宋体" w:cs="宋体"/>
                <w:sz w:val="18"/>
                <w:szCs w:val="18"/>
              </w:rPr>
            </w:pPr>
            <w:r>
              <w:rPr>
                <w:rFonts w:hint="eastAsia" w:ascii="宋体" w:hAnsi="宋体" w:cs="宋体"/>
                <w:sz w:val="18"/>
                <w:szCs w:val="18"/>
              </w:rPr>
              <w:t>1.南京南消</w:t>
            </w:r>
          </w:p>
          <w:p>
            <w:pPr>
              <w:pStyle w:val="152"/>
              <w:ind w:firstLine="0" w:firstLineChars="0"/>
              <w:rPr>
                <w:rFonts w:ascii="宋体" w:hAnsi="宋体" w:cs="宋体"/>
                <w:sz w:val="18"/>
                <w:szCs w:val="18"/>
              </w:rPr>
            </w:pPr>
            <w:r>
              <w:rPr>
                <w:rFonts w:hint="eastAsia" w:ascii="宋体" w:hAnsi="宋体" w:cs="宋体"/>
                <w:sz w:val="18"/>
                <w:szCs w:val="18"/>
              </w:rPr>
              <w:t>2.广东胜捷</w:t>
            </w:r>
          </w:p>
          <w:p>
            <w:pPr>
              <w:rPr>
                <w:sz w:val="18"/>
                <w:szCs w:val="18"/>
              </w:rPr>
            </w:pPr>
            <w:r>
              <w:rPr>
                <w:rFonts w:hint="eastAsia" w:ascii="宋体" w:hAnsi="宋体" w:cs="宋体"/>
                <w:sz w:val="18"/>
                <w:szCs w:val="18"/>
              </w:rPr>
              <w:t>3.广东平安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blCellSpacing w:w="0" w:type="dxa"/>
          <w:jc w:val="center"/>
        </w:trPr>
        <w:tc>
          <w:tcPr>
            <w:tcW w:w="373" w:type="dxa"/>
            <w:tcBorders>
              <w:tl2br w:val="nil"/>
              <w:tr2bl w:val="nil"/>
            </w:tcBorders>
            <w:vAlign w:val="center"/>
          </w:tcPr>
          <w:p>
            <w:pPr>
              <w:jc w:val="center"/>
              <w:rPr>
                <w:sz w:val="18"/>
                <w:szCs w:val="18"/>
              </w:rPr>
            </w:pPr>
            <w:r>
              <w:rPr>
                <w:rFonts w:hint="eastAsia"/>
                <w:sz w:val="18"/>
                <w:szCs w:val="18"/>
              </w:rPr>
              <w:t>13</w:t>
            </w:r>
          </w:p>
        </w:tc>
        <w:tc>
          <w:tcPr>
            <w:tcW w:w="2081" w:type="dxa"/>
            <w:tcBorders>
              <w:tl2br w:val="nil"/>
              <w:tr2bl w:val="nil"/>
            </w:tcBorders>
            <w:vAlign w:val="center"/>
          </w:tcPr>
          <w:p>
            <w:pPr>
              <w:jc w:val="center"/>
              <w:rPr>
                <w:sz w:val="18"/>
                <w:szCs w:val="18"/>
              </w:rPr>
            </w:pPr>
            <w:r>
              <w:rPr>
                <w:rFonts w:hint="eastAsia"/>
                <w:sz w:val="18"/>
                <w:szCs w:val="18"/>
              </w:rPr>
              <w:t>喷头、水流指示器、湿式报警阀、雨淋阀、信号闸阀、末端试水装置等</w:t>
            </w:r>
          </w:p>
        </w:tc>
        <w:tc>
          <w:tcPr>
            <w:tcW w:w="1334" w:type="dxa"/>
            <w:tcBorders>
              <w:tl2br w:val="nil"/>
              <w:tr2bl w:val="nil"/>
            </w:tcBorders>
            <w:vAlign w:val="center"/>
          </w:tcPr>
          <w:p>
            <w:pPr>
              <w:jc w:val="center"/>
              <w:rPr>
                <w:sz w:val="18"/>
                <w:szCs w:val="18"/>
              </w:rPr>
            </w:pPr>
            <w:r>
              <w:rPr>
                <w:rFonts w:hint="eastAsia"/>
                <w:sz w:val="18"/>
                <w:szCs w:val="18"/>
              </w:rPr>
              <w:t>喷淋系统</w:t>
            </w:r>
          </w:p>
          <w:p>
            <w:pPr>
              <w:jc w:val="center"/>
            </w:pPr>
            <w:r>
              <w:rPr>
                <w:rFonts w:hint="eastAsia"/>
                <w:sz w:val="18"/>
                <w:szCs w:val="18"/>
              </w:rPr>
              <w:t>采用同一品牌</w:t>
            </w:r>
          </w:p>
        </w:tc>
        <w:tc>
          <w:tcPr>
            <w:tcW w:w="4225" w:type="dxa"/>
            <w:tcBorders>
              <w:tl2br w:val="nil"/>
              <w:tr2bl w:val="nil"/>
            </w:tcBorders>
            <w:vAlign w:val="center"/>
          </w:tcPr>
          <w:p>
            <w:pPr>
              <w:pStyle w:val="152"/>
              <w:ind w:firstLine="0" w:firstLineChars="0"/>
              <w:rPr>
                <w:rFonts w:ascii="宋体" w:hAnsi="宋体" w:cs="宋体"/>
                <w:sz w:val="18"/>
                <w:szCs w:val="18"/>
              </w:rPr>
            </w:pPr>
            <w:r>
              <w:rPr>
                <w:rFonts w:hint="eastAsia" w:ascii="宋体" w:hAnsi="宋体" w:cs="宋体"/>
                <w:sz w:val="18"/>
                <w:szCs w:val="18"/>
              </w:rPr>
              <w:t>1、泰科消防设备贸易（上海）有限公司/泰科Tyco</w:t>
            </w:r>
          </w:p>
          <w:p>
            <w:pPr>
              <w:pStyle w:val="152"/>
              <w:ind w:firstLine="0" w:firstLineChars="0"/>
              <w:rPr>
                <w:rFonts w:ascii="宋体" w:hAnsi="宋体" w:cs="宋体"/>
                <w:sz w:val="18"/>
                <w:szCs w:val="18"/>
              </w:rPr>
            </w:pPr>
            <w:r>
              <w:rPr>
                <w:rFonts w:hint="eastAsia" w:ascii="宋体" w:hAnsi="宋体" w:cs="宋体"/>
                <w:sz w:val="18"/>
                <w:szCs w:val="18"/>
              </w:rPr>
              <w:t>2、唯特利管道设备（大连）有限公司/唯特利Victaulic</w:t>
            </w:r>
          </w:p>
          <w:p>
            <w:pPr>
              <w:rPr>
                <w:sz w:val="18"/>
                <w:szCs w:val="18"/>
              </w:rPr>
            </w:pPr>
            <w:r>
              <w:rPr>
                <w:rFonts w:hint="eastAsia" w:ascii="宋体" w:hAnsi="宋体" w:cs="宋体"/>
                <w:sz w:val="18"/>
                <w:szCs w:val="18"/>
              </w:rPr>
              <w:t>3、睿保灭火设备（上海）有限公司/可靠Reliable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blCellSpacing w:w="0" w:type="dxa"/>
          <w:jc w:val="center"/>
        </w:trPr>
        <w:tc>
          <w:tcPr>
            <w:tcW w:w="373" w:type="dxa"/>
            <w:tcBorders>
              <w:tl2br w:val="nil"/>
              <w:tr2bl w:val="nil"/>
            </w:tcBorders>
            <w:vAlign w:val="center"/>
          </w:tcPr>
          <w:p>
            <w:pPr>
              <w:jc w:val="center"/>
              <w:rPr>
                <w:sz w:val="18"/>
                <w:szCs w:val="18"/>
              </w:rPr>
            </w:pPr>
            <w:r>
              <w:rPr>
                <w:rFonts w:hint="eastAsia"/>
                <w:sz w:val="18"/>
                <w:szCs w:val="18"/>
              </w:rPr>
              <w:t>14</w:t>
            </w:r>
          </w:p>
        </w:tc>
        <w:tc>
          <w:tcPr>
            <w:tcW w:w="2081" w:type="dxa"/>
            <w:tcBorders>
              <w:tl2br w:val="nil"/>
              <w:tr2bl w:val="nil"/>
            </w:tcBorders>
            <w:vAlign w:val="center"/>
          </w:tcPr>
          <w:p>
            <w:pPr>
              <w:jc w:val="center"/>
              <w:rPr>
                <w:rFonts w:ascii="Times New Roman" w:hAnsi="Times New Roman"/>
                <w:sz w:val="18"/>
                <w:szCs w:val="18"/>
              </w:rPr>
            </w:pPr>
            <w:r>
              <w:rPr>
                <w:rFonts w:hint="eastAsia" w:ascii="Times New Roman" w:hAnsi="Times New Roman"/>
                <w:sz w:val="18"/>
                <w:szCs w:val="18"/>
              </w:rPr>
              <w:t>表计、仪表类（含各类表计、仪表、传感器等）</w:t>
            </w:r>
          </w:p>
        </w:tc>
        <w:tc>
          <w:tcPr>
            <w:tcW w:w="1334" w:type="dxa"/>
            <w:tcBorders>
              <w:tl2br w:val="nil"/>
              <w:tr2bl w:val="nil"/>
            </w:tcBorders>
            <w:vAlign w:val="center"/>
          </w:tcPr>
          <w:p>
            <w:pPr>
              <w:jc w:val="center"/>
              <w:rPr>
                <w:rFonts w:ascii="Times New Roman" w:hAnsi="Times New Roman"/>
                <w:sz w:val="18"/>
                <w:szCs w:val="18"/>
              </w:rPr>
            </w:pPr>
          </w:p>
        </w:tc>
        <w:tc>
          <w:tcPr>
            <w:tcW w:w="4225" w:type="dxa"/>
            <w:tcBorders>
              <w:tl2br w:val="nil"/>
              <w:tr2bl w:val="nil"/>
            </w:tcBorders>
            <w:vAlign w:val="center"/>
          </w:tcPr>
          <w:p>
            <w:pPr>
              <w:rPr>
                <w:rFonts w:ascii="Times New Roman" w:hAnsi="Times New Roman"/>
                <w:sz w:val="18"/>
                <w:szCs w:val="18"/>
              </w:rPr>
            </w:pPr>
            <w:r>
              <w:rPr>
                <w:rFonts w:ascii="Times New Roman" w:hAnsi="Times New Roman"/>
                <w:sz w:val="18"/>
                <w:szCs w:val="18"/>
              </w:rPr>
              <w:t>1、普罗名特</w:t>
            </w:r>
          </w:p>
          <w:p>
            <w:pPr>
              <w:rPr>
                <w:rFonts w:ascii="Times New Roman" w:hAnsi="Times New Roman"/>
                <w:sz w:val="18"/>
                <w:szCs w:val="18"/>
              </w:rPr>
            </w:pPr>
            <w:r>
              <w:rPr>
                <w:rFonts w:ascii="Times New Roman" w:hAnsi="Times New Roman"/>
                <w:sz w:val="18"/>
                <w:szCs w:val="18"/>
              </w:rPr>
              <w:t>2、哈希（HACH）</w:t>
            </w:r>
          </w:p>
          <w:p>
            <w:pPr>
              <w:rPr>
                <w:rFonts w:ascii="Times New Roman" w:hAnsi="Times New Roman"/>
                <w:sz w:val="18"/>
                <w:szCs w:val="18"/>
              </w:rPr>
            </w:pPr>
            <w:r>
              <w:rPr>
                <w:rFonts w:ascii="Times New Roman" w:hAnsi="Times New Roman"/>
                <w:sz w:val="18"/>
                <w:szCs w:val="18"/>
              </w:rPr>
              <w:t>3、</w:t>
            </w:r>
            <w:r>
              <w:rPr>
                <w:rFonts w:hint="eastAsia" w:ascii="Times New Roman" w:hAnsi="Times New Roman"/>
                <w:sz w:val="18"/>
                <w:szCs w:val="18"/>
              </w:rPr>
              <w:t>E+H</w:t>
            </w:r>
          </w:p>
          <w:p>
            <w:pPr>
              <w:rPr>
                <w:rFonts w:ascii="Times New Roman" w:hAnsi="Times New Roman"/>
                <w:sz w:val="18"/>
                <w:szCs w:val="18"/>
              </w:rPr>
            </w:pPr>
            <w:r>
              <w:rPr>
                <w:rFonts w:hint="eastAsia" w:ascii="Times New Roman" w:hAnsi="Times New Roman"/>
                <w:sz w:val="18"/>
                <w:szCs w:val="18"/>
              </w:rPr>
              <w:t>4、西门子</w:t>
            </w:r>
          </w:p>
          <w:p>
            <w:pPr>
              <w:rPr>
                <w:rFonts w:ascii="Times New Roman" w:hAnsi="Times New Roman"/>
                <w:sz w:val="18"/>
                <w:szCs w:val="18"/>
              </w:rPr>
            </w:pPr>
            <w:r>
              <w:rPr>
                <w:rFonts w:hint="eastAsia" w:ascii="Times New Roman" w:hAnsi="Times New Roman"/>
                <w:sz w:val="18"/>
                <w:szCs w:val="18"/>
              </w:rPr>
              <w:t>5、WTW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blCellSpacing w:w="0" w:type="dxa"/>
          <w:jc w:val="center"/>
        </w:trPr>
        <w:tc>
          <w:tcPr>
            <w:tcW w:w="373" w:type="dxa"/>
            <w:tcBorders>
              <w:tl2br w:val="nil"/>
              <w:tr2bl w:val="nil"/>
            </w:tcBorders>
            <w:vAlign w:val="center"/>
          </w:tcPr>
          <w:p>
            <w:pPr>
              <w:jc w:val="center"/>
              <w:rPr>
                <w:sz w:val="18"/>
                <w:szCs w:val="18"/>
              </w:rPr>
            </w:pPr>
            <w:r>
              <w:rPr>
                <w:rFonts w:hint="eastAsia"/>
                <w:sz w:val="18"/>
                <w:szCs w:val="18"/>
              </w:rPr>
              <w:t>15</w:t>
            </w:r>
          </w:p>
        </w:tc>
        <w:tc>
          <w:tcPr>
            <w:tcW w:w="2081" w:type="dxa"/>
            <w:tcBorders>
              <w:tl2br w:val="nil"/>
              <w:tr2bl w:val="nil"/>
            </w:tcBorders>
            <w:vAlign w:val="center"/>
          </w:tcPr>
          <w:p>
            <w:pPr>
              <w:jc w:val="center"/>
              <w:rPr>
                <w:rFonts w:ascii="Times New Roman" w:hAnsi="Times New Roman"/>
                <w:sz w:val="18"/>
                <w:szCs w:val="18"/>
              </w:rPr>
            </w:pPr>
            <w:r>
              <w:rPr>
                <w:rFonts w:hint="eastAsia" w:ascii="Times New Roman" w:hAnsi="Times New Roman"/>
                <w:sz w:val="18"/>
                <w:szCs w:val="18"/>
              </w:rPr>
              <w:t>钢板</w:t>
            </w:r>
          </w:p>
        </w:tc>
        <w:tc>
          <w:tcPr>
            <w:tcW w:w="1334" w:type="dxa"/>
            <w:vMerge w:val="restart"/>
            <w:tcBorders>
              <w:tl2br w:val="nil"/>
              <w:tr2bl w:val="nil"/>
            </w:tcBorders>
            <w:vAlign w:val="center"/>
          </w:tcPr>
          <w:p>
            <w:pPr>
              <w:jc w:val="center"/>
              <w:rPr>
                <w:rFonts w:ascii="Times New Roman" w:hAnsi="Times New Roman"/>
                <w:sz w:val="18"/>
                <w:szCs w:val="18"/>
              </w:rPr>
            </w:pPr>
            <w:r>
              <w:rPr>
                <w:rFonts w:hint="eastAsia" w:ascii="Times New Roman" w:hAnsi="Times New Roman"/>
                <w:sz w:val="18"/>
                <w:szCs w:val="18"/>
              </w:rPr>
              <w:t>蓄冷罐</w:t>
            </w:r>
          </w:p>
        </w:tc>
        <w:tc>
          <w:tcPr>
            <w:tcW w:w="4225" w:type="dxa"/>
            <w:tcBorders>
              <w:tl2br w:val="nil"/>
              <w:tr2bl w:val="nil"/>
            </w:tcBorders>
            <w:vAlign w:val="center"/>
          </w:tcPr>
          <w:p>
            <w:pPr>
              <w:pStyle w:val="126"/>
              <w:tabs>
                <w:tab w:val="left" w:pos="320"/>
              </w:tabs>
              <w:autoSpaceDE/>
              <w:autoSpaceDN/>
              <w:spacing w:before="43"/>
              <w:ind w:firstLine="0" w:firstLineChars="0"/>
              <w:jc w:val="both"/>
              <w:rPr>
                <w:sz w:val="18"/>
                <w:szCs w:val="18"/>
              </w:rPr>
            </w:pPr>
            <w:r>
              <w:rPr>
                <w:rFonts w:hint="eastAsia"/>
                <w:sz w:val="18"/>
                <w:szCs w:val="18"/>
              </w:rPr>
              <w:t>1.宝武（中国宝武钢铁集团）</w:t>
            </w:r>
          </w:p>
          <w:p>
            <w:pPr>
              <w:pStyle w:val="126"/>
              <w:tabs>
                <w:tab w:val="left" w:pos="320"/>
              </w:tabs>
              <w:autoSpaceDE/>
              <w:autoSpaceDN/>
              <w:spacing w:before="43"/>
              <w:ind w:firstLine="0" w:firstLineChars="0"/>
              <w:jc w:val="both"/>
              <w:rPr>
                <w:sz w:val="18"/>
                <w:szCs w:val="18"/>
              </w:rPr>
            </w:pPr>
            <w:r>
              <w:rPr>
                <w:rFonts w:hint="eastAsia"/>
                <w:sz w:val="18"/>
                <w:szCs w:val="18"/>
              </w:rPr>
              <w:t>2.韶钢(宝武集团广东韶关钢铁有限公司)</w:t>
            </w:r>
          </w:p>
          <w:p>
            <w:pPr>
              <w:pStyle w:val="126"/>
              <w:tabs>
                <w:tab w:val="left" w:pos="320"/>
              </w:tabs>
              <w:autoSpaceDE/>
              <w:autoSpaceDN/>
              <w:spacing w:before="43"/>
              <w:ind w:firstLine="0" w:firstLineChars="0"/>
              <w:jc w:val="both"/>
              <w:rPr>
                <w:sz w:val="18"/>
                <w:szCs w:val="18"/>
              </w:rPr>
            </w:pPr>
            <w:r>
              <w:rPr>
                <w:rFonts w:hint="eastAsia"/>
                <w:sz w:val="18"/>
                <w:szCs w:val="18"/>
              </w:rPr>
              <w:t>3.鞍钢(鞍钢集团有限公司)</w:t>
            </w:r>
          </w:p>
          <w:p>
            <w:pPr>
              <w:pStyle w:val="126"/>
              <w:tabs>
                <w:tab w:val="left" w:pos="320"/>
              </w:tabs>
              <w:autoSpaceDE/>
              <w:autoSpaceDN/>
              <w:spacing w:before="43"/>
              <w:ind w:firstLine="0" w:firstLineChars="0"/>
              <w:jc w:val="both"/>
              <w:rPr>
                <w:sz w:val="18"/>
                <w:szCs w:val="18"/>
              </w:rPr>
            </w:pPr>
            <w:r>
              <w:rPr>
                <w:rFonts w:hint="eastAsia"/>
                <w:sz w:val="18"/>
                <w:szCs w:val="18"/>
              </w:rPr>
              <w:t>4.柳钢(广西柳州钢铁集团有限公司)</w:t>
            </w:r>
          </w:p>
          <w:p>
            <w:pPr>
              <w:rPr>
                <w:rFonts w:ascii="Times New Roman" w:hAnsi="Times New Roman"/>
                <w:sz w:val="18"/>
                <w:szCs w:val="18"/>
              </w:rPr>
            </w:pPr>
            <w:r>
              <w:rPr>
                <w:rFonts w:hint="eastAsia"/>
                <w:sz w:val="18"/>
                <w:szCs w:val="18"/>
              </w:rPr>
              <w:t>5.首钢（中国首钢集团）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blCellSpacing w:w="0" w:type="dxa"/>
          <w:jc w:val="center"/>
        </w:trPr>
        <w:tc>
          <w:tcPr>
            <w:tcW w:w="373" w:type="dxa"/>
            <w:tcBorders>
              <w:tl2br w:val="nil"/>
              <w:tr2bl w:val="nil"/>
            </w:tcBorders>
            <w:vAlign w:val="center"/>
          </w:tcPr>
          <w:p>
            <w:pPr>
              <w:jc w:val="center"/>
              <w:rPr>
                <w:sz w:val="18"/>
                <w:szCs w:val="18"/>
              </w:rPr>
            </w:pPr>
            <w:r>
              <w:rPr>
                <w:rFonts w:hint="eastAsia"/>
                <w:sz w:val="18"/>
                <w:szCs w:val="18"/>
              </w:rPr>
              <w:t>16</w:t>
            </w:r>
          </w:p>
        </w:tc>
        <w:tc>
          <w:tcPr>
            <w:tcW w:w="2081" w:type="dxa"/>
            <w:tcBorders>
              <w:tl2br w:val="nil"/>
              <w:tr2bl w:val="nil"/>
            </w:tcBorders>
            <w:vAlign w:val="center"/>
          </w:tcPr>
          <w:p>
            <w:pPr>
              <w:jc w:val="center"/>
              <w:rPr>
                <w:rFonts w:ascii="Times New Roman" w:hAnsi="Times New Roman"/>
                <w:sz w:val="18"/>
                <w:szCs w:val="18"/>
              </w:rPr>
            </w:pPr>
            <w:r>
              <w:rPr>
                <w:rFonts w:hint="eastAsia" w:ascii="Times New Roman" w:hAnsi="Times New Roman"/>
                <w:sz w:val="18"/>
                <w:szCs w:val="18"/>
              </w:rPr>
              <w:t>防腐涂料</w:t>
            </w:r>
          </w:p>
        </w:tc>
        <w:tc>
          <w:tcPr>
            <w:tcW w:w="1334" w:type="dxa"/>
            <w:vMerge w:val="continue"/>
            <w:tcBorders>
              <w:tl2br w:val="nil"/>
              <w:tr2bl w:val="nil"/>
            </w:tcBorders>
            <w:vAlign w:val="center"/>
          </w:tcPr>
          <w:p>
            <w:pPr>
              <w:jc w:val="center"/>
              <w:rPr>
                <w:rFonts w:ascii="Times New Roman" w:hAnsi="Times New Roman"/>
                <w:sz w:val="18"/>
                <w:szCs w:val="18"/>
              </w:rPr>
            </w:pPr>
          </w:p>
        </w:tc>
        <w:tc>
          <w:tcPr>
            <w:tcW w:w="4225" w:type="dxa"/>
            <w:tcBorders>
              <w:tl2br w:val="nil"/>
              <w:tr2bl w:val="nil"/>
            </w:tcBorders>
            <w:vAlign w:val="center"/>
          </w:tcPr>
          <w:p>
            <w:pPr>
              <w:rPr>
                <w:sz w:val="18"/>
                <w:szCs w:val="18"/>
              </w:rPr>
            </w:pPr>
            <w:r>
              <w:rPr>
                <w:rFonts w:hint="eastAsia"/>
                <w:sz w:val="18"/>
                <w:szCs w:val="18"/>
              </w:rPr>
              <w:t>1.海虹老人</w:t>
            </w:r>
            <w:r>
              <w:rPr>
                <w:rFonts w:hint="eastAsia"/>
                <w:sz w:val="18"/>
                <w:szCs w:val="18"/>
              </w:rPr>
              <w:br w:type="textWrapping"/>
            </w:r>
            <w:r>
              <w:rPr>
                <w:rFonts w:hint="eastAsia"/>
                <w:sz w:val="18"/>
                <w:szCs w:val="18"/>
              </w:rPr>
              <w:t>2.挪威佐敦</w:t>
            </w:r>
            <w:r>
              <w:rPr>
                <w:rFonts w:hint="eastAsia"/>
                <w:sz w:val="18"/>
                <w:szCs w:val="18"/>
              </w:rPr>
              <w:br w:type="textWrapping"/>
            </w:r>
            <w:r>
              <w:rPr>
                <w:rFonts w:hint="eastAsia"/>
                <w:sz w:val="18"/>
                <w:szCs w:val="18"/>
              </w:rPr>
              <w:t>3.阿克苏诺贝尔（国际）</w:t>
            </w:r>
          </w:p>
          <w:p>
            <w:pPr>
              <w:pStyle w:val="2"/>
              <w:ind w:left="0" w:leftChars="0"/>
              <w:rPr>
                <w:sz w:val="18"/>
                <w:szCs w:val="18"/>
              </w:rPr>
            </w:pPr>
            <w:r>
              <w:rPr>
                <w:rFonts w:hint="eastAsia"/>
                <w:sz w:val="18"/>
                <w:szCs w:val="18"/>
              </w:rPr>
              <w:t>4.PPG（庞贝捷）</w:t>
            </w:r>
          </w:p>
          <w:p>
            <w:pPr>
              <w:rPr>
                <w:sz w:val="18"/>
                <w:szCs w:val="18"/>
              </w:rPr>
            </w:pPr>
            <w:r>
              <w:rPr>
                <w:rFonts w:hint="eastAsia"/>
                <w:sz w:val="18"/>
                <w:szCs w:val="18"/>
              </w:rPr>
              <w:t>5.比利时锌加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blCellSpacing w:w="0" w:type="dxa"/>
          <w:jc w:val="center"/>
        </w:trPr>
        <w:tc>
          <w:tcPr>
            <w:tcW w:w="373" w:type="dxa"/>
            <w:tcBorders>
              <w:tl2br w:val="nil"/>
              <w:tr2bl w:val="nil"/>
            </w:tcBorders>
            <w:vAlign w:val="center"/>
          </w:tcPr>
          <w:p>
            <w:pPr>
              <w:jc w:val="center"/>
              <w:rPr>
                <w:sz w:val="18"/>
                <w:szCs w:val="18"/>
              </w:rPr>
            </w:pPr>
            <w:r>
              <w:rPr>
                <w:rFonts w:hint="eastAsia"/>
                <w:sz w:val="18"/>
                <w:szCs w:val="18"/>
              </w:rPr>
              <w:t>17</w:t>
            </w:r>
          </w:p>
        </w:tc>
        <w:tc>
          <w:tcPr>
            <w:tcW w:w="2081" w:type="dxa"/>
            <w:tcBorders>
              <w:tl2br w:val="nil"/>
              <w:tr2bl w:val="nil"/>
            </w:tcBorders>
            <w:vAlign w:val="center"/>
          </w:tcPr>
          <w:p>
            <w:pPr>
              <w:jc w:val="center"/>
              <w:rPr>
                <w:rFonts w:ascii="Times New Roman" w:hAnsi="Times New Roman"/>
                <w:sz w:val="18"/>
                <w:szCs w:val="18"/>
              </w:rPr>
            </w:pPr>
            <w:r>
              <w:rPr>
                <w:rFonts w:hint="eastAsia" w:ascii="Times New Roman" w:hAnsi="Times New Roman"/>
                <w:sz w:val="18"/>
                <w:szCs w:val="18"/>
              </w:rPr>
              <w:t>聚氨酯保温</w:t>
            </w:r>
          </w:p>
        </w:tc>
        <w:tc>
          <w:tcPr>
            <w:tcW w:w="1334" w:type="dxa"/>
            <w:vMerge w:val="continue"/>
            <w:tcBorders>
              <w:tl2br w:val="nil"/>
              <w:tr2bl w:val="nil"/>
            </w:tcBorders>
            <w:vAlign w:val="center"/>
          </w:tcPr>
          <w:p>
            <w:pPr>
              <w:jc w:val="center"/>
              <w:rPr>
                <w:rFonts w:ascii="Times New Roman" w:hAnsi="Times New Roman"/>
                <w:sz w:val="18"/>
                <w:szCs w:val="18"/>
              </w:rPr>
            </w:pPr>
          </w:p>
        </w:tc>
        <w:tc>
          <w:tcPr>
            <w:tcW w:w="4225" w:type="dxa"/>
            <w:tcBorders>
              <w:tl2br w:val="nil"/>
              <w:tr2bl w:val="nil"/>
            </w:tcBorders>
            <w:vAlign w:val="center"/>
          </w:tcPr>
          <w:p>
            <w:pPr>
              <w:rPr>
                <w:sz w:val="18"/>
                <w:szCs w:val="18"/>
              </w:rPr>
            </w:pPr>
            <w:r>
              <w:rPr>
                <w:rFonts w:hint="eastAsia"/>
                <w:sz w:val="18"/>
                <w:szCs w:val="18"/>
              </w:rPr>
              <w:t>1.陶氏（DOW）</w:t>
            </w:r>
          </w:p>
          <w:p>
            <w:pPr>
              <w:pStyle w:val="2"/>
              <w:ind w:left="0" w:leftChars="0"/>
              <w:rPr>
                <w:sz w:val="18"/>
                <w:szCs w:val="18"/>
              </w:rPr>
            </w:pPr>
            <w:r>
              <w:rPr>
                <w:rFonts w:hint="eastAsia"/>
                <w:sz w:val="18"/>
                <w:szCs w:val="18"/>
              </w:rPr>
              <w:t>2.中海壳牌</w:t>
            </w:r>
          </w:p>
          <w:p>
            <w:pPr>
              <w:rPr>
                <w:sz w:val="18"/>
                <w:szCs w:val="18"/>
              </w:rPr>
            </w:pPr>
            <w:r>
              <w:rPr>
                <w:rFonts w:hint="eastAsia"/>
                <w:sz w:val="18"/>
                <w:szCs w:val="18"/>
              </w:rPr>
              <w:t>3.巴斯夫（BASF）</w:t>
            </w:r>
            <w:r>
              <w:rPr>
                <w:rFonts w:hint="eastAsia"/>
                <w:sz w:val="18"/>
                <w:szCs w:val="18"/>
              </w:rPr>
              <w:br w:type="textWrapping"/>
            </w:r>
            <w:r>
              <w:rPr>
                <w:rFonts w:hint="eastAsia"/>
                <w:sz w:val="18"/>
                <w:szCs w:val="18"/>
              </w:rPr>
              <w:t>4.亨斯迈（Huntsman）</w:t>
            </w:r>
            <w:r>
              <w:rPr>
                <w:rFonts w:hint="eastAsia"/>
                <w:sz w:val="18"/>
                <w:szCs w:val="18"/>
              </w:rPr>
              <w:br w:type="textWrapping"/>
            </w:r>
            <w:r>
              <w:rPr>
                <w:rFonts w:hint="eastAsia"/>
                <w:sz w:val="18"/>
                <w:szCs w:val="18"/>
              </w:rPr>
              <w:t>5.万华</w:t>
            </w:r>
          </w:p>
        </w:tc>
      </w:tr>
    </w:tbl>
    <w:p>
      <w:pPr>
        <w:spacing w:line="440" w:lineRule="exact"/>
        <w:rPr>
          <w:rFonts w:ascii="宋体" w:hAnsi="宋体" w:cs="宋体"/>
          <w:bCs/>
          <w:color w:val="000000"/>
          <w:szCs w:val="21"/>
        </w:rPr>
      </w:pPr>
    </w:p>
    <w:p>
      <w:pPr>
        <w:spacing w:line="440" w:lineRule="exact"/>
        <w:rPr>
          <w:rFonts w:ascii="宋体" w:hAnsi="宋体" w:cs="宋体"/>
          <w:b/>
          <w:color w:val="000000"/>
          <w:szCs w:val="21"/>
        </w:rPr>
      </w:pPr>
      <w:r>
        <w:rPr>
          <w:rFonts w:hint="eastAsia" w:ascii="宋体" w:hAnsi="宋体" w:cs="宋体"/>
          <w:b/>
          <w:color w:val="000000"/>
          <w:szCs w:val="21"/>
        </w:rPr>
        <w:t>19</w:t>
      </w:r>
      <w:r>
        <w:rPr>
          <w:rFonts w:ascii="宋体" w:hAnsi="宋体" w:cs="宋体"/>
          <w:b/>
          <w:color w:val="000000"/>
          <w:szCs w:val="21"/>
        </w:rPr>
        <w:t>.</w:t>
      </w:r>
      <w:r>
        <w:rPr>
          <w:rFonts w:hint="eastAsia" w:ascii="宋体" w:hAnsi="宋体" w:cs="宋体"/>
          <w:b/>
          <w:color w:val="000000"/>
          <w:szCs w:val="21"/>
        </w:rPr>
        <w:t>维护手册</w:t>
      </w:r>
    </w:p>
    <w:p>
      <w:pPr>
        <w:spacing w:line="440" w:lineRule="exact"/>
        <w:ind w:firstLine="420" w:firstLineChars="200"/>
        <w:rPr>
          <w:rFonts w:ascii="宋体" w:hAnsi="宋体"/>
        </w:rPr>
      </w:pPr>
      <w:r>
        <w:rPr>
          <w:rFonts w:hint="eastAsia" w:ascii="宋体" w:hAnsi="宋体"/>
        </w:rPr>
        <w:t>19</w:t>
      </w:r>
      <w:r>
        <w:rPr>
          <w:rFonts w:ascii="宋体" w:hAnsi="宋体"/>
        </w:rPr>
        <w:t>.1</w:t>
      </w:r>
      <w:r>
        <w:rPr>
          <w:rFonts w:hint="eastAsia" w:ascii="宋体" w:hAnsi="宋体"/>
        </w:rPr>
        <w:t>承包人在本项目竣工验收之前，应向招标人提供维护保养手册（包含甲供设备，由承包人收集汇总），手册</w:t>
      </w:r>
      <w:r>
        <w:rPr>
          <w:rFonts w:hint="eastAsia" w:ascii="宋体" w:hAnsi="宋体"/>
          <w:lang w:eastAsia="zh-Hans"/>
        </w:rPr>
        <w:t>内容应按照发包人要求进行增补与完善，</w:t>
      </w:r>
      <w:r>
        <w:rPr>
          <w:rFonts w:hint="eastAsia" w:ascii="宋体" w:hAnsi="宋体"/>
        </w:rPr>
        <w:t>包括但不仅限于以下内容：</w:t>
      </w:r>
    </w:p>
    <w:p>
      <w:pPr>
        <w:spacing w:line="440" w:lineRule="exact"/>
        <w:ind w:firstLine="420" w:firstLineChars="200"/>
        <w:rPr>
          <w:rFonts w:ascii="宋体" w:hAnsi="宋体" w:cs="宋体"/>
        </w:rPr>
      </w:pPr>
      <w:r>
        <w:rPr>
          <w:rFonts w:hint="eastAsia" w:ascii="宋体" w:hAnsi="宋体" w:cs="宋体"/>
        </w:rPr>
        <w:t>（1）所有设备的规格及详细的中文版操作手册、调试手册及质量保证书六套。</w:t>
      </w:r>
    </w:p>
    <w:p>
      <w:pPr>
        <w:spacing w:line="440" w:lineRule="exact"/>
        <w:ind w:firstLine="420" w:firstLineChars="200"/>
        <w:rPr>
          <w:rFonts w:ascii="宋体" w:hAnsi="宋体" w:cs="宋体"/>
        </w:rPr>
      </w:pPr>
      <w:r>
        <w:rPr>
          <w:rFonts w:hint="eastAsia" w:ascii="宋体" w:hAnsi="宋体" w:cs="宋体"/>
        </w:rPr>
        <w:t>（2）系统和主要部件常见故障说明，包括配件及装配图、一般事故说明。说明书需包括操作及使用手册和常见备件清单。</w:t>
      </w:r>
    </w:p>
    <w:p>
      <w:pPr>
        <w:spacing w:line="440" w:lineRule="exact"/>
        <w:ind w:firstLine="420" w:firstLineChars="200"/>
        <w:rPr>
          <w:rFonts w:ascii="宋体" w:hAnsi="宋体" w:cs="宋体"/>
        </w:rPr>
      </w:pPr>
      <w:r>
        <w:rPr>
          <w:rFonts w:hint="eastAsia" w:ascii="宋体" w:hAnsi="宋体" w:cs="宋体"/>
        </w:rPr>
        <w:t>（3）建议的保养期、保养方式、局部更换及修补方法等。</w:t>
      </w:r>
    </w:p>
    <w:p>
      <w:pPr>
        <w:spacing w:line="440" w:lineRule="exact"/>
        <w:ind w:firstLine="420" w:firstLineChars="200"/>
        <w:rPr>
          <w:rFonts w:ascii="宋体" w:hAnsi="宋体" w:cs="宋体"/>
        </w:rPr>
      </w:pPr>
      <w:r>
        <w:rPr>
          <w:rFonts w:hint="eastAsia" w:ascii="宋体" w:hAnsi="宋体" w:cs="宋体"/>
        </w:rPr>
        <w:t>（4）建议的紧急安全程序。</w:t>
      </w:r>
    </w:p>
    <w:p>
      <w:pPr>
        <w:spacing w:line="440" w:lineRule="exact"/>
        <w:ind w:firstLine="420" w:firstLineChars="200"/>
        <w:rPr>
          <w:rFonts w:ascii="宋体" w:hAnsi="宋体"/>
        </w:rPr>
      </w:pPr>
      <w:r>
        <w:rPr>
          <w:rFonts w:hint="eastAsia" w:ascii="宋体" w:hAnsi="宋体"/>
        </w:rPr>
        <w:t>（5）国内维护机构的资料、紧急维修中心的电话、地址及负责人的联系方式。</w:t>
      </w:r>
    </w:p>
    <w:p>
      <w:pPr>
        <w:spacing w:line="440" w:lineRule="exact"/>
        <w:ind w:firstLine="420" w:firstLineChars="200"/>
        <w:rPr>
          <w:rFonts w:ascii="宋体" w:hAnsi="宋体"/>
        </w:rPr>
      </w:pPr>
      <w:r>
        <w:rPr>
          <w:rFonts w:hint="eastAsia" w:ascii="宋体" w:hAnsi="宋体"/>
        </w:rPr>
        <w:t>19</w:t>
      </w:r>
      <w:r>
        <w:rPr>
          <w:rFonts w:ascii="宋体" w:hAnsi="宋体"/>
        </w:rPr>
        <w:t>.2</w:t>
      </w:r>
      <w:r>
        <w:rPr>
          <w:rFonts w:hint="eastAsia" w:ascii="宋体" w:hAnsi="宋体"/>
        </w:rPr>
        <w:t>维护保养手册由承包人汇总编制成册，提供六册及电子版（包括甲供设备也由承包人汇总）。</w:t>
      </w:r>
    </w:p>
    <w:p>
      <w:pPr>
        <w:pStyle w:val="2"/>
      </w:pPr>
    </w:p>
    <w:p>
      <w:pPr>
        <w:spacing w:line="440" w:lineRule="exact"/>
        <w:rPr>
          <w:rFonts w:ascii="宋体" w:hAnsi="宋体" w:cs="宋体"/>
          <w:b/>
          <w:color w:val="000000"/>
          <w:szCs w:val="21"/>
        </w:rPr>
      </w:pPr>
      <w:r>
        <w:rPr>
          <w:rFonts w:hint="eastAsia" w:ascii="宋体" w:hAnsi="宋体" w:cs="宋体"/>
          <w:b/>
          <w:color w:val="000000"/>
          <w:szCs w:val="21"/>
        </w:rPr>
        <w:t>20</w:t>
      </w:r>
      <w:r>
        <w:rPr>
          <w:rFonts w:ascii="宋体" w:hAnsi="宋体" w:cs="宋体"/>
          <w:b/>
          <w:color w:val="000000"/>
          <w:szCs w:val="21"/>
        </w:rPr>
        <w:t>.</w:t>
      </w:r>
      <w:r>
        <w:rPr>
          <w:rFonts w:hint="eastAsia" w:ascii="宋体" w:hAnsi="宋体" w:cs="宋体"/>
          <w:b/>
          <w:color w:val="000000"/>
          <w:szCs w:val="21"/>
        </w:rPr>
        <w:t>培训</w:t>
      </w:r>
    </w:p>
    <w:p>
      <w:pPr>
        <w:spacing w:line="440" w:lineRule="exact"/>
        <w:ind w:firstLine="420" w:firstLineChars="200"/>
        <w:rPr>
          <w:rFonts w:ascii="宋体" w:hAnsi="宋体"/>
        </w:rPr>
      </w:pPr>
      <w:r>
        <w:rPr>
          <w:rFonts w:hint="eastAsia" w:ascii="宋体" w:hAnsi="宋体"/>
        </w:rPr>
        <w:t>（1）承包人应对使用单位技术人员、操作人员和维修人员进行设施设备使用（包括安装、操作、检查维修、维护）的技术培训，每套系统至少进行三次培训（具体培训时间及次数以发包人实际需求为准）</w:t>
      </w:r>
      <w:r>
        <w:rPr>
          <w:rFonts w:hint="eastAsia" w:ascii="宋体" w:hAnsi="宋体"/>
          <w:lang w:eastAsia="zh-Hans"/>
        </w:rPr>
        <w:t>。</w:t>
      </w:r>
    </w:p>
    <w:p>
      <w:pPr>
        <w:spacing w:line="440" w:lineRule="exact"/>
        <w:ind w:firstLine="420" w:firstLineChars="200"/>
        <w:rPr>
          <w:rFonts w:ascii="宋体" w:hAnsi="宋体"/>
        </w:rPr>
      </w:pPr>
      <w:r>
        <w:rPr>
          <w:rFonts w:hint="eastAsia" w:ascii="宋体" w:hAnsi="宋体"/>
        </w:rPr>
        <w:t>（2）培训前，培训人员的简历连同培训计划要一并提交发包人批准。发包人认为培训人员不合适可要求更换。</w:t>
      </w:r>
    </w:p>
    <w:p>
      <w:pPr>
        <w:spacing w:line="440" w:lineRule="exact"/>
        <w:ind w:firstLine="420" w:firstLineChars="200"/>
        <w:rPr>
          <w:rFonts w:ascii="宋体" w:hAnsi="宋体"/>
        </w:rPr>
      </w:pPr>
      <w:r>
        <w:rPr>
          <w:rFonts w:hint="eastAsia" w:ascii="宋体" w:hAnsi="宋体"/>
        </w:rPr>
        <w:t>（3）承包商培训前应提供中文使用、维修手册。通过培训使用单位人员能够了解设备结构工作原理及工作性质，能排除一般故障。</w:t>
      </w:r>
    </w:p>
    <w:p>
      <w:pPr>
        <w:spacing w:line="440" w:lineRule="exact"/>
        <w:ind w:firstLine="420" w:firstLineChars="200"/>
        <w:rPr>
          <w:rFonts w:ascii="宋体" w:hAnsi="宋体"/>
        </w:rPr>
      </w:pPr>
      <w:r>
        <w:rPr>
          <w:rFonts w:hint="eastAsia" w:ascii="宋体" w:hAnsi="宋体"/>
        </w:rPr>
        <w:t>（4）承包商派出的现场培训指导人员的各项费用，已经包含在合同总价中，发包人不再提供。</w:t>
      </w:r>
    </w:p>
    <w:p>
      <w:pPr>
        <w:spacing w:line="440" w:lineRule="exact"/>
        <w:ind w:firstLine="420" w:firstLineChars="200"/>
        <w:rPr>
          <w:rFonts w:ascii="宋体" w:hAnsi="宋体"/>
        </w:rPr>
      </w:pPr>
      <w:r>
        <w:rPr>
          <w:rFonts w:hint="eastAsia" w:ascii="宋体" w:hAnsi="宋体"/>
        </w:rPr>
        <w:t>（5）现场培训完成后，承包商应向使用单位的受训人员颁发证书，使用单位向承包商签发现场培训完成证明。</w:t>
      </w:r>
    </w:p>
    <w:p>
      <w:pPr>
        <w:spacing w:line="440" w:lineRule="exact"/>
        <w:ind w:firstLine="420" w:firstLineChars="200"/>
        <w:rPr>
          <w:rFonts w:ascii="宋体" w:hAnsi="宋体"/>
        </w:rPr>
      </w:pPr>
      <w:r>
        <w:rPr>
          <w:rFonts w:hint="eastAsia" w:ascii="宋体" w:hAnsi="宋体"/>
        </w:rPr>
        <w:t>（6）发包人对培训人员进行考勤及服务考核</w:t>
      </w:r>
      <w:bookmarkStart w:id="390" w:name="_Toc438797914"/>
      <w:r>
        <w:rPr>
          <w:rFonts w:hint="eastAsia" w:ascii="宋体" w:hAnsi="宋体"/>
        </w:rPr>
        <w:t>，发包人有权要求更换不合格的培训人员。</w:t>
      </w:r>
    </w:p>
    <w:p>
      <w:pPr>
        <w:spacing w:line="440" w:lineRule="exact"/>
        <w:ind w:firstLine="420" w:firstLineChars="200"/>
        <w:rPr>
          <w:rFonts w:ascii="宋体" w:hAnsi="宋体"/>
        </w:rPr>
      </w:pPr>
      <w:r>
        <w:rPr>
          <w:rFonts w:hint="eastAsia" w:ascii="宋体" w:hAnsi="宋体"/>
        </w:rPr>
        <w:t>（7）培训的其他要求：</w:t>
      </w:r>
      <w:bookmarkEnd w:id="390"/>
      <w:bookmarkStart w:id="391" w:name="_Toc438797915"/>
      <w:r>
        <w:rPr>
          <w:rFonts w:hint="eastAsia" w:ascii="宋体" w:hAnsi="宋体"/>
        </w:rPr>
        <w:t>工程竣工前，所有设施、设备、系统的操作及基本维护均应对使用单位运行管理人员进行操作培训，制定培训手册，并做好培训记录。在该项目正式投入使用后一个月内，中标单位应对重要系统派人提供24小时应急服务，保证系统正常运行。</w:t>
      </w:r>
      <w:bookmarkEnd w:id="391"/>
      <w:r>
        <w:rPr>
          <w:rFonts w:hint="eastAsia" w:ascii="宋体" w:hAnsi="宋体"/>
        </w:rPr>
        <w:t>同时，在本项目投入使用前必须完成向最终用户单位的实体移交工作，投标人必须按照招标人要求填写资产移交表格，并与使用方在现场完成资产清点的工作。以上所发生费用应在投标报价中综合考虑。</w:t>
      </w:r>
    </w:p>
    <w:p>
      <w:pPr>
        <w:spacing w:line="440" w:lineRule="exact"/>
        <w:rPr>
          <w:rFonts w:ascii="宋体" w:hAnsi="宋体" w:cs="宋体"/>
          <w:b/>
          <w:color w:val="000000"/>
          <w:szCs w:val="21"/>
        </w:rPr>
      </w:pPr>
    </w:p>
    <w:p>
      <w:pPr>
        <w:spacing w:line="440" w:lineRule="exact"/>
        <w:rPr>
          <w:rFonts w:ascii="宋体" w:hAnsi="宋体" w:cs="宋体"/>
          <w:b/>
          <w:color w:val="000000"/>
          <w:szCs w:val="21"/>
        </w:rPr>
      </w:pPr>
      <w:r>
        <w:rPr>
          <w:rFonts w:hint="eastAsia" w:ascii="宋体" w:hAnsi="宋体" w:cs="宋体"/>
          <w:b/>
          <w:color w:val="000000"/>
          <w:szCs w:val="21"/>
        </w:rPr>
        <w:t>21</w:t>
      </w:r>
      <w:r>
        <w:rPr>
          <w:rFonts w:ascii="宋体" w:hAnsi="宋体" w:cs="宋体"/>
          <w:b/>
          <w:color w:val="000000"/>
          <w:szCs w:val="21"/>
        </w:rPr>
        <w:t>.</w:t>
      </w:r>
      <w:r>
        <w:rPr>
          <w:rFonts w:hint="eastAsia" w:ascii="宋体" w:hAnsi="宋体" w:cs="宋体"/>
          <w:b/>
          <w:color w:val="000000"/>
          <w:szCs w:val="21"/>
        </w:rPr>
        <w:t>实体移交</w:t>
      </w:r>
    </w:p>
    <w:p>
      <w:pPr>
        <w:spacing w:line="440" w:lineRule="exact"/>
        <w:ind w:firstLine="420" w:firstLineChars="200"/>
        <w:rPr>
          <w:rFonts w:ascii="宋体" w:hAnsi="宋体"/>
        </w:rPr>
      </w:pPr>
      <w:bookmarkStart w:id="392" w:name="_Toc438797917"/>
      <w:r>
        <w:rPr>
          <w:rFonts w:hint="eastAsia" w:ascii="宋体" w:hAnsi="宋体"/>
        </w:rPr>
        <w:t>按照发包人提供的《固定资产名录表》填写《*******新建（购）固定资产移交清单》，要求在项目验收前完成资产移交清单的编制、资产标签粘贴等工作，并将完整的资产清单提交发包人。所有乙购（由承包人收集汇总）产品配套的资料（维修手册、保养手册、调试手册、国内外维修机构的资料）、工具、仪器、配件及其他附属品，均在项目验收时一并移交发包人。</w:t>
      </w:r>
      <w:bookmarkEnd w:id="392"/>
    </w:p>
    <w:p>
      <w:pPr>
        <w:spacing w:line="440" w:lineRule="exact"/>
        <w:ind w:firstLine="420" w:firstLineChars="200"/>
        <w:rPr>
          <w:rFonts w:ascii="宋体" w:hAnsi="宋体"/>
          <w:bCs/>
        </w:rPr>
      </w:pPr>
      <w:r>
        <w:rPr>
          <w:rFonts w:hint="eastAsia" w:ascii="宋体" w:hAnsi="宋体"/>
          <w:bCs/>
        </w:rPr>
        <w:t>在设备使用过程中，若有零部件集中或周期性出现故障，经专业部门鉴定属于寿命异常（明显短于正常寿命）或产品缺陷，则投标人应负责免费更换及维修直至故障彻底排除，相关鉴定费用由投标人承担。如经鉴定非产品质量问题，相关鉴定费用由业主承担。</w:t>
      </w:r>
    </w:p>
    <w:p>
      <w:pPr>
        <w:spacing w:line="440" w:lineRule="exact"/>
        <w:ind w:firstLine="420" w:firstLineChars="200"/>
        <w:rPr>
          <w:rFonts w:ascii="宋体" w:hAnsi="宋体"/>
          <w:bCs/>
        </w:rPr>
      </w:pPr>
    </w:p>
    <w:p>
      <w:pPr>
        <w:spacing w:line="440" w:lineRule="exact"/>
        <w:rPr>
          <w:rFonts w:ascii="宋体" w:hAnsi="宋体" w:cs="宋体"/>
          <w:b/>
          <w:color w:val="000000"/>
          <w:szCs w:val="21"/>
        </w:rPr>
      </w:pPr>
      <w:r>
        <w:rPr>
          <w:rFonts w:ascii="宋体" w:hAnsi="宋体" w:cs="宋体"/>
          <w:b/>
          <w:color w:val="000000"/>
          <w:szCs w:val="21"/>
        </w:rPr>
        <w:t>2</w:t>
      </w:r>
      <w:r>
        <w:rPr>
          <w:rFonts w:hint="eastAsia" w:ascii="宋体" w:hAnsi="宋体" w:cs="宋体"/>
          <w:b/>
          <w:color w:val="000000"/>
          <w:szCs w:val="21"/>
        </w:rPr>
        <w:t>2</w:t>
      </w:r>
      <w:r>
        <w:rPr>
          <w:rFonts w:ascii="宋体" w:hAnsi="宋体" w:cs="宋体"/>
          <w:b/>
          <w:color w:val="000000"/>
          <w:szCs w:val="21"/>
        </w:rPr>
        <w:t>.</w:t>
      </w:r>
      <w:r>
        <w:rPr>
          <w:rFonts w:hint="eastAsia" w:ascii="宋体" w:hAnsi="宋体" w:cs="宋体"/>
          <w:b/>
          <w:color w:val="000000"/>
          <w:szCs w:val="21"/>
        </w:rPr>
        <w:t>工程试运行</w:t>
      </w:r>
    </w:p>
    <w:p>
      <w:pPr>
        <w:spacing w:line="440" w:lineRule="exact"/>
        <w:ind w:firstLine="420" w:firstLineChars="200"/>
      </w:pPr>
      <w:r>
        <w:rPr>
          <w:rFonts w:hint="eastAsia"/>
        </w:rPr>
        <w:t>（1）承包人负责本招标范围的工程项目各专业工程的试运行</w:t>
      </w:r>
      <w:r>
        <w:rPr>
          <w:rFonts w:hint="eastAsia"/>
          <w:lang w:eastAsia="zh-Hans"/>
        </w:rPr>
        <w:t>牵头管理</w:t>
      </w:r>
      <w:r>
        <w:rPr>
          <w:rFonts w:hint="eastAsia"/>
        </w:rPr>
        <w:t>。试运行的合计天数和每天运行时间承包人综合考虑。承包单位应制定试运行方案，试运行方案经发包人、监理审核后实施。承包人安装范围内的设备、设施</w:t>
      </w:r>
      <w:r>
        <w:t>调试期间</w:t>
      </w:r>
      <w:r>
        <w:rPr>
          <w:rFonts w:hint="eastAsia"/>
        </w:rPr>
        <w:t>的水、电费由承包人承担，费用综合考虑。</w:t>
      </w:r>
    </w:p>
    <w:p>
      <w:pPr>
        <w:spacing w:line="440" w:lineRule="exact"/>
        <w:ind w:firstLine="420" w:firstLineChars="200"/>
      </w:pPr>
      <w:r>
        <w:rPr>
          <w:rFonts w:hint="eastAsia"/>
        </w:rPr>
        <w:t>（2）承包人应服从发包人的要求配合T3航站楼、GTC停车楼、工作区等区域的空调调试及试运行。为配合T3航站楼、GTC停车楼、工作区等区域的空调调试及试运行，承包人安装范围内的设备、设施从本项目联合试运转合格至本项目交付使用单位之前所产生的试运行费用（含水、电费等）由承包人承担，投标人投标时应进行充分的测算，并在投标报价中列明。</w:t>
      </w:r>
    </w:p>
    <w:p>
      <w:pPr>
        <w:spacing w:line="440" w:lineRule="exact"/>
        <w:ind w:firstLine="420" w:firstLineChars="200"/>
      </w:pPr>
      <w:r>
        <w:rPr>
          <w:rFonts w:hint="eastAsia"/>
        </w:rPr>
        <w:t>（3）承包人应在原有项目团队的基础上组建试运行团队，积极解决试运行期间的事宜。</w:t>
      </w:r>
    </w:p>
    <w:p>
      <w:pPr>
        <w:spacing w:line="440" w:lineRule="exact"/>
        <w:rPr>
          <w:rFonts w:ascii="宋体" w:hAnsi="宋体" w:cs="宋体"/>
          <w:b/>
          <w:color w:val="000000"/>
          <w:szCs w:val="21"/>
        </w:rPr>
      </w:pPr>
    </w:p>
    <w:p>
      <w:pPr>
        <w:spacing w:line="440" w:lineRule="exact"/>
        <w:rPr>
          <w:rFonts w:ascii="宋体" w:hAnsi="宋体" w:cs="宋体"/>
          <w:b/>
          <w:color w:val="000000"/>
          <w:szCs w:val="21"/>
        </w:rPr>
      </w:pPr>
      <w:r>
        <w:rPr>
          <w:rFonts w:ascii="宋体" w:hAnsi="宋体" w:cs="宋体"/>
          <w:b/>
          <w:color w:val="000000"/>
          <w:szCs w:val="21"/>
        </w:rPr>
        <w:t>2</w:t>
      </w:r>
      <w:r>
        <w:rPr>
          <w:rFonts w:hint="eastAsia" w:ascii="宋体" w:hAnsi="宋体" w:cs="宋体"/>
          <w:b/>
          <w:color w:val="000000"/>
          <w:szCs w:val="21"/>
        </w:rPr>
        <w:t>3</w:t>
      </w:r>
      <w:r>
        <w:rPr>
          <w:rFonts w:ascii="宋体" w:hAnsi="宋体" w:cs="宋体"/>
          <w:b/>
          <w:color w:val="000000"/>
          <w:szCs w:val="21"/>
        </w:rPr>
        <w:t>.</w:t>
      </w:r>
      <w:r>
        <w:rPr>
          <w:rFonts w:hint="eastAsia" w:ascii="宋体" w:hAnsi="宋体" w:cs="宋体"/>
          <w:b/>
          <w:color w:val="000000"/>
          <w:szCs w:val="21"/>
        </w:rPr>
        <w:t>陪伴运行（三个月）</w:t>
      </w:r>
    </w:p>
    <w:p>
      <w:pPr>
        <w:spacing w:line="440" w:lineRule="exact"/>
        <w:ind w:firstLine="420" w:firstLineChars="200"/>
        <w:rPr>
          <w:rFonts w:ascii="宋体" w:hAnsi="宋体"/>
          <w:szCs w:val="21"/>
        </w:rPr>
      </w:pPr>
      <w:r>
        <w:rPr>
          <w:rFonts w:hint="eastAsia" w:ascii="宋体" w:hAnsi="宋体"/>
          <w:szCs w:val="21"/>
        </w:rPr>
        <w:t>（1）陪伴运行是指投产后，机场运营或维修人员无法全面熟悉现场和设备，不能确保正常运营，需要施工方（或设备供应方）派遣足够且熟悉现场及设备的技术人员协助运营人员进行操作、抢修、维护，以保证机场的正常运营及服务质量。</w:t>
      </w:r>
    </w:p>
    <w:p>
      <w:pPr>
        <w:spacing w:line="440" w:lineRule="exact"/>
        <w:ind w:firstLine="420" w:firstLineChars="200"/>
        <w:rPr>
          <w:rFonts w:ascii="宋体" w:hAnsi="宋体"/>
          <w:szCs w:val="21"/>
        </w:rPr>
      </w:pPr>
      <w:r>
        <w:rPr>
          <w:rFonts w:hint="eastAsia" w:ascii="宋体" w:hAnsi="宋体"/>
          <w:szCs w:val="21"/>
        </w:rPr>
        <w:t>（2）承包人必须根据发包人的要求安排人员进行陪伴运行，陪伴运行人员应熟悉工程及设备的操作、运行及维修工作，以保证工程投入使用后的正常运营。</w:t>
      </w:r>
    </w:p>
    <w:p>
      <w:pPr>
        <w:spacing w:line="440" w:lineRule="exact"/>
        <w:ind w:firstLine="420" w:firstLineChars="200"/>
        <w:rPr>
          <w:rFonts w:ascii="宋体" w:hAnsi="宋体"/>
          <w:szCs w:val="21"/>
        </w:rPr>
      </w:pPr>
      <w:r>
        <w:rPr>
          <w:rFonts w:hint="eastAsia" w:ascii="宋体" w:hAnsi="宋体"/>
          <w:szCs w:val="21"/>
        </w:rPr>
        <w:t>（3）陪伴运行期间，陪伴运行人员应住在机场附近，保证运行时期所有人员在现场上班，满足操作及抢修需求。在此期间应保证熟悉场地及专业的施工人员满足及时抢修的需要，并保证有足够的管理人员在场。</w:t>
      </w:r>
    </w:p>
    <w:p>
      <w:pPr>
        <w:spacing w:line="440" w:lineRule="exact"/>
        <w:ind w:firstLine="420" w:firstLineChars="200"/>
        <w:rPr>
          <w:rFonts w:ascii="宋体" w:hAnsi="宋体"/>
          <w:szCs w:val="21"/>
        </w:rPr>
      </w:pPr>
      <w:r>
        <w:rPr>
          <w:rFonts w:hint="eastAsia" w:ascii="宋体" w:hAnsi="宋体"/>
          <w:szCs w:val="21"/>
        </w:rPr>
        <w:t>（4）陪伴运行期间，承包人应及时响应有关单位在此项目范围内的抢修、维护需求，接到发包人或机场相关单位通知2小时内应赶到现场；对影响机场安全、正常运行及服务质量的设施设备故障，发包人或机场相关单位催告承包人进行维修、处理，若催告超过3次，承包人仍未维修、处理的，发包人或机场相关单位可组织进行维修、处理，产生的费用</w:t>
      </w:r>
      <w:r>
        <w:rPr>
          <w:rFonts w:hint="eastAsia" w:ascii="宋体" w:hAnsi="宋体"/>
          <w:szCs w:val="21"/>
          <w:lang w:eastAsia="zh-Hans"/>
        </w:rPr>
        <w:t>将在质量保修金内扣除</w:t>
      </w:r>
      <w:r>
        <w:rPr>
          <w:rFonts w:hint="eastAsia" w:ascii="宋体" w:hAnsi="宋体"/>
          <w:szCs w:val="21"/>
        </w:rPr>
        <w:t>。</w:t>
      </w:r>
    </w:p>
    <w:p>
      <w:pPr>
        <w:spacing w:line="440" w:lineRule="exact"/>
        <w:ind w:firstLine="420" w:firstLineChars="200"/>
        <w:rPr>
          <w:rFonts w:ascii="宋体" w:hAnsi="宋体"/>
          <w:szCs w:val="21"/>
        </w:rPr>
      </w:pPr>
      <w:r>
        <w:rPr>
          <w:rFonts w:hint="eastAsia" w:ascii="宋体" w:hAnsi="宋体"/>
          <w:szCs w:val="21"/>
        </w:rPr>
        <w:t>（5）陪伴运行开始时间是从投产后开始，共三个月，在此期间施工方及设备供应方应服从发包人的其他规定。陪伴运行所需费用包含于投标综合报价中。</w:t>
      </w:r>
    </w:p>
    <w:p>
      <w:pPr>
        <w:spacing w:line="440" w:lineRule="exact"/>
        <w:ind w:firstLine="420" w:firstLineChars="200"/>
        <w:rPr>
          <w:rFonts w:ascii="宋体" w:hAnsi="宋体"/>
          <w:szCs w:val="21"/>
        </w:rPr>
      </w:pPr>
      <w:r>
        <w:rPr>
          <w:rFonts w:hint="eastAsia" w:ascii="宋体" w:hAnsi="宋体"/>
          <w:szCs w:val="21"/>
        </w:rPr>
        <w:t>（6）陪伴运行人数：应不少于4人。</w:t>
      </w:r>
      <w:bookmarkStart w:id="393" w:name="陪伴运行"/>
      <w:bookmarkEnd w:id="393"/>
    </w:p>
    <w:p>
      <w:pPr>
        <w:spacing w:line="440" w:lineRule="exact"/>
        <w:rPr>
          <w:rFonts w:ascii="宋体" w:hAnsi="宋体" w:cs="宋体"/>
          <w:b/>
          <w:color w:val="000000"/>
          <w:szCs w:val="21"/>
        </w:rPr>
      </w:pPr>
    </w:p>
    <w:p>
      <w:pPr>
        <w:spacing w:line="440" w:lineRule="exact"/>
        <w:rPr>
          <w:rFonts w:ascii="宋体" w:hAnsi="宋体" w:cs="宋体"/>
          <w:b/>
          <w:color w:val="000000"/>
          <w:szCs w:val="21"/>
        </w:rPr>
      </w:pPr>
      <w:r>
        <w:rPr>
          <w:rFonts w:hint="eastAsia" w:ascii="宋体" w:hAnsi="宋体" w:cs="宋体"/>
          <w:b/>
          <w:color w:val="000000"/>
          <w:szCs w:val="21"/>
        </w:rPr>
        <w:t>24</w:t>
      </w:r>
      <w:r>
        <w:rPr>
          <w:rFonts w:ascii="宋体" w:hAnsi="宋体" w:cs="宋体"/>
          <w:b/>
          <w:color w:val="000000"/>
          <w:szCs w:val="21"/>
        </w:rPr>
        <w:t>.</w:t>
      </w:r>
      <w:r>
        <w:rPr>
          <w:rFonts w:hint="eastAsia" w:ascii="宋体" w:hAnsi="宋体" w:cs="宋体"/>
          <w:b/>
          <w:color w:val="000000"/>
          <w:szCs w:val="21"/>
        </w:rPr>
        <w:t>质量和安全文明施工违约处理</w:t>
      </w:r>
    </w:p>
    <w:p>
      <w:pPr>
        <w:spacing w:line="440" w:lineRule="exact"/>
        <w:ind w:firstLine="420" w:firstLineChars="200"/>
      </w:pPr>
      <w:r>
        <w:rPr>
          <w:rFonts w:hint="eastAsia"/>
        </w:rPr>
        <w:t>附件7 《质量和安全文明施工违约扣除标准表》中的检查项目目前供参考，承包人进场后，将由监理单位组织参建各方共同制定发布《质量和安全文明施工违约扣除标准表》，并可根据施工进度和施工中出现的安全、质量问题对表格进行修订。因承包人原因</w:t>
      </w:r>
      <w:r>
        <w:rPr>
          <w:rFonts w:hint="eastAsia" w:ascii="宋体" w:hAnsi="宋体"/>
          <w:szCs w:val="21"/>
        </w:rPr>
        <w:t>发生质量、安全文明施工违约情况的，发包人将从支付给承包人的工程进度款或结算款中扣除违约金。扣除违约金</w:t>
      </w:r>
      <w:r>
        <w:rPr>
          <w:rFonts w:hint="eastAsia"/>
        </w:rPr>
        <w:t>不能免除承包人对工程的维修或返工责任。</w:t>
      </w:r>
    </w:p>
    <w:p>
      <w:pPr>
        <w:pStyle w:val="2"/>
      </w:pPr>
    </w:p>
    <w:p>
      <w:pPr>
        <w:spacing w:line="440" w:lineRule="exact"/>
        <w:rPr>
          <w:rFonts w:ascii="宋体" w:hAnsi="宋体" w:cs="宋体"/>
          <w:b/>
          <w:szCs w:val="21"/>
        </w:rPr>
      </w:pPr>
      <w:r>
        <w:rPr>
          <w:rFonts w:hint="eastAsia" w:ascii="宋体" w:hAnsi="宋体" w:cs="宋体"/>
          <w:b/>
          <w:color w:val="000000"/>
          <w:szCs w:val="21"/>
        </w:rPr>
        <w:t>25</w:t>
      </w:r>
      <w:r>
        <w:rPr>
          <w:rFonts w:ascii="宋体" w:hAnsi="宋体" w:cs="宋体"/>
          <w:b/>
          <w:color w:val="000000"/>
          <w:szCs w:val="21"/>
        </w:rPr>
        <w:t>.</w:t>
      </w:r>
      <w:r>
        <w:rPr>
          <w:rFonts w:hint="eastAsia" w:ascii="宋体" w:hAnsi="宋体" w:cs="宋体"/>
          <w:b/>
          <w:szCs w:val="21"/>
        </w:rPr>
        <w:t>科技创新要求</w:t>
      </w:r>
    </w:p>
    <w:p>
      <w:pPr>
        <w:spacing w:line="440" w:lineRule="exact"/>
        <w:ind w:firstLine="420" w:firstLineChars="200"/>
        <w:rPr>
          <w:rFonts w:ascii="宋体" w:hAnsi="宋体"/>
        </w:rPr>
      </w:pPr>
      <w:r>
        <w:rPr>
          <w:rFonts w:hint="eastAsia" w:ascii="宋体" w:hAnsi="宋体"/>
        </w:rPr>
        <w:t>要求本项目中标人积极开展科研创新工作，鼓励承包单位在满足国家规范的前提下进行技术创新。项目科研创新的具体要求包括不限于以下内容：</w:t>
      </w:r>
    </w:p>
    <w:p>
      <w:pPr>
        <w:spacing w:line="440" w:lineRule="exact"/>
        <w:ind w:firstLine="420" w:firstLineChars="200"/>
        <w:rPr>
          <w:rFonts w:ascii="宋体" w:hAnsi="宋体"/>
        </w:rPr>
      </w:pPr>
      <w:r>
        <w:rPr>
          <w:rFonts w:hint="eastAsia" w:ascii="宋体" w:hAnsi="宋体"/>
        </w:rPr>
        <w:t>1．选题：为了提升项目实施效果，中标人进场后应围绕本项目的特点和难点，结合新技术、新工法和新管理理念发展选择研究创新课题。</w:t>
      </w:r>
    </w:p>
    <w:p>
      <w:pPr>
        <w:spacing w:line="440" w:lineRule="exact"/>
        <w:ind w:firstLine="420" w:firstLineChars="200"/>
        <w:rPr>
          <w:rFonts w:ascii="宋体" w:hAnsi="宋体"/>
        </w:rPr>
      </w:pPr>
      <w:r>
        <w:rPr>
          <w:rFonts w:hint="eastAsia" w:ascii="宋体" w:hAnsi="宋体"/>
        </w:rPr>
        <w:t>2．制定科研创新工作方案：中标人根据选题，应制定科研创新组织方案，科研创新技术路线及技术方案，细化工作计划、目标预期和保证措施。</w:t>
      </w:r>
    </w:p>
    <w:p>
      <w:pPr>
        <w:spacing w:line="440" w:lineRule="exact"/>
        <w:ind w:firstLine="420" w:firstLineChars="200"/>
        <w:rPr>
          <w:rFonts w:ascii="宋体" w:hAnsi="宋体"/>
        </w:rPr>
      </w:pPr>
      <w:r>
        <w:rPr>
          <w:rFonts w:hint="eastAsia" w:ascii="宋体" w:hAnsi="宋体"/>
        </w:rPr>
        <w:t>3．成果确认：中标人应及时开展科研创新成果申报，包括成果验收、鉴定，专利和工法标准申报，科技奖项申报。本着友好协商的原则，本项目实施过程中产生的创新成果、专利、论文专著、工法标准等均由招标人与投标人共享。</w:t>
      </w:r>
    </w:p>
    <w:p>
      <w:pPr>
        <w:spacing w:line="440" w:lineRule="exact"/>
        <w:ind w:firstLine="420" w:firstLineChars="200"/>
        <w:rPr>
          <w:rFonts w:ascii="宋体" w:hAnsi="宋体"/>
        </w:rPr>
      </w:pPr>
      <w:r>
        <w:rPr>
          <w:rFonts w:hint="eastAsia" w:ascii="宋体" w:hAnsi="宋体"/>
        </w:rPr>
        <w:t>4．目标：中标人科研创新工作根据招标人科研创新专项工作的要求、相关安排进行。</w:t>
      </w:r>
    </w:p>
    <w:p>
      <w:pPr>
        <w:spacing w:line="440" w:lineRule="exact"/>
        <w:ind w:firstLine="420" w:firstLineChars="200"/>
        <w:rPr>
          <w:rFonts w:ascii="宋体" w:hAnsi="宋体"/>
        </w:rPr>
      </w:pPr>
      <w:r>
        <w:rPr>
          <w:rFonts w:hint="eastAsia" w:ascii="宋体" w:hAnsi="宋体"/>
        </w:rPr>
        <w:t>5．科研创新工作的具体开展根据招标人专项工作的要求进行，并服从招标人对科研创新工作的安排。中标人因本项目获得的科研创新成果，相关资料应提交给发包人存档（文字、图文材料可以是复印件）。</w:t>
      </w:r>
    </w:p>
    <w:p>
      <w:pPr>
        <w:spacing w:line="440" w:lineRule="exact"/>
        <w:ind w:firstLine="420" w:firstLineChars="200"/>
        <w:rPr>
          <w:rFonts w:ascii="宋体" w:hAnsi="宋体"/>
        </w:rPr>
      </w:pPr>
      <w:r>
        <w:rPr>
          <w:rFonts w:hint="eastAsia" w:ascii="宋体" w:hAnsi="宋体"/>
        </w:rPr>
        <w:t>6.投标时施工单位可以根据自身情况指定有关创新计划、创新措施及奖项承诺，若施工阶段计划未按承诺实施，结算时将以50-200万元/项扣除有关款项。</w:t>
      </w:r>
    </w:p>
    <w:p>
      <w:pPr>
        <w:spacing w:line="440" w:lineRule="exact"/>
        <w:ind w:firstLine="420" w:firstLineChars="200"/>
        <w:rPr>
          <w:rFonts w:ascii="宋体" w:hAnsi="宋体"/>
        </w:rPr>
      </w:pPr>
      <w:r>
        <w:rPr>
          <w:rFonts w:hint="eastAsia" w:ascii="宋体" w:hAnsi="宋体"/>
        </w:rPr>
        <w:t>**7.注意：投标数量不低于此要求：论文≥3个；专利≥2个。</w:t>
      </w:r>
      <w:bookmarkStart w:id="394" w:name="科技创新"/>
      <w:bookmarkEnd w:id="394"/>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477"/>
        <w:gridCol w:w="1021"/>
        <w:gridCol w:w="1021"/>
        <w:gridCol w:w="1510"/>
        <w:gridCol w:w="2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pPr>
              <w:spacing w:line="440" w:lineRule="exact"/>
              <w:ind w:firstLine="420" w:firstLineChars="200"/>
              <w:rPr>
                <w:rFonts w:ascii="宋体" w:hAnsi="宋体"/>
                <w:lang w:eastAsia="zh-Hans"/>
              </w:rPr>
            </w:pPr>
            <w:r>
              <w:rPr>
                <w:rFonts w:hint="eastAsia" w:ascii="宋体" w:hAnsi="宋体"/>
                <w:lang w:eastAsia="zh-Hans"/>
              </w:rPr>
              <w:t>序号</w:t>
            </w:r>
          </w:p>
        </w:tc>
        <w:tc>
          <w:tcPr>
            <w:tcW w:w="1477" w:type="dxa"/>
            <w:vAlign w:val="center"/>
          </w:tcPr>
          <w:p>
            <w:pPr>
              <w:spacing w:line="440" w:lineRule="exact"/>
              <w:ind w:firstLine="420" w:firstLineChars="200"/>
              <w:rPr>
                <w:rFonts w:ascii="宋体" w:hAnsi="宋体"/>
              </w:rPr>
            </w:pPr>
            <w:r>
              <w:rPr>
                <w:rFonts w:hint="eastAsia" w:ascii="宋体" w:hAnsi="宋体"/>
              </w:rPr>
              <w:t>承诺科技创新内容</w:t>
            </w:r>
          </w:p>
        </w:tc>
        <w:tc>
          <w:tcPr>
            <w:tcW w:w="1021" w:type="dxa"/>
            <w:vAlign w:val="center"/>
          </w:tcPr>
          <w:p>
            <w:pPr>
              <w:spacing w:line="440" w:lineRule="exact"/>
              <w:ind w:firstLine="420" w:firstLineChars="200"/>
              <w:rPr>
                <w:rFonts w:ascii="宋体" w:hAnsi="宋体"/>
              </w:rPr>
            </w:pPr>
            <w:r>
              <w:rPr>
                <w:rFonts w:hint="eastAsia" w:ascii="宋体" w:hAnsi="宋体"/>
              </w:rPr>
              <w:t>承诺个数</w:t>
            </w:r>
          </w:p>
        </w:tc>
        <w:tc>
          <w:tcPr>
            <w:tcW w:w="1021" w:type="dxa"/>
            <w:vAlign w:val="center"/>
          </w:tcPr>
          <w:p>
            <w:pPr>
              <w:spacing w:line="440" w:lineRule="exact"/>
              <w:ind w:firstLine="420" w:firstLineChars="200"/>
              <w:rPr>
                <w:rFonts w:ascii="宋体" w:hAnsi="宋体"/>
              </w:rPr>
            </w:pPr>
            <w:r>
              <w:rPr>
                <w:rFonts w:hint="eastAsia" w:ascii="宋体" w:hAnsi="宋体"/>
              </w:rPr>
              <w:t>实施计划</w:t>
            </w:r>
          </w:p>
        </w:tc>
        <w:tc>
          <w:tcPr>
            <w:tcW w:w="1510" w:type="dxa"/>
            <w:vAlign w:val="center"/>
          </w:tcPr>
          <w:p>
            <w:pPr>
              <w:spacing w:line="440" w:lineRule="exact"/>
              <w:ind w:firstLine="420" w:firstLineChars="200"/>
              <w:rPr>
                <w:rFonts w:ascii="宋体" w:hAnsi="宋体"/>
              </w:rPr>
            </w:pPr>
            <w:r>
              <w:rPr>
                <w:rFonts w:hint="eastAsia" w:ascii="宋体" w:hAnsi="宋体"/>
              </w:rPr>
              <w:t>未达到的违约责任</w:t>
            </w:r>
          </w:p>
        </w:tc>
        <w:tc>
          <w:tcPr>
            <w:tcW w:w="2532" w:type="dxa"/>
            <w:vAlign w:val="center"/>
          </w:tcPr>
          <w:p>
            <w:pPr>
              <w:spacing w:line="440" w:lineRule="exact"/>
              <w:ind w:firstLine="420" w:firstLineChars="200"/>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61" w:type="dxa"/>
            <w:vAlign w:val="center"/>
          </w:tcPr>
          <w:p>
            <w:pPr>
              <w:spacing w:line="440" w:lineRule="exact"/>
              <w:ind w:firstLine="420" w:firstLineChars="200"/>
              <w:rPr>
                <w:rFonts w:ascii="宋体" w:hAnsi="宋体"/>
              </w:rPr>
            </w:pPr>
            <w:r>
              <w:rPr>
                <w:rFonts w:hint="eastAsia" w:ascii="宋体" w:hAnsi="宋体"/>
              </w:rPr>
              <w:t>1</w:t>
            </w:r>
          </w:p>
        </w:tc>
        <w:tc>
          <w:tcPr>
            <w:tcW w:w="1477" w:type="dxa"/>
            <w:vAlign w:val="center"/>
          </w:tcPr>
          <w:p>
            <w:pPr>
              <w:spacing w:line="440" w:lineRule="exact"/>
              <w:ind w:firstLine="420" w:firstLineChars="200"/>
              <w:rPr>
                <w:rFonts w:ascii="宋体" w:hAnsi="宋体"/>
              </w:rPr>
            </w:pPr>
            <w:r>
              <w:rPr>
                <w:rFonts w:hint="eastAsia" w:ascii="宋体" w:hAnsi="宋体"/>
              </w:rPr>
              <w:t>国家级</w:t>
            </w:r>
          </w:p>
        </w:tc>
        <w:tc>
          <w:tcPr>
            <w:tcW w:w="1021" w:type="dxa"/>
            <w:vAlign w:val="center"/>
          </w:tcPr>
          <w:p>
            <w:pPr>
              <w:spacing w:line="440" w:lineRule="exact"/>
              <w:ind w:firstLine="420" w:firstLineChars="200"/>
              <w:rPr>
                <w:rFonts w:ascii="宋体" w:hAnsi="宋体"/>
              </w:rPr>
            </w:pPr>
          </w:p>
        </w:tc>
        <w:tc>
          <w:tcPr>
            <w:tcW w:w="1021" w:type="dxa"/>
            <w:vAlign w:val="center"/>
          </w:tcPr>
          <w:p>
            <w:pPr>
              <w:spacing w:line="440" w:lineRule="exact"/>
              <w:ind w:firstLine="420" w:firstLineChars="200"/>
              <w:rPr>
                <w:rFonts w:ascii="宋体" w:hAnsi="宋体"/>
              </w:rPr>
            </w:pPr>
          </w:p>
        </w:tc>
        <w:tc>
          <w:tcPr>
            <w:tcW w:w="1510" w:type="dxa"/>
            <w:vAlign w:val="center"/>
          </w:tcPr>
          <w:p>
            <w:pPr>
              <w:jc w:val="center"/>
              <w:rPr>
                <w:rFonts w:ascii="宋体" w:hAnsi="宋体"/>
              </w:rPr>
            </w:pPr>
            <w:r>
              <w:rPr>
                <w:rFonts w:hint="eastAsia"/>
              </w:rPr>
              <w:t>200万/个</w:t>
            </w:r>
          </w:p>
        </w:tc>
        <w:tc>
          <w:tcPr>
            <w:tcW w:w="2532" w:type="dxa"/>
            <w:vAlign w:val="center"/>
          </w:tcPr>
          <w:p>
            <w:pPr>
              <w:spacing w:line="440" w:lineRule="exact"/>
              <w:jc w:val="center"/>
              <w:rPr>
                <w:rFonts w:ascii="宋体" w:hAnsi="宋体"/>
              </w:rPr>
            </w:pPr>
            <w:r>
              <w:rPr>
                <w:rFonts w:hint="eastAsia" w:ascii="宋体" w:hAnsi="宋体"/>
              </w:rPr>
              <w:t>国家级行政机关或协会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pPr>
              <w:spacing w:line="440" w:lineRule="exact"/>
              <w:ind w:firstLine="420" w:firstLineChars="200"/>
              <w:rPr>
                <w:rFonts w:ascii="宋体" w:hAnsi="宋体"/>
              </w:rPr>
            </w:pPr>
            <w:r>
              <w:rPr>
                <w:rFonts w:hint="eastAsia" w:ascii="宋体" w:hAnsi="宋体"/>
              </w:rPr>
              <w:t>2</w:t>
            </w:r>
          </w:p>
        </w:tc>
        <w:tc>
          <w:tcPr>
            <w:tcW w:w="1477" w:type="dxa"/>
            <w:vAlign w:val="center"/>
          </w:tcPr>
          <w:p>
            <w:pPr>
              <w:spacing w:line="440" w:lineRule="exact"/>
              <w:ind w:firstLine="420" w:firstLineChars="200"/>
              <w:rPr>
                <w:rFonts w:ascii="宋体" w:hAnsi="宋体"/>
              </w:rPr>
            </w:pPr>
            <w:r>
              <w:rPr>
                <w:rFonts w:hint="eastAsia" w:ascii="宋体" w:hAnsi="宋体"/>
              </w:rPr>
              <w:t>省级</w:t>
            </w:r>
          </w:p>
        </w:tc>
        <w:tc>
          <w:tcPr>
            <w:tcW w:w="1021" w:type="dxa"/>
            <w:vAlign w:val="center"/>
          </w:tcPr>
          <w:p>
            <w:pPr>
              <w:spacing w:line="440" w:lineRule="exact"/>
              <w:ind w:firstLine="420" w:firstLineChars="200"/>
              <w:rPr>
                <w:rFonts w:ascii="宋体" w:hAnsi="宋体"/>
              </w:rPr>
            </w:pPr>
          </w:p>
        </w:tc>
        <w:tc>
          <w:tcPr>
            <w:tcW w:w="1021" w:type="dxa"/>
            <w:vAlign w:val="center"/>
          </w:tcPr>
          <w:p>
            <w:pPr>
              <w:spacing w:line="440" w:lineRule="exact"/>
              <w:ind w:firstLine="420" w:firstLineChars="200"/>
              <w:rPr>
                <w:rFonts w:ascii="宋体" w:hAnsi="宋体"/>
              </w:rPr>
            </w:pPr>
          </w:p>
        </w:tc>
        <w:tc>
          <w:tcPr>
            <w:tcW w:w="1510" w:type="dxa"/>
            <w:vAlign w:val="center"/>
          </w:tcPr>
          <w:p>
            <w:pPr>
              <w:jc w:val="center"/>
              <w:rPr>
                <w:rFonts w:ascii="宋体" w:hAnsi="宋体"/>
              </w:rPr>
            </w:pPr>
            <w:r>
              <w:rPr>
                <w:rFonts w:hint="eastAsia"/>
              </w:rPr>
              <w:t>100万/个</w:t>
            </w:r>
          </w:p>
        </w:tc>
        <w:tc>
          <w:tcPr>
            <w:tcW w:w="2532" w:type="dxa"/>
            <w:vAlign w:val="center"/>
          </w:tcPr>
          <w:p>
            <w:pPr>
              <w:spacing w:line="440" w:lineRule="exact"/>
              <w:ind w:firstLine="420" w:firstLineChars="200"/>
              <w:jc w:val="center"/>
              <w:rPr>
                <w:rFonts w:ascii="宋体" w:hAnsi="宋体"/>
              </w:rPr>
            </w:pPr>
            <w:r>
              <w:rPr>
                <w:rFonts w:hint="eastAsia" w:ascii="宋体" w:hAnsi="宋体"/>
              </w:rPr>
              <w:t>省级行政机关或协会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pPr>
              <w:spacing w:line="440" w:lineRule="exact"/>
              <w:ind w:firstLine="420" w:firstLineChars="200"/>
              <w:rPr>
                <w:rFonts w:ascii="宋体" w:hAnsi="宋体"/>
              </w:rPr>
            </w:pPr>
            <w:r>
              <w:rPr>
                <w:rFonts w:hint="eastAsia" w:ascii="宋体" w:hAnsi="宋体"/>
              </w:rPr>
              <w:t>3</w:t>
            </w:r>
          </w:p>
        </w:tc>
        <w:tc>
          <w:tcPr>
            <w:tcW w:w="1477" w:type="dxa"/>
            <w:vAlign w:val="center"/>
          </w:tcPr>
          <w:p>
            <w:pPr>
              <w:spacing w:line="440" w:lineRule="exact"/>
              <w:ind w:firstLine="420" w:firstLineChars="200"/>
              <w:rPr>
                <w:rFonts w:ascii="宋体" w:hAnsi="宋体"/>
              </w:rPr>
            </w:pPr>
            <w:r>
              <w:rPr>
                <w:rFonts w:hint="eastAsia" w:ascii="宋体" w:hAnsi="宋体"/>
              </w:rPr>
              <w:t>市级</w:t>
            </w:r>
          </w:p>
        </w:tc>
        <w:tc>
          <w:tcPr>
            <w:tcW w:w="1021" w:type="dxa"/>
            <w:vAlign w:val="center"/>
          </w:tcPr>
          <w:p>
            <w:pPr>
              <w:spacing w:line="440" w:lineRule="exact"/>
              <w:ind w:firstLine="420" w:firstLineChars="200"/>
              <w:rPr>
                <w:rFonts w:ascii="宋体" w:hAnsi="宋体"/>
              </w:rPr>
            </w:pPr>
          </w:p>
        </w:tc>
        <w:tc>
          <w:tcPr>
            <w:tcW w:w="1021" w:type="dxa"/>
            <w:vAlign w:val="center"/>
          </w:tcPr>
          <w:p>
            <w:pPr>
              <w:spacing w:line="440" w:lineRule="exact"/>
              <w:ind w:firstLine="420" w:firstLineChars="200"/>
              <w:rPr>
                <w:rFonts w:ascii="宋体" w:hAnsi="宋体"/>
              </w:rPr>
            </w:pPr>
          </w:p>
        </w:tc>
        <w:tc>
          <w:tcPr>
            <w:tcW w:w="1510" w:type="dxa"/>
            <w:vAlign w:val="center"/>
          </w:tcPr>
          <w:p>
            <w:pPr>
              <w:jc w:val="center"/>
              <w:rPr>
                <w:rFonts w:ascii="宋体" w:hAnsi="宋体"/>
              </w:rPr>
            </w:pPr>
            <w:r>
              <w:rPr>
                <w:rFonts w:hint="eastAsia"/>
              </w:rPr>
              <w:t>50万/个</w:t>
            </w:r>
          </w:p>
        </w:tc>
        <w:tc>
          <w:tcPr>
            <w:tcW w:w="2532" w:type="dxa"/>
            <w:vAlign w:val="center"/>
          </w:tcPr>
          <w:p>
            <w:pPr>
              <w:spacing w:line="440" w:lineRule="exact"/>
              <w:ind w:firstLine="420" w:firstLineChars="200"/>
              <w:jc w:val="center"/>
              <w:rPr>
                <w:rFonts w:ascii="宋体" w:hAnsi="宋体"/>
              </w:rPr>
            </w:pPr>
            <w:r>
              <w:rPr>
                <w:rFonts w:hint="eastAsia" w:ascii="宋体" w:hAnsi="宋体"/>
              </w:rPr>
              <w:t>市级行政机关或协会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pPr>
              <w:spacing w:line="440" w:lineRule="exact"/>
              <w:ind w:firstLine="420" w:firstLineChars="200"/>
              <w:rPr>
                <w:rFonts w:ascii="宋体" w:hAnsi="宋体"/>
              </w:rPr>
            </w:pPr>
            <w:r>
              <w:rPr>
                <w:rFonts w:hint="eastAsia" w:ascii="宋体" w:hAnsi="宋体"/>
              </w:rPr>
              <w:t>4</w:t>
            </w:r>
          </w:p>
        </w:tc>
        <w:tc>
          <w:tcPr>
            <w:tcW w:w="1477" w:type="dxa"/>
            <w:vAlign w:val="center"/>
          </w:tcPr>
          <w:p>
            <w:pPr>
              <w:spacing w:line="440" w:lineRule="exact"/>
              <w:ind w:firstLine="420" w:firstLineChars="200"/>
              <w:rPr>
                <w:rFonts w:ascii="宋体" w:hAnsi="宋体"/>
              </w:rPr>
            </w:pPr>
            <w:r>
              <w:rPr>
                <w:rFonts w:hint="eastAsia" w:ascii="宋体" w:hAnsi="宋体"/>
              </w:rPr>
              <w:t>专利</w:t>
            </w:r>
          </w:p>
        </w:tc>
        <w:tc>
          <w:tcPr>
            <w:tcW w:w="1021" w:type="dxa"/>
            <w:vAlign w:val="center"/>
          </w:tcPr>
          <w:p>
            <w:pPr>
              <w:spacing w:line="440" w:lineRule="exact"/>
              <w:ind w:firstLine="420" w:firstLineChars="200"/>
              <w:rPr>
                <w:rFonts w:ascii="宋体" w:hAnsi="宋体"/>
              </w:rPr>
            </w:pPr>
          </w:p>
        </w:tc>
        <w:tc>
          <w:tcPr>
            <w:tcW w:w="1021" w:type="dxa"/>
            <w:vAlign w:val="center"/>
          </w:tcPr>
          <w:p>
            <w:pPr>
              <w:spacing w:line="440" w:lineRule="exact"/>
              <w:ind w:firstLine="420" w:firstLineChars="200"/>
              <w:rPr>
                <w:rFonts w:ascii="宋体" w:hAnsi="宋体"/>
              </w:rPr>
            </w:pPr>
          </w:p>
        </w:tc>
        <w:tc>
          <w:tcPr>
            <w:tcW w:w="1510" w:type="dxa"/>
            <w:vAlign w:val="center"/>
          </w:tcPr>
          <w:p>
            <w:pPr>
              <w:jc w:val="center"/>
              <w:rPr>
                <w:rFonts w:ascii="宋体" w:hAnsi="宋体"/>
              </w:rPr>
            </w:pPr>
            <w:r>
              <w:rPr>
                <w:rFonts w:hint="eastAsia"/>
              </w:rPr>
              <w:t>50万/个</w:t>
            </w:r>
          </w:p>
        </w:tc>
        <w:tc>
          <w:tcPr>
            <w:tcW w:w="2532" w:type="dxa"/>
            <w:vAlign w:val="center"/>
          </w:tcPr>
          <w:p>
            <w:pPr>
              <w:spacing w:line="440" w:lineRule="exact"/>
              <w:ind w:firstLine="420" w:firstLineChars="200"/>
              <w:jc w:val="center"/>
              <w:rPr>
                <w:rFonts w:ascii="宋体" w:hAnsi="宋体"/>
              </w:rPr>
            </w:pPr>
            <w:r>
              <w:rPr>
                <w:rFonts w:hint="eastAsia" w:ascii="宋体" w:hAnsi="宋体"/>
              </w:rPr>
              <w:t>发明或实用新型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pPr>
              <w:spacing w:line="440" w:lineRule="exact"/>
              <w:ind w:firstLine="420" w:firstLineChars="200"/>
              <w:rPr>
                <w:rFonts w:ascii="宋体" w:hAnsi="宋体"/>
              </w:rPr>
            </w:pPr>
            <w:r>
              <w:rPr>
                <w:rFonts w:hint="eastAsia" w:ascii="宋体" w:hAnsi="宋体"/>
              </w:rPr>
              <w:t>5</w:t>
            </w:r>
          </w:p>
        </w:tc>
        <w:tc>
          <w:tcPr>
            <w:tcW w:w="1477" w:type="dxa"/>
            <w:vAlign w:val="center"/>
          </w:tcPr>
          <w:p>
            <w:pPr>
              <w:spacing w:line="440" w:lineRule="exact"/>
              <w:ind w:firstLine="420" w:firstLineChars="200"/>
              <w:rPr>
                <w:rFonts w:ascii="宋体" w:hAnsi="宋体"/>
              </w:rPr>
            </w:pPr>
            <w:r>
              <w:rPr>
                <w:rFonts w:hint="eastAsia" w:ascii="宋体" w:hAnsi="宋体"/>
              </w:rPr>
              <w:t>论文</w:t>
            </w:r>
          </w:p>
        </w:tc>
        <w:tc>
          <w:tcPr>
            <w:tcW w:w="1021" w:type="dxa"/>
            <w:vAlign w:val="center"/>
          </w:tcPr>
          <w:p>
            <w:pPr>
              <w:spacing w:line="440" w:lineRule="exact"/>
              <w:ind w:firstLine="420" w:firstLineChars="200"/>
              <w:rPr>
                <w:rFonts w:ascii="宋体" w:hAnsi="宋体"/>
              </w:rPr>
            </w:pPr>
          </w:p>
        </w:tc>
        <w:tc>
          <w:tcPr>
            <w:tcW w:w="1021" w:type="dxa"/>
            <w:vAlign w:val="center"/>
          </w:tcPr>
          <w:p>
            <w:pPr>
              <w:spacing w:line="440" w:lineRule="exact"/>
              <w:ind w:firstLine="420" w:firstLineChars="200"/>
              <w:rPr>
                <w:rFonts w:ascii="宋体" w:hAnsi="宋体"/>
              </w:rPr>
            </w:pPr>
          </w:p>
        </w:tc>
        <w:tc>
          <w:tcPr>
            <w:tcW w:w="1510" w:type="dxa"/>
            <w:vAlign w:val="center"/>
          </w:tcPr>
          <w:p>
            <w:pPr>
              <w:jc w:val="center"/>
              <w:rPr>
                <w:rFonts w:ascii="宋体" w:hAnsi="宋体"/>
              </w:rPr>
            </w:pPr>
            <w:r>
              <w:rPr>
                <w:rFonts w:hint="eastAsia"/>
              </w:rPr>
              <w:t>50万/个</w:t>
            </w:r>
          </w:p>
        </w:tc>
        <w:tc>
          <w:tcPr>
            <w:tcW w:w="2532" w:type="dxa"/>
            <w:vAlign w:val="center"/>
          </w:tcPr>
          <w:p>
            <w:pPr>
              <w:spacing w:line="440" w:lineRule="exact"/>
              <w:ind w:firstLine="420" w:firstLineChars="200"/>
              <w:jc w:val="center"/>
              <w:rPr>
                <w:rFonts w:ascii="宋体" w:hAnsi="宋体"/>
              </w:rPr>
            </w:pPr>
            <w:r>
              <w:rPr>
                <w:rFonts w:hint="eastAsia" w:ascii="宋体" w:hAnsi="宋体"/>
              </w:rPr>
              <w:t>在国家核心期刊发表论文，包括专著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pPr>
              <w:spacing w:line="440" w:lineRule="exact"/>
              <w:ind w:firstLine="420" w:firstLineChars="200"/>
              <w:rPr>
                <w:rFonts w:ascii="宋体" w:hAnsi="宋体"/>
              </w:rPr>
            </w:pPr>
            <w:r>
              <w:rPr>
                <w:rFonts w:hint="eastAsia" w:ascii="宋体" w:hAnsi="宋体"/>
              </w:rPr>
              <w:t>6</w:t>
            </w:r>
          </w:p>
        </w:tc>
        <w:tc>
          <w:tcPr>
            <w:tcW w:w="1477" w:type="dxa"/>
            <w:vAlign w:val="center"/>
          </w:tcPr>
          <w:p>
            <w:pPr>
              <w:spacing w:line="440" w:lineRule="exact"/>
              <w:ind w:firstLine="420" w:firstLineChars="200"/>
              <w:rPr>
                <w:rFonts w:ascii="宋体" w:hAnsi="宋体"/>
              </w:rPr>
            </w:pPr>
            <w:r>
              <w:rPr>
                <w:rFonts w:hint="eastAsia" w:ascii="宋体" w:hAnsi="宋体"/>
              </w:rPr>
              <w:t>工法标准</w:t>
            </w:r>
          </w:p>
        </w:tc>
        <w:tc>
          <w:tcPr>
            <w:tcW w:w="1021" w:type="dxa"/>
            <w:vAlign w:val="center"/>
          </w:tcPr>
          <w:p>
            <w:pPr>
              <w:spacing w:line="440" w:lineRule="exact"/>
              <w:ind w:firstLine="420" w:firstLineChars="200"/>
              <w:rPr>
                <w:rFonts w:ascii="宋体" w:hAnsi="宋体"/>
              </w:rPr>
            </w:pPr>
          </w:p>
        </w:tc>
        <w:tc>
          <w:tcPr>
            <w:tcW w:w="1021" w:type="dxa"/>
            <w:vAlign w:val="center"/>
          </w:tcPr>
          <w:p>
            <w:pPr>
              <w:spacing w:line="440" w:lineRule="exact"/>
              <w:ind w:firstLine="420" w:firstLineChars="200"/>
              <w:rPr>
                <w:rFonts w:ascii="宋体" w:hAnsi="宋体"/>
              </w:rPr>
            </w:pPr>
          </w:p>
        </w:tc>
        <w:tc>
          <w:tcPr>
            <w:tcW w:w="1510" w:type="dxa"/>
            <w:vAlign w:val="center"/>
          </w:tcPr>
          <w:p>
            <w:pPr>
              <w:jc w:val="center"/>
              <w:rPr>
                <w:rFonts w:ascii="宋体" w:hAnsi="宋体"/>
              </w:rPr>
            </w:pPr>
            <w:r>
              <w:rPr>
                <w:rFonts w:hint="eastAsia"/>
              </w:rPr>
              <w:t>50万/个</w:t>
            </w:r>
          </w:p>
        </w:tc>
        <w:tc>
          <w:tcPr>
            <w:tcW w:w="2532" w:type="dxa"/>
            <w:vAlign w:val="center"/>
          </w:tcPr>
          <w:p>
            <w:pPr>
              <w:spacing w:line="440" w:lineRule="exact"/>
              <w:jc w:val="center"/>
              <w:rPr>
                <w:rFonts w:ascii="宋体" w:hAnsi="宋体"/>
              </w:rPr>
            </w:pPr>
            <w:r>
              <w:rPr>
                <w:rFonts w:hint="eastAsia" w:ascii="宋体" w:hAnsi="宋体"/>
              </w:rPr>
              <w:t>国家、省市、协会均可</w:t>
            </w:r>
          </w:p>
        </w:tc>
      </w:tr>
    </w:tbl>
    <w:p>
      <w:pPr>
        <w:spacing w:line="440" w:lineRule="exact"/>
        <w:ind w:firstLine="420" w:firstLineChars="200"/>
        <w:rPr>
          <w:rFonts w:ascii="宋体" w:hAnsi="宋体" w:cs="宋体"/>
          <w:b/>
          <w:color w:val="000000"/>
          <w:szCs w:val="21"/>
        </w:rPr>
      </w:pPr>
      <w:r>
        <w:rPr>
          <w:rFonts w:hint="eastAsia" w:ascii="宋体" w:hAnsi="宋体"/>
        </w:rPr>
        <w:t xml:space="preserve"> </w:t>
      </w:r>
    </w:p>
    <w:p>
      <w:pPr>
        <w:tabs>
          <w:tab w:val="left" w:pos="312"/>
        </w:tabs>
        <w:spacing w:line="440" w:lineRule="exact"/>
        <w:rPr>
          <w:b/>
          <w:bCs/>
        </w:rPr>
      </w:pPr>
      <w:r>
        <w:rPr>
          <w:rFonts w:hint="eastAsia" w:ascii="宋体" w:hAnsi="宋体" w:cs="宋体"/>
          <w:b/>
          <w:color w:val="000000"/>
          <w:szCs w:val="21"/>
        </w:rPr>
        <w:t>26</w:t>
      </w:r>
      <w:r>
        <w:rPr>
          <w:rFonts w:ascii="宋体" w:hAnsi="宋体" w:cs="宋体"/>
          <w:b/>
          <w:color w:val="000000"/>
          <w:szCs w:val="21"/>
        </w:rPr>
        <w:t>.</w:t>
      </w:r>
      <w:r>
        <w:rPr>
          <w:rFonts w:hint="eastAsia"/>
          <w:b/>
          <w:bCs/>
        </w:rPr>
        <w:t>联合建设智能建造联合创新工作室</w:t>
      </w:r>
    </w:p>
    <w:p>
      <w:pPr>
        <w:spacing w:line="440" w:lineRule="exact"/>
        <w:ind w:firstLine="420" w:firstLineChars="200"/>
      </w:pPr>
      <w:r>
        <w:rPr>
          <w:rFonts w:hint="eastAsia"/>
        </w:rPr>
        <w:t>发包人和中标人在本项目联合建设“智能建造联合创新工作室”，双方本着“平等互利、优势互补、注重实效、共同发展”的原则，充分发挥双方的人才优势、资源优势、科研创新优势，建立紧密型合作关系，围绕智慧机场应用的前沿技术，合作建设“智能建造联合创新工作室”。中标人应在合同签订的同时与发包人签订《智能建造联合创新工作室合作协议》，详见附件8。</w:t>
      </w:r>
    </w:p>
    <w:p>
      <w:pPr>
        <w:spacing w:line="440" w:lineRule="exact"/>
        <w:ind w:firstLine="420" w:firstLineChars="200"/>
      </w:pPr>
      <w:r>
        <w:rPr>
          <w:rFonts w:hint="eastAsia"/>
        </w:rPr>
        <w:t>工作室是各合作方发挥各自创新资源优势进行研究课题合作、新技术应用示范与人才培养等方面的合作平台。相关研究方向以及合作内容框架见《智能建造联合创新工作室合作协议》。</w:t>
      </w:r>
    </w:p>
    <w:p>
      <w:pPr>
        <w:pStyle w:val="2"/>
        <w:spacing w:line="440" w:lineRule="exact"/>
      </w:pPr>
      <w:r>
        <w:rPr>
          <w:rFonts w:hint="eastAsia"/>
        </w:rPr>
        <w:t>工作室相关要求如下：</w:t>
      </w:r>
    </w:p>
    <w:p>
      <w:pPr>
        <w:spacing w:line="440" w:lineRule="exact"/>
        <w:ind w:firstLine="420" w:firstLineChars="200"/>
      </w:pPr>
      <w:r>
        <w:rPr>
          <w:rFonts w:hint="eastAsia"/>
        </w:rPr>
        <w:t>1.工作室建设地点位于各中标单位项目部，工作室装修和家具购置应满足基本办公和召开小型会议（10-15人）要求，并结合双方合作内容以及科技创新元素进行一定程度的装饰和布置，整体布置简约大方，避免铺张浪费。工作室运行期间，工作室场地租赁费、物业费等相关日常费用由中标人承担。</w:t>
      </w:r>
    </w:p>
    <w:p>
      <w:pPr>
        <w:spacing w:line="440" w:lineRule="exact"/>
        <w:ind w:firstLine="420" w:firstLineChars="200"/>
      </w:pPr>
      <w:r>
        <w:rPr>
          <w:rFonts w:hint="eastAsia"/>
        </w:rPr>
        <w:t>2.中标人应设置不少于1名工作室管理员和3名以上工作室成员，管理员为专职人员不可由项目其他人员兼任，管理员应为中标人公司内部科研创新或技术研发人员，能充分协调中标人公司科技创新相关资源。管理员在本项目现场工作时间每月不少于15个工作日。工作室成员可由本项目工程管理人员兼任。管理员带领工作室成员开展联合创新工作室的日常运行和各类科技创新专项工作。</w:t>
      </w:r>
    </w:p>
    <w:p>
      <w:pPr>
        <w:spacing w:line="440" w:lineRule="exact"/>
        <w:ind w:firstLine="420" w:firstLineChars="200"/>
      </w:pPr>
      <w:r>
        <w:rPr>
          <w:rFonts w:hint="eastAsia"/>
        </w:rPr>
        <w:t>3.中标人作为承包单位，应在本项目科研管理中统筹管理承包管理范围内的各单位科技创新工作和科技创新人员，收集和整理各相关参建方在项目进行过程中产生的科技创新成果。</w:t>
      </w:r>
    </w:p>
    <w:p>
      <w:pPr>
        <w:spacing w:line="440" w:lineRule="exact"/>
        <w:ind w:firstLine="420" w:firstLineChars="200"/>
        <w:rPr>
          <w:rFonts w:ascii="宋体" w:hAnsi="宋体" w:cs="宋体"/>
          <w:b/>
          <w:color w:val="000000"/>
          <w:szCs w:val="21"/>
        </w:rPr>
      </w:pPr>
      <w:r>
        <w:rPr>
          <w:rFonts w:hint="eastAsia"/>
        </w:rPr>
        <w:t>4.双方应在《智能建造联合创新工作室合作协议》相关内容的基础上，同时注意知识产权保护工作，以及国家、省级、市级、协会级科技奖项的申报工作。</w:t>
      </w:r>
    </w:p>
    <w:p>
      <w:pPr>
        <w:spacing w:line="440" w:lineRule="exact"/>
        <w:rPr>
          <w:rFonts w:ascii="宋体" w:hAnsi="宋体" w:cs="宋体"/>
          <w:b/>
          <w:color w:val="000000"/>
          <w:szCs w:val="21"/>
        </w:rPr>
      </w:pPr>
    </w:p>
    <w:p>
      <w:pPr>
        <w:spacing w:line="440" w:lineRule="exact"/>
        <w:rPr>
          <w:rFonts w:ascii="宋体" w:hAnsi="宋体" w:cs="宋体"/>
          <w:b/>
          <w:color w:val="000000"/>
          <w:szCs w:val="21"/>
        </w:rPr>
      </w:pPr>
      <w:r>
        <w:rPr>
          <w:rFonts w:hint="eastAsia" w:ascii="宋体" w:hAnsi="宋体" w:cs="宋体"/>
          <w:b/>
          <w:color w:val="000000"/>
          <w:szCs w:val="21"/>
        </w:rPr>
        <w:t>27.适用规范和标准</w:t>
      </w:r>
    </w:p>
    <w:p>
      <w:pPr>
        <w:spacing w:line="440" w:lineRule="exact"/>
        <w:ind w:firstLine="420" w:firstLineChars="200"/>
      </w:pPr>
      <w:r>
        <w:rPr>
          <w:rFonts w:hint="eastAsia"/>
        </w:rPr>
        <w:t>27</w:t>
      </w:r>
      <w:r>
        <w:t>.1</w:t>
      </w:r>
      <w:r>
        <w:rPr>
          <w:rFonts w:hint="eastAsia"/>
        </w:rPr>
        <w:t>适用的规范、标准和规程</w:t>
      </w:r>
    </w:p>
    <w:p>
      <w:pPr>
        <w:spacing w:line="440" w:lineRule="exact"/>
        <w:ind w:firstLine="420" w:firstLineChars="200"/>
      </w:pPr>
      <w:r>
        <w:rPr>
          <w:rFonts w:hint="eastAsia"/>
        </w:rPr>
        <w:t>（1）除合同另有约定外，本工程适用现行国家、行业和地方规范、标准和规程。构成合同文件的任何内容与适用的规范、标准和规程之间出现矛盾，承包人应书面要求监理人予以澄清，除监理人有特别指示外，承包人应按照其中要求最严格的标准执行。</w:t>
      </w:r>
    </w:p>
    <w:p>
      <w:pPr>
        <w:spacing w:line="440" w:lineRule="exact"/>
        <w:ind w:firstLine="420" w:firstLineChars="200"/>
      </w:pPr>
      <w:r>
        <w:rPr>
          <w:rFonts w:hint="eastAsia"/>
        </w:rPr>
        <w:t>（2）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相应条款约定办理。</w:t>
      </w:r>
    </w:p>
    <w:p>
      <w:pPr>
        <w:spacing w:line="440" w:lineRule="exact"/>
        <w:ind w:firstLine="420" w:firstLineChars="200"/>
      </w:pPr>
      <w:r>
        <w:rPr>
          <w:rFonts w:hint="eastAsia"/>
        </w:rPr>
        <w:t>27</w:t>
      </w:r>
      <w:r>
        <w:t>.2</w:t>
      </w:r>
      <w:r>
        <w:rPr>
          <w:rFonts w:hint="eastAsia"/>
        </w:rPr>
        <w:t>特殊技术标准和要求：有合同约束力的图纸和其他设计文件中的有关文字说明是本节的组成内容。</w:t>
      </w:r>
    </w:p>
    <w:p>
      <w:pPr>
        <w:pStyle w:val="2"/>
      </w:pPr>
    </w:p>
    <w:p>
      <w:pPr>
        <w:spacing w:line="440" w:lineRule="exact"/>
        <w:ind w:firstLine="422" w:firstLineChars="200"/>
        <w:rPr>
          <w:b/>
          <w:bCs/>
        </w:rPr>
      </w:pPr>
      <w:r>
        <w:rPr>
          <w:rFonts w:hint="eastAsia"/>
          <w:b/>
          <w:bCs/>
        </w:rPr>
        <w:t>28.海绵城市建设效果评估</w:t>
      </w:r>
    </w:p>
    <w:p>
      <w:pPr>
        <w:spacing w:line="440" w:lineRule="exact"/>
        <w:ind w:firstLine="420" w:firstLineChars="200"/>
      </w:pPr>
      <w:r>
        <w:rPr>
          <w:rFonts w:hint="eastAsia"/>
        </w:rPr>
        <w:t>（1）工程项目完工后，承包人可自行开展或委托有资质的第三方机构开展评估工作，并出具《广州市建设工程海绵城市建设效果评估报告》。评估单位资质应满足政府主管部门的要求，同时鼓励选取具备不低于本工程原设计相应资质等级的单位。</w:t>
      </w:r>
    </w:p>
    <w:p>
      <w:pPr>
        <w:spacing w:line="440" w:lineRule="exact"/>
        <w:ind w:firstLine="420" w:firstLineChars="200"/>
      </w:pPr>
      <w:r>
        <w:rPr>
          <w:rFonts w:hint="eastAsia"/>
        </w:rPr>
        <w:t>（2）</w:t>
      </w:r>
      <w:r>
        <w:t xml:space="preserve"> </w:t>
      </w:r>
      <w:r>
        <w:rPr>
          <w:rFonts w:hint="eastAsia"/>
        </w:rPr>
        <w:t>承包人负责协助发包人向政府主管部门报送《海绵城市建设效果评估报告》，并承担相关费用，包括但不限于会议费、评审费等。</w:t>
      </w:r>
    </w:p>
    <w:p>
      <w:pPr>
        <w:spacing w:line="440" w:lineRule="exact"/>
        <w:ind w:firstLine="420" w:firstLineChars="200"/>
      </w:pPr>
      <w:r>
        <w:rPr>
          <w:rFonts w:hint="eastAsia"/>
        </w:rPr>
        <w:t>（3）承包人应对照</w:t>
      </w:r>
      <w:r>
        <w:t>《海绵城市建设评价标准》（GB/T 51345-2018）</w:t>
      </w:r>
      <w:r>
        <w:rPr>
          <w:rFonts w:hint="eastAsia"/>
        </w:rPr>
        <w:t>，</w:t>
      </w:r>
      <w:r>
        <w:t>《广州市海绵城市建设管理办法》相关要求，从设计、 施工、现场情况等方面进行评估并出具评估报告</w:t>
      </w:r>
      <w:r>
        <w:rPr>
          <w:rFonts w:hint="eastAsia"/>
        </w:rPr>
        <w:t>，确保评估通过。评估报告编制的质量、进度应满足发包人要求，不得影响本工程竣工（联合）验收。</w:t>
      </w:r>
    </w:p>
    <w:p>
      <w:pPr>
        <w:spacing w:line="440" w:lineRule="exact"/>
        <w:ind w:firstLine="420" w:firstLineChars="200"/>
      </w:pPr>
      <w:r>
        <w:rPr>
          <w:rFonts w:hint="eastAsia"/>
        </w:rPr>
        <w:t>（4）评估报告编制内容可参考《</w:t>
      </w:r>
      <w:r>
        <w:t>关</w:t>
      </w:r>
      <w:r>
        <w:rPr>
          <w:rFonts w:hint="eastAsia"/>
        </w:rPr>
        <w:t>于</w:t>
      </w:r>
      <w:r>
        <w:t>开展我市建设工程项</w:t>
      </w:r>
      <w:r>
        <w:rPr>
          <w:rFonts w:hint="eastAsia"/>
        </w:rPr>
        <w:t>目</w:t>
      </w:r>
      <w:r>
        <w:t>海绵城市建设效果评估的通知</w:t>
      </w:r>
      <w:r>
        <w:rPr>
          <w:rFonts w:hint="eastAsia"/>
        </w:rPr>
        <w:t>》</w:t>
      </w:r>
      <w:r>
        <w:t>穗水河湖</w:t>
      </w:r>
      <w:r>
        <w:rPr>
          <w:rFonts w:hint="eastAsia"/>
        </w:rPr>
        <w:t>〔202</w:t>
      </w:r>
      <w:r>
        <w:t>1</w:t>
      </w:r>
      <w:r>
        <w:rPr>
          <w:rFonts w:hint="eastAsia"/>
        </w:rPr>
        <w:t>〕</w:t>
      </w:r>
      <w:r>
        <w:t xml:space="preserve"> 9号</w:t>
      </w:r>
      <w:r>
        <w:rPr>
          <w:rFonts w:hint="eastAsia"/>
        </w:rPr>
        <w:t>中的编制大纲附件。</w:t>
      </w:r>
    </w:p>
    <w:p>
      <w:pPr>
        <w:pStyle w:val="2"/>
      </w:pPr>
    </w:p>
    <w:p>
      <w:pPr>
        <w:snapToGrid w:val="0"/>
        <w:spacing w:line="440" w:lineRule="exact"/>
        <w:ind w:firstLine="420" w:firstLineChars="200"/>
        <w:rPr>
          <w:rFonts w:cs="宋体"/>
          <w:b/>
          <w:bCs/>
          <w:szCs w:val="21"/>
          <w:lang w:bidi="ar"/>
        </w:rPr>
      </w:pPr>
      <w:r>
        <w:rPr>
          <w:rFonts w:hint="eastAsia"/>
        </w:rPr>
        <w:t>2</w:t>
      </w:r>
      <w:r>
        <w:t>9</w:t>
      </w:r>
      <w:r>
        <w:rPr>
          <w:rFonts w:hint="eastAsia"/>
        </w:rPr>
        <w:t>.</w:t>
      </w:r>
      <w:r>
        <w:rPr>
          <w:rFonts w:cs="宋体"/>
          <w:b/>
          <w:bCs/>
          <w:szCs w:val="21"/>
          <w:lang w:bidi="ar"/>
        </w:rPr>
        <w:t xml:space="preserve"> 承包管理内容：</w:t>
      </w:r>
    </w:p>
    <w:p>
      <w:pPr>
        <w:snapToGrid w:val="0"/>
        <w:spacing w:line="440" w:lineRule="exact"/>
        <w:ind w:firstLine="420" w:firstLineChars="200"/>
        <w:rPr>
          <w:rFonts w:cs="宋体"/>
          <w:szCs w:val="21"/>
          <w:lang w:bidi="ar"/>
        </w:rPr>
      </w:pPr>
      <w:r>
        <w:rPr>
          <w:rFonts w:hint="eastAsia" w:cs="宋体"/>
          <w:bCs/>
          <w:iCs/>
          <w:szCs w:val="21"/>
          <w:lang w:bidi="ar"/>
        </w:rPr>
        <w:t>2</w:t>
      </w:r>
      <w:r>
        <w:rPr>
          <w:rFonts w:cs="宋体"/>
          <w:bCs/>
          <w:iCs/>
          <w:szCs w:val="21"/>
          <w:lang w:bidi="ar"/>
        </w:rPr>
        <w:t>9.1</w:t>
      </w:r>
      <w:r>
        <w:rPr>
          <w:rFonts w:hint="eastAsia" w:cs="宋体"/>
          <w:b/>
          <w:iCs/>
          <w:szCs w:val="21"/>
          <w:lang w:bidi="ar"/>
        </w:rPr>
        <w:t>承包管理范围：</w:t>
      </w:r>
      <w:r>
        <w:rPr>
          <w:rFonts w:hint="eastAsia" w:cs="宋体"/>
          <w:bCs/>
          <w:iCs/>
          <w:szCs w:val="21"/>
          <w:lang w:bidi="ar"/>
        </w:rPr>
        <w:t>包括施工承包范围内的合同内容和范围外的其他各专业工程管理，</w:t>
      </w:r>
      <w:r>
        <w:rPr>
          <w:rFonts w:hint="eastAsia" w:cs="宋体"/>
          <w:szCs w:val="21"/>
          <w:lang w:bidi="ar"/>
        </w:rPr>
        <w:t>负责三期扩建工程配套供冷工程及发包人、关联单位等另行发包工程（含发包人提供材料及设备等）涉及的各专业内容承包管理，自项目基础阶段直至交付使用（含陪伴运行）的全过程承包管理工作。</w:t>
      </w:r>
    </w:p>
    <w:p>
      <w:pPr>
        <w:snapToGrid w:val="0"/>
        <w:spacing w:line="440" w:lineRule="exact"/>
        <w:ind w:firstLine="420" w:firstLineChars="200"/>
        <w:rPr>
          <w:rFonts w:cs="宋体"/>
          <w:szCs w:val="21"/>
          <w:lang w:bidi="ar"/>
        </w:rPr>
      </w:pPr>
      <w:r>
        <w:rPr>
          <w:rFonts w:hint="eastAsia" w:ascii="宋体" w:hAnsi="宋体"/>
          <w:bCs/>
          <w:iCs/>
          <w:szCs w:val="21"/>
        </w:rPr>
        <w:t>2</w:t>
      </w:r>
      <w:r>
        <w:rPr>
          <w:rFonts w:ascii="宋体" w:hAnsi="宋体"/>
          <w:bCs/>
          <w:iCs/>
          <w:szCs w:val="21"/>
        </w:rPr>
        <w:t>9.2</w:t>
      </w:r>
      <w:r>
        <w:rPr>
          <w:rFonts w:hint="eastAsia" w:cs="宋体"/>
          <w:b/>
          <w:iCs/>
          <w:szCs w:val="21"/>
          <w:lang w:bidi="ar"/>
        </w:rPr>
        <w:t>承包管理工作内容：</w:t>
      </w:r>
      <w:r>
        <w:rPr>
          <w:rFonts w:hint="eastAsia" w:cs="宋体"/>
          <w:bCs/>
          <w:iCs/>
          <w:szCs w:val="21"/>
          <w:lang w:bidi="ar"/>
        </w:rPr>
        <w:t>负责</w:t>
      </w:r>
      <w:r>
        <w:rPr>
          <w:rFonts w:hint="eastAsia" w:cs="宋体"/>
          <w:szCs w:val="21"/>
          <w:lang w:bidi="ar"/>
        </w:rPr>
        <w:t>三期扩建工程配套供冷工程及发包人、关联单位等另行发包工程（含发包人提供材料及设备等）</w:t>
      </w:r>
      <w:r>
        <w:rPr>
          <w:rFonts w:hint="eastAsia" w:cs="宋体"/>
          <w:bCs/>
          <w:iCs/>
          <w:szCs w:val="21"/>
          <w:lang w:bidi="ar"/>
        </w:rPr>
        <w:t>所有专业工程实施的策划、组织、协调、监管等工作，</w:t>
      </w:r>
      <w:r>
        <w:rPr>
          <w:rFonts w:hint="eastAsia" w:cs="宋体"/>
          <w:szCs w:val="21"/>
          <w:lang w:bidi="ar"/>
        </w:rPr>
        <w:t>包括且不限于总平面策划及组织管理、施工场地管理、安全生产和文明施工管理、各专业界面及工序管理、项目整体进度管理、信息整合管理、职业健康和环境管理、疫情防控管理、项目试运行管理、项目竣工资料汇总和管理（包含盖章）等，承担涉及整个项目的内外关系协调。承包管理工作包括且不限于以下管理工作内容、配合事项及其他有关工作：</w:t>
      </w:r>
    </w:p>
    <w:p>
      <w:pPr>
        <w:snapToGrid w:val="0"/>
        <w:spacing w:line="440" w:lineRule="exact"/>
        <w:ind w:firstLine="420" w:firstLineChars="200"/>
        <w:rPr>
          <w:rFonts w:cs="宋体"/>
          <w:szCs w:val="21"/>
          <w:lang w:bidi="ar"/>
        </w:rPr>
      </w:pPr>
      <w:r>
        <w:rPr>
          <w:rFonts w:hint="eastAsia" w:cs="宋体"/>
          <w:szCs w:val="21"/>
          <w:lang w:bidi="ar"/>
        </w:rPr>
        <w:t>（1）管理工作内容</w:t>
      </w:r>
    </w:p>
    <w:p>
      <w:pPr>
        <w:snapToGrid w:val="0"/>
        <w:spacing w:line="440" w:lineRule="exact"/>
        <w:ind w:firstLine="420" w:firstLineChars="200"/>
        <w:rPr>
          <w:rFonts w:cs="宋体"/>
          <w:szCs w:val="21"/>
          <w:lang w:bidi="ar"/>
        </w:rPr>
      </w:pPr>
      <w:r>
        <w:rPr>
          <w:rFonts w:hint="eastAsia" w:cs="宋体"/>
          <w:szCs w:val="21"/>
          <w:lang w:bidi="ar"/>
        </w:rPr>
        <w:t>1）科学制定本项目承包管理工作方案及实施细则。按照现场实际情况细化承包管理职责、权利等内容，全面详尽梳理本项目各专业施工交叉界面关系，合理安排各专业施工计划和交叉顺序，保证各专业项目有序穿插推进。</w:t>
      </w:r>
    </w:p>
    <w:p>
      <w:pPr>
        <w:snapToGrid w:val="0"/>
        <w:spacing w:line="440" w:lineRule="exact"/>
        <w:ind w:firstLine="420" w:firstLineChars="200"/>
        <w:rPr>
          <w:rFonts w:cs="宋体"/>
          <w:szCs w:val="21"/>
          <w:lang w:bidi="ar"/>
        </w:rPr>
      </w:pPr>
      <w:r>
        <w:rPr>
          <w:rFonts w:hint="eastAsia" w:cs="宋体"/>
          <w:szCs w:val="21"/>
          <w:lang w:bidi="ar"/>
        </w:rPr>
        <w:t>2）对本项目综合管线应进行总体管理并制定专项管理方案。应明确对本项目所有管线路由布设、安装、开孔开槽、孔洞封堵等管理职责和制定相应处罚细则。若现场出现各专业施工界面不清晰或遗漏，承包人负责牵头组织相关单位研究并做工作安排及落实。</w:t>
      </w:r>
    </w:p>
    <w:p>
      <w:pPr>
        <w:snapToGrid w:val="0"/>
        <w:spacing w:line="440" w:lineRule="exact"/>
        <w:ind w:firstLine="420" w:firstLineChars="200"/>
        <w:rPr>
          <w:rFonts w:cs="宋体"/>
          <w:szCs w:val="21"/>
          <w:lang w:bidi="ar"/>
        </w:rPr>
      </w:pPr>
      <w:r>
        <w:rPr>
          <w:rFonts w:hint="eastAsia" w:cs="宋体"/>
          <w:szCs w:val="21"/>
          <w:lang w:bidi="ar"/>
        </w:rPr>
        <w:t>3）承包人对甲购材料、设备应做好专项管理方案。包括甲购材料、设备堆放区设置，进场验收、码放、保护及相关专业单位领取手续办理等一系列程序规定和使用管理，确保甲购材料、设备入库、出库数据清晰，材料耗损确认资料完善完备。</w:t>
      </w:r>
    </w:p>
    <w:p>
      <w:pPr>
        <w:snapToGrid w:val="0"/>
        <w:spacing w:line="440" w:lineRule="exact"/>
        <w:ind w:firstLine="420" w:firstLineChars="200"/>
        <w:rPr>
          <w:rFonts w:cs="宋体"/>
          <w:szCs w:val="21"/>
          <w:lang w:bidi="ar"/>
        </w:rPr>
      </w:pPr>
      <w:r>
        <w:rPr>
          <w:rFonts w:hint="eastAsia" w:cs="宋体"/>
          <w:szCs w:val="21"/>
          <w:lang w:bidi="ar"/>
        </w:rPr>
        <w:t>4）承包人必须做好成品的保护管理工作方案及监管到位，确保完工产品外观及性能完好。</w:t>
      </w:r>
    </w:p>
    <w:p>
      <w:pPr>
        <w:snapToGrid w:val="0"/>
        <w:spacing w:line="440" w:lineRule="exact"/>
        <w:ind w:firstLine="420" w:firstLineChars="200"/>
        <w:rPr>
          <w:rFonts w:cs="宋体"/>
          <w:bCs/>
          <w:iCs/>
          <w:szCs w:val="21"/>
          <w:lang w:bidi="ar"/>
        </w:rPr>
      </w:pPr>
      <w:r>
        <w:rPr>
          <w:rFonts w:hint="eastAsia" w:cs="宋体"/>
          <w:szCs w:val="21"/>
          <w:lang w:bidi="ar"/>
        </w:rPr>
        <w:t>5）对</w:t>
      </w:r>
      <w:r>
        <w:rPr>
          <w:rFonts w:hint="eastAsia" w:cs="宋体"/>
          <w:bCs/>
          <w:iCs/>
          <w:szCs w:val="21"/>
          <w:lang w:bidi="ar"/>
        </w:rPr>
        <w:t>本项目涉及的各专业单位人员、车辆、材料、设备的进出、运输及堆放做好管理，确保现场安全可控、现场有序。</w:t>
      </w:r>
    </w:p>
    <w:p>
      <w:pPr>
        <w:snapToGrid w:val="0"/>
        <w:spacing w:line="440" w:lineRule="exact"/>
        <w:ind w:firstLine="420" w:firstLineChars="200"/>
        <w:rPr>
          <w:rFonts w:ascii="Times New Roman" w:hAnsi="Times New Roman" w:cs="宋体"/>
          <w:szCs w:val="21"/>
          <w:lang w:bidi="ar"/>
        </w:rPr>
      </w:pPr>
      <w:r>
        <w:rPr>
          <w:rFonts w:hint="eastAsia" w:cs="宋体"/>
          <w:bCs/>
          <w:iCs/>
          <w:szCs w:val="21"/>
          <w:lang w:bidi="ar"/>
        </w:rPr>
        <w:t>6）对</w:t>
      </w:r>
      <w:r>
        <w:rPr>
          <w:rFonts w:hint="eastAsia" w:cs="宋体"/>
          <w:szCs w:val="21"/>
          <w:lang w:bidi="ar"/>
        </w:rPr>
        <w:t>接本项目涉及的其他承包单位，牵头组织及协调涉及交叉场地施工组织，因其他项目交叉施工影响本项目推进的问题，必须第一时间积极组织相关单位协调解决。</w:t>
      </w:r>
    </w:p>
    <w:p>
      <w:pPr>
        <w:snapToGrid w:val="0"/>
        <w:spacing w:line="440" w:lineRule="exact"/>
        <w:ind w:firstLine="420" w:firstLineChars="200"/>
        <w:rPr>
          <w:rFonts w:cs="宋体"/>
          <w:szCs w:val="21"/>
          <w:lang w:bidi="ar"/>
        </w:rPr>
      </w:pPr>
      <w:r>
        <w:rPr>
          <w:rFonts w:hint="eastAsia" w:cs="宋体"/>
          <w:szCs w:val="21"/>
          <w:lang w:bidi="ar"/>
        </w:rPr>
        <w:t>（</w:t>
      </w:r>
      <w:r>
        <w:rPr>
          <w:rFonts w:cs="宋体"/>
          <w:szCs w:val="21"/>
          <w:lang w:bidi="ar"/>
        </w:rPr>
        <w:t>2）配合事项</w:t>
      </w:r>
    </w:p>
    <w:p>
      <w:pPr>
        <w:tabs>
          <w:tab w:val="left" w:pos="420"/>
        </w:tabs>
        <w:snapToGrid w:val="0"/>
        <w:spacing w:line="440" w:lineRule="exact"/>
        <w:ind w:firstLine="420" w:firstLineChars="200"/>
        <w:rPr>
          <w:rFonts w:cs="宋体"/>
          <w:szCs w:val="21"/>
          <w:lang w:bidi="ar"/>
        </w:rPr>
      </w:pPr>
      <w:r>
        <w:rPr>
          <w:rFonts w:hint="eastAsia" w:cs="宋体"/>
          <w:szCs w:val="21"/>
          <w:lang w:bidi="ar"/>
        </w:rPr>
        <w:t>1）场地布置：承包人施工场地布置时需综合考虑现场其他分包单位的情况进行总体布置，现场任何设置及调整必须经发包人、监理审批同意。承包人需负责对其他专业分包单位的施工场地进行管理。</w:t>
      </w:r>
    </w:p>
    <w:p>
      <w:pPr>
        <w:tabs>
          <w:tab w:val="left" w:pos="420"/>
        </w:tabs>
        <w:snapToGrid w:val="0"/>
        <w:spacing w:line="440" w:lineRule="exact"/>
        <w:ind w:firstLine="420" w:firstLineChars="200"/>
        <w:rPr>
          <w:rFonts w:cs="宋体"/>
          <w:szCs w:val="21"/>
          <w:lang w:bidi="ar"/>
        </w:rPr>
      </w:pPr>
      <w:r>
        <w:rPr>
          <w:rFonts w:hint="eastAsia" w:cs="宋体"/>
          <w:szCs w:val="21"/>
          <w:lang w:bidi="ar"/>
        </w:rPr>
        <w:t>2）车辆冲洗：承包人负责对所有进出场地车辆进行冲洗。</w:t>
      </w:r>
    </w:p>
    <w:p>
      <w:pPr>
        <w:tabs>
          <w:tab w:val="left" w:pos="420"/>
        </w:tabs>
        <w:snapToGrid w:val="0"/>
        <w:spacing w:line="440" w:lineRule="exact"/>
        <w:ind w:firstLine="420" w:firstLineChars="200"/>
        <w:rPr>
          <w:rFonts w:cs="宋体"/>
          <w:szCs w:val="21"/>
          <w:lang w:bidi="ar"/>
        </w:rPr>
      </w:pPr>
      <w:r>
        <w:rPr>
          <w:rFonts w:hint="eastAsia" w:cs="宋体"/>
          <w:szCs w:val="21"/>
          <w:lang w:bidi="ar"/>
        </w:rPr>
        <w:t>3）垃圾清理：承包人负责整个施工区域内自开工之日起至投产使用前的建筑垃圾、材料包装垃圾、工地现场生活垃圾等所有垃圾的堆放规划，并负责统一清运至机场红线范围外符合当地政府规定的垃圾收纳场所，所需费用综合考虑在投标报价内。生活及办公区内的垃圾，由各项目部自行清理。施工过程中，如果材料或垃圾运输车辆污染了周边市政道路，受到当地街道、村镇投诉时，由各责任单位负责清扫工作。（投产后3个月内，业主、监理和关联单位联合确认属于承包人遗留在本项目区域内的建筑垃圾或其他垃圾，承包人必须继续负责清理）</w:t>
      </w:r>
    </w:p>
    <w:p>
      <w:pPr>
        <w:tabs>
          <w:tab w:val="left" w:pos="420"/>
        </w:tabs>
        <w:snapToGrid w:val="0"/>
        <w:spacing w:line="440" w:lineRule="exact"/>
        <w:ind w:firstLine="420" w:firstLineChars="200"/>
        <w:rPr>
          <w:rFonts w:cs="宋体"/>
          <w:szCs w:val="21"/>
          <w:lang w:bidi="ar"/>
        </w:rPr>
      </w:pPr>
      <w:r>
        <w:rPr>
          <w:rFonts w:hint="eastAsia" w:cs="宋体"/>
          <w:szCs w:val="21"/>
          <w:lang w:bidi="ar"/>
        </w:rPr>
        <w:t>4）垃圾池设置：承包人在现场合理位置设置容量及数量足够的砖砌垃圾池以便于临时堆放施工现场垃圾，要求其他分包单位定点倒放垃圾，不再收取其他分包单位垃圾费用，承包人负责定期将垃圾清运出场，任何情况下垃圾不得堆放或满出垃圾池以外，否则发包人将对承包人处以每次不少于5000元的违约金索赔，所需费用综合考虑在投标报价内。</w:t>
      </w:r>
    </w:p>
    <w:p>
      <w:pPr>
        <w:tabs>
          <w:tab w:val="left" w:pos="420"/>
        </w:tabs>
        <w:snapToGrid w:val="0"/>
        <w:spacing w:line="440" w:lineRule="exact"/>
        <w:ind w:firstLine="420" w:firstLineChars="200"/>
        <w:rPr>
          <w:rFonts w:cs="宋体"/>
          <w:szCs w:val="21"/>
          <w:lang w:bidi="ar"/>
        </w:rPr>
      </w:pPr>
      <w:r>
        <w:rPr>
          <w:rFonts w:hint="eastAsia" w:cs="宋体"/>
          <w:szCs w:val="21"/>
          <w:lang w:bidi="ar"/>
        </w:rPr>
        <w:t>5）垃圾搬运：垃圾应打包袋装清运，严禁将楼层垃圾直接抛运下楼，严禁垃圾倒入回填场地或混入回填土中，否则每发现一次将对承包人处以不少于10000元的违约金索赔。</w:t>
      </w:r>
    </w:p>
    <w:p>
      <w:pPr>
        <w:tabs>
          <w:tab w:val="left" w:pos="420"/>
        </w:tabs>
        <w:snapToGrid w:val="0"/>
        <w:spacing w:line="440" w:lineRule="exact"/>
        <w:ind w:firstLine="420" w:firstLineChars="200"/>
        <w:rPr>
          <w:rFonts w:cs="宋体"/>
          <w:szCs w:val="21"/>
          <w:lang w:bidi="ar"/>
        </w:rPr>
      </w:pPr>
      <w:r>
        <w:rPr>
          <w:rFonts w:hint="eastAsia" w:cs="宋体"/>
          <w:szCs w:val="21"/>
          <w:lang w:bidi="ar"/>
        </w:rPr>
        <w:t>6）测量控制网：承包人负责建立高程和坐标测量控制网点，满足各分包单位使用要求，同时做好测量控制网点的保护工作和定时校核,并对其他各分包单位进行书面交底并报监理备案留底。</w:t>
      </w:r>
    </w:p>
    <w:p>
      <w:pPr>
        <w:tabs>
          <w:tab w:val="left" w:pos="420"/>
        </w:tabs>
        <w:snapToGrid w:val="0"/>
        <w:spacing w:line="440" w:lineRule="exact"/>
        <w:ind w:firstLine="420" w:firstLineChars="200"/>
        <w:rPr>
          <w:rFonts w:cs="宋体"/>
          <w:szCs w:val="21"/>
          <w:lang w:bidi="ar"/>
        </w:rPr>
      </w:pPr>
      <w:r>
        <w:rPr>
          <w:rFonts w:hint="eastAsia" w:cs="宋体"/>
          <w:szCs w:val="21"/>
          <w:lang w:bidi="ar"/>
        </w:rPr>
        <w:t>7）承包人必须制定有效措施落实施工现场“工完场清”的要求，每道工序移交工作面时，上一道工序所产生的垃圾已经清理，场地必须干净整洁。拆除模板后，承包人必须立即安排清理楼层周转材料和建筑垃圾，营造一个干净整洁的施工环境。承包人在向其他单位移交工作面时，所有楼层或工作面内的垃圾已经清理干净并已清运下楼，否则其他单位有权不予接收工作面，同时发包人及监理有权对未满足清理要求的行为每次处5000元罚款。</w:t>
      </w:r>
    </w:p>
    <w:p>
      <w:pPr>
        <w:tabs>
          <w:tab w:val="left" w:pos="420"/>
        </w:tabs>
        <w:snapToGrid w:val="0"/>
        <w:spacing w:line="440" w:lineRule="exact"/>
        <w:ind w:firstLine="420" w:firstLineChars="200"/>
        <w:rPr>
          <w:rFonts w:cs="宋体"/>
          <w:szCs w:val="21"/>
          <w:lang w:bidi="ar"/>
        </w:rPr>
      </w:pPr>
      <w:r>
        <w:rPr>
          <w:rFonts w:hint="eastAsia" w:cs="宋体"/>
          <w:szCs w:val="21"/>
          <w:lang w:bidi="ar"/>
        </w:rPr>
        <w:t>8）施工用升降梯、塔吊、内外脚手架必须无偿提供其他分包单位使用，必要时根据发包人、监理指令24小时提供使用，因此需要配置适当的塔吊司机、司索等作业人员，杜绝疲劳作业引发安全事故。施工升降机、塔吊门必须上锁，并安排专人管理标识（更新）相关设备信息，否则发现一次处以</w:t>
      </w:r>
      <w:r>
        <w:rPr>
          <w:rFonts w:cs="宋体"/>
          <w:szCs w:val="21"/>
          <w:lang w:bidi="ar"/>
        </w:rPr>
        <w:t>10000元的违约金索赔</w:t>
      </w:r>
      <w:r>
        <w:rPr>
          <w:rFonts w:hint="eastAsia" w:cs="宋体"/>
          <w:szCs w:val="21"/>
          <w:lang w:bidi="ar"/>
        </w:rPr>
        <w:t>。</w:t>
      </w:r>
    </w:p>
    <w:p>
      <w:pPr>
        <w:tabs>
          <w:tab w:val="left" w:pos="420"/>
        </w:tabs>
        <w:snapToGrid w:val="0"/>
        <w:spacing w:line="440" w:lineRule="exact"/>
        <w:ind w:firstLine="420" w:firstLineChars="200"/>
        <w:rPr>
          <w:rFonts w:cs="宋体"/>
          <w:szCs w:val="21"/>
          <w:lang w:bidi="ar"/>
        </w:rPr>
      </w:pPr>
      <w:r>
        <w:rPr>
          <w:rFonts w:hint="eastAsia" w:cs="宋体"/>
          <w:szCs w:val="21"/>
          <w:lang w:bidi="ar"/>
        </w:rPr>
        <w:t>9）承包人需统筹其他各分包单位及甲供材料设备的运输和就位工作，合理安排各专业的施工工序，塔吊及每层的卸料平台需能满足其他各分包单位及甲供材料设备的吊运和卸货要求，相关措施费用均包含在合同总价内，确保所有设备整件就位及安装，否则由此造成的设备拆卸、搬运、组装、检测、调试等相关费用由承包人承担。</w:t>
      </w:r>
    </w:p>
    <w:p>
      <w:pPr>
        <w:tabs>
          <w:tab w:val="left" w:pos="420"/>
        </w:tabs>
        <w:snapToGrid w:val="0"/>
        <w:spacing w:line="440" w:lineRule="exact"/>
        <w:ind w:firstLine="420" w:firstLineChars="200"/>
        <w:rPr>
          <w:rFonts w:cs="宋体"/>
          <w:szCs w:val="21"/>
          <w:lang w:bidi="ar"/>
        </w:rPr>
      </w:pPr>
      <w:r>
        <w:rPr>
          <w:rFonts w:ascii="Cambria Math" w:hAnsi="Cambria Math" w:cs="Cambria Math"/>
          <w:szCs w:val="21"/>
          <w:lang w:bidi="ar"/>
        </w:rPr>
        <w:t>1</w:t>
      </w:r>
      <w:r>
        <w:rPr>
          <w:rFonts w:hint="eastAsia" w:ascii="Cambria Math" w:hAnsi="Cambria Math" w:cs="Cambria Math"/>
          <w:szCs w:val="21"/>
          <w:lang w:bidi="ar"/>
        </w:rPr>
        <w:t>0）</w:t>
      </w:r>
      <w:r>
        <w:rPr>
          <w:rFonts w:hint="eastAsia" w:cs="宋体"/>
          <w:szCs w:val="21"/>
          <w:lang w:bidi="ar"/>
        </w:rPr>
        <w:t>承包人在各分项工程施工前须与各分包单位联系，以求了解各分包单位在该分项工程上的特别要求，如管井砌筑、门洞砌筑、开槽、预留孔洞、预埋件等的需求，并合理组织协调各专业的施工工序，配合各分包单位完成相关工作。</w:t>
      </w:r>
    </w:p>
    <w:p>
      <w:pPr>
        <w:tabs>
          <w:tab w:val="left" w:pos="420"/>
        </w:tabs>
        <w:snapToGrid w:val="0"/>
        <w:spacing w:line="440" w:lineRule="exact"/>
        <w:ind w:firstLine="420" w:firstLineChars="200"/>
        <w:rPr>
          <w:rFonts w:cs="宋体"/>
          <w:szCs w:val="21"/>
          <w:lang w:bidi="ar"/>
        </w:rPr>
      </w:pPr>
      <w:r>
        <w:rPr>
          <w:rFonts w:ascii="Cambria Math" w:hAnsi="Cambria Math" w:cs="Cambria Math"/>
          <w:szCs w:val="21"/>
          <w:lang w:bidi="ar"/>
        </w:rPr>
        <w:t>1</w:t>
      </w:r>
      <w:r>
        <w:rPr>
          <w:rFonts w:hint="eastAsia" w:ascii="Cambria Math" w:hAnsi="Cambria Math" w:cs="Cambria Math"/>
          <w:szCs w:val="21"/>
          <w:lang w:bidi="ar"/>
        </w:rPr>
        <w:t>1）</w:t>
      </w:r>
      <w:r>
        <w:rPr>
          <w:rFonts w:hint="eastAsia" w:cs="宋体"/>
          <w:szCs w:val="21"/>
          <w:lang w:bidi="ar"/>
        </w:rPr>
        <w:t>承包人负责参观通道文明形象维护工作、讲解平台的规划、宣传展架展板布置、展台搭设和维护，相关费用由承包人承担。</w:t>
      </w:r>
    </w:p>
    <w:p>
      <w:pPr>
        <w:tabs>
          <w:tab w:val="left" w:pos="420"/>
        </w:tabs>
        <w:snapToGrid w:val="0"/>
        <w:spacing w:line="440" w:lineRule="exact"/>
        <w:ind w:firstLine="420" w:firstLineChars="200"/>
        <w:rPr>
          <w:rFonts w:cs="宋体"/>
          <w:szCs w:val="21"/>
          <w:lang w:bidi="ar"/>
        </w:rPr>
      </w:pPr>
      <w:r>
        <w:rPr>
          <w:rFonts w:hint="eastAsia" w:ascii="Cambria Math" w:hAnsi="Cambria Math" w:cs="Cambria Math"/>
          <w:szCs w:val="21"/>
          <w:lang w:bidi="ar"/>
        </w:rPr>
        <w:t>12）</w:t>
      </w:r>
      <w:r>
        <w:rPr>
          <w:rFonts w:hint="eastAsia" w:cs="宋体"/>
          <w:szCs w:val="21"/>
          <w:lang w:bidi="ar"/>
        </w:rPr>
        <w:t>所有临边和洞口围栏、公共楼梯临时扶手均由承包人负责布置和维护，后续有分包单位因施工需要拆除的，必须确保施工安全并负责恢复，承包人应督促检查相关单位恢复，如不能明确责任单位的，则由承包人无条件进行恢复。</w:t>
      </w:r>
    </w:p>
    <w:p>
      <w:pPr>
        <w:tabs>
          <w:tab w:val="left" w:pos="420"/>
        </w:tabs>
        <w:snapToGrid w:val="0"/>
        <w:spacing w:line="440" w:lineRule="exact"/>
        <w:ind w:firstLine="420" w:firstLineChars="200"/>
        <w:rPr>
          <w:rFonts w:cs="宋体"/>
          <w:szCs w:val="21"/>
          <w:lang w:bidi="ar"/>
        </w:rPr>
      </w:pPr>
      <w:r>
        <w:rPr>
          <w:rFonts w:ascii="Cambria Math" w:hAnsi="Cambria Math" w:cs="Cambria Math"/>
          <w:szCs w:val="21"/>
          <w:lang w:bidi="ar"/>
        </w:rPr>
        <w:t>1</w:t>
      </w:r>
      <w:r>
        <w:rPr>
          <w:rFonts w:hint="eastAsia" w:ascii="Cambria Math" w:hAnsi="Cambria Math" w:cs="Cambria Math"/>
          <w:szCs w:val="21"/>
          <w:lang w:bidi="ar"/>
        </w:rPr>
        <w:t>3）</w:t>
      </w:r>
      <w:r>
        <w:rPr>
          <w:rFonts w:hint="eastAsia" w:cs="宋体"/>
          <w:szCs w:val="21"/>
          <w:lang w:bidi="ar"/>
        </w:rPr>
        <w:t>管理过程中应上报施工总平面规划布置方案及平面图（包含运输通道）、临时消防及视频监控方案、成品保护方案提前启用的使用方案、通水通电后维护及使用的方案等，其费用已由承包人综合考虑。</w:t>
      </w:r>
    </w:p>
    <w:p>
      <w:pPr>
        <w:tabs>
          <w:tab w:val="left" w:pos="420"/>
        </w:tabs>
        <w:snapToGrid w:val="0"/>
        <w:spacing w:line="440" w:lineRule="exact"/>
        <w:ind w:firstLine="420" w:firstLineChars="200"/>
        <w:rPr>
          <w:rFonts w:cs="宋体"/>
          <w:szCs w:val="21"/>
          <w:lang w:bidi="ar"/>
        </w:rPr>
      </w:pPr>
      <w:r>
        <w:rPr>
          <w:rFonts w:ascii="Cambria Math" w:hAnsi="Cambria Math" w:cs="Cambria Math"/>
          <w:szCs w:val="21"/>
          <w:lang w:bidi="ar"/>
        </w:rPr>
        <w:t>1</w:t>
      </w:r>
      <w:r>
        <w:rPr>
          <w:rFonts w:hint="eastAsia" w:ascii="Cambria Math" w:hAnsi="Cambria Math" w:cs="Cambria Math"/>
          <w:szCs w:val="21"/>
          <w:lang w:bidi="ar"/>
        </w:rPr>
        <w:t>4）</w:t>
      </w:r>
      <w:r>
        <w:rPr>
          <w:rFonts w:hint="eastAsia" w:cs="宋体"/>
          <w:szCs w:val="21"/>
          <w:lang w:bidi="ar"/>
        </w:rPr>
        <w:t>现场的主要通道的墙、柱、台阶等构件需做好成品保护，如未做保护造成损坏的按</w:t>
      </w:r>
      <w:r>
        <w:rPr>
          <w:rFonts w:cs="宋体"/>
          <w:szCs w:val="21"/>
          <w:lang w:bidi="ar"/>
        </w:rPr>
        <w:t>500元/处进行处罚，并负责修复完善</w:t>
      </w:r>
      <w:r>
        <w:rPr>
          <w:rFonts w:hint="eastAsia" w:cs="宋体"/>
          <w:szCs w:val="21"/>
          <w:lang w:bidi="ar"/>
        </w:rPr>
        <w:t>。</w:t>
      </w:r>
    </w:p>
    <w:p>
      <w:pPr>
        <w:snapToGrid w:val="0"/>
        <w:spacing w:line="440" w:lineRule="exact"/>
        <w:ind w:firstLine="420" w:firstLineChars="200"/>
        <w:rPr>
          <w:rFonts w:cs="宋体"/>
          <w:szCs w:val="21"/>
          <w:lang w:bidi="ar"/>
        </w:rPr>
      </w:pPr>
      <w:r>
        <w:rPr>
          <w:rFonts w:hint="eastAsia" w:cs="宋体"/>
          <w:szCs w:val="21"/>
          <w:lang w:bidi="ar"/>
        </w:rPr>
        <w:t>15）临时用水、用电：施工现场用电箱变已接到现场或就近位置，施工用水、用电由中标人提出用量需求，经业主审核同意后，由中标人按业主指定位置驳接。要求中标人安装独立施工用水、用电计量，施工现场内水、电管线由中标人根据施工需要自行解决。水电费用按机场相关水电运营管理单位要求申报、计量并交纳费用。在规定水电费基础上，中标人需另外缴纳水电费的一定比例给机场水电运营管理部门作为供能分摊成本。水电基本费用会根据上级主管部门的收费标准进行调整。</w:t>
      </w:r>
    </w:p>
    <w:p>
      <w:pPr>
        <w:snapToGrid w:val="0"/>
        <w:spacing w:line="440" w:lineRule="exact"/>
        <w:ind w:firstLine="420" w:firstLineChars="200"/>
        <w:rPr>
          <w:rFonts w:cs="宋体"/>
          <w:szCs w:val="21"/>
          <w:lang w:bidi="ar"/>
        </w:rPr>
      </w:pPr>
      <w:r>
        <w:rPr>
          <w:rFonts w:hint="eastAsia" w:cs="宋体"/>
          <w:szCs w:val="21"/>
          <w:lang w:bidi="ar"/>
        </w:rPr>
        <w:t>（3）承包人</w:t>
      </w:r>
      <w:r>
        <w:rPr>
          <w:rFonts w:cs="宋体"/>
          <w:szCs w:val="21"/>
          <w:lang w:bidi="ar"/>
        </w:rPr>
        <w:t>必须与</w:t>
      </w:r>
      <w:r>
        <w:rPr>
          <w:rFonts w:hint="eastAsia" w:cs="宋体"/>
          <w:szCs w:val="21"/>
          <w:lang w:bidi="ar"/>
        </w:rPr>
        <w:t>本项目场地区域内的各专业单位签订安全、质量、文明施工等方面的管理协议，若未签订协议，由发包人对不配合方进行违约索赔，索赔金额为50万元并负责承担由此产生的一切后果。</w:t>
      </w:r>
    </w:p>
    <w:p>
      <w:pPr>
        <w:spacing w:line="440" w:lineRule="exact"/>
        <w:ind w:firstLine="420" w:firstLineChars="200"/>
      </w:pPr>
    </w:p>
    <w:p>
      <w:pPr>
        <w:widowControl/>
        <w:spacing w:line="400" w:lineRule="exact"/>
        <w:ind w:firstLine="420" w:firstLineChars="200"/>
        <w:rPr>
          <w:rFonts w:ascii="Times New Roman" w:hAnsi="Times New Roman"/>
          <w:szCs w:val="21"/>
        </w:rPr>
      </w:pPr>
    </w:p>
    <w:p>
      <w:pPr>
        <w:pStyle w:val="2"/>
      </w:pPr>
    </w:p>
    <w:p>
      <w:pPr>
        <w:pStyle w:val="2"/>
      </w:pPr>
    </w:p>
    <w:p>
      <w:pPr>
        <w:spacing w:line="440" w:lineRule="exact"/>
        <w:rPr>
          <w:rFonts w:ascii="宋体" w:hAnsi="宋体" w:cs="宋体"/>
          <w:b/>
          <w:color w:val="000000"/>
          <w:szCs w:val="21"/>
        </w:rPr>
      </w:pPr>
    </w:p>
    <w:p>
      <w:pPr>
        <w:spacing w:line="440" w:lineRule="exact"/>
        <w:rPr>
          <w:rFonts w:ascii="宋体" w:hAnsi="宋体"/>
          <w:szCs w:val="21"/>
          <w:lang w:eastAsia="zh-Hans"/>
        </w:rPr>
        <w:sectPr>
          <w:pgSz w:w="11906" w:h="16838"/>
          <w:pgMar w:top="1440" w:right="1800" w:bottom="1440" w:left="1800" w:header="851" w:footer="992" w:gutter="0"/>
          <w:cols w:space="720" w:num="1"/>
          <w:docGrid w:type="lines" w:linePitch="312" w:charSpace="0"/>
        </w:sectPr>
      </w:pPr>
    </w:p>
    <w:p>
      <w:pPr>
        <w:spacing w:line="440" w:lineRule="exact"/>
        <w:rPr>
          <w:rFonts w:ascii="宋体" w:hAnsi="宋体"/>
          <w:szCs w:val="21"/>
          <w:lang w:eastAsia="zh-Hans"/>
        </w:rPr>
      </w:pPr>
      <w:r>
        <w:rPr>
          <w:rFonts w:hint="eastAsia" w:ascii="宋体" w:hAnsi="宋体"/>
          <w:szCs w:val="21"/>
          <w:lang w:eastAsia="zh-Hans"/>
        </w:rPr>
        <w:t>涉及</w:t>
      </w:r>
      <w:r>
        <w:rPr>
          <w:rFonts w:hint="eastAsia" w:ascii="宋体" w:hAnsi="宋体"/>
          <w:szCs w:val="21"/>
        </w:rPr>
        <w:t>附件</w:t>
      </w:r>
      <w:r>
        <w:rPr>
          <w:rFonts w:hint="eastAsia" w:ascii="宋体" w:hAnsi="宋体"/>
          <w:szCs w:val="21"/>
          <w:lang w:eastAsia="zh-Hans"/>
        </w:rPr>
        <w:t>（另册）：</w:t>
      </w:r>
    </w:p>
    <w:p>
      <w:pPr>
        <w:spacing w:line="440" w:lineRule="exact"/>
        <w:rPr>
          <w:rFonts w:ascii="宋体" w:hAnsi="宋体" w:cs="宋体"/>
          <w:bCs/>
          <w:color w:val="000000"/>
          <w:szCs w:val="21"/>
        </w:rPr>
      </w:pPr>
      <w:r>
        <w:rPr>
          <w:rFonts w:hint="eastAsia" w:ascii="宋体" w:hAnsi="宋体" w:cs="宋体"/>
          <w:bCs/>
          <w:color w:val="000000"/>
          <w:szCs w:val="21"/>
        </w:rPr>
        <w:t>附件1：工程地质勘察报告</w:t>
      </w:r>
    </w:p>
    <w:p>
      <w:pPr>
        <w:spacing w:line="440" w:lineRule="exact"/>
        <w:rPr>
          <w:rFonts w:ascii="宋体" w:hAnsi="宋体" w:cs="宋体"/>
          <w:bCs/>
          <w:color w:val="000000"/>
          <w:szCs w:val="21"/>
        </w:rPr>
      </w:pPr>
      <w:r>
        <w:rPr>
          <w:rFonts w:hint="eastAsia" w:ascii="宋体" w:hAnsi="宋体" w:cs="宋体"/>
          <w:bCs/>
          <w:color w:val="000000"/>
          <w:szCs w:val="21"/>
        </w:rPr>
        <w:t>附件2：广东省机场管理集团有限公司工程建设指挥部地下管线施工安全管理规定</w:t>
      </w:r>
    </w:p>
    <w:p>
      <w:pPr>
        <w:spacing w:line="440" w:lineRule="exact"/>
        <w:rPr>
          <w:rFonts w:ascii="宋体" w:hAnsi="宋体" w:cs="宋体"/>
          <w:bCs/>
          <w:color w:val="000000"/>
          <w:szCs w:val="21"/>
        </w:rPr>
      </w:pPr>
      <w:r>
        <w:rPr>
          <w:rFonts w:hint="eastAsia" w:ascii="宋体" w:hAnsi="宋体" w:cs="宋体"/>
          <w:bCs/>
          <w:color w:val="000000"/>
          <w:szCs w:val="21"/>
          <w:lang w:eastAsia="zh-Hans"/>
        </w:rPr>
        <w:t>附件</w:t>
      </w:r>
      <w:r>
        <w:rPr>
          <w:rFonts w:hint="eastAsia" w:ascii="宋体" w:hAnsi="宋体" w:cs="宋体"/>
          <w:bCs/>
          <w:color w:val="000000"/>
          <w:szCs w:val="21"/>
        </w:rPr>
        <w:t>3：劳动竞赛实施方案</w:t>
      </w:r>
    </w:p>
    <w:p>
      <w:pPr>
        <w:spacing w:line="440" w:lineRule="exact"/>
        <w:rPr>
          <w:rFonts w:ascii="宋体" w:hAnsi="宋体" w:cs="宋体"/>
          <w:bCs/>
          <w:color w:val="000000"/>
          <w:szCs w:val="21"/>
        </w:rPr>
      </w:pPr>
      <w:r>
        <w:rPr>
          <w:rFonts w:hint="eastAsia" w:ascii="宋体" w:hAnsi="宋体" w:cs="宋体"/>
          <w:bCs/>
          <w:color w:val="000000"/>
          <w:szCs w:val="21"/>
        </w:rPr>
        <w:t>附件4：广东省机场管理集团有限公司工程建设指挥部建设项目安全生产处罚实施细则</w:t>
      </w:r>
    </w:p>
    <w:p>
      <w:pPr>
        <w:spacing w:line="440" w:lineRule="exact"/>
        <w:rPr>
          <w:rFonts w:ascii="宋体" w:hAnsi="宋体" w:cs="宋体"/>
          <w:bCs/>
          <w:color w:val="000000"/>
          <w:szCs w:val="21"/>
        </w:rPr>
      </w:pPr>
      <w:r>
        <w:rPr>
          <w:rFonts w:hint="eastAsia" w:ascii="宋体" w:hAnsi="宋体" w:cs="宋体"/>
          <w:bCs/>
          <w:color w:val="000000"/>
          <w:szCs w:val="21"/>
        </w:rPr>
        <w:t>附件5：广州白云国际机场三期扩建工程施工用电安全责任书</w:t>
      </w:r>
    </w:p>
    <w:p>
      <w:pPr>
        <w:spacing w:line="440" w:lineRule="exact"/>
        <w:rPr>
          <w:rFonts w:ascii="宋体" w:hAnsi="宋体" w:cs="宋体"/>
          <w:bCs/>
          <w:color w:val="000000"/>
          <w:szCs w:val="21"/>
        </w:rPr>
      </w:pPr>
      <w:r>
        <w:rPr>
          <w:rFonts w:hint="eastAsia" w:ascii="宋体" w:hAnsi="宋体" w:cs="宋体"/>
          <w:bCs/>
          <w:color w:val="000000"/>
          <w:szCs w:val="21"/>
        </w:rPr>
        <w:t>附件6：</w:t>
      </w:r>
      <w:r>
        <w:rPr>
          <w:rFonts w:hint="eastAsia" w:ascii="宋体" w:hAnsi="宋体" w:cs="宋体"/>
          <w:bCs/>
          <w:color w:val="000000"/>
          <w:szCs w:val="21"/>
          <w:lang w:val="zh-CN"/>
        </w:rPr>
        <w:t>广东省机场管理集团有限公司工程建设指挥部乙购材料设备送样封存管理细则</w:t>
      </w:r>
    </w:p>
    <w:p>
      <w:pPr>
        <w:spacing w:line="440" w:lineRule="exact"/>
        <w:rPr>
          <w:rFonts w:ascii="宋体" w:hAnsi="宋体" w:cs="宋体"/>
          <w:bCs/>
          <w:color w:val="000000"/>
          <w:szCs w:val="21"/>
          <w:lang w:eastAsia="zh-Hans"/>
        </w:rPr>
      </w:pPr>
      <w:r>
        <w:rPr>
          <w:rFonts w:hint="eastAsia" w:ascii="宋体" w:hAnsi="宋体" w:cs="宋体"/>
          <w:bCs/>
          <w:color w:val="000000"/>
          <w:szCs w:val="21"/>
        </w:rPr>
        <w:t>附件7：</w:t>
      </w:r>
      <w:r>
        <w:rPr>
          <w:rFonts w:hint="eastAsia" w:ascii="宋体" w:hAnsi="宋体" w:cs="宋体"/>
          <w:bCs/>
          <w:color w:val="000000"/>
          <w:szCs w:val="21"/>
          <w:lang w:eastAsia="zh-Hans"/>
        </w:rPr>
        <w:t>质量和安全文明施工违约扣除标准表</w:t>
      </w:r>
    </w:p>
    <w:p>
      <w:pPr>
        <w:spacing w:line="440" w:lineRule="exact"/>
        <w:rPr>
          <w:rFonts w:ascii="宋体" w:hAnsi="宋体" w:cs="宋体"/>
          <w:bCs/>
          <w:color w:val="000000"/>
          <w:szCs w:val="21"/>
        </w:rPr>
      </w:pPr>
      <w:r>
        <w:rPr>
          <w:rFonts w:hint="eastAsia" w:ascii="宋体" w:hAnsi="宋体" w:cs="宋体"/>
          <w:bCs/>
          <w:color w:val="000000"/>
          <w:szCs w:val="21"/>
        </w:rPr>
        <w:t>附件8：智能建造联合创新工作室合作协议</w:t>
      </w:r>
    </w:p>
    <w:p>
      <w:pPr>
        <w:spacing w:line="440" w:lineRule="exact"/>
        <w:rPr>
          <w:rFonts w:ascii="宋体" w:hAnsi="宋体" w:cs="宋体"/>
          <w:bCs/>
          <w:color w:val="000000"/>
          <w:szCs w:val="21"/>
        </w:rPr>
      </w:pPr>
      <w:r>
        <w:rPr>
          <w:rFonts w:hint="eastAsia" w:ascii="宋体" w:hAnsi="宋体" w:cs="宋体"/>
          <w:bCs/>
          <w:color w:val="000000"/>
          <w:szCs w:val="21"/>
        </w:rPr>
        <w:t>附件9：广州白云国际机场三期扩建工程10kV临时用电管理规定</w:t>
      </w:r>
    </w:p>
    <w:p>
      <w:pPr>
        <w:spacing w:line="440" w:lineRule="exact"/>
        <w:rPr>
          <w:rFonts w:ascii="宋体" w:hAnsi="宋体" w:cs="宋体"/>
          <w:bCs/>
          <w:color w:val="000000"/>
          <w:szCs w:val="21"/>
        </w:rPr>
      </w:pPr>
      <w:r>
        <w:rPr>
          <w:rFonts w:hint="eastAsia" w:ascii="宋体" w:hAnsi="宋体" w:cs="宋体"/>
          <w:bCs/>
          <w:color w:val="000000"/>
          <w:szCs w:val="21"/>
        </w:rPr>
        <w:t>附件10：广州白云国际机场股份有限公司水电计量管理规定（暂行）</w:t>
      </w:r>
    </w:p>
    <w:p>
      <w:pPr>
        <w:pStyle w:val="32"/>
        <w:widowControl w:val="0"/>
        <w:spacing w:beforeAutospacing="0" w:afterAutospacing="0" w:line="360" w:lineRule="auto"/>
        <w:jc w:val="both"/>
        <w:outlineLvl w:val="2"/>
        <w:rPr>
          <w:rFonts w:ascii="Times New Roman" w:hAnsi="Times New Roman"/>
          <w:kern w:val="2"/>
          <w:sz w:val="21"/>
          <w:szCs w:val="21"/>
        </w:rPr>
      </w:pPr>
    </w:p>
    <w:p>
      <w:pPr>
        <w:pStyle w:val="3"/>
        <w:jc w:val="center"/>
        <w:rPr>
          <w:b/>
          <w:bCs/>
        </w:rPr>
      </w:pPr>
    </w:p>
    <w:p>
      <w:pPr>
        <w:pStyle w:val="3"/>
        <w:jc w:val="center"/>
        <w:rPr>
          <w:b/>
          <w:bCs/>
        </w:rPr>
      </w:pPr>
    </w:p>
    <w:p>
      <w:pPr>
        <w:pStyle w:val="3"/>
        <w:jc w:val="center"/>
        <w:rPr>
          <w:b/>
          <w:bCs/>
        </w:rPr>
      </w:pPr>
    </w:p>
    <w:p>
      <w:pPr>
        <w:pStyle w:val="3"/>
        <w:jc w:val="center"/>
        <w:rPr>
          <w:b/>
          <w:bCs/>
        </w:rPr>
      </w:pPr>
    </w:p>
    <w:p>
      <w:pPr>
        <w:pStyle w:val="3"/>
        <w:jc w:val="center"/>
        <w:rPr>
          <w:b/>
          <w:bCs/>
        </w:rPr>
      </w:pPr>
    </w:p>
    <w:p>
      <w:pPr>
        <w:pStyle w:val="3"/>
        <w:jc w:val="center"/>
        <w:rPr>
          <w:b/>
          <w:bCs/>
        </w:rPr>
      </w:pPr>
    </w:p>
    <w:p>
      <w:pPr>
        <w:pStyle w:val="3"/>
        <w:jc w:val="center"/>
        <w:rPr>
          <w:b/>
          <w:bCs/>
        </w:rPr>
      </w:pPr>
    </w:p>
    <w:p>
      <w:pPr>
        <w:pStyle w:val="3"/>
        <w:jc w:val="center"/>
        <w:rPr>
          <w:b/>
          <w:bCs/>
        </w:rPr>
      </w:pPr>
    </w:p>
    <w:p/>
    <w:p>
      <w:pPr>
        <w:pStyle w:val="3"/>
        <w:jc w:val="center"/>
        <w:rPr>
          <w:b/>
          <w:bCs/>
        </w:rPr>
      </w:pPr>
    </w:p>
    <w:p>
      <w:pPr>
        <w:pStyle w:val="3"/>
        <w:jc w:val="center"/>
        <w:rPr>
          <w:b/>
          <w:bCs/>
        </w:rPr>
      </w:pPr>
    </w:p>
    <w:p>
      <w:pPr>
        <w:pStyle w:val="3"/>
        <w:jc w:val="center"/>
        <w:rPr>
          <w:b/>
          <w:bCs/>
        </w:rPr>
      </w:pPr>
    </w:p>
    <w:p>
      <w:pPr>
        <w:pStyle w:val="3"/>
        <w:jc w:val="center"/>
      </w:pPr>
      <w:r>
        <w:rPr>
          <w:rFonts w:hint="eastAsia"/>
          <w:b/>
          <w:bCs/>
        </w:rPr>
        <w:t>第六章</w:t>
      </w:r>
      <w:r>
        <w:rPr>
          <w:b/>
          <w:bCs/>
        </w:rPr>
        <w:t xml:space="preserve">  </w:t>
      </w:r>
      <w:r>
        <w:rPr>
          <w:rFonts w:hint="eastAsia"/>
          <w:b/>
          <w:bCs/>
        </w:rPr>
        <w:t>智能建造要求（见附件）</w:t>
      </w:r>
    </w:p>
    <w:p>
      <w:pPr>
        <w:pStyle w:val="5"/>
        <w:sectPr>
          <w:headerReference r:id="rId24" w:type="default"/>
          <w:footerReference r:id="rId25" w:type="default"/>
          <w:pgSz w:w="11906" w:h="16838"/>
          <w:pgMar w:top="1440" w:right="1800" w:bottom="1440" w:left="1800" w:header="851" w:footer="992" w:gutter="0"/>
          <w:cols w:space="425" w:num="1"/>
          <w:docGrid w:type="lines" w:linePitch="312" w:charSpace="0"/>
        </w:sectPr>
      </w:pPr>
      <w:bookmarkStart w:id="395" w:name="_Para_k4rymxdv_c_000428"/>
      <w:bookmarkEnd w:id="395"/>
      <w:bookmarkStart w:id="396" w:name="_Para_k2ad3ovc_c_000109"/>
      <w:bookmarkEnd w:id="396"/>
      <w:bookmarkStart w:id="397" w:name="_Para_k2ad3ovc_c_000114"/>
      <w:bookmarkEnd w:id="397"/>
      <w:bookmarkStart w:id="398" w:name="_Para_k2ad3ovc_000004"/>
      <w:bookmarkEnd w:id="398"/>
      <w:bookmarkStart w:id="399" w:name="_Para_k4rymxdv_c_000422"/>
      <w:bookmarkEnd w:id="399"/>
      <w:bookmarkStart w:id="400" w:name="_Para_k4rymxdv_c_000473"/>
      <w:bookmarkEnd w:id="400"/>
      <w:bookmarkStart w:id="401" w:name="_Para_k4rymxdv_c_000495"/>
      <w:bookmarkEnd w:id="401"/>
      <w:bookmarkStart w:id="402" w:name="_Para_k2lkpf50_000046"/>
      <w:bookmarkEnd w:id="402"/>
      <w:bookmarkStart w:id="403" w:name="_Para_k2ad3ovc_000051"/>
      <w:bookmarkEnd w:id="403"/>
      <w:bookmarkStart w:id="404" w:name="_Para_k4rymxdv_c_000394"/>
      <w:bookmarkEnd w:id="404"/>
      <w:bookmarkStart w:id="405" w:name="_Para_k4rymxdv_000121"/>
      <w:bookmarkEnd w:id="405"/>
      <w:bookmarkStart w:id="406" w:name="_Para_k2lkpf50_000075"/>
      <w:bookmarkEnd w:id="406"/>
      <w:bookmarkStart w:id="407" w:name="_Para_k4rymxdv_000127"/>
      <w:bookmarkEnd w:id="407"/>
      <w:bookmarkStart w:id="408" w:name="_Para_k2lkpf50_000054"/>
      <w:bookmarkEnd w:id="408"/>
      <w:bookmarkStart w:id="409" w:name="_Para_k2lkpf50_000009"/>
      <w:bookmarkEnd w:id="409"/>
      <w:bookmarkStart w:id="410" w:name="_Para_k57ixgsi_000000"/>
      <w:bookmarkEnd w:id="410"/>
      <w:bookmarkStart w:id="411" w:name="_Para_k4rymxdv_c_000486"/>
      <w:bookmarkEnd w:id="411"/>
      <w:bookmarkStart w:id="412" w:name="_Para_k4rymxdv_000115"/>
      <w:bookmarkEnd w:id="412"/>
      <w:bookmarkStart w:id="413" w:name="_Para_k2ad3ovc_000074"/>
      <w:bookmarkEnd w:id="413"/>
      <w:bookmarkStart w:id="414" w:name="_Para_k4rymxdv_000167"/>
      <w:bookmarkEnd w:id="414"/>
      <w:bookmarkStart w:id="415" w:name="_Para_k2lkpf50_000030"/>
      <w:bookmarkEnd w:id="415"/>
      <w:bookmarkStart w:id="416" w:name="_Para_k4rymxdv_c_000408"/>
      <w:bookmarkEnd w:id="416"/>
      <w:bookmarkStart w:id="417" w:name="_Para_k2ad3ovc_000014"/>
      <w:bookmarkEnd w:id="417"/>
      <w:bookmarkStart w:id="418" w:name="_Para_k2ad3ovc_000021"/>
      <w:bookmarkEnd w:id="418"/>
      <w:bookmarkStart w:id="419" w:name="3___面向应用的交付过程"/>
      <w:bookmarkEnd w:id="419"/>
      <w:bookmarkStart w:id="420" w:name="_Para_k2ad3ovc_000054"/>
      <w:bookmarkEnd w:id="420"/>
      <w:bookmarkStart w:id="421" w:name="_Para_k4rymxdv_c_000410"/>
      <w:bookmarkEnd w:id="421"/>
      <w:bookmarkStart w:id="422" w:name="_Toc21457223"/>
      <w:bookmarkEnd w:id="422"/>
      <w:bookmarkStart w:id="423" w:name="_Para_k2ad3ovc_000073"/>
      <w:bookmarkEnd w:id="423"/>
      <w:bookmarkStart w:id="424" w:name="_Para_k4rymxdv_c_000472"/>
      <w:bookmarkEnd w:id="424"/>
      <w:bookmarkStart w:id="425" w:name="_Para_k4rymxdv_000025"/>
      <w:bookmarkEnd w:id="425"/>
      <w:bookmarkStart w:id="426" w:name="_Para_k2ad3ovc_000049"/>
      <w:bookmarkEnd w:id="426"/>
      <w:bookmarkStart w:id="427" w:name="_Para_k4rymxdv_c_000483"/>
      <w:bookmarkEnd w:id="427"/>
      <w:bookmarkStart w:id="428" w:name="_Para_k2lkpf50_000056"/>
      <w:bookmarkEnd w:id="428"/>
      <w:bookmarkStart w:id="429" w:name="_Para_k2ad3ovc_000011"/>
      <w:bookmarkEnd w:id="429"/>
      <w:bookmarkStart w:id="430" w:name="_Para_k4rymxdv_c_000406"/>
      <w:bookmarkEnd w:id="430"/>
      <w:bookmarkStart w:id="431" w:name="_Para_k57ixgsi_c_000167"/>
      <w:bookmarkEnd w:id="431"/>
      <w:bookmarkStart w:id="432" w:name="_Para_k4rymxdv_000165"/>
      <w:bookmarkEnd w:id="432"/>
      <w:bookmarkStart w:id="433" w:name="_Para_k2lkpf50_c_000099"/>
      <w:bookmarkEnd w:id="433"/>
      <w:bookmarkStart w:id="434" w:name="_Para_k2lkpf50_000081"/>
      <w:bookmarkEnd w:id="434"/>
      <w:bookmarkStart w:id="435" w:name="_Para_k2ad3ovc_000002"/>
      <w:bookmarkEnd w:id="435"/>
      <w:bookmarkStart w:id="436" w:name="_Para_k2ad3ovc_000026"/>
      <w:bookmarkEnd w:id="436"/>
      <w:bookmarkStart w:id="437" w:name="bookmark9"/>
      <w:bookmarkEnd w:id="437"/>
      <w:bookmarkStart w:id="438" w:name="_Para_k2ad3ovc_000079"/>
      <w:bookmarkEnd w:id="438"/>
      <w:bookmarkStart w:id="439" w:name="_Para_k2ad3ovc_000047"/>
      <w:bookmarkEnd w:id="439"/>
      <w:bookmarkStart w:id="440" w:name="_Para_k2ad3ovc_000044"/>
      <w:bookmarkEnd w:id="440"/>
      <w:bookmarkStart w:id="441" w:name="_Para_k2ad3ovc_000042"/>
      <w:bookmarkEnd w:id="441"/>
      <w:bookmarkStart w:id="442" w:name="_Para_k2ad3ovc_000060"/>
      <w:bookmarkEnd w:id="442"/>
      <w:bookmarkStart w:id="443" w:name="_Para_k4rymxdv_c_000467"/>
      <w:bookmarkEnd w:id="443"/>
      <w:bookmarkStart w:id="444" w:name="_Para_k2lkpf50_000057"/>
      <w:bookmarkEnd w:id="444"/>
      <w:bookmarkStart w:id="445" w:name="_Para_k4rymxdv_000018"/>
      <w:bookmarkEnd w:id="445"/>
      <w:bookmarkStart w:id="446" w:name="_Para_k2lkpf50_c_000106"/>
      <w:bookmarkEnd w:id="446"/>
      <w:bookmarkStart w:id="447" w:name="_Para_k4rymxdv_c_000477"/>
      <w:bookmarkEnd w:id="447"/>
      <w:bookmarkStart w:id="448" w:name="_Para_k2lkpf50_000045"/>
      <w:bookmarkEnd w:id="448"/>
      <w:bookmarkStart w:id="449" w:name="_Para_k2ad3ovc_000080"/>
      <w:bookmarkEnd w:id="449"/>
      <w:bookmarkStart w:id="450" w:name="_Para_k2lkpf50_000066"/>
      <w:bookmarkEnd w:id="450"/>
      <w:bookmarkStart w:id="451" w:name="_Para_k2ad3ovc_000005"/>
      <w:bookmarkEnd w:id="451"/>
      <w:bookmarkStart w:id="452" w:name="_Para_k4rymxdv_c_000452"/>
      <w:bookmarkEnd w:id="452"/>
      <w:bookmarkStart w:id="453" w:name="_Para_k2ad3ovc_000077"/>
      <w:bookmarkEnd w:id="453"/>
      <w:bookmarkStart w:id="454" w:name="_Para_k2ad3ovc_000034"/>
      <w:bookmarkEnd w:id="454"/>
      <w:bookmarkStart w:id="455" w:name="_Para_k2lkpf50_000069"/>
      <w:bookmarkEnd w:id="455"/>
      <w:bookmarkStart w:id="456" w:name="_Para_k2ad3ovc_000013"/>
      <w:bookmarkEnd w:id="456"/>
      <w:bookmarkStart w:id="457" w:name="_Para_k4rymxdv_000169"/>
      <w:bookmarkEnd w:id="457"/>
      <w:bookmarkStart w:id="458" w:name="_Para_k2ad3ovc_000062"/>
      <w:bookmarkEnd w:id="458"/>
      <w:bookmarkStart w:id="459" w:name="_Para_k4rymxdv_c_000484"/>
      <w:bookmarkEnd w:id="459"/>
      <w:bookmarkStart w:id="460" w:name="_Para_k2ad3ovc_000048"/>
      <w:bookmarkEnd w:id="460"/>
      <w:bookmarkStart w:id="461" w:name="_Para_k2lkpf50_000051"/>
      <w:bookmarkEnd w:id="461"/>
      <w:bookmarkStart w:id="462" w:name="_Para_k4rymxdv_000112"/>
      <w:bookmarkEnd w:id="462"/>
      <w:bookmarkStart w:id="463" w:name="_Para_k2ad3ovc_c_000113"/>
      <w:bookmarkEnd w:id="463"/>
      <w:bookmarkStart w:id="464" w:name="_Para_k2ad3ovc_000081"/>
      <w:bookmarkEnd w:id="464"/>
      <w:bookmarkStart w:id="465" w:name="_Para_k2ad3ovc_000052"/>
      <w:bookmarkEnd w:id="465"/>
      <w:bookmarkStart w:id="466" w:name="_Para_k4rymxdv_000031"/>
      <w:bookmarkEnd w:id="466"/>
      <w:bookmarkStart w:id="467" w:name="_Para_k2ad3ovc_000098"/>
      <w:bookmarkEnd w:id="467"/>
      <w:bookmarkStart w:id="468" w:name="_Para_k4rymxdv_000028"/>
      <w:bookmarkEnd w:id="468"/>
      <w:bookmarkStart w:id="469" w:name="_Para_k4rymxdv_c_000492"/>
      <w:bookmarkEnd w:id="469"/>
      <w:bookmarkStart w:id="470" w:name="_Para_k4rymxdv_c_000493"/>
      <w:bookmarkEnd w:id="470"/>
      <w:bookmarkStart w:id="471" w:name="_Para_k2ad3ovc_000101"/>
      <w:bookmarkEnd w:id="471"/>
      <w:bookmarkStart w:id="472" w:name="_Para_k2ad3ovc_000099"/>
      <w:bookmarkEnd w:id="472"/>
      <w:bookmarkStart w:id="473" w:name="_Para_k4rymxdv_c_000469"/>
      <w:bookmarkEnd w:id="473"/>
      <w:bookmarkStart w:id="474" w:name="_Para_k2ad3ovc_000028"/>
      <w:bookmarkEnd w:id="474"/>
      <w:bookmarkStart w:id="475" w:name="_Para_k2lkpf50_000063"/>
      <w:bookmarkEnd w:id="475"/>
      <w:bookmarkStart w:id="476" w:name="_Para_k2lkpf50_000064"/>
      <w:bookmarkEnd w:id="476"/>
      <w:bookmarkStart w:id="477" w:name="_Para_k4rymxdv_c_000459"/>
      <w:bookmarkEnd w:id="477"/>
      <w:bookmarkStart w:id="478" w:name="_Para_k2ad3ovc_c_000112"/>
      <w:bookmarkEnd w:id="478"/>
      <w:bookmarkStart w:id="479" w:name="_Para_k4rymxdv_c_000465"/>
      <w:bookmarkEnd w:id="479"/>
      <w:bookmarkStart w:id="480" w:name="_Para_k2lkpf50_c_000092"/>
      <w:bookmarkEnd w:id="480"/>
      <w:bookmarkStart w:id="481" w:name="_Para_k4rymxdv_000113"/>
      <w:bookmarkEnd w:id="481"/>
      <w:bookmarkStart w:id="482" w:name="_Para_k2lkpf50_000035"/>
      <w:bookmarkEnd w:id="482"/>
      <w:bookmarkStart w:id="483" w:name="_Para_k2lkpf50_000073"/>
      <w:bookmarkEnd w:id="483"/>
      <w:bookmarkStart w:id="484" w:name="_Para_k2lkpf50_000001"/>
      <w:bookmarkEnd w:id="484"/>
      <w:bookmarkStart w:id="485" w:name="_Para_k2lkpf50_000026"/>
      <w:bookmarkEnd w:id="485"/>
      <w:bookmarkStart w:id="486" w:name="_Para_k2lkpf50_000027"/>
      <w:bookmarkEnd w:id="486"/>
      <w:bookmarkStart w:id="487" w:name="_Para_k2lkpf50_c_000101"/>
      <w:bookmarkEnd w:id="487"/>
      <w:bookmarkStart w:id="488" w:name="_Para_k4rymxdv_000181"/>
      <w:bookmarkEnd w:id="488"/>
      <w:bookmarkStart w:id="489" w:name="_Para_k2lkpf50_000007"/>
      <w:bookmarkEnd w:id="489"/>
      <w:bookmarkStart w:id="490" w:name="_Para_k2ad3ovc_000055"/>
      <w:bookmarkEnd w:id="490"/>
      <w:bookmarkStart w:id="491" w:name="_Para_k4rymxdv_c_000479"/>
      <w:bookmarkEnd w:id="491"/>
      <w:bookmarkStart w:id="492" w:name="_Para_k2ad3ovc_c_000108"/>
      <w:bookmarkEnd w:id="492"/>
      <w:bookmarkStart w:id="493" w:name="_Para_k4rymxdv_c_000489"/>
      <w:bookmarkEnd w:id="493"/>
      <w:bookmarkStart w:id="494" w:name="_Para_k2lkpf50_000028"/>
      <w:bookmarkEnd w:id="494"/>
      <w:bookmarkStart w:id="495" w:name="_Para_k2lkpf50_000020"/>
      <w:bookmarkEnd w:id="495"/>
      <w:bookmarkStart w:id="496" w:name="_Para_k2ad3ovc_000076"/>
      <w:bookmarkEnd w:id="496"/>
      <w:bookmarkStart w:id="497" w:name="_Para_k2ad3ovc_000019"/>
      <w:bookmarkEnd w:id="497"/>
      <w:bookmarkStart w:id="498" w:name="_Para_k2lkpf50_000021"/>
      <w:bookmarkEnd w:id="498"/>
      <w:bookmarkStart w:id="499" w:name="_Para_k4rymxdv_c_000460"/>
      <w:bookmarkEnd w:id="499"/>
      <w:bookmarkStart w:id="500" w:name="_Para_k2lkpf50_000070"/>
      <w:bookmarkEnd w:id="500"/>
      <w:bookmarkStart w:id="501" w:name="_Para_k4rymxdv_000119"/>
      <w:bookmarkEnd w:id="501"/>
      <w:bookmarkStart w:id="502" w:name="_Para_k4rymxdv_c_000392"/>
      <w:bookmarkEnd w:id="502"/>
      <w:bookmarkStart w:id="503" w:name="_Para_k4rymxdv_c_000388"/>
      <w:bookmarkEnd w:id="503"/>
      <w:bookmarkStart w:id="504" w:name="_Para_k4rymxdv_c_000387"/>
      <w:bookmarkEnd w:id="504"/>
      <w:bookmarkStart w:id="505" w:name="_Para_k2lkpf50_c_000093"/>
      <w:bookmarkEnd w:id="505"/>
      <w:bookmarkStart w:id="506" w:name="_Para_k2lkpf50_000052"/>
      <w:bookmarkEnd w:id="506"/>
      <w:bookmarkStart w:id="507" w:name="_Para_k2lkpf50_000008"/>
      <w:bookmarkEnd w:id="507"/>
      <w:bookmarkStart w:id="508" w:name="_Para_k4rymxdv_c_000464"/>
      <w:bookmarkEnd w:id="508"/>
      <w:bookmarkStart w:id="509" w:name="_Para_k2ad3ovc_000025"/>
      <w:bookmarkEnd w:id="509"/>
      <w:bookmarkStart w:id="510" w:name="_Para_k4rymxdv_c_000425"/>
      <w:bookmarkEnd w:id="510"/>
      <w:bookmarkStart w:id="511" w:name="_Para_k4rymxdv_c_000386"/>
      <w:bookmarkEnd w:id="511"/>
      <w:bookmarkStart w:id="512" w:name="_Para_k2ad3ovc_000065"/>
      <w:bookmarkEnd w:id="512"/>
      <w:bookmarkStart w:id="513" w:name="_Para_k2ad3ovc_000045"/>
      <w:bookmarkEnd w:id="513"/>
      <w:bookmarkStart w:id="514" w:name="_Para_k2lkpf50_c_000098"/>
      <w:bookmarkEnd w:id="514"/>
      <w:bookmarkStart w:id="515" w:name="_Para_k2ad3ovc_000096"/>
      <w:bookmarkEnd w:id="515"/>
      <w:bookmarkStart w:id="516" w:name="_Para_k2lkpf50_c_000105"/>
      <w:bookmarkEnd w:id="516"/>
      <w:bookmarkStart w:id="517" w:name="_Para_k2lkpf50_000060"/>
      <w:bookmarkEnd w:id="517"/>
      <w:bookmarkStart w:id="518" w:name="_Para_k4rymxdv_c_000497"/>
      <w:bookmarkEnd w:id="518"/>
      <w:bookmarkStart w:id="519" w:name="_Para_k2lkpf50_000080"/>
      <w:bookmarkEnd w:id="519"/>
      <w:bookmarkStart w:id="520" w:name="_Para_k2lkpf50_000013"/>
      <w:bookmarkEnd w:id="520"/>
      <w:bookmarkStart w:id="521" w:name="_wvkftw_0"/>
      <w:bookmarkEnd w:id="521"/>
      <w:bookmarkStart w:id="522" w:name="_Para_k2lkpf50_000084"/>
      <w:bookmarkEnd w:id="522"/>
      <w:bookmarkStart w:id="523" w:name="_Para_k2ad3ovc_000087"/>
      <w:bookmarkEnd w:id="523"/>
      <w:bookmarkStart w:id="524" w:name="_Para_k4rymxdv_000116"/>
      <w:bookmarkEnd w:id="524"/>
      <w:bookmarkStart w:id="525" w:name="_Para_k2ad3ovc_000023"/>
      <w:bookmarkEnd w:id="525"/>
      <w:bookmarkStart w:id="526" w:name="_Para_k2lkpf50_000083"/>
      <w:bookmarkEnd w:id="526"/>
      <w:bookmarkStart w:id="527" w:name="_Para_k2ad3ovc_000090"/>
      <w:bookmarkEnd w:id="527"/>
      <w:bookmarkStart w:id="528" w:name="_Para_k2ad3ovc_000032"/>
      <w:bookmarkEnd w:id="528"/>
      <w:bookmarkStart w:id="529" w:name="_Para_k2ad3ovc_000024"/>
      <w:bookmarkEnd w:id="529"/>
      <w:bookmarkStart w:id="530" w:name="_Para_k2ad3ovc_000057"/>
      <w:bookmarkEnd w:id="530"/>
      <w:bookmarkStart w:id="531" w:name="_Para_k57ixgsi_000001"/>
      <w:bookmarkEnd w:id="531"/>
      <w:bookmarkStart w:id="532" w:name="_Para_k2lkpf50_000053"/>
      <w:bookmarkEnd w:id="532"/>
      <w:bookmarkStart w:id="533" w:name="_Para_k4rymxdv_c_000457"/>
      <w:bookmarkEnd w:id="533"/>
      <w:bookmarkStart w:id="534" w:name="_Para_k4rymxdv_000134"/>
      <w:bookmarkEnd w:id="534"/>
      <w:bookmarkStart w:id="535" w:name="_Para_k4rymxdv_c_000478"/>
      <w:bookmarkEnd w:id="535"/>
      <w:bookmarkStart w:id="536" w:name="_Para_k2lkpf50_c_000103"/>
      <w:bookmarkEnd w:id="536"/>
      <w:bookmarkStart w:id="537" w:name="_Para_k2ad3ovc_c_000117"/>
      <w:bookmarkEnd w:id="537"/>
      <w:bookmarkStart w:id="538" w:name="_Para_k4rymxdv_c_000498"/>
      <w:bookmarkEnd w:id="538"/>
      <w:bookmarkStart w:id="539" w:name="_Para_k2lkpf50_c_000094"/>
      <w:bookmarkEnd w:id="539"/>
      <w:bookmarkStart w:id="540" w:name="_Para_k2lkpf50_000004"/>
      <w:bookmarkEnd w:id="540"/>
      <w:bookmarkStart w:id="541" w:name="_Para_k4rymxdv_c_000421"/>
      <w:bookmarkEnd w:id="541"/>
      <w:bookmarkStart w:id="542" w:name="_Para_k4rymxdv_000179"/>
      <w:bookmarkEnd w:id="542"/>
      <w:bookmarkStart w:id="543" w:name="_Para_k2lkpf50_000059"/>
      <w:bookmarkEnd w:id="543"/>
      <w:bookmarkStart w:id="544" w:name="_Para_k4rymxdv_000133"/>
      <w:bookmarkEnd w:id="544"/>
      <w:bookmarkStart w:id="545" w:name="_Para_k4rymxdv_c_000393"/>
      <w:bookmarkEnd w:id="545"/>
      <w:bookmarkStart w:id="546" w:name="_Para_k2ad3ovc_000036"/>
      <w:bookmarkEnd w:id="546"/>
      <w:bookmarkStart w:id="547" w:name="_Para_k4rymxdv_000132"/>
      <w:bookmarkEnd w:id="547"/>
      <w:bookmarkStart w:id="548" w:name="_Para_k4rymxdv_000180"/>
      <w:bookmarkEnd w:id="548"/>
      <w:bookmarkStart w:id="549" w:name="_Para_k2ad3ovc_000078"/>
      <w:bookmarkEnd w:id="549"/>
      <w:bookmarkStart w:id="550" w:name="6.1___模拟分析模型文件命名规则"/>
      <w:bookmarkEnd w:id="550"/>
      <w:bookmarkStart w:id="551" w:name="_Para_k4rymxdv_c_000389"/>
      <w:bookmarkEnd w:id="551"/>
      <w:bookmarkStart w:id="552" w:name="_Para_k2ad3ovc_000075"/>
      <w:bookmarkEnd w:id="552"/>
      <w:bookmarkStart w:id="553" w:name="_Toc21456824"/>
      <w:bookmarkEnd w:id="553"/>
      <w:bookmarkStart w:id="554" w:name="_Para_k2lkpf50_000006"/>
      <w:bookmarkEnd w:id="554"/>
      <w:bookmarkStart w:id="555" w:name="_Para_k2lkpf50_000024"/>
      <w:bookmarkEnd w:id="555"/>
      <w:bookmarkStart w:id="556" w:name="_Para_k2ad3ovc_000070"/>
      <w:bookmarkEnd w:id="556"/>
      <w:bookmarkStart w:id="557" w:name="_Para_k2ad3ovc_c_000103"/>
      <w:bookmarkEnd w:id="557"/>
      <w:bookmarkStart w:id="558" w:name="_Para_k2ad3ovc_000017"/>
      <w:bookmarkEnd w:id="558"/>
      <w:bookmarkStart w:id="559" w:name="_Para_k2ad3ovc_000083"/>
      <w:bookmarkEnd w:id="559"/>
      <w:bookmarkStart w:id="560" w:name="_Para_k2ad3ovc_000086"/>
      <w:bookmarkEnd w:id="560"/>
      <w:bookmarkStart w:id="561" w:name="_Para_k2ad3ovc_000020"/>
      <w:bookmarkEnd w:id="561"/>
      <w:bookmarkStart w:id="562" w:name="_Para_k2ad3ovc_c_000105"/>
      <w:bookmarkEnd w:id="562"/>
      <w:bookmarkStart w:id="563" w:name="_Para_k2lkpf50_000002"/>
      <w:bookmarkEnd w:id="563"/>
      <w:bookmarkStart w:id="564" w:name="_bookmark261"/>
      <w:bookmarkEnd w:id="564"/>
      <w:bookmarkStart w:id="565" w:name="_Para_k2ad3ovc_000033"/>
      <w:bookmarkEnd w:id="565"/>
      <w:bookmarkStart w:id="566" w:name="_Para_k4rymxdv_c_000390"/>
      <w:bookmarkEnd w:id="566"/>
      <w:bookmarkStart w:id="567" w:name="_Para_k4rymxdv_c_000453"/>
      <w:bookmarkEnd w:id="567"/>
      <w:bookmarkStart w:id="568" w:name="_Para_k4rymxdv_c_000456"/>
      <w:bookmarkEnd w:id="568"/>
      <w:bookmarkStart w:id="569" w:name="_Para_k57ixgsi_000005"/>
      <w:bookmarkEnd w:id="569"/>
      <w:bookmarkStart w:id="570" w:name="_Para_k4rymxdv_c_000470"/>
      <w:bookmarkEnd w:id="570"/>
      <w:bookmarkStart w:id="571" w:name="_Toc21456508"/>
      <w:bookmarkEnd w:id="571"/>
      <w:bookmarkStart w:id="572" w:name="_Para_k4rymxdv_000168"/>
      <w:bookmarkEnd w:id="572"/>
      <w:bookmarkStart w:id="573" w:name="_Para_k2lkpf50_000089"/>
      <w:bookmarkEnd w:id="573"/>
      <w:bookmarkStart w:id="574" w:name="_Para_k2ad3ovc_000089"/>
      <w:bookmarkEnd w:id="574"/>
      <w:bookmarkStart w:id="575" w:name="_Para_k2lkpf50_c_000102"/>
      <w:bookmarkEnd w:id="575"/>
      <w:bookmarkStart w:id="576" w:name="3___交付物发布"/>
      <w:bookmarkEnd w:id="576"/>
      <w:bookmarkStart w:id="577" w:name="_Para_k2ad3ovc_000027"/>
      <w:bookmarkEnd w:id="577"/>
      <w:bookmarkStart w:id="578" w:name="_Para_k2lkpf50_000079"/>
      <w:bookmarkEnd w:id="578"/>
      <w:bookmarkStart w:id="579" w:name="_Para_k2ad3ovc_000041"/>
      <w:bookmarkEnd w:id="579"/>
      <w:bookmarkStart w:id="580" w:name="_Para_k2ad3ovc_000030"/>
      <w:bookmarkEnd w:id="580"/>
      <w:bookmarkStart w:id="581" w:name="_Para_k2lkpf50_000031"/>
      <w:bookmarkEnd w:id="581"/>
      <w:bookmarkStart w:id="582" w:name="_Para_k2lkpf50_000086"/>
      <w:bookmarkEnd w:id="582"/>
      <w:bookmarkStart w:id="583" w:name="_Para_k2ad3ovc_c_000102"/>
      <w:bookmarkEnd w:id="583"/>
      <w:bookmarkStart w:id="584" w:name="_Para_k2lkpf50_000005"/>
      <w:bookmarkEnd w:id="584"/>
      <w:bookmarkStart w:id="585" w:name="_Para_k4rymxdv_c_000409"/>
      <w:bookmarkEnd w:id="585"/>
      <w:bookmarkStart w:id="586" w:name="_Para_k2lkpf50_000039"/>
      <w:bookmarkEnd w:id="586"/>
      <w:bookmarkStart w:id="587" w:name="_Para_k2lkpf50_000085"/>
      <w:bookmarkEnd w:id="587"/>
      <w:bookmarkStart w:id="588" w:name="_Toc21456827"/>
      <w:bookmarkEnd w:id="588"/>
      <w:bookmarkStart w:id="589" w:name="_Para_k2ad3ovc_000072"/>
      <w:bookmarkEnd w:id="589"/>
      <w:bookmarkStart w:id="590" w:name="_Para_k4rymxdv_000023"/>
      <w:bookmarkEnd w:id="590"/>
      <w:bookmarkStart w:id="591" w:name="_Para_k2ad3ovc_c_000107"/>
      <w:bookmarkEnd w:id="591"/>
      <w:bookmarkStart w:id="592" w:name="_Para_k2lkpf50_000040"/>
      <w:bookmarkEnd w:id="592"/>
      <w:bookmarkStart w:id="593" w:name="_Para_k4rymxdv_c_000496"/>
      <w:bookmarkEnd w:id="593"/>
      <w:bookmarkStart w:id="594" w:name="_Para_k2ad3ovc_000071"/>
      <w:bookmarkEnd w:id="594"/>
      <w:bookmarkStart w:id="595" w:name="_Para_k2ad3ovc_000095"/>
      <w:bookmarkEnd w:id="595"/>
      <w:bookmarkStart w:id="596" w:name="_Para_k2lkpf50_c_000090"/>
      <w:bookmarkEnd w:id="596"/>
      <w:bookmarkStart w:id="597" w:name="_Para_k2lkpf50_000025"/>
      <w:bookmarkEnd w:id="597"/>
      <w:bookmarkStart w:id="598" w:name="_Para_k2lkpf50_000088"/>
      <w:bookmarkEnd w:id="598"/>
      <w:bookmarkStart w:id="599" w:name="_Para_k2lkpf50_000033"/>
      <w:bookmarkEnd w:id="599"/>
      <w:bookmarkStart w:id="600" w:name="_Para_k2lkpf50_000072"/>
      <w:bookmarkEnd w:id="600"/>
      <w:bookmarkStart w:id="601" w:name="_Para_k2lkpf50_000041"/>
      <w:bookmarkEnd w:id="601"/>
      <w:bookmarkStart w:id="602" w:name="_Para_k2ad3ovc_000000"/>
      <w:bookmarkEnd w:id="602"/>
      <w:bookmarkStart w:id="603" w:name="_Para_k4rymxdv_c_000420"/>
      <w:bookmarkEnd w:id="603"/>
      <w:bookmarkStart w:id="604" w:name="_Para_k2ad3ovc_000053"/>
      <w:bookmarkEnd w:id="604"/>
      <w:bookmarkStart w:id="605" w:name="_Para_k2ad3ovc_000046"/>
      <w:bookmarkEnd w:id="605"/>
      <w:bookmarkStart w:id="606" w:name="_Para_k4rymxdv_000114"/>
      <w:bookmarkEnd w:id="606"/>
      <w:bookmarkStart w:id="607" w:name="_Para_k2lkpf50_000049"/>
      <w:bookmarkEnd w:id="607"/>
      <w:bookmarkStart w:id="608" w:name="_Para_k4rymxdv_c_000458"/>
      <w:bookmarkEnd w:id="608"/>
      <w:bookmarkStart w:id="609" w:name="_Para_k57ixgsi_c_000166"/>
      <w:bookmarkEnd w:id="609"/>
      <w:bookmarkStart w:id="610" w:name="bookmark10"/>
      <w:bookmarkEnd w:id="610"/>
      <w:bookmarkStart w:id="611" w:name="_Para_k2ad3ovc_000043"/>
      <w:bookmarkEnd w:id="611"/>
      <w:bookmarkStart w:id="612" w:name="_Para_k57ixgsi_c_000165"/>
      <w:bookmarkEnd w:id="612"/>
      <w:bookmarkStart w:id="613" w:name="_Para_k2ad3ovc_000100"/>
      <w:bookmarkEnd w:id="613"/>
      <w:bookmarkStart w:id="614" w:name="_Para_k2lkpf50_000023"/>
      <w:bookmarkEnd w:id="614"/>
      <w:bookmarkStart w:id="615" w:name="_Para_k2ad3ovc_000069"/>
      <w:bookmarkEnd w:id="615"/>
      <w:bookmarkStart w:id="616" w:name="_Para_k4rymxdv_c_000391"/>
      <w:bookmarkEnd w:id="616"/>
      <w:bookmarkStart w:id="617" w:name="_Para_k2ad3ovc_000022"/>
      <w:bookmarkEnd w:id="617"/>
      <w:bookmarkStart w:id="618" w:name="_Para_k2ad3ovc_000016"/>
      <w:bookmarkEnd w:id="618"/>
      <w:bookmarkStart w:id="619" w:name="_Para_k2ad3ovc_000082"/>
      <w:bookmarkEnd w:id="619"/>
      <w:bookmarkStart w:id="620" w:name="_Para_k2ad3ovc_000092"/>
      <w:bookmarkEnd w:id="620"/>
      <w:bookmarkStart w:id="621" w:name="_Para_k4rymxdv_c_000385"/>
      <w:bookmarkEnd w:id="621"/>
      <w:bookmarkStart w:id="622" w:name="_Para_k4rymxdv_000166"/>
      <w:bookmarkEnd w:id="622"/>
      <w:bookmarkStart w:id="623" w:name="_Para_k2ad3ovc_000061"/>
      <w:bookmarkEnd w:id="623"/>
      <w:bookmarkStart w:id="624" w:name="_Para_k2ad3ovc_c_000104"/>
      <w:bookmarkEnd w:id="624"/>
      <w:bookmarkStart w:id="625" w:name="_Para_k2lkpf50_000061"/>
      <w:bookmarkEnd w:id="625"/>
      <w:bookmarkStart w:id="626" w:name="_Para_k2lkpf50_000055"/>
      <w:bookmarkEnd w:id="626"/>
      <w:bookmarkStart w:id="627" w:name="_Para_k2lkpf50_000078"/>
      <w:bookmarkEnd w:id="627"/>
      <w:bookmarkStart w:id="628" w:name="_bookmark266"/>
      <w:bookmarkEnd w:id="628"/>
      <w:bookmarkStart w:id="629" w:name="_Para_k4rymxdv_c_000471"/>
      <w:bookmarkEnd w:id="629"/>
      <w:bookmarkStart w:id="630" w:name="_Para_k4rymxdv_c_000476"/>
      <w:bookmarkEnd w:id="630"/>
      <w:bookmarkStart w:id="631" w:name="_Para_k2ad3ovc_000003"/>
      <w:bookmarkEnd w:id="631"/>
      <w:bookmarkStart w:id="632" w:name="_Para_k4rymxdv_000120"/>
      <w:bookmarkEnd w:id="632"/>
      <w:bookmarkStart w:id="633" w:name="_Para_k2ad3ovc_c_000106"/>
      <w:bookmarkEnd w:id="633"/>
      <w:bookmarkStart w:id="634" w:name="_Para_k4rymxdv_000024"/>
      <w:bookmarkEnd w:id="634"/>
      <w:bookmarkStart w:id="635" w:name="_Para_k2lkpf50_000018"/>
      <w:bookmarkEnd w:id="635"/>
      <w:bookmarkStart w:id="636" w:name="_Para_k4rymxdv_000019"/>
      <w:bookmarkEnd w:id="636"/>
      <w:bookmarkStart w:id="637" w:name="_Para_k2lkpf50_000037"/>
      <w:bookmarkEnd w:id="637"/>
      <w:bookmarkStart w:id="638" w:name="_Para_k2lkpf50_000071"/>
      <w:bookmarkEnd w:id="638"/>
      <w:bookmarkStart w:id="639" w:name="_Para_k4rymxdv_c_000494"/>
      <w:bookmarkEnd w:id="639"/>
      <w:bookmarkStart w:id="640" w:name="_Para_k4rymxdv_000030"/>
      <w:bookmarkEnd w:id="640"/>
      <w:bookmarkStart w:id="641" w:name="_Para_k2ad3ovc_000006"/>
      <w:bookmarkEnd w:id="641"/>
      <w:bookmarkStart w:id="642" w:name="_Para_k4rymxdv_c_000468"/>
      <w:bookmarkEnd w:id="642"/>
      <w:bookmarkStart w:id="643" w:name="_Para_k2lkpf50_000087"/>
      <w:bookmarkEnd w:id="643"/>
      <w:bookmarkStart w:id="644" w:name="_Para_k4rymxdv_c_000455"/>
      <w:bookmarkEnd w:id="644"/>
      <w:bookmarkStart w:id="645" w:name="_Para_k2lkpf50_000014"/>
      <w:bookmarkEnd w:id="645"/>
      <w:bookmarkStart w:id="646" w:name="_Para_k4rymxdv_000011"/>
      <w:bookmarkEnd w:id="646"/>
      <w:bookmarkStart w:id="647" w:name="_Para_k2lkpf50_000034"/>
      <w:bookmarkEnd w:id="647"/>
      <w:bookmarkStart w:id="648" w:name="_Para_k2lkpf50_000012"/>
      <w:bookmarkEnd w:id="648"/>
      <w:bookmarkStart w:id="649" w:name="_Para_k2ad3ovc_c_000110"/>
      <w:bookmarkEnd w:id="649"/>
      <w:bookmarkStart w:id="650" w:name="_Para_k2ad3ovc_000010"/>
      <w:bookmarkEnd w:id="650"/>
      <w:bookmarkStart w:id="651" w:name="_Para_k2ad3ovc_000084"/>
      <w:bookmarkEnd w:id="651"/>
      <w:bookmarkStart w:id="652" w:name="_Para_k2lkpf50_000015"/>
      <w:bookmarkEnd w:id="652"/>
      <w:bookmarkStart w:id="653" w:name="_Para_k2ad3ovc_000068"/>
      <w:bookmarkEnd w:id="653"/>
      <w:bookmarkStart w:id="654" w:name="_Para_k2lkpf50_c_000095"/>
      <w:bookmarkEnd w:id="654"/>
      <w:bookmarkStart w:id="655" w:name="_Para_k2ad3ovc_000067"/>
      <w:bookmarkEnd w:id="655"/>
      <w:bookmarkStart w:id="656" w:name="_Para_k2ad3ovc_c_000115"/>
      <w:bookmarkEnd w:id="656"/>
      <w:bookmarkStart w:id="657" w:name="_Para_k2ad3ovc_000066"/>
      <w:bookmarkEnd w:id="657"/>
      <w:bookmarkStart w:id="658" w:name="_Para_k4rymxdv_c_000466"/>
      <w:bookmarkEnd w:id="658"/>
      <w:bookmarkStart w:id="659" w:name="_Para_k4rymxdv_c_000454"/>
      <w:bookmarkEnd w:id="659"/>
      <w:bookmarkStart w:id="660" w:name="_Para_k4rymxdv_000029"/>
      <w:bookmarkEnd w:id="660"/>
      <w:bookmarkStart w:id="661" w:name="_Para_k2lkpf50_000042"/>
      <w:bookmarkEnd w:id="661"/>
      <w:bookmarkStart w:id="662" w:name="_Para_k4rymxdv_c_000426"/>
      <w:bookmarkEnd w:id="662"/>
      <w:bookmarkStart w:id="663" w:name="_Para_k2lkpf50_000010"/>
      <w:bookmarkEnd w:id="663"/>
      <w:bookmarkStart w:id="664" w:name="_Para_k2lkpf50_000017"/>
      <w:bookmarkEnd w:id="664"/>
      <w:bookmarkStart w:id="665" w:name="_Para_k2ad3ovc_000029"/>
      <w:bookmarkEnd w:id="665"/>
      <w:bookmarkStart w:id="666" w:name="_Para_k2ad3ovc_000039"/>
      <w:bookmarkEnd w:id="666"/>
      <w:bookmarkStart w:id="667" w:name="_Para_k2lkpf50_000003"/>
      <w:bookmarkEnd w:id="667"/>
      <w:bookmarkStart w:id="668" w:name="_Para_k2ad3ovc_000097"/>
      <w:bookmarkEnd w:id="668"/>
      <w:bookmarkStart w:id="669" w:name="_Para_k2ad3ovc_000008"/>
      <w:bookmarkEnd w:id="669"/>
      <w:bookmarkStart w:id="670" w:name="_Para_k2lkpf50_000022"/>
      <w:bookmarkEnd w:id="670"/>
      <w:bookmarkStart w:id="671" w:name="_Para_k2lkpf50_000016"/>
      <w:bookmarkEnd w:id="671"/>
      <w:bookmarkStart w:id="672" w:name="_Para_k2lkpf50_c_000104"/>
      <w:bookmarkEnd w:id="672"/>
      <w:bookmarkStart w:id="673" w:name="_Para_k2ad3ovc_000058"/>
      <w:bookmarkEnd w:id="673"/>
      <w:bookmarkStart w:id="674" w:name="_Para_k4rymxdv_c_000461"/>
      <w:bookmarkEnd w:id="674"/>
      <w:bookmarkStart w:id="675" w:name="_Para_k2lkpf50_000068"/>
      <w:bookmarkEnd w:id="675"/>
      <w:bookmarkStart w:id="676" w:name="_Para_k4rymxdv_c_000462"/>
      <w:bookmarkEnd w:id="676"/>
      <w:bookmarkStart w:id="677" w:name="_Para_k2ad3ovc_000001"/>
      <w:bookmarkEnd w:id="677"/>
      <w:bookmarkStart w:id="678" w:name="_Para_k2lkpf50_000048"/>
      <w:bookmarkEnd w:id="678"/>
      <w:bookmarkStart w:id="679" w:name="_Para_k2lkpf50_000067"/>
      <w:bookmarkEnd w:id="679"/>
      <w:bookmarkStart w:id="680" w:name="_Para_k2lkpf50_c_000100"/>
      <w:bookmarkEnd w:id="680"/>
      <w:bookmarkStart w:id="681" w:name="3.3___材质命名规则"/>
      <w:bookmarkEnd w:id="681"/>
      <w:bookmarkStart w:id="682" w:name="_Para_k2ad3ovc_000007"/>
      <w:bookmarkEnd w:id="682"/>
      <w:bookmarkStart w:id="683" w:name="_Para_k4rymxdv_c_000423"/>
      <w:bookmarkEnd w:id="683"/>
      <w:bookmarkStart w:id="684" w:name="_Para_k2lkpf50_000082"/>
      <w:bookmarkEnd w:id="684"/>
      <w:bookmarkStart w:id="685" w:name="_Para_k2lkpf50_c_000097"/>
      <w:bookmarkEnd w:id="685"/>
      <w:bookmarkStart w:id="686" w:name="_Para_k2ad3ovc_000015"/>
      <w:bookmarkEnd w:id="686"/>
      <w:bookmarkStart w:id="687" w:name="_Para_k2ad3ovc_000093"/>
      <w:bookmarkEnd w:id="687"/>
      <w:bookmarkStart w:id="688" w:name="_Para_k2ad3ovc_000056"/>
      <w:bookmarkEnd w:id="688"/>
      <w:bookmarkStart w:id="689" w:name="_Para_k2ad3ovc_000088"/>
      <w:bookmarkEnd w:id="689"/>
      <w:bookmarkStart w:id="690" w:name="_Para_k2lkpf50_000076"/>
      <w:bookmarkEnd w:id="690"/>
      <w:bookmarkStart w:id="691" w:name="_Para_k2ad3ovc_c_000111"/>
      <w:bookmarkEnd w:id="691"/>
      <w:bookmarkStart w:id="692" w:name="_Para_k2ad3ovc_000085"/>
      <w:bookmarkEnd w:id="692"/>
      <w:bookmarkStart w:id="693" w:name="_Para_k2lkpf50_000019"/>
      <w:bookmarkEnd w:id="693"/>
      <w:bookmarkStart w:id="694" w:name="_Para_k2lkpf50_000047"/>
      <w:bookmarkEnd w:id="694"/>
      <w:bookmarkStart w:id="695" w:name="_Para_k2lkpf50_000029"/>
      <w:bookmarkEnd w:id="695"/>
      <w:bookmarkStart w:id="696" w:name="_Para_k2ad3ovc_c_000116"/>
      <w:bookmarkEnd w:id="696"/>
      <w:bookmarkStart w:id="697" w:name="_Para_k2lkpf50_000000"/>
      <w:bookmarkEnd w:id="697"/>
      <w:bookmarkStart w:id="698" w:name="_Para_k4rymxdv_c_000482"/>
      <w:bookmarkEnd w:id="698"/>
      <w:bookmarkStart w:id="699" w:name="_Para_k2lkpf50_000058"/>
      <w:bookmarkEnd w:id="699"/>
      <w:bookmarkStart w:id="700" w:name="_Para_k4rymxdv_c_000407"/>
      <w:bookmarkEnd w:id="700"/>
      <w:bookmarkStart w:id="701" w:name="_Para_k2ad3ovc_000037"/>
      <w:bookmarkEnd w:id="701"/>
      <w:bookmarkStart w:id="702" w:name="_Para_k2ad3ovc_000064"/>
      <w:bookmarkEnd w:id="702"/>
      <w:bookmarkStart w:id="703" w:name="_Para_k2lkpf50_000050"/>
      <w:bookmarkEnd w:id="703"/>
      <w:bookmarkStart w:id="704" w:name="_Para_k2ad3ovc_000063"/>
      <w:bookmarkEnd w:id="704"/>
      <w:bookmarkStart w:id="705" w:name="_Para_k4rymxdv_c_000463"/>
      <w:bookmarkEnd w:id="705"/>
      <w:bookmarkStart w:id="706" w:name="_bookmark262"/>
      <w:bookmarkEnd w:id="706"/>
      <w:bookmarkStart w:id="707" w:name="_Para_k4rymxdv_c_000405"/>
      <w:bookmarkEnd w:id="707"/>
      <w:bookmarkStart w:id="708" w:name="_Toc21456505"/>
      <w:bookmarkEnd w:id="708"/>
      <w:bookmarkStart w:id="709" w:name="_Para_k2ad3ovc_000094"/>
      <w:bookmarkEnd w:id="709"/>
      <w:bookmarkStart w:id="710" w:name="_Para_k2ad3ovc_000018"/>
      <w:bookmarkEnd w:id="710"/>
      <w:bookmarkStart w:id="711" w:name="_Para_k2ad3ovc_000038"/>
      <w:bookmarkEnd w:id="711"/>
      <w:bookmarkStart w:id="712" w:name="_Para_k2ad3ovc_000050"/>
      <w:bookmarkEnd w:id="712"/>
      <w:bookmarkStart w:id="713" w:name="_Para_k2csc5yy_000000"/>
      <w:bookmarkEnd w:id="713"/>
      <w:bookmarkStart w:id="714" w:name="_Para_k2ad3ovc_000012"/>
      <w:bookmarkEnd w:id="714"/>
      <w:bookmarkStart w:id="715" w:name="_Para_k2lkpf50_000038"/>
      <w:bookmarkEnd w:id="715"/>
      <w:bookmarkStart w:id="716" w:name="_Para_k2lkpf50_000043"/>
      <w:bookmarkEnd w:id="716"/>
      <w:bookmarkStart w:id="717" w:name="_Para_k4rymxdv_c_000451"/>
      <w:bookmarkEnd w:id="717"/>
      <w:bookmarkStart w:id="718" w:name="_Para_k2lkpf50_000044"/>
      <w:bookmarkEnd w:id="718"/>
      <w:bookmarkStart w:id="719" w:name="_Para_k4rymxdv_c_000427"/>
      <w:bookmarkEnd w:id="719"/>
      <w:bookmarkStart w:id="720" w:name="_Para_k2ad3ovc_000059"/>
      <w:bookmarkEnd w:id="720"/>
      <w:bookmarkStart w:id="721" w:name="_Para_k2ad3ovc_000009"/>
      <w:bookmarkEnd w:id="721"/>
      <w:bookmarkStart w:id="722" w:name="_Para_k2lkpf50_000077"/>
      <w:bookmarkEnd w:id="722"/>
      <w:bookmarkStart w:id="723" w:name="_Para_k2lkpf50_000036"/>
      <w:bookmarkEnd w:id="723"/>
      <w:bookmarkStart w:id="724" w:name="_Para_k4rymxdv_000201"/>
      <w:bookmarkEnd w:id="724"/>
      <w:bookmarkStart w:id="725" w:name="_Toc21457226"/>
      <w:bookmarkEnd w:id="725"/>
      <w:bookmarkStart w:id="726" w:name="_Para_k2lkpf50_000011"/>
      <w:bookmarkEnd w:id="726"/>
      <w:bookmarkStart w:id="727" w:name="_Para_k2lkpf50_000032"/>
      <w:bookmarkEnd w:id="727"/>
      <w:bookmarkStart w:id="728" w:name="_Para_k2ad3ovc_000031"/>
      <w:bookmarkEnd w:id="728"/>
      <w:bookmarkStart w:id="729" w:name="_Para_k2csa9np_000055"/>
      <w:bookmarkEnd w:id="729"/>
      <w:bookmarkStart w:id="730" w:name="_Para_k2lkpf50_c_000096"/>
      <w:bookmarkEnd w:id="730"/>
      <w:bookmarkStart w:id="731" w:name="_Para_k4rymxdv_000131"/>
      <w:bookmarkEnd w:id="731"/>
      <w:bookmarkStart w:id="732" w:name="2____设计建造阶段交付过程"/>
      <w:bookmarkEnd w:id="732"/>
      <w:bookmarkStart w:id="733" w:name="_Para_k2lkpf50_c_000091"/>
      <w:bookmarkEnd w:id="733"/>
      <w:bookmarkStart w:id="734" w:name="_Para_k4rymxdv_000111"/>
      <w:bookmarkEnd w:id="734"/>
      <w:bookmarkStart w:id="735" w:name="_Para_k2ad3ovc_000035"/>
      <w:bookmarkEnd w:id="735"/>
      <w:bookmarkStart w:id="736" w:name="_Para_k2ad3ovc_000040"/>
      <w:bookmarkEnd w:id="736"/>
      <w:bookmarkStart w:id="737" w:name="_Para_k2ad3ovc_c_000118"/>
      <w:bookmarkEnd w:id="737"/>
      <w:bookmarkStart w:id="738" w:name="_Para_k2ad3ovc_000091"/>
      <w:bookmarkEnd w:id="738"/>
    </w:p>
    <w:p>
      <w:pPr>
        <w:pStyle w:val="3"/>
        <w:jc w:val="center"/>
        <w:rPr>
          <w:b/>
          <w:bCs/>
        </w:rPr>
      </w:pPr>
      <w:r>
        <w:rPr>
          <w:rFonts w:hint="eastAsia"/>
          <w:b/>
          <w:bCs/>
        </w:rPr>
        <w:t>第七章</w:t>
      </w:r>
      <w:r>
        <w:rPr>
          <w:b/>
          <w:bCs/>
        </w:rPr>
        <w:t xml:space="preserve">  </w:t>
      </w:r>
      <w:r>
        <w:rPr>
          <w:rFonts w:hint="eastAsia"/>
          <w:b/>
          <w:bCs/>
        </w:rPr>
        <w:t>图纸及勘察资料</w:t>
      </w:r>
      <w:bookmarkEnd w:id="381"/>
      <w:bookmarkEnd w:id="382"/>
    </w:p>
    <w:p>
      <w:pPr>
        <w:rPr>
          <w:rFonts w:ascii="宋体"/>
          <w:b/>
          <w:sz w:val="24"/>
          <w:szCs w:val="24"/>
        </w:rPr>
      </w:pPr>
      <w:r>
        <w:rPr>
          <w:rFonts w:hint="eastAsia" w:ascii="宋体" w:hAnsi="宋体"/>
          <w:sz w:val="24"/>
          <w:szCs w:val="24"/>
        </w:rPr>
        <w:t>注：另册。</w:t>
      </w:r>
    </w:p>
    <w:p>
      <w:pPr>
        <w:pStyle w:val="3"/>
        <w:jc w:val="center"/>
      </w:pPr>
      <w:r>
        <w:rPr>
          <w:sz w:val="24"/>
          <w:szCs w:val="24"/>
        </w:rPr>
        <w:br w:type="page"/>
      </w:r>
      <w:bookmarkStart w:id="739" w:name="_Toc2272570"/>
      <w:bookmarkStart w:id="740" w:name="_Toc21525515"/>
      <w:r>
        <w:rPr>
          <w:rFonts w:hint="eastAsia"/>
          <w:b/>
          <w:bCs/>
        </w:rPr>
        <w:t>第八章</w:t>
      </w:r>
      <w:r>
        <w:rPr>
          <w:b/>
          <w:bCs/>
        </w:rPr>
        <w:t xml:space="preserve">  </w:t>
      </w:r>
      <w:r>
        <w:rPr>
          <w:rFonts w:hint="eastAsia"/>
          <w:b/>
          <w:bCs/>
        </w:rPr>
        <w:t>工程量清单</w:t>
      </w:r>
      <w:bookmarkEnd w:id="739"/>
      <w:bookmarkEnd w:id="740"/>
    </w:p>
    <w:p>
      <w:pPr>
        <w:rPr>
          <w:rFonts w:ascii="宋体"/>
          <w:b/>
          <w:sz w:val="24"/>
          <w:szCs w:val="24"/>
        </w:rPr>
      </w:pPr>
      <w:r>
        <w:rPr>
          <w:rFonts w:hint="eastAsia" w:ascii="宋体" w:hAnsi="宋体"/>
          <w:sz w:val="24"/>
          <w:szCs w:val="24"/>
        </w:rPr>
        <w:t>注：另册。</w:t>
      </w:r>
    </w:p>
    <w:p>
      <w:pPr>
        <w:pStyle w:val="35"/>
        <w:spacing w:after="0" w:line="360" w:lineRule="auto"/>
        <w:ind w:left="-2" w:leftChars="-1" w:firstLine="960" w:firstLineChars="400"/>
        <w:rPr>
          <w:rFonts w:ascii="宋体"/>
          <w:sz w:val="24"/>
        </w:rPr>
      </w:pPr>
    </w:p>
    <w:p>
      <w:pPr>
        <w:pStyle w:val="3"/>
      </w:pPr>
    </w:p>
    <w:p>
      <w:pPr>
        <w:pStyle w:val="3"/>
        <w:jc w:val="center"/>
        <w:rPr>
          <w:rFonts w:ascii="宋体"/>
        </w:rPr>
      </w:pPr>
      <w:r>
        <w:rPr>
          <w:sz w:val="24"/>
          <w:szCs w:val="24"/>
        </w:rPr>
        <w:br w:type="page"/>
      </w:r>
      <w:bookmarkStart w:id="741" w:name="_Toc21525516"/>
      <w:bookmarkStart w:id="742" w:name="_Toc2272571"/>
      <w:r>
        <w:rPr>
          <w:rFonts w:hint="eastAsia"/>
          <w:b/>
          <w:bCs/>
        </w:rPr>
        <w:t>第九章</w:t>
      </w:r>
      <w:r>
        <w:rPr>
          <w:b/>
          <w:bCs/>
        </w:rPr>
        <w:t xml:space="preserve">  </w:t>
      </w:r>
      <w:r>
        <w:rPr>
          <w:rFonts w:hint="eastAsia"/>
          <w:b/>
          <w:bCs/>
        </w:rPr>
        <w:t>最高投标限价</w:t>
      </w:r>
      <w:bookmarkEnd w:id="741"/>
      <w:bookmarkEnd w:id="742"/>
    </w:p>
    <w:p>
      <w:pPr>
        <w:pStyle w:val="35"/>
        <w:rPr>
          <w:rFonts w:ascii="宋体" w:hAnsi="宋体"/>
          <w:sz w:val="24"/>
          <w:szCs w:val="24"/>
        </w:rPr>
      </w:pPr>
      <w:r>
        <w:rPr>
          <w:rFonts w:hint="eastAsia" w:ascii="宋体" w:hAnsi="宋体"/>
          <w:sz w:val="24"/>
          <w:szCs w:val="24"/>
        </w:rPr>
        <w:t>招标人应当在发布招标文件时，公布最高投标限价的总价，分部分项工程费、措施项目费、其他项目费、规费和税金，以及绿色施工安全防护措施费、暂列金额等投标人不可竞争的固定报价。</w:t>
      </w:r>
    </w:p>
    <w:p>
      <w:pPr>
        <w:pStyle w:val="35"/>
        <w:rPr>
          <w:rFonts w:ascii="宋体" w:hAnsi="宋体"/>
        </w:rPr>
      </w:pPr>
      <w:r>
        <w:rPr>
          <w:rFonts w:hint="eastAsia" w:ascii="宋体" w:hAnsi="宋体"/>
          <w:sz w:val="24"/>
          <w:szCs w:val="24"/>
        </w:rPr>
        <w:t>详见《最高投标限价公布函》</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新宋体">
    <w:panose1 w:val="02010609030101010101"/>
    <w:charset w:val="86"/>
    <w:family w:val="modern"/>
    <w:pitch w:val="default"/>
    <w:sig w:usb0="00000203" w:usb1="288F0000" w:usb2="00000006" w:usb3="00000000" w:csb0="00040001" w:csb1="00000000"/>
  </w:font>
  <w:font w:name="方正大标宋简体">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1"/>
      </w:rPr>
    </w:pPr>
    <w:r>
      <w:rPr>
        <w:rStyle w:val="41"/>
      </w:rPr>
      <w:fldChar w:fldCharType="begin"/>
    </w:r>
    <w:r>
      <w:rPr>
        <w:rStyle w:val="41"/>
      </w:rPr>
      <w:instrText xml:space="preserve">PAGE  </w:instrText>
    </w:r>
    <w:r>
      <w:rPr>
        <w:rStyle w:val="41"/>
      </w:rPr>
      <w:fldChar w:fldCharType="separate"/>
    </w:r>
    <w:r>
      <w:rPr>
        <w:rStyle w:val="41"/>
      </w:rPr>
      <w:t>1</w:t>
    </w:r>
    <w:r>
      <w:rPr>
        <w:rStyle w:val="41"/>
      </w:rPr>
      <w:fldChar w:fldCharType="end"/>
    </w:r>
  </w:p>
  <w:p>
    <w:pPr>
      <w:pStyle w:val="2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1"/>
      </w:rPr>
    </w:pPr>
    <w:r>
      <w:fldChar w:fldCharType="begin"/>
    </w:r>
    <w:r>
      <w:rPr>
        <w:rStyle w:val="41"/>
      </w:rPr>
      <w:instrText xml:space="preserve">PAGE  </w:instrText>
    </w:r>
    <w:r>
      <w:fldChar w:fldCharType="separate"/>
    </w:r>
    <w:r>
      <w:rPr>
        <w:rStyle w:val="41"/>
      </w:rPr>
      <w:t>1</w:t>
    </w:r>
    <w:r>
      <w:fldChar w:fldCharType="end"/>
    </w:r>
  </w:p>
  <w:p>
    <w:pPr>
      <w:pStyle w:val="2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rPr>
        <w:szCs w:val="24"/>
      </w:rPr>
    </w:pPr>
    <w:r>
      <w:rPr>
        <w:rStyle w:val="41"/>
        <w:szCs w:val="24"/>
      </w:rPr>
      <w:fldChar w:fldCharType="begin"/>
    </w:r>
    <w:r>
      <w:rPr>
        <w:rStyle w:val="41"/>
        <w:szCs w:val="24"/>
      </w:rPr>
      <w:instrText xml:space="preserve"> PAGE </w:instrText>
    </w:r>
    <w:r>
      <w:rPr>
        <w:rStyle w:val="41"/>
        <w:szCs w:val="24"/>
      </w:rPr>
      <w:fldChar w:fldCharType="separate"/>
    </w:r>
    <w:r>
      <w:rPr>
        <w:rStyle w:val="41"/>
        <w:szCs w:val="24"/>
      </w:rPr>
      <w:t>155</w:t>
    </w:r>
    <w:r>
      <w:rPr>
        <w:rStyle w:val="41"/>
        <w:szCs w:val="24"/>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1"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24"/>
                            <w:jc w:val="center"/>
                          </w:pPr>
                          <w:r>
                            <w:fldChar w:fldCharType="begin"/>
                          </w:r>
                          <w:r>
                            <w:rPr>
                              <w:rStyle w:val="41"/>
                            </w:rPr>
                            <w:instrText xml:space="preserve"> PAGE </w:instrText>
                          </w:r>
                          <w:r>
                            <w:fldChar w:fldCharType="separate"/>
                          </w:r>
                          <w:r>
                            <w:rPr>
                              <w:rStyle w:val="41"/>
                            </w:rPr>
                            <w:t>219</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PlfknQAAAAAwEAAA8AAAAAAAAAAQAgAAAAIgAAAGRycy9kb3ducmV2LnhtbFBLAQIUABQAAAAI&#10;AIdO4kDrAPxR9QEAAMQDAAAOAAAAAAAAAAEAIAAAAB8BAABkcnMvZTJvRG9jLnhtbFBLBQYAAAAA&#10;BgAGAFkBAACGBQAAAAA=&#10;">
              <v:fill on="f" focussize="0,0"/>
              <v:stroke on="f"/>
              <v:imagedata o:title=""/>
              <o:lock v:ext="edit" aspectratio="f"/>
              <v:textbox inset="0mm,0mm,0mm,0mm" style="mso-fit-shape-to-text:t;">
                <w:txbxContent>
                  <w:p>
                    <w:pPr>
                      <w:pStyle w:val="24"/>
                      <w:jc w:val="center"/>
                    </w:pPr>
                    <w:r>
                      <w:fldChar w:fldCharType="begin"/>
                    </w:r>
                    <w:r>
                      <w:rPr>
                        <w:rStyle w:val="41"/>
                      </w:rPr>
                      <w:instrText xml:space="preserve"> PAGE </w:instrText>
                    </w:r>
                    <w:r>
                      <w:fldChar w:fldCharType="separate"/>
                    </w:r>
                    <w:r>
                      <w:rPr>
                        <w:rStyle w:val="41"/>
                      </w:rPr>
                      <w:t>219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1"/>
      </w:rPr>
    </w:pPr>
    <w:r>
      <w:fldChar w:fldCharType="begin"/>
    </w:r>
    <w:r>
      <w:rPr>
        <w:rStyle w:val="41"/>
      </w:rPr>
      <w:instrText xml:space="preserve">PAGE  </w:instrText>
    </w:r>
    <w:r>
      <w:fldChar w:fldCharType="separate"/>
    </w:r>
    <w:r>
      <w:rPr>
        <w:rStyle w:val="41"/>
      </w:rPr>
      <w:t>1</w:t>
    </w:r>
    <w:r>
      <w:fldChar w:fldCharType="end"/>
    </w:r>
  </w:p>
  <w:p>
    <w:pPr>
      <w:pStyle w:val="24"/>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5238853"/>
    </w:sdtPr>
    <w:sdtContent>
      <w:p>
        <w:pPr>
          <w:pStyle w:val="24"/>
          <w:jc w:val="center"/>
        </w:pPr>
        <w:r>
          <w:fldChar w:fldCharType="begin"/>
        </w:r>
        <w:r>
          <w:instrText xml:space="preserve">PAGE   \* MERGEFORMAT</w:instrText>
        </w:r>
        <w:r>
          <w:fldChar w:fldCharType="separate"/>
        </w:r>
        <w:r>
          <w:rPr>
            <w:lang w:val="zh-CN"/>
          </w:rPr>
          <w:t>224</w:t>
        </w:r>
        <w:r>
          <w:fldChar w:fldCharType="end"/>
        </w:r>
      </w:p>
    </w:sdtContent>
  </w:sdt>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1"/>
      </w:rPr>
    </w:pPr>
    <w:r>
      <w:rPr>
        <w:rStyle w:val="41"/>
      </w:rPr>
      <w:fldChar w:fldCharType="begin"/>
    </w:r>
    <w:r>
      <w:rPr>
        <w:rStyle w:val="41"/>
      </w:rPr>
      <w:instrText xml:space="preserve">PAGE  </w:instrText>
    </w:r>
    <w:r>
      <w:rPr>
        <w:rStyle w:val="41"/>
      </w:rPr>
      <w:fldChar w:fldCharType="end"/>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jc w:val="right"/>
      <w:rPr>
        <w:rStyle w:val="41"/>
      </w:rPr>
    </w:pPr>
    <w:r>
      <w:rPr>
        <w:rStyle w:val="41"/>
      </w:rPr>
      <w:fldChar w:fldCharType="begin"/>
    </w:r>
    <w:r>
      <w:rPr>
        <w:rStyle w:val="41"/>
      </w:rPr>
      <w:instrText xml:space="preserve">PAGE  </w:instrText>
    </w:r>
    <w:r>
      <w:rPr>
        <w:rStyle w:val="41"/>
      </w:rPr>
      <w:fldChar w:fldCharType="separate"/>
    </w:r>
    <w:r>
      <w:rPr>
        <w:rStyle w:val="41"/>
      </w:rPr>
      <w:t>76</w:t>
    </w:r>
    <w:r>
      <w:rPr>
        <w:rStyle w:val="4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4"/>
      <w:ind w:firstLine="392"/>
    </w:pPr>
    <w:r>
      <w:rPr>
        <w:kern w:val="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pPr>
    <w:r>
      <w:rPr>
        <w:rStyle w:val="41"/>
      </w:rPr>
      <w:fldChar w:fldCharType="begin"/>
    </w:r>
    <w:r>
      <w:rPr>
        <w:rStyle w:val="41"/>
      </w:rPr>
      <w:instrText xml:space="preserve"> PAGE </w:instrText>
    </w:r>
    <w:r>
      <w:rPr>
        <w:rStyle w:val="41"/>
      </w:rPr>
      <w:fldChar w:fldCharType="separate"/>
    </w:r>
    <w:r>
      <w:rPr>
        <w:rStyle w:val="41"/>
      </w:rPr>
      <w:t>73</w:t>
    </w:r>
    <w:r>
      <w:rPr>
        <w:rStyle w:val="4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41"/>
      </w:rPr>
    </w:pPr>
    <w:r>
      <w:rPr>
        <w:rStyle w:val="41"/>
      </w:rPr>
      <w:fldChar w:fldCharType="begin"/>
    </w:r>
    <w:r>
      <w:rPr>
        <w:rStyle w:val="41"/>
      </w:rPr>
      <w:instrText xml:space="preserve">PAGE  </w:instrText>
    </w:r>
    <w:r>
      <w:rPr>
        <w:rStyle w:val="41"/>
      </w:rPr>
      <w:fldChar w:fldCharType="separate"/>
    </w:r>
    <w:r>
      <w:rPr>
        <w:rStyle w:val="41"/>
      </w:rPr>
      <w:t>84</w:t>
    </w:r>
    <w:r>
      <w:rPr>
        <w:rStyle w:val="41"/>
      </w:rPr>
      <w:fldChar w:fldCharType="end"/>
    </w:r>
  </w:p>
  <w:p>
    <w:pPr>
      <w:pStyle w:val="24"/>
      <w:framePr w:wrap="around" w:vAnchor="text" w:hAnchor="margin" w:xAlign="outside" w:y="1"/>
      <w:ind w:left="-4410" w:leftChars="-2100" w:right="-4439" w:rightChars="-2114"/>
      <w:rPr>
        <w:rStyle w:val="41"/>
      </w:rPr>
    </w:pPr>
  </w:p>
  <w:p>
    <w:pPr>
      <w:pStyle w:val="24"/>
      <w:ind w:right="360"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4"/>
      <w:ind w:right="360" w:firstLine="360"/>
      <w:jc w:val="center"/>
    </w:pPr>
    <w:r>
      <w:rPr>
        <w:kern w:val="0"/>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rStyle w:val="41"/>
      </w:rPr>
      <w:fldChar w:fldCharType="begin"/>
    </w:r>
    <w:r>
      <w:rPr>
        <w:rStyle w:val="41"/>
      </w:rPr>
      <w:instrText xml:space="preserve"> PAGE </w:instrText>
    </w:r>
    <w:r>
      <w:rPr>
        <w:rStyle w:val="41"/>
      </w:rPr>
      <w:fldChar w:fldCharType="separate"/>
    </w:r>
    <w:r>
      <w:rPr>
        <w:rStyle w:val="41"/>
      </w:rPr>
      <w:t>77</w:t>
    </w:r>
    <w:r>
      <w:rPr>
        <w:rStyle w:val="4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rPr>
        <w:rStyle w:val="41"/>
      </w:rPr>
      <w:instrText xml:space="preserve"> PAGE </w:instrText>
    </w:r>
    <w:r>
      <w:fldChar w:fldCharType="separate"/>
    </w:r>
    <w:r>
      <w:rPr>
        <w:rStyle w:val="41"/>
      </w:rPr>
      <w:t>123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rPr>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14" w:lineRule="auto"/>
      <w:rPr>
        <w:sz w:val="20"/>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B0F00C"/>
    <w:multiLevelType w:val="singleLevel"/>
    <w:tmpl w:val="83B0F00C"/>
    <w:lvl w:ilvl="0" w:tentative="0">
      <w:start w:val="1"/>
      <w:numFmt w:val="decimal"/>
      <w:suff w:val="nothing"/>
      <w:lvlText w:val="%1、"/>
      <w:lvlJc w:val="left"/>
    </w:lvl>
  </w:abstractNum>
  <w:abstractNum w:abstractNumId="1">
    <w:nsid w:val="984AC7DA"/>
    <w:multiLevelType w:val="singleLevel"/>
    <w:tmpl w:val="984AC7DA"/>
    <w:lvl w:ilvl="0" w:tentative="0">
      <w:start w:val="4"/>
      <w:numFmt w:val="chineseCounting"/>
      <w:suff w:val="nothing"/>
      <w:lvlText w:val="%1、"/>
      <w:lvlJc w:val="left"/>
      <w:rPr>
        <w:rFonts w:hint="eastAsia"/>
      </w:rPr>
    </w:lvl>
  </w:abstractNum>
  <w:abstractNum w:abstractNumId="2">
    <w:nsid w:val="A239C0B0"/>
    <w:multiLevelType w:val="singleLevel"/>
    <w:tmpl w:val="A239C0B0"/>
    <w:lvl w:ilvl="0" w:tentative="0">
      <w:start w:val="1"/>
      <w:numFmt w:val="decimal"/>
      <w:suff w:val="nothing"/>
      <w:lvlText w:val="%1、"/>
      <w:lvlJc w:val="left"/>
    </w:lvl>
  </w:abstractNum>
  <w:abstractNum w:abstractNumId="3">
    <w:nsid w:val="B0EBE06B"/>
    <w:multiLevelType w:val="singleLevel"/>
    <w:tmpl w:val="B0EBE06B"/>
    <w:lvl w:ilvl="0" w:tentative="0">
      <w:start w:val="1"/>
      <w:numFmt w:val="decimal"/>
      <w:suff w:val="nothing"/>
      <w:lvlText w:val="%1、"/>
      <w:lvlJc w:val="left"/>
    </w:lvl>
  </w:abstractNum>
  <w:abstractNum w:abstractNumId="4">
    <w:nsid w:val="B154AA1D"/>
    <w:multiLevelType w:val="singleLevel"/>
    <w:tmpl w:val="B154AA1D"/>
    <w:lvl w:ilvl="0" w:tentative="0">
      <w:start w:val="94"/>
      <w:numFmt w:val="decimal"/>
      <w:suff w:val="nothing"/>
      <w:lvlText w:val="%1．"/>
      <w:lvlJc w:val="left"/>
    </w:lvl>
  </w:abstractNum>
  <w:abstractNum w:abstractNumId="5">
    <w:nsid w:val="B5D50C56"/>
    <w:multiLevelType w:val="singleLevel"/>
    <w:tmpl w:val="B5D50C56"/>
    <w:lvl w:ilvl="0" w:tentative="0">
      <w:start w:val="1"/>
      <w:numFmt w:val="decimal"/>
      <w:suff w:val="nothing"/>
      <w:lvlText w:val="%1、"/>
      <w:lvlJc w:val="left"/>
    </w:lvl>
  </w:abstractNum>
  <w:abstractNum w:abstractNumId="6">
    <w:nsid w:val="B7C70DF6"/>
    <w:multiLevelType w:val="multilevel"/>
    <w:tmpl w:val="B7C70DF6"/>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C71BF5D9"/>
    <w:multiLevelType w:val="multilevel"/>
    <w:tmpl w:val="C71BF5D9"/>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C8B1114A"/>
    <w:multiLevelType w:val="multilevel"/>
    <w:tmpl w:val="C8B1114A"/>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D69460B0"/>
    <w:multiLevelType w:val="singleLevel"/>
    <w:tmpl w:val="D69460B0"/>
    <w:lvl w:ilvl="0" w:tentative="0">
      <w:start w:val="1"/>
      <w:numFmt w:val="decimal"/>
      <w:suff w:val="nothing"/>
      <w:lvlText w:val="%1、"/>
      <w:lvlJc w:val="left"/>
    </w:lvl>
  </w:abstractNum>
  <w:abstractNum w:abstractNumId="10">
    <w:nsid w:val="FF570F30"/>
    <w:multiLevelType w:val="singleLevel"/>
    <w:tmpl w:val="FF570F30"/>
    <w:lvl w:ilvl="0" w:tentative="0">
      <w:start w:val="1"/>
      <w:numFmt w:val="decimal"/>
      <w:suff w:val="nothing"/>
      <w:lvlText w:val="（%1）"/>
      <w:lvlJc w:val="left"/>
    </w:lvl>
  </w:abstractNum>
  <w:abstractNum w:abstractNumId="11">
    <w:nsid w:val="0000002C"/>
    <w:multiLevelType w:val="multilevel"/>
    <w:tmpl w:val="0000002C"/>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2">
    <w:nsid w:val="03673EBC"/>
    <w:multiLevelType w:val="singleLevel"/>
    <w:tmpl w:val="03673EBC"/>
    <w:lvl w:ilvl="0" w:tentative="0">
      <w:start w:val="1"/>
      <w:numFmt w:val="decimal"/>
      <w:suff w:val="nothing"/>
      <w:lvlText w:val="%1、"/>
      <w:lvlJc w:val="left"/>
    </w:lvl>
  </w:abstractNum>
  <w:abstractNum w:abstractNumId="13">
    <w:nsid w:val="05F37ABD"/>
    <w:multiLevelType w:val="singleLevel"/>
    <w:tmpl w:val="05F37ABD"/>
    <w:lvl w:ilvl="0" w:tentative="0">
      <w:start w:val="1"/>
      <w:numFmt w:val="decimal"/>
      <w:suff w:val="nothing"/>
      <w:lvlText w:val="%1、"/>
      <w:lvlJc w:val="left"/>
    </w:lvl>
  </w:abstractNum>
  <w:abstractNum w:abstractNumId="14">
    <w:nsid w:val="070B0525"/>
    <w:multiLevelType w:val="singleLevel"/>
    <w:tmpl w:val="070B0525"/>
    <w:lvl w:ilvl="0" w:tentative="0">
      <w:start w:val="1"/>
      <w:numFmt w:val="decimal"/>
      <w:suff w:val="nothing"/>
      <w:lvlText w:val="%1、"/>
      <w:lvlJc w:val="left"/>
    </w:lvl>
  </w:abstractNum>
  <w:abstractNum w:abstractNumId="15">
    <w:nsid w:val="22607BF1"/>
    <w:multiLevelType w:val="multilevel"/>
    <w:tmpl w:val="22607BF1"/>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6">
    <w:nsid w:val="259905B5"/>
    <w:multiLevelType w:val="multilevel"/>
    <w:tmpl w:val="259905B5"/>
    <w:lvl w:ilvl="0" w:tentative="0">
      <w:start w:val="1"/>
      <w:numFmt w:val="chineseCountingThousand"/>
      <w:pStyle w:val="96"/>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6"/>
      <w:suff w:val="space"/>
      <w:lvlText w:val="%2.%3.%4"/>
      <w:lvlJc w:val="left"/>
      <w:pPr>
        <w:ind w:left="284" w:hanging="284"/>
      </w:pPr>
      <w:rPr>
        <w:rFonts w:hint="eastAsia" w:ascii="宋体" w:eastAsia="宋体" w:cs="Times New Roman"/>
        <w:b/>
        <w:i w:val="0"/>
        <w:sz w:val="28"/>
      </w:rPr>
    </w:lvl>
    <w:lvl w:ilvl="4" w:tentative="0">
      <w:start w:val="1"/>
      <w:numFmt w:val="decimal"/>
      <w:pStyle w:val="7"/>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0"/>
      <w:suff w:val="nothing"/>
      <w:lvlText w:val=""/>
      <w:lvlJc w:val="left"/>
      <w:rPr>
        <w:rFonts w:hint="eastAsia" w:cs="Times New Roman"/>
      </w:rPr>
    </w:lvl>
    <w:lvl w:ilvl="7" w:tentative="0">
      <w:start w:val="1"/>
      <w:numFmt w:val="none"/>
      <w:pStyle w:val="11"/>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abstractNum w:abstractNumId="17">
    <w:nsid w:val="283EF415"/>
    <w:multiLevelType w:val="singleLevel"/>
    <w:tmpl w:val="283EF415"/>
    <w:lvl w:ilvl="0" w:tentative="0">
      <w:start w:val="1"/>
      <w:numFmt w:val="decimal"/>
      <w:suff w:val="nothing"/>
      <w:lvlText w:val="%1"/>
      <w:lvlJc w:val="left"/>
      <w:pPr>
        <w:tabs>
          <w:tab w:val="left" w:pos="420"/>
        </w:tabs>
        <w:ind w:left="425" w:hanging="425"/>
      </w:pPr>
      <w:rPr>
        <w:rFonts w:hint="default"/>
      </w:rPr>
    </w:lvl>
  </w:abstractNum>
  <w:abstractNum w:abstractNumId="18">
    <w:nsid w:val="2A4CD743"/>
    <w:multiLevelType w:val="singleLevel"/>
    <w:tmpl w:val="2A4CD743"/>
    <w:lvl w:ilvl="0" w:tentative="0">
      <w:start w:val="1"/>
      <w:numFmt w:val="decimal"/>
      <w:suff w:val="nothing"/>
      <w:lvlText w:val="（%1）"/>
      <w:lvlJc w:val="left"/>
    </w:lvl>
  </w:abstractNum>
  <w:abstractNum w:abstractNumId="19">
    <w:nsid w:val="31472763"/>
    <w:multiLevelType w:val="singleLevel"/>
    <w:tmpl w:val="31472763"/>
    <w:lvl w:ilvl="0" w:tentative="0">
      <w:start w:val="1"/>
      <w:numFmt w:val="decimal"/>
      <w:suff w:val="nothing"/>
      <w:lvlText w:val="%1、"/>
      <w:lvlJc w:val="left"/>
    </w:lvl>
  </w:abstractNum>
  <w:abstractNum w:abstractNumId="20">
    <w:nsid w:val="35FA6EC0"/>
    <w:multiLevelType w:val="multilevel"/>
    <w:tmpl w:val="35FA6EC0"/>
    <w:lvl w:ilvl="0" w:tentative="0">
      <w:start w:val="1"/>
      <w:numFmt w:val="decimal"/>
      <w:lvlText w:val="%1"/>
      <w:lvlJc w:val="center"/>
      <w:pPr>
        <w:tabs>
          <w:tab w:val="left" w:pos="284"/>
        </w:tabs>
        <w:ind w:left="567" w:hanging="567"/>
      </w:pPr>
      <w:rPr>
        <w:rFonts w:hint="default" w:ascii="Times New Roman" w:hAnsi="Times New Roman" w:cs="Times New Roman"/>
        <w:b/>
        <w:i w:val="0"/>
        <w:position w:val="0"/>
        <w:sz w:val="28"/>
      </w:rPr>
    </w:lvl>
    <w:lvl w:ilvl="1" w:tentative="0">
      <w:start w:val="1"/>
      <w:numFmt w:val="decimal"/>
      <w:lvlText w:val="%1. %2"/>
      <w:lvlJc w:val="center"/>
      <w:pPr>
        <w:tabs>
          <w:tab w:val="left" w:pos="284"/>
        </w:tabs>
        <w:ind w:left="0" w:firstLine="0"/>
      </w:pPr>
      <w:rPr>
        <w:rFonts w:hint="default" w:ascii="Times New Roman" w:hAnsi="Times New Roman"/>
        <w:b/>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lvlText w:val="%1. %2. %3"/>
      <w:lvlJc w:val="left"/>
      <w:pPr>
        <w:ind w:left="0" w:firstLine="0"/>
      </w:pPr>
      <w:rPr>
        <w:rFonts w:hint="default" w:ascii="Times New Roman" w:hAnsi="Times New Roman"/>
        <w:b/>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28"/>
      <w:lvlText w:val="%4"/>
      <w:lvlJc w:val="left"/>
      <w:pPr>
        <w:tabs>
          <w:tab w:val="left" w:pos="851"/>
        </w:tabs>
        <w:ind w:left="0" w:firstLine="425"/>
      </w:pPr>
      <w:rPr>
        <w:rFonts w:hint="default" w:ascii="Times New Roman" w:hAnsi="Times New Roman" w:cs="Times New Roman"/>
        <w:b/>
        <w:i w:val="0"/>
        <w:position w:val="0"/>
        <w:sz w:val="21"/>
      </w:rPr>
    </w:lvl>
    <w:lvl w:ilvl="4" w:tentative="0">
      <w:start w:val="1"/>
      <w:numFmt w:val="decimal"/>
      <w:lvlRestart w:val="1"/>
      <w:lvlText w:val="%1. 0. %5"/>
      <w:lvlJc w:val="left"/>
      <w:pPr>
        <w:tabs>
          <w:tab w:val="left" w:pos="851"/>
        </w:tabs>
        <w:ind w:left="0" w:firstLine="0"/>
      </w:pPr>
      <w:rPr>
        <w:rFonts w:hint="default" w:ascii="Times New Roman" w:hAnsi="Times New Roman" w:cs="Times New Roman"/>
        <w:b/>
        <w:i w:val="0"/>
        <w:position w:val="0"/>
        <w:sz w:val="21"/>
      </w:rPr>
    </w:lvl>
    <w:lvl w:ilvl="5" w:tentative="0">
      <w:start w:val="1"/>
      <w:numFmt w:val="decimal"/>
      <w:lvlText w:val="%3."/>
      <w:lvlJc w:val="left"/>
      <w:pPr>
        <w:tabs>
          <w:tab w:val="left" w:pos="566"/>
        </w:tabs>
        <w:ind w:left="567" w:firstLine="0"/>
      </w:pPr>
      <w:rPr>
        <w:rFonts w:hint="eastAsia" w:cs="Times New Roman"/>
        <w:position w:val="0"/>
      </w:rPr>
    </w:lvl>
    <w:lvl w:ilvl="6" w:tentative="0">
      <w:start w:val="1"/>
      <w:numFmt w:val="decimal"/>
      <w:lvlText w:val="%3."/>
      <w:lvlJc w:val="left"/>
      <w:pPr>
        <w:tabs>
          <w:tab w:val="left" w:pos="566"/>
        </w:tabs>
        <w:ind w:left="567" w:firstLine="0"/>
      </w:pPr>
      <w:rPr>
        <w:rFonts w:hint="eastAsia" w:cs="Times New Roman"/>
        <w:position w:val="0"/>
      </w:rPr>
    </w:lvl>
    <w:lvl w:ilvl="7" w:tentative="0">
      <w:start w:val="1"/>
      <w:numFmt w:val="decimal"/>
      <w:lvlText w:val="%3."/>
      <w:lvlJc w:val="left"/>
      <w:pPr>
        <w:tabs>
          <w:tab w:val="left" w:pos="566"/>
        </w:tabs>
        <w:ind w:left="567" w:firstLine="0"/>
      </w:pPr>
      <w:rPr>
        <w:rFonts w:hint="eastAsia" w:cs="Times New Roman"/>
        <w:position w:val="0"/>
      </w:rPr>
    </w:lvl>
    <w:lvl w:ilvl="8" w:tentative="0">
      <w:start w:val="1"/>
      <w:numFmt w:val="decimal"/>
      <w:lvlText w:val="%3."/>
      <w:lvlJc w:val="left"/>
      <w:pPr>
        <w:tabs>
          <w:tab w:val="left" w:pos="566"/>
        </w:tabs>
        <w:ind w:left="567" w:firstLine="0"/>
      </w:pPr>
      <w:rPr>
        <w:rFonts w:hint="eastAsia" w:cs="Times New Roman"/>
        <w:position w:val="0"/>
      </w:rPr>
    </w:lvl>
  </w:abstractNum>
  <w:abstractNum w:abstractNumId="21">
    <w:nsid w:val="3F00292B"/>
    <w:multiLevelType w:val="multilevel"/>
    <w:tmpl w:val="3F00292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4C62D01"/>
    <w:multiLevelType w:val="multilevel"/>
    <w:tmpl w:val="44C62D0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45D14E1D"/>
    <w:multiLevelType w:val="multilevel"/>
    <w:tmpl w:val="45D14E1D"/>
    <w:lvl w:ilvl="0" w:tentative="0">
      <w:start w:val="1"/>
      <w:numFmt w:val="japaneseCounting"/>
      <w:lvlText w:val="第%1条"/>
      <w:lvlJc w:val="left"/>
      <w:pPr>
        <w:ind w:left="1303" w:hanging="420"/>
      </w:pPr>
      <w:rPr>
        <w:rFonts w:hint="default" w:ascii="Calibri" w:hAnsi="Calibri" w:eastAsia="宋体" w:cs="Arial"/>
        <w:b/>
        <w:sz w:val="28"/>
        <w:szCs w:val="28"/>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4">
    <w:nsid w:val="48A3603A"/>
    <w:multiLevelType w:val="singleLevel"/>
    <w:tmpl w:val="48A3603A"/>
    <w:lvl w:ilvl="0" w:tentative="0">
      <w:start w:val="1"/>
      <w:numFmt w:val="decimal"/>
      <w:suff w:val="nothing"/>
      <w:lvlText w:val="%1、"/>
      <w:lvlJc w:val="left"/>
    </w:lvl>
  </w:abstractNum>
  <w:abstractNum w:abstractNumId="25">
    <w:nsid w:val="4D3087C0"/>
    <w:multiLevelType w:val="singleLevel"/>
    <w:tmpl w:val="4D3087C0"/>
    <w:lvl w:ilvl="0" w:tentative="0">
      <w:start w:val="1"/>
      <w:numFmt w:val="decimal"/>
      <w:suff w:val="nothing"/>
      <w:lvlText w:val="%1、"/>
      <w:lvlJc w:val="left"/>
    </w:lvl>
  </w:abstractNum>
  <w:abstractNum w:abstractNumId="26">
    <w:nsid w:val="5AE3D55C"/>
    <w:multiLevelType w:val="singleLevel"/>
    <w:tmpl w:val="5AE3D55C"/>
    <w:lvl w:ilvl="0" w:tentative="0">
      <w:start w:val="1"/>
      <w:numFmt w:val="decimal"/>
      <w:suff w:val="nothing"/>
      <w:lvlText w:val="（%1）"/>
      <w:lvlJc w:val="left"/>
    </w:lvl>
  </w:abstractNum>
  <w:abstractNum w:abstractNumId="27">
    <w:nsid w:val="5E090D65"/>
    <w:multiLevelType w:val="multilevel"/>
    <w:tmpl w:val="5E090D65"/>
    <w:lvl w:ilvl="0" w:tentative="0">
      <w:start w:val="1"/>
      <w:numFmt w:val="japaneseCounting"/>
      <w:lvlText w:val="第%1章"/>
      <w:lvlJc w:val="left"/>
      <w:pPr>
        <w:ind w:left="1140" w:hanging="720"/>
      </w:pPr>
      <w:rPr>
        <w:rFonts w:hint="default" w:ascii="Times New Roman" w:hAnsi="Times New Roman" w:cs="Times New Roman"/>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28">
    <w:nsid w:val="61CFA0D4"/>
    <w:multiLevelType w:val="singleLevel"/>
    <w:tmpl w:val="61CFA0D4"/>
    <w:lvl w:ilvl="0" w:tentative="0">
      <w:start w:val="1"/>
      <w:numFmt w:val="decimal"/>
      <w:suff w:val="nothing"/>
      <w:lvlText w:val="%1、"/>
      <w:lvlJc w:val="left"/>
    </w:lvl>
  </w:abstractNum>
  <w:abstractNum w:abstractNumId="29">
    <w:nsid w:val="657A2D6C"/>
    <w:multiLevelType w:val="singleLevel"/>
    <w:tmpl w:val="657A2D6C"/>
    <w:lvl w:ilvl="0" w:tentative="0">
      <w:start w:val="1"/>
      <w:numFmt w:val="decimal"/>
      <w:lvlText w:val="%1."/>
      <w:lvlJc w:val="left"/>
      <w:pPr>
        <w:tabs>
          <w:tab w:val="left" w:pos="312"/>
        </w:tabs>
      </w:pPr>
    </w:lvl>
  </w:abstractNum>
  <w:abstractNum w:abstractNumId="30">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AD4F9B6"/>
    <w:multiLevelType w:val="singleLevel"/>
    <w:tmpl w:val="6AD4F9B6"/>
    <w:lvl w:ilvl="0" w:tentative="0">
      <w:start w:val="1"/>
      <w:numFmt w:val="decimal"/>
      <w:suff w:val="nothing"/>
      <w:lvlText w:val="%1、"/>
      <w:lvlJc w:val="left"/>
    </w:lvl>
  </w:abstractNum>
  <w:abstractNum w:abstractNumId="32">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33">
    <w:nsid w:val="7AF28753"/>
    <w:multiLevelType w:val="multilevel"/>
    <w:tmpl w:val="7AF28753"/>
    <w:lvl w:ilvl="0" w:tentative="0">
      <w:start w:val="1"/>
      <w:numFmt w:val="upperLetter"/>
      <w:pStyle w:val="2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FB4DDBA"/>
    <w:multiLevelType w:val="singleLevel"/>
    <w:tmpl w:val="7FB4DDBA"/>
    <w:lvl w:ilvl="0" w:tentative="0">
      <w:start w:val="1"/>
      <w:numFmt w:val="decimal"/>
      <w:suff w:val="nothing"/>
      <w:lvlText w:val="%1、"/>
      <w:lvlJc w:val="left"/>
    </w:lvl>
  </w:abstractNum>
  <w:num w:numId="1">
    <w:abstractNumId w:val="16"/>
  </w:num>
  <w:num w:numId="2">
    <w:abstractNumId w:val="32"/>
  </w:num>
  <w:num w:numId="3">
    <w:abstractNumId w:val="33"/>
  </w:num>
  <w:num w:numId="4">
    <w:abstractNumId w:val="20"/>
  </w:num>
  <w:num w:numId="5">
    <w:abstractNumId w:val="1"/>
  </w:num>
  <w:num w:numId="6">
    <w:abstractNumId w:val="29"/>
  </w:num>
  <w:num w:numId="7">
    <w:abstractNumId w:val="26"/>
  </w:num>
  <w:num w:numId="8">
    <w:abstractNumId w:val="18"/>
  </w:num>
  <w:num w:numId="9">
    <w:abstractNumId w:val="10"/>
  </w:num>
  <w:num w:numId="10">
    <w:abstractNumId w:val="4"/>
  </w:num>
  <w:num w:numId="11">
    <w:abstractNumId w:val="27"/>
  </w:num>
  <w:num w:numId="12">
    <w:abstractNumId w:val="23"/>
  </w:num>
  <w:num w:numId="13">
    <w:abstractNumId w:val="11"/>
  </w:num>
  <w:num w:numId="14">
    <w:abstractNumId w:val="30"/>
  </w:num>
  <w:num w:numId="15">
    <w:abstractNumId w:val="15"/>
  </w:num>
  <w:num w:numId="16">
    <w:abstractNumId w:val="17"/>
  </w:num>
  <w:num w:numId="17">
    <w:abstractNumId w:val="22"/>
  </w:num>
  <w:num w:numId="18">
    <w:abstractNumId w:val="21"/>
  </w:num>
  <w:num w:numId="19">
    <w:abstractNumId w:val="8"/>
  </w:num>
  <w:num w:numId="20">
    <w:abstractNumId w:val="13"/>
  </w:num>
  <w:num w:numId="21">
    <w:abstractNumId w:val="12"/>
  </w:num>
  <w:num w:numId="22">
    <w:abstractNumId w:val="14"/>
  </w:num>
  <w:num w:numId="23">
    <w:abstractNumId w:val="2"/>
  </w:num>
  <w:num w:numId="24">
    <w:abstractNumId w:val="31"/>
  </w:num>
  <w:num w:numId="25">
    <w:abstractNumId w:val="5"/>
  </w:num>
  <w:num w:numId="26">
    <w:abstractNumId w:val="25"/>
  </w:num>
  <w:num w:numId="27">
    <w:abstractNumId w:val="3"/>
  </w:num>
  <w:num w:numId="28">
    <w:abstractNumId w:val="9"/>
  </w:num>
  <w:num w:numId="29">
    <w:abstractNumId w:val="0"/>
  </w:num>
  <w:num w:numId="30">
    <w:abstractNumId w:val="6"/>
  </w:num>
  <w:num w:numId="31">
    <w:abstractNumId w:val="28"/>
  </w:num>
  <w:num w:numId="32">
    <w:abstractNumId w:val="7"/>
  </w:num>
  <w:num w:numId="33">
    <w:abstractNumId w:val="34"/>
  </w:num>
  <w:num w:numId="34">
    <w:abstractNumId w:val="19"/>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172A27"/>
    <w:rsid w:val="000200EE"/>
    <w:rsid w:val="0003298F"/>
    <w:rsid w:val="000570AB"/>
    <w:rsid w:val="000575F8"/>
    <w:rsid w:val="00062E01"/>
    <w:rsid w:val="00073808"/>
    <w:rsid w:val="00094BEE"/>
    <w:rsid w:val="000C1007"/>
    <w:rsid w:val="000C11E0"/>
    <w:rsid w:val="000C2710"/>
    <w:rsid w:val="000D396E"/>
    <w:rsid w:val="00143805"/>
    <w:rsid w:val="00161780"/>
    <w:rsid w:val="00172A27"/>
    <w:rsid w:val="00172C6F"/>
    <w:rsid w:val="00181CAA"/>
    <w:rsid w:val="001841DA"/>
    <w:rsid w:val="00185ED8"/>
    <w:rsid w:val="001D2980"/>
    <w:rsid w:val="001D501F"/>
    <w:rsid w:val="001E6205"/>
    <w:rsid w:val="0023031B"/>
    <w:rsid w:val="00235B9D"/>
    <w:rsid w:val="00250B2E"/>
    <w:rsid w:val="002E043A"/>
    <w:rsid w:val="00323940"/>
    <w:rsid w:val="00336AA3"/>
    <w:rsid w:val="00351EF2"/>
    <w:rsid w:val="00421C19"/>
    <w:rsid w:val="004370EC"/>
    <w:rsid w:val="004424B8"/>
    <w:rsid w:val="0045013D"/>
    <w:rsid w:val="00470325"/>
    <w:rsid w:val="004A6207"/>
    <w:rsid w:val="004B295D"/>
    <w:rsid w:val="004B3D96"/>
    <w:rsid w:val="004C0491"/>
    <w:rsid w:val="004D06DC"/>
    <w:rsid w:val="004D0DDA"/>
    <w:rsid w:val="00546E04"/>
    <w:rsid w:val="00572B6F"/>
    <w:rsid w:val="005866FB"/>
    <w:rsid w:val="005905AF"/>
    <w:rsid w:val="00593151"/>
    <w:rsid w:val="005C212B"/>
    <w:rsid w:val="006036EF"/>
    <w:rsid w:val="00606EB2"/>
    <w:rsid w:val="00642334"/>
    <w:rsid w:val="006611A3"/>
    <w:rsid w:val="00673B83"/>
    <w:rsid w:val="00680BFD"/>
    <w:rsid w:val="00685D53"/>
    <w:rsid w:val="006B6B0D"/>
    <w:rsid w:val="006E3403"/>
    <w:rsid w:val="006F3576"/>
    <w:rsid w:val="006F6E55"/>
    <w:rsid w:val="007019D5"/>
    <w:rsid w:val="0071408B"/>
    <w:rsid w:val="0073229B"/>
    <w:rsid w:val="007467B0"/>
    <w:rsid w:val="00780EC8"/>
    <w:rsid w:val="007943C7"/>
    <w:rsid w:val="007B03D6"/>
    <w:rsid w:val="007B41BE"/>
    <w:rsid w:val="007B5B71"/>
    <w:rsid w:val="007D6D06"/>
    <w:rsid w:val="00820737"/>
    <w:rsid w:val="0083331A"/>
    <w:rsid w:val="00835C9E"/>
    <w:rsid w:val="00865E81"/>
    <w:rsid w:val="008A16E3"/>
    <w:rsid w:val="008C105A"/>
    <w:rsid w:val="008D2515"/>
    <w:rsid w:val="008E4AD1"/>
    <w:rsid w:val="00920E49"/>
    <w:rsid w:val="00922581"/>
    <w:rsid w:val="00991949"/>
    <w:rsid w:val="009A2D1A"/>
    <w:rsid w:val="009A704D"/>
    <w:rsid w:val="009B3379"/>
    <w:rsid w:val="009D0ADC"/>
    <w:rsid w:val="009E3ED8"/>
    <w:rsid w:val="009F3A4D"/>
    <w:rsid w:val="00A00972"/>
    <w:rsid w:val="00A0387A"/>
    <w:rsid w:val="00A0619D"/>
    <w:rsid w:val="00A20AF3"/>
    <w:rsid w:val="00A2579D"/>
    <w:rsid w:val="00A41D6A"/>
    <w:rsid w:val="00A50D34"/>
    <w:rsid w:val="00A55229"/>
    <w:rsid w:val="00A64E29"/>
    <w:rsid w:val="00A65764"/>
    <w:rsid w:val="00AD3DEE"/>
    <w:rsid w:val="00AD6716"/>
    <w:rsid w:val="00B31E54"/>
    <w:rsid w:val="00B57BE3"/>
    <w:rsid w:val="00B84918"/>
    <w:rsid w:val="00B852A2"/>
    <w:rsid w:val="00B9396F"/>
    <w:rsid w:val="00BC4255"/>
    <w:rsid w:val="00BC7B91"/>
    <w:rsid w:val="00BE1732"/>
    <w:rsid w:val="00BE216D"/>
    <w:rsid w:val="00BF65C1"/>
    <w:rsid w:val="00C24820"/>
    <w:rsid w:val="00C267C0"/>
    <w:rsid w:val="00C32C1E"/>
    <w:rsid w:val="00C408D3"/>
    <w:rsid w:val="00C61B4D"/>
    <w:rsid w:val="00C77024"/>
    <w:rsid w:val="00C77550"/>
    <w:rsid w:val="00C81F53"/>
    <w:rsid w:val="00C82C8A"/>
    <w:rsid w:val="00C92378"/>
    <w:rsid w:val="00C96A03"/>
    <w:rsid w:val="00CA134C"/>
    <w:rsid w:val="00CB7DF7"/>
    <w:rsid w:val="00CD156B"/>
    <w:rsid w:val="00CF5912"/>
    <w:rsid w:val="00D01932"/>
    <w:rsid w:val="00D403B1"/>
    <w:rsid w:val="00D738AF"/>
    <w:rsid w:val="00D75B45"/>
    <w:rsid w:val="00D84E64"/>
    <w:rsid w:val="00E11932"/>
    <w:rsid w:val="00E122AC"/>
    <w:rsid w:val="00E22EAB"/>
    <w:rsid w:val="00E457F6"/>
    <w:rsid w:val="00E638F3"/>
    <w:rsid w:val="00EB6530"/>
    <w:rsid w:val="00EC014E"/>
    <w:rsid w:val="00F20319"/>
    <w:rsid w:val="00F40301"/>
    <w:rsid w:val="00F91728"/>
    <w:rsid w:val="00FA5926"/>
    <w:rsid w:val="00FA6C46"/>
    <w:rsid w:val="00FB566A"/>
    <w:rsid w:val="00FC5596"/>
    <w:rsid w:val="00FE1D80"/>
    <w:rsid w:val="01197239"/>
    <w:rsid w:val="01216043"/>
    <w:rsid w:val="01E925F2"/>
    <w:rsid w:val="03411FB9"/>
    <w:rsid w:val="034B003D"/>
    <w:rsid w:val="03555CDA"/>
    <w:rsid w:val="037303DF"/>
    <w:rsid w:val="03B855BF"/>
    <w:rsid w:val="055406CA"/>
    <w:rsid w:val="05935ABA"/>
    <w:rsid w:val="0604719C"/>
    <w:rsid w:val="06286391"/>
    <w:rsid w:val="06475B39"/>
    <w:rsid w:val="06FD2D1E"/>
    <w:rsid w:val="07003E68"/>
    <w:rsid w:val="072F44E3"/>
    <w:rsid w:val="076A4921"/>
    <w:rsid w:val="08886C50"/>
    <w:rsid w:val="0985399C"/>
    <w:rsid w:val="09F33618"/>
    <w:rsid w:val="0A120443"/>
    <w:rsid w:val="0A357011"/>
    <w:rsid w:val="0A4C1D72"/>
    <w:rsid w:val="0A60366D"/>
    <w:rsid w:val="0B71308C"/>
    <w:rsid w:val="0BB25F2B"/>
    <w:rsid w:val="0C517283"/>
    <w:rsid w:val="0CD96A9E"/>
    <w:rsid w:val="0EC12061"/>
    <w:rsid w:val="0ECC0051"/>
    <w:rsid w:val="0ECC12D1"/>
    <w:rsid w:val="0F367D34"/>
    <w:rsid w:val="0F7E4AB5"/>
    <w:rsid w:val="0FEF45D8"/>
    <w:rsid w:val="103366C9"/>
    <w:rsid w:val="106B1873"/>
    <w:rsid w:val="10BE5674"/>
    <w:rsid w:val="118A52AA"/>
    <w:rsid w:val="11CF2628"/>
    <w:rsid w:val="11E812C5"/>
    <w:rsid w:val="11E8746F"/>
    <w:rsid w:val="11FC2909"/>
    <w:rsid w:val="120301A9"/>
    <w:rsid w:val="1203424C"/>
    <w:rsid w:val="122B4ADD"/>
    <w:rsid w:val="1239025F"/>
    <w:rsid w:val="134165A8"/>
    <w:rsid w:val="14191C7A"/>
    <w:rsid w:val="1481035F"/>
    <w:rsid w:val="14C83A2E"/>
    <w:rsid w:val="14D34591"/>
    <w:rsid w:val="150E1830"/>
    <w:rsid w:val="15903923"/>
    <w:rsid w:val="15FC7022"/>
    <w:rsid w:val="16011089"/>
    <w:rsid w:val="17001762"/>
    <w:rsid w:val="172A1AE0"/>
    <w:rsid w:val="17720BA4"/>
    <w:rsid w:val="17C73F98"/>
    <w:rsid w:val="18151F96"/>
    <w:rsid w:val="181C07FE"/>
    <w:rsid w:val="18436046"/>
    <w:rsid w:val="188713DF"/>
    <w:rsid w:val="1A2F4635"/>
    <w:rsid w:val="1ACB6AB5"/>
    <w:rsid w:val="1AD03189"/>
    <w:rsid w:val="1AE50C9E"/>
    <w:rsid w:val="1AFF47DC"/>
    <w:rsid w:val="1BB641E2"/>
    <w:rsid w:val="1BEC1EA7"/>
    <w:rsid w:val="1C7D1AB6"/>
    <w:rsid w:val="1CE92A10"/>
    <w:rsid w:val="1D1124E9"/>
    <w:rsid w:val="1D665A94"/>
    <w:rsid w:val="1E0F472C"/>
    <w:rsid w:val="1E486D96"/>
    <w:rsid w:val="1EBA5A37"/>
    <w:rsid w:val="1F8A55A5"/>
    <w:rsid w:val="1FB55C89"/>
    <w:rsid w:val="1FD96B58"/>
    <w:rsid w:val="20216DCB"/>
    <w:rsid w:val="20662E46"/>
    <w:rsid w:val="206D455E"/>
    <w:rsid w:val="20D422AF"/>
    <w:rsid w:val="215450ED"/>
    <w:rsid w:val="21BF5A65"/>
    <w:rsid w:val="21C76B8A"/>
    <w:rsid w:val="21D23F85"/>
    <w:rsid w:val="22383458"/>
    <w:rsid w:val="225177B1"/>
    <w:rsid w:val="229562FB"/>
    <w:rsid w:val="22A244DC"/>
    <w:rsid w:val="22AD0709"/>
    <w:rsid w:val="237E7158"/>
    <w:rsid w:val="23953F30"/>
    <w:rsid w:val="239F4031"/>
    <w:rsid w:val="24831DDE"/>
    <w:rsid w:val="24A972CC"/>
    <w:rsid w:val="24DD5444"/>
    <w:rsid w:val="251564A9"/>
    <w:rsid w:val="25391588"/>
    <w:rsid w:val="25B15BC5"/>
    <w:rsid w:val="25F127E6"/>
    <w:rsid w:val="27AA0BCE"/>
    <w:rsid w:val="283655FF"/>
    <w:rsid w:val="283B6E9A"/>
    <w:rsid w:val="28790229"/>
    <w:rsid w:val="288960C2"/>
    <w:rsid w:val="28B020C3"/>
    <w:rsid w:val="2A880A7B"/>
    <w:rsid w:val="2AAF489E"/>
    <w:rsid w:val="2B482DD1"/>
    <w:rsid w:val="2BE83E84"/>
    <w:rsid w:val="2C1E0004"/>
    <w:rsid w:val="2C4B7CCD"/>
    <w:rsid w:val="2C67407E"/>
    <w:rsid w:val="2D0D4B37"/>
    <w:rsid w:val="2D8C63A3"/>
    <w:rsid w:val="2DA07759"/>
    <w:rsid w:val="2DC4660F"/>
    <w:rsid w:val="2DF634C6"/>
    <w:rsid w:val="2E3979A7"/>
    <w:rsid w:val="2E7A4DA5"/>
    <w:rsid w:val="2EE6563F"/>
    <w:rsid w:val="2F11634D"/>
    <w:rsid w:val="2FBB4D1E"/>
    <w:rsid w:val="2FF734B1"/>
    <w:rsid w:val="30180AD6"/>
    <w:rsid w:val="302764DF"/>
    <w:rsid w:val="30990720"/>
    <w:rsid w:val="30997F39"/>
    <w:rsid w:val="31624E86"/>
    <w:rsid w:val="31871F04"/>
    <w:rsid w:val="32652AC1"/>
    <w:rsid w:val="32BF3509"/>
    <w:rsid w:val="336A0832"/>
    <w:rsid w:val="339B6959"/>
    <w:rsid w:val="347506E9"/>
    <w:rsid w:val="356460C8"/>
    <w:rsid w:val="356A04F9"/>
    <w:rsid w:val="357061F6"/>
    <w:rsid w:val="35732F43"/>
    <w:rsid w:val="358E5851"/>
    <w:rsid w:val="360E1CBD"/>
    <w:rsid w:val="367D6E09"/>
    <w:rsid w:val="3682612F"/>
    <w:rsid w:val="36F5232F"/>
    <w:rsid w:val="36FA484C"/>
    <w:rsid w:val="375D203C"/>
    <w:rsid w:val="37853664"/>
    <w:rsid w:val="37866BC2"/>
    <w:rsid w:val="37F44A6E"/>
    <w:rsid w:val="37F84740"/>
    <w:rsid w:val="37FA01D4"/>
    <w:rsid w:val="38026A6F"/>
    <w:rsid w:val="38563B5C"/>
    <w:rsid w:val="38E0450B"/>
    <w:rsid w:val="392D7775"/>
    <w:rsid w:val="39BD43E3"/>
    <w:rsid w:val="39C15447"/>
    <w:rsid w:val="3A813697"/>
    <w:rsid w:val="3AD07E54"/>
    <w:rsid w:val="3B0A48EB"/>
    <w:rsid w:val="3CE072F9"/>
    <w:rsid w:val="3D60411F"/>
    <w:rsid w:val="3DC913E1"/>
    <w:rsid w:val="3EA90437"/>
    <w:rsid w:val="3F130D6A"/>
    <w:rsid w:val="3F3F0367"/>
    <w:rsid w:val="40833636"/>
    <w:rsid w:val="40C2747C"/>
    <w:rsid w:val="40F77A73"/>
    <w:rsid w:val="418F781D"/>
    <w:rsid w:val="41E657FF"/>
    <w:rsid w:val="42BB330B"/>
    <w:rsid w:val="43305B43"/>
    <w:rsid w:val="43464CDA"/>
    <w:rsid w:val="436A5E54"/>
    <w:rsid w:val="438169F9"/>
    <w:rsid w:val="43C01D87"/>
    <w:rsid w:val="43E73714"/>
    <w:rsid w:val="43EE7B6B"/>
    <w:rsid w:val="44060CCA"/>
    <w:rsid w:val="44B906B4"/>
    <w:rsid w:val="451D1030"/>
    <w:rsid w:val="45FC54FA"/>
    <w:rsid w:val="4610124A"/>
    <w:rsid w:val="48523C0A"/>
    <w:rsid w:val="48823A10"/>
    <w:rsid w:val="490146A5"/>
    <w:rsid w:val="49213BE9"/>
    <w:rsid w:val="49FB57AE"/>
    <w:rsid w:val="4A404346"/>
    <w:rsid w:val="4A64609E"/>
    <w:rsid w:val="4A960DF6"/>
    <w:rsid w:val="4B234F40"/>
    <w:rsid w:val="4B3F6B82"/>
    <w:rsid w:val="4B6B7860"/>
    <w:rsid w:val="4C066B29"/>
    <w:rsid w:val="4C3719B2"/>
    <w:rsid w:val="4C544517"/>
    <w:rsid w:val="4D216AEB"/>
    <w:rsid w:val="4E217FEA"/>
    <w:rsid w:val="4E347D1E"/>
    <w:rsid w:val="4E5F34F1"/>
    <w:rsid w:val="4E6C325B"/>
    <w:rsid w:val="4EC25DE3"/>
    <w:rsid w:val="4ED13353"/>
    <w:rsid w:val="4F781E8C"/>
    <w:rsid w:val="50B9389A"/>
    <w:rsid w:val="513D08DB"/>
    <w:rsid w:val="51407A55"/>
    <w:rsid w:val="51CA5D9B"/>
    <w:rsid w:val="52755C31"/>
    <w:rsid w:val="532E7C71"/>
    <w:rsid w:val="53394005"/>
    <w:rsid w:val="53DF697E"/>
    <w:rsid w:val="53F92C98"/>
    <w:rsid w:val="548818B9"/>
    <w:rsid w:val="54990E9B"/>
    <w:rsid w:val="552F2A7B"/>
    <w:rsid w:val="5569475D"/>
    <w:rsid w:val="55996A44"/>
    <w:rsid w:val="55D41DE6"/>
    <w:rsid w:val="565F7395"/>
    <w:rsid w:val="56C14B55"/>
    <w:rsid w:val="56E85B49"/>
    <w:rsid w:val="57B04226"/>
    <w:rsid w:val="583E7828"/>
    <w:rsid w:val="58506817"/>
    <w:rsid w:val="58517F53"/>
    <w:rsid w:val="58660CE3"/>
    <w:rsid w:val="58F724E2"/>
    <w:rsid w:val="59825014"/>
    <w:rsid w:val="59BC4AE2"/>
    <w:rsid w:val="59C9560C"/>
    <w:rsid w:val="5BFD47D0"/>
    <w:rsid w:val="5C1868BA"/>
    <w:rsid w:val="5CC96A61"/>
    <w:rsid w:val="5CDF456F"/>
    <w:rsid w:val="5D572C78"/>
    <w:rsid w:val="5DAE09BA"/>
    <w:rsid w:val="5DC23828"/>
    <w:rsid w:val="5F4B72E8"/>
    <w:rsid w:val="5F655A25"/>
    <w:rsid w:val="5FD32624"/>
    <w:rsid w:val="60425869"/>
    <w:rsid w:val="608C5059"/>
    <w:rsid w:val="60B85794"/>
    <w:rsid w:val="60E80265"/>
    <w:rsid w:val="612400C6"/>
    <w:rsid w:val="627C6F68"/>
    <w:rsid w:val="62B17737"/>
    <w:rsid w:val="636121B0"/>
    <w:rsid w:val="636B5C2D"/>
    <w:rsid w:val="63D61951"/>
    <w:rsid w:val="644F3D7E"/>
    <w:rsid w:val="64524DC3"/>
    <w:rsid w:val="64A92EFA"/>
    <w:rsid w:val="64DE1893"/>
    <w:rsid w:val="65061448"/>
    <w:rsid w:val="651361CB"/>
    <w:rsid w:val="653505E7"/>
    <w:rsid w:val="6536250C"/>
    <w:rsid w:val="654F2878"/>
    <w:rsid w:val="66313D57"/>
    <w:rsid w:val="66F07E38"/>
    <w:rsid w:val="67554E15"/>
    <w:rsid w:val="67664591"/>
    <w:rsid w:val="676A6619"/>
    <w:rsid w:val="678B53E2"/>
    <w:rsid w:val="67B35CE3"/>
    <w:rsid w:val="67DE7E23"/>
    <w:rsid w:val="6B422FD7"/>
    <w:rsid w:val="6B654D8D"/>
    <w:rsid w:val="6B8035EE"/>
    <w:rsid w:val="6B9C6AEB"/>
    <w:rsid w:val="6C7621DF"/>
    <w:rsid w:val="6C787452"/>
    <w:rsid w:val="6CEF4F0F"/>
    <w:rsid w:val="6D975754"/>
    <w:rsid w:val="6DAB59DE"/>
    <w:rsid w:val="6DB62FD3"/>
    <w:rsid w:val="6F38695D"/>
    <w:rsid w:val="6F3A209E"/>
    <w:rsid w:val="6FD76303"/>
    <w:rsid w:val="6FE64858"/>
    <w:rsid w:val="6FFC41F5"/>
    <w:rsid w:val="705F6EBF"/>
    <w:rsid w:val="707A1AB0"/>
    <w:rsid w:val="708C0D63"/>
    <w:rsid w:val="70932AFE"/>
    <w:rsid w:val="70FB4971"/>
    <w:rsid w:val="71A7158C"/>
    <w:rsid w:val="71C52164"/>
    <w:rsid w:val="724500E4"/>
    <w:rsid w:val="72556331"/>
    <w:rsid w:val="725A1CD1"/>
    <w:rsid w:val="726415FE"/>
    <w:rsid w:val="73653BD3"/>
    <w:rsid w:val="73CC483B"/>
    <w:rsid w:val="747857C5"/>
    <w:rsid w:val="74897E68"/>
    <w:rsid w:val="74D57DC3"/>
    <w:rsid w:val="74E73E8C"/>
    <w:rsid w:val="756F5EAD"/>
    <w:rsid w:val="75D82A64"/>
    <w:rsid w:val="76FC0374"/>
    <w:rsid w:val="77EC18C4"/>
    <w:rsid w:val="77FF6F57"/>
    <w:rsid w:val="78DE6F66"/>
    <w:rsid w:val="78EE19A8"/>
    <w:rsid w:val="79974595"/>
    <w:rsid w:val="79B02BEB"/>
    <w:rsid w:val="7A0950A1"/>
    <w:rsid w:val="7A6D4A58"/>
    <w:rsid w:val="7AC611A6"/>
    <w:rsid w:val="7ADC31A8"/>
    <w:rsid w:val="7B160C28"/>
    <w:rsid w:val="7B197230"/>
    <w:rsid w:val="7B62386D"/>
    <w:rsid w:val="7B810197"/>
    <w:rsid w:val="7BE603FD"/>
    <w:rsid w:val="7C23090A"/>
    <w:rsid w:val="7C2946FE"/>
    <w:rsid w:val="7C4907D4"/>
    <w:rsid w:val="7CAA7785"/>
    <w:rsid w:val="7CBA36DF"/>
    <w:rsid w:val="7D2012E9"/>
    <w:rsid w:val="7D4B0427"/>
    <w:rsid w:val="7D7A55E0"/>
    <w:rsid w:val="7D7A65E3"/>
    <w:rsid w:val="7DB06EF1"/>
    <w:rsid w:val="7E5538BB"/>
    <w:rsid w:val="7F4A728E"/>
    <w:rsid w:val="7FB35356"/>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50"/>
    <w:qFormat/>
    <w:uiPriority w:val="0"/>
    <w:pPr>
      <w:keepNext/>
      <w:keepLines/>
      <w:spacing w:after="120" w:line="360" w:lineRule="auto"/>
      <w:outlineLvl w:val="0"/>
    </w:pPr>
    <w:rPr>
      <w:kern w:val="44"/>
      <w:sz w:val="28"/>
      <w:szCs w:val="28"/>
    </w:rPr>
  </w:style>
  <w:style w:type="paragraph" w:styleId="4">
    <w:name w:val="heading 2"/>
    <w:basedOn w:val="1"/>
    <w:next w:val="1"/>
    <w:link w:val="62"/>
    <w:semiHidden/>
    <w:unhideWhenUsed/>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5">
    <w:name w:val="heading 3"/>
    <w:basedOn w:val="1"/>
    <w:next w:val="1"/>
    <w:link w:val="56"/>
    <w:semiHidden/>
    <w:unhideWhenUsed/>
    <w:qFormat/>
    <w:uiPriority w:val="0"/>
    <w:pPr>
      <w:widowControl/>
      <w:spacing w:before="100" w:beforeAutospacing="1" w:after="100" w:afterAutospacing="1"/>
      <w:jc w:val="left"/>
      <w:outlineLvl w:val="2"/>
    </w:pPr>
    <w:rPr>
      <w:rFonts w:ascii="宋体" w:hAnsi="宋体" w:cs="宋体"/>
      <w:kern w:val="0"/>
      <w:sz w:val="27"/>
      <w:szCs w:val="27"/>
    </w:rPr>
  </w:style>
  <w:style w:type="paragraph" w:styleId="6">
    <w:name w:val="heading 4"/>
    <w:basedOn w:val="1"/>
    <w:next w:val="1"/>
    <w:link w:val="63"/>
    <w:semiHidden/>
    <w:unhideWhenUsed/>
    <w:qFormat/>
    <w:uiPriority w:val="0"/>
    <w:pPr>
      <w:keepNext/>
      <w:keepLines/>
      <w:numPr>
        <w:ilvl w:val="3"/>
        <w:numId w:val="1"/>
      </w:numPr>
      <w:spacing w:beforeLines="50" w:afterLines="50" w:line="360" w:lineRule="auto"/>
      <w:outlineLvl w:val="3"/>
    </w:pPr>
    <w:rPr>
      <w:rFonts w:ascii="Arial" w:hAnsi="Arial"/>
      <w:color w:val="000000"/>
      <w:szCs w:val="21"/>
    </w:rPr>
  </w:style>
  <w:style w:type="paragraph" w:styleId="7">
    <w:name w:val="heading 5"/>
    <w:basedOn w:val="6"/>
    <w:next w:val="8"/>
    <w:link w:val="64"/>
    <w:semiHidden/>
    <w:unhideWhenUsed/>
    <w:qFormat/>
    <w:uiPriority w:val="0"/>
    <w:pPr>
      <w:numPr>
        <w:ilvl w:val="4"/>
      </w:numPr>
      <w:spacing w:line="240" w:lineRule="exact"/>
      <w:outlineLvl w:val="4"/>
    </w:pPr>
  </w:style>
  <w:style w:type="paragraph" w:styleId="9">
    <w:name w:val="heading 6"/>
    <w:basedOn w:val="1"/>
    <w:next w:val="1"/>
    <w:link w:val="65"/>
    <w:semiHidden/>
    <w:unhideWhenUsed/>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0">
    <w:name w:val="heading 7"/>
    <w:basedOn w:val="1"/>
    <w:next w:val="8"/>
    <w:link w:val="66"/>
    <w:semiHidden/>
    <w:unhideWhenUsed/>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1">
    <w:name w:val="heading 8"/>
    <w:basedOn w:val="1"/>
    <w:next w:val="8"/>
    <w:link w:val="67"/>
    <w:semiHidden/>
    <w:unhideWhenUsed/>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8"/>
    <w:link w:val="68"/>
    <w:semiHidden/>
    <w:unhideWhenUsed/>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szCs w:val="21"/>
    </w:rPr>
  </w:style>
  <w:style w:type="paragraph" w:styleId="8">
    <w:name w:val="Normal Indent"/>
    <w:basedOn w:val="1"/>
    <w:qFormat/>
    <w:uiPriority w:val="0"/>
    <w:pPr>
      <w:ind w:firstLine="420"/>
    </w:pPr>
    <w:rPr>
      <w:rFonts w:ascii="Times New Roman" w:hAnsi="Times New Roman"/>
      <w:szCs w:val="20"/>
    </w:rPr>
  </w:style>
  <w:style w:type="paragraph" w:styleId="13">
    <w:name w:val="Document Map"/>
    <w:basedOn w:val="1"/>
    <w:link w:val="80"/>
    <w:qFormat/>
    <w:uiPriority w:val="0"/>
    <w:pPr>
      <w:shd w:val="clear" w:color="auto" w:fill="000080"/>
    </w:pPr>
    <w:rPr>
      <w:rFonts w:ascii="Times New Roman" w:hAnsi="Times New Roman"/>
      <w:szCs w:val="20"/>
    </w:rPr>
  </w:style>
  <w:style w:type="paragraph" w:styleId="14">
    <w:name w:val="annotation text"/>
    <w:basedOn w:val="1"/>
    <w:link w:val="107"/>
    <w:qFormat/>
    <w:uiPriority w:val="0"/>
    <w:pPr>
      <w:spacing w:line="360" w:lineRule="auto"/>
      <w:ind w:firstLine="523" w:firstLineChars="218"/>
      <w:jc w:val="left"/>
    </w:pPr>
    <w:rPr>
      <w:rFonts w:ascii="宋体" w:hAnsi="宋体"/>
      <w:sz w:val="24"/>
      <w:szCs w:val="24"/>
    </w:rPr>
  </w:style>
  <w:style w:type="paragraph" w:styleId="15">
    <w:name w:val="Body Text"/>
    <w:basedOn w:val="1"/>
    <w:next w:val="16"/>
    <w:link w:val="72"/>
    <w:qFormat/>
    <w:uiPriority w:val="0"/>
    <w:pPr>
      <w:spacing w:after="120"/>
    </w:pPr>
    <w:rPr>
      <w:rFonts w:ascii="Times New Roman" w:hAnsi="Times New Roman"/>
      <w:szCs w:val="20"/>
    </w:rPr>
  </w:style>
  <w:style w:type="paragraph" w:styleId="16">
    <w:name w:val="Title"/>
    <w:basedOn w:val="1"/>
    <w:next w:val="1"/>
    <w:link w:val="70"/>
    <w:qFormat/>
    <w:uiPriority w:val="0"/>
    <w:pPr>
      <w:spacing w:before="120" w:after="60"/>
      <w:jc w:val="center"/>
    </w:pPr>
    <w:rPr>
      <w:rFonts w:ascii="Arial" w:hAnsi="Arial"/>
      <w:b/>
      <w:sz w:val="44"/>
      <w:szCs w:val="20"/>
    </w:rPr>
  </w:style>
  <w:style w:type="paragraph" w:styleId="17">
    <w:name w:val="Body Text Indent"/>
    <w:basedOn w:val="1"/>
    <w:link w:val="78"/>
    <w:qFormat/>
    <w:uiPriority w:val="0"/>
    <w:pPr>
      <w:ind w:firstLine="570"/>
    </w:pPr>
    <w:rPr>
      <w:rFonts w:ascii="Times New Roman" w:hAnsi="Times New Roman"/>
      <w:sz w:val="28"/>
      <w:szCs w:val="20"/>
    </w:rPr>
  </w:style>
  <w:style w:type="paragraph" w:styleId="18">
    <w:name w:val="toc 3"/>
    <w:basedOn w:val="1"/>
    <w:next w:val="1"/>
    <w:qFormat/>
    <w:uiPriority w:val="0"/>
    <w:pPr>
      <w:snapToGrid w:val="0"/>
      <w:spacing w:line="360" w:lineRule="auto"/>
      <w:ind w:left="400" w:leftChars="400"/>
      <w:jc w:val="left"/>
    </w:pPr>
    <w:rPr>
      <w:rFonts w:ascii="Times New Roman" w:hAnsi="Times New Roman"/>
      <w:sz w:val="24"/>
      <w:szCs w:val="20"/>
    </w:rPr>
  </w:style>
  <w:style w:type="paragraph" w:styleId="19">
    <w:name w:val="Plain Text"/>
    <w:basedOn w:val="1"/>
    <w:link w:val="82"/>
    <w:qFormat/>
    <w:uiPriority w:val="0"/>
    <w:rPr>
      <w:rFonts w:ascii="宋体" w:hAnsi="Courier New"/>
      <w:szCs w:val="20"/>
    </w:rPr>
  </w:style>
  <w:style w:type="paragraph" w:styleId="20">
    <w:name w:val="Date"/>
    <w:basedOn w:val="1"/>
    <w:next w:val="1"/>
    <w:link w:val="76"/>
    <w:qFormat/>
    <w:uiPriority w:val="0"/>
    <w:rPr>
      <w:rFonts w:ascii="Times New Roman" w:hAnsi="Times New Roman"/>
      <w:kern w:val="0"/>
      <w:sz w:val="20"/>
      <w:szCs w:val="24"/>
    </w:rPr>
  </w:style>
  <w:style w:type="paragraph" w:styleId="21">
    <w:name w:val="Body Text Indent 2"/>
    <w:basedOn w:val="1"/>
    <w:link w:val="84"/>
    <w:qFormat/>
    <w:uiPriority w:val="0"/>
    <w:pPr>
      <w:spacing w:line="400" w:lineRule="exact"/>
      <w:ind w:left="425"/>
    </w:pPr>
    <w:rPr>
      <w:rFonts w:ascii="Times New Roman" w:hAnsi="Times New Roman"/>
      <w:color w:val="000000"/>
      <w:sz w:val="24"/>
      <w:szCs w:val="20"/>
    </w:rPr>
  </w:style>
  <w:style w:type="paragraph" w:styleId="22">
    <w:name w:val="endnote text"/>
    <w:basedOn w:val="1"/>
    <w:link w:val="94"/>
    <w:qFormat/>
    <w:uiPriority w:val="0"/>
    <w:pPr>
      <w:snapToGrid w:val="0"/>
      <w:jc w:val="left"/>
    </w:pPr>
    <w:rPr>
      <w:rFonts w:ascii="Times New Roman" w:hAnsi="Times New Roman"/>
      <w:szCs w:val="20"/>
    </w:rPr>
  </w:style>
  <w:style w:type="paragraph" w:styleId="23">
    <w:name w:val="Balloon Text"/>
    <w:basedOn w:val="1"/>
    <w:link w:val="104"/>
    <w:qFormat/>
    <w:uiPriority w:val="0"/>
    <w:rPr>
      <w:rFonts w:ascii="Times New Roman" w:hAnsi="Times New Roman"/>
      <w:sz w:val="18"/>
      <w:szCs w:val="18"/>
    </w:rPr>
  </w:style>
  <w:style w:type="paragraph" w:styleId="24">
    <w:name w:val="footer"/>
    <w:basedOn w:val="1"/>
    <w:link w:val="60"/>
    <w:qFormat/>
    <w:uiPriority w:val="0"/>
    <w:pPr>
      <w:tabs>
        <w:tab w:val="center" w:pos="4153"/>
        <w:tab w:val="right" w:pos="8306"/>
      </w:tabs>
      <w:snapToGrid w:val="0"/>
      <w:jc w:val="left"/>
    </w:pPr>
    <w:rPr>
      <w:sz w:val="18"/>
      <w:szCs w:val="18"/>
    </w:rPr>
  </w:style>
  <w:style w:type="paragraph" w:styleId="25">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109"/>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86"/>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index 7"/>
    <w:basedOn w:val="1"/>
    <w:next w:val="1"/>
    <w:qFormat/>
    <w:uiPriority w:val="0"/>
    <w:pPr>
      <w:numPr>
        <w:ilvl w:val="0"/>
        <w:numId w:val="3"/>
      </w:numPr>
      <w:ind w:left="2940"/>
      <w:jc w:val="left"/>
    </w:pPr>
  </w:style>
  <w:style w:type="paragraph" w:styleId="30">
    <w:name w:val="toc 2"/>
    <w:basedOn w:val="1"/>
    <w:next w:val="1"/>
    <w:qFormat/>
    <w:uiPriority w:val="0"/>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90"/>
    <w:qFormat/>
    <w:uiPriority w:val="0"/>
    <w:rPr>
      <w:rFonts w:ascii="宋体" w:hAnsi="宋体"/>
      <w:szCs w:val="24"/>
      <w:u w:val="single"/>
    </w:rPr>
  </w:style>
  <w:style w:type="paragraph" w:styleId="32">
    <w:name w:val="Normal (Web)"/>
    <w:basedOn w:val="1"/>
    <w:qFormat/>
    <w:uiPriority w:val="0"/>
    <w:pPr>
      <w:widowControl/>
      <w:spacing w:beforeAutospacing="1" w:afterAutospacing="1"/>
      <w:jc w:val="left"/>
    </w:pPr>
    <w:rPr>
      <w:rFonts w:ascii="宋体" w:hAnsi="宋体"/>
      <w:kern w:val="0"/>
      <w:sz w:val="24"/>
      <w:szCs w:val="24"/>
    </w:rPr>
  </w:style>
  <w:style w:type="paragraph" w:styleId="33">
    <w:name w:val="index 1"/>
    <w:basedOn w:val="1"/>
    <w:next w:val="1"/>
    <w:qFormat/>
    <w:uiPriority w:val="0"/>
    <w:rPr>
      <w:rFonts w:ascii="Times New Roman" w:hAnsi="Times New Roman" w:eastAsia="仿宋_GB2312"/>
      <w:sz w:val="28"/>
      <w:szCs w:val="20"/>
    </w:rPr>
  </w:style>
  <w:style w:type="paragraph" w:styleId="34">
    <w:name w:val="annotation subject"/>
    <w:basedOn w:val="14"/>
    <w:next w:val="14"/>
    <w:link w:val="111"/>
    <w:qFormat/>
    <w:uiPriority w:val="0"/>
    <w:rPr>
      <w:b/>
      <w:bCs/>
    </w:rPr>
  </w:style>
  <w:style w:type="paragraph" w:styleId="35">
    <w:name w:val="Body Text First Indent"/>
    <w:basedOn w:val="15"/>
    <w:link w:val="74"/>
    <w:qFormat/>
    <w:uiPriority w:val="0"/>
    <w:pPr>
      <w:ind w:firstLine="420"/>
    </w:pPr>
  </w:style>
  <w:style w:type="table" w:styleId="37">
    <w:name w:val="Table Grid"/>
    <w:basedOn w:val="36"/>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endnote reference"/>
    <w:qFormat/>
    <w:uiPriority w:val="0"/>
    <w:rPr>
      <w:vertAlign w:val="superscript"/>
    </w:rPr>
  </w:style>
  <w:style w:type="character" w:styleId="41">
    <w:name w:val="page number"/>
    <w:basedOn w:val="38"/>
    <w:qFormat/>
    <w:uiPriority w:val="0"/>
    <w:rPr>
      <w:rFonts w:cs="Times New Roman"/>
    </w:rPr>
  </w:style>
  <w:style w:type="character" w:styleId="42">
    <w:name w:val="FollowedHyperlink"/>
    <w:qFormat/>
    <w:uiPriority w:val="0"/>
    <w:rPr>
      <w:color w:val="954F72"/>
      <w:u w:val="single"/>
    </w:rPr>
  </w:style>
  <w:style w:type="character" w:styleId="43">
    <w:name w:val="Emphasis"/>
    <w:qFormat/>
    <w:uiPriority w:val="0"/>
    <w:rPr>
      <w:rFonts w:hint="eastAsia" w:ascii="宋体" w:hAnsi="宋体" w:eastAsia="宋体"/>
      <w:sz w:val="21"/>
    </w:rPr>
  </w:style>
  <w:style w:type="character" w:styleId="44">
    <w:name w:val="Hyperlink"/>
    <w:basedOn w:val="38"/>
    <w:qFormat/>
    <w:uiPriority w:val="0"/>
    <w:rPr>
      <w:color w:val="0000FF"/>
      <w:u w:val="single"/>
    </w:rPr>
  </w:style>
  <w:style w:type="character" w:styleId="45">
    <w:name w:val="annotation reference"/>
    <w:basedOn w:val="38"/>
    <w:qFormat/>
    <w:uiPriority w:val="0"/>
    <w:rPr>
      <w:sz w:val="21"/>
      <w:szCs w:val="21"/>
    </w:rPr>
  </w:style>
  <w:style w:type="character" w:styleId="46">
    <w:name w:val="footnote reference"/>
    <w:qFormat/>
    <w:uiPriority w:val="0"/>
    <w:rPr>
      <w:vertAlign w:val="superscript"/>
    </w:rPr>
  </w:style>
  <w:style w:type="character" w:customStyle="1" w:styleId="47">
    <w:name w:val="标题 1 字符"/>
    <w:qFormat/>
    <w:uiPriority w:val="9"/>
    <w:rPr>
      <w:rFonts w:ascii="Calibri" w:hAnsi="Calibri" w:eastAsia="宋体" w:cs="Times New Roman"/>
      <w:b/>
      <w:bCs/>
      <w:kern w:val="44"/>
      <w:sz w:val="44"/>
      <w:szCs w:val="44"/>
    </w:rPr>
  </w:style>
  <w:style w:type="character" w:customStyle="1" w:styleId="48">
    <w:name w:val="标题 2 字符"/>
    <w:semiHidden/>
    <w:qFormat/>
    <w:uiPriority w:val="9"/>
    <w:rPr>
      <w:rFonts w:ascii="等线 Light" w:hAnsi="等线 Light" w:eastAsia="等线 Light" w:cs="Times New Roman"/>
      <w:b/>
      <w:bCs/>
      <w:sz w:val="32"/>
      <w:szCs w:val="32"/>
    </w:rPr>
  </w:style>
  <w:style w:type="character" w:customStyle="1" w:styleId="49">
    <w:name w:val="标题 3 字符"/>
    <w:basedOn w:val="38"/>
    <w:semiHidden/>
    <w:qFormat/>
    <w:uiPriority w:val="9"/>
    <w:rPr>
      <w:rFonts w:ascii="Calibri" w:hAnsi="Calibri" w:eastAsia="宋体" w:cs="Times New Roman"/>
      <w:b/>
      <w:bCs/>
      <w:sz w:val="32"/>
      <w:szCs w:val="32"/>
    </w:rPr>
  </w:style>
  <w:style w:type="character" w:customStyle="1" w:styleId="50">
    <w:name w:val="标题 4 字符"/>
    <w:semiHidden/>
    <w:qFormat/>
    <w:uiPriority w:val="9"/>
    <w:rPr>
      <w:rFonts w:ascii="等线 Light" w:hAnsi="等线 Light" w:eastAsia="等线 Light" w:cs="Times New Roman"/>
      <w:b/>
      <w:bCs/>
      <w:sz w:val="28"/>
      <w:szCs w:val="28"/>
    </w:rPr>
  </w:style>
  <w:style w:type="character" w:customStyle="1" w:styleId="51">
    <w:name w:val="标题 5 字符"/>
    <w:semiHidden/>
    <w:qFormat/>
    <w:uiPriority w:val="9"/>
    <w:rPr>
      <w:rFonts w:ascii="Calibri" w:hAnsi="Calibri" w:eastAsia="宋体" w:cs="Times New Roman"/>
      <w:b/>
      <w:bCs/>
      <w:sz w:val="28"/>
      <w:szCs w:val="28"/>
    </w:rPr>
  </w:style>
  <w:style w:type="character" w:customStyle="1" w:styleId="52">
    <w:name w:val="标题 6 字符"/>
    <w:semiHidden/>
    <w:qFormat/>
    <w:uiPriority w:val="9"/>
    <w:rPr>
      <w:rFonts w:ascii="等线 Light" w:hAnsi="等线 Light" w:eastAsia="等线 Light" w:cs="Times New Roman"/>
      <w:b/>
      <w:bCs/>
      <w:sz w:val="24"/>
      <w:szCs w:val="24"/>
    </w:rPr>
  </w:style>
  <w:style w:type="character" w:customStyle="1" w:styleId="53">
    <w:name w:val="标题 7 字符"/>
    <w:semiHidden/>
    <w:qFormat/>
    <w:uiPriority w:val="9"/>
    <w:rPr>
      <w:rFonts w:ascii="Calibri" w:hAnsi="Calibri" w:eastAsia="宋体" w:cs="Times New Roman"/>
      <w:b/>
      <w:bCs/>
      <w:sz w:val="24"/>
      <w:szCs w:val="24"/>
    </w:rPr>
  </w:style>
  <w:style w:type="character" w:customStyle="1" w:styleId="54">
    <w:name w:val="标题 8 字符"/>
    <w:semiHidden/>
    <w:qFormat/>
    <w:uiPriority w:val="9"/>
    <w:rPr>
      <w:rFonts w:ascii="等线 Light" w:hAnsi="等线 Light" w:eastAsia="等线 Light" w:cs="Times New Roman"/>
      <w:sz w:val="24"/>
      <w:szCs w:val="24"/>
    </w:rPr>
  </w:style>
  <w:style w:type="character" w:customStyle="1" w:styleId="55">
    <w:name w:val="标题 9 字符"/>
    <w:semiHidden/>
    <w:qFormat/>
    <w:uiPriority w:val="9"/>
    <w:rPr>
      <w:rFonts w:ascii="等线 Light" w:hAnsi="等线 Light" w:eastAsia="等线 Light" w:cs="Times New Roman"/>
      <w:szCs w:val="21"/>
    </w:rPr>
  </w:style>
  <w:style w:type="character" w:customStyle="1" w:styleId="56">
    <w:name w:val="标题 3 Char"/>
    <w:link w:val="5"/>
    <w:qFormat/>
    <w:uiPriority w:val="0"/>
    <w:rPr>
      <w:rFonts w:ascii="宋体" w:hAnsi="宋体" w:eastAsia="宋体" w:cs="宋体"/>
      <w:kern w:val="0"/>
      <w:sz w:val="27"/>
      <w:szCs w:val="27"/>
    </w:rPr>
  </w:style>
  <w:style w:type="character" w:customStyle="1" w:styleId="57">
    <w:name w:val="页眉 字符"/>
    <w:semiHidden/>
    <w:qFormat/>
    <w:uiPriority w:val="99"/>
    <w:rPr>
      <w:rFonts w:ascii="Calibri" w:hAnsi="Calibri" w:eastAsia="宋体" w:cs="Times New Roman"/>
      <w:sz w:val="18"/>
      <w:szCs w:val="18"/>
    </w:rPr>
  </w:style>
  <w:style w:type="character" w:customStyle="1" w:styleId="58">
    <w:name w:val="页眉 Char"/>
    <w:link w:val="25"/>
    <w:qFormat/>
    <w:uiPriority w:val="0"/>
    <w:rPr>
      <w:rFonts w:ascii="Calibri" w:hAnsi="Calibri" w:eastAsia="宋体" w:cs="Times New Roman"/>
      <w:sz w:val="18"/>
      <w:szCs w:val="18"/>
    </w:rPr>
  </w:style>
  <w:style w:type="character" w:customStyle="1" w:styleId="59">
    <w:name w:val="页脚 字符"/>
    <w:semiHidden/>
    <w:qFormat/>
    <w:uiPriority w:val="99"/>
    <w:rPr>
      <w:rFonts w:ascii="Calibri" w:hAnsi="Calibri" w:eastAsia="宋体" w:cs="Times New Roman"/>
      <w:sz w:val="18"/>
      <w:szCs w:val="18"/>
    </w:rPr>
  </w:style>
  <w:style w:type="character" w:customStyle="1" w:styleId="60">
    <w:name w:val="页脚 Char"/>
    <w:link w:val="24"/>
    <w:qFormat/>
    <w:uiPriority w:val="0"/>
    <w:rPr>
      <w:rFonts w:ascii="Calibri" w:hAnsi="Calibri" w:eastAsia="宋体" w:cs="Times New Roman"/>
      <w:sz w:val="18"/>
      <w:szCs w:val="18"/>
    </w:rPr>
  </w:style>
  <w:style w:type="character" w:customStyle="1" w:styleId="61">
    <w:name w:val="标题 1 字符1"/>
    <w:qFormat/>
    <w:uiPriority w:val="0"/>
    <w:rPr>
      <w:rFonts w:ascii="Arial" w:hAnsi="Arial" w:eastAsia="宋体"/>
      <w:b/>
      <w:kern w:val="44"/>
      <w:sz w:val="28"/>
      <w:szCs w:val="28"/>
    </w:rPr>
  </w:style>
  <w:style w:type="character" w:customStyle="1" w:styleId="62">
    <w:name w:val="标题 2 Char"/>
    <w:link w:val="4"/>
    <w:qFormat/>
    <w:uiPriority w:val="0"/>
    <w:rPr>
      <w:rFonts w:ascii="Arial" w:hAnsi="Arial" w:eastAsia="宋体" w:cs="Times New Roman"/>
      <w:b/>
      <w:color w:val="000000"/>
      <w:sz w:val="24"/>
      <w:szCs w:val="24"/>
    </w:rPr>
  </w:style>
  <w:style w:type="character" w:customStyle="1" w:styleId="63">
    <w:name w:val="标题 4 Char"/>
    <w:link w:val="6"/>
    <w:qFormat/>
    <w:uiPriority w:val="0"/>
    <w:rPr>
      <w:rFonts w:ascii="Arial" w:hAnsi="Arial" w:eastAsia="宋体" w:cs="Times New Roman"/>
      <w:color w:val="000000"/>
      <w:szCs w:val="21"/>
    </w:rPr>
  </w:style>
  <w:style w:type="character" w:customStyle="1" w:styleId="64">
    <w:name w:val="标题 5 Char"/>
    <w:link w:val="7"/>
    <w:qFormat/>
    <w:uiPriority w:val="0"/>
    <w:rPr>
      <w:rFonts w:ascii="Arial" w:hAnsi="Arial" w:eastAsia="宋体" w:cs="Times New Roman"/>
      <w:color w:val="000000"/>
      <w:szCs w:val="21"/>
    </w:rPr>
  </w:style>
  <w:style w:type="character" w:customStyle="1" w:styleId="65">
    <w:name w:val="标题 6 Char"/>
    <w:link w:val="9"/>
    <w:qFormat/>
    <w:uiPriority w:val="0"/>
    <w:rPr>
      <w:rFonts w:ascii="Arial" w:hAnsi="Arial" w:eastAsia="黑体" w:cs="Times New Roman"/>
      <w:b/>
      <w:bCs/>
      <w:sz w:val="24"/>
      <w:szCs w:val="24"/>
    </w:rPr>
  </w:style>
  <w:style w:type="character" w:customStyle="1" w:styleId="66">
    <w:name w:val="标题 7 Char"/>
    <w:link w:val="10"/>
    <w:qFormat/>
    <w:uiPriority w:val="0"/>
    <w:rPr>
      <w:rFonts w:ascii="Times New Roman" w:hAnsi="Times New Roman" w:eastAsia="宋体" w:cs="Times New Roman"/>
      <w:b/>
      <w:sz w:val="24"/>
      <w:szCs w:val="20"/>
    </w:rPr>
  </w:style>
  <w:style w:type="character" w:customStyle="1" w:styleId="67">
    <w:name w:val="标题 8 Char"/>
    <w:link w:val="11"/>
    <w:qFormat/>
    <w:uiPriority w:val="0"/>
    <w:rPr>
      <w:rFonts w:ascii="Arial" w:hAnsi="Arial" w:eastAsia="黑体" w:cs="Times New Roman"/>
      <w:sz w:val="24"/>
      <w:szCs w:val="20"/>
    </w:rPr>
  </w:style>
  <w:style w:type="character" w:customStyle="1" w:styleId="68">
    <w:name w:val="标题 9 Char"/>
    <w:link w:val="12"/>
    <w:qFormat/>
    <w:uiPriority w:val="0"/>
    <w:rPr>
      <w:rFonts w:ascii="Arial" w:hAnsi="Arial" w:eastAsia="黑体" w:cs="Times New Roman"/>
      <w:szCs w:val="20"/>
    </w:rPr>
  </w:style>
  <w:style w:type="character" w:customStyle="1" w:styleId="69">
    <w:name w:val="标题 字符"/>
    <w:qFormat/>
    <w:uiPriority w:val="10"/>
    <w:rPr>
      <w:rFonts w:ascii="等线 Light" w:hAnsi="等线 Light" w:eastAsia="等线 Light" w:cs="Times New Roman"/>
      <w:b/>
      <w:bCs/>
      <w:sz w:val="32"/>
      <w:szCs w:val="32"/>
    </w:rPr>
  </w:style>
  <w:style w:type="character" w:customStyle="1" w:styleId="70">
    <w:name w:val="标题 Char"/>
    <w:link w:val="16"/>
    <w:qFormat/>
    <w:uiPriority w:val="0"/>
    <w:rPr>
      <w:rFonts w:ascii="Arial" w:hAnsi="Arial" w:eastAsia="宋体" w:cs="Times New Roman"/>
      <w:b/>
      <w:sz w:val="44"/>
      <w:szCs w:val="20"/>
    </w:rPr>
  </w:style>
  <w:style w:type="character" w:customStyle="1" w:styleId="71">
    <w:name w:val="正文文本 字符"/>
    <w:basedOn w:val="38"/>
    <w:semiHidden/>
    <w:qFormat/>
    <w:uiPriority w:val="99"/>
    <w:rPr>
      <w:rFonts w:ascii="Calibri" w:hAnsi="Calibri" w:eastAsia="宋体" w:cs="Times New Roman"/>
    </w:rPr>
  </w:style>
  <w:style w:type="character" w:customStyle="1" w:styleId="72">
    <w:name w:val="正文文本 Char"/>
    <w:link w:val="15"/>
    <w:qFormat/>
    <w:uiPriority w:val="0"/>
    <w:rPr>
      <w:rFonts w:ascii="Times New Roman" w:hAnsi="Times New Roman" w:eastAsia="宋体" w:cs="Times New Roman"/>
      <w:szCs w:val="20"/>
    </w:rPr>
  </w:style>
  <w:style w:type="character" w:customStyle="1" w:styleId="73">
    <w:name w:val="正文首行缩进 字符"/>
    <w:basedOn w:val="71"/>
    <w:semiHidden/>
    <w:qFormat/>
    <w:uiPriority w:val="99"/>
    <w:rPr>
      <w:rFonts w:ascii="Calibri" w:hAnsi="Calibri" w:eastAsia="宋体" w:cs="Times New Roman"/>
    </w:rPr>
  </w:style>
  <w:style w:type="character" w:customStyle="1" w:styleId="74">
    <w:name w:val="正文首行缩进 Char"/>
    <w:link w:val="35"/>
    <w:qFormat/>
    <w:uiPriority w:val="0"/>
  </w:style>
  <w:style w:type="character" w:customStyle="1" w:styleId="75">
    <w:name w:val="日期 字符"/>
    <w:semiHidden/>
    <w:qFormat/>
    <w:uiPriority w:val="99"/>
    <w:rPr>
      <w:rFonts w:ascii="Calibri" w:hAnsi="Calibri" w:eastAsia="宋体" w:cs="Times New Roman"/>
    </w:rPr>
  </w:style>
  <w:style w:type="character" w:customStyle="1" w:styleId="76">
    <w:name w:val="日期 Char"/>
    <w:link w:val="20"/>
    <w:qFormat/>
    <w:uiPriority w:val="0"/>
    <w:rPr>
      <w:rFonts w:ascii="Times New Roman" w:hAnsi="Times New Roman" w:eastAsia="宋体" w:cs="Times New Roman"/>
      <w:szCs w:val="20"/>
    </w:rPr>
  </w:style>
  <w:style w:type="character" w:customStyle="1" w:styleId="77">
    <w:name w:val="正文文本缩进 字符"/>
    <w:semiHidden/>
    <w:qFormat/>
    <w:uiPriority w:val="99"/>
    <w:rPr>
      <w:rFonts w:ascii="Calibri" w:hAnsi="Calibri" w:eastAsia="宋体" w:cs="Times New Roman"/>
    </w:rPr>
  </w:style>
  <w:style w:type="character" w:customStyle="1" w:styleId="78">
    <w:name w:val="正文文本缩进 Char"/>
    <w:link w:val="17"/>
    <w:qFormat/>
    <w:uiPriority w:val="0"/>
    <w:rPr>
      <w:rFonts w:ascii="Times New Roman" w:hAnsi="Times New Roman" w:eastAsia="宋体" w:cs="Times New Roman"/>
      <w:sz w:val="28"/>
      <w:szCs w:val="20"/>
    </w:rPr>
  </w:style>
  <w:style w:type="character" w:customStyle="1" w:styleId="79">
    <w:name w:val="文档结构图 字符"/>
    <w:semiHidden/>
    <w:qFormat/>
    <w:uiPriority w:val="99"/>
    <w:rPr>
      <w:rFonts w:ascii="Microsoft YaHei UI" w:hAnsi="Calibri" w:eastAsia="Microsoft YaHei UI" w:cs="Times New Roman"/>
      <w:sz w:val="18"/>
      <w:szCs w:val="18"/>
    </w:rPr>
  </w:style>
  <w:style w:type="character" w:customStyle="1" w:styleId="80">
    <w:name w:val="文档结构图 Char"/>
    <w:link w:val="13"/>
    <w:qFormat/>
    <w:uiPriority w:val="0"/>
    <w:rPr>
      <w:rFonts w:ascii="Times New Roman" w:hAnsi="Times New Roman" w:eastAsia="宋体" w:cs="Times New Roman"/>
      <w:szCs w:val="20"/>
      <w:shd w:val="clear" w:color="auto" w:fill="000080"/>
    </w:rPr>
  </w:style>
  <w:style w:type="character" w:customStyle="1" w:styleId="81">
    <w:name w:val="纯文本 字符"/>
    <w:semiHidden/>
    <w:qFormat/>
    <w:uiPriority w:val="99"/>
    <w:rPr>
      <w:rFonts w:ascii="等线" w:hAnsi="Courier New" w:cs="Courier New"/>
    </w:rPr>
  </w:style>
  <w:style w:type="character" w:customStyle="1" w:styleId="82">
    <w:name w:val="纯文本 Char"/>
    <w:link w:val="19"/>
    <w:qFormat/>
    <w:uiPriority w:val="0"/>
    <w:rPr>
      <w:rFonts w:ascii="宋体" w:hAnsi="Courier New" w:eastAsia="宋体" w:cs="Times New Roman"/>
      <w:szCs w:val="20"/>
    </w:rPr>
  </w:style>
  <w:style w:type="character" w:customStyle="1" w:styleId="83">
    <w:name w:val="正文文本缩进 2 字符"/>
    <w:semiHidden/>
    <w:qFormat/>
    <w:uiPriority w:val="99"/>
    <w:rPr>
      <w:rFonts w:ascii="Calibri" w:hAnsi="Calibri" w:eastAsia="宋体" w:cs="Times New Roman"/>
    </w:rPr>
  </w:style>
  <w:style w:type="character" w:customStyle="1" w:styleId="84">
    <w:name w:val="正文文本缩进 2 Char"/>
    <w:link w:val="21"/>
    <w:qFormat/>
    <w:uiPriority w:val="0"/>
    <w:rPr>
      <w:rFonts w:ascii="Times New Roman" w:hAnsi="Times New Roman" w:eastAsia="宋体" w:cs="Times New Roman"/>
      <w:color w:val="000000"/>
      <w:sz w:val="24"/>
      <w:szCs w:val="20"/>
    </w:rPr>
  </w:style>
  <w:style w:type="character" w:customStyle="1" w:styleId="85">
    <w:name w:val="正文文本缩进 3 字符"/>
    <w:semiHidden/>
    <w:qFormat/>
    <w:uiPriority w:val="99"/>
    <w:rPr>
      <w:rFonts w:ascii="Calibri" w:hAnsi="Calibri" w:eastAsia="宋体" w:cs="Times New Roman"/>
      <w:sz w:val="16"/>
      <w:szCs w:val="16"/>
    </w:rPr>
  </w:style>
  <w:style w:type="character" w:customStyle="1" w:styleId="86">
    <w:name w:val="正文文本缩进 3 Char"/>
    <w:link w:val="28"/>
    <w:qFormat/>
    <w:uiPriority w:val="0"/>
    <w:rPr>
      <w:rFonts w:ascii="Times New Roman" w:hAnsi="Times New Roman" w:eastAsia="宋体" w:cs="Times New Roman"/>
      <w:color w:val="000000"/>
      <w:sz w:val="24"/>
      <w:szCs w:val="20"/>
    </w:rPr>
  </w:style>
  <w:style w:type="paragraph" w:customStyle="1" w:styleId="87">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8">
    <w:name w:val="_Style 69"/>
    <w:qFormat/>
    <w:uiPriority w:val="0"/>
    <w:rPr>
      <w:rFonts w:ascii="等线" w:hAnsi="等线" w:eastAsia="等线" w:cs="Times New Roman"/>
      <w:lang w:val="en-US" w:eastAsia="zh-CN" w:bidi="ar-SA"/>
    </w:rPr>
  </w:style>
  <w:style w:type="character" w:customStyle="1" w:styleId="89">
    <w:name w:val="正文文本 2 字符"/>
    <w:semiHidden/>
    <w:qFormat/>
    <w:uiPriority w:val="99"/>
    <w:rPr>
      <w:rFonts w:ascii="Calibri" w:hAnsi="Calibri" w:eastAsia="宋体" w:cs="Times New Roman"/>
    </w:rPr>
  </w:style>
  <w:style w:type="character" w:customStyle="1" w:styleId="90">
    <w:name w:val="正文文本 2 Char"/>
    <w:link w:val="31"/>
    <w:qFormat/>
    <w:uiPriority w:val="0"/>
    <w:rPr>
      <w:rFonts w:ascii="宋体" w:hAnsi="宋体" w:eastAsia="宋体" w:cs="Times New Roman"/>
      <w:szCs w:val="24"/>
      <w:u w:val="single"/>
    </w:rPr>
  </w:style>
  <w:style w:type="paragraph" w:customStyle="1" w:styleId="91">
    <w:name w:val="表头"/>
    <w:basedOn w:val="92"/>
    <w:link w:val="130"/>
    <w:qFormat/>
    <w:uiPriority w:val="0"/>
    <w:pPr>
      <w:spacing w:line="360" w:lineRule="auto"/>
      <w:jc w:val="center"/>
    </w:pPr>
    <w:rPr>
      <w:rFonts w:ascii="黑体" w:eastAsia="黑体"/>
      <w:kern w:val="0"/>
      <w:sz w:val="24"/>
    </w:rPr>
  </w:style>
  <w:style w:type="paragraph" w:styleId="92">
    <w:name w:val="List Paragraph"/>
    <w:basedOn w:val="1"/>
    <w:qFormat/>
    <w:uiPriority w:val="34"/>
    <w:pPr>
      <w:ind w:firstLine="420" w:firstLineChars="200"/>
    </w:pPr>
    <w:rPr>
      <w:rFonts w:ascii="Times New Roman" w:hAnsi="Times New Roman"/>
      <w:szCs w:val="20"/>
    </w:rPr>
  </w:style>
  <w:style w:type="character" w:customStyle="1" w:styleId="93">
    <w:name w:val="尾注文本 字符"/>
    <w:semiHidden/>
    <w:qFormat/>
    <w:uiPriority w:val="99"/>
    <w:rPr>
      <w:rFonts w:ascii="Calibri" w:hAnsi="Calibri" w:eastAsia="宋体" w:cs="Times New Roman"/>
    </w:rPr>
  </w:style>
  <w:style w:type="character" w:customStyle="1" w:styleId="94">
    <w:name w:val="尾注文本 Char"/>
    <w:link w:val="22"/>
    <w:qFormat/>
    <w:uiPriority w:val="0"/>
    <w:rPr>
      <w:rFonts w:ascii="Times New Roman" w:hAnsi="Times New Roman" w:eastAsia="宋体" w:cs="Times New Roman"/>
      <w:szCs w:val="20"/>
    </w:rPr>
  </w:style>
  <w:style w:type="paragraph" w:customStyle="1" w:styleId="95">
    <w:name w:val="Char"/>
    <w:basedOn w:val="1"/>
    <w:qFormat/>
    <w:uiPriority w:val="0"/>
    <w:rPr>
      <w:rFonts w:ascii="Tahoma" w:hAnsi="Tahoma"/>
      <w:sz w:val="24"/>
      <w:szCs w:val="20"/>
    </w:rPr>
  </w:style>
  <w:style w:type="paragraph" w:customStyle="1" w:styleId="96">
    <w:name w:val="Char1"/>
    <w:basedOn w:val="1"/>
    <w:qFormat/>
    <w:uiPriority w:val="0"/>
    <w:pPr>
      <w:numPr>
        <w:ilvl w:val="0"/>
        <w:numId w:val="1"/>
      </w:numPr>
    </w:pPr>
    <w:rPr>
      <w:rFonts w:ascii="Times New Roman" w:hAnsi="Times New Roman"/>
      <w:sz w:val="24"/>
      <w:szCs w:val="24"/>
    </w:rPr>
  </w:style>
  <w:style w:type="paragraph" w:customStyle="1" w:styleId="97">
    <w:name w:val="公文抬头"/>
    <w:basedOn w:val="8"/>
    <w:qFormat/>
    <w:uiPriority w:val="0"/>
    <w:pPr>
      <w:ind w:firstLine="0"/>
    </w:pPr>
    <w:rPr>
      <w:rFonts w:ascii="仿宋_GB2312" w:eastAsia="仿宋_GB2312"/>
      <w:sz w:val="30"/>
      <w:szCs w:val="24"/>
    </w:rPr>
  </w:style>
  <w:style w:type="paragraph" w:customStyle="1" w:styleId="98">
    <w:name w:val="Char Char Char1 Char"/>
    <w:basedOn w:val="13"/>
    <w:qFormat/>
    <w:uiPriority w:val="0"/>
    <w:rPr>
      <w:rFonts w:ascii="Tahoma" w:hAnsi="Tahoma"/>
      <w:sz w:val="24"/>
      <w:szCs w:val="24"/>
    </w:rPr>
  </w:style>
  <w:style w:type="paragraph" w:customStyle="1" w:styleId="9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0">
    <w:name w:val="公文标题"/>
    <w:basedOn w:val="5"/>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01">
    <w:name w:val="发文落款"/>
    <w:basedOn w:val="99"/>
    <w:qFormat/>
    <w:uiPriority w:val="0"/>
    <w:pPr>
      <w:ind w:left="4094" w:right="607" w:firstLine="0"/>
      <w:jc w:val="center"/>
    </w:pPr>
  </w:style>
  <w:style w:type="paragraph" w:customStyle="1" w:styleId="102">
    <w:name w:val="Char Char Char Char"/>
    <w:basedOn w:val="1"/>
    <w:qFormat/>
    <w:uiPriority w:val="0"/>
    <w:rPr>
      <w:rFonts w:ascii="Times New Roman" w:hAnsi="Times New Roman"/>
      <w:sz w:val="30"/>
      <w:szCs w:val="24"/>
    </w:rPr>
  </w:style>
  <w:style w:type="character" w:customStyle="1" w:styleId="103">
    <w:name w:val="批注框文本 字符"/>
    <w:basedOn w:val="38"/>
    <w:semiHidden/>
    <w:qFormat/>
    <w:uiPriority w:val="99"/>
    <w:rPr>
      <w:rFonts w:ascii="Calibri" w:hAnsi="Calibri" w:eastAsia="宋体" w:cs="Times New Roman"/>
      <w:sz w:val="18"/>
      <w:szCs w:val="18"/>
    </w:rPr>
  </w:style>
  <w:style w:type="character" w:customStyle="1" w:styleId="104">
    <w:name w:val="批注框文本 Char"/>
    <w:link w:val="23"/>
    <w:qFormat/>
    <w:uiPriority w:val="0"/>
    <w:rPr>
      <w:rFonts w:ascii="Times New Roman" w:hAnsi="Times New Roman" w:eastAsia="宋体" w:cs="Times New Roman"/>
      <w:sz w:val="18"/>
      <w:szCs w:val="18"/>
    </w:rPr>
  </w:style>
  <w:style w:type="paragraph" w:customStyle="1" w:styleId="105">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6">
    <w:name w:val="批注文字 字符"/>
    <w:semiHidden/>
    <w:qFormat/>
    <w:uiPriority w:val="99"/>
    <w:rPr>
      <w:rFonts w:ascii="Calibri" w:hAnsi="Calibri" w:eastAsia="宋体" w:cs="Times New Roman"/>
    </w:rPr>
  </w:style>
  <w:style w:type="character" w:customStyle="1" w:styleId="107">
    <w:name w:val="批注文字 Char"/>
    <w:link w:val="14"/>
    <w:qFormat/>
    <w:uiPriority w:val="0"/>
    <w:rPr>
      <w:rFonts w:ascii="宋体" w:hAnsi="宋体" w:eastAsia="宋体" w:cs="Times New Roman"/>
      <w:sz w:val="24"/>
      <w:szCs w:val="24"/>
    </w:rPr>
  </w:style>
  <w:style w:type="character" w:customStyle="1" w:styleId="108">
    <w:name w:val="脚注文本 字符"/>
    <w:semiHidden/>
    <w:qFormat/>
    <w:uiPriority w:val="99"/>
    <w:rPr>
      <w:rFonts w:ascii="Calibri" w:hAnsi="Calibri" w:eastAsia="宋体" w:cs="Times New Roman"/>
      <w:sz w:val="18"/>
      <w:szCs w:val="18"/>
    </w:rPr>
  </w:style>
  <w:style w:type="character" w:customStyle="1" w:styleId="109">
    <w:name w:val="脚注文本 Char"/>
    <w:link w:val="27"/>
    <w:qFormat/>
    <w:uiPriority w:val="0"/>
    <w:rPr>
      <w:rFonts w:ascii="宋体" w:hAnsi="宋体" w:eastAsia="宋体" w:cs="Times New Roman"/>
      <w:sz w:val="18"/>
      <w:szCs w:val="18"/>
    </w:rPr>
  </w:style>
  <w:style w:type="character" w:customStyle="1" w:styleId="110">
    <w:name w:val="批注主题 字符"/>
    <w:semiHidden/>
    <w:qFormat/>
    <w:uiPriority w:val="99"/>
    <w:rPr>
      <w:rFonts w:ascii="Calibri" w:hAnsi="Calibri" w:eastAsia="宋体" w:cs="Times New Roman"/>
      <w:b/>
      <w:bCs/>
    </w:rPr>
  </w:style>
  <w:style w:type="character" w:customStyle="1" w:styleId="111">
    <w:name w:val="批注主题 Char"/>
    <w:link w:val="34"/>
    <w:qFormat/>
    <w:uiPriority w:val="0"/>
    <w:rPr>
      <w:rFonts w:ascii="宋体" w:hAnsi="宋体" w:eastAsia="宋体" w:cs="Times New Roman"/>
      <w:b/>
      <w:bCs/>
      <w:sz w:val="24"/>
      <w:szCs w:val="24"/>
    </w:rPr>
  </w:style>
  <w:style w:type="paragraph" w:customStyle="1" w:styleId="112">
    <w:name w:val="修订1"/>
    <w:hidden/>
    <w:semiHidden/>
    <w:qFormat/>
    <w:uiPriority w:val="99"/>
    <w:rPr>
      <w:rFonts w:ascii="Times New Roman" w:hAnsi="Times New Roman" w:eastAsia="宋体" w:cs="Times New Roman"/>
      <w:kern w:val="2"/>
      <w:sz w:val="21"/>
      <w:lang w:val="en-US" w:eastAsia="zh-CN" w:bidi="ar-SA"/>
    </w:rPr>
  </w:style>
  <w:style w:type="paragraph" w:customStyle="1" w:styleId="113">
    <w:name w:val="彩色列表1"/>
    <w:basedOn w:val="1"/>
    <w:qFormat/>
    <w:uiPriority w:val="0"/>
    <w:pPr>
      <w:ind w:firstLine="420" w:firstLineChars="200"/>
    </w:pPr>
  </w:style>
  <w:style w:type="paragraph" w:customStyle="1" w:styleId="114">
    <w:name w:val="列出段落1"/>
    <w:basedOn w:val="1"/>
    <w:qFormat/>
    <w:uiPriority w:val="34"/>
    <w:pPr>
      <w:ind w:firstLine="420" w:firstLineChars="200"/>
    </w:pPr>
  </w:style>
  <w:style w:type="character" w:customStyle="1" w:styleId="115">
    <w:name w:val="font11"/>
    <w:basedOn w:val="38"/>
    <w:qFormat/>
    <w:uiPriority w:val="0"/>
    <w:rPr>
      <w:rFonts w:hint="eastAsia" w:ascii="仿宋" w:hAnsi="仿宋" w:eastAsia="仿宋" w:cs="仿宋"/>
      <w:color w:val="000000"/>
      <w:sz w:val="28"/>
      <w:szCs w:val="28"/>
      <w:u w:val="none"/>
    </w:rPr>
  </w:style>
  <w:style w:type="character" w:customStyle="1" w:styleId="116">
    <w:name w:val="font41"/>
    <w:basedOn w:val="38"/>
    <w:qFormat/>
    <w:uiPriority w:val="0"/>
    <w:rPr>
      <w:rFonts w:hint="eastAsia" w:ascii="仿宋" w:hAnsi="仿宋" w:eastAsia="仿宋" w:cs="仿宋"/>
      <w:b/>
      <w:bCs/>
      <w:color w:val="000000"/>
      <w:sz w:val="28"/>
      <w:szCs w:val="28"/>
      <w:u w:val="none"/>
    </w:rPr>
  </w:style>
  <w:style w:type="paragraph" w:customStyle="1" w:styleId="117">
    <w:name w:val="表格文字"/>
    <w:basedOn w:val="1"/>
    <w:next w:val="15"/>
    <w:qFormat/>
    <w:uiPriority w:val="0"/>
    <w:pPr>
      <w:adjustRightInd w:val="0"/>
      <w:spacing w:line="420" w:lineRule="atLeast"/>
      <w:jc w:val="left"/>
      <w:textAlignment w:val="baseline"/>
    </w:pPr>
    <w:rPr>
      <w:rFonts w:ascii="Times New Roman" w:hAnsi="Times New Roman"/>
      <w:kern w:val="0"/>
      <w:szCs w:val="20"/>
    </w:rPr>
  </w:style>
  <w:style w:type="paragraph" w:customStyle="1" w:styleId="118">
    <w:name w:val="日期1"/>
    <w:basedOn w:val="1"/>
    <w:next w:val="1"/>
    <w:qFormat/>
    <w:uiPriority w:val="0"/>
    <w:pPr>
      <w:ind w:left="100" w:leftChars="2500"/>
    </w:pPr>
    <w:rPr>
      <w:rFonts w:ascii="Times New Roman" w:hAnsi="Times New Roman"/>
      <w:kern w:val="0"/>
      <w:sz w:val="20"/>
      <w:szCs w:val="24"/>
    </w:rPr>
  </w:style>
  <w:style w:type="paragraph" w:customStyle="1" w:styleId="119">
    <w:name w:val="_Style 62"/>
    <w:basedOn w:val="1"/>
    <w:next w:val="92"/>
    <w:qFormat/>
    <w:uiPriority w:val="99"/>
    <w:pPr>
      <w:ind w:firstLine="420" w:firstLineChars="200"/>
    </w:pPr>
  </w:style>
  <w:style w:type="paragraph" w:customStyle="1" w:styleId="120">
    <w:name w:val="PlainText"/>
    <w:basedOn w:val="1"/>
    <w:qFormat/>
    <w:uiPriority w:val="0"/>
    <w:rPr>
      <w:rFonts w:ascii="宋体" w:hAnsi="Courier New"/>
    </w:rPr>
  </w:style>
  <w:style w:type="character" w:customStyle="1" w:styleId="121">
    <w:name w:val="font21"/>
    <w:qFormat/>
    <w:uiPriority w:val="0"/>
    <w:rPr>
      <w:rFonts w:hint="eastAsia" w:ascii="仿宋" w:hAnsi="仿宋" w:eastAsia="仿宋" w:cs="仿宋"/>
      <w:b/>
      <w:color w:val="000000"/>
      <w:sz w:val="28"/>
      <w:szCs w:val="28"/>
      <w:u w:val="none"/>
    </w:rPr>
  </w:style>
  <w:style w:type="paragraph" w:customStyle="1" w:styleId="12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3">
    <w:name w:val="封面标准英文名称"/>
    <w:qFormat/>
    <w:uiPriority w:val="0"/>
    <w:pPr>
      <w:widowControl w:val="0"/>
      <w:spacing w:before="370" w:line="400" w:lineRule="exact"/>
      <w:jc w:val="center"/>
    </w:pPr>
    <w:rPr>
      <w:rFonts w:ascii="Times New Roman" w:hAnsi="Times New Roman" w:eastAsia="宋体" w:cs="Times New Roman"/>
      <w:sz w:val="28"/>
      <w:szCs w:val="22"/>
      <w:lang w:val="en-US" w:eastAsia="zh-CN" w:bidi="ar-SA"/>
    </w:rPr>
  </w:style>
  <w:style w:type="table" w:customStyle="1" w:styleId="124">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25">
    <w:name w:val="表格"/>
    <w:basedOn w:val="1"/>
    <w:link w:val="135"/>
    <w:qFormat/>
    <w:uiPriority w:val="1"/>
    <w:pPr>
      <w:autoSpaceDE w:val="0"/>
      <w:autoSpaceDN w:val="0"/>
      <w:spacing w:line="300" w:lineRule="auto"/>
      <w:jc w:val="left"/>
    </w:pPr>
    <w:rPr>
      <w:rFonts w:ascii="宋体" w:hAnsi="宋体" w:cs="宋体"/>
      <w:kern w:val="0"/>
      <w:lang w:val="zh-CN" w:bidi="zh-CN"/>
    </w:rPr>
  </w:style>
  <w:style w:type="paragraph" w:customStyle="1" w:styleId="126">
    <w:name w:val="Table Paragraph"/>
    <w:basedOn w:val="1"/>
    <w:qFormat/>
    <w:uiPriority w:val="1"/>
    <w:pPr>
      <w:autoSpaceDE w:val="0"/>
      <w:autoSpaceDN w:val="0"/>
      <w:spacing w:line="288" w:lineRule="auto"/>
      <w:ind w:firstLine="200" w:firstLineChars="200"/>
      <w:jc w:val="center"/>
    </w:pPr>
    <w:rPr>
      <w:rFonts w:ascii="宋体" w:hAnsi="宋体" w:cs="宋体"/>
      <w:kern w:val="0"/>
      <w:sz w:val="22"/>
    </w:rPr>
  </w:style>
  <w:style w:type="paragraph" w:customStyle="1" w:styleId="127">
    <w:name w:val="表格题目"/>
    <w:qFormat/>
    <w:uiPriority w:val="0"/>
    <w:pPr>
      <w:spacing w:line="360" w:lineRule="auto"/>
      <w:jc w:val="center"/>
    </w:pPr>
    <w:rPr>
      <w:rFonts w:ascii="Times New Roman" w:hAnsi="Times New Roman" w:eastAsia="黑体" w:cstheme="majorBidi"/>
      <w:color w:val="000000" w:themeColor="text1"/>
      <w:sz w:val="18"/>
      <w:lang w:val="en-US" w:eastAsia="zh-CN" w:bidi="ar-SA"/>
      <w14:textFill>
        <w14:solidFill>
          <w14:schemeClr w14:val="tx1"/>
        </w14:solidFill>
      </w14:textFill>
    </w:rPr>
  </w:style>
  <w:style w:type="paragraph" w:customStyle="1" w:styleId="128">
    <w:name w:val="4-款"/>
    <w:qFormat/>
    <w:uiPriority w:val="0"/>
    <w:pPr>
      <w:numPr>
        <w:ilvl w:val="3"/>
        <w:numId w:val="4"/>
      </w:numPr>
      <w:tabs>
        <w:tab w:val="left" w:pos="284"/>
      </w:tabs>
      <w:spacing w:line="360" w:lineRule="auto"/>
      <w:outlineLvl w:val="3"/>
    </w:pPr>
    <w:rPr>
      <w:rFonts w:ascii="宋体" w:hAnsi="宋体" w:eastAsia="宋体" w:cs="Times New Roman"/>
      <w:color w:val="000000" w:themeColor="text1"/>
      <w:sz w:val="21"/>
      <w:szCs w:val="22"/>
      <w:lang w:val="en-US" w:eastAsia="zh-CN" w:bidi="ar-SA"/>
      <w14:textFill>
        <w14:solidFill>
          <w14:schemeClr w14:val="tx1"/>
        </w14:solidFill>
      </w14:textFill>
    </w:rPr>
  </w:style>
  <w:style w:type="paragraph" w:customStyle="1" w:styleId="129">
    <w:name w:val="表格正文"/>
    <w:qFormat/>
    <w:uiPriority w:val="0"/>
    <w:pPr>
      <w:spacing w:line="360" w:lineRule="auto"/>
      <w:jc w:val="center"/>
    </w:pPr>
    <w:rPr>
      <w:rFonts w:ascii="Times New Roman" w:hAnsi="Times New Roman" w:cs="Arial Unicode MS" w:eastAsiaTheme="minorEastAsia"/>
      <w:color w:val="000000"/>
      <w:sz w:val="18"/>
      <w:szCs w:val="21"/>
      <w:lang w:val="zh-CN" w:eastAsia="zh-CN" w:bidi="ar-SA"/>
    </w:rPr>
  </w:style>
  <w:style w:type="character" w:customStyle="1" w:styleId="130">
    <w:name w:val="表头 Char"/>
    <w:link w:val="91"/>
    <w:qFormat/>
    <w:uiPriority w:val="0"/>
    <w:rPr>
      <w:rFonts w:ascii="黑体" w:hAnsi="Times New Roman" w:eastAsia="黑体"/>
      <w:kern w:val="0"/>
      <w:sz w:val="24"/>
      <w:szCs w:val="20"/>
    </w:rPr>
  </w:style>
  <w:style w:type="paragraph" w:customStyle="1" w:styleId="131">
    <w:name w:val="Body text|1"/>
    <w:basedOn w:val="1"/>
    <w:qFormat/>
    <w:uiPriority w:val="0"/>
    <w:pPr>
      <w:spacing w:after="100" w:line="415" w:lineRule="auto"/>
    </w:pPr>
    <w:rPr>
      <w:rFonts w:ascii="宋体" w:hAnsi="宋体" w:cs="宋体"/>
      <w:sz w:val="20"/>
      <w:szCs w:val="20"/>
      <w:lang w:val="zh-TW" w:eastAsia="zh-TW" w:bidi="zh-TW"/>
    </w:rPr>
  </w:style>
  <w:style w:type="paragraph" w:customStyle="1" w:styleId="132">
    <w:name w:val="Other|1"/>
    <w:basedOn w:val="1"/>
    <w:qFormat/>
    <w:uiPriority w:val="0"/>
    <w:pPr>
      <w:spacing w:after="100" w:line="415" w:lineRule="auto"/>
    </w:pPr>
    <w:rPr>
      <w:rFonts w:ascii="宋体" w:hAnsi="宋体" w:cs="宋体"/>
      <w:sz w:val="20"/>
      <w:szCs w:val="20"/>
      <w:lang w:val="zh-TW" w:eastAsia="zh-TW" w:bidi="zh-TW"/>
    </w:rPr>
  </w:style>
  <w:style w:type="character" w:customStyle="1" w:styleId="133">
    <w:name w:val="16"/>
    <w:basedOn w:val="38"/>
    <w:qFormat/>
    <w:uiPriority w:val="0"/>
    <w:rPr>
      <w:rFonts w:hint="default" w:ascii="Times New Roman" w:hAnsi="Times New Roman" w:cs="Times New Roman"/>
      <w:color w:val="000000"/>
      <w:sz w:val="18"/>
      <w:szCs w:val="18"/>
    </w:rPr>
  </w:style>
  <w:style w:type="character" w:customStyle="1" w:styleId="134">
    <w:name w:val="15"/>
    <w:basedOn w:val="38"/>
    <w:qFormat/>
    <w:uiPriority w:val="0"/>
    <w:rPr>
      <w:rFonts w:hint="eastAsia" w:ascii="宋体" w:hAnsi="宋体" w:eastAsia="宋体"/>
      <w:color w:val="000000"/>
      <w:sz w:val="18"/>
      <w:szCs w:val="18"/>
    </w:rPr>
  </w:style>
  <w:style w:type="character" w:customStyle="1" w:styleId="135">
    <w:name w:val="表格 Char"/>
    <w:link w:val="125"/>
    <w:qFormat/>
    <w:uiPriority w:val="1"/>
    <w:rPr>
      <w:rFonts w:ascii="宋体" w:hAnsi="宋体" w:cs="宋体"/>
      <w:kern w:val="0"/>
      <w:sz w:val="21"/>
      <w:lang w:val="zh-CN" w:bidi="zh-CN"/>
    </w:rPr>
  </w:style>
  <w:style w:type="paragraph" w:customStyle="1" w:styleId="136">
    <w:name w:val="内容"/>
    <w:basedOn w:val="1"/>
    <w:hidden/>
    <w:qFormat/>
    <w:uiPriority w:val="0"/>
    <w:pPr>
      <w:spacing w:line="360" w:lineRule="auto"/>
      <w:ind w:firstLine="200" w:firstLineChars="200"/>
    </w:pPr>
    <w:rPr>
      <w:rFonts w:hint="eastAsia" w:ascii="宋体" w:hAnsi="宋体"/>
      <w:sz w:val="24"/>
      <w:szCs w:val="24"/>
    </w:rPr>
  </w:style>
  <w:style w:type="paragraph" w:customStyle="1" w:styleId="137">
    <w:name w:val="List Paragraph1"/>
    <w:basedOn w:val="1"/>
    <w:qFormat/>
    <w:uiPriority w:val="0"/>
    <w:pPr>
      <w:ind w:firstLine="420" w:firstLineChars="200"/>
    </w:pPr>
    <w:rPr>
      <w:szCs w:val="21"/>
    </w:rPr>
  </w:style>
  <w:style w:type="paragraph" w:customStyle="1" w:styleId="138">
    <w:name w:val="彩色列表 - 着色 11"/>
    <w:basedOn w:val="1"/>
    <w:qFormat/>
    <w:uiPriority w:val="0"/>
    <w:pPr>
      <w:ind w:firstLine="420" w:firstLineChars="200"/>
    </w:pPr>
    <w:rPr>
      <w:szCs w:val="21"/>
    </w:rPr>
  </w:style>
  <w:style w:type="paragraph" w:customStyle="1" w:styleId="139">
    <w:name w:val="2文字"/>
    <w:basedOn w:val="1"/>
    <w:qFormat/>
    <w:uiPriority w:val="0"/>
    <w:pPr>
      <w:spacing w:line="360" w:lineRule="auto"/>
      <w:ind w:firstLine="200" w:firstLineChars="200"/>
    </w:pPr>
    <w:rPr>
      <w:rFonts w:ascii="Times New Roman" w:hAnsi="Times New Roman"/>
      <w:sz w:val="24"/>
      <w:szCs w:val="24"/>
    </w:rPr>
  </w:style>
  <w:style w:type="character" w:customStyle="1" w:styleId="140">
    <w:name w:val="10"/>
    <w:basedOn w:val="38"/>
    <w:qFormat/>
    <w:uiPriority w:val="0"/>
    <w:rPr>
      <w:rFonts w:hint="default" w:ascii="Calibri" w:hAnsi="Calibri" w:cs="Calibri"/>
    </w:rPr>
  </w:style>
  <w:style w:type="character" w:customStyle="1" w:styleId="141">
    <w:name w:val="17"/>
    <w:basedOn w:val="38"/>
    <w:qFormat/>
    <w:uiPriority w:val="0"/>
    <w:rPr>
      <w:rFonts w:hint="default" w:ascii="Calibri" w:hAnsi="Calibri" w:cs="Calibri"/>
    </w:rPr>
  </w:style>
  <w:style w:type="character" w:customStyle="1" w:styleId="142">
    <w:name w:val="NormalCharacter"/>
    <w:semiHidden/>
    <w:qFormat/>
    <w:uiPriority w:val="0"/>
  </w:style>
  <w:style w:type="paragraph" w:customStyle="1" w:styleId="143">
    <w:name w:val="_Style 25"/>
    <w:basedOn w:val="1"/>
    <w:next w:val="92"/>
    <w:qFormat/>
    <w:uiPriority w:val="0"/>
    <w:pPr>
      <w:ind w:firstLine="420" w:firstLineChars="200"/>
    </w:pPr>
    <w:rPr>
      <w:color w:val="000000"/>
      <w:szCs w:val="21"/>
    </w:rPr>
  </w:style>
  <w:style w:type="character" w:customStyle="1" w:styleId="144">
    <w:name w:val="18"/>
    <w:basedOn w:val="38"/>
    <w:qFormat/>
    <w:uiPriority w:val="0"/>
    <w:rPr>
      <w:rFonts w:hint="default" w:ascii="Times New Roman" w:hAnsi="Times New Roman" w:cs="Times New Roman"/>
    </w:rPr>
  </w:style>
  <w:style w:type="paragraph" w:customStyle="1" w:styleId="145">
    <w:name w:val="UserStyle_1"/>
    <w:basedOn w:val="146"/>
    <w:qFormat/>
    <w:uiPriority w:val="0"/>
    <w:pPr>
      <w:spacing w:line="360" w:lineRule="auto"/>
      <w:ind w:firstLine="0" w:firstLineChars="0"/>
    </w:pPr>
    <w:rPr>
      <w:rFonts w:hint="eastAsia" w:ascii="仿宋_GB2312" w:hAnsi="宋体" w:eastAsia="仿宋_GB2312"/>
      <w:b/>
      <w:color w:val="000000"/>
      <w:kern w:val="0"/>
      <w:sz w:val="32"/>
      <w:szCs w:val="32"/>
    </w:rPr>
  </w:style>
  <w:style w:type="paragraph" w:customStyle="1" w:styleId="146">
    <w:name w:val="UserStyle_5"/>
    <w:basedOn w:val="1"/>
    <w:qFormat/>
    <w:uiPriority w:val="0"/>
    <w:pPr>
      <w:ind w:firstLine="420" w:firstLineChars="200"/>
    </w:pPr>
  </w:style>
  <w:style w:type="paragraph" w:customStyle="1" w:styleId="147">
    <w:name w:val="列表编号 2A"/>
    <w:basedOn w:val="1"/>
    <w:qFormat/>
    <w:uiPriority w:val="0"/>
    <w:rPr>
      <w:rFonts w:ascii="Times New Roman" w:hAnsi="Times New Roman"/>
      <w:sz w:val="28"/>
      <w:szCs w:val="28"/>
    </w:rPr>
  </w:style>
  <w:style w:type="character" w:customStyle="1" w:styleId="148">
    <w:name w:val="19"/>
    <w:basedOn w:val="38"/>
    <w:qFormat/>
    <w:uiPriority w:val="0"/>
    <w:rPr>
      <w:rFonts w:hint="default" w:ascii="Times New Roman" w:hAnsi="Times New Roman" w:cs="Times New Roman"/>
    </w:rPr>
  </w:style>
  <w:style w:type="character" w:customStyle="1" w:styleId="149">
    <w:name w:val="font31"/>
    <w:basedOn w:val="38"/>
    <w:qFormat/>
    <w:uiPriority w:val="0"/>
    <w:rPr>
      <w:rFonts w:hint="eastAsia" w:ascii="宋体" w:hAnsi="宋体" w:eastAsia="宋体" w:cs="宋体"/>
      <w:b/>
      <w:color w:val="000000"/>
      <w:sz w:val="24"/>
      <w:szCs w:val="24"/>
      <w:u w:val="none"/>
    </w:rPr>
  </w:style>
  <w:style w:type="character" w:customStyle="1" w:styleId="150">
    <w:name w:val="标题 1 Char"/>
    <w:link w:val="3"/>
    <w:qFormat/>
    <w:uiPriority w:val="0"/>
    <w:rPr>
      <w:rFonts w:ascii="宋体" w:hAnsi="宋体" w:eastAsia="黑体" w:cs="Arial"/>
      <w:b/>
      <w:bCs/>
      <w:kern w:val="44"/>
      <w:sz w:val="24"/>
      <w:szCs w:val="24"/>
      <w:lang w:val="en-US" w:eastAsia="zh-CN" w:bidi="ar-SA"/>
    </w:rPr>
  </w:style>
  <w:style w:type="paragraph" w:customStyle="1" w:styleId="151">
    <w:name w:val="CM92"/>
    <w:basedOn w:val="1"/>
    <w:next w:val="1"/>
    <w:qFormat/>
    <w:uiPriority w:val="0"/>
    <w:pPr>
      <w:autoSpaceDE w:val="0"/>
      <w:autoSpaceDN w:val="0"/>
      <w:adjustRightInd w:val="0"/>
      <w:spacing w:after="530"/>
      <w:jc w:val="left"/>
    </w:pPr>
    <w:rPr>
      <w:rFonts w:ascii="宋体" w:cs="宋体"/>
      <w:kern w:val="0"/>
      <w:sz w:val="24"/>
    </w:rPr>
  </w:style>
  <w:style w:type="paragraph" w:customStyle="1" w:styleId="152">
    <w:name w:val="列表段落1"/>
    <w:basedOn w:val="1"/>
    <w:unhideWhenUsed/>
    <w:qFormat/>
    <w:uiPriority w:val="99"/>
    <w:pPr>
      <w:ind w:firstLine="420" w:firstLineChars="200"/>
    </w:pPr>
    <w:rPr>
      <w:sz w:val="22"/>
    </w:rPr>
  </w:style>
  <w:style w:type="paragraph" w:customStyle="1" w:styleId="153">
    <w:name w:val="WPSOffice手动目录 1"/>
    <w:unhideWhenUsed/>
    <w:qFormat/>
    <w:uiPriority w:val="0"/>
    <w:rPr>
      <w:rFonts w:ascii="Calibri" w:hAnsi="Calibri" w:eastAsia="Calibri" w:cs="Times New Roman"/>
      <w:sz w:val="24"/>
      <w:szCs w:val="24"/>
      <w:lang w:val="en-US" w:eastAsia="zh-CN" w:bidi="ar-SA"/>
    </w:rPr>
  </w:style>
  <w:style w:type="paragraph" w:customStyle="1" w:styleId="154">
    <w:name w:val="WPSOffice手动目录 2"/>
    <w:unhideWhenUsed/>
    <w:qFormat/>
    <w:uiPriority w:val="0"/>
    <w:pPr>
      <w:ind w:left="200" w:leftChars="200"/>
    </w:pPr>
    <w:rPr>
      <w:rFonts w:ascii="Calibri" w:hAnsi="Calibri" w:eastAsia="Calibri" w:cs="Times New Roman"/>
      <w:sz w:val="24"/>
      <w:szCs w:val="24"/>
      <w:lang w:val="en-US" w:eastAsia="zh-CN" w:bidi="ar-SA"/>
    </w:rPr>
  </w:style>
  <w:style w:type="paragraph" w:customStyle="1" w:styleId="155">
    <w:name w:val="WPSOffice手动目录 3"/>
    <w:unhideWhenUsed/>
    <w:qFormat/>
    <w:uiPriority w:val="0"/>
    <w:pPr>
      <w:ind w:left="400" w:leftChars="400"/>
    </w:pPr>
    <w:rPr>
      <w:rFonts w:ascii="Calibri" w:hAnsi="Calibri" w:eastAsia="Calibri" w:cs="Times New Roman"/>
      <w:sz w:val="24"/>
      <w:szCs w:val="24"/>
      <w:lang w:val="en-US" w:eastAsia="zh-CN" w:bidi="ar-SA"/>
    </w:rPr>
  </w:style>
  <w:style w:type="character" w:customStyle="1" w:styleId="156">
    <w:name w:val="font71"/>
    <w:basedOn w:val="38"/>
    <w:unhideWhenUsed/>
    <w:qFormat/>
    <w:uiPriority w:val="0"/>
    <w:rPr>
      <w:rFonts w:hint="eastAsia" w:ascii="宋体" w:hAnsi="宋体" w:eastAsia="宋体" w:cs="宋体"/>
      <w:color w:val="000000"/>
      <w:sz w:val="21"/>
      <w:szCs w:val="21"/>
    </w:rPr>
  </w:style>
  <w:style w:type="character" w:customStyle="1" w:styleId="157">
    <w:name w:val="font91"/>
    <w:basedOn w:val="38"/>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image" Target="media/image3.png"/><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4.xml"/><Relationship Id="rId24" Type="http://schemas.openxmlformats.org/officeDocument/2006/relationships/header" Target="header9.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224</Pages>
  <Words>24299</Words>
  <Characters>138505</Characters>
  <Lines>1154</Lines>
  <Paragraphs>324</Paragraphs>
  <TotalTime>35</TotalTime>
  <ScaleCrop>false</ScaleCrop>
  <LinksUpToDate>false</LinksUpToDate>
  <CharactersWithSpaces>162480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2023-02-08T02:09:00Z</dcterms:created>
  <dc:creator>老伟雄</dc:creator>
  <cp:lastModifiedBy>gmgitc</cp:lastModifiedBy>
  <cp:lastPrinted>2023-09-22T01:20:00Z</cp:lastPrinted>
  <dcterms:modified xsi:type="dcterms:W3CDTF">2023-10-27T05:43:51Z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AEAD9EE8AEBB4C6B866799FC34630A28_13</vt:lpwstr>
  </property>
</Properties>
</file>