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9" w:lineRule="auto"/>
        <w:rPr>
          <w:rFonts w:ascii="Arial"/>
          <w:sz w:val="21"/>
        </w:rPr>
      </w:pPr>
      <w:r>
        <w:drawing>
          <wp:inline distT="0" distB="0" distL="114300" distR="114300">
            <wp:extent cx="5996305" cy="8196580"/>
            <wp:effectExtent l="0" t="0" r="444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96305" cy="8196580"/>
                    </a:xfrm>
                    <a:prstGeom prst="rect">
                      <a:avLst/>
                    </a:prstGeom>
                    <a:noFill/>
                    <a:ln>
                      <a:noFill/>
                    </a:ln>
                  </pic:spPr>
                </pic:pic>
              </a:graphicData>
            </a:graphic>
          </wp:inline>
        </w:drawing>
      </w:r>
    </w:p>
    <w:p>
      <w:pPr>
        <w:spacing w:line="263" w:lineRule="auto"/>
        <w:rPr>
          <w:rFonts w:hint="eastAsia" w:ascii="Arial" w:eastAsia="宋体"/>
          <w:sz w:val="21"/>
          <w:lang w:eastAsia="zh-CN"/>
        </w:rPr>
      </w:pPr>
    </w:p>
    <w:p>
      <w:pPr>
        <w:spacing w:line="263" w:lineRule="auto"/>
        <w:rPr>
          <w:rFonts w:ascii="Arial"/>
          <w:sz w:val="21"/>
        </w:rPr>
      </w:pP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4"/>
        <w:spacing w:before="113" w:line="761" w:lineRule="exact"/>
        <w:ind w:left="3967"/>
        <w:rPr>
          <w:sz w:val="35"/>
          <w:szCs w:val="35"/>
        </w:rPr>
      </w:pPr>
      <w:r>
        <w:rPr>
          <w:spacing w:val="-25"/>
          <w:position w:val="31"/>
          <w:sz w:val="35"/>
          <w:szCs w:val="35"/>
        </w:rPr>
        <w:t>目</w:t>
      </w:r>
      <w:r>
        <w:rPr>
          <w:spacing w:val="101"/>
          <w:position w:val="31"/>
          <w:sz w:val="35"/>
          <w:szCs w:val="35"/>
        </w:rPr>
        <w:t xml:space="preserve"> </w:t>
      </w:r>
      <w:r>
        <w:rPr>
          <w:spacing w:val="-25"/>
          <w:position w:val="31"/>
          <w:sz w:val="35"/>
          <w:szCs w:val="35"/>
        </w:rPr>
        <w:t>录</w:t>
      </w:r>
    </w:p>
    <w:p>
      <w:pPr>
        <w:pStyle w:val="4"/>
        <w:spacing w:line="221" w:lineRule="auto"/>
        <w:ind w:left="4006"/>
        <w:rPr>
          <w:sz w:val="24"/>
          <w:szCs w:val="24"/>
        </w:rPr>
      </w:pPr>
      <w:r>
        <w:rPr>
          <w:spacing w:val="27"/>
          <w:sz w:val="24"/>
          <w:szCs w:val="24"/>
        </w:rPr>
        <w:t>第一卷</w:t>
      </w:r>
    </w:p>
    <w:p>
      <w:pPr>
        <w:spacing w:line="408" w:lineRule="auto"/>
        <w:rPr>
          <w:rFonts w:ascii="Arial"/>
          <w:sz w:val="21"/>
        </w:rPr>
      </w:pPr>
    </w:p>
    <w:p>
      <w:pPr>
        <w:pStyle w:val="4"/>
        <w:spacing w:before="78" w:line="222" w:lineRule="auto"/>
        <w:ind w:left="982"/>
        <w:rPr>
          <w:sz w:val="24"/>
          <w:szCs w:val="24"/>
        </w:rPr>
      </w:pPr>
      <w:r>
        <w:rPr>
          <w:spacing w:val="-3"/>
          <w:sz w:val="24"/>
          <w:szCs w:val="24"/>
        </w:rPr>
        <w:t>第</w:t>
      </w:r>
      <w:r>
        <w:rPr>
          <w:spacing w:val="-59"/>
          <w:sz w:val="24"/>
          <w:szCs w:val="24"/>
        </w:rPr>
        <w:t xml:space="preserve"> </w:t>
      </w:r>
      <w:r>
        <w:rPr>
          <w:spacing w:val="-3"/>
          <w:sz w:val="24"/>
          <w:szCs w:val="24"/>
        </w:rPr>
        <w:t>一</w:t>
      </w:r>
      <w:r>
        <w:rPr>
          <w:spacing w:val="-71"/>
          <w:sz w:val="24"/>
          <w:szCs w:val="24"/>
        </w:rPr>
        <w:t xml:space="preserve"> </w:t>
      </w:r>
      <w:r>
        <w:rPr>
          <w:spacing w:val="-3"/>
          <w:sz w:val="24"/>
          <w:szCs w:val="24"/>
        </w:rPr>
        <w:t>章</w:t>
      </w:r>
      <w:r>
        <w:rPr>
          <w:spacing w:val="20"/>
          <w:sz w:val="24"/>
          <w:szCs w:val="24"/>
        </w:rPr>
        <w:t xml:space="preserve">    </w:t>
      </w:r>
      <w:r>
        <w:rPr>
          <w:spacing w:val="-3"/>
          <w:sz w:val="24"/>
          <w:szCs w:val="24"/>
        </w:rPr>
        <w:t>招标公告</w:t>
      </w:r>
    </w:p>
    <w:p>
      <w:pPr>
        <w:spacing w:line="311" w:lineRule="auto"/>
        <w:rPr>
          <w:rFonts w:ascii="Arial"/>
          <w:sz w:val="21"/>
        </w:rPr>
      </w:pPr>
    </w:p>
    <w:p>
      <w:pPr>
        <w:pStyle w:val="4"/>
        <w:spacing w:before="78" w:line="221" w:lineRule="auto"/>
        <w:ind w:left="982"/>
        <w:rPr>
          <w:sz w:val="24"/>
          <w:szCs w:val="24"/>
        </w:rPr>
      </w:pPr>
      <w:r>
        <w:rPr>
          <w:spacing w:val="-3"/>
          <w:sz w:val="24"/>
          <w:szCs w:val="24"/>
        </w:rPr>
        <w:t>第</w:t>
      </w:r>
      <w:r>
        <w:rPr>
          <w:spacing w:val="-64"/>
          <w:sz w:val="24"/>
          <w:szCs w:val="24"/>
        </w:rPr>
        <w:t xml:space="preserve"> </w:t>
      </w:r>
      <w:r>
        <w:rPr>
          <w:spacing w:val="-3"/>
          <w:sz w:val="24"/>
          <w:szCs w:val="24"/>
        </w:rPr>
        <w:t>二</w:t>
      </w:r>
      <w:r>
        <w:rPr>
          <w:spacing w:val="-71"/>
          <w:sz w:val="24"/>
          <w:szCs w:val="24"/>
        </w:rPr>
        <w:t xml:space="preserve"> </w:t>
      </w:r>
      <w:r>
        <w:rPr>
          <w:spacing w:val="-3"/>
          <w:sz w:val="24"/>
          <w:szCs w:val="24"/>
        </w:rPr>
        <w:t>章</w:t>
      </w:r>
      <w:r>
        <w:rPr>
          <w:spacing w:val="20"/>
          <w:sz w:val="24"/>
          <w:szCs w:val="24"/>
        </w:rPr>
        <w:t xml:space="preserve">    </w:t>
      </w:r>
      <w:r>
        <w:rPr>
          <w:spacing w:val="-3"/>
          <w:sz w:val="24"/>
          <w:szCs w:val="24"/>
        </w:rPr>
        <w:t>投标人须知</w:t>
      </w:r>
    </w:p>
    <w:p>
      <w:pPr>
        <w:spacing w:line="314" w:lineRule="auto"/>
        <w:rPr>
          <w:rFonts w:ascii="Arial"/>
          <w:sz w:val="21"/>
        </w:rPr>
      </w:pPr>
    </w:p>
    <w:p>
      <w:pPr>
        <w:pStyle w:val="4"/>
        <w:spacing w:before="78" w:line="221" w:lineRule="auto"/>
        <w:ind w:left="982"/>
        <w:rPr>
          <w:sz w:val="24"/>
          <w:szCs w:val="24"/>
        </w:rPr>
      </w:pPr>
      <w:r>
        <w:rPr>
          <w:spacing w:val="-1"/>
          <w:sz w:val="24"/>
          <w:szCs w:val="24"/>
        </w:rPr>
        <w:t>第</w:t>
      </w:r>
      <w:r>
        <w:rPr>
          <w:spacing w:val="-55"/>
          <w:sz w:val="24"/>
          <w:szCs w:val="24"/>
        </w:rPr>
        <w:t xml:space="preserve"> </w:t>
      </w:r>
      <w:r>
        <w:rPr>
          <w:spacing w:val="-1"/>
          <w:sz w:val="24"/>
          <w:szCs w:val="24"/>
        </w:rPr>
        <w:t>三</w:t>
      </w:r>
      <w:r>
        <w:rPr>
          <w:spacing w:val="-71"/>
          <w:sz w:val="24"/>
          <w:szCs w:val="24"/>
        </w:rPr>
        <w:t xml:space="preserve"> </w:t>
      </w:r>
      <w:r>
        <w:rPr>
          <w:spacing w:val="-1"/>
          <w:sz w:val="24"/>
          <w:szCs w:val="24"/>
        </w:rPr>
        <w:t>章</w:t>
      </w:r>
      <w:r>
        <w:rPr>
          <w:spacing w:val="20"/>
          <w:sz w:val="24"/>
          <w:szCs w:val="24"/>
        </w:rPr>
        <w:t xml:space="preserve">    </w:t>
      </w:r>
      <w:r>
        <w:rPr>
          <w:spacing w:val="-1"/>
          <w:sz w:val="24"/>
          <w:szCs w:val="24"/>
        </w:rPr>
        <w:t>评标办法</w:t>
      </w:r>
      <w:r>
        <w:rPr>
          <w:spacing w:val="-24"/>
          <w:sz w:val="24"/>
          <w:szCs w:val="24"/>
        </w:rPr>
        <w:t xml:space="preserve"> </w:t>
      </w:r>
      <w:r>
        <w:rPr>
          <w:spacing w:val="-1"/>
          <w:sz w:val="24"/>
          <w:szCs w:val="24"/>
        </w:rPr>
        <w:t>(双信封的合理低价法)</w:t>
      </w:r>
    </w:p>
    <w:p>
      <w:pPr>
        <w:spacing w:line="314" w:lineRule="auto"/>
        <w:rPr>
          <w:rFonts w:ascii="Arial"/>
          <w:sz w:val="21"/>
        </w:rPr>
      </w:pPr>
    </w:p>
    <w:p>
      <w:pPr>
        <w:pStyle w:val="4"/>
        <w:spacing w:before="78" w:line="222" w:lineRule="auto"/>
        <w:ind w:left="982"/>
        <w:rPr>
          <w:sz w:val="24"/>
          <w:szCs w:val="24"/>
        </w:rPr>
      </w:pPr>
      <w:r>
        <w:rPr>
          <w:spacing w:val="-7"/>
          <w:sz w:val="24"/>
          <w:szCs w:val="24"/>
        </w:rPr>
        <w:t>第</w:t>
      </w:r>
      <w:r>
        <w:rPr>
          <w:spacing w:val="-54"/>
          <w:sz w:val="24"/>
          <w:szCs w:val="24"/>
        </w:rPr>
        <w:t xml:space="preserve"> </w:t>
      </w:r>
      <w:r>
        <w:rPr>
          <w:spacing w:val="-7"/>
          <w:sz w:val="24"/>
          <w:szCs w:val="24"/>
        </w:rPr>
        <w:t>四</w:t>
      </w:r>
      <w:r>
        <w:rPr>
          <w:spacing w:val="-71"/>
          <w:sz w:val="24"/>
          <w:szCs w:val="24"/>
        </w:rPr>
        <w:t xml:space="preserve"> </w:t>
      </w:r>
      <w:r>
        <w:rPr>
          <w:spacing w:val="-7"/>
          <w:sz w:val="24"/>
          <w:szCs w:val="24"/>
        </w:rPr>
        <w:t>章</w:t>
      </w:r>
      <w:r>
        <w:rPr>
          <w:spacing w:val="21"/>
          <w:sz w:val="24"/>
          <w:szCs w:val="24"/>
        </w:rPr>
        <w:t xml:space="preserve">    </w:t>
      </w:r>
      <w:r>
        <w:rPr>
          <w:spacing w:val="-7"/>
          <w:sz w:val="24"/>
          <w:szCs w:val="24"/>
        </w:rPr>
        <w:t>合</w:t>
      </w:r>
      <w:r>
        <w:rPr>
          <w:spacing w:val="-57"/>
          <w:sz w:val="24"/>
          <w:szCs w:val="24"/>
        </w:rPr>
        <w:t xml:space="preserve"> </w:t>
      </w:r>
      <w:r>
        <w:rPr>
          <w:spacing w:val="-7"/>
          <w:sz w:val="24"/>
          <w:szCs w:val="24"/>
        </w:rPr>
        <w:t>同</w:t>
      </w:r>
      <w:r>
        <w:rPr>
          <w:spacing w:val="-71"/>
          <w:sz w:val="24"/>
          <w:szCs w:val="24"/>
        </w:rPr>
        <w:t xml:space="preserve"> </w:t>
      </w:r>
      <w:r>
        <w:rPr>
          <w:spacing w:val="-7"/>
          <w:sz w:val="24"/>
          <w:szCs w:val="24"/>
        </w:rPr>
        <w:t>条</w:t>
      </w:r>
      <w:r>
        <w:rPr>
          <w:spacing w:val="-69"/>
          <w:sz w:val="24"/>
          <w:szCs w:val="24"/>
        </w:rPr>
        <w:t xml:space="preserve"> </w:t>
      </w:r>
      <w:r>
        <w:rPr>
          <w:spacing w:val="-7"/>
          <w:sz w:val="24"/>
          <w:szCs w:val="24"/>
        </w:rPr>
        <w:t>款</w:t>
      </w:r>
      <w:r>
        <w:rPr>
          <w:spacing w:val="-70"/>
          <w:sz w:val="24"/>
          <w:szCs w:val="24"/>
        </w:rPr>
        <w:t xml:space="preserve"> </w:t>
      </w:r>
      <w:r>
        <w:rPr>
          <w:spacing w:val="-7"/>
          <w:sz w:val="24"/>
          <w:szCs w:val="24"/>
        </w:rPr>
        <w:t>及格</w:t>
      </w:r>
      <w:r>
        <w:rPr>
          <w:spacing w:val="-66"/>
          <w:sz w:val="24"/>
          <w:szCs w:val="24"/>
        </w:rPr>
        <w:t xml:space="preserve"> </w:t>
      </w:r>
      <w:r>
        <w:rPr>
          <w:spacing w:val="-7"/>
          <w:sz w:val="24"/>
          <w:szCs w:val="24"/>
        </w:rPr>
        <w:t>式</w:t>
      </w:r>
    </w:p>
    <w:p>
      <w:pPr>
        <w:spacing w:line="310" w:lineRule="auto"/>
        <w:rPr>
          <w:rFonts w:ascii="Arial"/>
          <w:sz w:val="21"/>
        </w:rPr>
      </w:pPr>
    </w:p>
    <w:p>
      <w:pPr>
        <w:pStyle w:val="4"/>
        <w:spacing w:before="79" w:line="222" w:lineRule="auto"/>
        <w:ind w:left="982"/>
        <w:rPr>
          <w:sz w:val="24"/>
          <w:szCs w:val="24"/>
        </w:rPr>
      </w:pPr>
      <w:r>
        <w:rPr>
          <w:spacing w:val="-10"/>
          <w:sz w:val="24"/>
          <w:szCs w:val="24"/>
        </w:rPr>
        <w:t>第</w:t>
      </w:r>
      <w:r>
        <w:rPr>
          <w:spacing w:val="-64"/>
          <w:sz w:val="24"/>
          <w:szCs w:val="24"/>
        </w:rPr>
        <w:t xml:space="preserve"> </w:t>
      </w:r>
      <w:r>
        <w:rPr>
          <w:spacing w:val="-10"/>
          <w:sz w:val="24"/>
          <w:szCs w:val="24"/>
        </w:rPr>
        <w:t>五</w:t>
      </w:r>
      <w:r>
        <w:rPr>
          <w:spacing w:val="-71"/>
          <w:sz w:val="24"/>
          <w:szCs w:val="24"/>
        </w:rPr>
        <w:t xml:space="preserve"> </w:t>
      </w:r>
      <w:r>
        <w:rPr>
          <w:spacing w:val="-10"/>
          <w:sz w:val="24"/>
          <w:szCs w:val="24"/>
        </w:rPr>
        <w:t>章</w:t>
      </w:r>
      <w:r>
        <w:rPr>
          <w:spacing w:val="21"/>
          <w:sz w:val="24"/>
          <w:szCs w:val="24"/>
        </w:rPr>
        <w:t xml:space="preserve">    </w:t>
      </w:r>
      <w:r>
        <w:rPr>
          <w:spacing w:val="-10"/>
          <w:sz w:val="24"/>
          <w:szCs w:val="24"/>
        </w:rPr>
        <w:t>工</w:t>
      </w:r>
      <w:r>
        <w:rPr>
          <w:spacing w:val="-70"/>
          <w:sz w:val="24"/>
          <w:szCs w:val="24"/>
        </w:rPr>
        <w:t xml:space="preserve"> </w:t>
      </w:r>
      <w:r>
        <w:rPr>
          <w:spacing w:val="-10"/>
          <w:sz w:val="24"/>
          <w:szCs w:val="24"/>
        </w:rPr>
        <w:t>程</w:t>
      </w:r>
      <w:r>
        <w:rPr>
          <w:spacing w:val="-69"/>
          <w:sz w:val="24"/>
          <w:szCs w:val="24"/>
        </w:rPr>
        <w:t xml:space="preserve"> </w:t>
      </w:r>
      <w:r>
        <w:rPr>
          <w:spacing w:val="-10"/>
          <w:sz w:val="24"/>
          <w:szCs w:val="24"/>
        </w:rPr>
        <w:t>量</w:t>
      </w:r>
      <w:r>
        <w:rPr>
          <w:spacing w:val="-67"/>
          <w:sz w:val="24"/>
          <w:szCs w:val="24"/>
        </w:rPr>
        <w:t xml:space="preserve"> </w:t>
      </w:r>
      <w:r>
        <w:rPr>
          <w:spacing w:val="-10"/>
          <w:sz w:val="24"/>
          <w:szCs w:val="24"/>
        </w:rPr>
        <w:t>清</w:t>
      </w:r>
      <w:r>
        <w:rPr>
          <w:spacing w:val="-64"/>
          <w:sz w:val="24"/>
          <w:szCs w:val="24"/>
        </w:rPr>
        <w:t xml:space="preserve"> </w:t>
      </w:r>
      <w:r>
        <w:rPr>
          <w:spacing w:val="-10"/>
          <w:sz w:val="24"/>
          <w:szCs w:val="24"/>
        </w:rPr>
        <w:t>单</w:t>
      </w:r>
    </w:p>
    <w:p>
      <w:pPr>
        <w:spacing w:line="310" w:lineRule="auto"/>
        <w:rPr>
          <w:rFonts w:ascii="Arial"/>
          <w:sz w:val="21"/>
        </w:rPr>
      </w:pPr>
    </w:p>
    <w:p>
      <w:pPr>
        <w:pStyle w:val="4"/>
        <w:spacing w:before="79" w:line="222" w:lineRule="auto"/>
        <w:ind w:left="4006"/>
        <w:rPr>
          <w:sz w:val="24"/>
          <w:szCs w:val="24"/>
        </w:rPr>
      </w:pPr>
      <w:r>
        <w:rPr>
          <w:spacing w:val="27"/>
          <w:sz w:val="24"/>
          <w:szCs w:val="24"/>
        </w:rPr>
        <w:t>第二卷</w:t>
      </w:r>
    </w:p>
    <w:p>
      <w:pPr>
        <w:spacing w:line="313" w:lineRule="auto"/>
        <w:rPr>
          <w:rFonts w:ascii="Arial"/>
          <w:sz w:val="21"/>
        </w:rPr>
      </w:pPr>
    </w:p>
    <w:p>
      <w:pPr>
        <w:pStyle w:val="4"/>
        <w:spacing w:before="78" w:line="222" w:lineRule="auto"/>
        <w:ind w:left="982"/>
        <w:rPr>
          <w:sz w:val="24"/>
          <w:szCs w:val="24"/>
        </w:rPr>
      </w:pPr>
      <w:r>
        <w:rPr>
          <w:spacing w:val="3"/>
          <w:sz w:val="24"/>
          <w:szCs w:val="24"/>
        </w:rPr>
        <w:t>第</w:t>
      </w:r>
      <w:r>
        <w:rPr>
          <w:spacing w:val="-57"/>
          <w:sz w:val="24"/>
          <w:szCs w:val="24"/>
        </w:rPr>
        <w:t xml:space="preserve"> </w:t>
      </w:r>
      <w:r>
        <w:rPr>
          <w:spacing w:val="3"/>
          <w:sz w:val="24"/>
          <w:szCs w:val="24"/>
        </w:rPr>
        <w:t>六</w:t>
      </w:r>
      <w:r>
        <w:rPr>
          <w:spacing w:val="-71"/>
          <w:sz w:val="24"/>
          <w:szCs w:val="24"/>
        </w:rPr>
        <w:t xml:space="preserve"> </w:t>
      </w:r>
      <w:r>
        <w:rPr>
          <w:spacing w:val="3"/>
          <w:sz w:val="24"/>
          <w:szCs w:val="24"/>
        </w:rPr>
        <w:t>章</w:t>
      </w:r>
      <w:r>
        <w:rPr>
          <w:spacing w:val="24"/>
          <w:sz w:val="24"/>
          <w:szCs w:val="24"/>
        </w:rPr>
        <w:t xml:space="preserve">    </w:t>
      </w:r>
      <w:r>
        <w:rPr>
          <w:spacing w:val="3"/>
          <w:sz w:val="24"/>
          <w:szCs w:val="24"/>
        </w:rPr>
        <w:t>图</w:t>
      </w:r>
      <w:r>
        <w:rPr>
          <w:spacing w:val="-64"/>
          <w:sz w:val="24"/>
          <w:szCs w:val="24"/>
        </w:rPr>
        <w:t xml:space="preserve"> </w:t>
      </w:r>
      <w:r>
        <w:rPr>
          <w:spacing w:val="3"/>
          <w:sz w:val="24"/>
          <w:szCs w:val="24"/>
        </w:rPr>
        <w:t>纸（另</w:t>
      </w:r>
      <w:r>
        <w:rPr>
          <w:spacing w:val="-69"/>
          <w:sz w:val="24"/>
          <w:szCs w:val="24"/>
        </w:rPr>
        <w:t xml:space="preserve"> </w:t>
      </w:r>
      <w:r>
        <w:rPr>
          <w:spacing w:val="3"/>
          <w:sz w:val="24"/>
          <w:szCs w:val="24"/>
        </w:rPr>
        <w:t>册）</w:t>
      </w:r>
    </w:p>
    <w:p>
      <w:pPr>
        <w:spacing w:line="310" w:lineRule="auto"/>
        <w:rPr>
          <w:rFonts w:ascii="Arial"/>
          <w:sz w:val="21"/>
        </w:rPr>
      </w:pPr>
    </w:p>
    <w:p>
      <w:pPr>
        <w:pStyle w:val="4"/>
        <w:spacing w:before="79" w:line="222" w:lineRule="auto"/>
        <w:ind w:left="4006"/>
        <w:rPr>
          <w:sz w:val="24"/>
          <w:szCs w:val="24"/>
        </w:rPr>
      </w:pPr>
      <w:r>
        <w:rPr>
          <w:spacing w:val="27"/>
          <w:sz w:val="24"/>
          <w:szCs w:val="24"/>
        </w:rPr>
        <w:t>第三卷</w:t>
      </w:r>
    </w:p>
    <w:p>
      <w:pPr>
        <w:spacing w:line="310" w:lineRule="auto"/>
        <w:rPr>
          <w:rFonts w:ascii="Arial"/>
          <w:sz w:val="21"/>
        </w:rPr>
      </w:pPr>
    </w:p>
    <w:p>
      <w:pPr>
        <w:pStyle w:val="4"/>
        <w:spacing w:before="78" w:line="222" w:lineRule="auto"/>
        <w:ind w:left="982"/>
        <w:rPr>
          <w:sz w:val="24"/>
          <w:szCs w:val="24"/>
        </w:rPr>
      </w:pPr>
      <w:r>
        <w:rPr>
          <w:spacing w:val="8"/>
          <w:sz w:val="24"/>
          <w:szCs w:val="24"/>
        </w:rPr>
        <w:t>第</w:t>
      </w:r>
      <w:r>
        <w:rPr>
          <w:spacing w:val="-71"/>
          <w:sz w:val="24"/>
          <w:szCs w:val="24"/>
        </w:rPr>
        <w:t xml:space="preserve"> </w:t>
      </w:r>
      <w:r>
        <w:rPr>
          <w:spacing w:val="8"/>
          <w:sz w:val="24"/>
          <w:szCs w:val="24"/>
        </w:rPr>
        <w:t>七</w:t>
      </w:r>
      <w:r>
        <w:rPr>
          <w:spacing w:val="-72"/>
          <w:sz w:val="24"/>
          <w:szCs w:val="24"/>
        </w:rPr>
        <w:t xml:space="preserve"> </w:t>
      </w:r>
      <w:r>
        <w:rPr>
          <w:spacing w:val="8"/>
          <w:sz w:val="24"/>
          <w:szCs w:val="24"/>
        </w:rPr>
        <w:t>章</w:t>
      </w:r>
      <w:r>
        <w:rPr>
          <w:spacing w:val="21"/>
          <w:sz w:val="24"/>
          <w:szCs w:val="24"/>
        </w:rPr>
        <w:t xml:space="preserve">    </w:t>
      </w:r>
      <w:r>
        <w:rPr>
          <w:spacing w:val="8"/>
          <w:sz w:val="24"/>
          <w:szCs w:val="24"/>
        </w:rPr>
        <w:t>技</w:t>
      </w:r>
      <w:r>
        <w:rPr>
          <w:spacing w:val="-71"/>
          <w:sz w:val="24"/>
          <w:szCs w:val="24"/>
        </w:rPr>
        <w:t xml:space="preserve"> </w:t>
      </w:r>
      <w:r>
        <w:rPr>
          <w:spacing w:val="8"/>
          <w:sz w:val="24"/>
          <w:szCs w:val="24"/>
        </w:rPr>
        <w:t>术规</w:t>
      </w:r>
      <w:r>
        <w:rPr>
          <w:spacing w:val="-66"/>
          <w:sz w:val="24"/>
          <w:szCs w:val="24"/>
        </w:rPr>
        <w:t xml:space="preserve"> </w:t>
      </w:r>
      <w:r>
        <w:rPr>
          <w:spacing w:val="8"/>
          <w:sz w:val="24"/>
          <w:szCs w:val="24"/>
        </w:rPr>
        <w:t>范（另</w:t>
      </w:r>
      <w:r>
        <w:rPr>
          <w:spacing w:val="-69"/>
          <w:sz w:val="24"/>
          <w:szCs w:val="24"/>
        </w:rPr>
        <w:t xml:space="preserve"> </w:t>
      </w:r>
      <w:r>
        <w:rPr>
          <w:spacing w:val="8"/>
          <w:sz w:val="24"/>
          <w:szCs w:val="24"/>
        </w:rPr>
        <w:t>册）</w:t>
      </w:r>
    </w:p>
    <w:p>
      <w:pPr>
        <w:spacing w:line="313" w:lineRule="auto"/>
        <w:rPr>
          <w:rFonts w:ascii="Arial"/>
          <w:sz w:val="21"/>
        </w:rPr>
      </w:pPr>
    </w:p>
    <w:p>
      <w:pPr>
        <w:pStyle w:val="4"/>
        <w:spacing w:before="78" w:line="222" w:lineRule="auto"/>
        <w:ind w:left="1042"/>
        <w:rPr>
          <w:sz w:val="24"/>
          <w:szCs w:val="24"/>
        </w:rPr>
      </w:pPr>
      <w:r>
        <w:rPr>
          <w:spacing w:val="-2"/>
          <w:sz w:val="24"/>
          <w:szCs w:val="24"/>
        </w:rPr>
        <w:t>第八章</w:t>
      </w:r>
      <w:r>
        <w:rPr>
          <w:spacing w:val="28"/>
          <w:sz w:val="24"/>
          <w:szCs w:val="24"/>
        </w:rPr>
        <w:t xml:space="preserve">    </w:t>
      </w:r>
      <w:r>
        <w:rPr>
          <w:spacing w:val="-2"/>
          <w:sz w:val="24"/>
          <w:szCs w:val="24"/>
        </w:rPr>
        <w:t>工程量清单计量规则（另册）</w:t>
      </w:r>
    </w:p>
    <w:p>
      <w:pPr>
        <w:spacing w:line="310" w:lineRule="auto"/>
        <w:rPr>
          <w:rFonts w:ascii="Arial"/>
          <w:sz w:val="21"/>
        </w:rPr>
      </w:pPr>
    </w:p>
    <w:p>
      <w:pPr>
        <w:pStyle w:val="4"/>
        <w:spacing w:before="79" w:line="222" w:lineRule="auto"/>
        <w:ind w:left="4006"/>
        <w:rPr>
          <w:sz w:val="24"/>
          <w:szCs w:val="24"/>
        </w:rPr>
      </w:pPr>
      <w:r>
        <w:rPr>
          <w:spacing w:val="27"/>
          <w:sz w:val="24"/>
          <w:szCs w:val="24"/>
        </w:rPr>
        <w:t>第四卷</w:t>
      </w:r>
    </w:p>
    <w:p>
      <w:pPr>
        <w:spacing w:line="310" w:lineRule="auto"/>
        <w:rPr>
          <w:rFonts w:ascii="Arial"/>
          <w:sz w:val="21"/>
        </w:rPr>
      </w:pPr>
    </w:p>
    <w:p>
      <w:pPr>
        <w:pStyle w:val="4"/>
        <w:spacing w:before="79" w:line="222" w:lineRule="auto"/>
        <w:ind w:left="982"/>
        <w:rPr>
          <w:sz w:val="24"/>
          <w:szCs w:val="24"/>
        </w:rPr>
      </w:pPr>
      <w:r>
        <w:rPr>
          <w:spacing w:val="-4"/>
          <w:sz w:val="24"/>
          <w:szCs w:val="24"/>
        </w:rPr>
        <w:t>第</w:t>
      </w:r>
      <w:r>
        <w:rPr>
          <w:spacing w:val="-60"/>
          <w:sz w:val="24"/>
          <w:szCs w:val="24"/>
        </w:rPr>
        <w:t xml:space="preserve"> </w:t>
      </w:r>
      <w:r>
        <w:rPr>
          <w:spacing w:val="-4"/>
          <w:sz w:val="24"/>
          <w:szCs w:val="24"/>
        </w:rPr>
        <w:t>九</w:t>
      </w:r>
      <w:r>
        <w:rPr>
          <w:spacing w:val="-71"/>
          <w:sz w:val="24"/>
          <w:szCs w:val="24"/>
        </w:rPr>
        <w:t xml:space="preserve"> </w:t>
      </w:r>
      <w:r>
        <w:rPr>
          <w:spacing w:val="-4"/>
          <w:sz w:val="24"/>
          <w:szCs w:val="24"/>
        </w:rPr>
        <w:t>章</w:t>
      </w:r>
      <w:r>
        <w:rPr>
          <w:spacing w:val="20"/>
          <w:sz w:val="24"/>
          <w:szCs w:val="24"/>
        </w:rPr>
        <w:t xml:space="preserve">    </w:t>
      </w:r>
      <w:r>
        <w:rPr>
          <w:spacing w:val="-4"/>
          <w:sz w:val="24"/>
          <w:szCs w:val="24"/>
        </w:rPr>
        <w:t>投标</w:t>
      </w:r>
      <w:r>
        <w:rPr>
          <w:spacing w:val="-68"/>
          <w:sz w:val="24"/>
          <w:szCs w:val="24"/>
        </w:rPr>
        <w:t xml:space="preserve"> </w:t>
      </w:r>
      <w:r>
        <w:rPr>
          <w:spacing w:val="-4"/>
          <w:sz w:val="24"/>
          <w:szCs w:val="24"/>
        </w:rPr>
        <w:t>文</w:t>
      </w:r>
      <w:r>
        <w:rPr>
          <w:spacing w:val="-72"/>
          <w:sz w:val="24"/>
          <w:szCs w:val="24"/>
        </w:rPr>
        <w:t xml:space="preserve"> </w:t>
      </w:r>
      <w:r>
        <w:rPr>
          <w:spacing w:val="-4"/>
          <w:sz w:val="24"/>
          <w:szCs w:val="24"/>
        </w:rPr>
        <w:t>件</w:t>
      </w:r>
      <w:r>
        <w:rPr>
          <w:spacing w:val="-69"/>
          <w:sz w:val="24"/>
          <w:szCs w:val="24"/>
        </w:rPr>
        <w:t xml:space="preserve"> </w:t>
      </w:r>
      <w:r>
        <w:rPr>
          <w:spacing w:val="-4"/>
          <w:sz w:val="24"/>
          <w:szCs w:val="24"/>
        </w:rPr>
        <w:t>格</w:t>
      </w:r>
      <w:r>
        <w:rPr>
          <w:spacing w:val="-69"/>
          <w:sz w:val="24"/>
          <w:szCs w:val="24"/>
        </w:rPr>
        <w:t xml:space="preserve"> </w:t>
      </w:r>
      <w:r>
        <w:rPr>
          <w:spacing w:val="-4"/>
          <w:sz w:val="24"/>
          <w:szCs w:val="24"/>
        </w:rPr>
        <w:t>式</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12"/>
        <w:rPr>
          <w:rFonts w:ascii="Arial"/>
          <w:sz w:val="21"/>
        </w:rPr>
      </w:pPr>
    </w:p>
    <w:p>
      <w:pPr>
        <w:pStyle w:val="11"/>
        <w:rPr>
          <w:rFonts w:ascii="Arial"/>
          <w:sz w:val="21"/>
        </w:rPr>
      </w:pPr>
    </w:p>
    <w:p>
      <w:pPr>
        <w:pStyle w:val="8"/>
        <w:rPr>
          <w:rFonts w:ascii="Arial"/>
          <w:sz w:val="21"/>
        </w:rPr>
      </w:pPr>
    </w:p>
    <w:p>
      <w:pPr>
        <w:rPr>
          <w:rFonts w:ascii="Arial"/>
          <w:sz w:val="21"/>
        </w:rPr>
      </w:pPr>
    </w:p>
    <w:p>
      <w:pPr>
        <w:pStyle w:val="12"/>
        <w:rPr>
          <w:rFonts w:ascii="Arial"/>
          <w:sz w:val="21"/>
        </w:rPr>
      </w:pPr>
    </w:p>
    <w:p>
      <w:pPr>
        <w:pStyle w:val="11"/>
        <w:rPr>
          <w:rFonts w:ascii="Arial"/>
          <w:sz w:val="21"/>
        </w:rPr>
      </w:pPr>
    </w:p>
    <w:p>
      <w:pPr>
        <w:pStyle w:val="8"/>
        <w:rPr>
          <w:rFonts w:ascii="Arial"/>
          <w:sz w:val="21"/>
        </w:rPr>
      </w:pPr>
    </w:p>
    <w:p>
      <w:pPr>
        <w:rPr>
          <w:rFonts w:ascii="Arial"/>
          <w:sz w:val="21"/>
        </w:rPr>
      </w:pPr>
    </w:p>
    <w:p>
      <w:pPr>
        <w:pStyle w:val="12"/>
        <w:rPr>
          <w:rFonts w:ascii="Arial"/>
          <w:sz w:val="21"/>
        </w:rPr>
      </w:pPr>
    </w:p>
    <w:p>
      <w:pPr>
        <w:pStyle w:val="11"/>
      </w:pPr>
    </w:p>
    <w:p>
      <w:pPr>
        <w:spacing w:line="247" w:lineRule="auto"/>
        <w:rPr>
          <w:rFonts w:ascii="Arial"/>
          <w:sz w:val="21"/>
        </w:rPr>
      </w:pPr>
    </w:p>
    <w:p>
      <w:pPr>
        <w:pStyle w:val="4"/>
        <w:spacing w:before="231" w:line="224" w:lineRule="auto"/>
        <w:ind w:left="3207"/>
        <w:rPr>
          <w:sz w:val="71"/>
          <w:szCs w:val="71"/>
        </w:rPr>
      </w:pPr>
      <w:r>
        <w:rPr>
          <w:spacing w:val="132"/>
          <w:sz w:val="71"/>
          <w:szCs w:val="71"/>
          <w14:textOutline w14:w="13075" w14:cap="sq" w14:cmpd="sng">
            <w14:solidFill>
              <w14:srgbClr w14:val="000000"/>
            </w14:solidFill>
            <w14:prstDash w14:val="solid"/>
            <w14:bevel/>
          </w14:textOutline>
        </w:rPr>
        <w:t>第一卷</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4"/>
        <w:spacing w:before="169" w:line="222" w:lineRule="auto"/>
        <w:jc w:val="center"/>
        <w:rPr>
          <w:spacing w:val="32"/>
          <w14:textOutline w14:w="9461" w14:cap="sq" w14:cmpd="sng">
            <w14:solidFill>
              <w14:srgbClr w14:val="000000"/>
            </w14:solidFill>
            <w14:prstDash w14:val="solid"/>
            <w14:bevel/>
          </w14:textOutline>
        </w:rPr>
      </w:pPr>
    </w:p>
    <w:p>
      <w:pPr>
        <w:pStyle w:val="4"/>
        <w:spacing w:before="169" w:line="222" w:lineRule="auto"/>
        <w:jc w:val="center"/>
        <w:rPr>
          <w:spacing w:val="32"/>
          <w14:textOutline w14:w="9461" w14:cap="sq" w14:cmpd="sng">
            <w14:solidFill>
              <w14:srgbClr w14:val="000000"/>
            </w14:solidFill>
            <w14:prstDash w14:val="solid"/>
            <w14:bevel/>
          </w14:textOutline>
        </w:rPr>
      </w:pPr>
    </w:p>
    <w:p>
      <w:pPr>
        <w:pStyle w:val="4"/>
        <w:spacing w:before="169" w:line="222" w:lineRule="auto"/>
        <w:jc w:val="center"/>
        <w:rPr>
          <w:spacing w:val="32"/>
          <w14:textOutline w14:w="9461" w14:cap="sq" w14:cmpd="sng">
            <w14:solidFill>
              <w14:srgbClr w14:val="000000"/>
            </w14:solidFill>
            <w14:prstDash w14:val="solid"/>
            <w14:bevel/>
          </w14:textOutline>
        </w:rPr>
      </w:pPr>
    </w:p>
    <w:p>
      <w:pPr>
        <w:pStyle w:val="4"/>
        <w:spacing w:before="169" w:line="222" w:lineRule="auto"/>
        <w:jc w:val="center"/>
        <w:rPr>
          <w:spacing w:val="32"/>
          <w14:textOutline w14:w="9461" w14:cap="sq" w14:cmpd="sng">
            <w14:solidFill>
              <w14:srgbClr w14:val="000000"/>
            </w14:solidFill>
            <w14:prstDash w14:val="solid"/>
            <w14:bevel/>
          </w14:textOutline>
        </w:rPr>
      </w:pPr>
    </w:p>
    <w:p>
      <w:pPr>
        <w:pStyle w:val="4"/>
        <w:spacing w:before="169" w:line="222" w:lineRule="auto"/>
        <w:jc w:val="center"/>
        <w:rPr>
          <w:spacing w:val="32"/>
          <w14:textOutline w14:w="9461" w14:cap="sq" w14:cmpd="sng">
            <w14:solidFill>
              <w14:srgbClr w14:val="000000"/>
            </w14:solidFill>
            <w14:prstDash w14:val="solid"/>
            <w14:bevel/>
          </w14:textOutline>
        </w:rPr>
      </w:pPr>
    </w:p>
    <w:p>
      <w:pPr>
        <w:pStyle w:val="4"/>
        <w:spacing w:before="169" w:line="222" w:lineRule="auto"/>
        <w:jc w:val="center"/>
        <w:rPr>
          <w:spacing w:val="32"/>
          <w14:textOutline w14:w="9461" w14:cap="sq" w14:cmpd="sng">
            <w14:solidFill>
              <w14:srgbClr w14:val="000000"/>
            </w14:solidFill>
            <w14:prstDash w14:val="solid"/>
            <w14:bevel/>
          </w14:textOutline>
        </w:rPr>
      </w:pPr>
    </w:p>
    <w:p>
      <w:pPr>
        <w:pStyle w:val="4"/>
        <w:spacing w:before="169" w:line="222" w:lineRule="auto"/>
        <w:jc w:val="center"/>
        <w:rPr>
          <w:spacing w:val="32"/>
          <w14:textOutline w14:w="9461" w14:cap="sq" w14:cmpd="sng">
            <w14:solidFill>
              <w14:srgbClr w14:val="000000"/>
            </w14:solidFill>
            <w14:prstDash w14:val="solid"/>
            <w14:bevel/>
          </w14:textOutline>
        </w:rPr>
      </w:pPr>
    </w:p>
    <w:p>
      <w:pPr>
        <w:pStyle w:val="4"/>
        <w:spacing w:before="169" w:line="222" w:lineRule="auto"/>
        <w:jc w:val="center"/>
        <w:rPr>
          <w:spacing w:val="32"/>
          <w14:textOutline w14:w="9461" w14:cap="sq" w14:cmpd="sng">
            <w14:solidFill>
              <w14:srgbClr w14:val="000000"/>
            </w14:solidFill>
            <w14:prstDash w14:val="solid"/>
            <w14:bevel/>
          </w14:textOutline>
        </w:rPr>
      </w:pPr>
    </w:p>
    <w:p>
      <w:pPr>
        <w:pStyle w:val="4"/>
        <w:spacing w:before="169" w:line="222" w:lineRule="auto"/>
        <w:jc w:val="center"/>
        <w:rPr>
          <w:spacing w:val="32"/>
          <w14:textOutline w14:w="9461" w14:cap="sq" w14:cmpd="sng">
            <w14:solidFill>
              <w14:srgbClr w14:val="000000"/>
            </w14:solidFill>
            <w14:prstDash w14:val="solid"/>
            <w14:bevel/>
          </w14:textOutline>
        </w:rPr>
      </w:pPr>
    </w:p>
    <w:p>
      <w:pPr>
        <w:pStyle w:val="4"/>
        <w:spacing w:before="169" w:line="222" w:lineRule="auto"/>
        <w:jc w:val="center"/>
        <w:rPr>
          <w:spacing w:val="32"/>
          <w14:textOutline w14:w="9461" w14:cap="sq" w14:cmpd="sng">
            <w14:solidFill>
              <w14:srgbClr w14:val="000000"/>
            </w14:solidFill>
            <w14:prstDash w14:val="solid"/>
            <w14:bevel/>
          </w14:textOutline>
        </w:rPr>
        <w:sectPr>
          <w:headerReference r:id="rId5" w:type="default"/>
          <w:footerReference r:id="rId6" w:type="default"/>
          <w:pgSz w:w="11900" w:h="16839"/>
          <w:pgMar w:top="947" w:right="1125" w:bottom="1134" w:left="1420" w:header="707" w:footer="972" w:gutter="0"/>
          <w:cols w:space="720" w:num="1"/>
        </w:sectPr>
      </w:pPr>
    </w:p>
    <w:p>
      <w:pPr>
        <w:pStyle w:val="15"/>
      </w:pPr>
    </w:p>
    <w:p>
      <w:pPr>
        <w:pStyle w:val="4"/>
        <w:spacing w:before="169" w:line="222" w:lineRule="auto"/>
        <w:jc w:val="center"/>
        <w:rPr>
          <w:spacing w:val="32"/>
          <w14:textOutline w14:w="9461" w14:cap="sq" w14:cmpd="sng">
            <w14:solidFill>
              <w14:srgbClr w14:val="000000"/>
            </w14:solidFill>
            <w14:prstDash w14:val="solid"/>
            <w14:bevel/>
          </w14:textOutline>
        </w:rPr>
      </w:pPr>
    </w:p>
    <w:p>
      <w:pPr>
        <w:pStyle w:val="4"/>
        <w:spacing w:before="169" w:line="222" w:lineRule="auto"/>
        <w:jc w:val="center"/>
        <w:rPr>
          <w:spacing w:val="32"/>
          <w14:textOutline w14:w="9461" w14:cap="sq" w14:cmpd="sng">
            <w14:solidFill>
              <w14:srgbClr w14:val="000000"/>
            </w14:solidFill>
            <w14:prstDash w14:val="solid"/>
            <w14:bevel/>
          </w14:textOutline>
        </w:rPr>
      </w:pPr>
    </w:p>
    <w:p>
      <w:pPr>
        <w:pStyle w:val="4"/>
        <w:spacing w:before="169" w:line="222" w:lineRule="auto"/>
        <w:jc w:val="center"/>
        <w:rPr>
          <w:spacing w:val="32"/>
          <w14:textOutline w14:w="9461" w14:cap="sq" w14:cmpd="sng">
            <w14:solidFill>
              <w14:srgbClr w14:val="000000"/>
            </w14:solidFill>
            <w14:prstDash w14:val="solid"/>
            <w14:bevel/>
          </w14:textOutline>
        </w:rPr>
      </w:pPr>
    </w:p>
    <w:p>
      <w:pPr>
        <w:pStyle w:val="4"/>
        <w:spacing w:before="169" w:line="222" w:lineRule="auto"/>
        <w:jc w:val="center"/>
        <w:rPr>
          <w:spacing w:val="32"/>
          <w14:textOutline w14:w="9461" w14:cap="sq" w14:cmpd="sng">
            <w14:solidFill>
              <w14:srgbClr w14:val="000000"/>
            </w14:solidFill>
            <w14:prstDash w14:val="solid"/>
            <w14:bevel/>
          </w14:textOutline>
        </w:rPr>
      </w:pPr>
    </w:p>
    <w:p>
      <w:pPr>
        <w:pStyle w:val="4"/>
        <w:spacing w:before="169" w:line="222" w:lineRule="auto"/>
        <w:jc w:val="center"/>
      </w:pPr>
      <w:r>
        <w:rPr>
          <w:spacing w:val="32"/>
          <w14:textOutline w14:w="9461" w14:cap="sq" w14:cmpd="sng">
            <w14:solidFill>
              <w14:srgbClr w14:val="000000"/>
            </w14:solidFill>
            <w14:prstDash w14:val="solid"/>
            <w14:bevel/>
          </w14:textOutline>
        </w:rPr>
        <w:t>第</w:t>
      </w:r>
      <w:r>
        <w:rPr>
          <w:spacing w:val="-148"/>
        </w:rPr>
        <w:t xml:space="preserve"> </w:t>
      </w:r>
      <w:r>
        <w:rPr>
          <w:spacing w:val="32"/>
          <w14:textOutline w14:w="9461" w14:cap="sq" w14:cmpd="sng">
            <w14:solidFill>
              <w14:srgbClr w14:val="000000"/>
            </w14:solidFill>
            <w14:prstDash w14:val="solid"/>
            <w14:bevel/>
          </w14:textOutline>
        </w:rPr>
        <w:t>一章</w:t>
      </w:r>
      <w:r>
        <w:rPr>
          <w:spacing w:val="180"/>
        </w:rPr>
        <w:t xml:space="preserve"> </w:t>
      </w:r>
      <w:r>
        <w:rPr>
          <w:spacing w:val="32"/>
          <w14:textOutline w14:w="9461" w14:cap="sq" w14:cmpd="sng">
            <w14:solidFill>
              <w14:srgbClr w14:val="000000"/>
            </w14:solidFill>
            <w14:prstDash w14:val="solid"/>
            <w14:bevel/>
          </w14:textOutline>
        </w:rPr>
        <w:t>招标</w:t>
      </w:r>
      <w:r>
        <w:rPr>
          <w:spacing w:val="-154"/>
        </w:rPr>
        <w:t xml:space="preserve"> </w:t>
      </w:r>
      <w:r>
        <w:rPr>
          <w:spacing w:val="32"/>
          <w14:textOutline w14:w="9461" w14:cap="sq" w14:cmpd="sng">
            <w14:solidFill>
              <w14:srgbClr w14:val="000000"/>
            </w14:solidFill>
            <w14:prstDash w14:val="solid"/>
            <w14:bevel/>
          </w14:textOutline>
        </w:rPr>
        <w:t>公</w:t>
      </w:r>
      <w:r>
        <w:rPr>
          <w:spacing w:val="-150"/>
        </w:rPr>
        <w:t xml:space="preserve"> </w:t>
      </w:r>
      <w:r>
        <w:rPr>
          <w:spacing w:val="32"/>
          <w14:textOutline w14:w="9461" w14:cap="sq" w14:cmpd="sng">
            <w14:solidFill>
              <w14:srgbClr w14:val="000000"/>
            </w14:solidFill>
            <w14:prstDash w14:val="solid"/>
            <w14:bevel/>
          </w14:textOutline>
        </w:rPr>
        <w:t>告</w:t>
      </w:r>
    </w:p>
    <w:p>
      <w:pPr>
        <w:spacing w:line="353" w:lineRule="auto"/>
        <w:rPr>
          <w:rFonts w:ascii="Arial"/>
          <w:sz w:val="21"/>
        </w:rPr>
      </w:pPr>
    </w:p>
    <w:p>
      <w:pPr>
        <w:pStyle w:val="4"/>
        <w:spacing w:before="114" w:line="700" w:lineRule="exact"/>
        <w:jc w:val="center"/>
        <w:rPr>
          <w:spacing w:val="-1"/>
          <w:position w:val="8"/>
          <w:sz w:val="35"/>
          <w:szCs w:val="35"/>
          <w14:textOutline w14:w="6537" w14:cap="sq" w14:cmpd="sng">
            <w14:solidFill>
              <w14:srgbClr w14:val="000000"/>
            </w14:solidFill>
            <w14:prstDash w14:val="solid"/>
            <w14:bevel/>
          </w14:textOutline>
        </w:rPr>
      </w:pPr>
    </w:p>
    <w:p>
      <w:pPr>
        <w:pStyle w:val="4"/>
        <w:spacing w:before="114" w:line="700" w:lineRule="exact"/>
        <w:jc w:val="center"/>
        <w:rPr>
          <w:spacing w:val="-1"/>
          <w:position w:val="8"/>
          <w:sz w:val="35"/>
          <w:szCs w:val="35"/>
          <w14:textOutline w14:w="6537" w14:cap="sq" w14:cmpd="sng">
            <w14:solidFill>
              <w14:srgbClr w14:val="000000"/>
            </w14:solidFill>
            <w14:prstDash w14:val="solid"/>
            <w14:bevel/>
          </w14:textOutline>
        </w:rPr>
      </w:pPr>
    </w:p>
    <w:p>
      <w:pPr>
        <w:pStyle w:val="4"/>
        <w:spacing w:before="114" w:line="700" w:lineRule="exact"/>
        <w:jc w:val="center"/>
        <w:rPr>
          <w:spacing w:val="-1"/>
          <w:position w:val="8"/>
          <w:sz w:val="35"/>
          <w:szCs w:val="35"/>
          <w14:textOutline w14:w="6537" w14:cap="sq" w14:cmpd="sng">
            <w14:solidFill>
              <w14:srgbClr w14:val="000000"/>
            </w14:solidFill>
            <w14:prstDash w14:val="solid"/>
            <w14:bevel/>
          </w14:textOutline>
        </w:rPr>
      </w:pPr>
    </w:p>
    <w:p>
      <w:pPr>
        <w:pStyle w:val="4"/>
        <w:spacing w:before="114" w:line="700" w:lineRule="exact"/>
        <w:jc w:val="center"/>
        <w:rPr>
          <w:spacing w:val="-1"/>
          <w:position w:val="8"/>
          <w:sz w:val="35"/>
          <w:szCs w:val="35"/>
          <w14:textOutline w14:w="6537" w14:cap="sq" w14:cmpd="sng">
            <w14:solidFill>
              <w14:srgbClr w14:val="000000"/>
            </w14:solidFill>
            <w14:prstDash w14:val="solid"/>
            <w14:bevel/>
          </w14:textOutline>
        </w:rPr>
      </w:pPr>
    </w:p>
    <w:p>
      <w:pPr>
        <w:pStyle w:val="4"/>
        <w:spacing w:before="114" w:line="700" w:lineRule="exact"/>
        <w:jc w:val="center"/>
        <w:rPr>
          <w:spacing w:val="-1"/>
          <w:position w:val="8"/>
          <w:sz w:val="35"/>
          <w:szCs w:val="35"/>
          <w14:textOutline w14:w="6537" w14:cap="sq" w14:cmpd="sng">
            <w14:solidFill>
              <w14:srgbClr w14:val="000000"/>
            </w14:solidFill>
            <w14:prstDash w14:val="solid"/>
            <w14:bevel/>
          </w14:textOutline>
        </w:rPr>
      </w:pPr>
    </w:p>
    <w:p>
      <w:pPr>
        <w:pStyle w:val="4"/>
        <w:spacing w:before="114" w:line="700" w:lineRule="exact"/>
        <w:jc w:val="center"/>
        <w:rPr>
          <w:spacing w:val="-1"/>
          <w:position w:val="8"/>
          <w:sz w:val="35"/>
          <w:szCs w:val="35"/>
          <w14:textOutline w14:w="6537" w14:cap="sq" w14:cmpd="sng">
            <w14:solidFill>
              <w14:srgbClr w14:val="000000"/>
            </w14:solidFill>
            <w14:prstDash w14:val="solid"/>
            <w14:bevel/>
          </w14:textOutline>
        </w:rPr>
      </w:pPr>
    </w:p>
    <w:p>
      <w:pPr>
        <w:pStyle w:val="4"/>
        <w:spacing w:before="114" w:line="700" w:lineRule="exact"/>
        <w:jc w:val="center"/>
        <w:rPr>
          <w:spacing w:val="-1"/>
          <w:position w:val="8"/>
          <w:sz w:val="35"/>
          <w:szCs w:val="35"/>
          <w14:textOutline w14:w="6537" w14:cap="sq" w14:cmpd="sng">
            <w14:solidFill>
              <w14:srgbClr w14:val="000000"/>
            </w14:solidFill>
            <w14:prstDash w14:val="solid"/>
            <w14:bevel/>
          </w14:textOutline>
        </w:rPr>
      </w:pPr>
    </w:p>
    <w:p>
      <w:pPr>
        <w:pStyle w:val="4"/>
        <w:spacing w:before="114" w:line="700" w:lineRule="exact"/>
        <w:jc w:val="center"/>
        <w:rPr>
          <w:spacing w:val="-1"/>
          <w:position w:val="8"/>
          <w:sz w:val="35"/>
          <w:szCs w:val="35"/>
          <w14:textOutline w14:w="6537" w14:cap="sq" w14:cmpd="sng">
            <w14:solidFill>
              <w14:srgbClr w14:val="000000"/>
            </w14:solidFill>
            <w14:prstDash w14:val="solid"/>
            <w14:bevel/>
          </w14:textOutline>
        </w:rPr>
      </w:pPr>
    </w:p>
    <w:p>
      <w:pPr>
        <w:pStyle w:val="4"/>
        <w:spacing w:before="114" w:line="700" w:lineRule="exact"/>
        <w:jc w:val="center"/>
        <w:rPr>
          <w:spacing w:val="-1"/>
          <w:position w:val="8"/>
          <w:sz w:val="35"/>
          <w:szCs w:val="35"/>
          <w14:textOutline w14:w="6537" w14:cap="sq" w14:cmpd="sng">
            <w14:solidFill>
              <w14:srgbClr w14:val="000000"/>
            </w14:solidFill>
            <w14:prstDash w14:val="solid"/>
            <w14:bevel/>
          </w14:textOutline>
        </w:rPr>
      </w:pPr>
    </w:p>
    <w:p>
      <w:pPr>
        <w:pStyle w:val="4"/>
        <w:spacing w:before="114" w:line="700" w:lineRule="exact"/>
        <w:jc w:val="center"/>
        <w:rPr>
          <w:spacing w:val="-1"/>
          <w:position w:val="8"/>
          <w:sz w:val="35"/>
          <w:szCs w:val="35"/>
          <w14:textOutline w14:w="6537" w14:cap="sq" w14:cmpd="sng">
            <w14:solidFill>
              <w14:srgbClr w14:val="000000"/>
            </w14:solidFill>
            <w14:prstDash w14:val="solid"/>
            <w14:bevel/>
          </w14:textOutline>
        </w:rPr>
      </w:pPr>
    </w:p>
    <w:p>
      <w:pPr>
        <w:pStyle w:val="4"/>
        <w:spacing w:before="114" w:line="700" w:lineRule="exact"/>
        <w:jc w:val="center"/>
        <w:rPr>
          <w:spacing w:val="-1"/>
          <w:position w:val="8"/>
          <w:sz w:val="35"/>
          <w:szCs w:val="35"/>
          <w14:textOutline w14:w="6537" w14:cap="sq" w14:cmpd="sng">
            <w14:solidFill>
              <w14:srgbClr w14:val="000000"/>
            </w14:solidFill>
            <w14:prstDash w14:val="solid"/>
            <w14:bevel/>
          </w14:textOutline>
        </w:rPr>
      </w:pPr>
    </w:p>
    <w:p>
      <w:pPr>
        <w:pStyle w:val="4"/>
        <w:spacing w:before="114" w:line="700" w:lineRule="exact"/>
        <w:jc w:val="center"/>
        <w:rPr>
          <w:spacing w:val="-1"/>
          <w:position w:val="8"/>
          <w:sz w:val="35"/>
          <w:szCs w:val="35"/>
          <w14:textOutline w14:w="6537" w14:cap="sq" w14:cmpd="sng">
            <w14:solidFill>
              <w14:srgbClr w14:val="000000"/>
            </w14:solidFill>
            <w14:prstDash w14:val="solid"/>
            <w14:bevel/>
          </w14:textOutline>
        </w:rPr>
      </w:pPr>
    </w:p>
    <w:p>
      <w:pPr>
        <w:pStyle w:val="4"/>
        <w:spacing w:before="114" w:line="700" w:lineRule="exact"/>
        <w:jc w:val="center"/>
        <w:rPr>
          <w:sz w:val="14"/>
          <w:szCs w:val="14"/>
        </w:rPr>
      </w:pPr>
      <w:r>
        <w:rPr>
          <w:spacing w:val="-1"/>
          <w:position w:val="8"/>
          <w:sz w:val="35"/>
          <w:szCs w:val="35"/>
          <w14:textOutline w14:w="6537" w14:cap="sq" w14:cmpd="sng">
            <w14:solidFill>
              <w14:srgbClr w14:val="000000"/>
            </w14:solidFill>
            <w14:prstDash w14:val="solid"/>
            <w14:bevel/>
          </w14:textOutline>
        </w:rPr>
        <w:t>第</w:t>
      </w:r>
      <w:r>
        <w:rPr>
          <w:spacing w:val="-67"/>
          <w:position w:val="8"/>
          <w:sz w:val="35"/>
          <w:szCs w:val="35"/>
        </w:rPr>
        <w:t xml:space="preserve"> </w:t>
      </w:r>
      <w:r>
        <w:rPr>
          <w:spacing w:val="-1"/>
          <w:position w:val="8"/>
          <w:sz w:val="35"/>
          <w:szCs w:val="35"/>
          <w14:textOutline w14:w="6537" w14:cap="sq" w14:cmpd="sng">
            <w14:solidFill>
              <w14:srgbClr w14:val="000000"/>
            </w14:solidFill>
            <w14:prstDash w14:val="solid"/>
            <w14:bevel/>
          </w14:textOutline>
        </w:rPr>
        <w:t>一</w:t>
      </w:r>
      <w:r>
        <w:rPr>
          <w:spacing w:val="-78"/>
          <w:position w:val="8"/>
          <w:sz w:val="35"/>
          <w:szCs w:val="35"/>
        </w:rPr>
        <w:t xml:space="preserve"> </w:t>
      </w:r>
      <w:r>
        <w:rPr>
          <w:spacing w:val="-1"/>
          <w:position w:val="8"/>
          <w:sz w:val="35"/>
          <w:szCs w:val="35"/>
          <w14:textOutline w14:w="6537" w14:cap="sq" w14:cmpd="sng">
            <w14:solidFill>
              <w14:srgbClr w14:val="000000"/>
            </w14:solidFill>
            <w14:prstDash w14:val="solid"/>
            <w14:bevel/>
          </w14:textOutline>
        </w:rPr>
        <w:t>章</w:t>
      </w:r>
      <w:r>
        <w:rPr>
          <w:spacing w:val="-1"/>
          <w:position w:val="8"/>
          <w:sz w:val="35"/>
          <w:szCs w:val="35"/>
        </w:rPr>
        <w:t xml:space="preserve">  </w:t>
      </w:r>
      <w:r>
        <w:rPr>
          <w:spacing w:val="-1"/>
          <w:position w:val="8"/>
          <w:sz w:val="35"/>
          <w:szCs w:val="35"/>
          <w14:textOutline w14:w="6537" w14:cap="sq" w14:cmpd="sng">
            <w14:solidFill>
              <w14:srgbClr w14:val="000000"/>
            </w14:solidFill>
            <w14:prstDash w14:val="solid"/>
            <w14:bevel/>
          </w14:textOutline>
        </w:rPr>
        <w:t>招</w:t>
      </w:r>
      <w:r>
        <w:rPr>
          <w:spacing w:val="-86"/>
          <w:position w:val="8"/>
          <w:sz w:val="35"/>
          <w:szCs w:val="35"/>
        </w:rPr>
        <w:t xml:space="preserve"> </w:t>
      </w:r>
      <w:r>
        <w:rPr>
          <w:spacing w:val="-1"/>
          <w:position w:val="8"/>
          <w:sz w:val="35"/>
          <w:szCs w:val="35"/>
          <w14:textOutline w14:w="6537" w14:cap="sq" w14:cmpd="sng">
            <w14:solidFill>
              <w14:srgbClr w14:val="000000"/>
            </w14:solidFill>
            <w14:prstDash w14:val="solid"/>
            <w14:bevel/>
          </w14:textOutline>
        </w:rPr>
        <w:t>标</w:t>
      </w:r>
      <w:r>
        <w:rPr>
          <w:spacing w:val="-77"/>
          <w:position w:val="8"/>
          <w:sz w:val="35"/>
          <w:szCs w:val="35"/>
        </w:rPr>
        <w:t xml:space="preserve"> </w:t>
      </w:r>
      <w:r>
        <w:rPr>
          <w:spacing w:val="-1"/>
          <w:position w:val="8"/>
          <w:sz w:val="35"/>
          <w:szCs w:val="35"/>
          <w14:textOutline w14:w="6537" w14:cap="sq" w14:cmpd="sng">
            <w14:solidFill>
              <w14:srgbClr w14:val="000000"/>
            </w14:solidFill>
            <w14:prstDash w14:val="solid"/>
            <w14:bevel/>
          </w14:textOutline>
        </w:rPr>
        <w:t>公</w:t>
      </w:r>
      <w:r>
        <w:rPr>
          <w:spacing w:val="-73"/>
          <w:position w:val="8"/>
          <w:sz w:val="35"/>
          <w:szCs w:val="35"/>
        </w:rPr>
        <w:t xml:space="preserve"> </w:t>
      </w:r>
      <w:r>
        <w:rPr>
          <w:spacing w:val="-1"/>
          <w:position w:val="8"/>
          <w:sz w:val="35"/>
          <w:szCs w:val="35"/>
          <w14:textOutline w14:w="6537" w14:cap="sq" w14:cmpd="sng">
            <w14:solidFill>
              <w14:srgbClr w14:val="000000"/>
            </w14:solidFill>
            <w14:prstDash w14:val="solid"/>
            <w14:bevel/>
          </w14:textOutline>
        </w:rPr>
        <w:t>告</w:t>
      </w:r>
    </w:p>
    <w:p>
      <w:pPr>
        <w:pStyle w:val="10"/>
        <w:keepNext w:val="0"/>
        <w:keepLines w:val="0"/>
        <w:widowControl/>
        <w:suppressLineNumbers w:val="0"/>
        <w:spacing w:before="0" w:beforeAutospacing="0" w:after="0" w:afterAutospacing="0"/>
        <w:ind w:left="0" w:right="0" w:firstLine="0"/>
        <w:jc w:val="center"/>
        <w:rPr>
          <w:rFonts w:ascii="宋体" w:hAnsi="宋体" w:eastAsia="宋体" w:cs="宋体"/>
          <w:b/>
          <w:bCs/>
          <w:snapToGrid w:val="0"/>
          <w:color w:val="000000"/>
          <w:spacing w:val="-15"/>
          <w:kern w:val="0"/>
          <w:sz w:val="24"/>
          <w:szCs w:val="24"/>
          <w:lang w:val="en-US" w:eastAsia="en-US" w:bidi="ar-SA"/>
        </w:rPr>
      </w:pPr>
    </w:p>
    <w:p>
      <w:pPr>
        <w:spacing w:line="283" w:lineRule="auto"/>
        <w:rPr>
          <w:rFonts w:ascii="Arial"/>
          <w:sz w:val="21"/>
        </w:rPr>
      </w:pPr>
    </w:p>
    <w:p>
      <w:pPr>
        <w:spacing w:line="284" w:lineRule="auto"/>
        <w:rPr>
          <w:rFonts w:ascii="Arial"/>
          <w:sz w:val="21"/>
        </w:rPr>
      </w:pPr>
    </w:p>
    <w:p>
      <w:pPr>
        <w:spacing w:before="78" w:line="219" w:lineRule="auto"/>
        <w:ind w:left="143"/>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1.招标条件</w:t>
      </w:r>
    </w:p>
    <w:p>
      <w:pPr>
        <w:spacing w:before="182" w:line="359" w:lineRule="auto"/>
        <w:ind w:left="125" w:right="155" w:firstLine="563"/>
        <w:jc w:val="both"/>
        <w:rPr>
          <w:rFonts w:ascii="宋体" w:hAnsi="宋体" w:eastAsia="宋体" w:cs="宋体"/>
          <w:sz w:val="24"/>
          <w:szCs w:val="24"/>
        </w:rPr>
      </w:pPr>
      <w:r>
        <w:rPr>
          <w:rFonts w:ascii="宋体" w:hAnsi="宋体" w:eastAsia="宋体" w:cs="宋体"/>
          <w:spacing w:val="-3"/>
          <w:sz w:val="24"/>
          <w:szCs w:val="24"/>
        </w:rPr>
        <w:t>本招标项目</w:t>
      </w:r>
      <w:r>
        <w:rPr>
          <w:rFonts w:hint="eastAsia" w:ascii="宋体" w:hAnsi="宋体" w:eastAsia="宋体" w:cs="宋体"/>
          <w:spacing w:val="-3"/>
          <w:sz w:val="24"/>
          <w:szCs w:val="24"/>
          <w:u w:val="single"/>
          <w:lang w:eastAsia="zh-CN"/>
        </w:rPr>
        <w:t>阳西县2023-2024年普通省道联结工程 (程村镇Y046线程石线-文山朗村)</w:t>
      </w:r>
      <w:r>
        <w:rPr>
          <w:rFonts w:ascii="宋体" w:hAnsi="宋体" w:eastAsia="宋体" w:cs="宋体"/>
          <w:spacing w:val="-3"/>
          <w:sz w:val="24"/>
          <w:szCs w:val="24"/>
        </w:rPr>
        <w:t>已由</w:t>
      </w:r>
      <w:r>
        <w:rPr>
          <w:rFonts w:hint="eastAsia" w:ascii="宋体" w:hAnsi="宋体" w:eastAsia="宋体" w:cs="宋体"/>
          <w:color w:val="000000" w:themeColor="text1"/>
          <w:spacing w:val="0"/>
          <w:sz w:val="24"/>
          <w:szCs w:val="24"/>
          <w:u w:val="single"/>
          <w:lang w:val="en-US" w:eastAsia="zh-CN"/>
          <w14:textFill>
            <w14:solidFill>
              <w14:schemeClr w14:val="tx1"/>
            </w14:solidFill>
          </w14:textFill>
        </w:rPr>
        <w:t>阳西县交通运输局</w:t>
      </w:r>
      <w:r>
        <w:rPr>
          <w:rFonts w:ascii="宋体" w:hAnsi="宋体" w:eastAsia="宋体" w:cs="宋体"/>
          <w:spacing w:val="-3"/>
          <w:sz w:val="24"/>
          <w:szCs w:val="24"/>
        </w:rPr>
        <w:t xml:space="preserve">以 </w:t>
      </w:r>
      <w:r>
        <w:rPr>
          <w:rFonts w:hint="eastAsia" w:ascii="宋体" w:hAnsi="宋体" w:eastAsia="宋体" w:cs="宋体"/>
          <w:color w:val="000000" w:themeColor="text1"/>
          <w:spacing w:val="0"/>
          <w:sz w:val="24"/>
          <w:szCs w:val="24"/>
          <w:u w:val="single"/>
          <w:lang w:eastAsia="zh-CN"/>
          <w14:textFill>
            <w14:solidFill>
              <w14:schemeClr w14:val="tx1"/>
            </w14:solidFill>
          </w14:textFill>
        </w:rPr>
        <w:t>《关于阳西县 2023-2024 年普通省道联结工程（程村镇 Y046 线程石线-文山朗村)施工图设计(修编)的批复》（</w:t>
      </w:r>
      <w:r>
        <w:rPr>
          <w:rFonts w:hint="eastAsia" w:ascii="宋体" w:hAnsi="宋体" w:eastAsia="宋体" w:cs="宋体"/>
          <w:color w:val="000000" w:themeColor="text1"/>
          <w:spacing w:val="0"/>
          <w:sz w:val="24"/>
          <w:szCs w:val="24"/>
          <w:u w:val="single"/>
          <w:lang w:val="en-US" w:eastAsia="zh-CN"/>
          <w14:textFill>
            <w14:solidFill>
              <w14:schemeClr w14:val="tx1"/>
            </w14:solidFill>
          </w14:textFill>
        </w:rPr>
        <w:t>西</w:t>
      </w:r>
      <w:r>
        <w:rPr>
          <w:rFonts w:hint="eastAsia" w:ascii="宋体" w:hAnsi="宋体" w:eastAsia="宋体" w:cs="宋体"/>
          <w:color w:val="000000" w:themeColor="text1"/>
          <w:spacing w:val="0"/>
          <w:sz w:val="24"/>
          <w:szCs w:val="24"/>
          <w:u w:val="single"/>
          <w:lang w:eastAsia="zh-CN"/>
          <w14:textFill>
            <w14:solidFill>
              <w14:schemeClr w14:val="tx1"/>
            </w14:solidFill>
          </w14:textFill>
        </w:rPr>
        <w:t>交复(2023)</w:t>
      </w:r>
      <w:r>
        <w:rPr>
          <w:rFonts w:hint="eastAsia" w:ascii="宋体" w:hAnsi="宋体" w:eastAsia="宋体" w:cs="宋体"/>
          <w:color w:val="000000" w:themeColor="text1"/>
          <w:spacing w:val="0"/>
          <w:sz w:val="24"/>
          <w:szCs w:val="24"/>
          <w:u w:val="single"/>
          <w:lang w:val="en-US" w:eastAsia="zh-CN"/>
          <w14:textFill>
            <w14:solidFill>
              <w14:schemeClr w14:val="tx1"/>
            </w14:solidFill>
          </w14:textFill>
        </w:rPr>
        <w:t>492</w:t>
      </w:r>
      <w:r>
        <w:rPr>
          <w:rFonts w:hint="eastAsia" w:ascii="宋体" w:hAnsi="宋体" w:eastAsia="宋体" w:cs="宋体"/>
          <w:color w:val="000000" w:themeColor="text1"/>
          <w:spacing w:val="0"/>
          <w:sz w:val="24"/>
          <w:szCs w:val="24"/>
          <w:u w:val="single"/>
          <w:lang w:eastAsia="zh-CN"/>
          <w14:textFill>
            <w14:solidFill>
              <w14:schemeClr w14:val="tx1"/>
            </w14:solidFill>
          </w14:textFill>
        </w:rPr>
        <w:t>号）</w:t>
      </w:r>
      <w:r>
        <w:rPr>
          <w:rFonts w:ascii="宋体" w:hAnsi="宋体" w:eastAsia="宋体" w:cs="宋体"/>
          <w:spacing w:val="-3"/>
          <w:sz w:val="24"/>
          <w:szCs w:val="24"/>
        </w:rPr>
        <w:t>批准建设 ，施工图设计已由</w:t>
      </w:r>
      <w:r>
        <w:rPr>
          <w:rFonts w:hint="eastAsia" w:ascii="宋体" w:hAnsi="宋体" w:eastAsia="宋体" w:cs="宋体"/>
          <w:color w:val="000000" w:themeColor="text1"/>
          <w:spacing w:val="0"/>
          <w:sz w:val="24"/>
          <w:szCs w:val="24"/>
          <w:u w:val="single"/>
          <w:lang w:val="en-US" w:eastAsia="zh-CN"/>
          <w14:textFill>
            <w14:solidFill>
              <w14:schemeClr w14:val="tx1"/>
            </w14:solidFill>
          </w14:textFill>
        </w:rPr>
        <w:t>阳西县交通运输局</w:t>
      </w:r>
      <w:r>
        <w:rPr>
          <w:rFonts w:ascii="宋体" w:hAnsi="宋体" w:eastAsia="宋体" w:cs="宋体"/>
          <w:spacing w:val="-3"/>
          <w:sz w:val="24"/>
          <w:szCs w:val="24"/>
        </w:rPr>
        <w:t xml:space="preserve">以 </w:t>
      </w:r>
      <w:r>
        <w:rPr>
          <w:rFonts w:hint="eastAsia" w:ascii="宋体" w:hAnsi="宋体" w:eastAsia="宋体" w:cs="宋体"/>
          <w:color w:val="000000" w:themeColor="text1"/>
          <w:spacing w:val="0"/>
          <w:sz w:val="24"/>
          <w:szCs w:val="24"/>
          <w:u w:val="single"/>
          <w:lang w:val="en-US" w:eastAsia="zh-CN"/>
          <w14:textFill>
            <w14:solidFill>
              <w14:schemeClr w14:val="tx1"/>
            </w14:solidFill>
          </w14:textFill>
        </w:rPr>
        <w:t>西</w:t>
      </w:r>
      <w:r>
        <w:rPr>
          <w:rFonts w:hint="eastAsia" w:ascii="宋体" w:hAnsi="宋体" w:eastAsia="宋体" w:cs="宋体"/>
          <w:color w:val="000000" w:themeColor="text1"/>
          <w:spacing w:val="0"/>
          <w:sz w:val="24"/>
          <w:szCs w:val="24"/>
          <w:u w:val="single"/>
          <w:lang w:eastAsia="zh-CN"/>
          <w14:textFill>
            <w14:solidFill>
              <w14:schemeClr w14:val="tx1"/>
            </w14:solidFill>
          </w14:textFill>
        </w:rPr>
        <w:t>交复(2023)</w:t>
      </w:r>
      <w:r>
        <w:rPr>
          <w:rFonts w:hint="eastAsia" w:ascii="宋体" w:hAnsi="宋体" w:eastAsia="宋体" w:cs="宋体"/>
          <w:color w:val="000000" w:themeColor="text1"/>
          <w:spacing w:val="0"/>
          <w:sz w:val="24"/>
          <w:szCs w:val="24"/>
          <w:u w:val="single"/>
          <w:lang w:val="en-US" w:eastAsia="zh-CN"/>
          <w14:textFill>
            <w14:solidFill>
              <w14:schemeClr w14:val="tx1"/>
            </w14:solidFill>
          </w14:textFill>
        </w:rPr>
        <w:t>492</w:t>
      </w:r>
      <w:r>
        <w:rPr>
          <w:rFonts w:hint="eastAsia" w:ascii="宋体" w:hAnsi="宋体" w:eastAsia="宋体" w:cs="宋体"/>
          <w:color w:val="000000" w:themeColor="text1"/>
          <w:spacing w:val="0"/>
          <w:sz w:val="24"/>
          <w:szCs w:val="24"/>
          <w:u w:val="single"/>
          <w:lang w:eastAsia="zh-CN"/>
          <w14:textFill>
            <w14:solidFill>
              <w14:schemeClr w14:val="tx1"/>
            </w14:solidFill>
          </w14:textFill>
        </w:rPr>
        <w:t>号</w:t>
      </w:r>
      <w:r>
        <w:rPr>
          <w:rFonts w:hint="eastAsia" w:ascii="宋体" w:hAnsi="宋体" w:eastAsia="宋体" w:cs="宋体"/>
          <w:color w:val="000000" w:themeColor="text1"/>
          <w:spacing w:val="0"/>
          <w:sz w:val="24"/>
          <w:szCs w:val="24"/>
          <w:u w:val="single"/>
          <w:lang w:val="en-US" w:eastAsia="zh-CN"/>
          <w14:textFill>
            <w14:solidFill>
              <w14:schemeClr w14:val="tx1"/>
            </w14:solidFill>
          </w14:textFill>
        </w:rPr>
        <w:t xml:space="preserve"> </w:t>
      </w:r>
      <w:r>
        <w:rPr>
          <w:rFonts w:ascii="宋体" w:hAnsi="宋体" w:eastAsia="宋体" w:cs="宋体"/>
          <w:spacing w:val="-3"/>
          <w:sz w:val="24"/>
          <w:szCs w:val="24"/>
        </w:rPr>
        <w:t>批准 ，建设资金来自</w:t>
      </w:r>
      <w:r>
        <w:rPr>
          <w:rFonts w:hint="eastAsia" w:ascii="宋体" w:hAnsi="宋体" w:eastAsia="宋体" w:cs="宋体"/>
          <w:color w:val="000000" w:themeColor="text1"/>
          <w:spacing w:val="0"/>
          <w:sz w:val="24"/>
          <w:szCs w:val="24"/>
          <w:u w:val="single"/>
          <w:lang w:val="en-US" w:eastAsia="zh-CN"/>
          <w14:textFill>
            <w14:solidFill>
              <w14:schemeClr w14:val="tx1"/>
            </w14:solidFill>
          </w14:textFill>
        </w:rPr>
        <w:t>除上级助外，不足部分由县财政统筹解决</w:t>
      </w:r>
      <w:r>
        <w:rPr>
          <w:rFonts w:ascii="宋体" w:hAnsi="宋体" w:eastAsia="宋体" w:cs="宋体"/>
          <w:spacing w:val="-3"/>
          <w:sz w:val="24"/>
          <w:szCs w:val="24"/>
        </w:rPr>
        <w:t xml:space="preserve">，项目出资比例为  </w:t>
      </w:r>
      <w:r>
        <w:rPr>
          <w:rFonts w:hint="eastAsia" w:ascii="宋体" w:hAnsi="宋体" w:eastAsia="宋体" w:cs="宋体"/>
          <w:spacing w:val="-3"/>
          <w:sz w:val="24"/>
          <w:szCs w:val="24"/>
          <w:u w:val="single"/>
          <w:lang w:val="en-US" w:eastAsia="zh-CN"/>
        </w:rPr>
        <w:t>100%</w:t>
      </w:r>
      <w:r>
        <w:rPr>
          <w:rFonts w:ascii="宋体" w:hAnsi="宋体" w:eastAsia="宋体" w:cs="宋体"/>
          <w:spacing w:val="-3"/>
          <w:sz w:val="24"/>
          <w:szCs w:val="24"/>
          <w:u w:val="single"/>
        </w:rPr>
        <w:t xml:space="preserve"> </w:t>
      </w:r>
      <w:r>
        <w:rPr>
          <w:rFonts w:ascii="宋体" w:hAnsi="宋体" w:eastAsia="宋体" w:cs="宋体"/>
          <w:spacing w:val="-3"/>
          <w:sz w:val="24"/>
          <w:szCs w:val="24"/>
        </w:rPr>
        <w:t>，招标人为</w:t>
      </w:r>
      <w:r>
        <w:rPr>
          <w:rFonts w:hint="eastAsia" w:ascii="宋体" w:hAnsi="宋体" w:eastAsia="宋体" w:cs="宋体"/>
          <w:color w:val="000000" w:themeColor="text1"/>
          <w:spacing w:val="0"/>
          <w:sz w:val="24"/>
          <w:szCs w:val="24"/>
          <w:u w:val="single"/>
          <w:lang w:val="en-US" w:eastAsia="zh-CN"/>
          <w14:textFill>
            <w14:solidFill>
              <w14:schemeClr w14:val="tx1"/>
            </w14:solidFill>
          </w14:textFill>
        </w:rPr>
        <w:t>阳西县程村镇人民政府</w:t>
      </w:r>
      <w:r>
        <w:rPr>
          <w:rFonts w:ascii="宋体" w:hAnsi="宋体" w:eastAsia="宋体" w:cs="宋体"/>
          <w:spacing w:val="-3"/>
          <w:sz w:val="24"/>
          <w:szCs w:val="24"/>
        </w:rPr>
        <w:t xml:space="preserve"> 。项目已具备招标条件，现对该项目的施工采用资格后审方式进行公开招标。</w:t>
      </w:r>
    </w:p>
    <w:p>
      <w:pPr>
        <w:spacing w:before="182" w:line="219" w:lineRule="auto"/>
        <w:ind w:left="129"/>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2.项目概况与招标范围</w:t>
      </w:r>
    </w:p>
    <w:p>
      <w:pPr>
        <w:spacing w:before="183" w:line="219" w:lineRule="auto"/>
        <w:ind w:left="609"/>
        <w:rPr>
          <w:rFonts w:ascii="宋体" w:hAnsi="宋体" w:eastAsia="宋体" w:cs="宋体"/>
          <w:spacing w:val="-3"/>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1</w:t>
      </w:r>
      <w:r>
        <w:rPr>
          <w:rFonts w:hint="eastAsia" w:ascii="宋体" w:hAnsi="宋体" w:eastAsia="宋体" w:cs="宋体"/>
          <w:spacing w:val="-3"/>
          <w:sz w:val="24"/>
          <w:szCs w:val="24"/>
          <w:lang w:eastAsia="zh-CN"/>
        </w:rPr>
        <w:t>）</w:t>
      </w:r>
      <w:r>
        <w:rPr>
          <w:rFonts w:ascii="宋体" w:hAnsi="宋体" w:eastAsia="宋体" w:cs="宋体"/>
          <w:spacing w:val="-38"/>
          <w:sz w:val="24"/>
          <w:szCs w:val="24"/>
        </w:rPr>
        <w:t xml:space="preserve"> </w:t>
      </w:r>
      <w:r>
        <w:rPr>
          <w:rFonts w:ascii="宋体" w:hAnsi="宋体" w:eastAsia="宋体" w:cs="宋体"/>
          <w:spacing w:val="-3"/>
          <w:sz w:val="24"/>
          <w:szCs w:val="24"/>
        </w:rPr>
        <w:t>项目概况与招标范围</w:t>
      </w:r>
    </w:p>
    <w:p>
      <w:pPr>
        <w:pStyle w:val="21"/>
        <w:keepNext w:val="0"/>
        <w:keepLines w:val="0"/>
        <w:pageBreakBefore w:val="0"/>
        <w:widowControl/>
        <w:kinsoku/>
        <w:wordWrap/>
        <w:overflowPunct/>
        <w:topLinePunct w:val="0"/>
        <w:autoSpaceDE/>
        <w:autoSpaceDN/>
        <w:bidi w:val="0"/>
        <w:adjustRightInd/>
        <w:snapToGrid w:val="0"/>
        <w:spacing w:line="360" w:lineRule="auto"/>
        <w:textAlignment w:val="baseline"/>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程村镇 Y046 线程石线</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文山朗村路线起点位于程龙线，起点桩号 K0+000，经上花山、长芙、沙岗，终于文山朗村，终点桩号K3+700，路线总长 3.700km。该公路建成通车以来，取得了良好的社会效益。近几年来，由于车流量大、路面宽度不足等原因，给沿线居民的日常出行带来极大的不便，为保障群众日常出行安全便捷，提高群众的生产效率，现需对该路线道路进行单改双拓宽改造</w:t>
      </w:r>
      <w:r>
        <w:rPr>
          <w:rFonts w:hint="eastAsia" w:ascii="宋体" w:hAnsi="宋体" w:eastAsia="宋体" w:cs="宋体"/>
          <w:color w:val="000000" w:themeColor="text1"/>
          <w:sz w:val="24"/>
          <w:szCs w:val="24"/>
          <w:lang w:eastAsia="zh-CN"/>
          <w14:textFill>
            <w14:solidFill>
              <w14:schemeClr w14:val="tx1"/>
            </w14:solidFill>
          </w14:textFill>
        </w:rPr>
        <w:t>。</w:t>
      </w:r>
    </w:p>
    <w:p>
      <w:pPr>
        <w:spacing w:before="183" w:line="219" w:lineRule="auto"/>
        <w:ind w:left="609"/>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计划工期：</w:t>
      </w:r>
      <w:r>
        <w:rPr>
          <w:rFonts w:hint="eastAsia" w:ascii="宋体" w:hAnsi="宋体" w:eastAsia="宋体" w:cs="宋体"/>
          <w:spacing w:val="-3"/>
          <w:sz w:val="24"/>
          <w:szCs w:val="24"/>
          <w:highlight w:val="none"/>
          <w:u w:val="single"/>
          <w:lang w:val="en-US" w:eastAsia="zh-CN"/>
        </w:rPr>
        <w:t xml:space="preserve">180 </w:t>
      </w:r>
      <w:r>
        <w:rPr>
          <w:rFonts w:hint="eastAsia" w:ascii="宋体" w:hAnsi="宋体" w:eastAsia="宋体" w:cs="宋体"/>
          <w:spacing w:val="-3"/>
          <w:sz w:val="24"/>
          <w:szCs w:val="24"/>
          <w:highlight w:val="none"/>
          <w:lang w:eastAsia="zh-CN"/>
        </w:rPr>
        <w:t>日历天；</w:t>
      </w:r>
    </w:p>
    <w:p>
      <w:pPr>
        <w:spacing w:before="183" w:line="219" w:lineRule="auto"/>
        <w:ind w:left="609"/>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招标范围：本工程项目招标图纸和清单范围内的施工准备阶段、施工阶段、交（竣）工验收及缺陷责任期阶段的全过程施工。具体工程内容以施工图及工程量清单为准。</w:t>
      </w:r>
    </w:p>
    <w:p>
      <w:pPr>
        <w:spacing w:before="181" w:line="220" w:lineRule="auto"/>
        <w:ind w:left="609"/>
        <w:rPr>
          <w:rFonts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lang w:eastAsia="zh-CN"/>
        </w:rPr>
        <w:t>）</w:t>
      </w:r>
      <w:r>
        <w:rPr>
          <w:rFonts w:ascii="宋体" w:hAnsi="宋体" w:eastAsia="宋体" w:cs="宋体"/>
          <w:spacing w:val="-2"/>
          <w:sz w:val="24"/>
          <w:szCs w:val="24"/>
        </w:rPr>
        <w:t>标段划分</w:t>
      </w:r>
    </w:p>
    <w:p>
      <w:pPr>
        <w:spacing w:before="182" w:line="217" w:lineRule="auto"/>
        <w:ind w:left="607"/>
        <w:rPr>
          <w:rFonts w:ascii="宋体" w:hAnsi="宋体" w:eastAsia="宋体" w:cs="宋体"/>
          <w:spacing w:val="-3"/>
          <w:sz w:val="24"/>
          <w:szCs w:val="24"/>
        </w:rPr>
      </w:pPr>
      <w:r>
        <w:rPr>
          <w:rFonts w:ascii="宋体" w:hAnsi="宋体" w:eastAsia="宋体" w:cs="宋体"/>
          <w:spacing w:val="-2"/>
          <w:sz w:val="24"/>
          <w:szCs w:val="24"/>
        </w:rPr>
        <w:t>本次招标共分</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1</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个标类</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1</w:t>
      </w:r>
      <w:r>
        <w:rPr>
          <w:rFonts w:ascii="宋体" w:hAnsi="宋体" w:eastAsia="宋体" w:cs="宋体"/>
          <w:spacing w:val="-2"/>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个标段。具体见附件</w:t>
      </w:r>
      <w:r>
        <w:rPr>
          <w:rFonts w:ascii="宋体" w:hAnsi="宋体" w:eastAsia="宋体" w:cs="宋体"/>
          <w:spacing w:val="-33"/>
          <w:sz w:val="24"/>
          <w:szCs w:val="24"/>
        </w:rPr>
        <w:t xml:space="preserve"> </w:t>
      </w:r>
      <w:r>
        <w:rPr>
          <w:rFonts w:ascii="宋体" w:hAnsi="宋体" w:eastAsia="宋体" w:cs="宋体"/>
          <w:spacing w:val="-3"/>
          <w:sz w:val="24"/>
          <w:szCs w:val="24"/>
        </w:rPr>
        <w:t>1。</w:t>
      </w:r>
    </w:p>
    <w:p>
      <w:pPr>
        <w:spacing w:before="182" w:line="217" w:lineRule="auto"/>
        <w:ind w:left="607"/>
        <w:rPr>
          <w:rFonts w:ascii="宋体" w:hAnsi="宋体" w:eastAsia="宋体" w:cs="宋体"/>
          <w:spacing w:val="-3"/>
          <w:sz w:val="24"/>
          <w:szCs w:val="24"/>
        </w:rPr>
      </w:pPr>
    </w:p>
    <w:p>
      <w:pPr>
        <w:spacing w:before="182" w:line="217" w:lineRule="auto"/>
        <w:ind w:left="607"/>
        <w:rPr>
          <w:rFonts w:ascii="宋体" w:hAnsi="宋体" w:eastAsia="宋体" w:cs="宋体"/>
          <w:spacing w:val="-3"/>
          <w:sz w:val="24"/>
          <w:szCs w:val="24"/>
        </w:rPr>
      </w:pPr>
    </w:p>
    <w:p>
      <w:pPr>
        <w:spacing w:before="182" w:line="217" w:lineRule="auto"/>
        <w:ind w:left="607"/>
        <w:rPr>
          <w:rFonts w:ascii="宋体" w:hAnsi="宋体" w:eastAsia="宋体" w:cs="宋体"/>
          <w:spacing w:val="-3"/>
          <w:sz w:val="24"/>
          <w:szCs w:val="24"/>
        </w:rPr>
      </w:pPr>
    </w:p>
    <w:p>
      <w:pPr>
        <w:spacing w:before="182" w:line="217" w:lineRule="auto"/>
        <w:ind w:left="607"/>
        <w:rPr>
          <w:rFonts w:ascii="宋体" w:hAnsi="宋体" w:eastAsia="宋体" w:cs="宋体"/>
          <w:spacing w:val="-3"/>
          <w:sz w:val="24"/>
          <w:szCs w:val="24"/>
        </w:rPr>
      </w:pPr>
    </w:p>
    <w:p>
      <w:pPr>
        <w:spacing w:before="182" w:line="217" w:lineRule="auto"/>
        <w:ind w:left="607"/>
        <w:rPr>
          <w:rFonts w:ascii="宋体" w:hAnsi="宋体" w:eastAsia="宋体" w:cs="宋体"/>
          <w:spacing w:val="-3"/>
          <w:sz w:val="24"/>
          <w:szCs w:val="24"/>
        </w:rPr>
      </w:pPr>
    </w:p>
    <w:p>
      <w:pPr>
        <w:spacing w:before="182" w:line="217" w:lineRule="auto"/>
        <w:ind w:left="607"/>
        <w:rPr>
          <w:rFonts w:ascii="宋体" w:hAnsi="宋体" w:eastAsia="宋体" w:cs="宋体"/>
          <w:spacing w:val="-3"/>
          <w:sz w:val="24"/>
          <w:szCs w:val="24"/>
        </w:rPr>
      </w:pPr>
    </w:p>
    <w:p>
      <w:pPr>
        <w:spacing w:before="182" w:line="217" w:lineRule="auto"/>
        <w:ind w:left="607"/>
        <w:rPr>
          <w:rFonts w:ascii="宋体" w:hAnsi="宋体" w:eastAsia="宋体" w:cs="宋体"/>
          <w:spacing w:val="-3"/>
          <w:sz w:val="24"/>
          <w:szCs w:val="24"/>
        </w:rPr>
      </w:pPr>
    </w:p>
    <w:p>
      <w:pPr>
        <w:spacing w:line="148" w:lineRule="exact"/>
      </w:pPr>
    </w:p>
    <w:tbl>
      <w:tblPr>
        <w:tblStyle w:val="16"/>
        <w:tblW w:w="9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7"/>
        <w:gridCol w:w="977"/>
        <w:gridCol w:w="811"/>
        <w:gridCol w:w="814"/>
        <w:gridCol w:w="1328"/>
        <w:gridCol w:w="1624"/>
        <w:gridCol w:w="24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337" w:type="dxa"/>
            <w:vAlign w:val="top"/>
          </w:tcPr>
          <w:p>
            <w:pPr>
              <w:pStyle w:val="17"/>
              <w:spacing w:before="227" w:line="219" w:lineRule="auto"/>
              <w:ind w:left="429"/>
              <w:rPr>
                <w:sz w:val="24"/>
                <w:szCs w:val="24"/>
              </w:rPr>
            </w:pPr>
            <w:r>
              <w:rPr>
                <w:spacing w:val="-7"/>
                <w:sz w:val="24"/>
                <w:szCs w:val="24"/>
              </w:rPr>
              <w:t>标段类别</w:t>
            </w:r>
          </w:p>
        </w:tc>
        <w:tc>
          <w:tcPr>
            <w:tcW w:w="977" w:type="dxa"/>
            <w:textDirection w:val="tbRlV"/>
            <w:vAlign w:val="top"/>
          </w:tcPr>
          <w:p>
            <w:pPr>
              <w:pStyle w:val="17"/>
              <w:spacing w:before="141" w:line="208" w:lineRule="auto"/>
              <w:ind w:left="73"/>
              <w:rPr>
                <w:sz w:val="24"/>
                <w:szCs w:val="24"/>
              </w:rPr>
            </w:pPr>
            <w:r>
              <w:rPr>
                <w:spacing w:val="34"/>
                <w:sz w:val="24"/>
                <w:szCs w:val="24"/>
              </w:rPr>
              <w:t>标段</w:t>
            </w:r>
          </w:p>
        </w:tc>
        <w:tc>
          <w:tcPr>
            <w:tcW w:w="811" w:type="dxa"/>
            <w:vAlign w:val="top"/>
          </w:tcPr>
          <w:p>
            <w:pPr>
              <w:pStyle w:val="17"/>
              <w:spacing w:before="73" w:line="238" w:lineRule="auto"/>
              <w:ind w:left="167"/>
              <w:rPr>
                <w:sz w:val="24"/>
                <w:szCs w:val="24"/>
              </w:rPr>
            </w:pPr>
            <w:r>
              <w:rPr>
                <w:spacing w:val="-6"/>
                <w:sz w:val="24"/>
                <w:szCs w:val="24"/>
              </w:rPr>
              <w:t>起讫</w:t>
            </w:r>
          </w:p>
          <w:p>
            <w:pPr>
              <w:pStyle w:val="17"/>
              <w:spacing w:line="219" w:lineRule="auto"/>
              <w:ind w:left="166"/>
              <w:rPr>
                <w:sz w:val="24"/>
                <w:szCs w:val="24"/>
              </w:rPr>
            </w:pPr>
            <w:r>
              <w:rPr>
                <w:spacing w:val="-5"/>
                <w:sz w:val="24"/>
                <w:szCs w:val="24"/>
              </w:rPr>
              <w:t>桩号</w:t>
            </w:r>
          </w:p>
        </w:tc>
        <w:tc>
          <w:tcPr>
            <w:tcW w:w="814" w:type="dxa"/>
            <w:vAlign w:val="top"/>
          </w:tcPr>
          <w:p>
            <w:pPr>
              <w:pStyle w:val="17"/>
              <w:spacing w:before="73" w:line="238" w:lineRule="auto"/>
              <w:ind w:left="170"/>
              <w:rPr>
                <w:sz w:val="24"/>
                <w:szCs w:val="24"/>
              </w:rPr>
            </w:pPr>
            <w:r>
              <w:rPr>
                <w:spacing w:val="-6"/>
                <w:sz w:val="24"/>
                <w:szCs w:val="24"/>
              </w:rPr>
              <w:t>长度</w:t>
            </w:r>
          </w:p>
          <w:p>
            <w:pPr>
              <w:pStyle w:val="17"/>
              <w:spacing w:line="222" w:lineRule="auto"/>
              <w:ind w:left="211"/>
              <w:rPr>
                <w:sz w:val="24"/>
                <w:szCs w:val="24"/>
              </w:rPr>
            </w:pPr>
            <w:r>
              <w:rPr>
                <w:spacing w:val="-13"/>
                <w:sz w:val="24"/>
                <w:szCs w:val="24"/>
              </w:rPr>
              <w:t>(km)</w:t>
            </w:r>
          </w:p>
        </w:tc>
        <w:tc>
          <w:tcPr>
            <w:tcW w:w="1328" w:type="dxa"/>
            <w:vAlign w:val="top"/>
          </w:tcPr>
          <w:p>
            <w:pPr>
              <w:pStyle w:val="17"/>
              <w:spacing w:before="72" w:line="229" w:lineRule="auto"/>
              <w:ind w:left="429" w:right="177" w:hanging="241"/>
              <w:rPr>
                <w:sz w:val="24"/>
                <w:szCs w:val="24"/>
              </w:rPr>
            </w:pPr>
            <w:r>
              <w:rPr>
                <w:spacing w:val="-3"/>
                <w:sz w:val="24"/>
                <w:szCs w:val="24"/>
              </w:rPr>
              <w:t>主要工程</w:t>
            </w:r>
            <w:r>
              <w:rPr>
                <w:sz w:val="24"/>
                <w:szCs w:val="24"/>
              </w:rPr>
              <w:t xml:space="preserve"> </w:t>
            </w:r>
            <w:r>
              <w:rPr>
                <w:spacing w:val="-7"/>
                <w:sz w:val="24"/>
                <w:szCs w:val="24"/>
              </w:rPr>
              <w:t>项目</w:t>
            </w:r>
          </w:p>
        </w:tc>
        <w:tc>
          <w:tcPr>
            <w:tcW w:w="1624" w:type="dxa"/>
            <w:vAlign w:val="top"/>
          </w:tcPr>
          <w:p>
            <w:pPr>
              <w:pStyle w:val="17"/>
              <w:spacing w:before="73" w:line="229" w:lineRule="auto"/>
              <w:ind w:left="581" w:right="100" w:hanging="465"/>
              <w:rPr>
                <w:sz w:val="24"/>
                <w:szCs w:val="24"/>
              </w:rPr>
            </w:pPr>
            <w:r>
              <w:rPr>
                <w:spacing w:val="-9"/>
                <w:sz w:val="24"/>
                <w:szCs w:val="24"/>
              </w:rPr>
              <w:t>对投标人资质</w:t>
            </w:r>
            <w:r>
              <w:rPr>
                <w:spacing w:val="3"/>
                <w:sz w:val="24"/>
                <w:szCs w:val="24"/>
              </w:rPr>
              <w:t xml:space="preserve"> </w:t>
            </w:r>
            <w:r>
              <w:rPr>
                <w:spacing w:val="-6"/>
                <w:sz w:val="24"/>
                <w:szCs w:val="24"/>
              </w:rPr>
              <w:t>要求</w:t>
            </w:r>
          </w:p>
        </w:tc>
        <w:tc>
          <w:tcPr>
            <w:tcW w:w="2466" w:type="dxa"/>
            <w:vAlign w:val="top"/>
          </w:tcPr>
          <w:p>
            <w:pPr>
              <w:pStyle w:val="17"/>
              <w:spacing w:before="226" w:line="221" w:lineRule="auto"/>
              <w:ind w:left="778"/>
              <w:rPr>
                <w:sz w:val="24"/>
                <w:szCs w:val="24"/>
              </w:rPr>
            </w:pPr>
            <w:r>
              <w:rPr>
                <w:spacing w:val="-7"/>
                <w:sz w:val="24"/>
                <w:szCs w:val="24"/>
              </w:rPr>
              <w:t>备</w:t>
            </w:r>
            <w:r>
              <w:rPr>
                <w:spacing w:val="29"/>
                <w:sz w:val="24"/>
                <w:szCs w:val="24"/>
              </w:rPr>
              <w:t xml:space="preserve">   </w:t>
            </w:r>
            <w:r>
              <w:rPr>
                <w:spacing w:val="-7"/>
                <w:sz w:val="24"/>
                <w:szCs w:val="24"/>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337" w:type="dxa"/>
            <w:vAlign w:val="center"/>
          </w:tcPr>
          <w:p>
            <w:pPr>
              <w:pStyle w:val="17"/>
              <w:spacing w:before="37" w:line="219" w:lineRule="auto"/>
              <w:jc w:val="center"/>
              <w:rPr>
                <w:rFonts w:ascii="宋体" w:hAnsi="宋体" w:eastAsia="宋体" w:cs="宋体"/>
                <w:sz w:val="24"/>
                <w:szCs w:val="24"/>
              </w:rPr>
            </w:pPr>
            <w:r>
              <w:rPr>
                <w:rFonts w:ascii="宋体" w:hAnsi="宋体" w:eastAsia="宋体" w:cs="宋体"/>
                <w:sz w:val="24"/>
                <w:szCs w:val="24"/>
              </w:rPr>
              <w:t>G</w:t>
            </w:r>
            <w:r>
              <w:rPr>
                <w:rFonts w:ascii="宋体" w:hAnsi="宋体" w:eastAsia="宋体" w:cs="宋体"/>
                <w:spacing w:val="-68"/>
                <w:sz w:val="24"/>
                <w:szCs w:val="24"/>
              </w:rPr>
              <w:t xml:space="preserve"> </w:t>
            </w:r>
            <w:r>
              <w:rPr>
                <w:rFonts w:ascii="宋体" w:hAnsi="宋体" w:eastAsia="宋体" w:cs="宋体"/>
                <w:sz w:val="24"/>
                <w:szCs w:val="24"/>
              </w:rPr>
              <w:t>类</w:t>
            </w:r>
          </w:p>
          <w:p>
            <w:pPr>
              <w:pStyle w:val="17"/>
              <w:spacing w:before="37" w:line="219" w:lineRule="auto"/>
              <w:jc w:val="center"/>
              <w:rPr>
                <w:sz w:val="24"/>
                <w:szCs w:val="24"/>
              </w:rPr>
            </w:pPr>
            <w:r>
              <w:rPr>
                <w:rFonts w:ascii="宋体" w:hAnsi="宋体" w:eastAsia="宋体" w:cs="宋体"/>
                <w:spacing w:val="-7"/>
                <w:sz w:val="24"/>
                <w:szCs w:val="24"/>
              </w:rPr>
              <w:t>路面工程</w:t>
            </w:r>
          </w:p>
        </w:tc>
        <w:tc>
          <w:tcPr>
            <w:tcW w:w="3930" w:type="dxa"/>
            <w:gridSpan w:val="4"/>
            <w:vAlign w:val="top"/>
          </w:tcPr>
          <w:p>
            <w:pPr>
              <w:keepNext w:val="0"/>
              <w:keepLines w:val="0"/>
              <w:widowControl/>
              <w:numPr>
                <w:ilvl w:val="0"/>
                <w:numId w:val="0"/>
              </w:numPr>
              <w:suppressLineNumbers w:val="0"/>
              <w:jc w:val="left"/>
              <w:rPr>
                <w:rFonts w:hint="default" w:eastAsia="宋体"/>
                <w:sz w:val="24"/>
                <w:szCs w:val="24"/>
                <w:lang w:val="en-US" w:eastAsia="zh-CN"/>
              </w:rPr>
            </w:pPr>
            <w:r>
              <w:rPr>
                <w:rFonts w:hint="eastAsia" w:eastAsia="宋体"/>
                <w:sz w:val="24"/>
                <w:szCs w:val="24"/>
                <w:lang w:val="en-US" w:eastAsia="zh-CN"/>
              </w:rPr>
              <w:t>详见附件的预算书审核报告书</w:t>
            </w:r>
          </w:p>
        </w:tc>
        <w:tc>
          <w:tcPr>
            <w:tcW w:w="1624" w:type="dxa"/>
            <w:vAlign w:val="top"/>
          </w:tcPr>
          <w:p>
            <w:pPr>
              <w:spacing w:line="266" w:lineRule="auto"/>
              <w:rPr>
                <w:rFonts w:ascii="Arial"/>
                <w:sz w:val="24"/>
                <w:szCs w:val="24"/>
              </w:rPr>
            </w:pPr>
          </w:p>
          <w:p>
            <w:pPr>
              <w:pStyle w:val="17"/>
              <w:spacing w:before="78" w:line="219" w:lineRule="auto"/>
              <w:ind w:left="246"/>
              <w:rPr>
                <w:sz w:val="24"/>
                <w:szCs w:val="24"/>
              </w:rPr>
            </w:pPr>
            <w:r>
              <w:rPr>
                <w:spacing w:val="-3"/>
                <w:sz w:val="24"/>
                <w:szCs w:val="24"/>
              </w:rPr>
              <w:t>参照附录</w:t>
            </w:r>
            <w:r>
              <w:rPr>
                <w:spacing w:val="-31"/>
                <w:sz w:val="24"/>
                <w:szCs w:val="24"/>
              </w:rPr>
              <w:t xml:space="preserve"> </w:t>
            </w:r>
            <w:r>
              <w:rPr>
                <w:spacing w:val="-3"/>
                <w:sz w:val="24"/>
                <w:szCs w:val="24"/>
              </w:rPr>
              <w:t>1</w:t>
            </w:r>
          </w:p>
        </w:tc>
        <w:tc>
          <w:tcPr>
            <w:tcW w:w="2466" w:type="dxa"/>
            <w:vAlign w:val="top"/>
          </w:tcPr>
          <w:p>
            <w:pPr>
              <w:pStyle w:val="17"/>
              <w:spacing w:before="194" w:line="228" w:lineRule="auto"/>
              <w:ind w:left="181" w:right="173" w:firstLine="8"/>
              <w:rPr>
                <w:sz w:val="24"/>
                <w:szCs w:val="24"/>
              </w:rPr>
            </w:pPr>
            <w:r>
              <w:rPr>
                <w:spacing w:val="-6"/>
                <w:sz w:val="24"/>
                <w:szCs w:val="24"/>
              </w:rPr>
              <w:t>资格审查条件附录</w:t>
            </w:r>
            <w:r>
              <w:rPr>
                <w:spacing w:val="-55"/>
                <w:sz w:val="24"/>
                <w:szCs w:val="24"/>
              </w:rPr>
              <w:t xml:space="preserve"> </w:t>
            </w:r>
            <w:r>
              <w:rPr>
                <w:spacing w:val="-92"/>
                <w:sz w:val="24"/>
                <w:szCs w:val="24"/>
                <w:u w:val="single" w:color="auto"/>
              </w:rPr>
              <w:t xml:space="preserve"> </w:t>
            </w:r>
            <w:r>
              <w:rPr>
                <w:spacing w:val="-6"/>
                <w:sz w:val="24"/>
                <w:szCs w:val="24"/>
                <w:u w:val="single" w:color="auto"/>
              </w:rPr>
              <w:t>1</w:t>
            </w:r>
            <w:r>
              <w:rPr>
                <w:sz w:val="24"/>
                <w:szCs w:val="24"/>
              </w:rPr>
              <w:t xml:space="preserve"> </w:t>
            </w:r>
            <w:r>
              <w:rPr>
                <w:spacing w:val="-6"/>
                <w:sz w:val="24"/>
                <w:szCs w:val="24"/>
              </w:rPr>
              <w:t>至附录</w:t>
            </w:r>
            <w:r>
              <w:rPr>
                <w:spacing w:val="-43"/>
                <w:sz w:val="24"/>
                <w:szCs w:val="24"/>
              </w:rPr>
              <w:t xml:space="preserve"> </w:t>
            </w:r>
            <w:r>
              <w:rPr>
                <w:spacing w:val="-6"/>
                <w:sz w:val="24"/>
                <w:szCs w:val="24"/>
                <w:u w:val="single" w:color="auto"/>
              </w:rPr>
              <w:t>7</w:t>
            </w:r>
            <w:r>
              <w:rPr>
                <w:spacing w:val="-48"/>
                <w:sz w:val="24"/>
                <w:szCs w:val="24"/>
                <w:u w:val="single" w:color="auto"/>
              </w:rPr>
              <w:t xml:space="preserve"> </w:t>
            </w:r>
            <w:r>
              <w:rPr>
                <w:spacing w:val="-6"/>
                <w:sz w:val="24"/>
                <w:szCs w:val="24"/>
              </w:rPr>
              <w:t>详见附件</w:t>
            </w:r>
            <w:r>
              <w:rPr>
                <w:spacing w:val="-48"/>
                <w:sz w:val="24"/>
                <w:szCs w:val="24"/>
              </w:rPr>
              <w:t xml:space="preserve"> </w:t>
            </w:r>
            <w:r>
              <w:rPr>
                <w:spacing w:val="-6"/>
                <w:sz w:val="24"/>
                <w:szCs w:val="24"/>
              </w:rPr>
              <w:t>2</w:t>
            </w:r>
          </w:p>
        </w:tc>
      </w:tr>
    </w:tbl>
    <w:p>
      <w:pPr>
        <w:numPr>
          <w:ilvl w:val="0"/>
          <w:numId w:val="0"/>
        </w:numPr>
        <w:spacing w:before="167" w:line="21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注：具体工程数量以招标文件工程量清单为准。</w:t>
      </w:r>
    </w:p>
    <w:p>
      <w:pPr>
        <w:numPr>
          <w:ilvl w:val="0"/>
          <w:numId w:val="0"/>
        </w:numPr>
        <w:spacing w:before="167" w:line="219" w:lineRule="auto"/>
        <w:rPr>
          <w:rFonts w:ascii="宋体" w:hAnsi="宋体" w:eastAsia="宋体" w:cs="宋体"/>
          <w:spacing w:val="36"/>
          <w:sz w:val="24"/>
          <w:szCs w:val="24"/>
          <w:lang w:eastAsia="zh-CN"/>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ascii="宋体" w:hAnsi="宋体" w:eastAsia="宋体" w:cs="宋体"/>
          <w:spacing w:val="-1"/>
          <w:sz w:val="24"/>
          <w:szCs w:val="24"/>
          <w14:textOutline w14:w="4358" w14:cap="sq" w14:cmpd="sng">
            <w14:solidFill>
              <w14:srgbClr w14:val="000000"/>
            </w14:solidFill>
            <w14:prstDash w14:val="solid"/>
            <w14:bevel/>
          </w14:textOutline>
        </w:rPr>
        <w:t>投标人资格要求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7" w:line="240" w:lineRule="auto"/>
        <w:ind w:left="0" w:leftChars="0" w:firstLine="218" w:firstLineChars="70"/>
        <w:textAlignment w:val="baseline"/>
        <w:rPr>
          <w:rFonts w:ascii="宋体" w:hAnsi="宋体" w:eastAsia="宋体" w:cs="宋体"/>
          <w:spacing w:val="36"/>
          <w:sz w:val="24"/>
          <w:szCs w:val="24"/>
          <w:lang w:eastAsia="zh-CN"/>
        </w:rPr>
      </w:pPr>
      <w:r>
        <w:rPr>
          <w:rFonts w:hint="eastAsia" w:ascii="宋体" w:hAnsi="宋体" w:eastAsia="宋体" w:cs="宋体"/>
          <w:spacing w:val="36"/>
          <w:sz w:val="24"/>
          <w:szCs w:val="24"/>
          <w:lang w:eastAsia="zh-CN"/>
        </w:rPr>
        <w:t>（</w:t>
      </w:r>
      <w:r>
        <w:rPr>
          <w:rFonts w:hint="eastAsia" w:ascii="宋体" w:hAnsi="宋体" w:eastAsia="宋体" w:cs="宋体"/>
          <w:spacing w:val="36"/>
          <w:sz w:val="24"/>
          <w:szCs w:val="24"/>
          <w:lang w:val="en-US" w:eastAsia="zh-CN"/>
        </w:rPr>
        <w:t>1</w:t>
      </w:r>
      <w:r>
        <w:rPr>
          <w:rFonts w:hint="eastAsia" w:ascii="宋体" w:hAnsi="宋体" w:eastAsia="宋体" w:cs="宋体"/>
          <w:spacing w:val="36"/>
          <w:sz w:val="24"/>
          <w:szCs w:val="24"/>
          <w:lang w:eastAsia="zh-CN"/>
        </w:rPr>
        <w:t>）本次招标要求投标人须具备</w:t>
      </w:r>
      <w:r>
        <w:rPr>
          <w:rFonts w:hint="eastAsia" w:ascii="宋体" w:hAnsi="宋体" w:eastAsia="宋体" w:cs="宋体"/>
          <w:spacing w:val="36"/>
          <w:sz w:val="24"/>
          <w:szCs w:val="24"/>
          <w:lang w:val="en-US" w:eastAsia="zh-CN"/>
        </w:rPr>
        <w:t>建设</w:t>
      </w:r>
      <w:r>
        <w:rPr>
          <w:rFonts w:hint="eastAsia" w:ascii="宋体" w:hAnsi="宋体" w:eastAsia="宋体" w:cs="宋体"/>
          <w:spacing w:val="36"/>
          <w:sz w:val="24"/>
          <w:szCs w:val="24"/>
          <w:lang w:eastAsia="zh-CN"/>
        </w:rPr>
        <w:t>行政主管部门核发的公路工程施工总承包三级以上（含三级）资质或公路路面工程专业承包三级以上（含三级）资质，</w:t>
      </w:r>
      <w:r>
        <w:rPr>
          <w:rFonts w:hint="eastAsia" w:ascii="宋体" w:hAnsi="宋体" w:eastAsia="宋体" w:cs="宋体"/>
          <w:spacing w:val="36"/>
          <w:sz w:val="24"/>
          <w:szCs w:val="24"/>
          <w:lang w:val="en-US" w:eastAsia="zh-CN"/>
        </w:rPr>
        <w:t>及</w:t>
      </w:r>
      <w:r>
        <w:rPr>
          <w:rFonts w:hint="eastAsia" w:ascii="宋体" w:hAnsi="宋体" w:eastAsia="宋体" w:cs="宋体"/>
          <w:spacing w:val="36"/>
          <w:sz w:val="24"/>
          <w:szCs w:val="24"/>
          <w:lang w:eastAsia="zh-CN"/>
        </w:rPr>
        <w:t>有效的《安全生产许可证》。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7" w:line="360" w:lineRule="auto"/>
        <w:ind w:left="0" w:leftChars="0" w:firstLine="218" w:firstLineChars="70"/>
        <w:textAlignment w:val="baseline"/>
        <w:rPr>
          <w:rFonts w:hint="eastAsia" w:ascii="宋体" w:hAnsi="宋体" w:eastAsia="宋体" w:cs="宋体"/>
          <w:b w:val="0"/>
          <w:bCs w:val="0"/>
          <w:spacing w:val="36"/>
          <w:sz w:val="24"/>
          <w:szCs w:val="24"/>
          <w:lang w:eastAsia="zh-CN"/>
        </w:rPr>
      </w:pPr>
      <w:r>
        <w:rPr>
          <w:rFonts w:hint="eastAsia" w:ascii="宋体" w:hAnsi="宋体" w:eastAsia="宋体" w:cs="宋体"/>
          <w:b w:val="0"/>
          <w:bCs w:val="0"/>
          <w:spacing w:val="36"/>
          <w:sz w:val="24"/>
          <w:szCs w:val="24"/>
          <w:lang w:eastAsia="zh-CN"/>
        </w:rPr>
        <w:t>（</w:t>
      </w:r>
      <w:r>
        <w:rPr>
          <w:rFonts w:hint="eastAsia" w:ascii="宋体" w:hAnsi="宋体" w:eastAsia="宋体" w:cs="宋体"/>
          <w:b w:val="0"/>
          <w:bCs w:val="0"/>
          <w:spacing w:val="36"/>
          <w:sz w:val="24"/>
          <w:szCs w:val="24"/>
          <w:lang w:val="en-US" w:eastAsia="zh-CN"/>
        </w:rPr>
        <w:t>2</w:t>
      </w:r>
      <w:r>
        <w:rPr>
          <w:rFonts w:hint="eastAsia" w:ascii="宋体" w:hAnsi="宋体" w:eastAsia="宋体" w:cs="宋体"/>
          <w:b w:val="0"/>
          <w:bCs w:val="0"/>
          <w:spacing w:val="36"/>
          <w:sz w:val="24"/>
          <w:szCs w:val="24"/>
          <w:lang w:eastAsia="zh-CN"/>
        </w:rPr>
        <w:t>）</w:t>
      </w:r>
      <w:r>
        <w:rPr>
          <w:rFonts w:hint="eastAsia" w:ascii="宋体" w:hAnsi="宋体" w:eastAsia="宋体" w:cs="宋体"/>
          <w:b/>
          <w:bCs/>
          <w:spacing w:val="36"/>
          <w:sz w:val="24"/>
          <w:szCs w:val="24"/>
          <w:lang w:eastAsia="zh-CN"/>
        </w:rPr>
        <w:t>拟派项目负责人资格要求：</w:t>
      </w:r>
      <w:r>
        <w:rPr>
          <w:rFonts w:hint="eastAsia" w:ascii="宋体" w:hAnsi="宋体" w:eastAsia="宋体" w:cs="宋体"/>
          <w:b w:val="0"/>
          <w:bCs w:val="0"/>
          <w:spacing w:val="36"/>
          <w:sz w:val="24"/>
          <w:szCs w:val="24"/>
          <w:lang w:eastAsia="zh-CN"/>
        </w:rPr>
        <w:t>工程师，担任类似工程项目经理(或项目副经理或项目总工)岗位累计</w:t>
      </w:r>
      <w:r>
        <w:rPr>
          <w:rFonts w:hint="eastAsia" w:ascii="宋体" w:hAnsi="宋体" w:eastAsia="宋体" w:cs="宋体"/>
          <w:b w:val="0"/>
          <w:bCs w:val="0"/>
          <w:spacing w:val="36"/>
          <w:sz w:val="24"/>
          <w:szCs w:val="24"/>
          <w:lang w:val="en-US" w:eastAsia="zh-CN"/>
        </w:rPr>
        <w:t>6</w:t>
      </w:r>
      <w:r>
        <w:rPr>
          <w:rFonts w:hint="eastAsia" w:ascii="宋体" w:hAnsi="宋体" w:eastAsia="宋体" w:cs="宋体"/>
          <w:b w:val="0"/>
          <w:bCs w:val="0"/>
          <w:spacing w:val="36"/>
          <w:sz w:val="24"/>
          <w:szCs w:val="24"/>
          <w:lang w:eastAsia="zh-CN"/>
        </w:rPr>
        <w:t>个月，并持有住房和城乡建设部颁发的公路工程专业二级（或以上）建造师注册证书，具有交通主管部门颁发的有效安全生产“三类人员”B 类证书。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67" w:line="219" w:lineRule="auto"/>
        <w:ind w:left="0" w:leftChars="0" w:firstLine="218" w:firstLineChars="70"/>
        <w:textAlignment w:val="baseline"/>
        <w:rPr>
          <w:rFonts w:hint="eastAsia" w:ascii="宋体" w:hAnsi="宋体" w:eastAsia="宋体" w:cs="宋体"/>
          <w:spacing w:val="36"/>
          <w:sz w:val="24"/>
          <w:szCs w:val="24"/>
          <w:lang w:eastAsia="zh-CN"/>
        </w:rPr>
      </w:pPr>
      <w:r>
        <w:rPr>
          <w:rFonts w:hint="eastAsia" w:ascii="宋体" w:hAnsi="宋体" w:eastAsia="宋体" w:cs="宋体"/>
          <w:spacing w:val="36"/>
          <w:sz w:val="24"/>
          <w:szCs w:val="24"/>
          <w:lang w:eastAsia="zh-CN"/>
        </w:rPr>
        <w:t>（</w:t>
      </w:r>
      <w:r>
        <w:rPr>
          <w:rFonts w:hint="eastAsia" w:ascii="宋体" w:hAnsi="宋体" w:eastAsia="宋体" w:cs="宋体"/>
          <w:spacing w:val="36"/>
          <w:sz w:val="24"/>
          <w:szCs w:val="24"/>
          <w:lang w:val="en-US" w:eastAsia="zh-CN"/>
        </w:rPr>
        <w:t>3</w:t>
      </w:r>
      <w:r>
        <w:rPr>
          <w:rFonts w:hint="eastAsia" w:ascii="宋体" w:hAnsi="宋体" w:eastAsia="宋体" w:cs="宋体"/>
          <w:spacing w:val="36"/>
          <w:sz w:val="24"/>
          <w:szCs w:val="24"/>
          <w:lang w:eastAsia="zh-CN"/>
        </w:rPr>
        <w:t xml:space="preserve">）投标人应进入交通运输部“全国公路建设市场信用信息管理系统 ”（https ://glxy.mot.gov.cn)中的公路工程施工资质企业名录，且投标人名称和资质与该名录中的相应企业名称和资质完全一致 。 </w:t>
      </w:r>
    </w:p>
    <w:p>
      <w:pPr>
        <w:keepNext w:val="0"/>
        <w:keepLines w:val="0"/>
        <w:pageBreakBefore w:val="0"/>
        <w:widowControl/>
        <w:kinsoku w:val="0"/>
        <w:wordWrap/>
        <w:overflowPunct/>
        <w:topLinePunct w:val="0"/>
        <w:autoSpaceDE w:val="0"/>
        <w:autoSpaceDN w:val="0"/>
        <w:bidi w:val="0"/>
        <w:adjustRightInd w:val="0"/>
        <w:snapToGrid w:val="0"/>
        <w:spacing w:before="183" w:line="212" w:lineRule="auto"/>
        <w:ind w:left="0" w:leftChars="0" w:firstLine="156" w:firstLineChars="70"/>
        <w:textAlignment w:val="baseline"/>
        <w:rPr>
          <w:rFonts w:ascii="宋体" w:hAnsi="宋体" w:eastAsia="宋体" w:cs="宋体"/>
          <w:spacing w:val="-71"/>
          <w:sz w:val="24"/>
          <w:szCs w:val="24"/>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4</w:t>
      </w:r>
      <w:r>
        <w:rPr>
          <w:rFonts w:hint="eastAsia" w:ascii="宋体" w:hAnsi="宋体" w:eastAsia="宋体" w:cs="宋体"/>
          <w:spacing w:val="-8"/>
          <w:sz w:val="24"/>
          <w:szCs w:val="24"/>
          <w:lang w:eastAsia="zh-CN"/>
        </w:rPr>
        <w:t>）</w:t>
      </w:r>
      <w:r>
        <w:rPr>
          <w:rFonts w:ascii="宋体" w:hAnsi="宋体" w:eastAsia="宋体" w:cs="宋体"/>
          <w:spacing w:val="-8"/>
          <w:sz w:val="24"/>
          <w:szCs w:val="24"/>
        </w:rPr>
        <w:t>本</w:t>
      </w:r>
      <w:r>
        <w:rPr>
          <w:rFonts w:ascii="宋体" w:hAnsi="宋体" w:eastAsia="宋体" w:cs="宋体"/>
          <w:spacing w:val="-51"/>
          <w:sz w:val="24"/>
          <w:szCs w:val="24"/>
        </w:rPr>
        <w:t xml:space="preserve"> </w:t>
      </w:r>
      <w:r>
        <w:rPr>
          <w:rFonts w:ascii="宋体" w:hAnsi="宋体" w:eastAsia="宋体" w:cs="宋体"/>
          <w:spacing w:val="-8"/>
          <w:sz w:val="24"/>
          <w:szCs w:val="24"/>
        </w:rPr>
        <w:t>次</w:t>
      </w:r>
      <w:r>
        <w:rPr>
          <w:rFonts w:ascii="宋体" w:hAnsi="宋体" w:eastAsia="宋体" w:cs="宋体"/>
          <w:spacing w:val="-71"/>
          <w:sz w:val="24"/>
          <w:szCs w:val="24"/>
        </w:rPr>
        <w:t xml:space="preserve"> </w:t>
      </w:r>
      <w:r>
        <w:rPr>
          <w:rFonts w:ascii="宋体" w:hAnsi="宋体" w:eastAsia="宋体" w:cs="宋体"/>
          <w:spacing w:val="-8"/>
          <w:sz w:val="24"/>
          <w:szCs w:val="24"/>
        </w:rPr>
        <w:t>招</w:t>
      </w:r>
      <w:r>
        <w:rPr>
          <w:rFonts w:ascii="宋体" w:hAnsi="宋体" w:eastAsia="宋体" w:cs="宋体"/>
          <w:spacing w:val="-69"/>
          <w:sz w:val="24"/>
          <w:szCs w:val="24"/>
        </w:rPr>
        <w:t xml:space="preserve"> </w:t>
      </w:r>
      <w:r>
        <w:rPr>
          <w:rFonts w:ascii="宋体" w:hAnsi="宋体" w:eastAsia="宋体" w:cs="宋体"/>
          <w:spacing w:val="-8"/>
          <w:sz w:val="24"/>
          <w:szCs w:val="24"/>
        </w:rPr>
        <w:t>标</w:t>
      </w:r>
      <w:r>
        <w:rPr>
          <w:rFonts w:ascii="宋体" w:hAnsi="宋体" w:eastAsia="宋体" w:cs="宋体"/>
          <w:spacing w:val="-8"/>
          <w:sz w:val="24"/>
          <w:szCs w:val="24"/>
          <w:u w:val="single"/>
        </w:rPr>
        <w:t>不</w:t>
      </w:r>
      <w:r>
        <w:rPr>
          <w:rFonts w:ascii="宋体" w:hAnsi="宋体" w:eastAsia="宋体" w:cs="宋体"/>
          <w:spacing w:val="-71"/>
          <w:sz w:val="24"/>
          <w:szCs w:val="24"/>
          <w:u w:val="single"/>
        </w:rPr>
        <w:t xml:space="preserve"> </w:t>
      </w:r>
      <w:r>
        <w:rPr>
          <w:rFonts w:ascii="宋体" w:hAnsi="宋体" w:eastAsia="宋体" w:cs="宋体"/>
          <w:spacing w:val="-8"/>
          <w:sz w:val="24"/>
          <w:szCs w:val="24"/>
          <w:u w:val="single"/>
        </w:rPr>
        <w:t>接</w:t>
      </w:r>
      <w:r>
        <w:rPr>
          <w:rFonts w:ascii="宋体" w:hAnsi="宋体" w:eastAsia="宋体" w:cs="宋体"/>
          <w:spacing w:val="-67"/>
          <w:sz w:val="24"/>
          <w:szCs w:val="24"/>
          <w:u w:val="single"/>
        </w:rPr>
        <w:t xml:space="preserve"> </w:t>
      </w:r>
      <w:r>
        <w:rPr>
          <w:rFonts w:ascii="宋体" w:hAnsi="宋体" w:eastAsia="宋体" w:cs="宋体"/>
          <w:spacing w:val="-8"/>
          <w:sz w:val="24"/>
          <w:szCs w:val="24"/>
          <w:u w:val="single"/>
        </w:rPr>
        <w:t>受</w:t>
      </w:r>
      <w:r>
        <w:rPr>
          <w:rFonts w:ascii="宋体" w:hAnsi="宋体" w:eastAsia="宋体" w:cs="宋体"/>
          <w:spacing w:val="-44"/>
          <w:sz w:val="24"/>
          <w:szCs w:val="24"/>
          <w:u w:val="single"/>
        </w:rPr>
        <w:t xml:space="preserve"> </w:t>
      </w:r>
      <w:r>
        <w:rPr>
          <w:rFonts w:ascii="宋体" w:hAnsi="宋体" w:eastAsia="宋体" w:cs="宋体"/>
          <w:spacing w:val="-8"/>
          <w:sz w:val="24"/>
          <w:szCs w:val="24"/>
        </w:rPr>
        <w:t>联</w:t>
      </w:r>
      <w:r>
        <w:rPr>
          <w:rFonts w:ascii="宋体" w:hAnsi="宋体" w:eastAsia="宋体" w:cs="宋体"/>
          <w:spacing w:val="-69"/>
          <w:sz w:val="24"/>
          <w:szCs w:val="24"/>
        </w:rPr>
        <w:t xml:space="preserve"> </w:t>
      </w:r>
      <w:r>
        <w:rPr>
          <w:rFonts w:ascii="宋体" w:hAnsi="宋体" w:eastAsia="宋体" w:cs="宋体"/>
          <w:spacing w:val="-8"/>
          <w:sz w:val="24"/>
          <w:szCs w:val="24"/>
        </w:rPr>
        <w:t>合体</w:t>
      </w:r>
      <w:r>
        <w:rPr>
          <w:rFonts w:ascii="宋体" w:hAnsi="宋体" w:eastAsia="宋体" w:cs="宋体"/>
          <w:spacing w:val="-67"/>
          <w:sz w:val="24"/>
          <w:szCs w:val="24"/>
        </w:rPr>
        <w:t xml:space="preserve"> </w:t>
      </w:r>
      <w:r>
        <w:rPr>
          <w:rFonts w:ascii="宋体" w:hAnsi="宋体" w:eastAsia="宋体" w:cs="宋体"/>
          <w:spacing w:val="-8"/>
          <w:sz w:val="24"/>
          <w:szCs w:val="24"/>
        </w:rPr>
        <w:t>投</w:t>
      </w:r>
      <w:r>
        <w:rPr>
          <w:rFonts w:ascii="宋体" w:hAnsi="宋体" w:eastAsia="宋体" w:cs="宋体"/>
          <w:spacing w:val="-69"/>
          <w:sz w:val="24"/>
          <w:szCs w:val="24"/>
        </w:rPr>
        <w:t xml:space="preserve"> </w:t>
      </w:r>
      <w:r>
        <w:rPr>
          <w:rFonts w:ascii="宋体" w:hAnsi="宋体" w:eastAsia="宋体" w:cs="宋体"/>
          <w:spacing w:val="-8"/>
          <w:sz w:val="24"/>
          <w:szCs w:val="24"/>
        </w:rPr>
        <w:t>标</w:t>
      </w:r>
      <w:r>
        <w:rPr>
          <w:rFonts w:ascii="宋体" w:hAnsi="宋体" w:eastAsia="宋体" w:cs="宋体"/>
          <w:spacing w:val="-46"/>
          <w:sz w:val="24"/>
          <w:szCs w:val="24"/>
        </w:rPr>
        <w:t xml:space="preserve"> </w:t>
      </w:r>
      <w:r>
        <w:rPr>
          <w:rFonts w:ascii="宋体" w:hAnsi="宋体" w:eastAsia="宋体" w:cs="宋体"/>
          <w:spacing w:val="-8"/>
          <w:sz w:val="24"/>
          <w:szCs w:val="24"/>
        </w:rPr>
        <w:t>。</w:t>
      </w:r>
      <w:r>
        <w:rPr>
          <w:rFonts w:ascii="宋体" w:hAnsi="宋体" w:eastAsia="宋体" w:cs="宋体"/>
          <w:spacing w:val="-71"/>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3" w:line="212" w:lineRule="auto"/>
        <w:ind w:left="0" w:leftChars="0" w:firstLine="168" w:firstLineChars="70"/>
        <w:textAlignment w:val="baseline"/>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在本次招标中，每个投标人最多可对</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1</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个标段投标，但只允许</w:t>
      </w:r>
      <w:r>
        <w:rPr>
          <w:rFonts w:ascii="宋体" w:hAnsi="宋体" w:eastAsia="宋体" w:cs="宋体"/>
          <w:spacing w:val="-11"/>
          <w:sz w:val="24"/>
          <w:szCs w:val="24"/>
        </w:rPr>
        <w:t>中</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1</w:t>
      </w:r>
      <w:r>
        <w:rPr>
          <w:rFonts w:ascii="宋体" w:hAnsi="宋体" w:eastAsia="宋体" w:cs="宋体"/>
          <w:spacing w:val="-11"/>
          <w:sz w:val="24"/>
          <w:szCs w:val="24"/>
        </w:rPr>
        <w:t>个标。</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80" w:line="313" w:lineRule="auto"/>
        <w:ind w:left="0" w:leftChars="0" w:right="3" w:firstLine="166" w:firstLineChars="70"/>
        <w:jc w:val="both"/>
        <w:textAlignment w:val="baseline"/>
        <w:rPr>
          <w:rFonts w:ascii="宋体" w:hAnsi="宋体" w:eastAsia="宋体" w:cs="宋体"/>
          <w:spacing w:val="-1"/>
          <w:sz w:val="24"/>
          <w:szCs w:val="24"/>
        </w:rPr>
      </w:pPr>
      <w:r>
        <w:rPr>
          <w:rFonts w:ascii="宋体" w:hAnsi="宋体" w:eastAsia="宋体" w:cs="宋体"/>
          <w:spacing w:val="-1"/>
          <w:sz w:val="24"/>
          <w:szCs w:val="24"/>
        </w:rPr>
        <w:t>与招标人存在利害关系可能影响招标公正性的法人，不得参加投标；若单位负</w:t>
      </w:r>
      <w:r>
        <w:rPr>
          <w:rFonts w:ascii="宋体" w:hAnsi="宋体" w:eastAsia="宋体" w:cs="宋体"/>
          <w:spacing w:val="1"/>
          <w:sz w:val="24"/>
          <w:szCs w:val="24"/>
        </w:rPr>
        <w:t>责人为同一人、或者存在控股</w:t>
      </w:r>
      <w:r>
        <w:rPr>
          <w:rFonts w:ascii="宋体" w:hAnsi="宋体" w:eastAsia="宋体" w:cs="宋体"/>
          <w:spacing w:val="-31"/>
          <w:position w:val="11"/>
          <w:sz w:val="12"/>
          <w:szCs w:val="12"/>
        </w:rPr>
        <w:t xml:space="preserve"> </w:t>
      </w:r>
      <w:r>
        <w:rPr>
          <w:rFonts w:ascii="宋体" w:hAnsi="宋体" w:eastAsia="宋体" w:cs="宋体"/>
          <w:spacing w:val="1"/>
          <w:sz w:val="24"/>
          <w:szCs w:val="24"/>
        </w:rPr>
        <w:t>、管理关系</w:t>
      </w:r>
      <w:r>
        <w:rPr>
          <w:rFonts w:ascii="宋体" w:hAnsi="宋体" w:eastAsia="宋体" w:cs="宋体"/>
          <w:sz w:val="24"/>
          <w:szCs w:val="24"/>
        </w:rPr>
        <w:t xml:space="preserve">的不同单位，不得参加同一标段投标或者 </w:t>
      </w:r>
      <w:r>
        <w:rPr>
          <w:rFonts w:ascii="宋体" w:hAnsi="宋体" w:eastAsia="宋体" w:cs="宋体"/>
          <w:spacing w:val="-1"/>
          <w:sz w:val="24"/>
          <w:szCs w:val="24"/>
        </w:rPr>
        <w:t>未划分标段的同一招标项目投标，否则按否决其投标处理。</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80" w:line="313" w:lineRule="auto"/>
        <w:ind w:left="0" w:leftChars="0" w:right="3" w:rightChars="0" w:firstLine="166" w:firstLineChars="70"/>
        <w:jc w:val="both"/>
        <w:textAlignment w:val="baseline"/>
        <w:rPr>
          <w:rFonts w:ascii="宋体" w:hAnsi="宋体" w:eastAsia="宋体" w:cs="宋体"/>
          <w:spacing w:val="-1"/>
          <w:sz w:val="24"/>
          <w:szCs w:val="24"/>
        </w:rPr>
      </w:pPr>
      <w:r>
        <w:rPr>
          <w:rFonts w:ascii="宋体" w:hAnsi="宋体" w:eastAsia="宋体" w:cs="宋体"/>
          <w:spacing w:val="-1"/>
          <w:sz w:val="24"/>
          <w:szCs w:val="24"/>
        </w:rPr>
        <w:t>在“信用中国 ”网站（</w:t>
      </w:r>
      <w:r>
        <w:rPr>
          <w:rFonts w:ascii="宋体" w:hAnsi="宋体" w:eastAsia="宋体" w:cs="宋体"/>
          <w:spacing w:val="-1"/>
          <w:sz w:val="24"/>
          <w:szCs w:val="24"/>
        </w:rPr>
        <w:fldChar w:fldCharType="begin"/>
      </w:r>
      <w:r>
        <w:rPr>
          <w:rFonts w:ascii="宋体" w:hAnsi="宋体" w:eastAsia="宋体" w:cs="宋体"/>
          <w:spacing w:val="-1"/>
          <w:sz w:val="24"/>
          <w:szCs w:val="24"/>
        </w:rPr>
        <w:instrText xml:space="preserve"> HYPERLINK "http://www.creditchina.gov.cn/)%e4%b8%ad%e8%a2%ab%e5%88%97%e5%85%a5%e5%a4%b1%e4%bf%a1%e8%a2%ab%e6%89%a7" </w:instrText>
      </w:r>
      <w:r>
        <w:rPr>
          <w:rFonts w:ascii="宋体" w:hAnsi="宋体" w:eastAsia="宋体" w:cs="宋体"/>
          <w:spacing w:val="-1"/>
          <w:sz w:val="24"/>
          <w:szCs w:val="24"/>
        </w:rPr>
        <w:fldChar w:fldCharType="separate"/>
      </w:r>
      <w:r>
        <w:rPr>
          <w:rFonts w:ascii="宋体" w:hAnsi="宋体" w:eastAsia="宋体" w:cs="宋体"/>
          <w:spacing w:val="-1"/>
          <w:sz w:val="24"/>
          <w:szCs w:val="24"/>
        </w:rPr>
        <w:t>https://creditchina.gov.cn)中被列入失信被执</w:t>
      </w:r>
      <w:r>
        <w:rPr>
          <w:rFonts w:ascii="宋体" w:hAnsi="宋体" w:eastAsia="宋体" w:cs="宋体"/>
          <w:spacing w:val="-1"/>
          <w:sz w:val="24"/>
          <w:szCs w:val="24"/>
        </w:rPr>
        <w:fldChar w:fldCharType="end"/>
      </w:r>
      <w:r>
        <w:rPr>
          <w:rFonts w:ascii="宋体" w:hAnsi="宋体" w:eastAsia="宋体" w:cs="宋体"/>
          <w:spacing w:val="-1"/>
          <w:sz w:val="24"/>
          <w:szCs w:val="24"/>
        </w:rPr>
        <w:t>行人名单的投标人，在“ 国家企业信用信息公示系统 ”（https://gsxt.gov.cn）中被列入严重违法失信企业名单的投标人，均按否决投标处理。</w:t>
      </w:r>
    </w:p>
    <w:p>
      <w:pPr>
        <w:numPr>
          <w:ilvl w:val="0"/>
          <w:numId w:val="0"/>
        </w:numPr>
        <w:spacing w:before="167" w:line="219" w:lineRule="auto"/>
        <w:rPr>
          <w:rFonts w:hint="eastAsia" w:ascii="宋体" w:hAnsi="宋体" w:eastAsia="宋体" w:cs="宋体"/>
          <w:spacing w:val="-1"/>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spacing w:val="-1"/>
          <w:sz w:val="24"/>
          <w:szCs w:val="24"/>
          <w:lang w:val="en-US" w:eastAsia="zh-CN"/>
          <w14:textOutline w14:w="4358" w14:cap="sq" w14:cmpd="sng">
            <w14:solidFill>
              <w14:srgbClr w14:val="000000"/>
            </w14:solidFill>
            <w14:prstDash w14:val="solid"/>
            <w14:bevel/>
          </w14:textOutline>
        </w:rPr>
        <w:t>4.招标文件的获取</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80" w:line="219" w:lineRule="auto"/>
        <w:ind w:left="130" w:leftChars="0" w:firstLine="480" w:firstLineChars="200"/>
        <w:textAlignment w:val="baseline"/>
        <w:rPr>
          <w:rFonts w:hint="eastAsia"/>
          <w:color w:val="auto"/>
          <w:sz w:val="24"/>
          <w:szCs w:val="24"/>
          <w:highlight w:val="none"/>
        </w:rPr>
      </w:pPr>
      <w:r>
        <w:rPr>
          <w:rFonts w:hint="eastAsia"/>
          <w:color w:val="auto"/>
          <w:sz w:val="24"/>
          <w:szCs w:val="24"/>
          <w:highlight w:val="none"/>
        </w:rPr>
        <w:t>获取招标文件的时间：</w:t>
      </w:r>
      <w:r>
        <w:rPr>
          <w:rFonts w:hint="eastAsia"/>
          <w:color w:val="auto"/>
          <w:sz w:val="24"/>
          <w:szCs w:val="24"/>
          <w:highlight w:val="none"/>
          <w:lang w:val="en-US" w:eastAsia="zh-CN"/>
        </w:rPr>
        <w:t>2023</w:t>
      </w:r>
      <w:r>
        <w:rPr>
          <w:rFonts w:hint="eastAsia"/>
          <w:color w:val="auto"/>
          <w:sz w:val="24"/>
          <w:szCs w:val="24"/>
          <w:highlight w:val="none"/>
          <w:lang w:val="en-US"/>
        </w:rPr>
        <w:t xml:space="preserve"> </w:t>
      </w:r>
      <w:r>
        <w:rPr>
          <w:rFonts w:hint="eastAsia"/>
          <w:color w:val="auto"/>
          <w:sz w:val="24"/>
          <w:szCs w:val="24"/>
          <w:highlight w:val="none"/>
        </w:rPr>
        <w:t>年</w:t>
      </w:r>
      <w:r>
        <w:rPr>
          <w:rFonts w:hint="eastAsia" w:eastAsia="宋体"/>
          <w:color w:val="auto"/>
          <w:sz w:val="24"/>
          <w:szCs w:val="24"/>
          <w:highlight w:val="none"/>
          <w:lang w:val="en-US" w:eastAsia="zh-CN"/>
        </w:rPr>
        <w:t xml:space="preserve">   </w:t>
      </w:r>
      <w:r>
        <w:rPr>
          <w:rFonts w:hint="eastAsia"/>
          <w:color w:val="auto"/>
          <w:sz w:val="24"/>
          <w:szCs w:val="24"/>
          <w:highlight w:val="none"/>
        </w:rPr>
        <w:t>月</w:t>
      </w:r>
      <w:r>
        <w:rPr>
          <w:rFonts w:hint="eastAsia" w:eastAsia="宋体"/>
          <w:color w:val="auto"/>
          <w:sz w:val="24"/>
          <w:szCs w:val="24"/>
          <w:highlight w:val="none"/>
          <w:lang w:val="en-US" w:eastAsia="zh-CN"/>
        </w:rPr>
        <w:t xml:space="preserve">    </w:t>
      </w:r>
      <w:r>
        <w:rPr>
          <w:rFonts w:hint="eastAsia"/>
          <w:color w:val="auto"/>
          <w:sz w:val="24"/>
          <w:szCs w:val="24"/>
          <w:highlight w:val="none"/>
        </w:rPr>
        <w:t>日至</w:t>
      </w:r>
      <w:r>
        <w:rPr>
          <w:rFonts w:hint="eastAsia"/>
          <w:color w:val="auto"/>
          <w:sz w:val="24"/>
          <w:szCs w:val="24"/>
          <w:highlight w:val="none"/>
          <w:lang w:val="en-US" w:eastAsia="zh-CN"/>
        </w:rPr>
        <w:t>2023</w:t>
      </w:r>
      <w:r>
        <w:rPr>
          <w:rFonts w:hint="eastAsia"/>
          <w:color w:val="auto"/>
          <w:sz w:val="24"/>
          <w:szCs w:val="24"/>
          <w:highlight w:val="none"/>
        </w:rPr>
        <w:t>年</w:t>
      </w:r>
      <w:r>
        <w:rPr>
          <w:rFonts w:hint="eastAsia" w:eastAsia="宋体"/>
          <w:color w:val="auto"/>
          <w:sz w:val="24"/>
          <w:szCs w:val="24"/>
          <w:highlight w:val="none"/>
          <w:lang w:val="en-US" w:eastAsia="zh-CN"/>
        </w:rPr>
        <w:t xml:space="preserve">    </w:t>
      </w:r>
      <w:r>
        <w:rPr>
          <w:rFonts w:hint="eastAsia"/>
          <w:color w:val="auto"/>
          <w:sz w:val="24"/>
          <w:szCs w:val="24"/>
          <w:highlight w:val="none"/>
        </w:rPr>
        <w:t>月</w:t>
      </w:r>
      <w:r>
        <w:rPr>
          <w:rFonts w:hint="eastAsia" w:eastAsia="宋体"/>
          <w:color w:val="auto"/>
          <w:sz w:val="24"/>
          <w:szCs w:val="24"/>
          <w:highlight w:val="none"/>
          <w:lang w:val="en-US" w:eastAsia="zh-CN"/>
        </w:rPr>
        <w:t xml:space="preserve">    </w:t>
      </w:r>
      <w:r>
        <w:rPr>
          <w:rFonts w:hint="eastAsia"/>
          <w:color w:val="auto"/>
          <w:sz w:val="24"/>
          <w:szCs w:val="24"/>
          <w:highlight w:val="none"/>
        </w:rPr>
        <w:t>日(北京时间)。</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80" w:line="219" w:lineRule="auto"/>
        <w:ind w:left="130" w:leftChars="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获取方式：投标人须登录广州公共资源交易中心网(网址：http://www.gzzb.gd.cn/ )下载招标文件及相关资料。</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50" w:lineRule="exact"/>
        <w:ind w:left="130" w:leftChars="0" w:firstLine="480" w:firstLineChars="200"/>
        <w:textAlignment w:val="baseline"/>
        <w:rPr>
          <w:rFonts w:hint="eastAsia"/>
          <w:color w:val="auto"/>
          <w:sz w:val="24"/>
          <w:szCs w:val="24"/>
          <w:highlight w:val="none"/>
        </w:rPr>
      </w:pPr>
      <w:r>
        <w:rPr>
          <w:rFonts w:hint="eastAsia"/>
          <w:color w:val="auto"/>
          <w:sz w:val="24"/>
          <w:szCs w:val="24"/>
          <w:highlight w:val="none"/>
        </w:rPr>
        <w:t>本项目设立投标登记环节，采取广州公共资源交易中心网上投标登记方式进行投标登记，不接受现场登记（参加投标登记之前，投标人应查询本企业在广州公共资源交易中心的信息登记的状态，确保一切信息都是真实的、在有效期内的，以免出现信息不能被使用。上述情况有可能导致投标信息无法录入广州公共资源交易中心信息系统。如出现上述情况，投标人失去投标机会的，因此可能所引起的一切后果由投标人自行承担。操作流程详见广州公共资源交易中心网站发布的最新版操作指引。）</w:t>
      </w:r>
    </w:p>
    <w:p>
      <w:pPr>
        <w:numPr>
          <w:ilvl w:val="0"/>
          <w:numId w:val="0"/>
        </w:numPr>
        <w:spacing w:line="450" w:lineRule="exact"/>
        <w:ind w:left="130" w:leftChars="0" w:firstLine="480" w:firstLineChars="200"/>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投标人应登录广州公共资源交易中心网(网址：http://www.gzzb.gd.cn/)，在该项目截标时间前，将其投标保证金从本企业银行基本账户转入广州公共资源交易中心保证金专户，缴纳保证金具体要求详见广州公共资源交易中心通知公告栏“广州公共资源交易中心关于投标项目保证金操作指引的说明”或向广州公共资源交易中心咨询；采用投标保函(保单)方式的，于开标会现场提交投标保函(保单)。</w:t>
      </w:r>
    </w:p>
    <w:p>
      <w:pPr>
        <w:spacing w:line="312" w:lineRule="auto"/>
        <w:ind w:firstLine="480" w:firstLineChars="200"/>
        <w:rPr>
          <w:rFonts w:hint="eastAsia"/>
          <w:color w:val="auto"/>
          <w:sz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）投标人还应在广州公共资源交易中心办理企业信息登记，未办理企业信息登记的投标申请将不予受理。</w:t>
      </w:r>
    </w:p>
    <w:p>
      <w:pPr>
        <w:spacing w:before="181" w:line="219" w:lineRule="auto"/>
        <w:ind w:left="16"/>
        <w:rPr>
          <w:rFonts w:ascii="宋体" w:hAnsi="宋体" w:eastAsia="宋体" w:cs="宋体"/>
          <w:spacing w:val="-1"/>
          <w:sz w:val="24"/>
          <w:szCs w:val="24"/>
          <w14:textOutline w14:w="4358" w14:cap="sq" w14:cmpd="sng">
            <w14:solidFill>
              <w14:srgbClr w14:val="000000"/>
            </w14:solidFill>
            <w14:prstDash w14:val="solid"/>
            <w14:bevel/>
          </w14:textOutline>
        </w:rPr>
      </w:pPr>
      <w:r>
        <w:rPr>
          <w:rFonts w:ascii="宋体" w:hAnsi="宋体" w:eastAsia="宋体" w:cs="宋体"/>
          <w:spacing w:val="-1"/>
          <w:sz w:val="24"/>
          <w:szCs w:val="24"/>
          <w14:textOutline w14:w="4358" w14:cap="sq" w14:cmpd="sng">
            <w14:solidFill>
              <w14:srgbClr w14:val="000000"/>
            </w14:solidFill>
            <w14:prstDash w14:val="solid"/>
            <w14:bevel/>
          </w14:textOutline>
        </w:rPr>
        <w:t>5.投标文件的递交及相关事宜</w:t>
      </w:r>
    </w:p>
    <w:p>
      <w:pPr>
        <w:spacing w:line="312" w:lineRule="auto"/>
        <w:ind w:left="0" w:leftChars="0" w:firstLine="199" w:firstLineChars="83"/>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招标人不统一组织工程现场踏勘和召开投标预备会。</w:t>
      </w:r>
    </w:p>
    <w:p>
      <w:pPr>
        <w:spacing w:line="312" w:lineRule="auto"/>
        <w:ind w:left="540" w:leftChars="114" w:hanging="301" w:hangingChars="116"/>
        <w:rPr>
          <w:rFonts w:ascii="宋体" w:hAnsi="宋体" w:eastAsia="宋体" w:cs="宋体"/>
          <w:sz w:val="24"/>
          <w:szCs w:val="24"/>
        </w:rPr>
      </w:pP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2</w:t>
      </w:r>
      <w:r>
        <w:rPr>
          <w:rFonts w:hint="eastAsia" w:ascii="宋体" w:hAnsi="宋体" w:eastAsia="宋体" w:cs="宋体"/>
          <w:spacing w:val="10"/>
          <w:sz w:val="24"/>
          <w:szCs w:val="24"/>
          <w:lang w:eastAsia="zh-CN"/>
        </w:rPr>
        <w:t>）</w:t>
      </w:r>
      <w:r>
        <w:rPr>
          <w:rFonts w:ascii="宋体" w:hAnsi="宋体" w:eastAsia="宋体" w:cs="宋体"/>
          <w:spacing w:val="10"/>
          <w:sz w:val="24"/>
          <w:szCs w:val="24"/>
        </w:rPr>
        <w:t>投标文件递交的截止时间（投标截止时间</w:t>
      </w:r>
      <w:r>
        <w:rPr>
          <w:rFonts w:ascii="宋体" w:hAnsi="宋体" w:eastAsia="宋体" w:cs="宋体"/>
          <w:spacing w:val="-69"/>
          <w:sz w:val="24"/>
          <w:szCs w:val="24"/>
        </w:rPr>
        <w:t xml:space="preserve"> </w:t>
      </w:r>
      <w:r>
        <w:rPr>
          <w:rFonts w:ascii="宋体" w:hAnsi="宋体" w:eastAsia="宋体" w:cs="宋体"/>
          <w:spacing w:val="10"/>
          <w:sz w:val="24"/>
          <w:szCs w:val="24"/>
        </w:rPr>
        <w:t>，下同）</w:t>
      </w:r>
      <w:r>
        <w:rPr>
          <w:rFonts w:ascii="宋体" w:hAnsi="宋体" w:eastAsia="宋体" w:cs="宋体"/>
          <w:spacing w:val="-62"/>
          <w:sz w:val="24"/>
          <w:szCs w:val="24"/>
        </w:rPr>
        <w:t xml:space="preserve"> </w:t>
      </w:r>
      <w:r>
        <w:rPr>
          <w:rFonts w:ascii="宋体" w:hAnsi="宋体" w:eastAsia="宋体" w:cs="宋体"/>
          <w:spacing w:val="10"/>
          <w:sz w:val="24"/>
          <w:szCs w:val="24"/>
        </w:rPr>
        <w:t>为</w:t>
      </w:r>
      <w:r>
        <w:rPr>
          <w:rFonts w:hint="eastAsia" w:ascii="宋体" w:hAnsi="宋体" w:eastAsia="宋体" w:cs="宋体"/>
          <w:spacing w:val="10"/>
          <w:sz w:val="24"/>
          <w:szCs w:val="24"/>
          <w:lang w:val="en-US" w:eastAsia="zh-CN"/>
        </w:rPr>
        <w:t>2023</w:t>
      </w:r>
      <w:r>
        <w:rPr>
          <w:rFonts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日</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时</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分，投标人应于当日</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时</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分至</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时</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分</w:t>
      </w:r>
      <w:r>
        <w:rPr>
          <w:rFonts w:ascii="宋体" w:hAnsi="宋体" w:eastAsia="宋体" w:cs="宋体"/>
          <w:spacing w:val="-15"/>
          <w:sz w:val="24"/>
          <w:szCs w:val="24"/>
        </w:rPr>
        <w:t>将投标文件递交至</w:t>
      </w:r>
      <w:r>
        <w:rPr>
          <w:rFonts w:hint="eastAsia" w:ascii="宋体" w:hAnsi="宋体" w:eastAsia="宋体" w:cs="宋体"/>
          <w:spacing w:val="-15"/>
          <w:sz w:val="24"/>
          <w:szCs w:val="24"/>
          <w:lang w:eastAsia="zh-CN"/>
        </w:rPr>
        <w:t>广州公共资源交易中心二</w:t>
      </w:r>
      <w:r>
        <w:rPr>
          <w:rFonts w:hint="eastAsia" w:ascii="宋体" w:hAnsi="宋体" w:eastAsia="宋体" w:cs="宋体"/>
          <w:spacing w:val="-15"/>
          <w:sz w:val="24"/>
          <w:szCs w:val="24"/>
        </w:rPr>
        <w:t>楼</w:t>
      </w:r>
      <w:r>
        <w:rPr>
          <w:rFonts w:hint="eastAsia" w:ascii="宋体" w:hAnsi="宋体" w:eastAsia="宋体" w:cs="宋体"/>
          <w:spacing w:val="-15"/>
          <w:sz w:val="24"/>
          <w:szCs w:val="24"/>
          <w:lang w:eastAsia="zh-CN"/>
        </w:rPr>
        <w:t>第</w:t>
      </w:r>
      <w:r>
        <w:rPr>
          <w:rFonts w:hint="eastAsia" w:ascii="宋体" w:hAnsi="宋体" w:eastAsia="宋体" w:cs="宋体"/>
          <w:spacing w:val="-15"/>
          <w:sz w:val="24"/>
          <w:szCs w:val="24"/>
          <w:u w:val="single"/>
          <w:lang w:val="en-US" w:eastAsia="zh-CN"/>
        </w:rPr>
        <w:t xml:space="preserve">         </w:t>
      </w:r>
      <w:r>
        <w:rPr>
          <w:rFonts w:hint="eastAsia" w:ascii="宋体" w:hAnsi="宋体" w:eastAsia="宋体" w:cs="宋体"/>
          <w:spacing w:val="-15"/>
          <w:sz w:val="24"/>
          <w:szCs w:val="24"/>
        </w:rPr>
        <w:t>开标室（中心本部) （广州市天河区天润路333号）。</w:t>
      </w:r>
    </w:p>
    <w:p>
      <w:pPr>
        <w:spacing w:line="312" w:lineRule="auto"/>
        <w:ind w:left="0" w:leftChars="0" w:firstLine="215" w:firstLineChars="83"/>
        <w:jc w:val="left"/>
        <w:rPr>
          <w:rFonts w:ascii="宋体" w:hAnsi="宋体" w:eastAsia="宋体" w:cs="宋体"/>
          <w:spacing w:val="10"/>
          <w:sz w:val="24"/>
          <w:szCs w:val="24"/>
        </w:rPr>
      </w:pP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3</w:t>
      </w:r>
      <w:r>
        <w:rPr>
          <w:rFonts w:hint="eastAsia" w:ascii="宋体" w:hAnsi="宋体" w:eastAsia="宋体" w:cs="宋体"/>
          <w:spacing w:val="10"/>
          <w:sz w:val="24"/>
          <w:szCs w:val="24"/>
          <w:lang w:eastAsia="zh-CN"/>
        </w:rPr>
        <w:t>）</w:t>
      </w:r>
      <w:r>
        <w:rPr>
          <w:rFonts w:ascii="宋体" w:hAnsi="宋体" w:eastAsia="宋体" w:cs="宋体"/>
          <w:spacing w:val="10"/>
          <w:sz w:val="24"/>
          <w:szCs w:val="24"/>
        </w:rPr>
        <w:t xml:space="preserve"> 逾期送达的、未送达指定地点的或不按照招标文件要求密封的投标文件 ， 招标人将予以拒收。</w:t>
      </w:r>
    </w:p>
    <w:p>
      <w:pPr>
        <w:spacing w:before="180" w:line="218" w:lineRule="auto"/>
        <w:ind w:left="13"/>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pPr>
      <w:r>
        <w:rPr>
          <w:rFonts w:ascii="宋体" w:hAnsi="宋体" w:eastAsia="宋体" w:cs="宋体"/>
          <w:spacing w:val="-1"/>
          <w:sz w:val="24"/>
          <w:szCs w:val="24"/>
          <w14:textOutline w14:w="4358" w14:cap="sq" w14:cmpd="sng">
            <w14:solidFill>
              <w14:srgbClr w14:val="000000"/>
            </w14:solidFill>
            <w14:prstDash w14:val="solid"/>
            <w14:bevel/>
          </w14:textOutline>
        </w:rPr>
        <w:t>6.发布公告的媒</w:t>
      </w: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t>体</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11" w:firstLine="476" w:firstLineChars="200"/>
        <w:textAlignment w:val="baseline"/>
        <w:rPr>
          <w:rFonts w:ascii="宋体" w:hAnsi="宋体" w:eastAsia="宋体" w:cs="宋体"/>
          <w:sz w:val="24"/>
          <w:szCs w:val="24"/>
        </w:rPr>
      </w:pPr>
      <w:r>
        <w:rPr>
          <w:rFonts w:ascii="宋体" w:hAnsi="宋体" w:eastAsia="宋体" w:cs="宋体"/>
          <w:spacing w:val="-1"/>
          <w:sz w:val="24"/>
          <w:szCs w:val="24"/>
        </w:rPr>
        <w:t>本次招标公告同时在</w:t>
      </w:r>
      <w:r>
        <w:rPr>
          <w:rFonts w:ascii="宋体" w:hAnsi="宋体" w:eastAsia="宋体" w:cs="宋体"/>
          <w:spacing w:val="-1"/>
          <w:sz w:val="24"/>
          <w:szCs w:val="24"/>
          <w:u w:val="single" w:color="auto"/>
        </w:rPr>
        <w:t>广东省招标投标监管网、</w:t>
      </w:r>
      <w:r>
        <w:rPr>
          <w:rFonts w:hint="eastAsia" w:ascii="宋体" w:hAnsi="宋体" w:eastAsia="宋体" w:cs="宋体"/>
          <w:spacing w:val="-1"/>
          <w:sz w:val="24"/>
          <w:szCs w:val="24"/>
          <w:u w:val="single" w:color="auto"/>
          <w:lang w:eastAsia="zh-CN"/>
        </w:rPr>
        <w:t>广州公共资源</w:t>
      </w:r>
      <w:r>
        <w:rPr>
          <w:rFonts w:ascii="宋体" w:hAnsi="宋体" w:eastAsia="宋体" w:cs="宋体"/>
          <w:spacing w:val="-1"/>
          <w:sz w:val="24"/>
          <w:szCs w:val="24"/>
          <w:u w:val="single" w:color="auto"/>
        </w:rPr>
        <w:t>交易中心网站</w:t>
      </w:r>
      <w:r>
        <w:rPr>
          <w:rFonts w:ascii="宋体" w:hAnsi="宋体" w:eastAsia="宋体" w:cs="宋体"/>
          <w:spacing w:val="-1"/>
          <w:sz w:val="24"/>
          <w:szCs w:val="24"/>
        </w:rPr>
        <w:t>上发布。如公告详细内容不一致者，以</w:t>
      </w:r>
      <w:r>
        <w:rPr>
          <w:rFonts w:hint="eastAsia" w:ascii="宋体" w:hAnsi="宋体" w:eastAsia="宋体" w:cs="宋体"/>
          <w:spacing w:val="-1"/>
          <w:sz w:val="24"/>
          <w:szCs w:val="24"/>
          <w:u w:val="single" w:color="auto"/>
          <w:lang w:eastAsia="zh-CN"/>
        </w:rPr>
        <w:t>广州公共资源</w:t>
      </w:r>
      <w:r>
        <w:rPr>
          <w:rFonts w:ascii="宋体" w:hAnsi="宋体" w:eastAsia="宋体" w:cs="宋体"/>
          <w:spacing w:val="-1"/>
          <w:sz w:val="24"/>
          <w:szCs w:val="24"/>
          <w:u w:val="single" w:color="auto"/>
        </w:rPr>
        <w:t>交易中心网站</w:t>
      </w:r>
      <w:r>
        <w:rPr>
          <w:rFonts w:ascii="宋体" w:hAnsi="宋体" w:eastAsia="宋体" w:cs="宋体"/>
          <w:spacing w:val="-1"/>
          <w:sz w:val="24"/>
          <w:szCs w:val="24"/>
        </w:rPr>
        <w:t>公告为准。</w:t>
      </w:r>
    </w:p>
    <w:p>
      <w:pPr>
        <w:numPr>
          <w:ilvl w:val="0"/>
          <w:numId w:val="0"/>
        </w:numPr>
        <w:spacing w:before="181" w:line="221" w:lineRule="auto"/>
        <w:rPr>
          <w:rFonts w:ascii="宋体" w:hAnsi="宋体" w:eastAsia="宋体" w:cs="宋体"/>
          <w:spacing w:val="-1"/>
          <w:sz w:val="24"/>
          <w:szCs w:val="24"/>
          <w14:textOutline w14:w="4358" w14:cap="sq" w14:cmpd="sng">
            <w14:solidFill>
              <w14:srgbClr w14:val="000000"/>
            </w14:solidFill>
            <w14:prstDash w14:val="solid"/>
            <w14:bevel/>
          </w14:textOutline>
        </w:rPr>
      </w:pPr>
      <w:r>
        <w:rPr>
          <w:rFonts w:hint="eastAsia" w:ascii="宋体" w:hAnsi="宋体" w:eastAsia="宋体" w:cs="宋体"/>
          <w:spacing w:val="-1"/>
          <w:sz w:val="24"/>
          <w:szCs w:val="24"/>
          <w:lang w:val="en-US" w:eastAsia="zh-CN"/>
          <w14:textOutline w14:w="4358" w14:cap="sq" w14:cmpd="sng">
            <w14:solidFill>
              <w14:srgbClr w14:val="000000"/>
            </w14:solidFill>
            <w14:prstDash w14:val="solid"/>
            <w14:bevel/>
          </w14:textOutline>
        </w:rPr>
        <w:t>7.</w:t>
      </w:r>
      <w:r>
        <w:rPr>
          <w:rFonts w:ascii="宋体" w:hAnsi="宋体" w:eastAsia="宋体" w:cs="宋体"/>
          <w:spacing w:val="-1"/>
          <w:sz w:val="24"/>
          <w:szCs w:val="24"/>
          <w14:textOutline w14:w="4358" w14:cap="sq" w14:cmpd="sng">
            <w14:solidFill>
              <w14:srgbClr w14:val="000000"/>
            </w14:solidFill>
            <w14:prstDash w14:val="solid"/>
            <w14:bevel/>
          </w14:textOutline>
        </w:rPr>
        <w:t>联系方式</w:t>
      </w:r>
    </w:p>
    <w:p>
      <w:pPr>
        <w:spacing w:line="450" w:lineRule="exact"/>
        <w:rPr>
          <w:rFonts w:hint="eastAsia" w:eastAsia="宋体"/>
          <w:color w:val="auto"/>
          <w:sz w:val="24"/>
          <w:szCs w:val="24"/>
          <w:highlight w:val="none"/>
          <w:u w:val="single"/>
          <w:lang w:eastAsia="zh-CN"/>
        </w:rPr>
      </w:pPr>
      <w:r>
        <w:rPr>
          <w:rFonts w:hint="eastAsia"/>
          <w:color w:val="auto"/>
          <w:sz w:val="24"/>
          <w:szCs w:val="24"/>
          <w:highlight w:val="none"/>
        </w:rPr>
        <w:t>招</w:t>
      </w:r>
      <w:r>
        <w:rPr>
          <w:color w:val="auto"/>
          <w:sz w:val="24"/>
          <w:szCs w:val="24"/>
          <w:highlight w:val="none"/>
        </w:rPr>
        <w:t xml:space="preserve"> </w:t>
      </w:r>
      <w:r>
        <w:rPr>
          <w:rFonts w:hint="eastAsia"/>
          <w:color w:val="auto"/>
          <w:sz w:val="24"/>
          <w:szCs w:val="24"/>
          <w:highlight w:val="none"/>
        </w:rPr>
        <w:t>标</w:t>
      </w:r>
      <w:r>
        <w:rPr>
          <w:color w:val="auto"/>
          <w:sz w:val="24"/>
          <w:szCs w:val="24"/>
          <w:highlight w:val="none"/>
        </w:rPr>
        <w:t xml:space="preserve"> </w:t>
      </w:r>
      <w:r>
        <w:rPr>
          <w:rFonts w:hint="eastAsia"/>
          <w:color w:val="auto"/>
          <w:sz w:val="24"/>
          <w:szCs w:val="24"/>
          <w:highlight w:val="none"/>
        </w:rPr>
        <w:t>人：</w:t>
      </w:r>
      <w:r>
        <w:rPr>
          <w:rFonts w:hint="eastAsia" w:ascii="宋体" w:hAnsi="宋体" w:cs="宋体"/>
          <w:color w:val="000000" w:themeColor="text1"/>
          <w:spacing w:val="0"/>
          <w:sz w:val="24"/>
          <w:szCs w:val="24"/>
          <w:u w:val="none" w:color="auto"/>
          <w:lang w:eastAsia="zh-CN"/>
          <w14:textFill>
            <w14:solidFill>
              <w14:schemeClr w14:val="tx1"/>
            </w14:solidFill>
          </w14:textFill>
        </w:rPr>
        <w:t>阳西县程村镇人民政府</w:t>
      </w:r>
      <w:r>
        <w:rPr>
          <w:color w:val="auto"/>
          <w:sz w:val="24"/>
          <w:szCs w:val="24"/>
          <w:highlight w:val="none"/>
        </w:rPr>
        <w:t xml:space="preserve">   </w:t>
      </w:r>
      <w:r>
        <w:rPr>
          <w:rFonts w:hint="eastAsia" w:eastAsia="宋体"/>
          <w:color w:val="auto"/>
          <w:sz w:val="24"/>
          <w:szCs w:val="24"/>
          <w:highlight w:val="none"/>
          <w:lang w:val="en-US" w:eastAsia="zh-CN"/>
        </w:rPr>
        <w:t xml:space="preserve">         </w:t>
      </w:r>
      <w:r>
        <w:rPr>
          <w:rFonts w:hint="eastAsia"/>
          <w:color w:val="auto"/>
          <w:sz w:val="24"/>
          <w:szCs w:val="24"/>
          <w:highlight w:val="none"/>
        </w:rPr>
        <w:t>招标代理机构：</w:t>
      </w:r>
      <w:r>
        <w:rPr>
          <w:rFonts w:hint="eastAsia" w:eastAsia="宋体"/>
          <w:color w:val="auto"/>
          <w:sz w:val="24"/>
          <w:szCs w:val="24"/>
          <w:highlight w:val="none"/>
          <w:u w:val="single"/>
          <w:lang w:eastAsia="zh-CN"/>
        </w:rPr>
        <w:t>泰宇建筑工程技术咨询有限公司</w:t>
      </w:r>
    </w:p>
    <w:p>
      <w:pPr>
        <w:spacing w:line="450" w:lineRule="exact"/>
        <w:ind w:firstLine="1200" w:firstLineChars="500"/>
        <w:rPr>
          <w:color w:val="auto"/>
          <w:sz w:val="24"/>
          <w:szCs w:val="24"/>
          <w:highlight w:val="none"/>
          <w:u w:val="single"/>
        </w:rPr>
      </w:pPr>
      <w:r>
        <w:rPr>
          <w:color w:val="auto"/>
          <w:sz w:val="24"/>
          <w:szCs w:val="24"/>
          <w:highlight w:val="none"/>
        </w:rPr>
        <w:t xml:space="preserve">                      </w:t>
      </w:r>
    </w:p>
    <w:p>
      <w:pPr>
        <w:spacing w:line="450" w:lineRule="exact"/>
        <w:ind w:left="4800" w:hanging="4800" w:hangingChars="2000"/>
        <w:rPr>
          <w:rFonts w:hint="eastAsia" w:ascii="宋体" w:hAnsi="宋体" w:eastAsia="宋体" w:cs="宋体"/>
          <w:color w:val="000000" w:themeColor="text1"/>
          <w:spacing w:val="0"/>
          <w:sz w:val="24"/>
          <w:szCs w:val="24"/>
          <w:u w:val="none" w:color="auto"/>
          <w:lang w:val="en-US" w:eastAsia="zh-CN"/>
          <w14:textFill>
            <w14:solidFill>
              <w14:schemeClr w14:val="tx1"/>
            </w14:solidFill>
          </w14:textFill>
        </w:rPr>
      </w:pPr>
      <w:r>
        <w:rPr>
          <w:rFonts w:hint="eastAsia"/>
          <w:color w:val="auto"/>
          <w:sz w:val="24"/>
          <w:szCs w:val="24"/>
          <w:highlight w:val="none"/>
        </w:rPr>
        <w:t>地</w:t>
      </w:r>
      <w:r>
        <w:rPr>
          <w:color w:val="auto"/>
          <w:sz w:val="24"/>
          <w:szCs w:val="24"/>
          <w:highlight w:val="none"/>
        </w:rPr>
        <w:t xml:space="preserve">    </w:t>
      </w:r>
      <w:r>
        <w:rPr>
          <w:rFonts w:hint="eastAsia"/>
          <w:color w:val="auto"/>
          <w:sz w:val="24"/>
          <w:szCs w:val="24"/>
          <w:highlight w:val="none"/>
        </w:rPr>
        <w:t>址：阳江市阳西县程村镇东升大道一号</w:t>
      </w:r>
      <w:r>
        <w:rPr>
          <w:color w:val="auto"/>
          <w:sz w:val="24"/>
          <w:szCs w:val="24"/>
          <w:highlight w:val="none"/>
        </w:rPr>
        <w:t xml:space="preserve">  </w:t>
      </w:r>
      <w:r>
        <w:rPr>
          <w:rFonts w:hint="eastAsia"/>
          <w:color w:val="auto"/>
          <w:sz w:val="24"/>
          <w:szCs w:val="24"/>
          <w:highlight w:val="none"/>
        </w:rPr>
        <w:t>地</w:t>
      </w:r>
      <w:r>
        <w:rPr>
          <w:color w:val="auto"/>
          <w:sz w:val="24"/>
          <w:szCs w:val="24"/>
          <w:highlight w:val="none"/>
        </w:rPr>
        <w:t xml:space="preserve">    </w:t>
      </w:r>
      <w:r>
        <w:rPr>
          <w:rFonts w:hint="eastAsia"/>
          <w:color w:val="auto"/>
          <w:sz w:val="24"/>
          <w:szCs w:val="24"/>
          <w:highlight w:val="none"/>
        </w:rPr>
        <w:t>址：</w:t>
      </w:r>
      <w:r>
        <w:rPr>
          <w:rFonts w:hint="eastAsia" w:ascii="宋体" w:hAnsi="宋体" w:eastAsia="宋体" w:cs="宋体"/>
          <w:color w:val="000000" w:themeColor="text1"/>
          <w:spacing w:val="0"/>
          <w:sz w:val="24"/>
          <w:szCs w:val="24"/>
          <w:u w:val="none" w:color="auto"/>
          <w:lang w:val="en-US" w:eastAsia="zh-CN"/>
          <w14:textFill>
            <w14:solidFill>
              <w14:schemeClr w14:val="tx1"/>
            </w14:solidFill>
          </w14:textFill>
        </w:rPr>
        <w:t xml:space="preserve">阳江市阳东区东城镇新昌路70号天立方大楼8楼 </w:t>
      </w:r>
    </w:p>
    <w:p>
      <w:pPr>
        <w:spacing w:line="450" w:lineRule="exact"/>
        <w:rPr>
          <w:color w:val="auto"/>
          <w:sz w:val="24"/>
          <w:szCs w:val="24"/>
          <w:highlight w:val="none"/>
          <w:u w:val="single"/>
        </w:rPr>
      </w:pPr>
      <w:r>
        <w:rPr>
          <w:rFonts w:hint="eastAsia"/>
          <w:color w:val="auto"/>
          <w:sz w:val="24"/>
          <w:szCs w:val="24"/>
          <w:highlight w:val="none"/>
        </w:rPr>
        <w:t>邮政编码：</w:t>
      </w:r>
      <w:r>
        <w:rPr>
          <w:color w:val="auto"/>
          <w:sz w:val="24"/>
          <w:szCs w:val="24"/>
          <w:highlight w:val="none"/>
          <w:u w:val="single"/>
        </w:rPr>
        <w:t>529500</w:t>
      </w:r>
      <w:r>
        <w:rPr>
          <w:color w:val="auto"/>
          <w:sz w:val="24"/>
          <w:szCs w:val="24"/>
          <w:highlight w:val="none"/>
        </w:rPr>
        <w:t xml:space="preserve">                  </w:t>
      </w:r>
      <w:r>
        <w:rPr>
          <w:rFonts w:hint="eastAsia"/>
          <w:color w:val="auto"/>
          <w:sz w:val="24"/>
          <w:szCs w:val="24"/>
          <w:highlight w:val="none"/>
          <w:lang w:val="en-US" w:eastAsia="zh-CN"/>
        </w:rPr>
        <w:t xml:space="preserve"> </w:t>
      </w:r>
      <w:r>
        <w:rPr>
          <w:color w:val="auto"/>
          <w:sz w:val="24"/>
          <w:szCs w:val="24"/>
          <w:highlight w:val="none"/>
        </w:rPr>
        <w:t xml:space="preserve"> </w:t>
      </w:r>
      <w:r>
        <w:rPr>
          <w:rFonts w:hint="eastAsia" w:eastAsia="宋体"/>
          <w:color w:val="auto"/>
          <w:sz w:val="24"/>
          <w:szCs w:val="24"/>
          <w:highlight w:val="none"/>
          <w:lang w:val="en-US" w:eastAsia="zh-CN"/>
        </w:rPr>
        <w:t xml:space="preserve">                      </w:t>
      </w:r>
      <w:r>
        <w:rPr>
          <w:rFonts w:hint="eastAsia"/>
          <w:color w:val="auto"/>
          <w:sz w:val="24"/>
          <w:szCs w:val="24"/>
          <w:highlight w:val="none"/>
        </w:rPr>
        <w:t>邮政编码：</w:t>
      </w:r>
      <w:r>
        <w:rPr>
          <w:color w:val="auto"/>
          <w:sz w:val="24"/>
          <w:szCs w:val="24"/>
          <w:highlight w:val="none"/>
          <w:u w:val="single"/>
        </w:rPr>
        <w:t>529500</w:t>
      </w:r>
    </w:p>
    <w:p>
      <w:pPr>
        <w:spacing w:line="450" w:lineRule="exact"/>
        <w:rPr>
          <w:rFonts w:hint="eastAsia" w:eastAsia="宋体"/>
          <w:color w:val="auto"/>
          <w:sz w:val="24"/>
          <w:szCs w:val="24"/>
          <w:highlight w:val="none"/>
          <w:lang w:val="en-US" w:eastAsia="zh-CN"/>
        </w:rPr>
      </w:pPr>
      <w:r>
        <w:rPr>
          <w:rFonts w:hint="eastAsia"/>
          <w:color w:val="auto"/>
          <w:sz w:val="24"/>
          <w:szCs w:val="24"/>
          <w:highlight w:val="none"/>
        </w:rPr>
        <w:t>联</w:t>
      </w:r>
      <w:r>
        <w:rPr>
          <w:color w:val="auto"/>
          <w:sz w:val="24"/>
          <w:szCs w:val="24"/>
          <w:highlight w:val="none"/>
        </w:rPr>
        <w:t xml:space="preserve"> </w:t>
      </w:r>
      <w:r>
        <w:rPr>
          <w:rFonts w:hint="eastAsia"/>
          <w:color w:val="auto"/>
          <w:sz w:val="24"/>
          <w:szCs w:val="24"/>
          <w:highlight w:val="none"/>
        </w:rPr>
        <w:t>系</w:t>
      </w:r>
      <w:r>
        <w:rPr>
          <w:color w:val="auto"/>
          <w:sz w:val="24"/>
          <w:szCs w:val="24"/>
          <w:highlight w:val="none"/>
        </w:rPr>
        <w:t xml:space="preserve"> </w:t>
      </w:r>
      <w:r>
        <w:rPr>
          <w:rFonts w:hint="eastAsia"/>
          <w:color w:val="auto"/>
          <w:sz w:val="24"/>
          <w:szCs w:val="24"/>
          <w:highlight w:val="none"/>
        </w:rPr>
        <w:t>人：</w:t>
      </w:r>
      <w:r>
        <w:rPr>
          <w:rFonts w:hint="eastAsia"/>
          <w:color w:val="auto"/>
          <w:sz w:val="24"/>
          <w:szCs w:val="24"/>
          <w:highlight w:val="none"/>
          <w:lang w:val="en-US" w:eastAsia="zh-CN"/>
        </w:rPr>
        <w:t xml:space="preserve">刘工 </w:t>
      </w:r>
      <w:r>
        <w:rPr>
          <w:color w:val="auto"/>
          <w:sz w:val="24"/>
          <w:szCs w:val="24"/>
          <w:highlight w:val="none"/>
        </w:rPr>
        <w:t xml:space="preserve">                </w:t>
      </w:r>
      <w:r>
        <w:rPr>
          <w:rFonts w:hint="eastAsia"/>
          <w:color w:val="auto"/>
          <w:sz w:val="24"/>
          <w:szCs w:val="24"/>
          <w:highlight w:val="none"/>
          <w:lang w:val="en-US"/>
        </w:rPr>
        <w:t xml:space="preserve"> </w:t>
      </w:r>
      <w:r>
        <w:rPr>
          <w:rFonts w:hint="eastAsia"/>
          <w:color w:val="auto"/>
          <w:sz w:val="24"/>
          <w:szCs w:val="24"/>
          <w:highlight w:val="none"/>
          <w:lang w:val="en-US" w:eastAsia="zh-CN"/>
        </w:rPr>
        <w:t xml:space="preserve"> </w:t>
      </w:r>
      <w:r>
        <w:rPr>
          <w:color w:val="auto"/>
          <w:sz w:val="24"/>
          <w:szCs w:val="24"/>
          <w:highlight w:val="none"/>
        </w:rPr>
        <w:t xml:space="preserve"> </w:t>
      </w:r>
      <w:r>
        <w:rPr>
          <w:rFonts w:hint="eastAsia" w:eastAsia="宋体"/>
          <w:color w:val="auto"/>
          <w:sz w:val="24"/>
          <w:szCs w:val="24"/>
          <w:highlight w:val="none"/>
          <w:lang w:val="en-US" w:eastAsia="zh-CN"/>
        </w:rPr>
        <w:t xml:space="preserve">           </w:t>
      </w:r>
      <w:r>
        <w:rPr>
          <w:color w:val="auto"/>
          <w:sz w:val="24"/>
          <w:szCs w:val="24"/>
          <w:highlight w:val="none"/>
        </w:rPr>
        <w:t xml:space="preserve"> </w:t>
      </w:r>
      <w:r>
        <w:rPr>
          <w:rFonts w:hint="eastAsia" w:eastAsia="宋体"/>
          <w:color w:val="auto"/>
          <w:sz w:val="24"/>
          <w:szCs w:val="24"/>
          <w:highlight w:val="none"/>
          <w:lang w:val="en-US" w:eastAsia="zh-CN"/>
        </w:rPr>
        <w:t xml:space="preserve">                </w:t>
      </w:r>
      <w:r>
        <w:rPr>
          <w:rFonts w:hint="eastAsia"/>
          <w:color w:val="auto"/>
          <w:sz w:val="24"/>
          <w:szCs w:val="24"/>
          <w:highlight w:val="none"/>
        </w:rPr>
        <w:t>联</w:t>
      </w:r>
      <w:r>
        <w:rPr>
          <w:color w:val="auto"/>
          <w:sz w:val="24"/>
          <w:szCs w:val="24"/>
          <w:highlight w:val="none"/>
        </w:rPr>
        <w:t xml:space="preserve"> </w:t>
      </w:r>
      <w:r>
        <w:rPr>
          <w:rFonts w:hint="eastAsia"/>
          <w:color w:val="auto"/>
          <w:sz w:val="24"/>
          <w:szCs w:val="24"/>
          <w:highlight w:val="none"/>
        </w:rPr>
        <w:t>系</w:t>
      </w:r>
      <w:r>
        <w:rPr>
          <w:color w:val="auto"/>
          <w:sz w:val="24"/>
          <w:szCs w:val="24"/>
          <w:highlight w:val="none"/>
        </w:rPr>
        <w:t xml:space="preserve"> </w:t>
      </w:r>
      <w:r>
        <w:rPr>
          <w:rFonts w:hint="eastAsia"/>
          <w:color w:val="auto"/>
          <w:sz w:val="24"/>
          <w:szCs w:val="24"/>
          <w:highlight w:val="none"/>
        </w:rPr>
        <w:t>人：</w:t>
      </w:r>
      <w:r>
        <w:rPr>
          <w:rFonts w:hint="eastAsia" w:eastAsia="宋体"/>
          <w:color w:val="auto"/>
          <w:sz w:val="24"/>
          <w:szCs w:val="24"/>
          <w:highlight w:val="none"/>
          <w:lang w:val="en-US" w:eastAsia="zh-CN"/>
        </w:rPr>
        <w:t>吴工</w:t>
      </w:r>
    </w:p>
    <w:p>
      <w:pPr>
        <w:spacing w:line="450" w:lineRule="exact"/>
        <w:rPr>
          <w:rFonts w:hint="default" w:eastAsia="宋体"/>
          <w:color w:val="auto"/>
          <w:sz w:val="24"/>
          <w:szCs w:val="24"/>
          <w:highlight w:val="none"/>
          <w:u w:val="single"/>
          <w:lang w:val="en-US" w:eastAsia="zh-CN"/>
        </w:rPr>
      </w:pPr>
      <w:r>
        <w:rPr>
          <w:rFonts w:hint="eastAsia"/>
          <w:color w:val="auto"/>
          <w:sz w:val="24"/>
          <w:szCs w:val="24"/>
          <w:highlight w:val="none"/>
        </w:rPr>
        <w:t>电</w:t>
      </w:r>
      <w:r>
        <w:rPr>
          <w:color w:val="auto"/>
          <w:sz w:val="24"/>
          <w:szCs w:val="24"/>
          <w:highlight w:val="none"/>
        </w:rPr>
        <w:t xml:space="preserve">    </w:t>
      </w:r>
      <w:r>
        <w:rPr>
          <w:rFonts w:hint="eastAsia"/>
          <w:color w:val="auto"/>
          <w:sz w:val="24"/>
          <w:szCs w:val="24"/>
          <w:highlight w:val="none"/>
        </w:rPr>
        <w:t>话：</w:t>
      </w:r>
      <w:r>
        <w:rPr>
          <w:rFonts w:hint="eastAsia" w:eastAsia="宋体"/>
          <w:color w:val="auto"/>
          <w:sz w:val="24"/>
          <w:szCs w:val="24"/>
          <w:highlight w:val="none"/>
          <w:lang w:val="en-US" w:eastAsia="zh-CN"/>
        </w:rPr>
        <w:t xml:space="preserve">0662-5357712                      </w:t>
      </w:r>
      <w:r>
        <w:rPr>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电</w:t>
      </w:r>
      <w:r>
        <w:rPr>
          <w:color w:val="auto"/>
          <w:sz w:val="24"/>
          <w:szCs w:val="24"/>
          <w:highlight w:val="none"/>
        </w:rPr>
        <w:t xml:space="preserve">    </w:t>
      </w:r>
      <w:r>
        <w:rPr>
          <w:rFonts w:hint="eastAsia"/>
          <w:color w:val="auto"/>
          <w:sz w:val="24"/>
          <w:szCs w:val="24"/>
          <w:highlight w:val="none"/>
        </w:rPr>
        <w:t>话：</w:t>
      </w:r>
      <w:r>
        <w:rPr>
          <w:color w:val="auto"/>
          <w:sz w:val="24"/>
          <w:szCs w:val="24"/>
          <w:highlight w:val="none"/>
          <w:u w:val="single"/>
        </w:rPr>
        <w:t>0662-</w:t>
      </w:r>
      <w:r>
        <w:rPr>
          <w:rFonts w:hint="eastAsia" w:eastAsia="宋体"/>
          <w:color w:val="auto"/>
          <w:sz w:val="24"/>
          <w:szCs w:val="24"/>
          <w:highlight w:val="none"/>
          <w:u w:val="single"/>
          <w:lang w:val="en-US" w:eastAsia="zh-CN"/>
        </w:rPr>
        <w:t>6686568</w:t>
      </w:r>
    </w:p>
    <w:p>
      <w:pPr>
        <w:spacing w:line="450" w:lineRule="exact"/>
        <w:rPr>
          <w:rFonts w:hint="eastAsia" w:eastAsia="宋体"/>
          <w:color w:val="auto"/>
          <w:sz w:val="24"/>
          <w:szCs w:val="24"/>
          <w:highlight w:val="none"/>
          <w:u w:val="single"/>
          <w:lang w:val="en-US" w:eastAsia="zh-CN"/>
        </w:rPr>
      </w:pPr>
      <w:r>
        <w:rPr>
          <w:rFonts w:hint="eastAsia"/>
          <w:color w:val="auto"/>
          <w:sz w:val="24"/>
          <w:szCs w:val="24"/>
          <w:highlight w:val="none"/>
          <w:lang w:val="en-US"/>
        </w:rPr>
        <w:t>传</w:t>
      </w:r>
      <w:r>
        <w:rPr>
          <w:color w:val="auto"/>
          <w:sz w:val="24"/>
          <w:szCs w:val="24"/>
          <w:highlight w:val="none"/>
        </w:rPr>
        <w:t xml:space="preserve">    </w:t>
      </w:r>
      <w:r>
        <w:rPr>
          <w:rFonts w:hint="eastAsia"/>
          <w:color w:val="auto"/>
          <w:sz w:val="24"/>
          <w:szCs w:val="24"/>
          <w:highlight w:val="none"/>
          <w:lang w:val="en-US"/>
        </w:rPr>
        <w:t>真</w:t>
      </w:r>
      <w:r>
        <w:rPr>
          <w:rFonts w:hint="eastAsia"/>
          <w:color w:val="auto"/>
          <w:sz w:val="24"/>
          <w:szCs w:val="24"/>
          <w:highlight w:val="none"/>
        </w:rPr>
        <w:t>：</w:t>
      </w:r>
      <w:r>
        <w:rPr>
          <w:rFonts w:hint="eastAsia" w:eastAsia="宋体"/>
          <w:color w:val="auto"/>
          <w:sz w:val="24"/>
          <w:szCs w:val="24"/>
          <w:highlight w:val="none"/>
          <w:lang w:val="en-US" w:eastAsia="zh-CN"/>
        </w:rPr>
        <w:t xml:space="preserve">    /                                                    </w:t>
      </w:r>
      <w:r>
        <w:rPr>
          <w:rFonts w:hint="eastAsia"/>
          <w:color w:val="auto"/>
          <w:sz w:val="24"/>
          <w:szCs w:val="24"/>
          <w:highlight w:val="none"/>
          <w:lang w:val="en-US"/>
        </w:rPr>
        <w:t>传</w:t>
      </w:r>
      <w:r>
        <w:rPr>
          <w:color w:val="auto"/>
          <w:sz w:val="24"/>
          <w:szCs w:val="24"/>
          <w:highlight w:val="none"/>
        </w:rPr>
        <w:t xml:space="preserve">    </w:t>
      </w:r>
      <w:r>
        <w:rPr>
          <w:rFonts w:hint="eastAsia"/>
          <w:color w:val="auto"/>
          <w:sz w:val="24"/>
          <w:szCs w:val="24"/>
          <w:highlight w:val="none"/>
          <w:lang w:val="en-US"/>
        </w:rPr>
        <w:t>真</w:t>
      </w:r>
      <w:r>
        <w:rPr>
          <w:rFonts w:hint="eastAsia"/>
          <w:color w:val="auto"/>
          <w:sz w:val="24"/>
          <w:szCs w:val="24"/>
          <w:highlight w:val="none"/>
        </w:rPr>
        <w:t>：</w:t>
      </w:r>
      <w:r>
        <w:rPr>
          <w:rFonts w:hint="eastAsia" w:eastAsia="宋体"/>
          <w:color w:val="auto"/>
          <w:sz w:val="24"/>
          <w:szCs w:val="24"/>
          <w:highlight w:val="none"/>
          <w:u w:val="single"/>
          <w:lang w:val="en-US" w:eastAsia="zh-CN"/>
        </w:rPr>
        <w:t>/</w:t>
      </w:r>
    </w:p>
    <w:p>
      <w:pPr>
        <w:spacing w:line="251" w:lineRule="auto"/>
        <w:rPr>
          <w:rFonts w:ascii="Arial"/>
          <w:sz w:val="24"/>
          <w:szCs w:val="24"/>
        </w:rPr>
      </w:pPr>
    </w:p>
    <w:p>
      <w:pPr>
        <w:spacing w:line="251" w:lineRule="auto"/>
        <w:rPr>
          <w:rFonts w:hint="eastAsia" w:eastAsia="宋体"/>
          <w:sz w:val="24"/>
          <w:szCs w:val="24"/>
          <w:lang w:val="en-US" w:eastAsia="zh-CN"/>
        </w:rPr>
      </w:pPr>
      <w:r>
        <w:rPr>
          <w:rFonts w:hint="eastAsia" w:eastAsia="宋体"/>
          <w:sz w:val="24"/>
          <w:szCs w:val="24"/>
          <w:lang w:val="en-US" w:eastAsia="zh-CN"/>
        </w:rPr>
        <w:t xml:space="preserve">      </w:t>
      </w:r>
    </w:p>
    <w:p>
      <w:pPr>
        <w:pStyle w:val="12"/>
        <w:jc w:val="right"/>
        <w:rPr>
          <w:rFonts w:hint="eastAsia" w:ascii="宋体" w:hAnsi="宋体" w:eastAsia="宋体" w:cs="宋体"/>
          <w:color w:val="auto"/>
          <w:sz w:val="24"/>
          <w:szCs w:val="24"/>
          <w:lang w:val="en-US" w:eastAsia="zh-CN"/>
        </w:rPr>
      </w:pPr>
    </w:p>
    <w:p>
      <w:pPr>
        <w:pStyle w:val="12"/>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2023年</w:t>
      </w:r>
      <w:r>
        <w:rPr>
          <w:rFonts w:hint="eastAsia" w:cs="宋体"/>
          <w:color w:val="auto"/>
          <w:sz w:val="24"/>
          <w:szCs w:val="24"/>
          <w:lang w:val="en-US" w:eastAsia="zh-CN"/>
        </w:rPr>
        <w:t xml:space="preserve">   </w:t>
      </w:r>
      <w:r>
        <w:rPr>
          <w:rFonts w:hint="eastAsia" w:ascii="宋体" w:hAnsi="宋体" w:eastAsia="宋体" w:cs="宋体"/>
          <w:color w:val="auto"/>
          <w:sz w:val="24"/>
          <w:szCs w:val="24"/>
          <w:lang w:val="en-US" w:eastAsia="zh-CN"/>
        </w:rPr>
        <w:t>月</w:t>
      </w:r>
      <w:r>
        <w:rPr>
          <w:rFonts w:hint="eastAsia" w:cs="宋体"/>
          <w:color w:val="auto"/>
          <w:sz w:val="24"/>
          <w:szCs w:val="24"/>
          <w:lang w:val="en-US" w:eastAsia="zh-CN"/>
        </w:rPr>
        <w:t xml:space="preserve">  </w:t>
      </w:r>
      <w:r>
        <w:rPr>
          <w:rFonts w:hint="eastAsia" w:ascii="宋体" w:hAnsi="宋体" w:eastAsia="宋体" w:cs="宋体"/>
          <w:color w:val="auto"/>
          <w:sz w:val="24"/>
          <w:szCs w:val="24"/>
          <w:lang w:val="en-US" w:eastAsia="zh-CN"/>
        </w:rPr>
        <w:t>日</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46"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4"/>
        <w:spacing w:before="169" w:line="221" w:lineRule="auto"/>
        <w:ind w:left="1975"/>
        <w:rPr>
          <w:spacing w:val="19"/>
          <w14:textOutline w14:w="9461" w14:cap="sq" w14:cmpd="sng">
            <w14:solidFill>
              <w14:srgbClr w14:val="000000"/>
            </w14:solidFill>
            <w14:prstDash w14:val="solid"/>
            <w14:bevel/>
          </w14:textOutline>
        </w:rPr>
      </w:pPr>
    </w:p>
    <w:p>
      <w:pPr>
        <w:pStyle w:val="4"/>
        <w:spacing w:before="169" w:line="221" w:lineRule="auto"/>
        <w:ind w:left="1975"/>
      </w:pPr>
      <w:r>
        <w:rPr>
          <w:spacing w:val="19"/>
          <w14:textOutline w14:w="9461" w14:cap="sq" w14:cmpd="sng">
            <w14:solidFill>
              <w14:srgbClr w14:val="000000"/>
            </w14:solidFill>
            <w14:prstDash w14:val="solid"/>
            <w14:bevel/>
          </w14:textOutline>
        </w:rPr>
        <w:t>第</w:t>
      </w:r>
      <w:r>
        <w:rPr>
          <w:spacing w:val="-146"/>
        </w:rPr>
        <w:t xml:space="preserve"> </w:t>
      </w:r>
      <w:r>
        <w:rPr>
          <w:spacing w:val="19"/>
          <w14:textOutline w14:w="9461" w14:cap="sq" w14:cmpd="sng">
            <w14:solidFill>
              <w14:srgbClr w14:val="000000"/>
            </w14:solidFill>
            <w14:prstDash w14:val="solid"/>
            <w14:bevel/>
          </w14:textOutline>
        </w:rPr>
        <w:t>二章</w:t>
      </w:r>
      <w:r>
        <w:rPr>
          <w:spacing w:val="176"/>
        </w:rPr>
        <w:t xml:space="preserve"> </w:t>
      </w:r>
      <w:r>
        <w:rPr>
          <w:spacing w:val="19"/>
          <w14:textOutline w14:w="9461" w14:cap="sq" w14:cmpd="sng">
            <w14:solidFill>
              <w14:srgbClr w14:val="000000"/>
            </w14:solidFill>
            <w14:prstDash w14:val="solid"/>
            <w14:bevel/>
          </w14:textOutline>
        </w:rPr>
        <w:t>投标人须知</w:t>
      </w:r>
    </w:p>
    <w:p>
      <w:pPr>
        <w:spacing w:line="406" w:lineRule="auto"/>
        <w:rPr>
          <w:rFonts w:ascii="Arial"/>
          <w:sz w:val="21"/>
        </w:rPr>
      </w:pPr>
    </w:p>
    <w:p>
      <w:pPr>
        <w:pStyle w:val="4"/>
        <w:spacing w:before="114" w:line="226" w:lineRule="auto"/>
        <w:ind w:left="2654"/>
        <w:rPr>
          <w:spacing w:val="-3"/>
          <w:sz w:val="35"/>
          <w:szCs w:val="35"/>
          <w14:textOutline w14:w="6537" w14:cap="sq" w14:cmpd="sng">
            <w14:solidFill>
              <w14:srgbClr w14:val="000000"/>
            </w14:solidFill>
            <w14:prstDash w14:val="solid"/>
            <w14:bevel/>
          </w14:textOutline>
        </w:rPr>
      </w:pPr>
    </w:p>
    <w:p>
      <w:pPr>
        <w:pStyle w:val="4"/>
        <w:spacing w:before="114" w:line="226" w:lineRule="auto"/>
        <w:ind w:left="2654"/>
        <w:rPr>
          <w:spacing w:val="-3"/>
          <w:sz w:val="35"/>
          <w:szCs w:val="35"/>
          <w14:textOutline w14:w="6537" w14:cap="sq" w14:cmpd="sng">
            <w14:solidFill>
              <w14:srgbClr w14:val="000000"/>
            </w14:solidFill>
            <w14:prstDash w14:val="solid"/>
            <w14:bevel/>
          </w14:textOutline>
        </w:rPr>
      </w:pPr>
    </w:p>
    <w:p>
      <w:pPr>
        <w:pStyle w:val="4"/>
        <w:spacing w:before="114" w:line="226" w:lineRule="auto"/>
        <w:ind w:left="2654"/>
        <w:rPr>
          <w:spacing w:val="-3"/>
          <w:sz w:val="35"/>
          <w:szCs w:val="35"/>
          <w14:textOutline w14:w="6537" w14:cap="sq" w14:cmpd="sng">
            <w14:solidFill>
              <w14:srgbClr w14:val="000000"/>
            </w14:solidFill>
            <w14:prstDash w14:val="solid"/>
            <w14:bevel/>
          </w14:textOutline>
        </w:rPr>
      </w:pPr>
    </w:p>
    <w:p>
      <w:pPr>
        <w:pStyle w:val="4"/>
        <w:spacing w:before="114" w:line="226" w:lineRule="auto"/>
        <w:ind w:left="2654"/>
        <w:rPr>
          <w:spacing w:val="-3"/>
          <w:sz w:val="35"/>
          <w:szCs w:val="35"/>
          <w14:textOutline w14:w="6537" w14:cap="sq" w14:cmpd="sng">
            <w14:solidFill>
              <w14:srgbClr w14:val="000000"/>
            </w14:solidFill>
            <w14:prstDash w14:val="solid"/>
            <w14:bevel/>
          </w14:textOutline>
        </w:rPr>
      </w:pPr>
    </w:p>
    <w:p>
      <w:pPr>
        <w:pStyle w:val="4"/>
        <w:spacing w:before="114" w:line="226" w:lineRule="auto"/>
        <w:ind w:left="2654"/>
        <w:rPr>
          <w:spacing w:val="-3"/>
          <w:sz w:val="35"/>
          <w:szCs w:val="35"/>
          <w14:textOutline w14:w="6537" w14:cap="sq" w14:cmpd="sng">
            <w14:solidFill>
              <w14:srgbClr w14:val="000000"/>
            </w14:solidFill>
            <w14:prstDash w14:val="solid"/>
            <w14:bevel/>
          </w14:textOutline>
        </w:rPr>
      </w:pPr>
    </w:p>
    <w:p>
      <w:pPr>
        <w:pStyle w:val="4"/>
        <w:spacing w:before="114" w:line="226" w:lineRule="auto"/>
        <w:ind w:left="2654"/>
        <w:rPr>
          <w:spacing w:val="-3"/>
          <w:sz w:val="35"/>
          <w:szCs w:val="35"/>
          <w14:textOutline w14:w="6537" w14:cap="sq" w14:cmpd="sng">
            <w14:solidFill>
              <w14:srgbClr w14:val="000000"/>
            </w14:solidFill>
            <w14:prstDash w14:val="solid"/>
            <w14:bevel/>
          </w14:textOutline>
        </w:rPr>
      </w:pPr>
    </w:p>
    <w:p>
      <w:pPr>
        <w:pStyle w:val="4"/>
        <w:spacing w:before="114" w:line="226" w:lineRule="auto"/>
        <w:ind w:left="2654"/>
        <w:rPr>
          <w:spacing w:val="-3"/>
          <w:sz w:val="35"/>
          <w:szCs w:val="35"/>
          <w14:textOutline w14:w="6537" w14:cap="sq" w14:cmpd="sng">
            <w14:solidFill>
              <w14:srgbClr w14:val="000000"/>
            </w14:solidFill>
            <w14:prstDash w14:val="solid"/>
            <w14:bevel/>
          </w14:textOutline>
        </w:rPr>
      </w:pPr>
    </w:p>
    <w:p>
      <w:pPr>
        <w:pStyle w:val="4"/>
        <w:spacing w:before="114" w:line="226" w:lineRule="auto"/>
        <w:ind w:left="2654"/>
        <w:rPr>
          <w:spacing w:val="-3"/>
          <w:sz w:val="35"/>
          <w:szCs w:val="35"/>
          <w14:textOutline w14:w="6537" w14:cap="sq" w14:cmpd="sng">
            <w14:solidFill>
              <w14:srgbClr w14:val="000000"/>
            </w14:solidFill>
            <w14:prstDash w14:val="solid"/>
            <w14:bevel/>
          </w14:textOutline>
        </w:rPr>
      </w:pPr>
    </w:p>
    <w:p>
      <w:pPr>
        <w:pStyle w:val="4"/>
        <w:spacing w:before="114" w:line="226" w:lineRule="auto"/>
        <w:ind w:left="2654"/>
        <w:rPr>
          <w:spacing w:val="-3"/>
          <w:sz w:val="35"/>
          <w:szCs w:val="35"/>
          <w14:textOutline w14:w="6537" w14:cap="sq" w14:cmpd="sng">
            <w14:solidFill>
              <w14:srgbClr w14:val="000000"/>
            </w14:solidFill>
            <w14:prstDash w14:val="solid"/>
            <w14:bevel/>
          </w14:textOutline>
        </w:rPr>
      </w:pPr>
    </w:p>
    <w:p>
      <w:pPr>
        <w:pStyle w:val="4"/>
        <w:spacing w:before="114" w:line="226" w:lineRule="auto"/>
        <w:ind w:left="2654"/>
        <w:rPr>
          <w:spacing w:val="-3"/>
          <w:sz w:val="35"/>
          <w:szCs w:val="35"/>
          <w14:textOutline w14:w="6537" w14:cap="sq" w14:cmpd="sng">
            <w14:solidFill>
              <w14:srgbClr w14:val="000000"/>
            </w14:solidFill>
            <w14:prstDash w14:val="solid"/>
            <w14:bevel/>
          </w14:textOutline>
        </w:rPr>
      </w:pPr>
    </w:p>
    <w:p>
      <w:pPr>
        <w:pStyle w:val="4"/>
        <w:spacing w:before="114" w:line="226" w:lineRule="auto"/>
        <w:ind w:left="2654"/>
        <w:rPr>
          <w:spacing w:val="-3"/>
          <w:sz w:val="35"/>
          <w:szCs w:val="35"/>
          <w14:textOutline w14:w="6537" w14:cap="sq" w14:cmpd="sng">
            <w14:solidFill>
              <w14:srgbClr w14:val="000000"/>
            </w14:solidFill>
            <w14:prstDash w14:val="solid"/>
            <w14:bevel/>
          </w14:textOutline>
        </w:rPr>
      </w:pPr>
    </w:p>
    <w:p>
      <w:pPr>
        <w:pStyle w:val="4"/>
        <w:spacing w:before="114" w:line="226" w:lineRule="auto"/>
        <w:ind w:left="2654"/>
        <w:rPr>
          <w:spacing w:val="-3"/>
          <w:sz w:val="35"/>
          <w:szCs w:val="35"/>
          <w14:textOutline w14:w="6537" w14:cap="sq" w14:cmpd="sng">
            <w14:solidFill>
              <w14:srgbClr w14:val="000000"/>
            </w14:solidFill>
            <w14:prstDash w14:val="solid"/>
            <w14:bevel/>
          </w14:textOutline>
        </w:rPr>
      </w:pPr>
    </w:p>
    <w:p>
      <w:pPr>
        <w:pStyle w:val="4"/>
        <w:spacing w:before="114" w:line="226" w:lineRule="auto"/>
        <w:ind w:left="2654"/>
        <w:rPr>
          <w:spacing w:val="-3"/>
          <w:sz w:val="35"/>
          <w:szCs w:val="35"/>
          <w14:textOutline w14:w="6537" w14:cap="sq" w14:cmpd="sng">
            <w14:solidFill>
              <w14:srgbClr w14:val="000000"/>
            </w14:solidFill>
            <w14:prstDash w14:val="solid"/>
            <w14:bevel/>
          </w14:textOutline>
        </w:rPr>
      </w:pPr>
    </w:p>
    <w:p>
      <w:pPr>
        <w:pStyle w:val="4"/>
        <w:spacing w:before="114" w:line="226" w:lineRule="auto"/>
        <w:ind w:left="2654"/>
        <w:rPr>
          <w:spacing w:val="-3"/>
          <w:sz w:val="35"/>
          <w:szCs w:val="35"/>
          <w14:textOutline w14:w="6537" w14:cap="sq" w14:cmpd="sng">
            <w14:solidFill>
              <w14:srgbClr w14:val="000000"/>
            </w14:solidFill>
            <w14:prstDash w14:val="solid"/>
            <w14:bevel/>
          </w14:textOutline>
        </w:rPr>
      </w:pPr>
    </w:p>
    <w:p>
      <w:pPr>
        <w:pStyle w:val="4"/>
        <w:spacing w:before="114" w:line="226" w:lineRule="auto"/>
        <w:ind w:left="2654"/>
        <w:rPr>
          <w:spacing w:val="-3"/>
          <w:sz w:val="35"/>
          <w:szCs w:val="35"/>
          <w14:textOutline w14:w="6537" w14:cap="sq" w14:cmpd="sng">
            <w14:solidFill>
              <w14:srgbClr w14:val="000000"/>
            </w14:solidFill>
            <w14:prstDash w14:val="solid"/>
            <w14:bevel/>
          </w14:textOutline>
        </w:rPr>
      </w:pPr>
    </w:p>
    <w:p>
      <w:pPr>
        <w:pStyle w:val="4"/>
        <w:spacing w:before="114" w:line="226" w:lineRule="auto"/>
        <w:rPr>
          <w:spacing w:val="-3"/>
          <w:sz w:val="35"/>
          <w:szCs w:val="35"/>
          <w14:textOutline w14:w="6537" w14:cap="sq" w14:cmpd="sng">
            <w14:solidFill>
              <w14:srgbClr w14:val="000000"/>
            </w14:solidFill>
            <w14:prstDash w14:val="solid"/>
            <w14:bevel/>
          </w14:textOutline>
        </w:rPr>
      </w:pPr>
    </w:p>
    <w:p>
      <w:pPr>
        <w:pStyle w:val="4"/>
        <w:spacing w:before="114" w:line="226" w:lineRule="auto"/>
        <w:ind w:left="2654"/>
        <w:rPr>
          <w:spacing w:val="-3"/>
          <w:sz w:val="35"/>
          <w:szCs w:val="35"/>
          <w14:textOutline w14:w="6537" w14:cap="sq" w14:cmpd="sng">
            <w14:solidFill>
              <w14:srgbClr w14:val="000000"/>
            </w14:solidFill>
            <w14:prstDash w14:val="solid"/>
            <w14:bevel/>
          </w14:textOutline>
        </w:rPr>
      </w:pPr>
    </w:p>
    <w:p>
      <w:pPr>
        <w:pStyle w:val="4"/>
        <w:spacing w:before="114" w:line="226" w:lineRule="auto"/>
        <w:ind w:left="2654"/>
        <w:rPr>
          <w:sz w:val="35"/>
          <w:szCs w:val="35"/>
        </w:rPr>
      </w:pPr>
      <w:r>
        <w:rPr>
          <w:spacing w:val="-3"/>
          <w:sz w:val="35"/>
          <w:szCs w:val="35"/>
          <w14:textOutline w14:w="6537" w14:cap="sq" w14:cmpd="sng">
            <w14:solidFill>
              <w14:srgbClr w14:val="000000"/>
            </w14:solidFill>
            <w14:prstDash w14:val="solid"/>
            <w14:bevel/>
          </w14:textOutline>
        </w:rPr>
        <w:t>第</w:t>
      </w:r>
      <w:r>
        <w:rPr>
          <w:spacing w:val="-72"/>
          <w:sz w:val="35"/>
          <w:szCs w:val="35"/>
        </w:rPr>
        <w:t xml:space="preserve"> </w:t>
      </w:r>
      <w:r>
        <w:rPr>
          <w:spacing w:val="-3"/>
          <w:sz w:val="35"/>
          <w:szCs w:val="35"/>
          <w14:textOutline w14:w="6537" w14:cap="sq" w14:cmpd="sng">
            <w14:solidFill>
              <w14:srgbClr w14:val="000000"/>
            </w14:solidFill>
            <w14:prstDash w14:val="solid"/>
            <w14:bevel/>
          </w14:textOutline>
        </w:rPr>
        <w:t>二</w:t>
      </w:r>
      <w:r>
        <w:rPr>
          <w:spacing w:val="-78"/>
          <w:sz w:val="35"/>
          <w:szCs w:val="35"/>
        </w:rPr>
        <w:t xml:space="preserve"> </w:t>
      </w:r>
      <w:r>
        <w:rPr>
          <w:spacing w:val="-3"/>
          <w:sz w:val="35"/>
          <w:szCs w:val="35"/>
          <w14:textOutline w14:w="6537" w14:cap="sq" w14:cmpd="sng">
            <w14:solidFill>
              <w14:srgbClr w14:val="000000"/>
            </w14:solidFill>
            <w14:prstDash w14:val="solid"/>
            <w14:bevel/>
          </w14:textOutline>
        </w:rPr>
        <w:t>章</w:t>
      </w:r>
      <w:r>
        <w:rPr>
          <w:spacing w:val="-3"/>
          <w:sz w:val="35"/>
          <w:szCs w:val="35"/>
        </w:rPr>
        <w:t xml:space="preserve">  </w:t>
      </w:r>
      <w:r>
        <w:rPr>
          <w:spacing w:val="-3"/>
          <w:sz w:val="35"/>
          <w:szCs w:val="35"/>
          <w14:textOutline w14:w="6537" w14:cap="sq" w14:cmpd="sng">
            <w14:solidFill>
              <w14:srgbClr w14:val="000000"/>
            </w14:solidFill>
            <w14:prstDash w14:val="solid"/>
            <w14:bevel/>
          </w14:textOutline>
        </w:rPr>
        <w:t>投</w:t>
      </w:r>
      <w:r>
        <w:rPr>
          <w:spacing w:val="-86"/>
          <w:sz w:val="35"/>
          <w:szCs w:val="35"/>
        </w:rPr>
        <w:t xml:space="preserve"> </w:t>
      </w:r>
      <w:r>
        <w:rPr>
          <w:spacing w:val="-3"/>
          <w:sz w:val="35"/>
          <w:szCs w:val="35"/>
          <w14:textOutline w14:w="6537" w14:cap="sq" w14:cmpd="sng">
            <w14:solidFill>
              <w14:srgbClr w14:val="000000"/>
            </w14:solidFill>
            <w14:prstDash w14:val="solid"/>
            <w14:bevel/>
          </w14:textOutline>
        </w:rPr>
        <w:t>标</w:t>
      </w:r>
      <w:r>
        <w:rPr>
          <w:spacing w:val="-74"/>
          <w:sz w:val="35"/>
          <w:szCs w:val="35"/>
        </w:rPr>
        <w:t xml:space="preserve"> </w:t>
      </w:r>
      <w:r>
        <w:rPr>
          <w:spacing w:val="-3"/>
          <w:sz w:val="35"/>
          <w:szCs w:val="35"/>
          <w14:textOutline w14:w="6537" w14:cap="sq" w14:cmpd="sng">
            <w14:solidFill>
              <w14:srgbClr w14:val="000000"/>
            </w14:solidFill>
            <w14:prstDash w14:val="solid"/>
            <w14:bevel/>
          </w14:textOutline>
        </w:rPr>
        <w:t>人</w:t>
      </w:r>
      <w:r>
        <w:rPr>
          <w:spacing w:val="-82"/>
          <w:sz w:val="35"/>
          <w:szCs w:val="35"/>
        </w:rPr>
        <w:t xml:space="preserve"> </w:t>
      </w:r>
      <w:r>
        <w:rPr>
          <w:spacing w:val="-3"/>
          <w:sz w:val="35"/>
          <w:szCs w:val="35"/>
          <w14:textOutline w14:w="6537" w14:cap="sq" w14:cmpd="sng">
            <w14:solidFill>
              <w14:srgbClr w14:val="000000"/>
            </w14:solidFill>
            <w14:prstDash w14:val="solid"/>
            <w14:bevel/>
          </w14:textOutline>
        </w:rPr>
        <w:t>须</w:t>
      </w:r>
      <w:r>
        <w:rPr>
          <w:spacing w:val="-69"/>
          <w:sz w:val="35"/>
          <w:szCs w:val="35"/>
        </w:rPr>
        <w:t xml:space="preserve"> </w:t>
      </w:r>
      <w:r>
        <w:rPr>
          <w:spacing w:val="-3"/>
          <w:sz w:val="35"/>
          <w:szCs w:val="35"/>
          <w14:textOutline w14:w="6537" w14:cap="sq" w14:cmpd="sng">
            <w14:solidFill>
              <w14:srgbClr w14:val="000000"/>
            </w14:solidFill>
            <w14:prstDash w14:val="solid"/>
            <w14:bevel/>
          </w14:textOutline>
        </w:rPr>
        <w:t>知</w:t>
      </w:r>
    </w:p>
    <w:p>
      <w:pPr>
        <w:spacing w:before="231"/>
        <w:ind w:left="10"/>
        <w:rPr>
          <w:rFonts w:ascii="宋体" w:hAnsi="宋体" w:eastAsia="宋体" w:cs="宋体"/>
          <w:sz w:val="10"/>
          <w:szCs w:val="10"/>
        </w:rPr>
      </w:pPr>
      <w:r>
        <w:rPr>
          <w:rFonts w:ascii="宋体" w:hAnsi="宋体" w:eastAsia="宋体" w:cs="宋体"/>
          <w:spacing w:val="9"/>
          <w:sz w:val="20"/>
          <w:szCs w:val="20"/>
          <w14:textOutline w14:w="3795" w14:cap="sq" w14:cmpd="sng">
            <w14:solidFill>
              <w14:srgbClr w14:val="000000"/>
            </w14:solidFill>
            <w14:prstDash w14:val="solid"/>
            <w14:bevel/>
          </w14:textOutline>
        </w:rPr>
        <w:t>投标人须知前附表</w:t>
      </w:r>
      <w:r>
        <w:fldChar w:fldCharType="begin"/>
      </w:r>
      <w:r>
        <w:instrText xml:space="preserve"> HYPERLINK \l "bookmark24" </w:instrText>
      </w:r>
      <w:r>
        <w:fldChar w:fldCharType="separate"/>
      </w:r>
      <w:r>
        <w:rPr>
          <w:rFonts w:ascii="宋体" w:hAnsi="宋体" w:eastAsia="宋体" w:cs="宋体"/>
          <w:spacing w:val="9"/>
          <w:position w:val="10"/>
          <w:sz w:val="10"/>
          <w:szCs w:val="10"/>
        </w:rPr>
        <w:t>①</w:t>
      </w:r>
      <w:r>
        <w:rPr>
          <w:rFonts w:ascii="宋体" w:hAnsi="宋体" w:eastAsia="宋体" w:cs="宋体"/>
          <w:spacing w:val="9"/>
          <w:position w:val="10"/>
          <w:sz w:val="10"/>
          <w:szCs w:val="10"/>
        </w:rPr>
        <w:fldChar w:fldCharType="end"/>
      </w:r>
    </w:p>
    <w:tbl>
      <w:tblPr>
        <w:tblStyle w:val="16"/>
        <w:tblW w:w="905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3"/>
        <w:gridCol w:w="12"/>
        <w:gridCol w:w="5"/>
        <w:gridCol w:w="2927"/>
        <w:gridCol w:w="13"/>
        <w:gridCol w:w="5012"/>
        <w:gridCol w:w="8"/>
        <w:gridCol w:w="10"/>
        <w:gridCol w:w="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23" w:type="dxa"/>
          <w:trHeight w:val="353" w:hRule="atLeast"/>
        </w:trPr>
        <w:tc>
          <w:tcPr>
            <w:tcW w:w="1063" w:type="dxa"/>
            <w:tcBorders>
              <w:top w:val="single" w:color="000000" w:sz="10" w:space="0"/>
              <w:left w:val="single" w:color="000000" w:sz="10" w:space="0"/>
            </w:tcBorders>
            <w:vAlign w:val="top"/>
          </w:tcPr>
          <w:p>
            <w:pPr>
              <w:pStyle w:val="17"/>
              <w:spacing w:before="70" w:line="228" w:lineRule="auto"/>
              <w:ind w:left="210"/>
              <w:rPr>
                <w:color w:val="auto"/>
                <w:sz w:val="20"/>
                <w:szCs w:val="20"/>
                <w:highlight w:val="none"/>
              </w:rPr>
            </w:pPr>
            <w:r>
              <w:rPr>
                <w:color w:val="auto"/>
                <w:spacing w:val="7"/>
                <w:sz w:val="20"/>
                <w:szCs w:val="20"/>
                <w:highlight w:val="none"/>
                <w14:textOutline w14:w="3795" w14:cap="sq" w14:cmpd="sng">
                  <w14:solidFill>
                    <w14:srgbClr w14:val="000000"/>
                  </w14:solidFill>
                  <w14:prstDash w14:val="solid"/>
                  <w14:bevel/>
                </w14:textOutline>
              </w:rPr>
              <w:t>条款号</w:t>
            </w:r>
          </w:p>
        </w:tc>
        <w:tc>
          <w:tcPr>
            <w:tcW w:w="2944" w:type="dxa"/>
            <w:gridSpan w:val="3"/>
            <w:tcBorders>
              <w:top w:val="single" w:color="000000" w:sz="10" w:space="0"/>
            </w:tcBorders>
            <w:vAlign w:val="top"/>
          </w:tcPr>
          <w:p>
            <w:pPr>
              <w:pStyle w:val="17"/>
              <w:spacing w:before="70" w:line="228" w:lineRule="auto"/>
              <w:ind w:left="1053"/>
              <w:rPr>
                <w:color w:val="auto"/>
                <w:sz w:val="20"/>
                <w:szCs w:val="20"/>
                <w:highlight w:val="none"/>
              </w:rPr>
            </w:pPr>
            <w:r>
              <w:rPr>
                <w:color w:val="auto"/>
                <w:spacing w:val="8"/>
                <w:sz w:val="20"/>
                <w:szCs w:val="20"/>
                <w:highlight w:val="none"/>
                <w14:textOutline w14:w="3795" w14:cap="sq" w14:cmpd="sng">
                  <w14:solidFill>
                    <w14:srgbClr w14:val="000000"/>
                  </w14:solidFill>
                  <w14:prstDash w14:val="solid"/>
                  <w14:bevel/>
                </w14:textOutline>
              </w:rPr>
              <w:t>条款名称</w:t>
            </w:r>
          </w:p>
        </w:tc>
        <w:tc>
          <w:tcPr>
            <w:tcW w:w="5025" w:type="dxa"/>
            <w:gridSpan w:val="2"/>
            <w:tcBorders>
              <w:top w:val="single" w:color="000000" w:sz="10" w:space="0"/>
              <w:right w:val="single" w:color="000000" w:sz="10" w:space="0"/>
            </w:tcBorders>
            <w:vAlign w:val="top"/>
          </w:tcPr>
          <w:p>
            <w:pPr>
              <w:pStyle w:val="17"/>
              <w:spacing w:before="70" w:line="228" w:lineRule="auto"/>
              <w:ind w:left="2093"/>
              <w:rPr>
                <w:color w:val="auto"/>
                <w:sz w:val="20"/>
                <w:szCs w:val="20"/>
                <w:highlight w:val="none"/>
              </w:rPr>
            </w:pPr>
            <w:r>
              <w:rPr>
                <w:color w:val="auto"/>
                <w:spacing w:val="8"/>
                <w:sz w:val="20"/>
                <w:szCs w:val="20"/>
                <w:highlight w:val="none"/>
                <w14:textOutline w14:w="3795" w14:cap="sq" w14:cmpd="sng">
                  <w14:solidFill>
                    <w14:srgbClr w14:val="000000"/>
                  </w14:solidFill>
                  <w14:prstDash w14:val="solid"/>
                  <w14:bevel/>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23" w:type="dxa"/>
          <w:trHeight w:val="1268" w:hRule="atLeast"/>
        </w:trPr>
        <w:tc>
          <w:tcPr>
            <w:tcW w:w="1063" w:type="dxa"/>
            <w:tcBorders>
              <w:left w:val="single" w:color="000000" w:sz="10" w:space="0"/>
            </w:tcBorders>
            <w:vAlign w:val="top"/>
          </w:tcPr>
          <w:p>
            <w:pPr>
              <w:spacing w:line="246" w:lineRule="auto"/>
              <w:rPr>
                <w:rFonts w:ascii="Arial"/>
                <w:color w:val="auto"/>
                <w:sz w:val="21"/>
                <w:highlight w:val="none"/>
              </w:rPr>
            </w:pPr>
          </w:p>
          <w:p>
            <w:pPr>
              <w:spacing w:line="246" w:lineRule="auto"/>
              <w:rPr>
                <w:rFonts w:ascii="Arial"/>
                <w:color w:val="auto"/>
                <w:sz w:val="21"/>
                <w:highlight w:val="none"/>
              </w:rPr>
            </w:pPr>
          </w:p>
          <w:p>
            <w:pPr>
              <w:pStyle w:val="17"/>
              <w:spacing w:before="65" w:line="190" w:lineRule="auto"/>
              <w:ind w:left="277"/>
              <w:rPr>
                <w:color w:val="auto"/>
                <w:sz w:val="20"/>
                <w:szCs w:val="20"/>
                <w:highlight w:val="none"/>
              </w:rPr>
            </w:pPr>
            <w:r>
              <w:rPr>
                <w:color w:val="auto"/>
                <w:sz w:val="20"/>
                <w:szCs w:val="20"/>
                <w:highlight w:val="none"/>
              </w:rPr>
              <w:t>1.1.2</w:t>
            </w:r>
          </w:p>
        </w:tc>
        <w:tc>
          <w:tcPr>
            <w:tcW w:w="2944" w:type="dxa"/>
            <w:gridSpan w:val="3"/>
            <w:vAlign w:val="top"/>
          </w:tcPr>
          <w:p>
            <w:pPr>
              <w:spacing w:line="461" w:lineRule="auto"/>
              <w:rPr>
                <w:rFonts w:ascii="Arial"/>
                <w:color w:val="auto"/>
                <w:sz w:val="21"/>
                <w:highlight w:val="none"/>
              </w:rPr>
            </w:pPr>
          </w:p>
          <w:p>
            <w:pPr>
              <w:pStyle w:val="17"/>
              <w:spacing w:before="65" w:line="228" w:lineRule="auto"/>
              <w:ind w:left="1158"/>
              <w:rPr>
                <w:color w:val="auto"/>
                <w:sz w:val="20"/>
                <w:szCs w:val="20"/>
                <w:highlight w:val="none"/>
              </w:rPr>
            </w:pPr>
            <w:r>
              <w:rPr>
                <w:color w:val="auto"/>
                <w:spacing w:val="6"/>
                <w:sz w:val="20"/>
                <w:szCs w:val="20"/>
                <w:highlight w:val="none"/>
              </w:rPr>
              <w:t>招标人</w:t>
            </w:r>
          </w:p>
        </w:tc>
        <w:tc>
          <w:tcPr>
            <w:tcW w:w="5025" w:type="dxa"/>
            <w:gridSpan w:val="2"/>
            <w:tcBorders>
              <w:right w:val="single" w:color="000000" w:sz="10" w:space="0"/>
            </w:tcBorders>
            <w:vAlign w:val="top"/>
          </w:tcPr>
          <w:p>
            <w:pPr>
              <w:pStyle w:val="17"/>
              <w:spacing w:line="229" w:lineRule="auto"/>
              <w:ind w:left="153"/>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名  称：</w:t>
            </w:r>
            <w:r>
              <w:rPr>
                <w:rFonts w:hint="eastAsia" w:ascii="宋体" w:hAnsi="宋体" w:eastAsia="宋体" w:cs="宋体"/>
                <w:color w:val="auto"/>
                <w:sz w:val="20"/>
                <w:szCs w:val="20"/>
                <w:highlight w:val="none"/>
                <w:lang w:eastAsia="zh-CN"/>
              </w:rPr>
              <w:t>阳西县程村镇人民政府</w:t>
            </w:r>
          </w:p>
          <w:p>
            <w:pPr>
              <w:pStyle w:val="17"/>
              <w:spacing w:line="229" w:lineRule="auto"/>
              <w:ind w:left="15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  址：阳江市阳西县程村镇东升大道一号</w:t>
            </w:r>
          </w:p>
          <w:p>
            <w:pPr>
              <w:pStyle w:val="17"/>
              <w:spacing w:line="229" w:lineRule="auto"/>
              <w:ind w:left="153"/>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联系人：</w:t>
            </w:r>
            <w:r>
              <w:rPr>
                <w:rFonts w:hint="eastAsia" w:ascii="宋体" w:hAnsi="宋体" w:eastAsia="宋体" w:cs="宋体"/>
                <w:color w:val="auto"/>
                <w:sz w:val="20"/>
                <w:szCs w:val="20"/>
                <w:highlight w:val="none"/>
                <w:lang w:val="en-US" w:eastAsia="zh-CN"/>
              </w:rPr>
              <w:t xml:space="preserve">刘工 </w:t>
            </w:r>
          </w:p>
          <w:p>
            <w:pPr>
              <w:pStyle w:val="17"/>
              <w:spacing w:line="229" w:lineRule="auto"/>
              <w:ind w:left="15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  话：</w:t>
            </w:r>
            <w:r>
              <w:rPr>
                <w:rFonts w:hint="eastAsia" w:ascii="宋体" w:hAnsi="宋体" w:eastAsia="宋体" w:cs="宋体"/>
                <w:color w:val="auto"/>
                <w:sz w:val="20"/>
                <w:szCs w:val="20"/>
                <w:highlight w:val="none"/>
                <w:lang w:val="en-US" w:eastAsia="zh-CN"/>
              </w:rPr>
              <w:t xml:space="preserve">0662-5357712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23" w:type="dxa"/>
          <w:trHeight w:val="1234" w:hRule="atLeast"/>
        </w:trPr>
        <w:tc>
          <w:tcPr>
            <w:tcW w:w="1063" w:type="dxa"/>
            <w:tcBorders>
              <w:left w:val="single" w:color="000000" w:sz="10" w:space="0"/>
            </w:tcBorders>
            <w:vAlign w:val="top"/>
          </w:tcPr>
          <w:p>
            <w:pPr>
              <w:spacing w:line="476" w:lineRule="auto"/>
              <w:rPr>
                <w:rFonts w:ascii="Arial"/>
                <w:color w:val="auto"/>
                <w:sz w:val="21"/>
                <w:highlight w:val="none"/>
              </w:rPr>
            </w:pPr>
          </w:p>
          <w:p>
            <w:pPr>
              <w:pStyle w:val="17"/>
              <w:spacing w:before="65" w:line="190" w:lineRule="auto"/>
              <w:ind w:left="277"/>
              <w:rPr>
                <w:color w:val="auto"/>
                <w:sz w:val="20"/>
                <w:szCs w:val="20"/>
                <w:highlight w:val="none"/>
              </w:rPr>
            </w:pPr>
            <w:r>
              <w:rPr>
                <w:color w:val="auto"/>
                <w:sz w:val="20"/>
                <w:szCs w:val="20"/>
                <w:highlight w:val="none"/>
              </w:rPr>
              <w:t>1.1.3</w:t>
            </w:r>
          </w:p>
        </w:tc>
        <w:tc>
          <w:tcPr>
            <w:tcW w:w="2944" w:type="dxa"/>
            <w:gridSpan w:val="3"/>
            <w:vAlign w:val="top"/>
          </w:tcPr>
          <w:p>
            <w:pPr>
              <w:spacing w:line="445" w:lineRule="auto"/>
              <w:rPr>
                <w:rFonts w:ascii="Arial"/>
                <w:color w:val="auto"/>
                <w:sz w:val="21"/>
                <w:highlight w:val="none"/>
              </w:rPr>
            </w:pPr>
          </w:p>
          <w:p>
            <w:pPr>
              <w:pStyle w:val="17"/>
              <w:spacing w:before="65" w:line="227" w:lineRule="auto"/>
              <w:ind w:left="844"/>
              <w:rPr>
                <w:color w:val="auto"/>
                <w:sz w:val="20"/>
                <w:szCs w:val="20"/>
                <w:highlight w:val="none"/>
              </w:rPr>
            </w:pPr>
            <w:r>
              <w:rPr>
                <w:color w:val="auto"/>
                <w:spacing w:val="8"/>
                <w:sz w:val="20"/>
                <w:szCs w:val="20"/>
                <w:highlight w:val="none"/>
              </w:rPr>
              <w:t>招标代理机构</w:t>
            </w:r>
          </w:p>
        </w:tc>
        <w:tc>
          <w:tcPr>
            <w:tcW w:w="5025" w:type="dxa"/>
            <w:gridSpan w:val="2"/>
            <w:tcBorders>
              <w:right w:val="single" w:color="000000" w:sz="10" w:space="0"/>
            </w:tcBorders>
            <w:vAlign w:val="top"/>
          </w:tcPr>
          <w:p>
            <w:pPr>
              <w:pStyle w:val="17"/>
              <w:spacing w:line="229" w:lineRule="auto"/>
              <w:ind w:left="153"/>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名  称：</w:t>
            </w:r>
            <w:r>
              <w:rPr>
                <w:rFonts w:hint="eastAsia" w:ascii="宋体" w:hAnsi="宋体" w:eastAsia="宋体" w:cs="宋体"/>
                <w:color w:val="auto"/>
                <w:sz w:val="20"/>
                <w:szCs w:val="20"/>
                <w:highlight w:val="none"/>
                <w:lang w:eastAsia="zh-CN"/>
              </w:rPr>
              <w:t>泰宇建筑工程技术咨询有限公司</w:t>
            </w:r>
          </w:p>
          <w:p>
            <w:pPr>
              <w:pStyle w:val="17"/>
              <w:spacing w:line="229" w:lineRule="auto"/>
              <w:ind w:left="153"/>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地  址：</w:t>
            </w:r>
            <w:r>
              <w:rPr>
                <w:rFonts w:hint="eastAsia" w:ascii="宋体" w:hAnsi="宋体" w:eastAsia="宋体" w:cs="宋体"/>
                <w:color w:val="auto"/>
                <w:sz w:val="20"/>
                <w:szCs w:val="20"/>
                <w:highlight w:val="none"/>
                <w:lang w:eastAsia="zh-CN"/>
              </w:rPr>
              <w:t xml:space="preserve">阳江市阳东区东城镇新昌路70号天立方大楼8楼 </w:t>
            </w:r>
            <w:r>
              <w:rPr>
                <w:rFonts w:hint="eastAsia" w:ascii="宋体" w:hAnsi="宋体" w:eastAsia="宋体" w:cs="宋体"/>
                <w:color w:val="auto"/>
                <w:sz w:val="20"/>
                <w:szCs w:val="20"/>
                <w:highlight w:val="none"/>
              </w:rPr>
              <w:t>联系人：</w:t>
            </w:r>
            <w:r>
              <w:rPr>
                <w:rFonts w:hint="eastAsia" w:ascii="宋体" w:hAnsi="宋体" w:eastAsia="宋体" w:cs="宋体"/>
                <w:color w:val="auto"/>
                <w:sz w:val="20"/>
                <w:szCs w:val="20"/>
                <w:highlight w:val="none"/>
                <w:lang w:val="en-US" w:eastAsia="zh-CN"/>
              </w:rPr>
              <w:t>吴工</w:t>
            </w:r>
          </w:p>
          <w:p>
            <w:pPr>
              <w:pStyle w:val="17"/>
              <w:spacing w:line="229" w:lineRule="auto"/>
              <w:ind w:left="15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  话：0662-</w:t>
            </w:r>
            <w:r>
              <w:rPr>
                <w:rFonts w:hint="eastAsia" w:ascii="宋体" w:hAnsi="宋体" w:eastAsia="宋体" w:cs="宋体"/>
                <w:color w:val="auto"/>
                <w:sz w:val="20"/>
                <w:szCs w:val="20"/>
                <w:highlight w:val="none"/>
                <w:lang w:val="en-US" w:eastAsia="zh-CN"/>
              </w:rPr>
              <w:t>6686568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23" w:type="dxa"/>
          <w:trHeight w:val="364" w:hRule="atLeast"/>
        </w:trPr>
        <w:tc>
          <w:tcPr>
            <w:tcW w:w="1063" w:type="dxa"/>
            <w:tcBorders>
              <w:left w:val="single" w:color="000000" w:sz="10" w:space="0"/>
            </w:tcBorders>
            <w:vAlign w:val="top"/>
          </w:tcPr>
          <w:p>
            <w:pPr>
              <w:pStyle w:val="17"/>
              <w:spacing w:before="112" w:line="190" w:lineRule="auto"/>
              <w:ind w:left="277"/>
              <w:rPr>
                <w:color w:val="auto"/>
                <w:sz w:val="20"/>
                <w:szCs w:val="20"/>
                <w:highlight w:val="none"/>
              </w:rPr>
            </w:pPr>
            <w:r>
              <w:rPr>
                <w:color w:val="auto"/>
                <w:sz w:val="20"/>
                <w:szCs w:val="20"/>
                <w:highlight w:val="none"/>
              </w:rPr>
              <w:t>1.1.4</w:t>
            </w:r>
          </w:p>
        </w:tc>
        <w:tc>
          <w:tcPr>
            <w:tcW w:w="2944" w:type="dxa"/>
            <w:gridSpan w:val="3"/>
            <w:vAlign w:val="top"/>
          </w:tcPr>
          <w:p>
            <w:pPr>
              <w:pStyle w:val="17"/>
              <w:spacing w:before="80" w:line="228" w:lineRule="auto"/>
              <w:ind w:left="844"/>
              <w:rPr>
                <w:color w:val="auto"/>
                <w:sz w:val="20"/>
                <w:szCs w:val="20"/>
                <w:highlight w:val="none"/>
              </w:rPr>
            </w:pPr>
            <w:r>
              <w:rPr>
                <w:color w:val="auto"/>
                <w:spacing w:val="8"/>
                <w:sz w:val="20"/>
                <w:szCs w:val="20"/>
                <w:highlight w:val="none"/>
              </w:rPr>
              <w:t>招标项目名称</w:t>
            </w:r>
          </w:p>
        </w:tc>
        <w:tc>
          <w:tcPr>
            <w:tcW w:w="5025" w:type="dxa"/>
            <w:gridSpan w:val="2"/>
            <w:tcBorders>
              <w:right w:val="single" w:color="000000" w:sz="10" w:space="0"/>
            </w:tcBorders>
            <w:vAlign w:val="top"/>
          </w:tcPr>
          <w:p>
            <w:pPr>
              <w:rPr>
                <w:rFonts w:hint="eastAsia" w:ascii="宋体" w:hAnsi="宋体" w:eastAsia="宋体" w:cs="宋体"/>
                <w:snapToGrid w:val="0"/>
                <w:color w:val="auto"/>
                <w:spacing w:val="8"/>
                <w:kern w:val="0"/>
                <w:sz w:val="20"/>
                <w:szCs w:val="20"/>
                <w:highlight w:val="none"/>
                <w:lang w:val="en-US" w:eastAsia="zh-CN" w:bidi="ar-SA"/>
              </w:rPr>
            </w:pPr>
            <w:r>
              <w:rPr>
                <w:rFonts w:hint="eastAsia" w:ascii="宋体" w:hAnsi="宋体" w:eastAsia="宋体" w:cs="宋体"/>
                <w:snapToGrid w:val="0"/>
                <w:color w:val="auto"/>
                <w:spacing w:val="8"/>
                <w:kern w:val="0"/>
                <w:sz w:val="20"/>
                <w:szCs w:val="20"/>
                <w:highlight w:val="none"/>
                <w:lang w:val="en-US" w:eastAsia="zh-CN" w:bidi="ar-SA"/>
              </w:rPr>
              <w:t>阳西县2023-2024年普通省道联结工程 (程村镇Y046线程石线-文山朗村)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23" w:type="dxa"/>
          <w:trHeight w:val="364" w:hRule="atLeast"/>
        </w:trPr>
        <w:tc>
          <w:tcPr>
            <w:tcW w:w="1063" w:type="dxa"/>
            <w:tcBorders>
              <w:left w:val="single" w:color="000000" w:sz="10" w:space="0"/>
            </w:tcBorders>
            <w:vAlign w:val="top"/>
          </w:tcPr>
          <w:p>
            <w:pPr>
              <w:pStyle w:val="17"/>
              <w:spacing w:before="112" w:line="190" w:lineRule="auto"/>
              <w:ind w:left="277"/>
              <w:rPr>
                <w:color w:val="auto"/>
                <w:sz w:val="20"/>
                <w:szCs w:val="20"/>
                <w:highlight w:val="none"/>
              </w:rPr>
            </w:pPr>
            <w:r>
              <w:rPr>
                <w:color w:val="auto"/>
                <w:sz w:val="20"/>
                <w:szCs w:val="20"/>
                <w:highlight w:val="none"/>
              </w:rPr>
              <w:t>1.1.5</w:t>
            </w:r>
          </w:p>
        </w:tc>
        <w:tc>
          <w:tcPr>
            <w:tcW w:w="2944" w:type="dxa"/>
            <w:gridSpan w:val="3"/>
            <w:vAlign w:val="top"/>
          </w:tcPr>
          <w:p>
            <w:pPr>
              <w:pStyle w:val="17"/>
              <w:spacing w:before="81" w:line="228" w:lineRule="auto"/>
              <w:ind w:left="844"/>
              <w:rPr>
                <w:color w:val="auto"/>
                <w:sz w:val="20"/>
                <w:szCs w:val="20"/>
                <w:highlight w:val="none"/>
              </w:rPr>
            </w:pPr>
            <w:r>
              <w:rPr>
                <w:color w:val="auto"/>
                <w:spacing w:val="8"/>
                <w:sz w:val="20"/>
                <w:szCs w:val="20"/>
                <w:highlight w:val="none"/>
              </w:rPr>
              <w:t>标段建设地点</w:t>
            </w:r>
          </w:p>
        </w:tc>
        <w:tc>
          <w:tcPr>
            <w:tcW w:w="5025" w:type="dxa"/>
            <w:gridSpan w:val="2"/>
            <w:tcBorders>
              <w:right w:val="single" w:color="000000" w:sz="10" w:space="0"/>
            </w:tcBorders>
            <w:vAlign w:val="top"/>
          </w:tcPr>
          <w:p>
            <w:pPr>
              <w:rPr>
                <w:rFonts w:hint="eastAsia" w:ascii="宋体" w:hAnsi="宋体" w:eastAsia="宋体" w:cs="宋体"/>
                <w:snapToGrid w:val="0"/>
                <w:color w:val="auto"/>
                <w:spacing w:val="8"/>
                <w:kern w:val="0"/>
                <w:sz w:val="20"/>
                <w:szCs w:val="20"/>
                <w:highlight w:val="none"/>
                <w:lang w:val="en-US" w:eastAsia="zh-CN" w:bidi="ar-SA"/>
              </w:rPr>
            </w:pPr>
            <w:r>
              <w:rPr>
                <w:rFonts w:hint="eastAsia" w:ascii="宋体" w:hAnsi="宋体" w:eastAsia="宋体" w:cs="宋体"/>
                <w:snapToGrid w:val="0"/>
                <w:color w:val="auto"/>
                <w:spacing w:val="8"/>
                <w:kern w:val="0"/>
                <w:sz w:val="20"/>
                <w:szCs w:val="20"/>
                <w:highlight w:val="none"/>
                <w:lang w:val="en-US" w:eastAsia="zh-CN" w:bidi="ar-SA"/>
              </w:rPr>
              <w:t>阳江市阳西县程村镇起点位于程龙线，经上花山、长芙、沙岗，终于洋边河河岸。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3"/>
          <w:wAfter w:w="23" w:type="dxa"/>
          <w:trHeight w:val="368" w:hRule="atLeast"/>
        </w:trPr>
        <w:tc>
          <w:tcPr>
            <w:tcW w:w="1063" w:type="dxa"/>
            <w:tcBorders>
              <w:left w:val="single" w:color="000000" w:sz="10" w:space="0"/>
            </w:tcBorders>
            <w:vAlign w:val="top"/>
          </w:tcPr>
          <w:p>
            <w:pPr>
              <w:pStyle w:val="17"/>
              <w:spacing w:before="115" w:line="190" w:lineRule="auto"/>
              <w:ind w:left="277"/>
              <w:rPr>
                <w:color w:val="auto"/>
                <w:sz w:val="20"/>
                <w:szCs w:val="20"/>
                <w:highlight w:val="none"/>
              </w:rPr>
            </w:pPr>
            <w:r>
              <w:rPr>
                <w:color w:val="auto"/>
                <w:sz w:val="20"/>
                <w:szCs w:val="20"/>
                <w:highlight w:val="none"/>
              </w:rPr>
              <w:t>1.2.1</w:t>
            </w:r>
          </w:p>
        </w:tc>
        <w:tc>
          <w:tcPr>
            <w:tcW w:w="2944" w:type="dxa"/>
            <w:gridSpan w:val="3"/>
            <w:vAlign w:val="top"/>
          </w:tcPr>
          <w:p>
            <w:pPr>
              <w:pStyle w:val="17"/>
              <w:spacing w:before="83" w:line="228" w:lineRule="auto"/>
              <w:ind w:left="746"/>
              <w:rPr>
                <w:color w:val="auto"/>
                <w:sz w:val="20"/>
                <w:szCs w:val="20"/>
                <w:highlight w:val="none"/>
              </w:rPr>
            </w:pPr>
            <w:r>
              <w:rPr>
                <w:color w:val="auto"/>
                <w:spacing w:val="7"/>
                <w:sz w:val="20"/>
                <w:szCs w:val="20"/>
                <w:highlight w:val="none"/>
              </w:rPr>
              <w:t>资金来源及比例</w:t>
            </w:r>
          </w:p>
        </w:tc>
        <w:tc>
          <w:tcPr>
            <w:tcW w:w="5025" w:type="dxa"/>
            <w:gridSpan w:val="2"/>
            <w:tcBorders>
              <w:right w:val="single" w:color="000000" w:sz="10" w:space="0"/>
            </w:tcBorders>
            <w:vAlign w:val="top"/>
          </w:tcPr>
          <w:p>
            <w:pPr>
              <w:rPr>
                <w:rFonts w:hint="eastAsia" w:ascii="宋体" w:hAnsi="宋体" w:eastAsia="宋体" w:cs="宋体"/>
                <w:snapToGrid w:val="0"/>
                <w:color w:val="auto"/>
                <w:spacing w:val="8"/>
                <w:kern w:val="0"/>
                <w:sz w:val="20"/>
                <w:szCs w:val="20"/>
                <w:highlight w:val="none"/>
                <w:lang w:val="en-US" w:eastAsia="zh-CN" w:bidi="ar-SA"/>
              </w:rPr>
            </w:pPr>
            <w:r>
              <w:rPr>
                <w:rFonts w:hint="eastAsia" w:ascii="宋体" w:hAnsi="宋体" w:eastAsia="宋体" w:cs="宋体"/>
                <w:snapToGrid w:val="0"/>
                <w:color w:val="auto"/>
                <w:spacing w:val="8"/>
                <w:kern w:val="0"/>
                <w:sz w:val="20"/>
                <w:szCs w:val="20"/>
                <w:highlight w:val="none"/>
                <w:lang w:val="en-US" w:eastAsia="zh-CN" w:bidi="ar-SA"/>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23" w:type="dxa"/>
          <w:trHeight w:val="364" w:hRule="atLeast"/>
        </w:trPr>
        <w:tc>
          <w:tcPr>
            <w:tcW w:w="1063" w:type="dxa"/>
            <w:tcBorders>
              <w:left w:val="single" w:color="000000" w:sz="10" w:space="0"/>
            </w:tcBorders>
            <w:vAlign w:val="top"/>
          </w:tcPr>
          <w:p>
            <w:pPr>
              <w:pStyle w:val="17"/>
              <w:spacing w:before="114" w:line="190" w:lineRule="auto"/>
              <w:ind w:left="277"/>
              <w:rPr>
                <w:color w:val="auto"/>
                <w:sz w:val="20"/>
                <w:szCs w:val="20"/>
                <w:highlight w:val="none"/>
              </w:rPr>
            </w:pPr>
            <w:r>
              <w:rPr>
                <w:color w:val="auto"/>
                <w:sz w:val="20"/>
                <w:szCs w:val="20"/>
                <w:highlight w:val="none"/>
              </w:rPr>
              <w:t>1.2.2</w:t>
            </w:r>
          </w:p>
        </w:tc>
        <w:tc>
          <w:tcPr>
            <w:tcW w:w="2944" w:type="dxa"/>
            <w:gridSpan w:val="3"/>
            <w:vAlign w:val="top"/>
          </w:tcPr>
          <w:p>
            <w:pPr>
              <w:pStyle w:val="17"/>
              <w:spacing w:before="83" w:line="228" w:lineRule="auto"/>
              <w:ind w:left="852"/>
              <w:rPr>
                <w:color w:val="auto"/>
                <w:sz w:val="20"/>
                <w:szCs w:val="20"/>
                <w:highlight w:val="none"/>
              </w:rPr>
            </w:pPr>
            <w:r>
              <w:rPr>
                <w:color w:val="auto"/>
                <w:spacing w:val="6"/>
                <w:sz w:val="20"/>
                <w:szCs w:val="20"/>
                <w:highlight w:val="none"/>
              </w:rPr>
              <w:t>资金落实情况</w:t>
            </w:r>
          </w:p>
        </w:tc>
        <w:tc>
          <w:tcPr>
            <w:tcW w:w="5025" w:type="dxa"/>
            <w:gridSpan w:val="2"/>
            <w:tcBorders>
              <w:right w:val="single" w:color="000000" w:sz="10" w:space="0"/>
            </w:tcBorders>
            <w:vAlign w:val="top"/>
          </w:tcPr>
          <w:p>
            <w:pPr>
              <w:rPr>
                <w:rFonts w:hint="eastAsia" w:ascii="宋体" w:hAnsi="宋体" w:eastAsia="宋体" w:cs="宋体"/>
                <w:snapToGrid w:val="0"/>
                <w:color w:val="auto"/>
                <w:spacing w:val="8"/>
                <w:kern w:val="0"/>
                <w:sz w:val="20"/>
                <w:szCs w:val="20"/>
                <w:highlight w:val="none"/>
                <w:lang w:val="en-US" w:eastAsia="zh-CN" w:bidi="ar-SA"/>
              </w:rPr>
            </w:pPr>
            <w:r>
              <w:rPr>
                <w:rFonts w:hint="eastAsia" w:ascii="宋体" w:hAnsi="宋体" w:eastAsia="宋体" w:cs="宋体"/>
                <w:snapToGrid w:val="0"/>
                <w:color w:val="auto"/>
                <w:spacing w:val="8"/>
                <w:kern w:val="0"/>
                <w:sz w:val="20"/>
                <w:szCs w:val="20"/>
                <w:highlight w:val="none"/>
                <w:lang w:val="en-US" w:eastAsia="zh-CN" w:bidi="ar-SA"/>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23" w:type="dxa"/>
          <w:trHeight w:val="364" w:hRule="atLeast"/>
        </w:trPr>
        <w:tc>
          <w:tcPr>
            <w:tcW w:w="1063" w:type="dxa"/>
            <w:tcBorders>
              <w:left w:val="single" w:color="000000" w:sz="10" w:space="0"/>
            </w:tcBorders>
            <w:vAlign w:val="top"/>
          </w:tcPr>
          <w:p>
            <w:pPr>
              <w:pStyle w:val="17"/>
              <w:spacing w:before="115" w:line="190" w:lineRule="auto"/>
              <w:ind w:left="277"/>
              <w:rPr>
                <w:color w:val="auto"/>
                <w:sz w:val="20"/>
                <w:szCs w:val="20"/>
                <w:highlight w:val="none"/>
              </w:rPr>
            </w:pPr>
            <w:r>
              <w:rPr>
                <w:color w:val="auto"/>
                <w:sz w:val="20"/>
                <w:szCs w:val="20"/>
                <w:highlight w:val="none"/>
              </w:rPr>
              <w:t>1.3.1</w:t>
            </w:r>
          </w:p>
        </w:tc>
        <w:tc>
          <w:tcPr>
            <w:tcW w:w="2944" w:type="dxa"/>
            <w:gridSpan w:val="3"/>
            <w:vAlign w:val="top"/>
          </w:tcPr>
          <w:p>
            <w:pPr>
              <w:pStyle w:val="17"/>
              <w:spacing w:before="84" w:line="228" w:lineRule="auto"/>
              <w:ind w:left="1052"/>
              <w:rPr>
                <w:color w:val="auto"/>
                <w:sz w:val="20"/>
                <w:szCs w:val="20"/>
                <w:highlight w:val="none"/>
              </w:rPr>
            </w:pPr>
            <w:r>
              <w:rPr>
                <w:color w:val="auto"/>
                <w:spacing w:val="7"/>
                <w:sz w:val="20"/>
                <w:szCs w:val="20"/>
                <w:highlight w:val="none"/>
              </w:rPr>
              <w:t>招标范围</w:t>
            </w:r>
          </w:p>
        </w:tc>
        <w:tc>
          <w:tcPr>
            <w:tcW w:w="5025" w:type="dxa"/>
            <w:gridSpan w:val="2"/>
            <w:tcBorders>
              <w:right w:val="single" w:color="000000" w:sz="10" w:space="0"/>
            </w:tcBorders>
            <w:vAlign w:val="top"/>
          </w:tcPr>
          <w:p>
            <w:pPr>
              <w:rPr>
                <w:rFonts w:hint="eastAsia" w:ascii="宋体" w:hAnsi="宋体" w:eastAsia="宋体" w:cs="宋体"/>
                <w:snapToGrid w:val="0"/>
                <w:color w:val="auto"/>
                <w:spacing w:val="8"/>
                <w:kern w:val="0"/>
                <w:sz w:val="20"/>
                <w:szCs w:val="20"/>
                <w:highlight w:val="none"/>
                <w:lang w:val="en-US" w:eastAsia="en-US" w:bidi="ar-SA"/>
              </w:rPr>
            </w:pPr>
            <w:r>
              <w:rPr>
                <w:rFonts w:hint="eastAsia" w:ascii="宋体" w:hAnsi="宋体" w:eastAsia="宋体" w:cs="宋体"/>
                <w:snapToGrid w:val="0"/>
                <w:color w:val="auto"/>
                <w:spacing w:val="8"/>
                <w:kern w:val="0"/>
                <w:sz w:val="20"/>
                <w:szCs w:val="20"/>
                <w:highlight w:val="none"/>
                <w:lang w:val="en-US" w:eastAsia="en-US" w:bidi="ar-SA"/>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23" w:type="dxa"/>
          <w:trHeight w:val="1082" w:hRule="atLeast"/>
        </w:trPr>
        <w:tc>
          <w:tcPr>
            <w:tcW w:w="1063" w:type="dxa"/>
            <w:tcBorders>
              <w:left w:val="single" w:color="000000" w:sz="10" w:space="0"/>
            </w:tcBorders>
            <w:vAlign w:val="top"/>
          </w:tcPr>
          <w:p>
            <w:pPr>
              <w:spacing w:line="408" w:lineRule="auto"/>
              <w:rPr>
                <w:rFonts w:ascii="Arial"/>
                <w:color w:val="auto"/>
                <w:sz w:val="21"/>
                <w:highlight w:val="none"/>
              </w:rPr>
            </w:pPr>
          </w:p>
          <w:p>
            <w:pPr>
              <w:pStyle w:val="17"/>
              <w:spacing w:before="65" w:line="190" w:lineRule="auto"/>
              <w:ind w:left="277"/>
              <w:rPr>
                <w:color w:val="auto"/>
                <w:sz w:val="20"/>
                <w:szCs w:val="20"/>
                <w:highlight w:val="none"/>
              </w:rPr>
            </w:pPr>
            <w:r>
              <w:rPr>
                <w:color w:val="auto"/>
                <w:sz w:val="20"/>
                <w:szCs w:val="20"/>
                <w:highlight w:val="none"/>
              </w:rPr>
              <w:t>1.3.2</w:t>
            </w:r>
          </w:p>
        </w:tc>
        <w:tc>
          <w:tcPr>
            <w:tcW w:w="2944" w:type="dxa"/>
            <w:gridSpan w:val="3"/>
            <w:vAlign w:val="top"/>
          </w:tcPr>
          <w:p>
            <w:pPr>
              <w:spacing w:line="377" w:lineRule="auto"/>
              <w:rPr>
                <w:rFonts w:ascii="Arial"/>
                <w:color w:val="auto"/>
                <w:sz w:val="21"/>
                <w:highlight w:val="none"/>
              </w:rPr>
            </w:pPr>
          </w:p>
          <w:p>
            <w:pPr>
              <w:pStyle w:val="17"/>
              <w:spacing w:before="65" w:line="228" w:lineRule="auto"/>
              <w:ind w:left="1052"/>
              <w:rPr>
                <w:color w:val="auto"/>
                <w:sz w:val="20"/>
                <w:szCs w:val="20"/>
                <w:highlight w:val="none"/>
              </w:rPr>
            </w:pPr>
            <w:r>
              <w:rPr>
                <w:color w:val="auto"/>
                <w:spacing w:val="7"/>
                <w:sz w:val="20"/>
                <w:szCs w:val="20"/>
                <w:highlight w:val="none"/>
              </w:rPr>
              <w:t>计划工期</w:t>
            </w:r>
          </w:p>
        </w:tc>
        <w:tc>
          <w:tcPr>
            <w:tcW w:w="5025" w:type="dxa"/>
            <w:gridSpan w:val="2"/>
            <w:tcBorders>
              <w:right w:val="single" w:color="000000" w:sz="10" w:space="0"/>
            </w:tcBorders>
            <w:vAlign w:val="top"/>
          </w:tcPr>
          <w:p>
            <w:pPr>
              <w:pStyle w:val="17"/>
              <w:spacing w:before="173" w:line="228" w:lineRule="auto"/>
              <w:ind w:left="128"/>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计划工期：</w:t>
            </w:r>
            <w:r>
              <w:rPr>
                <w:rFonts w:hint="eastAsia" w:cs="宋体"/>
                <w:color w:val="auto"/>
                <w:spacing w:val="3"/>
                <w:sz w:val="20"/>
                <w:szCs w:val="20"/>
                <w:highlight w:val="none"/>
                <w:u w:val="single" w:color="auto"/>
                <w:lang w:val="en-US" w:eastAsia="zh-CN"/>
              </w:rPr>
              <w:t>180</w:t>
            </w:r>
            <w:r>
              <w:rPr>
                <w:rFonts w:hint="eastAsia" w:ascii="宋体" w:hAnsi="宋体" w:eastAsia="宋体" w:cs="宋体"/>
                <w:color w:val="auto"/>
                <w:spacing w:val="3"/>
                <w:sz w:val="20"/>
                <w:szCs w:val="20"/>
                <w:highlight w:val="none"/>
              </w:rPr>
              <w:t>日历天</w:t>
            </w:r>
          </w:p>
          <w:p>
            <w:pPr>
              <w:pStyle w:val="17"/>
              <w:spacing w:before="24" w:line="222" w:lineRule="auto"/>
              <w:ind w:left="128"/>
              <w:rPr>
                <w:rFonts w:hint="eastAsia" w:ascii="宋体" w:hAnsi="宋体" w:eastAsia="宋体" w:cs="宋体"/>
                <w:color w:val="auto"/>
                <w:sz w:val="20"/>
                <w:szCs w:val="20"/>
                <w:highlight w:val="none"/>
                <w:lang w:val="en-US" w:eastAsia="zh-CN"/>
              </w:rPr>
            </w:pPr>
            <w:r>
              <w:rPr>
                <w:rFonts w:hint="eastAsia" w:ascii="宋体" w:hAnsi="宋体" w:eastAsia="宋体" w:cs="宋体"/>
                <w:color w:val="auto"/>
                <w:spacing w:val="2"/>
                <w:sz w:val="20"/>
                <w:szCs w:val="20"/>
                <w:highlight w:val="none"/>
              </w:rPr>
              <w:t>计划开工日期：</w:t>
            </w:r>
            <w:r>
              <w:rPr>
                <w:rFonts w:hint="eastAsia" w:ascii="宋体" w:hAnsi="宋体" w:eastAsia="宋体" w:cs="宋体"/>
                <w:color w:val="auto"/>
                <w:spacing w:val="2"/>
                <w:sz w:val="20"/>
                <w:szCs w:val="20"/>
                <w:highlight w:val="none"/>
                <w:u w:val="single" w:color="auto"/>
                <w:lang w:val="en-US" w:eastAsia="zh-CN"/>
              </w:rPr>
              <w:t>2023</w:t>
            </w:r>
            <w:r>
              <w:rPr>
                <w:rFonts w:hint="eastAsia" w:ascii="宋体" w:hAnsi="宋体" w:eastAsia="宋体" w:cs="宋体"/>
                <w:color w:val="auto"/>
                <w:spacing w:val="2"/>
                <w:sz w:val="20"/>
                <w:szCs w:val="20"/>
                <w:highlight w:val="none"/>
              </w:rPr>
              <w:t>年</w:t>
            </w:r>
            <w:r>
              <w:rPr>
                <w:rFonts w:hint="eastAsia" w:ascii="宋体" w:hAnsi="宋体" w:eastAsia="宋体" w:cs="宋体"/>
                <w:color w:val="auto"/>
                <w:spacing w:val="2"/>
                <w:sz w:val="20"/>
                <w:szCs w:val="20"/>
                <w:highlight w:val="none"/>
                <w:u w:val="single"/>
                <w:lang w:val="en-US" w:eastAsia="zh-CN"/>
              </w:rPr>
              <w:t xml:space="preserve">   </w:t>
            </w:r>
            <w:r>
              <w:rPr>
                <w:rFonts w:hint="eastAsia" w:ascii="宋体" w:hAnsi="宋体" w:eastAsia="宋体" w:cs="宋体"/>
                <w:color w:val="auto"/>
                <w:spacing w:val="2"/>
                <w:sz w:val="20"/>
                <w:szCs w:val="20"/>
                <w:highlight w:val="none"/>
                <w:lang w:val="en-US" w:eastAsia="zh-CN"/>
              </w:rPr>
              <w:t>月</w:t>
            </w:r>
          </w:p>
          <w:p>
            <w:pPr>
              <w:pStyle w:val="17"/>
              <w:spacing w:before="15" w:line="243" w:lineRule="auto"/>
              <w:ind w:left="12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计划交工日期：</w:t>
            </w:r>
            <w:r>
              <w:rPr>
                <w:rFonts w:hint="eastAsia" w:ascii="宋体" w:hAnsi="宋体" w:eastAsia="宋体" w:cs="宋体"/>
                <w:color w:val="auto"/>
                <w:sz w:val="20"/>
                <w:szCs w:val="20"/>
                <w:highlight w:val="none"/>
                <w:u w:val="single" w:color="auto"/>
                <w:lang w:val="en-US" w:eastAsia="zh-CN"/>
              </w:rPr>
              <w:t>2023</w:t>
            </w:r>
            <w:r>
              <w:rPr>
                <w:rFonts w:hint="eastAsia" w:ascii="宋体" w:hAnsi="宋体" w:eastAsia="宋体" w:cs="宋体"/>
                <w:color w:val="auto"/>
                <w:sz w:val="20"/>
                <w:szCs w:val="20"/>
                <w:highlight w:val="none"/>
              </w:rPr>
              <w:t>年</w:t>
            </w:r>
            <w:r>
              <w:rPr>
                <w:rFonts w:hint="eastAsia" w:ascii="宋体" w:hAnsi="宋体" w:eastAsia="宋体" w:cs="宋体"/>
                <w:color w:val="auto"/>
                <w:spacing w:val="-99"/>
                <w:sz w:val="20"/>
                <w:szCs w:val="20"/>
                <w:highlight w:val="none"/>
              </w:rPr>
              <w:t xml:space="preserve"> </w:t>
            </w:r>
            <w:r>
              <w:rPr>
                <w:rFonts w:hint="eastAsia" w:ascii="宋体" w:hAnsi="宋体" w:eastAsia="宋体" w:cs="宋体"/>
                <w:color w:val="auto"/>
                <w:spacing w:val="4"/>
                <w:sz w:val="20"/>
                <w:szCs w:val="20"/>
                <w:highlight w:val="none"/>
                <w:u w:val="single" w:color="auto"/>
                <w:lang w:val="en-US" w:eastAsia="zh-CN"/>
              </w:rPr>
              <w:t xml:space="preserve">   </w:t>
            </w:r>
            <w:r>
              <w:rPr>
                <w:rFonts w:hint="eastAsia" w:ascii="宋体" w:hAnsi="宋体" w:eastAsia="宋体" w:cs="宋体"/>
                <w:color w:val="auto"/>
                <w:sz w:val="20"/>
                <w:szCs w:val="20"/>
                <w:highlight w:val="none"/>
              </w:rPr>
              <w:t>月</w:t>
            </w:r>
            <w:r>
              <w:rPr>
                <w:rFonts w:hint="eastAsia" w:ascii="宋体" w:hAnsi="宋体" w:eastAsia="宋体" w:cs="宋体"/>
                <w:color w:val="auto"/>
                <w:spacing w:val="-97"/>
                <w:sz w:val="20"/>
                <w:szCs w:val="20"/>
                <w:highlight w:val="non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23" w:type="dxa"/>
          <w:trHeight w:val="1338" w:hRule="atLeast"/>
        </w:trPr>
        <w:tc>
          <w:tcPr>
            <w:tcW w:w="1063" w:type="dxa"/>
            <w:tcBorders>
              <w:left w:val="single" w:color="000000" w:sz="10" w:space="0"/>
            </w:tcBorders>
            <w:vAlign w:val="top"/>
          </w:tcPr>
          <w:p>
            <w:pPr>
              <w:spacing w:line="269" w:lineRule="auto"/>
              <w:rPr>
                <w:rFonts w:ascii="Arial"/>
                <w:color w:val="auto"/>
                <w:sz w:val="21"/>
                <w:highlight w:val="none"/>
              </w:rPr>
            </w:pPr>
          </w:p>
          <w:p>
            <w:pPr>
              <w:spacing w:line="270" w:lineRule="auto"/>
              <w:rPr>
                <w:rFonts w:ascii="Arial"/>
                <w:color w:val="auto"/>
                <w:sz w:val="21"/>
                <w:highlight w:val="none"/>
              </w:rPr>
            </w:pPr>
          </w:p>
          <w:p>
            <w:pPr>
              <w:pStyle w:val="17"/>
              <w:spacing w:before="65" w:line="190" w:lineRule="auto"/>
              <w:ind w:left="277"/>
              <w:rPr>
                <w:color w:val="auto"/>
                <w:sz w:val="20"/>
                <w:szCs w:val="20"/>
                <w:highlight w:val="none"/>
              </w:rPr>
            </w:pPr>
            <w:r>
              <w:rPr>
                <w:color w:val="auto"/>
                <w:sz w:val="20"/>
                <w:szCs w:val="20"/>
                <w:highlight w:val="none"/>
              </w:rPr>
              <w:t>1.3.3</w:t>
            </w:r>
          </w:p>
        </w:tc>
        <w:tc>
          <w:tcPr>
            <w:tcW w:w="2944" w:type="dxa"/>
            <w:gridSpan w:val="3"/>
            <w:vAlign w:val="top"/>
          </w:tcPr>
          <w:p>
            <w:pPr>
              <w:spacing w:line="254" w:lineRule="auto"/>
              <w:rPr>
                <w:rFonts w:ascii="Arial"/>
                <w:color w:val="auto"/>
                <w:sz w:val="21"/>
                <w:highlight w:val="none"/>
              </w:rPr>
            </w:pPr>
          </w:p>
          <w:p>
            <w:pPr>
              <w:spacing w:line="254" w:lineRule="auto"/>
              <w:rPr>
                <w:rFonts w:ascii="Arial"/>
                <w:color w:val="auto"/>
                <w:sz w:val="21"/>
                <w:highlight w:val="none"/>
              </w:rPr>
            </w:pPr>
          </w:p>
          <w:p>
            <w:pPr>
              <w:pStyle w:val="17"/>
              <w:spacing w:before="65" w:line="228" w:lineRule="auto"/>
              <w:ind w:left="1052"/>
              <w:rPr>
                <w:color w:val="auto"/>
                <w:sz w:val="20"/>
                <w:szCs w:val="20"/>
                <w:highlight w:val="none"/>
              </w:rPr>
            </w:pPr>
            <w:r>
              <w:rPr>
                <w:color w:val="auto"/>
                <w:spacing w:val="7"/>
                <w:sz w:val="20"/>
                <w:szCs w:val="20"/>
                <w:highlight w:val="none"/>
              </w:rPr>
              <w:t>质量要求</w:t>
            </w:r>
          </w:p>
        </w:tc>
        <w:tc>
          <w:tcPr>
            <w:tcW w:w="5025" w:type="dxa"/>
            <w:gridSpan w:val="2"/>
            <w:tcBorders>
              <w:right w:val="single" w:color="000000" w:sz="10" w:space="0"/>
            </w:tcBorders>
            <w:vAlign w:val="center"/>
          </w:tcPr>
          <w:p>
            <w:pPr>
              <w:pStyle w:val="17"/>
              <w:spacing w:before="26" w:line="239" w:lineRule="auto"/>
              <w:ind w:left="128" w:right="71" w:firstLine="1"/>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工程交工验收的质量评定：合格。</w:t>
            </w:r>
          </w:p>
          <w:p>
            <w:pPr>
              <w:pStyle w:val="17"/>
              <w:spacing w:before="26" w:line="239" w:lineRule="auto"/>
              <w:ind w:left="128" w:right="71" w:firstLine="1"/>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竣工验收的质量评定为：合格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23" w:type="dxa"/>
          <w:trHeight w:val="713" w:hRule="atLeast"/>
        </w:trPr>
        <w:tc>
          <w:tcPr>
            <w:tcW w:w="1063" w:type="dxa"/>
            <w:tcBorders>
              <w:left w:val="single" w:color="000000" w:sz="10" w:space="0"/>
            </w:tcBorders>
            <w:vAlign w:val="top"/>
          </w:tcPr>
          <w:p>
            <w:pPr>
              <w:pStyle w:val="17"/>
              <w:spacing w:before="297" w:line="190" w:lineRule="auto"/>
              <w:ind w:left="277"/>
              <w:rPr>
                <w:color w:val="auto"/>
                <w:sz w:val="20"/>
                <w:szCs w:val="20"/>
                <w:highlight w:val="none"/>
              </w:rPr>
            </w:pPr>
            <w:r>
              <w:rPr>
                <w:color w:val="auto"/>
                <w:sz w:val="20"/>
                <w:szCs w:val="20"/>
                <w:highlight w:val="none"/>
              </w:rPr>
              <w:t>1.3.4</w:t>
            </w:r>
          </w:p>
        </w:tc>
        <w:tc>
          <w:tcPr>
            <w:tcW w:w="2944" w:type="dxa"/>
            <w:gridSpan w:val="3"/>
            <w:vAlign w:val="top"/>
          </w:tcPr>
          <w:p>
            <w:pPr>
              <w:pStyle w:val="17"/>
              <w:spacing w:before="265" w:line="228" w:lineRule="auto"/>
              <w:ind w:left="1056"/>
              <w:rPr>
                <w:color w:val="auto"/>
                <w:sz w:val="20"/>
                <w:szCs w:val="20"/>
                <w:highlight w:val="none"/>
              </w:rPr>
            </w:pPr>
            <w:r>
              <w:rPr>
                <w:color w:val="auto"/>
                <w:spacing w:val="6"/>
                <w:sz w:val="20"/>
                <w:szCs w:val="20"/>
                <w:highlight w:val="none"/>
              </w:rPr>
              <w:t>安全目标</w:t>
            </w:r>
          </w:p>
        </w:tc>
        <w:tc>
          <w:tcPr>
            <w:tcW w:w="5025" w:type="dxa"/>
            <w:gridSpan w:val="2"/>
            <w:tcBorders>
              <w:right w:val="single" w:color="000000" w:sz="10" w:space="0"/>
            </w:tcBorders>
            <w:vAlign w:val="top"/>
          </w:tcPr>
          <w:p>
            <w:pPr>
              <w:pStyle w:val="17"/>
              <w:spacing w:before="131" w:line="239" w:lineRule="auto"/>
              <w:ind w:left="131" w:right="125" w:hanging="2"/>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严格执行有关安全生产的法律法规和规章制度。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23" w:type="dxa"/>
          <w:trHeight w:val="2158" w:hRule="atLeast"/>
        </w:trPr>
        <w:tc>
          <w:tcPr>
            <w:tcW w:w="1063" w:type="dxa"/>
            <w:tcBorders>
              <w:left w:val="single" w:color="000000" w:sz="10" w:space="0"/>
              <w:bottom w:val="single" w:color="000000" w:sz="10" w:space="0"/>
            </w:tcBorders>
            <w:vAlign w:val="top"/>
          </w:tcPr>
          <w:p>
            <w:pPr>
              <w:spacing w:line="293" w:lineRule="auto"/>
              <w:rPr>
                <w:rFonts w:ascii="Arial"/>
                <w:color w:val="auto"/>
                <w:sz w:val="21"/>
                <w:highlight w:val="none"/>
              </w:rPr>
            </w:pPr>
          </w:p>
          <w:p>
            <w:pPr>
              <w:spacing w:line="293" w:lineRule="auto"/>
              <w:rPr>
                <w:rFonts w:ascii="Arial"/>
                <w:color w:val="auto"/>
                <w:sz w:val="21"/>
                <w:highlight w:val="none"/>
              </w:rPr>
            </w:pPr>
          </w:p>
          <w:p>
            <w:pPr>
              <w:spacing w:line="293" w:lineRule="auto"/>
              <w:rPr>
                <w:rFonts w:ascii="Arial"/>
                <w:color w:val="auto"/>
                <w:sz w:val="21"/>
                <w:highlight w:val="none"/>
              </w:rPr>
            </w:pPr>
          </w:p>
          <w:p>
            <w:pPr>
              <w:pStyle w:val="17"/>
              <w:spacing w:before="65" w:line="272" w:lineRule="exact"/>
              <w:ind w:left="171"/>
              <w:rPr>
                <w:color w:val="auto"/>
                <w:sz w:val="10"/>
                <w:szCs w:val="10"/>
                <w:highlight w:val="none"/>
              </w:rPr>
            </w:pPr>
            <w:r>
              <w:rPr>
                <w:color w:val="auto"/>
                <w:spacing w:val="1"/>
                <w:position w:val="-1"/>
                <w:sz w:val="20"/>
                <w:szCs w:val="20"/>
                <w:highlight w:val="none"/>
              </w:rPr>
              <w:t xml:space="preserve">1.4.1 </w:t>
            </w:r>
          </w:p>
        </w:tc>
        <w:tc>
          <w:tcPr>
            <w:tcW w:w="2944" w:type="dxa"/>
            <w:gridSpan w:val="3"/>
            <w:tcBorders>
              <w:bottom w:val="single" w:color="000000" w:sz="10" w:space="0"/>
            </w:tcBorders>
            <w:vAlign w:val="top"/>
          </w:tcPr>
          <w:p>
            <w:pPr>
              <w:spacing w:line="303" w:lineRule="auto"/>
              <w:rPr>
                <w:rFonts w:ascii="Arial"/>
                <w:color w:val="auto"/>
                <w:sz w:val="21"/>
                <w:highlight w:val="none"/>
              </w:rPr>
            </w:pPr>
          </w:p>
          <w:p>
            <w:pPr>
              <w:spacing w:line="303" w:lineRule="auto"/>
              <w:rPr>
                <w:rFonts w:ascii="Arial"/>
                <w:color w:val="auto"/>
                <w:sz w:val="21"/>
                <w:highlight w:val="none"/>
              </w:rPr>
            </w:pPr>
          </w:p>
          <w:p>
            <w:pPr>
              <w:spacing w:line="303" w:lineRule="auto"/>
              <w:rPr>
                <w:rFonts w:ascii="Arial"/>
                <w:color w:val="auto"/>
                <w:sz w:val="21"/>
                <w:highlight w:val="none"/>
              </w:rPr>
            </w:pPr>
          </w:p>
          <w:p>
            <w:pPr>
              <w:pStyle w:val="17"/>
              <w:spacing w:before="65" w:line="227" w:lineRule="auto"/>
              <w:ind w:left="123"/>
              <w:rPr>
                <w:color w:val="auto"/>
                <w:sz w:val="20"/>
                <w:szCs w:val="20"/>
                <w:highlight w:val="none"/>
              </w:rPr>
            </w:pPr>
            <w:r>
              <w:rPr>
                <w:color w:val="auto"/>
                <w:spacing w:val="7"/>
                <w:sz w:val="20"/>
                <w:szCs w:val="20"/>
                <w:highlight w:val="none"/>
              </w:rPr>
              <w:t>投标人资质条件、能力和信誉</w:t>
            </w:r>
          </w:p>
        </w:tc>
        <w:tc>
          <w:tcPr>
            <w:tcW w:w="5025" w:type="dxa"/>
            <w:gridSpan w:val="2"/>
            <w:tcBorders>
              <w:bottom w:val="single" w:color="000000" w:sz="10" w:space="0"/>
              <w:right w:val="single" w:color="000000" w:sz="10" w:space="0"/>
            </w:tcBorders>
            <w:vAlign w:val="top"/>
          </w:tcPr>
          <w:p>
            <w:pPr>
              <w:pStyle w:val="17"/>
              <w:spacing w:before="300" w:line="227" w:lineRule="auto"/>
              <w:ind w:left="137"/>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资质条件：见附录</w:t>
            </w:r>
            <w:r>
              <w:rPr>
                <w:rFonts w:hint="eastAsia" w:ascii="宋体" w:hAnsi="宋体" w:eastAsia="宋体" w:cs="宋体"/>
                <w:color w:val="auto"/>
                <w:spacing w:val="-16"/>
                <w:sz w:val="20"/>
                <w:szCs w:val="20"/>
                <w:highlight w:val="none"/>
              </w:rPr>
              <w:t xml:space="preserve"> </w:t>
            </w:r>
            <w:r>
              <w:rPr>
                <w:rFonts w:hint="eastAsia" w:ascii="宋体" w:hAnsi="宋体" w:eastAsia="宋体" w:cs="宋体"/>
                <w:color w:val="auto"/>
                <w:spacing w:val="6"/>
                <w:sz w:val="20"/>
                <w:szCs w:val="20"/>
                <w:highlight w:val="none"/>
              </w:rPr>
              <w:t>1</w:t>
            </w:r>
          </w:p>
          <w:p>
            <w:pPr>
              <w:pStyle w:val="17"/>
              <w:spacing w:before="25" w:line="227" w:lineRule="auto"/>
              <w:ind w:left="12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财务要求：见附录</w:t>
            </w:r>
            <w:r>
              <w:rPr>
                <w:rFonts w:hint="eastAsia" w:ascii="宋体" w:hAnsi="宋体" w:eastAsia="宋体" w:cs="宋体"/>
                <w:color w:val="auto"/>
                <w:spacing w:val="-30"/>
                <w:sz w:val="20"/>
                <w:szCs w:val="20"/>
                <w:highlight w:val="none"/>
              </w:rPr>
              <w:t xml:space="preserve"> </w:t>
            </w:r>
            <w:r>
              <w:rPr>
                <w:rFonts w:hint="eastAsia" w:ascii="宋体" w:hAnsi="宋体" w:eastAsia="宋体" w:cs="宋体"/>
                <w:color w:val="auto"/>
                <w:spacing w:val="7"/>
                <w:sz w:val="20"/>
                <w:szCs w:val="20"/>
                <w:highlight w:val="none"/>
              </w:rPr>
              <w:t>2</w:t>
            </w:r>
          </w:p>
          <w:p>
            <w:pPr>
              <w:pStyle w:val="17"/>
              <w:spacing w:before="25" w:line="227" w:lineRule="auto"/>
              <w:ind w:left="128"/>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业绩要求：见附录</w:t>
            </w:r>
            <w:r>
              <w:rPr>
                <w:rFonts w:hint="eastAsia" w:ascii="宋体" w:hAnsi="宋体" w:eastAsia="宋体" w:cs="宋体"/>
                <w:color w:val="auto"/>
                <w:spacing w:val="-27"/>
                <w:sz w:val="20"/>
                <w:szCs w:val="20"/>
                <w:highlight w:val="none"/>
              </w:rPr>
              <w:t xml:space="preserve"> </w:t>
            </w:r>
            <w:r>
              <w:rPr>
                <w:rFonts w:hint="eastAsia" w:ascii="宋体" w:hAnsi="宋体" w:eastAsia="宋体" w:cs="宋体"/>
                <w:color w:val="auto"/>
                <w:spacing w:val="7"/>
                <w:sz w:val="20"/>
                <w:szCs w:val="20"/>
                <w:highlight w:val="none"/>
              </w:rPr>
              <w:t>3</w:t>
            </w:r>
          </w:p>
          <w:p>
            <w:pPr>
              <w:pStyle w:val="17"/>
              <w:spacing w:before="27" w:line="227" w:lineRule="auto"/>
              <w:ind w:left="128"/>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信誉要求：见附录</w:t>
            </w:r>
            <w:r>
              <w:rPr>
                <w:rFonts w:hint="eastAsia" w:ascii="宋体" w:hAnsi="宋体" w:eastAsia="宋体" w:cs="宋体"/>
                <w:color w:val="auto"/>
                <w:spacing w:val="-33"/>
                <w:sz w:val="20"/>
                <w:szCs w:val="20"/>
                <w:highlight w:val="none"/>
              </w:rPr>
              <w:t xml:space="preserve"> </w:t>
            </w:r>
            <w:r>
              <w:rPr>
                <w:rFonts w:hint="eastAsia" w:ascii="宋体" w:hAnsi="宋体" w:eastAsia="宋体" w:cs="宋体"/>
                <w:color w:val="auto"/>
                <w:spacing w:val="7"/>
                <w:sz w:val="20"/>
                <w:szCs w:val="20"/>
                <w:highlight w:val="none"/>
              </w:rPr>
              <w:t>4</w:t>
            </w:r>
          </w:p>
          <w:p>
            <w:pPr>
              <w:pStyle w:val="17"/>
              <w:spacing w:before="25" w:line="223" w:lineRule="auto"/>
              <w:ind w:left="132"/>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项目经理和项目总工资格：见附录</w:t>
            </w:r>
            <w:r>
              <w:rPr>
                <w:rFonts w:hint="eastAsia" w:ascii="宋体" w:hAnsi="宋体" w:eastAsia="宋体" w:cs="宋体"/>
                <w:color w:val="auto"/>
                <w:spacing w:val="-27"/>
                <w:sz w:val="20"/>
                <w:szCs w:val="20"/>
                <w:highlight w:val="none"/>
              </w:rPr>
              <w:t xml:space="preserve"> </w:t>
            </w:r>
            <w:r>
              <w:rPr>
                <w:rFonts w:hint="eastAsia" w:ascii="宋体" w:hAnsi="宋体" w:eastAsia="宋体" w:cs="宋体"/>
                <w:color w:val="auto"/>
                <w:spacing w:val="8"/>
                <w:sz w:val="20"/>
                <w:szCs w:val="20"/>
                <w:highlight w:val="none"/>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1466" w:hRule="atLeast"/>
        </w:trPr>
        <w:tc>
          <w:tcPr>
            <w:tcW w:w="1080" w:type="dxa"/>
            <w:gridSpan w:val="3"/>
            <w:tcBorders>
              <w:left w:val="single" w:color="000000" w:sz="10" w:space="0"/>
            </w:tcBorders>
            <w:vAlign w:val="top"/>
          </w:tcPr>
          <w:p>
            <w:pPr>
              <w:spacing w:line="263" w:lineRule="auto"/>
              <w:rPr>
                <w:rFonts w:ascii="Arial"/>
                <w:color w:val="auto"/>
                <w:sz w:val="21"/>
                <w:highlight w:val="none"/>
              </w:rPr>
            </w:pPr>
          </w:p>
          <w:p>
            <w:pPr>
              <w:spacing w:line="264" w:lineRule="auto"/>
              <w:rPr>
                <w:rFonts w:ascii="Arial"/>
                <w:color w:val="auto"/>
                <w:sz w:val="21"/>
                <w:highlight w:val="none"/>
              </w:rPr>
            </w:pPr>
          </w:p>
          <w:p>
            <w:pPr>
              <w:pStyle w:val="17"/>
              <w:spacing w:before="65" w:line="272" w:lineRule="exact"/>
              <w:ind w:left="184"/>
              <w:rPr>
                <w:color w:val="auto"/>
                <w:sz w:val="10"/>
                <w:szCs w:val="10"/>
                <w:highlight w:val="none"/>
              </w:rPr>
            </w:pPr>
            <w:r>
              <w:rPr>
                <w:color w:val="auto"/>
                <w:spacing w:val="1"/>
                <w:position w:val="-1"/>
                <w:sz w:val="20"/>
                <w:szCs w:val="20"/>
                <w:highlight w:val="none"/>
              </w:rPr>
              <w:t xml:space="preserve">1.4.2 </w:t>
            </w:r>
          </w:p>
        </w:tc>
        <w:tc>
          <w:tcPr>
            <w:tcW w:w="2940" w:type="dxa"/>
            <w:gridSpan w:val="2"/>
            <w:vAlign w:val="top"/>
          </w:tcPr>
          <w:p>
            <w:pPr>
              <w:spacing w:line="279" w:lineRule="auto"/>
              <w:rPr>
                <w:rFonts w:ascii="Arial"/>
                <w:color w:val="auto"/>
                <w:sz w:val="21"/>
                <w:highlight w:val="none"/>
              </w:rPr>
            </w:pPr>
          </w:p>
          <w:p>
            <w:pPr>
              <w:spacing w:line="279" w:lineRule="auto"/>
              <w:rPr>
                <w:rFonts w:ascii="Arial"/>
                <w:color w:val="auto"/>
                <w:sz w:val="21"/>
                <w:highlight w:val="none"/>
              </w:rPr>
            </w:pPr>
          </w:p>
          <w:p>
            <w:pPr>
              <w:pStyle w:val="17"/>
              <w:spacing w:before="65" w:line="228" w:lineRule="auto"/>
              <w:ind w:left="528"/>
              <w:rPr>
                <w:color w:val="auto"/>
                <w:sz w:val="20"/>
                <w:szCs w:val="20"/>
                <w:highlight w:val="none"/>
              </w:rPr>
            </w:pPr>
            <w:r>
              <w:rPr>
                <w:color w:val="auto"/>
                <w:spacing w:val="8"/>
                <w:sz w:val="20"/>
                <w:szCs w:val="20"/>
                <w:highlight w:val="none"/>
              </w:rPr>
              <w:t>是否接受联合体投标</w:t>
            </w:r>
          </w:p>
        </w:tc>
        <w:tc>
          <w:tcPr>
            <w:tcW w:w="5030" w:type="dxa"/>
            <w:gridSpan w:val="3"/>
            <w:tcBorders>
              <w:right w:val="single" w:color="000000" w:sz="10" w:space="0"/>
            </w:tcBorders>
            <w:vAlign w:val="top"/>
          </w:tcPr>
          <w:p>
            <w:pPr>
              <w:pStyle w:val="17"/>
              <w:spacing w:before="84" w:line="229" w:lineRule="auto"/>
              <w:ind w:left="150"/>
              <w:rPr>
                <w:color w:val="auto"/>
                <w:sz w:val="20"/>
                <w:szCs w:val="20"/>
                <w:highlight w:val="none"/>
              </w:rPr>
            </w:pPr>
            <w:r>
              <w:rPr>
                <w:rFonts w:hint="eastAsia"/>
                <w:color w:val="auto"/>
                <w:spacing w:val="2"/>
                <w:sz w:val="20"/>
                <w:szCs w:val="20"/>
                <w:highlight w:val="none"/>
                <w:lang w:eastAsia="zh-CN"/>
              </w:rPr>
              <w:t>☑</w:t>
            </w:r>
            <w:r>
              <w:rPr>
                <w:color w:val="auto"/>
                <w:spacing w:val="2"/>
                <w:sz w:val="20"/>
                <w:szCs w:val="20"/>
                <w:highlight w:val="none"/>
              </w:rPr>
              <w:t>不接受</w:t>
            </w:r>
          </w:p>
          <w:p>
            <w:pPr>
              <w:pStyle w:val="17"/>
              <w:spacing w:before="22" w:line="228" w:lineRule="auto"/>
              <w:ind w:left="150"/>
              <w:rPr>
                <w:color w:val="auto"/>
                <w:sz w:val="20"/>
                <w:szCs w:val="20"/>
                <w:highlight w:val="none"/>
              </w:rPr>
            </w:pPr>
            <w:r>
              <w:rPr>
                <w:color w:val="auto"/>
                <w:spacing w:val="6"/>
                <w:sz w:val="20"/>
                <w:szCs w:val="20"/>
                <w:highlight w:val="none"/>
              </w:rPr>
              <w:t>□接受，应满足下列要求：</w:t>
            </w:r>
          </w:p>
          <w:p>
            <w:pPr>
              <w:pStyle w:val="17"/>
              <w:spacing w:before="24"/>
              <w:ind w:left="33" w:right="958"/>
              <w:rPr>
                <w:color w:val="auto"/>
                <w:sz w:val="20"/>
                <w:szCs w:val="20"/>
                <w:highlight w:val="none"/>
              </w:rPr>
            </w:pPr>
            <w:r>
              <w:rPr>
                <w:color w:val="auto"/>
                <w:spacing w:val="5"/>
                <w:sz w:val="20"/>
                <w:szCs w:val="20"/>
                <w:highlight w:val="none"/>
              </w:rPr>
              <w:t>（1）联合体所有成员数量不得超过</w:t>
            </w:r>
            <w:r>
              <w:rPr>
                <w:color w:val="auto"/>
                <w:spacing w:val="-99"/>
                <w:sz w:val="20"/>
                <w:szCs w:val="20"/>
                <w:highlight w:val="none"/>
              </w:rPr>
              <w:t xml:space="preserve"> </w:t>
            </w:r>
            <w:r>
              <w:rPr>
                <w:color w:val="auto"/>
                <w:spacing w:val="5"/>
                <w:sz w:val="20"/>
                <w:szCs w:val="20"/>
                <w:highlight w:val="none"/>
                <w:u w:val="single" w:color="auto"/>
              </w:rPr>
              <w:t xml:space="preserve">    </w:t>
            </w:r>
            <w:r>
              <w:rPr>
                <w:color w:val="auto"/>
                <w:spacing w:val="-90"/>
                <w:sz w:val="20"/>
                <w:szCs w:val="20"/>
                <w:highlight w:val="none"/>
              </w:rPr>
              <w:t xml:space="preserve"> </w:t>
            </w:r>
            <w:r>
              <w:rPr>
                <w:color w:val="auto"/>
                <w:spacing w:val="5"/>
                <w:sz w:val="20"/>
                <w:szCs w:val="20"/>
                <w:highlight w:val="none"/>
              </w:rPr>
              <w:t>家；</w:t>
            </w:r>
            <w:r>
              <w:rPr>
                <w:color w:val="auto"/>
                <w:sz w:val="20"/>
                <w:szCs w:val="20"/>
                <w:highlight w:val="none"/>
              </w:rPr>
              <w:t xml:space="preserve"> </w:t>
            </w:r>
            <w:r>
              <w:rPr>
                <w:color w:val="auto"/>
                <w:spacing w:val="6"/>
                <w:sz w:val="20"/>
                <w:szCs w:val="20"/>
                <w:highlight w:val="none"/>
              </w:rPr>
              <w:t>（2）联合体牵头人应具备</w:t>
            </w:r>
            <w:r>
              <w:rPr>
                <w:color w:val="auto"/>
                <w:spacing w:val="-93"/>
                <w:sz w:val="20"/>
                <w:szCs w:val="20"/>
                <w:highlight w:val="none"/>
              </w:rPr>
              <w:t xml:space="preserve"> </w:t>
            </w:r>
            <w:r>
              <w:rPr>
                <w:color w:val="auto"/>
                <w:spacing w:val="4"/>
                <w:sz w:val="20"/>
                <w:szCs w:val="20"/>
                <w:highlight w:val="none"/>
                <w:u w:val="single" w:color="auto"/>
              </w:rPr>
              <w:t xml:space="preserve">     </w:t>
            </w:r>
            <w:r>
              <w:rPr>
                <w:color w:val="auto"/>
                <w:spacing w:val="-79"/>
                <w:sz w:val="20"/>
                <w:szCs w:val="20"/>
                <w:highlight w:val="none"/>
              </w:rPr>
              <w:t xml:space="preserve"> </w:t>
            </w:r>
            <w:r>
              <w:rPr>
                <w:color w:val="auto"/>
                <w:spacing w:val="6"/>
                <w:sz w:val="20"/>
                <w:szCs w:val="20"/>
                <w:highlight w:val="none"/>
              </w:rPr>
              <w:t>资质；</w:t>
            </w:r>
          </w:p>
          <w:p>
            <w:pPr>
              <w:pStyle w:val="17"/>
              <w:spacing w:before="25" w:line="285" w:lineRule="exact"/>
              <w:ind w:left="142"/>
              <w:rPr>
                <w:color w:val="auto"/>
                <w:sz w:val="20"/>
                <w:szCs w:val="20"/>
                <w:highlight w:val="none"/>
              </w:rPr>
            </w:pPr>
            <w:r>
              <w:rPr>
                <w:color w:val="auto"/>
                <w:spacing w:val="-2"/>
                <w:position w:val="1"/>
                <w:sz w:val="20"/>
                <w:szCs w:val="20"/>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61" w:hRule="atLeast"/>
        </w:trPr>
        <w:tc>
          <w:tcPr>
            <w:tcW w:w="1080" w:type="dxa"/>
            <w:gridSpan w:val="3"/>
            <w:tcBorders>
              <w:left w:val="single" w:color="000000" w:sz="10" w:space="0"/>
            </w:tcBorders>
            <w:vAlign w:val="top"/>
          </w:tcPr>
          <w:p>
            <w:pPr>
              <w:pStyle w:val="17"/>
              <w:spacing w:before="209" w:line="190" w:lineRule="auto"/>
              <w:ind w:left="290"/>
              <w:rPr>
                <w:color w:val="auto"/>
                <w:sz w:val="20"/>
                <w:szCs w:val="20"/>
                <w:highlight w:val="none"/>
              </w:rPr>
            </w:pPr>
            <w:r>
              <w:rPr>
                <w:color w:val="auto"/>
                <w:sz w:val="20"/>
                <w:szCs w:val="20"/>
                <w:highlight w:val="none"/>
              </w:rPr>
              <w:t>1.4.3</w:t>
            </w:r>
          </w:p>
        </w:tc>
        <w:tc>
          <w:tcPr>
            <w:tcW w:w="2940" w:type="dxa"/>
            <w:gridSpan w:val="2"/>
            <w:vAlign w:val="top"/>
          </w:tcPr>
          <w:p>
            <w:pPr>
              <w:pStyle w:val="17"/>
              <w:spacing w:before="48" w:line="232" w:lineRule="auto"/>
              <w:ind w:left="1260" w:right="214" w:hanging="1047"/>
              <w:rPr>
                <w:color w:val="auto"/>
                <w:sz w:val="20"/>
                <w:szCs w:val="20"/>
                <w:highlight w:val="none"/>
              </w:rPr>
            </w:pPr>
            <w:r>
              <w:rPr>
                <w:color w:val="auto"/>
                <w:spacing w:val="8"/>
                <w:sz w:val="20"/>
                <w:szCs w:val="20"/>
                <w:highlight w:val="none"/>
              </w:rPr>
              <w:t>投标人不得存在的其他关联</w:t>
            </w:r>
            <w:r>
              <w:rPr>
                <w:color w:val="auto"/>
                <w:spacing w:val="10"/>
                <w:sz w:val="20"/>
                <w:szCs w:val="20"/>
                <w:highlight w:val="none"/>
              </w:rPr>
              <w:t xml:space="preserve"> </w:t>
            </w:r>
            <w:r>
              <w:rPr>
                <w:color w:val="auto"/>
                <w:spacing w:val="4"/>
                <w:sz w:val="20"/>
                <w:szCs w:val="20"/>
                <w:highlight w:val="none"/>
              </w:rPr>
              <w:t>情形</w:t>
            </w:r>
          </w:p>
        </w:tc>
        <w:tc>
          <w:tcPr>
            <w:tcW w:w="5030" w:type="dxa"/>
            <w:gridSpan w:val="3"/>
            <w:tcBorders>
              <w:right w:val="single" w:color="000000" w:sz="10" w:space="0"/>
            </w:tcBorders>
            <w:vAlign w:val="top"/>
          </w:tcPr>
          <w:p>
            <w:pPr>
              <w:rPr>
                <w:rFonts w:ascii="Arial"/>
                <w:color w:val="auto"/>
                <w:sz w:val="21"/>
                <w:highlight w:val="none"/>
              </w:rPr>
            </w:pPr>
            <w:r>
              <w:rPr>
                <w:rFonts w:hint="eastAsia" w:ascii="Arial"/>
                <w:color w:val="auto"/>
                <w:sz w:val="21"/>
                <w:highlight w:val="none"/>
              </w:rPr>
              <w:t>见投标人须知正文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69" w:hRule="atLeast"/>
        </w:trPr>
        <w:tc>
          <w:tcPr>
            <w:tcW w:w="1080" w:type="dxa"/>
            <w:gridSpan w:val="3"/>
            <w:tcBorders>
              <w:left w:val="single" w:color="000000" w:sz="10" w:space="0"/>
            </w:tcBorders>
            <w:vAlign w:val="top"/>
          </w:tcPr>
          <w:p>
            <w:pPr>
              <w:pStyle w:val="17"/>
              <w:spacing w:before="214" w:line="190" w:lineRule="auto"/>
              <w:ind w:left="290"/>
              <w:rPr>
                <w:color w:val="auto"/>
                <w:sz w:val="20"/>
                <w:szCs w:val="20"/>
                <w:highlight w:val="none"/>
              </w:rPr>
            </w:pPr>
            <w:r>
              <w:rPr>
                <w:color w:val="auto"/>
                <w:sz w:val="20"/>
                <w:szCs w:val="20"/>
                <w:highlight w:val="none"/>
              </w:rPr>
              <w:t>1.4.4</w:t>
            </w:r>
          </w:p>
        </w:tc>
        <w:tc>
          <w:tcPr>
            <w:tcW w:w="2940" w:type="dxa"/>
            <w:gridSpan w:val="2"/>
            <w:vAlign w:val="top"/>
          </w:tcPr>
          <w:p>
            <w:pPr>
              <w:pStyle w:val="17"/>
              <w:spacing w:before="56" w:line="232" w:lineRule="auto"/>
              <w:ind w:left="524" w:right="214" w:hanging="311"/>
              <w:rPr>
                <w:color w:val="auto"/>
                <w:sz w:val="20"/>
                <w:szCs w:val="20"/>
                <w:highlight w:val="none"/>
              </w:rPr>
            </w:pPr>
            <w:r>
              <w:rPr>
                <w:color w:val="auto"/>
                <w:spacing w:val="8"/>
                <w:sz w:val="20"/>
                <w:szCs w:val="20"/>
                <w:highlight w:val="none"/>
              </w:rPr>
              <w:t>投标人不得存在的其他不良</w:t>
            </w:r>
            <w:r>
              <w:rPr>
                <w:color w:val="auto"/>
                <w:spacing w:val="10"/>
                <w:sz w:val="20"/>
                <w:szCs w:val="20"/>
                <w:highlight w:val="none"/>
              </w:rPr>
              <w:t xml:space="preserve"> </w:t>
            </w:r>
            <w:r>
              <w:rPr>
                <w:color w:val="auto"/>
                <w:spacing w:val="8"/>
                <w:sz w:val="20"/>
                <w:szCs w:val="20"/>
                <w:highlight w:val="none"/>
              </w:rPr>
              <w:t>状况或不良信用记录</w:t>
            </w:r>
          </w:p>
        </w:tc>
        <w:tc>
          <w:tcPr>
            <w:tcW w:w="5030" w:type="dxa"/>
            <w:gridSpan w:val="3"/>
            <w:tcBorders>
              <w:right w:val="single" w:color="000000" w:sz="10" w:space="0"/>
            </w:tcBorders>
            <w:vAlign w:val="top"/>
          </w:tcPr>
          <w:p>
            <w:pPr>
              <w:rPr>
                <w:rFonts w:hint="eastAsia" w:ascii="Arial"/>
                <w:color w:val="auto"/>
                <w:sz w:val="21"/>
                <w:highlight w:val="none"/>
              </w:rPr>
            </w:pPr>
            <w:r>
              <w:rPr>
                <w:rFonts w:hint="eastAsia" w:ascii="Arial"/>
                <w:color w:val="auto"/>
                <w:sz w:val="21"/>
                <w:highlight w:val="none"/>
              </w:rPr>
              <w:t>见投标人须知正文</w:t>
            </w:r>
          </w:p>
          <w:p>
            <w:pPr>
              <w:pStyle w:val="12"/>
              <w:rPr>
                <w:rFonts w:hint="eastAsia" w:ascii="Arial"/>
                <w:color w:val="auto"/>
                <w:sz w:val="21"/>
                <w:highlight w:val="none"/>
              </w:rPr>
            </w:pPr>
          </w:p>
          <w:p>
            <w:pPr>
              <w:pStyle w:val="11"/>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69" w:hRule="atLeast"/>
        </w:trPr>
        <w:tc>
          <w:tcPr>
            <w:tcW w:w="1080" w:type="dxa"/>
            <w:gridSpan w:val="3"/>
            <w:tcBorders>
              <w:left w:val="single" w:color="000000" w:sz="10" w:space="0"/>
            </w:tcBorders>
            <w:vAlign w:val="top"/>
          </w:tcPr>
          <w:p>
            <w:pPr>
              <w:pStyle w:val="17"/>
              <w:spacing w:before="214" w:line="190" w:lineRule="auto"/>
              <w:ind w:left="290"/>
              <w:rPr>
                <w:color w:val="auto"/>
                <w:sz w:val="20"/>
                <w:szCs w:val="20"/>
                <w:highlight w:val="none"/>
              </w:rPr>
            </w:pPr>
            <w:r>
              <w:rPr>
                <w:color w:val="auto"/>
                <w:spacing w:val="1"/>
                <w:sz w:val="20"/>
                <w:szCs w:val="20"/>
                <w:highlight w:val="none"/>
              </w:rPr>
              <w:t>1.10.2</w:t>
            </w:r>
          </w:p>
        </w:tc>
        <w:tc>
          <w:tcPr>
            <w:tcW w:w="2940" w:type="dxa"/>
            <w:gridSpan w:val="2"/>
            <w:vAlign w:val="top"/>
          </w:tcPr>
          <w:p>
            <w:pPr>
              <w:jc w:val="center"/>
              <w:rPr>
                <w:color w:val="auto"/>
                <w:spacing w:val="8"/>
                <w:sz w:val="20"/>
                <w:szCs w:val="20"/>
                <w:highlight w:val="none"/>
              </w:rPr>
            </w:pPr>
            <w:r>
              <w:rPr>
                <w:rFonts w:hint="eastAsia"/>
                <w:color w:val="auto"/>
                <w:highlight w:val="none"/>
              </w:rPr>
              <w:t>投标人在投标预备会前提出问题</w:t>
            </w:r>
          </w:p>
        </w:tc>
        <w:tc>
          <w:tcPr>
            <w:tcW w:w="5030" w:type="dxa"/>
            <w:gridSpan w:val="3"/>
            <w:tcBorders>
              <w:right w:val="single" w:color="000000" w:sz="10" w:space="0"/>
            </w:tcBorders>
            <w:vAlign w:val="center"/>
          </w:tcPr>
          <w:p>
            <w:pPr>
              <w:pStyle w:val="18"/>
              <w:spacing w:before="104" w:line="264" w:lineRule="exact"/>
              <w:jc w:val="left"/>
              <w:rPr>
                <w:color w:val="auto"/>
                <w:highlight w:val="none"/>
              </w:rPr>
            </w:pPr>
            <w:r>
              <w:rPr>
                <w:rFonts w:hint="eastAsia"/>
                <w:color w:val="auto"/>
                <w:sz w:val="21"/>
                <w:szCs w:val="21"/>
                <w:highlight w:val="none"/>
                <w:lang w:val="en-US"/>
              </w:rPr>
              <w:t>招标人不组织召开投标预备会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3082" w:hRule="atLeast"/>
        </w:trPr>
        <w:tc>
          <w:tcPr>
            <w:tcW w:w="1080" w:type="dxa"/>
            <w:gridSpan w:val="3"/>
            <w:tcBorders>
              <w:left w:val="single" w:color="000000" w:sz="10" w:space="0"/>
            </w:tcBorders>
            <w:vAlign w:val="top"/>
          </w:tcPr>
          <w:p>
            <w:pPr>
              <w:spacing w:line="280" w:lineRule="auto"/>
              <w:rPr>
                <w:rFonts w:ascii="Arial"/>
                <w:color w:val="auto"/>
                <w:sz w:val="21"/>
                <w:highlight w:val="none"/>
              </w:rPr>
            </w:pPr>
          </w:p>
          <w:p>
            <w:pPr>
              <w:spacing w:line="280" w:lineRule="auto"/>
              <w:rPr>
                <w:rFonts w:ascii="Arial"/>
                <w:color w:val="auto"/>
                <w:sz w:val="21"/>
                <w:highlight w:val="none"/>
              </w:rPr>
            </w:pPr>
          </w:p>
          <w:p>
            <w:pPr>
              <w:spacing w:line="281" w:lineRule="auto"/>
              <w:rPr>
                <w:rFonts w:ascii="Arial"/>
                <w:color w:val="auto"/>
                <w:sz w:val="21"/>
                <w:highlight w:val="none"/>
              </w:rPr>
            </w:pPr>
          </w:p>
          <w:p>
            <w:pPr>
              <w:spacing w:line="281" w:lineRule="auto"/>
              <w:rPr>
                <w:rFonts w:ascii="Arial"/>
                <w:color w:val="auto"/>
                <w:sz w:val="21"/>
                <w:highlight w:val="none"/>
              </w:rPr>
            </w:pPr>
          </w:p>
          <w:p>
            <w:pPr>
              <w:spacing w:line="281" w:lineRule="auto"/>
              <w:rPr>
                <w:rFonts w:ascii="Arial"/>
                <w:color w:val="auto"/>
                <w:sz w:val="21"/>
                <w:highlight w:val="none"/>
              </w:rPr>
            </w:pPr>
          </w:p>
          <w:p>
            <w:pPr>
              <w:pStyle w:val="17"/>
              <w:spacing w:before="65" w:line="190" w:lineRule="auto"/>
              <w:ind w:left="237"/>
              <w:rPr>
                <w:color w:val="auto"/>
                <w:sz w:val="20"/>
                <w:szCs w:val="20"/>
                <w:highlight w:val="none"/>
              </w:rPr>
            </w:pPr>
            <w:r>
              <w:rPr>
                <w:color w:val="auto"/>
                <w:spacing w:val="1"/>
                <w:sz w:val="20"/>
                <w:szCs w:val="20"/>
                <w:highlight w:val="none"/>
              </w:rPr>
              <w:t>1.11.1</w:t>
            </w:r>
          </w:p>
        </w:tc>
        <w:tc>
          <w:tcPr>
            <w:tcW w:w="2940" w:type="dxa"/>
            <w:gridSpan w:val="2"/>
            <w:vAlign w:val="top"/>
          </w:tcPr>
          <w:p>
            <w:pPr>
              <w:spacing w:line="274" w:lineRule="auto"/>
              <w:rPr>
                <w:rFonts w:ascii="Arial"/>
                <w:color w:val="auto"/>
                <w:sz w:val="21"/>
                <w:highlight w:val="none"/>
              </w:rPr>
            </w:pPr>
          </w:p>
          <w:p>
            <w:pPr>
              <w:spacing w:line="274" w:lineRule="auto"/>
              <w:rPr>
                <w:rFonts w:ascii="Arial"/>
                <w:color w:val="auto"/>
                <w:sz w:val="21"/>
                <w:highlight w:val="none"/>
              </w:rPr>
            </w:pPr>
          </w:p>
          <w:p>
            <w:pPr>
              <w:spacing w:line="274" w:lineRule="auto"/>
              <w:rPr>
                <w:rFonts w:ascii="Arial"/>
                <w:color w:val="auto"/>
                <w:sz w:val="21"/>
                <w:highlight w:val="none"/>
              </w:rPr>
            </w:pPr>
          </w:p>
          <w:p>
            <w:pPr>
              <w:spacing w:line="275" w:lineRule="auto"/>
              <w:rPr>
                <w:rFonts w:ascii="Arial"/>
                <w:color w:val="auto"/>
                <w:sz w:val="21"/>
                <w:highlight w:val="none"/>
              </w:rPr>
            </w:pPr>
          </w:p>
          <w:p>
            <w:pPr>
              <w:spacing w:line="275" w:lineRule="auto"/>
              <w:rPr>
                <w:rFonts w:ascii="Arial"/>
                <w:color w:val="auto"/>
                <w:sz w:val="21"/>
                <w:highlight w:val="none"/>
              </w:rPr>
            </w:pPr>
          </w:p>
          <w:p>
            <w:pPr>
              <w:pStyle w:val="17"/>
              <w:spacing w:before="65" w:line="228" w:lineRule="auto"/>
              <w:ind w:left="1223"/>
              <w:rPr>
                <w:color w:val="auto"/>
                <w:sz w:val="20"/>
                <w:szCs w:val="20"/>
                <w:highlight w:val="none"/>
              </w:rPr>
            </w:pPr>
            <w:r>
              <w:rPr>
                <w:color w:val="auto"/>
                <w:spacing w:val="23"/>
                <w:sz w:val="20"/>
                <w:szCs w:val="20"/>
                <w:highlight w:val="none"/>
              </w:rPr>
              <w:t>分包</w:t>
            </w:r>
          </w:p>
        </w:tc>
        <w:tc>
          <w:tcPr>
            <w:tcW w:w="5030" w:type="dxa"/>
            <w:gridSpan w:val="3"/>
            <w:tcBorders>
              <w:right w:val="single" w:color="000000" w:sz="10" w:space="0"/>
            </w:tcBorders>
            <w:vAlign w:val="top"/>
          </w:tcPr>
          <w:p>
            <w:pPr>
              <w:pStyle w:val="17"/>
              <w:spacing w:before="59" w:line="270" w:lineRule="exact"/>
              <w:ind w:left="138"/>
              <w:rPr>
                <w:color w:val="auto"/>
                <w:sz w:val="20"/>
                <w:szCs w:val="20"/>
                <w:highlight w:val="none"/>
              </w:rPr>
            </w:pPr>
            <w:r>
              <w:rPr>
                <w:rFonts w:ascii="Wingdings" w:hAnsi="Wingdings" w:eastAsia="Wingdings" w:cs="Wingdings"/>
                <w:color w:val="auto"/>
                <w:spacing w:val="5"/>
                <w:position w:val="1"/>
                <w:sz w:val="20"/>
                <w:szCs w:val="20"/>
                <w:highlight w:val="none"/>
              </w:rPr>
              <w:sym w:font="Wingdings" w:char="00FE"/>
            </w:r>
            <w:r>
              <w:rPr>
                <w:color w:val="auto"/>
                <w:spacing w:val="5"/>
                <w:position w:val="1"/>
                <w:sz w:val="20"/>
                <w:szCs w:val="20"/>
                <w:highlight w:val="none"/>
              </w:rPr>
              <w:t>不允许</w:t>
            </w:r>
          </w:p>
          <w:p>
            <w:pPr>
              <w:pStyle w:val="17"/>
              <w:spacing w:before="31" w:line="256" w:lineRule="auto"/>
              <w:ind w:left="131" w:right="125" w:firstLine="6"/>
              <w:rPr>
                <w:color w:val="auto"/>
                <w:sz w:val="20"/>
                <w:szCs w:val="20"/>
                <w:highlight w:val="none"/>
              </w:rPr>
            </w:pPr>
            <w:r>
              <w:rPr>
                <w:rFonts w:ascii="Wingdings" w:hAnsi="Wingdings" w:eastAsia="Wingdings" w:cs="Wingdings"/>
                <w:color w:val="auto"/>
                <w:spacing w:val="7"/>
                <w:sz w:val="20"/>
                <w:szCs w:val="20"/>
                <w:highlight w:val="none"/>
              </w:rPr>
              <w:t>o</w:t>
            </w:r>
            <w:r>
              <w:rPr>
                <w:color w:val="auto"/>
                <w:spacing w:val="7"/>
                <w:sz w:val="20"/>
                <w:szCs w:val="20"/>
                <w:highlight w:val="none"/>
              </w:rPr>
              <w:t>允许，允许分包的专项工程（或不允许分包的专项</w:t>
            </w:r>
            <w:r>
              <w:rPr>
                <w:color w:val="auto"/>
                <w:spacing w:val="11"/>
                <w:sz w:val="20"/>
                <w:szCs w:val="20"/>
                <w:highlight w:val="none"/>
              </w:rPr>
              <w:t xml:space="preserve"> </w:t>
            </w:r>
            <w:r>
              <w:rPr>
                <w:color w:val="auto"/>
                <w:spacing w:val="3"/>
                <w:sz w:val="20"/>
                <w:szCs w:val="20"/>
                <w:highlight w:val="none"/>
              </w:rPr>
              <w:t>工程</w:t>
            </w:r>
            <w:r>
              <w:rPr>
                <w:color w:val="auto"/>
                <w:spacing w:val="10"/>
                <w:sz w:val="20"/>
                <w:szCs w:val="20"/>
                <w:highlight w:val="none"/>
              </w:rPr>
              <w:t>）：</w:t>
            </w:r>
            <w:r>
              <w:rPr>
                <w:color w:val="auto"/>
                <w:sz w:val="20"/>
                <w:szCs w:val="20"/>
                <w:highlight w:val="none"/>
                <w:u w:val="single" w:color="auto"/>
              </w:rPr>
              <w:t xml:space="preserve">                </w:t>
            </w:r>
          </w:p>
          <w:p>
            <w:pPr>
              <w:pStyle w:val="17"/>
              <w:spacing w:before="52" w:line="228" w:lineRule="auto"/>
              <w:ind w:left="128"/>
              <w:rPr>
                <w:color w:val="auto"/>
                <w:sz w:val="20"/>
                <w:szCs w:val="20"/>
                <w:highlight w:val="none"/>
              </w:rPr>
            </w:pPr>
            <w:r>
              <w:rPr>
                <w:color w:val="auto"/>
                <w:spacing w:val="9"/>
                <w:sz w:val="20"/>
                <w:szCs w:val="20"/>
                <w:highlight w:val="none"/>
              </w:rPr>
              <w:t>对分包人的资格要求：</w:t>
            </w:r>
            <w:r>
              <w:rPr>
                <w:color w:val="auto"/>
                <w:sz w:val="20"/>
                <w:szCs w:val="20"/>
                <w:highlight w:val="none"/>
                <w:u w:val="single" w:color="auto"/>
              </w:rPr>
              <w:t xml:space="preserve">              </w:t>
            </w:r>
          </w:p>
          <w:p>
            <w:pPr>
              <w:pStyle w:val="17"/>
              <w:spacing w:before="51" w:line="269" w:lineRule="auto"/>
              <w:ind w:left="128" w:right="125"/>
              <w:rPr>
                <w:color w:val="auto"/>
                <w:sz w:val="20"/>
                <w:szCs w:val="20"/>
                <w:highlight w:val="none"/>
              </w:rPr>
            </w:pPr>
            <w:r>
              <w:rPr>
                <w:color w:val="auto"/>
                <w:spacing w:val="7"/>
                <w:sz w:val="20"/>
                <w:szCs w:val="20"/>
                <w:highlight w:val="none"/>
              </w:rPr>
              <w:t>注：投标人如不具备某专项工程（包括但不限于</w:t>
            </w:r>
            <w:r>
              <w:rPr>
                <w:color w:val="auto"/>
                <w:spacing w:val="6"/>
                <w:sz w:val="20"/>
                <w:szCs w:val="20"/>
                <w:highlight w:val="none"/>
              </w:rPr>
              <w:t>项目</w:t>
            </w:r>
            <w:r>
              <w:rPr>
                <w:color w:val="auto"/>
                <w:sz w:val="20"/>
                <w:szCs w:val="20"/>
                <w:highlight w:val="none"/>
              </w:rPr>
              <w:t xml:space="preserve"> </w:t>
            </w:r>
            <w:r>
              <w:rPr>
                <w:color w:val="auto"/>
                <w:spacing w:val="6"/>
                <w:sz w:val="20"/>
                <w:szCs w:val="20"/>
                <w:highlight w:val="none"/>
              </w:rPr>
              <w:t>专用合同条款</w:t>
            </w:r>
            <w:r>
              <w:rPr>
                <w:color w:val="auto"/>
                <w:spacing w:val="-20"/>
                <w:sz w:val="20"/>
                <w:szCs w:val="20"/>
                <w:highlight w:val="none"/>
              </w:rPr>
              <w:t xml:space="preserve"> </w:t>
            </w:r>
            <w:r>
              <w:rPr>
                <w:color w:val="auto"/>
                <w:spacing w:val="6"/>
                <w:sz w:val="20"/>
                <w:szCs w:val="20"/>
                <w:highlight w:val="none"/>
              </w:rPr>
              <w:t>4.3</w:t>
            </w:r>
            <w:r>
              <w:rPr>
                <w:color w:val="auto"/>
                <w:spacing w:val="-21"/>
                <w:sz w:val="20"/>
                <w:szCs w:val="20"/>
                <w:highlight w:val="none"/>
              </w:rPr>
              <w:t xml:space="preserve"> </w:t>
            </w:r>
            <w:r>
              <w:rPr>
                <w:color w:val="auto"/>
                <w:spacing w:val="6"/>
                <w:sz w:val="20"/>
                <w:szCs w:val="20"/>
                <w:highlight w:val="none"/>
              </w:rPr>
              <w:t>中所涉及的</w:t>
            </w:r>
            <w:r>
              <w:rPr>
                <w:color w:val="auto"/>
                <w:spacing w:val="-42"/>
                <w:sz w:val="20"/>
                <w:szCs w:val="20"/>
                <w:highlight w:val="none"/>
              </w:rPr>
              <w:t xml:space="preserve"> </w:t>
            </w:r>
            <w:r>
              <w:rPr>
                <w:color w:val="auto"/>
                <w:sz w:val="20"/>
                <w:szCs w:val="20"/>
                <w:highlight w:val="none"/>
              </w:rPr>
              <w:t>XX</w:t>
            </w:r>
            <w:r>
              <w:rPr>
                <w:color w:val="auto"/>
                <w:spacing w:val="-35"/>
                <w:sz w:val="20"/>
                <w:szCs w:val="20"/>
                <w:highlight w:val="none"/>
              </w:rPr>
              <w:t xml:space="preserve"> </w:t>
            </w:r>
            <w:r>
              <w:rPr>
                <w:color w:val="auto"/>
                <w:spacing w:val="6"/>
                <w:sz w:val="20"/>
                <w:szCs w:val="20"/>
                <w:highlight w:val="none"/>
              </w:rPr>
              <w:t>工程等）相应资质</w:t>
            </w:r>
            <w:r>
              <w:rPr>
                <w:color w:val="auto"/>
                <w:sz w:val="20"/>
                <w:szCs w:val="20"/>
                <w:highlight w:val="none"/>
              </w:rPr>
              <w:t xml:space="preserve"> </w:t>
            </w:r>
            <w:r>
              <w:rPr>
                <w:color w:val="auto"/>
                <w:spacing w:val="5"/>
                <w:sz w:val="20"/>
                <w:szCs w:val="20"/>
                <w:highlight w:val="none"/>
              </w:rPr>
              <w:t>的且允许分包的，应按照第九章“投标文件格式</w:t>
            </w:r>
            <w:r>
              <w:rPr>
                <w:color w:val="auto"/>
                <w:spacing w:val="-56"/>
                <w:sz w:val="20"/>
                <w:szCs w:val="20"/>
                <w:highlight w:val="none"/>
              </w:rPr>
              <w:t xml:space="preserve"> </w:t>
            </w:r>
            <w:r>
              <w:rPr>
                <w:color w:val="auto"/>
                <w:spacing w:val="5"/>
                <w:sz w:val="20"/>
                <w:szCs w:val="20"/>
                <w:highlight w:val="none"/>
              </w:rPr>
              <w:t>”的</w:t>
            </w:r>
            <w:r>
              <w:rPr>
                <w:color w:val="auto"/>
                <w:sz w:val="20"/>
                <w:szCs w:val="20"/>
                <w:highlight w:val="none"/>
              </w:rPr>
              <w:t xml:space="preserve"> </w:t>
            </w:r>
            <w:r>
              <w:rPr>
                <w:color w:val="auto"/>
                <w:spacing w:val="5"/>
                <w:sz w:val="20"/>
                <w:szCs w:val="20"/>
                <w:highlight w:val="none"/>
              </w:rPr>
              <w:t>要求填写“拟分包项目情况表</w:t>
            </w:r>
            <w:r>
              <w:rPr>
                <w:color w:val="auto"/>
                <w:spacing w:val="-56"/>
                <w:sz w:val="20"/>
                <w:szCs w:val="20"/>
                <w:highlight w:val="none"/>
              </w:rPr>
              <w:t xml:space="preserve"> </w:t>
            </w:r>
            <w:r>
              <w:rPr>
                <w:color w:val="auto"/>
                <w:spacing w:val="5"/>
                <w:sz w:val="20"/>
                <w:szCs w:val="20"/>
                <w:highlight w:val="none"/>
              </w:rPr>
              <w:t>”。如投标人不具备相</w:t>
            </w:r>
            <w:r>
              <w:rPr>
                <w:color w:val="auto"/>
                <w:sz w:val="20"/>
                <w:szCs w:val="20"/>
                <w:highlight w:val="none"/>
              </w:rPr>
              <w:t xml:space="preserve"> </w:t>
            </w:r>
            <w:r>
              <w:rPr>
                <w:color w:val="auto"/>
                <w:spacing w:val="7"/>
                <w:sz w:val="20"/>
                <w:szCs w:val="20"/>
                <w:highlight w:val="none"/>
              </w:rPr>
              <w:t>应资质而未按要求填写的，视为未对招标文件的</w:t>
            </w:r>
            <w:r>
              <w:rPr>
                <w:color w:val="auto"/>
                <w:spacing w:val="6"/>
                <w:sz w:val="20"/>
                <w:szCs w:val="20"/>
                <w:highlight w:val="none"/>
              </w:rPr>
              <w:t>实质</w:t>
            </w:r>
            <w:r>
              <w:rPr>
                <w:color w:val="auto"/>
                <w:sz w:val="20"/>
                <w:szCs w:val="20"/>
                <w:highlight w:val="none"/>
              </w:rPr>
              <w:t xml:space="preserve"> </w:t>
            </w:r>
            <w:r>
              <w:rPr>
                <w:color w:val="auto"/>
                <w:spacing w:val="9"/>
                <w:sz w:val="20"/>
                <w:szCs w:val="20"/>
                <w:highlight w:val="none"/>
              </w:rPr>
              <w:t>性要求和条件做出响应，按否决其投标处理。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390" w:hRule="atLeast"/>
        </w:trPr>
        <w:tc>
          <w:tcPr>
            <w:tcW w:w="1080" w:type="dxa"/>
            <w:gridSpan w:val="3"/>
            <w:tcBorders>
              <w:left w:val="single" w:color="000000" w:sz="10" w:space="0"/>
              <w:bottom w:val="single" w:color="auto" w:sz="4" w:space="0"/>
            </w:tcBorders>
            <w:vAlign w:val="top"/>
          </w:tcPr>
          <w:p>
            <w:pPr>
              <w:pStyle w:val="17"/>
              <w:spacing w:before="190" w:line="175" w:lineRule="auto"/>
              <w:ind w:left="383"/>
              <w:rPr>
                <w:color w:val="auto"/>
                <w:sz w:val="20"/>
                <w:szCs w:val="20"/>
                <w:highlight w:val="none"/>
              </w:rPr>
            </w:pPr>
            <w:r>
              <w:rPr>
                <w:color w:val="auto"/>
                <w:spacing w:val="1"/>
                <w:sz w:val="20"/>
                <w:szCs w:val="20"/>
                <w:highlight w:val="none"/>
              </w:rPr>
              <w:t>2.1</w:t>
            </w:r>
          </w:p>
        </w:tc>
        <w:tc>
          <w:tcPr>
            <w:tcW w:w="2940" w:type="dxa"/>
            <w:gridSpan w:val="2"/>
            <w:tcBorders>
              <w:bottom w:val="single" w:color="auto" w:sz="4" w:space="0"/>
            </w:tcBorders>
            <w:vAlign w:val="top"/>
          </w:tcPr>
          <w:p>
            <w:pPr>
              <w:pStyle w:val="17"/>
              <w:spacing w:before="100" w:line="228" w:lineRule="auto"/>
              <w:ind w:left="318"/>
              <w:rPr>
                <w:color w:val="auto"/>
                <w:sz w:val="20"/>
                <w:szCs w:val="20"/>
                <w:highlight w:val="none"/>
              </w:rPr>
            </w:pPr>
            <w:r>
              <w:rPr>
                <w:color w:val="auto"/>
                <w:spacing w:val="8"/>
                <w:sz w:val="20"/>
                <w:szCs w:val="20"/>
                <w:highlight w:val="none"/>
              </w:rPr>
              <w:t>构成招标文件的其他资料</w:t>
            </w:r>
          </w:p>
        </w:tc>
        <w:tc>
          <w:tcPr>
            <w:tcW w:w="5030" w:type="dxa"/>
            <w:gridSpan w:val="3"/>
            <w:tcBorders>
              <w:right w:val="single" w:color="000000" w:sz="10" w:space="0"/>
            </w:tcBorders>
            <w:vAlign w:val="top"/>
          </w:tcPr>
          <w:p>
            <w:pPr>
              <w:rPr>
                <w:rFonts w:ascii="Arial"/>
                <w:color w:val="auto"/>
                <w:sz w:val="21"/>
                <w:highlight w:val="none"/>
              </w:rPr>
            </w:pPr>
            <w:r>
              <w:rPr>
                <w:rFonts w:hint="eastAsia" w:ascii="Arial"/>
                <w:color w:val="auto"/>
                <w:sz w:val="21"/>
                <w:highlight w:val="none"/>
              </w:rPr>
              <w:t>招标人对已发布招标文件的澄清、修改内容和补遗书（如有）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776" w:hRule="atLeast"/>
        </w:trPr>
        <w:tc>
          <w:tcPr>
            <w:tcW w:w="1080" w:type="dxa"/>
            <w:gridSpan w:val="3"/>
            <w:tcBorders>
              <w:top w:val="single" w:color="auto" w:sz="4" w:space="0"/>
              <w:left w:val="single" w:color="auto" w:sz="4" w:space="0"/>
              <w:bottom w:val="single" w:color="auto" w:sz="4" w:space="0"/>
              <w:right w:val="single" w:color="auto" w:sz="4" w:space="0"/>
            </w:tcBorders>
            <w:vAlign w:val="top"/>
          </w:tcPr>
          <w:p>
            <w:pPr>
              <w:spacing w:line="263" w:lineRule="auto"/>
              <w:rPr>
                <w:rFonts w:ascii="Arial"/>
                <w:color w:val="auto"/>
                <w:sz w:val="21"/>
                <w:highlight w:val="none"/>
              </w:rPr>
            </w:pPr>
          </w:p>
          <w:p>
            <w:pPr>
              <w:pStyle w:val="17"/>
              <w:spacing w:before="65" w:line="190" w:lineRule="auto"/>
              <w:ind w:left="277"/>
              <w:rPr>
                <w:color w:val="auto"/>
                <w:sz w:val="20"/>
                <w:szCs w:val="20"/>
                <w:highlight w:val="none"/>
              </w:rPr>
            </w:pPr>
            <w:r>
              <w:rPr>
                <w:color w:val="auto"/>
                <w:spacing w:val="2"/>
                <w:sz w:val="20"/>
                <w:szCs w:val="20"/>
                <w:highlight w:val="none"/>
              </w:rPr>
              <w:t>2.2.1</w:t>
            </w:r>
          </w:p>
        </w:tc>
        <w:tc>
          <w:tcPr>
            <w:tcW w:w="2940" w:type="dxa"/>
            <w:gridSpan w:val="2"/>
            <w:tcBorders>
              <w:top w:val="single" w:color="auto" w:sz="4" w:space="0"/>
              <w:left w:val="single" w:color="auto" w:sz="4" w:space="0"/>
              <w:bottom w:val="single" w:color="auto" w:sz="4" w:space="0"/>
              <w:right w:val="single" w:color="auto" w:sz="4" w:space="0"/>
            </w:tcBorders>
            <w:vAlign w:val="top"/>
          </w:tcPr>
          <w:p>
            <w:pPr>
              <w:pStyle w:val="17"/>
              <w:spacing w:before="298" w:line="228" w:lineRule="auto"/>
              <w:ind w:left="318"/>
              <w:rPr>
                <w:color w:val="auto"/>
                <w:sz w:val="20"/>
                <w:szCs w:val="20"/>
                <w:highlight w:val="none"/>
              </w:rPr>
            </w:pPr>
            <w:r>
              <w:rPr>
                <w:color w:val="auto"/>
                <w:spacing w:val="8"/>
                <w:sz w:val="20"/>
                <w:szCs w:val="20"/>
                <w:highlight w:val="none"/>
              </w:rPr>
              <w:t>投标人要求澄清招标文件</w:t>
            </w:r>
          </w:p>
        </w:tc>
        <w:tc>
          <w:tcPr>
            <w:tcW w:w="5030" w:type="dxa"/>
            <w:gridSpan w:val="3"/>
            <w:tcBorders>
              <w:left w:val="single" w:color="auto" w:sz="4" w:space="0"/>
              <w:right w:val="single" w:color="000000" w:sz="10" w:space="0"/>
            </w:tcBorders>
            <w:vAlign w:val="top"/>
          </w:tcPr>
          <w:p>
            <w:pPr>
              <w:pStyle w:val="17"/>
              <w:spacing w:before="100" w:line="227" w:lineRule="auto"/>
              <w:ind w:left="131"/>
              <w:rPr>
                <w:color w:val="auto"/>
                <w:sz w:val="20"/>
                <w:szCs w:val="20"/>
                <w:highlight w:val="none"/>
              </w:rPr>
            </w:pPr>
            <w:r>
              <w:rPr>
                <w:rFonts w:hint="eastAsia"/>
                <w:color w:val="auto"/>
                <w:sz w:val="20"/>
                <w:szCs w:val="20"/>
                <w:highlight w:val="none"/>
              </w:rPr>
              <w:t>时间：投标截止日期</w:t>
            </w:r>
            <w:r>
              <w:rPr>
                <w:color w:val="auto"/>
                <w:sz w:val="20"/>
                <w:szCs w:val="20"/>
                <w:highlight w:val="none"/>
              </w:rPr>
              <w:t>10</w:t>
            </w:r>
            <w:r>
              <w:rPr>
                <w:rFonts w:hint="eastAsia"/>
                <w:color w:val="auto"/>
                <w:sz w:val="20"/>
                <w:szCs w:val="20"/>
                <w:highlight w:val="none"/>
              </w:rPr>
              <w:t>日前。</w:t>
            </w:r>
          </w:p>
          <w:p>
            <w:pPr>
              <w:pStyle w:val="17"/>
              <w:spacing w:before="100" w:line="227" w:lineRule="auto"/>
              <w:ind w:left="131"/>
              <w:rPr>
                <w:color w:val="auto"/>
                <w:sz w:val="20"/>
                <w:szCs w:val="20"/>
                <w:highlight w:val="none"/>
              </w:rPr>
            </w:pPr>
            <w:r>
              <w:rPr>
                <w:rFonts w:hint="eastAsia"/>
                <w:color w:val="auto"/>
                <w:sz w:val="20"/>
                <w:szCs w:val="20"/>
                <w:highlight w:val="none"/>
              </w:rPr>
              <w:t>形式：以</w:t>
            </w:r>
            <w:r>
              <w:rPr>
                <w:rFonts w:hint="eastAsia"/>
                <w:color w:val="auto"/>
                <w:sz w:val="20"/>
                <w:szCs w:val="20"/>
                <w:highlight w:val="none"/>
                <w:lang w:val="en-US"/>
              </w:rPr>
              <w:t>不</w:t>
            </w:r>
            <w:r>
              <w:rPr>
                <w:rFonts w:hint="eastAsia"/>
                <w:color w:val="auto"/>
                <w:sz w:val="20"/>
                <w:szCs w:val="20"/>
                <w:highlight w:val="none"/>
              </w:rPr>
              <w:t>记名形式在广州公共资源交易中心网向招标人提出澄清要求，且不得有任何可识别投标人及其人员标识。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90" w:hRule="atLeast"/>
        </w:trPr>
        <w:tc>
          <w:tcPr>
            <w:tcW w:w="1080" w:type="dxa"/>
            <w:gridSpan w:val="3"/>
            <w:tcBorders>
              <w:top w:val="single" w:color="auto" w:sz="4" w:space="0"/>
              <w:left w:val="single" w:color="000000" w:sz="10" w:space="0"/>
              <w:bottom w:val="single" w:color="auto" w:sz="4" w:space="0"/>
            </w:tcBorders>
            <w:vAlign w:val="top"/>
          </w:tcPr>
          <w:p>
            <w:pPr>
              <w:pStyle w:val="17"/>
              <w:spacing w:before="236" w:line="189" w:lineRule="auto"/>
              <w:ind w:left="277"/>
              <w:rPr>
                <w:color w:val="auto"/>
                <w:sz w:val="20"/>
                <w:szCs w:val="20"/>
                <w:highlight w:val="none"/>
              </w:rPr>
            </w:pPr>
            <w:r>
              <w:rPr>
                <w:color w:val="auto"/>
                <w:spacing w:val="2"/>
                <w:sz w:val="20"/>
                <w:szCs w:val="20"/>
                <w:highlight w:val="none"/>
              </w:rPr>
              <w:t>2.2.2</w:t>
            </w:r>
          </w:p>
        </w:tc>
        <w:tc>
          <w:tcPr>
            <w:tcW w:w="2940" w:type="dxa"/>
            <w:gridSpan w:val="2"/>
            <w:tcBorders>
              <w:top w:val="single" w:color="auto" w:sz="4" w:space="0"/>
              <w:bottom w:val="single" w:color="auto" w:sz="4" w:space="0"/>
            </w:tcBorders>
            <w:vAlign w:val="top"/>
          </w:tcPr>
          <w:p>
            <w:pPr>
              <w:pStyle w:val="17"/>
              <w:spacing w:before="203" w:line="228" w:lineRule="auto"/>
              <w:ind w:left="316"/>
              <w:rPr>
                <w:color w:val="auto"/>
                <w:sz w:val="20"/>
                <w:szCs w:val="20"/>
                <w:highlight w:val="none"/>
              </w:rPr>
            </w:pPr>
            <w:r>
              <w:rPr>
                <w:color w:val="auto"/>
                <w:spacing w:val="9"/>
                <w:sz w:val="20"/>
                <w:szCs w:val="20"/>
                <w:highlight w:val="none"/>
              </w:rPr>
              <w:t>招标文件澄清发出的形式</w:t>
            </w:r>
          </w:p>
        </w:tc>
        <w:tc>
          <w:tcPr>
            <w:tcW w:w="5030" w:type="dxa"/>
            <w:gridSpan w:val="3"/>
            <w:tcBorders>
              <w:right w:val="single" w:color="000000" w:sz="10" w:space="0"/>
            </w:tcBorders>
            <w:vAlign w:val="top"/>
          </w:tcPr>
          <w:p>
            <w:pPr>
              <w:pStyle w:val="17"/>
              <w:spacing w:before="203" w:line="223" w:lineRule="auto"/>
              <w:ind w:left="127"/>
              <w:rPr>
                <w:color w:val="auto"/>
                <w:sz w:val="20"/>
                <w:szCs w:val="20"/>
                <w:highlight w:val="none"/>
              </w:rPr>
            </w:pPr>
            <w:r>
              <w:rPr>
                <w:rFonts w:hint="eastAsia"/>
                <w:color w:val="auto"/>
                <w:sz w:val="20"/>
                <w:szCs w:val="20"/>
                <w:highlight w:val="none"/>
              </w:rPr>
              <w:t>时间：投标截止日期</w:t>
            </w:r>
            <w:r>
              <w:rPr>
                <w:color w:val="auto"/>
                <w:sz w:val="20"/>
                <w:szCs w:val="20"/>
                <w:highlight w:val="none"/>
              </w:rPr>
              <w:t>7</w:t>
            </w:r>
            <w:r>
              <w:rPr>
                <w:rFonts w:hint="eastAsia"/>
                <w:color w:val="auto"/>
                <w:sz w:val="20"/>
                <w:szCs w:val="20"/>
                <w:highlight w:val="none"/>
              </w:rPr>
              <w:t>日前。</w:t>
            </w:r>
          </w:p>
          <w:p>
            <w:pPr>
              <w:pStyle w:val="17"/>
              <w:spacing w:before="203" w:line="223" w:lineRule="auto"/>
              <w:ind w:left="127"/>
              <w:rPr>
                <w:color w:val="auto"/>
                <w:sz w:val="20"/>
                <w:szCs w:val="20"/>
                <w:highlight w:val="none"/>
              </w:rPr>
            </w:pPr>
            <w:r>
              <w:rPr>
                <w:rFonts w:hint="eastAsia"/>
                <w:color w:val="auto"/>
                <w:sz w:val="20"/>
                <w:szCs w:val="20"/>
                <w:highlight w:val="none"/>
              </w:rPr>
              <w:t>形式：在</w:t>
            </w:r>
            <w:r>
              <w:rPr>
                <w:rFonts w:hint="eastAsia"/>
                <w:color w:val="auto"/>
                <w:sz w:val="20"/>
                <w:szCs w:val="20"/>
                <w:highlight w:val="none"/>
                <w:lang w:val="en-US"/>
              </w:rPr>
              <w:t>广州公共资源交易中心网</w:t>
            </w:r>
            <w:r>
              <w:rPr>
                <w:rFonts w:hint="eastAsia"/>
                <w:color w:val="auto"/>
                <w:sz w:val="20"/>
                <w:szCs w:val="20"/>
                <w:highlight w:val="none"/>
              </w:rPr>
              <w:t>发布。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772" w:hRule="atLeast"/>
        </w:trPr>
        <w:tc>
          <w:tcPr>
            <w:tcW w:w="1080" w:type="dxa"/>
            <w:gridSpan w:val="3"/>
            <w:tcBorders>
              <w:top w:val="single" w:color="auto" w:sz="4" w:space="0"/>
              <w:left w:val="single" w:color="auto" w:sz="4" w:space="0"/>
              <w:bottom w:val="single" w:color="auto" w:sz="4" w:space="0"/>
              <w:right w:val="single" w:color="auto" w:sz="4" w:space="0"/>
            </w:tcBorders>
            <w:vAlign w:val="top"/>
          </w:tcPr>
          <w:p>
            <w:pPr>
              <w:spacing w:line="266" w:lineRule="auto"/>
              <w:rPr>
                <w:rFonts w:ascii="Arial"/>
                <w:color w:val="auto"/>
                <w:sz w:val="21"/>
                <w:highlight w:val="none"/>
              </w:rPr>
            </w:pPr>
          </w:p>
          <w:p>
            <w:pPr>
              <w:pStyle w:val="17"/>
              <w:spacing w:before="65" w:line="189" w:lineRule="auto"/>
              <w:ind w:left="277"/>
              <w:rPr>
                <w:color w:val="auto"/>
                <w:sz w:val="20"/>
                <w:szCs w:val="20"/>
                <w:highlight w:val="none"/>
              </w:rPr>
            </w:pPr>
            <w:r>
              <w:rPr>
                <w:color w:val="auto"/>
                <w:spacing w:val="2"/>
                <w:sz w:val="20"/>
                <w:szCs w:val="20"/>
                <w:highlight w:val="none"/>
              </w:rPr>
              <w:t>2.2.3</w:t>
            </w:r>
          </w:p>
        </w:tc>
        <w:tc>
          <w:tcPr>
            <w:tcW w:w="2940" w:type="dxa"/>
            <w:gridSpan w:val="2"/>
            <w:tcBorders>
              <w:top w:val="single" w:color="auto" w:sz="4" w:space="0"/>
              <w:left w:val="single" w:color="auto" w:sz="4" w:space="0"/>
              <w:bottom w:val="single" w:color="auto" w:sz="4" w:space="0"/>
              <w:right w:val="single" w:color="auto" w:sz="4" w:space="0"/>
            </w:tcBorders>
            <w:vAlign w:val="top"/>
          </w:tcPr>
          <w:p>
            <w:pPr>
              <w:pStyle w:val="17"/>
              <w:spacing w:before="164" w:line="239" w:lineRule="auto"/>
              <w:ind w:left="1258" w:right="318" w:hanging="940"/>
              <w:rPr>
                <w:color w:val="auto"/>
                <w:sz w:val="20"/>
                <w:szCs w:val="20"/>
                <w:highlight w:val="none"/>
              </w:rPr>
            </w:pPr>
            <w:r>
              <w:rPr>
                <w:color w:val="auto"/>
                <w:spacing w:val="8"/>
                <w:sz w:val="20"/>
                <w:szCs w:val="20"/>
                <w:highlight w:val="none"/>
              </w:rPr>
              <w:t>投标人确认收到招标文件</w:t>
            </w:r>
            <w:r>
              <w:rPr>
                <w:color w:val="auto"/>
                <w:spacing w:val="9"/>
                <w:sz w:val="20"/>
                <w:szCs w:val="20"/>
                <w:highlight w:val="none"/>
              </w:rPr>
              <w:t xml:space="preserve"> </w:t>
            </w:r>
            <w:r>
              <w:rPr>
                <w:color w:val="auto"/>
                <w:spacing w:val="4"/>
                <w:sz w:val="20"/>
                <w:szCs w:val="20"/>
                <w:highlight w:val="none"/>
              </w:rPr>
              <w:t>澄清</w:t>
            </w:r>
          </w:p>
        </w:tc>
        <w:tc>
          <w:tcPr>
            <w:tcW w:w="5030" w:type="dxa"/>
            <w:gridSpan w:val="3"/>
            <w:tcBorders>
              <w:left w:val="single" w:color="auto" w:sz="4" w:space="0"/>
              <w:right w:val="single" w:color="000000" w:sz="10" w:space="0"/>
            </w:tcBorders>
            <w:vAlign w:val="top"/>
          </w:tcPr>
          <w:p>
            <w:pPr>
              <w:pStyle w:val="17"/>
              <w:spacing w:before="103" w:line="227" w:lineRule="auto"/>
              <w:ind w:left="131"/>
              <w:rPr>
                <w:rFonts w:hint="eastAsia" w:eastAsia="宋体"/>
                <w:color w:val="auto"/>
                <w:sz w:val="20"/>
                <w:szCs w:val="20"/>
                <w:highlight w:val="none"/>
                <w:lang w:eastAsia="zh-CN"/>
              </w:rPr>
            </w:pPr>
            <w:r>
              <w:rPr>
                <w:rFonts w:hint="eastAsia" w:eastAsia="宋体"/>
                <w:color w:val="auto"/>
                <w:sz w:val="20"/>
                <w:szCs w:val="20"/>
                <w:highlight w:val="none"/>
                <w:lang w:eastAsia="zh-CN"/>
              </w:rPr>
              <w:t>不作确认要求。</w:t>
            </w:r>
          </w:p>
          <w:p>
            <w:pPr>
              <w:pStyle w:val="17"/>
              <w:spacing w:before="103" w:line="227" w:lineRule="auto"/>
              <w:ind w:left="131"/>
              <w:rPr>
                <w:rFonts w:hint="eastAsia" w:eastAsia="宋体"/>
                <w:color w:val="auto"/>
                <w:sz w:val="20"/>
                <w:szCs w:val="20"/>
                <w:highlight w:val="none"/>
                <w:lang w:eastAsia="zh-CN"/>
              </w:rPr>
            </w:pPr>
            <w:r>
              <w:rPr>
                <w:rFonts w:hint="eastAsia" w:eastAsia="宋体"/>
                <w:color w:val="auto"/>
                <w:sz w:val="20"/>
                <w:szCs w:val="20"/>
                <w:highlight w:val="none"/>
                <w:lang w:eastAsia="zh-CN"/>
              </w:rPr>
              <w:t>投标人应当从广州公共资源交易中心网上下载招标人对招标文件的澄清内容，招标人不再另行通知。投标人因自身原因不提出质疑或未能获取澄清资料造成的后果，由投标人自行承担。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625" w:hRule="atLeast"/>
        </w:trPr>
        <w:tc>
          <w:tcPr>
            <w:tcW w:w="1080" w:type="dxa"/>
            <w:gridSpan w:val="3"/>
            <w:tcBorders>
              <w:top w:val="single" w:color="auto" w:sz="4" w:space="0"/>
              <w:left w:val="single" w:color="000000" w:sz="10" w:space="0"/>
              <w:bottom w:val="single" w:color="auto" w:sz="4" w:space="0"/>
            </w:tcBorders>
            <w:vAlign w:val="top"/>
          </w:tcPr>
          <w:p>
            <w:pPr>
              <w:pStyle w:val="17"/>
              <w:spacing w:before="257" w:line="190" w:lineRule="auto"/>
              <w:ind w:left="277"/>
              <w:rPr>
                <w:color w:val="auto"/>
                <w:sz w:val="20"/>
                <w:szCs w:val="20"/>
                <w:highlight w:val="none"/>
              </w:rPr>
            </w:pPr>
            <w:r>
              <w:rPr>
                <w:color w:val="auto"/>
                <w:spacing w:val="2"/>
                <w:sz w:val="20"/>
                <w:szCs w:val="20"/>
                <w:highlight w:val="none"/>
              </w:rPr>
              <w:t>2.3.1</w:t>
            </w:r>
          </w:p>
        </w:tc>
        <w:tc>
          <w:tcPr>
            <w:tcW w:w="2940" w:type="dxa"/>
            <w:gridSpan w:val="2"/>
            <w:tcBorders>
              <w:top w:val="single" w:color="auto" w:sz="4" w:space="0"/>
              <w:bottom w:val="single" w:color="auto" w:sz="4" w:space="0"/>
            </w:tcBorders>
            <w:vAlign w:val="top"/>
          </w:tcPr>
          <w:p>
            <w:pPr>
              <w:pStyle w:val="17"/>
              <w:spacing w:before="225" w:line="228" w:lineRule="auto"/>
              <w:ind w:left="316"/>
              <w:rPr>
                <w:color w:val="auto"/>
                <w:sz w:val="20"/>
                <w:szCs w:val="20"/>
                <w:highlight w:val="none"/>
              </w:rPr>
            </w:pPr>
            <w:r>
              <w:rPr>
                <w:color w:val="auto"/>
                <w:spacing w:val="9"/>
                <w:sz w:val="20"/>
                <w:szCs w:val="20"/>
                <w:highlight w:val="none"/>
              </w:rPr>
              <w:t>招标文件修改发出的形式</w:t>
            </w:r>
          </w:p>
        </w:tc>
        <w:tc>
          <w:tcPr>
            <w:tcW w:w="5030" w:type="dxa"/>
            <w:gridSpan w:val="3"/>
            <w:tcBorders>
              <w:right w:val="single" w:color="000000" w:sz="10" w:space="0"/>
            </w:tcBorders>
            <w:vAlign w:val="top"/>
          </w:tcPr>
          <w:p>
            <w:pPr>
              <w:pStyle w:val="17"/>
              <w:spacing w:before="225" w:line="223" w:lineRule="auto"/>
              <w:ind w:left="127"/>
              <w:rPr>
                <w:color w:val="auto"/>
                <w:sz w:val="20"/>
                <w:szCs w:val="20"/>
                <w:highlight w:val="none"/>
              </w:rPr>
            </w:pPr>
            <w:r>
              <w:rPr>
                <w:rFonts w:hint="eastAsia"/>
                <w:color w:val="auto"/>
                <w:sz w:val="20"/>
                <w:szCs w:val="20"/>
                <w:highlight w:val="none"/>
              </w:rPr>
              <w:t>时间：投标截止日期</w:t>
            </w:r>
            <w:r>
              <w:rPr>
                <w:color w:val="auto"/>
                <w:sz w:val="20"/>
                <w:szCs w:val="20"/>
                <w:highlight w:val="none"/>
              </w:rPr>
              <w:t>7</w:t>
            </w:r>
            <w:r>
              <w:rPr>
                <w:rFonts w:hint="eastAsia"/>
                <w:color w:val="auto"/>
                <w:sz w:val="20"/>
                <w:szCs w:val="20"/>
                <w:highlight w:val="none"/>
              </w:rPr>
              <w:t>日前。</w:t>
            </w:r>
          </w:p>
          <w:p>
            <w:pPr>
              <w:pStyle w:val="17"/>
              <w:spacing w:before="225" w:line="223" w:lineRule="auto"/>
              <w:ind w:left="127"/>
              <w:rPr>
                <w:color w:val="auto"/>
                <w:sz w:val="20"/>
                <w:szCs w:val="20"/>
                <w:highlight w:val="none"/>
              </w:rPr>
            </w:pPr>
            <w:r>
              <w:rPr>
                <w:rFonts w:hint="eastAsia"/>
                <w:color w:val="auto"/>
                <w:sz w:val="20"/>
                <w:szCs w:val="20"/>
                <w:highlight w:val="none"/>
              </w:rPr>
              <w:t>形式：在广州公共资源交易中心网发布。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1045" w:hRule="atLeast"/>
        </w:trPr>
        <w:tc>
          <w:tcPr>
            <w:tcW w:w="1080" w:type="dxa"/>
            <w:gridSpan w:val="3"/>
            <w:tcBorders>
              <w:top w:val="single" w:color="auto" w:sz="4" w:space="0"/>
              <w:left w:val="single" w:color="auto" w:sz="4" w:space="0"/>
              <w:bottom w:val="single" w:color="auto" w:sz="4" w:space="0"/>
              <w:right w:val="single" w:color="auto" w:sz="4" w:space="0"/>
            </w:tcBorders>
            <w:vAlign w:val="top"/>
          </w:tcPr>
          <w:p>
            <w:pPr>
              <w:spacing w:line="403" w:lineRule="auto"/>
              <w:rPr>
                <w:rFonts w:ascii="Arial"/>
                <w:color w:val="auto"/>
                <w:sz w:val="21"/>
                <w:highlight w:val="none"/>
              </w:rPr>
            </w:pPr>
          </w:p>
          <w:p>
            <w:pPr>
              <w:pStyle w:val="17"/>
              <w:spacing w:before="65" w:line="189" w:lineRule="auto"/>
              <w:ind w:left="277"/>
              <w:rPr>
                <w:color w:val="auto"/>
                <w:sz w:val="20"/>
                <w:szCs w:val="20"/>
                <w:highlight w:val="none"/>
              </w:rPr>
            </w:pPr>
            <w:r>
              <w:rPr>
                <w:color w:val="auto"/>
                <w:spacing w:val="2"/>
                <w:sz w:val="20"/>
                <w:szCs w:val="20"/>
                <w:highlight w:val="none"/>
              </w:rPr>
              <w:t>2.3.2</w:t>
            </w:r>
          </w:p>
        </w:tc>
        <w:tc>
          <w:tcPr>
            <w:tcW w:w="2940" w:type="dxa"/>
            <w:gridSpan w:val="2"/>
            <w:tcBorders>
              <w:top w:val="single" w:color="auto" w:sz="4" w:space="0"/>
              <w:left w:val="single" w:color="auto" w:sz="4" w:space="0"/>
              <w:bottom w:val="single" w:color="auto" w:sz="4" w:space="0"/>
              <w:right w:val="single" w:color="auto" w:sz="4" w:space="0"/>
            </w:tcBorders>
            <w:vAlign w:val="top"/>
          </w:tcPr>
          <w:p>
            <w:pPr>
              <w:pStyle w:val="17"/>
              <w:spacing w:before="304" w:line="239" w:lineRule="auto"/>
              <w:ind w:left="1258" w:right="318" w:hanging="940"/>
              <w:rPr>
                <w:color w:val="auto"/>
                <w:sz w:val="20"/>
                <w:szCs w:val="20"/>
                <w:highlight w:val="none"/>
              </w:rPr>
            </w:pPr>
            <w:r>
              <w:rPr>
                <w:color w:val="auto"/>
                <w:spacing w:val="8"/>
                <w:sz w:val="20"/>
                <w:szCs w:val="20"/>
                <w:highlight w:val="none"/>
              </w:rPr>
              <w:t>投标人确认收到招标文件</w:t>
            </w:r>
            <w:r>
              <w:rPr>
                <w:color w:val="auto"/>
                <w:spacing w:val="9"/>
                <w:sz w:val="20"/>
                <w:szCs w:val="20"/>
                <w:highlight w:val="none"/>
              </w:rPr>
              <w:t xml:space="preserve"> </w:t>
            </w:r>
            <w:r>
              <w:rPr>
                <w:color w:val="auto"/>
                <w:spacing w:val="4"/>
                <w:sz w:val="20"/>
                <w:szCs w:val="20"/>
                <w:highlight w:val="none"/>
              </w:rPr>
              <w:t>修改</w:t>
            </w:r>
          </w:p>
        </w:tc>
        <w:tc>
          <w:tcPr>
            <w:tcW w:w="5030" w:type="dxa"/>
            <w:gridSpan w:val="3"/>
            <w:tcBorders>
              <w:left w:val="single" w:color="auto" w:sz="4" w:space="0"/>
              <w:right w:val="single" w:color="000000" w:sz="10" w:space="0"/>
            </w:tcBorders>
            <w:vAlign w:val="top"/>
          </w:tcPr>
          <w:p>
            <w:pPr>
              <w:pStyle w:val="17"/>
              <w:spacing w:before="185" w:line="227" w:lineRule="auto"/>
              <w:ind w:left="131"/>
              <w:rPr>
                <w:color w:val="auto"/>
                <w:sz w:val="20"/>
                <w:szCs w:val="20"/>
                <w:highlight w:val="none"/>
              </w:rPr>
            </w:pPr>
            <w:r>
              <w:rPr>
                <w:rFonts w:hint="eastAsia"/>
                <w:color w:val="auto"/>
                <w:sz w:val="20"/>
                <w:szCs w:val="20"/>
                <w:highlight w:val="none"/>
              </w:rPr>
              <w:t>不作确认要求。</w:t>
            </w:r>
          </w:p>
          <w:p>
            <w:pPr>
              <w:pStyle w:val="17"/>
              <w:spacing w:before="185" w:line="227" w:lineRule="auto"/>
              <w:ind w:left="131"/>
              <w:rPr>
                <w:color w:val="auto"/>
                <w:sz w:val="20"/>
                <w:szCs w:val="20"/>
                <w:highlight w:val="none"/>
              </w:rPr>
            </w:pPr>
            <w:r>
              <w:rPr>
                <w:rFonts w:hint="eastAsia"/>
                <w:color w:val="auto"/>
                <w:sz w:val="20"/>
                <w:szCs w:val="20"/>
                <w:highlight w:val="none"/>
              </w:rPr>
              <w:t>投标人应当从广州公共资源交易中心网上下载招标人对招标文件的澄清内容，招标人不再另行通知。投标人因自身原因不提出质疑或未能获取澄清资料造成的后果，由投标人自行承担。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80" w:hRule="atLeast"/>
        </w:trPr>
        <w:tc>
          <w:tcPr>
            <w:tcW w:w="1080" w:type="dxa"/>
            <w:gridSpan w:val="3"/>
            <w:tcBorders>
              <w:top w:val="single" w:color="auto" w:sz="4" w:space="0"/>
              <w:left w:val="single" w:color="000000" w:sz="10" w:space="0"/>
            </w:tcBorders>
            <w:vAlign w:val="top"/>
          </w:tcPr>
          <w:p>
            <w:pPr>
              <w:pStyle w:val="17"/>
              <w:spacing w:before="236" w:line="190" w:lineRule="auto"/>
              <w:ind w:left="279"/>
              <w:rPr>
                <w:color w:val="auto"/>
                <w:sz w:val="20"/>
                <w:szCs w:val="20"/>
                <w:highlight w:val="none"/>
              </w:rPr>
            </w:pPr>
            <w:r>
              <w:rPr>
                <w:color w:val="auto"/>
                <w:spacing w:val="2"/>
                <w:sz w:val="20"/>
                <w:szCs w:val="20"/>
                <w:highlight w:val="none"/>
              </w:rPr>
              <w:t>3.1.1</w:t>
            </w:r>
          </w:p>
        </w:tc>
        <w:tc>
          <w:tcPr>
            <w:tcW w:w="2940" w:type="dxa"/>
            <w:gridSpan w:val="2"/>
            <w:tcBorders>
              <w:top w:val="single" w:color="auto" w:sz="4" w:space="0"/>
            </w:tcBorders>
            <w:vAlign w:val="top"/>
          </w:tcPr>
          <w:p>
            <w:pPr>
              <w:pStyle w:val="17"/>
              <w:spacing w:before="203" w:line="228" w:lineRule="auto"/>
              <w:ind w:left="633"/>
              <w:rPr>
                <w:color w:val="auto"/>
                <w:sz w:val="20"/>
                <w:szCs w:val="20"/>
                <w:highlight w:val="none"/>
              </w:rPr>
            </w:pPr>
            <w:r>
              <w:rPr>
                <w:color w:val="auto"/>
                <w:spacing w:val="8"/>
                <w:sz w:val="20"/>
                <w:szCs w:val="20"/>
                <w:highlight w:val="none"/>
              </w:rPr>
              <w:t>投标文件密封形式</w:t>
            </w:r>
          </w:p>
        </w:tc>
        <w:tc>
          <w:tcPr>
            <w:tcW w:w="5030" w:type="dxa"/>
            <w:gridSpan w:val="3"/>
            <w:tcBorders>
              <w:right w:val="single" w:color="000000" w:sz="10" w:space="0"/>
            </w:tcBorders>
            <w:vAlign w:val="top"/>
          </w:tcPr>
          <w:p>
            <w:pPr>
              <w:pStyle w:val="17"/>
              <w:spacing w:before="69" w:line="272" w:lineRule="exact"/>
              <w:ind w:left="150"/>
              <w:rPr>
                <w:color w:val="auto"/>
                <w:sz w:val="20"/>
                <w:szCs w:val="20"/>
                <w:highlight w:val="none"/>
              </w:rPr>
            </w:pPr>
            <w:r>
              <w:rPr>
                <w:rFonts w:hint="eastAsia"/>
                <w:color w:val="auto"/>
                <w:spacing w:val="2"/>
                <w:position w:val="4"/>
                <w:sz w:val="20"/>
                <w:szCs w:val="20"/>
                <w:highlight w:val="none"/>
                <w:lang w:eastAsia="zh-CN"/>
              </w:rPr>
              <w:t>☑</w:t>
            </w:r>
            <w:r>
              <w:rPr>
                <w:color w:val="auto"/>
                <w:spacing w:val="2"/>
                <w:position w:val="4"/>
                <w:sz w:val="20"/>
                <w:szCs w:val="20"/>
                <w:highlight w:val="none"/>
              </w:rPr>
              <w:t>双信封</w:t>
            </w:r>
          </w:p>
          <w:p>
            <w:pPr>
              <w:pStyle w:val="17"/>
              <w:spacing w:line="211" w:lineRule="auto"/>
              <w:ind w:left="150"/>
              <w:rPr>
                <w:color w:val="auto"/>
                <w:sz w:val="20"/>
                <w:szCs w:val="20"/>
                <w:highlight w:val="none"/>
              </w:rPr>
            </w:pPr>
            <w:r>
              <w:rPr>
                <w:rFonts w:hint="eastAsia"/>
                <w:color w:val="auto"/>
                <w:spacing w:val="2"/>
                <w:sz w:val="20"/>
                <w:szCs w:val="20"/>
                <w:highlight w:val="none"/>
                <w:lang w:eastAsia="zh-CN"/>
              </w:rPr>
              <w:t>□</w:t>
            </w:r>
            <w:r>
              <w:rPr>
                <w:color w:val="auto"/>
                <w:spacing w:val="2"/>
                <w:sz w:val="20"/>
                <w:szCs w:val="20"/>
                <w:highlight w:val="none"/>
              </w:rPr>
              <w:t>单信封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91" w:hRule="atLeast"/>
        </w:trPr>
        <w:tc>
          <w:tcPr>
            <w:tcW w:w="1080" w:type="dxa"/>
            <w:gridSpan w:val="3"/>
            <w:tcBorders>
              <w:left w:val="single" w:color="000000" w:sz="10" w:space="0"/>
            </w:tcBorders>
            <w:vAlign w:val="top"/>
          </w:tcPr>
          <w:p>
            <w:pPr>
              <w:pStyle w:val="17"/>
              <w:spacing w:before="243" w:line="190" w:lineRule="auto"/>
              <w:ind w:left="279"/>
              <w:rPr>
                <w:color w:val="auto"/>
                <w:sz w:val="20"/>
                <w:szCs w:val="20"/>
                <w:highlight w:val="none"/>
              </w:rPr>
            </w:pPr>
            <w:r>
              <w:rPr>
                <w:color w:val="auto"/>
                <w:spacing w:val="2"/>
                <w:sz w:val="20"/>
                <w:szCs w:val="20"/>
                <w:highlight w:val="none"/>
              </w:rPr>
              <w:t>3.1.1</w:t>
            </w:r>
          </w:p>
        </w:tc>
        <w:tc>
          <w:tcPr>
            <w:tcW w:w="2940" w:type="dxa"/>
            <w:gridSpan w:val="2"/>
            <w:vAlign w:val="top"/>
          </w:tcPr>
          <w:p>
            <w:pPr>
              <w:pStyle w:val="17"/>
              <w:spacing w:before="211" w:line="228" w:lineRule="auto"/>
              <w:ind w:left="318"/>
              <w:rPr>
                <w:color w:val="auto"/>
                <w:sz w:val="20"/>
                <w:szCs w:val="20"/>
                <w:highlight w:val="none"/>
              </w:rPr>
            </w:pPr>
            <w:r>
              <w:rPr>
                <w:color w:val="auto"/>
                <w:spacing w:val="8"/>
                <w:sz w:val="20"/>
                <w:szCs w:val="20"/>
                <w:highlight w:val="none"/>
              </w:rPr>
              <w:t>构成投标文件的其他资料</w:t>
            </w:r>
          </w:p>
        </w:tc>
        <w:tc>
          <w:tcPr>
            <w:tcW w:w="5030" w:type="dxa"/>
            <w:gridSpan w:val="3"/>
            <w:tcBorders>
              <w:right w:val="single" w:color="000000" w:sz="10" w:space="0"/>
            </w:tcBorders>
            <w:vAlign w:val="center"/>
          </w:tcPr>
          <w:p>
            <w:pPr>
              <w:jc w:val="center"/>
              <w:rPr>
                <w:rFonts w:hint="default" w:ascii="Arial" w:eastAsia="宋体"/>
                <w:color w:val="auto"/>
                <w:sz w:val="21"/>
                <w:highlight w:val="none"/>
                <w:lang w:val="en-US" w:eastAsia="zh-CN"/>
              </w:rPr>
            </w:pPr>
            <w:r>
              <w:rPr>
                <w:rFonts w:hint="eastAsia" w:ascii="宋体" w:hAnsi="宋体" w:eastAsia="宋体" w:cs="宋体"/>
                <w:color w:val="auto"/>
                <w:sz w:val="24"/>
                <w:szCs w:val="2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50" w:hRule="atLeast"/>
        </w:trPr>
        <w:tc>
          <w:tcPr>
            <w:tcW w:w="1080" w:type="dxa"/>
            <w:gridSpan w:val="3"/>
            <w:tcBorders>
              <w:left w:val="single" w:color="000000" w:sz="10" w:space="0"/>
              <w:bottom w:val="single" w:color="000000" w:sz="10" w:space="0"/>
            </w:tcBorders>
            <w:vAlign w:val="top"/>
          </w:tcPr>
          <w:p>
            <w:pPr>
              <w:pStyle w:val="17"/>
              <w:spacing w:before="211" w:line="190" w:lineRule="auto"/>
              <w:ind w:left="279"/>
              <w:rPr>
                <w:color w:val="auto"/>
                <w:sz w:val="20"/>
                <w:szCs w:val="20"/>
                <w:highlight w:val="none"/>
              </w:rPr>
            </w:pPr>
            <w:r>
              <w:rPr>
                <w:color w:val="auto"/>
                <w:spacing w:val="2"/>
                <w:sz w:val="20"/>
                <w:szCs w:val="20"/>
                <w:highlight w:val="none"/>
              </w:rPr>
              <w:t>3.2.1</w:t>
            </w:r>
          </w:p>
        </w:tc>
        <w:tc>
          <w:tcPr>
            <w:tcW w:w="2940" w:type="dxa"/>
            <w:gridSpan w:val="2"/>
            <w:tcBorders>
              <w:bottom w:val="single" w:color="000000" w:sz="10" w:space="0"/>
            </w:tcBorders>
            <w:vAlign w:val="top"/>
          </w:tcPr>
          <w:p>
            <w:pPr>
              <w:pStyle w:val="17"/>
              <w:spacing w:before="179" w:line="228" w:lineRule="auto"/>
              <w:ind w:left="420"/>
              <w:rPr>
                <w:color w:val="auto"/>
                <w:sz w:val="20"/>
                <w:szCs w:val="20"/>
                <w:highlight w:val="none"/>
              </w:rPr>
            </w:pPr>
            <w:r>
              <w:rPr>
                <w:color w:val="auto"/>
                <w:spacing w:val="9"/>
                <w:sz w:val="20"/>
                <w:szCs w:val="20"/>
                <w:highlight w:val="none"/>
              </w:rPr>
              <w:t>增值税税金的计算方法</w:t>
            </w:r>
          </w:p>
        </w:tc>
        <w:tc>
          <w:tcPr>
            <w:tcW w:w="5030" w:type="dxa"/>
            <w:gridSpan w:val="3"/>
            <w:tcBorders>
              <w:bottom w:val="single" w:color="000000" w:sz="10" w:space="0"/>
              <w:right w:val="single" w:color="000000" w:sz="10" w:space="0"/>
            </w:tcBorders>
            <w:vAlign w:val="top"/>
          </w:tcPr>
          <w:p>
            <w:pPr>
              <w:rPr>
                <w:rFonts w:ascii="Arial"/>
                <w:color w:val="auto"/>
                <w:sz w:val="21"/>
                <w:highlight w:val="none"/>
              </w:rPr>
            </w:pPr>
            <w:r>
              <w:rPr>
                <w:rFonts w:hint="eastAsia" w:ascii="宋体" w:hAnsi="宋体"/>
                <w:color w:val="auto"/>
                <w:szCs w:val="21"/>
                <w:highlight w:val="none"/>
              </w:rPr>
              <w:t xml:space="preserve">按国家与阳江市相关规定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1626" w:hRule="atLeast"/>
        </w:trPr>
        <w:tc>
          <w:tcPr>
            <w:tcW w:w="1075" w:type="dxa"/>
            <w:gridSpan w:val="2"/>
            <w:tcBorders>
              <w:left w:val="single" w:color="000000" w:sz="10" w:space="0"/>
            </w:tcBorders>
            <w:vAlign w:val="top"/>
          </w:tcPr>
          <w:p>
            <w:pPr>
              <w:spacing w:line="336" w:lineRule="auto"/>
              <w:rPr>
                <w:rFonts w:ascii="Arial"/>
                <w:color w:val="auto"/>
                <w:sz w:val="21"/>
                <w:highlight w:val="none"/>
              </w:rPr>
            </w:pPr>
          </w:p>
          <w:p>
            <w:pPr>
              <w:spacing w:line="336" w:lineRule="auto"/>
              <w:rPr>
                <w:rFonts w:ascii="Arial"/>
                <w:color w:val="auto"/>
                <w:sz w:val="21"/>
                <w:highlight w:val="none"/>
              </w:rPr>
            </w:pPr>
          </w:p>
          <w:p>
            <w:pPr>
              <w:pStyle w:val="17"/>
              <w:spacing w:before="65" w:line="190" w:lineRule="auto"/>
              <w:ind w:left="276"/>
              <w:rPr>
                <w:color w:val="auto"/>
                <w:sz w:val="20"/>
                <w:szCs w:val="20"/>
                <w:highlight w:val="none"/>
              </w:rPr>
            </w:pPr>
            <w:r>
              <w:rPr>
                <w:color w:val="auto"/>
                <w:spacing w:val="2"/>
                <w:sz w:val="20"/>
                <w:szCs w:val="20"/>
                <w:highlight w:val="none"/>
              </w:rPr>
              <w:t>3.2.1</w:t>
            </w:r>
          </w:p>
        </w:tc>
        <w:tc>
          <w:tcPr>
            <w:tcW w:w="2945" w:type="dxa"/>
            <w:gridSpan w:val="3"/>
            <w:vAlign w:val="top"/>
          </w:tcPr>
          <w:p>
            <w:pPr>
              <w:spacing w:line="320" w:lineRule="auto"/>
              <w:rPr>
                <w:rFonts w:ascii="Arial"/>
                <w:color w:val="auto"/>
                <w:sz w:val="21"/>
                <w:highlight w:val="none"/>
              </w:rPr>
            </w:pPr>
          </w:p>
          <w:p>
            <w:pPr>
              <w:spacing w:line="320" w:lineRule="auto"/>
              <w:rPr>
                <w:rFonts w:ascii="Arial"/>
                <w:color w:val="auto"/>
                <w:sz w:val="21"/>
                <w:highlight w:val="none"/>
              </w:rPr>
            </w:pPr>
          </w:p>
          <w:p>
            <w:pPr>
              <w:pStyle w:val="17"/>
              <w:spacing w:before="65" w:line="228" w:lineRule="auto"/>
              <w:ind w:left="400"/>
              <w:rPr>
                <w:color w:val="auto"/>
                <w:sz w:val="20"/>
                <w:szCs w:val="20"/>
                <w:highlight w:val="none"/>
              </w:rPr>
            </w:pPr>
            <w:r>
              <w:rPr>
                <w:color w:val="auto"/>
                <w:spacing w:val="8"/>
                <w:sz w:val="20"/>
                <w:szCs w:val="20"/>
                <w:highlight w:val="none"/>
              </w:rPr>
              <w:t>工程量清单的填写方式</w:t>
            </w:r>
          </w:p>
        </w:tc>
        <w:tc>
          <w:tcPr>
            <w:tcW w:w="5020" w:type="dxa"/>
            <w:gridSpan w:val="2"/>
            <w:tcBorders>
              <w:right w:val="single" w:color="000000" w:sz="10" w:space="0"/>
            </w:tcBorders>
            <w:vAlign w:val="top"/>
          </w:tcPr>
          <w:p>
            <w:pPr>
              <w:pStyle w:val="17"/>
              <w:spacing w:before="161" w:line="242" w:lineRule="auto"/>
              <w:ind w:left="128" w:right="122" w:firstLine="22"/>
              <w:rPr>
                <w:color w:val="auto"/>
                <w:sz w:val="20"/>
                <w:szCs w:val="20"/>
                <w:highlight w:val="none"/>
              </w:rPr>
            </w:pPr>
            <w:r>
              <w:rPr>
                <w:color w:val="auto"/>
                <w:spacing w:val="17"/>
                <w:sz w:val="20"/>
                <w:szCs w:val="20"/>
                <w:highlight w:val="none"/>
              </w:rPr>
              <w:t>□投标人按照招标人提供的工程量固化清单电子文</w:t>
            </w:r>
            <w:r>
              <w:rPr>
                <w:color w:val="auto"/>
                <w:spacing w:val="2"/>
                <w:sz w:val="20"/>
                <w:szCs w:val="20"/>
                <w:highlight w:val="none"/>
              </w:rPr>
              <w:t xml:space="preserve"> </w:t>
            </w:r>
            <w:r>
              <w:rPr>
                <w:color w:val="auto"/>
                <w:spacing w:val="8"/>
                <w:sz w:val="20"/>
                <w:szCs w:val="20"/>
                <w:highlight w:val="none"/>
              </w:rPr>
              <w:t>件填写工程量清单，招标人提供固化清单的形式：</w:t>
            </w:r>
            <w:r>
              <w:rPr>
                <w:color w:val="auto"/>
                <w:spacing w:val="8"/>
                <w:sz w:val="20"/>
                <w:szCs w:val="20"/>
                <w:highlight w:val="none"/>
                <w:u w:val="single" w:color="auto"/>
              </w:rPr>
              <w:t>在</w:t>
            </w:r>
            <w:r>
              <w:rPr>
                <w:color w:val="auto"/>
                <w:spacing w:val="15"/>
                <w:sz w:val="20"/>
                <w:szCs w:val="20"/>
                <w:highlight w:val="none"/>
              </w:rPr>
              <w:t xml:space="preserve"> </w:t>
            </w:r>
            <w:r>
              <w:rPr>
                <w:color w:val="auto"/>
                <w:spacing w:val="7"/>
                <w:sz w:val="20"/>
                <w:szCs w:val="20"/>
                <w:highlight w:val="none"/>
                <w:u w:val="single" w:color="auto"/>
              </w:rPr>
              <w:t>网址（</w:t>
            </w:r>
            <w:r>
              <w:rPr>
                <w:color w:val="auto"/>
                <w:sz w:val="20"/>
                <w:szCs w:val="20"/>
                <w:highlight w:val="none"/>
                <w:u w:val="single" w:color="auto"/>
              </w:rPr>
              <w:t>http</w:t>
            </w:r>
            <w:r>
              <w:rPr>
                <w:color w:val="auto"/>
                <w:spacing w:val="7"/>
                <w:sz w:val="20"/>
                <w:szCs w:val="20"/>
                <w:highlight w:val="none"/>
                <w:u w:val="single" w:color="auto"/>
              </w:rPr>
              <w:t xml:space="preserve">://  ）发布或发投标人的邮箱等       </w:t>
            </w:r>
          </w:p>
          <w:p>
            <w:pPr>
              <w:pStyle w:val="17"/>
              <w:spacing w:before="33" w:line="239" w:lineRule="auto"/>
              <w:ind w:left="128" w:right="124" w:firstLine="22"/>
              <w:rPr>
                <w:color w:val="auto"/>
                <w:sz w:val="20"/>
                <w:szCs w:val="20"/>
                <w:highlight w:val="none"/>
              </w:rPr>
            </w:pPr>
            <w:r>
              <w:rPr>
                <w:rFonts w:hint="eastAsia"/>
                <w:color w:val="auto"/>
                <w:spacing w:val="17"/>
                <w:sz w:val="20"/>
                <w:szCs w:val="20"/>
                <w:highlight w:val="none"/>
                <w:lang w:eastAsia="zh-CN"/>
              </w:rPr>
              <w:t>☑</w:t>
            </w:r>
            <w:r>
              <w:rPr>
                <w:color w:val="auto"/>
                <w:spacing w:val="17"/>
                <w:sz w:val="20"/>
                <w:szCs w:val="20"/>
                <w:highlight w:val="none"/>
              </w:rPr>
              <w:t>投标人按照招标人提供的书面工程量清单填写工</w:t>
            </w:r>
            <w:r>
              <w:rPr>
                <w:color w:val="auto"/>
                <w:spacing w:val="7"/>
                <w:sz w:val="20"/>
                <w:szCs w:val="20"/>
                <w:highlight w:val="none"/>
              </w:rPr>
              <w:t>程量清单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691" w:hRule="atLeast"/>
        </w:trPr>
        <w:tc>
          <w:tcPr>
            <w:tcW w:w="1075" w:type="dxa"/>
            <w:gridSpan w:val="2"/>
            <w:tcBorders>
              <w:left w:val="single" w:color="000000" w:sz="10" w:space="0"/>
            </w:tcBorders>
            <w:vAlign w:val="top"/>
          </w:tcPr>
          <w:p>
            <w:pPr>
              <w:pStyle w:val="17"/>
              <w:spacing w:before="275" w:line="189" w:lineRule="auto"/>
              <w:ind w:left="276"/>
              <w:rPr>
                <w:color w:val="auto"/>
                <w:sz w:val="20"/>
                <w:szCs w:val="20"/>
                <w:highlight w:val="none"/>
              </w:rPr>
            </w:pPr>
            <w:r>
              <w:rPr>
                <w:color w:val="auto"/>
                <w:spacing w:val="2"/>
                <w:sz w:val="20"/>
                <w:szCs w:val="20"/>
                <w:highlight w:val="none"/>
              </w:rPr>
              <w:t>3.2.3</w:t>
            </w:r>
          </w:p>
        </w:tc>
        <w:tc>
          <w:tcPr>
            <w:tcW w:w="2945" w:type="dxa"/>
            <w:gridSpan w:val="3"/>
            <w:vAlign w:val="top"/>
          </w:tcPr>
          <w:p>
            <w:pPr>
              <w:pStyle w:val="17"/>
              <w:spacing w:before="242" w:line="226" w:lineRule="auto"/>
              <w:ind w:left="1027"/>
              <w:rPr>
                <w:color w:val="auto"/>
                <w:sz w:val="20"/>
                <w:szCs w:val="20"/>
                <w:highlight w:val="none"/>
              </w:rPr>
            </w:pPr>
            <w:r>
              <w:rPr>
                <w:color w:val="auto"/>
                <w:spacing w:val="7"/>
                <w:sz w:val="20"/>
                <w:szCs w:val="20"/>
                <w:highlight w:val="none"/>
              </w:rPr>
              <w:t>报价方式</w:t>
            </w:r>
          </w:p>
        </w:tc>
        <w:tc>
          <w:tcPr>
            <w:tcW w:w="5020" w:type="dxa"/>
            <w:gridSpan w:val="2"/>
            <w:tcBorders>
              <w:right w:val="single" w:color="000000" w:sz="10" w:space="0"/>
            </w:tcBorders>
            <w:vAlign w:val="top"/>
          </w:tcPr>
          <w:p>
            <w:pPr>
              <w:pStyle w:val="17"/>
              <w:spacing w:before="108" w:line="271" w:lineRule="exact"/>
              <w:ind w:left="150"/>
              <w:rPr>
                <w:color w:val="auto"/>
                <w:sz w:val="20"/>
                <w:szCs w:val="20"/>
                <w:highlight w:val="none"/>
              </w:rPr>
            </w:pPr>
            <w:r>
              <w:rPr>
                <w:rFonts w:hint="eastAsia"/>
                <w:color w:val="auto"/>
                <w:spacing w:val="-1"/>
                <w:position w:val="4"/>
                <w:sz w:val="20"/>
                <w:szCs w:val="20"/>
                <w:highlight w:val="none"/>
                <w:lang w:eastAsia="zh-CN"/>
              </w:rPr>
              <w:t>☑</w:t>
            </w:r>
            <w:r>
              <w:rPr>
                <w:color w:val="auto"/>
                <w:spacing w:val="-1"/>
                <w:position w:val="4"/>
                <w:sz w:val="20"/>
                <w:szCs w:val="20"/>
                <w:highlight w:val="none"/>
              </w:rPr>
              <w:t>单价</w:t>
            </w:r>
          </w:p>
          <w:p>
            <w:pPr>
              <w:pStyle w:val="17"/>
              <w:spacing w:line="226" w:lineRule="auto"/>
              <w:ind w:left="150"/>
              <w:rPr>
                <w:color w:val="auto"/>
                <w:sz w:val="20"/>
                <w:szCs w:val="20"/>
                <w:highlight w:val="none"/>
              </w:rPr>
            </w:pPr>
            <w:r>
              <w:rPr>
                <w:color w:val="auto"/>
                <w:spacing w:val="-1"/>
                <w:sz w:val="20"/>
                <w:szCs w:val="20"/>
                <w:highlight w:val="none"/>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658" w:hRule="atLeast"/>
        </w:trPr>
        <w:tc>
          <w:tcPr>
            <w:tcW w:w="1075" w:type="dxa"/>
            <w:gridSpan w:val="2"/>
            <w:tcBorders>
              <w:left w:val="single" w:color="000000" w:sz="10" w:space="0"/>
            </w:tcBorders>
            <w:vAlign w:val="top"/>
          </w:tcPr>
          <w:p>
            <w:pPr>
              <w:pStyle w:val="17"/>
              <w:spacing w:before="260" w:line="189" w:lineRule="auto"/>
              <w:ind w:left="276"/>
              <w:rPr>
                <w:color w:val="auto"/>
                <w:sz w:val="20"/>
                <w:szCs w:val="20"/>
                <w:highlight w:val="none"/>
              </w:rPr>
            </w:pPr>
            <w:r>
              <w:rPr>
                <w:color w:val="auto"/>
                <w:spacing w:val="2"/>
                <w:sz w:val="20"/>
                <w:szCs w:val="20"/>
                <w:highlight w:val="none"/>
              </w:rPr>
              <w:t>3.2.6</w:t>
            </w:r>
          </w:p>
        </w:tc>
        <w:tc>
          <w:tcPr>
            <w:tcW w:w="2945" w:type="dxa"/>
            <w:gridSpan w:val="3"/>
            <w:vAlign w:val="top"/>
          </w:tcPr>
          <w:p>
            <w:pPr>
              <w:pStyle w:val="17"/>
              <w:spacing w:before="210" w:line="242" w:lineRule="auto"/>
              <w:ind w:left="665"/>
              <w:rPr>
                <w:color w:val="auto"/>
                <w:sz w:val="10"/>
                <w:szCs w:val="10"/>
                <w:highlight w:val="none"/>
              </w:rPr>
            </w:pPr>
            <w:r>
              <w:rPr>
                <w:color w:val="auto"/>
                <w:spacing w:val="7"/>
                <w:sz w:val="20"/>
                <w:szCs w:val="20"/>
                <w:highlight w:val="none"/>
              </w:rPr>
              <w:t>是否接受调价函</w:t>
            </w:r>
          </w:p>
        </w:tc>
        <w:tc>
          <w:tcPr>
            <w:tcW w:w="5020" w:type="dxa"/>
            <w:gridSpan w:val="2"/>
            <w:tcBorders>
              <w:right w:val="single" w:color="000000" w:sz="10" w:space="0"/>
            </w:tcBorders>
            <w:vAlign w:val="top"/>
          </w:tcPr>
          <w:p>
            <w:pPr>
              <w:pStyle w:val="17"/>
              <w:spacing w:before="91" w:line="273" w:lineRule="exact"/>
              <w:ind w:left="150"/>
              <w:rPr>
                <w:color w:val="auto"/>
                <w:sz w:val="20"/>
                <w:szCs w:val="20"/>
                <w:highlight w:val="none"/>
              </w:rPr>
            </w:pPr>
            <w:r>
              <w:rPr>
                <w:color w:val="auto"/>
                <w:spacing w:val="-5"/>
                <w:position w:val="4"/>
                <w:sz w:val="20"/>
                <w:szCs w:val="20"/>
                <w:highlight w:val="none"/>
              </w:rPr>
              <w:t>□是</w:t>
            </w:r>
          </w:p>
          <w:p>
            <w:pPr>
              <w:pStyle w:val="17"/>
              <w:spacing w:line="228" w:lineRule="auto"/>
              <w:ind w:left="150"/>
              <w:rPr>
                <w:color w:val="auto"/>
                <w:sz w:val="20"/>
                <w:szCs w:val="20"/>
                <w:highlight w:val="none"/>
              </w:rPr>
            </w:pPr>
            <w:r>
              <w:rPr>
                <w:rFonts w:hint="eastAsia"/>
                <w:color w:val="auto"/>
                <w:spacing w:val="-5"/>
                <w:sz w:val="20"/>
                <w:szCs w:val="20"/>
                <w:highlight w:val="none"/>
                <w:lang w:eastAsia="zh-CN"/>
              </w:rPr>
              <w:t>☑</w:t>
            </w:r>
            <w:r>
              <w:rPr>
                <w:color w:val="auto"/>
                <w:spacing w:val="-5"/>
                <w:sz w:val="20"/>
                <w:szCs w:val="20"/>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692" w:hRule="atLeast"/>
        </w:trPr>
        <w:tc>
          <w:tcPr>
            <w:tcW w:w="1075" w:type="dxa"/>
            <w:gridSpan w:val="2"/>
            <w:tcBorders>
              <w:left w:val="single" w:color="000000" w:sz="10" w:space="0"/>
            </w:tcBorders>
            <w:vAlign w:val="top"/>
          </w:tcPr>
          <w:p>
            <w:pPr>
              <w:pStyle w:val="17"/>
              <w:spacing w:before="279" w:line="189" w:lineRule="auto"/>
              <w:ind w:left="276"/>
              <w:rPr>
                <w:color w:val="auto"/>
                <w:sz w:val="20"/>
                <w:szCs w:val="20"/>
                <w:highlight w:val="none"/>
              </w:rPr>
            </w:pPr>
            <w:r>
              <w:rPr>
                <w:color w:val="auto"/>
                <w:spacing w:val="2"/>
                <w:sz w:val="20"/>
                <w:szCs w:val="20"/>
                <w:highlight w:val="none"/>
              </w:rPr>
              <w:t>3.2.8</w:t>
            </w:r>
          </w:p>
        </w:tc>
        <w:tc>
          <w:tcPr>
            <w:tcW w:w="2945" w:type="dxa"/>
            <w:gridSpan w:val="3"/>
            <w:vAlign w:val="top"/>
          </w:tcPr>
          <w:p>
            <w:pPr>
              <w:pStyle w:val="17"/>
              <w:spacing w:before="246" w:line="226" w:lineRule="auto"/>
              <w:ind w:left="820"/>
              <w:rPr>
                <w:color w:val="auto"/>
                <w:sz w:val="20"/>
                <w:szCs w:val="20"/>
                <w:highlight w:val="none"/>
              </w:rPr>
            </w:pPr>
            <w:r>
              <w:rPr>
                <w:color w:val="auto"/>
                <w:spacing w:val="7"/>
                <w:sz w:val="20"/>
                <w:szCs w:val="20"/>
                <w:highlight w:val="none"/>
              </w:rPr>
              <w:t>最高投标限价</w:t>
            </w:r>
          </w:p>
        </w:tc>
        <w:tc>
          <w:tcPr>
            <w:tcW w:w="5020" w:type="dxa"/>
            <w:gridSpan w:val="2"/>
            <w:tcBorders>
              <w:right w:val="single" w:color="000000" w:sz="10" w:space="0"/>
            </w:tcBorders>
            <w:vAlign w:val="top"/>
          </w:tcPr>
          <w:p>
            <w:pPr>
              <w:pStyle w:val="17"/>
              <w:spacing w:before="112" w:line="228" w:lineRule="auto"/>
              <w:ind w:left="150"/>
              <w:rPr>
                <w:color w:val="auto"/>
                <w:sz w:val="20"/>
                <w:szCs w:val="20"/>
                <w:highlight w:val="none"/>
              </w:rPr>
            </w:pPr>
            <w:r>
              <w:rPr>
                <w:rFonts w:hint="eastAsia"/>
                <w:color w:val="auto"/>
                <w:spacing w:val="-5"/>
                <w:sz w:val="20"/>
                <w:szCs w:val="20"/>
                <w:highlight w:val="none"/>
                <w:lang w:eastAsia="zh-CN"/>
              </w:rPr>
              <w:t>□</w:t>
            </w:r>
            <w:r>
              <w:rPr>
                <w:color w:val="auto"/>
                <w:spacing w:val="-5"/>
                <w:sz w:val="20"/>
                <w:szCs w:val="20"/>
                <w:highlight w:val="none"/>
              </w:rPr>
              <w:t>无</w:t>
            </w:r>
          </w:p>
          <w:p>
            <w:pPr>
              <w:pStyle w:val="17"/>
              <w:spacing w:before="24" w:line="226" w:lineRule="auto"/>
              <w:ind w:left="150"/>
              <w:rPr>
                <w:rFonts w:hint="eastAsia" w:eastAsia="宋体"/>
                <w:color w:val="auto"/>
                <w:sz w:val="20"/>
                <w:szCs w:val="20"/>
                <w:highlight w:val="none"/>
                <w:lang w:eastAsia="zh-CN"/>
              </w:rPr>
            </w:pPr>
            <w:r>
              <w:rPr>
                <w:rFonts w:hint="eastAsia"/>
                <w:color w:val="auto"/>
                <w:spacing w:val="5"/>
                <w:sz w:val="20"/>
                <w:szCs w:val="20"/>
                <w:highlight w:val="none"/>
                <w:lang w:eastAsia="zh-CN"/>
              </w:rPr>
              <w:t>☑</w:t>
            </w:r>
            <w:r>
              <w:rPr>
                <w:color w:val="auto"/>
                <w:spacing w:val="5"/>
                <w:sz w:val="20"/>
                <w:szCs w:val="20"/>
                <w:highlight w:val="none"/>
              </w:rPr>
              <w:t>有，最高投标限价</w:t>
            </w:r>
            <w:r>
              <w:rPr>
                <w:color w:val="auto"/>
                <w:spacing w:val="-90"/>
                <w:sz w:val="20"/>
                <w:szCs w:val="20"/>
                <w:highlight w:val="none"/>
              </w:rPr>
              <w:t xml:space="preserve"> </w:t>
            </w:r>
            <w:r>
              <w:rPr>
                <w:color w:val="auto"/>
                <w:spacing w:val="4"/>
                <w:sz w:val="20"/>
                <w:szCs w:val="20"/>
                <w:highlight w:val="none"/>
                <w:u w:val="single" w:color="auto"/>
              </w:rPr>
              <w:t xml:space="preserve">  </w:t>
            </w:r>
            <w:r>
              <w:rPr>
                <w:rFonts w:hint="eastAsia"/>
                <w:color w:val="auto"/>
                <w:spacing w:val="4"/>
                <w:sz w:val="20"/>
                <w:szCs w:val="20"/>
                <w:highlight w:val="none"/>
                <w:u w:val="single" w:color="auto"/>
                <w:lang w:val="en-US" w:eastAsia="zh-CN"/>
              </w:rPr>
              <w:t>5410572.00</w:t>
            </w:r>
            <w:r>
              <w:rPr>
                <w:color w:val="auto"/>
                <w:spacing w:val="4"/>
                <w:sz w:val="20"/>
                <w:szCs w:val="20"/>
                <w:highlight w:val="none"/>
                <w:u w:val="single" w:color="auto"/>
              </w:rPr>
              <w:t xml:space="preserve"> </w:t>
            </w:r>
            <w:r>
              <w:rPr>
                <w:color w:val="auto"/>
                <w:spacing w:val="-87"/>
                <w:sz w:val="20"/>
                <w:szCs w:val="20"/>
                <w:highlight w:val="none"/>
              </w:rPr>
              <w:t xml:space="preserve"> </w:t>
            </w:r>
            <w:r>
              <w:rPr>
                <w:color w:val="auto"/>
                <w:spacing w:val="5"/>
                <w:sz w:val="20"/>
                <w:szCs w:val="20"/>
                <w:highlight w:val="none"/>
              </w:rPr>
              <w:t>元</w:t>
            </w:r>
            <w:r>
              <w:rPr>
                <w:rFonts w:hint="eastAsia"/>
                <w:color w:val="auto"/>
                <w:spacing w:val="5"/>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499" w:hRule="atLeast"/>
        </w:trPr>
        <w:tc>
          <w:tcPr>
            <w:tcW w:w="1075" w:type="dxa"/>
            <w:gridSpan w:val="2"/>
            <w:tcBorders>
              <w:left w:val="single" w:color="000000" w:sz="10" w:space="0"/>
            </w:tcBorders>
            <w:vAlign w:val="top"/>
          </w:tcPr>
          <w:p>
            <w:pPr>
              <w:pStyle w:val="17"/>
              <w:spacing w:before="184" w:line="189" w:lineRule="auto"/>
              <w:ind w:left="276"/>
              <w:rPr>
                <w:color w:val="auto"/>
                <w:sz w:val="20"/>
                <w:szCs w:val="20"/>
                <w:highlight w:val="none"/>
              </w:rPr>
            </w:pPr>
            <w:r>
              <w:rPr>
                <w:color w:val="auto"/>
                <w:spacing w:val="2"/>
                <w:sz w:val="20"/>
                <w:szCs w:val="20"/>
                <w:highlight w:val="none"/>
              </w:rPr>
              <w:t>3.2.9</w:t>
            </w:r>
          </w:p>
        </w:tc>
        <w:tc>
          <w:tcPr>
            <w:tcW w:w="2945" w:type="dxa"/>
            <w:gridSpan w:val="3"/>
            <w:vAlign w:val="top"/>
          </w:tcPr>
          <w:p>
            <w:pPr>
              <w:pStyle w:val="17"/>
              <w:spacing w:before="152" w:line="226" w:lineRule="auto"/>
              <w:ind w:left="506"/>
              <w:rPr>
                <w:color w:val="auto"/>
                <w:sz w:val="20"/>
                <w:szCs w:val="20"/>
                <w:highlight w:val="none"/>
              </w:rPr>
            </w:pPr>
            <w:r>
              <w:rPr>
                <w:color w:val="auto"/>
                <w:spacing w:val="8"/>
                <w:sz w:val="20"/>
                <w:szCs w:val="20"/>
                <w:highlight w:val="none"/>
              </w:rPr>
              <w:t>投标报价的其他要求</w:t>
            </w:r>
          </w:p>
        </w:tc>
        <w:tc>
          <w:tcPr>
            <w:tcW w:w="5020" w:type="dxa"/>
            <w:gridSpan w:val="2"/>
            <w:tcBorders>
              <w:right w:val="single" w:color="000000" w:sz="10" w:space="0"/>
            </w:tcBorders>
            <w:vAlign w:val="center"/>
          </w:tcPr>
          <w:p>
            <w:pPr>
              <w:jc w:val="center"/>
              <w:rPr>
                <w:rFonts w:hint="eastAsia" w:ascii="Arial"/>
                <w:color w:val="auto"/>
                <w:sz w:val="21"/>
                <w:highlight w:val="none"/>
              </w:rPr>
            </w:pPr>
            <w:r>
              <w:rPr>
                <w:rFonts w:hint="eastAsia" w:ascii="Arial"/>
                <w:color w:val="auto"/>
                <w:sz w:val="21"/>
                <w:highlight w:val="none"/>
              </w:rPr>
              <w:t>本工程的投标报价和中标后的结算一律采用人民币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502" w:hRule="atLeast"/>
        </w:trPr>
        <w:tc>
          <w:tcPr>
            <w:tcW w:w="1075" w:type="dxa"/>
            <w:gridSpan w:val="2"/>
            <w:tcBorders>
              <w:left w:val="single" w:color="000000" w:sz="10" w:space="0"/>
            </w:tcBorders>
            <w:vAlign w:val="top"/>
          </w:tcPr>
          <w:p>
            <w:pPr>
              <w:pStyle w:val="17"/>
              <w:spacing w:before="186" w:line="190" w:lineRule="auto"/>
              <w:ind w:left="276"/>
              <w:rPr>
                <w:color w:val="auto"/>
                <w:sz w:val="20"/>
                <w:szCs w:val="20"/>
                <w:highlight w:val="none"/>
              </w:rPr>
            </w:pPr>
            <w:r>
              <w:rPr>
                <w:color w:val="auto"/>
                <w:spacing w:val="2"/>
                <w:sz w:val="20"/>
                <w:szCs w:val="20"/>
                <w:highlight w:val="none"/>
              </w:rPr>
              <w:t>3.3.1</w:t>
            </w:r>
          </w:p>
        </w:tc>
        <w:tc>
          <w:tcPr>
            <w:tcW w:w="2945" w:type="dxa"/>
            <w:gridSpan w:val="3"/>
            <w:vAlign w:val="top"/>
          </w:tcPr>
          <w:p>
            <w:pPr>
              <w:pStyle w:val="17"/>
              <w:spacing w:before="154" w:line="228" w:lineRule="auto"/>
              <w:ind w:left="926"/>
              <w:rPr>
                <w:color w:val="auto"/>
                <w:sz w:val="20"/>
                <w:szCs w:val="20"/>
                <w:highlight w:val="none"/>
              </w:rPr>
            </w:pPr>
            <w:r>
              <w:rPr>
                <w:color w:val="auto"/>
                <w:spacing w:val="7"/>
                <w:sz w:val="20"/>
                <w:szCs w:val="20"/>
                <w:highlight w:val="none"/>
              </w:rPr>
              <w:t>投标有效期</w:t>
            </w:r>
          </w:p>
        </w:tc>
        <w:tc>
          <w:tcPr>
            <w:tcW w:w="5020" w:type="dxa"/>
            <w:gridSpan w:val="2"/>
            <w:tcBorders>
              <w:right w:val="single" w:color="000000" w:sz="10" w:space="0"/>
            </w:tcBorders>
            <w:vAlign w:val="center"/>
          </w:tcPr>
          <w:p>
            <w:pPr>
              <w:pStyle w:val="17"/>
              <w:spacing w:before="154" w:line="228" w:lineRule="auto"/>
              <w:ind w:left="163"/>
              <w:jc w:val="center"/>
              <w:rPr>
                <w:color w:val="auto"/>
                <w:sz w:val="20"/>
                <w:szCs w:val="20"/>
                <w:highlight w:val="none"/>
              </w:rPr>
            </w:pPr>
            <w:r>
              <w:rPr>
                <w:color w:val="auto"/>
                <w:spacing w:val="7"/>
                <w:sz w:val="20"/>
                <w:szCs w:val="20"/>
                <w:highlight w:val="none"/>
              </w:rPr>
              <w:t>自投标人提交投标文件截止之日起计算</w:t>
            </w:r>
            <w:r>
              <w:rPr>
                <w:rFonts w:hint="eastAsia"/>
                <w:color w:val="auto"/>
                <w:spacing w:val="7"/>
                <w:sz w:val="20"/>
                <w:szCs w:val="20"/>
                <w:highlight w:val="none"/>
                <w:lang w:val="en-US" w:eastAsia="zh-CN"/>
              </w:rPr>
              <w:t>120</w:t>
            </w:r>
            <w:r>
              <w:rPr>
                <w:color w:val="auto"/>
                <w:spacing w:val="7"/>
                <w:sz w:val="20"/>
                <w:szCs w:val="20"/>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2255" w:hRule="atLeast"/>
        </w:trPr>
        <w:tc>
          <w:tcPr>
            <w:tcW w:w="1075" w:type="dxa"/>
            <w:gridSpan w:val="2"/>
            <w:tcBorders>
              <w:left w:val="single" w:color="000000" w:sz="10" w:space="0"/>
              <w:bottom w:val="single" w:color="000000" w:sz="10" w:space="0"/>
            </w:tcBorders>
            <w:vAlign w:val="top"/>
          </w:tcPr>
          <w:p>
            <w:pPr>
              <w:spacing w:line="246"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pStyle w:val="17"/>
              <w:spacing w:before="65" w:line="190" w:lineRule="auto"/>
              <w:ind w:left="276"/>
              <w:rPr>
                <w:color w:val="auto"/>
                <w:sz w:val="20"/>
                <w:szCs w:val="20"/>
                <w:highlight w:val="none"/>
              </w:rPr>
            </w:pPr>
            <w:r>
              <w:rPr>
                <w:color w:val="auto"/>
                <w:spacing w:val="2"/>
                <w:sz w:val="20"/>
                <w:szCs w:val="20"/>
                <w:highlight w:val="none"/>
              </w:rPr>
              <w:t>3.4.1</w:t>
            </w:r>
          </w:p>
        </w:tc>
        <w:tc>
          <w:tcPr>
            <w:tcW w:w="2945" w:type="dxa"/>
            <w:gridSpan w:val="3"/>
            <w:tcBorders>
              <w:bottom w:val="single" w:color="000000" w:sz="10" w:space="0"/>
            </w:tcBorders>
            <w:vAlign w:val="top"/>
          </w:tcPr>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pStyle w:val="17"/>
              <w:spacing w:before="65" w:line="228" w:lineRule="auto"/>
              <w:ind w:left="926"/>
              <w:rPr>
                <w:color w:val="auto"/>
                <w:sz w:val="20"/>
                <w:szCs w:val="20"/>
                <w:highlight w:val="none"/>
              </w:rPr>
            </w:pPr>
            <w:r>
              <w:rPr>
                <w:color w:val="auto"/>
                <w:spacing w:val="7"/>
                <w:sz w:val="20"/>
                <w:szCs w:val="20"/>
                <w:highlight w:val="none"/>
              </w:rPr>
              <w:t>投标保证金</w:t>
            </w:r>
          </w:p>
        </w:tc>
        <w:tc>
          <w:tcPr>
            <w:tcW w:w="5020" w:type="dxa"/>
            <w:gridSpan w:val="2"/>
            <w:tcBorders>
              <w:bottom w:val="single" w:color="000000" w:sz="10" w:space="0"/>
              <w:right w:val="single" w:color="000000" w:sz="10" w:space="0"/>
            </w:tcBorders>
            <w:vAlign w:val="top"/>
          </w:tcPr>
          <w:p>
            <w:pPr>
              <w:spacing w:line="250" w:lineRule="auto"/>
              <w:rPr>
                <w:rFonts w:ascii="Arial"/>
                <w:color w:val="auto"/>
                <w:sz w:val="21"/>
                <w:highlight w:val="none"/>
              </w:rPr>
            </w:pPr>
          </w:p>
          <w:p>
            <w:pPr>
              <w:pStyle w:val="17"/>
              <w:spacing w:before="72" w:line="262" w:lineRule="auto"/>
              <w:ind w:left="150" w:right="54" w:hanging="22"/>
              <w:rPr>
                <w:rFonts w:hint="eastAsia"/>
                <w:color w:val="auto"/>
                <w:sz w:val="20"/>
                <w:szCs w:val="20"/>
                <w:highlight w:val="none"/>
              </w:rPr>
            </w:pPr>
            <w:r>
              <w:rPr>
                <w:rFonts w:hint="eastAsia"/>
                <w:color w:val="auto"/>
                <w:sz w:val="20"/>
                <w:szCs w:val="20"/>
                <w:highlight w:val="none"/>
              </w:rPr>
              <w:t>投标保证金的形式：■转账（不接受现金交纳）</w:t>
            </w:r>
          </w:p>
          <w:p>
            <w:pPr>
              <w:pStyle w:val="17"/>
              <w:spacing w:before="72" w:line="262" w:lineRule="auto"/>
              <w:ind w:left="150" w:right="54" w:hanging="22"/>
              <w:rPr>
                <w:rFonts w:hint="eastAsia"/>
                <w:color w:val="auto"/>
                <w:sz w:val="20"/>
                <w:szCs w:val="20"/>
                <w:highlight w:val="none"/>
              </w:rPr>
            </w:pPr>
            <w:r>
              <w:rPr>
                <w:rFonts w:hint="eastAsia"/>
                <w:color w:val="auto"/>
                <w:sz w:val="20"/>
                <w:szCs w:val="20"/>
                <w:highlight w:val="none"/>
              </w:rPr>
              <w:t>■银行保函 ■保证保险 ■融资担保公司保函</w:t>
            </w:r>
          </w:p>
          <w:p>
            <w:pPr>
              <w:pStyle w:val="17"/>
              <w:spacing w:before="72" w:line="262" w:lineRule="auto"/>
              <w:ind w:left="150" w:right="54" w:hanging="22"/>
              <w:rPr>
                <w:rFonts w:hint="eastAsia"/>
                <w:color w:val="auto"/>
                <w:sz w:val="20"/>
                <w:szCs w:val="20"/>
                <w:highlight w:val="none"/>
              </w:rPr>
            </w:pPr>
            <w:r>
              <w:rPr>
                <w:rFonts w:hint="eastAsia"/>
                <w:color w:val="auto"/>
                <w:sz w:val="20"/>
                <w:szCs w:val="20"/>
                <w:highlight w:val="none"/>
              </w:rPr>
              <w:t>本招标项目的投标保证金金额为</w:t>
            </w:r>
            <w:r>
              <w:rPr>
                <w:rFonts w:hint="eastAsia"/>
                <w:color w:val="auto"/>
                <w:sz w:val="20"/>
                <w:szCs w:val="20"/>
                <w:highlight w:val="none"/>
                <w:lang w:val="en-US" w:eastAsia="zh-CN"/>
              </w:rPr>
              <w:t>108000</w:t>
            </w:r>
            <w:r>
              <w:rPr>
                <w:rFonts w:hint="eastAsia"/>
                <w:color w:val="auto"/>
                <w:sz w:val="20"/>
                <w:szCs w:val="20"/>
                <w:highlight w:val="none"/>
              </w:rPr>
              <w:t>元人民币（大写：</w:t>
            </w:r>
            <w:r>
              <w:rPr>
                <w:rFonts w:hint="eastAsia"/>
                <w:color w:val="auto"/>
                <w:sz w:val="20"/>
                <w:szCs w:val="20"/>
                <w:highlight w:val="none"/>
                <w:lang w:val="en-US" w:eastAsia="zh-CN"/>
              </w:rPr>
              <w:t>壹拾万捌仟元整</w:t>
            </w:r>
            <w:r>
              <w:rPr>
                <w:rFonts w:hint="eastAsia"/>
                <w:color w:val="auto"/>
                <w:sz w:val="20"/>
                <w:szCs w:val="20"/>
                <w:highlight w:val="none"/>
              </w:rPr>
              <w:t>）。</w:t>
            </w:r>
          </w:p>
          <w:p>
            <w:pPr>
              <w:pStyle w:val="17"/>
              <w:spacing w:before="72" w:line="262" w:lineRule="auto"/>
              <w:ind w:left="150" w:right="54" w:hanging="22"/>
              <w:rPr>
                <w:rFonts w:hint="eastAsia"/>
                <w:color w:val="auto"/>
                <w:sz w:val="20"/>
                <w:szCs w:val="20"/>
                <w:highlight w:val="none"/>
              </w:rPr>
            </w:pPr>
            <w:r>
              <w:rPr>
                <w:rFonts w:hint="eastAsia"/>
                <w:color w:val="auto"/>
                <w:sz w:val="20"/>
                <w:szCs w:val="20"/>
                <w:highlight w:val="none"/>
              </w:rPr>
              <w:t>一、采用转账形式</w:t>
            </w:r>
          </w:p>
          <w:p>
            <w:pPr>
              <w:pStyle w:val="17"/>
              <w:spacing w:before="72" w:line="262" w:lineRule="auto"/>
              <w:ind w:left="150" w:right="54" w:hanging="22"/>
              <w:rPr>
                <w:rFonts w:hint="eastAsia"/>
                <w:color w:val="auto"/>
                <w:sz w:val="20"/>
                <w:szCs w:val="20"/>
                <w:highlight w:val="none"/>
              </w:rPr>
            </w:pPr>
            <w:r>
              <w:rPr>
                <w:rFonts w:hint="eastAsia"/>
                <w:color w:val="auto"/>
                <w:sz w:val="20"/>
                <w:szCs w:val="20"/>
                <w:highlight w:val="none"/>
              </w:rPr>
              <w:t>投标人（如为联合体，则指联合牵头人）应登录广州公共资源交易中心网（http://www.gzggzy.cn/），在该项目截标时间前，将其投标保证金从本企业银行基本账户转入广州公共资源交易中心保证金专户，缴纳保证金具体要求详见广州公共资源交易中心通知公告栏“广州公共资源交易中心关于投标项目保证金操作指引的说明”或向广州公共资源交易中心咨询。</w:t>
            </w:r>
          </w:p>
          <w:p>
            <w:pPr>
              <w:pStyle w:val="17"/>
              <w:spacing w:before="72" w:line="262" w:lineRule="auto"/>
              <w:ind w:left="150" w:right="54" w:hanging="22"/>
              <w:rPr>
                <w:color w:val="auto"/>
                <w:sz w:val="20"/>
                <w:szCs w:val="20"/>
                <w:highlight w:val="none"/>
              </w:rPr>
            </w:pPr>
            <w:r>
              <w:rPr>
                <w:rFonts w:hint="eastAsia"/>
                <w:color w:val="auto"/>
                <w:sz w:val="20"/>
                <w:szCs w:val="20"/>
                <w:highlight w:val="none"/>
              </w:rPr>
              <w:t>账户名称：广州交易集团有限公司</w:t>
            </w:r>
          </w:p>
          <w:p>
            <w:pPr>
              <w:pStyle w:val="17"/>
              <w:spacing w:before="72" w:line="262" w:lineRule="auto"/>
              <w:ind w:left="150" w:right="54" w:hanging="22"/>
              <w:rPr>
                <w:rFonts w:hint="eastAsia"/>
                <w:color w:val="auto"/>
                <w:sz w:val="20"/>
                <w:szCs w:val="20"/>
                <w:highlight w:val="none"/>
              </w:rPr>
            </w:pPr>
            <w:r>
              <w:rPr>
                <w:rFonts w:hint="eastAsia"/>
                <w:color w:val="auto"/>
                <w:sz w:val="20"/>
                <w:szCs w:val="20"/>
                <w:highlight w:val="none"/>
              </w:rPr>
              <w:t>开户银行：建行天润路支行</w:t>
            </w:r>
          </w:p>
          <w:p>
            <w:pPr>
              <w:pStyle w:val="17"/>
              <w:spacing w:before="72" w:line="262" w:lineRule="auto"/>
              <w:ind w:left="150" w:right="54" w:hanging="22"/>
              <w:rPr>
                <w:rFonts w:hint="eastAsia"/>
                <w:color w:val="auto"/>
                <w:sz w:val="20"/>
                <w:szCs w:val="20"/>
                <w:highlight w:val="none"/>
              </w:rPr>
            </w:pPr>
            <w:r>
              <w:rPr>
                <w:rFonts w:hint="eastAsia"/>
                <w:color w:val="auto"/>
                <w:sz w:val="20"/>
                <w:szCs w:val="20"/>
                <w:highlight w:val="none"/>
              </w:rPr>
              <w:t>账    号：44001583404059333333</w:t>
            </w:r>
          </w:p>
          <w:p>
            <w:pPr>
              <w:pStyle w:val="17"/>
              <w:spacing w:before="72" w:line="262" w:lineRule="auto"/>
              <w:ind w:left="150" w:right="54" w:hanging="22"/>
              <w:rPr>
                <w:rFonts w:hint="eastAsia"/>
                <w:color w:val="auto"/>
                <w:sz w:val="20"/>
                <w:szCs w:val="20"/>
                <w:highlight w:val="none"/>
              </w:rPr>
            </w:pPr>
            <w:r>
              <w:rPr>
                <w:rFonts w:hint="eastAsia"/>
                <w:color w:val="auto"/>
                <w:sz w:val="20"/>
                <w:szCs w:val="20"/>
                <w:highlight w:val="none"/>
              </w:rPr>
              <w:t>财务负责人联系方式：020-28866000-4-0</w:t>
            </w:r>
          </w:p>
          <w:p>
            <w:pPr>
              <w:pStyle w:val="17"/>
              <w:spacing w:before="72" w:line="262" w:lineRule="auto"/>
              <w:ind w:left="150" w:right="54" w:hanging="22"/>
              <w:rPr>
                <w:rFonts w:hint="eastAsia"/>
                <w:color w:val="auto"/>
                <w:sz w:val="20"/>
                <w:szCs w:val="20"/>
                <w:highlight w:val="none"/>
              </w:rPr>
            </w:pPr>
            <w:r>
              <w:rPr>
                <w:rFonts w:hint="eastAsia"/>
                <w:color w:val="auto"/>
                <w:sz w:val="20"/>
                <w:szCs w:val="20"/>
                <w:highlight w:val="none"/>
              </w:rPr>
              <w:t>在开标会现场，投标人（如为联合体，则指联合牵头人）须单独提交其已加盖本企业公章的本企业基本账户开户许可证复印件（或已加盖本企业公章的本企业基本存款账户信息证明材料）。（经现场确认，投标人有下列情形之一，一律按照未能提交投标保证金处理，视为投标人自动放弃投标资格：（1）投标人不能在开标会现场单独提交其已加盖本企业公章的本企业基本账户开户许可证复印件的（或已加盖本企业公章的本企业基本存款账户信息证明材料）；（2）投标人的投标保证金不是从本企业银行基本账户转入，而是从本企业非银行基本账户或其分支机构或其他单位银行账户转入的；（3）投标人未按照招标文件指定的账户转入本项目的投标保证金的；（4）投标人未按照招标文件规定的金额或时间转入本项目的投标保证金的。）</w:t>
            </w:r>
          </w:p>
          <w:p>
            <w:pPr>
              <w:pStyle w:val="17"/>
              <w:spacing w:before="72" w:line="262" w:lineRule="auto"/>
              <w:ind w:left="150" w:right="54" w:hanging="22"/>
              <w:rPr>
                <w:rFonts w:hint="eastAsia"/>
                <w:color w:val="auto"/>
                <w:sz w:val="20"/>
                <w:szCs w:val="20"/>
                <w:highlight w:val="none"/>
              </w:rPr>
            </w:pPr>
            <w:r>
              <w:rPr>
                <w:rFonts w:hint="eastAsia"/>
                <w:color w:val="auto"/>
                <w:sz w:val="20"/>
                <w:szCs w:val="20"/>
                <w:highlight w:val="none"/>
              </w:rPr>
              <w:t>注：1、本招标项目投标保证金提交情况以系统平台显示的投标保证金信息为准。</w:t>
            </w:r>
          </w:p>
          <w:p>
            <w:pPr>
              <w:pStyle w:val="17"/>
              <w:spacing w:before="72" w:line="262" w:lineRule="auto"/>
              <w:ind w:left="150" w:right="54" w:hanging="22"/>
              <w:rPr>
                <w:rFonts w:hint="eastAsia"/>
                <w:color w:val="auto"/>
                <w:sz w:val="20"/>
                <w:szCs w:val="20"/>
                <w:highlight w:val="none"/>
              </w:rPr>
            </w:pPr>
            <w:r>
              <w:rPr>
                <w:rFonts w:hint="eastAsia"/>
                <w:color w:val="auto"/>
                <w:sz w:val="20"/>
                <w:szCs w:val="20"/>
                <w:highlight w:val="none"/>
              </w:rPr>
              <w:t>二、采用银行保函或保证保险或融资担保公司保函方式</w:t>
            </w:r>
          </w:p>
          <w:p>
            <w:pPr>
              <w:pStyle w:val="17"/>
              <w:spacing w:before="72" w:line="262" w:lineRule="auto"/>
              <w:ind w:left="150" w:right="54" w:hanging="22"/>
              <w:rPr>
                <w:rFonts w:hint="eastAsia"/>
                <w:color w:val="auto"/>
                <w:sz w:val="20"/>
                <w:szCs w:val="20"/>
                <w:highlight w:val="none"/>
              </w:rPr>
            </w:pPr>
            <w:r>
              <w:rPr>
                <w:rFonts w:hint="eastAsia"/>
                <w:color w:val="auto"/>
                <w:sz w:val="20"/>
                <w:szCs w:val="20"/>
                <w:highlight w:val="none"/>
              </w:rPr>
              <w:t>采用银行保函或保证保险或融资担保公司保函方式的，投标人应在开标会现场提交本项目投标保函（保单）原件。</w:t>
            </w:r>
          </w:p>
          <w:p>
            <w:pPr>
              <w:pStyle w:val="17"/>
              <w:spacing w:before="72" w:line="262" w:lineRule="auto"/>
              <w:ind w:left="150" w:right="54" w:hanging="22"/>
              <w:rPr>
                <w:rFonts w:hint="eastAsia"/>
                <w:color w:val="auto"/>
                <w:sz w:val="20"/>
                <w:szCs w:val="20"/>
                <w:highlight w:val="none"/>
              </w:rPr>
            </w:pPr>
            <w:r>
              <w:rPr>
                <w:rFonts w:hint="eastAsia"/>
                <w:color w:val="auto"/>
                <w:sz w:val="20"/>
                <w:szCs w:val="20"/>
                <w:highlight w:val="none"/>
              </w:rPr>
              <w:t>银行保函或保证保险或融资担保公司保函的原件应在递交投标文件时单独另行提交（不需密封）。</w:t>
            </w:r>
          </w:p>
          <w:p>
            <w:pPr>
              <w:pStyle w:val="17"/>
              <w:numPr>
                <w:ilvl w:val="0"/>
                <w:numId w:val="4"/>
              </w:numPr>
              <w:spacing w:before="72" w:line="262" w:lineRule="auto"/>
              <w:ind w:left="150" w:right="54" w:hanging="22"/>
              <w:rPr>
                <w:rFonts w:hint="eastAsia"/>
                <w:color w:val="auto"/>
                <w:highlight w:val="none"/>
              </w:rPr>
            </w:pPr>
            <w:r>
              <w:rPr>
                <w:rFonts w:hint="eastAsia"/>
                <w:color w:val="auto"/>
                <w:sz w:val="20"/>
                <w:szCs w:val="20"/>
                <w:highlight w:val="none"/>
              </w:rPr>
              <w:t>采用电子形式的保函、担保或保证保险提交投标保证金的，开具及递交以广州公共资源交易中心的相关操作指引为准。</w:t>
            </w:r>
          </w:p>
          <w:p>
            <w:pPr>
              <w:pStyle w:val="17"/>
              <w:numPr>
                <w:ilvl w:val="0"/>
                <w:numId w:val="0"/>
              </w:numPr>
              <w:spacing w:before="72" w:line="262" w:lineRule="auto"/>
              <w:ind w:left="128" w:leftChars="0" w:right="54" w:rightChars="0"/>
              <w:rPr>
                <w:rFonts w:hint="eastAsia"/>
                <w:color w:val="auto"/>
                <w:highlight w:val="none"/>
              </w:rPr>
            </w:pPr>
            <w:r>
              <w:rPr>
                <w:rFonts w:hint="eastAsia"/>
                <w:color w:val="auto"/>
                <w:sz w:val="20"/>
                <w:szCs w:val="20"/>
                <w:highlight w:val="none"/>
              </w:rPr>
              <w:t>（友好提醒：因与银行系统对接会需要一定时间，请投标人自行考虑其所需时间，尽早完成缴纳投标保证金的手续，耽误投标保证金到账时间，其后果由投标人承担。）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1701" w:hRule="atLeast"/>
        </w:trPr>
        <w:tc>
          <w:tcPr>
            <w:tcW w:w="1075" w:type="dxa"/>
            <w:gridSpan w:val="2"/>
            <w:tcBorders>
              <w:top w:val="single" w:color="000000" w:sz="10" w:space="0"/>
              <w:left w:val="single" w:color="000000" w:sz="10" w:space="0"/>
            </w:tcBorders>
            <w:vAlign w:val="center"/>
          </w:tcPr>
          <w:p>
            <w:pPr>
              <w:spacing w:line="271" w:lineRule="auto"/>
              <w:jc w:val="both"/>
              <w:rPr>
                <w:rFonts w:ascii="Arial"/>
                <w:color w:val="auto"/>
                <w:sz w:val="21"/>
                <w:highlight w:val="none"/>
              </w:rPr>
            </w:pPr>
          </w:p>
          <w:p>
            <w:pPr>
              <w:pStyle w:val="17"/>
              <w:spacing w:before="65" w:line="189" w:lineRule="auto"/>
              <w:ind w:left="276"/>
              <w:jc w:val="center"/>
              <w:rPr>
                <w:color w:val="auto"/>
                <w:sz w:val="20"/>
                <w:szCs w:val="20"/>
                <w:highlight w:val="none"/>
              </w:rPr>
            </w:pPr>
            <w:r>
              <w:rPr>
                <w:color w:val="auto"/>
                <w:spacing w:val="2"/>
                <w:sz w:val="20"/>
                <w:szCs w:val="20"/>
                <w:highlight w:val="none"/>
              </w:rPr>
              <w:t>3.4.3</w:t>
            </w:r>
          </w:p>
        </w:tc>
        <w:tc>
          <w:tcPr>
            <w:tcW w:w="2945" w:type="dxa"/>
            <w:gridSpan w:val="3"/>
            <w:tcBorders>
              <w:top w:val="single" w:color="000000" w:sz="10" w:space="0"/>
            </w:tcBorders>
            <w:vAlign w:val="center"/>
          </w:tcPr>
          <w:p>
            <w:pPr>
              <w:spacing w:line="267" w:lineRule="auto"/>
              <w:jc w:val="both"/>
              <w:rPr>
                <w:rFonts w:ascii="Arial"/>
                <w:color w:val="auto"/>
                <w:sz w:val="21"/>
                <w:highlight w:val="none"/>
              </w:rPr>
            </w:pPr>
          </w:p>
          <w:p>
            <w:pPr>
              <w:pStyle w:val="17"/>
              <w:spacing w:before="65" w:line="228" w:lineRule="auto"/>
              <w:ind w:left="191"/>
              <w:jc w:val="center"/>
              <w:rPr>
                <w:color w:val="auto"/>
                <w:sz w:val="20"/>
                <w:szCs w:val="20"/>
                <w:highlight w:val="none"/>
              </w:rPr>
            </w:pPr>
            <w:r>
              <w:rPr>
                <w:color w:val="auto"/>
                <w:spacing w:val="8"/>
                <w:sz w:val="20"/>
                <w:szCs w:val="20"/>
                <w:highlight w:val="none"/>
              </w:rPr>
              <w:t>投标保证金的利息计算原则</w:t>
            </w:r>
          </w:p>
        </w:tc>
        <w:tc>
          <w:tcPr>
            <w:tcW w:w="5020" w:type="dxa"/>
            <w:gridSpan w:val="2"/>
            <w:tcBorders>
              <w:top w:val="single" w:color="000000" w:sz="10" w:space="0"/>
              <w:right w:val="single" w:color="000000" w:sz="10" w:space="0"/>
            </w:tcBorders>
            <w:vAlign w:val="top"/>
          </w:tcPr>
          <w:p>
            <w:pPr>
              <w:pStyle w:val="17"/>
              <w:spacing w:before="23" w:line="239" w:lineRule="auto"/>
              <w:ind w:left="131" w:right="208" w:firstLine="7"/>
              <w:rPr>
                <w:color w:val="auto"/>
                <w:sz w:val="20"/>
                <w:szCs w:val="20"/>
                <w:highlight w:val="none"/>
              </w:rPr>
            </w:pPr>
            <w:r>
              <w:rPr>
                <w:color w:val="auto"/>
                <w:spacing w:val="9"/>
                <w:sz w:val="20"/>
                <w:szCs w:val="20"/>
                <w:highlight w:val="none"/>
              </w:rPr>
              <w:t>（1）计算利息的起始日期为投标截止当日</w:t>
            </w:r>
            <w:r>
              <w:rPr>
                <w:color w:val="auto"/>
                <w:spacing w:val="8"/>
                <w:sz w:val="20"/>
                <w:szCs w:val="20"/>
                <w:highlight w:val="none"/>
              </w:rPr>
              <w:t>，终止日</w:t>
            </w:r>
            <w:r>
              <w:rPr>
                <w:color w:val="auto"/>
                <w:sz w:val="20"/>
                <w:szCs w:val="20"/>
                <w:highlight w:val="none"/>
              </w:rPr>
              <w:t xml:space="preserve"> </w:t>
            </w:r>
            <w:r>
              <w:rPr>
                <w:color w:val="auto"/>
                <w:spacing w:val="6"/>
                <w:sz w:val="20"/>
                <w:szCs w:val="20"/>
                <w:highlight w:val="none"/>
              </w:rPr>
              <w:t>期为招标人退还投标保证金日期的前一</w:t>
            </w:r>
            <w:r>
              <w:rPr>
                <w:color w:val="auto"/>
                <w:spacing w:val="-48"/>
                <w:sz w:val="20"/>
                <w:szCs w:val="20"/>
                <w:highlight w:val="none"/>
              </w:rPr>
              <w:t xml:space="preserve"> </w:t>
            </w:r>
            <w:r>
              <w:rPr>
                <w:color w:val="auto"/>
                <w:spacing w:val="6"/>
                <w:sz w:val="20"/>
                <w:szCs w:val="20"/>
                <w:highlight w:val="none"/>
              </w:rPr>
              <w:t>日；</w:t>
            </w:r>
          </w:p>
          <w:p>
            <w:pPr>
              <w:pStyle w:val="17"/>
              <w:spacing w:before="24" w:line="244" w:lineRule="auto"/>
              <w:ind w:left="129" w:right="154" w:firstLine="9"/>
              <w:rPr>
                <w:color w:val="auto"/>
                <w:sz w:val="20"/>
                <w:szCs w:val="20"/>
                <w:highlight w:val="none"/>
              </w:rPr>
            </w:pPr>
            <w:r>
              <w:rPr>
                <w:color w:val="auto"/>
                <w:spacing w:val="8"/>
                <w:sz w:val="20"/>
                <w:szCs w:val="20"/>
                <w:highlight w:val="none"/>
              </w:rPr>
              <w:t>（2）投标保证金的利息按照第（1)款所述计息时间</w:t>
            </w:r>
            <w:r>
              <w:rPr>
                <w:color w:val="auto"/>
                <w:spacing w:val="12"/>
                <w:sz w:val="20"/>
                <w:szCs w:val="20"/>
                <w:highlight w:val="none"/>
              </w:rPr>
              <w:t xml:space="preserve"> </w:t>
            </w:r>
            <w:r>
              <w:rPr>
                <w:color w:val="auto"/>
                <w:spacing w:val="7"/>
                <w:sz w:val="20"/>
                <w:szCs w:val="20"/>
                <w:highlight w:val="none"/>
              </w:rPr>
              <w:t>段内招标人指定汇入银行公告的活期存款利率计付，</w:t>
            </w:r>
            <w:r>
              <w:rPr>
                <w:color w:val="auto"/>
                <w:spacing w:val="6"/>
                <w:sz w:val="20"/>
                <w:szCs w:val="20"/>
                <w:highlight w:val="none"/>
              </w:rPr>
              <w:t xml:space="preserve"> </w:t>
            </w:r>
            <w:r>
              <w:rPr>
                <w:color w:val="auto"/>
                <w:spacing w:val="8"/>
                <w:sz w:val="20"/>
                <w:szCs w:val="20"/>
                <w:highlight w:val="none"/>
              </w:rPr>
              <w:t>并扣除招标人汇款手续费；</w:t>
            </w:r>
          </w:p>
          <w:p>
            <w:pPr>
              <w:pStyle w:val="17"/>
              <w:spacing w:before="26" w:line="228" w:lineRule="auto"/>
              <w:ind w:left="139"/>
              <w:rPr>
                <w:color w:val="auto"/>
                <w:sz w:val="20"/>
                <w:szCs w:val="20"/>
                <w:highlight w:val="none"/>
              </w:rPr>
            </w:pPr>
            <w:r>
              <w:rPr>
                <w:color w:val="auto"/>
                <w:spacing w:val="8"/>
                <w:sz w:val="20"/>
                <w:szCs w:val="20"/>
                <w:highlight w:val="none"/>
              </w:rPr>
              <w:t>（3）利息金额计算至分位，分以下尾数四舍五入；</w:t>
            </w:r>
          </w:p>
          <w:p>
            <w:pPr>
              <w:pStyle w:val="17"/>
              <w:spacing w:before="8" w:line="248" w:lineRule="auto"/>
              <w:ind w:right="208"/>
              <w:rPr>
                <w:color w:val="auto"/>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1759" w:hRule="atLeast"/>
        </w:trPr>
        <w:tc>
          <w:tcPr>
            <w:tcW w:w="1075" w:type="dxa"/>
            <w:gridSpan w:val="2"/>
            <w:tcBorders>
              <w:left w:val="single" w:color="000000" w:sz="10" w:space="0"/>
            </w:tcBorders>
            <w:vAlign w:val="top"/>
          </w:tcPr>
          <w:p>
            <w:pPr>
              <w:spacing w:line="248"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pStyle w:val="17"/>
              <w:spacing w:before="65" w:line="189" w:lineRule="auto"/>
              <w:ind w:left="276"/>
              <w:rPr>
                <w:color w:val="auto"/>
                <w:sz w:val="20"/>
                <w:szCs w:val="20"/>
                <w:highlight w:val="none"/>
              </w:rPr>
            </w:pPr>
            <w:r>
              <w:rPr>
                <w:color w:val="auto"/>
                <w:spacing w:val="2"/>
                <w:sz w:val="20"/>
                <w:szCs w:val="20"/>
                <w:highlight w:val="none"/>
              </w:rPr>
              <w:t>3.4.4</w:t>
            </w:r>
          </w:p>
        </w:tc>
        <w:tc>
          <w:tcPr>
            <w:tcW w:w="2945" w:type="dxa"/>
            <w:gridSpan w:val="3"/>
            <w:vAlign w:val="top"/>
          </w:tcPr>
          <w:p>
            <w:pPr>
              <w:spacing w:line="290" w:lineRule="auto"/>
              <w:rPr>
                <w:rFonts w:ascii="Arial"/>
                <w:color w:val="auto"/>
                <w:sz w:val="21"/>
                <w:highlight w:val="none"/>
              </w:rPr>
            </w:pPr>
          </w:p>
          <w:p>
            <w:pPr>
              <w:spacing w:line="291" w:lineRule="auto"/>
              <w:rPr>
                <w:rFonts w:ascii="Arial"/>
                <w:color w:val="auto"/>
                <w:sz w:val="21"/>
                <w:highlight w:val="none"/>
              </w:rPr>
            </w:pPr>
          </w:p>
          <w:p>
            <w:pPr>
              <w:pStyle w:val="17"/>
              <w:spacing w:before="65" w:line="239" w:lineRule="auto"/>
              <w:ind w:left="1029" w:right="193" w:hanging="840"/>
              <w:rPr>
                <w:color w:val="auto"/>
                <w:sz w:val="20"/>
                <w:szCs w:val="20"/>
                <w:highlight w:val="none"/>
              </w:rPr>
            </w:pPr>
            <w:r>
              <w:rPr>
                <w:color w:val="auto"/>
                <w:spacing w:val="9"/>
                <w:sz w:val="20"/>
                <w:szCs w:val="20"/>
                <w:highlight w:val="none"/>
              </w:rPr>
              <w:t>其他可以不予退还投标保证</w:t>
            </w:r>
            <w:r>
              <w:rPr>
                <w:color w:val="auto"/>
                <w:sz w:val="20"/>
                <w:szCs w:val="20"/>
                <w:highlight w:val="none"/>
              </w:rPr>
              <w:t xml:space="preserve"> </w:t>
            </w:r>
            <w:r>
              <w:rPr>
                <w:color w:val="auto"/>
                <w:spacing w:val="6"/>
                <w:sz w:val="20"/>
                <w:szCs w:val="20"/>
                <w:highlight w:val="none"/>
              </w:rPr>
              <w:t>金的情形</w:t>
            </w:r>
          </w:p>
        </w:tc>
        <w:tc>
          <w:tcPr>
            <w:tcW w:w="5020" w:type="dxa"/>
            <w:gridSpan w:val="2"/>
            <w:tcBorders>
              <w:right w:val="single" w:color="000000" w:sz="10" w:space="0"/>
            </w:tcBorders>
            <w:vAlign w:val="top"/>
          </w:tcPr>
          <w:p>
            <w:pPr>
              <w:pStyle w:val="17"/>
              <w:spacing w:before="104" w:line="228" w:lineRule="auto"/>
              <w:ind w:left="139"/>
              <w:rPr>
                <w:color w:val="auto"/>
                <w:sz w:val="20"/>
                <w:szCs w:val="20"/>
                <w:highlight w:val="none"/>
              </w:rPr>
            </w:pPr>
            <w:r>
              <w:rPr>
                <w:color w:val="auto"/>
                <w:spacing w:val="7"/>
                <w:sz w:val="20"/>
                <w:szCs w:val="20"/>
                <w:highlight w:val="none"/>
              </w:rPr>
              <w:t>（4）串通投标；或</w:t>
            </w:r>
          </w:p>
          <w:p>
            <w:pPr>
              <w:pStyle w:val="17"/>
              <w:spacing w:before="22" w:line="239" w:lineRule="auto"/>
              <w:ind w:left="129" w:right="208" w:firstLine="9"/>
              <w:rPr>
                <w:color w:val="auto"/>
                <w:sz w:val="20"/>
                <w:szCs w:val="20"/>
                <w:highlight w:val="none"/>
              </w:rPr>
            </w:pPr>
            <w:r>
              <w:rPr>
                <w:color w:val="auto"/>
                <w:spacing w:val="9"/>
                <w:sz w:val="20"/>
                <w:szCs w:val="20"/>
                <w:highlight w:val="none"/>
              </w:rPr>
              <w:t>（5）评标、中标候选人公示、签订合同前等</w:t>
            </w:r>
            <w:r>
              <w:rPr>
                <w:color w:val="auto"/>
                <w:spacing w:val="8"/>
                <w:sz w:val="20"/>
                <w:szCs w:val="20"/>
                <w:highlight w:val="none"/>
              </w:rPr>
              <w:t>环节因</w:t>
            </w:r>
            <w:r>
              <w:rPr>
                <w:color w:val="auto"/>
                <w:sz w:val="20"/>
                <w:szCs w:val="20"/>
                <w:highlight w:val="none"/>
              </w:rPr>
              <w:t xml:space="preserve"> </w:t>
            </w:r>
            <w:r>
              <w:rPr>
                <w:color w:val="auto"/>
                <w:spacing w:val="9"/>
                <w:sz w:val="20"/>
                <w:szCs w:val="20"/>
                <w:highlight w:val="none"/>
              </w:rPr>
              <w:t>作假而被取消中标资格；或</w:t>
            </w:r>
          </w:p>
          <w:p>
            <w:pPr>
              <w:pStyle w:val="17"/>
              <w:spacing w:before="27" w:line="228" w:lineRule="auto"/>
              <w:ind w:left="139"/>
              <w:rPr>
                <w:color w:val="auto"/>
                <w:sz w:val="20"/>
                <w:szCs w:val="20"/>
                <w:highlight w:val="none"/>
              </w:rPr>
            </w:pPr>
            <w:r>
              <w:rPr>
                <w:color w:val="auto"/>
                <w:spacing w:val="8"/>
                <w:sz w:val="20"/>
                <w:szCs w:val="20"/>
                <w:highlight w:val="none"/>
              </w:rPr>
              <w:t>（6）因投诉属实取消投标资格的；或</w:t>
            </w:r>
          </w:p>
          <w:p>
            <w:pPr>
              <w:pStyle w:val="17"/>
              <w:spacing w:before="25" w:line="257" w:lineRule="auto"/>
              <w:ind w:left="142" w:right="208" w:hanging="3"/>
              <w:rPr>
                <w:color w:val="auto"/>
                <w:sz w:val="20"/>
                <w:szCs w:val="20"/>
                <w:highlight w:val="none"/>
              </w:rPr>
            </w:pPr>
            <w:r>
              <w:rPr>
                <w:color w:val="auto"/>
                <w:spacing w:val="9"/>
                <w:sz w:val="20"/>
                <w:szCs w:val="20"/>
                <w:highlight w:val="none"/>
              </w:rPr>
              <w:t>（7）其他违反规定、妨碍公平竞争准则的行</w:t>
            </w:r>
            <w:r>
              <w:rPr>
                <w:color w:val="auto"/>
                <w:spacing w:val="8"/>
                <w:sz w:val="20"/>
                <w:szCs w:val="20"/>
                <w:highlight w:val="none"/>
              </w:rPr>
              <w:t>为；或</w:t>
            </w:r>
            <w:r>
              <w:rPr>
                <w:color w:val="auto"/>
                <w:sz w:val="20"/>
                <w:szCs w:val="20"/>
                <w:highlight w:val="none"/>
              </w:rPr>
              <w:t xml:space="preserve"> </w:t>
            </w:r>
            <w:r>
              <w:rPr>
                <w:color w:val="auto"/>
                <w:spacing w:val="-2"/>
                <w:sz w:val="20"/>
                <w:szCs w:val="20"/>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583" w:hRule="atLeast"/>
        </w:trPr>
        <w:tc>
          <w:tcPr>
            <w:tcW w:w="1075" w:type="dxa"/>
            <w:gridSpan w:val="2"/>
            <w:tcBorders>
              <w:left w:val="single" w:color="000000" w:sz="10" w:space="0"/>
            </w:tcBorders>
            <w:vAlign w:val="top"/>
          </w:tcPr>
          <w:p>
            <w:pPr>
              <w:pStyle w:val="17"/>
              <w:spacing w:before="181" w:line="237" w:lineRule="auto"/>
              <w:ind w:left="329"/>
              <w:rPr>
                <w:color w:val="auto"/>
                <w:sz w:val="10"/>
                <w:szCs w:val="10"/>
                <w:highlight w:val="none"/>
              </w:rPr>
            </w:pPr>
            <w:r>
              <w:rPr>
                <w:color w:val="auto"/>
                <w:spacing w:val="2"/>
                <w:position w:val="-2"/>
                <w:sz w:val="20"/>
                <w:szCs w:val="20"/>
                <w:highlight w:val="none"/>
              </w:rPr>
              <w:t>3.5</w:t>
            </w:r>
            <w:r>
              <w:rPr>
                <w:color w:val="auto"/>
                <w:spacing w:val="2"/>
                <w:position w:val="8"/>
                <w:sz w:val="10"/>
                <w:szCs w:val="10"/>
                <w:highlight w:val="none"/>
              </w:rPr>
              <w:t>③</w:t>
            </w:r>
          </w:p>
        </w:tc>
        <w:tc>
          <w:tcPr>
            <w:tcW w:w="2945" w:type="dxa"/>
            <w:gridSpan w:val="3"/>
            <w:vAlign w:val="top"/>
          </w:tcPr>
          <w:p>
            <w:pPr>
              <w:pStyle w:val="17"/>
              <w:spacing w:before="199" w:line="228" w:lineRule="auto"/>
              <w:ind w:left="301"/>
              <w:rPr>
                <w:color w:val="auto"/>
                <w:sz w:val="20"/>
                <w:szCs w:val="20"/>
                <w:highlight w:val="none"/>
              </w:rPr>
            </w:pPr>
            <w:r>
              <w:rPr>
                <w:color w:val="auto"/>
                <w:spacing w:val="8"/>
                <w:sz w:val="20"/>
                <w:szCs w:val="20"/>
                <w:highlight w:val="none"/>
              </w:rPr>
              <w:t>资格审查资料的特殊要求</w:t>
            </w:r>
          </w:p>
        </w:tc>
        <w:tc>
          <w:tcPr>
            <w:tcW w:w="5020" w:type="dxa"/>
            <w:gridSpan w:val="2"/>
            <w:tcBorders>
              <w:right w:val="single" w:color="000000" w:sz="10" w:space="0"/>
            </w:tcBorders>
            <w:vAlign w:val="top"/>
          </w:tcPr>
          <w:p>
            <w:pPr>
              <w:pStyle w:val="17"/>
              <w:spacing w:before="63" w:line="228" w:lineRule="auto"/>
              <w:ind w:left="150"/>
              <w:rPr>
                <w:color w:val="auto"/>
                <w:sz w:val="20"/>
                <w:szCs w:val="20"/>
                <w:highlight w:val="none"/>
              </w:rPr>
            </w:pPr>
            <w:r>
              <w:rPr>
                <w:rFonts w:hint="eastAsia"/>
                <w:color w:val="auto"/>
                <w:spacing w:val="-5"/>
                <w:sz w:val="20"/>
                <w:szCs w:val="20"/>
                <w:highlight w:val="none"/>
                <w:lang w:eastAsia="zh-CN"/>
              </w:rPr>
              <w:t>☑</w:t>
            </w:r>
            <w:r>
              <w:rPr>
                <w:color w:val="auto"/>
                <w:spacing w:val="-5"/>
                <w:sz w:val="20"/>
                <w:szCs w:val="20"/>
                <w:highlight w:val="none"/>
              </w:rPr>
              <w:t>无</w:t>
            </w:r>
          </w:p>
          <w:p>
            <w:pPr>
              <w:pStyle w:val="17"/>
              <w:spacing w:before="23" w:line="220" w:lineRule="auto"/>
              <w:ind w:left="150"/>
              <w:rPr>
                <w:color w:val="auto"/>
                <w:sz w:val="20"/>
                <w:szCs w:val="20"/>
                <w:highlight w:val="none"/>
              </w:rPr>
            </w:pPr>
            <w:r>
              <w:rPr>
                <w:color w:val="auto"/>
                <w:spacing w:val="4"/>
                <w:sz w:val="20"/>
                <w:szCs w:val="20"/>
                <w:highlight w:val="none"/>
              </w:rPr>
              <w:t>□有，具体要求：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424" w:hRule="atLeast"/>
        </w:trPr>
        <w:tc>
          <w:tcPr>
            <w:tcW w:w="1075" w:type="dxa"/>
            <w:gridSpan w:val="2"/>
            <w:tcBorders>
              <w:left w:val="single" w:color="000000" w:sz="10" w:space="0"/>
            </w:tcBorders>
            <w:vAlign w:val="top"/>
          </w:tcPr>
          <w:p>
            <w:pPr>
              <w:pStyle w:val="17"/>
              <w:spacing w:before="104" w:line="235" w:lineRule="auto"/>
              <w:ind w:left="190"/>
              <w:rPr>
                <w:color w:val="auto"/>
                <w:sz w:val="10"/>
                <w:szCs w:val="10"/>
                <w:highlight w:val="none"/>
              </w:rPr>
            </w:pPr>
            <w:r>
              <w:rPr>
                <w:color w:val="auto"/>
                <w:spacing w:val="2"/>
                <w:position w:val="-1"/>
                <w:sz w:val="20"/>
                <w:szCs w:val="20"/>
                <w:highlight w:val="none"/>
              </w:rPr>
              <w:t>3.5.2</w:t>
            </w:r>
            <w:r>
              <w:rPr>
                <w:color w:val="auto"/>
                <w:spacing w:val="-29"/>
                <w:position w:val="-1"/>
                <w:sz w:val="20"/>
                <w:szCs w:val="20"/>
                <w:highlight w:val="none"/>
              </w:rPr>
              <w:t xml:space="preserve"> </w:t>
            </w:r>
            <w:r>
              <w:rPr>
                <w:color w:val="auto"/>
                <w:spacing w:val="2"/>
                <w:position w:val="8"/>
                <w:sz w:val="10"/>
                <w:szCs w:val="10"/>
                <w:highlight w:val="none"/>
              </w:rPr>
              <w:t>④</w:t>
            </w:r>
          </w:p>
        </w:tc>
        <w:tc>
          <w:tcPr>
            <w:tcW w:w="2945" w:type="dxa"/>
            <w:gridSpan w:val="3"/>
            <w:vAlign w:val="top"/>
          </w:tcPr>
          <w:p>
            <w:pPr>
              <w:pStyle w:val="17"/>
              <w:spacing w:before="120" w:line="228" w:lineRule="auto"/>
              <w:ind w:left="291"/>
              <w:rPr>
                <w:color w:val="auto"/>
                <w:sz w:val="20"/>
                <w:szCs w:val="20"/>
                <w:highlight w:val="none"/>
              </w:rPr>
            </w:pPr>
            <w:r>
              <w:rPr>
                <w:color w:val="auto"/>
                <w:spacing w:val="9"/>
                <w:sz w:val="20"/>
                <w:szCs w:val="20"/>
                <w:highlight w:val="none"/>
              </w:rPr>
              <w:t>近年财务状况的年份要求</w:t>
            </w:r>
          </w:p>
        </w:tc>
        <w:tc>
          <w:tcPr>
            <w:tcW w:w="5020" w:type="dxa"/>
            <w:gridSpan w:val="2"/>
            <w:tcBorders>
              <w:right w:val="single" w:color="000000" w:sz="10" w:space="0"/>
            </w:tcBorders>
            <w:vAlign w:val="top"/>
          </w:tcPr>
          <w:p>
            <w:pPr>
              <w:pStyle w:val="17"/>
              <w:tabs>
                <w:tab w:val="left" w:pos="750"/>
              </w:tabs>
              <w:spacing w:before="120" w:line="228" w:lineRule="auto"/>
              <w:ind w:left="120"/>
              <w:rPr>
                <w:color w:val="auto"/>
                <w:sz w:val="20"/>
                <w:szCs w:val="20"/>
                <w:highlight w:val="none"/>
              </w:rPr>
            </w:pPr>
            <w:r>
              <w:rPr>
                <w:rFonts w:hint="eastAsia" w:ascii="宋体" w:hAnsi="宋体" w:eastAsia="宋体" w:cs="宋体"/>
                <w:color w:val="auto"/>
                <w:spacing w:val="7"/>
                <w:sz w:val="20"/>
                <w:szCs w:val="20"/>
                <w:highlight w:val="none"/>
                <w:lang w:val="en-US" w:eastAsia="zh-CN"/>
              </w:rPr>
              <w:t>2020</w:t>
            </w:r>
            <w:r>
              <w:rPr>
                <w:rFonts w:ascii="宋体" w:hAnsi="宋体" w:eastAsia="宋体" w:cs="宋体"/>
                <w:color w:val="auto"/>
                <w:spacing w:val="7"/>
                <w:sz w:val="20"/>
                <w:szCs w:val="20"/>
                <w:highlight w:val="none"/>
              </w:rPr>
              <w:t>年~</w:t>
            </w:r>
            <w:r>
              <w:rPr>
                <w:rFonts w:hint="eastAsia" w:ascii="宋体" w:hAnsi="宋体" w:eastAsia="宋体" w:cs="宋体"/>
                <w:color w:val="auto"/>
                <w:spacing w:val="7"/>
                <w:sz w:val="20"/>
                <w:szCs w:val="20"/>
                <w:highlight w:val="none"/>
                <w:lang w:val="en-US" w:eastAsia="zh-CN"/>
              </w:rPr>
              <w:t>2022年</w:t>
            </w:r>
            <w:r>
              <w:rPr>
                <w:rFonts w:ascii="宋体" w:hAnsi="宋体" w:eastAsia="宋体" w:cs="宋体"/>
                <w:color w:val="auto"/>
                <w:spacing w:val="7"/>
                <w:sz w:val="20"/>
                <w:szCs w:val="20"/>
                <w:highlight w:val="none"/>
              </w:rPr>
              <w:t>（近三个年度）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1320" w:hRule="atLeast"/>
        </w:trPr>
        <w:tc>
          <w:tcPr>
            <w:tcW w:w="1075" w:type="dxa"/>
            <w:gridSpan w:val="2"/>
            <w:tcBorders>
              <w:left w:val="single" w:color="000000" w:sz="10" w:space="0"/>
            </w:tcBorders>
            <w:vAlign w:val="top"/>
          </w:tcPr>
          <w:p>
            <w:pPr>
              <w:spacing w:line="242" w:lineRule="auto"/>
              <w:rPr>
                <w:rFonts w:ascii="Arial"/>
                <w:color w:val="auto"/>
                <w:sz w:val="21"/>
                <w:highlight w:val="none"/>
              </w:rPr>
            </w:pPr>
          </w:p>
          <w:p>
            <w:pPr>
              <w:spacing w:line="243" w:lineRule="auto"/>
              <w:rPr>
                <w:rFonts w:ascii="Arial"/>
                <w:color w:val="auto"/>
                <w:sz w:val="21"/>
                <w:highlight w:val="none"/>
              </w:rPr>
            </w:pPr>
          </w:p>
          <w:p>
            <w:pPr>
              <w:pStyle w:val="17"/>
              <w:spacing w:before="65" w:line="235" w:lineRule="auto"/>
              <w:ind w:left="223"/>
              <w:rPr>
                <w:color w:val="auto"/>
                <w:sz w:val="10"/>
                <w:szCs w:val="10"/>
                <w:highlight w:val="none"/>
              </w:rPr>
            </w:pPr>
            <w:r>
              <w:rPr>
                <w:color w:val="auto"/>
                <w:spacing w:val="3"/>
                <w:position w:val="-1"/>
                <w:sz w:val="20"/>
                <w:szCs w:val="20"/>
                <w:highlight w:val="none"/>
              </w:rPr>
              <w:t>3.5.3</w:t>
            </w:r>
            <w:r>
              <w:rPr>
                <w:color w:val="auto"/>
                <w:spacing w:val="3"/>
                <w:position w:val="8"/>
                <w:sz w:val="10"/>
                <w:szCs w:val="10"/>
                <w:highlight w:val="none"/>
              </w:rPr>
              <w:t>⑤</w:t>
            </w:r>
          </w:p>
        </w:tc>
        <w:tc>
          <w:tcPr>
            <w:tcW w:w="2945" w:type="dxa"/>
            <w:gridSpan w:val="3"/>
            <w:vAlign w:val="top"/>
          </w:tcPr>
          <w:p>
            <w:pPr>
              <w:spacing w:line="366" w:lineRule="auto"/>
              <w:rPr>
                <w:rFonts w:ascii="Arial"/>
                <w:color w:val="auto"/>
                <w:sz w:val="21"/>
                <w:highlight w:val="none"/>
              </w:rPr>
            </w:pPr>
          </w:p>
          <w:p>
            <w:pPr>
              <w:pStyle w:val="17"/>
              <w:spacing w:before="65" w:line="241" w:lineRule="auto"/>
              <w:ind w:left="1038" w:right="193" w:hanging="850"/>
              <w:rPr>
                <w:color w:val="auto"/>
                <w:sz w:val="20"/>
                <w:szCs w:val="20"/>
                <w:highlight w:val="none"/>
              </w:rPr>
            </w:pPr>
            <w:r>
              <w:rPr>
                <w:color w:val="auto"/>
                <w:spacing w:val="9"/>
                <w:sz w:val="20"/>
                <w:szCs w:val="20"/>
                <w:highlight w:val="none"/>
              </w:rPr>
              <w:t>近年完成的类似项目情况的</w:t>
            </w:r>
            <w:r>
              <w:rPr>
                <w:color w:val="auto"/>
                <w:spacing w:val="1"/>
                <w:sz w:val="20"/>
                <w:szCs w:val="20"/>
                <w:highlight w:val="none"/>
              </w:rPr>
              <w:t xml:space="preserve"> </w:t>
            </w:r>
            <w:r>
              <w:rPr>
                <w:color w:val="auto"/>
                <w:spacing w:val="4"/>
                <w:sz w:val="20"/>
                <w:szCs w:val="20"/>
                <w:highlight w:val="none"/>
              </w:rPr>
              <w:t>时间要求</w:t>
            </w:r>
          </w:p>
        </w:tc>
        <w:tc>
          <w:tcPr>
            <w:tcW w:w="5020" w:type="dxa"/>
            <w:gridSpan w:val="2"/>
            <w:tcBorders>
              <w:right w:val="single" w:color="000000" w:sz="10" w:space="0"/>
            </w:tcBorders>
            <w:vAlign w:val="top"/>
          </w:tcPr>
          <w:p>
            <w:pPr>
              <w:pStyle w:val="17"/>
              <w:tabs>
                <w:tab w:val="left" w:pos="786"/>
              </w:tabs>
              <w:spacing w:before="160" w:line="246" w:lineRule="auto"/>
              <w:ind w:left="133" w:right="122" w:firstLine="128"/>
              <w:jc w:val="both"/>
              <w:rPr>
                <w:color w:val="auto"/>
                <w:sz w:val="20"/>
                <w:szCs w:val="20"/>
                <w:highlight w:val="none"/>
              </w:rPr>
            </w:pPr>
            <w:r>
              <w:rPr>
                <w:rFonts w:hint="eastAsia"/>
                <w:color w:val="auto"/>
                <w:sz w:val="20"/>
                <w:szCs w:val="20"/>
                <w:highlight w:val="none"/>
                <w:u w:val="single" w:color="auto"/>
                <w:lang w:val="en-US" w:eastAsia="zh-CN"/>
              </w:rPr>
              <w:t>2018</w:t>
            </w:r>
            <w:r>
              <w:rPr>
                <w:color w:val="auto"/>
                <w:spacing w:val="10"/>
                <w:sz w:val="20"/>
                <w:szCs w:val="20"/>
                <w:highlight w:val="none"/>
              </w:rPr>
              <w:t>年</w:t>
            </w:r>
            <w:r>
              <w:rPr>
                <w:color w:val="auto"/>
                <w:spacing w:val="-93"/>
                <w:sz w:val="20"/>
                <w:szCs w:val="20"/>
                <w:highlight w:val="none"/>
              </w:rPr>
              <w:t xml:space="preserve"> </w:t>
            </w:r>
            <w:r>
              <w:rPr>
                <w:rFonts w:hint="eastAsia"/>
                <w:color w:val="auto"/>
                <w:spacing w:val="11"/>
                <w:sz w:val="20"/>
                <w:szCs w:val="20"/>
                <w:highlight w:val="none"/>
                <w:u w:val="single" w:color="auto"/>
                <w:lang w:val="en-US" w:eastAsia="zh-CN"/>
              </w:rPr>
              <w:t>1</w:t>
            </w:r>
            <w:r>
              <w:rPr>
                <w:color w:val="auto"/>
                <w:spacing w:val="10"/>
                <w:sz w:val="20"/>
                <w:szCs w:val="20"/>
                <w:highlight w:val="none"/>
              </w:rPr>
              <w:t>月</w:t>
            </w:r>
            <w:r>
              <w:rPr>
                <w:color w:val="auto"/>
                <w:spacing w:val="-91"/>
                <w:sz w:val="20"/>
                <w:szCs w:val="20"/>
                <w:highlight w:val="none"/>
              </w:rPr>
              <w:t xml:space="preserve"> </w:t>
            </w:r>
            <w:r>
              <w:rPr>
                <w:rFonts w:hint="eastAsia"/>
                <w:color w:val="auto"/>
                <w:spacing w:val="11"/>
                <w:sz w:val="20"/>
                <w:szCs w:val="20"/>
                <w:highlight w:val="none"/>
                <w:u w:val="single" w:color="auto"/>
                <w:lang w:val="en-US" w:eastAsia="zh-CN"/>
              </w:rPr>
              <w:t>1</w:t>
            </w:r>
            <w:r>
              <w:rPr>
                <w:color w:val="auto"/>
                <w:spacing w:val="10"/>
                <w:sz w:val="20"/>
                <w:szCs w:val="20"/>
                <w:highlight w:val="none"/>
              </w:rPr>
              <w:t>日至投标文件递交截止之日止</w:t>
            </w:r>
            <w:r>
              <w:rPr>
                <w:color w:val="auto"/>
                <w:sz w:val="20"/>
                <w:szCs w:val="20"/>
                <w:highlight w:val="none"/>
              </w:rPr>
              <w:t xml:space="preserve"> </w:t>
            </w:r>
            <w:r>
              <w:rPr>
                <w:color w:val="auto"/>
                <w:spacing w:val="7"/>
                <w:sz w:val="20"/>
                <w:szCs w:val="20"/>
                <w:highlight w:val="none"/>
              </w:rPr>
              <w:t>（近五年</w:t>
            </w:r>
            <w:r>
              <w:rPr>
                <w:color w:val="auto"/>
                <w:spacing w:val="24"/>
                <w:sz w:val="20"/>
                <w:szCs w:val="20"/>
                <w:highlight w:val="none"/>
              </w:rPr>
              <w:t>），</w:t>
            </w:r>
            <w:r>
              <w:rPr>
                <w:color w:val="auto"/>
                <w:spacing w:val="7"/>
                <w:sz w:val="20"/>
                <w:szCs w:val="20"/>
                <w:highlight w:val="none"/>
              </w:rPr>
              <w:t>以“全国公路建设市场信用信息管理系统</w:t>
            </w:r>
            <w:r>
              <w:rPr>
                <w:color w:val="auto"/>
                <w:spacing w:val="-68"/>
                <w:sz w:val="20"/>
                <w:szCs w:val="20"/>
                <w:highlight w:val="none"/>
              </w:rPr>
              <w:t xml:space="preserve"> </w:t>
            </w:r>
            <w:r>
              <w:rPr>
                <w:color w:val="auto"/>
                <w:spacing w:val="7"/>
                <w:sz w:val="20"/>
                <w:szCs w:val="20"/>
                <w:highlight w:val="none"/>
              </w:rPr>
              <w:t>”上的交工验收或未交工验收一次性竣工验收的时</w:t>
            </w:r>
            <w:r>
              <w:rPr>
                <w:color w:val="auto"/>
                <w:spacing w:val="3"/>
                <w:sz w:val="20"/>
                <w:szCs w:val="20"/>
                <w:highlight w:val="none"/>
              </w:rPr>
              <w:t>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712" w:hRule="atLeast"/>
        </w:trPr>
        <w:tc>
          <w:tcPr>
            <w:tcW w:w="1075" w:type="dxa"/>
            <w:gridSpan w:val="2"/>
            <w:tcBorders>
              <w:left w:val="single" w:color="000000" w:sz="10" w:space="0"/>
            </w:tcBorders>
            <w:vAlign w:val="top"/>
          </w:tcPr>
          <w:p>
            <w:pPr>
              <w:pStyle w:val="17"/>
              <w:spacing w:before="302" w:line="190" w:lineRule="auto"/>
              <w:ind w:left="276"/>
              <w:rPr>
                <w:color w:val="auto"/>
                <w:sz w:val="20"/>
                <w:szCs w:val="20"/>
                <w:highlight w:val="none"/>
              </w:rPr>
            </w:pPr>
            <w:r>
              <w:rPr>
                <w:color w:val="auto"/>
                <w:spacing w:val="2"/>
                <w:sz w:val="20"/>
                <w:szCs w:val="20"/>
                <w:highlight w:val="none"/>
              </w:rPr>
              <w:t>3.6.1</w:t>
            </w:r>
          </w:p>
        </w:tc>
        <w:tc>
          <w:tcPr>
            <w:tcW w:w="2945" w:type="dxa"/>
            <w:gridSpan w:val="3"/>
            <w:vAlign w:val="top"/>
          </w:tcPr>
          <w:p>
            <w:pPr>
              <w:pStyle w:val="17"/>
              <w:spacing w:before="269" w:line="228" w:lineRule="auto"/>
              <w:ind w:left="192"/>
              <w:rPr>
                <w:color w:val="auto"/>
                <w:sz w:val="20"/>
                <w:szCs w:val="20"/>
                <w:highlight w:val="none"/>
              </w:rPr>
            </w:pPr>
            <w:r>
              <w:rPr>
                <w:color w:val="auto"/>
                <w:spacing w:val="8"/>
                <w:sz w:val="20"/>
                <w:szCs w:val="20"/>
                <w:highlight w:val="none"/>
              </w:rPr>
              <w:t>是否允许递交备选投标方案</w:t>
            </w:r>
          </w:p>
        </w:tc>
        <w:tc>
          <w:tcPr>
            <w:tcW w:w="5020" w:type="dxa"/>
            <w:gridSpan w:val="2"/>
            <w:tcBorders>
              <w:right w:val="single" w:color="000000" w:sz="10" w:space="0"/>
            </w:tcBorders>
            <w:vAlign w:val="top"/>
          </w:tcPr>
          <w:p>
            <w:pPr>
              <w:pStyle w:val="17"/>
              <w:spacing w:before="133" w:line="271" w:lineRule="exact"/>
              <w:ind w:left="150"/>
              <w:rPr>
                <w:color w:val="auto"/>
                <w:sz w:val="20"/>
                <w:szCs w:val="20"/>
                <w:highlight w:val="none"/>
              </w:rPr>
            </w:pPr>
            <w:r>
              <w:rPr>
                <w:rFonts w:hint="eastAsia"/>
                <w:color w:val="auto"/>
                <w:spacing w:val="2"/>
                <w:position w:val="4"/>
                <w:sz w:val="20"/>
                <w:szCs w:val="20"/>
                <w:highlight w:val="none"/>
                <w:lang w:eastAsia="zh-CN"/>
              </w:rPr>
              <w:t>☑</w:t>
            </w:r>
            <w:r>
              <w:rPr>
                <w:color w:val="auto"/>
                <w:spacing w:val="2"/>
                <w:position w:val="4"/>
                <w:sz w:val="20"/>
                <w:szCs w:val="20"/>
                <w:highlight w:val="none"/>
              </w:rPr>
              <w:t>不允许</w:t>
            </w:r>
          </w:p>
          <w:p>
            <w:pPr>
              <w:pStyle w:val="17"/>
              <w:spacing w:line="227" w:lineRule="auto"/>
              <w:ind w:left="150"/>
              <w:rPr>
                <w:color w:val="auto"/>
                <w:sz w:val="20"/>
                <w:szCs w:val="20"/>
                <w:highlight w:val="none"/>
              </w:rPr>
            </w:pPr>
            <w:r>
              <w:rPr>
                <w:color w:val="auto"/>
                <w:spacing w:val="-1"/>
                <w:sz w:val="20"/>
                <w:szCs w:val="20"/>
                <w:highlight w:val="none"/>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1383" w:hRule="atLeast"/>
        </w:trPr>
        <w:tc>
          <w:tcPr>
            <w:tcW w:w="1075" w:type="dxa"/>
            <w:gridSpan w:val="2"/>
            <w:tcBorders>
              <w:left w:val="single" w:color="000000" w:sz="10" w:space="0"/>
            </w:tcBorders>
            <w:vAlign w:val="top"/>
          </w:tcPr>
          <w:p>
            <w:pPr>
              <w:spacing w:line="285" w:lineRule="auto"/>
              <w:rPr>
                <w:rFonts w:ascii="Arial"/>
                <w:color w:val="auto"/>
                <w:sz w:val="21"/>
                <w:highlight w:val="none"/>
              </w:rPr>
            </w:pPr>
          </w:p>
          <w:p>
            <w:pPr>
              <w:spacing w:line="286" w:lineRule="auto"/>
              <w:rPr>
                <w:rFonts w:ascii="Arial"/>
                <w:color w:val="auto"/>
                <w:sz w:val="21"/>
                <w:highlight w:val="none"/>
              </w:rPr>
            </w:pPr>
          </w:p>
          <w:p>
            <w:pPr>
              <w:pStyle w:val="17"/>
              <w:spacing w:before="65" w:line="189" w:lineRule="auto"/>
              <w:ind w:left="276"/>
              <w:rPr>
                <w:color w:val="auto"/>
                <w:sz w:val="20"/>
                <w:szCs w:val="20"/>
                <w:highlight w:val="none"/>
              </w:rPr>
            </w:pPr>
            <w:r>
              <w:rPr>
                <w:color w:val="auto"/>
                <w:spacing w:val="2"/>
                <w:sz w:val="20"/>
                <w:szCs w:val="20"/>
                <w:highlight w:val="none"/>
              </w:rPr>
              <w:t>3.7.4</w:t>
            </w:r>
          </w:p>
        </w:tc>
        <w:tc>
          <w:tcPr>
            <w:tcW w:w="2945" w:type="dxa"/>
            <w:gridSpan w:val="3"/>
            <w:vAlign w:val="top"/>
          </w:tcPr>
          <w:p>
            <w:pPr>
              <w:spacing w:line="405" w:lineRule="auto"/>
              <w:rPr>
                <w:rFonts w:ascii="Arial"/>
                <w:color w:val="auto"/>
                <w:sz w:val="21"/>
                <w:highlight w:val="none"/>
              </w:rPr>
            </w:pPr>
          </w:p>
          <w:p>
            <w:pPr>
              <w:pStyle w:val="17"/>
              <w:spacing w:before="65" w:line="239" w:lineRule="auto"/>
              <w:ind w:left="1029" w:right="507" w:hanging="523"/>
              <w:rPr>
                <w:color w:val="auto"/>
                <w:sz w:val="20"/>
                <w:szCs w:val="20"/>
                <w:highlight w:val="none"/>
              </w:rPr>
            </w:pPr>
            <w:r>
              <w:rPr>
                <w:color w:val="auto"/>
                <w:spacing w:val="8"/>
                <w:sz w:val="20"/>
                <w:szCs w:val="20"/>
                <w:highlight w:val="none"/>
              </w:rPr>
              <w:t>投标文件副本份数及</w:t>
            </w:r>
            <w:r>
              <w:rPr>
                <w:color w:val="auto"/>
                <w:spacing w:val="5"/>
                <w:sz w:val="20"/>
                <w:szCs w:val="20"/>
                <w:highlight w:val="none"/>
              </w:rPr>
              <w:t xml:space="preserve"> </w:t>
            </w:r>
            <w:r>
              <w:rPr>
                <w:color w:val="auto"/>
                <w:spacing w:val="7"/>
                <w:sz w:val="20"/>
                <w:szCs w:val="20"/>
                <w:highlight w:val="none"/>
              </w:rPr>
              <w:t>其他要求</w:t>
            </w:r>
          </w:p>
        </w:tc>
        <w:tc>
          <w:tcPr>
            <w:tcW w:w="5020" w:type="dxa"/>
            <w:gridSpan w:val="2"/>
            <w:tcBorders>
              <w:right w:val="single" w:color="000000" w:sz="10" w:space="0"/>
            </w:tcBorders>
            <w:vAlign w:val="top"/>
          </w:tcPr>
          <w:p>
            <w:pPr>
              <w:pStyle w:val="17"/>
              <w:spacing w:before="61" w:line="227" w:lineRule="auto"/>
              <w:ind w:left="131"/>
              <w:rPr>
                <w:color w:val="auto"/>
                <w:sz w:val="20"/>
                <w:szCs w:val="20"/>
                <w:highlight w:val="none"/>
              </w:rPr>
            </w:pPr>
            <w:r>
              <w:rPr>
                <w:color w:val="auto"/>
                <w:spacing w:val="37"/>
                <w:sz w:val="20"/>
                <w:szCs w:val="20"/>
                <w:highlight w:val="none"/>
              </w:rPr>
              <w:t>投标文件副本份数</w:t>
            </w:r>
            <w:r>
              <w:rPr>
                <w:color w:val="auto"/>
                <w:spacing w:val="-32"/>
                <w:sz w:val="20"/>
                <w:szCs w:val="20"/>
                <w:highlight w:val="none"/>
              </w:rPr>
              <w:t xml:space="preserve"> </w:t>
            </w:r>
            <w:r>
              <w:rPr>
                <w:color w:val="auto"/>
                <w:spacing w:val="37"/>
                <w:sz w:val="20"/>
                <w:szCs w:val="20"/>
                <w:highlight w:val="none"/>
              </w:rPr>
              <w:t>：</w:t>
            </w:r>
            <w:r>
              <w:rPr>
                <w:rFonts w:hint="eastAsia" w:ascii="宋体" w:hAnsi="宋体" w:eastAsia="宋体" w:cs="宋体"/>
                <w:color w:val="auto"/>
                <w:spacing w:val="37"/>
                <w:sz w:val="20"/>
                <w:szCs w:val="20"/>
                <w:highlight w:val="none"/>
                <w:lang w:val="en-US" w:eastAsia="zh-CN"/>
              </w:rPr>
              <w:t>5</w:t>
            </w:r>
            <w:r>
              <w:rPr>
                <w:rFonts w:ascii="宋体" w:hAnsi="宋体" w:eastAsia="宋体" w:cs="宋体"/>
                <w:color w:val="auto"/>
                <w:spacing w:val="37"/>
                <w:sz w:val="20"/>
                <w:szCs w:val="20"/>
                <w:highlight w:val="none"/>
              </w:rPr>
              <w:t>份</w:t>
            </w:r>
          </w:p>
          <w:p>
            <w:pPr>
              <w:pStyle w:val="17"/>
              <w:spacing w:before="25"/>
              <w:ind w:left="128" w:right="163" w:firstLine="4"/>
              <w:rPr>
                <w:color w:val="auto"/>
                <w:sz w:val="20"/>
                <w:szCs w:val="20"/>
                <w:highlight w:val="none"/>
              </w:rPr>
            </w:pPr>
            <w:r>
              <w:rPr>
                <w:color w:val="auto"/>
                <w:spacing w:val="40"/>
                <w:sz w:val="20"/>
                <w:szCs w:val="20"/>
                <w:highlight w:val="none"/>
              </w:rPr>
              <w:t>是否要求提交电子版文件</w:t>
            </w:r>
            <w:r>
              <w:rPr>
                <w:color w:val="auto"/>
                <w:spacing w:val="-21"/>
                <w:sz w:val="20"/>
                <w:szCs w:val="20"/>
                <w:highlight w:val="none"/>
              </w:rPr>
              <w:t xml:space="preserve"> </w:t>
            </w:r>
            <w:r>
              <w:rPr>
                <w:color w:val="auto"/>
                <w:spacing w:val="40"/>
                <w:sz w:val="20"/>
                <w:szCs w:val="20"/>
                <w:highlight w:val="none"/>
              </w:rPr>
              <w:t>：</w:t>
            </w:r>
            <w:r>
              <w:rPr>
                <w:color w:val="auto"/>
                <w:spacing w:val="-34"/>
                <w:sz w:val="20"/>
                <w:szCs w:val="20"/>
                <w:highlight w:val="none"/>
              </w:rPr>
              <w:t xml:space="preserve"> </w:t>
            </w:r>
            <w:r>
              <w:rPr>
                <w:color w:val="auto"/>
                <w:spacing w:val="40"/>
                <w:sz w:val="20"/>
                <w:szCs w:val="20"/>
                <w:highlight w:val="none"/>
              </w:rPr>
              <w:t>是</w:t>
            </w:r>
            <w:r>
              <w:rPr>
                <w:color w:val="auto"/>
                <w:spacing w:val="-27"/>
                <w:sz w:val="20"/>
                <w:szCs w:val="20"/>
                <w:highlight w:val="none"/>
              </w:rPr>
              <w:t xml:space="preserve"> </w:t>
            </w:r>
            <w:r>
              <w:rPr>
                <w:color w:val="auto"/>
                <w:spacing w:val="40"/>
                <w:sz w:val="20"/>
                <w:szCs w:val="20"/>
                <w:highlight w:val="none"/>
              </w:rPr>
              <w:t>，</w:t>
            </w:r>
            <w:r>
              <w:rPr>
                <w:color w:val="auto"/>
                <w:spacing w:val="-22"/>
                <w:sz w:val="20"/>
                <w:szCs w:val="20"/>
                <w:highlight w:val="none"/>
              </w:rPr>
              <w:t xml:space="preserve"> </w:t>
            </w:r>
            <w:r>
              <w:rPr>
                <w:color w:val="auto"/>
                <w:spacing w:val="40"/>
                <w:sz w:val="20"/>
                <w:szCs w:val="20"/>
                <w:highlight w:val="none"/>
              </w:rPr>
              <w:t>1份电子文</w:t>
            </w:r>
            <w:r>
              <w:rPr>
                <w:color w:val="auto"/>
                <w:spacing w:val="1"/>
                <w:sz w:val="20"/>
                <w:szCs w:val="20"/>
                <w:highlight w:val="none"/>
              </w:rPr>
              <w:t>件</w:t>
            </w:r>
          </w:p>
          <w:p>
            <w:pPr>
              <w:pStyle w:val="17"/>
              <w:spacing w:before="27" w:line="227" w:lineRule="auto"/>
              <w:ind w:left="141" w:right="14" w:rightChars="0" w:hanging="12"/>
              <w:jc w:val="both"/>
              <w:rPr>
                <w:color w:val="auto"/>
                <w:sz w:val="20"/>
                <w:szCs w:val="20"/>
                <w:highlight w:val="none"/>
              </w:rPr>
            </w:pPr>
            <w:r>
              <w:rPr>
                <w:color w:val="auto"/>
                <w:spacing w:val="34"/>
                <w:sz w:val="20"/>
                <w:szCs w:val="20"/>
                <w:highlight w:val="none"/>
              </w:rPr>
              <w:t>其他要求</w:t>
            </w:r>
            <w:r>
              <w:rPr>
                <w:color w:val="auto"/>
                <w:spacing w:val="-17"/>
                <w:sz w:val="20"/>
                <w:szCs w:val="20"/>
                <w:highlight w:val="none"/>
              </w:rPr>
              <w:t xml:space="preserve"> </w:t>
            </w:r>
            <w:r>
              <w:rPr>
                <w:color w:val="auto"/>
                <w:spacing w:val="34"/>
                <w:sz w:val="20"/>
                <w:szCs w:val="20"/>
                <w:highlight w:val="none"/>
              </w:rPr>
              <w:t>：</w:t>
            </w:r>
            <w:r>
              <w:rPr>
                <w:rFonts w:hint="eastAsia"/>
                <w:color w:val="auto"/>
                <w:spacing w:val="34"/>
                <w:sz w:val="20"/>
                <w:szCs w:val="20"/>
                <w:highlight w:val="none"/>
                <w:lang w:val="en-US"/>
              </w:rPr>
              <w:t>①投标文件正本：招标文件要求投标人提供的各类证照复印件均指彩色扫描件或彩色复印件，其他资料的复印件可为黑白扫描件或黑白复印件；②副本可以为正本经签名盖章后的复印件。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580" w:hRule="atLeast"/>
        </w:trPr>
        <w:tc>
          <w:tcPr>
            <w:tcW w:w="1075" w:type="dxa"/>
            <w:gridSpan w:val="2"/>
            <w:tcBorders>
              <w:left w:val="single" w:color="000000" w:sz="10" w:space="0"/>
              <w:bottom w:val="single" w:color="000000" w:sz="10" w:space="0"/>
            </w:tcBorders>
            <w:vAlign w:val="top"/>
          </w:tcPr>
          <w:p>
            <w:pPr>
              <w:pStyle w:val="17"/>
              <w:spacing w:before="228" w:line="189" w:lineRule="auto"/>
              <w:ind w:left="276"/>
              <w:rPr>
                <w:color w:val="auto"/>
                <w:sz w:val="20"/>
                <w:szCs w:val="20"/>
                <w:highlight w:val="none"/>
              </w:rPr>
            </w:pPr>
            <w:r>
              <w:rPr>
                <w:color w:val="auto"/>
                <w:spacing w:val="2"/>
                <w:sz w:val="20"/>
                <w:szCs w:val="20"/>
                <w:highlight w:val="none"/>
              </w:rPr>
              <w:t>3.7.5</w:t>
            </w:r>
          </w:p>
        </w:tc>
        <w:tc>
          <w:tcPr>
            <w:tcW w:w="2945" w:type="dxa"/>
            <w:gridSpan w:val="3"/>
            <w:tcBorders>
              <w:bottom w:val="single" w:color="000000" w:sz="10" w:space="0"/>
            </w:tcBorders>
            <w:vAlign w:val="top"/>
          </w:tcPr>
          <w:p>
            <w:pPr>
              <w:pStyle w:val="17"/>
              <w:spacing w:before="196" w:line="228" w:lineRule="auto"/>
              <w:ind w:left="712"/>
              <w:rPr>
                <w:color w:val="auto"/>
                <w:sz w:val="20"/>
                <w:szCs w:val="20"/>
                <w:highlight w:val="none"/>
              </w:rPr>
            </w:pPr>
            <w:r>
              <w:rPr>
                <w:color w:val="auto"/>
                <w:spacing w:val="8"/>
                <w:sz w:val="20"/>
                <w:szCs w:val="20"/>
                <w:highlight w:val="none"/>
              </w:rPr>
              <w:t>装订的其他要求</w:t>
            </w:r>
          </w:p>
        </w:tc>
        <w:tc>
          <w:tcPr>
            <w:tcW w:w="5020" w:type="dxa"/>
            <w:gridSpan w:val="2"/>
            <w:tcBorders>
              <w:bottom w:val="single" w:color="000000" w:sz="10" w:space="0"/>
              <w:right w:val="single" w:color="000000" w:sz="10" w:space="0"/>
            </w:tcBorders>
            <w:vAlign w:val="top"/>
          </w:tcPr>
          <w:p>
            <w:pPr>
              <w:rPr>
                <w:rFonts w:ascii="Arial"/>
                <w:color w:val="auto"/>
                <w:sz w:val="21"/>
                <w:highlight w:val="none"/>
              </w:rPr>
            </w:pPr>
            <w:r>
              <w:rPr>
                <w:rFonts w:hint="eastAsia" w:ascii="宋体" w:hAnsi="宋体" w:eastAsia="宋体" w:cs="宋体"/>
                <w:snapToGrid w:val="0"/>
                <w:color w:val="auto"/>
                <w:spacing w:val="34"/>
                <w:kern w:val="0"/>
                <w:sz w:val="20"/>
                <w:szCs w:val="20"/>
                <w:highlight w:val="none"/>
                <w:lang w:val="en-US" w:eastAsia="en-US" w:bidi="ar-SA"/>
              </w:rPr>
              <w:t>投标文件的正本与副本应分别装订成册（A4  纸幅），编制目录并逐页标注 连续页码。投标文件不得采用活页夹装订， 否则， 招标人对由于投标文件装订松散而造成的丢失或其他后果不承担任何责任。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6675" w:hRule="atLeast"/>
        </w:trPr>
        <w:tc>
          <w:tcPr>
            <w:tcW w:w="1075" w:type="dxa"/>
            <w:gridSpan w:val="2"/>
            <w:tcBorders>
              <w:top w:val="single" w:color="000000" w:sz="10" w:space="0"/>
              <w:left w:val="single" w:color="000000" w:sz="10" w:space="0"/>
            </w:tcBorders>
            <w:vAlign w:val="top"/>
          </w:tcPr>
          <w:p>
            <w:pPr>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pStyle w:val="17"/>
              <w:spacing w:before="65" w:line="235" w:lineRule="auto"/>
              <w:ind w:left="218"/>
              <w:rPr>
                <w:color w:val="auto"/>
                <w:sz w:val="10"/>
                <w:szCs w:val="10"/>
                <w:highlight w:val="none"/>
              </w:rPr>
            </w:pPr>
            <w:r>
              <w:rPr>
                <w:color w:val="auto"/>
                <w:spacing w:val="4"/>
                <w:position w:val="-1"/>
                <w:sz w:val="20"/>
                <w:szCs w:val="20"/>
                <w:highlight w:val="none"/>
              </w:rPr>
              <w:t>4.1.2</w:t>
            </w:r>
          </w:p>
        </w:tc>
        <w:tc>
          <w:tcPr>
            <w:tcW w:w="2945" w:type="dxa"/>
            <w:gridSpan w:val="3"/>
            <w:tcBorders>
              <w:top w:val="single" w:color="000000" w:sz="10" w:space="0"/>
            </w:tcBorders>
            <w:vAlign w:val="top"/>
          </w:tcPr>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pStyle w:val="17"/>
              <w:spacing w:before="65" w:line="228" w:lineRule="auto"/>
              <w:ind w:left="502"/>
              <w:rPr>
                <w:color w:val="auto"/>
                <w:sz w:val="20"/>
                <w:szCs w:val="20"/>
                <w:highlight w:val="none"/>
              </w:rPr>
            </w:pPr>
            <w:r>
              <w:rPr>
                <w:color w:val="auto"/>
                <w:spacing w:val="9"/>
                <w:sz w:val="20"/>
                <w:szCs w:val="20"/>
                <w:highlight w:val="none"/>
              </w:rPr>
              <w:t>封套上应载明的信息</w:t>
            </w:r>
          </w:p>
        </w:tc>
        <w:tc>
          <w:tcPr>
            <w:tcW w:w="5020" w:type="dxa"/>
            <w:gridSpan w:val="2"/>
            <w:tcBorders>
              <w:top w:val="single" w:color="000000" w:sz="10" w:space="0"/>
              <w:right w:val="single" w:color="000000" w:sz="10" w:space="0"/>
            </w:tcBorders>
            <w:vAlign w:val="top"/>
          </w:tcPr>
          <w:p>
            <w:pPr>
              <w:pStyle w:val="17"/>
              <w:spacing w:before="238" w:line="228" w:lineRule="auto"/>
              <w:ind w:left="131"/>
              <w:rPr>
                <w:color w:val="auto"/>
                <w:sz w:val="20"/>
                <w:szCs w:val="20"/>
                <w:highlight w:val="none"/>
              </w:rPr>
            </w:pPr>
            <w:r>
              <w:rPr>
                <w:color w:val="auto"/>
                <w:spacing w:val="9"/>
                <w:sz w:val="20"/>
                <w:szCs w:val="20"/>
                <w:highlight w:val="none"/>
                <w14:textOutline w14:w="3795" w14:cap="sq" w14:cmpd="sng">
                  <w14:solidFill>
                    <w14:srgbClr w14:val="000000"/>
                  </w14:solidFill>
                  <w14:prstDash w14:val="solid"/>
                  <w14:bevel/>
                </w14:textOutline>
              </w:rPr>
              <w:t>投标文件第一个信封（商务及技术文件）封套：</w:t>
            </w:r>
          </w:p>
          <w:p>
            <w:pPr>
              <w:pStyle w:val="17"/>
              <w:spacing w:before="24" w:line="228" w:lineRule="auto"/>
              <w:ind w:left="129"/>
              <w:rPr>
                <w:rFonts w:hint="eastAsia" w:eastAsia="宋体"/>
                <w:color w:val="auto"/>
                <w:sz w:val="20"/>
                <w:szCs w:val="20"/>
                <w:highlight w:val="none"/>
                <w:u w:val="single"/>
                <w:lang w:eastAsia="zh-CN"/>
              </w:rPr>
            </w:pPr>
            <w:r>
              <w:rPr>
                <w:color w:val="auto"/>
                <w:spacing w:val="8"/>
                <w:sz w:val="20"/>
                <w:szCs w:val="20"/>
                <w:highlight w:val="none"/>
              </w:rPr>
              <w:t>招标人名称：</w:t>
            </w:r>
            <w:r>
              <w:rPr>
                <w:rFonts w:hint="eastAsia"/>
                <w:color w:val="auto"/>
                <w:spacing w:val="8"/>
                <w:sz w:val="20"/>
                <w:szCs w:val="20"/>
                <w:highlight w:val="none"/>
                <w:u w:val="single"/>
                <w:lang w:eastAsia="zh-CN"/>
              </w:rPr>
              <w:t>阳西县程村镇人民政府</w:t>
            </w:r>
          </w:p>
          <w:p>
            <w:pPr>
              <w:pStyle w:val="17"/>
              <w:tabs>
                <w:tab w:val="left" w:pos="960"/>
              </w:tabs>
              <w:spacing w:before="26"/>
              <w:ind w:left="128" w:right="122" w:hanging="8"/>
              <w:rPr>
                <w:color w:val="auto"/>
                <w:sz w:val="20"/>
                <w:szCs w:val="20"/>
                <w:highlight w:val="none"/>
              </w:rPr>
            </w:pPr>
            <w:r>
              <w:rPr>
                <w:color w:val="auto"/>
                <w:spacing w:val="8"/>
                <w:sz w:val="20"/>
                <w:szCs w:val="20"/>
                <w:highlight w:val="none"/>
              </w:rPr>
              <w:t>招标人地址：</w:t>
            </w:r>
            <w:r>
              <w:rPr>
                <w:rFonts w:hint="eastAsia"/>
                <w:color w:val="auto"/>
                <w:spacing w:val="8"/>
                <w:sz w:val="20"/>
                <w:szCs w:val="20"/>
                <w:highlight w:val="none"/>
                <w:u w:val="single"/>
                <w:lang w:eastAsia="zh-CN"/>
              </w:rPr>
              <w:t>阳江市阳西县程村镇东升大道一号</w:t>
            </w:r>
            <w:r>
              <w:rPr>
                <w:color w:val="auto"/>
                <w:sz w:val="20"/>
                <w:szCs w:val="20"/>
                <w:highlight w:val="none"/>
                <w:u w:val="single" w:color="auto"/>
              </w:rPr>
              <w:tab/>
            </w:r>
            <w:r>
              <w:rPr>
                <w:rFonts w:hint="eastAsia"/>
                <w:color w:val="auto"/>
                <w:sz w:val="20"/>
                <w:szCs w:val="20"/>
                <w:highlight w:val="none"/>
                <w:u w:val="single" w:color="auto"/>
                <w:lang w:eastAsia="zh-CN"/>
              </w:rPr>
              <w:t>阳西县2023-2024年普通省道联结工程 (程村镇Y046线程石线-文山朗村)</w:t>
            </w:r>
            <w:r>
              <w:rPr>
                <w:color w:val="auto"/>
                <w:spacing w:val="5"/>
                <w:sz w:val="20"/>
                <w:szCs w:val="20"/>
                <w:highlight w:val="none"/>
              </w:rPr>
              <w:t>施工招标</w:t>
            </w:r>
            <w:r>
              <w:rPr>
                <w:color w:val="auto"/>
                <w:spacing w:val="6"/>
                <w:sz w:val="20"/>
                <w:szCs w:val="20"/>
                <w:highlight w:val="none"/>
              </w:rPr>
              <w:t>第一个信封(商务及技术文件）投标文件</w:t>
            </w:r>
          </w:p>
          <w:p>
            <w:pPr>
              <w:pStyle w:val="17"/>
              <w:spacing w:before="24" w:line="228" w:lineRule="auto"/>
              <w:ind w:left="128"/>
              <w:rPr>
                <w:color w:val="auto"/>
                <w:sz w:val="20"/>
                <w:szCs w:val="20"/>
                <w:highlight w:val="none"/>
              </w:rPr>
            </w:pPr>
            <w:r>
              <w:rPr>
                <w:color w:val="auto"/>
                <w:spacing w:val="1"/>
                <w:sz w:val="20"/>
                <w:szCs w:val="20"/>
                <w:highlight w:val="none"/>
              </w:rPr>
              <w:t>在</w:t>
            </w:r>
            <w:r>
              <w:rPr>
                <w:color w:val="auto"/>
                <w:spacing w:val="-97"/>
                <w:sz w:val="20"/>
                <w:szCs w:val="20"/>
                <w:highlight w:val="none"/>
              </w:rPr>
              <w:t xml:space="preserve"> </w:t>
            </w:r>
            <w:r>
              <w:rPr>
                <w:rFonts w:hint="eastAsia"/>
                <w:color w:val="auto"/>
                <w:spacing w:val="5"/>
                <w:sz w:val="20"/>
                <w:szCs w:val="20"/>
                <w:highlight w:val="none"/>
                <w:u w:val="single" w:color="auto"/>
                <w:lang w:val="en-US" w:eastAsia="zh-CN"/>
              </w:rPr>
              <w:t>2023</w:t>
            </w:r>
            <w:r>
              <w:rPr>
                <w:color w:val="auto"/>
                <w:spacing w:val="1"/>
                <w:sz w:val="20"/>
                <w:szCs w:val="20"/>
                <w:highlight w:val="none"/>
              </w:rPr>
              <w:t>年</w:t>
            </w:r>
            <w:r>
              <w:rPr>
                <w:rFonts w:hint="eastAsia"/>
                <w:color w:val="auto"/>
                <w:spacing w:val="1"/>
                <w:sz w:val="20"/>
                <w:szCs w:val="20"/>
                <w:highlight w:val="none"/>
                <w:u w:val="single"/>
                <w:lang w:val="en-US" w:eastAsia="zh-CN"/>
              </w:rPr>
              <w:t xml:space="preserve">  </w:t>
            </w:r>
            <w:r>
              <w:rPr>
                <w:color w:val="auto"/>
                <w:spacing w:val="-87"/>
                <w:sz w:val="20"/>
                <w:szCs w:val="20"/>
                <w:highlight w:val="none"/>
                <w:u w:val="single"/>
              </w:rPr>
              <w:t xml:space="preserve"> </w:t>
            </w:r>
            <w:r>
              <w:rPr>
                <w:rFonts w:hint="eastAsia"/>
                <w:color w:val="auto"/>
                <w:spacing w:val="-87"/>
                <w:sz w:val="20"/>
                <w:szCs w:val="20"/>
                <w:highlight w:val="none"/>
                <w:u w:val="single"/>
                <w:lang w:val="en-US" w:eastAsia="zh-CN"/>
              </w:rPr>
              <w:t xml:space="preserve">  </w:t>
            </w:r>
            <w:r>
              <w:rPr>
                <w:color w:val="auto"/>
                <w:spacing w:val="1"/>
                <w:sz w:val="20"/>
                <w:szCs w:val="20"/>
                <w:highlight w:val="none"/>
              </w:rPr>
              <w:t>月</w:t>
            </w:r>
            <w:r>
              <w:rPr>
                <w:rFonts w:hint="eastAsia"/>
                <w:color w:val="auto"/>
                <w:spacing w:val="4"/>
                <w:sz w:val="20"/>
                <w:szCs w:val="20"/>
                <w:highlight w:val="none"/>
                <w:u w:val="single" w:color="auto"/>
                <w:lang w:val="en-US" w:eastAsia="zh-CN"/>
              </w:rPr>
              <w:t xml:space="preserve">   </w:t>
            </w:r>
            <w:r>
              <w:rPr>
                <w:rFonts w:ascii="宋体" w:hAnsi="宋体" w:eastAsia="宋体" w:cs="宋体"/>
                <w:color w:val="auto"/>
                <w:spacing w:val="1"/>
                <w:sz w:val="20"/>
                <w:szCs w:val="20"/>
                <w:highlight w:val="none"/>
              </w:rPr>
              <w:t>日</w:t>
            </w:r>
            <w:r>
              <w:rPr>
                <w:rFonts w:hint="eastAsia"/>
                <w:color w:val="auto"/>
                <w:spacing w:val="4"/>
                <w:sz w:val="20"/>
                <w:szCs w:val="20"/>
                <w:highlight w:val="none"/>
                <w:u w:val="single" w:color="auto"/>
                <w:lang w:val="en-US" w:eastAsia="zh-CN"/>
              </w:rPr>
              <w:t xml:space="preserve">   </w:t>
            </w:r>
            <w:r>
              <w:rPr>
                <w:rFonts w:ascii="宋体" w:hAnsi="宋体" w:eastAsia="宋体" w:cs="宋体"/>
                <w:color w:val="auto"/>
                <w:spacing w:val="1"/>
                <w:sz w:val="20"/>
                <w:szCs w:val="20"/>
                <w:highlight w:val="none"/>
              </w:rPr>
              <w:t>时</w:t>
            </w:r>
            <w:r>
              <w:rPr>
                <w:rFonts w:hint="eastAsia"/>
                <w:color w:val="auto"/>
                <w:spacing w:val="4"/>
                <w:sz w:val="20"/>
                <w:szCs w:val="20"/>
                <w:highlight w:val="none"/>
                <w:u w:val="single" w:color="auto"/>
                <w:lang w:val="en-US" w:eastAsia="zh-CN"/>
              </w:rPr>
              <w:t xml:space="preserve">   </w:t>
            </w:r>
            <w:r>
              <w:rPr>
                <w:color w:val="auto"/>
                <w:spacing w:val="1"/>
                <w:sz w:val="20"/>
                <w:szCs w:val="20"/>
                <w:highlight w:val="none"/>
              </w:rPr>
              <w:t>分前不得开启</w:t>
            </w:r>
          </w:p>
          <w:p>
            <w:pPr>
              <w:pStyle w:val="17"/>
              <w:spacing w:before="27" w:line="228" w:lineRule="auto"/>
              <w:ind w:left="131"/>
              <w:rPr>
                <w:color w:val="auto"/>
                <w:sz w:val="20"/>
                <w:szCs w:val="20"/>
                <w:highlight w:val="none"/>
              </w:rPr>
            </w:pPr>
            <w:r>
              <w:rPr>
                <w:color w:val="auto"/>
                <w:spacing w:val="8"/>
                <w:sz w:val="20"/>
                <w:szCs w:val="20"/>
                <w:highlight w:val="none"/>
              </w:rPr>
              <w:t>投标人名称：</w:t>
            </w:r>
            <w:r>
              <w:rPr>
                <w:color w:val="auto"/>
                <w:sz w:val="20"/>
                <w:szCs w:val="20"/>
                <w:highlight w:val="none"/>
                <w:u w:val="single" w:color="auto"/>
              </w:rPr>
              <w:t xml:space="preserve">                    </w:t>
            </w:r>
          </w:p>
          <w:p>
            <w:pPr>
              <w:pStyle w:val="17"/>
              <w:spacing w:before="295" w:line="226" w:lineRule="auto"/>
              <w:ind w:left="131"/>
              <w:rPr>
                <w:color w:val="auto"/>
                <w:sz w:val="20"/>
                <w:szCs w:val="20"/>
                <w:highlight w:val="none"/>
              </w:rPr>
            </w:pPr>
            <w:r>
              <w:rPr>
                <w:color w:val="auto"/>
                <w:spacing w:val="9"/>
                <w:sz w:val="20"/>
                <w:szCs w:val="20"/>
                <w:highlight w:val="none"/>
                <w14:textOutline w14:w="3795" w14:cap="sq" w14:cmpd="sng">
                  <w14:solidFill>
                    <w14:srgbClr w14:val="000000"/>
                  </w14:solidFill>
                  <w14:prstDash w14:val="solid"/>
                  <w14:bevel/>
                </w14:textOutline>
              </w:rPr>
              <w:t>投标文件第二个信封（报价文件）封套：</w:t>
            </w:r>
          </w:p>
          <w:p>
            <w:pPr>
              <w:pStyle w:val="17"/>
              <w:spacing w:before="29" w:line="228" w:lineRule="auto"/>
              <w:ind w:left="129"/>
              <w:rPr>
                <w:rFonts w:hint="eastAsia" w:eastAsia="宋体"/>
                <w:color w:val="auto"/>
                <w:sz w:val="20"/>
                <w:szCs w:val="20"/>
                <w:highlight w:val="none"/>
                <w:lang w:eastAsia="zh-CN"/>
              </w:rPr>
            </w:pPr>
            <w:r>
              <w:rPr>
                <w:color w:val="auto"/>
                <w:spacing w:val="8"/>
                <w:sz w:val="20"/>
                <w:szCs w:val="20"/>
                <w:highlight w:val="none"/>
              </w:rPr>
              <w:t>招标人名称：</w:t>
            </w:r>
            <w:r>
              <w:rPr>
                <w:rFonts w:hint="eastAsia"/>
                <w:color w:val="auto"/>
                <w:spacing w:val="8"/>
                <w:sz w:val="20"/>
                <w:szCs w:val="20"/>
                <w:highlight w:val="none"/>
                <w:u w:val="single"/>
                <w:lang w:eastAsia="zh-CN"/>
              </w:rPr>
              <w:t>阳西县程村镇人民政府</w:t>
            </w:r>
          </w:p>
          <w:p>
            <w:pPr>
              <w:pStyle w:val="17"/>
              <w:tabs>
                <w:tab w:val="left" w:pos="960"/>
              </w:tabs>
              <w:spacing w:before="26" w:line="238" w:lineRule="auto"/>
              <w:ind w:left="128" w:right="122" w:hanging="8"/>
              <w:rPr>
                <w:color w:val="auto"/>
                <w:sz w:val="20"/>
                <w:szCs w:val="20"/>
                <w:highlight w:val="none"/>
              </w:rPr>
            </w:pPr>
            <w:r>
              <w:rPr>
                <w:color w:val="auto"/>
                <w:spacing w:val="8"/>
                <w:sz w:val="20"/>
                <w:szCs w:val="20"/>
                <w:highlight w:val="none"/>
              </w:rPr>
              <w:t>招标人地址：</w:t>
            </w:r>
            <w:r>
              <w:rPr>
                <w:rFonts w:hint="eastAsia"/>
                <w:color w:val="auto"/>
                <w:spacing w:val="8"/>
                <w:sz w:val="20"/>
                <w:szCs w:val="20"/>
                <w:highlight w:val="none"/>
                <w:u w:val="single"/>
                <w:lang w:eastAsia="zh-CN"/>
              </w:rPr>
              <w:t>阳江市阳西县程村镇东升大道一号</w:t>
            </w:r>
            <w:r>
              <w:rPr>
                <w:color w:val="auto"/>
                <w:sz w:val="20"/>
                <w:szCs w:val="20"/>
                <w:highlight w:val="none"/>
                <w:u w:val="single" w:color="auto"/>
              </w:rPr>
              <w:tab/>
            </w:r>
            <w:r>
              <w:rPr>
                <w:rFonts w:hint="eastAsia"/>
                <w:color w:val="auto"/>
                <w:sz w:val="20"/>
                <w:szCs w:val="20"/>
                <w:highlight w:val="none"/>
                <w:u w:val="single" w:color="auto"/>
                <w:lang w:eastAsia="zh-CN"/>
              </w:rPr>
              <w:t>阳西县2023-2024年普通省道联结工程 (程村镇Y046线程石线-文山朗村)</w:t>
            </w:r>
            <w:r>
              <w:rPr>
                <w:color w:val="auto"/>
                <w:spacing w:val="5"/>
                <w:sz w:val="20"/>
                <w:szCs w:val="20"/>
                <w:highlight w:val="none"/>
              </w:rPr>
              <w:t>施工招标</w:t>
            </w:r>
            <w:r>
              <w:rPr>
                <w:color w:val="auto"/>
                <w:spacing w:val="6"/>
                <w:sz w:val="20"/>
                <w:szCs w:val="20"/>
                <w:highlight w:val="none"/>
              </w:rPr>
              <w:t>第二个信封(报价文件）投标文件</w:t>
            </w:r>
          </w:p>
          <w:p>
            <w:pPr>
              <w:pStyle w:val="17"/>
              <w:spacing w:before="29" w:line="226" w:lineRule="auto"/>
              <w:ind w:left="128"/>
              <w:rPr>
                <w:color w:val="auto"/>
                <w:sz w:val="20"/>
                <w:szCs w:val="20"/>
                <w:highlight w:val="none"/>
              </w:rPr>
            </w:pPr>
            <w:r>
              <w:rPr>
                <w:color w:val="auto"/>
                <w:spacing w:val="8"/>
                <w:sz w:val="20"/>
                <w:szCs w:val="20"/>
                <w:highlight w:val="none"/>
              </w:rPr>
              <w:t>在投标文件第二个信封（报价文件）开标前不得开启</w:t>
            </w:r>
          </w:p>
          <w:p>
            <w:pPr>
              <w:pStyle w:val="17"/>
              <w:spacing w:before="27" w:line="228" w:lineRule="auto"/>
              <w:ind w:left="131"/>
              <w:rPr>
                <w:color w:val="auto"/>
                <w:sz w:val="20"/>
                <w:szCs w:val="20"/>
                <w:highlight w:val="none"/>
              </w:rPr>
            </w:pPr>
            <w:r>
              <w:rPr>
                <w:color w:val="auto"/>
                <w:spacing w:val="8"/>
                <w:sz w:val="20"/>
                <w:szCs w:val="20"/>
                <w:highlight w:val="none"/>
              </w:rPr>
              <w:t>投标人名称：</w:t>
            </w:r>
            <w:r>
              <w:rPr>
                <w:color w:val="auto"/>
                <w:sz w:val="20"/>
                <w:szCs w:val="20"/>
                <w:highlight w:val="none"/>
                <w:u w:val="single" w:color="auto"/>
              </w:rPr>
              <w:t xml:space="preserve">                    </w:t>
            </w:r>
          </w:p>
          <w:p>
            <w:pPr>
              <w:pStyle w:val="17"/>
              <w:spacing w:before="26" w:line="228" w:lineRule="auto"/>
              <w:ind w:left="131"/>
              <w:rPr>
                <w:color w:val="auto"/>
                <w:sz w:val="20"/>
                <w:szCs w:val="20"/>
                <w:highlight w:val="none"/>
              </w:rPr>
            </w:pPr>
            <w:r>
              <w:rPr>
                <w:color w:val="auto"/>
                <w:spacing w:val="8"/>
                <w:sz w:val="20"/>
                <w:szCs w:val="20"/>
                <w:highlight w:val="none"/>
              </w:rPr>
              <w:t>投标人地址：</w:t>
            </w:r>
            <w:r>
              <w:rPr>
                <w:color w:val="auto"/>
                <w:sz w:val="20"/>
                <w:szCs w:val="20"/>
                <w:highlight w:val="none"/>
                <w:u w:val="single" w:color="auto"/>
              </w:rPr>
              <w:t xml:space="preserve">                    </w:t>
            </w:r>
          </w:p>
          <w:p>
            <w:pPr>
              <w:pStyle w:val="17"/>
              <w:spacing w:before="297" w:line="228" w:lineRule="auto"/>
              <w:ind w:left="129"/>
              <w:rPr>
                <w:color w:val="auto"/>
                <w:sz w:val="20"/>
                <w:szCs w:val="20"/>
                <w:highlight w:val="none"/>
              </w:rPr>
            </w:pPr>
            <w:r>
              <w:rPr>
                <w:color w:val="auto"/>
                <w:spacing w:val="-1"/>
                <w:sz w:val="20"/>
                <w:szCs w:val="20"/>
                <w:highlight w:val="none"/>
                <w14:textOutline w14:w="3795" w14:cap="sq" w14:cmpd="sng">
                  <w14:solidFill>
                    <w14:srgbClr w14:val="000000"/>
                  </w14:solidFill>
                  <w14:prstDash w14:val="solid"/>
                  <w14:bevel/>
                </w14:textOutline>
              </w:rPr>
              <w:t>银行保函（或其他形式投标保证金凭证）封套（如有</w:t>
            </w:r>
            <w:r>
              <w:rPr>
                <w:color w:val="auto"/>
                <w:spacing w:val="-49"/>
                <w:sz w:val="20"/>
                <w:szCs w:val="20"/>
                <w:highlight w:val="none"/>
                <w14:textOutline w14:w="3795" w14:cap="sq" w14:cmpd="sng">
                  <w14:solidFill>
                    <w14:srgbClr w14:val="000000"/>
                  </w14:solidFill>
                  <w14:prstDash w14:val="solid"/>
                  <w14:bevel/>
                </w14:textOutline>
              </w:rPr>
              <w:t>）：</w:t>
            </w:r>
          </w:p>
          <w:p>
            <w:pPr>
              <w:pStyle w:val="17"/>
              <w:spacing w:before="25" w:line="228" w:lineRule="auto"/>
              <w:ind w:left="129"/>
              <w:rPr>
                <w:color w:val="auto"/>
                <w:sz w:val="20"/>
                <w:szCs w:val="20"/>
                <w:highlight w:val="none"/>
              </w:rPr>
            </w:pPr>
            <w:r>
              <w:rPr>
                <w:color w:val="auto"/>
                <w:spacing w:val="8"/>
                <w:sz w:val="20"/>
                <w:szCs w:val="20"/>
                <w:highlight w:val="none"/>
              </w:rPr>
              <w:t>招标人名称：</w:t>
            </w:r>
            <w:r>
              <w:rPr>
                <w:rFonts w:hint="eastAsia"/>
                <w:color w:val="auto"/>
                <w:spacing w:val="8"/>
                <w:sz w:val="20"/>
                <w:szCs w:val="20"/>
                <w:highlight w:val="none"/>
                <w:u w:val="single"/>
                <w:lang w:eastAsia="zh-CN"/>
              </w:rPr>
              <w:t>阳西县程村镇人民政府</w:t>
            </w:r>
            <w:r>
              <w:rPr>
                <w:color w:val="auto"/>
                <w:sz w:val="20"/>
                <w:szCs w:val="20"/>
                <w:highlight w:val="none"/>
                <w:u w:val="single" w:color="auto"/>
              </w:rPr>
              <w:t xml:space="preserve"> </w:t>
            </w:r>
          </w:p>
          <w:p>
            <w:pPr>
              <w:pStyle w:val="17"/>
              <w:tabs>
                <w:tab w:val="left" w:pos="960"/>
              </w:tabs>
              <w:spacing w:before="24"/>
              <w:ind w:left="131" w:right="121" w:hanging="11"/>
              <w:rPr>
                <w:color w:val="auto"/>
                <w:sz w:val="20"/>
                <w:szCs w:val="20"/>
                <w:highlight w:val="none"/>
              </w:rPr>
            </w:pPr>
            <w:r>
              <w:rPr>
                <w:color w:val="auto"/>
                <w:spacing w:val="8"/>
                <w:sz w:val="20"/>
                <w:szCs w:val="20"/>
                <w:highlight w:val="none"/>
              </w:rPr>
              <w:t>招标人地址：</w:t>
            </w:r>
            <w:r>
              <w:rPr>
                <w:rFonts w:hint="eastAsia"/>
                <w:color w:val="auto"/>
                <w:spacing w:val="8"/>
                <w:sz w:val="20"/>
                <w:szCs w:val="20"/>
                <w:highlight w:val="none"/>
                <w:u w:val="single"/>
                <w:lang w:eastAsia="zh-CN"/>
              </w:rPr>
              <w:t>阳江市阳西县程村镇东升大道一号</w:t>
            </w:r>
            <w:r>
              <w:rPr>
                <w:color w:val="auto"/>
                <w:sz w:val="20"/>
                <w:szCs w:val="20"/>
                <w:highlight w:val="none"/>
                <w:u w:val="single" w:color="auto"/>
              </w:rPr>
              <w:tab/>
            </w:r>
            <w:r>
              <w:rPr>
                <w:rFonts w:hint="eastAsia"/>
                <w:color w:val="auto"/>
                <w:sz w:val="20"/>
                <w:szCs w:val="20"/>
                <w:highlight w:val="none"/>
                <w:u w:val="single" w:color="auto"/>
                <w:lang w:eastAsia="zh-CN"/>
              </w:rPr>
              <w:t>阳西县2023-2024年普通省道联结工程 (程村镇Y046线程石线-文山朗村)</w:t>
            </w:r>
            <w:r>
              <w:rPr>
                <w:color w:val="auto"/>
                <w:spacing w:val="5"/>
                <w:sz w:val="20"/>
                <w:szCs w:val="20"/>
                <w:highlight w:val="none"/>
              </w:rPr>
              <w:t>施工招标</w:t>
            </w:r>
            <w:r>
              <w:rPr>
                <w:color w:val="auto"/>
                <w:sz w:val="20"/>
                <w:szCs w:val="20"/>
                <w:highlight w:val="none"/>
              </w:rPr>
              <w:t xml:space="preserve"> </w:t>
            </w:r>
            <w:r>
              <w:rPr>
                <w:color w:val="auto"/>
                <w:spacing w:val="6"/>
                <w:sz w:val="20"/>
                <w:szCs w:val="20"/>
                <w:highlight w:val="none"/>
              </w:rPr>
              <w:t>投标保证金</w:t>
            </w:r>
            <w:r>
              <w:rPr>
                <w:color w:val="auto"/>
                <w:spacing w:val="61"/>
                <w:sz w:val="20"/>
                <w:szCs w:val="20"/>
                <w:highlight w:val="none"/>
              </w:rPr>
              <w:t xml:space="preserve"> </w:t>
            </w:r>
            <w:r>
              <w:rPr>
                <w:color w:val="auto"/>
                <w:spacing w:val="6"/>
                <w:sz w:val="20"/>
                <w:szCs w:val="20"/>
                <w:highlight w:val="none"/>
              </w:rPr>
              <w:t>(银行保函或其他形式投标保证金凭证）</w:t>
            </w:r>
          </w:p>
          <w:p>
            <w:pPr>
              <w:pStyle w:val="17"/>
              <w:spacing w:before="25" w:line="228" w:lineRule="auto"/>
              <w:ind w:left="131"/>
              <w:rPr>
                <w:color w:val="auto"/>
                <w:sz w:val="20"/>
                <w:szCs w:val="20"/>
                <w:highlight w:val="none"/>
              </w:rPr>
            </w:pPr>
            <w:r>
              <w:rPr>
                <w:color w:val="auto"/>
                <w:spacing w:val="8"/>
                <w:sz w:val="20"/>
                <w:szCs w:val="20"/>
                <w:highlight w:val="none"/>
              </w:rPr>
              <w:t>投标人名称：</w:t>
            </w:r>
            <w:r>
              <w:rPr>
                <w:color w:val="auto"/>
                <w:sz w:val="20"/>
                <w:szCs w:val="20"/>
                <w:highlight w:val="none"/>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766" w:hRule="atLeast"/>
        </w:trPr>
        <w:tc>
          <w:tcPr>
            <w:tcW w:w="1075" w:type="dxa"/>
            <w:gridSpan w:val="2"/>
            <w:tcBorders>
              <w:left w:val="single" w:color="000000" w:sz="10" w:space="0"/>
              <w:bottom w:val="single" w:color="000000" w:sz="10" w:space="0"/>
            </w:tcBorders>
            <w:vAlign w:val="top"/>
          </w:tcPr>
          <w:p>
            <w:pPr>
              <w:spacing w:line="255" w:lineRule="auto"/>
              <w:rPr>
                <w:rFonts w:ascii="Arial"/>
                <w:color w:val="auto"/>
                <w:sz w:val="21"/>
                <w:highlight w:val="none"/>
              </w:rPr>
            </w:pPr>
          </w:p>
          <w:p>
            <w:pPr>
              <w:pStyle w:val="17"/>
              <w:spacing w:before="65" w:line="189" w:lineRule="auto"/>
              <w:ind w:left="271"/>
              <w:rPr>
                <w:color w:val="auto"/>
                <w:sz w:val="20"/>
                <w:szCs w:val="20"/>
                <w:highlight w:val="none"/>
              </w:rPr>
            </w:pPr>
            <w:r>
              <w:rPr>
                <w:color w:val="auto"/>
                <w:spacing w:val="3"/>
                <w:sz w:val="20"/>
                <w:szCs w:val="20"/>
                <w:highlight w:val="none"/>
              </w:rPr>
              <w:t>4.2.3</w:t>
            </w:r>
          </w:p>
        </w:tc>
        <w:tc>
          <w:tcPr>
            <w:tcW w:w="2945" w:type="dxa"/>
            <w:gridSpan w:val="3"/>
            <w:tcBorders>
              <w:bottom w:val="single" w:color="000000" w:sz="10" w:space="0"/>
            </w:tcBorders>
            <w:vAlign w:val="top"/>
          </w:tcPr>
          <w:p>
            <w:pPr>
              <w:pStyle w:val="17"/>
              <w:spacing w:before="288" w:line="228" w:lineRule="auto"/>
              <w:ind w:left="612"/>
              <w:rPr>
                <w:color w:val="auto"/>
                <w:sz w:val="20"/>
                <w:szCs w:val="20"/>
                <w:highlight w:val="none"/>
              </w:rPr>
            </w:pPr>
            <w:r>
              <w:rPr>
                <w:color w:val="auto"/>
                <w:spacing w:val="8"/>
                <w:sz w:val="20"/>
                <w:szCs w:val="20"/>
                <w:highlight w:val="none"/>
              </w:rPr>
              <w:t>是否退还投标文件</w:t>
            </w:r>
          </w:p>
        </w:tc>
        <w:tc>
          <w:tcPr>
            <w:tcW w:w="5020" w:type="dxa"/>
            <w:gridSpan w:val="2"/>
            <w:tcBorders>
              <w:bottom w:val="single" w:color="000000" w:sz="10" w:space="0"/>
              <w:right w:val="single" w:color="000000" w:sz="10" w:space="0"/>
            </w:tcBorders>
            <w:vAlign w:val="top"/>
          </w:tcPr>
          <w:p>
            <w:pPr>
              <w:pStyle w:val="17"/>
              <w:spacing w:before="154" w:line="228" w:lineRule="auto"/>
              <w:ind w:left="150"/>
              <w:rPr>
                <w:color w:val="auto"/>
                <w:sz w:val="20"/>
                <w:szCs w:val="20"/>
                <w:highlight w:val="none"/>
              </w:rPr>
            </w:pPr>
            <w:r>
              <w:rPr>
                <w:rFonts w:hint="eastAsia"/>
                <w:color w:val="auto"/>
                <w:spacing w:val="-5"/>
                <w:sz w:val="20"/>
                <w:szCs w:val="20"/>
                <w:highlight w:val="none"/>
                <w:lang w:eastAsia="zh-CN"/>
              </w:rPr>
              <w:t>☑</w:t>
            </w:r>
            <w:r>
              <w:rPr>
                <w:color w:val="auto"/>
                <w:spacing w:val="-5"/>
                <w:sz w:val="20"/>
                <w:szCs w:val="20"/>
                <w:highlight w:val="none"/>
              </w:rPr>
              <w:t>否</w:t>
            </w:r>
          </w:p>
          <w:p>
            <w:pPr>
              <w:pStyle w:val="17"/>
              <w:spacing w:before="23" w:line="230" w:lineRule="auto"/>
              <w:ind w:left="150"/>
              <w:rPr>
                <w:color w:val="auto"/>
                <w:sz w:val="20"/>
                <w:szCs w:val="20"/>
                <w:highlight w:val="none"/>
              </w:rPr>
            </w:pPr>
            <w:r>
              <w:rPr>
                <w:color w:val="auto"/>
                <w:spacing w:val="4"/>
                <w:sz w:val="20"/>
                <w:szCs w:val="20"/>
                <w:highlight w:val="none"/>
              </w:rPr>
              <w:t>□是，退还时间：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90" w:hRule="atLeast"/>
        </w:trPr>
        <w:tc>
          <w:tcPr>
            <w:tcW w:w="1075" w:type="dxa"/>
            <w:gridSpan w:val="2"/>
            <w:tcBorders>
              <w:top w:val="single" w:color="000000" w:sz="10" w:space="0"/>
              <w:left w:val="single" w:color="000000" w:sz="10" w:space="0"/>
            </w:tcBorders>
            <w:vAlign w:val="top"/>
          </w:tcPr>
          <w:p>
            <w:pPr>
              <w:spacing w:line="246"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pStyle w:val="17"/>
              <w:spacing w:before="65" w:line="331" w:lineRule="exact"/>
              <w:ind w:left="329"/>
              <w:rPr>
                <w:color w:val="auto"/>
                <w:sz w:val="10"/>
                <w:szCs w:val="10"/>
                <w:highlight w:val="none"/>
              </w:rPr>
            </w:pPr>
            <w:r>
              <w:rPr>
                <w:color w:val="auto"/>
                <w:spacing w:val="2"/>
                <w:position w:val="1"/>
                <w:sz w:val="20"/>
                <w:szCs w:val="20"/>
                <w:highlight w:val="none"/>
              </w:rPr>
              <w:t>5.</w:t>
            </w:r>
            <w:r>
              <w:rPr>
                <w:color w:val="auto"/>
                <w:highlight w:val="none"/>
              </w:rPr>
              <w:fldChar w:fldCharType="begin"/>
            </w:r>
            <w:r>
              <w:rPr>
                <w:color w:val="auto"/>
                <w:highlight w:val="none"/>
              </w:rPr>
              <w:instrText xml:space="preserve"> HYPERLINK \l "bookmark29" </w:instrText>
            </w:r>
            <w:r>
              <w:rPr>
                <w:color w:val="auto"/>
                <w:highlight w:val="none"/>
              </w:rPr>
              <w:fldChar w:fldCharType="separate"/>
            </w:r>
            <w:r>
              <w:rPr>
                <w:color w:val="auto"/>
                <w:spacing w:val="2"/>
                <w:position w:val="4"/>
                <w:sz w:val="20"/>
                <w:szCs w:val="20"/>
                <w:highlight w:val="none"/>
              </w:rPr>
              <w:t>1</w:t>
            </w:r>
            <w:r>
              <w:rPr>
                <w:color w:val="auto"/>
                <w:spacing w:val="2"/>
                <w:position w:val="4"/>
                <w:sz w:val="10"/>
                <w:szCs w:val="10"/>
                <w:highlight w:val="none"/>
              </w:rPr>
              <w:t>①</w:t>
            </w:r>
            <w:r>
              <w:rPr>
                <w:color w:val="auto"/>
                <w:spacing w:val="2"/>
                <w:position w:val="4"/>
                <w:sz w:val="10"/>
                <w:szCs w:val="10"/>
                <w:highlight w:val="none"/>
              </w:rPr>
              <w:fldChar w:fldCharType="end"/>
            </w:r>
          </w:p>
        </w:tc>
        <w:tc>
          <w:tcPr>
            <w:tcW w:w="2945" w:type="dxa"/>
            <w:gridSpan w:val="3"/>
            <w:tcBorders>
              <w:top w:val="single" w:color="000000" w:sz="10" w:space="0"/>
            </w:tcBorders>
            <w:vAlign w:val="top"/>
          </w:tcPr>
          <w:p>
            <w:pPr>
              <w:spacing w:line="257" w:lineRule="auto"/>
              <w:rPr>
                <w:rFonts w:ascii="Arial"/>
                <w:color w:val="auto"/>
                <w:sz w:val="21"/>
                <w:highlight w:val="none"/>
              </w:rPr>
            </w:pPr>
          </w:p>
          <w:p>
            <w:pPr>
              <w:spacing w:line="257" w:lineRule="auto"/>
              <w:rPr>
                <w:rFonts w:ascii="Arial"/>
                <w:color w:val="auto"/>
                <w:sz w:val="21"/>
                <w:highlight w:val="none"/>
              </w:rPr>
            </w:pPr>
          </w:p>
          <w:p>
            <w:pPr>
              <w:spacing w:line="257" w:lineRule="auto"/>
              <w:rPr>
                <w:rFonts w:ascii="Arial"/>
                <w:color w:val="auto"/>
                <w:sz w:val="21"/>
                <w:highlight w:val="none"/>
              </w:rPr>
            </w:pPr>
          </w:p>
          <w:p>
            <w:pPr>
              <w:pStyle w:val="17"/>
              <w:spacing w:before="65" w:line="228" w:lineRule="auto"/>
              <w:ind w:left="713"/>
              <w:rPr>
                <w:color w:val="auto"/>
                <w:sz w:val="20"/>
                <w:szCs w:val="20"/>
                <w:highlight w:val="none"/>
              </w:rPr>
            </w:pPr>
            <w:r>
              <w:rPr>
                <w:color w:val="auto"/>
                <w:spacing w:val="8"/>
                <w:sz w:val="20"/>
                <w:szCs w:val="20"/>
                <w:highlight w:val="none"/>
              </w:rPr>
              <w:t>开标时间和地点</w:t>
            </w:r>
          </w:p>
        </w:tc>
        <w:tc>
          <w:tcPr>
            <w:tcW w:w="5020" w:type="dxa"/>
            <w:gridSpan w:val="2"/>
            <w:tcBorders>
              <w:top w:val="single" w:color="000000" w:sz="10" w:space="0"/>
              <w:right w:val="single" w:color="000000" w:sz="10" w:space="0"/>
            </w:tcBorders>
            <w:vAlign w:val="top"/>
          </w:tcPr>
          <w:p>
            <w:pPr>
              <w:pStyle w:val="17"/>
              <w:spacing w:before="160"/>
              <w:ind w:left="148" w:right="155" w:hanging="17"/>
              <w:rPr>
                <w:color w:val="auto"/>
                <w:sz w:val="20"/>
                <w:szCs w:val="20"/>
                <w:highlight w:val="none"/>
              </w:rPr>
            </w:pPr>
            <w:r>
              <w:rPr>
                <w:color w:val="auto"/>
                <w:spacing w:val="7"/>
                <w:sz w:val="20"/>
                <w:szCs w:val="20"/>
                <w:highlight w:val="none"/>
              </w:rPr>
              <w:t>投标文件第一个信封（商务及技术文件）开标时间：</w:t>
            </w:r>
            <w:r>
              <w:rPr>
                <w:color w:val="auto"/>
                <w:spacing w:val="3"/>
                <w:sz w:val="20"/>
                <w:szCs w:val="20"/>
                <w:highlight w:val="none"/>
              </w:rPr>
              <w:t xml:space="preserve"> </w:t>
            </w:r>
            <w:r>
              <w:rPr>
                <w:color w:val="auto"/>
                <w:spacing w:val="5"/>
                <w:sz w:val="20"/>
                <w:szCs w:val="20"/>
                <w:highlight w:val="none"/>
              </w:rPr>
              <w:t>同投标截止时间</w:t>
            </w:r>
          </w:p>
          <w:p>
            <w:pPr>
              <w:pStyle w:val="17"/>
              <w:spacing w:before="24"/>
              <w:ind w:left="148" w:right="155" w:hanging="17"/>
              <w:rPr>
                <w:color w:val="auto"/>
                <w:sz w:val="20"/>
                <w:szCs w:val="20"/>
                <w:highlight w:val="none"/>
              </w:rPr>
            </w:pPr>
            <w:r>
              <w:rPr>
                <w:color w:val="auto"/>
                <w:spacing w:val="7"/>
                <w:sz w:val="20"/>
                <w:szCs w:val="20"/>
                <w:highlight w:val="none"/>
              </w:rPr>
              <w:t>投标文件第一个信封（商务及技术文件）开标地点：</w:t>
            </w:r>
            <w:r>
              <w:rPr>
                <w:color w:val="auto"/>
                <w:spacing w:val="3"/>
                <w:sz w:val="20"/>
                <w:szCs w:val="20"/>
                <w:highlight w:val="none"/>
              </w:rPr>
              <w:t xml:space="preserve"> </w:t>
            </w:r>
            <w:r>
              <w:rPr>
                <w:color w:val="auto"/>
                <w:spacing w:val="6"/>
                <w:sz w:val="20"/>
                <w:szCs w:val="20"/>
                <w:highlight w:val="none"/>
              </w:rPr>
              <w:t>同递交投标文件地点</w:t>
            </w:r>
          </w:p>
          <w:p>
            <w:pPr>
              <w:pStyle w:val="17"/>
              <w:spacing w:before="25" w:line="238" w:lineRule="auto"/>
              <w:ind w:left="131" w:right="122"/>
              <w:rPr>
                <w:color w:val="auto"/>
                <w:spacing w:val="9"/>
                <w:sz w:val="20"/>
                <w:szCs w:val="20"/>
                <w:highlight w:val="none"/>
              </w:rPr>
            </w:pPr>
            <w:r>
              <w:rPr>
                <w:color w:val="auto"/>
                <w:spacing w:val="9"/>
                <w:sz w:val="20"/>
                <w:szCs w:val="20"/>
                <w:highlight w:val="none"/>
              </w:rPr>
              <w:t>投标文件第二个信封（报价文件）开标时间：</w:t>
            </w:r>
          </w:p>
          <w:p>
            <w:pPr>
              <w:pStyle w:val="17"/>
              <w:spacing w:before="25" w:line="238" w:lineRule="auto"/>
              <w:ind w:left="131" w:right="122"/>
              <w:rPr>
                <w:rFonts w:hint="eastAsia"/>
                <w:color w:val="auto"/>
                <w:spacing w:val="9"/>
                <w:sz w:val="20"/>
                <w:szCs w:val="20"/>
                <w:highlight w:val="none"/>
              </w:rPr>
            </w:pPr>
            <w:r>
              <w:rPr>
                <w:rFonts w:hint="eastAsia"/>
                <w:color w:val="auto"/>
                <w:spacing w:val="9"/>
                <w:sz w:val="20"/>
                <w:szCs w:val="20"/>
                <w:highlight w:val="none"/>
              </w:rPr>
              <w:t>第一个信封评审完毕后</w:t>
            </w:r>
          </w:p>
          <w:p>
            <w:pPr>
              <w:pStyle w:val="17"/>
              <w:spacing w:before="25" w:line="238" w:lineRule="auto"/>
              <w:ind w:left="131" w:right="122"/>
              <w:rPr>
                <w:color w:val="auto"/>
                <w:spacing w:val="7"/>
                <w:sz w:val="20"/>
                <w:szCs w:val="20"/>
                <w:highlight w:val="none"/>
              </w:rPr>
            </w:pPr>
            <w:r>
              <w:rPr>
                <w:color w:val="auto"/>
                <w:spacing w:val="7"/>
                <w:sz w:val="20"/>
                <w:szCs w:val="20"/>
                <w:highlight w:val="none"/>
              </w:rPr>
              <w:t>投标文件第二个信封（报价文件）开标地点：</w:t>
            </w:r>
          </w:p>
          <w:p>
            <w:pPr>
              <w:pStyle w:val="17"/>
              <w:spacing w:before="25" w:line="238" w:lineRule="auto"/>
              <w:ind w:left="131" w:right="122"/>
              <w:rPr>
                <w:rFonts w:hint="eastAsia"/>
                <w:color w:val="auto"/>
                <w:spacing w:val="7"/>
                <w:sz w:val="20"/>
                <w:szCs w:val="20"/>
                <w:highlight w:val="none"/>
              </w:rPr>
            </w:pPr>
            <w:r>
              <w:rPr>
                <w:color w:val="auto"/>
                <w:spacing w:val="7"/>
                <w:sz w:val="20"/>
                <w:szCs w:val="20"/>
                <w:highlight w:val="none"/>
              </w:rPr>
              <w:t>同投标</w:t>
            </w:r>
            <w:r>
              <w:rPr>
                <w:rFonts w:hint="eastAsia"/>
                <w:color w:val="auto"/>
                <w:spacing w:val="7"/>
                <w:sz w:val="20"/>
                <w:szCs w:val="20"/>
                <w:highlight w:val="none"/>
              </w:rPr>
              <w:t>文件递交地点</w:t>
            </w:r>
          </w:p>
          <w:p>
            <w:pPr>
              <w:pStyle w:val="17"/>
              <w:spacing w:before="25" w:line="238" w:lineRule="auto"/>
              <w:ind w:left="131" w:right="122"/>
              <w:rPr>
                <w:rFonts w:hint="eastAsia"/>
                <w:color w:val="auto"/>
                <w:spacing w:val="7"/>
                <w:sz w:val="20"/>
                <w:szCs w:val="20"/>
                <w:highlight w:val="none"/>
              </w:rPr>
            </w:pPr>
            <w:r>
              <w:rPr>
                <w:rFonts w:hint="eastAsia"/>
                <w:color w:val="auto"/>
                <w:spacing w:val="7"/>
                <w:sz w:val="20"/>
                <w:szCs w:val="20"/>
                <w:highlight w:val="none"/>
              </w:rPr>
              <w:t>参加开标会议人员要求：</w:t>
            </w:r>
          </w:p>
          <w:p>
            <w:pPr>
              <w:pStyle w:val="17"/>
              <w:spacing w:before="25" w:line="238" w:lineRule="auto"/>
              <w:ind w:left="131" w:right="122"/>
              <w:rPr>
                <w:rFonts w:hint="eastAsia"/>
                <w:color w:val="auto"/>
                <w:spacing w:val="7"/>
                <w:sz w:val="20"/>
                <w:szCs w:val="20"/>
                <w:highlight w:val="none"/>
              </w:rPr>
            </w:pPr>
            <w:r>
              <w:rPr>
                <w:rFonts w:hint="eastAsia"/>
                <w:color w:val="auto"/>
                <w:spacing w:val="7"/>
                <w:sz w:val="20"/>
                <w:szCs w:val="20"/>
                <w:highlight w:val="none"/>
              </w:rPr>
              <w:t>1.参加开标会人员应凭递交本单位介绍信（或法定代表人证明书或授权委托书）及本人身份证进场，并接受交易中心和招标人（或其招标代理机构）的核验。</w:t>
            </w:r>
          </w:p>
          <w:p>
            <w:pPr>
              <w:pStyle w:val="17"/>
              <w:spacing w:before="25" w:line="238" w:lineRule="auto"/>
              <w:ind w:left="131" w:right="122"/>
              <w:rPr>
                <w:rFonts w:hint="eastAsia"/>
                <w:color w:val="auto"/>
                <w:spacing w:val="7"/>
                <w:sz w:val="20"/>
                <w:szCs w:val="20"/>
                <w:highlight w:val="none"/>
              </w:rPr>
            </w:pPr>
            <w:r>
              <w:rPr>
                <w:rFonts w:hint="eastAsia"/>
                <w:color w:val="auto"/>
                <w:spacing w:val="7"/>
                <w:sz w:val="20"/>
                <w:szCs w:val="20"/>
                <w:highlight w:val="none"/>
              </w:rPr>
              <w:t>2.参加开标会的投标人代表不得超过1人，其代表必须为法定代表人或委托代理人，其中委托代理人必须同时是该项目的项目负责人。在开标现场，投标人的法定代表人须提交法定代表人证明书原件及本人身份证原件；委托代理人须提交授权委托书原件和身份证原件，并同时单独提交一份符合要求的本人建造师电子注册证书打印件。</w:t>
            </w:r>
          </w:p>
          <w:p>
            <w:pPr>
              <w:pStyle w:val="17"/>
              <w:spacing w:before="25" w:line="238" w:lineRule="auto"/>
              <w:ind w:left="131" w:right="122"/>
              <w:rPr>
                <w:rFonts w:hint="eastAsia"/>
                <w:color w:val="auto"/>
                <w:spacing w:val="7"/>
                <w:sz w:val="20"/>
                <w:szCs w:val="20"/>
                <w:highlight w:val="none"/>
              </w:rPr>
            </w:pPr>
            <w:r>
              <w:rPr>
                <w:rFonts w:hint="eastAsia"/>
                <w:color w:val="auto"/>
                <w:spacing w:val="7"/>
                <w:sz w:val="20"/>
                <w:szCs w:val="20"/>
                <w:highlight w:val="none"/>
              </w:rPr>
              <w:t>3.投标人代表须在开标现场单独提交一份已加盖本企业公章的本企业基本账户开户许可证复印件（或已加盖本企业公章的本企业基本存款账户信息证明材料）。</w:t>
            </w:r>
          </w:p>
          <w:p>
            <w:pPr>
              <w:pStyle w:val="17"/>
              <w:spacing w:before="25" w:line="238" w:lineRule="auto"/>
              <w:ind w:left="131" w:right="122"/>
              <w:rPr>
                <w:rFonts w:hint="eastAsia"/>
                <w:color w:val="auto"/>
                <w:spacing w:val="7"/>
                <w:sz w:val="20"/>
                <w:szCs w:val="20"/>
                <w:highlight w:val="none"/>
              </w:rPr>
            </w:pPr>
            <w:r>
              <w:rPr>
                <w:rFonts w:hint="eastAsia"/>
                <w:color w:val="auto"/>
                <w:spacing w:val="7"/>
                <w:sz w:val="20"/>
                <w:szCs w:val="20"/>
                <w:highlight w:val="none"/>
              </w:rPr>
              <w:t>注：投标人不符合上述要求的其投标文件视为无效投标文件。</w:t>
            </w:r>
          </w:p>
          <w:p>
            <w:pPr>
              <w:pStyle w:val="17"/>
              <w:spacing w:before="25" w:line="238" w:lineRule="auto"/>
              <w:ind w:left="131" w:right="122"/>
              <w:rPr>
                <w:color w:val="auto"/>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923" w:hRule="atLeast"/>
        </w:trPr>
        <w:tc>
          <w:tcPr>
            <w:tcW w:w="1075" w:type="dxa"/>
            <w:gridSpan w:val="2"/>
            <w:tcBorders>
              <w:left w:val="single" w:color="000000" w:sz="10" w:space="0"/>
            </w:tcBorders>
            <w:vAlign w:val="top"/>
          </w:tcPr>
          <w:p>
            <w:pPr>
              <w:spacing w:line="262" w:lineRule="auto"/>
              <w:rPr>
                <w:rFonts w:ascii="Arial"/>
                <w:color w:val="auto"/>
                <w:sz w:val="21"/>
                <w:highlight w:val="none"/>
              </w:rPr>
            </w:pPr>
          </w:p>
          <w:p>
            <w:pPr>
              <w:pStyle w:val="17"/>
              <w:spacing w:before="65" w:line="331" w:lineRule="exact"/>
              <w:ind w:left="329"/>
              <w:rPr>
                <w:color w:val="auto"/>
                <w:sz w:val="10"/>
                <w:szCs w:val="10"/>
                <w:highlight w:val="none"/>
              </w:rPr>
            </w:pPr>
            <w:r>
              <w:rPr>
                <w:color w:val="auto"/>
                <w:spacing w:val="2"/>
                <w:position w:val="1"/>
                <w:sz w:val="20"/>
                <w:szCs w:val="20"/>
                <w:highlight w:val="none"/>
              </w:rPr>
              <w:t>5.</w:t>
            </w:r>
            <w:r>
              <w:rPr>
                <w:color w:val="auto"/>
                <w:highlight w:val="none"/>
              </w:rPr>
              <w:fldChar w:fldCharType="begin"/>
            </w:r>
            <w:r>
              <w:rPr>
                <w:color w:val="auto"/>
                <w:highlight w:val="none"/>
              </w:rPr>
              <w:instrText xml:space="preserve"> HYPERLINK \l "bookmark30" </w:instrText>
            </w:r>
            <w:r>
              <w:rPr>
                <w:color w:val="auto"/>
                <w:highlight w:val="none"/>
              </w:rPr>
              <w:fldChar w:fldCharType="separate"/>
            </w:r>
            <w:r>
              <w:rPr>
                <w:color w:val="auto"/>
                <w:spacing w:val="2"/>
                <w:position w:val="4"/>
                <w:sz w:val="20"/>
                <w:szCs w:val="20"/>
                <w:highlight w:val="none"/>
              </w:rPr>
              <w:t>1</w:t>
            </w:r>
            <w:r>
              <w:rPr>
                <w:color w:val="auto"/>
                <w:spacing w:val="2"/>
                <w:position w:val="4"/>
                <w:sz w:val="10"/>
                <w:szCs w:val="10"/>
                <w:highlight w:val="none"/>
              </w:rPr>
              <w:t>②</w:t>
            </w:r>
            <w:r>
              <w:rPr>
                <w:color w:val="auto"/>
                <w:spacing w:val="2"/>
                <w:position w:val="4"/>
                <w:sz w:val="10"/>
                <w:szCs w:val="10"/>
                <w:highlight w:val="none"/>
              </w:rPr>
              <w:fldChar w:fldCharType="end"/>
            </w:r>
          </w:p>
        </w:tc>
        <w:tc>
          <w:tcPr>
            <w:tcW w:w="2945" w:type="dxa"/>
            <w:gridSpan w:val="3"/>
            <w:vAlign w:val="top"/>
          </w:tcPr>
          <w:p>
            <w:pPr>
              <w:spacing w:line="293" w:lineRule="auto"/>
              <w:rPr>
                <w:rFonts w:ascii="Arial"/>
                <w:color w:val="auto"/>
                <w:sz w:val="21"/>
                <w:highlight w:val="none"/>
              </w:rPr>
            </w:pPr>
          </w:p>
          <w:p>
            <w:pPr>
              <w:pStyle w:val="17"/>
              <w:spacing w:before="65" w:line="228" w:lineRule="auto"/>
              <w:ind w:left="713"/>
              <w:rPr>
                <w:color w:val="auto"/>
                <w:sz w:val="20"/>
                <w:szCs w:val="20"/>
                <w:highlight w:val="none"/>
              </w:rPr>
            </w:pPr>
            <w:r>
              <w:rPr>
                <w:color w:val="auto"/>
                <w:spacing w:val="8"/>
                <w:sz w:val="20"/>
                <w:szCs w:val="20"/>
                <w:highlight w:val="none"/>
              </w:rPr>
              <w:t>开标时间和地点</w:t>
            </w:r>
          </w:p>
        </w:tc>
        <w:tc>
          <w:tcPr>
            <w:tcW w:w="5020" w:type="dxa"/>
            <w:gridSpan w:val="2"/>
            <w:tcBorders>
              <w:right w:val="single" w:color="000000" w:sz="10" w:space="0"/>
            </w:tcBorders>
            <w:vAlign w:val="top"/>
          </w:tcPr>
          <w:p>
            <w:pPr>
              <w:pStyle w:val="17"/>
              <w:spacing w:before="225" w:line="228" w:lineRule="auto"/>
              <w:ind w:left="129"/>
              <w:rPr>
                <w:color w:val="auto"/>
                <w:sz w:val="20"/>
                <w:szCs w:val="20"/>
                <w:highlight w:val="none"/>
              </w:rPr>
            </w:pPr>
            <w:r>
              <w:rPr>
                <w:color w:val="auto"/>
                <w:spacing w:val="9"/>
                <w:sz w:val="20"/>
                <w:szCs w:val="20"/>
                <w:highlight w:val="none"/>
              </w:rPr>
              <w:t>开标时间：同投标截止时间</w:t>
            </w:r>
          </w:p>
          <w:p>
            <w:pPr>
              <w:pStyle w:val="17"/>
              <w:spacing w:before="23" w:line="228" w:lineRule="auto"/>
              <w:ind w:left="129"/>
              <w:rPr>
                <w:color w:val="auto"/>
                <w:sz w:val="20"/>
                <w:szCs w:val="20"/>
                <w:highlight w:val="none"/>
              </w:rPr>
            </w:pPr>
            <w:r>
              <w:rPr>
                <w:color w:val="auto"/>
                <w:spacing w:val="9"/>
                <w:sz w:val="20"/>
                <w:szCs w:val="20"/>
                <w:highlight w:val="none"/>
              </w:rPr>
              <w:t>开标地点：同递交投标文件地点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1048" w:hRule="atLeast"/>
        </w:trPr>
        <w:tc>
          <w:tcPr>
            <w:tcW w:w="1075" w:type="dxa"/>
            <w:gridSpan w:val="2"/>
            <w:tcBorders>
              <w:left w:val="single" w:color="000000" w:sz="10" w:space="0"/>
            </w:tcBorders>
            <w:vAlign w:val="top"/>
          </w:tcPr>
          <w:p>
            <w:pPr>
              <w:spacing w:line="340" w:lineRule="auto"/>
              <w:rPr>
                <w:rFonts w:ascii="Arial"/>
                <w:color w:val="auto"/>
                <w:sz w:val="21"/>
                <w:highlight w:val="none"/>
              </w:rPr>
            </w:pPr>
          </w:p>
          <w:p>
            <w:pPr>
              <w:pStyle w:val="17"/>
              <w:spacing w:before="65" w:line="235" w:lineRule="auto"/>
              <w:ind w:left="223"/>
              <w:rPr>
                <w:color w:val="auto"/>
                <w:sz w:val="10"/>
                <w:szCs w:val="10"/>
                <w:highlight w:val="none"/>
              </w:rPr>
            </w:pPr>
            <w:r>
              <w:rPr>
                <w:color w:val="auto"/>
                <w:spacing w:val="3"/>
                <w:position w:val="-1"/>
                <w:sz w:val="20"/>
                <w:szCs w:val="20"/>
                <w:highlight w:val="none"/>
              </w:rPr>
              <w:t>5.2.1</w:t>
            </w:r>
            <w:r>
              <w:rPr>
                <w:color w:val="auto"/>
                <w:highlight w:val="none"/>
              </w:rPr>
              <w:fldChar w:fldCharType="begin"/>
            </w:r>
            <w:r>
              <w:rPr>
                <w:color w:val="auto"/>
                <w:highlight w:val="none"/>
              </w:rPr>
              <w:instrText xml:space="preserve"> HYPERLINK \l "bookmark31" </w:instrText>
            </w:r>
            <w:r>
              <w:rPr>
                <w:color w:val="auto"/>
                <w:highlight w:val="none"/>
              </w:rPr>
              <w:fldChar w:fldCharType="separate"/>
            </w:r>
            <w:r>
              <w:rPr>
                <w:color w:val="auto"/>
                <w:spacing w:val="3"/>
                <w:position w:val="8"/>
                <w:sz w:val="10"/>
                <w:szCs w:val="10"/>
                <w:highlight w:val="none"/>
              </w:rPr>
              <w:t>③</w:t>
            </w:r>
            <w:r>
              <w:rPr>
                <w:color w:val="auto"/>
                <w:spacing w:val="3"/>
                <w:position w:val="8"/>
                <w:sz w:val="10"/>
                <w:szCs w:val="10"/>
                <w:highlight w:val="none"/>
              </w:rPr>
              <w:fldChar w:fldCharType="end"/>
            </w:r>
          </w:p>
        </w:tc>
        <w:tc>
          <w:tcPr>
            <w:tcW w:w="2945" w:type="dxa"/>
            <w:gridSpan w:val="3"/>
            <w:vAlign w:val="top"/>
          </w:tcPr>
          <w:p>
            <w:pPr>
              <w:pStyle w:val="17"/>
              <w:spacing w:before="288"/>
              <w:ind w:left="765" w:right="246" w:hanging="524"/>
              <w:rPr>
                <w:color w:val="auto"/>
                <w:sz w:val="20"/>
                <w:szCs w:val="20"/>
                <w:highlight w:val="none"/>
              </w:rPr>
            </w:pPr>
            <w:r>
              <w:rPr>
                <w:color w:val="auto"/>
                <w:spacing w:val="8"/>
                <w:sz w:val="20"/>
                <w:szCs w:val="20"/>
                <w:highlight w:val="none"/>
              </w:rPr>
              <w:t>第一个信封(商务及技术文</w:t>
            </w:r>
            <w:r>
              <w:rPr>
                <w:color w:val="auto"/>
                <w:spacing w:val="7"/>
                <w:sz w:val="20"/>
                <w:szCs w:val="20"/>
                <w:highlight w:val="none"/>
              </w:rPr>
              <w:t xml:space="preserve"> </w:t>
            </w:r>
            <w:r>
              <w:rPr>
                <w:color w:val="auto"/>
                <w:spacing w:val="5"/>
                <w:sz w:val="20"/>
                <w:szCs w:val="20"/>
                <w:highlight w:val="none"/>
              </w:rPr>
              <w:t>件）</w:t>
            </w:r>
            <w:r>
              <w:rPr>
                <w:color w:val="auto"/>
                <w:spacing w:val="23"/>
                <w:sz w:val="20"/>
                <w:szCs w:val="20"/>
                <w:highlight w:val="none"/>
              </w:rPr>
              <w:t xml:space="preserve"> </w:t>
            </w:r>
            <w:r>
              <w:rPr>
                <w:color w:val="auto"/>
                <w:spacing w:val="5"/>
                <w:sz w:val="20"/>
                <w:szCs w:val="20"/>
                <w:highlight w:val="none"/>
              </w:rPr>
              <w:t>开标程序</w:t>
            </w:r>
          </w:p>
        </w:tc>
        <w:tc>
          <w:tcPr>
            <w:tcW w:w="5020" w:type="dxa"/>
            <w:gridSpan w:val="2"/>
            <w:tcBorders>
              <w:right w:val="single" w:color="000000" w:sz="10" w:space="0"/>
            </w:tcBorders>
            <w:vAlign w:val="top"/>
          </w:tcPr>
          <w:p>
            <w:pPr>
              <w:pStyle w:val="17"/>
              <w:spacing w:before="154" w:line="239" w:lineRule="auto"/>
              <w:ind w:left="129" w:right="127" w:firstLine="9"/>
              <w:rPr>
                <w:color w:val="auto"/>
                <w:sz w:val="20"/>
                <w:szCs w:val="20"/>
                <w:highlight w:val="none"/>
              </w:rPr>
            </w:pPr>
            <w:r>
              <w:rPr>
                <w:color w:val="auto"/>
                <w:spacing w:val="12"/>
                <w:sz w:val="20"/>
                <w:szCs w:val="20"/>
                <w:highlight w:val="none"/>
              </w:rPr>
              <w:t>（4）密封情况检查：检查商务及技术文件是否存在</w:t>
            </w:r>
            <w:r>
              <w:rPr>
                <w:color w:val="auto"/>
                <w:spacing w:val="9"/>
                <w:sz w:val="20"/>
                <w:szCs w:val="20"/>
                <w:highlight w:val="none"/>
              </w:rPr>
              <w:t xml:space="preserve"> </w:t>
            </w:r>
            <w:r>
              <w:rPr>
                <w:color w:val="auto"/>
                <w:spacing w:val="8"/>
                <w:sz w:val="20"/>
                <w:szCs w:val="20"/>
                <w:highlight w:val="none"/>
              </w:rPr>
              <w:t>提前开启情况</w:t>
            </w:r>
          </w:p>
          <w:p>
            <w:pPr>
              <w:pStyle w:val="17"/>
              <w:spacing w:before="23" w:line="227" w:lineRule="auto"/>
              <w:ind w:left="139"/>
              <w:rPr>
                <w:color w:val="auto"/>
                <w:sz w:val="20"/>
                <w:szCs w:val="20"/>
                <w:highlight w:val="none"/>
              </w:rPr>
            </w:pPr>
            <w:r>
              <w:rPr>
                <w:color w:val="auto"/>
                <w:spacing w:val="8"/>
                <w:sz w:val="20"/>
                <w:szCs w:val="20"/>
                <w:highlight w:val="none"/>
              </w:rPr>
              <w:t>（5）开标顺序：随机启封、逐一公布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1034" w:hRule="atLeast"/>
        </w:trPr>
        <w:tc>
          <w:tcPr>
            <w:tcW w:w="1075" w:type="dxa"/>
            <w:gridSpan w:val="2"/>
            <w:tcBorders>
              <w:left w:val="single" w:color="000000" w:sz="10" w:space="0"/>
            </w:tcBorders>
            <w:vAlign w:val="top"/>
          </w:tcPr>
          <w:p>
            <w:pPr>
              <w:spacing w:line="336" w:lineRule="auto"/>
              <w:rPr>
                <w:rFonts w:ascii="Arial"/>
                <w:color w:val="auto"/>
                <w:sz w:val="21"/>
                <w:highlight w:val="none"/>
              </w:rPr>
            </w:pPr>
          </w:p>
          <w:p>
            <w:pPr>
              <w:pStyle w:val="17"/>
              <w:spacing w:before="65" w:line="235" w:lineRule="auto"/>
              <w:ind w:left="223"/>
              <w:rPr>
                <w:color w:val="auto"/>
                <w:sz w:val="10"/>
                <w:szCs w:val="10"/>
                <w:highlight w:val="none"/>
              </w:rPr>
            </w:pPr>
            <w:r>
              <w:rPr>
                <w:color w:val="auto"/>
                <w:spacing w:val="3"/>
                <w:position w:val="-1"/>
                <w:sz w:val="20"/>
                <w:szCs w:val="20"/>
                <w:highlight w:val="none"/>
              </w:rPr>
              <w:t>5.2.3</w:t>
            </w:r>
            <w:r>
              <w:rPr>
                <w:color w:val="auto"/>
                <w:highlight w:val="none"/>
              </w:rPr>
              <w:fldChar w:fldCharType="begin"/>
            </w:r>
            <w:r>
              <w:rPr>
                <w:color w:val="auto"/>
                <w:highlight w:val="none"/>
              </w:rPr>
              <w:instrText xml:space="preserve"> HYPERLINK \l "bookmark32" </w:instrText>
            </w:r>
            <w:r>
              <w:rPr>
                <w:color w:val="auto"/>
                <w:highlight w:val="none"/>
              </w:rPr>
              <w:fldChar w:fldCharType="separate"/>
            </w:r>
            <w:r>
              <w:rPr>
                <w:color w:val="auto"/>
                <w:spacing w:val="3"/>
                <w:position w:val="8"/>
                <w:sz w:val="10"/>
                <w:szCs w:val="10"/>
                <w:highlight w:val="none"/>
              </w:rPr>
              <w:t>④</w:t>
            </w:r>
            <w:r>
              <w:rPr>
                <w:color w:val="auto"/>
                <w:spacing w:val="3"/>
                <w:position w:val="8"/>
                <w:sz w:val="10"/>
                <w:szCs w:val="10"/>
                <w:highlight w:val="none"/>
              </w:rPr>
              <w:fldChar w:fldCharType="end"/>
            </w:r>
          </w:p>
        </w:tc>
        <w:tc>
          <w:tcPr>
            <w:tcW w:w="2945" w:type="dxa"/>
            <w:gridSpan w:val="3"/>
            <w:vAlign w:val="top"/>
          </w:tcPr>
          <w:p>
            <w:pPr>
              <w:pStyle w:val="17"/>
              <w:spacing w:before="287" w:line="239" w:lineRule="auto"/>
              <w:ind w:left="1029" w:right="317" w:hanging="737"/>
              <w:rPr>
                <w:color w:val="auto"/>
                <w:sz w:val="20"/>
                <w:szCs w:val="20"/>
                <w:highlight w:val="none"/>
              </w:rPr>
            </w:pPr>
            <w:r>
              <w:rPr>
                <w:color w:val="auto"/>
                <w:spacing w:val="7"/>
                <w:sz w:val="20"/>
                <w:szCs w:val="20"/>
                <w:highlight w:val="none"/>
              </w:rPr>
              <w:t>第二个信封（报价文件）</w:t>
            </w:r>
            <w:r>
              <w:rPr>
                <w:color w:val="auto"/>
                <w:spacing w:val="4"/>
                <w:sz w:val="20"/>
                <w:szCs w:val="20"/>
                <w:highlight w:val="none"/>
              </w:rPr>
              <w:t xml:space="preserve"> </w:t>
            </w:r>
            <w:r>
              <w:rPr>
                <w:color w:val="auto"/>
                <w:spacing w:val="7"/>
                <w:sz w:val="20"/>
                <w:szCs w:val="20"/>
                <w:highlight w:val="none"/>
              </w:rPr>
              <w:t>开标程序</w:t>
            </w:r>
          </w:p>
        </w:tc>
        <w:tc>
          <w:tcPr>
            <w:tcW w:w="5020" w:type="dxa"/>
            <w:gridSpan w:val="2"/>
            <w:tcBorders>
              <w:right w:val="single" w:color="000000" w:sz="10" w:space="0"/>
            </w:tcBorders>
            <w:vAlign w:val="top"/>
          </w:tcPr>
          <w:p>
            <w:pPr>
              <w:pStyle w:val="17"/>
              <w:spacing w:before="150" w:line="239" w:lineRule="auto"/>
              <w:ind w:left="133" w:right="127" w:firstLine="5"/>
              <w:rPr>
                <w:color w:val="auto"/>
                <w:sz w:val="20"/>
                <w:szCs w:val="20"/>
                <w:highlight w:val="none"/>
              </w:rPr>
            </w:pPr>
            <w:r>
              <w:rPr>
                <w:color w:val="auto"/>
                <w:spacing w:val="12"/>
                <w:sz w:val="20"/>
                <w:szCs w:val="20"/>
                <w:highlight w:val="none"/>
              </w:rPr>
              <w:t>（4）密封情况检查：检查报价文件是否存在提前开</w:t>
            </w:r>
            <w:r>
              <w:rPr>
                <w:color w:val="auto"/>
                <w:spacing w:val="5"/>
                <w:sz w:val="20"/>
                <w:szCs w:val="20"/>
                <w:highlight w:val="none"/>
              </w:rPr>
              <w:t>启情况</w:t>
            </w:r>
          </w:p>
          <w:p>
            <w:pPr>
              <w:pStyle w:val="17"/>
              <w:spacing w:before="26" w:line="227" w:lineRule="auto"/>
              <w:ind w:left="139"/>
              <w:rPr>
                <w:color w:val="auto"/>
                <w:sz w:val="20"/>
                <w:szCs w:val="20"/>
                <w:highlight w:val="none"/>
              </w:rPr>
            </w:pPr>
            <w:r>
              <w:rPr>
                <w:color w:val="auto"/>
                <w:spacing w:val="8"/>
                <w:sz w:val="20"/>
                <w:szCs w:val="20"/>
                <w:highlight w:val="none"/>
              </w:rPr>
              <w:t>（5）开标顺序：随机启封、逐一公布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993" w:hRule="atLeast"/>
        </w:trPr>
        <w:tc>
          <w:tcPr>
            <w:tcW w:w="1075" w:type="dxa"/>
            <w:gridSpan w:val="2"/>
            <w:tcBorders>
              <w:left w:val="single" w:color="000000" w:sz="10" w:space="0"/>
            </w:tcBorders>
            <w:vAlign w:val="top"/>
          </w:tcPr>
          <w:p>
            <w:pPr>
              <w:spacing w:line="318" w:lineRule="auto"/>
              <w:rPr>
                <w:rFonts w:ascii="Arial"/>
                <w:color w:val="auto"/>
                <w:sz w:val="21"/>
                <w:highlight w:val="none"/>
              </w:rPr>
            </w:pPr>
          </w:p>
          <w:p>
            <w:pPr>
              <w:pStyle w:val="17"/>
              <w:spacing w:before="65" w:line="237" w:lineRule="auto"/>
              <w:ind w:left="223"/>
              <w:rPr>
                <w:color w:val="auto"/>
                <w:sz w:val="10"/>
                <w:szCs w:val="10"/>
                <w:highlight w:val="none"/>
              </w:rPr>
            </w:pPr>
            <w:r>
              <w:rPr>
                <w:color w:val="auto"/>
                <w:spacing w:val="3"/>
                <w:position w:val="-1"/>
                <w:sz w:val="20"/>
                <w:szCs w:val="20"/>
                <w:highlight w:val="none"/>
              </w:rPr>
              <w:t>5.2.1</w:t>
            </w:r>
            <w:r>
              <w:rPr>
                <w:color w:val="auto"/>
                <w:highlight w:val="none"/>
              </w:rPr>
              <w:fldChar w:fldCharType="begin"/>
            </w:r>
            <w:r>
              <w:rPr>
                <w:color w:val="auto"/>
                <w:highlight w:val="none"/>
              </w:rPr>
              <w:instrText xml:space="preserve"> HYPERLINK \l "bookmark33" </w:instrText>
            </w:r>
            <w:r>
              <w:rPr>
                <w:color w:val="auto"/>
                <w:highlight w:val="none"/>
              </w:rPr>
              <w:fldChar w:fldCharType="separate"/>
            </w:r>
            <w:r>
              <w:rPr>
                <w:color w:val="auto"/>
                <w:spacing w:val="3"/>
                <w:position w:val="9"/>
                <w:sz w:val="10"/>
                <w:szCs w:val="10"/>
                <w:highlight w:val="none"/>
              </w:rPr>
              <w:t>⑤</w:t>
            </w:r>
            <w:r>
              <w:rPr>
                <w:color w:val="auto"/>
                <w:spacing w:val="3"/>
                <w:position w:val="9"/>
                <w:sz w:val="10"/>
                <w:szCs w:val="10"/>
                <w:highlight w:val="none"/>
              </w:rPr>
              <w:fldChar w:fldCharType="end"/>
            </w:r>
          </w:p>
        </w:tc>
        <w:tc>
          <w:tcPr>
            <w:tcW w:w="2945" w:type="dxa"/>
            <w:gridSpan w:val="3"/>
            <w:vAlign w:val="top"/>
          </w:tcPr>
          <w:p>
            <w:pPr>
              <w:spacing w:line="337" w:lineRule="auto"/>
              <w:rPr>
                <w:rFonts w:ascii="Arial"/>
                <w:color w:val="auto"/>
                <w:sz w:val="21"/>
                <w:highlight w:val="none"/>
              </w:rPr>
            </w:pPr>
          </w:p>
          <w:p>
            <w:pPr>
              <w:pStyle w:val="17"/>
              <w:spacing w:before="65" w:line="228" w:lineRule="auto"/>
              <w:ind w:left="1029"/>
              <w:rPr>
                <w:color w:val="auto"/>
                <w:sz w:val="20"/>
                <w:szCs w:val="20"/>
                <w:highlight w:val="none"/>
              </w:rPr>
            </w:pPr>
            <w:r>
              <w:rPr>
                <w:color w:val="auto"/>
                <w:spacing w:val="7"/>
                <w:sz w:val="20"/>
                <w:szCs w:val="20"/>
                <w:highlight w:val="none"/>
              </w:rPr>
              <w:t>开标程序</w:t>
            </w:r>
          </w:p>
        </w:tc>
        <w:tc>
          <w:tcPr>
            <w:tcW w:w="5020" w:type="dxa"/>
            <w:gridSpan w:val="2"/>
            <w:tcBorders>
              <w:right w:val="single" w:color="000000" w:sz="10" w:space="0"/>
            </w:tcBorders>
            <w:vAlign w:val="top"/>
          </w:tcPr>
          <w:p>
            <w:pPr>
              <w:pStyle w:val="17"/>
              <w:spacing w:before="131"/>
              <w:ind w:left="133" w:right="124" w:firstLine="5"/>
              <w:rPr>
                <w:color w:val="auto"/>
                <w:sz w:val="20"/>
                <w:szCs w:val="20"/>
                <w:highlight w:val="none"/>
              </w:rPr>
            </w:pPr>
            <w:r>
              <w:rPr>
                <w:color w:val="auto"/>
                <w:spacing w:val="12"/>
                <w:sz w:val="20"/>
                <w:szCs w:val="20"/>
                <w:highlight w:val="none"/>
              </w:rPr>
              <w:t>（4）密封情况检查：检查投价文件是否存在提前开</w:t>
            </w:r>
            <w:r>
              <w:rPr>
                <w:color w:val="auto"/>
                <w:spacing w:val="5"/>
                <w:sz w:val="20"/>
                <w:szCs w:val="20"/>
                <w:highlight w:val="none"/>
              </w:rPr>
              <w:t>启情况</w:t>
            </w:r>
          </w:p>
          <w:p>
            <w:pPr>
              <w:pStyle w:val="17"/>
              <w:spacing w:before="23" w:line="227" w:lineRule="auto"/>
              <w:ind w:left="139"/>
              <w:rPr>
                <w:color w:val="auto"/>
                <w:sz w:val="20"/>
                <w:szCs w:val="20"/>
                <w:highlight w:val="none"/>
              </w:rPr>
            </w:pPr>
            <w:r>
              <w:rPr>
                <w:color w:val="auto"/>
                <w:spacing w:val="8"/>
                <w:sz w:val="20"/>
                <w:szCs w:val="20"/>
                <w:highlight w:val="none"/>
              </w:rPr>
              <w:t>（5）开标顺序：随机启封、逐一公布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1453" w:hRule="atLeast"/>
        </w:trPr>
        <w:tc>
          <w:tcPr>
            <w:tcW w:w="1075" w:type="dxa"/>
            <w:gridSpan w:val="2"/>
            <w:tcBorders>
              <w:left w:val="single" w:color="000000" w:sz="10" w:space="0"/>
            </w:tcBorders>
            <w:vAlign w:val="top"/>
          </w:tcPr>
          <w:p>
            <w:pPr>
              <w:spacing w:line="300" w:lineRule="auto"/>
              <w:rPr>
                <w:rFonts w:ascii="Arial"/>
                <w:color w:val="auto"/>
                <w:sz w:val="21"/>
                <w:highlight w:val="none"/>
              </w:rPr>
            </w:pPr>
          </w:p>
          <w:p>
            <w:pPr>
              <w:spacing w:line="300" w:lineRule="auto"/>
              <w:rPr>
                <w:rFonts w:ascii="Arial"/>
                <w:color w:val="auto"/>
                <w:sz w:val="21"/>
                <w:highlight w:val="none"/>
              </w:rPr>
            </w:pPr>
          </w:p>
          <w:p>
            <w:pPr>
              <w:pStyle w:val="17"/>
              <w:spacing w:before="65" w:line="190" w:lineRule="auto"/>
              <w:ind w:left="274"/>
              <w:rPr>
                <w:color w:val="auto"/>
                <w:sz w:val="20"/>
                <w:szCs w:val="20"/>
                <w:highlight w:val="none"/>
              </w:rPr>
            </w:pPr>
            <w:r>
              <w:rPr>
                <w:color w:val="auto"/>
                <w:spacing w:val="2"/>
                <w:sz w:val="20"/>
                <w:szCs w:val="20"/>
                <w:highlight w:val="none"/>
              </w:rPr>
              <w:t>6.1.1</w:t>
            </w:r>
          </w:p>
        </w:tc>
        <w:tc>
          <w:tcPr>
            <w:tcW w:w="2945" w:type="dxa"/>
            <w:gridSpan w:val="3"/>
            <w:vAlign w:val="top"/>
          </w:tcPr>
          <w:p>
            <w:pPr>
              <w:spacing w:line="274" w:lineRule="auto"/>
              <w:rPr>
                <w:rFonts w:ascii="Arial"/>
                <w:color w:val="auto"/>
                <w:sz w:val="21"/>
                <w:highlight w:val="none"/>
              </w:rPr>
            </w:pPr>
          </w:p>
          <w:p>
            <w:pPr>
              <w:spacing w:line="275" w:lineRule="auto"/>
              <w:rPr>
                <w:rFonts w:ascii="Arial"/>
                <w:color w:val="auto"/>
                <w:sz w:val="21"/>
                <w:highlight w:val="none"/>
              </w:rPr>
            </w:pPr>
          </w:p>
          <w:p>
            <w:pPr>
              <w:pStyle w:val="17"/>
              <w:spacing w:before="65" w:line="265" w:lineRule="exact"/>
              <w:ind w:left="315"/>
              <w:rPr>
                <w:color w:val="auto"/>
                <w:sz w:val="10"/>
                <w:szCs w:val="10"/>
                <w:highlight w:val="none"/>
              </w:rPr>
            </w:pPr>
            <w:r>
              <w:rPr>
                <w:color w:val="auto"/>
                <w:spacing w:val="5"/>
                <w:sz w:val="20"/>
                <w:szCs w:val="20"/>
                <w:highlight w:val="none"/>
              </w:rPr>
              <w:t>评</w:t>
            </w:r>
            <w:r>
              <w:rPr>
                <w:color w:val="auto"/>
                <w:spacing w:val="-31"/>
                <w:sz w:val="20"/>
                <w:szCs w:val="20"/>
                <w:highlight w:val="none"/>
              </w:rPr>
              <w:t xml:space="preserve"> </w:t>
            </w:r>
            <w:r>
              <w:rPr>
                <w:color w:val="auto"/>
                <w:spacing w:val="5"/>
                <w:sz w:val="20"/>
                <w:szCs w:val="20"/>
                <w:highlight w:val="none"/>
              </w:rPr>
              <w:t>标</w:t>
            </w:r>
            <w:r>
              <w:rPr>
                <w:color w:val="auto"/>
                <w:spacing w:val="-31"/>
                <w:sz w:val="20"/>
                <w:szCs w:val="20"/>
                <w:highlight w:val="none"/>
              </w:rPr>
              <w:t xml:space="preserve"> </w:t>
            </w:r>
            <w:r>
              <w:rPr>
                <w:color w:val="auto"/>
                <w:spacing w:val="5"/>
                <w:sz w:val="20"/>
                <w:szCs w:val="20"/>
                <w:highlight w:val="none"/>
              </w:rPr>
              <w:t>委</w:t>
            </w:r>
            <w:r>
              <w:rPr>
                <w:color w:val="auto"/>
                <w:spacing w:val="-24"/>
                <w:sz w:val="20"/>
                <w:szCs w:val="20"/>
                <w:highlight w:val="none"/>
              </w:rPr>
              <w:t xml:space="preserve"> </w:t>
            </w:r>
            <w:r>
              <w:rPr>
                <w:color w:val="auto"/>
                <w:spacing w:val="5"/>
                <w:sz w:val="20"/>
                <w:szCs w:val="20"/>
                <w:highlight w:val="none"/>
              </w:rPr>
              <w:t>员</w:t>
            </w:r>
            <w:r>
              <w:rPr>
                <w:color w:val="auto"/>
                <w:spacing w:val="-30"/>
                <w:sz w:val="20"/>
                <w:szCs w:val="20"/>
                <w:highlight w:val="none"/>
              </w:rPr>
              <w:t xml:space="preserve"> </w:t>
            </w:r>
            <w:r>
              <w:rPr>
                <w:color w:val="auto"/>
                <w:spacing w:val="5"/>
                <w:sz w:val="20"/>
                <w:szCs w:val="20"/>
                <w:highlight w:val="none"/>
              </w:rPr>
              <w:t>会</w:t>
            </w:r>
            <w:r>
              <w:rPr>
                <w:color w:val="auto"/>
                <w:spacing w:val="-15"/>
                <w:sz w:val="20"/>
                <w:szCs w:val="20"/>
                <w:highlight w:val="none"/>
              </w:rPr>
              <w:t xml:space="preserve"> </w:t>
            </w:r>
            <w:r>
              <w:rPr>
                <w:color w:val="auto"/>
                <w:spacing w:val="5"/>
                <w:sz w:val="20"/>
                <w:szCs w:val="20"/>
                <w:highlight w:val="none"/>
              </w:rPr>
              <w:t>的</w:t>
            </w:r>
            <w:r>
              <w:rPr>
                <w:color w:val="auto"/>
                <w:spacing w:val="-27"/>
                <w:sz w:val="20"/>
                <w:szCs w:val="20"/>
                <w:highlight w:val="none"/>
              </w:rPr>
              <w:t xml:space="preserve"> </w:t>
            </w:r>
            <w:r>
              <w:rPr>
                <w:color w:val="auto"/>
                <w:spacing w:val="5"/>
                <w:sz w:val="20"/>
                <w:szCs w:val="20"/>
                <w:highlight w:val="none"/>
              </w:rPr>
              <w:t>组</w:t>
            </w:r>
            <w:r>
              <w:rPr>
                <w:color w:val="auto"/>
                <w:spacing w:val="-30"/>
                <w:sz w:val="20"/>
                <w:szCs w:val="20"/>
                <w:highlight w:val="none"/>
              </w:rPr>
              <w:t xml:space="preserve"> </w:t>
            </w:r>
            <w:r>
              <w:rPr>
                <w:color w:val="auto"/>
                <w:spacing w:val="5"/>
                <w:sz w:val="20"/>
                <w:szCs w:val="20"/>
                <w:highlight w:val="none"/>
              </w:rPr>
              <w:t>建</w:t>
            </w:r>
            <w:r>
              <w:rPr>
                <w:color w:val="auto"/>
                <w:highlight w:val="none"/>
              </w:rPr>
              <w:fldChar w:fldCharType="begin"/>
            </w:r>
            <w:r>
              <w:rPr>
                <w:color w:val="auto"/>
                <w:highlight w:val="none"/>
              </w:rPr>
              <w:instrText xml:space="preserve"> HYPERLINK \l "bookmark34" </w:instrText>
            </w:r>
            <w:r>
              <w:rPr>
                <w:color w:val="auto"/>
                <w:highlight w:val="none"/>
              </w:rPr>
              <w:fldChar w:fldCharType="separate"/>
            </w:r>
            <w:r>
              <w:rPr>
                <w:color w:val="auto"/>
                <w:spacing w:val="5"/>
                <w:position w:val="10"/>
                <w:sz w:val="10"/>
                <w:szCs w:val="10"/>
                <w:highlight w:val="none"/>
              </w:rPr>
              <w:t>⑥</w:t>
            </w:r>
            <w:r>
              <w:rPr>
                <w:color w:val="auto"/>
                <w:spacing w:val="5"/>
                <w:position w:val="10"/>
                <w:sz w:val="10"/>
                <w:szCs w:val="10"/>
                <w:highlight w:val="none"/>
              </w:rPr>
              <w:fldChar w:fldCharType="end"/>
            </w:r>
          </w:p>
        </w:tc>
        <w:tc>
          <w:tcPr>
            <w:tcW w:w="5020" w:type="dxa"/>
            <w:gridSpan w:val="2"/>
            <w:tcBorders>
              <w:right w:val="single" w:color="000000" w:sz="10" w:space="0"/>
            </w:tcBorders>
            <w:vAlign w:val="top"/>
          </w:tcPr>
          <w:p>
            <w:pPr>
              <w:pStyle w:val="17"/>
              <w:spacing w:before="26"/>
              <w:ind w:left="129" w:right="184" w:hanging="1"/>
              <w:jc w:val="both"/>
              <w:rPr>
                <w:rFonts w:hint="eastAsia" w:ascii="宋体" w:hAnsi="宋体" w:eastAsia="宋体" w:cs="宋体"/>
                <w:color w:val="auto"/>
                <w:spacing w:val="12"/>
                <w:sz w:val="20"/>
                <w:szCs w:val="20"/>
                <w:highlight w:val="none"/>
                <w:lang w:val="en-US"/>
              </w:rPr>
            </w:pPr>
            <w:r>
              <w:rPr>
                <w:rFonts w:ascii="宋体" w:hAnsi="宋体" w:eastAsia="宋体" w:cs="宋体"/>
                <w:color w:val="auto"/>
                <w:spacing w:val="12"/>
                <w:sz w:val="20"/>
                <w:szCs w:val="20"/>
                <w:highlight w:val="none"/>
              </w:rPr>
              <w:t>评标委员会构成：</w:t>
            </w:r>
            <w:r>
              <w:rPr>
                <w:rFonts w:hint="eastAsia" w:ascii="宋体" w:hAnsi="宋体" w:eastAsia="宋体" w:cs="宋体"/>
                <w:color w:val="auto"/>
                <w:spacing w:val="12"/>
                <w:sz w:val="20"/>
                <w:szCs w:val="20"/>
                <w:highlight w:val="none"/>
                <w:lang w:val="en-US"/>
              </w:rPr>
              <w:t>原则上人数不少于</w:t>
            </w:r>
            <w:r>
              <w:rPr>
                <w:rFonts w:hint="eastAsia" w:ascii="宋体" w:hAnsi="宋体" w:eastAsia="宋体" w:cs="宋体"/>
                <w:color w:val="auto"/>
                <w:spacing w:val="12"/>
                <w:sz w:val="20"/>
                <w:szCs w:val="20"/>
                <w:highlight w:val="none"/>
                <w:lang w:val="en-US" w:eastAsia="zh-CN"/>
              </w:rPr>
              <w:t>5</w:t>
            </w:r>
            <w:r>
              <w:rPr>
                <w:rFonts w:hint="eastAsia" w:ascii="宋体" w:hAnsi="宋体" w:eastAsia="宋体" w:cs="宋体"/>
                <w:color w:val="auto"/>
                <w:spacing w:val="12"/>
                <w:sz w:val="20"/>
                <w:szCs w:val="20"/>
                <w:highlight w:val="none"/>
                <w:lang w:val="en-US"/>
              </w:rPr>
              <w:t>人单数，其中招标人代表人数原则上以</w:t>
            </w:r>
            <w:r>
              <w:rPr>
                <w:rFonts w:hint="eastAsia" w:ascii="宋体" w:hAnsi="宋体" w:eastAsia="宋体" w:cs="宋体"/>
                <w:color w:val="auto"/>
                <w:spacing w:val="12"/>
                <w:sz w:val="20"/>
                <w:szCs w:val="20"/>
                <w:highlight w:val="none"/>
                <w:lang w:val="en-US" w:eastAsia="zh-CN"/>
              </w:rPr>
              <w:t>1</w:t>
            </w:r>
            <w:r>
              <w:rPr>
                <w:rFonts w:hint="eastAsia" w:ascii="宋体" w:hAnsi="宋体" w:eastAsia="宋体" w:cs="宋体"/>
                <w:color w:val="auto"/>
                <w:spacing w:val="12"/>
                <w:sz w:val="20"/>
                <w:szCs w:val="20"/>
                <w:highlight w:val="none"/>
                <w:lang w:val="en-US"/>
              </w:rPr>
              <w:t>人为限</w:t>
            </w:r>
          </w:p>
          <w:p>
            <w:pPr>
              <w:pStyle w:val="17"/>
              <w:spacing w:before="26"/>
              <w:ind w:left="129" w:right="184" w:hanging="1"/>
              <w:jc w:val="both"/>
              <w:rPr>
                <w:color w:val="auto"/>
                <w:sz w:val="20"/>
                <w:szCs w:val="20"/>
                <w:highlight w:val="none"/>
              </w:rPr>
            </w:pPr>
            <w:r>
              <w:rPr>
                <w:rFonts w:ascii="宋体" w:hAnsi="宋体" w:eastAsia="宋体" w:cs="宋体"/>
                <w:color w:val="auto"/>
                <w:spacing w:val="12"/>
                <w:sz w:val="20"/>
                <w:szCs w:val="20"/>
                <w:highlight w:val="none"/>
              </w:rPr>
              <w:t>评标专家确定方式：依法从相应评标专家库中随机 抽取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809" w:hRule="atLeast"/>
        </w:trPr>
        <w:tc>
          <w:tcPr>
            <w:tcW w:w="1075" w:type="dxa"/>
            <w:gridSpan w:val="2"/>
            <w:tcBorders>
              <w:left w:val="single" w:color="000000" w:sz="10" w:space="0"/>
            </w:tcBorders>
            <w:vAlign w:val="top"/>
          </w:tcPr>
          <w:p>
            <w:pPr>
              <w:spacing w:line="283" w:lineRule="auto"/>
              <w:rPr>
                <w:rFonts w:ascii="Arial"/>
                <w:color w:val="auto"/>
                <w:sz w:val="21"/>
                <w:highlight w:val="none"/>
              </w:rPr>
            </w:pPr>
          </w:p>
          <w:p>
            <w:pPr>
              <w:pStyle w:val="17"/>
              <w:spacing w:before="65" w:line="189" w:lineRule="auto"/>
              <w:ind w:left="274"/>
              <w:rPr>
                <w:color w:val="auto"/>
                <w:sz w:val="20"/>
                <w:szCs w:val="20"/>
                <w:highlight w:val="none"/>
              </w:rPr>
            </w:pPr>
            <w:r>
              <w:rPr>
                <w:color w:val="auto"/>
                <w:spacing w:val="2"/>
                <w:sz w:val="20"/>
                <w:szCs w:val="20"/>
                <w:highlight w:val="none"/>
              </w:rPr>
              <w:t>6.3.2</w:t>
            </w:r>
          </w:p>
        </w:tc>
        <w:tc>
          <w:tcPr>
            <w:tcW w:w="2945" w:type="dxa"/>
            <w:gridSpan w:val="3"/>
            <w:vAlign w:val="top"/>
          </w:tcPr>
          <w:p>
            <w:pPr>
              <w:pStyle w:val="17"/>
              <w:spacing w:before="180" w:line="239" w:lineRule="auto"/>
              <w:ind w:left="1149" w:right="193" w:hanging="961"/>
              <w:rPr>
                <w:color w:val="auto"/>
                <w:sz w:val="20"/>
                <w:szCs w:val="20"/>
                <w:highlight w:val="none"/>
              </w:rPr>
            </w:pPr>
            <w:r>
              <w:rPr>
                <w:color w:val="auto"/>
                <w:spacing w:val="9"/>
                <w:sz w:val="20"/>
                <w:szCs w:val="20"/>
                <w:highlight w:val="none"/>
              </w:rPr>
              <w:t>评标委员会推荐中标候选人</w:t>
            </w:r>
            <w:r>
              <w:rPr>
                <w:color w:val="auto"/>
                <w:spacing w:val="1"/>
                <w:sz w:val="20"/>
                <w:szCs w:val="20"/>
                <w:highlight w:val="none"/>
              </w:rPr>
              <w:t xml:space="preserve"> 的人数</w:t>
            </w:r>
          </w:p>
        </w:tc>
        <w:tc>
          <w:tcPr>
            <w:tcW w:w="5020" w:type="dxa"/>
            <w:gridSpan w:val="2"/>
            <w:tcBorders>
              <w:right w:val="single" w:color="000000" w:sz="10" w:space="0"/>
            </w:tcBorders>
            <w:vAlign w:val="top"/>
          </w:tcPr>
          <w:p>
            <w:pPr>
              <w:pStyle w:val="17"/>
              <w:spacing w:before="149" w:line="253" w:lineRule="auto"/>
              <w:ind w:left="128" w:right="124" w:firstLine="5"/>
              <w:rPr>
                <w:color w:val="auto"/>
                <w:sz w:val="20"/>
                <w:szCs w:val="20"/>
                <w:highlight w:val="none"/>
              </w:rPr>
            </w:pPr>
            <w:r>
              <w:rPr>
                <w:color w:val="auto"/>
                <w:spacing w:val="11"/>
                <w:sz w:val="20"/>
                <w:szCs w:val="20"/>
                <w:highlight w:val="none"/>
              </w:rPr>
              <w:t>原则上</w:t>
            </w:r>
            <w:r>
              <w:rPr>
                <w:color w:val="auto"/>
                <w:spacing w:val="-25"/>
                <w:sz w:val="20"/>
                <w:szCs w:val="20"/>
                <w:highlight w:val="none"/>
              </w:rPr>
              <w:t xml:space="preserve"> </w:t>
            </w:r>
            <w:r>
              <w:rPr>
                <w:color w:val="auto"/>
                <w:spacing w:val="11"/>
                <w:sz w:val="20"/>
                <w:szCs w:val="20"/>
                <w:highlight w:val="none"/>
                <w:u w:val="single" w:color="auto"/>
              </w:rPr>
              <w:t>3</w:t>
            </w:r>
            <w:r>
              <w:rPr>
                <w:color w:val="auto"/>
                <w:spacing w:val="-35"/>
                <w:sz w:val="20"/>
                <w:szCs w:val="20"/>
                <w:highlight w:val="none"/>
                <w:u w:val="single" w:color="auto"/>
              </w:rPr>
              <w:t xml:space="preserve"> </w:t>
            </w:r>
            <w:r>
              <w:rPr>
                <w:color w:val="auto"/>
                <w:spacing w:val="11"/>
                <w:sz w:val="20"/>
                <w:szCs w:val="20"/>
                <w:highlight w:val="none"/>
                <w:u w:val="single" w:color="auto"/>
              </w:rPr>
              <w:t>个</w:t>
            </w:r>
            <w:r>
              <w:rPr>
                <w:color w:val="auto"/>
                <w:spacing w:val="11"/>
                <w:sz w:val="20"/>
                <w:szCs w:val="20"/>
                <w:highlight w:val="none"/>
              </w:rPr>
              <w:t>（评标办法规定的特殊情况按实际数量</w:t>
            </w:r>
            <w:r>
              <w:rPr>
                <w:color w:val="auto"/>
                <w:sz w:val="20"/>
                <w:szCs w:val="20"/>
                <w:highlight w:val="none"/>
              </w:rPr>
              <w:t xml:space="preserve"> </w:t>
            </w:r>
            <w:r>
              <w:rPr>
                <w:color w:val="auto"/>
                <w:spacing w:val="3"/>
                <w:sz w:val="20"/>
                <w:szCs w:val="20"/>
                <w:highlight w:val="none"/>
              </w:rPr>
              <w:t>推荐）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5" w:type="dxa"/>
          <w:trHeight w:val="2010" w:hRule="atLeast"/>
        </w:trPr>
        <w:tc>
          <w:tcPr>
            <w:tcW w:w="1075" w:type="dxa"/>
            <w:gridSpan w:val="2"/>
            <w:tcBorders>
              <w:left w:val="single" w:color="000000" w:sz="10" w:space="0"/>
              <w:bottom w:val="single" w:color="000000" w:sz="10" w:space="0"/>
            </w:tcBorders>
            <w:vAlign w:val="top"/>
          </w:tcPr>
          <w:p>
            <w:pPr>
              <w:spacing w:line="290" w:lineRule="auto"/>
              <w:rPr>
                <w:rFonts w:ascii="Arial"/>
                <w:color w:val="auto"/>
                <w:sz w:val="21"/>
                <w:highlight w:val="none"/>
              </w:rPr>
            </w:pPr>
          </w:p>
          <w:p>
            <w:pPr>
              <w:spacing w:line="290" w:lineRule="auto"/>
              <w:rPr>
                <w:rFonts w:ascii="Arial"/>
                <w:color w:val="auto"/>
                <w:sz w:val="21"/>
                <w:highlight w:val="none"/>
              </w:rPr>
            </w:pPr>
          </w:p>
          <w:p>
            <w:pPr>
              <w:spacing w:line="290" w:lineRule="auto"/>
              <w:rPr>
                <w:rFonts w:ascii="Arial"/>
                <w:color w:val="auto"/>
                <w:sz w:val="21"/>
                <w:highlight w:val="none"/>
              </w:rPr>
            </w:pPr>
          </w:p>
          <w:p>
            <w:pPr>
              <w:pStyle w:val="17"/>
              <w:spacing w:before="65" w:line="190" w:lineRule="auto"/>
              <w:ind w:left="380"/>
              <w:rPr>
                <w:color w:val="auto"/>
                <w:sz w:val="20"/>
                <w:szCs w:val="20"/>
                <w:highlight w:val="none"/>
              </w:rPr>
            </w:pPr>
            <w:r>
              <w:rPr>
                <w:color w:val="auto"/>
                <w:sz w:val="20"/>
                <w:szCs w:val="20"/>
                <w:highlight w:val="none"/>
              </w:rPr>
              <w:t>7.1</w:t>
            </w:r>
          </w:p>
        </w:tc>
        <w:tc>
          <w:tcPr>
            <w:tcW w:w="2945" w:type="dxa"/>
            <w:gridSpan w:val="3"/>
            <w:tcBorders>
              <w:bottom w:val="single" w:color="000000" w:sz="10" w:space="0"/>
            </w:tcBorders>
            <w:vAlign w:val="top"/>
          </w:tcPr>
          <w:p>
            <w:pPr>
              <w:spacing w:line="279"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pStyle w:val="17"/>
              <w:spacing w:before="65" w:line="227" w:lineRule="auto"/>
              <w:ind w:left="208"/>
              <w:rPr>
                <w:color w:val="auto"/>
                <w:sz w:val="20"/>
                <w:szCs w:val="20"/>
                <w:highlight w:val="none"/>
              </w:rPr>
            </w:pPr>
            <w:r>
              <w:rPr>
                <w:color w:val="auto"/>
                <w:spacing w:val="7"/>
                <w:sz w:val="20"/>
                <w:szCs w:val="20"/>
                <w:highlight w:val="none"/>
              </w:rPr>
              <w:t>中标候选人公示媒介及期限</w:t>
            </w:r>
          </w:p>
        </w:tc>
        <w:tc>
          <w:tcPr>
            <w:tcW w:w="5020" w:type="dxa"/>
            <w:gridSpan w:val="2"/>
            <w:tcBorders>
              <w:bottom w:val="single" w:color="000000" w:sz="10" w:space="0"/>
              <w:right w:val="single" w:color="000000" w:sz="10" w:space="0"/>
            </w:tcBorders>
            <w:vAlign w:val="top"/>
          </w:tcPr>
          <w:p>
            <w:pPr>
              <w:pStyle w:val="17"/>
              <w:spacing w:before="228" w:line="236" w:lineRule="auto"/>
              <w:ind w:left="135" w:right="165"/>
              <w:rPr>
                <w:color w:val="auto"/>
                <w:sz w:val="20"/>
                <w:szCs w:val="20"/>
                <w:highlight w:val="none"/>
              </w:rPr>
            </w:pPr>
            <w:r>
              <w:rPr>
                <w:color w:val="auto"/>
                <w:spacing w:val="-1"/>
                <w:sz w:val="20"/>
                <w:szCs w:val="20"/>
                <w:highlight w:val="none"/>
              </w:rPr>
              <w:t>公示媒介：</w:t>
            </w:r>
            <w:r>
              <w:rPr>
                <w:color w:val="auto"/>
                <w:spacing w:val="-1"/>
                <w:sz w:val="20"/>
                <w:szCs w:val="20"/>
                <w:highlight w:val="none"/>
                <w:u w:val="single" w:color="auto"/>
              </w:rPr>
              <w:t>广</w:t>
            </w:r>
            <w:r>
              <w:rPr>
                <w:color w:val="auto"/>
                <w:spacing w:val="-44"/>
                <w:sz w:val="20"/>
                <w:szCs w:val="20"/>
                <w:highlight w:val="none"/>
                <w:u w:val="single" w:color="auto"/>
              </w:rPr>
              <w:t xml:space="preserve"> </w:t>
            </w:r>
            <w:r>
              <w:rPr>
                <w:color w:val="auto"/>
                <w:spacing w:val="-1"/>
                <w:sz w:val="20"/>
                <w:szCs w:val="20"/>
                <w:highlight w:val="none"/>
                <w:u w:val="single" w:color="auto"/>
              </w:rPr>
              <w:t>东</w:t>
            </w:r>
            <w:r>
              <w:rPr>
                <w:color w:val="auto"/>
                <w:spacing w:val="-48"/>
                <w:sz w:val="20"/>
                <w:szCs w:val="20"/>
                <w:highlight w:val="none"/>
                <w:u w:val="single" w:color="auto"/>
              </w:rPr>
              <w:t xml:space="preserve"> </w:t>
            </w:r>
            <w:r>
              <w:rPr>
                <w:color w:val="auto"/>
                <w:spacing w:val="-1"/>
                <w:sz w:val="20"/>
                <w:szCs w:val="20"/>
                <w:highlight w:val="none"/>
                <w:u w:val="single" w:color="auto"/>
              </w:rPr>
              <w:t>省</w:t>
            </w:r>
            <w:r>
              <w:rPr>
                <w:color w:val="auto"/>
                <w:spacing w:val="-48"/>
                <w:sz w:val="20"/>
                <w:szCs w:val="20"/>
                <w:highlight w:val="none"/>
                <w:u w:val="single" w:color="auto"/>
              </w:rPr>
              <w:t xml:space="preserve"> </w:t>
            </w:r>
            <w:r>
              <w:rPr>
                <w:color w:val="auto"/>
                <w:spacing w:val="-1"/>
                <w:sz w:val="20"/>
                <w:szCs w:val="20"/>
                <w:highlight w:val="none"/>
                <w:u w:val="single" w:color="auto"/>
              </w:rPr>
              <w:t>招</w:t>
            </w:r>
            <w:r>
              <w:rPr>
                <w:color w:val="auto"/>
                <w:spacing w:val="-51"/>
                <w:sz w:val="20"/>
                <w:szCs w:val="20"/>
                <w:highlight w:val="none"/>
                <w:u w:val="single" w:color="auto"/>
              </w:rPr>
              <w:t xml:space="preserve"> </w:t>
            </w:r>
            <w:r>
              <w:rPr>
                <w:color w:val="auto"/>
                <w:spacing w:val="-1"/>
                <w:sz w:val="20"/>
                <w:szCs w:val="20"/>
                <w:highlight w:val="none"/>
                <w:u w:val="single" w:color="auto"/>
              </w:rPr>
              <w:t>标</w:t>
            </w:r>
            <w:r>
              <w:rPr>
                <w:color w:val="auto"/>
                <w:spacing w:val="-48"/>
                <w:sz w:val="20"/>
                <w:szCs w:val="20"/>
                <w:highlight w:val="none"/>
                <w:u w:val="single" w:color="auto"/>
              </w:rPr>
              <w:t xml:space="preserve"> </w:t>
            </w:r>
            <w:r>
              <w:rPr>
                <w:color w:val="auto"/>
                <w:spacing w:val="-1"/>
                <w:sz w:val="20"/>
                <w:szCs w:val="20"/>
                <w:highlight w:val="none"/>
                <w:u w:val="single" w:color="auto"/>
              </w:rPr>
              <w:t>投</w:t>
            </w:r>
            <w:r>
              <w:rPr>
                <w:color w:val="auto"/>
                <w:spacing w:val="-51"/>
                <w:sz w:val="20"/>
                <w:szCs w:val="20"/>
                <w:highlight w:val="none"/>
                <w:u w:val="single" w:color="auto"/>
              </w:rPr>
              <w:t xml:space="preserve"> </w:t>
            </w:r>
            <w:r>
              <w:rPr>
                <w:color w:val="auto"/>
                <w:spacing w:val="-1"/>
                <w:sz w:val="20"/>
                <w:szCs w:val="20"/>
                <w:highlight w:val="none"/>
                <w:u w:val="single" w:color="auto"/>
              </w:rPr>
              <w:t>标</w:t>
            </w:r>
            <w:r>
              <w:rPr>
                <w:color w:val="auto"/>
                <w:spacing w:val="-50"/>
                <w:sz w:val="20"/>
                <w:szCs w:val="20"/>
                <w:highlight w:val="none"/>
                <w:u w:val="single" w:color="auto"/>
              </w:rPr>
              <w:t xml:space="preserve"> </w:t>
            </w:r>
            <w:r>
              <w:rPr>
                <w:color w:val="auto"/>
                <w:spacing w:val="-1"/>
                <w:sz w:val="20"/>
                <w:szCs w:val="20"/>
                <w:highlight w:val="none"/>
                <w:u w:val="single" w:color="auto"/>
              </w:rPr>
              <w:t>监</w:t>
            </w:r>
            <w:r>
              <w:rPr>
                <w:color w:val="auto"/>
                <w:spacing w:val="-44"/>
                <w:sz w:val="20"/>
                <w:szCs w:val="20"/>
                <w:highlight w:val="none"/>
                <w:u w:val="single" w:color="auto"/>
              </w:rPr>
              <w:t xml:space="preserve"> </w:t>
            </w:r>
            <w:r>
              <w:rPr>
                <w:color w:val="auto"/>
                <w:spacing w:val="-1"/>
                <w:sz w:val="20"/>
                <w:szCs w:val="20"/>
                <w:highlight w:val="none"/>
                <w:u w:val="single" w:color="auto"/>
              </w:rPr>
              <w:t>管</w:t>
            </w:r>
            <w:r>
              <w:rPr>
                <w:color w:val="auto"/>
                <w:spacing w:val="-35"/>
                <w:sz w:val="20"/>
                <w:szCs w:val="20"/>
                <w:highlight w:val="none"/>
                <w:u w:val="single" w:color="auto"/>
              </w:rPr>
              <w:t xml:space="preserve"> </w:t>
            </w:r>
            <w:r>
              <w:rPr>
                <w:color w:val="auto"/>
                <w:spacing w:val="-1"/>
                <w:sz w:val="20"/>
                <w:szCs w:val="20"/>
                <w:highlight w:val="none"/>
                <w:u w:val="single" w:color="auto"/>
              </w:rPr>
              <w:t>网</w:t>
            </w:r>
            <w:r>
              <w:rPr>
                <w:color w:val="auto"/>
                <w:spacing w:val="-36"/>
                <w:sz w:val="20"/>
                <w:szCs w:val="20"/>
                <w:highlight w:val="none"/>
                <w:u w:val="single" w:color="auto"/>
              </w:rPr>
              <w:t xml:space="preserve"> </w:t>
            </w:r>
            <w:r>
              <w:rPr>
                <w:color w:val="auto"/>
                <w:spacing w:val="-1"/>
                <w:sz w:val="20"/>
                <w:szCs w:val="20"/>
                <w:highlight w:val="none"/>
                <w:u w:val="single" w:color="auto"/>
              </w:rPr>
              <w:t>、</w:t>
            </w:r>
            <w:r>
              <w:rPr>
                <w:rFonts w:hint="eastAsia"/>
                <w:color w:val="auto"/>
                <w:spacing w:val="-1"/>
                <w:sz w:val="20"/>
                <w:szCs w:val="20"/>
                <w:highlight w:val="none"/>
                <w:u w:val="single" w:color="auto"/>
                <w:lang w:eastAsia="zh-CN"/>
              </w:rPr>
              <w:t>广州公共资源</w:t>
            </w:r>
            <w:r>
              <w:rPr>
                <w:color w:val="auto"/>
                <w:spacing w:val="-2"/>
                <w:sz w:val="20"/>
                <w:szCs w:val="20"/>
                <w:highlight w:val="none"/>
                <w:u w:val="single" w:color="auto"/>
              </w:rPr>
              <w:t>交易中</w:t>
            </w:r>
            <w:r>
              <w:rPr>
                <w:color w:val="auto"/>
                <w:spacing w:val="30"/>
                <w:sz w:val="20"/>
                <w:szCs w:val="20"/>
                <w:highlight w:val="none"/>
                <w:u w:val="single" w:color="auto"/>
              </w:rPr>
              <w:t>心网站</w:t>
            </w:r>
          </w:p>
          <w:p>
            <w:pPr>
              <w:pStyle w:val="17"/>
              <w:spacing w:line="272" w:lineRule="exact"/>
              <w:ind w:left="135"/>
              <w:rPr>
                <w:color w:val="auto"/>
                <w:sz w:val="10"/>
                <w:szCs w:val="10"/>
                <w:highlight w:val="none"/>
              </w:rPr>
            </w:pPr>
            <w:r>
              <w:rPr>
                <w:color w:val="auto"/>
                <w:spacing w:val="1"/>
                <w:sz w:val="20"/>
                <w:szCs w:val="20"/>
                <w:highlight w:val="none"/>
              </w:rPr>
              <w:t xml:space="preserve">公示期限：3 </w:t>
            </w:r>
            <w:r>
              <w:rPr>
                <w:rFonts w:hint="eastAsia"/>
                <w:color w:val="auto"/>
                <w:spacing w:val="1"/>
                <w:sz w:val="20"/>
                <w:szCs w:val="20"/>
                <w:highlight w:val="none"/>
                <w:lang w:eastAsia="zh-CN"/>
              </w:rPr>
              <w:t>个工作</w:t>
            </w:r>
            <w:r>
              <w:rPr>
                <w:color w:val="auto"/>
                <w:spacing w:val="1"/>
                <w:sz w:val="20"/>
                <w:szCs w:val="20"/>
                <w:highlight w:val="none"/>
              </w:rPr>
              <w:t xml:space="preserve">日 </w:t>
            </w:r>
          </w:p>
          <w:p>
            <w:pPr>
              <w:pStyle w:val="17"/>
              <w:spacing w:before="33" w:line="253" w:lineRule="auto"/>
              <w:ind w:left="128" w:right="122" w:firstLine="6"/>
              <w:rPr>
                <w:color w:val="auto"/>
                <w:sz w:val="10"/>
                <w:szCs w:val="10"/>
                <w:highlight w:val="none"/>
              </w:rPr>
            </w:pPr>
            <w:r>
              <w:rPr>
                <w:color w:val="auto"/>
                <w:spacing w:val="8"/>
                <w:sz w:val="20"/>
                <w:szCs w:val="20"/>
                <w:highlight w:val="none"/>
              </w:rPr>
              <w:t>公示的其他内容：</w:t>
            </w:r>
            <w:r>
              <w:rPr>
                <w:color w:val="auto"/>
                <w:spacing w:val="8"/>
                <w:sz w:val="20"/>
                <w:szCs w:val="20"/>
                <w:highlight w:val="none"/>
                <w:u w:val="single" w:color="auto"/>
              </w:rPr>
              <w:t>最新年度信用等级使用情况及所有</w:t>
            </w:r>
            <w:r>
              <w:rPr>
                <w:color w:val="auto"/>
                <w:spacing w:val="7"/>
                <w:sz w:val="20"/>
                <w:szCs w:val="20"/>
                <w:highlight w:val="none"/>
              </w:rPr>
              <w:t xml:space="preserve"> </w:t>
            </w:r>
            <w:r>
              <w:rPr>
                <w:color w:val="auto"/>
                <w:spacing w:val="8"/>
                <w:sz w:val="20"/>
                <w:szCs w:val="20"/>
                <w:highlight w:val="none"/>
                <w:u w:val="single" w:color="auto"/>
              </w:rPr>
              <w:t>承诺使用最新年度</w:t>
            </w:r>
            <w:r>
              <w:rPr>
                <w:color w:val="auto"/>
                <w:spacing w:val="-41"/>
                <w:sz w:val="20"/>
                <w:szCs w:val="20"/>
                <w:highlight w:val="none"/>
                <w:u w:val="single" w:color="auto"/>
              </w:rPr>
              <w:t xml:space="preserve"> </w:t>
            </w:r>
            <w:r>
              <w:rPr>
                <w:color w:val="auto"/>
                <w:sz w:val="20"/>
                <w:szCs w:val="20"/>
                <w:highlight w:val="none"/>
                <w:u w:val="single" w:color="auto"/>
              </w:rPr>
              <w:t>AA</w:t>
            </w:r>
            <w:r>
              <w:rPr>
                <w:color w:val="auto"/>
                <w:spacing w:val="8"/>
                <w:sz w:val="20"/>
                <w:szCs w:val="20"/>
                <w:highlight w:val="none"/>
                <w:u w:val="single" w:color="auto"/>
              </w:rPr>
              <w:t>、A</w:t>
            </w:r>
            <w:r>
              <w:rPr>
                <w:color w:val="auto"/>
                <w:spacing w:val="-35"/>
                <w:sz w:val="20"/>
                <w:szCs w:val="20"/>
                <w:highlight w:val="none"/>
                <w:u w:val="single" w:color="auto"/>
              </w:rPr>
              <w:t xml:space="preserve"> </w:t>
            </w:r>
            <w:r>
              <w:rPr>
                <w:color w:val="auto"/>
                <w:spacing w:val="8"/>
                <w:sz w:val="20"/>
                <w:szCs w:val="20"/>
                <w:highlight w:val="none"/>
                <w:u w:val="single" w:color="auto"/>
              </w:rPr>
              <w:t>级投标人的年度信用等级使</w:t>
            </w:r>
            <w:r>
              <w:rPr>
                <w:color w:val="auto"/>
                <w:sz w:val="20"/>
                <w:szCs w:val="20"/>
                <w:highlight w:val="none"/>
              </w:rPr>
              <w:t xml:space="preserve"> </w:t>
            </w:r>
            <w:r>
              <w:rPr>
                <w:color w:val="auto"/>
                <w:spacing w:val="7"/>
                <w:sz w:val="20"/>
                <w:szCs w:val="20"/>
                <w:highlight w:val="none"/>
                <w:u w:val="single" w:color="auto"/>
              </w:rPr>
              <w:t>用情况。</w:t>
            </w:r>
            <w:r>
              <w:rPr>
                <w:color w:val="auto"/>
                <w:highlight w:val="none"/>
              </w:rPr>
              <w:fldChar w:fldCharType="begin"/>
            </w:r>
            <w:r>
              <w:rPr>
                <w:color w:val="auto"/>
                <w:highlight w:val="none"/>
              </w:rPr>
              <w:instrText xml:space="preserve"> HYPERLINK \l "bookmark37" </w:instrText>
            </w:r>
            <w:r>
              <w:rPr>
                <w:color w:val="auto"/>
                <w:highlight w:val="none"/>
              </w:rPr>
              <w:fldChar w:fldCharType="separate"/>
            </w:r>
            <w:r>
              <w:rPr>
                <w:color w:val="auto"/>
                <w:spacing w:val="7"/>
                <w:position w:val="9"/>
                <w:sz w:val="10"/>
                <w:szCs w:val="10"/>
                <w:highlight w:val="none"/>
              </w:rPr>
              <w:t>⑨</w:t>
            </w:r>
            <w:r>
              <w:rPr>
                <w:color w:val="auto"/>
                <w:spacing w:val="7"/>
                <w:position w:val="9"/>
                <w:sz w:val="10"/>
                <w:szCs w:val="10"/>
                <w:highlight w:val="none"/>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063" w:type="dxa"/>
            <w:tcBorders>
              <w:left w:val="single" w:color="000000" w:sz="10" w:space="0"/>
            </w:tcBorders>
            <w:vAlign w:val="top"/>
          </w:tcPr>
          <w:p>
            <w:pPr>
              <w:pStyle w:val="17"/>
              <w:spacing w:before="304" w:line="189" w:lineRule="auto"/>
              <w:ind w:left="375"/>
              <w:jc w:val="both"/>
              <w:rPr>
                <w:color w:val="auto"/>
                <w:sz w:val="20"/>
                <w:szCs w:val="20"/>
                <w:highlight w:val="none"/>
              </w:rPr>
            </w:pPr>
            <w:r>
              <w:rPr>
                <w:color w:val="auto"/>
                <w:sz w:val="20"/>
                <w:szCs w:val="20"/>
                <w:highlight w:val="none"/>
              </w:rPr>
              <w:t>7.4</w:t>
            </w:r>
          </w:p>
        </w:tc>
        <w:tc>
          <w:tcPr>
            <w:tcW w:w="2957" w:type="dxa"/>
            <w:gridSpan w:val="4"/>
            <w:vAlign w:val="top"/>
          </w:tcPr>
          <w:p>
            <w:pPr>
              <w:pStyle w:val="17"/>
              <w:spacing w:before="136" w:line="239" w:lineRule="auto"/>
              <w:ind w:right="306"/>
              <w:jc w:val="center"/>
              <w:rPr>
                <w:color w:val="auto"/>
                <w:sz w:val="20"/>
                <w:szCs w:val="20"/>
                <w:highlight w:val="none"/>
              </w:rPr>
            </w:pPr>
            <w:r>
              <w:rPr>
                <w:rFonts w:hint="eastAsia"/>
                <w:color w:val="auto"/>
                <w:spacing w:val="8"/>
                <w:sz w:val="20"/>
                <w:szCs w:val="20"/>
                <w:highlight w:val="none"/>
                <w:lang w:val="en-US" w:eastAsia="zh-CN"/>
              </w:rPr>
              <w:t xml:space="preserve">  </w:t>
            </w:r>
            <w:r>
              <w:rPr>
                <w:color w:val="auto"/>
                <w:spacing w:val="8"/>
                <w:sz w:val="20"/>
                <w:szCs w:val="20"/>
                <w:highlight w:val="none"/>
              </w:rPr>
              <w:t>是否授权评标委员会确定</w:t>
            </w:r>
            <w:r>
              <w:rPr>
                <w:color w:val="auto"/>
                <w:sz w:val="20"/>
                <w:szCs w:val="20"/>
                <w:highlight w:val="none"/>
              </w:rPr>
              <w:t>中标人</w:t>
            </w:r>
          </w:p>
        </w:tc>
        <w:tc>
          <w:tcPr>
            <w:tcW w:w="5035" w:type="dxa"/>
            <w:gridSpan w:val="4"/>
            <w:tcBorders>
              <w:right w:val="single" w:color="000000" w:sz="10" w:space="0"/>
            </w:tcBorders>
            <w:vAlign w:val="top"/>
          </w:tcPr>
          <w:p>
            <w:pPr>
              <w:pStyle w:val="17"/>
              <w:spacing w:before="135" w:line="271" w:lineRule="exact"/>
              <w:ind w:left="151"/>
              <w:rPr>
                <w:color w:val="auto"/>
                <w:sz w:val="20"/>
                <w:szCs w:val="20"/>
                <w:highlight w:val="none"/>
              </w:rPr>
            </w:pPr>
            <w:r>
              <w:rPr>
                <w:color w:val="auto"/>
                <w:spacing w:val="-6"/>
                <w:position w:val="4"/>
                <w:sz w:val="20"/>
                <w:szCs w:val="20"/>
                <w:highlight w:val="none"/>
              </w:rPr>
              <w:t>□是</w:t>
            </w:r>
          </w:p>
          <w:p>
            <w:pPr>
              <w:pStyle w:val="17"/>
              <w:spacing w:line="228" w:lineRule="auto"/>
              <w:ind w:left="151"/>
              <w:rPr>
                <w:color w:val="auto"/>
                <w:sz w:val="20"/>
                <w:szCs w:val="20"/>
                <w:highlight w:val="none"/>
              </w:rPr>
            </w:pPr>
            <w:r>
              <w:rPr>
                <w:rFonts w:hint="eastAsia"/>
                <w:color w:val="auto"/>
                <w:spacing w:val="-6"/>
                <w:sz w:val="20"/>
                <w:szCs w:val="20"/>
                <w:highlight w:val="none"/>
                <w:lang w:eastAsia="zh-CN"/>
              </w:rPr>
              <w:t>☑</w:t>
            </w:r>
            <w:r>
              <w:rPr>
                <w:color w:val="auto"/>
                <w:spacing w:val="-6"/>
                <w:sz w:val="20"/>
                <w:szCs w:val="20"/>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063" w:type="dxa"/>
            <w:tcBorders>
              <w:left w:val="single" w:color="000000" w:sz="10" w:space="0"/>
            </w:tcBorders>
            <w:vAlign w:val="top"/>
          </w:tcPr>
          <w:p>
            <w:pPr>
              <w:pStyle w:val="17"/>
              <w:spacing w:before="294" w:line="187" w:lineRule="auto"/>
              <w:ind w:left="375"/>
              <w:rPr>
                <w:color w:val="auto"/>
                <w:sz w:val="20"/>
                <w:szCs w:val="20"/>
                <w:highlight w:val="none"/>
              </w:rPr>
            </w:pPr>
            <w:r>
              <w:rPr>
                <w:color w:val="auto"/>
                <w:sz w:val="20"/>
                <w:szCs w:val="20"/>
                <w:highlight w:val="none"/>
              </w:rPr>
              <w:t>7.5</w:t>
            </w:r>
          </w:p>
        </w:tc>
        <w:tc>
          <w:tcPr>
            <w:tcW w:w="2957" w:type="dxa"/>
            <w:gridSpan w:val="4"/>
            <w:vAlign w:val="top"/>
          </w:tcPr>
          <w:p>
            <w:pPr>
              <w:pStyle w:val="17"/>
              <w:spacing w:before="123"/>
              <w:ind w:left="936" w:right="203" w:hanging="718"/>
              <w:rPr>
                <w:color w:val="auto"/>
                <w:sz w:val="20"/>
                <w:szCs w:val="20"/>
                <w:highlight w:val="none"/>
              </w:rPr>
            </w:pPr>
            <w:r>
              <w:rPr>
                <w:color w:val="auto"/>
                <w:spacing w:val="7"/>
                <w:sz w:val="20"/>
                <w:szCs w:val="20"/>
                <w:highlight w:val="none"/>
              </w:rPr>
              <w:t>中标通知书和中标结果通知</w:t>
            </w:r>
            <w:r>
              <w:rPr>
                <w:color w:val="auto"/>
                <w:spacing w:val="4"/>
                <w:sz w:val="20"/>
                <w:szCs w:val="20"/>
                <w:highlight w:val="none"/>
              </w:rPr>
              <w:t xml:space="preserve"> </w:t>
            </w:r>
            <w:r>
              <w:rPr>
                <w:color w:val="auto"/>
                <w:spacing w:val="7"/>
                <w:sz w:val="20"/>
                <w:szCs w:val="20"/>
                <w:highlight w:val="none"/>
              </w:rPr>
              <w:t>发出的形式</w:t>
            </w:r>
          </w:p>
        </w:tc>
        <w:tc>
          <w:tcPr>
            <w:tcW w:w="5035" w:type="dxa"/>
            <w:gridSpan w:val="4"/>
            <w:tcBorders>
              <w:right w:val="single" w:color="000000" w:sz="10" w:space="0"/>
            </w:tcBorders>
            <w:vAlign w:val="top"/>
          </w:tcPr>
          <w:p>
            <w:pP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中标通知书</w:t>
            </w:r>
            <w:r>
              <w:rPr>
                <w:rFonts w:hint="eastAsia" w:ascii="宋体" w:hAnsi="宋体" w:eastAsia="宋体" w:cs="宋体"/>
                <w:color w:val="auto"/>
                <w:sz w:val="20"/>
                <w:szCs w:val="20"/>
                <w:highlight w:val="none"/>
                <w:lang w:eastAsia="zh-CN"/>
              </w:rPr>
              <w:t>：以电子版形式发出；</w:t>
            </w:r>
          </w:p>
          <w:p>
            <w:pPr>
              <w:pStyle w:val="12"/>
              <w:ind w:left="0" w:leftChars="0" w:firstLine="0" w:firstLineChars="0"/>
              <w:rPr>
                <w:rFonts w:hint="eastAsia" w:eastAsia="宋体"/>
                <w:color w:val="auto"/>
                <w:highlight w:val="none"/>
                <w:lang w:eastAsia="zh-CN"/>
              </w:rPr>
            </w:pPr>
            <w:r>
              <w:rPr>
                <w:rFonts w:hint="eastAsia" w:ascii="宋体" w:hAnsi="宋体" w:eastAsia="宋体" w:cs="宋体"/>
                <w:color w:val="auto"/>
                <w:sz w:val="20"/>
                <w:szCs w:val="20"/>
                <w:highlight w:val="none"/>
                <w:lang w:eastAsia="zh-CN"/>
              </w:rPr>
              <w:t>中标结果通知：在</w:t>
            </w:r>
            <w:r>
              <w:rPr>
                <w:rFonts w:hint="eastAsia" w:ascii="宋体" w:hAnsi="宋体" w:eastAsia="宋体" w:cs="宋体"/>
                <w:color w:val="auto"/>
                <w:spacing w:val="8"/>
                <w:sz w:val="20"/>
                <w:szCs w:val="20"/>
                <w:highlight w:val="none"/>
                <w:u w:val="none" w:color="auto"/>
              </w:rPr>
              <w:t>广东省招标投标监管网</w:t>
            </w:r>
            <w:r>
              <w:rPr>
                <w:rFonts w:hint="eastAsia" w:ascii="宋体" w:hAnsi="宋体" w:eastAsia="宋体" w:cs="宋体"/>
                <w:color w:val="auto"/>
                <w:spacing w:val="8"/>
                <w:sz w:val="20"/>
                <w:szCs w:val="20"/>
                <w:highlight w:val="none"/>
                <w:u w:val="none" w:color="auto"/>
                <w:lang w:eastAsia="zh-CN"/>
              </w:rPr>
              <w:t>发布公告。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063" w:type="dxa"/>
            <w:tcBorders>
              <w:left w:val="single" w:color="000000" w:sz="10" w:space="0"/>
            </w:tcBorders>
            <w:vAlign w:val="top"/>
          </w:tcPr>
          <w:p>
            <w:pPr>
              <w:pStyle w:val="17"/>
              <w:spacing w:before="304" w:line="189" w:lineRule="auto"/>
              <w:ind w:left="375"/>
              <w:rPr>
                <w:color w:val="auto"/>
                <w:sz w:val="20"/>
                <w:szCs w:val="20"/>
                <w:highlight w:val="none"/>
              </w:rPr>
            </w:pPr>
            <w:r>
              <w:rPr>
                <w:color w:val="auto"/>
                <w:sz w:val="20"/>
                <w:szCs w:val="20"/>
                <w:highlight w:val="none"/>
              </w:rPr>
              <w:t>7.6</w:t>
            </w:r>
          </w:p>
        </w:tc>
        <w:tc>
          <w:tcPr>
            <w:tcW w:w="2957" w:type="dxa"/>
            <w:gridSpan w:val="4"/>
            <w:vAlign w:val="top"/>
          </w:tcPr>
          <w:p>
            <w:pPr>
              <w:pStyle w:val="17"/>
              <w:spacing w:before="254" w:line="242" w:lineRule="auto"/>
              <w:ind w:left="585"/>
              <w:rPr>
                <w:color w:val="auto"/>
                <w:sz w:val="10"/>
                <w:szCs w:val="10"/>
                <w:highlight w:val="none"/>
              </w:rPr>
            </w:pPr>
            <w:r>
              <w:rPr>
                <w:color w:val="auto"/>
                <w:spacing w:val="6"/>
                <w:sz w:val="20"/>
                <w:szCs w:val="20"/>
                <w:highlight w:val="none"/>
              </w:rPr>
              <w:t>中标结果公告媒介</w:t>
            </w:r>
            <w:r>
              <w:rPr>
                <w:color w:val="auto"/>
                <w:highlight w:val="none"/>
              </w:rPr>
              <w:fldChar w:fldCharType="begin"/>
            </w:r>
            <w:r>
              <w:rPr>
                <w:color w:val="auto"/>
                <w:highlight w:val="none"/>
              </w:rPr>
              <w:instrText xml:space="preserve"> HYPERLINK \l "bookmark38" </w:instrText>
            </w:r>
            <w:r>
              <w:rPr>
                <w:color w:val="auto"/>
                <w:highlight w:val="none"/>
              </w:rPr>
              <w:fldChar w:fldCharType="separate"/>
            </w:r>
            <w:r>
              <w:rPr>
                <w:color w:val="auto"/>
                <w:spacing w:val="6"/>
                <w:position w:val="10"/>
                <w:sz w:val="10"/>
                <w:szCs w:val="10"/>
                <w:highlight w:val="none"/>
              </w:rPr>
              <w:t>①</w:t>
            </w:r>
            <w:r>
              <w:rPr>
                <w:color w:val="auto"/>
                <w:spacing w:val="6"/>
                <w:position w:val="10"/>
                <w:sz w:val="10"/>
                <w:szCs w:val="10"/>
                <w:highlight w:val="none"/>
              </w:rPr>
              <w:fldChar w:fldCharType="end"/>
            </w:r>
          </w:p>
        </w:tc>
        <w:tc>
          <w:tcPr>
            <w:tcW w:w="5035" w:type="dxa"/>
            <w:gridSpan w:val="4"/>
            <w:tcBorders>
              <w:right w:val="single" w:color="000000" w:sz="10" w:space="0"/>
            </w:tcBorders>
            <w:vAlign w:val="top"/>
          </w:tcPr>
          <w:p>
            <w:pPr>
              <w:pStyle w:val="17"/>
              <w:spacing w:before="271" w:line="228" w:lineRule="auto"/>
              <w:ind w:left="130"/>
              <w:rPr>
                <w:color w:val="auto"/>
                <w:sz w:val="20"/>
                <w:szCs w:val="20"/>
                <w:highlight w:val="none"/>
              </w:rPr>
            </w:pPr>
            <w:r>
              <w:rPr>
                <w:color w:val="auto"/>
                <w:spacing w:val="8"/>
                <w:sz w:val="20"/>
                <w:szCs w:val="20"/>
                <w:highlight w:val="none"/>
                <w:u w:val="single" w:color="auto"/>
              </w:rPr>
              <w:t>广东省招标投标监管网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5" w:hRule="atLeast"/>
        </w:trPr>
        <w:tc>
          <w:tcPr>
            <w:tcW w:w="1063" w:type="dxa"/>
            <w:tcBorders>
              <w:left w:val="single" w:color="000000" w:sz="10" w:space="0"/>
            </w:tcBorders>
            <w:vAlign w:val="top"/>
          </w:tcPr>
          <w:p>
            <w:pPr>
              <w:spacing w:line="282" w:lineRule="auto"/>
              <w:rPr>
                <w:rFonts w:ascii="Arial"/>
                <w:color w:val="auto"/>
                <w:sz w:val="21"/>
                <w:highlight w:val="none"/>
              </w:rPr>
            </w:pPr>
          </w:p>
          <w:p>
            <w:pPr>
              <w:spacing w:line="282" w:lineRule="auto"/>
              <w:rPr>
                <w:rFonts w:ascii="Arial"/>
                <w:color w:val="auto"/>
                <w:sz w:val="21"/>
                <w:highlight w:val="none"/>
              </w:rPr>
            </w:pPr>
          </w:p>
          <w:p>
            <w:pPr>
              <w:spacing w:line="282" w:lineRule="auto"/>
              <w:rPr>
                <w:rFonts w:ascii="Arial"/>
                <w:color w:val="auto"/>
                <w:sz w:val="21"/>
                <w:highlight w:val="none"/>
              </w:rPr>
            </w:pPr>
          </w:p>
          <w:p>
            <w:pPr>
              <w:spacing w:line="283" w:lineRule="auto"/>
              <w:rPr>
                <w:rFonts w:ascii="Arial"/>
                <w:color w:val="auto"/>
                <w:sz w:val="21"/>
                <w:highlight w:val="none"/>
              </w:rPr>
            </w:pPr>
          </w:p>
          <w:p>
            <w:pPr>
              <w:pStyle w:val="17"/>
              <w:spacing w:before="65" w:line="190" w:lineRule="auto"/>
              <w:ind w:left="270"/>
              <w:rPr>
                <w:color w:val="auto"/>
                <w:sz w:val="20"/>
                <w:szCs w:val="20"/>
                <w:highlight w:val="none"/>
              </w:rPr>
            </w:pPr>
            <w:r>
              <w:rPr>
                <w:color w:val="auto"/>
                <w:spacing w:val="2"/>
                <w:sz w:val="20"/>
                <w:szCs w:val="20"/>
                <w:highlight w:val="none"/>
              </w:rPr>
              <w:t>7.7.1</w:t>
            </w:r>
          </w:p>
        </w:tc>
        <w:tc>
          <w:tcPr>
            <w:tcW w:w="2957" w:type="dxa"/>
            <w:gridSpan w:val="4"/>
            <w:vAlign w:val="top"/>
          </w:tcPr>
          <w:p>
            <w:pPr>
              <w:spacing w:line="274" w:lineRule="auto"/>
              <w:rPr>
                <w:rFonts w:ascii="Arial"/>
                <w:color w:val="auto"/>
                <w:sz w:val="21"/>
                <w:highlight w:val="none"/>
              </w:rPr>
            </w:pPr>
          </w:p>
          <w:p>
            <w:pPr>
              <w:spacing w:line="274" w:lineRule="auto"/>
              <w:rPr>
                <w:rFonts w:ascii="Arial"/>
                <w:color w:val="auto"/>
                <w:sz w:val="21"/>
                <w:highlight w:val="none"/>
              </w:rPr>
            </w:pPr>
          </w:p>
          <w:p>
            <w:pPr>
              <w:spacing w:line="275" w:lineRule="auto"/>
              <w:rPr>
                <w:rFonts w:ascii="Arial"/>
                <w:color w:val="auto"/>
                <w:sz w:val="21"/>
                <w:highlight w:val="none"/>
              </w:rPr>
            </w:pPr>
          </w:p>
          <w:p>
            <w:pPr>
              <w:spacing w:line="275" w:lineRule="auto"/>
              <w:rPr>
                <w:rFonts w:ascii="Arial"/>
                <w:color w:val="auto"/>
                <w:sz w:val="21"/>
                <w:highlight w:val="none"/>
              </w:rPr>
            </w:pPr>
          </w:p>
          <w:p>
            <w:pPr>
              <w:pStyle w:val="17"/>
              <w:spacing w:before="65" w:line="228" w:lineRule="auto"/>
              <w:ind w:left="936"/>
              <w:rPr>
                <w:color w:val="auto"/>
                <w:sz w:val="20"/>
                <w:szCs w:val="20"/>
                <w:highlight w:val="none"/>
              </w:rPr>
            </w:pPr>
            <w:r>
              <w:rPr>
                <w:color w:val="auto"/>
                <w:spacing w:val="7"/>
                <w:sz w:val="20"/>
                <w:szCs w:val="20"/>
                <w:highlight w:val="none"/>
              </w:rPr>
              <w:t>履约保证金</w:t>
            </w:r>
          </w:p>
        </w:tc>
        <w:tc>
          <w:tcPr>
            <w:tcW w:w="5035" w:type="dxa"/>
            <w:gridSpan w:val="4"/>
            <w:tcBorders>
              <w:right w:val="single" w:color="000000" w:sz="10" w:space="0"/>
            </w:tcBorders>
            <w:vAlign w:val="top"/>
          </w:tcPr>
          <w:p>
            <w:pPr>
              <w:pStyle w:val="17"/>
              <w:spacing w:before="217" w:line="228" w:lineRule="auto"/>
              <w:ind w:left="133"/>
              <w:rPr>
                <w:color w:val="auto"/>
                <w:sz w:val="20"/>
                <w:szCs w:val="20"/>
                <w:highlight w:val="none"/>
              </w:rPr>
            </w:pPr>
            <w:r>
              <w:rPr>
                <w:color w:val="auto"/>
                <w:spacing w:val="8"/>
                <w:sz w:val="20"/>
                <w:szCs w:val="20"/>
                <w:highlight w:val="none"/>
              </w:rPr>
              <w:t>是否要求中标人提交履约保证金：</w:t>
            </w:r>
          </w:p>
          <w:p>
            <w:pPr>
              <w:pStyle w:val="17"/>
              <w:tabs>
                <w:tab w:val="left" w:pos="240"/>
              </w:tabs>
              <w:spacing w:before="25" w:line="237" w:lineRule="auto"/>
              <w:ind w:left="122" w:right="125" w:firstLine="29"/>
              <w:rPr>
                <w:color w:val="auto"/>
                <w:sz w:val="20"/>
                <w:szCs w:val="20"/>
                <w:highlight w:val="none"/>
              </w:rPr>
            </w:pPr>
            <w:r>
              <w:rPr>
                <w:rFonts w:hint="eastAsia"/>
                <w:color w:val="auto"/>
                <w:spacing w:val="8"/>
                <w:sz w:val="20"/>
                <w:szCs w:val="20"/>
                <w:highlight w:val="none"/>
                <w:lang w:eastAsia="zh-CN"/>
              </w:rPr>
              <w:t>☑</w:t>
            </w:r>
            <w:r>
              <w:rPr>
                <w:color w:val="auto"/>
                <w:spacing w:val="8"/>
                <w:sz w:val="20"/>
                <w:szCs w:val="20"/>
                <w:highlight w:val="none"/>
              </w:rPr>
              <w:t>要求，履约担保形式：</w:t>
            </w:r>
            <w:r>
              <w:rPr>
                <w:rFonts w:hint="eastAsia"/>
                <w:color w:val="auto"/>
                <w:spacing w:val="8"/>
                <w:sz w:val="20"/>
                <w:szCs w:val="20"/>
                <w:highlight w:val="none"/>
              </w:rPr>
              <w:t>由投标人自主选择采用现金（或支票）、或银行保函</w:t>
            </w:r>
            <w:r>
              <w:rPr>
                <w:color w:val="auto"/>
                <w:spacing w:val="3"/>
                <w:sz w:val="20"/>
                <w:szCs w:val="20"/>
                <w:highlight w:val="none"/>
              </w:rPr>
              <w:t>。</w:t>
            </w:r>
          </w:p>
          <w:p>
            <w:pPr>
              <w:pStyle w:val="17"/>
              <w:spacing w:line="243" w:lineRule="auto"/>
              <w:ind w:left="131" w:right="123" w:firstLine="418"/>
              <w:rPr>
                <w:rFonts w:ascii="宋体" w:hAnsi="宋体" w:eastAsia="宋体" w:cs="宋体"/>
                <w:color w:val="auto"/>
                <w:spacing w:val="18"/>
                <w:sz w:val="20"/>
                <w:szCs w:val="20"/>
                <w:highlight w:val="none"/>
              </w:rPr>
            </w:pPr>
            <w:r>
              <w:rPr>
                <w:rFonts w:ascii="宋体" w:hAnsi="宋体" w:eastAsia="宋体" w:cs="宋体"/>
                <w:color w:val="auto"/>
                <w:spacing w:val="18"/>
                <w:sz w:val="20"/>
                <w:szCs w:val="20"/>
                <w:highlight w:val="none"/>
              </w:rPr>
              <w:t>履约保证金金额：中标合同额的</w:t>
            </w:r>
            <w:r>
              <w:rPr>
                <w:rFonts w:hint="eastAsia" w:ascii="宋体" w:hAnsi="宋体" w:eastAsia="宋体" w:cs="宋体"/>
                <w:color w:val="auto"/>
                <w:spacing w:val="18"/>
                <w:sz w:val="20"/>
                <w:szCs w:val="20"/>
                <w:highlight w:val="none"/>
                <w:lang w:val="en-US" w:eastAsia="zh-CN"/>
              </w:rPr>
              <w:t>10%</w:t>
            </w:r>
            <w:r>
              <w:rPr>
                <w:rFonts w:ascii="宋体" w:hAnsi="宋体" w:eastAsia="宋体" w:cs="宋体"/>
                <w:color w:val="auto"/>
                <w:spacing w:val="18"/>
                <w:sz w:val="20"/>
                <w:szCs w:val="20"/>
                <w:highlight w:val="none"/>
              </w:rPr>
              <w:t>。</w:t>
            </w:r>
          </w:p>
          <w:p>
            <w:pPr>
              <w:pStyle w:val="17"/>
              <w:spacing w:line="243" w:lineRule="auto"/>
              <w:ind w:left="131" w:right="123" w:firstLine="418"/>
              <w:rPr>
                <w:color w:val="auto"/>
                <w:sz w:val="20"/>
                <w:szCs w:val="20"/>
                <w:highlight w:val="none"/>
              </w:rPr>
            </w:pPr>
            <w:r>
              <w:rPr>
                <w:color w:val="auto"/>
                <w:spacing w:val="8"/>
                <w:sz w:val="20"/>
                <w:szCs w:val="20"/>
                <w:highlight w:val="none"/>
              </w:rPr>
              <w:t>采用银行保函时，出具履约担保的银行级别：投</w:t>
            </w:r>
            <w:r>
              <w:rPr>
                <w:color w:val="auto"/>
                <w:spacing w:val="15"/>
                <w:sz w:val="20"/>
                <w:szCs w:val="20"/>
                <w:highlight w:val="none"/>
              </w:rPr>
              <w:t xml:space="preserve"> </w:t>
            </w:r>
            <w:r>
              <w:rPr>
                <w:color w:val="auto"/>
                <w:spacing w:val="18"/>
                <w:sz w:val="20"/>
                <w:szCs w:val="20"/>
                <w:highlight w:val="none"/>
              </w:rPr>
              <w:t>标人公司注册所在地的全国性国有商业银行或股份</w:t>
            </w:r>
            <w:r>
              <w:rPr>
                <w:color w:val="auto"/>
                <w:spacing w:val="8"/>
                <w:sz w:val="20"/>
                <w:szCs w:val="20"/>
                <w:highlight w:val="none"/>
              </w:rPr>
              <w:t xml:space="preserve"> 制商业银行的分支机构。</w:t>
            </w:r>
          </w:p>
          <w:p>
            <w:pPr>
              <w:pStyle w:val="17"/>
              <w:spacing w:before="25" w:line="229" w:lineRule="auto"/>
              <w:ind w:left="151"/>
              <w:rPr>
                <w:color w:val="auto"/>
                <w:sz w:val="20"/>
                <w:szCs w:val="20"/>
                <w:highlight w:val="none"/>
              </w:rPr>
            </w:pPr>
            <w:r>
              <w:rPr>
                <w:color w:val="auto"/>
                <w:spacing w:val="2"/>
                <w:sz w:val="20"/>
                <w:szCs w:val="20"/>
                <w:highlight w:val="none"/>
              </w:rPr>
              <w:t>□不要求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1063" w:type="dxa"/>
            <w:tcBorders>
              <w:left w:val="single" w:color="000000" w:sz="10" w:space="0"/>
            </w:tcBorders>
            <w:vAlign w:val="top"/>
          </w:tcPr>
          <w:p>
            <w:pPr>
              <w:spacing w:line="263" w:lineRule="auto"/>
              <w:jc w:val="left"/>
              <w:rPr>
                <w:rFonts w:ascii="Arial"/>
                <w:color w:val="auto"/>
                <w:sz w:val="21"/>
                <w:highlight w:val="none"/>
              </w:rPr>
            </w:pPr>
          </w:p>
          <w:p>
            <w:pPr>
              <w:pStyle w:val="12"/>
              <w:rPr>
                <w:color w:val="auto"/>
                <w:highlight w:val="none"/>
              </w:rPr>
            </w:pPr>
          </w:p>
          <w:p>
            <w:pPr>
              <w:pStyle w:val="17"/>
              <w:spacing w:before="65" w:line="190" w:lineRule="auto"/>
              <w:ind w:left="266"/>
              <w:jc w:val="left"/>
              <w:rPr>
                <w:color w:val="auto"/>
                <w:sz w:val="20"/>
                <w:szCs w:val="20"/>
                <w:highlight w:val="none"/>
              </w:rPr>
            </w:pPr>
            <w:r>
              <w:rPr>
                <w:color w:val="auto"/>
                <w:spacing w:val="3"/>
                <w:sz w:val="20"/>
                <w:szCs w:val="20"/>
                <w:highlight w:val="none"/>
              </w:rPr>
              <w:t>8.5.1</w:t>
            </w:r>
          </w:p>
        </w:tc>
        <w:tc>
          <w:tcPr>
            <w:tcW w:w="2957" w:type="dxa"/>
            <w:gridSpan w:val="4"/>
            <w:vAlign w:val="top"/>
          </w:tcPr>
          <w:p>
            <w:pPr>
              <w:spacing w:line="259" w:lineRule="auto"/>
              <w:jc w:val="left"/>
              <w:rPr>
                <w:rFonts w:ascii="Arial"/>
                <w:color w:val="auto"/>
                <w:sz w:val="21"/>
                <w:highlight w:val="none"/>
              </w:rPr>
            </w:pPr>
          </w:p>
          <w:p>
            <w:pPr>
              <w:spacing w:line="260" w:lineRule="auto"/>
              <w:jc w:val="left"/>
              <w:rPr>
                <w:rFonts w:ascii="Arial"/>
                <w:color w:val="auto"/>
                <w:sz w:val="21"/>
                <w:highlight w:val="none"/>
              </w:rPr>
            </w:pPr>
          </w:p>
          <w:p>
            <w:pPr>
              <w:pStyle w:val="17"/>
              <w:spacing w:before="65" w:line="228" w:lineRule="auto"/>
              <w:ind w:left="1039"/>
              <w:jc w:val="left"/>
              <w:rPr>
                <w:color w:val="auto"/>
                <w:sz w:val="20"/>
                <w:szCs w:val="20"/>
                <w:highlight w:val="none"/>
              </w:rPr>
            </w:pPr>
            <w:r>
              <w:rPr>
                <w:color w:val="auto"/>
                <w:spacing w:val="7"/>
                <w:sz w:val="20"/>
                <w:szCs w:val="20"/>
                <w:highlight w:val="none"/>
              </w:rPr>
              <w:t>监督部门</w:t>
            </w:r>
          </w:p>
        </w:tc>
        <w:tc>
          <w:tcPr>
            <w:tcW w:w="5035" w:type="dxa"/>
            <w:gridSpan w:val="4"/>
            <w:tcBorders>
              <w:right w:val="single" w:color="000000" w:sz="10" w:space="0"/>
            </w:tcBorders>
            <w:vAlign w:val="top"/>
          </w:tcPr>
          <w:p>
            <w:pPr>
              <w:pStyle w:val="17"/>
              <w:spacing w:before="26" w:line="228" w:lineRule="auto"/>
              <w:ind w:left="146"/>
              <w:rPr>
                <w:rFonts w:hint="eastAsia"/>
                <w:color w:val="auto"/>
                <w:sz w:val="20"/>
                <w:szCs w:val="20"/>
                <w:highlight w:val="none"/>
                <w:lang w:eastAsia="zh-CN"/>
              </w:rPr>
            </w:pPr>
            <w:r>
              <w:rPr>
                <w:rFonts w:hint="eastAsia"/>
                <w:color w:val="auto"/>
                <w:sz w:val="20"/>
                <w:szCs w:val="20"/>
                <w:highlight w:val="none"/>
              </w:rPr>
              <w:t>监督部门：</w:t>
            </w:r>
            <w:r>
              <w:rPr>
                <w:rFonts w:hint="eastAsia"/>
                <w:color w:val="auto"/>
                <w:sz w:val="20"/>
                <w:szCs w:val="20"/>
                <w:highlight w:val="none"/>
                <w:lang w:eastAsia="zh-CN"/>
              </w:rPr>
              <w:t>阳西县交通运输局</w:t>
            </w:r>
          </w:p>
          <w:p>
            <w:pPr>
              <w:pStyle w:val="17"/>
              <w:spacing w:before="26" w:line="228" w:lineRule="auto"/>
              <w:ind w:left="146"/>
              <w:rPr>
                <w:rFonts w:hint="default"/>
                <w:color w:val="auto"/>
                <w:sz w:val="20"/>
                <w:szCs w:val="20"/>
                <w:highlight w:val="none"/>
                <w:lang w:val="en-US" w:eastAsia="zh-CN"/>
              </w:rPr>
            </w:pPr>
            <w:r>
              <w:rPr>
                <w:rFonts w:hint="eastAsia"/>
                <w:color w:val="auto"/>
                <w:sz w:val="20"/>
                <w:szCs w:val="20"/>
                <w:highlight w:val="none"/>
              </w:rPr>
              <w:t>地址：阳西县城阳西县城桥平一路89号</w:t>
            </w:r>
          </w:p>
          <w:p>
            <w:pPr>
              <w:pStyle w:val="17"/>
              <w:spacing w:before="26" w:line="228" w:lineRule="auto"/>
              <w:ind w:left="146"/>
              <w:rPr>
                <w:rFonts w:hint="default"/>
                <w:color w:val="auto"/>
                <w:sz w:val="20"/>
                <w:szCs w:val="20"/>
                <w:highlight w:val="none"/>
                <w:lang w:val="en-US" w:eastAsia="zh-CN"/>
              </w:rPr>
            </w:pPr>
            <w:r>
              <w:rPr>
                <w:rFonts w:hint="eastAsia"/>
                <w:color w:val="auto"/>
                <w:sz w:val="20"/>
                <w:szCs w:val="20"/>
                <w:highlight w:val="none"/>
              </w:rPr>
              <w:t>电话：0662-5553075</w:t>
            </w:r>
          </w:p>
          <w:p>
            <w:pPr>
              <w:pStyle w:val="17"/>
              <w:spacing w:before="26" w:line="228" w:lineRule="auto"/>
              <w:ind w:left="146"/>
              <w:rPr>
                <w:color w:val="auto"/>
                <w:sz w:val="20"/>
                <w:szCs w:val="20"/>
                <w:highlight w:val="none"/>
              </w:rPr>
            </w:pPr>
            <w:r>
              <w:rPr>
                <w:rFonts w:hint="eastAsia"/>
                <w:color w:val="auto"/>
                <w:sz w:val="20"/>
                <w:szCs w:val="20"/>
                <w:highlight w:val="none"/>
              </w:rPr>
              <w:t>邮政编码：529500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063" w:type="dxa"/>
            <w:tcBorders>
              <w:left w:val="single" w:color="000000" w:sz="10" w:space="0"/>
            </w:tcBorders>
            <w:vAlign w:val="top"/>
          </w:tcPr>
          <w:p>
            <w:pPr>
              <w:spacing w:line="448" w:lineRule="auto"/>
              <w:rPr>
                <w:rFonts w:ascii="Arial"/>
                <w:color w:val="auto"/>
                <w:sz w:val="21"/>
                <w:highlight w:val="none"/>
              </w:rPr>
            </w:pPr>
          </w:p>
          <w:p>
            <w:pPr>
              <w:pStyle w:val="17"/>
              <w:spacing w:before="65" w:line="189" w:lineRule="auto"/>
              <w:ind w:left="486"/>
              <w:rPr>
                <w:color w:val="auto"/>
                <w:sz w:val="20"/>
                <w:szCs w:val="20"/>
                <w:highlight w:val="none"/>
              </w:rPr>
            </w:pPr>
            <w:r>
              <w:rPr>
                <w:color w:val="auto"/>
                <w:sz w:val="20"/>
                <w:szCs w:val="20"/>
                <w:highlight w:val="none"/>
              </w:rPr>
              <w:t>9</w:t>
            </w:r>
          </w:p>
        </w:tc>
        <w:tc>
          <w:tcPr>
            <w:tcW w:w="2957" w:type="dxa"/>
            <w:gridSpan w:val="4"/>
            <w:vAlign w:val="top"/>
          </w:tcPr>
          <w:p>
            <w:pPr>
              <w:spacing w:line="416" w:lineRule="auto"/>
              <w:rPr>
                <w:rFonts w:ascii="Arial"/>
                <w:color w:val="auto"/>
                <w:sz w:val="21"/>
                <w:highlight w:val="none"/>
              </w:rPr>
            </w:pPr>
          </w:p>
          <w:p>
            <w:pPr>
              <w:pStyle w:val="17"/>
              <w:spacing w:before="65" w:line="227" w:lineRule="auto"/>
              <w:ind w:left="410"/>
              <w:rPr>
                <w:color w:val="auto"/>
                <w:sz w:val="20"/>
                <w:szCs w:val="20"/>
                <w:highlight w:val="none"/>
              </w:rPr>
            </w:pPr>
            <w:r>
              <w:rPr>
                <w:color w:val="auto"/>
                <w:spacing w:val="8"/>
                <w:sz w:val="20"/>
                <w:szCs w:val="20"/>
                <w:highlight w:val="none"/>
              </w:rPr>
              <w:t>是否采用电子招标投标</w:t>
            </w:r>
          </w:p>
        </w:tc>
        <w:tc>
          <w:tcPr>
            <w:tcW w:w="5035" w:type="dxa"/>
            <w:gridSpan w:val="4"/>
            <w:tcBorders>
              <w:right w:val="single" w:color="000000" w:sz="10" w:space="0"/>
            </w:tcBorders>
            <w:vAlign w:val="top"/>
          </w:tcPr>
          <w:p>
            <w:pPr>
              <w:spacing w:line="280" w:lineRule="auto"/>
              <w:rPr>
                <w:rFonts w:ascii="Arial"/>
                <w:color w:val="auto"/>
                <w:sz w:val="21"/>
                <w:highlight w:val="none"/>
              </w:rPr>
            </w:pPr>
          </w:p>
          <w:p>
            <w:pPr>
              <w:pStyle w:val="17"/>
              <w:spacing w:before="65" w:line="228" w:lineRule="auto"/>
              <w:ind w:left="151"/>
              <w:rPr>
                <w:color w:val="auto"/>
                <w:sz w:val="20"/>
                <w:szCs w:val="20"/>
                <w:highlight w:val="none"/>
              </w:rPr>
            </w:pPr>
            <w:r>
              <w:rPr>
                <w:rFonts w:hint="eastAsia"/>
                <w:color w:val="auto"/>
                <w:spacing w:val="4"/>
                <w:sz w:val="20"/>
                <w:szCs w:val="20"/>
                <w:highlight w:val="none"/>
                <w:lang w:eastAsia="zh-CN"/>
              </w:rPr>
              <w:t>☑</w:t>
            </w:r>
            <w:r>
              <w:rPr>
                <w:color w:val="auto"/>
                <w:spacing w:val="-6"/>
                <w:sz w:val="20"/>
                <w:szCs w:val="20"/>
                <w:highlight w:val="none"/>
              </w:rPr>
              <w:t>否</w:t>
            </w:r>
          </w:p>
          <w:p>
            <w:pPr>
              <w:pStyle w:val="17"/>
              <w:spacing w:before="23" w:line="229" w:lineRule="auto"/>
              <w:ind w:left="151"/>
              <w:rPr>
                <w:color w:val="auto"/>
                <w:sz w:val="20"/>
                <w:szCs w:val="20"/>
                <w:highlight w:val="none"/>
              </w:rPr>
            </w:pPr>
            <w:r>
              <w:rPr>
                <w:color w:val="auto"/>
                <w:spacing w:val="-6"/>
                <w:sz w:val="20"/>
                <w:szCs w:val="20"/>
                <w:highlight w:val="none"/>
              </w:rPr>
              <w:t>□</w:t>
            </w:r>
            <w:r>
              <w:rPr>
                <w:color w:val="auto"/>
                <w:spacing w:val="4"/>
                <w:sz w:val="20"/>
                <w:szCs w:val="20"/>
                <w:highlight w:val="none"/>
              </w:rPr>
              <w:t>是，具体要求：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9055" w:type="dxa"/>
            <w:gridSpan w:val="9"/>
            <w:tcBorders>
              <w:left w:val="single" w:color="000000" w:sz="10" w:space="0"/>
              <w:bottom w:val="single" w:color="000000" w:sz="10" w:space="0"/>
              <w:right w:val="single" w:color="000000" w:sz="10" w:space="0"/>
            </w:tcBorders>
            <w:vAlign w:val="top"/>
          </w:tcPr>
          <w:p>
            <w:pPr>
              <w:pStyle w:val="17"/>
              <w:spacing w:before="134" w:line="228" w:lineRule="auto"/>
              <w:ind w:left="144"/>
              <w:rPr>
                <w:color w:val="auto"/>
                <w:sz w:val="20"/>
                <w:szCs w:val="20"/>
                <w:highlight w:val="none"/>
              </w:rPr>
            </w:pPr>
            <w:r>
              <w:rPr>
                <w:color w:val="auto"/>
                <w:spacing w:val="26"/>
                <w:sz w:val="20"/>
                <w:szCs w:val="20"/>
                <w:highlight w:val="none"/>
                <w14:textOutline w14:w="3795" w14:cap="sq" w14:cmpd="sng">
                  <w14:solidFill>
                    <w14:srgbClr w14:val="000000"/>
                  </w14:solidFill>
                  <w14:prstDash w14:val="solid"/>
                  <w14:bevel/>
                </w14:textOutline>
              </w:rPr>
              <w:t>需要补充的其他内容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1063" w:type="dxa"/>
            <w:tcBorders>
              <w:bottom w:val="single" w:color="000000" w:sz="2" w:space="0"/>
              <w:right w:val="single" w:color="000000" w:sz="2" w:space="0"/>
            </w:tcBorders>
            <w:vAlign w:val="top"/>
          </w:tcPr>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pStyle w:val="17"/>
              <w:spacing w:before="65" w:line="190" w:lineRule="auto"/>
              <w:ind w:left="280"/>
              <w:rPr>
                <w:color w:val="auto"/>
                <w:sz w:val="20"/>
                <w:szCs w:val="20"/>
                <w:highlight w:val="none"/>
              </w:rPr>
            </w:pPr>
          </w:p>
        </w:tc>
        <w:tc>
          <w:tcPr>
            <w:tcW w:w="7992" w:type="dxa"/>
            <w:gridSpan w:val="8"/>
            <w:tcBorders>
              <w:left w:val="single" w:color="000000" w:sz="2" w:space="0"/>
              <w:bottom w:val="single" w:color="000000" w:sz="2" w:space="0"/>
            </w:tcBorders>
            <w:vAlign w:val="top"/>
          </w:tcPr>
          <w:p>
            <w:pPr>
              <w:pStyle w:val="17"/>
              <w:numPr>
                <w:ilvl w:val="0"/>
                <w:numId w:val="0"/>
              </w:numPr>
              <w:spacing w:before="129" w:line="317" w:lineRule="auto"/>
              <w:ind w:right="199" w:righ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本项目进入广州公共资源交易中心所发生的交易服务费由中标人在评标结果公示结束后三天内支付，按广州公共资源交易中心有关规定执行。</w:t>
            </w:r>
          </w:p>
        </w:tc>
      </w:tr>
    </w:tbl>
    <w:p>
      <w:pPr>
        <w:rPr>
          <w:rFonts w:ascii="Arial"/>
          <w:sz w:val="21"/>
        </w:rPr>
      </w:pPr>
    </w:p>
    <w:p>
      <w:pPr>
        <w:spacing w:line="418" w:lineRule="auto"/>
        <w:rPr>
          <w:rFonts w:ascii="Arial"/>
          <w:sz w:val="21"/>
        </w:rPr>
      </w:pPr>
    </w:p>
    <w:p>
      <w:pPr>
        <w:spacing w:before="91" w:line="219" w:lineRule="auto"/>
        <w:ind w:left="2157"/>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57"/>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57"/>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57"/>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57"/>
        <w:rPr>
          <w:rFonts w:ascii="宋体" w:hAnsi="宋体" w:eastAsia="宋体" w:cs="宋体"/>
          <w:spacing w:val="1"/>
          <w:sz w:val="28"/>
          <w:szCs w:val="28"/>
          <w14:textOutline w14:w="5103" w14:cap="sq" w14:cmpd="sng">
            <w14:solidFill>
              <w14:srgbClr w14:val="000000"/>
            </w14:solidFill>
            <w14:prstDash w14:val="solid"/>
            <w14:bevel/>
          </w14:textOutline>
        </w:rPr>
      </w:pPr>
    </w:p>
    <w:p>
      <w:pPr>
        <w:rPr>
          <w:rFonts w:ascii="宋体" w:hAnsi="宋体" w:eastAsia="宋体" w:cs="宋体"/>
          <w:spacing w:val="1"/>
          <w:sz w:val="28"/>
          <w:szCs w:val="28"/>
          <w14:textOutline w14:w="5103" w14:cap="sq" w14:cmpd="sng">
            <w14:solidFill>
              <w14:srgbClr w14:val="000000"/>
            </w14:solidFill>
            <w14:prstDash w14:val="solid"/>
            <w14:bevel/>
          </w14:textOutline>
        </w:rPr>
      </w:pPr>
    </w:p>
    <w:p>
      <w:pPr>
        <w:pStyle w:val="2"/>
        <w:rPr>
          <w:rFonts w:ascii="宋体" w:hAnsi="宋体" w:eastAsia="宋体" w:cs="宋体"/>
          <w:spacing w:val="1"/>
          <w:sz w:val="28"/>
          <w:szCs w:val="28"/>
          <w14:textOutline w14:w="5103" w14:cap="sq" w14:cmpd="sng">
            <w14:solidFill>
              <w14:srgbClr w14:val="000000"/>
            </w14:solidFill>
            <w14:prstDash w14:val="solid"/>
            <w14:bevel/>
          </w14:textOutline>
        </w:rPr>
      </w:pPr>
    </w:p>
    <w:p>
      <w:pPr>
        <w:pStyle w:val="2"/>
        <w:rPr>
          <w:rFonts w:ascii="宋体" w:hAnsi="宋体" w:eastAsia="宋体" w:cs="宋体"/>
          <w:spacing w:val="1"/>
          <w:sz w:val="28"/>
          <w:szCs w:val="28"/>
          <w14:textOutline w14:w="5103" w14:cap="sq" w14:cmpd="sng">
            <w14:solidFill>
              <w14:srgbClr w14:val="000000"/>
            </w14:solidFill>
            <w14:prstDash w14:val="solid"/>
            <w14:bevel/>
          </w14:textOutline>
        </w:rPr>
      </w:pPr>
    </w:p>
    <w:p>
      <w:pPr>
        <w:pStyle w:val="3"/>
        <w:numPr>
          <w:ilvl w:val="0"/>
          <w:numId w:val="0"/>
        </w:numPr>
        <w:ind w:leftChars="0"/>
        <w:jc w:val="both"/>
      </w:pPr>
    </w:p>
    <w:p/>
    <w:p>
      <w:pPr>
        <w:rPr>
          <w:rFonts w:ascii="宋体" w:hAnsi="宋体" w:eastAsia="宋体" w:cs="宋体"/>
          <w:spacing w:val="1"/>
          <w:sz w:val="28"/>
          <w:szCs w:val="28"/>
          <w14:textOutline w14:w="5103" w14:cap="sq" w14:cmpd="sng">
            <w14:solidFill>
              <w14:srgbClr w14:val="000000"/>
            </w14:solidFill>
            <w14:prstDash w14:val="solid"/>
            <w14:bevel/>
          </w14:textOutline>
        </w:rPr>
      </w:pPr>
      <w:r>
        <w:rPr>
          <w:rFonts w:ascii="宋体" w:hAnsi="宋体" w:eastAsia="宋体" w:cs="宋体"/>
          <w:spacing w:val="1"/>
          <w:sz w:val="28"/>
          <w:szCs w:val="28"/>
          <w14:textOutline w14:w="5103" w14:cap="sq" w14:cmpd="sng">
            <w14:solidFill>
              <w14:srgbClr w14:val="000000"/>
            </w14:solidFill>
            <w14:prstDash w14:val="solid"/>
            <w14:bevel/>
          </w14:textOutline>
        </w:rPr>
        <w:br w:type="page"/>
      </w:r>
    </w:p>
    <w:p>
      <w:pPr>
        <w:spacing w:before="91" w:line="219" w:lineRule="auto"/>
        <w:ind w:left="2157"/>
        <w:rPr>
          <w:rFonts w:ascii="宋体" w:hAnsi="宋体" w:eastAsia="宋体" w:cs="宋体"/>
          <w:sz w:val="12"/>
          <w:szCs w:val="12"/>
        </w:rPr>
      </w:pPr>
      <w:r>
        <w:rPr>
          <w:rFonts w:ascii="宋体" w:hAnsi="宋体" w:eastAsia="宋体" w:cs="宋体"/>
          <w:spacing w:val="1"/>
          <w:sz w:val="28"/>
          <w:szCs w:val="28"/>
          <w14:textOutline w14:w="5103" w14:cap="sq" w14:cmpd="sng">
            <w14:solidFill>
              <w14:srgbClr w14:val="000000"/>
            </w14:solidFill>
            <w14:prstDash w14:val="solid"/>
            <w14:bevel/>
          </w14:textOutline>
        </w:rPr>
        <w:t>附录</w:t>
      </w:r>
      <w:r>
        <w:rPr>
          <w:rFonts w:ascii="宋体" w:hAnsi="宋体" w:eastAsia="宋体" w:cs="宋体"/>
          <w:spacing w:val="-36"/>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1</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资格审查条件(资质最低条件)</w:t>
      </w:r>
    </w:p>
    <w:p>
      <w:pPr>
        <w:spacing w:line="170" w:lineRule="exact"/>
      </w:pPr>
    </w:p>
    <w:tbl>
      <w:tblPr>
        <w:tblStyle w:val="16"/>
        <w:tblW w:w="9121"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121"/>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70" w:hRule="atLeast"/>
        </w:trPr>
        <w:tc>
          <w:tcPr>
            <w:tcW w:w="9121" w:type="dxa"/>
            <w:tcBorders>
              <w:bottom w:val="single" w:color="000000" w:sz="2" w:space="0"/>
            </w:tcBorders>
            <w:vAlign w:val="top"/>
          </w:tcPr>
          <w:p>
            <w:pPr>
              <w:pStyle w:val="17"/>
              <w:spacing w:before="64" w:line="219" w:lineRule="auto"/>
              <w:ind w:left="3356"/>
            </w:pPr>
            <w:r>
              <w:rPr>
                <w14:textOutline w14:w="4358" w14:cap="sq" w14:cmpd="sng">
                  <w14:solidFill>
                    <w14:srgbClr w14:val="000000"/>
                  </w14:solidFill>
                  <w14:prstDash w14:val="solid"/>
                  <w14:bevel/>
                </w14:textOutline>
              </w:rPr>
              <w:t>施工企业资质等级要求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272" w:hRule="atLeast"/>
        </w:trPr>
        <w:tc>
          <w:tcPr>
            <w:tcW w:w="9121" w:type="dxa"/>
            <w:tcBorders>
              <w:top w:val="single" w:color="000000" w:sz="2" w:space="0"/>
            </w:tcBorders>
            <w:vAlign w:val="center"/>
          </w:tcPr>
          <w:p>
            <w:pPr>
              <w:pStyle w:val="17"/>
              <w:numPr>
                <w:ilvl w:val="0"/>
                <w:numId w:val="5"/>
              </w:numPr>
              <w:spacing w:before="66" w:line="206" w:lineRule="auto"/>
              <w:ind w:left="112" w:firstLine="480" w:firstLineChars="200"/>
              <w:jc w:val="left"/>
              <w:rPr>
                <w:rStyle w:val="19"/>
                <w:rFonts w:hint="default" w:ascii="宋体" w:hAnsi="宋体" w:eastAsia="宋体"/>
                <w:color w:val="000000" w:themeColor="text1"/>
                <w:sz w:val="24"/>
                <w:lang w:eastAsia="zh-CN"/>
                <w14:textFill>
                  <w14:solidFill>
                    <w14:schemeClr w14:val="tx1"/>
                  </w14:solidFill>
                </w14:textFill>
              </w:rPr>
            </w:pPr>
            <w:r>
              <w:rPr>
                <w:rStyle w:val="19"/>
                <w:rFonts w:hint="default" w:ascii="宋体" w:hAnsi="宋体"/>
                <w:b w:val="0"/>
                <w:bCs w:val="0"/>
                <w:color w:val="000000" w:themeColor="text1"/>
                <w:sz w:val="24"/>
                <w14:textFill>
                  <w14:solidFill>
                    <w14:schemeClr w14:val="tx1"/>
                  </w14:solidFill>
                </w14:textFill>
              </w:rPr>
              <w:t>投标人资质要求：</w:t>
            </w:r>
            <w:r>
              <w:rPr>
                <w:rStyle w:val="19"/>
                <w:rFonts w:hint="default" w:ascii="宋体" w:hAnsi="宋体"/>
                <w:color w:val="000000" w:themeColor="text1"/>
                <w:sz w:val="24"/>
                <w14:textFill>
                  <w14:solidFill>
                    <w14:schemeClr w14:val="tx1"/>
                  </w14:solidFill>
                </w14:textFill>
              </w:rPr>
              <w:t>本次招标要求投标人须具备建设行政主管部门核发的公路工程施工总承包三级以上（含三级）资质或公路路面工程专业承包三级以上（含三级）资质，及有效的《安全生产许可证》。</w:t>
            </w:r>
          </w:p>
          <w:p>
            <w:pPr>
              <w:pStyle w:val="17"/>
              <w:numPr>
                <w:ilvl w:val="0"/>
                <w:numId w:val="5"/>
              </w:numPr>
              <w:spacing w:before="66" w:line="206" w:lineRule="auto"/>
              <w:ind w:left="112" w:firstLine="480" w:firstLineChars="200"/>
              <w:jc w:val="left"/>
              <w:rPr>
                <w:rFonts w:hint="eastAsia" w:eastAsia="宋体"/>
                <w:lang w:eastAsia="zh-CN"/>
              </w:rPr>
            </w:pPr>
            <w:r>
              <w:rPr>
                <w:rFonts w:hint="eastAsia" w:ascii="宋体" w:hAnsi="宋体" w:cs="宋体"/>
                <w:color w:val="auto"/>
                <w:szCs w:val="21"/>
                <w:highlight w:val="none"/>
                <w:lang w:val="en-US" w:eastAsia="zh-CN"/>
              </w:rPr>
              <w:t>投标人应进入交通运输部“全国公路建设市场信用信息管理系统 ”（https ://glxy.mot.gov.cn)中的公路工程施工资质企业名录，且投标人名称和资质与该名录中的相应企业名称和资质完全一致。</w:t>
            </w:r>
            <w:r>
              <w:rPr>
                <w:rFonts w:hint="eastAsia" w:ascii="宋体" w:hAnsi="宋体" w:cs="宋体"/>
                <w:color w:val="auto"/>
                <w:szCs w:val="21"/>
                <w:highlight w:val="none"/>
              </w:rPr>
              <w:t>对于未列入“名录”或投标人名称、资质信息与“名录”查询结果不符的，将不能通过资格审查</w:t>
            </w:r>
            <w:r>
              <w:rPr>
                <w:rFonts w:hint="eastAsia" w:ascii="宋体" w:hAnsi="宋体" w:cs="宋体"/>
                <w:color w:val="auto"/>
                <w:szCs w:val="21"/>
                <w:highlight w:val="none"/>
                <w:lang w:eastAsia="zh-CN"/>
              </w:rPr>
              <w:t>。</w:t>
            </w:r>
          </w:p>
        </w:tc>
      </w:tr>
    </w:tbl>
    <w:p>
      <w:pPr>
        <w:spacing w:before="61" w:line="198" w:lineRule="auto"/>
        <w:ind w:left="258"/>
        <w:rPr>
          <w:rFonts w:ascii="宋体" w:hAnsi="宋体" w:eastAsia="宋体" w:cs="宋体"/>
          <w:sz w:val="24"/>
          <w:szCs w:val="24"/>
        </w:rPr>
      </w:pPr>
      <w:r>
        <w:rPr>
          <w:rFonts w:ascii="宋体" w:hAnsi="宋体" w:eastAsia="宋体" w:cs="宋体"/>
          <w:spacing w:val="8"/>
          <w:sz w:val="20"/>
          <w:szCs w:val="20"/>
        </w:rPr>
        <w:t>注：投标人应根据投标文件第二章“投标人须知</w:t>
      </w:r>
      <w:r>
        <w:rPr>
          <w:rFonts w:ascii="宋体" w:hAnsi="宋体" w:eastAsia="宋体" w:cs="宋体"/>
          <w:spacing w:val="-72"/>
          <w:sz w:val="20"/>
          <w:szCs w:val="20"/>
        </w:rPr>
        <w:t xml:space="preserve"> </w:t>
      </w:r>
      <w:r>
        <w:rPr>
          <w:rFonts w:ascii="宋体" w:hAnsi="宋体" w:eastAsia="宋体" w:cs="宋体"/>
          <w:spacing w:val="7"/>
          <w:sz w:val="20"/>
          <w:szCs w:val="20"/>
        </w:rPr>
        <w:t>”第</w:t>
      </w:r>
      <w:r>
        <w:rPr>
          <w:rFonts w:ascii="宋体" w:hAnsi="宋体" w:eastAsia="宋体" w:cs="宋体"/>
          <w:spacing w:val="-35"/>
          <w:sz w:val="20"/>
          <w:szCs w:val="20"/>
        </w:rPr>
        <w:t xml:space="preserve"> </w:t>
      </w:r>
      <w:r>
        <w:rPr>
          <w:rFonts w:ascii="宋体" w:hAnsi="宋体" w:eastAsia="宋体" w:cs="宋体"/>
          <w:spacing w:val="7"/>
          <w:sz w:val="20"/>
          <w:szCs w:val="20"/>
        </w:rPr>
        <w:t>3.5.1</w:t>
      </w:r>
      <w:r>
        <w:rPr>
          <w:rFonts w:ascii="宋体" w:hAnsi="宋体" w:eastAsia="宋体" w:cs="宋体"/>
          <w:spacing w:val="-35"/>
          <w:sz w:val="20"/>
          <w:szCs w:val="20"/>
        </w:rPr>
        <w:t xml:space="preserve"> </w:t>
      </w:r>
      <w:r>
        <w:rPr>
          <w:rFonts w:ascii="宋体" w:hAnsi="宋体" w:eastAsia="宋体" w:cs="宋体"/>
          <w:spacing w:val="7"/>
          <w:sz w:val="20"/>
          <w:szCs w:val="20"/>
        </w:rPr>
        <w:t>项的要求附相关证明材料</w:t>
      </w:r>
      <w:r>
        <w:rPr>
          <w:rFonts w:ascii="宋体" w:hAnsi="宋体" w:eastAsia="宋体" w:cs="宋体"/>
          <w:spacing w:val="7"/>
          <w:sz w:val="24"/>
          <w:szCs w:val="24"/>
        </w:rPr>
        <w:t>。</w:t>
      </w:r>
    </w:p>
    <w:p>
      <w:pPr>
        <w:spacing w:line="302" w:lineRule="auto"/>
        <w:rPr>
          <w:rFonts w:ascii="Arial"/>
          <w:sz w:val="21"/>
        </w:rPr>
      </w:pPr>
    </w:p>
    <w:p>
      <w:pPr>
        <w:spacing w:line="303" w:lineRule="auto"/>
        <w:rPr>
          <w:rFonts w:ascii="Arial"/>
          <w:sz w:val="21"/>
        </w:rPr>
      </w:pPr>
    </w:p>
    <w:p>
      <w:pPr>
        <w:spacing w:line="418" w:lineRule="auto"/>
        <w:rPr>
          <w:rFonts w:ascii="Arial"/>
          <w:sz w:val="21"/>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2122"/>
      </w:pPr>
      <w:r>
        <w:rPr>
          <w:rFonts w:ascii="宋体" w:hAnsi="宋体" w:eastAsia="宋体" w:cs="宋体"/>
          <w:spacing w:val="1"/>
          <w:sz w:val="28"/>
          <w:szCs w:val="28"/>
          <w14:textOutline w14:w="5103" w14:cap="sq" w14:cmpd="sng">
            <w14:solidFill>
              <w14:srgbClr w14:val="000000"/>
            </w14:solidFill>
            <w14:prstDash w14:val="solid"/>
            <w14:bevel/>
          </w14:textOutline>
        </w:rPr>
        <w:t>附录</w:t>
      </w:r>
      <w:r>
        <w:rPr>
          <w:rFonts w:ascii="宋体" w:hAnsi="宋体" w:eastAsia="宋体" w:cs="宋体"/>
          <w:spacing w:val="-46"/>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2</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资格审查条件(财务最低要求)</w:t>
      </w:r>
    </w:p>
    <w:p>
      <w:pPr>
        <w:pStyle w:val="11"/>
      </w:pPr>
    </w:p>
    <w:p>
      <w:pPr>
        <w:spacing w:before="116"/>
      </w:pPr>
    </w:p>
    <w:tbl>
      <w:tblPr>
        <w:tblStyle w:val="16"/>
        <w:tblW w:w="8957" w:type="dxa"/>
        <w:tblInd w:w="44"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957"/>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20" w:hRule="atLeast"/>
        </w:trPr>
        <w:tc>
          <w:tcPr>
            <w:tcW w:w="8957" w:type="dxa"/>
            <w:tcBorders>
              <w:bottom w:val="single" w:color="000000" w:sz="2" w:space="0"/>
            </w:tcBorders>
            <w:vAlign w:val="top"/>
          </w:tcPr>
          <w:p>
            <w:pPr>
              <w:pStyle w:val="17"/>
              <w:spacing w:before="243" w:line="219" w:lineRule="auto"/>
              <w:ind w:left="3816"/>
            </w:pPr>
            <w:r>
              <w:rPr>
                <w:spacing w:val="-8"/>
                <w14:textOutline w14:w="4358" w14:cap="sq" w14:cmpd="sng">
                  <w14:solidFill>
                    <w14:srgbClr w14:val="000000"/>
                  </w14:solidFill>
                  <w14:prstDash w14:val="solid"/>
                  <w14:bevel/>
                </w14:textOutline>
              </w:rPr>
              <w:t>财</w:t>
            </w:r>
            <w:r>
              <w:rPr>
                <w:spacing w:val="11"/>
              </w:rPr>
              <w:t xml:space="preserve"> </w:t>
            </w:r>
            <w:r>
              <w:rPr>
                <w:spacing w:val="-8"/>
                <w14:textOutline w14:w="4358" w14:cap="sq" w14:cmpd="sng">
                  <w14:solidFill>
                    <w14:srgbClr w14:val="000000"/>
                  </w14:solidFill>
                  <w14:prstDash w14:val="solid"/>
                  <w14:bevel/>
                </w14:textOutline>
              </w:rPr>
              <w:t>务</w:t>
            </w:r>
            <w:r>
              <w:rPr>
                <w:spacing w:val="12"/>
              </w:rPr>
              <w:t xml:space="preserve"> </w:t>
            </w:r>
            <w:r>
              <w:rPr>
                <w:spacing w:val="-8"/>
                <w14:textOutline w14:w="4358" w14:cap="sq" w14:cmpd="sng">
                  <w14:solidFill>
                    <w14:srgbClr w14:val="000000"/>
                  </w14:solidFill>
                  <w14:prstDash w14:val="solid"/>
                  <w14:bevel/>
                </w14:textOutline>
              </w:rPr>
              <w:t>要</w:t>
            </w:r>
            <w:r>
              <w:rPr>
                <w:spacing w:val="13"/>
              </w:rPr>
              <w:t xml:space="preserve"> </w:t>
            </w:r>
            <w:r>
              <w:rPr>
                <w:spacing w:val="-8"/>
                <w14:textOutline w14:w="4358" w14:cap="sq" w14:cmpd="sng">
                  <w14:solidFill>
                    <w14:srgbClr w14:val="000000"/>
                  </w14:solidFill>
                  <w14:prstDash w14:val="solid"/>
                  <w14:bevel/>
                </w14:textOutline>
              </w:rPr>
              <w:t>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065" w:hRule="atLeast"/>
        </w:trPr>
        <w:tc>
          <w:tcPr>
            <w:tcW w:w="8957" w:type="dxa"/>
            <w:tcBorders>
              <w:top w:val="single" w:color="000000" w:sz="2" w:space="0"/>
            </w:tcBorders>
            <w:vAlign w:val="top"/>
          </w:tcPr>
          <w:p>
            <w:pPr>
              <w:spacing w:line="320" w:lineRule="auto"/>
              <w:rPr>
                <w:rFonts w:ascii="Arial"/>
                <w:sz w:val="21"/>
              </w:rPr>
            </w:pPr>
          </w:p>
          <w:p>
            <w:pPr>
              <w:pStyle w:val="17"/>
              <w:spacing w:line="219" w:lineRule="auto"/>
              <w:rPr>
                <w:rFonts w:hint="eastAsia"/>
              </w:rPr>
            </w:pPr>
            <w:r>
              <w:rPr>
                <w:rFonts w:hint="eastAsia"/>
              </w:rPr>
              <w:t>1、企业净资产（总资产-总负债）不少于</w:t>
            </w:r>
            <w:r>
              <w:rPr>
                <w:rFonts w:hint="eastAsia"/>
                <w:lang w:val="en-US" w:eastAsia="zh-CN"/>
              </w:rPr>
              <w:t>500</w:t>
            </w:r>
            <w:r>
              <w:rPr>
                <w:rFonts w:hint="eastAsia"/>
              </w:rPr>
              <w:t xml:space="preserve"> 万元人民币。</w:t>
            </w:r>
          </w:p>
          <w:p>
            <w:pPr>
              <w:pStyle w:val="17"/>
              <w:spacing w:line="219" w:lineRule="auto"/>
              <w:rPr>
                <w:rFonts w:hint="eastAsia"/>
              </w:rPr>
            </w:pPr>
            <w:r>
              <w:rPr>
                <w:rFonts w:hint="eastAsia"/>
              </w:rPr>
              <w:t xml:space="preserve">2、营运资金（流动资产－流动负债）不少于 </w:t>
            </w:r>
            <w:r>
              <w:rPr>
                <w:rFonts w:hint="eastAsia"/>
                <w:lang w:val="en-US" w:eastAsia="zh-CN"/>
              </w:rPr>
              <w:t>500</w:t>
            </w:r>
            <w:r>
              <w:rPr>
                <w:rFonts w:hint="eastAsia"/>
              </w:rPr>
              <w:t>万元人民币。或国内商业银行</w:t>
            </w:r>
          </w:p>
          <w:p>
            <w:pPr>
              <w:pStyle w:val="17"/>
              <w:spacing w:line="219" w:lineRule="auto"/>
              <w:rPr>
                <w:rFonts w:hint="eastAsia" w:eastAsia="宋体"/>
                <w:lang w:eastAsia="zh-CN"/>
              </w:rPr>
            </w:pPr>
            <w:r>
              <w:rPr>
                <w:rFonts w:hint="eastAsia"/>
              </w:rPr>
              <w:t>出具的信贷证明额度不少于</w:t>
            </w:r>
            <w:r>
              <w:rPr>
                <w:rFonts w:hint="eastAsia"/>
                <w:lang w:val="en-US" w:eastAsia="zh-CN"/>
              </w:rPr>
              <w:t>500</w:t>
            </w:r>
            <w:r>
              <w:rPr>
                <w:rFonts w:hint="eastAsia"/>
              </w:rPr>
              <w:t xml:space="preserve"> 万元人民币</w:t>
            </w:r>
            <w:r>
              <w:rPr>
                <w:rFonts w:hint="eastAsia"/>
                <w:lang w:eastAsia="zh-CN"/>
              </w:rPr>
              <w:t>。</w:t>
            </w:r>
          </w:p>
          <w:p>
            <w:pPr>
              <w:pStyle w:val="17"/>
              <w:spacing w:line="219" w:lineRule="auto"/>
              <w:rPr>
                <w:rFonts w:hint="eastAsia"/>
              </w:rPr>
            </w:pPr>
            <w:r>
              <w:rPr>
                <w:rFonts w:hint="eastAsia"/>
              </w:rPr>
              <w:t>3、近三个年度的年平均营业总收入不少于</w:t>
            </w:r>
            <w:r>
              <w:rPr>
                <w:rFonts w:hint="eastAsia"/>
                <w:lang w:val="en-US" w:eastAsia="zh-CN"/>
              </w:rPr>
              <w:t>500</w:t>
            </w:r>
            <w:r>
              <w:rPr>
                <w:rFonts w:hint="eastAsia"/>
              </w:rPr>
              <w:t xml:space="preserve"> 万元人民币。</w:t>
            </w:r>
          </w:p>
          <w:p>
            <w:pPr>
              <w:pStyle w:val="17"/>
              <w:spacing w:line="219" w:lineRule="auto"/>
            </w:pPr>
            <w:r>
              <w:rPr>
                <w:rFonts w:hint="eastAsia"/>
              </w:rPr>
              <w:t>4、近三个年度至少</w:t>
            </w:r>
            <w:r>
              <w:rPr>
                <w:rFonts w:hint="eastAsia"/>
                <w:lang w:val="en-US" w:eastAsia="zh-CN"/>
              </w:rPr>
              <w:t>均为</w:t>
            </w:r>
            <w:r>
              <w:rPr>
                <w:rFonts w:hint="eastAsia"/>
              </w:rPr>
              <w:t>盈利。</w:t>
            </w:r>
          </w:p>
        </w:tc>
      </w:tr>
    </w:tbl>
    <w:p>
      <w:pPr>
        <w:spacing w:before="154" w:line="221" w:lineRule="auto"/>
        <w:ind w:left="7"/>
        <w:rPr>
          <w:rFonts w:ascii="宋体" w:hAnsi="宋体" w:eastAsia="宋体" w:cs="宋体"/>
          <w:sz w:val="20"/>
          <w:szCs w:val="20"/>
        </w:rPr>
      </w:pPr>
      <w:r>
        <w:rPr>
          <w:rFonts w:ascii="宋体" w:hAnsi="宋体" w:eastAsia="宋体" w:cs="宋体"/>
          <w:spacing w:val="7"/>
          <w:sz w:val="20"/>
          <w:szCs w:val="20"/>
        </w:rPr>
        <w:t>注：1、企业净资产、营运资金是按交通运输部“全国公路建设市场信用信息管理系统</w:t>
      </w:r>
      <w:r>
        <w:rPr>
          <w:rFonts w:ascii="宋体" w:hAnsi="宋体" w:eastAsia="宋体" w:cs="宋体"/>
          <w:spacing w:val="-53"/>
          <w:sz w:val="20"/>
          <w:szCs w:val="20"/>
        </w:rPr>
        <w:t xml:space="preserve"> </w:t>
      </w:r>
      <w:r>
        <w:rPr>
          <w:rFonts w:ascii="宋体" w:hAnsi="宋体" w:eastAsia="宋体" w:cs="宋体"/>
          <w:spacing w:val="7"/>
          <w:sz w:val="20"/>
          <w:szCs w:val="20"/>
        </w:rPr>
        <w:t>”登记的最新</w:t>
      </w:r>
    </w:p>
    <w:p>
      <w:pPr>
        <w:spacing w:line="279" w:lineRule="auto"/>
        <w:ind w:left="7"/>
        <w:rPr>
          <w:rFonts w:ascii="宋体" w:hAnsi="宋体" w:eastAsia="宋体" w:cs="宋体"/>
          <w:sz w:val="20"/>
          <w:szCs w:val="20"/>
        </w:rPr>
      </w:pPr>
      <w:r>
        <w:rPr>
          <w:rFonts w:ascii="宋体" w:hAnsi="宋体" w:eastAsia="宋体" w:cs="宋体"/>
          <w:spacing w:val="8"/>
          <w:sz w:val="20"/>
          <w:szCs w:val="20"/>
        </w:rPr>
        <w:t>年度（近三个年度的最后一年，下同）数据计算</w:t>
      </w:r>
      <w:r>
        <w:rPr>
          <w:rFonts w:ascii="宋体" w:hAnsi="宋体" w:eastAsia="宋体" w:cs="宋体"/>
          <w:spacing w:val="7"/>
          <w:sz w:val="20"/>
          <w:szCs w:val="20"/>
        </w:rPr>
        <w:t>得出</w:t>
      </w:r>
      <w:r>
        <w:fldChar w:fldCharType="begin"/>
      </w:r>
      <w:r>
        <w:instrText xml:space="preserve"> HYPERLINK \l "bookmark62" </w:instrText>
      </w:r>
      <w:r>
        <w:fldChar w:fldCharType="separate"/>
      </w:r>
      <w:r>
        <w:rPr>
          <w:rFonts w:ascii="宋体" w:hAnsi="宋体" w:eastAsia="宋体" w:cs="宋体"/>
          <w:spacing w:val="7"/>
          <w:position w:val="10"/>
          <w:sz w:val="10"/>
          <w:szCs w:val="10"/>
        </w:rPr>
        <w:t>③</w:t>
      </w:r>
      <w:r>
        <w:rPr>
          <w:rFonts w:ascii="宋体" w:hAnsi="宋体" w:eastAsia="宋体" w:cs="宋体"/>
          <w:spacing w:val="7"/>
          <w:position w:val="10"/>
          <w:sz w:val="10"/>
          <w:szCs w:val="10"/>
        </w:rPr>
        <w:fldChar w:fldCharType="end"/>
      </w:r>
      <w:r>
        <w:rPr>
          <w:rFonts w:ascii="宋体" w:hAnsi="宋体" w:eastAsia="宋体" w:cs="宋体"/>
          <w:spacing w:val="-22"/>
          <w:position w:val="10"/>
          <w:sz w:val="10"/>
          <w:szCs w:val="10"/>
        </w:rPr>
        <w:t xml:space="preserve"> </w:t>
      </w:r>
      <w:r>
        <w:rPr>
          <w:rFonts w:ascii="宋体" w:hAnsi="宋体" w:eastAsia="宋体" w:cs="宋体"/>
          <w:spacing w:val="7"/>
          <w:sz w:val="20"/>
          <w:szCs w:val="20"/>
        </w:rPr>
        <w:t>。近三个年度是指</w:t>
      </w:r>
      <w:r>
        <w:rPr>
          <w:rFonts w:ascii="宋体" w:hAnsi="宋体" w:eastAsia="宋体" w:cs="宋体"/>
          <w:spacing w:val="-98"/>
          <w:sz w:val="20"/>
          <w:szCs w:val="20"/>
        </w:rPr>
        <w:t xml:space="preserve"> </w:t>
      </w:r>
      <w:r>
        <w:rPr>
          <w:rFonts w:hint="eastAsia" w:ascii="宋体" w:hAnsi="宋体" w:eastAsia="宋体" w:cs="宋体"/>
          <w:spacing w:val="7"/>
          <w:sz w:val="20"/>
          <w:szCs w:val="20"/>
          <w:u w:val="single" w:color="auto"/>
          <w:lang w:val="en-US" w:eastAsia="zh-CN"/>
        </w:rPr>
        <w:t>2020、2021、2022年度</w:t>
      </w:r>
      <w:r>
        <w:rPr>
          <w:rFonts w:ascii="宋体" w:hAnsi="宋体" w:eastAsia="宋体" w:cs="宋体"/>
          <w:spacing w:val="7"/>
          <w:sz w:val="20"/>
          <w:szCs w:val="20"/>
        </w:rPr>
        <w:t>。</w:t>
      </w:r>
    </w:p>
    <w:p>
      <w:pPr>
        <w:spacing w:line="226" w:lineRule="auto"/>
        <w:ind w:right="6"/>
        <w:jc w:val="right"/>
        <w:rPr>
          <w:rFonts w:ascii="宋体" w:hAnsi="宋体" w:eastAsia="宋体" w:cs="宋体"/>
          <w:sz w:val="20"/>
          <w:szCs w:val="20"/>
        </w:rPr>
      </w:pPr>
      <w:r>
        <w:rPr>
          <w:rFonts w:ascii="宋体" w:hAnsi="宋体" w:eastAsia="宋体" w:cs="宋体"/>
          <w:spacing w:val="8"/>
          <w:sz w:val="20"/>
          <w:szCs w:val="20"/>
        </w:rPr>
        <w:t>2、以联合体形式投标的，财务最低要求中的第</w:t>
      </w:r>
      <w:r>
        <w:rPr>
          <w:rFonts w:ascii="宋体" w:hAnsi="宋体" w:eastAsia="宋体" w:cs="宋体"/>
          <w:spacing w:val="-18"/>
          <w:sz w:val="20"/>
          <w:szCs w:val="20"/>
        </w:rPr>
        <w:t xml:space="preserve"> </w:t>
      </w:r>
      <w:r>
        <w:rPr>
          <w:rFonts w:ascii="宋体" w:hAnsi="宋体" w:eastAsia="宋体" w:cs="宋体"/>
          <w:spacing w:val="8"/>
          <w:sz w:val="20"/>
          <w:szCs w:val="20"/>
        </w:rPr>
        <w:t>1、2、3</w:t>
      </w:r>
      <w:r>
        <w:rPr>
          <w:rFonts w:ascii="宋体" w:hAnsi="宋体" w:eastAsia="宋体" w:cs="宋体"/>
          <w:spacing w:val="-37"/>
          <w:sz w:val="20"/>
          <w:szCs w:val="20"/>
        </w:rPr>
        <w:t xml:space="preserve"> </w:t>
      </w:r>
      <w:r>
        <w:rPr>
          <w:rFonts w:ascii="宋体" w:hAnsi="宋体" w:eastAsia="宋体" w:cs="宋体"/>
          <w:spacing w:val="8"/>
          <w:sz w:val="20"/>
          <w:szCs w:val="20"/>
        </w:rPr>
        <w:t>项其财务能力以所有成员（含牵头人）</w:t>
      </w:r>
    </w:p>
    <w:p>
      <w:pPr>
        <w:spacing w:before="28" w:line="228" w:lineRule="auto"/>
        <w:ind w:left="7"/>
        <w:rPr>
          <w:rFonts w:ascii="宋体" w:hAnsi="宋体" w:eastAsia="宋体" w:cs="宋体"/>
          <w:sz w:val="20"/>
          <w:szCs w:val="20"/>
        </w:rPr>
      </w:pPr>
      <w:r>
        <w:rPr>
          <w:rFonts w:ascii="宋体" w:hAnsi="宋体" w:eastAsia="宋体" w:cs="宋体"/>
          <w:spacing w:val="7"/>
          <w:sz w:val="20"/>
          <w:szCs w:val="20"/>
        </w:rPr>
        <w:t>合并加总计算为准，第</w:t>
      </w:r>
      <w:r>
        <w:rPr>
          <w:rFonts w:ascii="宋体" w:hAnsi="宋体" w:eastAsia="宋体" w:cs="宋体"/>
          <w:spacing w:val="-21"/>
          <w:sz w:val="20"/>
          <w:szCs w:val="20"/>
        </w:rPr>
        <w:t xml:space="preserve"> </w:t>
      </w:r>
      <w:r>
        <w:rPr>
          <w:rFonts w:ascii="宋体" w:hAnsi="宋体" w:eastAsia="宋体" w:cs="宋体"/>
          <w:spacing w:val="7"/>
          <w:sz w:val="20"/>
          <w:szCs w:val="20"/>
        </w:rPr>
        <w:t>4</w:t>
      </w:r>
      <w:r>
        <w:rPr>
          <w:rFonts w:ascii="宋体" w:hAnsi="宋体" w:eastAsia="宋体" w:cs="宋体"/>
          <w:spacing w:val="-35"/>
          <w:sz w:val="20"/>
          <w:szCs w:val="20"/>
        </w:rPr>
        <w:t xml:space="preserve"> </w:t>
      </w:r>
      <w:r>
        <w:rPr>
          <w:rFonts w:ascii="宋体" w:hAnsi="宋体" w:eastAsia="宋体" w:cs="宋体"/>
          <w:spacing w:val="7"/>
          <w:sz w:val="20"/>
          <w:szCs w:val="20"/>
        </w:rPr>
        <w:t>项联合体各方均需满足。</w:t>
      </w:r>
    </w:p>
    <w:p>
      <w:pPr>
        <w:spacing w:before="24" w:line="227" w:lineRule="auto"/>
        <w:ind w:left="431"/>
        <w:rPr>
          <w:rFonts w:ascii="宋体" w:hAnsi="宋体" w:eastAsia="宋体" w:cs="宋体"/>
          <w:sz w:val="20"/>
          <w:szCs w:val="20"/>
        </w:rPr>
      </w:pPr>
      <w:r>
        <w:rPr>
          <w:rFonts w:ascii="宋体" w:hAnsi="宋体" w:eastAsia="宋体" w:cs="宋体"/>
          <w:spacing w:val="7"/>
          <w:sz w:val="20"/>
          <w:szCs w:val="20"/>
        </w:rPr>
        <w:t>3、投标人应根据招标文件第二章“投标人须知</w:t>
      </w:r>
      <w:r>
        <w:rPr>
          <w:rFonts w:ascii="宋体" w:hAnsi="宋体" w:eastAsia="宋体" w:cs="宋体"/>
          <w:spacing w:val="-58"/>
          <w:sz w:val="20"/>
          <w:szCs w:val="20"/>
        </w:rPr>
        <w:t xml:space="preserve"> </w:t>
      </w:r>
      <w:r>
        <w:rPr>
          <w:rFonts w:ascii="宋体" w:hAnsi="宋体" w:eastAsia="宋体" w:cs="宋体"/>
          <w:spacing w:val="7"/>
          <w:sz w:val="20"/>
          <w:szCs w:val="20"/>
        </w:rPr>
        <w:t>”第</w:t>
      </w:r>
      <w:r>
        <w:rPr>
          <w:rFonts w:ascii="宋体" w:hAnsi="宋体" w:eastAsia="宋体" w:cs="宋体"/>
          <w:spacing w:val="-36"/>
          <w:sz w:val="20"/>
          <w:szCs w:val="20"/>
        </w:rPr>
        <w:t xml:space="preserve"> </w:t>
      </w:r>
      <w:r>
        <w:rPr>
          <w:rFonts w:ascii="宋体" w:hAnsi="宋体" w:eastAsia="宋体" w:cs="宋体"/>
          <w:spacing w:val="7"/>
          <w:sz w:val="20"/>
          <w:szCs w:val="20"/>
        </w:rPr>
        <w:t>3.5.2</w:t>
      </w:r>
      <w:r>
        <w:rPr>
          <w:rFonts w:ascii="宋体" w:hAnsi="宋体" w:eastAsia="宋体" w:cs="宋体"/>
          <w:spacing w:val="-34"/>
          <w:sz w:val="20"/>
          <w:szCs w:val="20"/>
        </w:rPr>
        <w:t xml:space="preserve"> </w:t>
      </w:r>
      <w:r>
        <w:rPr>
          <w:rFonts w:ascii="宋体" w:hAnsi="宋体" w:eastAsia="宋体" w:cs="宋体"/>
          <w:spacing w:val="7"/>
          <w:sz w:val="20"/>
          <w:szCs w:val="20"/>
        </w:rPr>
        <w:t>项的要求附相关证明材料。</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418" w:lineRule="auto"/>
        <w:rPr>
          <w:rFonts w:ascii="Arial"/>
          <w:sz w:val="21"/>
        </w:rPr>
      </w:pPr>
    </w:p>
    <w:p>
      <w:pPr>
        <w:pStyle w:val="12"/>
        <w:rPr>
          <w:rFonts w:ascii="Arial"/>
          <w:sz w:val="21"/>
        </w:rPr>
      </w:pPr>
    </w:p>
    <w:p>
      <w:pPr>
        <w:pStyle w:val="11"/>
        <w:rPr>
          <w:rFonts w:ascii="Arial"/>
          <w:sz w:val="21"/>
        </w:rPr>
      </w:pPr>
    </w:p>
    <w:p>
      <w:pPr>
        <w:pStyle w:val="8"/>
        <w:rPr>
          <w:rFonts w:ascii="Arial"/>
          <w:sz w:val="21"/>
        </w:rPr>
      </w:pPr>
    </w:p>
    <w:p>
      <w:pPr>
        <w:rPr>
          <w:rFonts w:ascii="Arial"/>
          <w:sz w:val="21"/>
        </w:rPr>
      </w:pPr>
    </w:p>
    <w:p>
      <w:pPr>
        <w:pStyle w:val="12"/>
        <w:rPr>
          <w:rFonts w:ascii="Arial"/>
          <w:sz w:val="21"/>
        </w:rPr>
      </w:pPr>
    </w:p>
    <w:p>
      <w:pPr>
        <w:pStyle w:val="11"/>
        <w:rPr>
          <w:rFonts w:ascii="Arial"/>
          <w:sz w:val="21"/>
        </w:rPr>
      </w:pPr>
    </w:p>
    <w:p>
      <w:pPr>
        <w:pStyle w:val="8"/>
      </w:pPr>
    </w:p>
    <w:p>
      <w:pPr>
        <w:spacing w:before="91" w:line="219" w:lineRule="auto"/>
        <w:ind w:left="2314"/>
        <w:rPr>
          <w:rFonts w:ascii="宋体" w:hAnsi="宋体" w:eastAsia="宋体" w:cs="宋体"/>
          <w:sz w:val="12"/>
          <w:szCs w:val="12"/>
        </w:rPr>
      </w:pPr>
      <w:r>
        <w:rPr>
          <w:rFonts w:ascii="宋体" w:hAnsi="宋体" w:eastAsia="宋体" w:cs="宋体"/>
          <w:spacing w:val="1"/>
          <w:sz w:val="28"/>
          <w:szCs w:val="28"/>
          <w14:textOutline w14:w="5103" w14:cap="sq" w14:cmpd="sng">
            <w14:solidFill>
              <w14:srgbClr w14:val="000000"/>
            </w14:solidFill>
            <w14:prstDash w14:val="solid"/>
            <w14:bevel/>
          </w14:textOutline>
        </w:rPr>
        <w:t>附录</w:t>
      </w:r>
      <w:r>
        <w:rPr>
          <w:rFonts w:ascii="宋体" w:hAnsi="宋体" w:eastAsia="宋体" w:cs="宋体"/>
          <w:spacing w:val="-44"/>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3</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资格审查条件(业绩最低要求)</w:t>
      </w:r>
    </w:p>
    <w:p>
      <w:pPr>
        <w:spacing w:line="170" w:lineRule="exact"/>
      </w:pPr>
    </w:p>
    <w:tbl>
      <w:tblPr>
        <w:tblStyle w:val="16"/>
        <w:tblW w:w="904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42"/>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75" w:hRule="atLeast"/>
        </w:trPr>
        <w:tc>
          <w:tcPr>
            <w:tcW w:w="9042" w:type="dxa"/>
            <w:tcBorders>
              <w:bottom w:val="single" w:color="000000" w:sz="2" w:space="0"/>
            </w:tcBorders>
            <w:vAlign w:val="top"/>
          </w:tcPr>
          <w:p>
            <w:pPr>
              <w:pStyle w:val="17"/>
              <w:spacing w:before="39" w:line="220" w:lineRule="auto"/>
              <w:ind w:left="4035"/>
            </w:pPr>
            <w:r>
              <w:rPr>
                <w:spacing w:val="-2"/>
                <w14:textOutline w14:w="4358" w14:cap="sq" w14:cmpd="sng">
                  <w14:solidFill>
                    <w14:srgbClr w14:val="000000"/>
                  </w14:solidFill>
                  <w14:prstDash w14:val="solid"/>
                  <w14:bevel/>
                </w14:textOutline>
              </w:rPr>
              <w:t>业绩要求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365" w:hRule="atLeast"/>
        </w:trPr>
        <w:tc>
          <w:tcPr>
            <w:tcW w:w="9042" w:type="dxa"/>
            <w:tcBorders>
              <w:top w:val="single" w:color="000000" w:sz="2" w:space="0"/>
            </w:tcBorders>
            <w:vAlign w:val="center"/>
          </w:tcPr>
          <w:p>
            <w:pPr>
              <w:pStyle w:val="17"/>
              <w:spacing w:before="1" w:line="219" w:lineRule="auto"/>
              <w:ind w:left="107"/>
              <w:jc w:val="both"/>
              <w:rPr>
                <w:rFonts w:hint="default" w:ascii="宋体" w:hAnsi="宋体" w:eastAsia="宋体" w:cs="宋体"/>
                <w:color w:val="000000" w:themeColor="text1"/>
                <w:spacing w:val="8"/>
                <w:sz w:val="24"/>
                <w:szCs w:val="24"/>
                <w:highlight w:val="none"/>
                <w14:textFill>
                  <w14:solidFill>
                    <w14:schemeClr w14:val="tx1"/>
                  </w14:solidFill>
                </w14:textFill>
              </w:rPr>
            </w:pPr>
            <w:r>
              <w:rPr>
                <w:rFonts w:hint="default" w:ascii="宋体" w:hAnsi="宋体" w:eastAsia="宋体" w:cs="宋体"/>
                <w:color w:val="000000" w:themeColor="text1"/>
                <w:spacing w:val="8"/>
                <w:sz w:val="24"/>
                <w:szCs w:val="24"/>
                <w:highlight w:val="none"/>
                <w14:textFill>
                  <w14:solidFill>
                    <w14:schemeClr w14:val="tx1"/>
                  </w14:solidFill>
                </w14:textFill>
              </w:rPr>
              <w:t>近五年内，成功完成：</w:t>
            </w:r>
          </w:p>
          <w:p>
            <w:pPr>
              <w:pStyle w:val="17"/>
              <w:spacing w:before="1" w:line="219" w:lineRule="auto"/>
              <w:ind w:left="107"/>
              <w:jc w:val="both"/>
              <w:rPr>
                <w:rFonts w:hint="default" w:ascii="宋体" w:hAnsi="宋体" w:eastAsia="宋体" w:cs="宋体"/>
                <w:color w:val="000000" w:themeColor="text1"/>
                <w:spacing w:val="8"/>
                <w:sz w:val="24"/>
                <w:szCs w:val="24"/>
                <w:highlight w:val="none"/>
                <w14:textFill>
                  <w14:solidFill>
                    <w14:schemeClr w14:val="tx1"/>
                  </w14:solidFill>
                </w14:textFill>
              </w:rPr>
            </w:pPr>
            <w:r>
              <w:rPr>
                <w:rFonts w:hint="default" w:ascii="宋体" w:hAnsi="宋体" w:eastAsia="宋体" w:cs="宋体"/>
                <w:color w:val="000000" w:themeColor="text1"/>
                <w:spacing w:val="8"/>
                <w:sz w:val="24"/>
                <w:szCs w:val="24"/>
                <w:highlight w:val="none"/>
                <w14:textFill>
                  <w14:solidFill>
                    <w14:schemeClr w14:val="tx1"/>
                  </w14:solidFill>
                </w14:textFill>
              </w:rPr>
              <w:t xml:space="preserve">类似工程（指同时包含路基工程和路面工程）至少 </w:t>
            </w:r>
            <w:r>
              <w:rPr>
                <w:rFonts w:hint="eastAsia" w:cs="宋体"/>
                <w:color w:val="000000" w:themeColor="text1"/>
                <w:spacing w:val="8"/>
                <w:sz w:val="24"/>
                <w:szCs w:val="24"/>
                <w:highlight w:val="none"/>
                <w:lang w:val="en-US" w:eastAsia="zh-CN"/>
                <w14:textFill>
                  <w14:solidFill>
                    <w14:schemeClr w14:val="tx1"/>
                  </w14:solidFill>
                </w14:textFill>
              </w:rPr>
              <w:t>1</w:t>
            </w:r>
            <w:r>
              <w:rPr>
                <w:rFonts w:hint="default" w:ascii="宋体" w:hAnsi="宋体" w:eastAsia="宋体" w:cs="宋体"/>
                <w:color w:val="000000" w:themeColor="text1"/>
                <w:spacing w:val="8"/>
                <w:sz w:val="24"/>
                <w:szCs w:val="24"/>
                <w:highlight w:val="none"/>
                <w14:textFill>
                  <w14:solidFill>
                    <w14:schemeClr w14:val="tx1"/>
                  </w14:solidFill>
                </w14:textFill>
              </w:rPr>
              <w:t xml:space="preserve"> 个标段，且累计里程不少于10km。</w:t>
            </w:r>
          </w:p>
          <w:p>
            <w:pPr>
              <w:pStyle w:val="17"/>
              <w:spacing w:before="1" w:line="219" w:lineRule="auto"/>
              <w:ind w:left="107"/>
              <w:jc w:val="both"/>
              <w:rPr>
                <w:rFonts w:hint="default" w:ascii="宋体" w:hAnsi="宋体" w:cs="宋体"/>
                <w:color w:val="000000" w:themeColor="text1"/>
                <w:spacing w:val="8"/>
                <w:sz w:val="24"/>
                <w:szCs w:val="24"/>
                <w:highlight w:val="none"/>
                <w:lang w:val="en-US" w:eastAsia="zh-CN"/>
                <w14:textFill>
                  <w14:solidFill>
                    <w14:schemeClr w14:val="tx1"/>
                  </w14:solidFill>
                </w14:textFill>
              </w:rPr>
            </w:pPr>
            <w:r>
              <w:rPr>
                <w:rFonts w:hint="default" w:ascii="宋体" w:hAnsi="宋体" w:eastAsia="宋体" w:cs="宋体"/>
                <w:color w:val="000000" w:themeColor="text1"/>
                <w:spacing w:val="8"/>
                <w:sz w:val="24"/>
                <w:szCs w:val="24"/>
                <w:highlight w:val="none"/>
                <w14:textFill>
                  <w14:solidFill>
                    <w14:schemeClr w14:val="tx1"/>
                  </w14:solidFill>
                </w14:textFill>
              </w:rPr>
              <w:t>注：类似工程的路基工程里程长度与路面工程里程长度不一致时，以路面工程长度为计算依据。</w:t>
            </w:r>
          </w:p>
        </w:tc>
      </w:tr>
    </w:tbl>
    <w:p>
      <w:pPr>
        <w:spacing w:before="303" w:line="223" w:lineRule="auto"/>
        <w:ind w:left="129"/>
        <w:rPr>
          <w:rFonts w:ascii="宋体" w:hAnsi="宋体" w:eastAsia="宋体" w:cs="宋体"/>
          <w:sz w:val="20"/>
          <w:szCs w:val="20"/>
        </w:rPr>
      </w:pPr>
      <w:r>
        <w:rPr>
          <w:rFonts w:ascii="宋体" w:hAnsi="宋体" w:eastAsia="宋体" w:cs="宋体"/>
          <w:spacing w:val="9"/>
          <w:sz w:val="20"/>
          <w:szCs w:val="20"/>
        </w:rPr>
        <w:t>注：1、本附录所要求的业绩仅限中华人民共和国境内业绩。</w:t>
      </w:r>
    </w:p>
    <w:p>
      <w:pPr>
        <w:spacing w:before="12" w:line="266" w:lineRule="exact"/>
        <w:ind w:left="552"/>
        <w:rPr>
          <w:rFonts w:ascii="宋体" w:hAnsi="宋体" w:eastAsia="宋体" w:cs="宋体"/>
          <w:sz w:val="7"/>
          <w:szCs w:val="7"/>
        </w:rPr>
      </w:pPr>
      <w:r>
        <w:rPr>
          <w:rFonts w:ascii="宋体" w:hAnsi="宋体" w:eastAsia="宋体" w:cs="宋体"/>
          <w:spacing w:val="9"/>
          <w:sz w:val="20"/>
          <w:szCs w:val="20"/>
        </w:rPr>
        <w:t>2、若为联合体投标，投标人业绩的资格审查条件和加分条件（如有）的认定原则如下:</w:t>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72" w:line="244" w:lineRule="auto"/>
        <w:ind w:left="132" w:right="2" w:firstLine="421"/>
        <w:jc w:val="both"/>
        <w:rPr>
          <w:rFonts w:ascii="宋体" w:hAnsi="宋体" w:eastAsia="宋体" w:cs="宋体"/>
          <w:sz w:val="20"/>
          <w:szCs w:val="20"/>
        </w:rPr>
      </w:pPr>
      <w:r>
        <w:rPr>
          <w:rFonts w:ascii="宋体" w:hAnsi="宋体" w:eastAsia="宋体" w:cs="宋体"/>
          <w:spacing w:val="8"/>
          <w:sz w:val="20"/>
          <w:szCs w:val="20"/>
        </w:rPr>
        <w:t>3、若投标人提供的业绩证明为联合体业绩，则按交通运输部“全国公路建设市场信</w:t>
      </w:r>
      <w:r>
        <w:rPr>
          <w:rFonts w:ascii="宋体" w:hAnsi="宋体" w:eastAsia="宋体" w:cs="宋体"/>
          <w:spacing w:val="7"/>
          <w:sz w:val="20"/>
          <w:szCs w:val="20"/>
        </w:rPr>
        <w:t>用信息管理</w:t>
      </w:r>
      <w:r>
        <w:rPr>
          <w:rFonts w:ascii="宋体" w:hAnsi="宋体" w:eastAsia="宋体" w:cs="宋体"/>
          <w:sz w:val="20"/>
          <w:szCs w:val="20"/>
        </w:rPr>
        <w:t xml:space="preserve"> </w:t>
      </w:r>
      <w:r>
        <w:rPr>
          <w:rFonts w:ascii="宋体" w:hAnsi="宋体" w:eastAsia="宋体" w:cs="宋体"/>
          <w:spacing w:val="9"/>
          <w:sz w:val="20"/>
          <w:szCs w:val="20"/>
        </w:rPr>
        <w:t>系统</w:t>
      </w:r>
      <w:r>
        <w:rPr>
          <w:rFonts w:ascii="宋体" w:hAnsi="宋体" w:eastAsia="宋体" w:cs="宋体"/>
          <w:spacing w:val="-70"/>
          <w:sz w:val="20"/>
          <w:szCs w:val="20"/>
        </w:rPr>
        <w:t xml:space="preserve"> </w:t>
      </w:r>
      <w:r>
        <w:rPr>
          <w:rFonts w:ascii="宋体" w:hAnsi="宋体" w:eastAsia="宋体" w:cs="宋体"/>
          <w:spacing w:val="9"/>
          <w:sz w:val="20"/>
          <w:szCs w:val="20"/>
        </w:rPr>
        <w:t>”业绩信息的网页截图体现其完成的相关专项工程的工程量认定，无法界定其完成的相关专项</w:t>
      </w:r>
      <w:r>
        <w:rPr>
          <w:rFonts w:ascii="宋体" w:hAnsi="宋体" w:eastAsia="宋体" w:cs="宋体"/>
          <w:sz w:val="20"/>
          <w:szCs w:val="20"/>
        </w:rPr>
        <w:t xml:space="preserve"> </w:t>
      </w:r>
      <w:r>
        <w:rPr>
          <w:rFonts w:ascii="宋体" w:hAnsi="宋体" w:eastAsia="宋体" w:cs="宋体"/>
          <w:spacing w:val="8"/>
          <w:sz w:val="20"/>
          <w:szCs w:val="20"/>
        </w:rPr>
        <w:t>工程的工程量，此业绩不予认定。</w:t>
      </w:r>
    </w:p>
    <w:p>
      <w:pPr>
        <w:spacing w:before="24" w:line="239" w:lineRule="auto"/>
        <w:ind w:left="553" w:right="807" w:hanging="5"/>
        <w:rPr>
          <w:rFonts w:ascii="宋体" w:hAnsi="宋体" w:eastAsia="宋体" w:cs="宋体"/>
          <w:spacing w:val="6"/>
          <w:sz w:val="20"/>
          <w:szCs w:val="20"/>
        </w:rPr>
      </w:pPr>
      <w:r>
        <w:rPr>
          <w:rFonts w:ascii="宋体" w:hAnsi="宋体" w:eastAsia="宋体" w:cs="宋体"/>
          <w:spacing w:val="7"/>
          <w:sz w:val="20"/>
          <w:szCs w:val="20"/>
        </w:rPr>
        <w:t>4、投标人应根据招标文件第二章“投标人须知</w:t>
      </w:r>
      <w:r>
        <w:rPr>
          <w:rFonts w:ascii="宋体" w:hAnsi="宋体" w:eastAsia="宋体" w:cs="宋体"/>
          <w:spacing w:val="-72"/>
          <w:sz w:val="20"/>
          <w:szCs w:val="20"/>
        </w:rPr>
        <w:t xml:space="preserve"> </w:t>
      </w:r>
      <w:r>
        <w:rPr>
          <w:rFonts w:ascii="宋体" w:hAnsi="宋体" w:eastAsia="宋体" w:cs="宋体"/>
          <w:spacing w:val="7"/>
          <w:sz w:val="20"/>
          <w:szCs w:val="20"/>
        </w:rPr>
        <w:t>”第</w:t>
      </w:r>
      <w:r>
        <w:rPr>
          <w:rFonts w:ascii="宋体" w:hAnsi="宋体" w:eastAsia="宋体" w:cs="宋体"/>
          <w:spacing w:val="-36"/>
          <w:sz w:val="20"/>
          <w:szCs w:val="20"/>
        </w:rPr>
        <w:t xml:space="preserve"> </w:t>
      </w:r>
      <w:r>
        <w:rPr>
          <w:rFonts w:ascii="宋体" w:hAnsi="宋体" w:eastAsia="宋体" w:cs="宋体"/>
          <w:spacing w:val="7"/>
          <w:sz w:val="20"/>
          <w:szCs w:val="20"/>
        </w:rPr>
        <w:t>3.5.3</w:t>
      </w:r>
      <w:r>
        <w:rPr>
          <w:rFonts w:ascii="宋体" w:hAnsi="宋体" w:eastAsia="宋体" w:cs="宋体"/>
          <w:spacing w:val="-34"/>
          <w:sz w:val="20"/>
          <w:szCs w:val="20"/>
        </w:rPr>
        <w:t xml:space="preserve"> </w:t>
      </w:r>
      <w:r>
        <w:rPr>
          <w:rFonts w:ascii="宋体" w:hAnsi="宋体" w:eastAsia="宋体" w:cs="宋体"/>
          <w:spacing w:val="7"/>
          <w:sz w:val="20"/>
          <w:szCs w:val="20"/>
        </w:rPr>
        <w:t>项的要求附</w:t>
      </w:r>
      <w:r>
        <w:rPr>
          <w:rFonts w:ascii="宋体" w:hAnsi="宋体" w:eastAsia="宋体" w:cs="宋体"/>
          <w:spacing w:val="6"/>
          <w:sz w:val="20"/>
          <w:szCs w:val="20"/>
        </w:rPr>
        <w:t>相关证明材料。</w:t>
      </w:r>
    </w:p>
    <w:p>
      <w:pPr>
        <w:spacing w:before="24" w:line="239" w:lineRule="auto"/>
        <w:ind w:left="553" w:right="807" w:hanging="5"/>
        <w:rPr>
          <w:rFonts w:ascii="宋体" w:hAnsi="宋体" w:eastAsia="宋体" w:cs="宋体"/>
          <w:sz w:val="20"/>
          <w:szCs w:val="20"/>
        </w:rPr>
      </w:pPr>
      <w:r>
        <w:rPr>
          <w:rFonts w:ascii="宋体" w:hAnsi="宋体" w:eastAsia="宋体" w:cs="宋体"/>
          <w:spacing w:val="6"/>
          <w:sz w:val="20"/>
          <w:szCs w:val="20"/>
        </w:rPr>
        <w:t>5</w:t>
      </w:r>
      <w:r>
        <w:rPr>
          <w:rFonts w:ascii="宋体" w:hAnsi="宋体" w:eastAsia="宋体" w:cs="宋体"/>
          <w:spacing w:val="9"/>
          <w:sz w:val="20"/>
          <w:szCs w:val="20"/>
        </w:rPr>
        <w:t>、近五年是指：</w:t>
      </w:r>
      <w:r>
        <w:rPr>
          <w:rFonts w:hint="eastAsia" w:ascii="宋体" w:hAnsi="宋体" w:eastAsia="宋体" w:cs="宋体"/>
          <w:spacing w:val="9"/>
          <w:sz w:val="20"/>
          <w:szCs w:val="20"/>
          <w:lang w:val="en-US" w:eastAsia="zh-CN"/>
        </w:rPr>
        <w:t>2018</w:t>
      </w:r>
      <w:r>
        <w:rPr>
          <w:rFonts w:ascii="宋体" w:hAnsi="宋体" w:eastAsia="宋体" w:cs="宋体"/>
          <w:spacing w:val="9"/>
          <w:sz w:val="20"/>
          <w:szCs w:val="20"/>
        </w:rPr>
        <w:t>年</w:t>
      </w:r>
      <w:r>
        <w:rPr>
          <w:rFonts w:hint="eastAsia" w:ascii="宋体" w:hAnsi="宋体" w:eastAsia="宋体" w:cs="宋体"/>
          <w:spacing w:val="9"/>
          <w:sz w:val="20"/>
          <w:szCs w:val="20"/>
          <w:lang w:val="en-US" w:eastAsia="zh-CN"/>
        </w:rPr>
        <w:t>1</w:t>
      </w:r>
      <w:r>
        <w:rPr>
          <w:rFonts w:ascii="宋体" w:hAnsi="宋体" w:eastAsia="宋体" w:cs="宋体"/>
          <w:spacing w:val="9"/>
          <w:sz w:val="20"/>
          <w:szCs w:val="20"/>
        </w:rPr>
        <w:t>月</w:t>
      </w:r>
      <w:r>
        <w:rPr>
          <w:rFonts w:hint="eastAsia" w:ascii="宋体" w:hAnsi="宋体" w:eastAsia="宋体" w:cs="宋体"/>
          <w:spacing w:val="9"/>
          <w:sz w:val="20"/>
          <w:szCs w:val="20"/>
          <w:lang w:val="en-US" w:eastAsia="zh-CN"/>
        </w:rPr>
        <w:t>1</w:t>
      </w:r>
      <w:r>
        <w:rPr>
          <w:rFonts w:ascii="宋体" w:hAnsi="宋体" w:eastAsia="宋体" w:cs="宋体"/>
          <w:spacing w:val="9"/>
          <w:sz w:val="20"/>
          <w:szCs w:val="20"/>
        </w:rPr>
        <w:t>日至投标文件递交截止之日止。</w:t>
      </w:r>
    </w:p>
    <w:p>
      <w:pPr>
        <w:spacing w:before="27"/>
        <w:ind w:left="131" w:right="38" w:firstLine="420"/>
        <w:rPr>
          <w:rFonts w:ascii="宋体" w:hAnsi="宋体" w:eastAsia="宋体" w:cs="宋体"/>
          <w:sz w:val="20"/>
          <w:szCs w:val="20"/>
          <w:highlight w:val="none"/>
        </w:rPr>
      </w:pPr>
      <w:r>
        <w:rPr>
          <w:rFonts w:ascii="宋体" w:hAnsi="宋体" w:eastAsia="宋体" w:cs="宋体"/>
          <w:spacing w:val="9"/>
          <w:sz w:val="20"/>
          <w:szCs w:val="20"/>
          <w:highlight w:val="none"/>
        </w:rPr>
        <w:t>6、类似工程是指：</w:t>
      </w:r>
      <w:r>
        <w:rPr>
          <w:rFonts w:hint="eastAsia" w:ascii="宋体" w:hAnsi="宋体" w:eastAsia="宋体" w:cs="宋体"/>
          <w:spacing w:val="9"/>
          <w:sz w:val="20"/>
          <w:szCs w:val="20"/>
          <w:highlight w:val="none"/>
        </w:rPr>
        <w:t>包括新建、改建或扩建公路工程中工程量内容体现的交通安全设施工程为准，不包括大中修、养护</w:t>
      </w:r>
      <w:r>
        <w:rPr>
          <w:rFonts w:ascii="宋体" w:hAnsi="宋体" w:eastAsia="宋体" w:cs="宋体"/>
          <w:spacing w:val="10"/>
          <w:sz w:val="20"/>
          <w:szCs w:val="20"/>
          <w:highlight w:val="none"/>
          <w:u w:val="none" w:color="auto"/>
        </w:rPr>
        <w:t>。</w:t>
      </w:r>
    </w:p>
    <w:p>
      <w:pPr>
        <w:spacing w:line="245" w:lineRule="auto"/>
        <w:rPr>
          <w:rFonts w:ascii="Arial"/>
          <w:sz w:val="21"/>
          <w:highlight w:val="yellow"/>
        </w:rPr>
      </w:pPr>
    </w:p>
    <w:p>
      <w:pPr>
        <w:rPr>
          <w:rFonts w:ascii="宋体" w:hAnsi="宋体" w:eastAsia="宋体" w:cs="宋体"/>
          <w:spacing w:val="1"/>
          <w:sz w:val="28"/>
          <w:szCs w:val="28"/>
          <w14:textOutline w14:w="5103" w14:cap="sq" w14:cmpd="sng">
            <w14:solidFill>
              <w14:srgbClr w14:val="000000"/>
            </w14:solidFill>
            <w14:prstDash w14:val="solid"/>
            <w14:bevel/>
          </w14:textOutline>
        </w:rPr>
      </w:pPr>
      <w:r>
        <w:rPr>
          <w:rFonts w:ascii="宋体" w:hAnsi="宋体" w:eastAsia="宋体" w:cs="宋体"/>
          <w:spacing w:val="1"/>
          <w:sz w:val="28"/>
          <w:szCs w:val="28"/>
          <w14:textOutline w14:w="5103" w14:cap="sq" w14:cmpd="sng">
            <w14:solidFill>
              <w14:srgbClr w14:val="000000"/>
            </w14:solidFill>
            <w14:prstDash w14:val="solid"/>
            <w14:bevel/>
          </w14:textOutline>
        </w:rPr>
        <w:br w:type="page"/>
      </w:r>
    </w:p>
    <w:p>
      <w:pPr>
        <w:spacing w:before="91" w:line="219" w:lineRule="auto"/>
        <w:ind w:left="2122"/>
        <w:rPr>
          <w:rFonts w:ascii="宋体" w:hAnsi="宋体" w:eastAsia="宋体" w:cs="宋体"/>
          <w:sz w:val="12"/>
          <w:szCs w:val="12"/>
        </w:rPr>
      </w:pPr>
      <w:r>
        <w:rPr>
          <w:rFonts w:ascii="宋体" w:hAnsi="宋体" w:eastAsia="宋体" w:cs="宋体"/>
          <w:spacing w:val="1"/>
          <w:sz w:val="28"/>
          <w:szCs w:val="28"/>
          <w14:textOutline w14:w="5103" w14:cap="sq" w14:cmpd="sng">
            <w14:solidFill>
              <w14:srgbClr w14:val="000000"/>
            </w14:solidFill>
            <w14:prstDash w14:val="solid"/>
            <w14:bevel/>
          </w14:textOutline>
        </w:rPr>
        <w:t>附录</w:t>
      </w:r>
      <w:r>
        <w:rPr>
          <w:rFonts w:ascii="宋体" w:hAnsi="宋体" w:eastAsia="宋体" w:cs="宋体"/>
          <w:spacing w:val="-46"/>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4</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资格审查条件(信誉最低要求)</w:t>
      </w:r>
    </w:p>
    <w:p>
      <w:pPr>
        <w:spacing w:before="117"/>
      </w:pPr>
    </w:p>
    <w:p>
      <w:pPr>
        <w:spacing w:before="116"/>
      </w:pPr>
    </w:p>
    <w:tbl>
      <w:tblPr>
        <w:tblStyle w:val="16"/>
        <w:tblW w:w="8944" w:type="dxa"/>
        <w:tblInd w:w="6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8944"/>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03" w:hRule="atLeast"/>
        </w:trPr>
        <w:tc>
          <w:tcPr>
            <w:tcW w:w="8944" w:type="dxa"/>
            <w:tcBorders>
              <w:bottom w:val="single" w:color="000000" w:sz="2" w:space="0"/>
            </w:tcBorders>
            <w:vAlign w:val="top"/>
          </w:tcPr>
          <w:p>
            <w:pPr>
              <w:pStyle w:val="17"/>
              <w:spacing w:before="156" w:line="219" w:lineRule="auto"/>
              <w:ind w:left="3809"/>
            </w:pPr>
            <w:r>
              <w:rPr>
                <w:spacing w:val="-8"/>
                <w14:textOutline w14:w="4358" w14:cap="sq" w14:cmpd="sng">
                  <w14:solidFill>
                    <w14:srgbClr w14:val="000000"/>
                  </w14:solidFill>
                  <w14:prstDash w14:val="solid"/>
                  <w14:bevel/>
                </w14:textOutline>
              </w:rPr>
              <w:t>信</w:t>
            </w:r>
            <w:r>
              <w:rPr>
                <w:spacing w:val="11"/>
              </w:rPr>
              <w:t xml:space="preserve"> </w:t>
            </w:r>
            <w:r>
              <w:rPr>
                <w:spacing w:val="-8"/>
                <w14:textOutline w14:w="4358" w14:cap="sq" w14:cmpd="sng">
                  <w14:solidFill>
                    <w14:srgbClr w14:val="000000"/>
                  </w14:solidFill>
                  <w14:prstDash w14:val="solid"/>
                  <w14:bevel/>
                </w14:textOutline>
              </w:rPr>
              <w:t>誉</w:t>
            </w:r>
            <w:r>
              <w:rPr>
                <w:spacing w:val="13"/>
              </w:rPr>
              <w:t xml:space="preserve"> </w:t>
            </w:r>
            <w:r>
              <w:rPr>
                <w:spacing w:val="-8"/>
                <w14:textOutline w14:w="4358" w14:cap="sq" w14:cmpd="sng">
                  <w14:solidFill>
                    <w14:srgbClr w14:val="000000"/>
                  </w14:solidFill>
                  <w14:prstDash w14:val="solid"/>
                  <w14:bevel/>
                </w14:textOutline>
              </w:rPr>
              <w:t>要</w:t>
            </w:r>
            <w:r>
              <w:rPr>
                <w:spacing w:val="11"/>
              </w:rPr>
              <w:t xml:space="preserve"> </w:t>
            </w:r>
            <w:r>
              <w:rPr>
                <w:spacing w:val="-8"/>
                <w14:textOutline w14:w="4358" w14:cap="sq" w14:cmpd="sng">
                  <w14:solidFill>
                    <w14:srgbClr w14:val="000000"/>
                  </w14:solidFill>
                  <w14:prstDash w14:val="solid"/>
                  <w14:bevel/>
                </w14:textOutline>
              </w:rPr>
              <w:t>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916" w:hRule="atLeast"/>
        </w:trPr>
        <w:tc>
          <w:tcPr>
            <w:tcW w:w="8944" w:type="dxa"/>
            <w:tcBorders>
              <w:top w:val="single" w:color="000000" w:sz="2" w:space="0"/>
            </w:tcBorders>
            <w:vAlign w:val="top"/>
          </w:tcPr>
          <w:p>
            <w:pPr>
              <w:spacing w:line="479" w:lineRule="auto"/>
              <w:rPr>
                <w:rFonts w:ascii="Arial"/>
                <w:sz w:val="21"/>
              </w:rPr>
            </w:pPr>
          </w:p>
          <w:p>
            <w:pPr>
              <w:pStyle w:val="17"/>
              <w:spacing w:before="184" w:line="466" w:lineRule="exact"/>
              <w:ind w:firstLine="480" w:firstLineChars="200"/>
              <w:rPr>
                <w:rFonts w:hint="eastAsia"/>
                <w:position w:val="17"/>
              </w:rPr>
            </w:pPr>
            <w:r>
              <w:rPr>
                <w:rFonts w:hint="eastAsia"/>
                <w:position w:val="17"/>
              </w:rPr>
              <w:t>在最新年度广东省公路工程从业单位（施工单位）信用评价（含无最新年度而上一年度有信用评价）中，信用等级未被评为 D 级；初次进入广东省的投标人，在最新年度的全国公路从业单位（施工单位）信用评价结果中未被评为 D 级。</w:t>
            </w:r>
          </w:p>
          <w:p>
            <w:pPr>
              <w:pStyle w:val="17"/>
              <w:spacing w:before="184" w:line="466" w:lineRule="exact"/>
              <w:ind w:left="606"/>
            </w:pPr>
            <w:r>
              <w:rPr>
                <w:position w:val="17"/>
              </w:rPr>
              <w:t>初次进入广东省的投标人，在最新年度的全国公路从业</w:t>
            </w:r>
            <w:r>
              <w:rPr>
                <w:spacing w:val="-1"/>
                <w:position w:val="17"/>
              </w:rPr>
              <w:t>单位（施工单位）信用</w:t>
            </w:r>
          </w:p>
          <w:p>
            <w:pPr>
              <w:pStyle w:val="17"/>
              <w:spacing w:before="1" w:line="217" w:lineRule="auto"/>
              <w:ind w:left="105"/>
            </w:pPr>
            <w:r>
              <w:rPr>
                <w:spacing w:val="-3"/>
              </w:rPr>
              <w:t>评价结果中未被评为</w:t>
            </w:r>
            <w:r>
              <w:rPr>
                <w:spacing w:val="-47"/>
              </w:rPr>
              <w:t xml:space="preserve"> </w:t>
            </w:r>
            <w:r>
              <w:rPr>
                <w:spacing w:val="-3"/>
              </w:rPr>
              <w:t>D</w:t>
            </w:r>
            <w:r>
              <w:rPr>
                <w:spacing w:val="-47"/>
              </w:rPr>
              <w:t xml:space="preserve"> </w:t>
            </w:r>
            <w:r>
              <w:rPr>
                <w:spacing w:val="-3"/>
              </w:rPr>
              <w:t>级。</w:t>
            </w:r>
          </w:p>
        </w:tc>
      </w:tr>
    </w:tbl>
    <w:p>
      <w:pPr>
        <w:spacing w:line="256" w:lineRule="auto"/>
        <w:rPr>
          <w:rFonts w:ascii="Arial"/>
          <w:sz w:val="21"/>
        </w:rPr>
      </w:pPr>
    </w:p>
    <w:p>
      <w:pPr>
        <w:spacing w:before="65" w:line="227" w:lineRule="auto"/>
        <w:ind w:left="7"/>
        <w:rPr>
          <w:rFonts w:ascii="宋体" w:hAnsi="宋体" w:eastAsia="宋体" w:cs="宋体"/>
          <w:sz w:val="20"/>
          <w:szCs w:val="20"/>
        </w:rPr>
      </w:pPr>
      <w:r>
        <w:rPr>
          <w:rFonts w:ascii="宋体" w:hAnsi="宋体" w:eastAsia="宋体" w:cs="宋体"/>
          <w:spacing w:val="7"/>
          <w:sz w:val="20"/>
          <w:szCs w:val="20"/>
        </w:rPr>
        <w:t>注：1、信用等级的确定原则遵遁投标人须知前附表</w:t>
      </w:r>
      <w:r>
        <w:rPr>
          <w:rFonts w:ascii="宋体" w:hAnsi="宋体" w:eastAsia="宋体" w:cs="宋体"/>
          <w:spacing w:val="-5"/>
          <w:sz w:val="20"/>
          <w:szCs w:val="20"/>
        </w:rPr>
        <w:t xml:space="preserve"> </w:t>
      </w:r>
      <w:r>
        <w:rPr>
          <w:rFonts w:ascii="宋体" w:hAnsi="宋体" w:eastAsia="宋体" w:cs="宋体"/>
          <w:spacing w:val="7"/>
          <w:sz w:val="20"/>
          <w:szCs w:val="20"/>
        </w:rPr>
        <w:t>10.2</w:t>
      </w:r>
      <w:r>
        <w:rPr>
          <w:rFonts w:ascii="宋体" w:hAnsi="宋体" w:eastAsia="宋体" w:cs="宋体"/>
          <w:spacing w:val="-40"/>
          <w:sz w:val="20"/>
          <w:szCs w:val="20"/>
        </w:rPr>
        <w:t xml:space="preserve"> </w:t>
      </w:r>
      <w:r>
        <w:rPr>
          <w:rFonts w:ascii="宋体" w:hAnsi="宋体" w:eastAsia="宋体" w:cs="宋体"/>
          <w:spacing w:val="7"/>
          <w:sz w:val="20"/>
          <w:szCs w:val="20"/>
        </w:rPr>
        <w:t>款的规定。</w:t>
      </w:r>
    </w:p>
    <w:p>
      <w:pPr>
        <w:spacing w:before="27" w:line="227" w:lineRule="auto"/>
        <w:ind w:left="429"/>
        <w:rPr>
          <w:rFonts w:ascii="宋体" w:hAnsi="宋体" w:eastAsia="宋体" w:cs="宋体"/>
          <w:sz w:val="20"/>
          <w:szCs w:val="20"/>
        </w:rPr>
      </w:pPr>
      <w:r>
        <w:rPr>
          <w:rFonts w:ascii="宋体" w:hAnsi="宋体" w:eastAsia="宋体" w:cs="宋体"/>
          <w:spacing w:val="9"/>
          <w:sz w:val="20"/>
          <w:szCs w:val="20"/>
        </w:rPr>
        <w:t>2、投标人应根据第九章“投标文件格式</w:t>
      </w:r>
      <w:r>
        <w:rPr>
          <w:rFonts w:ascii="宋体" w:hAnsi="宋体" w:eastAsia="宋体" w:cs="宋体"/>
          <w:spacing w:val="-70"/>
          <w:sz w:val="20"/>
          <w:szCs w:val="20"/>
        </w:rPr>
        <w:t xml:space="preserve"> </w:t>
      </w:r>
      <w:r>
        <w:rPr>
          <w:rFonts w:ascii="宋体" w:hAnsi="宋体" w:eastAsia="宋体" w:cs="宋体"/>
          <w:spacing w:val="9"/>
          <w:sz w:val="20"/>
          <w:szCs w:val="20"/>
        </w:rPr>
        <w:t xml:space="preserve">”中“八、资格审查资料 </w:t>
      </w:r>
      <w:r>
        <w:rPr>
          <w:rFonts w:ascii="宋体" w:hAnsi="宋体" w:eastAsia="宋体" w:cs="宋体"/>
          <w:spacing w:val="8"/>
          <w:sz w:val="20"/>
          <w:szCs w:val="20"/>
        </w:rPr>
        <w:t>（五）投标人的信誉情况</w:t>
      </w:r>
    </w:p>
    <w:p>
      <w:pPr>
        <w:spacing w:before="24" w:line="228" w:lineRule="auto"/>
        <w:ind w:left="6"/>
        <w:rPr>
          <w:rFonts w:ascii="宋体" w:hAnsi="宋体" w:eastAsia="宋体" w:cs="宋体"/>
          <w:sz w:val="20"/>
          <w:szCs w:val="20"/>
        </w:rPr>
      </w:pPr>
      <w:r>
        <w:rPr>
          <w:rFonts w:ascii="宋体" w:hAnsi="宋体" w:eastAsia="宋体" w:cs="宋体"/>
          <w:spacing w:val="4"/>
          <w:sz w:val="20"/>
          <w:szCs w:val="20"/>
        </w:rPr>
        <w:t>表</w:t>
      </w:r>
      <w:r>
        <w:rPr>
          <w:rFonts w:ascii="宋体" w:hAnsi="宋体" w:eastAsia="宋体" w:cs="宋体"/>
          <w:spacing w:val="-67"/>
          <w:sz w:val="20"/>
          <w:szCs w:val="20"/>
        </w:rPr>
        <w:t xml:space="preserve"> </w:t>
      </w:r>
      <w:r>
        <w:rPr>
          <w:rFonts w:ascii="宋体" w:hAnsi="宋体" w:eastAsia="宋体" w:cs="宋体"/>
          <w:spacing w:val="4"/>
          <w:sz w:val="20"/>
          <w:szCs w:val="20"/>
        </w:rPr>
        <w:t>”填写情况说明。</w:t>
      </w:r>
    </w:p>
    <w:p>
      <w:pPr>
        <w:rPr>
          <w:rFonts w:ascii="Arial"/>
          <w:sz w:val="21"/>
        </w:rPr>
      </w:pPr>
    </w:p>
    <w:p>
      <w:pPr>
        <w:rPr>
          <w:rFonts w:ascii="Arial"/>
          <w:sz w:val="21"/>
        </w:rPr>
      </w:pPr>
    </w:p>
    <w:p>
      <w:pPr>
        <w:rPr>
          <w:rFonts w:ascii="Arial"/>
          <w:sz w:val="21"/>
        </w:rPr>
      </w:pPr>
    </w:p>
    <w:p>
      <w:pPr>
        <w:rPr>
          <w:rFonts w:ascii="宋体" w:hAnsi="宋体" w:eastAsia="宋体" w:cs="宋体"/>
          <w:spacing w:val="1"/>
          <w:sz w:val="28"/>
          <w:szCs w:val="28"/>
          <w14:textOutline w14:w="5103" w14:cap="sq" w14:cmpd="sng">
            <w14:solidFill>
              <w14:srgbClr w14:val="000000"/>
            </w14:solidFill>
            <w14:prstDash w14:val="solid"/>
            <w14:bevel/>
          </w14:textOutline>
        </w:rPr>
      </w:pPr>
      <w:r>
        <w:rPr>
          <w:rFonts w:ascii="宋体" w:hAnsi="宋体" w:eastAsia="宋体" w:cs="宋体"/>
          <w:spacing w:val="1"/>
          <w:sz w:val="28"/>
          <w:szCs w:val="28"/>
          <w14:textOutline w14:w="5103" w14:cap="sq" w14:cmpd="sng">
            <w14:solidFill>
              <w14:srgbClr w14:val="000000"/>
            </w14:solidFill>
            <w14:prstDash w14:val="solid"/>
            <w14:bevel/>
          </w14:textOutline>
        </w:rPr>
        <w:br w:type="page"/>
      </w:r>
    </w:p>
    <w:p>
      <w:pPr>
        <w:spacing w:before="91" w:line="219" w:lineRule="auto"/>
        <w:ind w:left="1138"/>
        <w:rPr>
          <w:rFonts w:ascii="宋体" w:hAnsi="宋体" w:eastAsia="宋体" w:cs="宋体"/>
          <w:sz w:val="12"/>
          <w:szCs w:val="12"/>
        </w:rPr>
      </w:pPr>
      <w:r>
        <w:rPr>
          <w:rFonts w:ascii="宋体" w:hAnsi="宋体" w:eastAsia="宋体" w:cs="宋体"/>
          <w:spacing w:val="1"/>
          <w:sz w:val="28"/>
          <w:szCs w:val="28"/>
          <w14:textOutline w14:w="5103" w14:cap="sq" w14:cmpd="sng">
            <w14:solidFill>
              <w14:srgbClr w14:val="000000"/>
            </w14:solidFill>
            <w14:prstDash w14:val="solid"/>
            <w14:bevel/>
          </w14:textOutline>
        </w:rPr>
        <w:t>附录</w:t>
      </w:r>
      <w:r>
        <w:rPr>
          <w:rFonts w:ascii="宋体" w:hAnsi="宋体" w:eastAsia="宋体" w:cs="宋体"/>
          <w:spacing w:val="-45"/>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5</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资格审查条件(项目经理和项目总工最低要求)</w:t>
      </w:r>
    </w:p>
    <w:p>
      <w:pPr>
        <w:spacing w:line="295" w:lineRule="auto"/>
        <w:rPr>
          <w:rFonts w:ascii="Arial"/>
          <w:sz w:val="21"/>
        </w:rPr>
      </w:pPr>
    </w:p>
    <w:p>
      <w:pPr>
        <w:spacing w:line="296" w:lineRule="auto"/>
        <w:rPr>
          <w:rFonts w:ascii="Arial"/>
          <w:sz w:val="21"/>
        </w:rPr>
      </w:pPr>
    </w:p>
    <w:p>
      <w:pPr>
        <w:spacing w:line="146" w:lineRule="exact"/>
      </w:pPr>
    </w:p>
    <w:tbl>
      <w:tblPr>
        <w:tblStyle w:val="16"/>
        <w:tblW w:w="8947"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2"/>
        <w:gridCol w:w="1090"/>
        <w:gridCol w:w="2797"/>
        <w:gridCol w:w="28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252" w:type="dxa"/>
            <w:tcBorders>
              <w:top w:val="single" w:color="000000" w:sz="10" w:space="0"/>
              <w:left w:val="single" w:color="000000" w:sz="10" w:space="0"/>
            </w:tcBorders>
            <w:vAlign w:val="top"/>
          </w:tcPr>
          <w:p>
            <w:pPr>
              <w:pStyle w:val="17"/>
              <w:spacing w:before="145" w:line="221" w:lineRule="auto"/>
              <w:ind w:left="761"/>
            </w:pPr>
            <w:r>
              <w:rPr>
                <w:spacing w:val="-6"/>
              </w:rPr>
              <w:t>人</w:t>
            </w:r>
            <w:r>
              <w:rPr>
                <w:spacing w:val="9"/>
              </w:rPr>
              <w:t xml:space="preserve">  </w:t>
            </w:r>
            <w:r>
              <w:rPr>
                <w:spacing w:val="-6"/>
              </w:rPr>
              <w:t>员</w:t>
            </w:r>
          </w:p>
        </w:tc>
        <w:tc>
          <w:tcPr>
            <w:tcW w:w="1090" w:type="dxa"/>
            <w:tcBorders>
              <w:top w:val="single" w:color="000000" w:sz="10" w:space="0"/>
            </w:tcBorders>
            <w:vAlign w:val="top"/>
          </w:tcPr>
          <w:p>
            <w:pPr>
              <w:pStyle w:val="17"/>
              <w:spacing w:before="146" w:line="219" w:lineRule="auto"/>
              <w:ind w:left="187"/>
            </w:pPr>
            <w:r>
              <w:rPr>
                <w:spacing w:val="-6"/>
              </w:rPr>
              <w:t>数</w:t>
            </w:r>
            <w:r>
              <w:rPr>
                <w:spacing w:val="4"/>
              </w:rPr>
              <w:t xml:space="preserve">  </w:t>
            </w:r>
            <w:r>
              <w:rPr>
                <w:spacing w:val="-6"/>
              </w:rPr>
              <w:t>量</w:t>
            </w:r>
          </w:p>
        </w:tc>
        <w:tc>
          <w:tcPr>
            <w:tcW w:w="2797" w:type="dxa"/>
            <w:tcBorders>
              <w:top w:val="single" w:color="000000" w:sz="10" w:space="0"/>
              <w:bottom w:val="single" w:color="auto" w:sz="4" w:space="0"/>
              <w:right w:val="single" w:color="auto" w:sz="4" w:space="0"/>
            </w:tcBorders>
            <w:vAlign w:val="top"/>
          </w:tcPr>
          <w:p>
            <w:pPr>
              <w:pStyle w:val="17"/>
              <w:spacing w:before="146" w:line="219" w:lineRule="auto"/>
              <w:ind w:left="755"/>
            </w:pPr>
            <w:r>
              <w:rPr>
                <w:spacing w:val="-10"/>
              </w:rPr>
              <w:t>资</w:t>
            </w:r>
            <w:r>
              <w:rPr>
                <w:spacing w:val="9"/>
              </w:rPr>
              <w:t xml:space="preserve"> </w:t>
            </w:r>
            <w:r>
              <w:rPr>
                <w:spacing w:val="-10"/>
              </w:rPr>
              <w:t>格</w:t>
            </w:r>
            <w:r>
              <w:rPr>
                <w:spacing w:val="10"/>
              </w:rPr>
              <w:t xml:space="preserve"> </w:t>
            </w:r>
            <w:r>
              <w:rPr>
                <w:spacing w:val="-10"/>
              </w:rPr>
              <w:t>要</w:t>
            </w:r>
            <w:r>
              <w:rPr>
                <w:spacing w:val="11"/>
              </w:rPr>
              <w:t xml:space="preserve"> </w:t>
            </w:r>
            <w:r>
              <w:rPr>
                <w:spacing w:val="-10"/>
              </w:rPr>
              <w:t>求</w:t>
            </w:r>
          </w:p>
        </w:tc>
        <w:tc>
          <w:tcPr>
            <w:tcW w:w="2808" w:type="dxa"/>
            <w:tcBorders>
              <w:top w:val="single" w:color="auto" w:sz="4" w:space="0"/>
              <w:left w:val="single" w:color="auto" w:sz="4" w:space="0"/>
              <w:bottom w:val="single" w:color="auto" w:sz="4" w:space="0"/>
              <w:right w:val="single" w:color="auto" w:sz="4" w:space="0"/>
            </w:tcBorders>
            <w:vAlign w:val="top"/>
          </w:tcPr>
          <w:p>
            <w:pPr>
              <w:pStyle w:val="17"/>
              <w:spacing w:before="146" w:line="220" w:lineRule="auto"/>
              <w:ind w:left="752"/>
            </w:pPr>
            <w:r>
              <w:rPr>
                <w:spacing w:val="-14"/>
              </w:rPr>
              <w:t>在</w:t>
            </w:r>
            <w:r>
              <w:rPr>
                <w:spacing w:val="36"/>
              </w:rPr>
              <w:t xml:space="preserve"> </w:t>
            </w:r>
            <w:r>
              <w:rPr>
                <w:spacing w:val="-14"/>
              </w:rPr>
              <w:t>岗</w:t>
            </w:r>
            <w:r>
              <w:rPr>
                <w:spacing w:val="10"/>
              </w:rPr>
              <w:t xml:space="preserve"> </w:t>
            </w:r>
            <w:r>
              <w:rPr>
                <w:spacing w:val="-14"/>
              </w:rPr>
              <w:t>要</w:t>
            </w:r>
            <w:r>
              <w:rPr>
                <w:spacing w:val="11"/>
              </w:rPr>
              <w:t xml:space="preserve"> </w:t>
            </w:r>
            <w:r>
              <w:rPr>
                <w:spacing w:val="-14"/>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2252" w:type="dxa"/>
            <w:tcBorders>
              <w:left w:val="single" w:color="000000" w:sz="10" w:space="0"/>
            </w:tcBorders>
            <w:vAlign w:val="center"/>
          </w:tcPr>
          <w:p>
            <w:pPr>
              <w:pStyle w:val="17"/>
              <w:spacing w:before="145" w:line="220" w:lineRule="auto"/>
              <w:ind w:left="643"/>
              <w:jc w:val="both"/>
              <w:rPr>
                <w:spacing w:val="-4"/>
                <w:highlight w:val="none"/>
              </w:rPr>
            </w:pPr>
            <w:r>
              <w:rPr>
                <w:spacing w:val="-4"/>
                <w:highlight w:val="none"/>
              </w:rPr>
              <w:t>项目经理</w:t>
            </w:r>
          </w:p>
          <w:p>
            <w:pPr>
              <w:pStyle w:val="17"/>
              <w:spacing w:before="79" w:line="220" w:lineRule="auto"/>
              <w:ind w:left="283"/>
              <w:jc w:val="center"/>
              <w:rPr>
                <w:highlight w:val="none"/>
              </w:rPr>
            </w:pPr>
          </w:p>
        </w:tc>
        <w:tc>
          <w:tcPr>
            <w:tcW w:w="1090" w:type="dxa"/>
            <w:tcBorders>
              <w:right w:val="single" w:color="auto" w:sz="4" w:space="0"/>
            </w:tcBorders>
            <w:vAlign w:val="center"/>
          </w:tcPr>
          <w:p>
            <w:pPr>
              <w:pStyle w:val="17"/>
              <w:spacing w:before="181" w:line="184" w:lineRule="auto"/>
              <w:ind w:left="503"/>
              <w:jc w:val="both"/>
              <w:rPr>
                <w:highlight w:val="none"/>
              </w:rPr>
            </w:pPr>
            <w:r>
              <w:rPr>
                <w:highlight w:val="none"/>
              </w:rPr>
              <w:t>1</w:t>
            </w:r>
          </w:p>
          <w:p>
            <w:pPr>
              <w:pStyle w:val="17"/>
              <w:spacing w:before="78" w:line="184" w:lineRule="auto"/>
              <w:ind w:left="503"/>
              <w:jc w:val="center"/>
              <w:rPr>
                <w:highlight w:val="none"/>
              </w:rPr>
            </w:pPr>
          </w:p>
        </w:tc>
        <w:tc>
          <w:tcPr>
            <w:tcW w:w="2797" w:type="dxa"/>
            <w:vMerge w:val="restart"/>
            <w:tcBorders>
              <w:top w:val="single" w:color="auto" w:sz="4" w:space="0"/>
              <w:left w:val="single" w:color="auto" w:sz="4" w:space="0"/>
              <w:right w:val="single" w:color="auto" w:sz="4" w:space="0"/>
            </w:tcBorders>
            <w:vAlign w:val="center"/>
          </w:tcPr>
          <w:p>
            <w:pPr>
              <w:pStyle w:val="17"/>
              <w:spacing w:line="218" w:lineRule="auto"/>
              <w:ind w:left="113"/>
              <w:jc w:val="center"/>
              <w:rPr>
                <w:rFonts w:hint="eastAsia" w:eastAsia="宋体"/>
                <w:highlight w:val="none"/>
                <w:lang w:eastAsia="zh-CN"/>
              </w:rPr>
            </w:pPr>
            <w:r>
              <w:rPr>
                <w:rFonts w:hint="eastAsia" w:cs="宋体"/>
                <w:color w:val="auto"/>
                <w:szCs w:val="21"/>
                <w:highlight w:val="none"/>
                <w:lang w:eastAsia="zh-CN"/>
              </w:rPr>
              <w:t>工程师，担任类似工程项目经理(或项目副经理或项目总工)岗位累计6个月，并持有住房和城乡建设部颁发的公路工程专业二级（或以上）建造师注册证书，具有交通主管部门颁发的有效安全生产“三类人员”B 类证书。</w:t>
            </w:r>
          </w:p>
        </w:tc>
        <w:tc>
          <w:tcPr>
            <w:tcW w:w="2808" w:type="dxa"/>
            <w:vMerge w:val="restart"/>
            <w:tcBorders>
              <w:top w:val="single" w:color="auto" w:sz="4" w:space="0"/>
              <w:left w:val="single" w:color="auto" w:sz="4" w:space="0"/>
              <w:bottom w:val="single" w:color="auto" w:sz="4" w:space="0"/>
              <w:right w:val="single" w:color="auto" w:sz="4" w:space="0"/>
            </w:tcBorders>
            <w:vAlign w:val="top"/>
          </w:tcPr>
          <w:p>
            <w:pPr>
              <w:spacing w:line="253" w:lineRule="auto"/>
              <w:rPr>
                <w:rFonts w:ascii="Arial"/>
                <w:sz w:val="21"/>
                <w:highlight w:val="none"/>
              </w:rPr>
            </w:pPr>
          </w:p>
          <w:p>
            <w:pPr>
              <w:spacing w:line="254" w:lineRule="auto"/>
              <w:rPr>
                <w:rFonts w:ascii="Arial"/>
                <w:sz w:val="21"/>
                <w:highlight w:val="none"/>
              </w:rPr>
            </w:pPr>
          </w:p>
          <w:p>
            <w:pPr>
              <w:pStyle w:val="12"/>
              <w:rPr>
                <w:highlight w:val="none"/>
              </w:rPr>
            </w:pPr>
          </w:p>
          <w:p>
            <w:pPr>
              <w:pStyle w:val="17"/>
              <w:spacing w:before="78" w:line="359" w:lineRule="auto"/>
              <w:ind w:left="120" w:right="97"/>
              <w:rPr>
                <w:highlight w:val="none"/>
              </w:rPr>
            </w:pPr>
            <w:r>
              <w:rPr>
                <w:spacing w:val="-7"/>
                <w:highlight w:val="none"/>
              </w:rPr>
              <w:t>无在岗项目（指目前未在</w:t>
            </w:r>
            <w:r>
              <w:rPr>
                <w:spacing w:val="9"/>
                <w:highlight w:val="none"/>
              </w:rPr>
              <w:t xml:space="preserve"> </w:t>
            </w:r>
            <w:r>
              <w:rPr>
                <w:spacing w:val="-6"/>
                <w:highlight w:val="none"/>
              </w:rPr>
              <w:t>其他项目上任职，或虽在</w:t>
            </w:r>
            <w:r>
              <w:rPr>
                <w:highlight w:val="none"/>
              </w:rPr>
              <w:t xml:space="preserve"> </w:t>
            </w:r>
            <w:r>
              <w:rPr>
                <w:spacing w:val="-2"/>
                <w:highlight w:val="none"/>
              </w:rPr>
              <w:t>其他项目上任职但本项</w:t>
            </w:r>
            <w:r>
              <w:rPr>
                <w:spacing w:val="4"/>
                <w:highlight w:val="none"/>
              </w:rPr>
              <w:t xml:space="preserve">  </w:t>
            </w:r>
            <w:r>
              <w:rPr>
                <w:spacing w:val="-2"/>
                <w:highlight w:val="none"/>
              </w:rPr>
              <w:t>目中标后能够从该项目</w:t>
            </w:r>
          </w:p>
          <w:p>
            <w:pPr>
              <w:pStyle w:val="17"/>
              <w:spacing w:line="220" w:lineRule="auto"/>
              <w:ind w:left="118"/>
              <w:rPr>
                <w:highlight w:val="none"/>
              </w:rPr>
            </w:pPr>
            <w:r>
              <w:rPr>
                <w:spacing w:val="-3"/>
                <w:highlight w:val="none"/>
              </w:rPr>
              <w:t>撤离）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2252" w:type="dxa"/>
            <w:tcBorders>
              <w:left w:val="single" w:color="000000" w:sz="10" w:space="0"/>
            </w:tcBorders>
            <w:vAlign w:val="center"/>
          </w:tcPr>
          <w:p>
            <w:pPr>
              <w:pStyle w:val="17"/>
              <w:spacing w:before="78" w:line="220" w:lineRule="auto"/>
              <w:ind w:left="283"/>
              <w:jc w:val="center"/>
              <w:rPr>
                <w:rFonts w:hint="eastAsia"/>
                <w:highlight w:val="none"/>
                <w:lang w:eastAsia="zh-CN"/>
              </w:rPr>
            </w:pPr>
            <w:r>
              <w:rPr>
                <w:rFonts w:hint="eastAsia"/>
                <w:highlight w:val="none"/>
                <w:lang w:eastAsia="zh-CN"/>
              </w:rPr>
              <w:t>项目经理备选人</w:t>
            </w:r>
          </w:p>
        </w:tc>
        <w:tc>
          <w:tcPr>
            <w:tcW w:w="1090" w:type="dxa"/>
            <w:tcBorders>
              <w:bottom w:val="single" w:color="000000" w:sz="10" w:space="0"/>
              <w:right w:val="single" w:color="auto" w:sz="4" w:space="0"/>
            </w:tcBorders>
            <w:vAlign w:val="center"/>
          </w:tcPr>
          <w:p>
            <w:pPr>
              <w:pStyle w:val="17"/>
              <w:spacing w:before="78" w:line="184" w:lineRule="auto"/>
              <w:ind w:left="503"/>
              <w:jc w:val="both"/>
              <w:rPr>
                <w:rFonts w:hint="eastAsia"/>
                <w:highlight w:val="none"/>
                <w:lang w:eastAsia="zh-CN"/>
              </w:rPr>
            </w:pPr>
            <w:r>
              <w:rPr>
                <w:rFonts w:hint="eastAsia"/>
                <w:highlight w:val="none"/>
                <w:lang w:eastAsia="zh-CN"/>
              </w:rPr>
              <w:t>1</w:t>
            </w:r>
          </w:p>
        </w:tc>
        <w:tc>
          <w:tcPr>
            <w:tcW w:w="2797" w:type="dxa"/>
            <w:vMerge w:val="continue"/>
            <w:tcBorders>
              <w:left w:val="single" w:color="auto" w:sz="4" w:space="0"/>
              <w:bottom w:val="single" w:color="auto" w:sz="4" w:space="0"/>
              <w:right w:val="single" w:color="auto" w:sz="4" w:space="0"/>
            </w:tcBorders>
            <w:vAlign w:val="top"/>
          </w:tcPr>
          <w:p>
            <w:pPr>
              <w:pStyle w:val="17"/>
              <w:spacing w:line="218" w:lineRule="auto"/>
              <w:ind w:left="120"/>
              <w:rPr>
                <w:rFonts w:hint="eastAsia"/>
                <w:highlight w:val="yellow"/>
              </w:rPr>
            </w:pPr>
          </w:p>
        </w:tc>
        <w:tc>
          <w:tcPr>
            <w:tcW w:w="2808"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highlight w:val="gree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2252" w:type="dxa"/>
            <w:tcBorders>
              <w:left w:val="single" w:color="000000" w:sz="10" w:space="0"/>
            </w:tcBorders>
            <w:vAlign w:val="center"/>
          </w:tcPr>
          <w:p>
            <w:pPr>
              <w:pStyle w:val="17"/>
              <w:spacing w:before="78" w:line="220" w:lineRule="auto"/>
              <w:ind w:left="283"/>
              <w:jc w:val="center"/>
              <w:rPr>
                <w:rFonts w:hint="eastAsia"/>
                <w:highlight w:val="none"/>
                <w:lang w:eastAsia="zh-CN"/>
              </w:rPr>
            </w:pPr>
            <w:r>
              <w:rPr>
                <w:rFonts w:hint="eastAsia"/>
                <w:highlight w:val="none"/>
                <w:lang w:eastAsia="zh-CN"/>
              </w:rPr>
              <w:t>项目总工</w:t>
            </w:r>
          </w:p>
        </w:tc>
        <w:tc>
          <w:tcPr>
            <w:tcW w:w="1090" w:type="dxa"/>
            <w:tcBorders>
              <w:bottom w:val="single" w:color="000000" w:sz="10" w:space="0"/>
              <w:right w:val="single" w:color="auto" w:sz="4" w:space="0"/>
            </w:tcBorders>
            <w:vAlign w:val="center"/>
          </w:tcPr>
          <w:p>
            <w:pPr>
              <w:pStyle w:val="17"/>
              <w:spacing w:before="78" w:line="184" w:lineRule="auto"/>
              <w:ind w:left="503"/>
              <w:jc w:val="both"/>
              <w:rPr>
                <w:rFonts w:hint="eastAsia"/>
                <w:highlight w:val="none"/>
                <w:lang w:eastAsia="zh-CN"/>
              </w:rPr>
            </w:pPr>
            <w:r>
              <w:rPr>
                <w:rFonts w:hint="eastAsia"/>
                <w:highlight w:val="none"/>
                <w:lang w:eastAsia="zh-CN"/>
              </w:rPr>
              <w:t>1</w:t>
            </w:r>
          </w:p>
        </w:tc>
        <w:tc>
          <w:tcPr>
            <w:tcW w:w="2797" w:type="dxa"/>
            <w:vMerge w:val="restart"/>
            <w:tcBorders>
              <w:top w:val="single" w:color="auto" w:sz="4" w:space="0"/>
              <w:left w:val="single" w:color="auto" w:sz="4" w:space="0"/>
              <w:right w:val="single" w:color="auto" w:sz="4" w:space="0"/>
            </w:tcBorders>
            <w:vAlign w:val="center"/>
          </w:tcPr>
          <w:p>
            <w:pPr>
              <w:pStyle w:val="17"/>
              <w:spacing w:line="218" w:lineRule="auto"/>
              <w:ind w:left="120"/>
              <w:jc w:val="center"/>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路桥相关专业高级工程</w:t>
            </w:r>
          </w:p>
          <w:p>
            <w:pPr>
              <w:pStyle w:val="17"/>
              <w:spacing w:line="218" w:lineRule="auto"/>
              <w:ind w:left="120"/>
              <w:jc w:val="center"/>
              <w:rPr>
                <w:rFonts w:hint="eastAsia" w:ascii="宋体" w:hAnsi="宋体"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师，主管类似工程技术工</w:t>
            </w:r>
          </w:p>
          <w:p>
            <w:pPr>
              <w:pStyle w:val="17"/>
              <w:spacing w:line="218" w:lineRule="auto"/>
              <w:jc w:val="both"/>
              <w:rPr>
                <w:rFonts w:hint="eastAsia"/>
                <w:highlight w:val="yellow"/>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作岗位累计</w:t>
            </w:r>
            <w:r>
              <w:rPr>
                <w:rFonts w:hint="eastAsia" w:cs="宋体"/>
                <w:color w:val="000000" w:themeColor="text1"/>
                <w:kern w:val="2"/>
                <w:sz w:val="24"/>
                <w:szCs w:val="24"/>
                <w:lang w:val="en-US" w:eastAsia="zh-CN" w:bidi="ar"/>
                <w14:textFill>
                  <w14:solidFill>
                    <w14:schemeClr w14:val="tx1"/>
                  </w14:solidFill>
                </w14:textFill>
              </w:rPr>
              <w:t>24</w:t>
            </w:r>
            <w:r>
              <w:rPr>
                <w:rFonts w:hint="eastAsia" w:ascii="宋体" w:hAnsi="宋体" w:eastAsia="宋体" w:cs="宋体"/>
                <w:color w:val="000000" w:themeColor="text1"/>
                <w:kern w:val="2"/>
                <w:sz w:val="24"/>
                <w:szCs w:val="24"/>
                <w:lang w:val="en-US" w:eastAsia="zh-CN" w:bidi="ar"/>
                <w14:textFill>
                  <w14:solidFill>
                    <w14:schemeClr w14:val="tx1"/>
                  </w14:solidFill>
                </w14:textFill>
              </w:rPr>
              <w:t>个月，具有交通主管部门颁发的有效安全生产“三类人员”B 类证书。</w:t>
            </w:r>
          </w:p>
        </w:tc>
        <w:tc>
          <w:tcPr>
            <w:tcW w:w="2808"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highlight w:val="gree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2252" w:type="dxa"/>
            <w:tcBorders>
              <w:left w:val="single" w:color="000000" w:sz="10" w:space="0"/>
            </w:tcBorders>
            <w:vAlign w:val="center"/>
          </w:tcPr>
          <w:p>
            <w:pPr>
              <w:pStyle w:val="17"/>
              <w:spacing w:before="159" w:line="220" w:lineRule="auto"/>
              <w:ind w:left="0" w:leftChars="0" w:firstLine="0" w:firstLineChars="0"/>
              <w:jc w:val="center"/>
              <w:rPr>
                <w:spacing w:val="-4"/>
                <w:highlight w:val="none"/>
              </w:rPr>
            </w:pPr>
            <w:r>
              <w:rPr>
                <w:spacing w:val="-4"/>
                <w:highlight w:val="none"/>
              </w:rPr>
              <w:t>项目总工</w:t>
            </w:r>
            <w:r>
              <w:rPr>
                <w:rFonts w:hint="eastAsia"/>
                <w:spacing w:val="-4"/>
                <w:highlight w:val="none"/>
                <w:lang w:eastAsia="zh-CN"/>
              </w:rPr>
              <w:t>备选人</w:t>
            </w:r>
          </w:p>
          <w:p>
            <w:pPr>
              <w:pStyle w:val="17"/>
              <w:spacing w:before="78" w:line="220" w:lineRule="auto"/>
              <w:ind w:left="283"/>
              <w:jc w:val="center"/>
              <w:rPr>
                <w:highlight w:val="none"/>
              </w:rPr>
            </w:pPr>
          </w:p>
        </w:tc>
        <w:tc>
          <w:tcPr>
            <w:tcW w:w="1090" w:type="dxa"/>
            <w:tcBorders>
              <w:bottom w:val="single" w:color="000000" w:sz="10" w:space="0"/>
              <w:right w:val="single" w:color="auto" w:sz="4" w:space="0"/>
            </w:tcBorders>
            <w:vAlign w:val="center"/>
          </w:tcPr>
          <w:p>
            <w:pPr>
              <w:pStyle w:val="17"/>
              <w:spacing w:before="195" w:line="184" w:lineRule="auto"/>
              <w:ind w:left="503"/>
              <w:jc w:val="both"/>
              <w:rPr>
                <w:highlight w:val="none"/>
              </w:rPr>
            </w:pPr>
            <w:r>
              <w:rPr>
                <w:highlight w:val="none"/>
              </w:rPr>
              <w:t>1</w:t>
            </w:r>
          </w:p>
          <w:p>
            <w:pPr>
              <w:pStyle w:val="17"/>
              <w:spacing w:before="78" w:line="184" w:lineRule="auto"/>
              <w:ind w:left="503"/>
              <w:jc w:val="center"/>
              <w:rPr>
                <w:highlight w:val="none"/>
              </w:rPr>
            </w:pPr>
          </w:p>
        </w:tc>
        <w:tc>
          <w:tcPr>
            <w:tcW w:w="2797" w:type="dxa"/>
            <w:vMerge w:val="continue"/>
            <w:tcBorders>
              <w:left w:val="single" w:color="auto" w:sz="4" w:space="0"/>
              <w:bottom w:val="single" w:color="auto" w:sz="4" w:space="0"/>
              <w:right w:val="single" w:color="auto" w:sz="4" w:space="0"/>
            </w:tcBorders>
            <w:vAlign w:val="top"/>
          </w:tcPr>
          <w:p>
            <w:pPr>
              <w:pStyle w:val="17"/>
              <w:spacing w:line="218" w:lineRule="auto"/>
              <w:ind w:left="120"/>
              <w:rPr>
                <w:highlight w:val="green"/>
              </w:rPr>
            </w:pPr>
          </w:p>
        </w:tc>
        <w:tc>
          <w:tcPr>
            <w:tcW w:w="2808"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highlight w:val="green"/>
              </w:rPr>
            </w:pPr>
          </w:p>
        </w:tc>
      </w:tr>
    </w:tbl>
    <w:p>
      <w:pPr>
        <w:spacing w:before="304" w:line="226" w:lineRule="auto"/>
        <w:ind w:left="7"/>
        <w:rPr>
          <w:rFonts w:ascii="宋体" w:hAnsi="宋体" w:eastAsia="宋体" w:cs="宋体"/>
          <w:sz w:val="20"/>
          <w:szCs w:val="20"/>
        </w:rPr>
      </w:pPr>
      <w:r>
        <w:rPr>
          <w:rFonts w:ascii="宋体" w:hAnsi="宋体" w:eastAsia="宋体" w:cs="宋体"/>
          <w:spacing w:val="9"/>
          <w:sz w:val="20"/>
          <w:szCs w:val="20"/>
        </w:rPr>
        <w:t>注：</w:t>
      </w:r>
    </w:p>
    <w:p>
      <w:pPr>
        <w:spacing w:before="27"/>
        <w:ind w:left="13" w:right="89" w:firstLine="416"/>
        <w:rPr>
          <w:rFonts w:ascii="宋体" w:hAnsi="宋体" w:eastAsia="宋体" w:cs="宋体"/>
          <w:sz w:val="20"/>
          <w:szCs w:val="20"/>
        </w:rPr>
      </w:pPr>
      <w:r>
        <w:rPr>
          <w:rFonts w:hint="eastAsia" w:ascii="宋体" w:hAnsi="宋体" w:eastAsia="宋体" w:cs="宋体"/>
          <w:spacing w:val="7"/>
          <w:sz w:val="20"/>
          <w:szCs w:val="20"/>
          <w:lang w:val="en-US" w:eastAsia="zh-CN"/>
        </w:rPr>
        <w:t>1</w:t>
      </w:r>
      <w:r>
        <w:rPr>
          <w:rFonts w:ascii="宋体" w:hAnsi="宋体" w:eastAsia="宋体" w:cs="宋体"/>
          <w:spacing w:val="7"/>
          <w:sz w:val="20"/>
          <w:szCs w:val="20"/>
        </w:rPr>
        <w:t>、资格要求的人员建造师注册证书、安全生产“三类人员</w:t>
      </w:r>
      <w:r>
        <w:rPr>
          <w:rFonts w:ascii="宋体" w:hAnsi="宋体" w:eastAsia="宋体" w:cs="宋体"/>
          <w:spacing w:val="-58"/>
          <w:sz w:val="20"/>
          <w:szCs w:val="20"/>
        </w:rPr>
        <w:t xml:space="preserve"> </w:t>
      </w:r>
      <w:r>
        <w:rPr>
          <w:rFonts w:ascii="宋体" w:hAnsi="宋体" w:eastAsia="宋体" w:cs="宋体"/>
          <w:spacing w:val="7"/>
          <w:sz w:val="20"/>
          <w:szCs w:val="20"/>
        </w:rPr>
        <w:t>”B</w:t>
      </w:r>
      <w:r>
        <w:rPr>
          <w:rFonts w:ascii="宋体" w:hAnsi="宋体" w:eastAsia="宋体" w:cs="宋体"/>
          <w:spacing w:val="-38"/>
          <w:sz w:val="20"/>
          <w:szCs w:val="20"/>
        </w:rPr>
        <w:t xml:space="preserve"> </w:t>
      </w:r>
      <w:r>
        <w:rPr>
          <w:rFonts w:ascii="宋体" w:hAnsi="宋体" w:eastAsia="宋体" w:cs="宋体"/>
          <w:spacing w:val="7"/>
          <w:sz w:val="20"/>
          <w:szCs w:val="20"/>
        </w:rPr>
        <w:t>类证书均应在投标人所在单位，</w:t>
      </w:r>
      <w:r>
        <w:rPr>
          <w:rFonts w:ascii="宋体" w:hAnsi="宋体" w:eastAsia="宋体" w:cs="宋体"/>
          <w:sz w:val="20"/>
          <w:szCs w:val="20"/>
        </w:rPr>
        <w:t xml:space="preserve"> </w:t>
      </w:r>
      <w:r>
        <w:rPr>
          <w:rFonts w:ascii="宋体" w:hAnsi="宋体" w:eastAsia="宋体" w:cs="宋体"/>
          <w:spacing w:val="6"/>
          <w:sz w:val="20"/>
          <w:szCs w:val="20"/>
        </w:rPr>
        <w:t>否则视为无效。</w:t>
      </w:r>
    </w:p>
    <w:p>
      <w:pPr>
        <w:spacing w:before="22" w:line="244" w:lineRule="auto"/>
        <w:ind w:left="9" w:firstLine="421"/>
        <w:rPr>
          <w:rFonts w:ascii="宋体" w:hAnsi="宋体" w:eastAsia="宋体" w:cs="宋体"/>
          <w:sz w:val="20"/>
          <w:szCs w:val="20"/>
        </w:rPr>
      </w:pPr>
      <w:r>
        <w:rPr>
          <w:rFonts w:hint="eastAsia" w:ascii="宋体" w:hAnsi="宋体" w:eastAsia="宋体" w:cs="宋体"/>
          <w:spacing w:val="9"/>
          <w:sz w:val="20"/>
          <w:szCs w:val="20"/>
          <w:lang w:val="en-US" w:eastAsia="zh-CN"/>
        </w:rPr>
        <w:t>2</w:t>
      </w:r>
      <w:r>
        <w:rPr>
          <w:rFonts w:ascii="宋体" w:hAnsi="宋体" w:eastAsia="宋体" w:cs="宋体"/>
          <w:spacing w:val="9"/>
          <w:sz w:val="20"/>
          <w:szCs w:val="20"/>
        </w:rPr>
        <w:t>、主管技术工作指：担任过项目经理、项目副经理、总工程师、质检部门负责人、工程部门负</w:t>
      </w:r>
      <w:r>
        <w:rPr>
          <w:rFonts w:ascii="宋体" w:hAnsi="宋体" w:eastAsia="宋体" w:cs="宋体"/>
          <w:spacing w:val="8"/>
          <w:sz w:val="20"/>
          <w:szCs w:val="20"/>
        </w:rPr>
        <w:t xml:space="preserve"> </w:t>
      </w:r>
      <w:r>
        <w:rPr>
          <w:rFonts w:ascii="宋体" w:hAnsi="宋体" w:eastAsia="宋体" w:cs="宋体"/>
          <w:spacing w:val="9"/>
          <w:sz w:val="20"/>
          <w:szCs w:val="20"/>
        </w:rPr>
        <w:t>责人。担任类似工程项目经理（或项目副经理或项目总工）</w:t>
      </w:r>
      <w:r>
        <w:rPr>
          <w:rFonts w:ascii="宋体" w:hAnsi="宋体" w:eastAsia="宋体" w:cs="宋体"/>
          <w:spacing w:val="-58"/>
          <w:sz w:val="20"/>
          <w:szCs w:val="20"/>
        </w:rPr>
        <w:t xml:space="preserve"> </w:t>
      </w:r>
      <w:r>
        <w:rPr>
          <w:rFonts w:ascii="宋体" w:hAnsi="宋体" w:eastAsia="宋体" w:cs="宋体"/>
          <w:spacing w:val="9"/>
          <w:sz w:val="20"/>
          <w:szCs w:val="20"/>
        </w:rPr>
        <w:t>岗位经验累</w:t>
      </w:r>
      <w:r>
        <w:rPr>
          <w:rFonts w:ascii="宋体" w:hAnsi="宋体" w:eastAsia="宋体" w:cs="宋体"/>
          <w:spacing w:val="8"/>
          <w:sz w:val="20"/>
          <w:szCs w:val="20"/>
        </w:rPr>
        <w:t>计时间、主管类似工程技术</w:t>
      </w:r>
      <w:r>
        <w:rPr>
          <w:rFonts w:ascii="宋体" w:hAnsi="宋体" w:eastAsia="宋体" w:cs="宋体"/>
          <w:sz w:val="20"/>
          <w:szCs w:val="20"/>
        </w:rPr>
        <w:t xml:space="preserve">  </w:t>
      </w:r>
      <w:r>
        <w:rPr>
          <w:rFonts w:ascii="宋体" w:hAnsi="宋体" w:eastAsia="宋体" w:cs="宋体"/>
          <w:spacing w:val="6"/>
          <w:sz w:val="20"/>
          <w:szCs w:val="20"/>
        </w:rPr>
        <w:t>工作岗位经验累计时间统计至月，计算时尾数如不少于</w:t>
      </w:r>
      <w:r>
        <w:rPr>
          <w:rFonts w:ascii="宋体" w:hAnsi="宋体" w:eastAsia="宋体" w:cs="宋体"/>
          <w:spacing w:val="-3"/>
          <w:sz w:val="20"/>
          <w:szCs w:val="20"/>
        </w:rPr>
        <w:t xml:space="preserve"> </w:t>
      </w:r>
      <w:r>
        <w:rPr>
          <w:rFonts w:ascii="宋体" w:hAnsi="宋体" w:eastAsia="宋体" w:cs="宋体"/>
          <w:spacing w:val="6"/>
          <w:sz w:val="20"/>
          <w:szCs w:val="20"/>
        </w:rPr>
        <w:t>15</w:t>
      </w:r>
      <w:r>
        <w:rPr>
          <w:rFonts w:ascii="宋体" w:hAnsi="宋体" w:eastAsia="宋体" w:cs="宋体"/>
          <w:spacing w:val="-34"/>
          <w:sz w:val="20"/>
          <w:szCs w:val="20"/>
        </w:rPr>
        <w:t xml:space="preserve"> </w:t>
      </w:r>
      <w:r>
        <w:rPr>
          <w:rFonts w:ascii="宋体" w:hAnsi="宋体" w:eastAsia="宋体" w:cs="宋体"/>
          <w:spacing w:val="6"/>
          <w:sz w:val="20"/>
          <w:szCs w:val="20"/>
        </w:rPr>
        <w:t>天的按</w:t>
      </w:r>
      <w:r>
        <w:rPr>
          <w:rFonts w:ascii="宋体" w:hAnsi="宋体" w:eastAsia="宋体" w:cs="宋体"/>
          <w:spacing w:val="-24"/>
          <w:sz w:val="20"/>
          <w:szCs w:val="20"/>
        </w:rPr>
        <w:t xml:space="preserve"> </w:t>
      </w:r>
      <w:r>
        <w:rPr>
          <w:rFonts w:ascii="宋体" w:hAnsi="宋体" w:eastAsia="宋体" w:cs="宋体"/>
          <w:spacing w:val="6"/>
          <w:sz w:val="20"/>
          <w:szCs w:val="20"/>
        </w:rPr>
        <w:t>1</w:t>
      </w:r>
      <w:r>
        <w:rPr>
          <w:rFonts w:ascii="宋体" w:hAnsi="宋体" w:eastAsia="宋体" w:cs="宋体"/>
          <w:spacing w:val="-37"/>
          <w:sz w:val="20"/>
          <w:szCs w:val="20"/>
        </w:rPr>
        <w:t xml:space="preserve"> </w:t>
      </w:r>
      <w:r>
        <w:rPr>
          <w:rFonts w:ascii="宋体" w:hAnsi="宋体" w:eastAsia="宋体" w:cs="宋体"/>
          <w:spacing w:val="6"/>
          <w:sz w:val="20"/>
          <w:szCs w:val="20"/>
        </w:rPr>
        <w:t>个月计，不足</w:t>
      </w:r>
      <w:r>
        <w:rPr>
          <w:rFonts w:ascii="宋体" w:hAnsi="宋体" w:eastAsia="宋体" w:cs="宋体"/>
          <w:spacing w:val="-24"/>
          <w:sz w:val="20"/>
          <w:szCs w:val="20"/>
        </w:rPr>
        <w:t xml:space="preserve"> </w:t>
      </w:r>
      <w:r>
        <w:rPr>
          <w:rFonts w:ascii="宋体" w:hAnsi="宋体" w:eastAsia="宋体" w:cs="宋体"/>
          <w:spacing w:val="6"/>
          <w:sz w:val="20"/>
          <w:szCs w:val="20"/>
        </w:rPr>
        <w:t>15</w:t>
      </w:r>
      <w:r>
        <w:rPr>
          <w:rFonts w:ascii="宋体" w:hAnsi="宋体" w:eastAsia="宋体" w:cs="宋体"/>
          <w:spacing w:val="-34"/>
          <w:sz w:val="20"/>
          <w:szCs w:val="20"/>
        </w:rPr>
        <w:t xml:space="preserve"> </w:t>
      </w:r>
      <w:r>
        <w:rPr>
          <w:rFonts w:ascii="宋体" w:hAnsi="宋体" w:eastAsia="宋体" w:cs="宋体"/>
          <w:spacing w:val="6"/>
          <w:sz w:val="20"/>
          <w:szCs w:val="20"/>
        </w:rPr>
        <w:t>天部分不计。</w:t>
      </w:r>
    </w:p>
    <w:p>
      <w:pPr>
        <w:spacing w:before="24" w:line="227" w:lineRule="auto"/>
        <w:ind w:left="426"/>
        <w:rPr>
          <w:rFonts w:ascii="宋体" w:hAnsi="宋体" w:eastAsia="宋体" w:cs="宋体"/>
          <w:sz w:val="20"/>
          <w:szCs w:val="20"/>
        </w:rPr>
      </w:pPr>
      <w:r>
        <w:rPr>
          <w:rFonts w:hint="eastAsia" w:ascii="宋体" w:hAnsi="宋体" w:eastAsia="宋体" w:cs="宋体"/>
          <w:spacing w:val="8"/>
          <w:sz w:val="20"/>
          <w:szCs w:val="20"/>
          <w:lang w:val="en-US" w:eastAsia="zh-CN"/>
        </w:rPr>
        <w:t>3</w:t>
      </w:r>
      <w:r>
        <w:rPr>
          <w:rFonts w:ascii="宋体" w:hAnsi="宋体" w:eastAsia="宋体" w:cs="宋体"/>
          <w:spacing w:val="8"/>
          <w:sz w:val="20"/>
          <w:szCs w:val="20"/>
        </w:rPr>
        <w:t>、投标人应根据招标文件第二章“投标人</w:t>
      </w:r>
      <w:r>
        <w:rPr>
          <w:rFonts w:ascii="宋体" w:hAnsi="宋体" w:eastAsia="宋体" w:cs="宋体"/>
          <w:spacing w:val="7"/>
          <w:sz w:val="20"/>
          <w:szCs w:val="20"/>
        </w:rPr>
        <w:t>须知</w:t>
      </w:r>
      <w:r>
        <w:rPr>
          <w:rFonts w:ascii="宋体" w:hAnsi="宋体" w:eastAsia="宋体" w:cs="宋体"/>
          <w:spacing w:val="-72"/>
          <w:sz w:val="20"/>
          <w:szCs w:val="20"/>
        </w:rPr>
        <w:t xml:space="preserve"> </w:t>
      </w:r>
      <w:r>
        <w:rPr>
          <w:rFonts w:ascii="宋体" w:hAnsi="宋体" w:eastAsia="宋体" w:cs="宋体"/>
          <w:spacing w:val="7"/>
          <w:sz w:val="20"/>
          <w:szCs w:val="20"/>
        </w:rPr>
        <w:t>”第</w:t>
      </w:r>
      <w:r>
        <w:rPr>
          <w:rFonts w:ascii="宋体" w:hAnsi="宋体" w:eastAsia="宋体" w:cs="宋体"/>
          <w:spacing w:val="-36"/>
          <w:sz w:val="20"/>
          <w:szCs w:val="20"/>
        </w:rPr>
        <w:t xml:space="preserve"> </w:t>
      </w:r>
      <w:r>
        <w:rPr>
          <w:rFonts w:ascii="宋体" w:hAnsi="宋体" w:eastAsia="宋体" w:cs="宋体"/>
          <w:spacing w:val="7"/>
          <w:sz w:val="20"/>
          <w:szCs w:val="20"/>
        </w:rPr>
        <w:t>3.5.5</w:t>
      </w:r>
      <w:r>
        <w:rPr>
          <w:rFonts w:ascii="宋体" w:hAnsi="宋体" w:eastAsia="宋体" w:cs="宋体"/>
          <w:spacing w:val="-34"/>
          <w:sz w:val="20"/>
          <w:szCs w:val="20"/>
        </w:rPr>
        <w:t xml:space="preserve"> </w:t>
      </w:r>
      <w:r>
        <w:rPr>
          <w:rFonts w:ascii="宋体" w:hAnsi="宋体" w:eastAsia="宋体" w:cs="宋体"/>
          <w:spacing w:val="7"/>
          <w:sz w:val="20"/>
          <w:szCs w:val="20"/>
        </w:rPr>
        <w:t>项的要求附相关证明材料。</w:t>
      </w:r>
    </w:p>
    <w:p>
      <w:pPr>
        <w:spacing w:line="317" w:lineRule="auto"/>
        <w:rPr>
          <w:rFonts w:ascii="Arial"/>
          <w:sz w:val="21"/>
        </w:rPr>
      </w:pPr>
    </w:p>
    <w:p>
      <w:pPr>
        <w:spacing w:line="317" w:lineRule="auto"/>
        <w:rPr>
          <w:rFonts w:ascii="Arial"/>
          <w:sz w:val="21"/>
        </w:rPr>
      </w:pPr>
    </w:p>
    <w:p>
      <w:pPr>
        <w:pStyle w:val="3"/>
        <w:numPr>
          <w:ilvl w:val="0"/>
          <w:numId w:val="0"/>
        </w:numPr>
        <w:ind w:leftChars="0"/>
        <w:jc w:val="both"/>
      </w:pPr>
    </w:p>
    <w:p/>
    <w:p>
      <w:pPr>
        <w:spacing w:line="274" w:lineRule="auto"/>
        <w:rPr>
          <w:rFonts w:ascii="Arial"/>
          <w:sz w:val="21"/>
        </w:rPr>
      </w:pPr>
    </w:p>
    <w:p>
      <w:pPr>
        <w:spacing w:line="274" w:lineRule="auto"/>
        <w:rPr>
          <w:rFonts w:ascii="Arial"/>
          <w:sz w:val="21"/>
        </w:rPr>
      </w:pPr>
    </w:p>
    <w:p>
      <w:pPr>
        <w:spacing w:before="91" w:line="219" w:lineRule="auto"/>
        <w:ind w:left="857"/>
        <w:rPr>
          <w:rFonts w:ascii="宋体" w:hAnsi="宋体" w:eastAsia="宋体" w:cs="宋体"/>
          <w:spacing w:val="1"/>
          <w:sz w:val="28"/>
          <w:szCs w:val="28"/>
          <w14:textOutline w14:w="5103" w14:cap="sq" w14:cmpd="sng">
            <w14:solidFill>
              <w14:srgbClr w14:val="000000"/>
            </w14:solidFill>
            <w14:prstDash w14:val="solid"/>
            <w14:bevel/>
          </w14:textOutline>
        </w:rPr>
      </w:pPr>
    </w:p>
    <w:p>
      <w:pPr>
        <w:pStyle w:val="3"/>
        <w:numPr>
          <w:ilvl w:val="0"/>
          <w:numId w:val="0"/>
        </w:numPr>
        <w:ind w:leftChars="0"/>
        <w:jc w:val="both"/>
      </w:pPr>
    </w:p>
    <w:p/>
    <w:p/>
    <w:p/>
    <w:p/>
    <w:p/>
    <w:p>
      <w:pPr>
        <w:spacing w:before="91" w:line="219" w:lineRule="auto"/>
        <w:ind w:left="857"/>
        <w:rPr>
          <w:rFonts w:ascii="宋体" w:hAnsi="宋体" w:eastAsia="宋体" w:cs="宋体"/>
          <w:spacing w:val="1"/>
          <w:sz w:val="28"/>
          <w:szCs w:val="28"/>
          <w14:textOutline w14:w="5103" w14:cap="sq" w14:cmpd="sng">
            <w14:solidFill>
              <w14:srgbClr w14:val="000000"/>
            </w14:solidFill>
            <w14:prstDash w14:val="solid"/>
            <w14:bevel/>
          </w14:textOutline>
        </w:rPr>
      </w:pPr>
    </w:p>
    <w:p>
      <w:pPr>
        <w:spacing w:before="91" w:line="219" w:lineRule="auto"/>
        <w:ind w:left="857"/>
      </w:pPr>
      <w:r>
        <w:rPr>
          <w:rFonts w:ascii="宋体" w:hAnsi="宋体" w:eastAsia="宋体" w:cs="宋体"/>
          <w:spacing w:val="1"/>
          <w:sz w:val="28"/>
          <w:szCs w:val="28"/>
          <w14:textOutline w14:w="5103" w14:cap="sq" w14:cmpd="sng">
            <w14:solidFill>
              <w14:srgbClr w14:val="000000"/>
            </w14:solidFill>
            <w14:prstDash w14:val="solid"/>
            <w14:bevel/>
          </w14:textOutline>
        </w:rPr>
        <w:t>附录</w:t>
      </w:r>
      <w:r>
        <w:rPr>
          <w:rFonts w:ascii="宋体" w:hAnsi="宋体" w:eastAsia="宋体" w:cs="宋体"/>
          <w:spacing w:val="-45"/>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6</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资格审查条件(其他管理人员和技术人员最低要求)</w:t>
      </w:r>
    </w:p>
    <w:p>
      <w:pPr>
        <w:spacing w:line="170" w:lineRule="exact"/>
      </w:pPr>
    </w:p>
    <w:tbl>
      <w:tblPr>
        <w:tblStyle w:val="16"/>
        <w:tblW w:w="8924" w:type="dxa"/>
        <w:tblInd w:w="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9"/>
        <w:gridCol w:w="715"/>
        <w:gridCol w:w="57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499" w:type="dxa"/>
            <w:tcBorders>
              <w:top w:val="single" w:color="000000" w:sz="10" w:space="0"/>
              <w:left w:val="single" w:color="000000" w:sz="10" w:space="0"/>
            </w:tcBorders>
            <w:vAlign w:val="top"/>
          </w:tcPr>
          <w:p>
            <w:pPr>
              <w:pStyle w:val="17"/>
              <w:spacing w:before="248" w:line="221" w:lineRule="auto"/>
              <w:ind w:left="887"/>
            </w:pPr>
            <w:r>
              <w:rPr>
                <w:spacing w:val="-6"/>
              </w:rPr>
              <w:t>人</w:t>
            </w:r>
            <w:r>
              <w:rPr>
                <w:spacing w:val="9"/>
              </w:rPr>
              <w:t xml:space="preserve">  </w:t>
            </w:r>
            <w:r>
              <w:rPr>
                <w:spacing w:val="-6"/>
              </w:rPr>
              <w:t>员</w:t>
            </w:r>
          </w:p>
        </w:tc>
        <w:tc>
          <w:tcPr>
            <w:tcW w:w="715" w:type="dxa"/>
            <w:tcBorders>
              <w:top w:val="single" w:color="000000" w:sz="10" w:space="0"/>
            </w:tcBorders>
            <w:vAlign w:val="top"/>
          </w:tcPr>
          <w:p>
            <w:pPr>
              <w:pStyle w:val="17"/>
              <w:spacing w:before="249" w:line="219" w:lineRule="auto"/>
              <w:ind w:left="121"/>
            </w:pPr>
            <w:r>
              <w:rPr>
                <w:spacing w:val="-6"/>
              </w:rPr>
              <w:t>数量</w:t>
            </w:r>
          </w:p>
        </w:tc>
        <w:tc>
          <w:tcPr>
            <w:tcW w:w="5710" w:type="dxa"/>
            <w:tcBorders>
              <w:top w:val="single" w:color="000000" w:sz="10" w:space="0"/>
              <w:right w:val="single" w:color="000000" w:sz="10" w:space="0"/>
            </w:tcBorders>
            <w:vAlign w:val="top"/>
          </w:tcPr>
          <w:p>
            <w:pPr>
              <w:pStyle w:val="17"/>
              <w:spacing w:before="249" w:line="219" w:lineRule="auto"/>
              <w:ind w:left="2208"/>
            </w:pPr>
            <w:r>
              <w:rPr>
                <w:spacing w:val="-10"/>
              </w:rPr>
              <w:t>资</w:t>
            </w:r>
            <w:r>
              <w:rPr>
                <w:spacing w:val="9"/>
              </w:rPr>
              <w:t xml:space="preserve"> </w:t>
            </w:r>
            <w:r>
              <w:rPr>
                <w:spacing w:val="-10"/>
              </w:rPr>
              <w:t>格</w:t>
            </w:r>
            <w:r>
              <w:rPr>
                <w:spacing w:val="10"/>
              </w:rPr>
              <w:t xml:space="preserve"> </w:t>
            </w:r>
            <w:r>
              <w:rPr>
                <w:spacing w:val="-10"/>
              </w:rPr>
              <w:t>要</w:t>
            </w:r>
            <w:r>
              <w:rPr>
                <w:spacing w:val="11"/>
              </w:rPr>
              <w:t xml:space="preserve"> </w:t>
            </w:r>
            <w:r>
              <w:rPr>
                <w:spacing w:val="-10"/>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2499" w:type="dxa"/>
            <w:tcBorders>
              <w:left w:val="single" w:color="000000" w:sz="10" w:space="0"/>
            </w:tcBorders>
            <w:vAlign w:val="top"/>
          </w:tcPr>
          <w:p>
            <w:pPr>
              <w:pStyle w:val="17"/>
              <w:spacing w:before="203" w:line="219" w:lineRule="auto"/>
              <w:ind w:left="646"/>
            </w:pPr>
            <w:r>
              <w:rPr>
                <w:spacing w:val="-3"/>
              </w:rPr>
              <w:t>质检工程师</w:t>
            </w:r>
          </w:p>
        </w:tc>
        <w:tc>
          <w:tcPr>
            <w:tcW w:w="715" w:type="dxa"/>
            <w:vAlign w:val="center"/>
          </w:tcPr>
          <w:p>
            <w:pPr>
              <w:jc w:val="center"/>
              <w:rPr>
                <w:rFonts w:hint="eastAsia" w:ascii="Arial" w:eastAsia="宋体"/>
                <w:sz w:val="21"/>
                <w:lang w:val="en-US" w:eastAsia="zh-CN"/>
              </w:rPr>
            </w:pPr>
            <w:r>
              <w:rPr>
                <w:rFonts w:hint="eastAsia" w:eastAsia="宋体"/>
                <w:sz w:val="21"/>
                <w:lang w:val="en-US" w:eastAsia="zh-CN"/>
              </w:rPr>
              <w:t>1</w:t>
            </w:r>
          </w:p>
        </w:tc>
        <w:tc>
          <w:tcPr>
            <w:tcW w:w="5710" w:type="dxa"/>
            <w:tcBorders>
              <w:right w:val="single" w:color="000000" w:sz="10" w:space="0"/>
            </w:tcBorders>
            <w:vAlign w:val="top"/>
          </w:tcPr>
          <w:p>
            <w:pPr>
              <w:pStyle w:val="17"/>
              <w:spacing w:before="203" w:line="219" w:lineRule="auto"/>
              <w:ind w:left="112"/>
            </w:pPr>
            <w:r>
              <w:rPr>
                <w:rFonts w:hint="eastAsia"/>
                <w:spacing w:val="-2"/>
              </w:rPr>
              <w:t>路桥相关专业工程师，累计 3 年从事类似工程经验</w:t>
            </w:r>
            <w:r>
              <w:rPr>
                <w:spacing w:val="-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4" w:hRule="atLeast"/>
        </w:trPr>
        <w:tc>
          <w:tcPr>
            <w:tcW w:w="2499" w:type="dxa"/>
            <w:tcBorders>
              <w:left w:val="single" w:color="000000" w:sz="10" w:space="0"/>
            </w:tcBorders>
            <w:vAlign w:val="top"/>
          </w:tcPr>
          <w:p>
            <w:pPr>
              <w:spacing w:line="264" w:lineRule="auto"/>
              <w:rPr>
                <w:rFonts w:ascii="Arial"/>
                <w:sz w:val="21"/>
                <w:highlight w:val="none"/>
              </w:rPr>
            </w:pPr>
          </w:p>
          <w:p>
            <w:pPr>
              <w:spacing w:line="264" w:lineRule="auto"/>
              <w:rPr>
                <w:rFonts w:ascii="Arial"/>
                <w:sz w:val="21"/>
                <w:highlight w:val="none"/>
              </w:rPr>
            </w:pPr>
          </w:p>
          <w:p>
            <w:pPr>
              <w:spacing w:line="264" w:lineRule="auto"/>
              <w:rPr>
                <w:rFonts w:ascii="Arial"/>
                <w:sz w:val="21"/>
                <w:highlight w:val="none"/>
              </w:rPr>
            </w:pPr>
          </w:p>
          <w:p>
            <w:pPr>
              <w:spacing w:line="264" w:lineRule="auto"/>
              <w:rPr>
                <w:rFonts w:ascii="Arial"/>
                <w:sz w:val="21"/>
                <w:highlight w:val="none"/>
              </w:rPr>
            </w:pPr>
          </w:p>
          <w:p>
            <w:pPr>
              <w:pStyle w:val="17"/>
              <w:spacing w:before="78" w:line="219" w:lineRule="auto"/>
              <w:ind w:left="645"/>
              <w:rPr>
                <w:highlight w:val="none"/>
              </w:rPr>
            </w:pPr>
            <w:r>
              <w:rPr>
                <w:spacing w:val="-2"/>
                <w:highlight w:val="none"/>
              </w:rPr>
              <w:t>计划工程师</w:t>
            </w:r>
          </w:p>
        </w:tc>
        <w:tc>
          <w:tcPr>
            <w:tcW w:w="715" w:type="dxa"/>
            <w:vAlign w:val="center"/>
          </w:tcPr>
          <w:p>
            <w:pPr>
              <w:jc w:val="center"/>
              <w:rPr>
                <w:rFonts w:hint="eastAsia" w:ascii="Arial" w:eastAsia="宋体"/>
                <w:sz w:val="21"/>
                <w:highlight w:val="none"/>
                <w:lang w:val="en-US" w:eastAsia="zh-CN"/>
              </w:rPr>
            </w:pPr>
            <w:r>
              <w:rPr>
                <w:rFonts w:hint="eastAsia" w:eastAsia="宋体"/>
                <w:sz w:val="21"/>
                <w:highlight w:val="none"/>
                <w:lang w:val="en-US" w:eastAsia="zh-CN"/>
              </w:rPr>
              <w:t>1</w:t>
            </w:r>
          </w:p>
        </w:tc>
        <w:tc>
          <w:tcPr>
            <w:tcW w:w="5710" w:type="dxa"/>
            <w:tcBorders>
              <w:right w:val="single" w:color="000000" w:sz="10" w:space="0"/>
            </w:tcBorders>
            <w:vAlign w:val="top"/>
          </w:tcPr>
          <w:p>
            <w:pPr>
              <w:pStyle w:val="17"/>
              <w:spacing w:before="78" w:line="235" w:lineRule="auto"/>
              <w:ind w:left="112"/>
              <w:rPr>
                <w:highlight w:val="none"/>
              </w:rPr>
            </w:pPr>
            <w:r>
              <w:rPr>
                <w:rFonts w:hint="eastAsia"/>
                <w:spacing w:val="-3"/>
                <w:highlight w:val="none"/>
              </w:rPr>
              <w:t>路桥相关专业工程师，累计 3 年从事类似工程经验具有住房和城乡建设部颁发的注册造价工程师证书或造价工程师注册证(土木建筑工程专业)或交通运输部原交通部) 颁发的造价人员证书或造价工程师注册证(交通运输工程专业)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99" w:type="dxa"/>
            <w:tcBorders>
              <w:left w:val="single" w:color="000000" w:sz="10" w:space="0"/>
            </w:tcBorders>
            <w:vAlign w:val="top"/>
          </w:tcPr>
          <w:p>
            <w:pPr>
              <w:pStyle w:val="17"/>
              <w:spacing w:before="192" w:line="219" w:lineRule="auto"/>
              <w:ind w:left="644"/>
            </w:pPr>
            <w:r>
              <w:rPr>
                <w:spacing w:val="-2"/>
              </w:rPr>
              <w:t>道路工程师</w:t>
            </w:r>
          </w:p>
        </w:tc>
        <w:tc>
          <w:tcPr>
            <w:tcW w:w="715" w:type="dxa"/>
            <w:vAlign w:val="center"/>
          </w:tcPr>
          <w:p>
            <w:pPr>
              <w:jc w:val="center"/>
              <w:rPr>
                <w:rFonts w:hint="eastAsia" w:ascii="Arial" w:eastAsia="宋体"/>
                <w:sz w:val="21"/>
                <w:lang w:val="en-US" w:eastAsia="zh-CN"/>
              </w:rPr>
            </w:pPr>
            <w:r>
              <w:rPr>
                <w:rFonts w:hint="eastAsia" w:eastAsia="宋体"/>
                <w:sz w:val="21"/>
                <w:lang w:val="en-US" w:eastAsia="zh-CN"/>
              </w:rPr>
              <w:t>1</w:t>
            </w:r>
          </w:p>
        </w:tc>
        <w:tc>
          <w:tcPr>
            <w:tcW w:w="5710" w:type="dxa"/>
            <w:tcBorders>
              <w:right w:val="single" w:color="000000" w:sz="10" w:space="0"/>
            </w:tcBorders>
            <w:vAlign w:val="top"/>
          </w:tcPr>
          <w:p>
            <w:pPr>
              <w:pStyle w:val="17"/>
              <w:spacing w:before="192" w:line="219" w:lineRule="auto"/>
              <w:ind w:right="13"/>
              <w:jc w:val="right"/>
            </w:pPr>
            <w:r>
              <w:rPr>
                <w:rFonts w:hint="eastAsia"/>
                <w:spacing w:val="-1"/>
              </w:rPr>
              <w:t>路桥相关专业工程师，累计 3 年从事类似工程经验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99" w:type="dxa"/>
            <w:tcBorders>
              <w:left w:val="single" w:color="000000" w:sz="10" w:space="0"/>
            </w:tcBorders>
            <w:vAlign w:val="top"/>
          </w:tcPr>
          <w:p>
            <w:pPr>
              <w:pStyle w:val="17"/>
              <w:spacing w:before="192" w:line="219" w:lineRule="auto"/>
              <w:ind w:left="644"/>
              <w:rPr>
                <w:rFonts w:hint="eastAsia"/>
                <w:spacing w:val="-2"/>
              </w:rPr>
            </w:pPr>
            <w:r>
              <w:rPr>
                <w:rFonts w:hint="eastAsia"/>
                <w:spacing w:val="-2"/>
              </w:rPr>
              <w:t>桥梁工程师</w:t>
            </w:r>
          </w:p>
        </w:tc>
        <w:tc>
          <w:tcPr>
            <w:tcW w:w="715" w:type="dxa"/>
            <w:vAlign w:val="center"/>
          </w:tcPr>
          <w:p>
            <w:pPr>
              <w:jc w:val="center"/>
              <w:rPr>
                <w:rFonts w:hint="default" w:eastAsia="宋体"/>
                <w:sz w:val="21"/>
                <w:lang w:val="en-US" w:eastAsia="zh-CN"/>
              </w:rPr>
            </w:pPr>
            <w:r>
              <w:rPr>
                <w:rFonts w:hint="eastAsia" w:eastAsia="宋体"/>
                <w:sz w:val="21"/>
                <w:lang w:val="en-US" w:eastAsia="zh-CN"/>
              </w:rPr>
              <w:t>1</w:t>
            </w:r>
          </w:p>
        </w:tc>
        <w:tc>
          <w:tcPr>
            <w:tcW w:w="5710" w:type="dxa"/>
            <w:tcBorders>
              <w:right w:val="single" w:color="000000" w:sz="10" w:space="0"/>
            </w:tcBorders>
            <w:vAlign w:val="top"/>
          </w:tcPr>
          <w:p>
            <w:pPr>
              <w:pStyle w:val="17"/>
              <w:spacing w:before="192" w:line="219" w:lineRule="auto"/>
              <w:ind w:right="13"/>
              <w:jc w:val="right"/>
              <w:rPr>
                <w:rFonts w:hint="eastAsia"/>
                <w:spacing w:val="-1"/>
              </w:rPr>
            </w:pPr>
            <w:r>
              <w:rPr>
                <w:rFonts w:hint="eastAsia"/>
                <w:spacing w:val="-1"/>
              </w:rPr>
              <w:t>路桥相关专业工程师，累计 3 年从事类似工程经验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2499" w:type="dxa"/>
            <w:tcBorders>
              <w:left w:val="single" w:color="000000" w:sz="10" w:space="0"/>
              <w:bottom w:val="single" w:color="000000" w:sz="10" w:space="0"/>
            </w:tcBorders>
            <w:vAlign w:val="top"/>
          </w:tcPr>
          <w:p>
            <w:pPr>
              <w:pStyle w:val="17"/>
              <w:spacing w:before="310" w:line="219" w:lineRule="auto"/>
              <w:ind w:left="646"/>
            </w:pPr>
            <w:r>
              <w:rPr>
                <w:spacing w:val="-3"/>
              </w:rPr>
              <w:t>测量工程师</w:t>
            </w:r>
          </w:p>
        </w:tc>
        <w:tc>
          <w:tcPr>
            <w:tcW w:w="715" w:type="dxa"/>
            <w:tcBorders>
              <w:bottom w:val="single" w:color="000000" w:sz="10" w:space="0"/>
            </w:tcBorders>
            <w:vAlign w:val="center"/>
          </w:tcPr>
          <w:p>
            <w:pPr>
              <w:jc w:val="center"/>
              <w:rPr>
                <w:rFonts w:hint="eastAsia" w:ascii="Arial" w:eastAsia="宋体"/>
                <w:sz w:val="21"/>
                <w:lang w:val="en-US" w:eastAsia="zh-CN"/>
              </w:rPr>
            </w:pPr>
            <w:r>
              <w:rPr>
                <w:rFonts w:hint="eastAsia" w:eastAsia="宋体"/>
                <w:sz w:val="21"/>
                <w:lang w:val="en-US" w:eastAsia="zh-CN"/>
              </w:rPr>
              <w:t>1</w:t>
            </w:r>
          </w:p>
        </w:tc>
        <w:tc>
          <w:tcPr>
            <w:tcW w:w="5710" w:type="dxa"/>
            <w:tcBorders>
              <w:bottom w:val="single" w:color="000000" w:sz="10" w:space="0"/>
              <w:right w:val="single" w:color="000000" w:sz="10" w:space="0"/>
            </w:tcBorders>
            <w:vAlign w:val="top"/>
          </w:tcPr>
          <w:p>
            <w:pPr>
              <w:pStyle w:val="17"/>
              <w:spacing w:before="310" w:line="219" w:lineRule="auto"/>
              <w:ind w:left="113"/>
            </w:pPr>
            <w:r>
              <w:rPr>
                <w:spacing w:val="-3"/>
              </w:rPr>
              <w:t>工程师，累计</w:t>
            </w:r>
            <w:r>
              <w:rPr>
                <w:spacing w:val="-33"/>
              </w:rPr>
              <w:t xml:space="preserve"> </w:t>
            </w:r>
            <w:r>
              <w:rPr>
                <w:spacing w:val="-3"/>
                <w:u w:val="single" w:color="auto"/>
              </w:rPr>
              <w:t>3</w:t>
            </w:r>
            <w:r>
              <w:rPr>
                <w:spacing w:val="-50"/>
                <w:u w:val="single" w:color="auto"/>
              </w:rPr>
              <w:t xml:space="preserve"> </w:t>
            </w:r>
            <w:r>
              <w:rPr>
                <w:spacing w:val="-3"/>
              </w:rPr>
              <w:t>年从事类似工程经验。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499" w:type="dxa"/>
            <w:tcBorders>
              <w:left w:val="single" w:color="000000" w:sz="10" w:space="0"/>
              <w:bottom w:val="single" w:color="000000" w:sz="10" w:space="0"/>
            </w:tcBorders>
            <w:vAlign w:val="top"/>
          </w:tcPr>
          <w:p>
            <w:pPr>
              <w:spacing w:line="248" w:lineRule="auto"/>
              <w:rPr>
                <w:rFonts w:ascii="Arial"/>
                <w:sz w:val="21"/>
              </w:rPr>
            </w:pPr>
          </w:p>
          <w:p>
            <w:pPr>
              <w:pStyle w:val="17"/>
              <w:spacing w:before="78" w:line="219" w:lineRule="auto"/>
              <w:ind w:left="646"/>
            </w:pPr>
            <w:r>
              <w:rPr>
                <w:spacing w:val="-3"/>
              </w:rPr>
              <w:t>财务负责</w:t>
            </w:r>
            <w:r>
              <w:rPr>
                <w:rFonts w:hint="eastAsia"/>
                <w:spacing w:val="-3"/>
                <w:lang w:eastAsia="zh-CN"/>
              </w:rPr>
              <w:t>人</w:t>
            </w:r>
          </w:p>
        </w:tc>
        <w:tc>
          <w:tcPr>
            <w:tcW w:w="715" w:type="dxa"/>
            <w:tcBorders>
              <w:bottom w:val="single" w:color="000000" w:sz="10" w:space="0"/>
            </w:tcBorders>
            <w:vAlign w:val="center"/>
          </w:tcPr>
          <w:p>
            <w:pPr>
              <w:jc w:val="center"/>
              <w:rPr>
                <w:rFonts w:hint="eastAsia" w:ascii="Arial" w:eastAsia="宋体"/>
                <w:sz w:val="21"/>
                <w:lang w:val="en-US" w:eastAsia="zh-CN"/>
              </w:rPr>
            </w:pPr>
            <w:r>
              <w:rPr>
                <w:rFonts w:hint="eastAsia" w:eastAsia="宋体"/>
                <w:sz w:val="21"/>
                <w:lang w:val="en-US" w:eastAsia="zh-CN"/>
              </w:rPr>
              <w:t>1</w:t>
            </w:r>
          </w:p>
        </w:tc>
        <w:tc>
          <w:tcPr>
            <w:tcW w:w="5710" w:type="dxa"/>
            <w:tcBorders>
              <w:bottom w:val="single" w:color="000000" w:sz="10" w:space="0"/>
              <w:right w:val="single" w:color="000000" w:sz="10" w:space="0"/>
            </w:tcBorders>
            <w:vAlign w:val="top"/>
          </w:tcPr>
          <w:p>
            <w:pPr>
              <w:spacing w:line="248" w:lineRule="auto"/>
              <w:rPr>
                <w:rFonts w:ascii="Arial"/>
                <w:sz w:val="21"/>
              </w:rPr>
            </w:pPr>
          </w:p>
          <w:p>
            <w:pPr>
              <w:pStyle w:val="17"/>
              <w:spacing w:before="78" w:line="219" w:lineRule="auto"/>
              <w:ind w:left="119"/>
            </w:pPr>
            <w:r>
              <w:rPr>
                <w:spacing w:val="-4"/>
              </w:rPr>
              <w:t>累计</w:t>
            </w:r>
            <w:r>
              <w:rPr>
                <w:spacing w:val="-39"/>
              </w:rPr>
              <w:t xml:space="preserve"> </w:t>
            </w:r>
            <w:r>
              <w:rPr>
                <w:spacing w:val="-4"/>
                <w:u w:val="single" w:color="auto"/>
              </w:rPr>
              <w:t>3</w:t>
            </w:r>
            <w:r>
              <w:rPr>
                <w:spacing w:val="-49"/>
                <w:u w:val="single" w:color="auto"/>
              </w:rPr>
              <w:t xml:space="preserve"> </w:t>
            </w:r>
            <w:r>
              <w:rPr>
                <w:spacing w:val="-4"/>
              </w:rPr>
              <w:t>年从事类似工程经验。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2499" w:type="dxa"/>
            <w:tcBorders>
              <w:top w:val="single" w:color="000000" w:sz="10" w:space="0"/>
              <w:left w:val="single" w:color="000000" w:sz="10" w:space="0"/>
            </w:tcBorders>
            <w:vAlign w:val="top"/>
          </w:tcPr>
          <w:p>
            <w:pPr>
              <w:spacing w:line="350" w:lineRule="auto"/>
              <w:rPr>
                <w:rFonts w:ascii="Arial"/>
                <w:sz w:val="21"/>
              </w:rPr>
            </w:pPr>
          </w:p>
          <w:p>
            <w:pPr>
              <w:pStyle w:val="17"/>
              <w:spacing w:before="78"/>
              <w:ind w:left="526"/>
            </w:pPr>
            <w:r>
              <w:rPr>
                <w:spacing w:val="-2"/>
              </w:rPr>
              <w:t>专职安全生产</w:t>
            </w:r>
          </w:p>
          <w:p>
            <w:pPr>
              <w:pStyle w:val="17"/>
              <w:spacing w:line="219" w:lineRule="auto"/>
              <w:ind w:left="771"/>
            </w:pPr>
            <w:r>
              <w:rPr>
                <w:spacing w:val="-4"/>
              </w:rPr>
              <w:t>管理人员</w:t>
            </w:r>
          </w:p>
        </w:tc>
        <w:tc>
          <w:tcPr>
            <w:tcW w:w="715" w:type="dxa"/>
            <w:tcBorders>
              <w:top w:val="single" w:color="000000" w:sz="10" w:space="0"/>
            </w:tcBorders>
            <w:vAlign w:val="center"/>
          </w:tcPr>
          <w:p>
            <w:pPr>
              <w:jc w:val="center"/>
              <w:rPr>
                <w:rFonts w:hint="eastAsia" w:ascii="Arial" w:eastAsia="宋体"/>
                <w:sz w:val="21"/>
                <w:lang w:val="en-US" w:eastAsia="zh-CN"/>
              </w:rPr>
            </w:pPr>
            <w:r>
              <w:rPr>
                <w:rFonts w:hint="eastAsia" w:eastAsia="宋体"/>
                <w:sz w:val="21"/>
                <w:lang w:val="en-US" w:eastAsia="zh-CN"/>
              </w:rPr>
              <w:t>1</w:t>
            </w:r>
          </w:p>
        </w:tc>
        <w:tc>
          <w:tcPr>
            <w:tcW w:w="5710" w:type="dxa"/>
            <w:tcBorders>
              <w:top w:val="single" w:color="000000" w:sz="10" w:space="0"/>
              <w:right w:val="single" w:color="000000" w:sz="10" w:space="0"/>
            </w:tcBorders>
            <w:vAlign w:val="top"/>
          </w:tcPr>
          <w:p>
            <w:pPr>
              <w:spacing w:line="351" w:lineRule="auto"/>
              <w:rPr>
                <w:rFonts w:ascii="Arial"/>
                <w:sz w:val="21"/>
              </w:rPr>
            </w:pPr>
          </w:p>
          <w:p>
            <w:pPr>
              <w:pStyle w:val="17"/>
              <w:spacing w:before="78" w:line="229" w:lineRule="auto"/>
              <w:ind w:left="108" w:firstLine="6"/>
            </w:pPr>
            <w:r>
              <w:rPr>
                <w:spacing w:val="1"/>
              </w:rPr>
              <w:t>具有交通主管部门颁发的有效安全生产“三类人员</w:t>
            </w:r>
            <w:r>
              <w:rPr>
                <w:spacing w:val="-85"/>
              </w:rPr>
              <w:t xml:space="preserve"> </w:t>
            </w:r>
            <w:r>
              <w:rPr>
                <w:spacing w:val="1"/>
              </w:rPr>
              <w:t>”</w:t>
            </w:r>
            <w:r>
              <w:t xml:space="preserve"> </w:t>
            </w:r>
            <w:r>
              <w:rPr>
                <w:spacing w:val="-4"/>
              </w:rPr>
              <w:t>C</w:t>
            </w:r>
            <w:r>
              <w:rPr>
                <w:spacing w:val="-50"/>
              </w:rPr>
              <w:t xml:space="preserve"> </w:t>
            </w:r>
            <w:r>
              <w:rPr>
                <w:spacing w:val="-4"/>
              </w:rPr>
              <w:t>类证书，累计</w:t>
            </w:r>
            <w:r>
              <w:rPr>
                <w:spacing w:val="-46"/>
              </w:rPr>
              <w:t xml:space="preserve"> </w:t>
            </w:r>
            <w:r>
              <w:rPr>
                <w:spacing w:val="-4"/>
                <w:u w:val="single" w:color="auto"/>
              </w:rPr>
              <w:t>3</w:t>
            </w:r>
            <w:r>
              <w:rPr>
                <w:spacing w:val="-50"/>
                <w:u w:val="single" w:color="auto"/>
              </w:rPr>
              <w:t xml:space="preserve"> </w:t>
            </w:r>
            <w:r>
              <w:rPr>
                <w:spacing w:val="-4"/>
              </w:rPr>
              <w:t>年从事类似工程经验。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2499" w:type="dxa"/>
            <w:tcBorders>
              <w:left w:val="single" w:color="000000" w:sz="10" w:space="0"/>
            </w:tcBorders>
            <w:vAlign w:val="top"/>
          </w:tcPr>
          <w:p>
            <w:pPr>
              <w:pStyle w:val="17"/>
              <w:spacing w:before="307" w:line="220" w:lineRule="auto"/>
              <w:ind w:left="896"/>
            </w:pPr>
            <w:r>
              <w:rPr>
                <w:spacing w:val="-7"/>
              </w:rPr>
              <w:t>资料员</w:t>
            </w:r>
          </w:p>
        </w:tc>
        <w:tc>
          <w:tcPr>
            <w:tcW w:w="715" w:type="dxa"/>
            <w:vAlign w:val="center"/>
          </w:tcPr>
          <w:p>
            <w:pPr>
              <w:jc w:val="center"/>
              <w:rPr>
                <w:rFonts w:hint="eastAsia" w:ascii="Arial" w:eastAsia="宋体"/>
                <w:sz w:val="21"/>
                <w:lang w:val="en-US" w:eastAsia="zh-CN"/>
              </w:rPr>
            </w:pPr>
            <w:r>
              <w:rPr>
                <w:rFonts w:hint="eastAsia" w:eastAsia="宋体"/>
                <w:sz w:val="21"/>
                <w:lang w:val="en-US" w:eastAsia="zh-CN"/>
              </w:rPr>
              <w:t>1</w:t>
            </w:r>
          </w:p>
        </w:tc>
        <w:tc>
          <w:tcPr>
            <w:tcW w:w="5710" w:type="dxa"/>
            <w:tcBorders>
              <w:right w:val="single" w:color="000000" w:sz="10" w:space="0"/>
            </w:tcBorders>
            <w:vAlign w:val="top"/>
          </w:tcPr>
          <w:p>
            <w:pPr>
              <w:pStyle w:val="17"/>
              <w:spacing w:before="308" w:line="219" w:lineRule="auto"/>
              <w:ind w:left="120"/>
            </w:pPr>
            <w:r>
              <w:rPr>
                <w:spacing w:val="-3"/>
              </w:rPr>
              <w:t>资料员，累计</w:t>
            </w:r>
            <w:r>
              <w:rPr>
                <w:spacing w:val="-40"/>
              </w:rPr>
              <w:t xml:space="preserve"> </w:t>
            </w:r>
            <w:r>
              <w:rPr>
                <w:spacing w:val="-3"/>
                <w:u w:val="single" w:color="auto"/>
              </w:rPr>
              <w:t>3</w:t>
            </w:r>
            <w:r>
              <w:rPr>
                <w:spacing w:val="-50"/>
                <w:u w:val="single" w:color="auto"/>
              </w:rPr>
              <w:t xml:space="preserve"> </w:t>
            </w:r>
            <w:r>
              <w:rPr>
                <w:spacing w:val="-3"/>
              </w:rPr>
              <w:t>年从事类似工作经验。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2499" w:type="dxa"/>
            <w:tcBorders>
              <w:left w:val="single" w:color="000000" w:sz="10" w:space="0"/>
              <w:bottom w:val="single" w:color="000000" w:sz="10" w:space="0"/>
            </w:tcBorders>
            <w:vAlign w:val="top"/>
          </w:tcPr>
          <w:p>
            <w:pPr>
              <w:spacing w:line="425" w:lineRule="auto"/>
              <w:rPr>
                <w:rFonts w:ascii="Arial"/>
                <w:sz w:val="21"/>
              </w:rPr>
            </w:pPr>
          </w:p>
          <w:p>
            <w:pPr>
              <w:pStyle w:val="17"/>
              <w:spacing w:before="78" w:line="99" w:lineRule="exact"/>
              <w:ind w:left="892"/>
            </w:pPr>
            <w:r>
              <w:rPr>
                <w:position w:val="1"/>
              </w:rPr>
              <w:t>......</w:t>
            </w:r>
          </w:p>
        </w:tc>
        <w:tc>
          <w:tcPr>
            <w:tcW w:w="715" w:type="dxa"/>
            <w:tcBorders>
              <w:bottom w:val="single" w:color="000000" w:sz="10" w:space="0"/>
            </w:tcBorders>
            <w:vAlign w:val="top"/>
          </w:tcPr>
          <w:p>
            <w:pPr>
              <w:rPr>
                <w:rFonts w:ascii="Arial"/>
                <w:sz w:val="21"/>
              </w:rPr>
            </w:pPr>
          </w:p>
        </w:tc>
        <w:tc>
          <w:tcPr>
            <w:tcW w:w="5710" w:type="dxa"/>
            <w:tcBorders>
              <w:bottom w:val="single" w:color="000000" w:sz="10" w:space="0"/>
              <w:right w:val="single" w:color="000000" w:sz="10" w:space="0"/>
            </w:tcBorders>
            <w:vAlign w:val="top"/>
          </w:tcPr>
          <w:p>
            <w:pPr>
              <w:spacing w:line="425" w:lineRule="auto"/>
              <w:rPr>
                <w:rFonts w:ascii="Arial"/>
                <w:sz w:val="21"/>
              </w:rPr>
            </w:pPr>
          </w:p>
          <w:p>
            <w:pPr>
              <w:pStyle w:val="17"/>
              <w:spacing w:before="78" w:line="99" w:lineRule="exact"/>
              <w:ind w:left="117"/>
            </w:pPr>
            <w:r>
              <w:rPr>
                <w:spacing w:val="-1"/>
                <w:position w:val="1"/>
              </w:rPr>
              <w:t>......</w:t>
            </w:r>
          </w:p>
        </w:tc>
      </w:tr>
    </w:tbl>
    <w:p>
      <w:pPr>
        <w:spacing w:before="303" w:line="256" w:lineRule="auto"/>
        <w:ind w:left="24" w:right="2" w:hanging="17"/>
        <w:rPr>
          <w:rFonts w:ascii="宋体" w:hAnsi="宋体" w:eastAsia="宋体" w:cs="宋体"/>
          <w:sz w:val="12"/>
          <w:szCs w:val="12"/>
        </w:rPr>
      </w:pPr>
      <w:r>
        <w:rPr>
          <w:rFonts w:ascii="宋体" w:hAnsi="宋体" w:eastAsia="宋体" w:cs="宋体"/>
          <w:spacing w:val="8"/>
          <w:sz w:val="20"/>
          <w:szCs w:val="20"/>
        </w:rPr>
        <w:t>注：1、附录</w:t>
      </w:r>
      <w:r>
        <w:rPr>
          <w:rFonts w:ascii="宋体" w:hAnsi="宋体" w:eastAsia="宋体" w:cs="宋体"/>
          <w:spacing w:val="-35"/>
          <w:sz w:val="20"/>
          <w:szCs w:val="20"/>
        </w:rPr>
        <w:t xml:space="preserve"> </w:t>
      </w:r>
      <w:r>
        <w:rPr>
          <w:rFonts w:ascii="宋体" w:hAnsi="宋体" w:eastAsia="宋体" w:cs="宋体"/>
          <w:spacing w:val="8"/>
          <w:sz w:val="20"/>
          <w:szCs w:val="20"/>
        </w:rPr>
        <w:t>6</w:t>
      </w:r>
      <w:r>
        <w:rPr>
          <w:rFonts w:ascii="宋体" w:hAnsi="宋体" w:eastAsia="宋体" w:cs="宋体"/>
          <w:spacing w:val="-38"/>
          <w:sz w:val="20"/>
          <w:szCs w:val="20"/>
        </w:rPr>
        <w:t xml:space="preserve"> </w:t>
      </w:r>
      <w:r>
        <w:rPr>
          <w:rFonts w:ascii="宋体" w:hAnsi="宋体" w:eastAsia="宋体" w:cs="宋体"/>
          <w:spacing w:val="8"/>
          <w:sz w:val="20"/>
          <w:szCs w:val="20"/>
        </w:rPr>
        <w:t>所要求人员须按投标文件投标</w:t>
      </w:r>
      <w:r>
        <w:rPr>
          <w:rFonts w:ascii="宋体" w:hAnsi="宋体" w:eastAsia="宋体" w:cs="宋体"/>
          <w:spacing w:val="7"/>
          <w:sz w:val="20"/>
          <w:szCs w:val="20"/>
        </w:rPr>
        <w:t>函的格式承诺，中标人在进场前向招标人提交实际投入</w:t>
      </w:r>
      <w:r>
        <w:rPr>
          <w:rFonts w:ascii="宋体" w:hAnsi="宋体" w:eastAsia="宋体" w:cs="宋体"/>
          <w:sz w:val="20"/>
          <w:szCs w:val="20"/>
        </w:rPr>
        <w:t xml:space="preserve"> </w:t>
      </w:r>
      <w:r>
        <w:rPr>
          <w:rFonts w:ascii="宋体" w:hAnsi="宋体" w:eastAsia="宋体" w:cs="宋体"/>
          <w:spacing w:val="3"/>
          <w:position w:val="-1"/>
          <w:sz w:val="20"/>
          <w:szCs w:val="20"/>
        </w:rPr>
        <w:t>的人员。</w:t>
      </w:r>
    </w:p>
    <w:p>
      <w:pPr>
        <w:spacing w:before="3" w:line="243" w:lineRule="auto"/>
        <w:ind w:left="7" w:right="2" w:firstLine="422"/>
        <w:jc w:val="both"/>
        <w:rPr>
          <w:rFonts w:ascii="宋体" w:hAnsi="宋体" w:eastAsia="宋体" w:cs="宋体"/>
          <w:sz w:val="20"/>
          <w:szCs w:val="20"/>
        </w:rPr>
      </w:pPr>
      <w:r>
        <w:rPr>
          <w:rFonts w:ascii="宋体" w:hAnsi="宋体" w:eastAsia="宋体" w:cs="宋体"/>
          <w:spacing w:val="8"/>
          <w:sz w:val="20"/>
          <w:szCs w:val="20"/>
        </w:rPr>
        <w:t>2、投标人中标后专职安全生产管理人员的配备应按照交通部《公路水运工程安全生产监</w:t>
      </w:r>
      <w:r>
        <w:rPr>
          <w:rFonts w:ascii="宋体" w:hAnsi="宋体" w:eastAsia="宋体" w:cs="宋体"/>
          <w:spacing w:val="7"/>
          <w:sz w:val="20"/>
          <w:szCs w:val="20"/>
        </w:rPr>
        <w:t>督管理</w:t>
      </w:r>
      <w:r>
        <w:rPr>
          <w:rFonts w:ascii="宋体" w:hAnsi="宋体" w:eastAsia="宋体" w:cs="宋体"/>
          <w:sz w:val="20"/>
          <w:szCs w:val="20"/>
        </w:rPr>
        <w:t xml:space="preserve"> </w:t>
      </w:r>
      <w:r>
        <w:rPr>
          <w:rFonts w:ascii="宋体" w:hAnsi="宋体" w:eastAsia="宋体" w:cs="宋体"/>
          <w:spacing w:val="10"/>
          <w:sz w:val="20"/>
          <w:szCs w:val="20"/>
        </w:rPr>
        <w:t>办法》的要求执行。招标人可根据项目的工期和进度，按规定设置最低的</w:t>
      </w:r>
      <w:r>
        <w:rPr>
          <w:rFonts w:ascii="宋体" w:hAnsi="宋体" w:eastAsia="宋体" w:cs="宋体"/>
          <w:spacing w:val="9"/>
          <w:sz w:val="20"/>
          <w:szCs w:val="20"/>
        </w:rPr>
        <w:t>专职安全生产管理人员数</w:t>
      </w:r>
      <w:r>
        <w:rPr>
          <w:rFonts w:ascii="宋体" w:hAnsi="宋体" w:eastAsia="宋体" w:cs="宋体"/>
          <w:sz w:val="20"/>
          <w:szCs w:val="20"/>
        </w:rPr>
        <w:t xml:space="preserve"> </w:t>
      </w:r>
      <w:r>
        <w:rPr>
          <w:rFonts w:ascii="宋体" w:hAnsi="宋体" w:eastAsia="宋体" w:cs="宋体"/>
          <w:spacing w:val="5"/>
          <w:sz w:val="20"/>
          <w:szCs w:val="20"/>
        </w:rPr>
        <w:t>量要求。</w:t>
      </w:r>
    </w:p>
    <w:p>
      <w:pPr>
        <w:spacing w:before="23" w:line="226" w:lineRule="auto"/>
        <w:ind w:left="431"/>
        <w:rPr>
          <w:rFonts w:ascii="宋体" w:hAnsi="宋体" w:eastAsia="宋体" w:cs="宋体"/>
          <w:sz w:val="20"/>
          <w:szCs w:val="20"/>
        </w:rPr>
      </w:pPr>
      <w:r>
        <w:rPr>
          <w:rFonts w:ascii="宋体" w:hAnsi="宋体" w:eastAsia="宋体" w:cs="宋体"/>
          <w:spacing w:val="9"/>
          <w:sz w:val="20"/>
          <w:szCs w:val="20"/>
        </w:rPr>
        <w:t>3、计划工程师的造价人员证书的等级结合项目属性按规定合理设定。</w:t>
      </w:r>
    </w:p>
    <w:p>
      <w:pPr>
        <w:spacing w:before="28" w:line="228" w:lineRule="auto"/>
        <w:ind w:left="426"/>
        <w:rPr>
          <w:rFonts w:ascii="宋体" w:hAnsi="宋体" w:eastAsia="宋体" w:cs="宋体"/>
          <w:sz w:val="20"/>
          <w:szCs w:val="20"/>
        </w:rPr>
      </w:pPr>
      <w:r>
        <w:rPr>
          <w:rFonts w:ascii="宋体" w:hAnsi="宋体" w:eastAsia="宋体" w:cs="宋体"/>
          <w:spacing w:val="9"/>
          <w:sz w:val="20"/>
          <w:szCs w:val="20"/>
        </w:rPr>
        <w:t>4、试验相关人员的配备应符合《广东省公路工程施工标准化指南》的要求。</w:t>
      </w: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7" w:lineRule="auto"/>
        <w:rPr>
          <w:rFonts w:ascii="Arial"/>
          <w:sz w:val="21"/>
        </w:rPr>
      </w:pPr>
    </w:p>
    <w:p>
      <w:pPr>
        <w:spacing w:line="247" w:lineRule="auto"/>
        <w:rPr>
          <w:rFonts w:ascii="Arial"/>
          <w:sz w:val="21"/>
        </w:rPr>
      </w:pPr>
    </w:p>
    <w:p>
      <w:pPr>
        <w:spacing w:before="78" w:line="233" w:lineRule="auto"/>
        <w:ind w:left="2220"/>
        <w:rPr>
          <w:rFonts w:ascii="宋体" w:hAnsi="宋体" w:eastAsia="宋体" w:cs="宋体"/>
          <w:sz w:val="12"/>
          <w:szCs w:val="12"/>
          <w:highlight w:val="none"/>
        </w:rPr>
      </w:pPr>
      <w:r>
        <w:rPr>
          <w:rFonts w:ascii="宋体" w:hAnsi="宋体" w:eastAsia="宋体" w:cs="宋体"/>
          <w:spacing w:val="1"/>
          <w:sz w:val="24"/>
          <w:szCs w:val="24"/>
          <w:highlight w:val="none"/>
          <w14:textOutline w14:w="4358" w14:cap="sq" w14:cmpd="sng">
            <w14:solidFill>
              <w14:srgbClr w14:val="000000"/>
            </w14:solidFill>
            <w14:prstDash w14:val="solid"/>
            <w14:bevel/>
          </w14:textOutline>
        </w:rPr>
        <w:t>附录</w:t>
      </w:r>
      <w:r>
        <w:rPr>
          <w:rFonts w:ascii="宋体" w:hAnsi="宋体" w:eastAsia="宋体" w:cs="宋体"/>
          <w:spacing w:val="-32"/>
          <w:sz w:val="24"/>
          <w:szCs w:val="24"/>
          <w:highlight w:val="none"/>
        </w:rPr>
        <w:t xml:space="preserve"> </w:t>
      </w:r>
      <w:r>
        <w:rPr>
          <w:rFonts w:ascii="宋体" w:hAnsi="宋体" w:eastAsia="宋体" w:cs="宋体"/>
          <w:spacing w:val="1"/>
          <w:sz w:val="24"/>
          <w:szCs w:val="24"/>
          <w:highlight w:val="none"/>
          <w14:textOutline w14:w="4358" w14:cap="sq" w14:cmpd="sng">
            <w14:solidFill>
              <w14:srgbClr w14:val="000000"/>
            </w14:solidFill>
            <w14:prstDash w14:val="solid"/>
            <w14:bevel/>
          </w14:textOutline>
        </w:rPr>
        <w:t>7</w:t>
      </w:r>
      <w:r>
        <w:rPr>
          <w:rFonts w:ascii="宋体" w:hAnsi="宋体" w:eastAsia="宋体" w:cs="宋体"/>
          <w:spacing w:val="1"/>
          <w:sz w:val="24"/>
          <w:szCs w:val="24"/>
          <w:highlight w:val="none"/>
        </w:rPr>
        <w:t xml:space="preserve">  </w:t>
      </w:r>
      <w:r>
        <w:rPr>
          <w:rFonts w:ascii="宋体" w:hAnsi="宋体" w:eastAsia="宋体" w:cs="宋体"/>
          <w:spacing w:val="1"/>
          <w:sz w:val="24"/>
          <w:szCs w:val="24"/>
          <w:highlight w:val="none"/>
          <w14:textOutline w14:w="4358" w14:cap="sq" w14:cmpd="sng">
            <w14:solidFill>
              <w14:srgbClr w14:val="000000"/>
            </w14:solidFill>
            <w14:prstDash w14:val="solid"/>
            <w14:bevel/>
          </w14:textOutline>
        </w:rPr>
        <w:t>资格审查条件(主要设备最低要求)</w:t>
      </w:r>
    </w:p>
    <w:p>
      <w:pPr>
        <w:spacing w:line="100" w:lineRule="exact"/>
        <w:rPr>
          <w:highlight w:val="none"/>
        </w:rPr>
      </w:pPr>
    </w:p>
    <w:tbl>
      <w:tblPr>
        <w:tblStyle w:val="16"/>
        <w:tblW w:w="8743" w:type="dxa"/>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7"/>
        <w:gridCol w:w="2976"/>
        <w:gridCol w:w="2341"/>
        <w:gridCol w:w="900"/>
        <w:gridCol w:w="1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867" w:type="dxa"/>
            <w:tcBorders>
              <w:top w:val="single" w:color="000000" w:sz="10" w:space="0"/>
              <w:left w:val="single" w:color="000000" w:sz="10" w:space="0"/>
            </w:tcBorders>
            <w:vAlign w:val="top"/>
          </w:tcPr>
          <w:p>
            <w:pPr>
              <w:pStyle w:val="17"/>
              <w:spacing w:before="196" w:line="221" w:lineRule="auto"/>
              <w:ind w:left="184"/>
              <w:rPr>
                <w:highlight w:val="none"/>
              </w:rPr>
            </w:pPr>
            <w:r>
              <w:rPr>
                <w:spacing w:val="-5"/>
                <w:highlight w:val="none"/>
              </w:rPr>
              <w:t>序号</w:t>
            </w:r>
          </w:p>
        </w:tc>
        <w:tc>
          <w:tcPr>
            <w:tcW w:w="2976" w:type="dxa"/>
            <w:tcBorders>
              <w:top w:val="single" w:color="000000" w:sz="10" w:space="0"/>
            </w:tcBorders>
            <w:vAlign w:val="top"/>
          </w:tcPr>
          <w:p>
            <w:pPr>
              <w:pStyle w:val="17"/>
              <w:spacing w:before="196" w:line="221" w:lineRule="auto"/>
              <w:ind w:left="1009"/>
              <w:rPr>
                <w:highlight w:val="none"/>
              </w:rPr>
            </w:pPr>
            <w:r>
              <w:rPr>
                <w:spacing w:val="-4"/>
                <w:highlight w:val="none"/>
              </w:rPr>
              <w:t>设备名称</w:t>
            </w:r>
          </w:p>
        </w:tc>
        <w:tc>
          <w:tcPr>
            <w:tcW w:w="2341" w:type="dxa"/>
            <w:tcBorders>
              <w:top w:val="single" w:color="000000" w:sz="10" w:space="0"/>
            </w:tcBorders>
            <w:vAlign w:val="top"/>
          </w:tcPr>
          <w:p>
            <w:pPr>
              <w:pStyle w:val="17"/>
              <w:spacing w:before="177" w:line="234" w:lineRule="auto"/>
              <w:ind w:left="157"/>
              <w:rPr>
                <w:sz w:val="12"/>
                <w:szCs w:val="12"/>
                <w:highlight w:val="none"/>
              </w:rPr>
            </w:pPr>
            <w:r>
              <w:rPr>
                <w:spacing w:val="-2"/>
                <w:highlight w:val="none"/>
              </w:rPr>
              <w:t>规格、功率及容量</w:t>
            </w:r>
          </w:p>
        </w:tc>
        <w:tc>
          <w:tcPr>
            <w:tcW w:w="900" w:type="dxa"/>
            <w:tcBorders>
              <w:top w:val="single" w:color="000000" w:sz="10" w:space="0"/>
            </w:tcBorders>
            <w:vAlign w:val="top"/>
          </w:tcPr>
          <w:p>
            <w:pPr>
              <w:pStyle w:val="17"/>
              <w:spacing w:before="196" w:line="220" w:lineRule="auto"/>
              <w:ind w:left="224"/>
              <w:rPr>
                <w:highlight w:val="none"/>
              </w:rPr>
            </w:pPr>
            <w:r>
              <w:rPr>
                <w:spacing w:val="-6"/>
                <w:highlight w:val="none"/>
              </w:rPr>
              <w:t>单位</w:t>
            </w:r>
          </w:p>
        </w:tc>
        <w:tc>
          <w:tcPr>
            <w:tcW w:w="1659" w:type="dxa"/>
            <w:tcBorders>
              <w:top w:val="single" w:color="000000" w:sz="10" w:space="0"/>
              <w:right w:val="single" w:color="000000" w:sz="10" w:space="0"/>
            </w:tcBorders>
            <w:vAlign w:val="top"/>
          </w:tcPr>
          <w:p>
            <w:pPr>
              <w:pStyle w:val="17"/>
              <w:spacing w:before="40"/>
              <w:ind w:left="359"/>
              <w:rPr>
                <w:highlight w:val="none"/>
              </w:rPr>
            </w:pPr>
            <w:r>
              <w:rPr>
                <w:spacing w:val="-4"/>
                <w:highlight w:val="none"/>
              </w:rPr>
              <w:t>最低数量</w:t>
            </w:r>
          </w:p>
          <w:p>
            <w:pPr>
              <w:pStyle w:val="17"/>
              <w:spacing w:before="1" w:line="207" w:lineRule="auto"/>
              <w:ind w:left="597"/>
              <w:rPr>
                <w:highlight w:val="none"/>
              </w:rPr>
            </w:pPr>
            <w:r>
              <w:rPr>
                <w:spacing w:val="-6"/>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67" w:type="dxa"/>
            <w:tcBorders>
              <w:left w:val="single" w:color="000000" w:sz="10" w:space="0"/>
            </w:tcBorders>
            <w:vAlign w:val="top"/>
          </w:tcPr>
          <w:p>
            <w:pPr>
              <w:pStyle w:val="17"/>
              <w:spacing w:before="135" w:line="184" w:lineRule="auto"/>
              <w:ind w:left="382"/>
              <w:rPr>
                <w:highlight w:val="none"/>
              </w:rPr>
            </w:pPr>
          </w:p>
        </w:tc>
        <w:tc>
          <w:tcPr>
            <w:tcW w:w="2976" w:type="dxa"/>
            <w:vAlign w:val="top"/>
          </w:tcPr>
          <w:p>
            <w:pPr>
              <w:pStyle w:val="17"/>
              <w:spacing w:before="98" w:line="219" w:lineRule="auto"/>
              <w:ind w:left="1129"/>
              <w:rPr>
                <w:highlight w:val="none"/>
              </w:rPr>
            </w:pPr>
          </w:p>
        </w:tc>
        <w:tc>
          <w:tcPr>
            <w:tcW w:w="2341" w:type="dxa"/>
            <w:vAlign w:val="top"/>
          </w:tcPr>
          <w:p>
            <w:pPr>
              <w:pStyle w:val="17"/>
              <w:spacing w:before="98" w:line="214" w:lineRule="auto"/>
              <w:ind w:left="606"/>
              <w:rPr>
                <w:highlight w:val="none"/>
              </w:rPr>
            </w:pPr>
          </w:p>
        </w:tc>
        <w:tc>
          <w:tcPr>
            <w:tcW w:w="900" w:type="dxa"/>
            <w:vAlign w:val="top"/>
          </w:tcPr>
          <w:p>
            <w:pPr>
              <w:pStyle w:val="17"/>
              <w:spacing w:before="99" w:line="221" w:lineRule="auto"/>
              <w:ind w:left="360"/>
              <w:rPr>
                <w:highlight w:val="none"/>
              </w:rPr>
            </w:pPr>
          </w:p>
        </w:tc>
        <w:tc>
          <w:tcPr>
            <w:tcW w:w="1659" w:type="dxa"/>
            <w:tcBorders>
              <w:right w:val="single" w:color="000000" w:sz="10" w:space="0"/>
            </w:tcBorders>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67" w:type="dxa"/>
            <w:tcBorders>
              <w:left w:val="single" w:color="000000" w:sz="10" w:space="0"/>
            </w:tcBorders>
            <w:vAlign w:val="top"/>
          </w:tcPr>
          <w:p>
            <w:pPr>
              <w:pStyle w:val="17"/>
              <w:spacing w:before="137" w:line="183" w:lineRule="auto"/>
              <w:ind w:left="368"/>
              <w:rPr>
                <w:highlight w:val="none"/>
              </w:rPr>
            </w:pPr>
          </w:p>
        </w:tc>
        <w:tc>
          <w:tcPr>
            <w:tcW w:w="2976" w:type="dxa"/>
            <w:vAlign w:val="top"/>
          </w:tcPr>
          <w:p>
            <w:pPr>
              <w:pStyle w:val="17"/>
              <w:spacing w:before="99" w:line="219" w:lineRule="auto"/>
              <w:ind w:left="1274"/>
              <w:rPr>
                <w:highlight w:val="none"/>
              </w:rPr>
            </w:pPr>
          </w:p>
        </w:tc>
        <w:tc>
          <w:tcPr>
            <w:tcW w:w="2341" w:type="dxa"/>
            <w:vAlign w:val="top"/>
          </w:tcPr>
          <w:p>
            <w:pPr>
              <w:pStyle w:val="17"/>
              <w:spacing w:before="99"/>
              <w:ind w:left="1013"/>
              <w:rPr>
                <w:highlight w:val="none"/>
              </w:rPr>
            </w:pPr>
          </w:p>
        </w:tc>
        <w:tc>
          <w:tcPr>
            <w:tcW w:w="900" w:type="dxa"/>
            <w:vAlign w:val="top"/>
          </w:tcPr>
          <w:p>
            <w:pPr>
              <w:pStyle w:val="17"/>
              <w:spacing w:before="99" w:line="221" w:lineRule="auto"/>
              <w:ind w:left="360"/>
              <w:rPr>
                <w:highlight w:val="none"/>
              </w:rPr>
            </w:pPr>
          </w:p>
        </w:tc>
        <w:tc>
          <w:tcPr>
            <w:tcW w:w="1659" w:type="dxa"/>
            <w:tcBorders>
              <w:right w:val="single" w:color="000000" w:sz="10" w:space="0"/>
            </w:tcBorders>
            <w:vAlign w:val="top"/>
          </w:tcPr>
          <w:p>
            <w:pPr>
              <w:rPr>
                <w:rFonts w:ascii="Arial"/>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867" w:type="dxa"/>
            <w:tcBorders>
              <w:left w:val="single" w:color="000000" w:sz="10" w:space="0"/>
            </w:tcBorders>
            <w:vAlign w:val="top"/>
          </w:tcPr>
          <w:p>
            <w:pPr>
              <w:pStyle w:val="17"/>
              <w:spacing w:before="137" w:line="183" w:lineRule="auto"/>
              <w:ind w:left="369"/>
            </w:pPr>
          </w:p>
        </w:tc>
        <w:tc>
          <w:tcPr>
            <w:tcW w:w="2976" w:type="dxa"/>
            <w:vAlign w:val="top"/>
          </w:tcPr>
          <w:p>
            <w:pPr>
              <w:pStyle w:val="17"/>
              <w:spacing w:before="99" w:line="220" w:lineRule="auto"/>
              <w:ind w:left="1005"/>
            </w:pPr>
          </w:p>
        </w:tc>
        <w:tc>
          <w:tcPr>
            <w:tcW w:w="2341" w:type="dxa"/>
            <w:vAlign w:val="top"/>
          </w:tcPr>
          <w:p>
            <w:pPr>
              <w:rPr>
                <w:rFonts w:ascii="Arial"/>
                <w:sz w:val="21"/>
              </w:rPr>
            </w:pPr>
          </w:p>
        </w:tc>
        <w:tc>
          <w:tcPr>
            <w:tcW w:w="900" w:type="dxa"/>
            <w:vAlign w:val="top"/>
          </w:tcPr>
          <w:p>
            <w:pPr>
              <w:pStyle w:val="17"/>
              <w:spacing w:before="100" w:line="221" w:lineRule="auto"/>
              <w:ind w:left="360"/>
            </w:pPr>
          </w:p>
        </w:tc>
        <w:tc>
          <w:tcPr>
            <w:tcW w:w="16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67" w:type="dxa"/>
            <w:tcBorders>
              <w:left w:val="single" w:color="000000" w:sz="10" w:space="0"/>
            </w:tcBorders>
            <w:vAlign w:val="top"/>
          </w:tcPr>
          <w:p>
            <w:pPr>
              <w:pStyle w:val="17"/>
              <w:spacing w:before="139" w:line="183" w:lineRule="auto"/>
              <w:ind w:left="364"/>
            </w:pPr>
          </w:p>
        </w:tc>
        <w:tc>
          <w:tcPr>
            <w:tcW w:w="2976" w:type="dxa"/>
            <w:vAlign w:val="top"/>
          </w:tcPr>
          <w:p>
            <w:pPr>
              <w:pStyle w:val="17"/>
              <w:spacing w:before="101" w:line="220" w:lineRule="auto"/>
              <w:ind w:left="1130"/>
            </w:pPr>
          </w:p>
        </w:tc>
        <w:tc>
          <w:tcPr>
            <w:tcW w:w="2341" w:type="dxa"/>
            <w:vAlign w:val="top"/>
          </w:tcPr>
          <w:p>
            <w:pPr>
              <w:rPr>
                <w:rFonts w:ascii="Arial"/>
                <w:sz w:val="21"/>
              </w:rPr>
            </w:pPr>
          </w:p>
        </w:tc>
        <w:tc>
          <w:tcPr>
            <w:tcW w:w="900" w:type="dxa"/>
            <w:vAlign w:val="top"/>
          </w:tcPr>
          <w:p>
            <w:pPr>
              <w:pStyle w:val="17"/>
              <w:spacing w:before="102" w:line="221" w:lineRule="auto"/>
              <w:ind w:left="360"/>
            </w:pPr>
          </w:p>
        </w:tc>
        <w:tc>
          <w:tcPr>
            <w:tcW w:w="16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867" w:type="dxa"/>
            <w:tcBorders>
              <w:left w:val="single" w:color="000000" w:sz="10" w:space="0"/>
            </w:tcBorders>
            <w:vAlign w:val="top"/>
          </w:tcPr>
          <w:p>
            <w:pPr>
              <w:pStyle w:val="17"/>
              <w:spacing w:before="141" w:line="182" w:lineRule="auto"/>
              <w:ind w:left="369"/>
            </w:pPr>
          </w:p>
        </w:tc>
        <w:tc>
          <w:tcPr>
            <w:tcW w:w="2976" w:type="dxa"/>
            <w:vAlign w:val="top"/>
          </w:tcPr>
          <w:p>
            <w:pPr>
              <w:pStyle w:val="17"/>
              <w:spacing w:before="101" w:line="219" w:lineRule="auto"/>
              <w:ind w:left="565"/>
            </w:pPr>
          </w:p>
        </w:tc>
        <w:tc>
          <w:tcPr>
            <w:tcW w:w="2341" w:type="dxa"/>
            <w:vAlign w:val="top"/>
          </w:tcPr>
          <w:p>
            <w:pPr>
              <w:pStyle w:val="17"/>
              <w:spacing w:before="101"/>
              <w:ind w:left="938"/>
            </w:pPr>
          </w:p>
        </w:tc>
        <w:tc>
          <w:tcPr>
            <w:tcW w:w="900" w:type="dxa"/>
            <w:vAlign w:val="top"/>
          </w:tcPr>
          <w:p>
            <w:pPr>
              <w:pStyle w:val="17"/>
              <w:spacing w:before="102" w:line="221" w:lineRule="auto"/>
              <w:ind w:left="360"/>
            </w:pPr>
          </w:p>
        </w:tc>
        <w:tc>
          <w:tcPr>
            <w:tcW w:w="16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67" w:type="dxa"/>
            <w:tcBorders>
              <w:left w:val="single" w:color="000000" w:sz="10" w:space="0"/>
            </w:tcBorders>
            <w:vAlign w:val="top"/>
          </w:tcPr>
          <w:p>
            <w:pPr>
              <w:pStyle w:val="17"/>
              <w:spacing w:before="141" w:line="183" w:lineRule="auto"/>
              <w:ind w:left="367"/>
            </w:pPr>
          </w:p>
        </w:tc>
        <w:tc>
          <w:tcPr>
            <w:tcW w:w="2976" w:type="dxa"/>
            <w:vAlign w:val="top"/>
          </w:tcPr>
          <w:p>
            <w:pPr>
              <w:pStyle w:val="17"/>
              <w:spacing w:before="103" w:line="219" w:lineRule="auto"/>
              <w:ind w:left="644"/>
            </w:pPr>
          </w:p>
        </w:tc>
        <w:tc>
          <w:tcPr>
            <w:tcW w:w="2341" w:type="dxa"/>
            <w:vAlign w:val="top"/>
          </w:tcPr>
          <w:p>
            <w:pPr>
              <w:rPr>
                <w:rFonts w:ascii="Arial"/>
                <w:sz w:val="21"/>
              </w:rPr>
            </w:pPr>
          </w:p>
        </w:tc>
        <w:tc>
          <w:tcPr>
            <w:tcW w:w="900" w:type="dxa"/>
            <w:vAlign w:val="top"/>
          </w:tcPr>
          <w:p>
            <w:pPr>
              <w:pStyle w:val="17"/>
              <w:spacing w:before="104" w:line="221" w:lineRule="auto"/>
              <w:ind w:left="360"/>
            </w:pPr>
          </w:p>
        </w:tc>
        <w:tc>
          <w:tcPr>
            <w:tcW w:w="16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67" w:type="dxa"/>
            <w:tcBorders>
              <w:left w:val="single" w:color="000000" w:sz="10" w:space="0"/>
            </w:tcBorders>
            <w:vAlign w:val="top"/>
          </w:tcPr>
          <w:p>
            <w:pPr>
              <w:rPr>
                <w:rFonts w:ascii="Arial"/>
                <w:sz w:val="21"/>
              </w:rPr>
            </w:pPr>
          </w:p>
        </w:tc>
        <w:tc>
          <w:tcPr>
            <w:tcW w:w="2976" w:type="dxa"/>
            <w:vAlign w:val="top"/>
          </w:tcPr>
          <w:p>
            <w:pPr>
              <w:pStyle w:val="17"/>
              <w:spacing w:before="106" w:line="327" w:lineRule="exact"/>
              <w:ind w:left="1260"/>
            </w:pPr>
          </w:p>
        </w:tc>
        <w:tc>
          <w:tcPr>
            <w:tcW w:w="2341" w:type="dxa"/>
            <w:vAlign w:val="top"/>
          </w:tcPr>
          <w:p>
            <w:pPr>
              <w:rPr>
                <w:rFonts w:ascii="Arial"/>
                <w:sz w:val="21"/>
              </w:rPr>
            </w:pPr>
          </w:p>
        </w:tc>
        <w:tc>
          <w:tcPr>
            <w:tcW w:w="900" w:type="dxa"/>
            <w:vAlign w:val="top"/>
          </w:tcPr>
          <w:p>
            <w:pPr>
              <w:rPr>
                <w:rFonts w:ascii="Arial"/>
                <w:sz w:val="21"/>
              </w:rPr>
            </w:pPr>
          </w:p>
        </w:tc>
        <w:tc>
          <w:tcPr>
            <w:tcW w:w="16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867" w:type="dxa"/>
            <w:tcBorders>
              <w:left w:val="single" w:color="000000" w:sz="10" w:space="0"/>
            </w:tcBorders>
            <w:vAlign w:val="top"/>
          </w:tcPr>
          <w:p>
            <w:pPr>
              <w:rPr>
                <w:rFonts w:ascii="Arial"/>
                <w:sz w:val="21"/>
              </w:rPr>
            </w:pPr>
          </w:p>
        </w:tc>
        <w:tc>
          <w:tcPr>
            <w:tcW w:w="2976" w:type="dxa"/>
            <w:vAlign w:val="top"/>
          </w:tcPr>
          <w:p>
            <w:pPr>
              <w:rPr>
                <w:rFonts w:ascii="Arial"/>
                <w:sz w:val="21"/>
              </w:rPr>
            </w:pPr>
          </w:p>
        </w:tc>
        <w:tc>
          <w:tcPr>
            <w:tcW w:w="2341" w:type="dxa"/>
            <w:vAlign w:val="top"/>
          </w:tcPr>
          <w:p>
            <w:pPr>
              <w:rPr>
                <w:rFonts w:ascii="Arial"/>
                <w:sz w:val="21"/>
              </w:rPr>
            </w:pPr>
          </w:p>
        </w:tc>
        <w:tc>
          <w:tcPr>
            <w:tcW w:w="900" w:type="dxa"/>
            <w:vAlign w:val="top"/>
          </w:tcPr>
          <w:p>
            <w:pPr>
              <w:rPr>
                <w:rFonts w:ascii="Arial"/>
                <w:sz w:val="21"/>
              </w:rPr>
            </w:pPr>
          </w:p>
        </w:tc>
        <w:tc>
          <w:tcPr>
            <w:tcW w:w="16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67" w:type="dxa"/>
            <w:tcBorders>
              <w:left w:val="single" w:color="000000" w:sz="10" w:space="0"/>
            </w:tcBorders>
            <w:vAlign w:val="top"/>
          </w:tcPr>
          <w:p>
            <w:pPr>
              <w:rPr>
                <w:rFonts w:ascii="Arial"/>
                <w:sz w:val="21"/>
              </w:rPr>
            </w:pPr>
          </w:p>
        </w:tc>
        <w:tc>
          <w:tcPr>
            <w:tcW w:w="2976" w:type="dxa"/>
            <w:vAlign w:val="top"/>
          </w:tcPr>
          <w:p>
            <w:pPr>
              <w:rPr>
                <w:rFonts w:ascii="Arial"/>
                <w:sz w:val="21"/>
              </w:rPr>
            </w:pPr>
          </w:p>
        </w:tc>
        <w:tc>
          <w:tcPr>
            <w:tcW w:w="2341" w:type="dxa"/>
            <w:vAlign w:val="top"/>
          </w:tcPr>
          <w:p>
            <w:pPr>
              <w:rPr>
                <w:rFonts w:ascii="Arial"/>
                <w:sz w:val="21"/>
              </w:rPr>
            </w:pPr>
          </w:p>
        </w:tc>
        <w:tc>
          <w:tcPr>
            <w:tcW w:w="900" w:type="dxa"/>
            <w:vAlign w:val="top"/>
          </w:tcPr>
          <w:p>
            <w:pPr>
              <w:rPr>
                <w:rFonts w:ascii="Arial"/>
                <w:sz w:val="21"/>
              </w:rPr>
            </w:pPr>
          </w:p>
        </w:tc>
        <w:tc>
          <w:tcPr>
            <w:tcW w:w="16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867" w:type="dxa"/>
            <w:tcBorders>
              <w:left w:val="single" w:color="000000" w:sz="10" w:space="0"/>
            </w:tcBorders>
            <w:vAlign w:val="top"/>
          </w:tcPr>
          <w:p>
            <w:pPr>
              <w:rPr>
                <w:rFonts w:ascii="Arial"/>
                <w:sz w:val="21"/>
              </w:rPr>
            </w:pPr>
          </w:p>
        </w:tc>
        <w:tc>
          <w:tcPr>
            <w:tcW w:w="2976" w:type="dxa"/>
            <w:vAlign w:val="top"/>
          </w:tcPr>
          <w:p>
            <w:pPr>
              <w:rPr>
                <w:rFonts w:ascii="Arial"/>
                <w:sz w:val="21"/>
              </w:rPr>
            </w:pPr>
          </w:p>
        </w:tc>
        <w:tc>
          <w:tcPr>
            <w:tcW w:w="2341" w:type="dxa"/>
            <w:vAlign w:val="top"/>
          </w:tcPr>
          <w:p>
            <w:pPr>
              <w:rPr>
                <w:rFonts w:ascii="Arial"/>
                <w:sz w:val="21"/>
              </w:rPr>
            </w:pPr>
          </w:p>
        </w:tc>
        <w:tc>
          <w:tcPr>
            <w:tcW w:w="900" w:type="dxa"/>
            <w:vAlign w:val="top"/>
          </w:tcPr>
          <w:p>
            <w:pPr>
              <w:rPr>
                <w:rFonts w:ascii="Arial"/>
                <w:sz w:val="21"/>
              </w:rPr>
            </w:pPr>
          </w:p>
        </w:tc>
        <w:tc>
          <w:tcPr>
            <w:tcW w:w="16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67" w:type="dxa"/>
            <w:tcBorders>
              <w:left w:val="single" w:color="000000" w:sz="10" w:space="0"/>
            </w:tcBorders>
            <w:vAlign w:val="top"/>
          </w:tcPr>
          <w:p>
            <w:pPr>
              <w:rPr>
                <w:rFonts w:ascii="Arial"/>
                <w:sz w:val="21"/>
              </w:rPr>
            </w:pPr>
          </w:p>
        </w:tc>
        <w:tc>
          <w:tcPr>
            <w:tcW w:w="2976" w:type="dxa"/>
            <w:vAlign w:val="top"/>
          </w:tcPr>
          <w:p>
            <w:pPr>
              <w:rPr>
                <w:rFonts w:ascii="Arial"/>
                <w:sz w:val="21"/>
              </w:rPr>
            </w:pPr>
          </w:p>
        </w:tc>
        <w:tc>
          <w:tcPr>
            <w:tcW w:w="2341" w:type="dxa"/>
            <w:vAlign w:val="top"/>
          </w:tcPr>
          <w:p>
            <w:pPr>
              <w:rPr>
                <w:rFonts w:ascii="Arial"/>
                <w:sz w:val="21"/>
              </w:rPr>
            </w:pPr>
          </w:p>
        </w:tc>
        <w:tc>
          <w:tcPr>
            <w:tcW w:w="900" w:type="dxa"/>
            <w:vAlign w:val="top"/>
          </w:tcPr>
          <w:p>
            <w:pPr>
              <w:rPr>
                <w:rFonts w:ascii="Arial"/>
                <w:sz w:val="21"/>
              </w:rPr>
            </w:pPr>
          </w:p>
        </w:tc>
        <w:tc>
          <w:tcPr>
            <w:tcW w:w="16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67" w:type="dxa"/>
            <w:tcBorders>
              <w:left w:val="single" w:color="000000" w:sz="10" w:space="0"/>
            </w:tcBorders>
            <w:vAlign w:val="top"/>
          </w:tcPr>
          <w:p>
            <w:pPr>
              <w:rPr>
                <w:rFonts w:ascii="Arial"/>
                <w:sz w:val="21"/>
              </w:rPr>
            </w:pPr>
          </w:p>
        </w:tc>
        <w:tc>
          <w:tcPr>
            <w:tcW w:w="2976" w:type="dxa"/>
            <w:vAlign w:val="top"/>
          </w:tcPr>
          <w:p>
            <w:pPr>
              <w:rPr>
                <w:rFonts w:ascii="Arial"/>
                <w:sz w:val="21"/>
              </w:rPr>
            </w:pPr>
          </w:p>
        </w:tc>
        <w:tc>
          <w:tcPr>
            <w:tcW w:w="2341" w:type="dxa"/>
            <w:vAlign w:val="top"/>
          </w:tcPr>
          <w:p>
            <w:pPr>
              <w:rPr>
                <w:rFonts w:ascii="Arial"/>
                <w:sz w:val="21"/>
              </w:rPr>
            </w:pPr>
          </w:p>
        </w:tc>
        <w:tc>
          <w:tcPr>
            <w:tcW w:w="900" w:type="dxa"/>
            <w:vAlign w:val="top"/>
          </w:tcPr>
          <w:p>
            <w:pPr>
              <w:rPr>
                <w:rFonts w:ascii="Arial"/>
                <w:sz w:val="21"/>
              </w:rPr>
            </w:pPr>
          </w:p>
        </w:tc>
        <w:tc>
          <w:tcPr>
            <w:tcW w:w="16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867" w:type="dxa"/>
            <w:tcBorders>
              <w:left w:val="single" w:color="000000" w:sz="10" w:space="0"/>
            </w:tcBorders>
            <w:vAlign w:val="top"/>
          </w:tcPr>
          <w:p>
            <w:pPr>
              <w:rPr>
                <w:rFonts w:ascii="Arial"/>
                <w:sz w:val="21"/>
              </w:rPr>
            </w:pPr>
          </w:p>
        </w:tc>
        <w:tc>
          <w:tcPr>
            <w:tcW w:w="2976" w:type="dxa"/>
            <w:vAlign w:val="top"/>
          </w:tcPr>
          <w:p>
            <w:pPr>
              <w:rPr>
                <w:rFonts w:ascii="Arial"/>
                <w:sz w:val="21"/>
              </w:rPr>
            </w:pPr>
          </w:p>
        </w:tc>
        <w:tc>
          <w:tcPr>
            <w:tcW w:w="2341" w:type="dxa"/>
            <w:vAlign w:val="top"/>
          </w:tcPr>
          <w:p>
            <w:pPr>
              <w:rPr>
                <w:rFonts w:ascii="Arial"/>
                <w:sz w:val="21"/>
              </w:rPr>
            </w:pPr>
          </w:p>
        </w:tc>
        <w:tc>
          <w:tcPr>
            <w:tcW w:w="900" w:type="dxa"/>
            <w:vAlign w:val="top"/>
          </w:tcPr>
          <w:p>
            <w:pPr>
              <w:rPr>
                <w:rFonts w:ascii="Arial"/>
                <w:sz w:val="21"/>
              </w:rPr>
            </w:pPr>
          </w:p>
        </w:tc>
        <w:tc>
          <w:tcPr>
            <w:tcW w:w="16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67" w:type="dxa"/>
            <w:tcBorders>
              <w:left w:val="single" w:color="000000" w:sz="10" w:space="0"/>
            </w:tcBorders>
            <w:vAlign w:val="top"/>
          </w:tcPr>
          <w:p>
            <w:pPr>
              <w:rPr>
                <w:rFonts w:ascii="Arial"/>
                <w:sz w:val="21"/>
              </w:rPr>
            </w:pPr>
          </w:p>
        </w:tc>
        <w:tc>
          <w:tcPr>
            <w:tcW w:w="2976" w:type="dxa"/>
            <w:vAlign w:val="top"/>
          </w:tcPr>
          <w:p>
            <w:pPr>
              <w:rPr>
                <w:rFonts w:ascii="Arial"/>
                <w:sz w:val="21"/>
              </w:rPr>
            </w:pPr>
          </w:p>
        </w:tc>
        <w:tc>
          <w:tcPr>
            <w:tcW w:w="2341" w:type="dxa"/>
            <w:vAlign w:val="top"/>
          </w:tcPr>
          <w:p>
            <w:pPr>
              <w:rPr>
                <w:rFonts w:ascii="Arial"/>
                <w:sz w:val="21"/>
              </w:rPr>
            </w:pPr>
          </w:p>
        </w:tc>
        <w:tc>
          <w:tcPr>
            <w:tcW w:w="900" w:type="dxa"/>
            <w:vAlign w:val="top"/>
          </w:tcPr>
          <w:p>
            <w:pPr>
              <w:rPr>
                <w:rFonts w:ascii="Arial"/>
                <w:sz w:val="21"/>
              </w:rPr>
            </w:pPr>
          </w:p>
        </w:tc>
        <w:tc>
          <w:tcPr>
            <w:tcW w:w="16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67" w:type="dxa"/>
            <w:tcBorders>
              <w:left w:val="single" w:color="000000" w:sz="10" w:space="0"/>
            </w:tcBorders>
            <w:vAlign w:val="top"/>
          </w:tcPr>
          <w:p>
            <w:pPr>
              <w:rPr>
                <w:rFonts w:ascii="Arial"/>
                <w:sz w:val="21"/>
              </w:rPr>
            </w:pPr>
          </w:p>
        </w:tc>
        <w:tc>
          <w:tcPr>
            <w:tcW w:w="2976" w:type="dxa"/>
            <w:vAlign w:val="top"/>
          </w:tcPr>
          <w:p>
            <w:pPr>
              <w:rPr>
                <w:rFonts w:ascii="Arial"/>
                <w:sz w:val="21"/>
              </w:rPr>
            </w:pPr>
          </w:p>
        </w:tc>
        <w:tc>
          <w:tcPr>
            <w:tcW w:w="2341" w:type="dxa"/>
            <w:vAlign w:val="top"/>
          </w:tcPr>
          <w:p>
            <w:pPr>
              <w:rPr>
                <w:rFonts w:ascii="Arial"/>
                <w:sz w:val="21"/>
              </w:rPr>
            </w:pPr>
          </w:p>
        </w:tc>
        <w:tc>
          <w:tcPr>
            <w:tcW w:w="900" w:type="dxa"/>
            <w:vAlign w:val="top"/>
          </w:tcPr>
          <w:p>
            <w:pPr>
              <w:rPr>
                <w:rFonts w:ascii="Arial"/>
                <w:sz w:val="21"/>
              </w:rPr>
            </w:pPr>
          </w:p>
        </w:tc>
        <w:tc>
          <w:tcPr>
            <w:tcW w:w="16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67" w:type="dxa"/>
            <w:tcBorders>
              <w:left w:val="single" w:color="000000" w:sz="10" w:space="0"/>
            </w:tcBorders>
            <w:vAlign w:val="top"/>
          </w:tcPr>
          <w:p>
            <w:pPr>
              <w:rPr>
                <w:rFonts w:ascii="Arial"/>
                <w:sz w:val="21"/>
              </w:rPr>
            </w:pPr>
          </w:p>
        </w:tc>
        <w:tc>
          <w:tcPr>
            <w:tcW w:w="2976" w:type="dxa"/>
            <w:vAlign w:val="top"/>
          </w:tcPr>
          <w:p>
            <w:pPr>
              <w:rPr>
                <w:rFonts w:ascii="Arial"/>
                <w:sz w:val="21"/>
              </w:rPr>
            </w:pPr>
          </w:p>
        </w:tc>
        <w:tc>
          <w:tcPr>
            <w:tcW w:w="2341" w:type="dxa"/>
            <w:vAlign w:val="top"/>
          </w:tcPr>
          <w:p>
            <w:pPr>
              <w:rPr>
                <w:rFonts w:ascii="Arial"/>
                <w:sz w:val="21"/>
              </w:rPr>
            </w:pPr>
          </w:p>
        </w:tc>
        <w:tc>
          <w:tcPr>
            <w:tcW w:w="900" w:type="dxa"/>
            <w:vAlign w:val="top"/>
          </w:tcPr>
          <w:p>
            <w:pPr>
              <w:rPr>
                <w:rFonts w:ascii="Arial"/>
                <w:sz w:val="21"/>
              </w:rPr>
            </w:pPr>
          </w:p>
        </w:tc>
        <w:tc>
          <w:tcPr>
            <w:tcW w:w="16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67" w:type="dxa"/>
            <w:tcBorders>
              <w:left w:val="single" w:color="000000" w:sz="10" w:space="0"/>
            </w:tcBorders>
            <w:vAlign w:val="top"/>
          </w:tcPr>
          <w:p>
            <w:pPr>
              <w:rPr>
                <w:rFonts w:ascii="Arial"/>
                <w:sz w:val="21"/>
              </w:rPr>
            </w:pPr>
          </w:p>
        </w:tc>
        <w:tc>
          <w:tcPr>
            <w:tcW w:w="2976" w:type="dxa"/>
            <w:vAlign w:val="top"/>
          </w:tcPr>
          <w:p>
            <w:pPr>
              <w:rPr>
                <w:rFonts w:ascii="Arial"/>
                <w:sz w:val="21"/>
              </w:rPr>
            </w:pPr>
          </w:p>
        </w:tc>
        <w:tc>
          <w:tcPr>
            <w:tcW w:w="2341" w:type="dxa"/>
            <w:vAlign w:val="top"/>
          </w:tcPr>
          <w:p>
            <w:pPr>
              <w:rPr>
                <w:rFonts w:ascii="Arial"/>
                <w:sz w:val="21"/>
              </w:rPr>
            </w:pPr>
          </w:p>
        </w:tc>
        <w:tc>
          <w:tcPr>
            <w:tcW w:w="900" w:type="dxa"/>
            <w:vAlign w:val="top"/>
          </w:tcPr>
          <w:p>
            <w:pPr>
              <w:rPr>
                <w:rFonts w:ascii="Arial"/>
                <w:sz w:val="21"/>
              </w:rPr>
            </w:pPr>
          </w:p>
        </w:tc>
        <w:tc>
          <w:tcPr>
            <w:tcW w:w="16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867" w:type="dxa"/>
            <w:tcBorders>
              <w:left w:val="single" w:color="000000" w:sz="10" w:space="0"/>
              <w:bottom w:val="single" w:color="000000" w:sz="10" w:space="0"/>
            </w:tcBorders>
            <w:vAlign w:val="top"/>
          </w:tcPr>
          <w:p>
            <w:pPr>
              <w:rPr>
                <w:rFonts w:ascii="Arial"/>
                <w:sz w:val="21"/>
              </w:rPr>
            </w:pPr>
          </w:p>
        </w:tc>
        <w:tc>
          <w:tcPr>
            <w:tcW w:w="2976" w:type="dxa"/>
            <w:tcBorders>
              <w:bottom w:val="single" w:color="000000" w:sz="10" w:space="0"/>
            </w:tcBorders>
            <w:vAlign w:val="top"/>
          </w:tcPr>
          <w:p>
            <w:pPr>
              <w:rPr>
                <w:rFonts w:ascii="Arial"/>
                <w:sz w:val="21"/>
              </w:rPr>
            </w:pPr>
          </w:p>
        </w:tc>
        <w:tc>
          <w:tcPr>
            <w:tcW w:w="2341" w:type="dxa"/>
            <w:tcBorders>
              <w:bottom w:val="single" w:color="000000" w:sz="10" w:space="0"/>
            </w:tcBorders>
            <w:vAlign w:val="top"/>
          </w:tcPr>
          <w:p>
            <w:pPr>
              <w:rPr>
                <w:rFonts w:ascii="Arial"/>
                <w:sz w:val="21"/>
              </w:rPr>
            </w:pPr>
          </w:p>
        </w:tc>
        <w:tc>
          <w:tcPr>
            <w:tcW w:w="900" w:type="dxa"/>
            <w:tcBorders>
              <w:bottom w:val="single" w:color="000000" w:sz="10" w:space="0"/>
            </w:tcBorders>
            <w:vAlign w:val="top"/>
          </w:tcPr>
          <w:p>
            <w:pPr>
              <w:rPr>
                <w:rFonts w:ascii="Arial"/>
                <w:sz w:val="21"/>
              </w:rPr>
            </w:pPr>
          </w:p>
        </w:tc>
        <w:tc>
          <w:tcPr>
            <w:tcW w:w="1659" w:type="dxa"/>
            <w:tcBorders>
              <w:bottom w:val="single" w:color="000000" w:sz="10" w:space="0"/>
              <w:right w:val="single" w:color="000000" w:sz="10" w:space="0"/>
            </w:tcBorders>
            <w:vAlign w:val="top"/>
          </w:tcPr>
          <w:p>
            <w:pPr>
              <w:rPr>
                <w:rFonts w:ascii="Arial"/>
                <w:sz w:val="21"/>
              </w:rPr>
            </w:pPr>
          </w:p>
        </w:tc>
      </w:tr>
    </w:tbl>
    <w:p>
      <w:pPr>
        <w:spacing w:before="303" w:line="228" w:lineRule="auto"/>
        <w:ind w:left="7"/>
        <w:rPr>
          <w:rFonts w:ascii="宋体" w:hAnsi="宋体" w:eastAsia="宋体" w:cs="宋体"/>
          <w:sz w:val="20"/>
          <w:szCs w:val="20"/>
        </w:rPr>
      </w:pPr>
      <w:r>
        <w:rPr>
          <w:rFonts w:ascii="宋体" w:hAnsi="宋体" w:eastAsia="宋体" w:cs="宋体"/>
          <w:spacing w:val="8"/>
          <w:sz w:val="20"/>
          <w:szCs w:val="20"/>
        </w:rPr>
        <w:t>注：1、投标人须按投标文件投标函的格式承诺。</w:t>
      </w:r>
    </w:p>
    <w:p>
      <w:pPr>
        <w:spacing w:before="26" w:line="228" w:lineRule="auto"/>
        <w:jc w:val="right"/>
        <w:rPr>
          <w:rFonts w:ascii="宋体" w:hAnsi="宋体" w:eastAsia="宋体" w:cs="宋体"/>
          <w:sz w:val="20"/>
          <w:szCs w:val="20"/>
        </w:rPr>
      </w:pPr>
      <w:r>
        <w:rPr>
          <w:rFonts w:ascii="宋体" w:hAnsi="宋体" w:eastAsia="宋体" w:cs="宋体"/>
          <w:spacing w:val="9"/>
          <w:sz w:val="20"/>
          <w:szCs w:val="20"/>
        </w:rPr>
        <w:t>2、招标人有权根据标段的工程特点、工程量及工程进度情况要求增加或</w:t>
      </w:r>
      <w:r>
        <w:rPr>
          <w:rFonts w:ascii="宋体" w:hAnsi="宋体" w:eastAsia="宋体" w:cs="宋体"/>
          <w:spacing w:val="8"/>
          <w:sz w:val="20"/>
          <w:szCs w:val="20"/>
        </w:rPr>
        <w:t>调整相应的施工设备。</w:t>
      </w: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47" w:lineRule="auto"/>
        <w:rPr>
          <w:rFonts w:ascii="Arial"/>
          <w:sz w:val="21"/>
        </w:rPr>
      </w:pPr>
    </w:p>
    <w:p>
      <w:pPr>
        <w:spacing w:line="247"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keepNext w:val="0"/>
        <w:keepLines w:val="0"/>
        <w:pageBreakBefore w:val="0"/>
        <w:numPr>
          <w:ilvl w:val="0"/>
          <w:numId w:val="6"/>
        </w:numPr>
        <w:wordWrap/>
        <w:overflowPunct/>
        <w:topLinePunct w:val="0"/>
        <w:autoSpaceDE w:val="0"/>
        <w:autoSpaceDN w:val="0"/>
        <w:bidi w:val="0"/>
        <w:spacing w:line="360" w:lineRule="auto"/>
        <w:jc w:val="center"/>
        <w:rPr>
          <w:rFonts w:ascii="宋体" w:hAnsi="宋体" w:eastAsia="宋体" w:cs="宋体"/>
          <w:spacing w:val="9"/>
          <w:sz w:val="35"/>
          <w:szCs w:val="35"/>
          <w14:textOutline w14:w="6537" w14:cap="sq" w14:cmpd="sng">
            <w14:solidFill>
              <w14:srgbClr w14:val="000000"/>
            </w14:solidFill>
            <w14:prstDash w14:val="solid"/>
            <w14:bevel/>
          </w14:textOutline>
        </w:rPr>
      </w:pPr>
      <w:r>
        <w:rPr>
          <w:rFonts w:ascii="宋体" w:hAnsi="宋体" w:eastAsia="宋体" w:cs="宋体"/>
          <w:spacing w:val="9"/>
          <w:sz w:val="35"/>
          <w:szCs w:val="35"/>
          <w14:textOutline w14:w="6537" w14:cap="sq" w14:cmpd="sng">
            <w14:solidFill>
              <w14:srgbClr w14:val="000000"/>
            </w14:solidFill>
            <w14:prstDash w14:val="solid"/>
            <w14:bevel/>
          </w14:textOutline>
        </w:rPr>
        <w:t>投标人须知</w:t>
      </w:r>
    </w:p>
    <w:p>
      <w:pPr>
        <w:keepNext w:val="0"/>
        <w:keepLines w:val="0"/>
        <w:pageBreakBefore w:val="0"/>
        <w:wordWrap/>
        <w:overflowPunct/>
        <w:topLinePunct w:val="0"/>
        <w:autoSpaceDE w:val="0"/>
        <w:autoSpaceDN w:val="0"/>
        <w:bidi w:val="0"/>
        <w:spacing w:before="91" w:line="360" w:lineRule="auto"/>
        <w:ind w:left="134"/>
        <w:rPr>
          <w:rFonts w:ascii="黑体" w:hAnsi="黑体" w:eastAsia="黑体" w:cs="黑体"/>
          <w:sz w:val="28"/>
          <w:szCs w:val="28"/>
        </w:rPr>
      </w:pPr>
      <w:r>
        <w:rPr>
          <w:rFonts w:ascii="黑体" w:hAnsi="黑体" w:eastAsia="黑体" w:cs="黑体"/>
          <w:spacing w:val="-8"/>
          <w:sz w:val="28"/>
          <w:szCs w:val="28"/>
        </w:rPr>
        <w:t>1.</w:t>
      </w:r>
      <w:r>
        <w:rPr>
          <w:rFonts w:ascii="黑体" w:hAnsi="黑体" w:eastAsia="黑体" w:cs="黑体"/>
          <w:spacing w:val="14"/>
          <w:sz w:val="28"/>
          <w:szCs w:val="28"/>
        </w:rPr>
        <w:t xml:space="preserve"> </w:t>
      </w:r>
      <w:r>
        <w:rPr>
          <w:rFonts w:ascii="黑体" w:hAnsi="黑体" w:eastAsia="黑体" w:cs="黑体"/>
          <w:spacing w:val="-8"/>
          <w:sz w:val="28"/>
          <w:szCs w:val="28"/>
        </w:rPr>
        <w:t>总则</w:t>
      </w:r>
    </w:p>
    <w:p>
      <w:pPr>
        <w:keepNext w:val="0"/>
        <w:keepLines w:val="0"/>
        <w:pageBreakBefore w:val="0"/>
        <w:wordWrap/>
        <w:overflowPunct/>
        <w:topLinePunct w:val="0"/>
        <w:autoSpaceDE w:val="0"/>
        <w:autoSpaceDN w:val="0"/>
        <w:bidi w:val="0"/>
        <w:spacing w:before="264" w:line="360" w:lineRule="auto"/>
        <w:ind w:left="131"/>
        <w:rPr>
          <w:rFonts w:ascii="黑体" w:hAnsi="黑体" w:eastAsia="黑体" w:cs="黑体"/>
          <w:sz w:val="24"/>
          <w:szCs w:val="24"/>
        </w:rPr>
      </w:pPr>
      <w:r>
        <w:rPr>
          <w:rFonts w:ascii="黑体" w:hAnsi="黑体" w:eastAsia="黑体" w:cs="黑体"/>
          <w:spacing w:val="-3"/>
          <w:sz w:val="24"/>
          <w:szCs w:val="24"/>
        </w:rPr>
        <w:t>1.1 项目概况</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firstLine="617"/>
        <w:jc w:val="both"/>
        <w:rPr>
          <w:rFonts w:ascii="宋体" w:hAnsi="宋体" w:eastAsia="宋体" w:cs="宋体"/>
          <w:sz w:val="24"/>
          <w:szCs w:val="24"/>
        </w:rPr>
      </w:pPr>
      <w:r>
        <w:rPr>
          <w:rFonts w:ascii="Times New Roman" w:hAnsi="Times New Roman" w:eastAsia="Times New Roman" w:cs="Times New Roman"/>
          <w:spacing w:val="-9"/>
          <w:sz w:val="24"/>
          <w:szCs w:val="24"/>
        </w:rPr>
        <w:t xml:space="preserve">1.1.1  </w:t>
      </w:r>
      <w:r>
        <w:rPr>
          <w:rFonts w:ascii="宋体" w:hAnsi="宋体" w:eastAsia="宋体" w:cs="宋体"/>
          <w:spacing w:val="-9"/>
          <w:sz w:val="24"/>
          <w:szCs w:val="24"/>
        </w:rPr>
        <w:t>根据《中华人民共和国招标投标法》《中华人民共和国招标投标法实施条例》</w:t>
      </w:r>
      <w:r>
        <w:rPr>
          <w:rFonts w:ascii="宋体" w:hAnsi="宋体" w:eastAsia="宋体" w:cs="宋体"/>
          <w:sz w:val="24"/>
          <w:szCs w:val="24"/>
        </w:rPr>
        <w:t xml:space="preserve"> 《公路工程建设项目招标投标管理办法》等有关法律、法规和规章的规定，本招标项</w:t>
      </w:r>
      <w:r>
        <w:rPr>
          <w:rFonts w:ascii="宋体" w:hAnsi="宋体" w:eastAsia="宋体" w:cs="宋体"/>
          <w:spacing w:val="-13"/>
          <w:sz w:val="24"/>
          <w:szCs w:val="24"/>
        </w:rPr>
        <w:t>目已具备招标条件，</w:t>
      </w:r>
      <w:r>
        <w:rPr>
          <w:rFonts w:ascii="宋体" w:hAnsi="宋体" w:eastAsia="宋体" w:cs="宋体"/>
          <w:spacing w:val="65"/>
          <w:sz w:val="24"/>
          <w:szCs w:val="24"/>
        </w:rPr>
        <w:t xml:space="preserve"> </w:t>
      </w:r>
      <w:r>
        <w:rPr>
          <w:rFonts w:ascii="宋体" w:hAnsi="宋体" w:eastAsia="宋体" w:cs="宋体"/>
          <w:spacing w:val="-13"/>
          <w:sz w:val="24"/>
          <w:szCs w:val="24"/>
        </w:rPr>
        <w:t>现对本标段施工进行招标。</w:t>
      </w:r>
    </w:p>
    <w:p>
      <w:pPr>
        <w:keepNext w:val="0"/>
        <w:keepLines w:val="0"/>
        <w:pageBreakBefore w:val="0"/>
        <w:widowControl w:val="0"/>
        <w:kinsoku/>
        <w:wordWrap/>
        <w:overflowPunct/>
        <w:topLinePunct w:val="0"/>
        <w:autoSpaceDE w:val="0"/>
        <w:autoSpaceDN w:val="0"/>
        <w:bidi w:val="0"/>
        <w:adjustRightInd/>
        <w:snapToGrid/>
        <w:spacing w:line="360" w:lineRule="auto"/>
        <w:ind w:firstLine="444" w:firstLineChars="200"/>
        <w:textAlignment w:val="auto"/>
        <w:outlineLvl w:val="9"/>
        <w:rPr>
          <w:rFonts w:ascii="宋体" w:hAnsi="宋体"/>
          <w:color w:val="auto"/>
          <w:sz w:val="24"/>
          <w:szCs w:val="24"/>
        </w:rPr>
      </w:pPr>
      <w:r>
        <w:rPr>
          <w:rFonts w:ascii="Times New Roman" w:hAnsi="Times New Roman" w:eastAsia="Times New Roman" w:cs="Times New Roman"/>
          <w:spacing w:val="-9"/>
          <w:sz w:val="24"/>
          <w:szCs w:val="24"/>
        </w:rPr>
        <w:t>1.1.2</w:t>
      </w:r>
      <w:r>
        <w:rPr>
          <w:rFonts w:ascii="宋体" w:hAnsi="宋体"/>
          <w:color w:val="auto"/>
          <w:sz w:val="24"/>
          <w:szCs w:val="24"/>
        </w:rPr>
        <w:t xml:space="preserve"> 本招标项目招标人：见投标人须知前附表。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44" w:firstLineChars="200"/>
        <w:textAlignment w:val="auto"/>
        <w:outlineLvl w:val="9"/>
        <w:rPr>
          <w:rFonts w:ascii="宋体" w:hAnsi="宋体"/>
          <w:color w:val="auto"/>
          <w:sz w:val="24"/>
          <w:szCs w:val="24"/>
        </w:rPr>
      </w:pPr>
      <w:r>
        <w:rPr>
          <w:rFonts w:ascii="Times New Roman" w:hAnsi="Times New Roman" w:eastAsia="Times New Roman" w:cs="Times New Roman"/>
          <w:spacing w:val="-9"/>
          <w:sz w:val="24"/>
          <w:szCs w:val="24"/>
        </w:rPr>
        <w:t>1.1.3</w:t>
      </w:r>
      <w:r>
        <w:rPr>
          <w:rFonts w:ascii="宋体" w:hAnsi="宋体"/>
          <w:color w:val="auto"/>
          <w:sz w:val="24"/>
          <w:szCs w:val="24"/>
        </w:rPr>
        <w:t xml:space="preserve"> 本标段招标代理机构：见投标人须知前附表。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44" w:firstLineChars="200"/>
        <w:textAlignment w:val="auto"/>
        <w:outlineLvl w:val="9"/>
        <w:rPr>
          <w:rFonts w:ascii="宋体" w:hAnsi="宋体"/>
          <w:color w:val="auto"/>
          <w:sz w:val="24"/>
          <w:szCs w:val="24"/>
        </w:rPr>
      </w:pPr>
      <w:r>
        <w:rPr>
          <w:rFonts w:ascii="Times New Roman" w:hAnsi="Times New Roman" w:eastAsia="Times New Roman" w:cs="Times New Roman"/>
          <w:spacing w:val="-9"/>
          <w:sz w:val="24"/>
          <w:szCs w:val="24"/>
        </w:rPr>
        <w:t xml:space="preserve">1.1.4 </w:t>
      </w:r>
      <w:r>
        <w:rPr>
          <w:rFonts w:ascii="宋体" w:hAnsi="宋体"/>
          <w:color w:val="auto"/>
          <w:sz w:val="24"/>
          <w:szCs w:val="24"/>
        </w:rPr>
        <w:t>本招标项目名称：见投标人须知前附表。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44" w:firstLineChars="200"/>
        <w:textAlignment w:val="auto"/>
        <w:outlineLvl w:val="9"/>
        <w:rPr>
          <w:rFonts w:ascii="宋体" w:hAnsi="宋体"/>
          <w:color w:val="auto"/>
          <w:sz w:val="24"/>
          <w:szCs w:val="24"/>
        </w:rPr>
      </w:pPr>
      <w:r>
        <w:rPr>
          <w:rFonts w:ascii="Times New Roman" w:hAnsi="Times New Roman" w:eastAsia="Times New Roman" w:cs="Times New Roman"/>
          <w:spacing w:val="-9"/>
          <w:sz w:val="24"/>
          <w:szCs w:val="24"/>
        </w:rPr>
        <w:t>1.1.5</w:t>
      </w:r>
      <w:r>
        <w:rPr>
          <w:rFonts w:ascii="宋体" w:hAnsi="宋体"/>
          <w:color w:val="auto"/>
          <w:sz w:val="24"/>
          <w:szCs w:val="24"/>
        </w:rPr>
        <w:t xml:space="preserve"> 本标段建设地点：见投标人须知前附表。</w:t>
      </w:r>
    </w:p>
    <w:p>
      <w:pPr>
        <w:keepNext w:val="0"/>
        <w:keepLines w:val="0"/>
        <w:pageBreakBefore w:val="0"/>
        <w:wordWrap/>
        <w:overflowPunct/>
        <w:topLinePunct w:val="0"/>
        <w:autoSpaceDE w:val="0"/>
        <w:autoSpaceDN w:val="0"/>
        <w:bidi w:val="0"/>
        <w:spacing w:before="279" w:line="360" w:lineRule="auto"/>
        <w:ind w:left="131"/>
        <w:rPr>
          <w:rFonts w:ascii="黑体" w:hAnsi="黑体" w:eastAsia="黑体" w:cs="黑体"/>
          <w:sz w:val="24"/>
          <w:szCs w:val="24"/>
        </w:rPr>
      </w:pPr>
      <w:r>
        <w:rPr>
          <w:rFonts w:ascii="黑体" w:hAnsi="黑体" w:eastAsia="黑体" w:cs="黑体"/>
          <w:spacing w:val="-2"/>
          <w:sz w:val="24"/>
          <w:szCs w:val="24"/>
        </w:rPr>
        <w:t>1.2 招标项目的资金来源和落实情况</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9" w:line="360" w:lineRule="auto"/>
        <w:ind w:left="617"/>
        <w:rPr>
          <w:rFonts w:ascii="宋体" w:hAnsi="宋体" w:eastAsia="宋体" w:cs="宋体"/>
          <w:sz w:val="24"/>
          <w:szCs w:val="24"/>
        </w:rPr>
      </w:pPr>
      <w:r>
        <w:rPr>
          <w:rFonts w:ascii="Times New Roman" w:hAnsi="Times New Roman" w:eastAsia="Times New Roman" w:cs="Times New Roman"/>
          <w:spacing w:val="-3"/>
          <w:sz w:val="24"/>
          <w:szCs w:val="24"/>
        </w:rPr>
        <w:t xml:space="preserve">1.2.1  </w:t>
      </w:r>
      <w:r>
        <w:rPr>
          <w:rFonts w:ascii="宋体" w:hAnsi="宋体" w:eastAsia="宋体" w:cs="宋体"/>
          <w:spacing w:val="-3"/>
          <w:sz w:val="24"/>
          <w:szCs w:val="24"/>
        </w:rPr>
        <w:t>资金来源及比例：见投标人须知前附表。</w:t>
      </w:r>
    </w:p>
    <w:p>
      <w:pPr>
        <w:keepNext w:val="0"/>
        <w:keepLines w:val="0"/>
        <w:pageBreakBefore w:val="0"/>
        <w:wordWrap/>
        <w:overflowPunct/>
        <w:topLinePunct w:val="0"/>
        <w:autoSpaceDE w:val="0"/>
        <w:autoSpaceDN w:val="0"/>
        <w:bidi w:val="0"/>
        <w:spacing w:before="116" w:line="360" w:lineRule="auto"/>
        <w:ind w:left="617"/>
        <w:rPr>
          <w:rFonts w:ascii="宋体" w:hAnsi="宋体" w:eastAsia="宋体" w:cs="宋体"/>
          <w:sz w:val="24"/>
          <w:szCs w:val="24"/>
        </w:rPr>
      </w:pPr>
      <w:r>
        <w:rPr>
          <w:rFonts w:ascii="Times New Roman" w:hAnsi="Times New Roman" w:eastAsia="Times New Roman" w:cs="Times New Roman"/>
          <w:spacing w:val="-3"/>
          <w:sz w:val="24"/>
          <w:szCs w:val="24"/>
        </w:rPr>
        <w:t xml:space="preserve">1.2.2  </w:t>
      </w:r>
      <w:r>
        <w:rPr>
          <w:rFonts w:ascii="宋体" w:hAnsi="宋体" w:eastAsia="宋体" w:cs="宋体"/>
          <w:spacing w:val="-3"/>
          <w:sz w:val="24"/>
          <w:szCs w:val="24"/>
        </w:rPr>
        <w:t>资金落实情况：见投标人须知前附表。</w:t>
      </w:r>
    </w:p>
    <w:p>
      <w:pPr>
        <w:keepNext w:val="0"/>
        <w:keepLines w:val="0"/>
        <w:pageBreakBefore w:val="0"/>
        <w:wordWrap/>
        <w:overflowPunct/>
        <w:topLinePunct w:val="0"/>
        <w:autoSpaceDE w:val="0"/>
        <w:autoSpaceDN w:val="0"/>
        <w:bidi w:val="0"/>
        <w:spacing w:before="265" w:line="360" w:lineRule="auto"/>
        <w:ind w:left="131"/>
        <w:rPr>
          <w:rFonts w:ascii="黑体" w:hAnsi="黑体" w:eastAsia="黑体" w:cs="黑体"/>
          <w:sz w:val="24"/>
          <w:szCs w:val="24"/>
        </w:rPr>
      </w:pPr>
      <w:r>
        <w:rPr>
          <w:rFonts w:ascii="黑体" w:hAnsi="黑体" w:eastAsia="黑体" w:cs="黑体"/>
          <w:spacing w:val="-1"/>
          <w:sz w:val="24"/>
          <w:szCs w:val="24"/>
        </w:rPr>
        <w:t>1.3 招标范围、计划工期、质量要求和安全目标</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left="617"/>
        <w:rPr>
          <w:rFonts w:ascii="宋体" w:hAnsi="宋体" w:eastAsia="宋体" w:cs="宋体"/>
          <w:sz w:val="24"/>
          <w:szCs w:val="24"/>
        </w:rPr>
      </w:pPr>
      <w:r>
        <w:rPr>
          <w:rFonts w:ascii="Times New Roman" w:hAnsi="Times New Roman" w:eastAsia="Times New Roman" w:cs="Times New Roman"/>
          <w:spacing w:val="-3"/>
          <w:sz w:val="24"/>
          <w:szCs w:val="24"/>
        </w:rPr>
        <w:t xml:space="preserve">1.3.1  </w:t>
      </w:r>
      <w:r>
        <w:rPr>
          <w:rFonts w:ascii="宋体" w:hAnsi="宋体" w:eastAsia="宋体" w:cs="宋体"/>
          <w:spacing w:val="-3"/>
          <w:sz w:val="24"/>
          <w:szCs w:val="24"/>
        </w:rPr>
        <w:t>招标范围：见投标人须知前附表。</w:t>
      </w:r>
    </w:p>
    <w:p>
      <w:pPr>
        <w:keepNext w:val="0"/>
        <w:keepLines w:val="0"/>
        <w:pageBreakBefore w:val="0"/>
        <w:wordWrap/>
        <w:overflowPunct/>
        <w:topLinePunct w:val="0"/>
        <w:autoSpaceDE w:val="0"/>
        <w:autoSpaceDN w:val="0"/>
        <w:bidi w:val="0"/>
        <w:spacing w:before="173" w:line="360" w:lineRule="auto"/>
        <w:ind w:left="617"/>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1.3.2</w:t>
      </w:r>
      <w:r>
        <w:rPr>
          <w:rFonts w:hint="eastAsia" w:ascii="Times New Roman" w:hAnsi="Times New Roman" w:eastAsia="宋体" w:cs="Times New Roman"/>
          <w:spacing w:val="-5"/>
          <w:sz w:val="24"/>
          <w:szCs w:val="24"/>
          <w:lang w:val="en-US" w:eastAsia="zh-CN"/>
        </w:rPr>
        <w:t xml:space="preserve"> </w:t>
      </w:r>
      <w:r>
        <w:rPr>
          <w:rFonts w:ascii="Times New Roman" w:hAnsi="Times New Roman" w:eastAsia="Times New Roman" w:cs="Times New Roman"/>
          <w:spacing w:val="-5"/>
          <w:sz w:val="24"/>
          <w:szCs w:val="24"/>
        </w:rPr>
        <w:t>本标段的计划工期：见投标人须知前附表。</w:t>
      </w:r>
    </w:p>
    <w:p>
      <w:pPr>
        <w:keepNext w:val="0"/>
        <w:keepLines w:val="0"/>
        <w:pageBreakBefore w:val="0"/>
        <w:wordWrap/>
        <w:overflowPunct/>
        <w:topLinePunct w:val="0"/>
        <w:autoSpaceDE w:val="0"/>
        <w:autoSpaceDN w:val="0"/>
        <w:bidi w:val="0"/>
        <w:spacing w:before="184" w:line="360" w:lineRule="auto"/>
        <w:ind w:left="617"/>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1.3.3</w:t>
      </w:r>
      <w:r>
        <w:rPr>
          <w:rFonts w:hint="eastAsia" w:ascii="Times New Roman" w:hAnsi="Times New Roman" w:eastAsia="宋体" w:cs="Times New Roman"/>
          <w:spacing w:val="-5"/>
          <w:sz w:val="24"/>
          <w:szCs w:val="24"/>
          <w:lang w:val="en-US" w:eastAsia="zh-CN"/>
        </w:rPr>
        <w:t xml:space="preserve"> </w:t>
      </w:r>
      <w:r>
        <w:rPr>
          <w:rFonts w:ascii="Times New Roman" w:hAnsi="Times New Roman" w:eastAsia="Times New Roman" w:cs="Times New Roman"/>
          <w:spacing w:val="-5"/>
          <w:sz w:val="24"/>
          <w:szCs w:val="24"/>
        </w:rPr>
        <w:t>本标段的质量要求：见投标人须知前附表。</w:t>
      </w:r>
    </w:p>
    <w:p>
      <w:pPr>
        <w:keepNext w:val="0"/>
        <w:keepLines w:val="0"/>
        <w:pageBreakBefore w:val="0"/>
        <w:wordWrap/>
        <w:overflowPunct/>
        <w:topLinePunct w:val="0"/>
        <w:autoSpaceDE w:val="0"/>
        <w:autoSpaceDN w:val="0"/>
        <w:bidi w:val="0"/>
        <w:spacing w:before="131" w:line="360" w:lineRule="auto"/>
        <w:ind w:left="617"/>
        <w:rPr>
          <w:rFonts w:ascii="宋体" w:hAnsi="宋体" w:eastAsia="宋体" w:cs="宋体"/>
          <w:sz w:val="24"/>
          <w:szCs w:val="24"/>
        </w:rPr>
      </w:pPr>
      <w:r>
        <w:rPr>
          <w:rFonts w:ascii="Times New Roman" w:hAnsi="Times New Roman" w:eastAsia="Times New Roman" w:cs="Times New Roman"/>
          <w:spacing w:val="-10"/>
          <w:sz w:val="24"/>
          <w:szCs w:val="24"/>
        </w:rPr>
        <w:t xml:space="preserve">1.3.4  </w:t>
      </w:r>
      <w:r>
        <w:rPr>
          <w:rFonts w:ascii="宋体" w:hAnsi="宋体" w:eastAsia="宋体" w:cs="宋体"/>
          <w:spacing w:val="-10"/>
          <w:sz w:val="24"/>
          <w:szCs w:val="24"/>
        </w:rPr>
        <w:t>本标段的安全目标：</w:t>
      </w:r>
      <w:r>
        <w:rPr>
          <w:rFonts w:ascii="宋体" w:hAnsi="宋体" w:eastAsia="宋体" w:cs="宋体"/>
          <w:spacing w:val="81"/>
          <w:sz w:val="24"/>
          <w:szCs w:val="24"/>
        </w:rPr>
        <w:t xml:space="preserve"> </w:t>
      </w:r>
      <w:r>
        <w:rPr>
          <w:rFonts w:ascii="宋体" w:hAnsi="宋体" w:eastAsia="宋体" w:cs="宋体"/>
          <w:spacing w:val="-10"/>
          <w:sz w:val="24"/>
          <w:szCs w:val="24"/>
        </w:rPr>
        <w:t>见投标人须知前附表。</w:t>
      </w:r>
    </w:p>
    <w:p>
      <w:pPr>
        <w:keepNext w:val="0"/>
        <w:keepLines w:val="0"/>
        <w:pageBreakBefore w:val="0"/>
        <w:wordWrap/>
        <w:overflowPunct/>
        <w:topLinePunct w:val="0"/>
        <w:autoSpaceDE w:val="0"/>
        <w:autoSpaceDN w:val="0"/>
        <w:bidi w:val="0"/>
        <w:spacing w:before="265" w:line="360" w:lineRule="auto"/>
        <w:ind w:left="131"/>
        <w:rPr>
          <w:rFonts w:ascii="黑体" w:hAnsi="黑体" w:eastAsia="黑体" w:cs="黑体"/>
          <w:spacing w:val="-1"/>
          <w:sz w:val="24"/>
          <w:szCs w:val="24"/>
        </w:rPr>
      </w:pPr>
      <w:r>
        <w:rPr>
          <w:rFonts w:ascii="黑体" w:hAnsi="黑体" w:eastAsia="黑体" w:cs="黑体"/>
          <w:spacing w:val="-1"/>
          <w:sz w:val="24"/>
          <w:szCs w:val="24"/>
        </w:rPr>
        <w:t>1.4 投标人资格要求</w:t>
      </w:r>
    </w:p>
    <w:p>
      <w:pPr>
        <w:keepNext w:val="0"/>
        <w:keepLines w:val="0"/>
        <w:pageBreakBefore w:val="0"/>
        <w:wordWrap/>
        <w:overflowPunct/>
        <w:topLinePunct w:val="0"/>
        <w:autoSpaceDE w:val="0"/>
        <w:autoSpaceDN w:val="0"/>
        <w:bidi w:val="0"/>
        <w:spacing w:before="265" w:line="360" w:lineRule="auto"/>
        <w:ind w:left="131"/>
        <w:rPr>
          <w:rFonts w:ascii="宋体" w:hAnsi="宋体" w:eastAsia="宋体" w:cs="宋体"/>
          <w:sz w:val="24"/>
          <w:szCs w:val="24"/>
        </w:rPr>
      </w:pPr>
      <w:r>
        <w:rPr>
          <w:rFonts w:ascii="Times New Roman" w:hAnsi="Times New Roman" w:eastAsia="Times New Roman" w:cs="Times New Roman"/>
          <w:spacing w:val="-2"/>
          <w:sz w:val="24"/>
          <w:szCs w:val="24"/>
        </w:rPr>
        <w:t xml:space="preserve">1.4.1  </w:t>
      </w:r>
      <w:r>
        <w:rPr>
          <w:rFonts w:ascii="宋体" w:hAnsi="宋体" w:eastAsia="宋体" w:cs="宋体"/>
          <w:spacing w:val="-2"/>
          <w:sz w:val="24"/>
          <w:szCs w:val="24"/>
        </w:rPr>
        <w:t>投标人应具备承担本标段施工的资质条件、能力和信誉。</w:t>
      </w:r>
      <w:r>
        <w:rPr>
          <w:rFonts w:ascii="宋体" w:hAnsi="宋体" w:eastAsia="宋体" w:cs="宋体"/>
          <w:sz w:val="24"/>
          <w:szCs w:val="24"/>
        </w:rPr>
        <w:t xml:space="preserve"> </w:t>
      </w:r>
    </w:p>
    <w:p>
      <w:pPr>
        <w:keepNext w:val="0"/>
        <w:keepLines w:val="0"/>
        <w:pageBreakBefore w:val="0"/>
        <w:wordWrap/>
        <w:overflowPunct/>
        <w:topLinePunct w:val="0"/>
        <w:autoSpaceDE w:val="0"/>
        <w:autoSpaceDN w:val="0"/>
        <w:bidi w:val="0"/>
        <w:spacing w:before="78" w:line="360" w:lineRule="auto"/>
        <w:ind w:right="1854" w:firstLine="464" w:firstLineChars="20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）资质要求：见投标人须知前附表；</w:t>
      </w:r>
    </w:p>
    <w:p>
      <w:pPr>
        <w:keepNext w:val="0"/>
        <w:keepLines w:val="0"/>
        <w:pageBreakBefore w:val="0"/>
        <w:wordWrap/>
        <w:overflowPunct/>
        <w:topLinePunct w:val="0"/>
        <w:autoSpaceDE w:val="0"/>
        <w:autoSpaceDN w:val="0"/>
        <w:bidi w:val="0"/>
        <w:spacing w:before="114" w:line="360" w:lineRule="auto"/>
        <w:ind w:left="485"/>
        <w:rPr>
          <w:rFonts w:ascii="宋体" w:hAnsi="宋体" w:eastAsia="宋体" w:cs="宋体"/>
          <w:sz w:val="24"/>
          <w:szCs w:val="24"/>
        </w:rPr>
      </w:pPr>
      <w:r>
        <w:rPr>
          <w:rFonts w:ascii="宋体" w:hAnsi="宋体" w:eastAsia="宋体" w:cs="宋体"/>
          <w:spacing w:val="-4"/>
          <w:position w:val="11"/>
          <w:sz w:val="24"/>
          <w:szCs w:val="24"/>
        </w:rPr>
        <w:t>（</w:t>
      </w:r>
      <w:r>
        <w:rPr>
          <w:rFonts w:ascii="Times New Roman" w:hAnsi="Times New Roman" w:eastAsia="Times New Roman" w:cs="Times New Roman"/>
          <w:spacing w:val="-4"/>
          <w:position w:val="11"/>
          <w:sz w:val="24"/>
          <w:szCs w:val="24"/>
        </w:rPr>
        <w:t>2</w:t>
      </w:r>
      <w:r>
        <w:rPr>
          <w:rFonts w:ascii="宋体" w:hAnsi="宋体" w:eastAsia="宋体" w:cs="宋体"/>
          <w:spacing w:val="-4"/>
          <w:position w:val="11"/>
          <w:sz w:val="24"/>
          <w:szCs w:val="24"/>
        </w:rPr>
        <w:t>）财务要求：见投标人须知前附表；</w:t>
      </w:r>
    </w:p>
    <w:p>
      <w:pPr>
        <w:keepNext w:val="0"/>
        <w:keepLines w:val="0"/>
        <w:pageBreakBefore w:val="0"/>
        <w:wordWrap/>
        <w:overflowPunct/>
        <w:topLinePunct w:val="0"/>
        <w:autoSpaceDE w:val="0"/>
        <w:autoSpaceDN w:val="0"/>
        <w:bidi w:val="0"/>
        <w:spacing w:before="1" w:line="360" w:lineRule="auto"/>
        <w:ind w:left="485"/>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）业绩要求：见投标人须知前附表；</w:t>
      </w:r>
    </w:p>
    <w:p>
      <w:pPr>
        <w:keepNext w:val="0"/>
        <w:keepLines w:val="0"/>
        <w:pageBreakBefore w:val="0"/>
        <w:wordWrap/>
        <w:overflowPunct/>
        <w:topLinePunct w:val="0"/>
        <w:autoSpaceDE w:val="0"/>
        <w:autoSpaceDN w:val="0"/>
        <w:bidi w:val="0"/>
        <w:spacing w:before="116" w:line="360" w:lineRule="auto"/>
        <w:ind w:left="485"/>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）信誉要求：见投标人须知前附表；</w:t>
      </w:r>
    </w:p>
    <w:p>
      <w:pPr>
        <w:keepNext w:val="0"/>
        <w:keepLines w:val="0"/>
        <w:pageBreakBefore w:val="0"/>
        <w:wordWrap/>
        <w:overflowPunct/>
        <w:topLinePunct w:val="0"/>
        <w:autoSpaceDE w:val="0"/>
        <w:autoSpaceDN w:val="0"/>
        <w:bidi w:val="0"/>
        <w:spacing w:before="114" w:line="360" w:lineRule="auto"/>
        <w:ind w:left="485"/>
        <w:rPr>
          <w:rFonts w:ascii="宋体" w:hAnsi="宋体" w:eastAsia="宋体" w:cs="宋体"/>
          <w:sz w:val="24"/>
          <w:szCs w:val="24"/>
        </w:rPr>
      </w:pPr>
      <w:r>
        <w:rPr>
          <w:rFonts w:ascii="宋体" w:hAnsi="宋体" w:eastAsia="宋体" w:cs="宋体"/>
          <w:spacing w:val="-3"/>
          <w:position w:val="11"/>
          <w:sz w:val="24"/>
          <w:szCs w:val="24"/>
        </w:rPr>
        <w:t>（</w:t>
      </w:r>
      <w:r>
        <w:rPr>
          <w:rFonts w:ascii="Times New Roman" w:hAnsi="Times New Roman" w:eastAsia="Times New Roman" w:cs="Times New Roman"/>
          <w:spacing w:val="-3"/>
          <w:position w:val="11"/>
          <w:sz w:val="24"/>
          <w:szCs w:val="24"/>
        </w:rPr>
        <w:t>5</w:t>
      </w:r>
      <w:r>
        <w:rPr>
          <w:rFonts w:ascii="宋体" w:hAnsi="宋体" w:eastAsia="宋体" w:cs="宋体"/>
          <w:spacing w:val="-3"/>
          <w:position w:val="11"/>
          <w:sz w:val="24"/>
          <w:szCs w:val="24"/>
        </w:rPr>
        <w:t>）项目经理和项目总工资格：见投标人须知前附表；</w:t>
      </w:r>
    </w:p>
    <w:p>
      <w:pPr>
        <w:keepNext w:val="0"/>
        <w:keepLines w:val="0"/>
        <w:pageBreakBefore w:val="0"/>
        <w:wordWrap/>
        <w:overflowPunct/>
        <w:topLinePunct w:val="0"/>
        <w:autoSpaceDE w:val="0"/>
        <w:autoSpaceDN w:val="0"/>
        <w:bidi w:val="0"/>
        <w:spacing w:before="1" w:line="360" w:lineRule="auto"/>
        <w:ind w:left="485"/>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6</w:t>
      </w:r>
      <w:r>
        <w:rPr>
          <w:rFonts w:ascii="宋体" w:hAnsi="宋体" w:eastAsia="宋体" w:cs="宋体"/>
          <w:spacing w:val="-3"/>
          <w:sz w:val="24"/>
          <w:szCs w:val="24"/>
        </w:rPr>
        <w:t>）其他要求：见投标人须知前附表。</w:t>
      </w:r>
    </w:p>
    <w:p>
      <w:pPr>
        <w:keepNext w:val="0"/>
        <w:keepLines w:val="0"/>
        <w:pageBreakBefore w:val="0"/>
        <w:wordWrap/>
        <w:overflowPunct/>
        <w:topLinePunct w:val="0"/>
        <w:autoSpaceDE w:val="0"/>
        <w:autoSpaceDN w:val="0"/>
        <w:bidi w:val="0"/>
        <w:spacing w:before="116" w:line="360" w:lineRule="auto"/>
        <w:ind w:left="612"/>
        <w:rPr>
          <w:rFonts w:ascii="宋体" w:hAnsi="宋体" w:eastAsia="宋体" w:cs="宋体"/>
          <w:sz w:val="24"/>
          <w:szCs w:val="24"/>
        </w:rPr>
      </w:pPr>
      <w:r>
        <w:rPr>
          <w:rFonts w:ascii="宋体" w:hAnsi="宋体" w:eastAsia="宋体" w:cs="宋体"/>
          <w:spacing w:val="-3"/>
          <w:sz w:val="24"/>
          <w:szCs w:val="24"/>
        </w:rPr>
        <w:t>需要提交的相关证明材料见本章第</w:t>
      </w:r>
      <w:r>
        <w:rPr>
          <w:rFonts w:ascii="宋体" w:hAnsi="宋体" w:eastAsia="宋体" w:cs="宋体"/>
          <w:spacing w:val="-37"/>
          <w:sz w:val="24"/>
          <w:szCs w:val="24"/>
        </w:rPr>
        <w:t xml:space="preserve"> </w:t>
      </w:r>
      <w:r>
        <w:rPr>
          <w:rFonts w:ascii="Times New Roman" w:hAnsi="Times New Roman" w:eastAsia="Times New Roman" w:cs="Times New Roman"/>
          <w:spacing w:val="-3"/>
          <w:sz w:val="24"/>
          <w:szCs w:val="24"/>
        </w:rPr>
        <w:t xml:space="preserve">3.5 </w:t>
      </w:r>
      <w:r>
        <w:rPr>
          <w:rFonts w:ascii="宋体" w:hAnsi="宋体" w:eastAsia="宋体" w:cs="宋体"/>
          <w:spacing w:val="-3"/>
          <w:sz w:val="24"/>
          <w:szCs w:val="24"/>
        </w:rPr>
        <w:t>款的规定。</w:t>
      </w:r>
    </w:p>
    <w:p>
      <w:pPr>
        <w:keepNext w:val="0"/>
        <w:keepLines w:val="0"/>
        <w:pageBreakBefore w:val="0"/>
        <w:wordWrap/>
        <w:overflowPunct/>
        <w:topLinePunct w:val="0"/>
        <w:autoSpaceDE w:val="0"/>
        <w:autoSpaceDN w:val="0"/>
        <w:bidi w:val="0"/>
        <w:spacing w:before="114" w:line="360" w:lineRule="auto"/>
        <w:ind w:firstLine="452" w:firstLineChars="200"/>
        <w:rPr>
          <w:rFonts w:ascii="Arial"/>
          <w:sz w:val="21"/>
        </w:rPr>
      </w:pPr>
      <w:r>
        <w:rPr>
          <w:rFonts w:ascii="宋体" w:hAnsi="宋体" w:eastAsia="宋体" w:cs="宋体"/>
          <w:spacing w:val="-7"/>
          <w:sz w:val="24"/>
          <w:szCs w:val="24"/>
        </w:rPr>
        <w:t>1.4.2  投标人须知前附表规定接受联合体投标的，联合体除应符合本章第1.4.1项和投</w:t>
      </w:r>
      <w:r>
        <w:rPr>
          <w:rFonts w:ascii="宋体" w:hAnsi="宋体" w:eastAsia="宋体" w:cs="宋体"/>
          <w:spacing w:val="-3"/>
          <w:sz w:val="24"/>
          <w:szCs w:val="24"/>
        </w:rPr>
        <w:t>标人须知前附表的要求外，还应遵守以下规定：</w:t>
      </w:r>
    </w:p>
    <w:p>
      <w:pPr>
        <w:keepNext w:val="0"/>
        <w:keepLines w:val="0"/>
        <w:pageBreakBefore w:val="0"/>
        <w:wordWrap/>
        <w:overflowPunct/>
        <w:topLinePunct w:val="0"/>
        <w:autoSpaceDE w:val="0"/>
        <w:autoSpaceDN w:val="0"/>
        <w:bidi w:val="0"/>
        <w:spacing w:before="78" w:line="360" w:lineRule="auto"/>
        <w:ind w:left="39" w:right="35" w:firstLine="365"/>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1</w:t>
      </w:r>
      <w:r>
        <w:rPr>
          <w:rFonts w:ascii="宋体" w:hAnsi="宋体" w:eastAsia="宋体" w:cs="宋体"/>
          <w:spacing w:val="-7"/>
          <w:sz w:val="24"/>
          <w:szCs w:val="24"/>
        </w:rPr>
        <w:t>）联合体各方应按招标文件提供的格式签</w:t>
      </w:r>
      <w:r>
        <w:rPr>
          <w:rFonts w:ascii="宋体" w:hAnsi="宋体" w:eastAsia="宋体" w:cs="宋体"/>
          <w:spacing w:val="-8"/>
          <w:sz w:val="24"/>
          <w:szCs w:val="24"/>
        </w:rPr>
        <w:t>订联合体协议书，明确联合体牵头人</w:t>
      </w:r>
      <w:r>
        <w:rPr>
          <w:rFonts w:ascii="宋体" w:hAnsi="宋体" w:eastAsia="宋体" w:cs="宋体"/>
          <w:sz w:val="24"/>
          <w:szCs w:val="24"/>
        </w:rPr>
        <w:t xml:space="preserve"> </w:t>
      </w:r>
      <w:r>
        <w:rPr>
          <w:rFonts w:ascii="宋体" w:hAnsi="宋体" w:eastAsia="宋体" w:cs="宋体"/>
          <w:spacing w:val="-1"/>
          <w:sz w:val="24"/>
          <w:szCs w:val="24"/>
        </w:rPr>
        <w:t>和各方权利义务，并承诺就中标项目向招标人承担连带责任；</w:t>
      </w:r>
    </w:p>
    <w:p>
      <w:pPr>
        <w:keepNext w:val="0"/>
        <w:keepLines w:val="0"/>
        <w:pageBreakBefore w:val="0"/>
        <w:wordWrap/>
        <w:overflowPunct/>
        <w:topLinePunct w:val="0"/>
        <w:autoSpaceDE w:val="0"/>
        <w:autoSpaceDN w:val="0"/>
        <w:bidi w:val="0"/>
        <w:spacing w:before="114" w:line="360" w:lineRule="auto"/>
        <w:jc w:val="right"/>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）由同一专业的单位组成的联合体，按照资质等级较低的单位确定资质等</w:t>
      </w:r>
      <w:r>
        <w:rPr>
          <w:rFonts w:ascii="宋体" w:hAnsi="宋体" w:eastAsia="宋体" w:cs="宋体"/>
          <w:spacing w:val="-3"/>
          <w:sz w:val="24"/>
          <w:szCs w:val="24"/>
        </w:rPr>
        <w:t>级；</w:t>
      </w:r>
    </w:p>
    <w:p>
      <w:pPr>
        <w:keepNext w:val="0"/>
        <w:keepLines w:val="0"/>
        <w:pageBreakBefore w:val="0"/>
        <w:wordWrap/>
        <w:overflowPunct/>
        <w:topLinePunct w:val="0"/>
        <w:autoSpaceDE w:val="0"/>
        <w:autoSpaceDN w:val="0"/>
        <w:bidi w:val="0"/>
        <w:spacing w:before="114" w:line="360" w:lineRule="auto"/>
        <w:ind w:left="404"/>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）联合体各方不得再以自己名义单独或</w:t>
      </w:r>
      <w:r>
        <w:rPr>
          <w:rFonts w:ascii="宋体" w:hAnsi="宋体" w:eastAsia="宋体" w:cs="宋体"/>
          <w:spacing w:val="-1"/>
          <w:sz w:val="24"/>
          <w:szCs w:val="24"/>
        </w:rPr>
        <w:t>参加其他联合体在同一标段中投标；</w:t>
      </w:r>
    </w:p>
    <w:p>
      <w:pPr>
        <w:keepNext w:val="0"/>
        <w:keepLines w:val="0"/>
        <w:pageBreakBefore w:val="0"/>
        <w:wordWrap/>
        <w:overflowPunct/>
        <w:topLinePunct w:val="0"/>
        <w:autoSpaceDE w:val="0"/>
        <w:autoSpaceDN w:val="0"/>
        <w:bidi w:val="0"/>
        <w:spacing w:before="114" w:line="360" w:lineRule="auto"/>
        <w:ind w:left="67" w:right="34" w:firstLine="337"/>
        <w:rPr>
          <w:rFonts w:ascii="宋体" w:hAnsi="宋体" w:eastAsia="宋体" w:cs="宋体"/>
          <w:sz w:val="24"/>
          <w:szCs w:val="24"/>
        </w:rPr>
      </w:pPr>
      <w:r>
        <w:rPr>
          <w:rFonts w:ascii="宋体" w:hAnsi="宋体" w:eastAsia="宋体" w:cs="宋体"/>
          <w:spacing w:val="-12"/>
          <w:sz w:val="24"/>
          <w:szCs w:val="24"/>
        </w:rPr>
        <w:t>（</w:t>
      </w:r>
      <w:r>
        <w:rPr>
          <w:rFonts w:ascii="Times New Roman" w:hAnsi="Times New Roman" w:eastAsia="Times New Roman" w:cs="Times New Roman"/>
          <w:spacing w:val="-12"/>
          <w:sz w:val="24"/>
          <w:szCs w:val="24"/>
        </w:rPr>
        <w:t>4</w:t>
      </w:r>
      <w:r>
        <w:rPr>
          <w:rFonts w:ascii="宋体" w:hAnsi="宋体" w:eastAsia="宋体" w:cs="宋体"/>
          <w:spacing w:val="-12"/>
          <w:sz w:val="24"/>
          <w:szCs w:val="24"/>
        </w:rPr>
        <w:t>）联合体各方应分别按照本招标文件的要求，</w:t>
      </w:r>
      <w:r>
        <w:rPr>
          <w:rFonts w:ascii="宋体" w:hAnsi="宋体" w:eastAsia="宋体" w:cs="宋体"/>
          <w:spacing w:val="44"/>
          <w:sz w:val="24"/>
          <w:szCs w:val="24"/>
        </w:rPr>
        <w:t xml:space="preserve"> </w:t>
      </w:r>
      <w:r>
        <w:rPr>
          <w:rFonts w:ascii="宋体" w:hAnsi="宋体" w:eastAsia="宋体" w:cs="宋体"/>
          <w:spacing w:val="-12"/>
          <w:sz w:val="24"/>
          <w:szCs w:val="24"/>
        </w:rPr>
        <w:t>填写投标文件中的相应表格，并</w:t>
      </w:r>
      <w:r>
        <w:rPr>
          <w:rFonts w:ascii="宋体" w:hAnsi="宋体" w:eastAsia="宋体" w:cs="宋体"/>
          <w:sz w:val="24"/>
          <w:szCs w:val="24"/>
        </w:rPr>
        <w:t xml:space="preserve"> </w:t>
      </w:r>
      <w:r>
        <w:rPr>
          <w:rFonts w:ascii="宋体" w:hAnsi="宋体" w:eastAsia="宋体" w:cs="宋体"/>
          <w:spacing w:val="-6"/>
          <w:sz w:val="24"/>
          <w:szCs w:val="24"/>
        </w:rPr>
        <w:t>由联合体牵头人负责对联合体各成员的资料进行统一汇总后一并提交给招标</w:t>
      </w:r>
      <w:r>
        <w:rPr>
          <w:rFonts w:ascii="宋体" w:hAnsi="宋体" w:eastAsia="宋体" w:cs="宋体"/>
          <w:spacing w:val="-7"/>
          <w:sz w:val="24"/>
          <w:szCs w:val="24"/>
        </w:rPr>
        <w:t>人；联合</w:t>
      </w:r>
    </w:p>
    <w:p>
      <w:pPr>
        <w:keepNext w:val="0"/>
        <w:keepLines w:val="0"/>
        <w:pageBreakBefore w:val="0"/>
        <w:wordWrap/>
        <w:overflowPunct/>
        <w:topLinePunct w:val="0"/>
        <w:autoSpaceDE w:val="0"/>
        <w:autoSpaceDN w:val="0"/>
        <w:bidi w:val="0"/>
        <w:spacing w:before="1" w:line="360" w:lineRule="auto"/>
        <w:ind w:left="38"/>
        <w:rPr>
          <w:rFonts w:ascii="宋体" w:hAnsi="宋体" w:eastAsia="宋体" w:cs="宋体"/>
          <w:spacing w:val="-3"/>
          <w:sz w:val="24"/>
          <w:szCs w:val="24"/>
        </w:rPr>
      </w:pPr>
      <w:r>
        <w:rPr>
          <w:rFonts w:ascii="宋体" w:hAnsi="宋体" w:eastAsia="宋体" w:cs="宋体"/>
          <w:spacing w:val="-2"/>
          <w:sz w:val="24"/>
          <w:szCs w:val="24"/>
        </w:rPr>
        <w:t>体牵头人所提交的投标文件应认为已代表了联合体各成员的真实</w:t>
      </w:r>
      <w:r>
        <w:rPr>
          <w:rFonts w:ascii="宋体" w:hAnsi="宋体" w:eastAsia="宋体" w:cs="宋体"/>
          <w:spacing w:val="-3"/>
          <w:sz w:val="24"/>
          <w:szCs w:val="24"/>
        </w:rPr>
        <w:t>情况；</w:t>
      </w:r>
    </w:p>
    <w:p>
      <w:pPr>
        <w:keepNext w:val="0"/>
        <w:keepLines w:val="0"/>
        <w:pageBreakBefore w:val="0"/>
        <w:wordWrap/>
        <w:overflowPunct/>
        <w:topLinePunct w:val="0"/>
        <w:autoSpaceDE w:val="0"/>
        <w:autoSpaceDN w:val="0"/>
        <w:bidi w:val="0"/>
        <w:spacing w:before="1" w:line="360" w:lineRule="auto"/>
        <w:ind w:left="38" w:firstLine="452" w:firstLineChars="200"/>
        <w:rPr>
          <w:rFonts w:ascii="宋体" w:hAnsi="宋体" w:eastAsia="宋体" w:cs="宋体"/>
          <w:sz w:val="24"/>
          <w:szCs w:val="24"/>
        </w:rPr>
      </w:pPr>
      <w:r>
        <w:rPr>
          <w:rFonts w:ascii="宋体" w:hAnsi="宋体" w:eastAsia="宋体" w:cs="宋体"/>
          <w:spacing w:val="-7"/>
          <w:position w:val="11"/>
          <w:sz w:val="24"/>
          <w:szCs w:val="24"/>
        </w:rPr>
        <w:t>（</w:t>
      </w:r>
      <w:r>
        <w:rPr>
          <w:rFonts w:ascii="Times New Roman" w:hAnsi="Times New Roman" w:eastAsia="Times New Roman" w:cs="Times New Roman"/>
          <w:spacing w:val="-7"/>
          <w:position w:val="11"/>
          <w:sz w:val="24"/>
          <w:szCs w:val="24"/>
        </w:rPr>
        <w:t>5</w:t>
      </w:r>
      <w:r>
        <w:rPr>
          <w:rFonts w:ascii="宋体" w:hAnsi="宋体" w:eastAsia="宋体" w:cs="宋体"/>
          <w:spacing w:val="-7"/>
          <w:position w:val="11"/>
          <w:sz w:val="24"/>
          <w:szCs w:val="24"/>
        </w:rPr>
        <w:t>）尽管委任了联合体牵头人，但联合体各成员在投标、签订合</w:t>
      </w:r>
      <w:r>
        <w:rPr>
          <w:rFonts w:ascii="宋体" w:hAnsi="宋体" w:eastAsia="宋体" w:cs="宋体"/>
          <w:spacing w:val="-8"/>
          <w:position w:val="11"/>
          <w:sz w:val="24"/>
          <w:szCs w:val="24"/>
        </w:rPr>
        <w:t>同与履行合同过</w:t>
      </w:r>
    </w:p>
    <w:p>
      <w:pPr>
        <w:keepNext w:val="0"/>
        <w:keepLines w:val="0"/>
        <w:pageBreakBefore w:val="0"/>
        <w:wordWrap/>
        <w:overflowPunct/>
        <w:topLinePunct w:val="0"/>
        <w:autoSpaceDE w:val="0"/>
        <w:autoSpaceDN w:val="0"/>
        <w:bidi w:val="0"/>
        <w:spacing w:before="1" w:line="360" w:lineRule="auto"/>
        <w:ind w:left="37"/>
        <w:rPr>
          <w:rFonts w:ascii="宋体" w:hAnsi="宋体" w:eastAsia="宋体" w:cs="宋体"/>
          <w:sz w:val="24"/>
          <w:szCs w:val="24"/>
        </w:rPr>
      </w:pPr>
      <w:r>
        <w:rPr>
          <w:rFonts w:ascii="宋体" w:hAnsi="宋体" w:eastAsia="宋体" w:cs="宋体"/>
          <w:spacing w:val="-3"/>
          <w:sz w:val="24"/>
          <w:szCs w:val="24"/>
        </w:rPr>
        <w:t>程中，仍负有连带的和各自的法律责任。</w:t>
      </w:r>
    </w:p>
    <w:p>
      <w:pPr>
        <w:keepNext w:val="0"/>
        <w:keepLines w:val="0"/>
        <w:pageBreakBefore w:val="0"/>
        <w:wordWrap/>
        <w:overflowPunct/>
        <w:topLinePunct w:val="0"/>
        <w:autoSpaceDE w:val="0"/>
        <w:autoSpaceDN w:val="0"/>
        <w:bidi w:val="0"/>
        <w:spacing w:before="115" w:line="360" w:lineRule="auto"/>
        <w:ind w:left="536"/>
        <w:rPr>
          <w:rFonts w:ascii="宋体" w:hAnsi="宋体" w:eastAsia="宋体" w:cs="宋体"/>
          <w:sz w:val="24"/>
          <w:szCs w:val="24"/>
        </w:rPr>
      </w:pPr>
      <w:r>
        <w:rPr>
          <w:rFonts w:ascii="Times New Roman" w:hAnsi="Times New Roman" w:eastAsia="Times New Roman" w:cs="Times New Roman"/>
          <w:spacing w:val="-5"/>
          <w:sz w:val="24"/>
          <w:szCs w:val="24"/>
        </w:rPr>
        <w:t xml:space="preserve">1.4.3  </w:t>
      </w:r>
      <w:r>
        <w:rPr>
          <w:rFonts w:ascii="宋体" w:hAnsi="宋体" w:eastAsia="宋体" w:cs="宋体"/>
          <w:spacing w:val="-5"/>
          <w:sz w:val="24"/>
          <w:szCs w:val="24"/>
        </w:rPr>
        <w:t>投标人（包括联合体各成员）不得与本标段相关单位存在下列关联关系：</w:t>
      </w:r>
    </w:p>
    <w:p>
      <w:pPr>
        <w:keepNext w:val="0"/>
        <w:keepLines w:val="0"/>
        <w:pageBreakBefore w:val="0"/>
        <w:wordWrap/>
        <w:overflowPunct/>
        <w:topLinePunct w:val="0"/>
        <w:autoSpaceDE w:val="0"/>
        <w:autoSpaceDN w:val="0"/>
        <w:bidi w:val="0"/>
        <w:spacing w:before="114" w:line="360" w:lineRule="auto"/>
        <w:ind w:left="40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）为招标人不具有独立法人资格的附属机构（单位</w:t>
      </w:r>
      <w:r>
        <w:rPr>
          <w:rFonts w:ascii="宋体" w:hAnsi="宋体" w:eastAsia="宋体" w:cs="宋体"/>
          <w:spacing w:val="-64"/>
          <w:sz w:val="24"/>
          <w:szCs w:val="24"/>
        </w:rPr>
        <w:t>）；</w:t>
      </w:r>
    </w:p>
    <w:p>
      <w:pPr>
        <w:keepNext w:val="0"/>
        <w:keepLines w:val="0"/>
        <w:pageBreakBefore w:val="0"/>
        <w:wordWrap/>
        <w:overflowPunct/>
        <w:topLinePunct w:val="0"/>
        <w:autoSpaceDE w:val="0"/>
        <w:autoSpaceDN w:val="0"/>
        <w:bidi w:val="0"/>
        <w:spacing w:before="115" w:line="360" w:lineRule="auto"/>
        <w:ind w:left="40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）与招标人存在利害关系且可能影响招标公正性；</w:t>
      </w:r>
    </w:p>
    <w:p>
      <w:pPr>
        <w:keepNext w:val="0"/>
        <w:keepLines w:val="0"/>
        <w:pageBreakBefore w:val="0"/>
        <w:wordWrap/>
        <w:overflowPunct/>
        <w:topLinePunct w:val="0"/>
        <w:autoSpaceDE w:val="0"/>
        <w:autoSpaceDN w:val="0"/>
        <w:bidi w:val="0"/>
        <w:spacing w:before="115" w:line="360" w:lineRule="auto"/>
        <w:ind w:left="40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）与本标段的其他投标人同为一个单位负责人；</w:t>
      </w:r>
    </w:p>
    <w:p>
      <w:pPr>
        <w:keepNext w:val="0"/>
        <w:keepLines w:val="0"/>
        <w:pageBreakBefore w:val="0"/>
        <w:wordWrap/>
        <w:overflowPunct/>
        <w:topLinePunct w:val="0"/>
        <w:autoSpaceDE w:val="0"/>
        <w:autoSpaceDN w:val="0"/>
        <w:bidi w:val="0"/>
        <w:spacing w:before="114" w:line="360" w:lineRule="auto"/>
        <w:ind w:left="40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）与本标段的其他投标人存在控股、管理关系；</w:t>
      </w:r>
    </w:p>
    <w:p>
      <w:pPr>
        <w:keepNext w:val="0"/>
        <w:keepLines w:val="0"/>
        <w:pageBreakBefore w:val="0"/>
        <w:wordWrap/>
        <w:overflowPunct/>
        <w:topLinePunct w:val="0"/>
        <w:autoSpaceDE w:val="0"/>
        <w:autoSpaceDN w:val="0"/>
        <w:bidi w:val="0"/>
        <w:spacing w:before="116" w:line="360" w:lineRule="auto"/>
        <w:ind w:left="404"/>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5</w:t>
      </w:r>
      <w:r>
        <w:rPr>
          <w:rFonts w:ascii="宋体" w:hAnsi="宋体" w:eastAsia="宋体" w:cs="宋体"/>
          <w:spacing w:val="-4"/>
          <w:sz w:val="24"/>
          <w:szCs w:val="24"/>
        </w:rPr>
        <w:t>）为本标段前期准备提供设计或咨询服务的法人或其任何</w:t>
      </w:r>
      <w:r>
        <w:rPr>
          <w:rFonts w:ascii="宋体" w:hAnsi="宋体" w:eastAsia="宋体" w:cs="宋体"/>
          <w:spacing w:val="-5"/>
          <w:sz w:val="24"/>
          <w:szCs w:val="24"/>
        </w:rPr>
        <w:t>附属机构（单位）；</w:t>
      </w:r>
    </w:p>
    <w:p>
      <w:pPr>
        <w:keepNext w:val="0"/>
        <w:keepLines w:val="0"/>
        <w:pageBreakBefore w:val="0"/>
        <w:wordWrap/>
        <w:overflowPunct/>
        <w:topLinePunct w:val="0"/>
        <w:autoSpaceDE w:val="0"/>
        <w:autoSpaceDN w:val="0"/>
        <w:bidi w:val="0"/>
        <w:spacing w:before="117" w:line="360" w:lineRule="auto"/>
        <w:ind w:left="404"/>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6</w:t>
      </w:r>
      <w:r>
        <w:rPr>
          <w:rFonts w:ascii="宋体" w:hAnsi="宋体" w:eastAsia="宋体" w:cs="宋体"/>
          <w:spacing w:val="-6"/>
          <w:sz w:val="24"/>
          <w:szCs w:val="24"/>
        </w:rPr>
        <w:t>）为本标段的监理人；</w:t>
      </w:r>
    </w:p>
    <w:p>
      <w:pPr>
        <w:keepNext w:val="0"/>
        <w:keepLines w:val="0"/>
        <w:pageBreakBefore w:val="0"/>
        <w:wordWrap/>
        <w:overflowPunct/>
        <w:topLinePunct w:val="0"/>
        <w:autoSpaceDE w:val="0"/>
        <w:autoSpaceDN w:val="0"/>
        <w:bidi w:val="0"/>
        <w:spacing w:before="113" w:line="360" w:lineRule="auto"/>
        <w:ind w:left="404"/>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7</w:t>
      </w:r>
      <w:r>
        <w:rPr>
          <w:rFonts w:ascii="宋体" w:hAnsi="宋体" w:eastAsia="宋体" w:cs="宋体"/>
          <w:spacing w:val="-6"/>
          <w:sz w:val="24"/>
          <w:szCs w:val="24"/>
        </w:rPr>
        <w:t>）为本标段的代建人；</w:t>
      </w:r>
    </w:p>
    <w:p>
      <w:pPr>
        <w:keepNext w:val="0"/>
        <w:keepLines w:val="0"/>
        <w:pageBreakBefore w:val="0"/>
        <w:wordWrap/>
        <w:overflowPunct/>
        <w:topLinePunct w:val="0"/>
        <w:autoSpaceDE w:val="0"/>
        <w:autoSpaceDN w:val="0"/>
        <w:bidi w:val="0"/>
        <w:spacing w:before="117" w:line="360" w:lineRule="auto"/>
        <w:ind w:left="40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宋体" w:hAnsi="宋体" w:eastAsia="宋体" w:cs="宋体"/>
          <w:spacing w:val="-2"/>
          <w:sz w:val="24"/>
          <w:szCs w:val="24"/>
        </w:rPr>
        <w:t>）为本标段的招标代理机构；</w:t>
      </w:r>
    </w:p>
    <w:p>
      <w:pPr>
        <w:keepNext w:val="0"/>
        <w:keepLines w:val="0"/>
        <w:pageBreakBefore w:val="0"/>
        <w:wordWrap/>
        <w:overflowPunct/>
        <w:topLinePunct w:val="0"/>
        <w:autoSpaceDE w:val="0"/>
        <w:autoSpaceDN w:val="0"/>
        <w:bidi w:val="0"/>
        <w:spacing w:before="116" w:line="360" w:lineRule="auto"/>
        <w:ind w:left="40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9</w:t>
      </w:r>
      <w:r>
        <w:rPr>
          <w:rFonts w:ascii="宋体" w:hAnsi="宋体" w:eastAsia="宋体" w:cs="宋体"/>
          <w:spacing w:val="-2"/>
          <w:sz w:val="24"/>
          <w:szCs w:val="24"/>
        </w:rPr>
        <w:t>）与本标段的监理人或代建人或招标代理机构同为一个法定代表</w:t>
      </w:r>
      <w:r>
        <w:rPr>
          <w:rFonts w:ascii="宋体" w:hAnsi="宋体" w:eastAsia="宋体" w:cs="宋体"/>
          <w:spacing w:val="-3"/>
          <w:sz w:val="24"/>
          <w:szCs w:val="24"/>
        </w:rPr>
        <w:t>人；</w:t>
      </w:r>
    </w:p>
    <w:p>
      <w:pPr>
        <w:keepNext w:val="0"/>
        <w:keepLines w:val="0"/>
        <w:pageBreakBefore w:val="0"/>
        <w:wordWrap/>
        <w:overflowPunct/>
        <w:topLinePunct w:val="0"/>
        <w:autoSpaceDE w:val="0"/>
        <w:autoSpaceDN w:val="0"/>
        <w:bidi w:val="0"/>
        <w:spacing w:before="113" w:line="360" w:lineRule="auto"/>
        <w:ind w:left="40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10</w:t>
      </w:r>
      <w:r>
        <w:rPr>
          <w:rFonts w:ascii="宋体" w:hAnsi="宋体" w:eastAsia="宋体" w:cs="宋体"/>
          <w:spacing w:val="-1"/>
          <w:sz w:val="24"/>
          <w:szCs w:val="24"/>
        </w:rPr>
        <w:t>）与本标段的监理人或代建人或招标代理机构存在控股或参股关系；</w:t>
      </w:r>
    </w:p>
    <w:p>
      <w:pPr>
        <w:keepNext w:val="0"/>
        <w:keepLines w:val="0"/>
        <w:pageBreakBefore w:val="0"/>
        <w:wordWrap/>
        <w:overflowPunct/>
        <w:topLinePunct w:val="0"/>
        <w:autoSpaceDE w:val="0"/>
        <w:autoSpaceDN w:val="0"/>
        <w:bidi w:val="0"/>
        <w:spacing w:before="116" w:line="360" w:lineRule="auto"/>
        <w:ind w:left="40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11</w:t>
      </w:r>
      <w:r>
        <w:rPr>
          <w:rFonts w:ascii="宋体" w:hAnsi="宋体" w:eastAsia="宋体" w:cs="宋体"/>
          <w:spacing w:val="-3"/>
          <w:sz w:val="24"/>
          <w:szCs w:val="24"/>
        </w:rPr>
        <w:t>）法律法规或投标人须知前附表规定的其他情形。</w:t>
      </w:r>
    </w:p>
    <w:p>
      <w:pPr>
        <w:keepNext w:val="0"/>
        <w:keepLines w:val="0"/>
        <w:pageBreakBefore w:val="0"/>
        <w:wordWrap/>
        <w:overflowPunct/>
        <w:topLinePunct w:val="0"/>
        <w:autoSpaceDE w:val="0"/>
        <w:autoSpaceDN w:val="0"/>
        <w:bidi w:val="0"/>
        <w:spacing w:before="116" w:line="360" w:lineRule="auto"/>
        <w:ind w:left="536"/>
        <w:rPr>
          <w:rFonts w:ascii="宋体" w:hAnsi="宋体" w:eastAsia="宋体" w:cs="宋体"/>
          <w:sz w:val="24"/>
          <w:szCs w:val="24"/>
        </w:rPr>
      </w:pPr>
      <w:r>
        <w:rPr>
          <w:rFonts w:ascii="Times New Roman" w:hAnsi="Times New Roman" w:eastAsia="Times New Roman" w:cs="Times New Roman"/>
          <w:spacing w:val="-6"/>
          <w:sz w:val="24"/>
          <w:szCs w:val="24"/>
        </w:rPr>
        <w:t xml:space="preserve">1.4.4  </w:t>
      </w:r>
      <w:r>
        <w:rPr>
          <w:rFonts w:ascii="宋体" w:hAnsi="宋体" w:eastAsia="宋体" w:cs="宋体"/>
          <w:spacing w:val="-6"/>
          <w:sz w:val="24"/>
          <w:szCs w:val="24"/>
        </w:rPr>
        <w:t>投标人（包括联合体各成员）</w:t>
      </w:r>
      <w:r>
        <w:rPr>
          <w:rFonts w:ascii="宋体" w:hAnsi="宋体" w:eastAsia="宋体" w:cs="宋体"/>
          <w:spacing w:val="36"/>
          <w:sz w:val="24"/>
          <w:szCs w:val="24"/>
        </w:rPr>
        <w:t xml:space="preserve"> </w:t>
      </w:r>
      <w:r>
        <w:rPr>
          <w:rFonts w:ascii="宋体" w:hAnsi="宋体" w:eastAsia="宋体" w:cs="宋体"/>
          <w:spacing w:val="-6"/>
          <w:sz w:val="24"/>
          <w:szCs w:val="24"/>
        </w:rPr>
        <w:t>不得存在下列不良状况或不良信用记录：</w:t>
      </w:r>
    </w:p>
    <w:p>
      <w:pPr>
        <w:keepNext w:val="0"/>
        <w:keepLines w:val="0"/>
        <w:pageBreakBefore w:val="0"/>
        <w:wordWrap/>
        <w:overflowPunct/>
        <w:topLinePunct w:val="0"/>
        <w:autoSpaceDE w:val="0"/>
        <w:autoSpaceDN w:val="0"/>
        <w:bidi w:val="0"/>
        <w:spacing w:before="113" w:line="360" w:lineRule="auto"/>
        <w:ind w:right="35"/>
        <w:jc w:val="right"/>
        <w:rPr>
          <w:rFonts w:ascii="宋体" w:hAnsi="宋体" w:eastAsia="宋体" w:cs="宋体"/>
          <w:sz w:val="24"/>
          <w:szCs w:val="24"/>
        </w:rPr>
      </w:pPr>
      <w:r>
        <w:rPr>
          <w:rFonts w:ascii="宋体" w:hAnsi="宋体" w:eastAsia="宋体" w:cs="宋体"/>
          <w:spacing w:val="-3"/>
          <w:position w:val="11"/>
          <w:sz w:val="24"/>
          <w:szCs w:val="24"/>
        </w:rPr>
        <w:t>（</w:t>
      </w:r>
      <w:r>
        <w:rPr>
          <w:rFonts w:ascii="Times New Roman" w:hAnsi="Times New Roman" w:eastAsia="Times New Roman" w:cs="Times New Roman"/>
          <w:spacing w:val="-3"/>
          <w:position w:val="11"/>
          <w:sz w:val="24"/>
          <w:szCs w:val="24"/>
        </w:rPr>
        <w:t>1</w:t>
      </w:r>
      <w:r>
        <w:rPr>
          <w:rFonts w:ascii="宋体" w:hAnsi="宋体" w:eastAsia="宋体" w:cs="宋体"/>
          <w:spacing w:val="-3"/>
          <w:position w:val="11"/>
          <w:sz w:val="24"/>
          <w:szCs w:val="24"/>
        </w:rPr>
        <w:t>）被省级及以上交通运输主管部门取消招标项目所在地的投标资格且处于有效</w:t>
      </w:r>
    </w:p>
    <w:p>
      <w:pPr>
        <w:keepNext w:val="0"/>
        <w:keepLines w:val="0"/>
        <w:pageBreakBefore w:val="0"/>
        <w:wordWrap/>
        <w:overflowPunct/>
        <w:topLinePunct w:val="0"/>
        <w:autoSpaceDE w:val="0"/>
        <w:autoSpaceDN w:val="0"/>
        <w:bidi w:val="0"/>
        <w:spacing w:line="360" w:lineRule="auto"/>
        <w:ind w:left="41"/>
        <w:rPr>
          <w:rFonts w:ascii="宋体" w:hAnsi="宋体" w:eastAsia="宋体" w:cs="宋体"/>
          <w:sz w:val="24"/>
          <w:szCs w:val="24"/>
        </w:rPr>
      </w:pPr>
      <w:r>
        <w:rPr>
          <w:rFonts w:ascii="宋体" w:hAnsi="宋体" w:eastAsia="宋体" w:cs="宋体"/>
          <w:spacing w:val="-5"/>
          <w:sz w:val="24"/>
          <w:szCs w:val="24"/>
        </w:rPr>
        <w:t>期内；</w:t>
      </w:r>
    </w:p>
    <w:p>
      <w:pPr>
        <w:keepNext w:val="0"/>
        <w:keepLines w:val="0"/>
        <w:pageBreakBefore w:val="0"/>
        <w:wordWrap/>
        <w:overflowPunct/>
        <w:topLinePunct w:val="0"/>
        <w:autoSpaceDE w:val="0"/>
        <w:autoSpaceDN w:val="0"/>
        <w:bidi w:val="0"/>
        <w:spacing w:before="115" w:line="360" w:lineRule="auto"/>
        <w:ind w:left="40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）被责令停业，暂扣或吊销执照，或吊销资质证书；</w:t>
      </w:r>
    </w:p>
    <w:p>
      <w:pPr>
        <w:keepNext w:val="0"/>
        <w:keepLines w:val="0"/>
        <w:pageBreakBefore w:val="0"/>
        <w:wordWrap/>
        <w:overflowPunct/>
        <w:topLinePunct w:val="0"/>
        <w:autoSpaceDE w:val="0"/>
        <w:autoSpaceDN w:val="0"/>
        <w:bidi w:val="0"/>
        <w:spacing w:before="114" w:line="360" w:lineRule="auto"/>
        <w:ind w:left="40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）进入清算程序，或被宣告破产，或其他丧失履约能力的情形；</w:t>
      </w:r>
    </w:p>
    <w:p>
      <w:pPr>
        <w:keepNext w:val="0"/>
        <w:keepLines w:val="0"/>
        <w:pageBreakBefore w:val="0"/>
        <w:wordWrap/>
        <w:overflowPunct/>
        <w:topLinePunct w:val="0"/>
        <w:autoSpaceDE w:val="0"/>
        <w:autoSpaceDN w:val="0"/>
        <w:bidi w:val="0"/>
        <w:spacing w:before="118" w:line="360" w:lineRule="auto"/>
        <w:ind w:left="43" w:right="35" w:firstLine="36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）在国家企业信用信息公示系统（</w:t>
      </w:r>
      <w:r>
        <w:fldChar w:fldCharType="begin"/>
      </w:r>
      <w:r>
        <w:instrText xml:space="preserve"> HYPERLINK "http://www.gsxt.gov.cn/" </w:instrText>
      </w:r>
      <w:r>
        <w:fldChar w:fldCharType="separate"/>
      </w:r>
      <w:r>
        <w:rPr>
          <w:rFonts w:ascii="Times New Roman" w:hAnsi="Times New Roman" w:eastAsia="Times New Roman" w:cs="Times New Roman"/>
          <w:spacing w:val="-1"/>
          <w:sz w:val="24"/>
          <w:szCs w:val="24"/>
        </w:rPr>
        <w:t>http://www.gsxt.gov.cn/</w:t>
      </w:r>
      <w:r>
        <w:rPr>
          <w:rFonts w:ascii="Times New Roman" w:hAnsi="Times New Roman" w:eastAsia="Times New Roman" w:cs="Times New Roman"/>
          <w:spacing w:val="-1"/>
          <w:sz w:val="24"/>
          <w:szCs w:val="24"/>
        </w:rPr>
        <w:fldChar w:fldCharType="end"/>
      </w:r>
      <w:r>
        <w:rPr>
          <w:rFonts w:ascii="宋体" w:hAnsi="宋体" w:eastAsia="宋体" w:cs="宋体"/>
          <w:spacing w:val="-1"/>
          <w:sz w:val="24"/>
          <w:szCs w:val="24"/>
        </w:rPr>
        <w:t>）中被列入严重违法</w:t>
      </w:r>
      <w:r>
        <w:rPr>
          <w:rFonts w:ascii="宋体" w:hAnsi="宋体" w:eastAsia="宋体" w:cs="宋体"/>
          <w:spacing w:val="13"/>
          <w:sz w:val="24"/>
          <w:szCs w:val="24"/>
        </w:rPr>
        <w:t xml:space="preserve"> </w:t>
      </w:r>
      <w:r>
        <w:rPr>
          <w:rFonts w:ascii="宋体" w:hAnsi="宋体" w:eastAsia="宋体" w:cs="宋体"/>
          <w:spacing w:val="-9"/>
          <w:sz w:val="24"/>
          <w:szCs w:val="24"/>
        </w:rPr>
        <w:t>失信企业名单；</w:t>
      </w:r>
    </w:p>
    <w:p>
      <w:pPr>
        <w:keepNext w:val="0"/>
        <w:keepLines w:val="0"/>
        <w:pageBreakBefore w:val="0"/>
        <w:wordWrap/>
        <w:overflowPunct/>
        <w:topLinePunct w:val="0"/>
        <w:autoSpaceDE w:val="0"/>
        <w:autoSpaceDN w:val="0"/>
        <w:bidi w:val="0"/>
        <w:spacing w:before="113" w:line="360" w:lineRule="auto"/>
        <w:ind w:left="40" w:right="35" w:firstLine="364"/>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5</w:t>
      </w:r>
      <w:r>
        <w:rPr>
          <w:rFonts w:ascii="宋体" w:hAnsi="宋体" w:eastAsia="宋体" w:cs="宋体"/>
          <w:sz w:val="24"/>
          <w:szCs w:val="24"/>
        </w:rPr>
        <w:t>）在“信用中国”网站（</w:t>
      </w:r>
      <w:r>
        <w:fldChar w:fldCharType="begin"/>
      </w:r>
      <w:r>
        <w:instrText xml:space="preserve"> HYPERLINK "http://www.creditchina.gov.cn/" </w:instrText>
      </w:r>
      <w:r>
        <w:fldChar w:fldCharType="separate"/>
      </w:r>
      <w:r>
        <w:rPr>
          <w:rFonts w:ascii="Times New Roman" w:hAnsi="Times New Roman" w:eastAsia="Times New Roman" w:cs="Times New Roman"/>
          <w:sz w:val="24"/>
          <w:szCs w:val="24"/>
        </w:rPr>
        <w:t>http://www.creditchina.gov.cn/</w:t>
      </w:r>
      <w:r>
        <w:rPr>
          <w:rFonts w:ascii="Times New Roman" w:hAnsi="Times New Roman" w:eastAsia="Times New Roman" w:cs="Times New Roman"/>
          <w:sz w:val="24"/>
          <w:szCs w:val="24"/>
        </w:rPr>
        <w:fldChar w:fldCharType="end"/>
      </w:r>
      <w:r>
        <w:rPr>
          <w:rFonts w:ascii="宋体" w:hAnsi="宋体" w:eastAsia="宋体" w:cs="宋体"/>
          <w:sz w:val="24"/>
          <w:szCs w:val="24"/>
        </w:rPr>
        <w:t>）中被列入失信被执行</w:t>
      </w:r>
      <w:r>
        <w:rPr>
          <w:rFonts w:ascii="宋体" w:hAnsi="宋体" w:eastAsia="宋体" w:cs="宋体"/>
          <w:spacing w:val="18"/>
          <w:sz w:val="24"/>
          <w:szCs w:val="24"/>
        </w:rPr>
        <w:t xml:space="preserve"> </w:t>
      </w:r>
      <w:r>
        <w:rPr>
          <w:rFonts w:ascii="宋体" w:hAnsi="宋体" w:eastAsia="宋体" w:cs="宋体"/>
          <w:spacing w:val="-13"/>
          <w:sz w:val="24"/>
          <w:szCs w:val="24"/>
        </w:rPr>
        <w:t>人名单；</w:t>
      </w:r>
    </w:p>
    <w:p>
      <w:pPr>
        <w:keepNext w:val="0"/>
        <w:keepLines w:val="0"/>
        <w:pageBreakBefore w:val="0"/>
        <w:wordWrap/>
        <w:overflowPunct/>
        <w:topLinePunct w:val="0"/>
        <w:autoSpaceDE w:val="0"/>
        <w:autoSpaceDN w:val="0"/>
        <w:bidi w:val="0"/>
        <w:spacing w:before="114" w:line="360" w:lineRule="auto"/>
        <w:ind w:left="37" w:right="46" w:firstLine="367"/>
        <w:rPr>
          <w:rFonts w:ascii="宋体" w:hAnsi="宋体" w:eastAsia="宋体" w:cs="宋体"/>
          <w:sz w:val="24"/>
          <w:szCs w:val="24"/>
        </w:rPr>
      </w:pPr>
      <w:r>
        <w:rPr>
          <w:rFonts w:ascii="宋体" w:hAnsi="宋体" w:eastAsia="宋体" w:cs="宋体"/>
          <w:spacing w:val="-10"/>
          <w:sz w:val="24"/>
          <w:szCs w:val="24"/>
        </w:rPr>
        <w:t>（</w:t>
      </w:r>
      <w:r>
        <w:rPr>
          <w:rFonts w:ascii="Times New Roman" w:hAnsi="Times New Roman" w:eastAsia="Times New Roman" w:cs="Times New Roman"/>
          <w:spacing w:val="-10"/>
          <w:sz w:val="24"/>
          <w:szCs w:val="24"/>
        </w:rPr>
        <w:t>6</w:t>
      </w:r>
      <w:r>
        <w:rPr>
          <w:rFonts w:ascii="宋体" w:hAnsi="宋体" w:eastAsia="宋体" w:cs="宋体"/>
          <w:spacing w:val="-10"/>
          <w:sz w:val="24"/>
          <w:szCs w:val="24"/>
        </w:rPr>
        <w:t>）投标人及其法定代表人、拟委任的项目经理（含备选，如有）</w:t>
      </w:r>
      <w:r>
        <w:rPr>
          <w:rFonts w:ascii="宋体" w:hAnsi="宋体" w:eastAsia="宋体" w:cs="宋体"/>
          <w:spacing w:val="-10"/>
          <w:sz w:val="24"/>
          <w:szCs w:val="24"/>
        </w:rPr>
        <w:fldChar w:fldCharType="begin"/>
      </w:r>
      <w:r>
        <w:rPr>
          <w:rFonts w:ascii="宋体" w:hAnsi="宋体" w:eastAsia="宋体" w:cs="宋体"/>
          <w:spacing w:val="-10"/>
          <w:sz w:val="24"/>
          <w:szCs w:val="24"/>
        </w:rPr>
        <w:instrText xml:space="preserve"> HYPERLINK \l "bookmark42" </w:instrText>
      </w:r>
      <w:r>
        <w:rPr>
          <w:rFonts w:ascii="宋体" w:hAnsi="宋体" w:eastAsia="宋体" w:cs="宋体"/>
          <w:spacing w:val="-10"/>
          <w:sz w:val="24"/>
          <w:szCs w:val="24"/>
        </w:rPr>
        <w:fldChar w:fldCharType="separate"/>
      </w:r>
      <w:r>
        <w:rPr>
          <w:rFonts w:ascii="宋体" w:hAnsi="宋体" w:eastAsia="宋体" w:cs="宋体"/>
          <w:spacing w:val="-10"/>
          <w:sz w:val="24"/>
          <w:szCs w:val="24"/>
        </w:rPr>
        <w:t>①</w:t>
      </w:r>
      <w:r>
        <w:rPr>
          <w:rFonts w:ascii="宋体" w:hAnsi="宋体" w:eastAsia="宋体" w:cs="宋体"/>
          <w:spacing w:val="-10"/>
          <w:sz w:val="24"/>
          <w:szCs w:val="24"/>
        </w:rPr>
        <w:fldChar w:fldCharType="end"/>
      </w:r>
      <w:r>
        <w:rPr>
          <w:rFonts w:ascii="宋体" w:hAnsi="宋体" w:eastAsia="宋体" w:cs="宋体"/>
          <w:spacing w:val="-10"/>
          <w:sz w:val="24"/>
          <w:szCs w:val="24"/>
        </w:rPr>
        <w:t xml:space="preserve"> 、项目总工（含 备选，如有）在近三年内有行贿犯罪行为的（以投标人投标函中的承诺为准）</w:t>
      </w:r>
      <w:r>
        <w:rPr>
          <w:rFonts w:ascii="宋体" w:hAnsi="宋体" w:eastAsia="宋体" w:cs="宋体"/>
          <w:spacing w:val="2"/>
          <w:sz w:val="24"/>
          <w:szCs w:val="24"/>
        </w:rPr>
        <w:t>；</w:t>
      </w:r>
    </w:p>
    <w:p>
      <w:pPr>
        <w:keepNext w:val="0"/>
        <w:keepLines w:val="0"/>
        <w:pageBreakBefore w:val="0"/>
        <w:wordWrap/>
        <w:overflowPunct/>
        <w:topLinePunct w:val="0"/>
        <w:autoSpaceDE w:val="0"/>
        <w:autoSpaceDN w:val="0"/>
        <w:bidi w:val="0"/>
        <w:spacing w:before="116" w:line="360" w:lineRule="auto"/>
        <w:ind w:left="40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）法律法规或投标人须知前附表规定的其他情</w:t>
      </w:r>
      <w:r>
        <w:rPr>
          <w:rFonts w:ascii="宋体" w:hAnsi="宋体" w:eastAsia="宋体" w:cs="宋体"/>
          <w:spacing w:val="-3"/>
          <w:sz w:val="24"/>
          <w:szCs w:val="24"/>
        </w:rPr>
        <w:t>形。</w:t>
      </w:r>
    </w:p>
    <w:p>
      <w:pPr>
        <w:keepNext w:val="0"/>
        <w:keepLines w:val="0"/>
        <w:pageBreakBefore w:val="0"/>
        <w:wordWrap/>
        <w:overflowPunct/>
        <w:topLinePunct w:val="0"/>
        <w:autoSpaceDE w:val="0"/>
        <w:autoSpaceDN w:val="0"/>
        <w:bidi w:val="0"/>
        <w:spacing w:line="360" w:lineRule="auto"/>
        <w:ind w:firstLine="472" w:firstLineChars="200"/>
        <w:rPr>
          <w:rFonts w:ascii="宋体" w:hAnsi="宋体" w:eastAsia="宋体" w:cs="宋体"/>
          <w:sz w:val="12"/>
          <w:szCs w:val="12"/>
        </w:rPr>
      </w:pPr>
      <w:r>
        <w:rPr>
          <w:rFonts w:ascii="Times New Roman" w:hAnsi="Times New Roman" w:eastAsia="Times New Roman" w:cs="Times New Roman"/>
          <w:spacing w:val="-2"/>
          <w:sz w:val="24"/>
          <w:szCs w:val="24"/>
        </w:rPr>
        <w:t xml:space="preserve">1.4.5  </w:t>
      </w:r>
      <w:r>
        <w:rPr>
          <w:rFonts w:ascii="宋体" w:hAnsi="宋体" w:eastAsia="宋体" w:cs="宋体"/>
          <w:spacing w:val="-2"/>
          <w:sz w:val="24"/>
          <w:szCs w:val="24"/>
        </w:rPr>
        <w:t>投标人（包括联合体各成员）</w:t>
      </w:r>
      <w:r>
        <w:rPr>
          <w:rFonts w:ascii="宋体" w:hAnsi="宋体" w:eastAsia="宋体" w:cs="宋体"/>
          <w:spacing w:val="-38"/>
          <w:sz w:val="24"/>
          <w:szCs w:val="24"/>
        </w:rPr>
        <w:t xml:space="preserve"> </w:t>
      </w:r>
      <w:r>
        <w:rPr>
          <w:rFonts w:ascii="宋体" w:hAnsi="宋体" w:eastAsia="宋体" w:cs="宋体"/>
          <w:spacing w:val="-2"/>
          <w:sz w:val="24"/>
          <w:szCs w:val="24"/>
        </w:rPr>
        <w:t>应进入交通运输部“全国公</w:t>
      </w:r>
      <w:r>
        <w:rPr>
          <w:rFonts w:ascii="宋体" w:hAnsi="宋体" w:eastAsia="宋体" w:cs="宋体"/>
          <w:spacing w:val="-3"/>
          <w:sz w:val="24"/>
          <w:szCs w:val="24"/>
        </w:rPr>
        <w:t>路建设市场信用</w:t>
      </w:r>
      <w:r>
        <w:rPr>
          <w:rFonts w:ascii="宋体" w:hAnsi="宋体" w:eastAsia="宋体" w:cs="宋体"/>
          <w:spacing w:val="-8"/>
          <w:sz w:val="24"/>
          <w:szCs w:val="24"/>
        </w:rPr>
        <w:t>信息管理系统（</w:t>
      </w:r>
      <w:r>
        <w:rPr>
          <w:rFonts w:ascii="Times New Roman" w:hAnsi="Times New Roman" w:eastAsia="Times New Roman" w:cs="Times New Roman"/>
          <w:spacing w:val="-8"/>
          <w:sz w:val="24"/>
          <w:szCs w:val="24"/>
        </w:rPr>
        <w:t>http</w:t>
      </w:r>
      <w:r>
        <w:rPr>
          <w:rFonts w:ascii="宋体" w:hAnsi="宋体" w:eastAsia="宋体" w:cs="宋体"/>
          <w:spacing w:val="-8"/>
          <w:sz w:val="24"/>
          <w:szCs w:val="24"/>
        </w:rPr>
        <w:t>：</w:t>
      </w:r>
      <w:r>
        <w:rPr>
          <w:rFonts w:ascii="Times New Roman" w:hAnsi="Times New Roman" w:eastAsia="Times New Roman" w:cs="Times New Roman"/>
          <w:spacing w:val="-8"/>
          <w:sz w:val="24"/>
          <w:szCs w:val="24"/>
        </w:rPr>
        <w:t>//glxy.mot.gov.cn</w:t>
      </w:r>
      <w:r>
        <w:rPr>
          <w:rFonts w:ascii="宋体" w:hAnsi="宋体" w:eastAsia="宋体" w:cs="宋体"/>
          <w:spacing w:val="-8"/>
          <w:sz w:val="24"/>
          <w:szCs w:val="24"/>
        </w:rPr>
        <w:t>）”中的公路工</w:t>
      </w:r>
      <w:r>
        <w:rPr>
          <w:rFonts w:ascii="宋体" w:hAnsi="宋体" w:eastAsia="宋体" w:cs="宋体"/>
          <w:spacing w:val="-9"/>
          <w:sz w:val="24"/>
          <w:szCs w:val="24"/>
        </w:rPr>
        <w:t>程施工资质企业名录，</w:t>
      </w:r>
      <w:r>
        <w:rPr>
          <w:rFonts w:ascii="宋体" w:hAnsi="宋体" w:eastAsia="宋体" w:cs="宋体"/>
          <w:spacing w:val="40"/>
          <w:sz w:val="24"/>
          <w:szCs w:val="24"/>
        </w:rPr>
        <w:t xml:space="preserve"> </w:t>
      </w:r>
      <w:r>
        <w:rPr>
          <w:rFonts w:ascii="宋体" w:hAnsi="宋体" w:eastAsia="宋体" w:cs="宋体"/>
          <w:spacing w:val="-9"/>
          <w:sz w:val="24"/>
          <w:szCs w:val="24"/>
        </w:rPr>
        <w:t>且投标人</w:t>
      </w:r>
      <w:r>
        <w:rPr>
          <w:rFonts w:ascii="宋体" w:hAnsi="宋体" w:eastAsia="宋体" w:cs="宋体"/>
          <w:sz w:val="24"/>
          <w:szCs w:val="24"/>
        </w:rPr>
        <w:t xml:space="preserve"> </w:t>
      </w:r>
      <w:r>
        <w:rPr>
          <w:rFonts w:ascii="宋体" w:hAnsi="宋体" w:eastAsia="宋体" w:cs="宋体"/>
          <w:spacing w:val="-3"/>
          <w:sz w:val="24"/>
          <w:szCs w:val="24"/>
        </w:rPr>
        <w:t>名称和资质与该名录中的相应企业名称和资质完全一致。投标人不满足本项规定条件</w:t>
      </w:r>
      <w:r>
        <w:rPr>
          <w:rFonts w:ascii="宋体" w:hAnsi="宋体" w:eastAsia="宋体" w:cs="宋体"/>
          <w:spacing w:val="7"/>
          <w:sz w:val="24"/>
          <w:szCs w:val="24"/>
        </w:rPr>
        <w:t xml:space="preserve"> </w:t>
      </w:r>
      <w:r>
        <w:rPr>
          <w:rFonts w:ascii="宋体" w:hAnsi="宋体" w:eastAsia="宋体" w:cs="宋体"/>
          <w:spacing w:val="-10"/>
          <w:sz w:val="24"/>
          <w:szCs w:val="24"/>
        </w:rPr>
        <w:t>的，将被否决投标。</w:t>
      </w:r>
    </w:p>
    <w:p>
      <w:pPr>
        <w:keepNext w:val="0"/>
        <w:keepLines w:val="0"/>
        <w:pageBreakBefore w:val="0"/>
        <w:wordWrap/>
        <w:overflowPunct/>
        <w:topLinePunct w:val="0"/>
        <w:autoSpaceDE w:val="0"/>
        <w:autoSpaceDN w:val="0"/>
        <w:bidi w:val="0"/>
        <w:spacing w:before="265" w:line="360" w:lineRule="auto"/>
        <w:ind w:left="50"/>
        <w:rPr>
          <w:rFonts w:ascii="黑体" w:hAnsi="黑体" w:eastAsia="黑体" w:cs="黑体"/>
          <w:sz w:val="24"/>
          <w:szCs w:val="24"/>
        </w:rPr>
      </w:pPr>
      <w:r>
        <w:rPr>
          <w:rFonts w:ascii="黑体" w:hAnsi="黑体" w:eastAsia="黑体" w:cs="黑体"/>
          <w:spacing w:val="-5"/>
          <w:sz w:val="24"/>
          <w:szCs w:val="24"/>
        </w:rPr>
        <w:t>1.5</w:t>
      </w:r>
      <w:r>
        <w:rPr>
          <w:rFonts w:ascii="黑体" w:hAnsi="黑体" w:eastAsia="黑体" w:cs="黑体"/>
          <w:spacing w:val="15"/>
          <w:sz w:val="24"/>
          <w:szCs w:val="24"/>
        </w:rPr>
        <w:t xml:space="preserve"> </w:t>
      </w:r>
      <w:r>
        <w:rPr>
          <w:rFonts w:ascii="黑体" w:hAnsi="黑体" w:eastAsia="黑体" w:cs="黑体"/>
          <w:spacing w:val="-5"/>
          <w:sz w:val="24"/>
          <w:szCs w:val="24"/>
        </w:rPr>
        <w:t>费用承担</w:t>
      </w:r>
    </w:p>
    <w:p>
      <w:pPr>
        <w:keepNext w:val="0"/>
        <w:keepLines w:val="0"/>
        <w:pageBreakBefore w:val="0"/>
        <w:wordWrap/>
        <w:overflowPunct/>
        <w:topLinePunct w:val="0"/>
        <w:autoSpaceDE w:val="0"/>
        <w:autoSpaceDN w:val="0"/>
        <w:bidi w:val="0"/>
        <w:spacing w:before="264" w:line="360" w:lineRule="auto"/>
        <w:ind w:left="50"/>
        <w:rPr>
          <w:rFonts w:ascii="黑体" w:hAnsi="黑体" w:eastAsia="黑体" w:cs="黑体"/>
          <w:sz w:val="24"/>
          <w:szCs w:val="24"/>
        </w:rPr>
      </w:pPr>
      <w:r>
        <w:rPr>
          <w:rFonts w:ascii="黑体" w:hAnsi="黑体" w:eastAsia="黑体" w:cs="黑体"/>
          <w:spacing w:val="-6"/>
          <w:sz w:val="24"/>
          <w:szCs w:val="24"/>
        </w:rPr>
        <w:t>1.6</w:t>
      </w:r>
      <w:r>
        <w:rPr>
          <w:rFonts w:ascii="黑体" w:hAnsi="黑体" w:eastAsia="黑体" w:cs="黑体"/>
          <w:spacing w:val="11"/>
          <w:sz w:val="24"/>
          <w:szCs w:val="24"/>
        </w:rPr>
        <w:t xml:space="preserve"> </w:t>
      </w:r>
      <w:r>
        <w:rPr>
          <w:rFonts w:ascii="黑体" w:hAnsi="黑体" w:eastAsia="黑体" w:cs="黑体"/>
          <w:spacing w:val="-6"/>
          <w:sz w:val="24"/>
          <w:szCs w:val="24"/>
        </w:rPr>
        <w:t>保密</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right="16"/>
        <w:jc w:val="right"/>
        <w:rPr>
          <w:rFonts w:ascii="宋体" w:hAnsi="宋体" w:eastAsia="宋体" w:cs="宋体"/>
          <w:sz w:val="24"/>
          <w:szCs w:val="24"/>
        </w:rPr>
      </w:pPr>
      <w:r>
        <w:rPr>
          <w:rFonts w:ascii="宋体" w:hAnsi="宋体" w:eastAsia="宋体" w:cs="宋体"/>
          <w:spacing w:val="-2"/>
          <w:position w:val="11"/>
          <w:sz w:val="24"/>
          <w:szCs w:val="24"/>
        </w:rPr>
        <w:t>参与招标投标活动的各方应对招标文件和投标文件中的商业和技术等秘密保密，</w:t>
      </w:r>
    </w:p>
    <w:p>
      <w:pPr>
        <w:keepNext w:val="0"/>
        <w:keepLines w:val="0"/>
        <w:pageBreakBefore w:val="0"/>
        <w:wordWrap/>
        <w:overflowPunct/>
        <w:topLinePunct w:val="0"/>
        <w:autoSpaceDE w:val="0"/>
        <w:autoSpaceDN w:val="0"/>
        <w:bidi w:val="0"/>
        <w:spacing w:line="360" w:lineRule="auto"/>
        <w:ind w:left="45"/>
        <w:rPr>
          <w:rFonts w:ascii="宋体" w:hAnsi="宋体" w:eastAsia="宋体" w:cs="宋体"/>
          <w:sz w:val="24"/>
          <w:szCs w:val="24"/>
        </w:rPr>
      </w:pPr>
      <w:r>
        <w:rPr>
          <w:rFonts w:ascii="宋体" w:hAnsi="宋体" w:eastAsia="宋体" w:cs="宋体"/>
          <w:spacing w:val="-2"/>
          <w:sz w:val="24"/>
          <w:szCs w:val="24"/>
        </w:rPr>
        <w:t>否则应承担相应的法律责任。</w:t>
      </w:r>
    </w:p>
    <w:p>
      <w:pPr>
        <w:keepNext w:val="0"/>
        <w:keepLines w:val="0"/>
        <w:pageBreakBefore w:val="0"/>
        <w:wordWrap/>
        <w:overflowPunct/>
        <w:topLinePunct w:val="0"/>
        <w:autoSpaceDE w:val="0"/>
        <w:autoSpaceDN w:val="0"/>
        <w:bidi w:val="0"/>
        <w:spacing w:before="264" w:line="360" w:lineRule="auto"/>
        <w:ind w:left="50"/>
        <w:rPr>
          <w:rFonts w:ascii="黑体" w:hAnsi="黑体" w:eastAsia="黑体" w:cs="黑体"/>
          <w:sz w:val="24"/>
          <w:szCs w:val="24"/>
        </w:rPr>
      </w:pPr>
      <w:r>
        <w:rPr>
          <w:rFonts w:ascii="黑体" w:hAnsi="黑体" w:eastAsia="黑体" w:cs="黑体"/>
          <w:spacing w:val="-3"/>
          <w:sz w:val="24"/>
          <w:szCs w:val="24"/>
        </w:rPr>
        <w:t>1.7 语言文字</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9" w:line="360" w:lineRule="auto"/>
        <w:jc w:val="right"/>
        <w:rPr>
          <w:rFonts w:ascii="宋体" w:hAnsi="宋体" w:eastAsia="宋体" w:cs="宋体"/>
          <w:sz w:val="24"/>
          <w:szCs w:val="24"/>
        </w:rPr>
      </w:pPr>
      <w:r>
        <w:rPr>
          <w:rFonts w:ascii="宋体" w:hAnsi="宋体" w:eastAsia="宋体" w:cs="宋体"/>
          <w:spacing w:val="-1"/>
          <w:sz w:val="24"/>
          <w:szCs w:val="24"/>
        </w:rPr>
        <w:t>招标投标文件使用的语言文字为中文。专用术语使用</w:t>
      </w:r>
      <w:r>
        <w:rPr>
          <w:rFonts w:ascii="宋体" w:hAnsi="宋体" w:eastAsia="宋体" w:cs="宋体"/>
          <w:spacing w:val="-2"/>
          <w:sz w:val="24"/>
          <w:szCs w:val="24"/>
        </w:rPr>
        <w:t>外文的，应附有中文注释。</w:t>
      </w:r>
    </w:p>
    <w:p>
      <w:pPr>
        <w:keepNext w:val="0"/>
        <w:keepLines w:val="0"/>
        <w:pageBreakBefore w:val="0"/>
        <w:wordWrap/>
        <w:overflowPunct/>
        <w:topLinePunct w:val="0"/>
        <w:autoSpaceDE w:val="0"/>
        <w:autoSpaceDN w:val="0"/>
        <w:bidi w:val="0"/>
        <w:spacing w:before="267" w:line="360" w:lineRule="auto"/>
        <w:ind w:left="50"/>
        <w:rPr>
          <w:rFonts w:ascii="黑体" w:hAnsi="黑体" w:eastAsia="黑体" w:cs="黑体"/>
          <w:spacing w:val="-3"/>
          <w:sz w:val="24"/>
          <w:szCs w:val="24"/>
        </w:rPr>
      </w:pPr>
    </w:p>
    <w:p>
      <w:pPr>
        <w:keepNext w:val="0"/>
        <w:keepLines w:val="0"/>
        <w:pageBreakBefore w:val="0"/>
        <w:wordWrap/>
        <w:overflowPunct/>
        <w:topLinePunct w:val="0"/>
        <w:autoSpaceDE w:val="0"/>
        <w:autoSpaceDN w:val="0"/>
        <w:bidi w:val="0"/>
        <w:spacing w:before="267" w:line="360" w:lineRule="auto"/>
        <w:ind w:left="50"/>
        <w:rPr>
          <w:rFonts w:ascii="黑体" w:hAnsi="黑体" w:eastAsia="黑体" w:cs="黑体"/>
          <w:sz w:val="24"/>
          <w:szCs w:val="24"/>
        </w:rPr>
      </w:pPr>
      <w:r>
        <w:rPr>
          <w:rFonts w:ascii="黑体" w:hAnsi="黑体" w:eastAsia="黑体" w:cs="黑体"/>
          <w:spacing w:val="-3"/>
          <w:sz w:val="24"/>
          <w:szCs w:val="24"/>
        </w:rPr>
        <w:t>1.8 计量单位</w:t>
      </w:r>
    </w:p>
    <w:p>
      <w:pPr>
        <w:keepNext w:val="0"/>
        <w:keepLines w:val="0"/>
        <w:pageBreakBefore w:val="0"/>
        <w:wordWrap/>
        <w:overflowPunct/>
        <w:topLinePunct w:val="0"/>
        <w:autoSpaceDE w:val="0"/>
        <w:autoSpaceDN w:val="0"/>
        <w:bidi w:val="0"/>
        <w:spacing w:before="264" w:line="360" w:lineRule="auto"/>
        <w:ind w:left="50"/>
        <w:rPr>
          <w:rFonts w:ascii="Arial"/>
          <w:sz w:val="21"/>
        </w:rPr>
      </w:pPr>
      <w:r>
        <w:rPr>
          <w:rFonts w:ascii="黑体" w:hAnsi="黑体" w:eastAsia="黑体" w:cs="黑体"/>
          <w:spacing w:val="-3"/>
          <w:sz w:val="24"/>
          <w:szCs w:val="24"/>
        </w:rPr>
        <w:t>1.9 踏勘现场</w:t>
      </w:r>
    </w:p>
    <w:p>
      <w:pPr>
        <w:keepNext w:val="0"/>
        <w:keepLines w:val="0"/>
        <w:pageBreakBefore w:val="0"/>
        <w:wordWrap/>
        <w:overflowPunct/>
        <w:topLinePunct w:val="0"/>
        <w:autoSpaceDE w:val="0"/>
        <w:autoSpaceDN w:val="0"/>
        <w:bidi w:val="0"/>
        <w:spacing w:before="78" w:line="360" w:lineRule="auto"/>
        <w:ind w:left="536"/>
        <w:rPr>
          <w:rFonts w:ascii="宋体" w:hAnsi="宋体" w:eastAsia="宋体" w:cs="宋体"/>
          <w:sz w:val="24"/>
          <w:szCs w:val="24"/>
        </w:rPr>
      </w:pPr>
      <w:r>
        <w:rPr>
          <w:rFonts w:ascii="Times New Roman" w:hAnsi="Times New Roman" w:eastAsia="Times New Roman" w:cs="Times New Roman"/>
          <w:sz w:val="24"/>
          <w:szCs w:val="24"/>
        </w:rPr>
        <w:t xml:space="preserve">1.9.1  </w:t>
      </w:r>
      <w:r>
        <w:rPr>
          <w:rFonts w:ascii="宋体" w:hAnsi="宋体" w:eastAsia="宋体" w:cs="宋体"/>
          <w:sz w:val="24"/>
          <w:szCs w:val="24"/>
        </w:rPr>
        <w:t>第一章“招标公告”或“投标邀请书”规定组织踏勘现场的，招标人按规</w:t>
      </w:r>
    </w:p>
    <w:p>
      <w:pPr>
        <w:keepNext w:val="0"/>
        <w:keepLines w:val="0"/>
        <w:pageBreakBefore w:val="0"/>
        <w:wordWrap/>
        <w:overflowPunct/>
        <w:topLinePunct w:val="0"/>
        <w:autoSpaceDE w:val="0"/>
        <w:autoSpaceDN w:val="0"/>
        <w:bidi w:val="0"/>
        <w:spacing w:before="117" w:line="360" w:lineRule="auto"/>
        <w:ind w:left="49" w:right="58" w:hanging="6"/>
        <w:rPr>
          <w:rFonts w:ascii="宋体" w:hAnsi="宋体" w:eastAsia="宋体" w:cs="宋体"/>
          <w:spacing w:val="-7"/>
          <w:sz w:val="24"/>
          <w:szCs w:val="24"/>
        </w:rPr>
      </w:pPr>
      <w:r>
        <w:rPr>
          <w:rFonts w:ascii="宋体" w:hAnsi="宋体" w:eastAsia="宋体" w:cs="宋体"/>
          <w:spacing w:val="-7"/>
          <w:sz w:val="24"/>
          <w:szCs w:val="24"/>
        </w:rPr>
        <w:t>定的时间、地点组织投标人踏勘项目现场。部分投标人未按时参加踏勘</w:t>
      </w:r>
      <w:r>
        <w:rPr>
          <w:rFonts w:ascii="宋体" w:hAnsi="宋体" w:eastAsia="宋体" w:cs="宋体"/>
          <w:spacing w:val="-8"/>
          <w:sz w:val="24"/>
          <w:szCs w:val="24"/>
        </w:rPr>
        <w:t>现场的，</w:t>
      </w:r>
      <w:r>
        <w:rPr>
          <w:rFonts w:ascii="宋体" w:hAnsi="宋体" w:eastAsia="宋体" w:cs="宋体"/>
          <w:spacing w:val="35"/>
          <w:sz w:val="24"/>
          <w:szCs w:val="24"/>
        </w:rPr>
        <w:t xml:space="preserve"> </w:t>
      </w:r>
      <w:r>
        <w:rPr>
          <w:rFonts w:ascii="宋体" w:hAnsi="宋体" w:eastAsia="宋体" w:cs="宋体"/>
          <w:spacing w:val="-8"/>
          <w:sz w:val="24"/>
          <w:szCs w:val="24"/>
        </w:rPr>
        <w:t>不影</w:t>
      </w:r>
      <w:r>
        <w:rPr>
          <w:rFonts w:ascii="宋体" w:hAnsi="宋体" w:eastAsia="宋体" w:cs="宋体"/>
          <w:sz w:val="24"/>
          <w:szCs w:val="24"/>
        </w:rPr>
        <w:t xml:space="preserve"> </w:t>
      </w:r>
      <w:r>
        <w:rPr>
          <w:rFonts w:ascii="宋体" w:hAnsi="宋体" w:eastAsia="宋体" w:cs="宋体"/>
          <w:spacing w:val="-7"/>
          <w:sz w:val="24"/>
          <w:szCs w:val="24"/>
        </w:rPr>
        <w:t>响踏勘现场的正常进行。</w:t>
      </w:r>
      <w:r>
        <w:rPr>
          <w:rFonts w:ascii="宋体" w:hAnsi="宋体" w:eastAsia="宋体" w:cs="宋体"/>
          <w:spacing w:val="56"/>
          <w:sz w:val="24"/>
          <w:szCs w:val="24"/>
        </w:rPr>
        <w:t xml:space="preserve"> </w:t>
      </w:r>
      <w:r>
        <w:rPr>
          <w:rFonts w:ascii="宋体" w:hAnsi="宋体" w:eastAsia="宋体" w:cs="宋体"/>
          <w:spacing w:val="-7"/>
          <w:sz w:val="24"/>
          <w:szCs w:val="24"/>
        </w:rPr>
        <w:t>招标人不得组织单个或部分投标人踏勘项目现场。</w:t>
      </w:r>
    </w:p>
    <w:p>
      <w:pPr>
        <w:keepNext w:val="0"/>
        <w:keepLines w:val="0"/>
        <w:pageBreakBefore w:val="0"/>
        <w:wordWrap/>
        <w:overflowPunct/>
        <w:topLinePunct w:val="0"/>
        <w:autoSpaceDE w:val="0"/>
        <w:autoSpaceDN w:val="0"/>
        <w:bidi w:val="0"/>
        <w:spacing w:before="78" w:line="360" w:lineRule="auto"/>
        <w:ind w:left="536"/>
        <w:rPr>
          <w:rFonts w:ascii="Times New Roman" w:hAnsi="Times New Roman" w:eastAsia="Times New Roman" w:cs="Times New Roman"/>
          <w:sz w:val="24"/>
          <w:szCs w:val="24"/>
        </w:rPr>
      </w:pPr>
      <w:r>
        <w:rPr>
          <w:rFonts w:ascii="Times New Roman" w:hAnsi="Times New Roman" w:eastAsia="Times New Roman" w:cs="Times New Roman"/>
          <w:sz w:val="24"/>
          <w:szCs w:val="24"/>
        </w:rPr>
        <w:t>1.9.2</w:t>
      </w:r>
      <w:r>
        <w:rPr>
          <w:rFonts w:hint="eastAsia" w:ascii="Times New Roman" w:hAnsi="Times New Roman" w:eastAsia="宋体" w:cs="Times New Roman"/>
          <w:sz w:val="24"/>
          <w:szCs w:val="24"/>
          <w:lang w:val="en-US" w:eastAsia="zh-CN"/>
        </w:rPr>
        <w:t xml:space="preserve"> </w:t>
      </w:r>
      <w:r>
        <w:rPr>
          <w:rFonts w:ascii="Times New Roman" w:hAnsi="Times New Roman" w:eastAsia="Times New Roman" w:cs="Times New Roman"/>
          <w:sz w:val="24"/>
          <w:szCs w:val="24"/>
        </w:rPr>
        <w:t>投标人踏勘现场发生的费用自理。</w:t>
      </w:r>
    </w:p>
    <w:p>
      <w:pPr>
        <w:keepNext w:val="0"/>
        <w:keepLines w:val="0"/>
        <w:pageBreakBefore w:val="0"/>
        <w:wordWrap/>
        <w:overflowPunct/>
        <w:topLinePunct w:val="0"/>
        <w:autoSpaceDE w:val="0"/>
        <w:autoSpaceDN w:val="0"/>
        <w:bidi w:val="0"/>
        <w:spacing w:before="78" w:line="360" w:lineRule="auto"/>
        <w:ind w:firstLine="480" w:firstLineChars="200"/>
        <w:rPr>
          <w:rFonts w:ascii="Times New Roman" w:hAnsi="Times New Roman" w:eastAsia="Times New Roman" w:cs="Times New Roman"/>
          <w:sz w:val="24"/>
          <w:szCs w:val="24"/>
        </w:rPr>
      </w:pPr>
      <w:r>
        <w:rPr>
          <w:rFonts w:ascii="Times New Roman" w:hAnsi="Times New Roman" w:eastAsia="Times New Roman" w:cs="Times New Roman"/>
          <w:sz w:val="24"/>
          <w:szCs w:val="24"/>
        </w:rPr>
        <w:t>1.9.3</w:t>
      </w:r>
      <w:r>
        <w:rPr>
          <w:rFonts w:hint="default" w:ascii="Times New Roman" w:hAnsi="Times New Roman" w:cs="Times New Roman"/>
          <w:color w:val="auto"/>
          <w:sz w:val="24"/>
          <w:szCs w:val="24"/>
        </w:rPr>
        <w:t xml:space="preserve"> </w:t>
      </w:r>
      <w:r>
        <w:rPr>
          <w:rFonts w:ascii="宋体" w:hAnsi="宋体"/>
          <w:color w:val="auto"/>
          <w:sz w:val="24"/>
          <w:szCs w:val="24"/>
        </w:rPr>
        <w:t>除招标人的原因外，投标人自行负责在踏勘现场中所发生的人员伤亡和财产损失。</w:t>
      </w:r>
    </w:p>
    <w:p>
      <w:pPr>
        <w:keepNext w:val="0"/>
        <w:keepLines w:val="0"/>
        <w:pageBreakBefore w:val="0"/>
        <w:wordWrap/>
        <w:overflowPunct/>
        <w:topLinePunct w:val="0"/>
        <w:autoSpaceDE w:val="0"/>
        <w:autoSpaceDN w:val="0"/>
        <w:bidi w:val="0"/>
        <w:spacing w:before="78" w:line="360" w:lineRule="auto"/>
        <w:ind w:firstLine="480" w:firstLineChars="200"/>
        <w:rPr>
          <w:rFonts w:ascii="Times New Roman" w:hAnsi="Times New Roman" w:eastAsia="Times New Roman" w:cs="Times New Roman"/>
          <w:sz w:val="24"/>
          <w:szCs w:val="24"/>
        </w:rPr>
      </w:pPr>
      <w:r>
        <w:rPr>
          <w:rFonts w:ascii="Times New Roman" w:hAnsi="Times New Roman" w:eastAsia="Times New Roman" w:cs="Times New Roman"/>
          <w:sz w:val="24"/>
          <w:szCs w:val="24"/>
        </w:rPr>
        <w:t>1.9.4</w:t>
      </w:r>
      <w:r>
        <w:rPr>
          <w:rFonts w:hint="default" w:ascii="Times New Roman" w:hAnsi="Times New Roman" w:eastAsia="Times New Roman" w:cs="Times New Roman"/>
          <w:sz w:val="24"/>
          <w:szCs w:val="24"/>
        </w:rPr>
        <w:t xml:space="preserve"> </w:t>
      </w:r>
      <w:r>
        <w:rPr>
          <w:rFonts w:ascii="Times New Roman" w:hAnsi="Times New Roman" w:eastAsia="Times New Roman" w:cs="Times New Roman"/>
          <w:sz w:val="24"/>
          <w:szCs w:val="24"/>
        </w:rPr>
        <w:t>招标人在踏勘现场中介绍的工程场地和相关的周边环境情况，供投标人在编制投标文件时参考，招标人不对投标人据此作出的判断和决策负责。1.9.5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pPr>
        <w:keepNext w:val="0"/>
        <w:keepLines w:val="0"/>
        <w:pageBreakBefore w:val="0"/>
        <w:wordWrap/>
        <w:overflowPunct/>
        <w:topLinePunct w:val="0"/>
        <w:autoSpaceDE w:val="0"/>
        <w:autoSpaceDN w:val="0"/>
        <w:bidi w:val="0"/>
        <w:spacing w:before="132" w:line="360" w:lineRule="auto"/>
        <w:ind w:left="37" w:right="54" w:firstLine="499"/>
        <w:rPr>
          <w:rFonts w:ascii="宋体" w:hAnsi="宋体" w:eastAsia="宋体" w:cs="宋体"/>
          <w:sz w:val="24"/>
          <w:szCs w:val="24"/>
        </w:rPr>
      </w:pPr>
      <w:r>
        <w:rPr>
          <w:rFonts w:ascii="Times New Roman" w:hAnsi="Times New Roman" w:eastAsia="Times New Roman" w:cs="Times New Roman"/>
          <w:sz w:val="24"/>
          <w:szCs w:val="24"/>
        </w:rPr>
        <w:t xml:space="preserve">1.9.5  </w:t>
      </w:r>
      <w:r>
        <w:rPr>
          <w:rFonts w:ascii="宋体" w:hAnsi="宋体" w:eastAsia="宋体" w:cs="宋体"/>
          <w:sz w:val="24"/>
          <w:szCs w:val="24"/>
        </w:rPr>
        <w:t>招标人提供的本合同工程的水文、地质、气象和料场分布、</w:t>
      </w:r>
      <w:r>
        <w:rPr>
          <w:rFonts w:ascii="宋体" w:hAnsi="宋体" w:eastAsia="宋体" w:cs="宋体"/>
          <w:spacing w:val="-1"/>
          <w:sz w:val="24"/>
          <w:szCs w:val="24"/>
        </w:rPr>
        <w:t>取土场、弃土</w:t>
      </w:r>
      <w:r>
        <w:rPr>
          <w:rFonts w:ascii="宋体" w:hAnsi="宋体" w:eastAsia="宋体" w:cs="宋体"/>
          <w:sz w:val="24"/>
          <w:szCs w:val="24"/>
        </w:rPr>
        <w:t xml:space="preserve"> </w:t>
      </w:r>
      <w:r>
        <w:rPr>
          <w:rFonts w:ascii="宋体" w:hAnsi="宋体" w:eastAsia="宋体" w:cs="宋体"/>
          <w:spacing w:val="-9"/>
          <w:sz w:val="24"/>
          <w:szCs w:val="24"/>
        </w:rPr>
        <w:t>场位置等参考资料，并不构成合同文件的组成部分，投标人应对自己就上述资料的解</w:t>
      </w:r>
      <w:r>
        <w:rPr>
          <w:rFonts w:ascii="宋体" w:hAnsi="宋体" w:eastAsia="宋体" w:cs="宋体"/>
          <w:spacing w:val="11"/>
          <w:sz w:val="24"/>
          <w:szCs w:val="24"/>
        </w:rPr>
        <w:t xml:space="preserve"> </w:t>
      </w:r>
      <w:r>
        <w:rPr>
          <w:rFonts w:ascii="宋体" w:hAnsi="宋体" w:eastAsia="宋体" w:cs="宋体"/>
          <w:spacing w:val="-6"/>
          <w:sz w:val="24"/>
          <w:szCs w:val="24"/>
        </w:rPr>
        <w:t>释、推论和应用负责，招标人不对投标人据此作出的判断和决策承担任何责任。</w:t>
      </w:r>
    </w:p>
    <w:p>
      <w:pPr>
        <w:keepNext w:val="0"/>
        <w:keepLines w:val="0"/>
        <w:pageBreakBefore w:val="0"/>
        <w:wordWrap/>
        <w:overflowPunct/>
        <w:topLinePunct w:val="0"/>
        <w:autoSpaceDE w:val="0"/>
        <w:autoSpaceDN w:val="0"/>
        <w:bidi w:val="0"/>
        <w:spacing w:before="266" w:line="360" w:lineRule="auto"/>
        <w:ind w:left="50"/>
        <w:rPr>
          <w:rFonts w:ascii="黑体" w:hAnsi="黑体" w:eastAsia="黑体" w:cs="黑体"/>
          <w:sz w:val="24"/>
          <w:szCs w:val="24"/>
        </w:rPr>
      </w:pPr>
      <w:r>
        <w:rPr>
          <w:rFonts w:ascii="黑体" w:hAnsi="黑体" w:eastAsia="黑体" w:cs="黑体"/>
          <w:spacing w:val="-3"/>
          <w:sz w:val="24"/>
          <w:szCs w:val="24"/>
        </w:rPr>
        <w:t>1.10 投标预备会</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9" w:line="360" w:lineRule="auto"/>
        <w:ind w:left="39" w:right="57" w:firstLine="497"/>
        <w:rPr>
          <w:rFonts w:ascii="宋体" w:hAnsi="宋体" w:eastAsia="宋体" w:cs="宋体"/>
          <w:sz w:val="24"/>
          <w:szCs w:val="24"/>
        </w:rPr>
      </w:pPr>
      <w:r>
        <w:rPr>
          <w:rFonts w:ascii="Times New Roman" w:hAnsi="Times New Roman" w:eastAsia="Times New Roman" w:cs="Times New Roman"/>
          <w:spacing w:val="-7"/>
          <w:sz w:val="24"/>
          <w:szCs w:val="24"/>
        </w:rPr>
        <w:t xml:space="preserve">1.10.1  </w:t>
      </w:r>
      <w:r>
        <w:rPr>
          <w:rFonts w:ascii="宋体" w:hAnsi="宋体" w:eastAsia="宋体" w:cs="宋体"/>
          <w:spacing w:val="-7"/>
          <w:sz w:val="24"/>
          <w:szCs w:val="24"/>
        </w:rPr>
        <w:t>第一章“招标公告”或“投标邀请书”规定召开投标预备</w:t>
      </w:r>
      <w:r>
        <w:rPr>
          <w:rFonts w:ascii="宋体" w:hAnsi="宋体" w:eastAsia="宋体" w:cs="宋体"/>
          <w:spacing w:val="-8"/>
          <w:sz w:val="24"/>
          <w:szCs w:val="24"/>
        </w:rPr>
        <w:t>会的，招标人按</w:t>
      </w:r>
      <w:r>
        <w:rPr>
          <w:rFonts w:ascii="宋体" w:hAnsi="宋体" w:eastAsia="宋体" w:cs="宋体"/>
          <w:sz w:val="24"/>
          <w:szCs w:val="24"/>
        </w:rPr>
        <w:t xml:space="preserve"> </w:t>
      </w:r>
      <w:r>
        <w:rPr>
          <w:rFonts w:ascii="宋体" w:hAnsi="宋体" w:eastAsia="宋体" w:cs="宋体"/>
          <w:spacing w:val="-2"/>
          <w:sz w:val="24"/>
          <w:szCs w:val="24"/>
        </w:rPr>
        <w:t>规定的时间和地点召开投标预备会，澄清投标人提出的问题。</w:t>
      </w:r>
    </w:p>
    <w:p>
      <w:pPr>
        <w:keepNext w:val="0"/>
        <w:keepLines w:val="0"/>
        <w:pageBreakBefore w:val="0"/>
        <w:wordWrap/>
        <w:overflowPunct/>
        <w:topLinePunct w:val="0"/>
        <w:autoSpaceDE w:val="0"/>
        <w:autoSpaceDN w:val="0"/>
        <w:bidi w:val="0"/>
        <w:spacing w:before="116" w:line="360" w:lineRule="auto"/>
        <w:ind w:right="56"/>
        <w:jc w:val="right"/>
        <w:rPr>
          <w:rFonts w:ascii="宋体" w:hAnsi="宋体" w:eastAsia="宋体" w:cs="宋体"/>
          <w:sz w:val="24"/>
          <w:szCs w:val="24"/>
        </w:rPr>
      </w:pPr>
      <w:r>
        <w:rPr>
          <w:rFonts w:ascii="Times New Roman" w:hAnsi="Times New Roman" w:eastAsia="Times New Roman" w:cs="Times New Roman"/>
          <w:spacing w:val="3"/>
          <w:position w:val="11"/>
          <w:sz w:val="24"/>
          <w:szCs w:val="24"/>
        </w:rPr>
        <w:t xml:space="preserve">1.10.2  </w:t>
      </w:r>
      <w:r>
        <w:rPr>
          <w:rFonts w:ascii="宋体" w:hAnsi="宋体" w:eastAsia="宋体" w:cs="宋体"/>
          <w:spacing w:val="3"/>
          <w:position w:val="11"/>
          <w:sz w:val="24"/>
          <w:szCs w:val="24"/>
        </w:rPr>
        <w:t>投标人应按投标人须知前附表规定的时间和形式将提出的问题送达招标</w:t>
      </w:r>
    </w:p>
    <w:p>
      <w:pPr>
        <w:keepNext w:val="0"/>
        <w:keepLines w:val="0"/>
        <w:pageBreakBefore w:val="0"/>
        <w:wordWrap/>
        <w:overflowPunct/>
        <w:topLinePunct w:val="0"/>
        <w:autoSpaceDE w:val="0"/>
        <w:autoSpaceDN w:val="0"/>
        <w:bidi w:val="0"/>
        <w:spacing w:before="1" w:line="360" w:lineRule="auto"/>
        <w:ind w:left="40"/>
        <w:rPr>
          <w:rFonts w:ascii="宋体" w:hAnsi="宋体" w:eastAsia="宋体" w:cs="宋体"/>
          <w:sz w:val="24"/>
          <w:szCs w:val="24"/>
        </w:rPr>
      </w:pPr>
      <w:r>
        <w:rPr>
          <w:rFonts w:ascii="宋体" w:hAnsi="宋体" w:eastAsia="宋体" w:cs="宋体"/>
          <w:spacing w:val="-3"/>
          <w:sz w:val="24"/>
          <w:szCs w:val="24"/>
        </w:rPr>
        <w:t>人，以便招标人在会议期间澄清。</w:t>
      </w:r>
    </w:p>
    <w:p>
      <w:pPr>
        <w:keepNext w:val="0"/>
        <w:keepLines w:val="0"/>
        <w:pageBreakBefore w:val="0"/>
        <w:wordWrap/>
        <w:overflowPunct/>
        <w:topLinePunct w:val="0"/>
        <w:autoSpaceDE w:val="0"/>
        <w:autoSpaceDN w:val="0"/>
        <w:bidi w:val="0"/>
        <w:spacing w:before="114" w:line="360" w:lineRule="auto"/>
        <w:ind w:right="57"/>
        <w:jc w:val="right"/>
        <w:rPr>
          <w:rFonts w:ascii="宋体" w:hAnsi="宋体" w:eastAsia="宋体" w:cs="宋体"/>
          <w:sz w:val="24"/>
          <w:szCs w:val="24"/>
        </w:rPr>
      </w:pPr>
      <w:r>
        <w:rPr>
          <w:rFonts w:ascii="Times New Roman" w:hAnsi="Times New Roman" w:eastAsia="Times New Roman" w:cs="Times New Roman"/>
          <w:spacing w:val="-10"/>
          <w:position w:val="11"/>
          <w:sz w:val="24"/>
          <w:szCs w:val="24"/>
        </w:rPr>
        <w:t xml:space="preserve">1.10.3  </w:t>
      </w:r>
      <w:r>
        <w:rPr>
          <w:rFonts w:ascii="宋体" w:hAnsi="宋体" w:eastAsia="宋体" w:cs="宋体"/>
          <w:spacing w:val="-10"/>
          <w:position w:val="11"/>
          <w:sz w:val="24"/>
          <w:szCs w:val="24"/>
        </w:rPr>
        <w:t>投标预备会后，</w:t>
      </w:r>
      <w:r>
        <w:rPr>
          <w:rFonts w:ascii="宋体" w:hAnsi="宋体" w:eastAsia="宋体" w:cs="宋体"/>
          <w:spacing w:val="47"/>
          <w:position w:val="11"/>
          <w:sz w:val="24"/>
          <w:szCs w:val="24"/>
        </w:rPr>
        <w:t xml:space="preserve"> </w:t>
      </w:r>
      <w:r>
        <w:rPr>
          <w:rFonts w:ascii="宋体" w:hAnsi="宋体" w:eastAsia="宋体" w:cs="宋体"/>
          <w:spacing w:val="-10"/>
          <w:position w:val="11"/>
          <w:sz w:val="24"/>
          <w:szCs w:val="24"/>
        </w:rPr>
        <w:t>招标人将对投标人所提问题的澄清，</w:t>
      </w:r>
      <w:r>
        <w:rPr>
          <w:rFonts w:ascii="宋体" w:hAnsi="宋体" w:eastAsia="宋体" w:cs="宋体"/>
          <w:spacing w:val="73"/>
          <w:position w:val="11"/>
          <w:sz w:val="24"/>
          <w:szCs w:val="24"/>
        </w:rPr>
        <w:t xml:space="preserve"> </w:t>
      </w:r>
      <w:r>
        <w:rPr>
          <w:rFonts w:ascii="宋体" w:hAnsi="宋体" w:eastAsia="宋体" w:cs="宋体"/>
          <w:spacing w:val="-10"/>
          <w:position w:val="11"/>
          <w:sz w:val="24"/>
          <w:szCs w:val="24"/>
        </w:rPr>
        <w:t>以本章第</w:t>
      </w:r>
      <w:r>
        <w:rPr>
          <w:rFonts w:ascii="宋体" w:hAnsi="宋体" w:eastAsia="宋体" w:cs="宋体"/>
          <w:spacing w:val="-55"/>
          <w:position w:val="11"/>
          <w:sz w:val="24"/>
          <w:szCs w:val="24"/>
        </w:rPr>
        <w:t xml:space="preserve"> </w:t>
      </w:r>
      <w:r>
        <w:rPr>
          <w:rFonts w:ascii="Times New Roman" w:hAnsi="Times New Roman" w:eastAsia="Times New Roman" w:cs="Times New Roman"/>
          <w:spacing w:val="-11"/>
          <w:position w:val="11"/>
          <w:sz w:val="24"/>
          <w:szCs w:val="24"/>
        </w:rPr>
        <w:t xml:space="preserve">2.2 </w:t>
      </w:r>
      <w:r>
        <w:rPr>
          <w:rFonts w:ascii="宋体" w:hAnsi="宋体" w:eastAsia="宋体" w:cs="宋体"/>
          <w:spacing w:val="-11"/>
          <w:position w:val="11"/>
          <w:sz w:val="24"/>
          <w:szCs w:val="24"/>
        </w:rPr>
        <w:t>款规定</w:t>
      </w:r>
    </w:p>
    <w:p>
      <w:pPr>
        <w:keepNext w:val="0"/>
        <w:keepLines w:val="0"/>
        <w:pageBreakBefore w:val="0"/>
        <w:wordWrap/>
        <w:overflowPunct/>
        <w:topLinePunct w:val="0"/>
        <w:autoSpaceDE w:val="0"/>
        <w:autoSpaceDN w:val="0"/>
        <w:bidi w:val="0"/>
        <w:spacing w:before="1" w:line="360" w:lineRule="auto"/>
        <w:ind w:left="57"/>
        <w:rPr>
          <w:rFonts w:ascii="Arial"/>
          <w:sz w:val="21"/>
        </w:rPr>
      </w:pPr>
      <w:r>
        <w:rPr>
          <w:rFonts w:ascii="宋体" w:hAnsi="宋体" w:eastAsia="宋体" w:cs="宋体"/>
          <w:spacing w:val="-2"/>
          <w:sz w:val="24"/>
          <w:szCs w:val="24"/>
        </w:rPr>
        <w:t>的形式通知所有购买招标文件的投标人。该澄清内容为招标文件的组成部分。</w:t>
      </w:r>
    </w:p>
    <w:p>
      <w:pPr>
        <w:keepNext w:val="0"/>
        <w:keepLines w:val="0"/>
        <w:pageBreakBefore w:val="0"/>
        <w:wordWrap/>
        <w:overflowPunct/>
        <w:topLinePunct w:val="0"/>
        <w:autoSpaceDE w:val="0"/>
        <w:autoSpaceDN w:val="0"/>
        <w:bidi w:val="0"/>
        <w:spacing w:before="78" w:line="360" w:lineRule="auto"/>
        <w:ind w:left="149"/>
        <w:rPr>
          <w:rFonts w:ascii="黑体" w:hAnsi="黑体" w:eastAsia="黑体" w:cs="黑体"/>
          <w:sz w:val="24"/>
          <w:szCs w:val="24"/>
        </w:rPr>
      </w:pPr>
      <w:r>
        <w:rPr>
          <w:rFonts w:ascii="黑体" w:hAnsi="黑体" w:eastAsia="黑体" w:cs="黑体"/>
          <w:spacing w:val="-5"/>
          <w:sz w:val="24"/>
          <w:szCs w:val="24"/>
        </w:rPr>
        <w:t>1.11</w:t>
      </w:r>
      <w:r>
        <w:rPr>
          <w:rFonts w:ascii="黑体" w:hAnsi="黑体" w:eastAsia="黑体" w:cs="黑体"/>
          <w:spacing w:val="15"/>
          <w:sz w:val="24"/>
          <w:szCs w:val="24"/>
        </w:rPr>
        <w:t xml:space="preserve"> </w:t>
      </w:r>
      <w:r>
        <w:rPr>
          <w:rFonts w:ascii="黑体" w:hAnsi="黑体" w:eastAsia="黑体" w:cs="黑体"/>
          <w:spacing w:val="-5"/>
          <w:sz w:val="24"/>
          <w:szCs w:val="24"/>
        </w:rPr>
        <w:t>分包</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jc w:val="right"/>
        <w:rPr>
          <w:rFonts w:ascii="宋体" w:hAnsi="宋体" w:eastAsia="宋体" w:cs="宋体"/>
          <w:sz w:val="24"/>
          <w:szCs w:val="24"/>
        </w:rPr>
      </w:pPr>
      <w:r>
        <w:rPr>
          <w:rFonts w:ascii="Times New Roman" w:hAnsi="Times New Roman" w:eastAsia="Times New Roman" w:cs="Times New Roman"/>
          <w:spacing w:val="-2"/>
          <w:position w:val="11"/>
          <w:sz w:val="24"/>
          <w:szCs w:val="24"/>
        </w:rPr>
        <w:t xml:space="preserve">1.11.1  </w:t>
      </w:r>
      <w:r>
        <w:rPr>
          <w:rFonts w:ascii="宋体" w:hAnsi="宋体" w:eastAsia="宋体" w:cs="宋体"/>
          <w:spacing w:val="-2"/>
          <w:position w:val="11"/>
          <w:sz w:val="24"/>
          <w:szCs w:val="24"/>
        </w:rPr>
        <w:t>投标人拟在中标后将中标项目的部分非主体</w:t>
      </w:r>
      <w:r>
        <w:rPr>
          <w:rFonts w:ascii="宋体" w:hAnsi="宋体" w:eastAsia="宋体" w:cs="宋体"/>
          <w:spacing w:val="-3"/>
          <w:position w:val="11"/>
          <w:sz w:val="24"/>
          <w:szCs w:val="24"/>
        </w:rPr>
        <w:t>、非关键性工作进行分包的，</w:t>
      </w:r>
    </w:p>
    <w:p>
      <w:pPr>
        <w:keepNext w:val="0"/>
        <w:keepLines w:val="0"/>
        <w:pageBreakBefore w:val="0"/>
        <w:wordWrap/>
        <w:overflowPunct/>
        <w:topLinePunct w:val="0"/>
        <w:autoSpaceDE w:val="0"/>
        <w:autoSpaceDN w:val="0"/>
        <w:bidi w:val="0"/>
        <w:spacing w:line="360" w:lineRule="auto"/>
        <w:ind w:left="136"/>
        <w:rPr>
          <w:rFonts w:ascii="宋体" w:hAnsi="宋体" w:eastAsia="宋体" w:cs="宋体"/>
          <w:sz w:val="24"/>
          <w:szCs w:val="24"/>
        </w:rPr>
      </w:pPr>
      <w:r>
        <w:rPr>
          <w:rFonts w:ascii="宋体" w:hAnsi="宋体" w:eastAsia="宋体" w:cs="宋体"/>
          <w:spacing w:val="-2"/>
          <w:sz w:val="24"/>
          <w:szCs w:val="24"/>
        </w:rPr>
        <w:t>应符合以下规定：</w:t>
      </w:r>
    </w:p>
    <w:p>
      <w:pPr>
        <w:keepNext w:val="0"/>
        <w:keepLines w:val="0"/>
        <w:pageBreakBefore w:val="0"/>
        <w:wordWrap/>
        <w:overflowPunct/>
        <w:topLinePunct w:val="0"/>
        <w:autoSpaceDE w:val="0"/>
        <w:autoSpaceDN w:val="0"/>
        <w:bidi w:val="0"/>
        <w:spacing w:before="116" w:line="360" w:lineRule="auto"/>
        <w:ind w:left="135" w:right="28" w:firstLine="367"/>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1</w:t>
      </w:r>
      <w:r>
        <w:rPr>
          <w:rFonts w:ascii="宋体" w:hAnsi="宋体" w:eastAsia="宋体" w:cs="宋体"/>
          <w:spacing w:val="-7"/>
          <w:sz w:val="24"/>
          <w:szCs w:val="24"/>
        </w:rPr>
        <w:t>）分包内容要求：允许分包的工程范围仅限于非关键性工程或适合专</w:t>
      </w:r>
      <w:r>
        <w:rPr>
          <w:rFonts w:ascii="宋体" w:hAnsi="宋体" w:eastAsia="宋体" w:cs="宋体"/>
          <w:spacing w:val="-8"/>
          <w:sz w:val="24"/>
          <w:szCs w:val="24"/>
        </w:rPr>
        <w:t>业化队伍</w:t>
      </w:r>
      <w:r>
        <w:rPr>
          <w:rFonts w:ascii="宋体" w:hAnsi="宋体" w:eastAsia="宋体" w:cs="宋体"/>
          <w:sz w:val="24"/>
          <w:szCs w:val="24"/>
        </w:rPr>
        <w:t xml:space="preserve"> </w:t>
      </w:r>
      <w:r>
        <w:rPr>
          <w:rFonts w:ascii="宋体" w:hAnsi="宋体" w:eastAsia="宋体" w:cs="宋体"/>
          <w:spacing w:val="-5"/>
          <w:sz w:val="24"/>
          <w:szCs w:val="24"/>
        </w:rPr>
        <w:t>施工的专项工程。招标人允许分包或不允许分包的专项工程（如有）</w:t>
      </w:r>
      <w:r>
        <w:rPr>
          <w:rFonts w:ascii="宋体" w:hAnsi="宋体" w:eastAsia="宋体" w:cs="宋体"/>
          <w:spacing w:val="-36"/>
          <w:sz w:val="24"/>
          <w:szCs w:val="24"/>
        </w:rPr>
        <w:t xml:space="preserve"> </w:t>
      </w:r>
      <w:r>
        <w:rPr>
          <w:rFonts w:ascii="宋体" w:hAnsi="宋体" w:eastAsia="宋体" w:cs="宋体"/>
          <w:spacing w:val="-5"/>
          <w:sz w:val="24"/>
          <w:szCs w:val="24"/>
        </w:rPr>
        <w:t>应在投标人须知</w:t>
      </w:r>
    </w:p>
    <w:p>
      <w:pPr>
        <w:keepNext w:val="0"/>
        <w:keepLines w:val="0"/>
        <w:pageBreakBefore w:val="0"/>
        <w:wordWrap/>
        <w:overflowPunct/>
        <w:topLinePunct w:val="0"/>
        <w:autoSpaceDE w:val="0"/>
        <w:autoSpaceDN w:val="0"/>
        <w:bidi w:val="0"/>
        <w:spacing w:before="1" w:line="360" w:lineRule="auto"/>
        <w:ind w:left="140"/>
        <w:rPr>
          <w:rFonts w:ascii="宋体" w:hAnsi="宋体" w:eastAsia="宋体" w:cs="宋体"/>
          <w:sz w:val="24"/>
          <w:szCs w:val="24"/>
        </w:rPr>
      </w:pPr>
      <w:r>
        <w:rPr>
          <w:rFonts w:ascii="宋体" w:hAnsi="宋体" w:eastAsia="宋体" w:cs="宋体"/>
          <w:spacing w:val="-2"/>
          <w:sz w:val="24"/>
          <w:szCs w:val="24"/>
        </w:rPr>
        <w:t>前附表中载明。</w:t>
      </w:r>
    </w:p>
    <w:p>
      <w:pPr>
        <w:keepNext w:val="0"/>
        <w:keepLines w:val="0"/>
        <w:pageBreakBefore w:val="0"/>
        <w:wordWrap/>
        <w:overflowPunct/>
        <w:topLinePunct w:val="0"/>
        <w:autoSpaceDE w:val="0"/>
        <w:autoSpaceDN w:val="0"/>
        <w:bidi w:val="0"/>
        <w:spacing w:before="116" w:line="360" w:lineRule="auto"/>
        <w:ind w:left="135" w:right="28" w:firstLine="367"/>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2</w:t>
      </w:r>
      <w:r>
        <w:rPr>
          <w:rFonts w:ascii="宋体" w:hAnsi="宋体" w:eastAsia="宋体" w:cs="宋体"/>
          <w:spacing w:val="-6"/>
          <w:sz w:val="24"/>
          <w:szCs w:val="24"/>
        </w:rPr>
        <w:t>）接受分包的第三人资格要求： 分包人的资格能力应与其分包</w:t>
      </w:r>
      <w:r>
        <w:rPr>
          <w:rFonts w:ascii="宋体" w:hAnsi="宋体" w:eastAsia="宋体" w:cs="宋体"/>
          <w:spacing w:val="-7"/>
          <w:sz w:val="24"/>
          <w:szCs w:val="24"/>
        </w:rPr>
        <w:t>工程的标准和规</w:t>
      </w:r>
      <w:r>
        <w:rPr>
          <w:rFonts w:ascii="宋体" w:hAnsi="宋体" w:eastAsia="宋体" w:cs="宋体"/>
          <w:sz w:val="24"/>
          <w:szCs w:val="24"/>
        </w:rPr>
        <w:t xml:space="preserve"> </w:t>
      </w:r>
      <w:r>
        <w:rPr>
          <w:rFonts w:ascii="宋体" w:hAnsi="宋体" w:eastAsia="宋体" w:cs="宋体"/>
          <w:spacing w:val="-5"/>
          <w:sz w:val="24"/>
          <w:szCs w:val="24"/>
        </w:rPr>
        <w:t>模相适应，且具备投标人须知前附表中规定的资格条件。</w:t>
      </w:r>
    </w:p>
    <w:p>
      <w:pPr>
        <w:keepNext w:val="0"/>
        <w:keepLines w:val="0"/>
        <w:pageBreakBefore w:val="0"/>
        <w:wordWrap/>
        <w:overflowPunct/>
        <w:topLinePunct w:val="0"/>
        <w:autoSpaceDE w:val="0"/>
        <w:autoSpaceDN w:val="0"/>
        <w:bidi w:val="0"/>
        <w:spacing w:before="116" w:line="360" w:lineRule="auto"/>
        <w:ind w:right="26" w:firstLine="503"/>
        <w:rPr>
          <w:rFonts w:ascii="宋体" w:hAnsi="宋体" w:eastAsia="宋体" w:cs="宋体"/>
          <w:sz w:val="24"/>
          <w:szCs w:val="24"/>
        </w:rPr>
      </w:pPr>
      <w:r>
        <w:rPr>
          <w:rFonts w:ascii="宋体" w:hAnsi="宋体" w:eastAsia="宋体" w:cs="宋体"/>
          <w:spacing w:val="-11"/>
          <w:sz w:val="24"/>
          <w:szCs w:val="24"/>
        </w:rPr>
        <w:t>（</w:t>
      </w:r>
      <w:r>
        <w:rPr>
          <w:rFonts w:ascii="Times New Roman" w:hAnsi="Times New Roman" w:eastAsia="Times New Roman" w:cs="Times New Roman"/>
          <w:spacing w:val="-11"/>
          <w:sz w:val="24"/>
          <w:szCs w:val="24"/>
        </w:rPr>
        <w:t>3</w:t>
      </w:r>
      <w:r>
        <w:rPr>
          <w:rFonts w:ascii="宋体" w:hAnsi="宋体" w:eastAsia="宋体" w:cs="宋体"/>
          <w:spacing w:val="-11"/>
          <w:sz w:val="24"/>
          <w:szCs w:val="24"/>
        </w:rPr>
        <w:t>）其他要求： 投标人如有分包计划，应按第九章“投标文件格式”的要求填写</w:t>
      </w:r>
      <w:r>
        <w:rPr>
          <w:rFonts w:ascii="宋体" w:hAnsi="宋体" w:eastAsia="宋体" w:cs="宋体"/>
          <w:sz w:val="24"/>
          <w:szCs w:val="24"/>
        </w:rPr>
        <w:t xml:space="preserve"> </w:t>
      </w:r>
      <w:r>
        <w:rPr>
          <w:rFonts w:ascii="宋体" w:hAnsi="宋体" w:eastAsia="宋体" w:cs="宋体"/>
          <w:spacing w:val="-8"/>
          <w:sz w:val="24"/>
          <w:szCs w:val="24"/>
        </w:rPr>
        <w:t>“拟分包项目情况表”，明确拟分包的工程及规模，且投标</w:t>
      </w:r>
      <w:r>
        <w:rPr>
          <w:rFonts w:ascii="宋体" w:hAnsi="宋体" w:eastAsia="宋体" w:cs="宋体"/>
          <w:spacing w:val="-9"/>
          <w:sz w:val="24"/>
          <w:szCs w:val="24"/>
        </w:rPr>
        <w:t>人中标后的分包应满足合同</w:t>
      </w:r>
      <w:r>
        <w:rPr>
          <w:rFonts w:ascii="宋体" w:hAnsi="宋体" w:eastAsia="宋体" w:cs="宋体"/>
          <w:sz w:val="24"/>
          <w:szCs w:val="24"/>
        </w:rPr>
        <w:t xml:space="preserve"> </w:t>
      </w:r>
      <w:r>
        <w:rPr>
          <w:rFonts w:ascii="宋体" w:hAnsi="宋体" w:eastAsia="宋体" w:cs="宋体"/>
          <w:spacing w:val="6"/>
          <w:sz w:val="24"/>
          <w:szCs w:val="24"/>
        </w:rPr>
        <w:t>条款第</w:t>
      </w:r>
      <w:r>
        <w:rPr>
          <w:rFonts w:ascii="宋体" w:hAnsi="宋体" w:eastAsia="宋体" w:cs="宋体"/>
          <w:spacing w:val="-46"/>
          <w:sz w:val="24"/>
          <w:szCs w:val="24"/>
        </w:rPr>
        <w:t xml:space="preserve"> </w:t>
      </w:r>
      <w:r>
        <w:rPr>
          <w:rFonts w:ascii="Times New Roman" w:hAnsi="Times New Roman" w:eastAsia="Times New Roman" w:cs="Times New Roman"/>
          <w:spacing w:val="6"/>
          <w:sz w:val="24"/>
          <w:szCs w:val="24"/>
        </w:rPr>
        <w:t xml:space="preserve">4.3 </w:t>
      </w:r>
      <w:r>
        <w:rPr>
          <w:rFonts w:ascii="宋体" w:hAnsi="宋体" w:eastAsia="宋体" w:cs="宋体"/>
          <w:spacing w:val="6"/>
          <w:sz w:val="24"/>
          <w:szCs w:val="24"/>
        </w:rPr>
        <w:t>款的相关要求。</w:t>
      </w:r>
    </w:p>
    <w:p>
      <w:pPr>
        <w:keepNext w:val="0"/>
        <w:keepLines w:val="0"/>
        <w:pageBreakBefore w:val="0"/>
        <w:wordWrap/>
        <w:overflowPunct/>
        <w:topLinePunct w:val="0"/>
        <w:autoSpaceDE w:val="0"/>
        <w:autoSpaceDN w:val="0"/>
        <w:bidi w:val="0"/>
        <w:spacing w:before="116" w:line="360" w:lineRule="auto"/>
        <w:ind w:right="28"/>
        <w:jc w:val="right"/>
        <w:rPr>
          <w:rFonts w:ascii="宋体" w:hAnsi="宋体" w:eastAsia="宋体" w:cs="宋体"/>
          <w:sz w:val="24"/>
          <w:szCs w:val="24"/>
        </w:rPr>
      </w:pPr>
      <w:r>
        <w:rPr>
          <w:rFonts w:ascii="Times New Roman" w:hAnsi="Times New Roman" w:eastAsia="Times New Roman" w:cs="Times New Roman"/>
          <w:spacing w:val="-7"/>
          <w:position w:val="11"/>
          <w:sz w:val="24"/>
          <w:szCs w:val="24"/>
        </w:rPr>
        <w:t>1.11.2</w:t>
      </w:r>
      <w:r>
        <w:rPr>
          <w:rFonts w:ascii="Times New Roman" w:hAnsi="Times New Roman" w:eastAsia="Times New Roman" w:cs="Times New Roman"/>
          <w:spacing w:val="16"/>
          <w:position w:val="11"/>
          <w:sz w:val="24"/>
          <w:szCs w:val="24"/>
        </w:rPr>
        <w:t xml:space="preserve">  </w:t>
      </w:r>
      <w:r>
        <w:rPr>
          <w:rFonts w:ascii="宋体" w:hAnsi="宋体" w:eastAsia="宋体" w:cs="宋体"/>
          <w:spacing w:val="-7"/>
          <w:position w:val="11"/>
          <w:sz w:val="24"/>
          <w:szCs w:val="24"/>
        </w:rPr>
        <w:t>中标人不得向他人转让中标项目，接受分包的人不得再次分包。中标人应</w:t>
      </w:r>
    </w:p>
    <w:p>
      <w:pPr>
        <w:keepNext w:val="0"/>
        <w:keepLines w:val="0"/>
        <w:pageBreakBefore w:val="0"/>
        <w:wordWrap/>
        <w:overflowPunct/>
        <w:topLinePunct w:val="0"/>
        <w:autoSpaceDE w:val="0"/>
        <w:autoSpaceDN w:val="0"/>
        <w:bidi w:val="0"/>
        <w:spacing w:line="360" w:lineRule="auto"/>
        <w:ind w:left="138"/>
        <w:rPr>
          <w:rFonts w:ascii="宋体" w:hAnsi="宋体" w:eastAsia="宋体" w:cs="宋体"/>
          <w:sz w:val="24"/>
          <w:szCs w:val="24"/>
        </w:rPr>
      </w:pPr>
      <w:r>
        <w:rPr>
          <w:rFonts w:ascii="宋体" w:hAnsi="宋体" w:eastAsia="宋体" w:cs="宋体"/>
          <w:spacing w:val="-2"/>
          <w:sz w:val="24"/>
          <w:szCs w:val="24"/>
        </w:rPr>
        <w:t>就分包项目向招标人负责，接受分包的人就分包项目承担连带责任。</w:t>
      </w:r>
    </w:p>
    <w:p>
      <w:pPr>
        <w:keepNext w:val="0"/>
        <w:keepLines w:val="0"/>
        <w:pageBreakBefore w:val="0"/>
        <w:wordWrap/>
        <w:overflowPunct/>
        <w:topLinePunct w:val="0"/>
        <w:autoSpaceDE w:val="0"/>
        <w:autoSpaceDN w:val="0"/>
        <w:bidi w:val="0"/>
        <w:spacing w:before="264" w:line="360" w:lineRule="auto"/>
        <w:ind w:left="149"/>
        <w:rPr>
          <w:rFonts w:ascii="黑体" w:hAnsi="黑体" w:eastAsia="黑体" w:cs="黑体"/>
          <w:sz w:val="24"/>
          <w:szCs w:val="24"/>
        </w:rPr>
      </w:pPr>
      <w:r>
        <w:rPr>
          <w:rFonts w:ascii="黑体" w:hAnsi="黑体" w:eastAsia="黑体" w:cs="黑体"/>
          <w:spacing w:val="-5"/>
          <w:sz w:val="24"/>
          <w:szCs w:val="24"/>
        </w:rPr>
        <w:t>1.12</w:t>
      </w:r>
      <w:r>
        <w:rPr>
          <w:rFonts w:ascii="黑体" w:hAnsi="黑体" w:eastAsia="黑体" w:cs="黑体"/>
          <w:spacing w:val="26"/>
          <w:sz w:val="24"/>
          <w:szCs w:val="24"/>
        </w:rPr>
        <w:t xml:space="preserve"> </w:t>
      </w:r>
      <w:r>
        <w:rPr>
          <w:rFonts w:ascii="黑体" w:hAnsi="黑体" w:eastAsia="黑体" w:cs="黑体"/>
          <w:spacing w:val="-5"/>
          <w:sz w:val="24"/>
          <w:szCs w:val="24"/>
        </w:rPr>
        <w:t>响应和偏差</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right="26"/>
        <w:jc w:val="right"/>
        <w:rPr>
          <w:rFonts w:ascii="宋体" w:hAnsi="宋体" w:eastAsia="宋体" w:cs="宋体"/>
          <w:sz w:val="24"/>
          <w:szCs w:val="24"/>
        </w:rPr>
      </w:pPr>
      <w:r>
        <w:rPr>
          <w:rFonts w:ascii="Times New Roman" w:hAnsi="Times New Roman" w:eastAsia="Times New Roman" w:cs="Times New Roman"/>
          <w:spacing w:val="-3"/>
          <w:position w:val="11"/>
          <w:sz w:val="24"/>
          <w:szCs w:val="24"/>
        </w:rPr>
        <w:t xml:space="preserve">1.12.1  </w:t>
      </w:r>
      <w:r>
        <w:rPr>
          <w:rFonts w:ascii="宋体" w:hAnsi="宋体" w:eastAsia="宋体" w:cs="宋体"/>
          <w:spacing w:val="-3"/>
          <w:position w:val="11"/>
          <w:sz w:val="24"/>
          <w:szCs w:val="24"/>
        </w:rPr>
        <w:t>投标文件偏离招标文件某些要求，视为投标文件存在偏差。偏差包括重大</w:t>
      </w:r>
    </w:p>
    <w:p>
      <w:pPr>
        <w:keepNext w:val="0"/>
        <w:keepLines w:val="0"/>
        <w:pageBreakBefore w:val="0"/>
        <w:wordWrap/>
        <w:overflowPunct/>
        <w:topLinePunct w:val="0"/>
        <w:autoSpaceDE w:val="0"/>
        <w:autoSpaceDN w:val="0"/>
        <w:bidi w:val="0"/>
        <w:spacing w:line="360" w:lineRule="auto"/>
        <w:ind w:left="136"/>
        <w:rPr>
          <w:rFonts w:ascii="宋体" w:hAnsi="宋体" w:eastAsia="宋体" w:cs="宋体"/>
          <w:sz w:val="24"/>
          <w:szCs w:val="24"/>
        </w:rPr>
      </w:pPr>
      <w:r>
        <w:rPr>
          <w:rFonts w:ascii="宋体" w:hAnsi="宋体" w:eastAsia="宋体" w:cs="宋体"/>
          <w:spacing w:val="-5"/>
          <w:sz w:val="24"/>
          <w:szCs w:val="24"/>
        </w:rPr>
        <w:t>偏差和细微偏差。</w:t>
      </w:r>
    </w:p>
    <w:p>
      <w:pPr>
        <w:keepNext w:val="0"/>
        <w:keepLines w:val="0"/>
        <w:pageBreakBefore w:val="0"/>
        <w:wordWrap/>
        <w:overflowPunct/>
        <w:topLinePunct w:val="0"/>
        <w:autoSpaceDE w:val="0"/>
        <w:autoSpaceDN w:val="0"/>
        <w:bidi w:val="0"/>
        <w:spacing w:before="113" w:line="360" w:lineRule="auto"/>
        <w:ind w:right="28"/>
        <w:jc w:val="right"/>
        <w:rPr>
          <w:rFonts w:ascii="宋体" w:hAnsi="宋体" w:eastAsia="宋体" w:cs="宋体"/>
          <w:sz w:val="24"/>
          <w:szCs w:val="24"/>
        </w:rPr>
      </w:pPr>
      <w:r>
        <w:rPr>
          <w:rFonts w:ascii="Times New Roman" w:hAnsi="Times New Roman" w:eastAsia="Times New Roman" w:cs="Times New Roman"/>
          <w:spacing w:val="3"/>
          <w:position w:val="11"/>
          <w:sz w:val="24"/>
          <w:szCs w:val="24"/>
        </w:rPr>
        <w:t xml:space="preserve">1.12.2  </w:t>
      </w:r>
      <w:r>
        <w:rPr>
          <w:rFonts w:ascii="宋体" w:hAnsi="宋体" w:eastAsia="宋体" w:cs="宋体"/>
          <w:spacing w:val="3"/>
          <w:position w:val="11"/>
          <w:sz w:val="24"/>
          <w:szCs w:val="24"/>
        </w:rPr>
        <w:t>投标文件应对招标文件的实质性要求和条件作出满足性或更有利于招标</w:t>
      </w:r>
    </w:p>
    <w:p>
      <w:pPr>
        <w:keepNext w:val="0"/>
        <w:keepLines w:val="0"/>
        <w:pageBreakBefore w:val="0"/>
        <w:wordWrap/>
        <w:overflowPunct/>
        <w:topLinePunct w:val="0"/>
        <w:autoSpaceDE w:val="0"/>
        <w:autoSpaceDN w:val="0"/>
        <w:bidi w:val="0"/>
        <w:spacing w:before="1" w:line="360" w:lineRule="auto"/>
        <w:ind w:left="138"/>
        <w:rPr>
          <w:rFonts w:ascii="宋体" w:hAnsi="宋体" w:eastAsia="宋体" w:cs="宋体"/>
          <w:sz w:val="24"/>
          <w:szCs w:val="24"/>
        </w:rPr>
      </w:pPr>
      <w:r>
        <w:rPr>
          <w:rFonts w:ascii="宋体" w:hAnsi="宋体" w:eastAsia="宋体" w:cs="宋体"/>
          <w:spacing w:val="-1"/>
          <w:sz w:val="24"/>
          <w:szCs w:val="24"/>
        </w:rPr>
        <w:t>人的响应，否则，视为投标文件存在重大偏差，投</w:t>
      </w:r>
      <w:r>
        <w:rPr>
          <w:rFonts w:ascii="宋体" w:hAnsi="宋体" w:eastAsia="宋体" w:cs="宋体"/>
          <w:spacing w:val="-2"/>
          <w:sz w:val="24"/>
          <w:szCs w:val="24"/>
        </w:rPr>
        <w:t>标人的投标将被否决。</w:t>
      </w:r>
    </w:p>
    <w:p>
      <w:pPr>
        <w:keepNext w:val="0"/>
        <w:keepLines w:val="0"/>
        <w:pageBreakBefore w:val="0"/>
        <w:wordWrap/>
        <w:overflowPunct/>
        <w:topLinePunct w:val="0"/>
        <w:autoSpaceDE w:val="0"/>
        <w:autoSpaceDN w:val="0"/>
        <w:bidi w:val="0"/>
        <w:spacing w:before="115" w:line="360" w:lineRule="auto"/>
        <w:ind w:left="136" w:right="28" w:firstLine="482"/>
        <w:rPr>
          <w:rFonts w:ascii="宋体" w:hAnsi="宋体" w:eastAsia="宋体" w:cs="宋体"/>
          <w:sz w:val="24"/>
          <w:szCs w:val="24"/>
        </w:rPr>
      </w:pPr>
      <w:r>
        <w:rPr>
          <w:rFonts w:ascii="宋体" w:hAnsi="宋体" w:eastAsia="宋体" w:cs="宋体"/>
          <w:spacing w:val="-7"/>
          <w:sz w:val="24"/>
          <w:szCs w:val="24"/>
        </w:rPr>
        <w:t>投标文件存在第三章“评标办法”中所列任一否决</w:t>
      </w:r>
      <w:r>
        <w:rPr>
          <w:rFonts w:ascii="宋体" w:hAnsi="宋体" w:eastAsia="宋体" w:cs="宋体"/>
          <w:spacing w:val="-8"/>
          <w:sz w:val="24"/>
          <w:szCs w:val="24"/>
        </w:rPr>
        <w:t>投标情形的，</w:t>
      </w:r>
      <w:r>
        <w:rPr>
          <w:rFonts w:ascii="宋体" w:hAnsi="宋体" w:eastAsia="宋体" w:cs="宋体"/>
          <w:spacing w:val="32"/>
          <w:sz w:val="24"/>
          <w:szCs w:val="24"/>
        </w:rPr>
        <w:t xml:space="preserve"> </w:t>
      </w:r>
      <w:r>
        <w:rPr>
          <w:rFonts w:ascii="宋体" w:hAnsi="宋体" w:eastAsia="宋体" w:cs="宋体"/>
          <w:spacing w:val="-8"/>
          <w:sz w:val="24"/>
          <w:szCs w:val="24"/>
        </w:rPr>
        <w:t>均属于存在重大</w:t>
      </w:r>
      <w:r>
        <w:rPr>
          <w:rFonts w:ascii="宋体" w:hAnsi="宋体" w:eastAsia="宋体" w:cs="宋体"/>
          <w:sz w:val="24"/>
          <w:szCs w:val="24"/>
        </w:rPr>
        <w:t xml:space="preserve"> </w:t>
      </w:r>
      <w:r>
        <w:rPr>
          <w:rFonts w:ascii="宋体" w:hAnsi="宋体" w:eastAsia="宋体" w:cs="宋体"/>
          <w:spacing w:val="-9"/>
          <w:sz w:val="24"/>
          <w:szCs w:val="24"/>
        </w:rPr>
        <w:t>偏差。</w:t>
      </w:r>
    </w:p>
    <w:p>
      <w:pPr>
        <w:keepNext w:val="0"/>
        <w:keepLines w:val="0"/>
        <w:pageBreakBefore w:val="0"/>
        <w:wordWrap/>
        <w:overflowPunct/>
        <w:topLinePunct w:val="0"/>
        <w:autoSpaceDE w:val="0"/>
        <w:autoSpaceDN w:val="0"/>
        <w:bidi w:val="0"/>
        <w:spacing w:before="115" w:line="360" w:lineRule="auto"/>
        <w:ind w:left="635"/>
        <w:rPr>
          <w:rFonts w:ascii="宋体" w:hAnsi="宋体" w:eastAsia="宋体" w:cs="宋体"/>
          <w:sz w:val="24"/>
          <w:szCs w:val="24"/>
        </w:rPr>
      </w:pPr>
      <w:r>
        <w:rPr>
          <w:rFonts w:ascii="Times New Roman" w:hAnsi="Times New Roman" w:eastAsia="Times New Roman" w:cs="Times New Roman"/>
          <w:spacing w:val="-4"/>
          <w:sz w:val="24"/>
          <w:szCs w:val="24"/>
        </w:rPr>
        <w:t xml:space="preserve">1.12.3  </w:t>
      </w:r>
      <w:r>
        <w:rPr>
          <w:rFonts w:ascii="宋体" w:hAnsi="宋体" w:eastAsia="宋体" w:cs="宋体"/>
          <w:spacing w:val="-4"/>
          <w:sz w:val="24"/>
          <w:szCs w:val="24"/>
        </w:rPr>
        <w:t>投标文件中的下列偏差为细微偏差：</w:t>
      </w:r>
    </w:p>
    <w:p>
      <w:pPr>
        <w:keepNext w:val="0"/>
        <w:keepLines w:val="0"/>
        <w:pageBreakBefore w:val="0"/>
        <w:wordWrap/>
        <w:overflowPunct/>
        <w:topLinePunct w:val="0"/>
        <w:autoSpaceDE w:val="0"/>
        <w:autoSpaceDN w:val="0"/>
        <w:bidi w:val="0"/>
        <w:spacing w:before="117" w:line="360" w:lineRule="auto"/>
        <w:ind w:left="136" w:right="28" w:firstLine="366"/>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）在按照第三章“评标办法”的规定对投标价进行算术性错误修正及其他错误</w:t>
      </w:r>
      <w:r>
        <w:rPr>
          <w:rFonts w:ascii="宋体" w:hAnsi="宋体" w:eastAsia="宋体" w:cs="宋体"/>
          <w:sz w:val="24"/>
          <w:szCs w:val="24"/>
        </w:rPr>
        <w:t xml:space="preserve"> </w:t>
      </w:r>
      <w:r>
        <w:rPr>
          <w:rFonts w:ascii="宋体" w:hAnsi="宋体" w:eastAsia="宋体" w:cs="宋体"/>
          <w:spacing w:val="-13"/>
          <w:sz w:val="24"/>
          <w:szCs w:val="24"/>
        </w:rPr>
        <w:t>修正后， 最终投标报价未超过最高投标限价（如有） 的情况下，</w:t>
      </w:r>
      <w:r>
        <w:rPr>
          <w:rFonts w:ascii="宋体" w:hAnsi="宋体" w:eastAsia="宋体" w:cs="宋体"/>
          <w:spacing w:val="42"/>
          <w:sz w:val="24"/>
          <w:szCs w:val="24"/>
        </w:rPr>
        <w:t xml:space="preserve"> </w:t>
      </w:r>
      <w:r>
        <w:rPr>
          <w:rFonts w:ascii="宋体" w:hAnsi="宋体" w:eastAsia="宋体" w:cs="宋体"/>
          <w:spacing w:val="-13"/>
          <w:sz w:val="24"/>
          <w:szCs w:val="24"/>
        </w:rPr>
        <w:t>出现第三章“评标办</w:t>
      </w:r>
    </w:p>
    <w:p>
      <w:pPr>
        <w:keepNext w:val="0"/>
        <w:keepLines w:val="0"/>
        <w:pageBreakBefore w:val="0"/>
        <w:wordWrap/>
        <w:overflowPunct/>
        <w:topLinePunct w:val="0"/>
        <w:autoSpaceDE w:val="0"/>
        <w:autoSpaceDN w:val="0"/>
        <w:bidi w:val="0"/>
        <w:spacing w:line="360" w:lineRule="auto"/>
        <w:ind w:left="137"/>
        <w:rPr>
          <w:rFonts w:ascii="宋体" w:hAnsi="宋体" w:eastAsia="宋体" w:cs="宋体"/>
          <w:sz w:val="24"/>
          <w:szCs w:val="24"/>
        </w:rPr>
      </w:pPr>
      <w:r>
        <w:rPr>
          <w:rFonts w:ascii="宋体" w:hAnsi="宋体" w:eastAsia="宋体" w:cs="宋体"/>
          <w:spacing w:val="-3"/>
          <w:sz w:val="24"/>
          <w:szCs w:val="24"/>
        </w:rPr>
        <w:t>法”规定的算术性错误和投标报价的其他错</w:t>
      </w:r>
      <w:r>
        <w:rPr>
          <w:rFonts w:ascii="宋体" w:hAnsi="宋体" w:eastAsia="宋体" w:cs="宋体"/>
          <w:spacing w:val="-4"/>
          <w:sz w:val="24"/>
          <w:szCs w:val="24"/>
        </w:rPr>
        <w:t>误；</w:t>
      </w:r>
    </w:p>
    <w:p>
      <w:pPr>
        <w:keepNext w:val="0"/>
        <w:keepLines w:val="0"/>
        <w:pageBreakBefore w:val="0"/>
        <w:wordWrap/>
        <w:overflowPunct/>
        <w:topLinePunct w:val="0"/>
        <w:autoSpaceDE w:val="0"/>
        <w:autoSpaceDN w:val="0"/>
        <w:bidi w:val="0"/>
        <w:spacing w:before="117" w:line="360" w:lineRule="auto"/>
        <w:ind w:left="503"/>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）施工组织设计（含关键工程技术方案）和项目管理</w:t>
      </w:r>
      <w:r>
        <w:rPr>
          <w:rFonts w:ascii="宋体" w:hAnsi="宋体" w:eastAsia="宋体" w:cs="宋体"/>
          <w:spacing w:val="-3"/>
          <w:sz w:val="24"/>
          <w:szCs w:val="24"/>
        </w:rPr>
        <w:t>机构不够完善；</w:t>
      </w:r>
    </w:p>
    <w:p>
      <w:pPr>
        <w:keepNext w:val="0"/>
        <w:keepLines w:val="0"/>
        <w:pageBreakBefore w:val="0"/>
        <w:wordWrap/>
        <w:overflowPunct/>
        <w:topLinePunct w:val="0"/>
        <w:autoSpaceDE w:val="0"/>
        <w:autoSpaceDN w:val="0"/>
        <w:bidi w:val="0"/>
        <w:spacing w:before="114" w:line="360" w:lineRule="auto"/>
        <w:ind w:right="28"/>
        <w:jc w:val="right"/>
        <w:rPr>
          <w:rFonts w:ascii="宋体" w:hAnsi="宋体" w:eastAsia="宋体" w:cs="宋体"/>
          <w:sz w:val="24"/>
          <w:szCs w:val="24"/>
        </w:rPr>
      </w:pPr>
      <w:r>
        <w:rPr>
          <w:rFonts w:ascii="宋体" w:hAnsi="宋体" w:eastAsia="宋体" w:cs="宋体"/>
          <w:spacing w:val="-3"/>
          <w:position w:val="11"/>
          <w:sz w:val="24"/>
          <w:szCs w:val="24"/>
        </w:rPr>
        <w:t>（</w:t>
      </w:r>
      <w:r>
        <w:rPr>
          <w:rFonts w:ascii="Times New Roman" w:hAnsi="Times New Roman" w:eastAsia="Times New Roman" w:cs="Times New Roman"/>
          <w:spacing w:val="-3"/>
          <w:position w:val="11"/>
          <w:sz w:val="24"/>
          <w:szCs w:val="24"/>
        </w:rPr>
        <w:t>3</w:t>
      </w:r>
      <w:r>
        <w:rPr>
          <w:rFonts w:ascii="宋体" w:hAnsi="宋体" w:eastAsia="宋体" w:cs="宋体"/>
          <w:spacing w:val="-3"/>
          <w:position w:val="11"/>
          <w:sz w:val="24"/>
          <w:szCs w:val="24"/>
        </w:rPr>
        <w:t>）投标文件页码不连续、采用活页夹装订、个别文字有遗漏错误等不影响投标</w:t>
      </w:r>
    </w:p>
    <w:p>
      <w:pPr>
        <w:keepNext w:val="0"/>
        <w:keepLines w:val="0"/>
        <w:pageBreakBefore w:val="0"/>
        <w:wordWrap/>
        <w:overflowPunct/>
        <w:topLinePunct w:val="0"/>
        <w:autoSpaceDE w:val="0"/>
        <w:autoSpaceDN w:val="0"/>
        <w:bidi w:val="0"/>
        <w:spacing w:before="1" w:line="360" w:lineRule="auto"/>
        <w:ind w:left="138"/>
        <w:rPr>
          <w:rFonts w:ascii="宋体" w:hAnsi="宋体" w:eastAsia="宋体" w:cs="宋体"/>
          <w:sz w:val="24"/>
          <w:szCs w:val="24"/>
        </w:rPr>
      </w:pPr>
      <w:r>
        <w:rPr>
          <w:rFonts w:ascii="宋体" w:hAnsi="宋体" w:eastAsia="宋体" w:cs="宋体"/>
          <w:spacing w:val="-4"/>
          <w:sz w:val="24"/>
          <w:szCs w:val="24"/>
        </w:rPr>
        <w:t>文件实质性内容的偏差。</w:t>
      </w:r>
    </w:p>
    <w:p>
      <w:pPr>
        <w:keepNext w:val="0"/>
        <w:keepLines w:val="0"/>
        <w:pageBreakBefore w:val="0"/>
        <w:wordWrap/>
        <w:overflowPunct/>
        <w:topLinePunct w:val="0"/>
        <w:autoSpaceDE w:val="0"/>
        <w:autoSpaceDN w:val="0"/>
        <w:bidi w:val="0"/>
        <w:spacing w:before="115" w:line="360" w:lineRule="auto"/>
        <w:ind w:left="635"/>
        <w:rPr>
          <w:rFonts w:ascii="宋体" w:hAnsi="宋体" w:eastAsia="宋体" w:cs="宋体"/>
          <w:sz w:val="24"/>
          <w:szCs w:val="24"/>
        </w:rPr>
      </w:pPr>
      <w:r>
        <w:rPr>
          <w:rFonts w:ascii="Times New Roman" w:hAnsi="Times New Roman" w:eastAsia="Times New Roman" w:cs="Times New Roman"/>
          <w:spacing w:val="-3"/>
          <w:sz w:val="24"/>
          <w:szCs w:val="24"/>
        </w:rPr>
        <w:t xml:space="preserve">1.12.4  </w:t>
      </w:r>
      <w:r>
        <w:rPr>
          <w:rFonts w:ascii="宋体" w:hAnsi="宋体" w:eastAsia="宋体" w:cs="宋体"/>
          <w:spacing w:val="-3"/>
          <w:sz w:val="24"/>
          <w:szCs w:val="24"/>
        </w:rPr>
        <w:t>评标委员会对投标文件中的细微偏差按如下规定处理：</w:t>
      </w:r>
    </w:p>
    <w:p>
      <w:pPr>
        <w:keepNext w:val="0"/>
        <w:keepLines w:val="0"/>
        <w:pageBreakBefore w:val="0"/>
        <w:wordWrap/>
        <w:overflowPunct/>
        <w:topLinePunct w:val="0"/>
        <w:autoSpaceDE w:val="0"/>
        <w:autoSpaceDN w:val="0"/>
        <w:bidi w:val="0"/>
        <w:spacing w:before="114" w:line="360" w:lineRule="auto"/>
        <w:ind w:right="27"/>
        <w:jc w:val="right"/>
        <w:rPr>
          <w:rFonts w:ascii="宋体" w:hAnsi="宋体" w:eastAsia="宋体" w:cs="宋体"/>
          <w:sz w:val="24"/>
          <w:szCs w:val="24"/>
        </w:rPr>
      </w:pPr>
      <w:r>
        <w:rPr>
          <w:rFonts w:ascii="宋体" w:hAnsi="宋体" w:eastAsia="宋体" w:cs="宋体"/>
          <w:spacing w:val="-2"/>
          <w:position w:val="11"/>
          <w:sz w:val="24"/>
          <w:szCs w:val="24"/>
        </w:rPr>
        <w:t>（</w:t>
      </w:r>
      <w:r>
        <w:rPr>
          <w:rFonts w:ascii="Times New Roman" w:hAnsi="Times New Roman" w:eastAsia="Times New Roman" w:cs="Times New Roman"/>
          <w:spacing w:val="-2"/>
          <w:position w:val="11"/>
          <w:sz w:val="24"/>
          <w:szCs w:val="24"/>
        </w:rPr>
        <w:t>1</w:t>
      </w:r>
      <w:r>
        <w:rPr>
          <w:rFonts w:ascii="宋体" w:hAnsi="宋体" w:eastAsia="宋体" w:cs="宋体"/>
          <w:spacing w:val="-2"/>
          <w:position w:val="11"/>
          <w:sz w:val="24"/>
          <w:szCs w:val="24"/>
        </w:rPr>
        <w:t xml:space="preserve">）对于本章第 </w:t>
      </w:r>
      <w:r>
        <w:rPr>
          <w:rFonts w:ascii="Times New Roman" w:hAnsi="Times New Roman" w:eastAsia="Times New Roman" w:cs="Times New Roman"/>
          <w:spacing w:val="-2"/>
          <w:position w:val="11"/>
          <w:sz w:val="24"/>
          <w:szCs w:val="24"/>
        </w:rPr>
        <w:t>1.12.3</w:t>
      </w:r>
      <w:r>
        <w:rPr>
          <w:rFonts w:ascii="Times New Roman" w:hAnsi="Times New Roman" w:eastAsia="Times New Roman" w:cs="Times New Roman"/>
          <w:spacing w:val="32"/>
          <w:position w:val="11"/>
          <w:sz w:val="24"/>
          <w:szCs w:val="24"/>
        </w:rPr>
        <w:t xml:space="preserve"> </w:t>
      </w:r>
      <w:r>
        <w:rPr>
          <w:rFonts w:ascii="宋体" w:hAnsi="宋体" w:eastAsia="宋体" w:cs="宋体"/>
          <w:spacing w:val="-2"/>
          <w:position w:val="11"/>
          <w:sz w:val="24"/>
          <w:szCs w:val="24"/>
        </w:rPr>
        <w:t>项（</w:t>
      </w:r>
      <w:r>
        <w:rPr>
          <w:rFonts w:ascii="Times New Roman" w:hAnsi="Times New Roman" w:eastAsia="Times New Roman" w:cs="Times New Roman"/>
          <w:spacing w:val="-2"/>
          <w:position w:val="11"/>
          <w:sz w:val="24"/>
          <w:szCs w:val="24"/>
        </w:rPr>
        <w:t>1</w:t>
      </w:r>
      <w:r>
        <w:rPr>
          <w:rFonts w:ascii="宋体" w:hAnsi="宋体" w:eastAsia="宋体" w:cs="宋体"/>
          <w:spacing w:val="-2"/>
          <w:position w:val="11"/>
          <w:sz w:val="24"/>
          <w:szCs w:val="24"/>
        </w:rPr>
        <w:t>）目所述的细微偏差，按照第三章“评标办法”的</w:t>
      </w:r>
    </w:p>
    <w:p>
      <w:pPr>
        <w:keepNext w:val="0"/>
        <w:keepLines w:val="0"/>
        <w:pageBreakBefore w:val="0"/>
        <w:wordWrap/>
        <w:overflowPunct/>
        <w:topLinePunct w:val="0"/>
        <w:autoSpaceDE w:val="0"/>
        <w:autoSpaceDN w:val="0"/>
        <w:bidi w:val="0"/>
        <w:spacing w:before="1" w:line="360" w:lineRule="auto"/>
        <w:ind w:left="137"/>
        <w:rPr>
          <w:rFonts w:ascii="宋体" w:hAnsi="宋体" w:eastAsia="宋体" w:cs="宋体"/>
          <w:spacing w:val="-4"/>
          <w:sz w:val="24"/>
          <w:szCs w:val="24"/>
        </w:rPr>
      </w:pPr>
      <w:r>
        <w:rPr>
          <w:rFonts w:ascii="宋体" w:hAnsi="宋体" w:eastAsia="宋体" w:cs="宋体"/>
          <w:spacing w:val="-4"/>
          <w:sz w:val="24"/>
          <w:szCs w:val="24"/>
        </w:rPr>
        <w:t>规定予以修正并要求投标人进行澄清；</w:t>
      </w:r>
    </w:p>
    <w:p>
      <w:pPr>
        <w:keepNext w:val="0"/>
        <w:keepLines w:val="0"/>
        <w:pageBreakBefore w:val="0"/>
        <w:wordWrap/>
        <w:overflowPunct/>
        <w:topLinePunct w:val="0"/>
        <w:autoSpaceDE w:val="0"/>
        <w:autoSpaceDN w:val="0"/>
        <w:bidi w:val="0"/>
        <w:spacing w:before="1" w:line="360" w:lineRule="auto"/>
        <w:ind w:firstLine="452" w:firstLineChars="200"/>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2</w:t>
      </w:r>
      <w:r>
        <w:rPr>
          <w:rFonts w:ascii="宋体" w:hAnsi="宋体" w:eastAsia="宋体" w:cs="宋体"/>
          <w:spacing w:val="-7"/>
          <w:sz w:val="24"/>
          <w:szCs w:val="24"/>
        </w:rPr>
        <w:t xml:space="preserve">）对于本章第 </w:t>
      </w:r>
      <w:r>
        <w:rPr>
          <w:rFonts w:ascii="Times New Roman" w:hAnsi="Times New Roman" w:eastAsia="Times New Roman" w:cs="Times New Roman"/>
          <w:spacing w:val="-7"/>
          <w:sz w:val="24"/>
          <w:szCs w:val="24"/>
        </w:rPr>
        <w:t>1.12.3</w:t>
      </w:r>
      <w:r>
        <w:rPr>
          <w:rFonts w:ascii="Times New Roman" w:hAnsi="Times New Roman" w:eastAsia="Times New Roman" w:cs="Times New Roman"/>
          <w:spacing w:val="45"/>
          <w:w w:val="101"/>
          <w:sz w:val="24"/>
          <w:szCs w:val="24"/>
        </w:rPr>
        <w:t xml:space="preserve"> </w:t>
      </w:r>
      <w:r>
        <w:rPr>
          <w:rFonts w:ascii="宋体" w:hAnsi="宋体" w:eastAsia="宋体" w:cs="宋体"/>
          <w:spacing w:val="-7"/>
          <w:sz w:val="24"/>
          <w:szCs w:val="24"/>
        </w:rPr>
        <w:t>项（</w:t>
      </w:r>
      <w:r>
        <w:rPr>
          <w:rFonts w:ascii="Times New Roman" w:hAnsi="Times New Roman" w:eastAsia="Times New Roman" w:cs="Times New Roman"/>
          <w:spacing w:val="-7"/>
          <w:sz w:val="24"/>
          <w:szCs w:val="24"/>
        </w:rPr>
        <w:t>2</w:t>
      </w:r>
      <w:r>
        <w:rPr>
          <w:rFonts w:ascii="宋体" w:hAnsi="宋体" w:eastAsia="宋体" w:cs="宋体"/>
          <w:spacing w:val="-7"/>
          <w:sz w:val="24"/>
          <w:szCs w:val="24"/>
        </w:rPr>
        <w:t>）目所述的细微偏差，如果采用合理低价法或经评</w:t>
      </w:r>
      <w:r>
        <w:rPr>
          <w:rFonts w:ascii="宋体" w:hAnsi="宋体" w:eastAsia="宋体" w:cs="宋体"/>
          <w:sz w:val="24"/>
          <w:szCs w:val="24"/>
        </w:rPr>
        <w:t xml:space="preserve"> </w:t>
      </w:r>
      <w:r>
        <w:rPr>
          <w:rFonts w:ascii="宋体" w:hAnsi="宋体" w:eastAsia="宋体" w:cs="宋体"/>
          <w:spacing w:val="-10"/>
          <w:sz w:val="24"/>
          <w:szCs w:val="24"/>
        </w:rPr>
        <w:t>审的最低投标价法评标， 应要求投标人对细微偏差进行澄清，只有投标</w:t>
      </w:r>
      <w:r>
        <w:rPr>
          <w:rFonts w:ascii="宋体" w:hAnsi="宋体" w:eastAsia="宋体" w:cs="宋体"/>
          <w:spacing w:val="-11"/>
          <w:sz w:val="24"/>
          <w:szCs w:val="24"/>
        </w:rPr>
        <w:t>人的澄清文件</w:t>
      </w:r>
      <w:r>
        <w:rPr>
          <w:rFonts w:ascii="宋体" w:hAnsi="宋体" w:eastAsia="宋体" w:cs="宋体"/>
          <w:spacing w:val="-6"/>
          <w:sz w:val="24"/>
          <w:szCs w:val="24"/>
        </w:rPr>
        <w:t>被评标委员会接受，投标人才能参加评标价的最终评比。如果采用技术评分最低标价</w:t>
      </w:r>
      <w:r>
        <w:rPr>
          <w:rFonts w:ascii="宋体" w:hAnsi="宋体" w:eastAsia="宋体" w:cs="宋体"/>
          <w:spacing w:val="7"/>
          <w:sz w:val="24"/>
          <w:szCs w:val="24"/>
        </w:rPr>
        <w:t xml:space="preserve"> </w:t>
      </w:r>
      <w:r>
        <w:rPr>
          <w:rFonts w:ascii="宋体" w:hAnsi="宋体" w:eastAsia="宋体" w:cs="宋体"/>
          <w:spacing w:val="-3"/>
          <w:sz w:val="24"/>
          <w:szCs w:val="24"/>
        </w:rPr>
        <w:t>法或综合评分法评标，可在相关评分因素的评分中酌情扣分；</w:t>
      </w:r>
    </w:p>
    <w:p>
      <w:pPr>
        <w:keepNext w:val="0"/>
        <w:keepLines w:val="0"/>
        <w:pageBreakBefore w:val="0"/>
        <w:wordWrap/>
        <w:overflowPunct/>
        <w:topLinePunct w:val="0"/>
        <w:autoSpaceDE w:val="0"/>
        <w:autoSpaceDN w:val="0"/>
        <w:bidi w:val="0"/>
        <w:spacing w:before="115" w:line="360" w:lineRule="auto"/>
        <w:ind w:left="404"/>
        <w:rPr>
          <w:rFonts w:ascii="宋体" w:hAnsi="宋体" w:eastAsia="宋体" w:cs="宋体"/>
          <w:sz w:val="24"/>
          <w:szCs w:val="24"/>
        </w:rPr>
      </w:pPr>
      <w:r>
        <w:rPr>
          <w:rFonts w:ascii="宋体" w:hAnsi="宋体" w:eastAsia="宋体" w:cs="宋体"/>
          <w:spacing w:val="-6"/>
          <w:position w:val="11"/>
          <w:sz w:val="24"/>
          <w:szCs w:val="24"/>
        </w:rPr>
        <w:t>（</w:t>
      </w:r>
      <w:r>
        <w:rPr>
          <w:rFonts w:ascii="Times New Roman" w:hAnsi="Times New Roman" w:eastAsia="Times New Roman" w:cs="Times New Roman"/>
          <w:spacing w:val="-6"/>
          <w:position w:val="11"/>
          <w:sz w:val="24"/>
          <w:szCs w:val="24"/>
        </w:rPr>
        <w:t>3</w:t>
      </w:r>
      <w:r>
        <w:rPr>
          <w:rFonts w:ascii="宋体" w:hAnsi="宋体" w:eastAsia="宋体" w:cs="宋体"/>
          <w:spacing w:val="-6"/>
          <w:position w:val="11"/>
          <w:sz w:val="24"/>
          <w:szCs w:val="24"/>
        </w:rPr>
        <w:t xml:space="preserve">）对于本章第 </w:t>
      </w:r>
      <w:r>
        <w:rPr>
          <w:rFonts w:ascii="Times New Roman" w:hAnsi="Times New Roman" w:eastAsia="Times New Roman" w:cs="Times New Roman"/>
          <w:spacing w:val="-6"/>
          <w:position w:val="11"/>
          <w:sz w:val="24"/>
          <w:szCs w:val="24"/>
        </w:rPr>
        <w:t>1.12.3</w:t>
      </w:r>
      <w:r>
        <w:rPr>
          <w:rFonts w:ascii="Times New Roman" w:hAnsi="Times New Roman" w:eastAsia="Times New Roman" w:cs="Times New Roman"/>
          <w:spacing w:val="27"/>
          <w:w w:val="101"/>
          <w:position w:val="11"/>
          <w:sz w:val="24"/>
          <w:szCs w:val="24"/>
        </w:rPr>
        <w:t xml:space="preserve"> </w:t>
      </w:r>
      <w:r>
        <w:rPr>
          <w:rFonts w:ascii="宋体" w:hAnsi="宋体" w:eastAsia="宋体" w:cs="宋体"/>
          <w:spacing w:val="-6"/>
          <w:position w:val="11"/>
          <w:sz w:val="24"/>
          <w:szCs w:val="24"/>
        </w:rPr>
        <w:t>项（</w:t>
      </w:r>
      <w:r>
        <w:rPr>
          <w:rFonts w:ascii="Times New Roman" w:hAnsi="Times New Roman" w:eastAsia="Times New Roman" w:cs="Times New Roman"/>
          <w:spacing w:val="-6"/>
          <w:position w:val="11"/>
          <w:sz w:val="24"/>
          <w:szCs w:val="24"/>
        </w:rPr>
        <w:t>3</w:t>
      </w:r>
      <w:r>
        <w:rPr>
          <w:rFonts w:ascii="宋体" w:hAnsi="宋体" w:eastAsia="宋体" w:cs="宋体"/>
          <w:spacing w:val="-6"/>
          <w:position w:val="11"/>
          <w:sz w:val="24"/>
          <w:szCs w:val="24"/>
        </w:rPr>
        <w:t>）目所</w:t>
      </w:r>
      <w:r>
        <w:rPr>
          <w:rFonts w:ascii="宋体" w:hAnsi="宋体" w:eastAsia="宋体" w:cs="宋体"/>
          <w:spacing w:val="-7"/>
          <w:position w:val="11"/>
          <w:sz w:val="24"/>
          <w:szCs w:val="24"/>
        </w:rPr>
        <w:t>述的细微偏差，可要求投标人对细微偏差进</w:t>
      </w:r>
    </w:p>
    <w:p>
      <w:pPr>
        <w:keepNext w:val="0"/>
        <w:keepLines w:val="0"/>
        <w:pageBreakBefore w:val="0"/>
        <w:wordWrap/>
        <w:overflowPunct/>
        <w:topLinePunct w:val="0"/>
        <w:autoSpaceDE w:val="0"/>
        <w:autoSpaceDN w:val="0"/>
        <w:bidi w:val="0"/>
        <w:spacing w:line="360" w:lineRule="auto"/>
        <w:ind w:left="42"/>
        <w:rPr>
          <w:rFonts w:ascii="宋体" w:hAnsi="宋体" w:eastAsia="宋体" w:cs="宋体"/>
          <w:sz w:val="24"/>
          <w:szCs w:val="24"/>
        </w:rPr>
      </w:pPr>
      <w:r>
        <w:rPr>
          <w:rFonts w:ascii="宋体" w:hAnsi="宋体" w:eastAsia="宋体" w:cs="宋体"/>
          <w:spacing w:val="-10"/>
          <w:sz w:val="24"/>
          <w:szCs w:val="24"/>
        </w:rPr>
        <w:t>行澄清。</w:t>
      </w:r>
    </w:p>
    <w:p>
      <w:pPr>
        <w:keepNext w:val="0"/>
        <w:keepLines w:val="0"/>
        <w:pageBreakBefore w:val="0"/>
        <w:wordWrap/>
        <w:overflowPunct/>
        <w:topLinePunct w:val="0"/>
        <w:autoSpaceDE w:val="0"/>
        <w:autoSpaceDN w:val="0"/>
        <w:bidi w:val="0"/>
        <w:spacing w:before="112" w:line="360" w:lineRule="auto"/>
        <w:ind w:left="536"/>
        <w:rPr>
          <w:rFonts w:ascii="宋体" w:hAnsi="宋体" w:eastAsia="宋体" w:cs="宋体"/>
          <w:sz w:val="24"/>
          <w:szCs w:val="24"/>
        </w:rPr>
      </w:pPr>
      <w:r>
        <w:rPr>
          <w:rFonts w:ascii="Times New Roman" w:hAnsi="Times New Roman" w:eastAsia="Times New Roman" w:cs="Times New Roman"/>
          <w:spacing w:val="3"/>
          <w:position w:val="11"/>
          <w:sz w:val="24"/>
          <w:szCs w:val="24"/>
        </w:rPr>
        <w:t xml:space="preserve">1.12.5  </w:t>
      </w:r>
      <w:r>
        <w:rPr>
          <w:rFonts w:ascii="宋体" w:hAnsi="宋体" w:eastAsia="宋体" w:cs="宋体"/>
          <w:spacing w:val="3"/>
          <w:position w:val="11"/>
          <w:sz w:val="24"/>
          <w:szCs w:val="24"/>
        </w:rPr>
        <w:t>投标人应根据招标文件的要求提供施工组织设计等内容以对招标文件作</w:t>
      </w:r>
    </w:p>
    <w:p>
      <w:pPr>
        <w:keepNext w:val="0"/>
        <w:keepLines w:val="0"/>
        <w:pageBreakBefore w:val="0"/>
        <w:wordWrap/>
        <w:overflowPunct/>
        <w:topLinePunct w:val="0"/>
        <w:autoSpaceDE w:val="0"/>
        <w:autoSpaceDN w:val="0"/>
        <w:bidi w:val="0"/>
        <w:spacing w:line="360" w:lineRule="auto"/>
        <w:ind w:left="58"/>
        <w:rPr>
          <w:rFonts w:ascii="宋体" w:hAnsi="宋体" w:eastAsia="宋体" w:cs="宋体"/>
          <w:sz w:val="24"/>
          <w:szCs w:val="24"/>
        </w:rPr>
      </w:pPr>
      <w:r>
        <w:rPr>
          <w:rFonts w:ascii="宋体" w:hAnsi="宋体" w:eastAsia="宋体" w:cs="宋体"/>
          <w:spacing w:val="-13"/>
          <w:sz w:val="24"/>
          <w:szCs w:val="24"/>
        </w:rPr>
        <w:t>出响应。</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92" w:line="360" w:lineRule="auto"/>
        <w:ind w:left="37"/>
        <w:rPr>
          <w:rFonts w:ascii="黑体" w:hAnsi="黑体" w:eastAsia="黑体" w:cs="黑体"/>
          <w:sz w:val="28"/>
          <w:szCs w:val="28"/>
        </w:rPr>
      </w:pPr>
      <w:r>
        <w:rPr>
          <w:rFonts w:ascii="黑体" w:hAnsi="黑体" w:eastAsia="黑体" w:cs="黑体"/>
          <w:spacing w:val="-1"/>
          <w:sz w:val="28"/>
          <w:szCs w:val="28"/>
        </w:rPr>
        <w:t>2. 招标文件</w:t>
      </w:r>
    </w:p>
    <w:p>
      <w:pPr>
        <w:keepNext w:val="0"/>
        <w:keepLines w:val="0"/>
        <w:pageBreakBefore w:val="0"/>
        <w:wordWrap/>
        <w:overflowPunct/>
        <w:topLinePunct w:val="0"/>
        <w:autoSpaceDE w:val="0"/>
        <w:autoSpaceDN w:val="0"/>
        <w:bidi w:val="0"/>
        <w:spacing w:before="264" w:line="360" w:lineRule="auto"/>
        <w:ind w:left="36"/>
        <w:rPr>
          <w:rFonts w:ascii="黑体" w:hAnsi="黑体" w:eastAsia="黑体" w:cs="黑体"/>
          <w:sz w:val="24"/>
          <w:szCs w:val="24"/>
        </w:rPr>
      </w:pPr>
      <w:r>
        <w:rPr>
          <w:rFonts w:ascii="黑体" w:hAnsi="黑体" w:eastAsia="黑体" w:cs="黑体"/>
          <w:spacing w:val="-1"/>
          <w:sz w:val="24"/>
          <w:szCs w:val="24"/>
        </w:rPr>
        <w:t>2.1 招标文件的组成</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left="519"/>
        <w:rPr>
          <w:rFonts w:ascii="宋体" w:hAnsi="宋体" w:eastAsia="宋体" w:cs="宋体"/>
          <w:sz w:val="24"/>
          <w:szCs w:val="24"/>
        </w:rPr>
      </w:pPr>
      <w:r>
        <w:rPr>
          <w:rFonts w:ascii="宋体" w:hAnsi="宋体" w:eastAsia="宋体" w:cs="宋体"/>
          <w:spacing w:val="-8"/>
          <w:sz w:val="24"/>
          <w:szCs w:val="24"/>
        </w:rPr>
        <w:t>本招标文件包括：</w:t>
      </w:r>
    </w:p>
    <w:p>
      <w:pPr>
        <w:keepNext w:val="0"/>
        <w:keepLines w:val="0"/>
        <w:pageBreakBefore w:val="0"/>
        <w:wordWrap/>
        <w:overflowPunct/>
        <w:topLinePunct w:val="0"/>
        <w:autoSpaceDE w:val="0"/>
        <w:autoSpaceDN w:val="0"/>
        <w:bidi w:val="0"/>
        <w:spacing w:before="114" w:line="360" w:lineRule="auto"/>
        <w:ind w:left="404"/>
        <w:rPr>
          <w:rFonts w:ascii="宋体" w:hAnsi="宋体" w:eastAsia="宋体" w:cs="宋体"/>
          <w:sz w:val="24"/>
          <w:szCs w:val="24"/>
        </w:rPr>
      </w:pPr>
      <w:r>
        <w:rPr>
          <w:rFonts w:ascii="宋体" w:hAnsi="宋体" w:eastAsia="宋体" w:cs="宋体"/>
          <w:spacing w:val="-2"/>
          <w:position w:val="11"/>
          <w:sz w:val="24"/>
          <w:szCs w:val="24"/>
        </w:rPr>
        <w:t>（</w:t>
      </w:r>
      <w:r>
        <w:rPr>
          <w:rFonts w:ascii="Times New Roman" w:hAnsi="Times New Roman" w:eastAsia="Times New Roman" w:cs="Times New Roman"/>
          <w:spacing w:val="-2"/>
          <w:position w:val="11"/>
          <w:sz w:val="24"/>
          <w:szCs w:val="24"/>
        </w:rPr>
        <w:t>1</w:t>
      </w:r>
      <w:r>
        <w:rPr>
          <w:rFonts w:ascii="宋体" w:hAnsi="宋体" w:eastAsia="宋体" w:cs="宋体"/>
          <w:spacing w:val="-2"/>
          <w:position w:val="11"/>
          <w:sz w:val="24"/>
          <w:szCs w:val="24"/>
        </w:rPr>
        <w:t>）招标公告</w:t>
      </w:r>
      <w:r>
        <w:rPr>
          <w:rFonts w:ascii="宋体" w:hAnsi="宋体" w:eastAsia="宋体" w:cs="宋体"/>
          <w:spacing w:val="-63"/>
          <w:position w:val="11"/>
          <w:sz w:val="24"/>
          <w:szCs w:val="24"/>
        </w:rPr>
        <w:t>；</w:t>
      </w:r>
    </w:p>
    <w:p>
      <w:pPr>
        <w:keepNext w:val="0"/>
        <w:keepLines w:val="0"/>
        <w:pageBreakBefore w:val="0"/>
        <w:wordWrap/>
        <w:overflowPunct/>
        <w:topLinePunct w:val="0"/>
        <w:autoSpaceDE w:val="0"/>
        <w:autoSpaceDN w:val="0"/>
        <w:bidi w:val="0"/>
        <w:spacing w:line="360" w:lineRule="auto"/>
        <w:ind w:left="404"/>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2</w:t>
      </w:r>
      <w:r>
        <w:rPr>
          <w:rFonts w:ascii="宋体" w:hAnsi="宋体" w:eastAsia="宋体" w:cs="宋体"/>
          <w:spacing w:val="-7"/>
          <w:sz w:val="24"/>
          <w:szCs w:val="24"/>
        </w:rPr>
        <w:t>）投标人须知；</w:t>
      </w:r>
    </w:p>
    <w:p>
      <w:pPr>
        <w:keepNext w:val="0"/>
        <w:keepLines w:val="0"/>
        <w:pageBreakBefore w:val="0"/>
        <w:wordWrap/>
        <w:overflowPunct/>
        <w:topLinePunct w:val="0"/>
        <w:autoSpaceDE w:val="0"/>
        <w:autoSpaceDN w:val="0"/>
        <w:bidi w:val="0"/>
        <w:spacing w:before="114" w:line="360" w:lineRule="auto"/>
        <w:ind w:left="404"/>
        <w:rPr>
          <w:rFonts w:ascii="宋体" w:hAnsi="宋体" w:eastAsia="宋体" w:cs="宋体"/>
          <w:sz w:val="24"/>
          <w:szCs w:val="24"/>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3</w:t>
      </w:r>
      <w:r>
        <w:rPr>
          <w:rFonts w:ascii="宋体" w:hAnsi="宋体" w:eastAsia="宋体" w:cs="宋体"/>
          <w:spacing w:val="-8"/>
          <w:sz w:val="24"/>
          <w:szCs w:val="24"/>
        </w:rPr>
        <w:t>）评标办法；</w:t>
      </w:r>
    </w:p>
    <w:p>
      <w:pPr>
        <w:keepNext w:val="0"/>
        <w:keepLines w:val="0"/>
        <w:pageBreakBefore w:val="0"/>
        <w:wordWrap/>
        <w:overflowPunct/>
        <w:topLinePunct w:val="0"/>
        <w:autoSpaceDE w:val="0"/>
        <w:autoSpaceDN w:val="0"/>
        <w:bidi w:val="0"/>
        <w:spacing w:before="113" w:line="360" w:lineRule="auto"/>
        <w:ind w:left="404"/>
        <w:rPr>
          <w:rFonts w:ascii="宋体" w:hAnsi="宋体" w:eastAsia="宋体" w:cs="宋体"/>
          <w:sz w:val="24"/>
          <w:szCs w:val="24"/>
        </w:rPr>
      </w:pPr>
      <w:r>
        <w:rPr>
          <w:rFonts w:ascii="宋体" w:hAnsi="宋体" w:eastAsia="宋体" w:cs="宋体"/>
          <w:spacing w:val="-6"/>
          <w:position w:val="11"/>
          <w:sz w:val="24"/>
          <w:szCs w:val="24"/>
        </w:rPr>
        <w:t>（</w:t>
      </w:r>
      <w:r>
        <w:rPr>
          <w:rFonts w:ascii="Times New Roman" w:hAnsi="Times New Roman" w:eastAsia="Times New Roman" w:cs="Times New Roman"/>
          <w:spacing w:val="-6"/>
          <w:position w:val="11"/>
          <w:sz w:val="24"/>
          <w:szCs w:val="24"/>
        </w:rPr>
        <w:t>4</w:t>
      </w:r>
      <w:r>
        <w:rPr>
          <w:rFonts w:ascii="宋体" w:hAnsi="宋体" w:eastAsia="宋体" w:cs="宋体"/>
          <w:spacing w:val="-6"/>
          <w:position w:val="11"/>
          <w:sz w:val="24"/>
          <w:szCs w:val="24"/>
        </w:rPr>
        <w:t>）合同条款及格式；</w:t>
      </w:r>
    </w:p>
    <w:p>
      <w:pPr>
        <w:keepNext w:val="0"/>
        <w:keepLines w:val="0"/>
        <w:pageBreakBefore w:val="0"/>
        <w:wordWrap/>
        <w:overflowPunct/>
        <w:topLinePunct w:val="0"/>
        <w:autoSpaceDE w:val="0"/>
        <w:autoSpaceDN w:val="0"/>
        <w:bidi w:val="0"/>
        <w:spacing w:before="1" w:line="360" w:lineRule="auto"/>
        <w:ind w:left="404"/>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5</w:t>
      </w:r>
      <w:r>
        <w:rPr>
          <w:rFonts w:ascii="宋体" w:hAnsi="宋体" w:eastAsia="宋体" w:cs="宋体"/>
          <w:spacing w:val="-7"/>
          <w:sz w:val="24"/>
          <w:szCs w:val="24"/>
        </w:rPr>
        <w:t>）工程量清单；</w:t>
      </w:r>
    </w:p>
    <w:p>
      <w:pPr>
        <w:keepNext w:val="0"/>
        <w:keepLines w:val="0"/>
        <w:pageBreakBefore w:val="0"/>
        <w:wordWrap/>
        <w:overflowPunct/>
        <w:topLinePunct w:val="0"/>
        <w:autoSpaceDE w:val="0"/>
        <w:autoSpaceDN w:val="0"/>
        <w:bidi w:val="0"/>
        <w:spacing w:before="114" w:line="360" w:lineRule="auto"/>
        <w:ind w:left="404"/>
        <w:rPr>
          <w:rFonts w:ascii="宋体" w:hAnsi="宋体" w:eastAsia="宋体" w:cs="宋体"/>
          <w:sz w:val="24"/>
          <w:szCs w:val="24"/>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6</w:t>
      </w:r>
      <w:r>
        <w:rPr>
          <w:rFonts w:ascii="宋体" w:hAnsi="宋体" w:eastAsia="宋体" w:cs="宋体"/>
          <w:spacing w:val="-8"/>
          <w:sz w:val="24"/>
          <w:szCs w:val="24"/>
        </w:rPr>
        <w:t>）图纸；</w:t>
      </w:r>
    </w:p>
    <w:p>
      <w:pPr>
        <w:keepNext w:val="0"/>
        <w:keepLines w:val="0"/>
        <w:pageBreakBefore w:val="0"/>
        <w:wordWrap/>
        <w:overflowPunct/>
        <w:topLinePunct w:val="0"/>
        <w:autoSpaceDE w:val="0"/>
        <w:autoSpaceDN w:val="0"/>
        <w:bidi w:val="0"/>
        <w:spacing w:before="111" w:line="360" w:lineRule="auto"/>
        <w:ind w:left="40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）技术规范；</w:t>
      </w:r>
    </w:p>
    <w:p>
      <w:pPr>
        <w:keepNext w:val="0"/>
        <w:keepLines w:val="0"/>
        <w:pageBreakBefore w:val="0"/>
        <w:wordWrap/>
        <w:overflowPunct/>
        <w:topLinePunct w:val="0"/>
        <w:autoSpaceDE w:val="0"/>
        <w:autoSpaceDN w:val="0"/>
        <w:bidi w:val="0"/>
        <w:spacing w:before="116" w:line="360" w:lineRule="auto"/>
        <w:ind w:left="40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宋体" w:hAnsi="宋体" w:eastAsia="宋体" w:cs="宋体"/>
          <w:spacing w:val="-2"/>
          <w:sz w:val="24"/>
          <w:szCs w:val="24"/>
        </w:rPr>
        <w:t>）工程量清单计量规则；</w:t>
      </w:r>
    </w:p>
    <w:p>
      <w:pPr>
        <w:keepNext w:val="0"/>
        <w:keepLines w:val="0"/>
        <w:pageBreakBefore w:val="0"/>
        <w:wordWrap/>
        <w:overflowPunct/>
        <w:topLinePunct w:val="0"/>
        <w:autoSpaceDE w:val="0"/>
        <w:autoSpaceDN w:val="0"/>
        <w:bidi w:val="0"/>
        <w:spacing w:before="113" w:line="360" w:lineRule="auto"/>
        <w:ind w:left="404"/>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9</w:t>
      </w:r>
      <w:r>
        <w:rPr>
          <w:rFonts w:ascii="宋体" w:hAnsi="宋体" w:eastAsia="宋体" w:cs="宋体"/>
          <w:spacing w:val="-7"/>
          <w:sz w:val="24"/>
          <w:szCs w:val="24"/>
        </w:rPr>
        <w:t>）投标文件格式；</w:t>
      </w:r>
    </w:p>
    <w:p>
      <w:pPr>
        <w:keepNext w:val="0"/>
        <w:keepLines w:val="0"/>
        <w:pageBreakBefore w:val="0"/>
        <w:wordWrap/>
        <w:overflowPunct/>
        <w:topLinePunct w:val="0"/>
        <w:autoSpaceDE w:val="0"/>
        <w:autoSpaceDN w:val="0"/>
        <w:bidi w:val="0"/>
        <w:spacing w:before="113" w:line="360" w:lineRule="auto"/>
        <w:ind w:left="40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10</w:t>
      </w:r>
      <w:r>
        <w:rPr>
          <w:rFonts w:ascii="宋体" w:hAnsi="宋体" w:eastAsia="宋体" w:cs="宋体"/>
          <w:spacing w:val="-1"/>
          <w:sz w:val="24"/>
          <w:szCs w:val="24"/>
        </w:rPr>
        <w:t>）投标人须知前附表规定的其他资料。</w:t>
      </w:r>
    </w:p>
    <w:p>
      <w:pPr>
        <w:keepNext w:val="0"/>
        <w:keepLines w:val="0"/>
        <w:pageBreakBefore w:val="0"/>
        <w:wordWrap/>
        <w:overflowPunct/>
        <w:topLinePunct w:val="0"/>
        <w:autoSpaceDE w:val="0"/>
        <w:autoSpaceDN w:val="0"/>
        <w:bidi w:val="0"/>
        <w:spacing w:before="117" w:line="360" w:lineRule="auto"/>
        <w:ind w:left="518"/>
        <w:rPr>
          <w:rFonts w:ascii="宋体" w:hAnsi="宋体" w:eastAsia="宋体" w:cs="宋体"/>
          <w:sz w:val="24"/>
          <w:szCs w:val="24"/>
        </w:rPr>
      </w:pPr>
      <w:r>
        <w:rPr>
          <w:rFonts w:ascii="宋体" w:hAnsi="宋体" w:eastAsia="宋体" w:cs="宋体"/>
          <w:spacing w:val="-6"/>
          <w:position w:val="11"/>
          <w:sz w:val="24"/>
          <w:szCs w:val="24"/>
        </w:rPr>
        <w:t>根据本章第</w:t>
      </w:r>
      <w:r>
        <w:rPr>
          <w:rFonts w:ascii="宋体" w:hAnsi="宋体" w:eastAsia="宋体" w:cs="宋体"/>
          <w:spacing w:val="-29"/>
          <w:position w:val="11"/>
          <w:sz w:val="24"/>
          <w:szCs w:val="24"/>
        </w:rPr>
        <w:t xml:space="preserve"> </w:t>
      </w:r>
      <w:r>
        <w:rPr>
          <w:rFonts w:ascii="Times New Roman" w:hAnsi="Times New Roman" w:eastAsia="Times New Roman" w:cs="Times New Roman"/>
          <w:spacing w:val="-6"/>
          <w:position w:val="11"/>
          <w:sz w:val="24"/>
          <w:szCs w:val="24"/>
        </w:rPr>
        <w:t xml:space="preserve">1.10 </w:t>
      </w:r>
      <w:r>
        <w:rPr>
          <w:rFonts w:ascii="宋体" w:hAnsi="宋体" w:eastAsia="宋体" w:cs="宋体"/>
          <w:spacing w:val="-6"/>
          <w:position w:val="11"/>
          <w:sz w:val="24"/>
          <w:szCs w:val="24"/>
        </w:rPr>
        <w:t>款、第</w:t>
      </w:r>
      <w:r>
        <w:rPr>
          <w:rFonts w:ascii="宋体" w:hAnsi="宋体" w:eastAsia="宋体" w:cs="宋体"/>
          <w:spacing w:val="-55"/>
          <w:position w:val="11"/>
          <w:sz w:val="24"/>
          <w:szCs w:val="24"/>
        </w:rPr>
        <w:t xml:space="preserve"> </w:t>
      </w:r>
      <w:r>
        <w:rPr>
          <w:rFonts w:ascii="Times New Roman" w:hAnsi="Times New Roman" w:eastAsia="Times New Roman" w:cs="Times New Roman"/>
          <w:spacing w:val="-6"/>
          <w:position w:val="11"/>
          <w:sz w:val="24"/>
          <w:szCs w:val="24"/>
        </w:rPr>
        <w:t xml:space="preserve">2.2 </w:t>
      </w:r>
      <w:r>
        <w:rPr>
          <w:rFonts w:ascii="宋体" w:hAnsi="宋体" w:eastAsia="宋体" w:cs="宋体"/>
          <w:spacing w:val="-6"/>
          <w:position w:val="11"/>
          <w:sz w:val="24"/>
          <w:szCs w:val="24"/>
        </w:rPr>
        <w:t>款和第</w:t>
      </w:r>
      <w:r>
        <w:rPr>
          <w:rFonts w:ascii="宋体" w:hAnsi="宋体" w:eastAsia="宋体" w:cs="宋体"/>
          <w:spacing w:val="-55"/>
          <w:position w:val="11"/>
          <w:sz w:val="24"/>
          <w:szCs w:val="24"/>
        </w:rPr>
        <w:t xml:space="preserve"> </w:t>
      </w:r>
      <w:r>
        <w:rPr>
          <w:rFonts w:ascii="Times New Roman" w:hAnsi="Times New Roman" w:eastAsia="Times New Roman" w:cs="Times New Roman"/>
          <w:spacing w:val="-6"/>
          <w:position w:val="11"/>
          <w:sz w:val="24"/>
          <w:szCs w:val="24"/>
        </w:rPr>
        <w:t xml:space="preserve">2.3 </w:t>
      </w:r>
      <w:r>
        <w:rPr>
          <w:rFonts w:ascii="宋体" w:hAnsi="宋体" w:eastAsia="宋体" w:cs="宋体"/>
          <w:spacing w:val="-6"/>
          <w:position w:val="11"/>
          <w:sz w:val="24"/>
          <w:szCs w:val="24"/>
        </w:rPr>
        <w:t>款对招标文件所作的澄清、修改，</w:t>
      </w:r>
      <w:r>
        <w:rPr>
          <w:rFonts w:ascii="宋体" w:hAnsi="宋体" w:eastAsia="宋体" w:cs="宋体"/>
          <w:spacing w:val="56"/>
          <w:position w:val="11"/>
          <w:sz w:val="24"/>
          <w:szCs w:val="24"/>
        </w:rPr>
        <w:t xml:space="preserve"> </w:t>
      </w:r>
      <w:r>
        <w:rPr>
          <w:rFonts w:ascii="宋体" w:hAnsi="宋体" w:eastAsia="宋体" w:cs="宋体"/>
          <w:spacing w:val="-6"/>
          <w:position w:val="11"/>
          <w:sz w:val="24"/>
          <w:szCs w:val="24"/>
        </w:rPr>
        <w:t>构成招</w:t>
      </w:r>
    </w:p>
    <w:p>
      <w:pPr>
        <w:keepNext w:val="0"/>
        <w:keepLines w:val="0"/>
        <w:pageBreakBefore w:val="0"/>
        <w:wordWrap/>
        <w:overflowPunct/>
        <w:topLinePunct w:val="0"/>
        <w:autoSpaceDE w:val="0"/>
        <w:autoSpaceDN w:val="0"/>
        <w:bidi w:val="0"/>
        <w:spacing w:before="1" w:line="360" w:lineRule="auto"/>
        <w:ind w:left="39"/>
        <w:rPr>
          <w:rFonts w:ascii="宋体" w:hAnsi="宋体" w:eastAsia="宋体" w:cs="宋体"/>
          <w:sz w:val="24"/>
          <w:szCs w:val="24"/>
        </w:rPr>
      </w:pPr>
      <w:r>
        <w:rPr>
          <w:rFonts w:ascii="宋体" w:hAnsi="宋体" w:eastAsia="宋体" w:cs="宋体"/>
          <w:spacing w:val="-5"/>
          <w:sz w:val="24"/>
          <w:szCs w:val="24"/>
        </w:rPr>
        <w:t>标文件的组成部分。</w:t>
      </w:r>
    </w:p>
    <w:p>
      <w:pPr>
        <w:keepNext w:val="0"/>
        <w:keepLines w:val="0"/>
        <w:pageBreakBefore w:val="0"/>
        <w:wordWrap/>
        <w:overflowPunct/>
        <w:topLinePunct w:val="0"/>
        <w:autoSpaceDE w:val="0"/>
        <w:autoSpaceDN w:val="0"/>
        <w:bidi w:val="0"/>
        <w:spacing w:before="114" w:line="360" w:lineRule="auto"/>
        <w:ind w:left="533"/>
        <w:rPr>
          <w:rFonts w:ascii="宋体" w:hAnsi="宋体" w:eastAsia="宋体" w:cs="宋体"/>
          <w:sz w:val="24"/>
          <w:szCs w:val="24"/>
        </w:rPr>
      </w:pPr>
      <w:r>
        <w:rPr>
          <w:rFonts w:ascii="宋体" w:hAnsi="宋体" w:eastAsia="宋体" w:cs="宋体"/>
          <w:spacing w:val="-6"/>
          <w:position w:val="11"/>
          <w:sz w:val="24"/>
          <w:szCs w:val="24"/>
        </w:rPr>
        <w:t>当招标文件、招标文件的澄清或修改等在同一内容的表</w:t>
      </w:r>
      <w:r>
        <w:rPr>
          <w:rFonts w:ascii="宋体" w:hAnsi="宋体" w:eastAsia="宋体" w:cs="宋体"/>
          <w:spacing w:val="-7"/>
          <w:position w:val="11"/>
          <w:sz w:val="24"/>
          <w:szCs w:val="24"/>
        </w:rPr>
        <w:t>述上不一致时， 以最后发</w:t>
      </w:r>
    </w:p>
    <w:p>
      <w:pPr>
        <w:keepNext w:val="0"/>
        <w:keepLines w:val="0"/>
        <w:pageBreakBefore w:val="0"/>
        <w:wordWrap/>
        <w:overflowPunct/>
        <w:topLinePunct w:val="0"/>
        <w:autoSpaceDE w:val="0"/>
        <w:autoSpaceDN w:val="0"/>
        <w:bidi w:val="0"/>
        <w:spacing w:before="1" w:line="360" w:lineRule="auto"/>
        <w:ind w:left="58"/>
        <w:rPr>
          <w:rFonts w:ascii="宋体" w:hAnsi="宋体" w:eastAsia="宋体" w:cs="宋体"/>
          <w:sz w:val="24"/>
          <w:szCs w:val="24"/>
        </w:rPr>
      </w:pPr>
      <w:r>
        <w:rPr>
          <w:rFonts w:ascii="宋体" w:hAnsi="宋体" w:eastAsia="宋体" w:cs="宋体"/>
          <w:spacing w:val="-7"/>
          <w:sz w:val="24"/>
          <w:szCs w:val="24"/>
        </w:rPr>
        <w:t>出的书面文件为准。</w:t>
      </w:r>
    </w:p>
    <w:p>
      <w:pPr>
        <w:keepNext w:val="0"/>
        <w:keepLines w:val="0"/>
        <w:pageBreakBefore w:val="0"/>
        <w:wordWrap/>
        <w:overflowPunct/>
        <w:topLinePunct w:val="0"/>
        <w:autoSpaceDE w:val="0"/>
        <w:autoSpaceDN w:val="0"/>
        <w:bidi w:val="0"/>
        <w:spacing w:before="268" w:line="360" w:lineRule="auto"/>
        <w:ind w:left="36"/>
        <w:rPr>
          <w:rFonts w:ascii="黑体" w:hAnsi="黑体" w:eastAsia="黑体" w:cs="黑体"/>
          <w:sz w:val="24"/>
          <w:szCs w:val="24"/>
        </w:rPr>
      </w:pPr>
      <w:r>
        <w:rPr>
          <w:rFonts w:ascii="黑体" w:hAnsi="黑体" w:eastAsia="黑体" w:cs="黑体"/>
          <w:spacing w:val="-1"/>
          <w:sz w:val="24"/>
          <w:szCs w:val="24"/>
        </w:rPr>
        <w:t>2.2 招标文件的澄清</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left="38" w:right="85" w:firstLine="475"/>
        <w:rPr>
          <w:rFonts w:ascii="宋体" w:hAnsi="宋体" w:eastAsia="宋体" w:cs="宋体"/>
          <w:sz w:val="24"/>
          <w:szCs w:val="24"/>
        </w:rPr>
      </w:pPr>
      <w:r>
        <w:rPr>
          <w:rFonts w:ascii="Times New Roman" w:hAnsi="Times New Roman" w:eastAsia="Times New Roman" w:cs="Times New Roman"/>
          <w:spacing w:val="-1"/>
          <w:sz w:val="24"/>
          <w:szCs w:val="24"/>
        </w:rPr>
        <w:t xml:space="preserve">2.2.1  </w:t>
      </w:r>
      <w:r>
        <w:rPr>
          <w:rFonts w:ascii="宋体" w:hAnsi="宋体" w:eastAsia="宋体" w:cs="宋体"/>
          <w:spacing w:val="-1"/>
          <w:sz w:val="24"/>
          <w:szCs w:val="24"/>
        </w:rPr>
        <w:t>投标人应仔细阅读和检查招标文件的全部内容。如发现缺页或附件不全，</w:t>
      </w:r>
      <w:r>
        <w:rPr>
          <w:rFonts w:ascii="宋体" w:hAnsi="宋体" w:eastAsia="宋体" w:cs="宋体"/>
          <w:spacing w:val="3"/>
          <w:sz w:val="24"/>
          <w:szCs w:val="24"/>
        </w:rPr>
        <w:t xml:space="preserve"> </w:t>
      </w:r>
      <w:r>
        <w:rPr>
          <w:rFonts w:ascii="宋体" w:hAnsi="宋体" w:eastAsia="宋体" w:cs="宋体"/>
          <w:spacing w:val="-12"/>
          <w:sz w:val="24"/>
          <w:szCs w:val="24"/>
        </w:rPr>
        <w:t>应及时向招标人提出</w:t>
      </w:r>
      <w:r>
        <w:rPr>
          <w:rFonts w:hint="eastAsia" w:ascii="宋体" w:hAnsi="宋体" w:cs="宋体"/>
          <w:spacing w:val="-12"/>
          <w:sz w:val="24"/>
          <w:szCs w:val="24"/>
          <w:lang w:eastAsia="zh-CN"/>
        </w:rPr>
        <w:t>，</w:t>
      </w:r>
      <w:r>
        <w:rPr>
          <w:rFonts w:ascii="宋体" w:hAnsi="宋体" w:eastAsia="宋体" w:cs="宋体"/>
          <w:spacing w:val="-12"/>
          <w:sz w:val="24"/>
          <w:szCs w:val="24"/>
        </w:rPr>
        <w:t>以便补齐。如有疑问，</w:t>
      </w:r>
      <w:r>
        <w:rPr>
          <w:rFonts w:ascii="宋体" w:hAnsi="宋体" w:eastAsia="宋体" w:cs="宋体"/>
          <w:spacing w:val="34"/>
          <w:sz w:val="24"/>
          <w:szCs w:val="24"/>
        </w:rPr>
        <w:t xml:space="preserve"> </w:t>
      </w:r>
      <w:r>
        <w:rPr>
          <w:rFonts w:ascii="宋体" w:hAnsi="宋体" w:eastAsia="宋体" w:cs="宋体"/>
          <w:spacing w:val="-12"/>
          <w:sz w:val="24"/>
          <w:szCs w:val="24"/>
        </w:rPr>
        <w:t>应按投标人须知前附表规定的时间和形</w:t>
      </w:r>
    </w:p>
    <w:p>
      <w:pPr>
        <w:keepNext w:val="0"/>
        <w:keepLines w:val="0"/>
        <w:pageBreakBefore w:val="0"/>
        <w:wordWrap/>
        <w:overflowPunct/>
        <w:topLinePunct w:val="0"/>
        <w:autoSpaceDE w:val="0"/>
        <w:autoSpaceDN w:val="0"/>
        <w:bidi w:val="0"/>
        <w:spacing w:line="360" w:lineRule="auto"/>
        <w:ind w:left="42"/>
        <w:rPr>
          <w:rFonts w:ascii="宋体" w:hAnsi="宋体" w:eastAsia="宋体" w:cs="宋体"/>
          <w:sz w:val="24"/>
          <w:szCs w:val="24"/>
        </w:rPr>
      </w:pPr>
      <w:r>
        <w:rPr>
          <w:rFonts w:ascii="宋体" w:hAnsi="宋体" w:eastAsia="宋体" w:cs="宋体"/>
          <w:spacing w:val="-2"/>
          <w:sz w:val="24"/>
          <w:szCs w:val="24"/>
        </w:rPr>
        <w:t>式将提出的问题送达招标人，要求招标人对招标文件予以澄清。</w:t>
      </w:r>
    </w:p>
    <w:p>
      <w:pPr>
        <w:keepNext w:val="0"/>
        <w:keepLines w:val="0"/>
        <w:pageBreakBefore w:val="0"/>
        <w:wordWrap/>
        <w:overflowPunct/>
        <w:topLinePunct w:val="0"/>
        <w:autoSpaceDE w:val="0"/>
        <w:autoSpaceDN w:val="0"/>
        <w:bidi w:val="0"/>
        <w:spacing w:before="115" w:line="360" w:lineRule="auto"/>
        <w:ind w:left="41" w:right="85" w:firstLine="472"/>
        <w:rPr>
          <w:rFonts w:ascii="宋体" w:hAnsi="宋体" w:eastAsia="宋体" w:cs="宋体"/>
          <w:spacing w:val="-9"/>
          <w:sz w:val="24"/>
          <w:szCs w:val="24"/>
        </w:rPr>
      </w:pPr>
      <w:r>
        <w:rPr>
          <w:rFonts w:ascii="Times New Roman" w:hAnsi="Times New Roman" w:eastAsia="Times New Roman" w:cs="Times New Roman"/>
          <w:sz w:val="24"/>
          <w:szCs w:val="24"/>
        </w:rPr>
        <w:t xml:space="preserve">2.2.2  </w:t>
      </w:r>
      <w:r>
        <w:rPr>
          <w:rFonts w:ascii="宋体" w:hAnsi="宋体" w:eastAsia="宋体" w:cs="宋体"/>
          <w:sz w:val="24"/>
          <w:szCs w:val="24"/>
        </w:rPr>
        <w:t>招标文件的澄清以投标人须知前附表规定的形式发给所有购买招标文件的</w:t>
      </w:r>
      <w:r>
        <w:rPr>
          <w:rFonts w:ascii="宋体" w:hAnsi="宋体" w:eastAsia="宋体" w:cs="宋体"/>
          <w:spacing w:val="17"/>
          <w:sz w:val="24"/>
          <w:szCs w:val="24"/>
        </w:rPr>
        <w:t xml:space="preserve"> </w:t>
      </w:r>
      <w:r>
        <w:rPr>
          <w:rFonts w:ascii="宋体" w:hAnsi="宋体" w:eastAsia="宋体" w:cs="宋体"/>
          <w:spacing w:val="-1"/>
          <w:sz w:val="24"/>
          <w:szCs w:val="24"/>
        </w:rPr>
        <w:t>投标人，但不指明澄清问题的来源。澄清发出的时间距本章第</w:t>
      </w:r>
      <w:r>
        <w:rPr>
          <w:rFonts w:ascii="宋体" w:hAnsi="宋体" w:eastAsia="宋体" w:cs="宋体"/>
          <w:spacing w:val="-33"/>
          <w:sz w:val="24"/>
          <w:szCs w:val="24"/>
        </w:rPr>
        <w:t xml:space="preserve"> </w:t>
      </w:r>
      <w:r>
        <w:rPr>
          <w:rFonts w:ascii="Times New Roman" w:hAnsi="Times New Roman" w:eastAsia="Times New Roman" w:cs="Times New Roman"/>
          <w:spacing w:val="-1"/>
          <w:sz w:val="24"/>
          <w:szCs w:val="24"/>
        </w:rPr>
        <w:t>4.2.1</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项规定的投标截</w:t>
      </w:r>
      <w:r>
        <w:rPr>
          <w:rFonts w:ascii="宋体" w:hAnsi="宋体" w:eastAsia="宋体" w:cs="宋体"/>
          <w:spacing w:val="-9"/>
          <w:sz w:val="24"/>
          <w:szCs w:val="24"/>
        </w:rPr>
        <w:t>止时间不足</w:t>
      </w:r>
      <w:r>
        <w:rPr>
          <w:rFonts w:ascii="宋体" w:hAnsi="宋体" w:eastAsia="宋体" w:cs="宋体"/>
          <w:spacing w:val="-17"/>
          <w:sz w:val="24"/>
          <w:szCs w:val="24"/>
        </w:rPr>
        <w:t xml:space="preserve"> </w:t>
      </w:r>
      <w:r>
        <w:rPr>
          <w:rFonts w:ascii="Times New Roman" w:hAnsi="Times New Roman" w:eastAsia="Times New Roman" w:cs="Times New Roman"/>
          <w:spacing w:val="-9"/>
          <w:sz w:val="24"/>
          <w:szCs w:val="24"/>
        </w:rPr>
        <w:t>15</w:t>
      </w:r>
      <w:r>
        <w:rPr>
          <w:rFonts w:ascii="Times New Roman" w:hAnsi="Times New Roman" w:eastAsia="Times New Roman" w:cs="Times New Roman"/>
          <w:spacing w:val="51"/>
          <w:sz w:val="24"/>
          <w:szCs w:val="24"/>
        </w:rPr>
        <w:t xml:space="preserve"> </w:t>
      </w:r>
      <w:r>
        <w:rPr>
          <w:rFonts w:ascii="宋体" w:hAnsi="宋体" w:eastAsia="宋体" w:cs="宋体"/>
          <w:spacing w:val="-9"/>
          <w:sz w:val="24"/>
          <w:szCs w:val="24"/>
        </w:rPr>
        <w:t>日，且澄清内容可能影响投标文件编制的， 将相应延长投标截止时间。</w:t>
      </w:r>
    </w:p>
    <w:p>
      <w:pPr>
        <w:keepNext w:val="0"/>
        <w:keepLines w:val="0"/>
        <w:pageBreakBefore w:val="0"/>
        <w:wordWrap/>
        <w:overflowPunct/>
        <w:topLinePunct w:val="0"/>
        <w:autoSpaceDE w:val="0"/>
        <w:autoSpaceDN w:val="0"/>
        <w:bidi w:val="0"/>
        <w:spacing w:before="115" w:line="360" w:lineRule="auto"/>
        <w:ind w:right="85" w:firstLine="484" w:firstLineChars="200"/>
        <w:rPr>
          <w:rFonts w:ascii="宋体" w:hAnsi="宋体" w:eastAsia="宋体" w:cs="宋体"/>
          <w:sz w:val="24"/>
          <w:szCs w:val="24"/>
        </w:rPr>
      </w:pPr>
      <w:r>
        <w:rPr>
          <w:rFonts w:ascii="Times New Roman" w:hAnsi="Times New Roman" w:eastAsia="Times New Roman" w:cs="Times New Roman"/>
          <w:spacing w:val="1"/>
          <w:sz w:val="24"/>
          <w:szCs w:val="24"/>
        </w:rPr>
        <w:t xml:space="preserve">2.2.3  </w:t>
      </w:r>
      <w:r>
        <w:rPr>
          <w:rFonts w:ascii="宋体" w:hAnsi="宋体" w:eastAsia="宋体" w:cs="宋体"/>
          <w:spacing w:val="1"/>
          <w:sz w:val="24"/>
          <w:szCs w:val="24"/>
        </w:rPr>
        <w:t>投标人在收到澄清后，应按投</w:t>
      </w:r>
      <w:r>
        <w:rPr>
          <w:rFonts w:ascii="宋体" w:hAnsi="宋体" w:eastAsia="宋体" w:cs="宋体"/>
          <w:sz w:val="24"/>
          <w:szCs w:val="24"/>
        </w:rPr>
        <w:t>标人须知前附表规定的时间和形式通知招标</w:t>
      </w:r>
      <w:r>
        <w:rPr>
          <w:rFonts w:ascii="宋体" w:hAnsi="宋体" w:eastAsia="宋体" w:cs="宋体"/>
          <w:spacing w:val="-4"/>
          <w:sz w:val="24"/>
          <w:szCs w:val="24"/>
        </w:rPr>
        <w:t>人，确认已收到该澄清。</w:t>
      </w:r>
    </w:p>
    <w:p>
      <w:pPr>
        <w:keepNext w:val="0"/>
        <w:keepLines w:val="0"/>
        <w:pageBreakBefore w:val="0"/>
        <w:wordWrap/>
        <w:overflowPunct/>
        <w:topLinePunct w:val="0"/>
        <w:autoSpaceDE w:val="0"/>
        <w:autoSpaceDN w:val="0"/>
        <w:bidi w:val="0"/>
        <w:spacing w:before="113" w:line="360" w:lineRule="auto"/>
        <w:ind w:right="57"/>
        <w:jc w:val="right"/>
        <w:rPr>
          <w:rFonts w:ascii="宋体" w:hAnsi="宋体" w:eastAsia="宋体" w:cs="宋体"/>
          <w:sz w:val="24"/>
          <w:szCs w:val="24"/>
        </w:rPr>
      </w:pPr>
      <w:r>
        <w:rPr>
          <w:rFonts w:ascii="Times New Roman" w:hAnsi="Times New Roman" w:eastAsia="Times New Roman" w:cs="Times New Roman"/>
          <w:spacing w:val="1"/>
          <w:position w:val="11"/>
          <w:sz w:val="24"/>
          <w:szCs w:val="24"/>
        </w:rPr>
        <w:t xml:space="preserve">2.2.4  </w:t>
      </w:r>
      <w:r>
        <w:rPr>
          <w:rFonts w:ascii="宋体" w:hAnsi="宋体" w:eastAsia="宋体" w:cs="宋体"/>
          <w:spacing w:val="1"/>
          <w:position w:val="11"/>
          <w:sz w:val="24"/>
          <w:szCs w:val="24"/>
        </w:rPr>
        <w:t>除非招标人认为确有必要答复，</w:t>
      </w:r>
      <w:r>
        <w:rPr>
          <w:rFonts w:ascii="宋体" w:hAnsi="宋体" w:eastAsia="宋体" w:cs="宋体"/>
          <w:position w:val="11"/>
          <w:sz w:val="24"/>
          <w:szCs w:val="24"/>
        </w:rPr>
        <w:t>否则，招标人有权拒绝回复投标人在本章</w:t>
      </w:r>
    </w:p>
    <w:p>
      <w:pPr>
        <w:keepNext w:val="0"/>
        <w:keepLines w:val="0"/>
        <w:pageBreakBefore w:val="0"/>
        <w:wordWrap/>
        <w:overflowPunct/>
        <w:topLinePunct w:val="0"/>
        <w:autoSpaceDE w:val="0"/>
        <w:autoSpaceDN w:val="0"/>
        <w:bidi w:val="0"/>
        <w:spacing w:line="360" w:lineRule="auto"/>
        <w:ind w:left="38"/>
        <w:rPr>
          <w:rFonts w:ascii="宋体" w:hAnsi="宋体" w:eastAsia="宋体" w:cs="宋体"/>
          <w:sz w:val="24"/>
          <w:szCs w:val="24"/>
        </w:rPr>
      </w:pPr>
      <w:r>
        <w:rPr>
          <w:rFonts w:ascii="宋体" w:hAnsi="宋体" w:eastAsia="宋体" w:cs="宋体"/>
          <w:spacing w:val="-2"/>
          <w:sz w:val="24"/>
          <w:szCs w:val="24"/>
        </w:rPr>
        <w:t>第</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 xml:space="preserve">2.2.1 </w:t>
      </w:r>
      <w:r>
        <w:rPr>
          <w:rFonts w:ascii="宋体" w:hAnsi="宋体" w:eastAsia="宋体" w:cs="宋体"/>
          <w:spacing w:val="-2"/>
          <w:sz w:val="24"/>
          <w:szCs w:val="24"/>
        </w:rPr>
        <w:t>项规定的时间后提出的任何澄清要求。</w:t>
      </w:r>
    </w:p>
    <w:p>
      <w:pPr>
        <w:keepNext w:val="0"/>
        <w:keepLines w:val="0"/>
        <w:pageBreakBefore w:val="0"/>
        <w:wordWrap/>
        <w:overflowPunct/>
        <w:topLinePunct w:val="0"/>
        <w:autoSpaceDE w:val="0"/>
        <w:autoSpaceDN w:val="0"/>
        <w:bidi w:val="0"/>
        <w:spacing w:before="266" w:line="360" w:lineRule="auto"/>
        <w:ind w:left="36"/>
        <w:rPr>
          <w:rFonts w:ascii="黑体" w:hAnsi="黑体" w:eastAsia="黑体" w:cs="黑体"/>
          <w:sz w:val="24"/>
          <w:szCs w:val="24"/>
        </w:rPr>
      </w:pPr>
      <w:r>
        <w:rPr>
          <w:rFonts w:ascii="黑体" w:hAnsi="黑体" w:eastAsia="黑体" w:cs="黑体"/>
          <w:spacing w:val="-1"/>
          <w:sz w:val="24"/>
          <w:szCs w:val="24"/>
        </w:rPr>
        <w:t>2.3 招标文件的修改</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left="39" w:right="55" w:firstLine="474"/>
        <w:jc w:val="both"/>
        <w:rPr>
          <w:rFonts w:ascii="宋体" w:hAnsi="宋体" w:eastAsia="宋体" w:cs="宋体"/>
          <w:sz w:val="24"/>
          <w:szCs w:val="24"/>
        </w:rPr>
      </w:pPr>
      <w:r>
        <w:rPr>
          <w:rFonts w:ascii="Times New Roman" w:hAnsi="Times New Roman" w:eastAsia="Times New Roman" w:cs="Times New Roman"/>
          <w:sz w:val="24"/>
          <w:szCs w:val="24"/>
        </w:rPr>
        <w:t xml:space="preserve">2.3.1  </w:t>
      </w:r>
      <w:r>
        <w:rPr>
          <w:rFonts w:ascii="宋体" w:hAnsi="宋体" w:eastAsia="宋体" w:cs="宋体"/>
          <w:sz w:val="24"/>
          <w:szCs w:val="24"/>
        </w:rPr>
        <w:t>招标人以投标人须知前附表规定的形式修改招标文件，并通知所有已购买</w:t>
      </w:r>
      <w:r>
        <w:rPr>
          <w:rFonts w:ascii="宋体" w:hAnsi="宋体" w:eastAsia="宋体" w:cs="宋体"/>
          <w:spacing w:val="17"/>
          <w:sz w:val="24"/>
          <w:szCs w:val="24"/>
        </w:rPr>
        <w:t xml:space="preserve"> </w:t>
      </w:r>
      <w:r>
        <w:rPr>
          <w:rFonts w:ascii="宋体" w:hAnsi="宋体" w:eastAsia="宋体" w:cs="宋体"/>
          <w:spacing w:val="-1"/>
          <w:sz w:val="24"/>
          <w:szCs w:val="24"/>
        </w:rPr>
        <w:t>招标文件的投标人。修改招标文件的时间距本章第</w:t>
      </w:r>
      <w:r>
        <w:rPr>
          <w:rFonts w:ascii="宋体" w:hAnsi="宋体" w:eastAsia="宋体" w:cs="宋体"/>
          <w:spacing w:val="-31"/>
          <w:sz w:val="24"/>
          <w:szCs w:val="24"/>
        </w:rPr>
        <w:t xml:space="preserve"> </w:t>
      </w:r>
      <w:r>
        <w:rPr>
          <w:rFonts w:ascii="Times New Roman" w:hAnsi="Times New Roman" w:eastAsia="Times New Roman" w:cs="Times New Roman"/>
          <w:spacing w:val="-1"/>
          <w:sz w:val="24"/>
          <w:szCs w:val="24"/>
        </w:rPr>
        <w:t>4.2.1</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项规定的投标截止时间不足</w:t>
      </w:r>
    </w:p>
    <w:p>
      <w:pPr>
        <w:keepNext w:val="0"/>
        <w:keepLines w:val="0"/>
        <w:pageBreakBefore w:val="0"/>
        <w:wordWrap/>
        <w:overflowPunct/>
        <w:topLinePunct w:val="0"/>
        <w:autoSpaceDE w:val="0"/>
        <w:autoSpaceDN w:val="0"/>
        <w:bidi w:val="0"/>
        <w:spacing w:line="360" w:lineRule="auto"/>
        <w:ind w:left="56"/>
        <w:rPr>
          <w:rFonts w:ascii="宋体" w:hAnsi="宋体" w:eastAsia="宋体" w:cs="宋体"/>
          <w:sz w:val="24"/>
          <w:szCs w:val="24"/>
        </w:rPr>
      </w:pPr>
      <w:r>
        <w:rPr>
          <w:rFonts w:ascii="Times New Roman" w:hAnsi="Times New Roman" w:eastAsia="Times New Roman" w:cs="Times New Roman"/>
          <w:spacing w:val="-3"/>
          <w:sz w:val="24"/>
          <w:szCs w:val="24"/>
        </w:rPr>
        <w:t>15</w:t>
      </w:r>
      <w:r>
        <w:rPr>
          <w:rFonts w:ascii="Times New Roman" w:hAnsi="Times New Roman" w:eastAsia="Times New Roman" w:cs="Times New Roman"/>
          <w:spacing w:val="50"/>
          <w:w w:val="101"/>
          <w:sz w:val="24"/>
          <w:szCs w:val="24"/>
        </w:rPr>
        <w:t xml:space="preserve"> </w:t>
      </w:r>
      <w:r>
        <w:rPr>
          <w:rFonts w:ascii="宋体" w:hAnsi="宋体" w:eastAsia="宋体" w:cs="宋体"/>
          <w:spacing w:val="-3"/>
          <w:sz w:val="24"/>
          <w:szCs w:val="24"/>
        </w:rPr>
        <w:t>日，且修改内容可能影响投标文件编制的</w:t>
      </w:r>
      <w:r>
        <w:rPr>
          <w:rFonts w:ascii="宋体" w:hAnsi="宋体" w:eastAsia="宋体" w:cs="宋体"/>
          <w:spacing w:val="-4"/>
          <w:sz w:val="24"/>
          <w:szCs w:val="24"/>
        </w:rPr>
        <w:t>，将相应延长投标截止时间。</w:t>
      </w:r>
    </w:p>
    <w:p>
      <w:pPr>
        <w:keepNext w:val="0"/>
        <w:keepLines w:val="0"/>
        <w:pageBreakBefore w:val="0"/>
        <w:wordWrap/>
        <w:overflowPunct/>
        <w:topLinePunct w:val="0"/>
        <w:autoSpaceDE w:val="0"/>
        <w:autoSpaceDN w:val="0"/>
        <w:bidi w:val="0"/>
        <w:spacing w:before="113" w:line="360" w:lineRule="auto"/>
        <w:ind w:left="513"/>
        <w:rPr>
          <w:rFonts w:ascii="宋体" w:hAnsi="宋体" w:eastAsia="宋体" w:cs="宋体"/>
          <w:sz w:val="24"/>
          <w:szCs w:val="24"/>
        </w:rPr>
      </w:pPr>
      <w:r>
        <w:rPr>
          <w:rFonts w:ascii="Times New Roman" w:hAnsi="Times New Roman" w:eastAsia="Times New Roman" w:cs="Times New Roman"/>
          <w:spacing w:val="-3"/>
          <w:position w:val="11"/>
          <w:sz w:val="24"/>
          <w:szCs w:val="24"/>
        </w:rPr>
        <w:t xml:space="preserve">2.3.2  </w:t>
      </w:r>
      <w:r>
        <w:rPr>
          <w:rFonts w:ascii="宋体" w:hAnsi="宋体" w:eastAsia="宋体" w:cs="宋体"/>
          <w:spacing w:val="-3"/>
          <w:position w:val="11"/>
          <w:sz w:val="24"/>
          <w:szCs w:val="24"/>
        </w:rPr>
        <w:t>投标人收到修改内容后，应按投标人须知前附表规定的时间和形式通知招</w:t>
      </w:r>
    </w:p>
    <w:p>
      <w:pPr>
        <w:keepNext w:val="0"/>
        <w:keepLines w:val="0"/>
        <w:pageBreakBefore w:val="0"/>
        <w:wordWrap/>
        <w:overflowPunct/>
        <w:topLinePunct w:val="0"/>
        <w:autoSpaceDE w:val="0"/>
        <w:autoSpaceDN w:val="0"/>
        <w:bidi w:val="0"/>
        <w:spacing w:before="1" w:line="360" w:lineRule="auto"/>
        <w:ind w:left="39"/>
        <w:rPr>
          <w:rFonts w:ascii="宋体" w:hAnsi="宋体" w:eastAsia="宋体" w:cs="宋体"/>
          <w:sz w:val="24"/>
          <w:szCs w:val="24"/>
        </w:rPr>
      </w:pPr>
      <w:r>
        <w:rPr>
          <w:rFonts w:ascii="宋体" w:hAnsi="宋体" w:eastAsia="宋体" w:cs="宋体"/>
          <w:spacing w:val="-4"/>
          <w:sz w:val="24"/>
          <w:szCs w:val="24"/>
        </w:rPr>
        <w:t>标人，确认已收到该修改。</w:t>
      </w:r>
    </w:p>
    <w:p>
      <w:pPr>
        <w:keepNext w:val="0"/>
        <w:keepLines w:val="0"/>
        <w:pageBreakBefore w:val="0"/>
        <w:wordWrap/>
        <w:overflowPunct/>
        <w:topLinePunct w:val="0"/>
        <w:autoSpaceDE w:val="0"/>
        <w:autoSpaceDN w:val="0"/>
        <w:bidi w:val="0"/>
        <w:spacing w:before="266" w:line="360" w:lineRule="auto"/>
        <w:ind w:left="36"/>
        <w:rPr>
          <w:rFonts w:ascii="黑体" w:hAnsi="黑体" w:eastAsia="黑体" w:cs="黑体"/>
          <w:sz w:val="24"/>
          <w:szCs w:val="24"/>
        </w:rPr>
      </w:pPr>
      <w:r>
        <w:rPr>
          <w:rFonts w:ascii="黑体" w:hAnsi="黑体" w:eastAsia="黑体" w:cs="黑体"/>
          <w:spacing w:val="-1"/>
          <w:sz w:val="24"/>
          <w:szCs w:val="24"/>
        </w:rPr>
        <w:t>2.4 招标文件的异议</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left="39" w:right="54" w:firstLine="481"/>
        <w:jc w:val="both"/>
        <w:rPr>
          <w:rFonts w:ascii="宋体" w:hAnsi="宋体" w:eastAsia="宋体" w:cs="宋体"/>
          <w:sz w:val="24"/>
          <w:szCs w:val="24"/>
        </w:rPr>
      </w:pPr>
      <w:r>
        <w:rPr>
          <w:rFonts w:ascii="宋体" w:hAnsi="宋体" w:eastAsia="宋体" w:cs="宋体"/>
          <w:spacing w:val="-3"/>
          <w:sz w:val="24"/>
          <w:szCs w:val="24"/>
        </w:rPr>
        <w:t xml:space="preserve">投标人或其他利害关系人对招标文件有异议的，应在投标截止时间 </w:t>
      </w:r>
      <w:r>
        <w:rPr>
          <w:rFonts w:ascii="Times New Roman" w:hAnsi="Times New Roman" w:eastAsia="Times New Roman" w:cs="Times New Roman"/>
          <w:spacing w:val="-3"/>
          <w:sz w:val="24"/>
          <w:szCs w:val="24"/>
        </w:rPr>
        <w:t xml:space="preserve">10  </w:t>
      </w:r>
      <w:r>
        <w:rPr>
          <w:rFonts w:ascii="宋体" w:hAnsi="宋体" w:eastAsia="宋体" w:cs="宋体"/>
          <w:spacing w:val="-3"/>
          <w:sz w:val="24"/>
          <w:szCs w:val="24"/>
        </w:rPr>
        <w:t>日前以书</w:t>
      </w:r>
      <w:r>
        <w:rPr>
          <w:rFonts w:ascii="宋体" w:hAnsi="宋体" w:eastAsia="宋体" w:cs="宋体"/>
          <w:spacing w:val="11"/>
          <w:sz w:val="24"/>
          <w:szCs w:val="24"/>
        </w:rPr>
        <w:t xml:space="preserve"> </w:t>
      </w:r>
      <w:r>
        <w:rPr>
          <w:rFonts w:ascii="宋体" w:hAnsi="宋体" w:eastAsia="宋体" w:cs="宋体"/>
          <w:spacing w:val="-13"/>
          <w:sz w:val="24"/>
          <w:szCs w:val="24"/>
        </w:rPr>
        <w:t>面形式提出。招标人将在收到异议之日起</w:t>
      </w:r>
      <w:r>
        <w:rPr>
          <w:rFonts w:ascii="宋体" w:hAnsi="宋体" w:eastAsia="宋体" w:cs="宋体"/>
          <w:spacing w:val="-38"/>
          <w:sz w:val="24"/>
          <w:szCs w:val="24"/>
        </w:rPr>
        <w:t xml:space="preserve"> </w:t>
      </w:r>
      <w:r>
        <w:rPr>
          <w:rFonts w:ascii="Times New Roman" w:hAnsi="Times New Roman" w:eastAsia="Times New Roman" w:cs="Times New Roman"/>
          <w:spacing w:val="-13"/>
          <w:sz w:val="24"/>
          <w:szCs w:val="24"/>
        </w:rPr>
        <w:t>3</w:t>
      </w:r>
      <w:r>
        <w:rPr>
          <w:rFonts w:ascii="Times New Roman" w:hAnsi="Times New Roman" w:eastAsia="Times New Roman" w:cs="Times New Roman"/>
          <w:spacing w:val="51"/>
          <w:sz w:val="24"/>
          <w:szCs w:val="24"/>
        </w:rPr>
        <w:t xml:space="preserve"> </w:t>
      </w:r>
      <w:r>
        <w:rPr>
          <w:rFonts w:ascii="宋体" w:hAnsi="宋体" w:eastAsia="宋体" w:cs="宋体"/>
          <w:spacing w:val="-13"/>
          <w:sz w:val="24"/>
          <w:szCs w:val="24"/>
        </w:rPr>
        <w:t>日内作出答复；</w:t>
      </w:r>
      <w:r>
        <w:rPr>
          <w:rFonts w:ascii="宋体" w:hAnsi="宋体" w:eastAsia="宋体" w:cs="宋体"/>
          <w:spacing w:val="35"/>
          <w:sz w:val="24"/>
          <w:szCs w:val="24"/>
        </w:rPr>
        <w:t xml:space="preserve"> </w:t>
      </w:r>
      <w:r>
        <w:rPr>
          <w:rFonts w:ascii="宋体" w:hAnsi="宋体" w:eastAsia="宋体" w:cs="宋体"/>
          <w:spacing w:val="-13"/>
          <w:sz w:val="24"/>
          <w:szCs w:val="24"/>
        </w:rPr>
        <w:t>作出答复前，</w:t>
      </w:r>
      <w:r>
        <w:rPr>
          <w:rFonts w:ascii="宋体" w:hAnsi="宋体" w:eastAsia="宋体" w:cs="宋体"/>
          <w:spacing w:val="30"/>
          <w:sz w:val="24"/>
          <w:szCs w:val="24"/>
        </w:rPr>
        <w:t xml:space="preserve"> </w:t>
      </w:r>
      <w:r>
        <w:rPr>
          <w:rFonts w:ascii="宋体" w:hAnsi="宋体" w:eastAsia="宋体" w:cs="宋体"/>
          <w:spacing w:val="-13"/>
          <w:sz w:val="24"/>
          <w:szCs w:val="24"/>
        </w:rPr>
        <w:t>将暂停招标</w:t>
      </w:r>
    </w:p>
    <w:p>
      <w:pPr>
        <w:keepNext w:val="0"/>
        <w:keepLines w:val="0"/>
        <w:pageBreakBefore w:val="0"/>
        <w:wordWrap/>
        <w:overflowPunct/>
        <w:topLinePunct w:val="0"/>
        <w:autoSpaceDE w:val="0"/>
        <w:autoSpaceDN w:val="0"/>
        <w:bidi w:val="0"/>
        <w:spacing w:line="360" w:lineRule="auto"/>
        <w:ind w:left="41"/>
        <w:rPr>
          <w:rFonts w:ascii="宋体" w:hAnsi="宋体" w:eastAsia="宋体" w:cs="宋体"/>
          <w:sz w:val="24"/>
          <w:szCs w:val="24"/>
        </w:rPr>
      </w:pPr>
      <w:r>
        <w:rPr>
          <w:rFonts w:ascii="宋体" w:hAnsi="宋体" w:eastAsia="宋体" w:cs="宋体"/>
          <w:spacing w:val="-8"/>
          <w:sz w:val="24"/>
          <w:szCs w:val="24"/>
        </w:rPr>
        <w:t>投标活动。</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92" w:line="360" w:lineRule="auto"/>
        <w:ind w:left="39"/>
        <w:rPr>
          <w:rFonts w:ascii="黑体" w:hAnsi="黑体" w:eastAsia="黑体" w:cs="黑体"/>
          <w:sz w:val="28"/>
          <w:szCs w:val="28"/>
        </w:rPr>
      </w:pPr>
      <w:r>
        <w:rPr>
          <w:rFonts w:ascii="黑体" w:hAnsi="黑体" w:eastAsia="黑体" w:cs="黑体"/>
          <w:spacing w:val="-1"/>
          <w:sz w:val="28"/>
          <w:szCs w:val="28"/>
        </w:rPr>
        <w:t>3. 投标文件</w:t>
      </w:r>
    </w:p>
    <w:p>
      <w:pPr>
        <w:keepNext w:val="0"/>
        <w:keepLines w:val="0"/>
        <w:pageBreakBefore w:val="0"/>
        <w:wordWrap/>
        <w:overflowPunct/>
        <w:topLinePunct w:val="0"/>
        <w:autoSpaceDE w:val="0"/>
        <w:autoSpaceDN w:val="0"/>
        <w:bidi w:val="0"/>
        <w:spacing w:before="266" w:line="360" w:lineRule="auto"/>
        <w:ind w:left="38"/>
        <w:rPr>
          <w:rFonts w:ascii="黑体" w:hAnsi="黑体" w:eastAsia="黑体" w:cs="黑体"/>
          <w:sz w:val="24"/>
          <w:szCs w:val="24"/>
        </w:rPr>
      </w:pPr>
      <w:r>
        <w:rPr>
          <w:rFonts w:ascii="黑体" w:hAnsi="黑体" w:eastAsia="黑体" w:cs="黑体"/>
          <w:spacing w:val="-2"/>
          <w:sz w:val="24"/>
          <w:szCs w:val="24"/>
        </w:rPr>
        <w:t>3.1</w:t>
      </w:r>
      <w:r>
        <w:rPr>
          <w:rFonts w:ascii="黑体" w:hAnsi="黑体" w:eastAsia="黑体" w:cs="黑体"/>
          <w:spacing w:val="-50"/>
          <w:sz w:val="24"/>
          <w:szCs w:val="24"/>
        </w:rPr>
        <w:t xml:space="preserve"> </w:t>
      </w:r>
      <w:r>
        <w:rPr>
          <w:rFonts w:ascii="黑体" w:hAnsi="黑体" w:eastAsia="黑体" w:cs="黑体"/>
          <w:spacing w:val="-2"/>
          <w:sz w:val="24"/>
          <w:szCs w:val="24"/>
        </w:rPr>
        <w:t>投标文件的组成</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jc w:val="right"/>
        <w:rPr>
          <w:rFonts w:ascii="宋体" w:hAnsi="宋体" w:eastAsia="宋体" w:cs="宋体"/>
          <w:sz w:val="24"/>
          <w:szCs w:val="24"/>
        </w:rPr>
      </w:pPr>
      <w:r>
        <w:rPr>
          <w:rFonts w:ascii="宋体" w:hAnsi="宋体" w:eastAsia="宋体" w:cs="宋体"/>
          <w:spacing w:val="-1"/>
          <w:position w:val="11"/>
          <w:sz w:val="24"/>
          <w:szCs w:val="24"/>
        </w:rPr>
        <w:t>根据投标人须知前附表规定的不同形式，投标文件的组</w:t>
      </w:r>
      <w:r>
        <w:rPr>
          <w:rFonts w:ascii="宋体" w:hAnsi="宋体" w:eastAsia="宋体" w:cs="宋体"/>
          <w:spacing w:val="-2"/>
          <w:position w:val="11"/>
          <w:sz w:val="24"/>
          <w:szCs w:val="24"/>
        </w:rPr>
        <w:t>成应满足相应条款要求。</w:t>
      </w:r>
    </w:p>
    <w:p>
      <w:pPr>
        <w:keepNext w:val="0"/>
        <w:keepLines w:val="0"/>
        <w:pageBreakBefore w:val="0"/>
        <w:wordWrap/>
        <w:overflowPunct/>
        <w:topLinePunct w:val="0"/>
        <w:autoSpaceDE w:val="0"/>
        <w:autoSpaceDN w:val="0"/>
        <w:bidi w:val="0"/>
        <w:spacing w:before="1" w:line="360" w:lineRule="auto"/>
        <w:ind w:left="519"/>
        <w:rPr>
          <w:rFonts w:ascii="宋体" w:hAnsi="宋体" w:eastAsia="宋体" w:cs="宋体"/>
          <w:sz w:val="24"/>
          <w:szCs w:val="24"/>
        </w:rPr>
      </w:pPr>
      <w:r>
        <w:rPr>
          <w:rFonts w:ascii="宋体" w:hAnsi="宋体" w:eastAsia="宋体" w:cs="宋体"/>
          <w:spacing w:val="-3"/>
          <w:sz w:val="24"/>
          <w:szCs w:val="24"/>
        </w:rPr>
        <w:t>若采用双信封形式，第</w:t>
      </w:r>
      <w:r>
        <w:rPr>
          <w:rFonts w:ascii="宋体" w:hAnsi="宋体" w:eastAsia="宋体" w:cs="宋体"/>
          <w:spacing w:val="-46"/>
          <w:sz w:val="24"/>
          <w:szCs w:val="24"/>
        </w:rPr>
        <w:t xml:space="preserve"> </w:t>
      </w:r>
      <w:r>
        <w:rPr>
          <w:rFonts w:ascii="Times New Roman" w:hAnsi="Times New Roman" w:eastAsia="Times New Roman" w:cs="Times New Roman"/>
          <w:spacing w:val="-3"/>
          <w:sz w:val="24"/>
          <w:szCs w:val="24"/>
        </w:rPr>
        <w:t xml:space="preserve">3.1.1 </w:t>
      </w:r>
      <w:r>
        <w:rPr>
          <w:rFonts w:ascii="宋体" w:hAnsi="宋体" w:eastAsia="宋体" w:cs="宋体"/>
          <w:spacing w:val="-3"/>
          <w:sz w:val="24"/>
          <w:szCs w:val="24"/>
        </w:rPr>
        <w:t>项采用以下条款：</w:t>
      </w:r>
    </w:p>
    <w:p>
      <w:pPr>
        <w:keepNext w:val="0"/>
        <w:keepLines w:val="0"/>
        <w:pageBreakBefore w:val="0"/>
        <w:wordWrap/>
        <w:overflowPunct/>
        <w:topLinePunct w:val="0"/>
        <w:autoSpaceDE w:val="0"/>
        <w:autoSpaceDN w:val="0"/>
        <w:bidi w:val="0"/>
        <w:spacing w:before="116" w:line="360" w:lineRule="auto"/>
        <w:ind w:left="518"/>
        <w:rPr>
          <w:rFonts w:ascii="宋体" w:hAnsi="宋体" w:eastAsia="宋体" w:cs="宋体"/>
          <w:sz w:val="24"/>
          <w:szCs w:val="24"/>
        </w:rPr>
      </w:pPr>
      <w:r>
        <w:rPr>
          <w:rFonts w:ascii="Times New Roman" w:hAnsi="Times New Roman" w:eastAsia="Times New Roman" w:cs="Times New Roman"/>
          <w:spacing w:val="-4"/>
          <w:position w:val="11"/>
          <w:sz w:val="24"/>
          <w:szCs w:val="24"/>
        </w:rPr>
        <w:t xml:space="preserve">3.1.1  </w:t>
      </w:r>
      <w:r>
        <w:rPr>
          <w:rFonts w:ascii="宋体" w:hAnsi="宋体" w:eastAsia="宋体" w:cs="宋体"/>
          <w:spacing w:val="-4"/>
          <w:position w:val="11"/>
          <w:sz w:val="24"/>
          <w:szCs w:val="24"/>
        </w:rPr>
        <w:t>投标文件应包括下列内容：</w:t>
      </w:r>
    </w:p>
    <w:p>
      <w:pPr>
        <w:keepNext w:val="0"/>
        <w:keepLines w:val="0"/>
        <w:pageBreakBefore w:val="0"/>
        <w:wordWrap/>
        <w:overflowPunct/>
        <w:topLinePunct w:val="0"/>
        <w:autoSpaceDE w:val="0"/>
        <w:autoSpaceDN w:val="0"/>
        <w:bidi w:val="0"/>
        <w:spacing w:line="360" w:lineRule="auto"/>
        <w:ind w:left="518"/>
        <w:rPr>
          <w:rFonts w:ascii="宋体" w:hAnsi="宋体" w:eastAsia="宋体" w:cs="宋体"/>
          <w:sz w:val="24"/>
          <w:szCs w:val="24"/>
        </w:rPr>
      </w:pPr>
      <w:r>
        <w:rPr>
          <w:rFonts w:ascii="宋体" w:hAnsi="宋体" w:eastAsia="宋体" w:cs="宋体"/>
          <w:spacing w:val="-1"/>
          <w:sz w:val="24"/>
          <w:szCs w:val="24"/>
        </w:rPr>
        <w:t>第一个信封（商务及技术文件</w:t>
      </w:r>
      <w:r>
        <w:rPr>
          <w:rFonts w:ascii="宋体" w:hAnsi="宋体" w:eastAsia="宋体" w:cs="宋体"/>
          <w:spacing w:val="-63"/>
          <w:w w:val="98"/>
          <w:sz w:val="24"/>
          <w:szCs w:val="24"/>
        </w:rPr>
        <w:t>）：</w:t>
      </w:r>
    </w:p>
    <w:p>
      <w:pPr>
        <w:keepNext w:val="0"/>
        <w:keepLines w:val="0"/>
        <w:pageBreakBefore w:val="0"/>
        <w:wordWrap/>
        <w:overflowPunct/>
        <w:topLinePunct w:val="0"/>
        <w:autoSpaceDE w:val="0"/>
        <w:autoSpaceDN w:val="0"/>
        <w:bidi w:val="0"/>
        <w:spacing w:before="116" w:line="360" w:lineRule="auto"/>
        <w:ind w:left="404"/>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1</w:t>
      </w:r>
      <w:r>
        <w:rPr>
          <w:rFonts w:ascii="宋体" w:hAnsi="宋体" w:eastAsia="宋体" w:cs="宋体"/>
          <w:spacing w:val="-6"/>
          <w:sz w:val="24"/>
          <w:szCs w:val="24"/>
        </w:rPr>
        <w:t>）投标函及投标函附录；</w:t>
      </w:r>
    </w:p>
    <w:p>
      <w:pPr>
        <w:keepNext w:val="0"/>
        <w:keepLines w:val="0"/>
        <w:pageBreakBefore w:val="0"/>
        <w:wordWrap/>
        <w:overflowPunct/>
        <w:topLinePunct w:val="0"/>
        <w:autoSpaceDE w:val="0"/>
        <w:autoSpaceDN w:val="0"/>
        <w:bidi w:val="0"/>
        <w:spacing w:before="116" w:line="360" w:lineRule="auto"/>
        <w:ind w:left="404"/>
        <w:rPr>
          <w:rFonts w:ascii="宋体" w:hAnsi="宋体" w:eastAsia="宋体" w:cs="宋体"/>
          <w:sz w:val="24"/>
          <w:szCs w:val="24"/>
        </w:rPr>
      </w:pPr>
      <w:r>
        <w:rPr>
          <w:rFonts w:ascii="宋体" w:hAnsi="宋体" w:eastAsia="宋体" w:cs="宋体"/>
          <w:spacing w:val="-4"/>
          <w:position w:val="11"/>
          <w:sz w:val="24"/>
          <w:szCs w:val="24"/>
        </w:rPr>
        <w:t>（</w:t>
      </w:r>
      <w:r>
        <w:rPr>
          <w:rFonts w:ascii="Times New Roman" w:hAnsi="Times New Roman" w:eastAsia="Times New Roman" w:cs="Times New Roman"/>
          <w:spacing w:val="-4"/>
          <w:position w:val="11"/>
          <w:sz w:val="24"/>
          <w:szCs w:val="24"/>
        </w:rPr>
        <w:t>2</w:t>
      </w:r>
      <w:r>
        <w:rPr>
          <w:rFonts w:ascii="宋体" w:hAnsi="宋体" w:eastAsia="宋体" w:cs="宋体"/>
          <w:spacing w:val="-4"/>
          <w:position w:val="11"/>
          <w:sz w:val="24"/>
          <w:szCs w:val="24"/>
        </w:rPr>
        <w:t>）授权委托书或法定代表人身份证明；</w:t>
      </w:r>
    </w:p>
    <w:p>
      <w:pPr>
        <w:keepNext w:val="0"/>
        <w:keepLines w:val="0"/>
        <w:pageBreakBefore w:val="0"/>
        <w:wordWrap/>
        <w:overflowPunct/>
        <w:topLinePunct w:val="0"/>
        <w:autoSpaceDE w:val="0"/>
        <w:autoSpaceDN w:val="0"/>
        <w:bidi w:val="0"/>
        <w:spacing w:before="1" w:line="360" w:lineRule="auto"/>
        <w:ind w:left="404"/>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3</w:t>
      </w:r>
      <w:r>
        <w:rPr>
          <w:rFonts w:ascii="宋体" w:hAnsi="宋体" w:eastAsia="宋体" w:cs="宋体"/>
          <w:spacing w:val="-7"/>
          <w:sz w:val="24"/>
          <w:szCs w:val="24"/>
        </w:rPr>
        <w:t>）联合体协议书；</w:t>
      </w:r>
    </w:p>
    <w:p>
      <w:pPr>
        <w:keepNext w:val="0"/>
        <w:keepLines w:val="0"/>
        <w:pageBreakBefore w:val="0"/>
        <w:wordWrap/>
        <w:overflowPunct/>
        <w:topLinePunct w:val="0"/>
        <w:autoSpaceDE w:val="0"/>
        <w:autoSpaceDN w:val="0"/>
        <w:bidi w:val="0"/>
        <w:spacing w:before="116" w:line="360" w:lineRule="auto"/>
        <w:ind w:left="404"/>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4</w:t>
      </w:r>
      <w:r>
        <w:rPr>
          <w:rFonts w:ascii="宋体" w:hAnsi="宋体" w:eastAsia="宋体" w:cs="宋体"/>
          <w:spacing w:val="-7"/>
          <w:sz w:val="24"/>
          <w:szCs w:val="24"/>
        </w:rPr>
        <w:t>）投标保证金；</w:t>
      </w:r>
    </w:p>
    <w:p>
      <w:pPr>
        <w:keepNext w:val="0"/>
        <w:keepLines w:val="0"/>
        <w:pageBreakBefore w:val="0"/>
        <w:wordWrap/>
        <w:overflowPunct/>
        <w:topLinePunct w:val="0"/>
        <w:autoSpaceDE w:val="0"/>
        <w:autoSpaceDN w:val="0"/>
        <w:bidi w:val="0"/>
        <w:spacing w:before="115" w:line="360" w:lineRule="auto"/>
        <w:ind w:left="404"/>
        <w:rPr>
          <w:rFonts w:ascii="宋体" w:hAnsi="宋体" w:eastAsia="宋体" w:cs="宋体"/>
          <w:sz w:val="24"/>
          <w:szCs w:val="24"/>
        </w:rPr>
      </w:pPr>
      <w:r>
        <w:rPr>
          <w:rFonts w:ascii="宋体" w:hAnsi="宋体" w:eastAsia="宋体" w:cs="宋体"/>
          <w:spacing w:val="-7"/>
          <w:position w:val="11"/>
          <w:sz w:val="24"/>
          <w:szCs w:val="24"/>
        </w:rPr>
        <w:t>（</w:t>
      </w:r>
      <w:r>
        <w:rPr>
          <w:rFonts w:ascii="Times New Roman" w:hAnsi="Times New Roman" w:eastAsia="Times New Roman" w:cs="Times New Roman"/>
          <w:spacing w:val="-7"/>
          <w:position w:val="11"/>
          <w:sz w:val="24"/>
          <w:szCs w:val="24"/>
        </w:rPr>
        <w:t>5</w:t>
      </w:r>
      <w:r>
        <w:rPr>
          <w:rFonts w:ascii="宋体" w:hAnsi="宋体" w:eastAsia="宋体" w:cs="宋体"/>
          <w:spacing w:val="-7"/>
          <w:position w:val="11"/>
          <w:sz w:val="24"/>
          <w:szCs w:val="24"/>
        </w:rPr>
        <w:t>）施工组织设计；</w:t>
      </w:r>
    </w:p>
    <w:p>
      <w:pPr>
        <w:keepNext w:val="0"/>
        <w:keepLines w:val="0"/>
        <w:pageBreakBefore w:val="0"/>
        <w:wordWrap/>
        <w:overflowPunct/>
        <w:topLinePunct w:val="0"/>
        <w:autoSpaceDE w:val="0"/>
        <w:autoSpaceDN w:val="0"/>
        <w:bidi w:val="0"/>
        <w:spacing w:before="1" w:line="360" w:lineRule="auto"/>
        <w:ind w:left="404"/>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6</w:t>
      </w:r>
      <w:r>
        <w:rPr>
          <w:rFonts w:ascii="宋体" w:hAnsi="宋体" w:eastAsia="宋体" w:cs="宋体"/>
          <w:spacing w:val="-7"/>
          <w:sz w:val="24"/>
          <w:szCs w:val="24"/>
        </w:rPr>
        <w:t>）项目管理机构；</w:t>
      </w:r>
    </w:p>
    <w:p>
      <w:pPr>
        <w:keepNext w:val="0"/>
        <w:keepLines w:val="0"/>
        <w:pageBreakBefore w:val="0"/>
        <w:wordWrap/>
        <w:overflowPunct/>
        <w:topLinePunct w:val="0"/>
        <w:autoSpaceDE w:val="0"/>
        <w:autoSpaceDN w:val="0"/>
        <w:bidi w:val="0"/>
        <w:spacing w:before="117" w:line="360" w:lineRule="auto"/>
        <w:ind w:left="404"/>
        <w:rPr>
          <w:rFonts w:ascii="宋体" w:hAnsi="宋体" w:eastAsia="宋体" w:cs="宋体"/>
          <w:sz w:val="24"/>
          <w:szCs w:val="24"/>
        </w:rPr>
      </w:pPr>
      <w:r>
        <w:rPr>
          <w:rFonts w:ascii="宋体" w:hAnsi="宋体" w:eastAsia="宋体" w:cs="宋体"/>
          <w:spacing w:val="-6"/>
          <w:position w:val="11"/>
          <w:sz w:val="24"/>
          <w:szCs w:val="24"/>
        </w:rPr>
        <w:t>（</w:t>
      </w:r>
      <w:r>
        <w:rPr>
          <w:rFonts w:ascii="Times New Roman" w:hAnsi="Times New Roman" w:eastAsia="Times New Roman" w:cs="Times New Roman"/>
          <w:spacing w:val="-6"/>
          <w:position w:val="11"/>
          <w:sz w:val="24"/>
          <w:szCs w:val="24"/>
        </w:rPr>
        <w:t>7</w:t>
      </w:r>
      <w:r>
        <w:rPr>
          <w:rFonts w:ascii="宋体" w:hAnsi="宋体" w:eastAsia="宋体" w:cs="宋体"/>
          <w:spacing w:val="-6"/>
          <w:position w:val="11"/>
          <w:sz w:val="24"/>
          <w:szCs w:val="24"/>
        </w:rPr>
        <w:t>）拟分包项目情况表；</w:t>
      </w:r>
    </w:p>
    <w:p>
      <w:pPr>
        <w:keepNext w:val="0"/>
        <w:keepLines w:val="0"/>
        <w:pageBreakBefore w:val="0"/>
        <w:wordWrap/>
        <w:overflowPunct/>
        <w:topLinePunct w:val="0"/>
        <w:autoSpaceDE w:val="0"/>
        <w:autoSpaceDN w:val="0"/>
        <w:bidi w:val="0"/>
        <w:spacing w:line="360" w:lineRule="auto"/>
        <w:ind w:left="404"/>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8</w:t>
      </w:r>
      <w:r>
        <w:rPr>
          <w:rFonts w:ascii="宋体" w:hAnsi="宋体" w:eastAsia="宋体" w:cs="宋体"/>
          <w:spacing w:val="-7"/>
          <w:sz w:val="24"/>
          <w:szCs w:val="24"/>
        </w:rPr>
        <w:t>）资格审查资料；</w:t>
      </w:r>
    </w:p>
    <w:p>
      <w:pPr>
        <w:keepNext w:val="0"/>
        <w:keepLines w:val="0"/>
        <w:pageBreakBefore w:val="0"/>
        <w:wordWrap/>
        <w:overflowPunct/>
        <w:topLinePunct w:val="0"/>
        <w:autoSpaceDE w:val="0"/>
        <w:autoSpaceDN w:val="0"/>
        <w:bidi w:val="0"/>
        <w:spacing w:before="114" w:line="360" w:lineRule="auto"/>
        <w:ind w:left="404"/>
        <w:rPr>
          <w:rFonts w:ascii="宋体" w:hAnsi="宋体" w:eastAsia="宋体" w:cs="宋体"/>
          <w:sz w:val="24"/>
          <w:szCs w:val="24"/>
        </w:rPr>
      </w:pPr>
      <w:r>
        <w:rPr>
          <w:rFonts w:ascii="宋体" w:hAnsi="宋体" w:eastAsia="宋体" w:cs="宋体"/>
          <w:spacing w:val="-1"/>
          <w:position w:val="11"/>
          <w:sz w:val="24"/>
          <w:szCs w:val="24"/>
        </w:rPr>
        <w:t>（</w:t>
      </w:r>
      <w:r>
        <w:rPr>
          <w:rFonts w:ascii="Times New Roman" w:hAnsi="Times New Roman" w:eastAsia="Times New Roman" w:cs="Times New Roman"/>
          <w:spacing w:val="-1"/>
          <w:position w:val="11"/>
          <w:sz w:val="24"/>
          <w:szCs w:val="24"/>
        </w:rPr>
        <w:t>9</w:t>
      </w:r>
      <w:r>
        <w:rPr>
          <w:rFonts w:ascii="宋体" w:hAnsi="宋体" w:eastAsia="宋体" w:cs="宋体"/>
          <w:spacing w:val="-1"/>
          <w:position w:val="11"/>
          <w:sz w:val="24"/>
          <w:szCs w:val="24"/>
        </w:rPr>
        <w:t>）投标人须知前附表规定的其他资料。</w:t>
      </w:r>
    </w:p>
    <w:p>
      <w:pPr>
        <w:keepNext w:val="0"/>
        <w:keepLines w:val="0"/>
        <w:pageBreakBefore w:val="0"/>
        <w:wordWrap/>
        <w:overflowPunct/>
        <w:topLinePunct w:val="0"/>
        <w:autoSpaceDE w:val="0"/>
        <w:autoSpaceDN w:val="0"/>
        <w:bidi w:val="0"/>
        <w:spacing w:before="1" w:line="360" w:lineRule="auto"/>
        <w:ind w:left="518"/>
        <w:rPr>
          <w:rFonts w:ascii="宋体" w:hAnsi="宋体" w:eastAsia="宋体" w:cs="宋体"/>
          <w:sz w:val="24"/>
          <w:szCs w:val="24"/>
        </w:rPr>
      </w:pPr>
      <w:r>
        <w:rPr>
          <w:rFonts w:ascii="宋体" w:hAnsi="宋体" w:eastAsia="宋体" w:cs="宋体"/>
          <w:spacing w:val="-1"/>
          <w:sz w:val="24"/>
          <w:szCs w:val="24"/>
        </w:rPr>
        <w:t>第二个信封（报价文件</w:t>
      </w:r>
      <w:r>
        <w:rPr>
          <w:rFonts w:ascii="宋体" w:hAnsi="宋体" w:eastAsia="宋体" w:cs="宋体"/>
          <w:spacing w:val="-62"/>
          <w:w w:val="97"/>
          <w:sz w:val="24"/>
          <w:szCs w:val="24"/>
        </w:rPr>
        <w:t>）：</w:t>
      </w:r>
    </w:p>
    <w:p>
      <w:pPr>
        <w:keepNext w:val="0"/>
        <w:keepLines w:val="0"/>
        <w:pageBreakBefore w:val="0"/>
        <w:wordWrap/>
        <w:overflowPunct/>
        <w:topLinePunct w:val="0"/>
        <w:autoSpaceDE w:val="0"/>
        <w:autoSpaceDN w:val="0"/>
        <w:bidi w:val="0"/>
        <w:spacing w:line="360" w:lineRule="auto"/>
        <w:ind w:firstLine="448" w:firstLineChars="200"/>
        <w:rPr>
          <w:rFonts w:ascii="Arial"/>
          <w:sz w:val="21"/>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1</w:t>
      </w:r>
      <w:r>
        <w:rPr>
          <w:rFonts w:ascii="宋体" w:hAnsi="宋体" w:eastAsia="宋体" w:cs="宋体"/>
          <w:spacing w:val="-8"/>
          <w:sz w:val="24"/>
          <w:szCs w:val="24"/>
        </w:rPr>
        <w:t>）调价函及调价后的工程量清单（如有</w:t>
      </w:r>
      <w:r>
        <w:rPr>
          <w:rFonts w:ascii="宋体" w:hAnsi="宋体" w:eastAsia="宋体" w:cs="宋体"/>
          <w:spacing w:val="-1"/>
          <w:sz w:val="24"/>
          <w:szCs w:val="24"/>
        </w:rPr>
        <w:t>）；</w:t>
      </w:r>
    </w:p>
    <w:p>
      <w:pPr>
        <w:keepNext w:val="0"/>
        <w:keepLines w:val="0"/>
        <w:pageBreakBefore w:val="0"/>
        <w:wordWrap/>
        <w:overflowPunct/>
        <w:topLinePunct w:val="0"/>
        <w:autoSpaceDE w:val="0"/>
        <w:autoSpaceDN w:val="0"/>
        <w:bidi w:val="0"/>
        <w:spacing w:before="78" w:line="360" w:lineRule="auto"/>
        <w:ind w:left="480"/>
        <w:rPr>
          <w:rFonts w:ascii="宋体" w:hAnsi="宋体" w:eastAsia="宋体" w:cs="宋体"/>
          <w:sz w:val="24"/>
          <w:szCs w:val="24"/>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2</w:t>
      </w:r>
      <w:r>
        <w:rPr>
          <w:rFonts w:ascii="宋体" w:hAnsi="宋体" w:eastAsia="宋体" w:cs="宋体"/>
          <w:spacing w:val="-8"/>
          <w:sz w:val="24"/>
          <w:szCs w:val="24"/>
        </w:rPr>
        <w:t>）投标函；</w:t>
      </w:r>
    </w:p>
    <w:p>
      <w:pPr>
        <w:keepNext w:val="0"/>
        <w:keepLines w:val="0"/>
        <w:pageBreakBefore w:val="0"/>
        <w:wordWrap/>
        <w:overflowPunct/>
        <w:topLinePunct w:val="0"/>
        <w:autoSpaceDE w:val="0"/>
        <w:autoSpaceDN w:val="0"/>
        <w:bidi w:val="0"/>
        <w:spacing w:before="112" w:line="360" w:lineRule="auto"/>
        <w:ind w:left="480"/>
        <w:rPr>
          <w:rFonts w:ascii="宋体" w:hAnsi="宋体" w:eastAsia="宋体" w:cs="宋体"/>
          <w:sz w:val="24"/>
          <w:szCs w:val="24"/>
        </w:rPr>
      </w:pPr>
      <w:r>
        <w:rPr>
          <w:rFonts w:ascii="宋体" w:hAnsi="宋体" w:eastAsia="宋体" w:cs="宋体"/>
          <w:spacing w:val="-6"/>
          <w:position w:val="11"/>
          <w:sz w:val="24"/>
          <w:szCs w:val="24"/>
        </w:rPr>
        <w:t>（</w:t>
      </w:r>
      <w:r>
        <w:rPr>
          <w:rFonts w:ascii="Times New Roman" w:hAnsi="Times New Roman" w:eastAsia="Times New Roman" w:cs="Times New Roman"/>
          <w:spacing w:val="-6"/>
          <w:position w:val="11"/>
          <w:sz w:val="24"/>
          <w:szCs w:val="24"/>
        </w:rPr>
        <w:t>3</w:t>
      </w:r>
      <w:r>
        <w:rPr>
          <w:rFonts w:ascii="宋体" w:hAnsi="宋体" w:eastAsia="宋体" w:cs="宋体"/>
          <w:spacing w:val="-6"/>
          <w:position w:val="11"/>
          <w:sz w:val="24"/>
          <w:szCs w:val="24"/>
        </w:rPr>
        <w:t>）已标价工程量清单；</w:t>
      </w:r>
    </w:p>
    <w:p>
      <w:pPr>
        <w:keepNext w:val="0"/>
        <w:keepLines w:val="0"/>
        <w:pageBreakBefore w:val="0"/>
        <w:wordWrap/>
        <w:overflowPunct/>
        <w:topLinePunct w:val="0"/>
        <w:autoSpaceDE w:val="0"/>
        <w:autoSpaceDN w:val="0"/>
        <w:bidi w:val="0"/>
        <w:spacing w:line="360" w:lineRule="auto"/>
        <w:ind w:left="48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）合同用款估算表。</w:t>
      </w:r>
    </w:p>
    <w:p>
      <w:pPr>
        <w:keepNext w:val="0"/>
        <w:keepLines w:val="0"/>
        <w:pageBreakBefore w:val="0"/>
        <w:wordWrap/>
        <w:overflowPunct/>
        <w:topLinePunct w:val="0"/>
        <w:autoSpaceDE w:val="0"/>
        <w:autoSpaceDN w:val="0"/>
        <w:bidi w:val="0"/>
        <w:spacing w:before="117" w:line="360" w:lineRule="auto"/>
        <w:ind w:left="115" w:right="66" w:firstLine="480"/>
        <w:rPr>
          <w:rFonts w:ascii="宋体" w:hAnsi="宋体" w:eastAsia="宋体" w:cs="宋体"/>
          <w:sz w:val="24"/>
          <w:szCs w:val="24"/>
        </w:rPr>
      </w:pPr>
      <w:r>
        <w:rPr>
          <w:rFonts w:ascii="宋体" w:hAnsi="宋体" w:eastAsia="宋体" w:cs="宋体"/>
          <w:spacing w:val="-6"/>
          <w:sz w:val="24"/>
          <w:szCs w:val="24"/>
        </w:rPr>
        <w:t>投标人在评标过程中作出的符合法律法规和招标文件规定的澄清确认，</w:t>
      </w:r>
      <w:r>
        <w:rPr>
          <w:rFonts w:ascii="宋体" w:hAnsi="宋体" w:eastAsia="宋体" w:cs="宋体"/>
          <w:spacing w:val="-15"/>
          <w:sz w:val="24"/>
          <w:szCs w:val="24"/>
        </w:rPr>
        <w:t xml:space="preserve"> </w:t>
      </w:r>
      <w:r>
        <w:rPr>
          <w:rFonts w:ascii="宋体" w:hAnsi="宋体" w:eastAsia="宋体" w:cs="宋体"/>
          <w:spacing w:val="-6"/>
          <w:sz w:val="24"/>
          <w:szCs w:val="24"/>
        </w:rPr>
        <w:t>构成投标</w:t>
      </w:r>
      <w:r>
        <w:rPr>
          <w:rFonts w:ascii="宋体" w:hAnsi="宋体" w:eastAsia="宋体" w:cs="宋体"/>
          <w:sz w:val="24"/>
          <w:szCs w:val="24"/>
        </w:rPr>
        <w:t xml:space="preserve"> </w:t>
      </w:r>
      <w:r>
        <w:rPr>
          <w:rFonts w:ascii="宋体" w:hAnsi="宋体" w:eastAsia="宋体" w:cs="宋体"/>
          <w:spacing w:val="-6"/>
          <w:sz w:val="24"/>
          <w:szCs w:val="24"/>
        </w:rPr>
        <w:t>文件的组成部分。</w:t>
      </w:r>
    </w:p>
    <w:p>
      <w:pPr>
        <w:keepNext w:val="0"/>
        <w:keepLines w:val="0"/>
        <w:pageBreakBefore w:val="0"/>
        <w:wordWrap/>
        <w:overflowPunct/>
        <w:topLinePunct w:val="0"/>
        <w:autoSpaceDE w:val="0"/>
        <w:autoSpaceDN w:val="0"/>
        <w:bidi w:val="0"/>
        <w:spacing w:before="115" w:line="360" w:lineRule="auto"/>
        <w:ind w:left="594"/>
        <w:rPr>
          <w:rFonts w:ascii="宋体" w:hAnsi="宋体" w:eastAsia="宋体" w:cs="宋体"/>
          <w:sz w:val="24"/>
          <w:szCs w:val="24"/>
        </w:rPr>
      </w:pPr>
      <w:r>
        <w:rPr>
          <w:rFonts w:ascii="宋体" w:hAnsi="宋体" w:eastAsia="宋体" w:cs="宋体"/>
          <w:spacing w:val="-3"/>
          <w:sz w:val="24"/>
          <w:szCs w:val="24"/>
        </w:rPr>
        <w:t>若采用单信封形式，第</w:t>
      </w:r>
      <w:r>
        <w:rPr>
          <w:rFonts w:ascii="宋体" w:hAnsi="宋体" w:eastAsia="宋体" w:cs="宋体"/>
          <w:spacing w:val="-46"/>
          <w:sz w:val="24"/>
          <w:szCs w:val="24"/>
        </w:rPr>
        <w:t xml:space="preserve"> </w:t>
      </w:r>
      <w:r>
        <w:rPr>
          <w:rFonts w:ascii="Times New Roman" w:hAnsi="Times New Roman" w:eastAsia="Times New Roman" w:cs="Times New Roman"/>
          <w:spacing w:val="-3"/>
          <w:sz w:val="24"/>
          <w:szCs w:val="24"/>
        </w:rPr>
        <w:t xml:space="preserve">3.1.1 </w:t>
      </w:r>
      <w:r>
        <w:rPr>
          <w:rFonts w:ascii="宋体" w:hAnsi="宋体" w:eastAsia="宋体" w:cs="宋体"/>
          <w:spacing w:val="-3"/>
          <w:sz w:val="24"/>
          <w:szCs w:val="24"/>
        </w:rPr>
        <w:t>项采用以下条款：</w:t>
      </w:r>
    </w:p>
    <w:p>
      <w:pPr>
        <w:keepNext w:val="0"/>
        <w:keepLines w:val="0"/>
        <w:pageBreakBefore w:val="0"/>
        <w:wordWrap/>
        <w:overflowPunct/>
        <w:topLinePunct w:val="0"/>
        <w:autoSpaceDE w:val="0"/>
        <w:autoSpaceDN w:val="0"/>
        <w:bidi w:val="0"/>
        <w:spacing w:before="116" w:line="360" w:lineRule="auto"/>
        <w:ind w:left="593"/>
        <w:rPr>
          <w:rFonts w:ascii="宋体" w:hAnsi="宋体" w:eastAsia="宋体" w:cs="宋体"/>
          <w:sz w:val="24"/>
          <w:szCs w:val="24"/>
        </w:rPr>
      </w:pPr>
      <w:r>
        <w:rPr>
          <w:rFonts w:ascii="Times New Roman" w:hAnsi="Times New Roman" w:eastAsia="Times New Roman" w:cs="Times New Roman"/>
          <w:spacing w:val="-1"/>
          <w:position w:val="11"/>
          <w:sz w:val="24"/>
          <w:szCs w:val="24"/>
        </w:rPr>
        <w:t xml:space="preserve">3.1.1  </w:t>
      </w:r>
      <w:r>
        <w:rPr>
          <w:rFonts w:ascii="宋体" w:hAnsi="宋体" w:eastAsia="宋体" w:cs="宋体"/>
          <w:spacing w:val="-1"/>
          <w:position w:val="11"/>
          <w:sz w:val="24"/>
          <w:szCs w:val="24"/>
        </w:rPr>
        <w:t>投标文件应包括下列内容</w:t>
      </w:r>
      <w:r>
        <w:rPr>
          <w:rFonts w:ascii="宋体" w:hAnsi="宋体" w:eastAsia="宋体" w:cs="宋体"/>
          <w:spacing w:val="-1"/>
          <w:position w:val="20"/>
          <w:sz w:val="11"/>
          <w:szCs w:val="11"/>
        </w:rPr>
        <w:t>①</w:t>
      </w:r>
      <w:r>
        <w:rPr>
          <w:rFonts w:ascii="宋体" w:hAnsi="宋体" w:eastAsia="宋体" w:cs="宋体"/>
          <w:spacing w:val="-15"/>
          <w:position w:val="20"/>
          <w:sz w:val="11"/>
          <w:szCs w:val="11"/>
        </w:rPr>
        <w:t xml:space="preserve"> </w:t>
      </w:r>
      <w:r>
        <w:rPr>
          <w:rFonts w:ascii="宋体" w:hAnsi="宋体" w:eastAsia="宋体" w:cs="宋体"/>
          <w:spacing w:val="-1"/>
          <w:position w:val="11"/>
          <w:sz w:val="24"/>
          <w:szCs w:val="24"/>
        </w:rPr>
        <w:t>:</w:t>
      </w:r>
    </w:p>
    <w:p>
      <w:pPr>
        <w:keepNext w:val="0"/>
        <w:keepLines w:val="0"/>
        <w:pageBreakBefore w:val="0"/>
        <w:wordWrap/>
        <w:overflowPunct/>
        <w:topLinePunct w:val="0"/>
        <w:autoSpaceDE w:val="0"/>
        <w:autoSpaceDN w:val="0"/>
        <w:bidi w:val="0"/>
        <w:spacing w:before="1" w:line="360" w:lineRule="auto"/>
        <w:ind w:left="480"/>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1</w:t>
      </w:r>
      <w:r>
        <w:rPr>
          <w:rFonts w:ascii="宋体" w:hAnsi="宋体" w:eastAsia="宋体" w:cs="宋体"/>
          <w:spacing w:val="-6"/>
          <w:sz w:val="24"/>
          <w:szCs w:val="24"/>
        </w:rPr>
        <w:t>）投标函及投标函附录；</w:t>
      </w:r>
    </w:p>
    <w:p>
      <w:pPr>
        <w:keepNext w:val="0"/>
        <w:keepLines w:val="0"/>
        <w:pageBreakBefore w:val="0"/>
        <w:wordWrap/>
        <w:overflowPunct/>
        <w:topLinePunct w:val="0"/>
        <w:autoSpaceDE w:val="0"/>
        <w:autoSpaceDN w:val="0"/>
        <w:bidi w:val="0"/>
        <w:spacing w:before="116" w:line="360" w:lineRule="auto"/>
        <w:ind w:left="48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）授权委托书或法定代表人身份证明；</w:t>
      </w:r>
    </w:p>
    <w:p>
      <w:pPr>
        <w:keepNext w:val="0"/>
        <w:keepLines w:val="0"/>
        <w:pageBreakBefore w:val="0"/>
        <w:wordWrap/>
        <w:overflowPunct/>
        <w:topLinePunct w:val="0"/>
        <w:autoSpaceDE w:val="0"/>
        <w:autoSpaceDN w:val="0"/>
        <w:bidi w:val="0"/>
        <w:spacing w:before="117" w:line="360" w:lineRule="auto"/>
        <w:ind w:left="480"/>
        <w:rPr>
          <w:rFonts w:ascii="宋体" w:hAnsi="宋体" w:eastAsia="宋体" w:cs="宋体"/>
          <w:sz w:val="24"/>
          <w:szCs w:val="24"/>
        </w:rPr>
      </w:pPr>
      <w:r>
        <w:rPr>
          <w:rFonts w:ascii="宋体" w:hAnsi="宋体" w:eastAsia="宋体" w:cs="宋体"/>
          <w:spacing w:val="-7"/>
          <w:position w:val="11"/>
          <w:sz w:val="24"/>
          <w:szCs w:val="24"/>
        </w:rPr>
        <w:t>（</w:t>
      </w:r>
      <w:r>
        <w:rPr>
          <w:rFonts w:ascii="Times New Roman" w:hAnsi="Times New Roman" w:eastAsia="Times New Roman" w:cs="Times New Roman"/>
          <w:spacing w:val="-7"/>
          <w:position w:val="11"/>
          <w:sz w:val="24"/>
          <w:szCs w:val="24"/>
        </w:rPr>
        <w:t>3</w:t>
      </w:r>
      <w:r>
        <w:rPr>
          <w:rFonts w:ascii="宋体" w:hAnsi="宋体" w:eastAsia="宋体" w:cs="宋体"/>
          <w:spacing w:val="-7"/>
          <w:position w:val="11"/>
          <w:sz w:val="24"/>
          <w:szCs w:val="24"/>
        </w:rPr>
        <w:t>）联合体协议书；</w:t>
      </w:r>
    </w:p>
    <w:p>
      <w:pPr>
        <w:keepNext w:val="0"/>
        <w:keepLines w:val="0"/>
        <w:pageBreakBefore w:val="0"/>
        <w:wordWrap/>
        <w:overflowPunct/>
        <w:topLinePunct w:val="0"/>
        <w:autoSpaceDE w:val="0"/>
        <w:autoSpaceDN w:val="0"/>
        <w:bidi w:val="0"/>
        <w:spacing w:line="360" w:lineRule="auto"/>
        <w:ind w:left="480"/>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4</w:t>
      </w:r>
      <w:r>
        <w:rPr>
          <w:rFonts w:ascii="宋体" w:hAnsi="宋体" w:eastAsia="宋体" w:cs="宋体"/>
          <w:spacing w:val="-7"/>
          <w:sz w:val="24"/>
          <w:szCs w:val="24"/>
        </w:rPr>
        <w:t>）投标保证金；</w:t>
      </w:r>
    </w:p>
    <w:p>
      <w:pPr>
        <w:keepNext w:val="0"/>
        <w:keepLines w:val="0"/>
        <w:pageBreakBefore w:val="0"/>
        <w:wordWrap/>
        <w:overflowPunct/>
        <w:topLinePunct w:val="0"/>
        <w:autoSpaceDE w:val="0"/>
        <w:autoSpaceDN w:val="0"/>
        <w:bidi w:val="0"/>
        <w:spacing w:before="115" w:line="360" w:lineRule="auto"/>
        <w:ind w:left="480"/>
        <w:rPr>
          <w:rFonts w:ascii="宋体" w:hAnsi="宋体" w:eastAsia="宋体" w:cs="宋体"/>
          <w:sz w:val="24"/>
          <w:szCs w:val="24"/>
        </w:rPr>
      </w:pPr>
      <w:r>
        <w:rPr>
          <w:rFonts w:ascii="宋体" w:hAnsi="宋体" w:eastAsia="宋体" w:cs="宋体"/>
          <w:spacing w:val="-6"/>
          <w:position w:val="11"/>
          <w:sz w:val="24"/>
          <w:szCs w:val="24"/>
        </w:rPr>
        <w:t>（</w:t>
      </w:r>
      <w:r>
        <w:rPr>
          <w:rFonts w:ascii="Times New Roman" w:hAnsi="Times New Roman" w:eastAsia="Times New Roman" w:cs="Times New Roman"/>
          <w:spacing w:val="-6"/>
          <w:position w:val="11"/>
          <w:sz w:val="24"/>
          <w:szCs w:val="24"/>
        </w:rPr>
        <w:t>5</w:t>
      </w:r>
      <w:r>
        <w:rPr>
          <w:rFonts w:ascii="宋体" w:hAnsi="宋体" w:eastAsia="宋体" w:cs="宋体"/>
          <w:spacing w:val="-6"/>
          <w:position w:val="11"/>
          <w:sz w:val="24"/>
          <w:szCs w:val="24"/>
        </w:rPr>
        <w:t>）已标价工程量清单；</w:t>
      </w:r>
    </w:p>
    <w:p>
      <w:pPr>
        <w:keepNext w:val="0"/>
        <w:keepLines w:val="0"/>
        <w:pageBreakBefore w:val="0"/>
        <w:wordWrap/>
        <w:overflowPunct/>
        <w:topLinePunct w:val="0"/>
        <w:autoSpaceDE w:val="0"/>
        <w:autoSpaceDN w:val="0"/>
        <w:bidi w:val="0"/>
        <w:spacing w:before="1" w:line="360" w:lineRule="auto"/>
        <w:ind w:left="480"/>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6</w:t>
      </w:r>
      <w:r>
        <w:rPr>
          <w:rFonts w:ascii="宋体" w:hAnsi="宋体" w:eastAsia="宋体" w:cs="宋体"/>
          <w:spacing w:val="-7"/>
          <w:sz w:val="24"/>
          <w:szCs w:val="24"/>
        </w:rPr>
        <w:t>）施工组织设计；</w:t>
      </w:r>
    </w:p>
    <w:p>
      <w:pPr>
        <w:keepNext w:val="0"/>
        <w:keepLines w:val="0"/>
        <w:pageBreakBefore w:val="0"/>
        <w:wordWrap/>
        <w:overflowPunct/>
        <w:topLinePunct w:val="0"/>
        <w:autoSpaceDE w:val="0"/>
        <w:autoSpaceDN w:val="0"/>
        <w:bidi w:val="0"/>
        <w:spacing w:before="111" w:line="360" w:lineRule="auto"/>
        <w:ind w:left="480"/>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7</w:t>
      </w:r>
      <w:r>
        <w:rPr>
          <w:rFonts w:ascii="宋体" w:hAnsi="宋体" w:eastAsia="宋体" w:cs="宋体"/>
          <w:spacing w:val="-7"/>
          <w:sz w:val="24"/>
          <w:szCs w:val="24"/>
        </w:rPr>
        <w:t>）项目管理机构；</w:t>
      </w:r>
    </w:p>
    <w:p>
      <w:pPr>
        <w:keepNext w:val="0"/>
        <w:keepLines w:val="0"/>
        <w:pageBreakBefore w:val="0"/>
        <w:wordWrap/>
        <w:overflowPunct/>
        <w:topLinePunct w:val="0"/>
        <w:autoSpaceDE w:val="0"/>
        <w:autoSpaceDN w:val="0"/>
        <w:bidi w:val="0"/>
        <w:spacing w:before="116" w:line="360" w:lineRule="auto"/>
        <w:ind w:left="480"/>
        <w:rPr>
          <w:rFonts w:ascii="宋体" w:hAnsi="宋体" w:eastAsia="宋体" w:cs="宋体"/>
          <w:sz w:val="24"/>
          <w:szCs w:val="24"/>
        </w:rPr>
      </w:pPr>
      <w:r>
        <w:rPr>
          <w:rFonts w:ascii="宋体" w:hAnsi="宋体" w:eastAsia="宋体" w:cs="宋体"/>
          <w:spacing w:val="-6"/>
          <w:position w:val="12"/>
          <w:sz w:val="24"/>
          <w:szCs w:val="24"/>
        </w:rPr>
        <w:t>（</w:t>
      </w:r>
      <w:r>
        <w:rPr>
          <w:rFonts w:ascii="Times New Roman" w:hAnsi="Times New Roman" w:eastAsia="Times New Roman" w:cs="Times New Roman"/>
          <w:spacing w:val="-6"/>
          <w:position w:val="12"/>
          <w:sz w:val="24"/>
          <w:szCs w:val="24"/>
        </w:rPr>
        <w:t>8</w:t>
      </w:r>
      <w:r>
        <w:rPr>
          <w:rFonts w:ascii="宋体" w:hAnsi="宋体" w:eastAsia="宋体" w:cs="宋体"/>
          <w:spacing w:val="-6"/>
          <w:position w:val="12"/>
          <w:sz w:val="24"/>
          <w:szCs w:val="24"/>
        </w:rPr>
        <w:t>）拟分包项目情况表；</w:t>
      </w:r>
    </w:p>
    <w:p>
      <w:pPr>
        <w:keepNext w:val="0"/>
        <w:keepLines w:val="0"/>
        <w:pageBreakBefore w:val="0"/>
        <w:wordWrap/>
        <w:overflowPunct/>
        <w:topLinePunct w:val="0"/>
        <w:autoSpaceDE w:val="0"/>
        <w:autoSpaceDN w:val="0"/>
        <w:bidi w:val="0"/>
        <w:spacing w:before="1" w:line="360" w:lineRule="auto"/>
        <w:ind w:left="480"/>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9</w:t>
      </w:r>
      <w:r>
        <w:rPr>
          <w:rFonts w:ascii="宋体" w:hAnsi="宋体" w:eastAsia="宋体" w:cs="宋体"/>
          <w:spacing w:val="-7"/>
          <w:sz w:val="24"/>
          <w:szCs w:val="24"/>
        </w:rPr>
        <w:t>）资格审查资料；</w:t>
      </w:r>
    </w:p>
    <w:p>
      <w:pPr>
        <w:keepNext w:val="0"/>
        <w:keepLines w:val="0"/>
        <w:pageBreakBefore w:val="0"/>
        <w:wordWrap/>
        <w:overflowPunct/>
        <w:topLinePunct w:val="0"/>
        <w:autoSpaceDE w:val="0"/>
        <w:autoSpaceDN w:val="0"/>
        <w:bidi w:val="0"/>
        <w:spacing w:before="113" w:line="360" w:lineRule="auto"/>
        <w:ind w:left="480"/>
        <w:rPr>
          <w:rFonts w:ascii="宋体" w:hAnsi="宋体" w:eastAsia="宋体" w:cs="宋体"/>
          <w:sz w:val="24"/>
          <w:szCs w:val="24"/>
        </w:rPr>
      </w:pPr>
      <w:r>
        <w:rPr>
          <w:rFonts w:ascii="宋体" w:hAnsi="宋体" w:eastAsia="宋体" w:cs="宋体"/>
          <w:spacing w:val="-1"/>
          <w:position w:val="11"/>
          <w:sz w:val="24"/>
          <w:szCs w:val="24"/>
        </w:rPr>
        <w:t>（</w:t>
      </w:r>
      <w:r>
        <w:rPr>
          <w:rFonts w:ascii="Times New Roman" w:hAnsi="Times New Roman" w:eastAsia="Times New Roman" w:cs="Times New Roman"/>
          <w:spacing w:val="-1"/>
          <w:position w:val="11"/>
          <w:sz w:val="24"/>
          <w:szCs w:val="24"/>
        </w:rPr>
        <w:t>10</w:t>
      </w:r>
      <w:r>
        <w:rPr>
          <w:rFonts w:ascii="宋体" w:hAnsi="宋体" w:eastAsia="宋体" w:cs="宋体"/>
          <w:spacing w:val="-1"/>
          <w:position w:val="11"/>
          <w:sz w:val="24"/>
          <w:szCs w:val="24"/>
        </w:rPr>
        <w:t>）调价函及调价后的工程量清单（如有</w:t>
      </w:r>
      <w:r>
        <w:rPr>
          <w:rFonts w:ascii="宋体" w:hAnsi="宋体" w:eastAsia="宋体" w:cs="宋体"/>
          <w:spacing w:val="-63"/>
          <w:w w:val="98"/>
          <w:position w:val="11"/>
          <w:sz w:val="24"/>
          <w:szCs w:val="24"/>
        </w:rPr>
        <w:t>）；</w:t>
      </w:r>
    </w:p>
    <w:p>
      <w:pPr>
        <w:keepNext w:val="0"/>
        <w:keepLines w:val="0"/>
        <w:pageBreakBefore w:val="0"/>
        <w:wordWrap/>
        <w:overflowPunct/>
        <w:topLinePunct w:val="0"/>
        <w:autoSpaceDE w:val="0"/>
        <w:autoSpaceDN w:val="0"/>
        <w:bidi w:val="0"/>
        <w:spacing w:before="1" w:line="360" w:lineRule="auto"/>
        <w:ind w:left="48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11</w:t>
      </w:r>
      <w:r>
        <w:rPr>
          <w:rFonts w:ascii="宋体" w:hAnsi="宋体" w:eastAsia="宋体" w:cs="宋体"/>
          <w:spacing w:val="-2"/>
          <w:sz w:val="24"/>
          <w:szCs w:val="24"/>
        </w:rPr>
        <w:t>）投标人须知前附表规定的其他资料。</w:t>
      </w:r>
    </w:p>
    <w:p>
      <w:pPr>
        <w:keepNext w:val="0"/>
        <w:keepLines w:val="0"/>
        <w:pageBreakBefore w:val="0"/>
        <w:wordWrap/>
        <w:overflowPunct/>
        <w:topLinePunct w:val="0"/>
        <w:autoSpaceDE w:val="0"/>
        <w:autoSpaceDN w:val="0"/>
        <w:bidi w:val="0"/>
        <w:spacing w:before="116" w:line="360" w:lineRule="auto"/>
        <w:ind w:left="115" w:right="66" w:firstLine="480"/>
        <w:rPr>
          <w:rFonts w:ascii="宋体" w:hAnsi="宋体" w:eastAsia="宋体" w:cs="宋体"/>
          <w:sz w:val="24"/>
          <w:szCs w:val="24"/>
        </w:rPr>
      </w:pPr>
      <w:r>
        <w:rPr>
          <w:rFonts w:ascii="宋体" w:hAnsi="宋体" w:eastAsia="宋体" w:cs="宋体"/>
          <w:spacing w:val="-6"/>
          <w:sz w:val="24"/>
          <w:szCs w:val="24"/>
        </w:rPr>
        <w:t>投标人在评标过程中作出的符合法律法规和招标文件规定的澄清确认，</w:t>
      </w:r>
      <w:r>
        <w:rPr>
          <w:rFonts w:ascii="宋体" w:hAnsi="宋体" w:eastAsia="宋体" w:cs="宋体"/>
          <w:spacing w:val="-15"/>
          <w:sz w:val="24"/>
          <w:szCs w:val="24"/>
        </w:rPr>
        <w:t xml:space="preserve"> </w:t>
      </w:r>
      <w:r>
        <w:rPr>
          <w:rFonts w:ascii="宋体" w:hAnsi="宋体" w:eastAsia="宋体" w:cs="宋体"/>
          <w:spacing w:val="-6"/>
          <w:sz w:val="24"/>
          <w:szCs w:val="24"/>
        </w:rPr>
        <w:t>构成投标</w:t>
      </w:r>
      <w:r>
        <w:rPr>
          <w:rFonts w:ascii="宋体" w:hAnsi="宋体" w:eastAsia="宋体" w:cs="宋体"/>
          <w:sz w:val="24"/>
          <w:szCs w:val="24"/>
        </w:rPr>
        <w:t xml:space="preserve"> </w:t>
      </w:r>
      <w:r>
        <w:rPr>
          <w:rFonts w:ascii="宋体" w:hAnsi="宋体" w:eastAsia="宋体" w:cs="宋体"/>
          <w:spacing w:val="-6"/>
          <w:sz w:val="24"/>
          <w:szCs w:val="24"/>
        </w:rPr>
        <w:t>文件的组成部分。</w:t>
      </w:r>
    </w:p>
    <w:p>
      <w:pPr>
        <w:keepNext w:val="0"/>
        <w:keepLines w:val="0"/>
        <w:pageBreakBefore w:val="0"/>
        <w:wordWrap/>
        <w:overflowPunct/>
        <w:topLinePunct w:val="0"/>
        <w:autoSpaceDE w:val="0"/>
        <w:autoSpaceDN w:val="0"/>
        <w:bidi w:val="0"/>
        <w:spacing w:before="172" w:line="360" w:lineRule="auto"/>
        <w:ind w:left="593"/>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3.1.2</w:t>
      </w:r>
    </w:p>
    <w:p>
      <w:pPr>
        <w:keepNext w:val="0"/>
        <w:keepLines w:val="0"/>
        <w:pageBreakBefore w:val="0"/>
        <w:wordWrap/>
        <w:overflowPunct/>
        <w:topLinePunct w:val="0"/>
        <w:autoSpaceDE w:val="0"/>
        <w:autoSpaceDN w:val="0"/>
        <w:bidi w:val="0"/>
        <w:spacing w:before="132" w:line="360" w:lineRule="auto"/>
        <w:ind w:right="64" w:firstLine="593"/>
        <w:rPr>
          <w:rFonts w:ascii="宋体" w:hAnsi="宋体" w:eastAsia="宋体" w:cs="宋体"/>
          <w:sz w:val="24"/>
          <w:szCs w:val="24"/>
        </w:rPr>
      </w:pPr>
      <w:r>
        <w:rPr>
          <w:rFonts w:ascii="Times New Roman" w:hAnsi="Times New Roman" w:eastAsia="Times New Roman" w:cs="Times New Roman"/>
          <w:spacing w:val="-5"/>
          <w:sz w:val="24"/>
          <w:szCs w:val="24"/>
        </w:rPr>
        <w:t xml:space="preserve">3.1.3  </w:t>
      </w:r>
      <w:r>
        <w:rPr>
          <w:rFonts w:ascii="宋体" w:hAnsi="宋体" w:eastAsia="宋体" w:cs="宋体"/>
          <w:spacing w:val="-5"/>
          <w:sz w:val="24"/>
          <w:szCs w:val="24"/>
        </w:rPr>
        <w:t>投标人须知前附表未要求提交投标保证金的，</w:t>
      </w:r>
      <w:r>
        <w:rPr>
          <w:rFonts w:ascii="宋体" w:hAnsi="宋体" w:eastAsia="宋体" w:cs="宋体"/>
          <w:spacing w:val="38"/>
          <w:sz w:val="24"/>
          <w:szCs w:val="24"/>
        </w:rPr>
        <w:t xml:space="preserve"> </w:t>
      </w:r>
      <w:r>
        <w:rPr>
          <w:rFonts w:ascii="宋体" w:hAnsi="宋体" w:eastAsia="宋体" w:cs="宋体"/>
          <w:spacing w:val="-5"/>
          <w:sz w:val="24"/>
          <w:szCs w:val="24"/>
        </w:rPr>
        <w:t>投标文件不包括本章第</w:t>
      </w:r>
      <w:r>
        <w:rPr>
          <w:rFonts w:ascii="宋体" w:hAnsi="宋体" w:eastAsia="宋体" w:cs="宋体"/>
          <w:spacing w:val="-49"/>
          <w:sz w:val="24"/>
          <w:szCs w:val="24"/>
        </w:rPr>
        <w:t xml:space="preserve"> </w:t>
      </w:r>
      <w:r>
        <w:rPr>
          <w:rFonts w:ascii="Times New Roman" w:hAnsi="Times New Roman" w:eastAsia="Times New Roman" w:cs="Times New Roman"/>
          <w:spacing w:val="-5"/>
          <w:sz w:val="24"/>
          <w:szCs w:val="24"/>
        </w:rPr>
        <w:t>3.1.1</w:t>
      </w:r>
      <w:r>
        <w:rPr>
          <w:rFonts w:ascii="Times New Roman" w:hAnsi="Times New Roman" w:eastAsia="Times New Roman" w:cs="Times New Roman"/>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）目所指的投标保证金。</w:t>
      </w:r>
    </w:p>
    <w:p>
      <w:pPr>
        <w:keepNext w:val="0"/>
        <w:keepLines w:val="0"/>
        <w:pageBreakBefore w:val="0"/>
        <w:wordWrap/>
        <w:overflowPunct/>
        <w:topLinePunct w:val="0"/>
        <w:autoSpaceDE w:val="0"/>
        <w:autoSpaceDN w:val="0"/>
        <w:bidi w:val="0"/>
        <w:spacing w:before="266" w:line="360" w:lineRule="auto"/>
        <w:ind w:left="113"/>
        <w:rPr>
          <w:rFonts w:ascii="黑体" w:hAnsi="黑体" w:eastAsia="黑体" w:cs="黑体"/>
          <w:sz w:val="24"/>
          <w:szCs w:val="24"/>
        </w:rPr>
      </w:pPr>
      <w:r>
        <w:rPr>
          <w:rFonts w:ascii="黑体" w:hAnsi="黑体" w:eastAsia="黑体" w:cs="黑体"/>
          <w:spacing w:val="-1"/>
          <w:sz w:val="24"/>
          <w:szCs w:val="24"/>
        </w:rPr>
        <w:t>3.2 投标报价</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left="114" w:firstLine="479"/>
        <w:rPr>
          <w:rFonts w:ascii="宋体" w:hAnsi="宋体" w:eastAsia="宋体" w:cs="宋体"/>
          <w:sz w:val="24"/>
          <w:szCs w:val="24"/>
        </w:rPr>
      </w:pPr>
      <w:r>
        <w:rPr>
          <w:rFonts w:ascii="Times New Roman" w:hAnsi="Times New Roman" w:eastAsia="Times New Roman" w:cs="Times New Roman"/>
          <w:spacing w:val="-7"/>
          <w:sz w:val="24"/>
          <w:szCs w:val="24"/>
        </w:rPr>
        <w:t xml:space="preserve">3.2.1  </w:t>
      </w:r>
      <w:r>
        <w:rPr>
          <w:rFonts w:ascii="宋体" w:hAnsi="宋体" w:eastAsia="宋体" w:cs="宋体"/>
          <w:spacing w:val="-7"/>
          <w:sz w:val="24"/>
          <w:szCs w:val="24"/>
        </w:rPr>
        <w:t>投标报价应包括国家规定的增值税税金， 除投标人须知前附表另有规定外，</w:t>
      </w:r>
      <w:r>
        <w:rPr>
          <w:rFonts w:ascii="宋体" w:hAnsi="宋体" w:eastAsia="宋体" w:cs="宋体"/>
          <w:spacing w:val="11"/>
          <w:sz w:val="24"/>
          <w:szCs w:val="24"/>
        </w:rPr>
        <w:t xml:space="preserve"> </w:t>
      </w:r>
      <w:r>
        <w:rPr>
          <w:rFonts w:ascii="宋体" w:hAnsi="宋体" w:eastAsia="宋体" w:cs="宋体"/>
          <w:spacing w:val="-4"/>
          <w:sz w:val="24"/>
          <w:szCs w:val="24"/>
        </w:rPr>
        <w:t>增值税税金按一般计税方法计算。投标人应按第九章“投标文件格式</w:t>
      </w:r>
      <w:r>
        <w:rPr>
          <w:rFonts w:ascii="宋体" w:hAnsi="宋体" w:eastAsia="宋体" w:cs="宋体"/>
          <w:spacing w:val="-71"/>
          <w:sz w:val="24"/>
          <w:szCs w:val="24"/>
        </w:rPr>
        <w:t xml:space="preserve"> </w:t>
      </w:r>
      <w:r>
        <w:rPr>
          <w:rFonts w:ascii="宋体" w:hAnsi="宋体" w:eastAsia="宋体" w:cs="宋体"/>
          <w:spacing w:val="-4"/>
          <w:sz w:val="24"/>
          <w:szCs w:val="24"/>
        </w:rPr>
        <w:t>”的要求在投标</w:t>
      </w:r>
    </w:p>
    <w:p>
      <w:pPr>
        <w:keepNext w:val="0"/>
        <w:keepLines w:val="0"/>
        <w:pageBreakBefore w:val="0"/>
        <w:wordWrap/>
        <w:overflowPunct/>
        <w:topLinePunct w:val="0"/>
        <w:autoSpaceDE w:val="0"/>
        <w:autoSpaceDN w:val="0"/>
        <w:bidi w:val="0"/>
        <w:spacing w:line="360" w:lineRule="auto"/>
        <w:ind w:left="129"/>
        <w:rPr>
          <w:rFonts w:ascii="宋体" w:hAnsi="宋体" w:eastAsia="宋体" w:cs="宋体"/>
          <w:sz w:val="24"/>
          <w:szCs w:val="24"/>
        </w:rPr>
      </w:pPr>
      <w:r>
        <w:rPr>
          <w:rFonts w:ascii="宋体" w:hAnsi="宋体" w:eastAsia="宋体" w:cs="宋体"/>
          <w:spacing w:val="-3"/>
          <w:sz w:val="24"/>
          <w:szCs w:val="24"/>
        </w:rPr>
        <w:t>函中进行报价并填写工程量清单相应表格。</w:t>
      </w:r>
    </w:p>
    <w:p>
      <w:pPr>
        <w:keepNext w:val="0"/>
        <w:keepLines w:val="0"/>
        <w:pageBreakBefore w:val="0"/>
        <w:wordWrap/>
        <w:overflowPunct/>
        <w:topLinePunct w:val="0"/>
        <w:autoSpaceDE w:val="0"/>
        <w:autoSpaceDN w:val="0"/>
        <w:bidi w:val="0"/>
        <w:spacing w:before="119" w:line="360" w:lineRule="auto"/>
        <w:ind w:left="120" w:right="64" w:firstLine="476"/>
        <w:rPr>
          <w:rFonts w:ascii="宋体" w:hAnsi="宋体" w:eastAsia="宋体" w:cs="宋体"/>
          <w:spacing w:val="-3"/>
          <w:sz w:val="24"/>
          <w:szCs w:val="24"/>
        </w:rPr>
      </w:pPr>
      <w:r>
        <w:rPr>
          <w:rFonts w:ascii="宋体" w:hAnsi="宋体" w:eastAsia="宋体" w:cs="宋体"/>
          <w:spacing w:val="-3"/>
          <w:sz w:val="24"/>
          <w:szCs w:val="24"/>
        </w:rPr>
        <w:t>工程量清单的填写分下列两种方式。投标人应按投标人须知前附表规定的方式填</w:t>
      </w:r>
      <w:r>
        <w:rPr>
          <w:rFonts w:ascii="宋体" w:hAnsi="宋体" w:eastAsia="宋体" w:cs="宋体"/>
          <w:spacing w:val="2"/>
          <w:sz w:val="24"/>
          <w:szCs w:val="24"/>
        </w:rPr>
        <w:t xml:space="preserve"> </w:t>
      </w:r>
      <w:r>
        <w:rPr>
          <w:rFonts w:ascii="宋体" w:hAnsi="宋体" w:eastAsia="宋体" w:cs="宋体"/>
          <w:spacing w:val="-3"/>
          <w:sz w:val="24"/>
          <w:szCs w:val="24"/>
        </w:rPr>
        <w:t>写工程量清单。</w:t>
      </w:r>
    </w:p>
    <w:p>
      <w:pPr>
        <w:keepNext w:val="0"/>
        <w:keepLines w:val="0"/>
        <w:pageBreakBefore w:val="0"/>
        <w:wordWrap/>
        <w:overflowPunct/>
        <w:topLinePunct w:val="0"/>
        <w:autoSpaceDE w:val="0"/>
        <w:autoSpaceDN w:val="0"/>
        <w:bidi w:val="0"/>
        <w:spacing w:before="119" w:line="360" w:lineRule="auto"/>
        <w:ind w:left="120" w:right="64" w:firstLine="476"/>
        <w:rPr>
          <w:rFonts w:ascii="宋体" w:hAnsi="宋体" w:eastAsia="宋体" w:cs="宋体"/>
          <w:spacing w:val="-3"/>
          <w:sz w:val="24"/>
          <w:szCs w:val="24"/>
        </w:rPr>
      </w:pPr>
      <w:r>
        <w:rPr>
          <w:rFonts w:ascii="宋体" w:hAnsi="宋体" w:eastAsia="宋体" w:cs="宋体"/>
          <w:spacing w:val="-3"/>
          <w:sz w:val="24"/>
          <w:szCs w:val="24"/>
        </w:rPr>
        <w:t>（1）本项目招标采用工程量固化清单，招标人在出售招标文件或发放补遗书的 同时将工程量固化清单电子文件按投标人须知前附表载明的形式公布给投标人。投标 人填写工程量清单中各子目的单价及总额价，即可完成投标工程量清单的编制，确定 投标报价，并打印出投标工程量清单，编入投标文件。投标人未在工程量清单中填入 单价或总额价的工程子目，将被认为其已包含在工程量清单其他子目的单价和总额价中，招标人将不予支付。</w:t>
      </w:r>
    </w:p>
    <w:p>
      <w:pPr>
        <w:keepNext w:val="0"/>
        <w:keepLines w:val="0"/>
        <w:pageBreakBefore w:val="0"/>
        <w:wordWrap/>
        <w:overflowPunct/>
        <w:topLinePunct w:val="0"/>
        <w:autoSpaceDE w:val="0"/>
        <w:autoSpaceDN w:val="0"/>
        <w:bidi w:val="0"/>
        <w:spacing w:before="116" w:line="360" w:lineRule="auto"/>
        <w:ind w:left="38" w:right="34" w:firstLine="482"/>
        <w:rPr>
          <w:rFonts w:ascii="宋体" w:hAnsi="宋体" w:eastAsia="宋体" w:cs="宋体"/>
          <w:spacing w:val="4"/>
          <w:sz w:val="24"/>
          <w:szCs w:val="24"/>
        </w:rPr>
      </w:pPr>
      <w:r>
        <w:rPr>
          <w:rFonts w:ascii="宋体" w:hAnsi="宋体" w:eastAsia="宋体" w:cs="宋体"/>
          <w:spacing w:val="4"/>
          <w:sz w:val="24"/>
          <w:szCs w:val="24"/>
        </w:rPr>
        <w:t>投标人必须严格遵循工程量固化清单电子文件中的数据、格式及运算定义，并 将已填写完毕的投标工程量清单电子文件单独拷入投标人自备的 U 盘中密封在投标文 件第二个信封（报价文件）内一并交回。严禁投标人修改工程量固化清单电子文件中的数据、格式及运算定义。</w:t>
      </w:r>
    </w:p>
    <w:p>
      <w:pPr>
        <w:keepNext w:val="0"/>
        <w:keepLines w:val="0"/>
        <w:pageBreakBefore w:val="0"/>
        <w:wordWrap/>
        <w:overflowPunct/>
        <w:topLinePunct w:val="0"/>
        <w:autoSpaceDE w:val="0"/>
        <w:autoSpaceDN w:val="0"/>
        <w:bidi w:val="0"/>
        <w:spacing w:before="116" w:line="360" w:lineRule="auto"/>
        <w:ind w:left="38" w:right="36" w:firstLine="366"/>
        <w:rPr>
          <w:rFonts w:ascii="宋体" w:hAnsi="宋体" w:eastAsia="宋体" w:cs="宋体"/>
          <w:spacing w:val="-8"/>
          <w:sz w:val="24"/>
          <w:szCs w:val="24"/>
        </w:rPr>
      </w:pPr>
      <w:r>
        <w:rPr>
          <w:rFonts w:ascii="宋体" w:hAnsi="宋体" w:eastAsia="宋体" w:cs="宋体"/>
          <w:spacing w:val="-8"/>
          <w:sz w:val="24"/>
          <w:szCs w:val="24"/>
        </w:rPr>
        <w:t>投标人根据招标人提供的工程量固化清单电子文件填报完成并打印的投标 工程量清单中的投标总报价和投标函大写金额报价应一致，如果报价金额出现差异时，其投标将被否决。</w:t>
      </w:r>
    </w:p>
    <w:p>
      <w:pPr>
        <w:keepNext w:val="0"/>
        <w:keepLines w:val="0"/>
        <w:pageBreakBefore w:val="0"/>
        <w:wordWrap/>
        <w:overflowPunct/>
        <w:topLinePunct w:val="0"/>
        <w:autoSpaceDE w:val="0"/>
        <w:autoSpaceDN w:val="0"/>
        <w:bidi w:val="0"/>
        <w:spacing w:before="116" w:line="360" w:lineRule="auto"/>
        <w:ind w:left="38" w:right="36" w:firstLine="366"/>
        <w:rPr>
          <w:rFonts w:ascii="宋体" w:hAnsi="宋体" w:eastAsia="宋体" w:cs="宋体"/>
          <w:spacing w:val="-2"/>
          <w:sz w:val="24"/>
          <w:szCs w:val="24"/>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2</w:t>
      </w:r>
      <w:r>
        <w:rPr>
          <w:rFonts w:ascii="宋体" w:hAnsi="宋体" w:eastAsia="宋体" w:cs="宋体"/>
          <w:spacing w:val="-8"/>
          <w:sz w:val="24"/>
          <w:szCs w:val="24"/>
        </w:rPr>
        <w:t>）本项目招标由招标人提供书面工程量清单，由投标人按照招标人提供的工程</w:t>
      </w:r>
      <w:r>
        <w:rPr>
          <w:rFonts w:ascii="宋体" w:hAnsi="宋体" w:eastAsia="宋体" w:cs="宋体"/>
          <w:sz w:val="24"/>
          <w:szCs w:val="24"/>
        </w:rPr>
        <w:t xml:space="preserve"> </w:t>
      </w:r>
      <w:r>
        <w:rPr>
          <w:rFonts w:ascii="宋体" w:hAnsi="宋体" w:eastAsia="宋体" w:cs="宋体"/>
          <w:spacing w:val="-3"/>
          <w:sz w:val="24"/>
          <w:szCs w:val="24"/>
        </w:rPr>
        <w:t>量清单填写本合同各工程子目的单价、合价和总额价。评标委员会将按照第三章“评</w:t>
      </w:r>
      <w:r>
        <w:rPr>
          <w:rFonts w:ascii="宋体" w:hAnsi="宋体" w:eastAsia="宋体" w:cs="宋体"/>
          <w:spacing w:val="-2"/>
          <w:sz w:val="24"/>
          <w:szCs w:val="24"/>
        </w:rPr>
        <w:t>标办法”的规定对投标价进行算术性错误修正及其他错误修正。</w:t>
      </w:r>
    </w:p>
    <w:p>
      <w:pPr>
        <w:keepNext w:val="0"/>
        <w:keepLines w:val="0"/>
        <w:pageBreakBefore w:val="0"/>
        <w:wordWrap/>
        <w:overflowPunct/>
        <w:topLinePunct w:val="0"/>
        <w:autoSpaceDE w:val="0"/>
        <w:autoSpaceDN w:val="0"/>
        <w:bidi w:val="0"/>
        <w:spacing w:line="360" w:lineRule="auto"/>
        <w:ind w:left="39"/>
        <w:rPr>
          <w:rFonts w:hint="eastAsia" w:ascii="宋体" w:hAnsi="宋体" w:eastAsia="宋体" w:cs="宋体"/>
          <w:spacing w:val="-2"/>
          <w:sz w:val="24"/>
          <w:szCs w:val="24"/>
        </w:rPr>
      </w:pPr>
      <w:r>
        <w:rPr>
          <w:rFonts w:hint="eastAsia" w:ascii="宋体" w:hAnsi="宋体" w:cs="宋体"/>
          <w:spacing w:val="-2"/>
          <w:sz w:val="24"/>
          <w:szCs w:val="24"/>
          <w:lang w:eastAsia="zh-CN"/>
        </w:rPr>
        <w:t>（</w:t>
      </w:r>
      <w:r>
        <w:rPr>
          <w:rFonts w:hint="eastAsia" w:ascii="宋体" w:hAnsi="宋体" w:cs="宋体"/>
          <w:spacing w:val="-2"/>
          <w:sz w:val="24"/>
          <w:szCs w:val="24"/>
          <w:lang w:val="en-US" w:eastAsia="zh-CN"/>
        </w:rPr>
        <w:t>3</w:t>
      </w:r>
      <w:r>
        <w:rPr>
          <w:rFonts w:hint="eastAsia" w:ascii="宋体" w:hAnsi="宋体" w:cs="宋体"/>
          <w:spacing w:val="-2"/>
          <w:sz w:val="24"/>
          <w:szCs w:val="24"/>
          <w:lang w:eastAsia="zh-CN"/>
        </w:rPr>
        <w:t>）</w:t>
      </w:r>
      <w:r>
        <w:rPr>
          <w:rFonts w:hint="eastAsia" w:ascii="宋体" w:hAnsi="宋体" w:eastAsia="宋体" w:cs="宋体"/>
          <w:spacing w:val="-2"/>
          <w:sz w:val="24"/>
          <w:szCs w:val="24"/>
        </w:rPr>
        <w:t>投标报价的所有单价取小数点后两位，所有合价和总价应四舍五入取整数②。</w:t>
      </w:r>
    </w:p>
    <w:p>
      <w:pPr>
        <w:keepNext w:val="0"/>
        <w:keepLines w:val="0"/>
        <w:pageBreakBefore w:val="0"/>
        <w:wordWrap/>
        <w:overflowPunct/>
        <w:topLinePunct w:val="0"/>
        <w:autoSpaceDE w:val="0"/>
        <w:autoSpaceDN w:val="0"/>
        <w:bidi w:val="0"/>
        <w:spacing w:line="360" w:lineRule="auto"/>
        <w:ind w:left="39"/>
        <w:rPr>
          <w:rFonts w:ascii="宋体" w:hAnsi="宋体" w:eastAsia="宋体" w:cs="宋体"/>
          <w:spacing w:val="-2"/>
          <w:sz w:val="24"/>
          <w:szCs w:val="24"/>
        </w:rPr>
      </w:pPr>
      <w:r>
        <w:rPr>
          <w:rFonts w:hint="eastAsia" w:ascii="宋体" w:hAnsi="宋体" w:eastAsia="宋体" w:cs="宋体"/>
          <w:spacing w:val="-2"/>
          <w:sz w:val="24"/>
          <w:szCs w:val="24"/>
        </w:rPr>
        <w:t>工程量清单不需要附项目清单、分项清单及单价分析表，但投标人中标后，发包人可要求中标人提交项目清单、分项清单及单价分析表，中标人不得拒绝。</w:t>
      </w:r>
    </w:p>
    <w:p>
      <w:pPr>
        <w:keepNext w:val="0"/>
        <w:keepLines w:val="0"/>
        <w:pageBreakBefore w:val="0"/>
        <w:wordWrap/>
        <w:overflowPunct/>
        <w:topLinePunct w:val="0"/>
        <w:autoSpaceDE w:val="0"/>
        <w:autoSpaceDN w:val="0"/>
        <w:bidi w:val="0"/>
        <w:spacing w:before="118" w:line="360" w:lineRule="auto"/>
        <w:ind w:left="518"/>
        <w:rPr>
          <w:rFonts w:ascii="宋体" w:hAnsi="宋体" w:eastAsia="宋体" w:cs="宋体"/>
          <w:sz w:val="24"/>
          <w:szCs w:val="24"/>
        </w:rPr>
      </w:pPr>
      <w:r>
        <w:rPr>
          <w:rFonts w:ascii="Times New Roman" w:hAnsi="Times New Roman" w:eastAsia="Times New Roman" w:cs="Times New Roman"/>
          <w:spacing w:val="-1"/>
          <w:sz w:val="24"/>
          <w:szCs w:val="24"/>
        </w:rPr>
        <w:t xml:space="preserve">3.2.2  </w:t>
      </w:r>
      <w:r>
        <w:rPr>
          <w:rFonts w:ascii="宋体" w:hAnsi="宋体" w:eastAsia="宋体" w:cs="宋体"/>
          <w:spacing w:val="-1"/>
          <w:sz w:val="24"/>
          <w:szCs w:val="24"/>
        </w:rPr>
        <w:t>投标人应充分了解本项目的总体情况以及影响投标报</w:t>
      </w:r>
      <w:r>
        <w:rPr>
          <w:rFonts w:ascii="宋体" w:hAnsi="宋体" w:eastAsia="宋体" w:cs="宋体"/>
          <w:spacing w:val="-2"/>
          <w:sz w:val="24"/>
          <w:szCs w:val="24"/>
        </w:rPr>
        <w:t>价的其他要素。</w:t>
      </w:r>
    </w:p>
    <w:p>
      <w:pPr>
        <w:keepNext w:val="0"/>
        <w:keepLines w:val="0"/>
        <w:pageBreakBefore w:val="0"/>
        <w:wordWrap/>
        <w:overflowPunct/>
        <w:topLinePunct w:val="0"/>
        <w:autoSpaceDE w:val="0"/>
        <w:autoSpaceDN w:val="0"/>
        <w:bidi w:val="0"/>
        <w:spacing w:before="116" w:line="360" w:lineRule="auto"/>
        <w:ind w:left="39" w:right="37" w:firstLine="479"/>
        <w:rPr>
          <w:rFonts w:ascii="宋体" w:hAnsi="宋体" w:eastAsia="宋体" w:cs="宋体"/>
          <w:sz w:val="24"/>
          <w:szCs w:val="24"/>
        </w:rPr>
      </w:pPr>
      <w:r>
        <w:rPr>
          <w:rFonts w:ascii="Times New Roman" w:hAnsi="Times New Roman" w:eastAsia="Times New Roman" w:cs="Times New Roman"/>
          <w:sz w:val="24"/>
          <w:szCs w:val="24"/>
        </w:rPr>
        <w:t xml:space="preserve">3.2.3  </w:t>
      </w:r>
      <w:r>
        <w:rPr>
          <w:rFonts w:ascii="宋体" w:hAnsi="宋体" w:eastAsia="宋体" w:cs="宋体"/>
          <w:sz w:val="24"/>
          <w:szCs w:val="24"/>
        </w:rPr>
        <w:t>本项目的报价方式见投标人须知前附表。投标人在投标截止时间前修改投</w:t>
      </w:r>
      <w:r>
        <w:rPr>
          <w:rFonts w:ascii="宋体" w:hAnsi="宋体" w:eastAsia="宋体" w:cs="宋体"/>
          <w:spacing w:val="15"/>
          <w:sz w:val="24"/>
          <w:szCs w:val="24"/>
        </w:rPr>
        <w:t xml:space="preserve"> </w:t>
      </w:r>
      <w:r>
        <w:rPr>
          <w:rFonts w:ascii="宋体" w:hAnsi="宋体" w:eastAsia="宋体" w:cs="宋体"/>
          <w:spacing w:val="-8"/>
          <w:sz w:val="24"/>
          <w:szCs w:val="24"/>
        </w:rPr>
        <w:t>标函中的投标总报价，</w:t>
      </w:r>
      <w:r>
        <w:rPr>
          <w:rFonts w:ascii="宋体" w:hAnsi="宋体" w:eastAsia="宋体" w:cs="宋体"/>
          <w:spacing w:val="41"/>
          <w:sz w:val="24"/>
          <w:szCs w:val="24"/>
        </w:rPr>
        <w:t xml:space="preserve"> </w:t>
      </w:r>
      <w:r>
        <w:rPr>
          <w:rFonts w:ascii="宋体" w:hAnsi="宋体" w:eastAsia="宋体" w:cs="宋体"/>
          <w:spacing w:val="-8"/>
          <w:sz w:val="24"/>
          <w:szCs w:val="24"/>
        </w:rPr>
        <w:t>应同时修改投标文件</w:t>
      </w:r>
      <w:r>
        <w:rPr>
          <w:rFonts w:ascii="Times New Roman" w:hAnsi="Times New Roman" w:eastAsia="Times New Roman" w:cs="Times New Roman"/>
          <w:spacing w:val="-8"/>
          <w:sz w:val="24"/>
          <w:szCs w:val="24"/>
        </w:rPr>
        <w:t>“</w:t>
      </w:r>
      <w:r>
        <w:rPr>
          <w:rFonts w:ascii="Times New Roman" w:hAnsi="Times New Roman" w:eastAsia="Times New Roman" w:cs="Times New Roman"/>
          <w:spacing w:val="-26"/>
          <w:sz w:val="24"/>
          <w:szCs w:val="24"/>
        </w:rPr>
        <w:t xml:space="preserve"> </w:t>
      </w:r>
      <w:r>
        <w:rPr>
          <w:rFonts w:ascii="宋体" w:hAnsi="宋体" w:eastAsia="宋体" w:cs="宋体"/>
          <w:spacing w:val="-8"/>
          <w:sz w:val="24"/>
          <w:szCs w:val="24"/>
        </w:rPr>
        <w:t>已标价工程量清单</w:t>
      </w:r>
      <w:r>
        <w:rPr>
          <w:rFonts w:ascii="Times New Roman" w:hAnsi="Times New Roman" w:eastAsia="Times New Roman" w:cs="Times New Roman"/>
          <w:spacing w:val="-8"/>
          <w:sz w:val="24"/>
          <w:szCs w:val="24"/>
        </w:rPr>
        <w:t>”</w:t>
      </w:r>
      <w:r>
        <w:rPr>
          <w:rFonts w:ascii="Times New Roman" w:hAnsi="Times New Roman" w:eastAsia="Times New Roman" w:cs="Times New Roman"/>
          <w:spacing w:val="-29"/>
          <w:sz w:val="24"/>
          <w:szCs w:val="24"/>
        </w:rPr>
        <w:t xml:space="preserve"> </w:t>
      </w:r>
      <w:r>
        <w:rPr>
          <w:rFonts w:ascii="宋体" w:hAnsi="宋体" w:eastAsia="宋体" w:cs="宋体"/>
          <w:spacing w:val="-8"/>
          <w:sz w:val="24"/>
          <w:szCs w:val="24"/>
        </w:rPr>
        <w:t>中的相应报价。此修</w:t>
      </w:r>
      <w:r>
        <w:rPr>
          <w:rFonts w:ascii="宋体" w:hAnsi="宋体" w:eastAsia="宋体" w:cs="宋体"/>
          <w:spacing w:val="-3"/>
          <w:sz w:val="24"/>
          <w:szCs w:val="24"/>
        </w:rPr>
        <w:t>改须符合本章第</w:t>
      </w:r>
      <w:r>
        <w:rPr>
          <w:rFonts w:ascii="宋体" w:hAnsi="宋体" w:eastAsia="宋体" w:cs="宋体"/>
          <w:spacing w:val="-53"/>
          <w:sz w:val="24"/>
          <w:szCs w:val="24"/>
        </w:rPr>
        <w:t xml:space="preserve"> </w:t>
      </w:r>
      <w:r>
        <w:rPr>
          <w:rFonts w:ascii="Times New Roman" w:hAnsi="Times New Roman" w:eastAsia="Times New Roman" w:cs="Times New Roman"/>
          <w:spacing w:val="-3"/>
          <w:sz w:val="24"/>
          <w:szCs w:val="24"/>
        </w:rPr>
        <w:t xml:space="preserve">4.3 </w:t>
      </w:r>
      <w:r>
        <w:rPr>
          <w:rFonts w:ascii="宋体" w:hAnsi="宋体" w:eastAsia="宋体" w:cs="宋体"/>
          <w:spacing w:val="-3"/>
          <w:sz w:val="24"/>
          <w:szCs w:val="24"/>
        </w:rPr>
        <w:t>款的有关要求。</w:t>
      </w:r>
    </w:p>
    <w:p>
      <w:pPr>
        <w:keepNext w:val="0"/>
        <w:keepLines w:val="0"/>
        <w:pageBreakBefore w:val="0"/>
        <w:wordWrap/>
        <w:overflowPunct/>
        <w:topLinePunct w:val="0"/>
        <w:autoSpaceDE w:val="0"/>
        <w:autoSpaceDN w:val="0"/>
        <w:bidi w:val="0"/>
        <w:spacing w:before="114" w:line="360" w:lineRule="auto"/>
        <w:ind w:left="39" w:right="36" w:firstLine="479"/>
        <w:rPr>
          <w:rFonts w:ascii="宋体" w:hAnsi="宋体" w:eastAsia="宋体" w:cs="宋体"/>
          <w:sz w:val="24"/>
          <w:szCs w:val="24"/>
        </w:rPr>
      </w:pPr>
      <w:r>
        <w:rPr>
          <w:rFonts w:ascii="Times New Roman" w:hAnsi="Times New Roman" w:eastAsia="Times New Roman" w:cs="Times New Roman"/>
          <w:sz w:val="24"/>
          <w:szCs w:val="24"/>
        </w:rPr>
        <w:t xml:space="preserve">3.2.4  </w:t>
      </w:r>
      <w:r>
        <w:rPr>
          <w:rFonts w:ascii="宋体" w:hAnsi="宋体" w:eastAsia="宋体" w:cs="宋体"/>
          <w:sz w:val="24"/>
          <w:szCs w:val="24"/>
        </w:rPr>
        <w:t>投标人如果发现工程量清单中的数量与图纸中数量不一致时，应立即通知</w:t>
      </w:r>
      <w:r>
        <w:rPr>
          <w:rFonts w:ascii="宋体" w:hAnsi="宋体" w:eastAsia="宋体" w:cs="宋体"/>
          <w:spacing w:val="14"/>
          <w:sz w:val="24"/>
          <w:szCs w:val="24"/>
        </w:rPr>
        <w:t xml:space="preserve"> </w:t>
      </w:r>
      <w:r>
        <w:rPr>
          <w:rFonts w:ascii="宋体" w:hAnsi="宋体" w:eastAsia="宋体" w:cs="宋体"/>
          <w:spacing w:val="-14"/>
          <w:sz w:val="24"/>
          <w:szCs w:val="24"/>
        </w:rPr>
        <w:t>招标人核查，除非招标人以书面方式予以更正，否则，应以工程量清单中列出的数量</w:t>
      </w:r>
    </w:p>
    <w:p>
      <w:pPr>
        <w:keepNext w:val="0"/>
        <w:keepLines w:val="0"/>
        <w:pageBreakBefore w:val="0"/>
        <w:wordWrap/>
        <w:overflowPunct/>
        <w:topLinePunct w:val="0"/>
        <w:autoSpaceDE w:val="0"/>
        <w:autoSpaceDN w:val="0"/>
        <w:bidi w:val="0"/>
        <w:spacing w:before="2" w:line="360" w:lineRule="auto"/>
        <w:ind w:left="41"/>
        <w:rPr>
          <w:rFonts w:ascii="宋体" w:hAnsi="宋体" w:eastAsia="宋体" w:cs="宋体"/>
          <w:sz w:val="24"/>
          <w:szCs w:val="24"/>
        </w:rPr>
      </w:pPr>
      <w:r>
        <w:rPr>
          <w:rFonts w:ascii="宋体" w:hAnsi="宋体" w:eastAsia="宋体" w:cs="宋体"/>
          <w:spacing w:val="-11"/>
          <w:sz w:val="24"/>
          <w:szCs w:val="24"/>
        </w:rPr>
        <w:t>为准。</w:t>
      </w:r>
    </w:p>
    <w:p>
      <w:pPr>
        <w:keepNext w:val="0"/>
        <w:keepLines w:val="0"/>
        <w:pageBreakBefore w:val="0"/>
        <w:wordWrap/>
        <w:overflowPunct/>
        <w:topLinePunct w:val="0"/>
        <w:autoSpaceDE w:val="0"/>
        <w:autoSpaceDN w:val="0"/>
        <w:bidi w:val="0"/>
        <w:spacing w:before="110" w:line="360" w:lineRule="auto"/>
        <w:ind w:left="42" w:right="35" w:firstLine="475"/>
        <w:rPr>
          <w:rFonts w:ascii="宋体" w:hAnsi="宋体" w:eastAsia="宋体" w:cs="宋体"/>
          <w:sz w:val="24"/>
          <w:szCs w:val="24"/>
        </w:rPr>
      </w:pPr>
      <w:r>
        <w:rPr>
          <w:rFonts w:ascii="Times New Roman" w:hAnsi="Times New Roman" w:eastAsia="Times New Roman" w:cs="Times New Roman"/>
          <w:spacing w:val="-6"/>
          <w:sz w:val="24"/>
          <w:szCs w:val="24"/>
        </w:rPr>
        <w:t xml:space="preserve">3.2.5  </w:t>
      </w:r>
      <w:r>
        <w:rPr>
          <w:rFonts w:ascii="宋体" w:hAnsi="宋体" w:eastAsia="宋体" w:cs="宋体"/>
          <w:spacing w:val="-6"/>
          <w:sz w:val="24"/>
          <w:szCs w:val="24"/>
        </w:rPr>
        <w:t>投标人应根据《公路水运工程安全生产监督管理办法》，在投标总价中计入</w:t>
      </w:r>
      <w:r>
        <w:rPr>
          <w:rFonts w:ascii="宋体" w:hAnsi="宋体" w:eastAsia="宋体" w:cs="宋体"/>
          <w:spacing w:val="17"/>
          <w:sz w:val="24"/>
          <w:szCs w:val="24"/>
        </w:rPr>
        <w:t xml:space="preserve"> </w:t>
      </w:r>
      <w:r>
        <w:rPr>
          <w:rFonts w:ascii="宋体" w:hAnsi="宋体" w:eastAsia="宋体" w:cs="宋体"/>
          <w:spacing w:val="-2"/>
          <w:sz w:val="24"/>
          <w:szCs w:val="24"/>
        </w:rPr>
        <w:t xml:space="preserve">安全生产费用，安全生产费用应符合合同条款第 </w:t>
      </w:r>
      <w:r>
        <w:rPr>
          <w:rFonts w:ascii="Times New Roman" w:hAnsi="Times New Roman" w:eastAsia="Times New Roman" w:cs="Times New Roman"/>
          <w:spacing w:val="-2"/>
          <w:sz w:val="24"/>
          <w:szCs w:val="24"/>
        </w:rPr>
        <w:t>9.2.5</w:t>
      </w:r>
      <w:r>
        <w:rPr>
          <w:rFonts w:ascii="Times New Roman" w:hAnsi="Times New Roman" w:eastAsia="Times New Roman" w:cs="Times New Roman"/>
          <w:spacing w:val="42"/>
          <w:sz w:val="24"/>
          <w:szCs w:val="24"/>
        </w:rPr>
        <w:t xml:space="preserve"> </w:t>
      </w:r>
      <w:r>
        <w:rPr>
          <w:rFonts w:ascii="宋体" w:hAnsi="宋体" w:eastAsia="宋体" w:cs="宋体"/>
          <w:spacing w:val="-2"/>
          <w:sz w:val="24"/>
          <w:szCs w:val="24"/>
        </w:rPr>
        <w:t xml:space="preserve">项的规定。工程量清单第 </w:t>
      </w:r>
      <w:r>
        <w:rPr>
          <w:rFonts w:ascii="Times New Roman" w:hAnsi="Times New Roman" w:eastAsia="Times New Roman" w:cs="Times New Roman"/>
          <w:spacing w:val="-3"/>
          <w:sz w:val="24"/>
          <w:szCs w:val="24"/>
        </w:rPr>
        <w:t>100</w:t>
      </w:r>
      <w:r>
        <w:rPr>
          <w:rFonts w:ascii="宋体" w:hAnsi="宋体" w:eastAsia="宋体" w:cs="宋体"/>
          <w:spacing w:val="-2"/>
          <w:sz w:val="24"/>
          <w:szCs w:val="24"/>
        </w:rPr>
        <w:t>章内列有上述安全生产费的支付子目，由投标人按招标文件的规定填写总额价。</w:t>
      </w:r>
    </w:p>
    <w:p>
      <w:pPr>
        <w:keepNext w:val="0"/>
        <w:keepLines w:val="0"/>
        <w:pageBreakBefore w:val="0"/>
        <w:wordWrap/>
        <w:overflowPunct/>
        <w:topLinePunct w:val="0"/>
        <w:autoSpaceDE w:val="0"/>
        <w:autoSpaceDN w:val="0"/>
        <w:bidi w:val="0"/>
        <w:spacing w:before="115" w:line="360" w:lineRule="auto"/>
        <w:ind w:right="41"/>
        <w:jc w:val="right"/>
        <w:rPr>
          <w:rFonts w:ascii="宋体" w:hAnsi="宋体" w:eastAsia="宋体" w:cs="宋体"/>
          <w:sz w:val="24"/>
          <w:szCs w:val="24"/>
        </w:rPr>
      </w:pPr>
      <w:r>
        <w:rPr>
          <w:rFonts w:ascii="Times New Roman" w:hAnsi="Times New Roman" w:eastAsia="Times New Roman" w:cs="Times New Roman"/>
          <w:position w:val="11"/>
          <w:sz w:val="24"/>
          <w:szCs w:val="24"/>
        </w:rPr>
        <w:t xml:space="preserve">3.2.6  </w:t>
      </w:r>
      <w:r>
        <w:rPr>
          <w:rFonts w:ascii="宋体" w:hAnsi="宋体" w:eastAsia="宋体" w:cs="宋体"/>
          <w:position w:val="11"/>
          <w:sz w:val="24"/>
          <w:szCs w:val="24"/>
        </w:rPr>
        <w:t>除投标人须知前附表另有规定外，招标人不接受调价函。若招标人接受调</w:t>
      </w:r>
    </w:p>
    <w:p>
      <w:pPr>
        <w:keepNext w:val="0"/>
        <w:keepLines w:val="0"/>
        <w:pageBreakBefore w:val="0"/>
        <w:wordWrap/>
        <w:overflowPunct/>
        <w:topLinePunct w:val="0"/>
        <w:autoSpaceDE w:val="0"/>
        <w:autoSpaceDN w:val="0"/>
        <w:bidi w:val="0"/>
        <w:spacing w:line="360" w:lineRule="auto"/>
        <w:jc w:val="right"/>
        <w:rPr>
          <w:rFonts w:ascii="宋体" w:hAnsi="宋体" w:eastAsia="宋体" w:cs="宋体"/>
          <w:sz w:val="24"/>
          <w:szCs w:val="24"/>
        </w:rPr>
      </w:pPr>
      <w:r>
        <w:rPr>
          <w:rFonts w:ascii="宋体" w:hAnsi="宋体" w:eastAsia="宋体" w:cs="宋体"/>
          <w:spacing w:val="-2"/>
          <w:sz w:val="24"/>
          <w:szCs w:val="24"/>
        </w:rPr>
        <w:t>价函，则应在招标文件中给出调价函的格式。投标人若有调价函则应遵循如下规定：</w:t>
      </w:r>
    </w:p>
    <w:p>
      <w:pPr>
        <w:keepNext w:val="0"/>
        <w:keepLines w:val="0"/>
        <w:pageBreakBefore w:val="0"/>
        <w:wordWrap/>
        <w:overflowPunct/>
        <w:topLinePunct w:val="0"/>
        <w:autoSpaceDE w:val="0"/>
        <w:autoSpaceDN w:val="0"/>
        <w:bidi w:val="0"/>
        <w:spacing w:before="118" w:line="360" w:lineRule="auto"/>
        <w:ind w:left="65" w:right="38" w:firstLine="339"/>
        <w:rPr>
          <w:rFonts w:ascii="宋体" w:hAnsi="宋体" w:eastAsia="宋体" w:cs="宋体"/>
          <w:sz w:val="24"/>
          <w:szCs w:val="24"/>
        </w:rPr>
      </w:pPr>
      <w:r>
        <w:rPr>
          <w:rFonts w:ascii="宋体" w:hAnsi="宋体" w:eastAsia="宋体" w:cs="宋体"/>
          <w:spacing w:val="-12"/>
          <w:sz w:val="24"/>
          <w:szCs w:val="24"/>
        </w:rPr>
        <w:t>（</w:t>
      </w:r>
      <w:r>
        <w:rPr>
          <w:rFonts w:ascii="Times New Roman" w:hAnsi="Times New Roman" w:eastAsia="Times New Roman" w:cs="Times New Roman"/>
          <w:spacing w:val="-12"/>
          <w:sz w:val="24"/>
          <w:szCs w:val="24"/>
        </w:rPr>
        <w:t>1</w:t>
      </w:r>
      <w:r>
        <w:rPr>
          <w:rFonts w:ascii="宋体" w:hAnsi="宋体" w:eastAsia="宋体" w:cs="宋体"/>
          <w:spacing w:val="-12"/>
          <w:sz w:val="24"/>
          <w:szCs w:val="24"/>
        </w:rPr>
        <w:t>）调价函必须采用招标文件规定的格式；调价函应说明调价后的最终报价，</w:t>
      </w:r>
      <w:r>
        <w:rPr>
          <w:rFonts w:ascii="宋体" w:hAnsi="宋体" w:eastAsia="宋体" w:cs="宋体"/>
          <w:spacing w:val="37"/>
          <w:sz w:val="24"/>
          <w:szCs w:val="24"/>
        </w:rPr>
        <w:t xml:space="preserve"> </w:t>
      </w:r>
      <w:r>
        <w:rPr>
          <w:rFonts w:ascii="宋体" w:hAnsi="宋体" w:eastAsia="宋体" w:cs="宋体"/>
          <w:spacing w:val="-12"/>
          <w:sz w:val="24"/>
          <w:szCs w:val="24"/>
        </w:rPr>
        <w:t>并</w:t>
      </w:r>
      <w:r>
        <w:rPr>
          <w:rFonts w:ascii="宋体" w:hAnsi="宋体" w:eastAsia="宋体" w:cs="宋体"/>
          <w:sz w:val="24"/>
          <w:szCs w:val="24"/>
        </w:rPr>
        <w:t xml:space="preserve"> </w:t>
      </w:r>
      <w:r>
        <w:rPr>
          <w:rFonts w:ascii="宋体" w:hAnsi="宋体" w:eastAsia="宋体" w:cs="宋体"/>
          <w:spacing w:val="-4"/>
          <w:sz w:val="24"/>
          <w:szCs w:val="24"/>
        </w:rPr>
        <w:t>以最终报价为准，而且投标人只能有一次调价的机会；</w:t>
      </w:r>
    </w:p>
    <w:p>
      <w:pPr>
        <w:keepNext w:val="0"/>
        <w:keepLines w:val="0"/>
        <w:pageBreakBefore w:val="0"/>
        <w:wordWrap/>
        <w:overflowPunct/>
        <w:topLinePunct w:val="0"/>
        <w:autoSpaceDE w:val="0"/>
        <w:autoSpaceDN w:val="0"/>
        <w:bidi w:val="0"/>
        <w:spacing w:before="118" w:line="360" w:lineRule="auto"/>
        <w:ind w:left="404"/>
        <w:rPr>
          <w:rFonts w:ascii="宋体" w:hAnsi="宋体" w:eastAsia="宋体" w:cs="宋体"/>
          <w:spacing w:val="-3"/>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）工程量清单中招标人指定的报价不允许调价；</w:t>
      </w:r>
    </w:p>
    <w:p>
      <w:pPr>
        <w:keepNext w:val="0"/>
        <w:keepLines w:val="0"/>
        <w:pageBreakBefore w:val="0"/>
        <w:wordWrap/>
        <w:overflowPunct/>
        <w:topLinePunct w:val="0"/>
        <w:autoSpaceDE w:val="0"/>
        <w:autoSpaceDN w:val="0"/>
        <w:bidi w:val="0"/>
        <w:spacing w:before="118" w:line="360" w:lineRule="auto"/>
        <w:ind w:left="404"/>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3</w:t>
      </w:r>
      <w:r>
        <w:rPr>
          <w:rFonts w:ascii="宋体" w:hAnsi="宋体" w:eastAsia="宋体" w:cs="宋体"/>
          <w:spacing w:val="-6"/>
          <w:sz w:val="24"/>
          <w:szCs w:val="24"/>
        </w:rPr>
        <w:t>）调价函必须附有调价后的工程量清单；调价函必须粘贴或机械</w:t>
      </w:r>
      <w:r>
        <w:rPr>
          <w:rFonts w:ascii="宋体" w:hAnsi="宋体" w:eastAsia="宋体" w:cs="宋体"/>
          <w:spacing w:val="-7"/>
          <w:sz w:val="24"/>
          <w:szCs w:val="24"/>
        </w:rPr>
        <w:t>装订在投标文</w:t>
      </w:r>
    </w:p>
    <w:p>
      <w:pPr>
        <w:keepNext w:val="0"/>
        <w:keepLines w:val="0"/>
        <w:pageBreakBefore w:val="0"/>
        <w:wordWrap/>
        <w:overflowPunct/>
        <w:topLinePunct w:val="0"/>
        <w:autoSpaceDE w:val="0"/>
        <w:autoSpaceDN w:val="0"/>
        <w:bidi w:val="0"/>
        <w:spacing w:line="360" w:lineRule="auto"/>
        <w:rPr>
          <w:rFonts w:ascii="宋体" w:hAnsi="宋体" w:eastAsia="宋体" w:cs="宋体"/>
          <w:spacing w:val="-3"/>
          <w:sz w:val="24"/>
          <w:szCs w:val="24"/>
        </w:rPr>
      </w:pPr>
      <w:r>
        <w:rPr>
          <w:rFonts w:ascii="宋体" w:hAnsi="宋体" w:eastAsia="宋体" w:cs="宋体"/>
          <w:spacing w:val="-3"/>
          <w:sz w:val="24"/>
          <w:szCs w:val="24"/>
        </w:rPr>
        <w:t>件正本首页，与投标文件一起密封提交。</w:t>
      </w:r>
    </w:p>
    <w:p>
      <w:pPr>
        <w:keepNext w:val="0"/>
        <w:keepLines w:val="0"/>
        <w:pageBreakBefore w:val="0"/>
        <w:wordWrap/>
        <w:overflowPunct/>
        <w:topLinePunct w:val="0"/>
        <w:autoSpaceDE w:val="0"/>
        <w:autoSpaceDN w:val="0"/>
        <w:bidi w:val="0"/>
        <w:spacing w:line="360" w:lineRule="auto"/>
        <w:ind w:firstLine="444" w:firstLineChars="200"/>
        <w:rPr>
          <w:rFonts w:ascii="宋体" w:hAnsi="宋体" w:eastAsia="宋体" w:cs="宋体"/>
          <w:sz w:val="24"/>
          <w:szCs w:val="24"/>
        </w:rPr>
      </w:pPr>
      <w:r>
        <w:rPr>
          <w:rFonts w:ascii="宋体" w:hAnsi="宋体" w:eastAsia="宋体" w:cs="宋体"/>
          <w:spacing w:val="-9"/>
          <w:sz w:val="24"/>
          <w:szCs w:val="24"/>
        </w:rPr>
        <w:t>若投标人未提交调价后的工程量清单，或调价函未装在投标</w:t>
      </w:r>
      <w:r>
        <w:rPr>
          <w:rFonts w:ascii="宋体" w:hAnsi="宋体" w:eastAsia="宋体" w:cs="宋体"/>
          <w:spacing w:val="-10"/>
          <w:sz w:val="24"/>
          <w:szCs w:val="24"/>
        </w:rPr>
        <w:t>文件正本首页，调价</w:t>
      </w:r>
      <w:r>
        <w:rPr>
          <w:rFonts w:ascii="宋体" w:hAnsi="宋体" w:eastAsia="宋体" w:cs="宋体"/>
          <w:sz w:val="24"/>
          <w:szCs w:val="24"/>
        </w:rPr>
        <w:t xml:space="preserve"> </w:t>
      </w:r>
      <w:r>
        <w:rPr>
          <w:rFonts w:ascii="宋体" w:hAnsi="宋体" w:eastAsia="宋体" w:cs="宋体"/>
          <w:spacing w:val="-9"/>
          <w:sz w:val="24"/>
          <w:szCs w:val="24"/>
        </w:rPr>
        <w:t>函均视为无效，仍以原报价作为最终报价。若投标人提交的调</w:t>
      </w:r>
      <w:r>
        <w:rPr>
          <w:rFonts w:ascii="宋体" w:hAnsi="宋体" w:eastAsia="宋体" w:cs="宋体"/>
          <w:spacing w:val="-10"/>
          <w:sz w:val="24"/>
          <w:szCs w:val="24"/>
        </w:rPr>
        <w:t>价函多于一个，或对不</w:t>
      </w:r>
    </w:p>
    <w:p>
      <w:pPr>
        <w:keepNext w:val="0"/>
        <w:keepLines w:val="0"/>
        <w:pageBreakBefore w:val="0"/>
        <w:wordWrap/>
        <w:overflowPunct/>
        <w:topLinePunct w:val="0"/>
        <w:autoSpaceDE w:val="0"/>
        <w:autoSpaceDN w:val="0"/>
        <w:bidi w:val="0"/>
        <w:spacing w:line="360" w:lineRule="auto"/>
        <w:ind w:left="46"/>
        <w:rPr>
          <w:rFonts w:ascii="宋体" w:hAnsi="宋体" w:eastAsia="宋体" w:cs="宋体"/>
          <w:sz w:val="24"/>
          <w:szCs w:val="24"/>
        </w:rPr>
      </w:pPr>
      <w:r>
        <w:rPr>
          <w:rFonts w:ascii="宋体" w:hAnsi="宋体" w:eastAsia="宋体" w:cs="宋体"/>
          <w:spacing w:val="-7"/>
          <w:sz w:val="24"/>
          <w:szCs w:val="24"/>
        </w:rPr>
        <w:t>允许调价的内容进行了调价，或调价函有附加条件，其投标将被否决。</w:t>
      </w:r>
    </w:p>
    <w:p>
      <w:pPr>
        <w:keepNext w:val="0"/>
        <w:keepLines w:val="0"/>
        <w:pageBreakBefore w:val="0"/>
        <w:wordWrap/>
        <w:overflowPunct/>
        <w:topLinePunct w:val="0"/>
        <w:autoSpaceDE w:val="0"/>
        <w:autoSpaceDN w:val="0"/>
        <w:bidi w:val="0"/>
        <w:spacing w:before="114" w:line="360" w:lineRule="auto"/>
        <w:ind w:right="1"/>
        <w:jc w:val="right"/>
        <w:rPr>
          <w:rFonts w:ascii="宋体" w:hAnsi="宋体" w:eastAsia="宋体" w:cs="宋体"/>
          <w:sz w:val="24"/>
          <w:szCs w:val="24"/>
        </w:rPr>
      </w:pPr>
      <w:r>
        <w:rPr>
          <w:rFonts w:ascii="宋体" w:hAnsi="宋体" w:eastAsia="宋体" w:cs="宋体"/>
          <w:spacing w:val="-6"/>
          <w:position w:val="11"/>
          <w:sz w:val="24"/>
          <w:szCs w:val="24"/>
        </w:rPr>
        <w:t>（</w:t>
      </w:r>
      <w:r>
        <w:rPr>
          <w:rFonts w:ascii="Times New Roman" w:hAnsi="Times New Roman" w:eastAsia="Times New Roman" w:cs="Times New Roman"/>
          <w:spacing w:val="-6"/>
          <w:position w:val="11"/>
          <w:sz w:val="24"/>
          <w:szCs w:val="24"/>
        </w:rPr>
        <w:t>4</w:t>
      </w:r>
      <w:r>
        <w:rPr>
          <w:rFonts w:ascii="宋体" w:hAnsi="宋体" w:eastAsia="宋体" w:cs="宋体"/>
          <w:spacing w:val="-6"/>
          <w:position w:val="11"/>
          <w:sz w:val="24"/>
          <w:szCs w:val="24"/>
        </w:rPr>
        <w:t>）若招标人接受调价函， 投标人调价后的工程量清单和有效调价</w:t>
      </w:r>
      <w:r>
        <w:rPr>
          <w:rFonts w:ascii="宋体" w:hAnsi="宋体" w:eastAsia="宋体" w:cs="宋体"/>
          <w:spacing w:val="-7"/>
          <w:position w:val="11"/>
          <w:sz w:val="24"/>
          <w:szCs w:val="24"/>
        </w:rPr>
        <w:t>函的大写金额</w:t>
      </w:r>
    </w:p>
    <w:p>
      <w:pPr>
        <w:keepNext w:val="0"/>
        <w:keepLines w:val="0"/>
        <w:pageBreakBefore w:val="0"/>
        <w:wordWrap/>
        <w:overflowPunct/>
        <w:topLinePunct w:val="0"/>
        <w:autoSpaceDE w:val="0"/>
        <w:autoSpaceDN w:val="0"/>
        <w:bidi w:val="0"/>
        <w:spacing w:line="360" w:lineRule="auto"/>
        <w:ind w:left="36"/>
        <w:rPr>
          <w:rFonts w:ascii="宋体" w:hAnsi="宋体" w:eastAsia="宋体" w:cs="宋体"/>
          <w:sz w:val="24"/>
          <w:szCs w:val="24"/>
        </w:rPr>
      </w:pPr>
      <w:r>
        <w:rPr>
          <w:rFonts w:ascii="宋体" w:hAnsi="宋体" w:eastAsia="宋体" w:cs="宋体"/>
          <w:spacing w:val="-1"/>
          <w:sz w:val="24"/>
          <w:szCs w:val="24"/>
        </w:rPr>
        <w:t>报价应保持一致，如果报价金额出现差异，则以有效调价函的大写</w:t>
      </w:r>
      <w:r>
        <w:rPr>
          <w:rFonts w:ascii="宋体" w:hAnsi="宋体" w:eastAsia="宋体" w:cs="宋体"/>
          <w:spacing w:val="-2"/>
          <w:sz w:val="24"/>
          <w:szCs w:val="24"/>
        </w:rPr>
        <w:t>金额报价为准。</w:t>
      </w:r>
    </w:p>
    <w:p>
      <w:pPr>
        <w:keepNext w:val="0"/>
        <w:keepLines w:val="0"/>
        <w:pageBreakBefore w:val="0"/>
        <w:wordWrap/>
        <w:overflowPunct/>
        <w:topLinePunct w:val="0"/>
        <w:autoSpaceDE w:val="0"/>
        <w:autoSpaceDN w:val="0"/>
        <w:bidi w:val="0"/>
        <w:spacing w:before="114" w:line="360" w:lineRule="auto"/>
        <w:ind w:left="42" w:firstLine="476"/>
        <w:rPr>
          <w:rFonts w:ascii="宋体" w:hAnsi="宋体" w:eastAsia="宋体" w:cs="宋体"/>
          <w:sz w:val="24"/>
          <w:szCs w:val="24"/>
        </w:rPr>
      </w:pPr>
      <w:r>
        <w:rPr>
          <w:rFonts w:ascii="Times New Roman" w:hAnsi="Times New Roman" w:eastAsia="Times New Roman" w:cs="Times New Roman"/>
          <w:sz w:val="24"/>
          <w:szCs w:val="24"/>
        </w:rPr>
        <w:t xml:space="preserve">3.2.7  </w:t>
      </w:r>
      <w:r>
        <w:rPr>
          <w:rFonts w:ascii="宋体" w:hAnsi="宋体" w:eastAsia="宋体" w:cs="宋体"/>
          <w:sz w:val="24"/>
          <w:szCs w:val="24"/>
        </w:rPr>
        <w:t>在合同实施期间</w:t>
      </w:r>
      <w:r>
        <w:rPr>
          <w:rFonts w:hint="eastAsia" w:ascii="宋体" w:hAnsi="宋体" w:eastAsia="宋体" w:cs="宋体"/>
          <w:sz w:val="24"/>
          <w:szCs w:val="24"/>
          <w:lang w:eastAsia="zh-CN"/>
        </w:rPr>
        <w:t>，</w:t>
      </w:r>
      <w:r>
        <w:rPr>
          <w:rFonts w:ascii="宋体" w:hAnsi="宋体" w:eastAsia="宋体" w:cs="宋体"/>
          <w:sz w:val="24"/>
          <w:szCs w:val="24"/>
        </w:rPr>
        <w:t>投标人填写的单价、合价和总额价是否由于物价波动进</w:t>
      </w:r>
      <w:r>
        <w:rPr>
          <w:rFonts w:ascii="宋体" w:hAnsi="宋体" w:eastAsia="宋体" w:cs="宋体"/>
          <w:spacing w:val="17"/>
          <w:sz w:val="24"/>
          <w:szCs w:val="24"/>
        </w:rPr>
        <w:t xml:space="preserve"> </w:t>
      </w:r>
      <w:r>
        <w:rPr>
          <w:rFonts w:ascii="宋体" w:hAnsi="宋体" w:eastAsia="宋体" w:cs="宋体"/>
          <w:spacing w:val="-3"/>
          <w:sz w:val="24"/>
          <w:szCs w:val="24"/>
        </w:rPr>
        <w:t xml:space="preserve">行价格调整按照合同条款第 </w:t>
      </w:r>
      <w:r>
        <w:rPr>
          <w:rFonts w:ascii="Times New Roman" w:hAnsi="Times New Roman" w:eastAsia="Times New Roman" w:cs="Times New Roman"/>
          <w:spacing w:val="-3"/>
          <w:sz w:val="24"/>
          <w:szCs w:val="24"/>
        </w:rPr>
        <w:t>16.1</w:t>
      </w:r>
      <w:r>
        <w:rPr>
          <w:rFonts w:ascii="Times New Roman" w:hAnsi="Times New Roman" w:eastAsia="Times New Roman" w:cs="Times New Roman"/>
          <w:spacing w:val="47"/>
          <w:w w:val="101"/>
          <w:sz w:val="24"/>
          <w:szCs w:val="24"/>
        </w:rPr>
        <w:t xml:space="preserve"> </w:t>
      </w:r>
      <w:r>
        <w:rPr>
          <w:rFonts w:ascii="宋体" w:hAnsi="宋体" w:eastAsia="宋体" w:cs="宋体"/>
          <w:spacing w:val="-3"/>
          <w:sz w:val="24"/>
          <w:szCs w:val="24"/>
        </w:rPr>
        <w:t xml:space="preserve">款的规定处理。如果按照合同条款第 </w:t>
      </w:r>
      <w:r>
        <w:rPr>
          <w:rFonts w:ascii="Times New Roman" w:hAnsi="Times New Roman" w:eastAsia="Times New Roman" w:cs="Times New Roman"/>
          <w:spacing w:val="-3"/>
          <w:sz w:val="24"/>
          <w:szCs w:val="24"/>
        </w:rPr>
        <w:t>16.1.1</w:t>
      </w:r>
      <w:r>
        <w:rPr>
          <w:rFonts w:ascii="Times New Roman" w:hAnsi="Times New Roman" w:eastAsia="Times New Roman" w:cs="Times New Roman"/>
          <w:spacing w:val="35"/>
          <w:sz w:val="24"/>
          <w:szCs w:val="24"/>
        </w:rPr>
        <w:t xml:space="preserve"> </w:t>
      </w:r>
      <w:r>
        <w:rPr>
          <w:rFonts w:ascii="宋体" w:hAnsi="宋体" w:eastAsia="宋体" w:cs="宋体"/>
          <w:spacing w:val="-3"/>
          <w:sz w:val="24"/>
          <w:szCs w:val="24"/>
        </w:rPr>
        <w:t>项的规</w:t>
      </w:r>
      <w:r>
        <w:rPr>
          <w:rFonts w:ascii="宋体" w:hAnsi="宋体" w:eastAsia="宋体" w:cs="宋体"/>
          <w:sz w:val="24"/>
          <w:szCs w:val="24"/>
        </w:rPr>
        <w:t xml:space="preserve"> </w:t>
      </w:r>
      <w:r>
        <w:rPr>
          <w:rFonts w:ascii="宋体" w:hAnsi="宋体" w:eastAsia="宋体" w:cs="宋体"/>
          <w:spacing w:val="-6"/>
          <w:sz w:val="24"/>
          <w:szCs w:val="24"/>
        </w:rPr>
        <w:t>定采用价格调整公式进行价格调整，由招标人根据项目实际情况测算确定价格调整公</w:t>
      </w:r>
      <w:r>
        <w:rPr>
          <w:rFonts w:ascii="宋体" w:hAnsi="宋体" w:eastAsia="宋体" w:cs="宋体"/>
          <w:spacing w:val="4"/>
          <w:sz w:val="24"/>
          <w:szCs w:val="24"/>
        </w:rPr>
        <w:t xml:space="preserve"> </w:t>
      </w:r>
      <w:r>
        <w:rPr>
          <w:rFonts w:ascii="宋体" w:hAnsi="宋体" w:eastAsia="宋体" w:cs="宋体"/>
          <w:spacing w:val="-8"/>
          <w:sz w:val="24"/>
          <w:szCs w:val="24"/>
        </w:rPr>
        <w:t>式中的变值权重范围，并在投标函附录价格指数和权重表中约定范围；</w:t>
      </w:r>
      <w:r>
        <w:rPr>
          <w:rFonts w:ascii="宋体" w:hAnsi="宋体" w:eastAsia="宋体" w:cs="宋体"/>
          <w:spacing w:val="-9"/>
          <w:sz w:val="24"/>
          <w:szCs w:val="24"/>
        </w:rPr>
        <w:t>投标人在此范</w:t>
      </w:r>
      <w:r>
        <w:rPr>
          <w:rFonts w:ascii="宋体" w:hAnsi="宋体" w:eastAsia="宋体" w:cs="宋体"/>
          <w:sz w:val="24"/>
          <w:szCs w:val="24"/>
        </w:rPr>
        <w:t xml:space="preserve"> </w:t>
      </w:r>
      <w:r>
        <w:rPr>
          <w:rFonts w:ascii="宋体" w:hAnsi="宋体" w:eastAsia="宋体" w:cs="宋体"/>
          <w:spacing w:val="-2"/>
          <w:sz w:val="24"/>
          <w:szCs w:val="24"/>
        </w:rPr>
        <w:t>围内填写各可调因子的权重，合同实施期间将按此权重进行调价。</w:t>
      </w:r>
    </w:p>
    <w:p>
      <w:pPr>
        <w:keepNext w:val="0"/>
        <w:keepLines w:val="0"/>
        <w:pageBreakBefore w:val="0"/>
        <w:wordWrap/>
        <w:overflowPunct/>
        <w:topLinePunct w:val="0"/>
        <w:autoSpaceDE w:val="0"/>
        <w:autoSpaceDN w:val="0"/>
        <w:bidi w:val="0"/>
        <w:spacing w:before="118" w:line="360" w:lineRule="auto"/>
        <w:ind w:right="49"/>
        <w:jc w:val="right"/>
        <w:rPr>
          <w:rFonts w:ascii="宋体" w:hAnsi="宋体" w:eastAsia="宋体" w:cs="宋体"/>
          <w:sz w:val="24"/>
          <w:szCs w:val="24"/>
        </w:rPr>
      </w:pPr>
      <w:r>
        <w:rPr>
          <w:rFonts w:ascii="Times New Roman" w:hAnsi="Times New Roman" w:eastAsia="Times New Roman" w:cs="Times New Roman"/>
          <w:spacing w:val="-4"/>
          <w:position w:val="11"/>
          <w:sz w:val="24"/>
          <w:szCs w:val="24"/>
        </w:rPr>
        <w:t xml:space="preserve">3.2.8  </w:t>
      </w:r>
      <w:r>
        <w:rPr>
          <w:rFonts w:ascii="宋体" w:hAnsi="宋体" w:eastAsia="宋体" w:cs="宋体"/>
          <w:spacing w:val="-4"/>
          <w:position w:val="11"/>
          <w:sz w:val="24"/>
          <w:szCs w:val="24"/>
        </w:rPr>
        <w:t>招标人设有最高投标限价的，投标人的投标报价不得超过最高投标限价，</w:t>
      </w:r>
    </w:p>
    <w:p>
      <w:pPr>
        <w:keepNext w:val="0"/>
        <w:keepLines w:val="0"/>
        <w:pageBreakBefore w:val="0"/>
        <w:wordWrap/>
        <w:overflowPunct/>
        <w:topLinePunct w:val="0"/>
        <w:autoSpaceDE w:val="0"/>
        <w:autoSpaceDN w:val="0"/>
        <w:bidi w:val="0"/>
        <w:spacing w:line="360" w:lineRule="auto"/>
        <w:ind w:left="41"/>
        <w:rPr>
          <w:rFonts w:ascii="宋体" w:hAnsi="宋体" w:eastAsia="宋体" w:cs="宋体"/>
          <w:sz w:val="24"/>
          <w:szCs w:val="24"/>
        </w:rPr>
      </w:pPr>
      <w:r>
        <w:rPr>
          <w:rFonts w:ascii="宋体" w:hAnsi="宋体" w:eastAsia="宋体" w:cs="宋体"/>
          <w:spacing w:val="-3"/>
          <w:sz w:val="24"/>
          <w:szCs w:val="24"/>
        </w:rPr>
        <w:t>最高投标限价在投标人须知前附表中载明。</w:t>
      </w:r>
    </w:p>
    <w:p>
      <w:pPr>
        <w:keepNext w:val="0"/>
        <w:keepLines w:val="0"/>
        <w:pageBreakBefore w:val="0"/>
        <w:wordWrap/>
        <w:overflowPunct/>
        <w:topLinePunct w:val="0"/>
        <w:autoSpaceDE w:val="0"/>
        <w:autoSpaceDN w:val="0"/>
        <w:bidi w:val="0"/>
        <w:spacing w:before="115" w:line="360" w:lineRule="auto"/>
        <w:ind w:left="518"/>
        <w:rPr>
          <w:rFonts w:ascii="宋体" w:hAnsi="宋体" w:eastAsia="宋体" w:cs="宋体"/>
          <w:sz w:val="24"/>
          <w:szCs w:val="24"/>
        </w:rPr>
      </w:pPr>
      <w:r>
        <w:rPr>
          <w:rFonts w:ascii="Times New Roman" w:hAnsi="Times New Roman" w:eastAsia="Times New Roman" w:cs="Times New Roman"/>
          <w:spacing w:val="-2"/>
          <w:sz w:val="24"/>
          <w:szCs w:val="24"/>
        </w:rPr>
        <w:t xml:space="preserve">3.2.9  </w:t>
      </w:r>
      <w:r>
        <w:rPr>
          <w:rFonts w:ascii="宋体" w:hAnsi="宋体" w:eastAsia="宋体" w:cs="宋体"/>
          <w:spacing w:val="-2"/>
          <w:sz w:val="24"/>
          <w:szCs w:val="24"/>
        </w:rPr>
        <w:t>投标报价的其他要求见投标人须知前附表。</w:t>
      </w:r>
    </w:p>
    <w:p>
      <w:pPr>
        <w:keepNext w:val="0"/>
        <w:keepLines w:val="0"/>
        <w:pageBreakBefore w:val="0"/>
        <w:wordWrap/>
        <w:overflowPunct/>
        <w:topLinePunct w:val="0"/>
        <w:autoSpaceDE w:val="0"/>
        <w:autoSpaceDN w:val="0"/>
        <w:bidi w:val="0"/>
        <w:spacing w:before="269" w:line="360" w:lineRule="auto"/>
        <w:ind w:left="38"/>
        <w:rPr>
          <w:rFonts w:ascii="黑体" w:hAnsi="黑体" w:eastAsia="黑体" w:cs="黑体"/>
          <w:sz w:val="24"/>
          <w:szCs w:val="24"/>
        </w:rPr>
      </w:pPr>
      <w:r>
        <w:rPr>
          <w:rFonts w:ascii="黑体" w:hAnsi="黑体" w:eastAsia="黑体" w:cs="黑体"/>
          <w:spacing w:val="-2"/>
          <w:sz w:val="24"/>
          <w:szCs w:val="24"/>
        </w:rPr>
        <w:t>3.3</w:t>
      </w:r>
      <w:r>
        <w:rPr>
          <w:rFonts w:ascii="黑体" w:hAnsi="黑体" w:eastAsia="黑体" w:cs="黑体"/>
          <w:spacing w:val="-53"/>
          <w:sz w:val="24"/>
          <w:szCs w:val="24"/>
        </w:rPr>
        <w:t xml:space="preserve"> </w:t>
      </w:r>
      <w:r>
        <w:rPr>
          <w:rFonts w:ascii="黑体" w:hAnsi="黑体" w:eastAsia="黑体" w:cs="黑体"/>
          <w:spacing w:val="-2"/>
          <w:sz w:val="24"/>
          <w:szCs w:val="24"/>
        </w:rPr>
        <w:t>投标有效期</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9" w:line="360" w:lineRule="auto"/>
        <w:ind w:left="518"/>
        <w:rPr>
          <w:rFonts w:ascii="宋体" w:hAnsi="宋体" w:eastAsia="宋体" w:cs="宋体"/>
          <w:sz w:val="24"/>
          <w:szCs w:val="24"/>
        </w:rPr>
      </w:pPr>
      <w:r>
        <w:rPr>
          <w:rFonts w:ascii="Times New Roman" w:hAnsi="Times New Roman" w:eastAsia="Times New Roman" w:cs="Times New Roman"/>
          <w:spacing w:val="-2"/>
          <w:sz w:val="24"/>
          <w:szCs w:val="24"/>
        </w:rPr>
        <w:t xml:space="preserve">3.3.1  </w:t>
      </w:r>
      <w:r>
        <w:rPr>
          <w:rFonts w:ascii="宋体" w:hAnsi="宋体" w:eastAsia="宋体" w:cs="宋体"/>
          <w:spacing w:val="-2"/>
          <w:sz w:val="24"/>
          <w:szCs w:val="24"/>
        </w:rPr>
        <w:t>除投标人须知前附表另有规定外</w:t>
      </w:r>
      <w:r>
        <w:rPr>
          <w:rFonts w:ascii="宋体" w:hAnsi="宋体" w:eastAsia="宋体" w:cs="宋体"/>
          <w:spacing w:val="-3"/>
          <w:sz w:val="24"/>
          <w:szCs w:val="24"/>
        </w:rPr>
        <w:t>，投标有效期为</w:t>
      </w:r>
      <w:r>
        <w:rPr>
          <w:rFonts w:ascii="宋体" w:hAnsi="宋体" w:eastAsia="宋体" w:cs="宋体"/>
          <w:spacing w:val="-49"/>
          <w:sz w:val="24"/>
          <w:szCs w:val="24"/>
        </w:rPr>
        <w:t xml:space="preserve"> </w:t>
      </w:r>
      <w:r>
        <w:rPr>
          <w:rFonts w:ascii="Times New Roman" w:hAnsi="Times New Roman" w:eastAsia="Times New Roman" w:cs="Times New Roman"/>
          <w:spacing w:val="-3"/>
          <w:sz w:val="24"/>
          <w:szCs w:val="24"/>
        </w:rPr>
        <w:t xml:space="preserve">90  </w:t>
      </w:r>
      <w:r>
        <w:rPr>
          <w:rFonts w:ascii="宋体" w:hAnsi="宋体" w:eastAsia="宋体" w:cs="宋体"/>
          <w:spacing w:val="-3"/>
          <w:sz w:val="24"/>
          <w:szCs w:val="24"/>
        </w:rPr>
        <w:t>日。</w:t>
      </w:r>
    </w:p>
    <w:p>
      <w:pPr>
        <w:keepNext w:val="0"/>
        <w:keepLines w:val="0"/>
        <w:pageBreakBefore w:val="0"/>
        <w:wordWrap/>
        <w:overflowPunct/>
        <w:topLinePunct w:val="0"/>
        <w:autoSpaceDE w:val="0"/>
        <w:autoSpaceDN w:val="0"/>
        <w:bidi w:val="0"/>
        <w:spacing w:before="113" w:line="360" w:lineRule="auto"/>
        <w:ind w:right="6" w:firstLine="480" w:firstLineChars="200"/>
        <w:jc w:val="both"/>
        <w:rPr>
          <w:rFonts w:ascii="宋体" w:hAnsi="宋体" w:eastAsia="宋体" w:cs="宋体"/>
          <w:sz w:val="24"/>
          <w:szCs w:val="24"/>
        </w:rPr>
      </w:pPr>
      <w:r>
        <w:rPr>
          <w:rFonts w:ascii="Times New Roman" w:hAnsi="Times New Roman" w:eastAsia="Times New Roman" w:cs="Times New Roman"/>
          <w:sz w:val="24"/>
          <w:szCs w:val="24"/>
        </w:rPr>
        <w:t xml:space="preserve">3.3.2  </w:t>
      </w:r>
      <w:r>
        <w:rPr>
          <w:rFonts w:ascii="宋体" w:hAnsi="宋体" w:eastAsia="宋体" w:cs="宋体"/>
          <w:sz w:val="24"/>
          <w:szCs w:val="24"/>
        </w:rPr>
        <w:t>在投标有效期内，投标人撤销投标文件的，应承担招标文件和法律规定的</w:t>
      </w:r>
      <w:r>
        <w:rPr>
          <w:rFonts w:ascii="宋体" w:hAnsi="宋体" w:eastAsia="宋体" w:cs="宋体"/>
          <w:spacing w:val="-12"/>
          <w:sz w:val="24"/>
          <w:szCs w:val="24"/>
        </w:rPr>
        <w:t>责任。</w:t>
      </w:r>
    </w:p>
    <w:p>
      <w:pPr>
        <w:keepNext w:val="0"/>
        <w:keepLines w:val="0"/>
        <w:pageBreakBefore w:val="0"/>
        <w:wordWrap/>
        <w:overflowPunct/>
        <w:topLinePunct w:val="0"/>
        <w:autoSpaceDE w:val="0"/>
        <w:autoSpaceDN w:val="0"/>
        <w:bidi w:val="0"/>
        <w:spacing w:before="115" w:line="360" w:lineRule="auto"/>
        <w:ind w:left="39" w:right="3" w:firstLine="479"/>
        <w:jc w:val="both"/>
        <w:rPr>
          <w:rFonts w:ascii="宋体" w:hAnsi="宋体" w:eastAsia="宋体" w:cs="宋体"/>
          <w:sz w:val="24"/>
          <w:szCs w:val="24"/>
        </w:rPr>
      </w:pPr>
      <w:r>
        <w:rPr>
          <w:rFonts w:ascii="Times New Roman" w:hAnsi="Times New Roman" w:eastAsia="Times New Roman" w:cs="Times New Roman"/>
          <w:sz w:val="24"/>
          <w:szCs w:val="24"/>
        </w:rPr>
        <w:t xml:space="preserve">3.3.3  </w:t>
      </w:r>
      <w:r>
        <w:rPr>
          <w:rFonts w:ascii="宋体" w:hAnsi="宋体" w:eastAsia="宋体" w:cs="宋体"/>
          <w:sz w:val="24"/>
          <w:szCs w:val="24"/>
        </w:rPr>
        <w:t>出现特殊情况需要延长投标有效期的，招标人以书面形式通知所有投标人</w:t>
      </w:r>
      <w:r>
        <w:rPr>
          <w:rFonts w:ascii="宋体" w:hAnsi="宋体" w:eastAsia="宋体" w:cs="宋体"/>
          <w:spacing w:val="12"/>
          <w:sz w:val="24"/>
          <w:szCs w:val="24"/>
        </w:rPr>
        <w:t xml:space="preserve"> </w:t>
      </w:r>
      <w:r>
        <w:rPr>
          <w:rFonts w:ascii="宋体" w:hAnsi="宋体" w:eastAsia="宋体" w:cs="宋体"/>
          <w:spacing w:val="-12"/>
          <w:sz w:val="24"/>
          <w:szCs w:val="24"/>
        </w:rPr>
        <w:t>延长投标有效期。投标人应予以书面答复，同意延长的，应相应延长其投标保证金的</w:t>
      </w:r>
      <w:r>
        <w:rPr>
          <w:rFonts w:ascii="宋体" w:hAnsi="宋体" w:eastAsia="宋体" w:cs="宋体"/>
          <w:sz w:val="24"/>
          <w:szCs w:val="24"/>
        </w:rPr>
        <w:t xml:space="preserve"> </w:t>
      </w:r>
      <w:r>
        <w:rPr>
          <w:rFonts w:ascii="宋体" w:hAnsi="宋体" w:eastAsia="宋体" w:cs="宋体"/>
          <w:spacing w:val="-20"/>
          <w:sz w:val="24"/>
          <w:szCs w:val="24"/>
        </w:rPr>
        <w:t>有效期，</w:t>
      </w:r>
      <w:r>
        <w:rPr>
          <w:rFonts w:ascii="宋体" w:hAnsi="宋体" w:eastAsia="宋体" w:cs="宋体"/>
          <w:spacing w:val="-19"/>
          <w:sz w:val="24"/>
          <w:szCs w:val="24"/>
        </w:rPr>
        <w:t xml:space="preserve"> 但不得要求或被允许修改其投标文件；投标人拒绝延长的，其投标失效，</w:t>
      </w:r>
      <w:r>
        <w:rPr>
          <w:rFonts w:ascii="宋体" w:hAnsi="宋体" w:eastAsia="宋体" w:cs="宋体"/>
          <w:spacing w:val="-15"/>
          <w:sz w:val="24"/>
          <w:szCs w:val="24"/>
        </w:rPr>
        <w:t>但</w:t>
      </w:r>
      <w:r>
        <w:rPr>
          <w:rFonts w:ascii="宋体" w:hAnsi="宋体" w:eastAsia="宋体" w:cs="宋体"/>
          <w:spacing w:val="4"/>
          <w:sz w:val="24"/>
          <w:szCs w:val="24"/>
        </w:rPr>
        <w:t>投标人有权收回其投标保证金及以现金或支票形式递交的</w:t>
      </w:r>
      <w:r>
        <w:rPr>
          <w:rFonts w:ascii="宋体" w:hAnsi="宋体" w:eastAsia="宋体" w:cs="宋体"/>
          <w:spacing w:val="3"/>
          <w:sz w:val="24"/>
          <w:szCs w:val="24"/>
        </w:rPr>
        <w:t>投标保证金的银行同期活</w:t>
      </w:r>
      <w:r>
        <w:rPr>
          <w:rFonts w:ascii="宋体" w:hAnsi="宋体" w:eastAsia="宋体" w:cs="宋体"/>
          <w:spacing w:val="-7"/>
          <w:sz w:val="24"/>
          <w:szCs w:val="24"/>
        </w:rPr>
        <w:t>期存款利息。</w:t>
      </w:r>
    </w:p>
    <w:p>
      <w:pPr>
        <w:keepNext w:val="0"/>
        <w:keepLines w:val="0"/>
        <w:pageBreakBefore w:val="0"/>
        <w:wordWrap/>
        <w:overflowPunct/>
        <w:topLinePunct w:val="0"/>
        <w:autoSpaceDE w:val="0"/>
        <w:autoSpaceDN w:val="0"/>
        <w:bidi w:val="0"/>
        <w:spacing w:before="266" w:line="360" w:lineRule="auto"/>
        <w:ind w:left="38"/>
        <w:rPr>
          <w:rFonts w:ascii="黑体" w:hAnsi="黑体" w:eastAsia="黑体" w:cs="黑体"/>
          <w:sz w:val="24"/>
          <w:szCs w:val="24"/>
        </w:rPr>
      </w:pPr>
      <w:r>
        <w:rPr>
          <w:rFonts w:ascii="黑体" w:hAnsi="黑体" w:eastAsia="黑体" w:cs="黑体"/>
          <w:spacing w:val="-2"/>
          <w:sz w:val="24"/>
          <w:szCs w:val="24"/>
        </w:rPr>
        <w:t>3.4</w:t>
      </w:r>
      <w:r>
        <w:rPr>
          <w:rFonts w:ascii="黑体" w:hAnsi="黑体" w:eastAsia="黑体" w:cs="黑体"/>
          <w:spacing w:val="67"/>
          <w:sz w:val="24"/>
          <w:szCs w:val="24"/>
        </w:rPr>
        <w:t xml:space="preserve"> </w:t>
      </w:r>
      <w:r>
        <w:rPr>
          <w:rFonts w:ascii="黑体" w:hAnsi="黑体" w:eastAsia="黑体" w:cs="黑体"/>
          <w:spacing w:val="-2"/>
          <w:sz w:val="24"/>
          <w:szCs w:val="24"/>
        </w:rPr>
        <w:t>投标保证金</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9" w:line="360" w:lineRule="auto"/>
        <w:ind w:left="41" w:firstLine="477"/>
        <w:jc w:val="both"/>
        <w:rPr>
          <w:rFonts w:ascii="Arial"/>
          <w:sz w:val="21"/>
        </w:rPr>
      </w:pPr>
      <w:r>
        <w:rPr>
          <w:rFonts w:ascii="Times New Roman" w:hAnsi="Times New Roman" w:eastAsia="Times New Roman" w:cs="Times New Roman"/>
          <w:spacing w:val="-5"/>
          <w:sz w:val="24"/>
          <w:szCs w:val="24"/>
        </w:rPr>
        <w:t xml:space="preserve">3.4.1  </w:t>
      </w:r>
      <w:r>
        <w:rPr>
          <w:rFonts w:ascii="宋体" w:hAnsi="宋体" w:eastAsia="宋体" w:cs="宋体"/>
          <w:spacing w:val="-5"/>
          <w:sz w:val="24"/>
          <w:szCs w:val="24"/>
        </w:rPr>
        <w:t>投标人在递交投标文件的同时，应按投标人须知前附表规定的金额</w:t>
      </w:r>
      <w:r>
        <w:rPr>
          <w:rFonts w:ascii="宋体" w:hAnsi="宋体" w:eastAsia="宋体" w:cs="宋体"/>
          <w:spacing w:val="-5"/>
          <w:position w:val="10"/>
          <w:sz w:val="12"/>
          <w:szCs w:val="12"/>
        </w:rPr>
        <w:t>①</w:t>
      </w:r>
      <w:r>
        <w:rPr>
          <w:rFonts w:ascii="宋体" w:hAnsi="宋体" w:eastAsia="宋体" w:cs="宋体"/>
          <w:spacing w:val="-5"/>
          <w:sz w:val="24"/>
          <w:szCs w:val="24"/>
        </w:rPr>
        <w:t>和第九</w:t>
      </w:r>
      <w:r>
        <w:rPr>
          <w:rFonts w:ascii="宋体" w:hAnsi="宋体" w:eastAsia="宋体" w:cs="宋体"/>
          <w:sz w:val="24"/>
          <w:szCs w:val="24"/>
        </w:rPr>
        <w:t xml:space="preserve"> </w:t>
      </w:r>
      <w:r>
        <w:rPr>
          <w:rFonts w:ascii="宋体" w:hAnsi="宋体" w:eastAsia="宋体" w:cs="宋体"/>
          <w:spacing w:val="-5"/>
          <w:sz w:val="24"/>
          <w:szCs w:val="24"/>
        </w:rPr>
        <w:t>章</w:t>
      </w:r>
      <w:r>
        <w:rPr>
          <w:rFonts w:ascii="Times New Roman" w:hAnsi="Times New Roman" w:eastAsia="Times New Roman" w:cs="Times New Roman"/>
          <w:spacing w:val="-5"/>
          <w:sz w:val="24"/>
          <w:szCs w:val="24"/>
        </w:rPr>
        <w:t>“</w:t>
      </w:r>
      <w:r>
        <w:rPr>
          <w:rFonts w:ascii="宋体" w:hAnsi="宋体" w:eastAsia="宋体" w:cs="宋体"/>
          <w:spacing w:val="-5"/>
          <w:sz w:val="24"/>
          <w:szCs w:val="24"/>
        </w:rPr>
        <w:t>投标文件格式</w:t>
      </w:r>
      <w:r>
        <w:rPr>
          <w:rFonts w:ascii="Times New Roman" w:hAnsi="Times New Roman" w:eastAsia="Times New Roman" w:cs="Times New Roman"/>
          <w:spacing w:val="-5"/>
          <w:sz w:val="24"/>
          <w:szCs w:val="24"/>
        </w:rPr>
        <w:t>”</w:t>
      </w:r>
      <w:r>
        <w:rPr>
          <w:rFonts w:ascii="宋体" w:hAnsi="宋体" w:eastAsia="宋体" w:cs="宋体"/>
          <w:spacing w:val="-5"/>
          <w:sz w:val="24"/>
          <w:szCs w:val="24"/>
        </w:rPr>
        <w:t>规定的投标保证金格式递交投标保证金，并作为其投标文件</w:t>
      </w:r>
      <w:r>
        <w:rPr>
          <w:rFonts w:ascii="宋体" w:hAnsi="宋体" w:eastAsia="宋体" w:cs="宋体"/>
          <w:spacing w:val="-6"/>
          <w:sz w:val="24"/>
          <w:szCs w:val="24"/>
        </w:rPr>
        <w:t>的组成</w:t>
      </w:r>
      <w:r>
        <w:rPr>
          <w:rFonts w:ascii="宋体" w:hAnsi="宋体" w:eastAsia="宋体" w:cs="宋体"/>
          <w:sz w:val="24"/>
          <w:szCs w:val="24"/>
        </w:rPr>
        <w:t xml:space="preserve"> </w:t>
      </w:r>
      <w:r>
        <w:rPr>
          <w:rFonts w:ascii="宋体" w:hAnsi="宋体" w:eastAsia="宋体" w:cs="宋体"/>
          <w:spacing w:val="-11"/>
          <w:sz w:val="24"/>
          <w:szCs w:val="24"/>
        </w:rPr>
        <w:t>部分。联合体投标的，其投标保证金由牵头人递交，并应符合投</w:t>
      </w:r>
      <w:r>
        <w:rPr>
          <w:rFonts w:ascii="宋体" w:hAnsi="宋体" w:eastAsia="宋体" w:cs="宋体"/>
          <w:spacing w:val="-12"/>
          <w:sz w:val="24"/>
          <w:szCs w:val="24"/>
        </w:rPr>
        <w:t>标人须知前附表的规</w:t>
      </w:r>
      <w:r>
        <w:rPr>
          <w:rFonts w:ascii="宋体" w:hAnsi="宋体" w:eastAsia="宋体" w:cs="宋体"/>
          <w:spacing w:val="-13"/>
          <w:sz w:val="24"/>
          <w:szCs w:val="24"/>
        </w:rPr>
        <w:t>定。</w:t>
      </w:r>
      <w:r>
        <w:rPr>
          <w:rFonts w:ascii="宋体" w:hAnsi="宋体" w:eastAsia="宋体" w:cs="宋体"/>
          <w:spacing w:val="-11"/>
          <w:sz w:val="24"/>
          <w:szCs w:val="24"/>
        </w:rPr>
        <w:t>投标保证金应采用现金、支票、银行保函或招标人在投标人须知前附表规定的其他形式。</w:t>
      </w:r>
    </w:p>
    <w:p>
      <w:pPr>
        <w:keepNext w:val="0"/>
        <w:keepLines w:val="0"/>
        <w:pageBreakBefore w:val="0"/>
        <w:wordWrap/>
        <w:overflowPunct/>
        <w:topLinePunct w:val="0"/>
        <w:autoSpaceDE w:val="0"/>
        <w:autoSpaceDN w:val="0"/>
        <w:bidi w:val="0"/>
        <w:spacing w:before="78" w:line="360" w:lineRule="auto"/>
        <w:ind w:left="67" w:right="75" w:firstLine="337"/>
        <w:rPr>
          <w:rFonts w:ascii="宋体" w:hAnsi="宋体" w:eastAsia="宋体" w:cs="宋体"/>
          <w:sz w:val="24"/>
          <w:szCs w:val="24"/>
        </w:rPr>
      </w:pPr>
      <w:r>
        <w:rPr>
          <w:rFonts w:ascii="宋体" w:hAnsi="宋体" w:eastAsia="宋体" w:cs="宋体"/>
          <w:spacing w:val="-12"/>
          <w:sz w:val="24"/>
          <w:szCs w:val="24"/>
        </w:rPr>
        <w:t>（</w:t>
      </w:r>
      <w:r>
        <w:rPr>
          <w:rFonts w:ascii="Times New Roman" w:hAnsi="Times New Roman" w:eastAsia="Times New Roman" w:cs="Times New Roman"/>
          <w:spacing w:val="-12"/>
          <w:sz w:val="24"/>
          <w:szCs w:val="24"/>
        </w:rPr>
        <w:t>1</w:t>
      </w:r>
      <w:r>
        <w:rPr>
          <w:rFonts w:ascii="宋体" w:hAnsi="宋体" w:eastAsia="宋体" w:cs="宋体"/>
          <w:spacing w:val="-12"/>
          <w:sz w:val="24"/>
          <w:szCs w:val="24"/>
        </w:rPr>
        <w:t>）若采用现金或支票，投标人应在递交投标文件截止时间之前，将投标保证金</w:t>
      </w:r>
      <w:r>
        <w:rPr>
          <w:rFonts w:ascii="宋体" w:hAnsi="宋体" w:eastAsia="宋体" w:cs="宋体"/>
          <w:sz w:val="24"/>
          <w:szCs w:val="24"/>
        </w:rPr>
        <w:t xml:space="preserve"> </w:t>
      </w:r>
      <w:r>
        <w:rPr>
          <w:rFonts w:ascii="宋体" w:hAnsi="宋体" w:eastAsia="宋体" w:cs="宋体"/>
          <w:spacing w:val="-7"/>
          <w:sz w:val="24"/>
          <w:szCs w:val="24"/>
        </w:rPr>
        <w:t>由投标人的基本账户转入招标人指定账户，否则视为投标保证金无效。招标人指定的</w:t>
      </w:r>
    </w:p>
    <w:p>
      <w:pPr>
        <w:keepNext w:val="0"/>
        <w:keepLines w:val="0"/>
        <w:pageBreakBefore w:val="0"/>
        <w:wordWrap/>
        <w:overflowPunct/>
        <w:topLinePunct w:val="0"/>
        <w:autoSpaceDE w:val="0"/>
        <w:autoSpaceDN w:val="0"/>
        <w:bidi w:val="0"/>
        <w:spacing w:before="1" w:line="360" w:lineRule="auto"/>
        <w:ind w:left="39"/>
        <w:rPr>
          <w:rFonts w:ascii="宋体" w:hAnsi="宋体" w:eastAsia="宋体" w:cs="宋体"/>
          <w:sz w:val="24"/>
          <w:szCs w:val="24"/>
        </w:rPr>
      </w:pPr>
      <w:r>
        <w:rPr>
          <w:rFonts w:ascii="宋体" w:hAnsi="宋体" w:eastAsia="宋体" w:cs="宋体"/>
          <w:spacing w:val="-3"/>
          <w:sz w:val="24"/>
          <w:szCs w:val="24"/>
        </w:rPr>
        <w:t>开户银行及账号见投标人须知前附表。</w:t>
      </w:r>
    </w:p>
    <w:p>
      <w:pPr>
        <w:keepNext w:val="0"/>
        <w:keepLines w:val="0"/>
        <w:pageBreakBefore w:val="0"/>
        <w:wordWrap/>
        <w:overflowPunct/>
        <w:topLinePunct w:val="0"/>
        <w:autoSpaceDE w:val="0"/>
        <w:autoSpaceDN w:val="0"/>
        <w:bidi w:val="0"/>
        <w:spacing w:before="117" w:line="360" w:lineRule="auto"/>
        <w:ind w:left="40" w:right="75" w:firstLine="364"/>
        <w:rPr>
          <w:rFonts w:ascii="宋体" w:hAnsi="宋体" w:eastAsia="宋体" w:cs="宋体"/>
          <w:sz w:val="24"/>
          <w:szCs w:val="24"/>
        </w:rPr>
      </w:pPr>
      <w:r>
        <w:rPr>
          <w:rFonts w:ascii="宋体" w:hAnsi="宋体" w:eastAsia="宋体" w:cs="宋体"/>
          <w:spacing w:val="-12"/>
          <w:sz w:val="24"/>
          <w:szCs w:val="24"/>
        </w:rPr>
        <w:t>（</w:t>
      </w:r>
      <w:r>
        <w:rPr>
          <w:rFonts w:ascii="Times New Roman" w:hAnsi="Times New Roman" w:eastAsia="Times New Roman" w:cs="Times New Roman"/>
          <w:spacing w:val="-12"/>
          <w:sz w:val="24"/>
          <w:szCs w:val="24"/>
        </w:rPr>
        <w:t>2</w:t>
      </w:r>
      <w:r>
        <w:rPr>
          <w:rFonts w:ascii="宋体" w:hAnsi="宋体" w:eastAsia="宋体" w:cs="宋体"/>
          <w:spacing w:val="-12"/>
          <w:sz w:val="24"/>
          <w:szCs w:val="24"/>
        </w:rPr>
        <w:t>）若采用银行保函，则应由符合投标人须知前附表规定级别的银行开具，并采</w:t>
      </w:r>
      <w:r>
        <w:rPr>
          <w:rFonts w:ascii="宋体" w:hAnsi="宋体" w:eastAsia="宋体" w:cs="宋体"/>
          <w:sz w:val="24"/>
          <w:szCs w:val="24"/>
        </w:rPr>
        <w:t xml:space="preserve"> </w:t>
      </w:r>
      <w:r>
        <w:rPr>
          <w:rFonts w:ascii="宋体" w:hAnsi="宋体" w:eastAsia="宋体" w:cs="宋体"/>
          <w:spacing w:val="-6"/>
          <w:sz w:val="24"/>
          <w:szCs w:val="24"/>
        </w:rPr>
        <w:t>用招标文件提供的格式。银行保函复印件装订在投标文件内，原件应在递交投标文件</w:t>
      </w:r>
    </w:p>
    <w:p>
      <w:pPr>
        <w:keepNext w:val="0"/>
        <w:keepLines w:val="0"/>
        <w:pageBreakBefore w:val="0"/>
        <w:wordWrap/>
        <w:overflowPunct/>
        <w:topLinePunct w:val="0"/>
        <w:autoSpaceDE w:val="0"/>
        <w:autoSpaceDN w:val="0"/>
        <w:bidi w:val="0"/>
        <w:spacing w:line="360" w:lineRule="auto"/>
        <w:ind w:left="37"/>
        <w:rPr>
          <w:rFonts w:ascii="宋体" w:hAnsi="宋体" w:eastAsia="宋体" w:cs="宋体"/>
          <w:sz w:val="24"/>
          <w:szCs w:val="24"/>
        </w:rPr>
      </w:pPr>
      <w:r>
        <w:rPr>
          <w:rFonts w:ascii="宋体" w:hAnsi="宋体" w:eastAsia="宋体" w:cs="宋体"/>
          <w:spacing w:val="-3"/>
          <w:sz w:val="24"/>
          <w:szCs w:val="24"/>
        </w:rPr>
        <w:t>截止时间之前单独密封递交给招标人。</w:t>
      </w:r>
    </w:p>
    <w:p>
      <w:pPr>
        <w:keepNext w:val="0"/>
        <w:keepLines w:val="0"/>
        <w:pageBreakBefore w:val="0"/>
        <w:wordWrap/>
        <w:overflowPunct/>
        <w:topLinePunct w:val="0"/>
        <w:autoSpaceDE w:val="0"/>
        <w:autoSpaceDN w:val="0"/>
        <w:bidi w:val="0"/>
        <w:spacing w:before="113" w:line="360" w:lineRule="auto"/>
        <w:ind w:left="39" w:right="76" w:firstLine="480"/>
        <w:rPr>
          <w:rFonts w:ascii="宋体" w:hAnsi="宋体" w:eastAsia="宋体" w:cs="宋体"/>
          <w:sz w:val="24"/>
          <w:szCs w:val="24"/>
        </w:rPr>
      </w:pPr>
      <w:r>
        <w:rPr>
          <w:rFonts w:ascii="宋体" w:hAnsi="宋体" w:eastAsia="宋体" w:cs="宋体"/>
          <w:spacing w:val="-6"/>
          <w:sz w:val="24"/>
          <w:szCs w:val="24"/>
        </w:rPr>
        <w:t>无论采取何种形式的投标保证金，投标保证金有效期均应与投</w:t>
      </w:r>
      <w:r>
        <w:rPr>
          <w:rFonts w:ascii="宋体" w:hAnsi="宋体" w:eastAsia="宋体" w:cs="宋体"/>
          <w:spacing w:val="-7"/>
          <w:sz w:val="24"/>
          <w:szCs w:val="24"/>
        </w:rPr>
        <w:t>标有效期一致。招</w:t>
      </w:r>
      <w:r>
        <w:rPr>
          <w:rFonts w:ascii="宋体" w:hAnsi="宋体" w:eastAsia="宋体" w:cs="宋体"/>
          <w:sz w:val="24"/>
          <w:szCs w:val="24"/>
        </w:rPr>
        <w:t xml:space="preserve"> </w:t>
      </w:r>
      <w:r>
        <w:rPr>
          <w:rFonts w:ascii="宋体" w:hAnsi="宋体" w:eastAsia="宋体" w:cs="宋体"/>
          <w:spacing w:val="-1"/>
          <w:sz w:val="24"/>
          <w:szCs w:val="24"/>
        </w:rPr>
        <w:t>标人如果按本章第</w:t>
      </w:r>
      <w:r>
        <w:rPr>
          <w:rFonts w:ascii="宋体" w:hAnsi="宋体" w:eastAsia="宋体" w:cs="宋体"/>
          <w:spacing w:val="-31"/>
          <w:sz w:val="24"/>
          <w:szCs w:val="24"/>
        </w:rPr>
        <w:t xml:space="preserve"> </w:t>
      </w:r>
      <w:r>
        <w:rPr>
          <w:rFonts w:ascii="Times New Roman" w:hAnsi="Times New Roman" w:eastAsia="Times New Roman" w:cs="Times New Roman"/>
          <w:spacing w:val="-1"/>
          <w:sz w:val="24"/>
          <w:szCs w:val="24"/>
        </w:rPr>
        <w:t>3.3.3</w:t>
      </w:r>
      <w:r>
        <w:rPr>
          <w:rFonts w:ascii="Times New Roman" w:hAnsi="Times New Roman" w:eastAsia="Times New Roman" w:cs="Times New Roman"/>
          <w:spacing w:val="27"/>
          <w:w w:val="101"/>
          <w:sz w:val="24"/>
          <w:szCs w:val="24"/>
        </w:rPr>
        <w:t xml:space="preserve"> </w:t>
      </w:r>
      <w:r>
        <w:rPr>
          <w:rFonts w:ascii="宋体" w:hAnsi="宋体" w:eastAsia="宋体" w:cs="宋体"/>
          <w:spacing w:val="-1"/>
          <w:sz w:val="24"/>
          <w:szCs w:val="24"/>
        </w:rPr>
        <w:t>项的规定延长了投标有效期，则投标保证金的有效期也相应</w:t>
      </w:r>
    </w:p>
    <w:p>
      <w:pPr>
        <w:keepNext w:val="0"/>
        <w:keepLines w:val="0"/>
        <w:pageBreakBefore w:val="0"/>
        <w:wordWrap/>
        <w:overflowPunct/>
        <w:topLinePunct w:val="0"/>
        <w:autoSpaceDE w:val="0"/>
        <w:autoSpaceDN w:val="0"/>
        <w:bidi w:val="0"/>
        <w:spacing w:line="360" w:lineRule="auto"/>
        <w:ind w:left="39"/>
        <w:rPr>
          <w:rFonts w:ascii="宋体" w:hAnsi="宋体" w:eastAsia="宋体" w:cs="宋体"/>
          <w:sz w:val="24"/>
          <w:szCs w:val="24"/>
        </w:rPr>
      </w:pPr>
      <w:r>
        <w:rPr>
          <w:rFonts w:ascii="宋体" w:hAnsi="宋体" w:eastAsia="宋体" w:cs="宋体"/>
          <w:spacing w:val="-11"/>
          <w:sz w:val="24"/>
          <w:szCs w:val="24"/>
        </w:rPr>
        <w:t>延长。</w:t>
      </w:r>
    </w:p>
    <w:p>
      <w:pPr>
        <w:keepNext w:val="0"/>
        <w:keepLines w:val="0"/>
        <w:pageBreakBefore w:val="0"/>
        <w:wordWrap/>
        <w:overflowPunct/>
        <w:topLinePunct w:val="0"/>
        <w:autoSpaceDE w:val="0"/>
        <w:autoSpaceDN w:val="0"/>
        <w:bidi w:val="0"/>
        <w:spacing w:before="111" w:line="360" w:lineRule="auto"/>
        <w:ind w:left="39" w:right="75" w:firstLine="479"/>
        <w:rPr>
          <w:rFonts w:ascii="宋体" w:hAnsi="宋体" w:eastAsia="宋体" w:cs="宋体"/>
          <w:sz w:val="24"/>
          <w:szCs w:val="24"/>
        </w:rPr>
      </w:pPr>
      <w:r>
        <w:rPr>
          <w:rFonts w:ascii="Times New Roman" w:hAnsi="Times New Roman" w:eastAsia="Times New Roman" w:cs="Times New Roman"/>
          <w:spacing w:val="-5"/>
          <w:sz w:val="24"/>
          <w:szCs w:val="24"/>
        </w:rPr>
        <w:t xml:space="preserve">3.4.2  </w:t>
      </w:r>
      <w:r>
        <w:rPr>
          <w:rFonts w:ascii="宋体" w:hAnsi="宋体" w:eastAsia="宋体" w:cs="宋体"/>
          <w:spacing w:val="-5"/>
          <w:sz w:val="24"/>
          <w:szCs w:val="24"/>
        </w:rPr>
        <w:t>投标人不按本章第</w:t>
      </w:r>
      <w:r>
        <w:rPr>
          <w:rFonts w:ascii="宋体" w:hAnsi="宋体" w:eastAsia="宋体" w:cs="宋体"/>
          <w:spacing w:val="-50"/>
          <w:sz w:val="24"/>
          <w:szCs w:val="24"/>
        </w:rPr>
        <w:t xml:space="preserve"> </w:t>
      </w:r>
      <w:r>
        <w:rPr>
          <w:rFonts w:ascii="Times New Roman" w:hAnsi="Times New Roman" w:eastAsia="Times New Roman" w:cs="Times New Roman"/>
          <w:spacing w:val="-5"/>
          <w:sz w:val="24"/>
          <w:szCs w:val="24"/>
        </w:rPr>
        <w:t>3.4.1</w:t>
      </w:r>
      <w:r>
        <w:rPr>
          <w:rFonts w:ascii="Times New Roman" w:hAnsi="Times New Roman" w:eastAsia="Times New Roman" w:cs="Times New Roman"/>
          <w:spacing w:val="13"/>
          <w:sz w:val="24"/>
          <w:szCs w:val="24"/>
        </w:rPr>
        <w:t xml:space="preserve"> </w:t>
      </w:r>
      <w:r>
        <w:rPr>
          <w:rFonts w:ascii="宋体" w:hAnsi="宋体" w:eastAsia="宋体" w:cs="宋体"/>
          <w:spacing w:val="-5"/>
          <w:sz w:val="24"/>
          <w:szCs w:val="24"/>
        </w:rPr>
        <w:t>项要求提交投标保证金的，评标委员</w:t>
      </w:r>
      <w:r>
        <w:rPr>
          <w:rFonts w:ascii="宋体" w:hAnsi="宋体" w:eastAsia="宋体" w:cs="宋体"/>
          <w:spacing w:val="-6"/>
          <w:sz w:val="24"/>
          <w:szCs w:val="24"/>
        </w:rPr>
        <w:t>会将否决其投</w:t>
      </w:r>
      <w:r>
        <w:rPr>
          <w:rFonts w:ascii="宋体" w:hAnsi="宋体" w:eastAsia="宋体" w:cs="宋体"/>
          <w:sz w:val="24"/>
          <w:szCs w:val="24"/>
        </w:rPr>
        <w:t xml:space="preserve"> </w:t>
      </w:r>
      <w:r>
        <w:rPr>
          <w:rFonts w:ascii="宋体" w:hAnsi="宋体" w:eastAsia="宋体" w:cs="宋体"/>
          <w:spacing w:val="-12"/>
          <w:sz w:val="24"/>
          <w:szCs w:val="24"/>
        </w:rPr>
        <w:t>标。</w:t>
      </w:r>
    </w:p>
    <w:p>
      <w:pPr>
        <w:keepNext w:val="0"/>
        <w:keepLines w:val="0"/>
        <w:pageBreakBefore w:val="0"/>
        <w:wordWrap/>
        <w:overflowPunct/>
        <w:topLinePunct w:val="0"/>
        <w:autoSpaceDE w:val="0"/>
        <w:autoSpaceDN w:val="0"/>
        <w:bidi w:val="0"/>
        <w:spacing w:before="113" w:line="360" w:lineRule="auto"/>
        <w:ind w:left="38" w:right="75" w:firstLine="480"/>
        <w:rPr>
          <w:rFonts w:ascii="宋体" w:hAnsi="宋体" w:eastAsia="宋体" w:cs="宋体"/>
          <w:sz w:val="24"/>
          <w:szCs w:val="24"/>
        </w:rPr>
      </w:pPr>
      <w:r>
        <w:rPr>
          <w:rFonts w:ascii="Times New Roman" w:hAnsi="Times New Roman" w:eastAsia="Times New Roman" w:cs="Times New Roman"/>
          <w:spacing w:val="-2"/>
          <w:sz w:val="24"/>
          <w:szCs w:val="24"/>
        </w:rPr>
        <w:t xml:space="preserve">3.4.3  </w:t>
      </w:r>
      <w:r>
        <w:rPr>
          <w:rFonts w:ascii="宋体" w:hAnsi="宋体" w:eastAsia="宋体" w:cs="宋体"/>
          <w:spacing w:val="-2"/>
          <w:sz w:val="24"/>
          <w:szCs w:val="24"/>
        </w:rPr>
        <w:t>招标人最迟将在中标通知书发出后</w:t>
      </w:r>
      <w:r>
        <w:rPr>
          <w:rFonts w:ascii="宋体" w:hAnsi="宋体" w:eastAsia="宋体" w:cs="宋体"/>
          <w:spacing w:val="-20"/>
          <w:sz w:val="24"/>
          <w:szCs w:val="24"/>
        </w:rPr>
        <w:t xml:space="preserve"> </w:t>
      </w:r>
      <w:r>
        <w:rPr>
          <w:rFonts w:ascii="Times New Roman" w:hAnsi="Times New Roman" w:eastAsia="Times New Roman" w:cs="Times New Roman"/>
          <w:spacing w:val="-2"/>
          <w:sz w:val="24"/>
          <w:szCs w:val="24"/>
        </w:rPr>
        <w:t xml:space="preserve">5  </w:t>
      </w:r>
      <w:r>
        <w:rPr>
          <w:rFonts w:ascii="宋体" w:hAnsi="宋体" w:eastAsia="宋体" w:cs="宋体"/>
          <w:spacing w:val="-2"/>
          <w:sz w:val="24"/>
          <w:szCs w:val="24"/>
        </w:rPr>
        <w:t>日内向中标候选人以外的其他投标人</w:t>
      </w:r>
      <w:r>
        <w:rPr>
          <w:rFonts w:ascii="宋体" w:hAnsi="宋体" w:eastAsia="宋体" w:cs="宋体"/>
          <w:sz w:val="24"/>
          <w:szCs w:val="24"/>
        </w:rPr>
        <w:t xml:space="preserve"> </w:t>
      </w:r>
      <w:r>
        <w:rPr>
          <w:rFonts w:ascii="宋体" w:hAnsi="宋体" w:eastAsia="宋体" w:cs="宋体"/>
          <w:spacing w:val="-7"/>
          <w:sz w:val="24"/>
          <w:szCs w:val="24"/>
        </w:rPr>
        <w:t>退还投标保证金，与中标人签订合同后</w:t>
      </w:r>
      <w:r>
        <w:rPr>
          <w:rFonts w:ascii="宋体" w:hAnsi="宋体" w:eastAsia="宋体" w:cs="宋体"/>
          <w:spacing w:val="-48"/>
          <w:sz w:val="24"/>
          <w:szCs w:val="24"/>
        </w:rPr>
        <w:t xml:space="preserve"> </w:t>
      </w:r>
      <w:r>
        <w:rPr>
          <w:rFonts w:ascii="Times New Roman" w:hAnsi="Times New Roman" w:eastAsia="Times New Roman" w:cs="Times New Roman"/>
          <w:spacing w:val="-7"/>
          <w:sz w:val="24"/>
          <w:szCs w:val="24"/>
        </w:rPr>
        <w:t>5</w:t>
      </w:r>
      <w:r>
        <w:rPr>
          <w:rFonts w:ascii="Times New Roman" w:hAnsi="Times New Roman" w:eastAsia="Times New Roman" w:cs="Times New Roman"/>
          <w:spacing w:val="50"/>
          <w:w w:val="101"/>
          <w:sz w:val="24"/>
          <w:szCs w:val="24"/>
        </w:rPr>
        <w:t xml:space="preserve"> </w:t>
      </w:r>
      <w:r>
        <w:rPr>
          <w:rFonts w:ascii="宋体" w:hAnsi="宋体" w:eastAsia="宋体" w:cs="宋体"/>
          <w:spacing w:val="-7"/>
          <w:sz w:val="24"/>
          <w:szCs w:val="24"/>
        </w:rPr>
        <w:t>日内向中标人和其他中标候选人退还投</w:t>
      </w:r>
      <w:r>
        <w:rPr>
          <w:rFonts w:ascii="宋体" w:hAnsi="宋体" w:eastAsia="宋体" w:cs="宋体"/>
          <w:spacing w:val="-8"/>
          <w:sz w:val="24"/>
          <w:szCs w:val="24"/>
        </w:rPr>
        <w:t>标保</w:t>
      </w:r>
      <w:r>
        <w:rPr>
          <w:rFonts w:ascii="宋体" w:hAnsi="宋体" w:eastAsia="宋体" w:cs="宋体"/>
          <w:spacing w:val="-6"/>
          <w:sz w:val="24"/>
          <w:szCs w:val="24"/>
        </w:rPr>
        <w:t>证金。投标保证金以现金或支票形式递交的，招标人应同时退还投标保证金的银行同</w:t>
      </w:r>
      <w:r>
        <w:rPr>
          <w:rFonts w:ascii="宋体" w:hAnsi="宋体" w:eastAsia="宋体" w:cs="宋体"/>
          <w:spacing w:val="-3"/>
          <w:sz w:val="24"/>
          <w:szCs w:val="24"/>
        </w:rPr>
        <w:t>期活期存款利息，且退还至投标人的基本账户。</w:t>
      </w:r>
    </w:p>
    <w:p>
      <w:pPr>
        <w:keepNext w:val="0"/>
        <w:keepLines w:val="0"/>
        <w:pageBreakBefore w:val="0"/>
        <w:wordWrap/>
        <w:overflowPunct/>
        <w:topLinePunct w:val="0"/>
        <w:autoSpaceDE w:val="0"/>
        <w:autoSpaceDN w:val="0"/>
        <w:bidi w:val="0"/>
        <w:spacing w:before="117" w:line="360" w:lineRule="auto"/>
        <w:ind w:left="519"/>
        <w:rPr>
          <w:rFonts w:ascii="宋体" w:hAnsi="宋体" w:eastAsia="宋体" w:cs="宋体"/>
          <w:sz w:val="24"/>
          <w:szCs w:val="24"/>
        </w:rPr>
      </w:pPr>
      <w:r>
        <w:rPr>
          <w:rFonts w:ascii="宋体" w:hAnsi="宋体" w:eastAsia="宋体" w:cs="宋体"/>
          <w:spacing w:val="-3"/>
          <w:sz w:val="24"/>
          <w:szCs w:val="24"/>
        </w:rPr>
        <w:t>利息计算原则见投标人须知前附表。</w:t>
      </w:r>
    </w:p>
    <w:p>
      <w:pPr>
        <w:keepNext w:val="0"/>
        <w:keepLines w:val="0"/>
        <w:pageBreakBefore w:val="0"/>
        <w:wordWrap/>
        <w:overflowPunct/>
        <w:topLinePunct w:val="0"/>
        <w:autoSpaceDE w:val="0"/>
        <w:autoSpaceDN w:val="0"/>
        <w:bidi w:val="0"/>
        <w:spacing w:before="113" w:line="360" w:lineRule="auto"/>
        <w:ind w:left="518"/>
        <w:rPr>
          <w:rFonts w:ascii="宋体" w:hAnsi="宋体" w:eastAsia="宋体" w:cs="宋体"/>
          <w:sz w:val="24"/>
          <w:szCs w:val="24"/>
        </w:rPr>
      </w:pPr>
      <w:r>
        <w:rPr>
          <w:rFonts w:ascii="Times New Roman" w:hAnsi="Times New Roman" w:eastAsia="Times New Roman" w:cs="Times New Roman"/>
          <w:spacing w:val="-2"/>
          <w:sz w:val="24"/>
          <w:szCs w:val="24"/>
        </w:rPr>
        <w:t xml:space="preserve">3.4.4  </w:t>
      </w:r>
      <w:r>
        <w:rPr>
          <w:rFonts w:ascii="宋体" w:hAnsi="宋体" w:eastAsia="宋体" w:cs="宋体"/>
          <w:spacing w:val="-2"/>
          <w:sz w:val="24"/>
          <w:szCs w:val="24"/>
        </w:rPr>
        <w:t>有下列情形之一的，投标保</w:t>
      </w:r>
      <w:r>
        <w:rPr>
          <w:rFonts w:ascii="宋体" w:hAnsi="宋体" w:eastAsia="宋体" w:cs="宋体"/>
          <w:spacing w:val="-3"/>
          <w:sz w:val="24"/>
          <w:szCs w:val="24"/>
        </w:rPr>
        <w:t>证金将不予退还：</w:t>
      </w:r>
    </w:p>
    <w:p>
      <w:pPr>
        <w:keepNext w:val="0"/>
        <w:keepLines w:val="0"/>
        <w:pageBreakBefore w:val="0"/>
        <w:wordWrap/>
        <w:overflowPunct/>
        <w:topLinePunct w:val="0"/>
        <w:autoSpaceDE w:val="0"/>
        <w:autoSpaceDN w:val="0"/>
        <w:bidi w:val="0"/>
        <w:spacing w:before="115" w:line="360" w:lineRule="auto"/>
        <w:ind w:left="404"/>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）投标人在投标有效期内撤销投标文件；</w:t>
      </w:r>
    </w:p>
    <w:p>
      <w:pPr>
        <w:keepNext w:val="0"/>
        <w:keepLines w:val="0"/>
        <w:pageBreakBefore w:val="0"/>
        <w:wordWrap/>
        <w:overflowPunct/>
        <w:topLinePunct w:val="0"/>
        <w:autoSpaceDE w:val="0"/>
        <w:autoSpaceDN w:val="0"/>
        <w:bidi w:val="0"/>
        <w:spacing w:before="115" w:line="360" w:lineRule="auto"/>
        <w:ind w:left="49" w:right="78" w:firstLine="355"/>
        <w:rPr>
          <w:rFonts w:ascii="宋体" w:hAnsi="宋体" w:eastAsia="宋体" w:cs="宋体"/>
          <w:sz w:val="24"/>
          <w:szCs w:val="24"/>
        </w:rPr>
      </w:pPr>
      <w:r>
        <w:rPr>
          <w:rFonts w:ascii="宋体" w:hAnsi="宋体" w:eastAsia="宋体" w:cs="宋体"/>
          <w:spacing w:val="-12"/>
          <w:sz w:val="24"/>
          <w:szCs w:val="24"/>
        </w:rPr>
        <w:t>（</w:t>
      </w:r>
      <w:r>
        <w:rPr>
          <w:rFonts w:ascii="Times New Roman" w:hAnsi="Times New Roman" w:eastAsia="Times New Roman" w:cs="Times New Roman"/>
          <w:spacing w:val="-12"/>
          <w:sz w:val="24"/>
          <w:szCs w:val="24"/>
        </w:rPr>
        <w:t>2</w:t>
      </w:r>
      <w:r>
        <w:rPr>
          <w:rFonts w:ascii="宋体" w:hAnsi="宋体" w:eastAsia="宋体" w:cs="宋体"/>
          <w:spacing w:val="-12"/>
          <w:sz w:val="24"/>
          <w:szCs w:val="24"/>
        </w:rPr>
        <w:t>）中标人在收到中标通知书后，无正当理由不与招标人订立合同，在签订合同</w:t>
      </w:r>
      <w:r>
        <w:rPr>
          <w:rFonts w:ascii="宋体" w:hAnsi="宋体" w:eastAsia="宋体" w:cs="宋体"/>
          <w:sz w:val="24"/>
          <w:szCs w:val="24"/>
        </w:rPr>
        <w:t xml:space="preserve"> </w:t>
      </w:r>
      <w:r>
        <w:rPr>
          <w:rFonts w:ascii="宋体" w:hAnsi="宋体" w:eastAsia="宋体" w:cs="宋体"/>
          <w:spacing w:val="-3"/>
          <w:sz w:val="24"/>
          <w:szCs w:val="24"/>
        </w:rPr>
        <w:t>时向招标人提出附加条件，或不按照招标文件要求提交履约保证金；</w:t>
      </w:r>
    </w:p>
    <w:p>
      <w:pPr>
        <w:keepNext w:val="0"/>
        <w:keepLines w:val="0"/>
        <w:pageBreakBefore w:val="0"/>
        <w:wordWrap/>
        <w:overflowPunct/>
        <w:topLinePunct w:val="0"/>
        <w:autoSpaceDE w:val="0"/>
        <w:autoSpaceDN w:val="0"/>
        <w:bidi w:val="0"/>
        <w:spacing w:before="116" w:line="360" w:lineRule="auto"/>
        <w:ind w:left="40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）发生投标人须知前附表规定的其他可以不予退还投标保证金的情形。</w:t>
      </w:r>
    </w:p>
    <w:p>
      <w:pPr>
        <w:keepNext w:val="0"/>
        <w:keepLines w:val="0"/>
        <w:pageBreakBefore w:val="0"/>
        <w:wordWrap/>
        <w:overflowPunct/>
        <w:topLinePunct w:val="0"/>
        <w:autoSpaceDE w:val="0"/>
        <w:autoSpaceDN w:val="0"/>
        <w:bidi w:val="0"/>
        <w:spacing w:before="266" w:line="360" w:lineRule="auto"/>
        <w:ind w:left="113"/>
        <w:rPr>
          <w:rFonts w:ascii="黑体" w:hAnsi="黑体" w:eastAsia="黑体" w:cs="黑体"/>
          <w:spacing w:val="-2"/>
          <w:sz w:val="24"/>
          <w:szCs w:val="24"/>
        </w:rPr>
      </w:pPr>
      <w:r>
        <w:rPr>
          <w:rFonts w:ascii="黑体" w:hAnsi="黑体" w:eastAsia="黑体" w:cs="黑体"/>
          <w:spacing w:val="-2"/>
          <w:sz w:val="24"/>
          <w:szCs w:val="24"/>
        </w:rPr>
        <w:t>3.5</w:t>
      </w:r>
      <w:r>
        <w:rPr>
          <w:rFonts w:ascii="黑体" w:hAnsi="黑体" w:eastAsia="黑体" w:cs="黑体"/>
          <w:spacing w:val="94"/>
          <w:sz w:val="24"/>
          <w:szCs w:val="24"/>
        </w:rPr>
        <w:t xml:space="preserve"> </w:t>
      </w:r>
      <w:r>
        <w:rPr>
          <w:rFonts w:ascii="黑体" w:hAnsi="黑体" w:eastAsia="黑体" w:cs="黑体"/>
          <w:spacing w:val="-2"/>
          <w:sz w:val="24"/>
          <w:szCs w:val="24"/>
        </w:rPr>
        <w:t>资格审查资料</w:t>
      </w:r>
    </w:p>
    <w:p>
      <w:pPr>
        <w:keepNext w:val="0"/>
        <w:keepLines w:val="0"/>
        <w:pageBreakBefore w:val="0"/>
        <w:wordWrap/>
        <w:overflowPunct/>
        <w:topLinePunct w:val="0"/>
        <w:autoSpaceDE w:val="0"/>
        <w:autoSpaceDN w:val="0"/>
        <w:bidi w:val="0"/>
        <w:spacing w:before="266" w:line="360" w:lineRule="auto"/>
        <w:ind w:left="113" w:firstLine="480" w:firstLineChars="200"/>
        <w:rPr>
          <w:rFonts w:ascii="宋体" w:hAnsi="宋体" w:eastAsia="宋体" w:cs="宋体"/>
          <w:sz w:val="24"/>
          <w:szCs w:val="24"/>
        </w:rPr>
      </w:pPr>
      <w:r>
        <w:rPr>
          <w:rFonts w:ascii="Times New Roman" w:hAnsi="Times New Roman" w:eastAsia="Times New Roman" w:cs="Times New Roman"/>
          <w:sz w:val="24"/>
          <w:szCs w:val="24"/>
        </w:rPr>
        <w:t>除投标人须知前附表另有规定外，投标人应按下列规定提供资格审查资料，以证明其满足本章第 1.4 款规定的资质、财务、业绩、信誉等要求。</w:t>
      </w:r>
    </w:p>
    <w:p>
      <w:pPr>
        <w:keepNext w:val="0"/>
        <w:keepLines w:val="0"/>
        <w:pageBreakBefore w:val="0"/>
        <w:wordWrap/>
        <w:overflowPunct/>
        <w:topLinePunct w:val="0"/>
        <w:autoSpaceDE w:val="0"/>
        <w:autoSpaceDN w:val="0"/>
        <w:bidi w:val="0"/>
        <w:spacing w:before="115" w:line="360" w:lineRule="auto"/>
        <w:ind w:left="113" w:right="84" w:firstLine="480"/>
        <w:rPr>
          <w:rFonts w:hint="eastAsia" w:ascii="Times New Roman" w:hAnsi="Times New Roman" w:eastAsia="Times New Roman" w:cs="Times New Roman"/>
          <w:spacing w:val="1"/>
          <w:sz w:val="24"/>
          <w:szCs w:val="24"/>
        </w:rPr>
      </w:pPr>
      <w:r>
        <w:rPr>
          <w:rFonts w:ascii="Times New Roman" w:hAnsi="Times New Roman" w:eastAsia="Times New Roman" w:cs="Times New Roman"/>
          <w:sz w:val="24"/>
          <w:szCs w:val="24"/>
        </w:rPr>
        <w:t>3.5.1</w:t>
      </w:r>
      <w:r>
        <w:rPr>
          <w:rFonts w:ascii="Times New Roman" w:hAnsi="Times New Roman" w:eastAsia="Times New Roman" w:cs="Times New Roman"/>
          <w:spacing w:val="1"/>
          <w:sz w:val="24"/>
          <w:szCs w:val="24"/>
        </w:rPr>
        <w:t xml:space="preserve">  </w:t>
      </w:r>
      <w:r>
        <w:rPr>
          <w:rFonts w:hint="eastAsia" w:ascii="Times New Roman" w:hAnsi="Times New Roman" w:eastAsia="Times New Roman" w:cs="Times New Roman"/>
          <w:spacing w:val="1"/>
          <w:sz w:val="24"/>
          <w:szCs w:val="24"/>
        </w:rPr>
        <w:t>“投标人基本情况表 ”应附企业法人营业执照、施工资质证书、安全生产许可证、 基本账户开户许可证（如企业所在地已取消企业银行账户许可而无法提供开户许可证 的，则需附上开户银行出具的“基本存款账户信息 ”或“人民银行账户管理系统查询的基本账户信息截图 ”，下同）的复印件，投标人在交通运输部“全国公路建设市  场信用信息管理系统 ”公路工程施工资质企业名录中的网页截图复印件① , 以及投标人在“ 国家企业信用信息公示系统 ”中基础信息（体现股东及出资详细信息）的网页截图复印件。</w:t>
      </w:r>
    </w:p>
    <w:p>
      <w:pPr>
        <w:keepNext w:val="0"/>
        <w:keepLines w:val="0"/>
        <w:pageBreakBefore w:val="0"/>
        <w:wordWrap/>
        <w:overflowPunct/>
        <w:topLinePunct w:val="0"/>
        <w:autoSpaceDE w:val="0"/>
        <w:autoSpaceDN w:val="0"/>
        <w:bidi w:val="0"/>
        <w:spacing w:before="115" w:line="360" w:lineRule="auto"/>
        <w:ind w:left="113" w:right="84" w:firstLine="480"/>
        <w:rPr>
          <w:rFonts w:hint="eastAsia" w:ascii="Times New Roman" w:hAnsi="Times New Roman" w:eastAsia="Times New Roman" w:cs="Times New Roman"/>
          <w:spacing w:val="1"/>
          <w:sz w:val="24"/>
          <w:szCs w:val="24"/>
        </w:rPr>
      </w:pPr>
      <w:r>
        <w:rPr>
          <w:rFonts w:hint="eastAsia" w:ascii="Times New Roman" w:hAnsi="Times New Roman" w:eastAsia="Times New Roman" w:cs="Times New Roman"/>
          <w:spacing w:val="1"/>
          <w:sz w:val="24"/>
          <w:szCs w:val="24"/>
        </w:rPr>
        <w:t>企业法人营业执照、施工资质证书、安全生产许可证、基本账户开户许可证的复印件应提供全本（证书封面、封底、空白页除外），包括投标人名称、投标人其他相关信息、颁发机构名称、投标人信息变更情况等关键页在内。</w:t>
      </w:r>
    </w:p>
    <w:p>
      <w:pPr>
        <w:keepNext w:val="0"/>
        <w:keepLines w:val="0"/>
        <w:pageBreakBefore w:val="0"/>
        <w:wordWrap/>
        <w:overflowPunct/>
        <w:topLinePunct w:val="0"/>
        <w:autoSpaceDE w:val="0"/>
        <w:autoSpaceDN w:val="0"/>
        <w:bidi w:val="0"/>
        <w:spacing w:before="115" w:line="360" w:lineRule="auto"/>
        <w:ind w:left="113" w:right="84" w:firstLine="480"/>
        <w:rPr>
          <w:rFonts w:hint="default" w:ascii="宋体" w:hAnsi="宋体" w:eastAsia="宋体" w:cs="宋体"/>
          <w:spacing w:val="-8"/>
          <w:sz w:val="24"/>
          <w:szCs w:val="24"/>
          <w:lang w:val="en-US" w:eastAsia="zh-CN"/>
        </w:rPr>
      </w:pPr>
      <w:r>
        <w:rPr>
          <w:rFonts w:hint="eastAsia" w:ascii="宋体" w:hAnsi="宋体" w:cs="宋体"/>
          <w:spacing w:val="-8"/>
          <w:sz w:val="24"/>
          <w:szCs w:val="24"/>
          <w:lang w:val="en-US" w:eastAsia="zh-CN"/>
        </w:rPr>
        <w:t>3.5.2“近年财务状况表 ”具体年份要求见投标人须知前附表，近年财务信息以投标人 提供的“全国公路建设市场信用信息管理系统 ”企业所填的信息截图为准。投标人的 成立时间少于投标人须知前附表规定年份的，应提供成立以来的财务信息截图或网页打印件，且规定年份的平均营业总收入按成立以来的财务数据结合招标文件规定的年 份进行计算评审，盈利满足资格审查要求的年数。“近年财务状况表 ”所填数据应与信息截图的数据一致。</w:t>
      </w:r>
    </w:p>
    <w:p>
      <w:pPr>
        <w:keepNext w:val="0"/>
        <w:keepLines w:val="0"/>
        <w:pageBreakBefore w:val="0"/>
        <w:wordWrap/>
        <w:overflowPunct/>
        <w:topLinePunct w:val="0"/>
        <w:autoSpaceDE w:val="0"/>
        <w:autoSpaceDN w:val="0"/>
        <w:bidi w:val="0"/>
        <w:spacing w:before="113" w:line="360" w:lineRule="auto"/>
        <w:ind w:left="37" w:right="2" w:firstLine="481"/>
        <w:rPr>
          <w:rFonts w:ascii="Times New Roman" w:hAnsi="Times New Roman" w:eastAsia="Times New Roman" w:cs="Times New Roman"/>
          <w:spacing w:val="8"/>
          <w:sz w:val="24"/>
          <w:szCs w:val="24"/>
        </w:rPr>
      </w:pPr>
      <w:r>
        <w:rPr>
          <w:rFonts w:ascii="Times New Roman" w:hAnsi="Times New Roman" w:eastAsia="Times New Roman" w:cs="Times New Roman"/>
          <w:sz w:val="24"/>
          <w:szCs w:val="24"/>
        </w:rPr>
        <w:t>3.5.3</w:t>
      </w:r>
      <w:r>
        <w:rPr>
          <w:rFonts w:ascii="Times New Roman" w:hAnsi="Times New Roman" w:eastAsia="Times New Roman" w:cs="Times New Roman"/>
          <w:spacing w:val="8"/>
          <w:sz w:val="24"/>
          <w:szCs w:val="24"/>
        </w:rPr>
        <w:t xml:space="preserve"> “近年完成的类似项目 ”应是已列入交通运输部“全国公路建设市场信用信息管 理系统 ”并公开的总包已建业绩或分包（不包括劳务分包）已建业绩，具体时间要求见投标人须知前附表。</w:t>
      </w:r>
    </w:p>
    <w:p>
      <w:pPr>
        <w:keepNext w:val="0"/>
        <w:keepLines w:val="0"/>
        <w:pageBreakBefore w:val="0"/>
        <w:wordWrap/>
        <w:overflowPunct/>
        <w:topLinePunct w:val="0"/>
        <w:autoSpaceDE w:val="0"/>
        <w:autoSpaceDN w:val="0"/>
        <w:bidi w:val="0"/>
        <w:spacing w:before="113" w:line="360" w:lineRule="auto"/>
        <w:ind w:left="37" w:right="2" w:firstLine="481"/>
        <w:rPr>
          <w:rFonts w:ascii="Times New Roman" w:hAnsi="Times New Roman" w:eastAsia="Times New Roman" w:cs="Times New Roman"/>
          <w:spacing w:val="8"/>
          <w:sz w:val="24"/>
          <w:szCs w:val="24"/>
        </w:rPr>
      </w:pPr>
      <w:r>
        <w:rPr>
          <w:rFonts w:ascii="Times New Roman" w:hAnsi="Times New Roman" w:eastAsia="Times New Roman" w:cs="Times New Roman"/>
          <w:spacing w:val="8"/>
          <w:sz w:val="24"/>
          <w:szCs w:val="24"/>
        </w:rPr>
        <w:t>“近年完成的类似项目情况表 ”应附在交通运输部“全国公路建设市场信用信息 管理系统 ”中查询到的企业“业绩信息 ”相关项目网页截图复印件或网页打印件，即 包括“项目名称 ”、“标段类型 ”、“合同价 ”、“主要工程量 ”等栏目在内的项目 详细信息网页截图复印件或网页打印件。除网页截图复印件或网页打印件外，投标人无需再提供任何业绩证明材料。</w:t>
      </w:r>
    </w:p>
    <w:p>
      <w:pPr>
        <w:keepNext w:val="0"/>
        <w:keepLines w:val="0"/>
        <w:pageBreakBefore w:val="0"/>
        <w:wordWrap/>
        <w:overflowPunct/>
        <w:topLinePunct w:val="0"/>
        <w:autoSpaceDE w:val="0"/>
        <w:autoSpaceDN w:val="0"/>
        <w:bidi w:val="0"/>
        <w:spacing w:before="113" w:line="360" w:lineRule="auto"/>
        <w:ind w:left="37" w:right="2" w:firstLine="481"/>
        <w:rPr>
          <w:rFonts w:ascii="Times New Roman" w:hAnsi="Times New Roman" w:eastAsia="Times New Roman" w:cs="Times New Roman"/>
          <w:spacing w:val="8"/>
          <w:sz w:val="24"/>
          <w:szCs w:val="24"/>
        </w:rPr>
      </w:pPr>
      <w:r>
        <w:rPr>
          <w:rFonts w:ascii="Times New Roman" w:hAnsi="Times New Roman" w:eastAsia="Times New Roman" w:cs="Times New Roman"/>
          <w:spacing w:val="8"/>
          <w:sz w:val="24"/>
          <w:szCs w:val="24"/>
        </w:rPr>
        <w:t>如投标人未提供相关项目网页截图复印件或相关项目网页截图中的信息无法证  实投标人满足招标文件规定的资格审查条件（业绩最低要求）或评标办法评分标准（如有），则该项目业绩不予认定。</w:t>
      </w:r>
    </w:p>
    <w:p>
      <w:pPr>
        <w:keepNext w:val="0"/>
        <w:keepLines w:val="0"/>
        <w:pageBreakBefore w:val="0"/>
        <w:wordWrap/>
        <w:overflowPunct/>
        <w:topLinePunct w:val="0"/>
        <w:autoSpaceDE w:val="0"/>
        <w:autoSpaceDN w:val="0"/>
        <w:bidi w:val="0"/>
        <w:spacing w:before="113" w:line="360" w:lineRule="auto"/>
        <w:ind w:left="37" w:right="2" w:firstLine="481"/>
        <w:rPr>
          <w:rFonts w:ascii="Times New Roman" w:hAnsi="Times New Roman" w:eastAsia="Times New Roman" w:cs="Times New Roman"/>
          <w:spacing w:val="8"/>
          <w:sz w:val="24"/>
          <w:szCs w:val="24"/>
        </w:rPr>
      </w:pPr>
      <w:r>
        <w:rPr>
          <w:rFonts w:ascii="Times New Roman" w:hAnsi="Times New Roman" w:eastAsia="Times New Roman" w:cs="Times New Roman"/>
          <w:spacing w:val="8"/>
          <w:sz w:val="24"/>
          <w:szCs w:val="24"/>
        </w:rPr>
        <w:t>如近年来，投标人法人机构发生合法变更或重组或法人名称变更时，应提供相关部门的合法批件或其他相关证明材料来证明其所附业绩的继承性。</w:t>
      </w:r>
    </w:p>
    <w:p>
      <w:pPr>
        <w:keepNext w:val="0"/>
        <w:keepLines w:val="0"/>
        <w:pageBreakBefore w:val="0"/>
        <w:wordWrap/>
        <w:overflowPunct/>
        <w:topLinePunct w:val="0"/>
        <w:autoSpaceDE w:val="0"/>
        <w:autoSpaceDN w:val="0"/>
        <w:bidi w:val="0"/>
        <w:spacing w:before="113" w:line="360" w:lineRule="auto"/>
        <w:ind w:left="38" w:right="2" w:firstLine="480"/>
        <w:rPr>
          <w:rFonts w:ascii="Times New Roman" w:hAnsi="Times New Roman" w:eastAsia="Times New Roman" w:cs="Times New Roman"/>
          <w:spacing w:val="28"/>
          <w:sz w:val="24"/>
          <w:szCs w:val="24"/>
        </w:rPr>
      </w:pPr>
      <w:r>
        <w:rPr>
          <w:rFonts w:ascii="Times New Roman" w:hAnsi="Times New Roman" w:eastAsia="Times New Roman" w:cs="Times New Roman"/>
          <w:spacing w:val="-1"/>
          <w:sz w:val="24"/>
          <w:szCs w:val="24"/>
        </w:rPr>
        <w:t>3.5.4</w:t>
      </w:r>
      <w:r>
        <w:rPr>
          <w:rFonts w:ascii="Times New Roman" w:hAnsi="Times New Roman" w:eastAsia="Times New Roman" w:cs="Times New Roman"/>
          <w:spacing w:val="28"/>
          <w:sz w:val="24"/>
          <w:szCs w:val="24"/>
        </w:rPr>
        <w:t xml:space="preserve"> “投标人的信誉情况 ”应附投标人在“ 国家企业信用信息公示系统 ”中未被列入 严重违法失信企业名单、在“信用中国 ”网站中未被列入失信被执行人名单的网页截图复印件。</w:t>
      </w:r>
    </w:p>
    <w:p>
      <w:pPr>
        <w:keepNext w:val="0"/>
        <w:keepLines w:val="0"/>
        <w:pageBreakBefore w:val="0"/>
        <w:wordWrap/>
        <w:overflowPunct/>
        <w:topLinePunct w:val="0"/>
        <w:autoSpaceDE w:val="0"/>
        <w:autoSpaceDN w:val="0"/>
        <w:bidi w:val="0"/>
        <w:spacing w:before="116" w:line="360" w:lineRule="auto"/>
        <w:ind w:left="39" w:right="2" w:firstLine="479"/>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3.5.5“拟委任的项目经理和项目总工资历表 ”应同时附①交通运输部“全国公路建设  市场信用信息管理系统 ”中载明的、能够证明项目经理（以及备选人，如有）和项目  总工（以及备选人，如有）满足投标人须知前附表附录 5 或者评标办法评分标准（如  有）所提出的各项指标（即包括人员的“基本信息 ”、“职称信息 ”、“执业资格 ”、 “个人业绩 ”等栏目在内）的网页截图复印件或网页打印件；②建造师注册证书在全 国建筑市场监管公共服务平台上公开信息的网页截图复印件或网页打印件；③安全生  产考核合格证书在交通运输部公路水运工程施工企业主要负责人和安全生产管理人   员信息管理系统上查询公开信息的网页截图复印件或网页打印件；④投标人在社保系  统打印的拟委任的项目经理（以及备选人，如有）和项目总工（以及备选人，如有）  参加社保的缴费明细复印件（社保时段为投标文件递交截止日前半年时间内连续不少于三个月）。</w:t>
      </w:r>
    </w:p>
    <w:p>
      <w:pPr>
        <w:keepNext w:val="0"/>
        <w:keepLines w:val="0"/>
        <w:pageBreakBefore w:val="0"/>
        <w:wordWrap/>
        <w:overflowPunct/>
        <w:topLinePunct w:val="0"/>
        <w:autoSpaceDE w:val="0"/>
        <w:autoSpaceDN w:val="0"/>
        <w:bidi w:val="0"/>
        <w:spacing w:before="116" w:line="360" w:lineRule="auto"/>
        <w:ind w:right="2" w:firstLine="476" w:firstLineChars="200"/>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建造师注册信息以②的证明材料为准，安全生产考核信息以③的证明材料为准。</w:t>
      </w:r>
    </w:p>
    <w:p>
      <w:pPr>
        <w:keepNext w:val="0"/>
        <w:keepLines w:val="0"/>
        <w:pageBreakBefore w:val="0"/>
        <w:wordWrap/>
        <w:overflowPunct/>
        <w:topLinePunct w:val="0"/>
        <w:autoSpaceDE w:val="0"/>
        <w:autoSpaceDN w:val="0"/>
        <w:bidi w:val="0"/>
        <w:spacing w:before="116" w:line="360" w:lineRule="auto"/>
        <w:ind w:left="39" w:right="2" w:firstLine="479"/>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除上述资料外，投标人无需再提供任何证明材料。</w:t>
      </w:r>
    </w:p>
    <w:p>
      <w:pPr>
        <w:keepNext w:val="0"/>
        <w:keepLines w:val="0"/>
        <w:pageBreakBefore w:val="0"/>
        <w:wordWrap/>
        <w:overflowPunct/>
        <w:topLinePunct w:val="0"/>
        <w:autoSpaceDE w:val="0"/>
        <w:autoSpaceDN w:val="0"/>
        <w:bidi w:val="0"/>
        <w:spacing w:before="116" w:line="360" w:lineRule="auto"/>
        <w:ind w:left="39" w:right="2" w:firstLine="479"/>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如项目经理和项目总工 目前仍在其他项目上任职，则投标人应按投标函的格式承诺上述人员能够从该项目撤离。</w:t>
      </w:r>
    </w:p>
    <w:p>
      <w:pPr>
        <w:keepNext w:val="0"/>
        <w:keepLines w:val="0"/>
        <w:pageBreakBefore w:val="0"/>
        <w:wordWrap/>
        <w:overflowPunct/>
        <w:topLinePunct w:val="0"/>
        <w:autoSpaceDE w:val="0"/>
        <w:autoSpaceDN w:val="0"/>
        <w:bidi w:val="0"/>
        <w:spacing w:before="116" w:line="360" w:lineRule="auto"/>
        <w:ind w:left="39" w:right="2" w:firstLine="479"/>
        <w:rPr>
          <w:rFonts w:ascii="宋体" w:hAnsi="宋体" w:eastAsia="宋体" w:cs="宋体"/>
          <w:sz w:val="24"/>
          <w:szCs w:val="24"/>
        </w:rPr>
      </w:pPr>
      <w:r>
        <w:rPr>
          <w:rFonts w:ascii="Times New Roman" w:hAnsi="Times New Roman" w:eastAsia="Times New Roman" w:cs="Times New Roman"/>
          <w:spacing w:val="-5"/>
          <w:sz w:val="24"/>
          <w:szCs w:val="24"/>
        </w:rPr>
        <w:t>3.5.6</w:t>
      </w:r>
      <w:r>
        <w:rPr>
          <w:rFonts w:ascii="Times New Roman" w:hAnsi="Times New Roman" w:eastAsia="Times New Roman" w:cs="Times New Roman"/>
          <w:spacing w:val="29"/>
          <w:sz w:val="24"/>
          <w:szCs w:val="24"/>
        </w:rPr>
        <w:t xml:space="preserve"> </w:t>
      </w:r>
      <w:r>
        <w:rPr>
          <w:rFonts w:ascii="宋体" w:hAnsi="宋体" w:eastAsia="宋体" w:cs="宋体"/>
          <w:spacing w:val="-5"/>
          <w:sz w:val="24"/>
          <w:szCs w:val="24"/>
        </w:rPr>
        <w:t>“拟委任的其他管理和技术人员汇总表”（如有）应填报满足投标人须知前</w:t>
      </w:r>
      <w:r>
        <w:rPr>
          <w:rFonts w:ascii="宋体" w:hAnsi="宋体" w:eastAsia="宋体" w:cs="宋体"/>
          <w:sz w:val="24"/>
          <w:szCs w:val="24"/>
        </w:rPr>
        <w:t xml:space="preserve"> </w:t>
      </w:r>
      <w:r>
        <w:rPr>
          <w:rFonts w:ascii="宋体" w:hAnsi="宋体" w:eastAsia="宋体" w:cs="宋体"/>
          <w:spacing w:val="-9"/>
          <w:sz w:val="24"/>
          <w:szCs w:val="24"/>
        </w:rPr>
        <w:t>附表附录</w:t>
      </w:r>
      <w:r>
        <w:rPr>
          <w:rFonts w:ascii="宋体" w:hAnsi="宋体" w:eastAsia="宋体" w:cs="宋体"/>
          <w:spacing w:val="-50"/>
          <w:sz w:val="24"/>
          <w:szCs w:val="24"/>
        </w:rPr>
        <w:t xml:space="preserve"> </w:t>
      </w:r>
      <w:r>
        <w:rPr>
          <w:rFonts w:ascii="Times New Roman" w:hAnsi="Times New Roman" w:eastAsia="Times New Roman" w:cs="Times New Roman"/>
          <w:spacing w:val="-9"/>
          <w:sz w:val="24"/>
          <w:szCs w:val="24"/>
        </w:rPr>
        <w:t xml:space="preserve">6 </w:t>
      </w:r>
      <w:r>
        <w:rPr>
          <w:rFonts w:ascii="宋体" w:hAnsi="宋体" w:eastAsia="宋体" w:cs="宋体"/>
          <w:spacing w:val="-9"/>
          <w:sz w:val="24"/>
          <w:szCs w:val="24"/>
        </w:rPr>
        <w:t>规定的其他人员的相关信息。“拟</w:t>
      </w:r>
      <w:r>
        <w:rPr>
          <w:rFonts w:ascii="宋体" w:hAnsi="宋体" w:eastAsia="宋体" w:cs="宋体"/>
          <w:spacing w:val="-10"/>
          <w:sz w:val="24"/>
          <w:szCs w:val="24"/>
        </w:rPr>
        <w:t>委任的其他管理和技术人员资历表”（如</w:t>
      </w:r>
      <w:r>
        <w:rPr>
          <w:rFonts w:ascii="宋体" w:hAnsi="宋体" w:eastAsia="宋体" w:cs="宋体"/>
          <w:sz w:val="24"/>
          <w:szCs w:val="24"/>
        </w:rPr>
        <w:t xml:space="preserve"> </w:t>
      </w:r>
      <w:r>
        <w:rPr>
          <w:rFonts w:ascii="宋体" w:hAnsi="宋体" w:eastAsia="宋体" w:cs="宋体"/>
          <w:spacing w:val="-4"/>
          <w:sz w:val="24"/>
          <w:szCs w:val="24"/>
        </w:rPr>
        <w:t>有）</w:t>
      </w:r>
      <w:r>
        <w:rPr>
          <w:rFonts w:ascii="宋体" w:hAnsi="宋体" w:eastAsia="宋体" w:cs="宋体"/>
          <w:spacing w:val="-71"/>
          <w:sz w:val="24"/>
          <w:szCs w:val="24"/>
        </w:rPr>
        <w:t xml:space="preserve"> </w:t>
      </w:r>
      <w:r>
        <w:rPr>
          <w:rFonts w:ascii="宋体" w:hAnsi="宋体" w:eastAsia="宋体" w:cs="宋体"/>
          <w:spacing w:val="-4"/>
          <w:sz w:val="24"/>
          <w:szCs w:val="24"/>
        </w:rPr>
        <w:t>中相关人员应附身份证、职称资格证书以及资格审查条件所要求的其他相</w:t>
      </w:r>
      <w:r>
        <w:rPr>
          <w:rFonts w:ascii="宋体" w:hAnsi="宋体" w:eastAsia="宋体" w:cs="宋体"/>
          <w:spacing w:val="-5"/>
          <w:sz w:val="24"/>
          <w:szCs w:val="24"/>
        </w:rPr>
        <w:t>关证书</w:t>
      </w:r>
      <w:r>
        <w:rPr>
          <w:rFonts w:ascii="宋体" w:hAnsi="宋体" w:eastAsia="宋体" w:cs="宋体"/>
          <w:sz w:val="24"/>
          <w:szCs w:val="24"/>
        </w:rPr>
        <w:t xml:space="preserve"> </w:t>
      </w:r>
      <w:r>
        <w:rPr>
          <w:rFonts w:ascii="宋体" w:hAnsi="宋体" w:eastAsia="宋体" w:cs="宋体"/>
          <w:spacing w:val="-3"/>
          <w:sz w:val="24"/>
          <w:szCs w:val="24"/>
        </w:rPr>
        <w:t>的复印件，相关业绩证明材料复印件，以及投标人所属社保机构出具的社保缴费证明</w:t>
      </w:r>
    </w:p>
    <w:p>
      <w:pPr>
        <w:keepNext w:val="0"/>
        <w:keepLines w:val="0"/>
        <w:pageBreakBefore w:val="0"/>
        <w:wordWrap/>
        <w:overflowPunct/>
        <w:topLinePunct w:val="0"/>
        <w:autoSpaceDE w:val="0"/>
        <w:autoSpaceDN w:val="0"/>
        <w:bidi w:val="0"/>
        <w:spacing w:before="1" w:line="360" w:lineRule="auto"/>
        <w:ind w:left="41"/>
        <w:rPr>
          <w:rFonts w:ascii="宋体" w:hAnsi="宋体" w:eastAsia="宋体" w:cs="宋体"/>
          <w:sz w:val="24"/>
          <w:szCs w:val="24"/>
        </w:rPr>
      </w:pPr>
      <w:r>
        <w:rPr>
          <w:rFonts w:ascii="宋体" w:hAnsi="宋体" w:eastAsia="宋体" w:cs="宋体"/>
          <w:spacing w:val="-1"/>
          <w:sz w:val="24"/>
          <w:szCs w:val="24"/>
        </w:rPr>
        <w:t>或其他能够证明其参加社保的有效证明材料复印件。</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115" w:line="360" w:lineRule="auto"/>
        <w:ind w:left="43" w:right="86" w:firstLine="474"/>
        <w:rPr>
          <w:rFonts w:ascii="Times New Roman" w:hAnsi="Times New Roman" w:eastAsia="Times New Roman" w:cs="Times New Roman"/>
          <w:spacing w:val="-8"/>
          <w:sz w:val="24"/>
          <w:szCs w:val="24"/>
        </w:rPr>
      </w:pPr>
      <w:r>
        <w:rPr>
          <w:rFonts w:ascii="Times New Roman" w:hAnsi="Times New Roman" w:eastAsia="Times New Roman" w:cs="Times New Roman"/>
          <w:spacing w:val="-8"/>
          <w:sz w:val="24"/>
          <w:szCs w:val="24"/>
        </w:rPr>
        <w:t>3.5.7 “拟投入本标段的主要设备表 ”（如有）应填报满足本章前附表附录 7 规定的主要设备。</w:t>
      </w:r>
    </w:p>
    <w:p>
      <w:pPr>
        <w:keepNext w:val="0"/>
        <w:keepLines w:val="0"/>
        <w:pageBreakBefore w:val="0"/>
        <w:wordWrap/>
        <w:overflowPunct/>
        <w:topLinePunct w:val="0"/>
        <w:autoSpaceDE w:val="0"/>
        <w:autoSpaceDN w:val="0"/>
        <w:bidi w:val="0"/>
        <w:spacing w:before="115" w:line="360" w:lineRule="auto"/>
        <w:ind w:left="43" w:right="86" w:firstLine="474"/>
        <w:rPr>
          <w:rFonts w:ascii="宋体" w:hAnsi="宋体" w:eastAsia="宋体" w:cs="宋体"/>
          <w:sz w:val="24"/>
          <w:szCs w:val="24"/>
        </w:rPr>
      </w:pPr>
      <w:r>
        <w:rPr>
          <w:rFonts w:ascii="Times New Roman" w:hAnsi="Times New Roman" w:eastAsia="Times New Roman" w:cs="Times New Roman"/>
          <w:spacing w:val="-1"/>
          <w:sz w:val="24"/>
          <w:szCs w:val="24"/>
        </w:rPr>
        <w:t xml:space="preserve">3.5.8  </w:t>
      </w:r>
      <w:r>
        <w:rPr>
          <w:rFonts w:ascii="宋体" w:hAnsi="宋体" w:eastAsia="宋体" w:cs="宋体"/>
          <w:spacing w:val="-1"/>
          <w:sz w:val="24"/>
          <w:szCs w:val="24"/>
        </w:rPr>
        <w:t>投标人须知前附表规定接受联合体投标的，本章第</w:t>
      </w:r>
      <w:r>
        <w:rPr>
          <w:rFonts w:ascii="宋体" w:hAnsi="宋体" w:eastAsia="宋体" w:cs="宋体"/>
          <w:spacing w:val="-42"/>
          <w:sz w:val="24"/>
          <w:szCs w:val="24"/>
        </w:rPr>
        <w:t xml:space="preserve"> </w:t>
      </w:r>
      <w:r>
        <w:rPr>
          <w:rFonts w:ascii="Times New Roman" w:hAnsi="Times New Roman" w:eastAsia="Times New Roman" w:cs="Times New Roman"/>
          <w:spacing w:val="-1"/>
          <w:sz w:val="24"/>
          <w:szCs w:val="24"/>
        </w:rPr>
        <w:t>3.</w:t>
      </w:r>
      <w:r>
        <w:rPr>
          <w:rFonts w:ascii="Times New Roman" w:hAnsi="Times New Roman" w:eastAsia="Times New Roman" w:cs="Times New Roman"/>
          <w:spacing w:val="-2"/>
          <w:sz w:val="24"/>
          <w:szCs w:val="24"/>
        </w:rPr>
        <w:t>5.1</w:t>
      </w:r>
      <w:r>
        <w:rPr>
          <w:rFonts w:ascii="Times New Roman" w:hAnsi="Times New Roman" w:eastAsia="Times New Roman" w:cs="Times New Roman"/>
          <w:spacing w:val="20"/>
          <w:sz w:val="24"/>
          <w:szCs w:val="24"/>
        </w:rPr>
        <w:t xml:space="preserve"> </w:t>
      </w:r>
      <w:r>
        <w:rPr>
          <w:rFonts w:ascii="宋体" w:hAnsi="宋体" w:eastAsia="宋体" w:cs="宋体"/>
          <w:spacing w:val="-2"/>
          <w:sz w:val="24"/>
          <w:szCs w:val="24"/>
        </w:rPr>
        <w:t>项至第</w:t>
      </w:r>
      <w:r>
        <w:rPr>
          <w:rFonts w:ascii="宋体" w:hAnsi="宋体" w:eastAsia="宋体" w:cs="宋体"/>
          <w:spacing w:val="-42"/>
          <w:sz w:val="24"/>
          <w:szCs w:val="24"/>
        </w:rPr>
        <w:t xml:space="preserve"> </w:t>
      </w:r>
      <w:r>
        <w:rPr>
          <w:rFonts w:ascii="Times New Roman" w:hAnsi="Times New Roman" w:eastAsia="Times New Roman" w:cs="Times New Roman"/>
          <w:spacing w:val="-2"/>
          <w:sz w:val="24"/>
          <w:szCs w:val="24"/>
        </w:rPr>
        <w:t>3.5.7</w:t>
      </w:r>
      <w:r>
        <w:rPr>
          <w:rFonts w:ascii="Times New Roman" w:hAnsi="Times New Roman" w:eastAsia="Times New Roman" w:cs="Times New Roman"/>
          <w:spacing w:val="20"/>
          <w:sz w:val="24"/>
          <w:szCs w:val="24"/>
        </w:rPr>
        <w:t xml:space="preserve"> </w:t>
      </w:r>
      <w:r>
        <w:rPr>
          <w:rFonts w:ascii="宋体" w:hAnsi="宋体" w:eastAsia="宋体" w:cs="宋体"/>
          <w:spacing w:val="-2"/>
          <w:sz w:val="24"/>
          <w:szCs w:val="24"/>
        </w:rPr>
        <w:t>项规</w:t>
      </w:r>
      <w:r>
        <w:rPr>
          <w:rFonts w:ascii="宋体" w:hAnsi="宋体" w:eastAsia="宋体" w:cs="宋体"/>
          <w:sz w:val="24"/>
          <w:szCs w:val="24"/>
        </w:rPr>
        <w:t xml:space="preserve"> </w:t>
      </w:r>
      <w:r>
        <w:rPr>
          <w:rFonts w:ascii="宋体" w:hAnsi="宋体" w:eastAsia="宋体" w:cs="宋体"/>
          <w:spacing w:val="-3"/>
          <w:sz w:val="24"/>
          <w:szCs w:val="24"/>
        </w:rPr>
        <w:t>定的表格和资料应包括联合体各方相关情况。</w:t>
      </w:r>
    </w:p>
    <w:p>
      <w:pPr>
        <w:keepNext w:val="0"/>
        <w:keepLines w:val="0"/>
        <w:pageBreakBefore w:val="0"/>
        <w:wordWrap/>
        <w:overflowPunct/>
        <w:topLinePunct w:val="0"/>
        <w:autoSpaceDE w:val="0"/>
        <w:autoSpaceDN w:val="0"/>
        <w:bidi w:val="0"/>
        <w:spacing w:before="115" w:line="360" w:lineRule="auto"/>
        <w:ind w:left="518"/>
        <w:rPr>
          <w:rFonts w:ascii="宋体" w:hAnsi="宋体" w:eastAsia="宋体" w:cs="宋体"/>
          <w:sz w:val="24"/>
          <w:szCs w:val="24"/>
        </w:rPr>
      </w:pPr>
      <w:r>
        <w:rPr>
          <w:rFonts w:ascii="Times New Roman" w:hAnsi="Times New Roman" w:eastAsia="Times New Roman" w:cs="Times New Roman"/>
          <w:position w:val="11"/>
          <w:sz w:val="24"/>
          <w:szCs w:val="24"/>
        </w:rPr>
        <w:t xml:space="preserve">3.5.9  </w:t>
      </w:r>
      <w:r>
        <w:rPr>
          <w:rFonts w:ascii="宋体" w:hAnsi="宋体" w:eastAsia="宋体" w:cs="宋体"/>
          <w:position w:val="11"/>
          <w:sz w:val="24"/>
          <w:szCs w:val="24"/>
        </w:rPr>
        <w:t>除合同条款约定的特殊情形外，投标人在投标文件中填报的项目经理和项</w:t>
      </w:r>
    </w:p>
    <w:p>
      <w:pPr>
        <w:keepNext w:val="0"/>
        <w:keepLines w:val="0"/>
        <w:pageBreakBefore w:val="0"/>
        <w:wordWrap/>
        <w:overflowPunct/>
        <w:topLinePunct w:val="0"/>
        <w:autoSpaceDE w:val="0"/>
        <w:autoSpaceDN w:val="0"/>
        <w:bidi w:val="0"/>
        <w:spacing w:line="360" w:lineRule="auto"/>
        <w:ind w:left="84"/>
        <w:rPr>
          <w:rFonts w:ascii="宋体" w:hAnsi="宋体" w:eastAsia="宋体" w:cs="宋体"/>
          <w:sz w:val="24"/>
          <w:szCs w:val="24"/>
        </w:rPr>
      </w:pPr>
      <w:r>
        <w:rPr>
          <w:rFonts w:ascii="宋体" w:hAnsi="宋体" w:eastAsia="宋体" w:cs="宋体"/>
          <w:spacing w:val="-9"/>
          <w:sz w:val="24"/>
          <w:szCs w:val="24"/>
        </w:rPr>
        <w:t>目总工不允许更换。</w:t>
      </w:r>
    </w:p>
    <w:p>
      <w:pPr>
        <w:keepNext w:val="0"/>
        <w:keepLines w:val="0"/>
        <w:pageBreakBefore w:val="0"/>
        <w:wordWrap/>
        <w:overflowPunct/>
        <w:topLinePunct w:val="0"/>
        <w:autoSpaceDE w:val="0"/>
        <w:autoSpaceDN w:val="0"/>
        <w:bidi w:val="0"/>
        <w:spacing w:before="112" w:line="360" w:lineRule="auto"/>
        <w:ind w:left="36" w:right="30" w:firstLine="482"/>
        <w:rPr>
          <w:rFonts w:ascii="宋体" w:hAnsi="宋体" w:eastAsia="宋体" w:cs="宋体"/>
          <w:sz w:val="24"/>
          <w:szCs w:val="24"/>
        </w:rPr>
      </w:pPr>
      <w:r>
        <w:rPr>
          <w:rFonts w:ascii="Times New Roman" w:hAnsi="Times New Roman" w:eastAsia="Times New Roman" w:cs="Times New Roman"/>
          <w:spacing w:val="-1"/>
          <w:sz w:val="24"/>
          <w:szCs w:val="24"/>
        </w:rPr>
        <w:t xml:space="preserve">3.5.10  </w:t>
      </w:r>
      <w:r>
        <w:rPr>
          <w:rFonts w:ascii="宋体" w:hAnsi="宋体" w:eastAsia="宋体" w:cs="宋体"/>
          <w:spacing w:val="-1"/>
          <w:sz w:val="24"/>
          <w:szCs w:val="24"/>
        </w:rPr>
        <w:t>投标人在投标文件中填报的资质、业绩、主要人员资历和目前</w:t>
      </w:r>
      <w:r>
        <w:rPr>
          <w:rFonts w:ascii="宋体" w:hAnsi="宋体" w:eastAsia="宋体" w:cs="宋体"/>
          <w:spacing w:val="-2"/>
          <w:sz w:val="24"/>
          <w:szCs w:val="24"/>
        </w:rPr>
        <w:t>在岗情况、</w:t>
      </w:r>
      <w:r>
        <w:rPr>
          <w:rFonts w:ascii="宋体" w:hAnsi="宋体" w:eastAsia="宋体" w:cs="宋体"/>
          <w:sz w:val="24"/>
          <w:szCs w:val="24"/>
        </w:rPr>
        <w:t xml:space="preserve"> </w:t>
      </w:r>
      <w:r>
        <w:rPr>
          <w:rFonts w:ascii="宋体" w:hAnsi="宋体" w:eastAsia="宋体" w:cs="宋体"/>
          <w:spacing w:val="-7"/>
          <w:sz w:val="24"/>
          <w:szCs w:val="24"/>
        </w:rPr>
        <w:t>信用等级等信息，</w:t>
      </w:r>
      <w:r>
        <w:rPr>
          <w:rFonts w:ascii="宋体" w:hAnsi="宋体" w:eastAsia="宋体" w:cs="宋体"/>
          <w:spacing w:val="38"/>
          <w:sz w:val="24"/>
          <w:szCs w:val="24"/>
        </w:rPr>
        <w:t xml:space="preserve"> </w:t>
      </w:r>
      <w:r>
        <w:rPr>
          <w:rFonts w:ascii="宋体" w:hAnsi="宋体" w:eastAsia="宋体" w:cs="宋体"/>
          <w:spacing w:val="-7"/>
          <w:sz w:val="24"/>
          <w:szCs w:val="24"/>
        </w:rPr>
        <w:t>应与其在交通运输主管部门“公路建设市场信用信息管理系统”上</w:t>
      </w:r>
      <w:r>
        <w:rPr>
          <w:rFonts w:ascii="宋体" w:hAnsi="宋体" w:eastAsia="宋体" w:cs="宋体"/>
          <w:sz w:val="24"/>
          <w:szCs w:val="24"/>
        </w:rPr>
        <w:t xml:space="preserve"> </w:t>
      </w:r>
      <w:r>
        <w:rPr>
          <w:rFonts w:ascii="宋体" w:hAnsi="宋体" w:eastAsia="宋体" w:cs="宋体"/>
          <w:spacing w:val="4"/>
          <w:sz w:val="24"/>
          <w:szCs w:val="24"/>
        </w:rPr>
        <w:t>填报并发布的相关信息一致。投标人应根据本单位实际情况及时完成相关</w:t>
      </w:r>
      <w:r>
        <w:rPr>
          <w:rFonts w:ascii="宋体" w:hAnsi="宋体" w:eastAsia="宋体" w:cs="宋体"/>
          <w:spacing w:val="3"/>
          <w:sz w:val="24"/>
          <w:szCs w:val="24"/>
        </w:rPr>
        <w:t>信息的申</w:t>
      </w:r>
      <w:r>
        <w:rPr>
          <w:rFonts w:ascii="宋体" w:hAnsi="宋体" w:eastAsia="宋体" w:cs="宋体"/>
          <w:sz w:val="24"/>
          <w:szCs w:val="24"/>
        </w:rPr>
        <w:t xml:space="preserve"> </w:t>
      </w:r>
      <w:r>
        <w:rPr>
          <w:rFonts w:ascii="宋体" w:hAnsi="宋体" w:eastAsia="宋体" w:cs="宋体"/>
          <w:spacing w:val="-1"/>
          <w:sz w:val="24"/>
          <w:szCs w:val="24"/>
        </w:rPr>
        <w:t>报、录入和动态更新，并对相关信息的真实性</w:t>
      </w:r>
      <w:r>
        <w:rPr>
          <w:rFonts w:ascii="宋体" w:hAnsi="宋体" w:eastAsia="宋体" w:cs="宋体"/>
          <w:spacing w:val="-2"/>
          <w:sz w:val="24"/>
          <w:szCs w:val="24"/>
        </w:rPr>
        <w:t>、完整性和准确性负责。</w:t>
      </w:r>
    </w:p>
    <w:p>
      <w:pPr>
        <w:keepNext w:val="0"/>
        <w:keepLines w:val="0"/>
        <w:pageBreakBefore w:val="0"/>
        <w:wordWrap/>
        <w:overflowPunct/>
        <w:topLinePunct w:val="0"/>
        <w:autoSpaceDE w:val="0"/>
        <w:autoSpaceDN w:val="0"/>
        <w:bidi w:val="0"/>
        <w:spacing w:before="115" w:line="360" w:lineRule="auto"/>
        <w:ind w:left="37" w:right="86" w:firstLine="481"/>
        <w:rPr>
          <w:rFonts w:ascii="宋体" w:hAnsi="宋体" w:eastAsia="宋体" w:cs="宋体"/>
          <w:spacing w:val="-2"/>
          <w:sz w:val="24"/>
          <w:szCs w:val="24"/>
        </w:rPr>
      </w:pPr>
      <w:r>
        <w:rPr>
          <w:rFonts w:ascii="Times New Roman" w:hAnsi="Times New Roman" w:eastAsia="Times New Roman" w:cs="Times New Roman"/>
          <w:spacing w:val="-3"/>
          <w:sz w:val="24"/>
          <w:szCs w:val="24"/>
        </w:rPr>
        <w:t xml:space="preserve">3.5.11  </w:t>
      </w:r>
      <w:r>
        <w:rPr>
          <w:rFonts w:ascii="宋体" w:hAnsi="宋体" w:eastAsia="宋体" w:cs="宋体"/>
          <w:spacing w:val="-3"/>
          <w:sz w:val="24"/>
          <w:szCs w:val="24"/>
        </w:rPr>
        <w:t>招标人有权核查投标人在资格预审申请文件和投标文件中提供的资料，若</w:t>
      </w:r>
      <w:r>
        <w:rPr>
          <w:rFonts w:ascii="宋体" w:hAnsi="宋体" w:eastAsia="宋体" w:cs="宋体"/>
          <w:spacing w:val="17"/>
          <w:sz w:val="24"/>
          <w:szCs w:val="24"/>
        </w:rPr>
        <w:t xml:space="preserve"> </w:t>
      </w:r>
      <w:r>
        <w:rPr>
          <w:rFonts w:ascii="宋体" w:hAnsi="宋体" w:eastAsia="宋体" w:cs="宋体"/>
          <w:spacing w:val="-9"/>
          <w:sz w:val="24"/>
          <w:szCs w:val="24"/>
        </w:rPr>
        <w:t>在评标期间发现投标人提供了虚假资料， 其投标将被否决； 若在签订合同前发现作为</w:t>
      </w:r>
      <w:r>
        <w:rPr>
          <w:rFonts w:ascii="宋体" w:hAnsi="宋体" w:eastAsia="宋体" w:cs="宋体"/>
          <w:spacing w:val="10"/>
          <w:sz w:val="24"/>
          <w:szCs w:val="24"/>
        </w:rPr>
        <w:t xml:space="preserve"> </w:t>
      </w:r>
      <w:r>
        <w:rPr>
          <w:rFonts w:ascii="宋体" w:hAnsi="宋体" w:eastAsia="宋体" w:cs="宋体"/>
          <w:spacing w:val="-9"/>
          <w:sz w:val="24"/>
          <w:szCs w:val="24"/>
        </w:rPr>
        <w:t>中标候选人的投标人提供了虚假资料， 招标人有权取消其中标资格； 若在合同实施期</w:t>
      </w:r>
      <w:r>
        <w:rPr>
          <w:rFonts w:ascii="宋体" w:hAnsi="宋体" w:eastAsia="宋体" w:cs="宋体"/>
          <w:spacing w:val="10"/>
          <w:sz w:val="24"/>
          <w:szCs w:val="24"/>
        </w:rPr>
        <w:t xml:space="preserve"> </w:t>
      </w:r>
      <w:r>
        <w:rPr>
          <w:rFonts w:ascii="宋体" w:hAnsi="宋体" w:eastAsia="宋体" w:cs="宋体"/>
          <w:spacing w:val="-5"/>
          <w:sz w:val="24"/>
          <w:szCs w:val="24"/>
        </w:rPr>
        <w:t>间发现投标人提供了虚假资料，</w:t>
      </w:r>
      <w:r>
        <w:rPr>
          <w:rFonts w:ascii="宋体" w:hAnsi="宋体" w:eastAsia="宋体" w:cs="宋体"/>
          <w:spacing w:val="-28"/>
          <w:sz w:val="24"/>
          <w:szCs w:val="24"/>
        </w:rPr>
        <w:t xml:space="preserve"> </w:t>
      </w:r>
      <w:r>
        <w:rPr>
          <w:rFonts w:ascii="宋体" w:hAnsi="宋体" w:eastAsia="宋体" w:cs="宋体"/>
          <w:spacing w:val="-5"/>
          <w:sz w:val="24"/>
          <w:szCs w:val="24"/>
        </w:rPr>
        <w:t>招标人有权从工程支付款或履约保证</w:t>
      </w:r>
      <w:r>
        <w:rPr>
          <w:rFonts w:ascii="宋体" w:hAnsi="宋体" w:eastAsia="宋体" w:cs="宋体"/>
          <w:spacing w:val="-6"/>
          <w:sz w:val="24"/>
          <w:szCs w:val="24"/>
        </w:rPr>
        <w:t>金中扣除不超过</w:t>
      </w:r>
      <w:r>
        <w:rPr>
          <w:rFonts w:ascii="宋体" w:hAnsi="宋体" w:eastAsia="宋体" w:cs="宋体"/>
          <w:sz w:val="24"/>
          <w:szCs w:val="24"/>
        </w:rPr>
        <w:t xml:space="preserve"> </w:t>
      </w:r>
      <w:r>
        <w:rPr>
          <w:rFonts w:ascii="Times New Roman" w:hAnsi="Times New Roman" w:eastAsia="Times New Roman" w:cs="Times New Roman"/>
          <w:spacing w:val="-3"/>
          <w:sz w:val="24"/>
          <w:szCs w:val="24"/>
        </w:rPr>
        <w:t>10</w:t>
      </w:r>
      <w:r>
        <w:rPr>
          <w:rFonts w:ascii="宋体" w:hAnsi="宋体" w:eastAsia="宋体" w:cs="宋体"/>
          <w:spacing w:val="-3"/>
          <w:sz w:val="24"/>
          <w:szCs w:val="24"/>
        </w:rPr>
        <w:t>％签约合同价的金额作为违约金。同时招标人将投标人上述弄虚作假行为上报省级</w:t>
      </w:r>
      <w:r>
        <w:rPr>
          <w:rFonts w:ascii="宋体" w:hAnsi="宋体" w:eastAsia="宋体" w:cs="宋体"/>
          <w:spacing w:val="13"/>
          <w:sz w:val="24"/>
          <w:szCs w:val="24"/>
        </w:rPr>
        <w:t xml:space="preserve"> </w:t>
      </w:r>
      <w:r>
        <w:rPr>
          <w:rFonts w:ascii="宋体" w:hAnsi="宋体" w:eastAsia="宋体" w:cs="宋体"/>
          <w:spacing w:val="-1"/>
          <w:sz w:val="24"/>
          <w:szCs w:val="24"/>
        </w:rPr>
        <w:t>交通运输主管部门，作为不良记录纳入公路建设</w:t>
      </w:r>
      <w:r>
        <w:rPr>
          <w:rFonts w:ascii="宋体" w:hAnsi="宋体" w:eastAsia="宋体" w:cs="宋体"/>
          <w:spacing w:val="-2"/>
          <w:sz w:val="24"/>
          <w:szCs w:val="24"/>
        </w:rPr>
        <w:t>市场信用信息管理系统。</w:t>
      </w:r>
    </w:p>
    <w:p>
      <w:pPr>
        <w:keepNext w:val="0"/>
        <w:keepLines w:val="0"/>
        <w:pageBreakBefore w:val="0"/>
        <w:wordWrap/>
        <w:overflowPunct/>
        <w:topLinePunct w:val="0"/>
        <w:autoSpaceDE w:val="0"/>
        <w:autoSpaceDN w:val="0"/>
        <w:bidi w:val="0"/>
        <w:spacing w:before="267" w:line="360" w:lineRule="auto"/>
        <w:ind w:left="38"/>
        <w:rPr>
          <w:rFonts w:ascii="黑体" w:hAnsi="黑体" w:eastAsia="黑体" w:cs="黑体"/>
          <w:sz w:val="24"/>
          <w:szCs w:val="24"/>
        </w:rPr>
      </w:pPr>
      <w:r>
        <w:rPr>
          <w:rFonts w:ascii="黑体" w:hAnsi="黑体" w:eastAsia="黑体" w:cs="黑体"/>
          <w:spacing w:val="-1"/>
          <w:sz w:val="24"/>
          <w:szCs w:val="24"/>
        </w:rPr>
        <w:t>3.6 备选投标方案</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left="41" w:right="93" w:firstLine="477"/>
        <w:rPr>
          <w:rFonts w:ascii="宋体" w:hAnsi="宋体" w:eastAsia="宋体" w:cs="宋体"/>
          <w:sz w:val="24"/>
          <w:szCs w:val="24"/>
        </w:rPr>
      </w:pPr>
      <w:r>
        <w:rPr>
          <w:rFonts w:ascii="Times New Roman" w:hAnsi="Times New Roman" w:eastAsia="Times New Roman" w:cs="Times New Roman"/>
          <w:sz w:val="24"/>
          <w:szCs w:val="24"/>
        </w:rPr>
        <w:t xml:space="preserve">3.6.1  </w:t>
      </w:r>
      <w:r>
        <w:rPr>
          <w:rFonts w:ascii="宋体" w:hAnsi="宋体" w:eastAsia="宋体" w:cs="宋体"/>
          <w:sz w:val="24"/>
          <w:szCs w:val="24"/>
        </w:rPr>
        <w:t>除投标人须知前附表规定允许外，投标人不得递交备选投标方案，否则其</w:t>
      </w:r>
      <w:r>
        <w:rPr>
          <w:rFonts w:ascii="宋体" w:hAnsi="宋体" w:eastAsia="宋体" w:cs="宋体"/>
          <w:spacing w:val="12"/>
          <w:sz w:val="24"/>
          <w:szCs w:val="24"/>
        </w:rPr>
        <w:t xml:space="preserve"> </w:t>
      </w:r>
      <w:r>
        <w:rPr>
          <w:rFonts w:ascii="宋体" w:hAnsi="宋体" w:eastAsia="宋体" w:cs="宋体"/>
          <w:spacing w:val="-6"/>
          <w:sz w:val="24"/>
          <w:szCs w:val="24"/>
        </w:rPr>
        <w:t>投标将被否决。</w:t>
      </w:r>
    </w:p>
    <w:p>
      <w:pPr>
        <w:keepNext w:val="0"/>
        <w:keepLines w:val="0"/>
        <w:pageBreakBefore w:val="0"/>
        <w:wordWrap/>
        <w:overflowPunct/>
        <w:topLinePunct w:val="0"/>
        <w:autoSpaceDE w:val="0"/>
        <w:autoSpaceDN w:val="0"/>
        <w:bidi w:val="0"/>
        <w:spacing w:before="117" w:line="360" w:lineRule="auto"/>
        <w:ind w:left="39" w:right="88" w:firstLine="479"/>
        <w:rPr>
          <w:rFonts w:ascii="宋体" w:hAnsi="宋体" w:eastAsia="宋体" w:cs="宋体"/>
          <w:sz w:val="24"/>
          <w:szCs w:val="24"/>
        </w:rPr>
      </w:pPr>
      <w:r>
        <w:rPr>
          <w:rFonts w:ascii="Times New Roman" w:hAnsi="Times New Roman" w:eastAsia="Times New Roman" w:cs="Times New Roman"/>
          <w:sz w:val="24"/>
          <w:szCs w:val="24"/>
        </w:rPr>
        <w:t xml:space="preserve">3.6.2  </w:t>
      </w:r>
      <w:r>
        <w:rPr>
          <w:rFonts w:ascii="宋体" w:hAnsi="宋体" w:eastAsia="宋体" w:cs="宋体"/>
          <w:sz w:val="24"/>
          <w:szCs w:val="24"/>
        </w:rPr>
        <w:t>允许投标人递交备选投标方案的，只有中标人所递交的备选投标方案方可</w:t>
      </w:r>
      <w:r>
        <w:rPr>
          <w:rFonts w:ascii="宋体" w:hAnsi="宋体" w:eastAsia="宋体" w:cs="宋体"/>
          <w:spacing w:val="12"/>
          <w:sz w:val="24"/>
          <w:szCs w:val="24"/>
        </w:rPr>
        <w:t xml:space="preserve"> </w:t>
      </w:r>
      <w:r>
        <w:rPr>
          <w:rFonts w:ascii="宋体" w:hAnsi="宋体" w:eastAsia="宋体" w:cs="宋体"/>
          <w:spacing w:val="-3"/>
          <w:sz w:val="24"/>
          <w:szCs w:val="24"/>
        </w:rPr>
        <w:t>予以考虑。评标委员会认为中标人的备选投标方案优于其按照招标文件要求编制的投</w:t>
      </w:r>
      <w:r>
        <w:rPr>
          <w:rFonts w:ascii="宋体" w:hAnsi="宋体" w:eastAsia="宋体" w:cs="宋体"/>
          <w:spacing w:val="8"/>
          <w:sz w:val="24"/>
          <w:szCs w:val="24"/>
        </w:rPr>
        <w:t xml:space="preserve"> </w:t>
      </w:r>
      <w:r>
        <w:rPr>
          <w:rFonts w:ascii="宋体" w:hAnsi="宋体" w:eastAsia="宋体" w:cs="宋体"/>
          <w:spacing w:val="-3"/>
          <w:sz w:val="24"/>
          <w:szCs w:val="24"/>
        </w:rPr>
        <w:t>标方案的，招标人可以接受该备选投标方案。</w:t>
      </w:r>
    </w:p>
    <w:p>
      <w:pPr>
        <w:keepNext w:val="0"/>
        <w:keepLines w:val="0"/>
        <w:pageBreakBefore w:val="0"/>
        <w:wordWrap/>
        <w:overflowPunct/>
        <w:topLinePunct w:val="0"/>
        <w:autoSpaceDE w:val="0"/>
        <w:autoSpaceDN w:val="0"/>
        <w:bidi w:val="0"/>
        <w:spacing w:before="115" w:line="360" w:lineRule="auto"/>
        <w:ind w:left="518"/>
        <w:rPr>
          <w:rFonts w:ascii="宋体" w:hAnsi="宋体" w:eastAsia="宋体" w:cs="宋体"/>
          <w:sz w:val="24"/>
          <w:szCs w:val="24"/>
        </w:rPr>
      </w:pPr>
      <w:r>
        <w:rPr>
          <w:rFonts w:ascii="Times New Roman" w:hAnsi="Times New Roman" w:eastAsia="Times New Roman" w:cs="Times New Roman"/>
          <w:position w:val="11"/>
          <w:sz w:val="24"/>
          <w:szCs w:val="24"/>
        </w:rPr>
        <w:t xml:space="preserve">3.6.3  </w:t>
      </w:r>
      <w:r>
        <w:rPr>
          <w:rFonts w:ascii="宋体" w:hAnsi="宋体" w:eastAsia="宋体" w:cs="宋体"/>
          <w:position w:val="11"/>
          <w:sz w:val="24"/>
          <w:szCs w:val="24"/>
        </w:rPr>
        <w:t>投标人提供两个或两个以上投标报价，或在投标文件中提供一个报价，但</w:t>
      </w:r>
    </w:p>
    <w:p>
      <w:pPr>
        <w:keepNext w:val="0"/>
        <w:keepLines w:val="0"/>
        <w:pageBreakBefore w:val="0"/>
        <w:wordWrap/>
        <w:overflowPunct/>
        <w:topLinePunct w:val="0"/>
        <w:autoSpaceDE w:val="0"/>
        <w:autoSpaceDN w:val="0"/>
        <w:bidi w:val="0"/>
        <w:spacing w:before="1" w:line="360" w:lineRule="auto"/>
        <w:ind w:left="61"/>
        <w:rPr>
          <w:rFonts w:ascii="宋体" w:hAnsi="宋体" w:eastAsia="宋体" w:cs="宋体"/>
          <w:sz w:val="24"/>
          <w:szCs w:val="24"/>
        </w:rPr>
      </w:pPr>
      <w:r>
        <w:rPr>
          <w:rFonts w:ascii="宋体" w:hAnsi="宋体" w:eastAsia="宋体" w:cs="宋体"/>
          <w:spacing w:val="-2"/>
          <w:sz w:val="24"/>
          <w:szCs w:val="24"/>
        </w:rPr>
        <w:t>同时提供两个或两个以上施工组织设计的，</w:t>
      </w:r>
      <w:r>
        <w:rPr>
          <w:rFonts w:ascii="宋体" w:hAnsi="宋体" w:eastAsia="宋体" w:cs="宋体"/>
          <w:spacing w:val="-3"/>
          <w:sz w:val="24"/>
          <w:szCs w:val="24"/>
        </w:rPr>
        <w:t>视为提供备选方案。</w:t>
      </w:r>
    </w:p>
    <w:p>
      <w:pPr>
        <w:keepNext w:val="0"/>
        <w:keepLines w:val="0"/>
        <w:pageBreakBefore w:val="0"/>
        <w:wordWrap/>
        <w:overflowPunct/>
        <w:topLinePunct w:val="0"/>
        <w:autoSpaceDE w:val="0"/>
        <w:autoSpaceDN w:val="0"/>
        <w:bidi w:val="0"/>
        <w:spacing w:before="265" w:line="360" w:lineRule="auto"/>
        <w:ind w:left="38"/>
        <w:rPr>
          <w:rFonts w:ascii="黑体" w:hAnsi="黑体" w:eastAsia="黑体" w:cs="黑体"/>
          <w:sz w:val="24"/>
          <w:szCs w:val="24"/>
        </w:rPr>
      </w:pPr>
      <w:r>
        <w:rPr>
          <w:rFonts w:ascii="黑体" w:hAnsi="黑体" w:eastAsia="黑体" w:cs="黑体"/>
          <w:spacing w:val="-1"/>
          <w:sz w:val="24"/>
          <w:szCs w:val="24"/>
        </w:rPr>
        <w:t>3.7 投标文件的编制</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9" w:line="360" w:lineRule="auto"/>
        <w:ind w:left="39" w:right="21" w:firstLine="479"/>
        <w:jc w:val="both"/>
        <w:rPr>
          <w:rFonts w:ascii="宋体" w:hAnsi="宋体" w:eastAsia="宋体" w:cs="宋体"/>
          <w:sz w:val="24"/>
          <w:szCs w:val="24"/>
        </w:rPr>
      </w:pPr>
      <w:r>
        <w:rPr>
          <w:rFonts w:ascii="Times New Roman" w:hAnsi="Times New Roman" w:eastAsia="Times New Roman" w:cs="Times New Roman"/>
          <w:spacing w:val="-9"/>
          <w:sz w:val="24"/>
          <w:szCs w:val="24"/>
        </w:rPr>
        <w:t xml:space="preserve">3.7.1  </w:t>
      </w:r>
      <w:r>
        <w:rPr>
          <w:rFonts w:ascii="宋体" w:hAnsi="宋体" w:eastAsia="宋体" w:cs="宋体"/>
          <w:spacing w:val="-9"/>
          <w:sz w:val="24"/>
          <w:szCs w:val="24"/>
        </w:rPr>
        <w:t>投标文件应按第九章</w:t>
      </w:r>
      <w:r>
        <w:rPr>
          <w:rFonts w:ascii="Times New Roman" w:hAnsi="Times New Roman" w:eastAsia="Times New Roman" w:cs="Times New Roman"/>
          <w:spacing w:val="-9"/>
          <w:sz w:val="24"/>
          <w:szCs w:val="24"/>
        </w:rPr>
        <w:t>“</w:t>
      </w:r>
      <w:r>
        <w:rPr>
          <w:rFonts w:ascii="宋体" w:hAnsi="宋体" w:eastAsia="宋体" w:cs="宋体"/>
          <w:spacing w:val="-9"/>
          <w:sz w:val="24"/>
          <w:szCs w:val="24"/>
        </w:rPr>
        <w:t>投标文件格式</w:t>
      </w:r>
      <w:r>
        <w:rPr>
          <w:rFonts w:ascii="Times New Roman" w:hAnsi="Times New Roman" w:eastAsia="Times New Roman" w:cs="Times New Roman"/>
          <w:spacing w:val="-9"/>
          <w:sz w:val="24"/>
          <w:szCs w:val="24"/>
        </w:rPr>
        <w:t>”</w:t>
      </w:r>
      <w:r>
        <w:rPr>
          <w:rFonts w:ascii="宋体" w:hAnsi="宋体" w:eastAsia="宋体" w:cs="宋体"/>
          <w:spacing w:val="-9"/>
          <w:sz w:val="24"/>
          <w:szCs w:val="24"/>
        </w:rPr>
        <w:t>进行编写， 如有必要， 可以增加附页，</w:t>
      </w:r>
      <w:r>
        <w:rPr>
          <w:rFonts w:ascii="宋体" w:hAnsi="宋体" w:eastAsia="宋体" w:cs="宋体"/>
          <w:spacing w:val="18"/>
          <w:sz w:val="24"/>
          <w:szCs w:val="24"/>
        </w:rPr>
        <w:t xml:space="preserve"> </w:t>
      </w:r>
      <w:r>
        <w:rPr>
          <w:rFonts w:ascii="宋体" w:hAnsi="宋体" w:eastAsia="宋体" w:cs="宋体"/>
          <w:spacing w:val="-2"/>
          <w:sz w:val="24"/>
          <w:szCs w:val="24"/>
        </w:rPr>
        <w:t>作为投标文件的组成部分。其中，投标函附录在满足招标文件实质性要求的基础上，</w:t>
      </w:r>
      <w:r>
        <w:rPr>
          <w:rFonts w:ascii="宋体" w:hAnsi="宋体" w:eastAsia="宋体" w:cs="宋体"/>
          <w:spacing w:val="9"/>
          <w:sz w:val="24"/>
          <w:szCs w:val="24"/>
        </w:rPr>
        <w:t xml:space="preserve"> </w:t>
      </w:r>
      <w:r>
        <w:rPr>
          <w:rFonts w:ascii="宋体" w:hAnsi="宋体" w:eastAsia="宋体" w:cs="宋体"/>
          <w:spacing w:val="-2"/>
          <w:sz w:val="24"/>
          <w:szCs w:val="24"/>
        </w:rPr>
        <w:t>可以提出比招标文件要求更有利于招标人的承诺。</w:t>
      </w:r>
    </w:p>
    <w:p>
      <w:pPr>
        <w:keepNext w:val="0"/>
        <w:keepLines w:val="0"/>
        <w:pageBreakBefore w:val="0"/>
        <w:wordWrap/>
        <w:overflowPunct/>
        <w:topLinePunct w:val="0"/>
        <w:autoSpaceDE w:val="0"/>
        <w:autoSpaceDN w:val="0"/>
        <w:bidi w:val="0"/>
        <w:spacing w:before="116" w:line="360" w:lineRule="auto"/>
        <w:ind w:left="518"/>
        <w:rPr>
          <w:rFonts w:ascii="宋体" w:hAnsi="宋体" w:eastAsia="宋体" w:cs="宋体"/>
          <w:sz w:val="24"/>
          <w:szCs w:val="24"/>
        </w:rPr>
      </w:pPr>
      <w:r>
        <w:rPr>
          <w:rFonts w:ascii="Times New Roman" w:hAnsi="Times New Roman" w:eastAsia="Times New Roman" w:cs="Times New Roman"/>
          <w:spacing w:val="-2"/>
          <w:position w:val="11"/>
          <w:sz w:val="24"/>
          <w:szCs w:val="24"/>
        </w:rPr>
        <w:t xml:space="preserve">3.7.2  </w:t>
      </w:r>
      <w:r>
        <w:rPr>
          <w:rFonts w:ascii="宋体" w:hAnsi="宋体" w:eastAsia="宋体" w:cs="宋体"/>
          <w:spacing w:val="-2"/>
          <w:position w:val="11"/>
          <w:sz w:val="24"/>
          <w:szCs w:val="24"/>
        </w:rPr>
        <w:t>投标文件应对招标文件有关工期、投标有效期</w:t>
      </w:r>
      <w:r>
        <w:rPr>
          <w:rFonts w:ascii="宋体" w:hAnsi="宋体" w:eastAsia="宋体" w:cs="宋体"/>
          <w:spacing w:val="-3"/>
          <w:position w:val="11"/>
          <w:sz w:val="24"/>
          <w:szCs w:val="24"/>
        </w:rPr>
        <w:t>、质量要求、安全目标、技</w:t>
      </w:r>
    </w:p>
    <w:p>
      <w:pPr>
        <w:keepNext w:val="0"/>
        <w:keepLines w:val="0"/>
        <w:pageBreakBefore w:val="0"/>
        <w:wordWrap/>
        <w:overflowPunct/>
        <w:topLinePunct w:val="0"/>
        <w:autoSpaceDE w:val="0"/>
        <w:autoSpaceDN w:val="0"/>
        <w:bidi w:val="0"/>
        <w:spacing w:line="360" w:lineRule="auto"/>
        <w:ind w:left="40"/>
        <w:rPr>
          <w:rFonts w:ascii="宋体" w:hAnsi="宋体" w:eastAsia="宋体" w:cs="宋体"/>
          <w:sz w:val="24"/>
          <w:szCs w:val="24"/>
        </w:rPr>
      </w:pPr>
      <w:r>
        <w:rPr>
          <w:rFonts w:ascii="宋体" w:hAnsi="宋体" w:eastAsia="宋体" w:cs="宋体"/>
          <w:spacing w:val="-2"/>
          <w:sz w:val="24"/>
          <w:szCs w:val="24"/>
        </w:rPr>
        <w:t>术标准和要求、招标范围等实质性内容作出响应。</w:t>
      </w:r>
    </w:p>
    <w:p>
      <w:pPr>
        <w:keepNext w:val="0"/>
        <w:keepLines w:val="0"/>
        <w:pageBreakBefore w:val="0"/>
        <w:wordWrap/>
        <w:overflowPunct/>
        <w:topLinePunct w:val="0"/>
        <w:autoSpaceDE w:val="0"/>
        <w:autoSpaceDN w:val="0"/>
        <w:bidi w:val="0"/>
        <w:spacing w:before="113" w:line="360" w:lineRule="auto"/>
        <w:ind w:left="518"/>
        <w:rPr>
          <w:rFonts w:ascii="Arial"/>
          <w:sz w:val="21"/>
        </w:rPr>
      </w:pPr>
      <w:r>
        <w:rPr>
          <w:rFonts w:ascii="Times New Roman" w:hAnsi="Times New Roman" w:eastAsia="Times New Roman" w:cs="Times New Roman"/>
          <w:sz w:val="24"/>
          <w:szCs w:val="24"/>
        </w:rPr>
        <w:t xml:space="preserve">3.7.3  </w:t>
      </w:r>
      <w:r>
        <w:rPr>
          <w:rFonts w:ascii="宋体" w:hAnsi="宋体" w:eastAsia="宋体" w:cs="宋体"/>
          <w:sz w:val="24"/>
          <w:szCs w:val="24"/>
        </w:rPr>
        <w:t>投标文件应用不褪色的材料书写或打印。投标文件格式中明确要求投标人</w:t>
      </w:r>
    </w:p>
    <w:p>
      <w:pPr>
        <w:keepNext w:val="0"/>
        <w:keepLines w:val="0"/>
        <w:pageBreakBefore w:val="0"/>
        <w:wordWrap/>
        <w:overflowPunct/>
        <w:topLinePunct w:val="0"/>
        <w:autoSpaceDE w:val="0"/>
        <w:autoSpaceDN w:val="0"/>
        <w:bidi w:val="0"/>
        <w:spacing w:before="78" w:line="360" w:lineRule="auto"/>
        <w:ind w:right="46"/>
        <w:jc w:val="both"/>
        <w:rPr>
          <w:rFonts w:ascii="宋体" w:hAnsi="宋体" w:eastAsia="宋体" w:cs="宋体"/>
          <w:sz w:val="24"/>
          <w:szCs w:val="24"/>
        </w:rPr>
      </w:pPr>
      <w:r>
        <w:rPr>
          <w:rFonts w:ascii="宋体" w:hAnsi="宋体" w:eastAsia="宋体" w:cs="宋体"/>
          <w:spacing w:val="-11"/>
          <w:sz w:val="24"/>
          <w:szCs w:val="24"/>
        </w:rPr>
        <w:t>法定代表人或其委托代理人签字之处，必须由相关人员亲笔签名</w:t>
      </w:r>
      <w:r>
        <w:rPr>
          <w:rFonts w:ascii="宋体" w:hAnsi="宋体" w:eastAsia="宋体" w:cs="宋体"/>
          <w:spacing w:val="-12"/>
          <w:sz w:val="24"/>
          <w:szCs w:val="24"/>
        </w:rPr>
        <w:t>，不得使用印章、签</w:t>
      </w:r>
      <w:r>
        <w:rPr>
          <w:rFonts w:ascii="宋体" w:hAnsi="宋体" w:eastAsia="宋体" w:cs="宋体"/>
          <w:sz w:val="24"/>
          <w:szCs w:val="24"/>
        </w:rPr>
        <w:t xml:space="preserve"> </w:t>
      </w:r>
      <w:r>
        <w:rPr>
          <w:rFonts w:ascii="宋体" w:hAnsi="宋体" w:eastAsia="宋体" w:cs="宋体"/>
          <w:spacing w:val="-1"/>
          <w:sz w:val="24"/>
          <w:szCs w:val="24"/>
        </w:rPr>
        <w:t>名章或其他电子制版签名代替；明确要求投标人加盖单位章之处，</w:t>
      </w:r>
      <w:r>
        <w:rPr>
          <w:rFonts w:ascii="宋体" w:hAnsi="宋体" w:eastAsia="宋体" w:cs="宋体"/>
          <w:spacing w:val="-2"/>
          <w:sz w:val="24"/>
          <w:szCs w:val="24"/>
        </w:rPr>
        <w:t>必须加盖单位章。</w:t>
      </w:r>
      <w:r>
        <w:rPr>
          <w:rFonts w:ascii="宋体" w:hAnsi="宋体" w:eastAsia="宋体" w:cs="宋体"/>
          <w:sz w:val="24"/>
          <w:szCs w:val="24"/>
        </w:rPr>
        <w:t xml:space="preserve"> </w:t>
      </w:r>
      <w:r>
        <w:rPr>
          <w:rFonts w:ascii="宋体" w:hAnsi="宋体" w:eastAsia="宋体" w:cs="宋体"/>
          <w:spacing w:val="-3"/>
          <w:sz w:val="24"/>
          <w:szCs w:val="24"/>
        </w:rPr>
        <w:t>其中，投标函、调价函及对投标文件的澄清和说明应加盖投标人单位章，或由投标人</w:t>
      </w:r>
    </w:p>
    <w:p>
      <w:pPr>
        <w:keepNext w:val="0"/>
        <w:keepLines w:val="0"/>
        <w:pageBreakBefore w:val="0"/>
        <w:wordWrap/>
        <w:overflowPunct/>
        <w:topLinePunct w:val="0"/>
        <w:autoSpaceDE w:val="0"/>
        <w:autoSpaceDN w:val="0"/>
        <w:bidi w:val="0"/>
        <w:spacing w:line="360" w:lineRule="auto"/>
        <w:ind w:left="57"/>
        <w:rPr>
          <w:rFonts w:ascii="宋体" w:hAnsi="宋体" w:eastAsia="宋体" w:cs="宋体"/>
          <w:sz w:val="24"/>
          <w:szCs w:val="24"/>
        </w:rPr>
      </w:pPr>
      <w:r>
        <w:rPr>
          <w:rFonts w:ascii="宋体" w:hAnsi="宋体" w:eastAsia="宋体" w:cs="宋体"/>
          <w:spacing w:val="-4"/>
          <w:sz w:val="24"/>
          <w:szCs w:val="24"/>
        </w:rPr>
        <w:t>的法定代表人或其委托代理人签字。</w:t>
      </w:r>
    </w:p>
    <w:p>
      <w:pPr>
        <w:keepNext w:val="0"/>
        <w:keepLines w:val="0"/>
        <w:pageBreakBefore w:val="0"/>
        <w:wordWrap/>
        <w:overflowPunct/>
        <w:topLinePunct w:val="0"/>
        <w:autoSpaceDE w:val="0"/>
        <w:autoSpaceDN w:val="0"/>
        <w:bidi w:val="0"/>
        <w:spacing w:before="113" w:line="360" w:lineRule="auto"/>
        <w:ind w:left="38" w:right="103" w:firstLine="483"/>
        <w:rPr>
          <w:rFonts w:ascii="宋体" w:hAnsi="宋体" w:eastAsia="宋体" w:cs="宋体"/>
          <w:sz w:val="24"/>
          <w:szCs w:val="24"/>
        </w:rPr>
      </w:pPr>
      <w:r>
        <w:rPr>
          <w:rFonts w:ascii="宋体" w:hAnsi="宋体" w:eastAsia="宋体" w:cs="宋体"/>
          <w:spacing w:val="-9"/>
          <w:sz w:val="24"/>
          <w:szCs w:val="24"/>
        </w:rPr>
        <w:t>如果投标文件由委托代理人签署，则投标人须提交授权</w:t>
      </w:r>
      <w:r>
        <w:rPr>
          <w:rFonts w:ascii="宋体" w:hAnsi="宋体" w:eastAsia="宋体" w:cs="宋体"/>
          <w:spacing w:val="-10"/>
          <w:sz w:val="24"/>
          <w:szCs w:val="24"/>
        </w:rPr>
        <w:t>委托书，授权委托书应按</w:t>
      </w:r>
      <w:r>
        <w:rPr>
          <w:rFonts w:ascii="宋体" w:hAnsi="宋体" w:eastAsia="宋体" w:cs="宋体"/>
          <w:sz w:val="24"/>
          <w:szCs w:val="24"/>
        </w:rPr>
        <w:t xml:space="preserve"> </w:t>
      </w:r>
      <w:r>
        <w:rPr>
          <w:rFonts w:ascii="宋体" w:hAnsi="宋体" w:eastAsia="宋体" w:cs="宋体"/>
          <w:spacing w:val="-10"/>
          <w:sz w:val="24"/>
          <w:szCs w:val="24"/>
        </w:rPr>
        <w:t>第九章</w:t>
      </w:r>
      <w:r>
        <w:rPr>
          <w:rFonts w:ascii="Times New Roman" w:hAnsi="Times New Roman" w:eastAsia="Times New Roman" w:cs="Times New Roman"/>
          <w:spacing w:val="-10"/>
          <w:sz w:val="24"/>
          <w:szCs w:val="24"/>
        </w:rPr>
        <w:t>“</w:t>
      </w:r>
      <w:r>
        <w:rPr>
          <w:rFonts w:ascii="宋体" w:hAnsi="宋体" w:eastAsia="宋体" w:cs="宋体"/>
          <w:spacing w:val="-10"/>
          <w:sz w:val="24"/>
          <w:szCs w:val="24"/>
        </w:rPr>
        <w:t>投标文件格式</w:t>
      </w:r>
      <w:r>
        <w:rPr>
          <w:rFonts w:ascii="Times New Roman" w:hAnsi="Times New Roman" w:eastAsia="Times New Roman" w:cs="Times New Roman"/>
          <w:spacing w:val="-10"/>
          <w:sz w:val="24"/>
          <w:szCs w:val="24"/>
        </w:rPr>
        <w:t>”</w:t>
      </w:r>
      <w:r>
        <w:rPr>
          <w:rFonts w:ascii="Times New Roman" w:hAnsi="Times New Roman" w:eastAsia="Times New Roman" w:cs="Times New Roman"/>
          <w:spacing w:val="-18"/>
          <w:sz w:val="24"/>
          <w:szCs w:val="24"/>
        </w:rPr>
        <w:t xml:space="preserve"> </w:t>
      </w:r>
      <w:r>
        <w:rPr>
          <w:rFonts w:ascii="宋体" w:hAnsi="宋体" w:eastAsia="宋体" w:cs="宋体"/>
          <w:spacing w:val="-10"/>
          <w:sz w:val="24"/>
          <w:szCs w:val="24"/>
        </w:rPr>
        <w:t>的要求出具，并由法定代表人和委托代理人亲笔签名，不得使</w:t>
      </w:r>
    </w:p>
    <w:p>
      <w:pPr>
        <w:keepNext w:val="0"/>
        <w:keepLines w:val="0"/>
        <w:pageBreakBefore w:val="0"/>
        <w:wordWrap/>
        <w:overflowPunct/>
        <w:topLinePunct w:val="0"/>
        <w:autoSpaceDE w:val="0"/>
        <w:autoSpaceDN w:val="0"/>
        <w:bidi w:val="0"/>
        <w:spacing w:before="1" w:line="360" w:lineRule="auto"/>
        <w:ind w:left="40"/>
        <w:rPr>
          <w:rFonts w:ascii="宋体" w:hAnsi="宋体" w:eastAsia="宋体" w:cs="宋体"/>
          <w:sz w:val="24"/>
          <w:szCs w:val="24"/>
        </w:rPr>
      </w:pPr>
      <w:r>
        <w:rPr>
          <w:rFonts w:ascii="宋体" w:hAnsi="宋体" w:eastAsia="宋体" w:cs="宋体"/>
          <w:spacing w:val="-1"/>
          <w:sz w:val="24"/>
          <w:szCs w:val="24"/>
        </w:rPr>
        <w:t>用印章、签名章或其他电子制版签名代替。</w:t>
      </w:r>
    </w:p>
    <w:p>
      <w:pPr>
        <w:keepNext w:val="0"/>
        <w:keepLines w:val="0"/>
        <w:pageBreakBefore w:val="0"/>
        <w:wordWrap/>
        <w:overflowPunct/>
        <w:topLinePunct w:val="0"/>
        <w:autoSpaceDE w:val="0"/>
        <w:autoSpaceDN w:val="0"/>
        <w:bidi w:val="0"/>
        <w:spacing w:before="114" w:line="360" w:lineRule="auto"/>
        <w:ind w:left="521"/>
        <w:rPr>
          <w:rFonts w:ascii="宋体" w:hAnsi="宋体" w:eastAsia="宋体" w:cs="宋体"/>
          <w:sz w:val="24"/>
          <w:szCs w:val="24"/>
        </w:rPr>
      </w:pPr>
      <w:r>
        <w:rPr>
          <w:rFonts w:ascii="宋体" w:hAnsi="宋体" w:eastAsia="宋体" w:cs="宋体"/>
          <w:spacing w:val="-6"/>
          <w:position w:val="11"/>
          <w:sz w:val="24"/>
          <w:szCs w:val="24"/>
        </w:rPr>
        <w:t>如果由投标人的法定代表人亲自签署投标文件，则投标人须提交法定代表人身份</w:t>
      </w:r>
    </w:p>
    <w:p>
      <w:pPr>
        <w:keepNext w:val="0"/>
        <w:keepLines w:val="0"/>
        <w:pageBreakBefore w:val="0"/>
        <w:wordWrap/>
        <w:overflowPunct/>
        <w:topLinePunct w:val="0"/>
        <w:autoSpaceDE w:val="0"/>
        <w:autoSpaceDN w:val="0"/>
        <w:bidi w:val="0"/>
        <w:spacing w:before="1" w:line="360" w:lineRule="auto"/>
        <w:ind w:left="38"/>
        <w:rPr>
          <w:rFonts w:ascii="宋体" w:hAnsi="宋体" w:eastAsia="宋体" w:cs="宋体"/>
          <w:sz w:val="24"/>
          <w:szCs w:val="24"/>
        </w:rPr>
      </w:pPr>
      <w:r>
        <w:rPr>
          <w:rFonts w:ascii="宋体" w:hAnsi="宋体" w:eastAsia="宋体" w:cs="宋体"/>
          <w:spacing w:val="-2"/>
          <w:sz w:val="24"/>
          <w:szCs w:val="24"/>
        </w:rPr>
        <w:t>证明，身份证明应符合第九章</w:t>
      </w:r>
      <w:r>
        <w:rPr>
          <w:rFonts w:ascii="Times New Roman" w:hAnsi="Times New Roman" w:eastAsia="Times New Roman" w:cs="Times New Roman"/>
          <w:spacing w:val="-2"/>
          <w:sz w:val="24"/>
          <w:szCs w:val="24"/>
        </w:rPr>
        <w:t>“</w:t>
      </w:r>
      <w:r>
        <w:rPr>
          <w:rFonts w:ascii="宋体" w:hAnsi="宋体" w:eastAsia="宋体" w:cs="宋体"/>
          <w:spacing w:val="-2"/>
          <w:sz w:val="24"/>
          <w:szCs w:val="24"/>
        </w:rPr>
        <w:t>投标文件格式</w:t>
      </w:r>
      <w:r>
        <w:rPr>
          <w:rFonts w:ascii="Times New Roman" w:hAnsi="Times New Roman" w:eastAsia="Times New Roman" w:cs="Times New Roman"/>
          <w:spacing w:val="-2"/>
          <w:sz w:val="24"/>
          <w:szCs w:val="24"/>
        </w:rPr>
        <w:t>”</w:t>
      </w:r>
      <w:r>
        <w:rPr>
          <w:rFonts w:ascii="Times New Roman" w:hAnsi="Times New Roman" w:eastAsia="Times New Roman" w:cs="Times New Roman"/>
          <w:spacing w:val="-19"/>
          <w:sz w:val="24"/>
          <w:szCs w:val="24"/>
        </w:rPr>
        <w:t xml:space="preserve"> </w:t>
      </w:r>
      <w:r>
        <w:rPr>
          <w:rFonts w:ascii="宋体" w:hAnsi="宋体" w:eastAsia="宋体" w:cs="宋体"/>
          <w:spacing w:val="-2"/>
          <w:sz w:val="24"/>
          <w:szCs w:val="24"/>
        </w:rPr>
        <w:t>的要求。</w:t>
      </w:r>
    </w:p>
    <w:p>
      <w:pPr>
        <w:keepNext w:val="0"/>
        <w:keepLines w:val="0"/>
        <w:pageBreakBefore w:val="0"/>
        <w:wordWrap/>
        <w:overflowPunct/>
        <w:topLinePunct w:val="0"/>
        <w:autoSpaceDE w:val="0"/>
        <w:autoSpaceDN w:val="0"/>
        <w:bidi w:val="0"/>
        <w:spacing w:before="117" w:line="360" w:lineRule="auto"/>
        <w:ind w:left="40" w:right="103" w:firstLine="505"/>
        <w:rPr>
          <w:rFonts w:ascii="宋体" w:hAnsi="宋体" w:eastAsia="宋体" w:cs="宋体"/>
          <w:sz w:val="24"/>
          <w:szCs w:val="24"/>
        </w:rPr>
      </w:pPr>
      <w:r>
        <w:rPr>
          <w:rFonts w:ascii="宋体" w:hAnsi="宋体" w:eastAsia="宋体" w:cs="宋体"/>
          <w:spacing w:val="-6"/>
          <w:sz w:val="24"/>
          <w:szCs w:val="24"/>
        </w:rPr>
        <w:t>以联合体形式参与投标的，投标文件由联合体牵</w:t>
      </w:r>
      <w:r>
        <w:rPr>
          <w:rFonts w:ascii="宋体" w:hAnsi="宋体" w:eastAsia="宋体" w:cs="宋体"/>
          <w:spacing w:val="-7"/>
          <w:sz w:val="24"/>
          <w:szCs w:val="24"/>
        </w:rPr>
        <w:t>头人的法定代表人或其委托代理</w:t>
      </w:r>
      <w:r>
        <w:rPr>
          <w:rFonts w:ascii="宋体" w:hAnsi="宋体" w:eastAsia="宋体" w:cs="宋体"/>
          <w:sz w:val="24"/>
          <w:szCs w:val="24"/>
        </w:rPr>
        <w:t xml:space="preserve"> </w:t>
      </w:r>
      <w:r>
        <w:rPr>
          <w:rFonts w:ascii="宋体" w:hAnsi="宋体" w:eastAsia="宋体" w:cs="宋体"/>
          <w:spacing w:val="-3"/>
          <w:sz w:val="24"/>
          <w:szCs w:val="24"/>
        </w:rPr>
        <w:t>人按上述规定签署并加盖联合体牵头人单位章。法定代表人授权委托书或法定代表人</w:t>
      </w:r>
    </w:p>
    <w:p>
      <w:pPr>
        <w:keepNext w:val="0"/>
        <w:keepLines w:val="0"/>
        <w:pageBreakBefore w:val="0"/>
        <w:wordWrap/>
        <w:overflowPunct/>
        <w:topLinePunct w:val="0"/>
        <w:autoSpaceDE w:val="0"/>
        <w:autoSpaceDN w:val="0"/>
        <w:bidi w:val="0"/>
        <w:spacing w:before="1" w:line="360" w:lineRule="auto"/>
        <w:ind w:left="44"/>
        <w:rPr>
          <w:rFonts w:ascii="宋体" w:hAnsi="宋体" w:eastAsia="宋体" w:cs="宋体"/>
          <w:sz w:val="24"/>
          <w:szCs w:val="24"/>
        </w:rPr>
      </w:pPr>
      <w:r>
        <w:rPr>
          <w:rFonts w:ascii="宋体" w:hAnsi="宋体" w:eastAsia="宋体" w:cs="宋体"/>
          <w:spacing w:val="-3"/>
          <w:sz w:val="24"/>
          <w:szCs w:val="24"/>
        </w:rPr>
        <w:t>身份证明须由联合体牵头人按上述规定出具。</w:t>
      </w:r>
    </w:p>
    <w:p>
      <w:pPr>
        <w:keepNext w:val="0"/>
        <w:keepLines w:val="0"/>
        <w:pageBreakBefore w:val="0"/>
        <w:wordWrap/>
        <w:overflowPunct/>
        <w:topLinePunct w:val="0"/>
        <w:autoSpaceDE w:val="0"/>
        <w:autoSpaceDN w:val="0"/>
        <w:bidi w:val="0"/>
        <w:spacing w:before="116" w:line="360" w:lineRule="auto"/>
        <w:ind w:left="41" w:right="103" w:firstLine="479"/>
        <w:rPr>
          <w:rFonts w:ascii="宋体" w:hAnsi="宋体" w:eastAsia="宋体" w:cs="宋体"/>
          <w:sz w:val="24"/>
          <w:szCs w:val="24"/>
        </w:rPr>
      </w:pPr>
      <w:r>
        <w:rPr>
          <w:rFonts w:ascii="宋体" w:hAnsi="宋体" w:eastAsia="宋体" w:cs="宋体"/>
          <w:spacing w:val="-8"/>
          <w:sz w:val="24"/>
          <w:szCs w:val="24"/>
        </w:rPr>
        <w:t>投标文件应尽量避免涂改、行间插字或删除。如果出现上述情况，改动之处应由</w:t>
      </w:r>
      <w:r>
        <w:rPr>
          <w:rFonts w:ascii="宋体" w:hAnsi="宋体" w:eastAsia="宋体" w:cs="宋体"/>
          <w:sz w:val="24"/>
          <w:szCs w:val="24"/>
        </w:rPr>
        <w:t xml:space="preserve"> </w:t>
      </w:r>
      <w:r>
        <w:rPr>
          <w:rFonts w:ascii="宋体" w:hAnsi="宋体" w:eastAsia="宋体" w:cs="宋体"/>
          <w:spacing w:val="-2"/>
          <w:sz w:val="24"/>
          <w:szCs w:val="24"/>
        </w:rPr>
        <w:t>投标人的法定代表人或其授权的代理人签字或盖单位章。</w:t>
      </w:r>
    </w:p>
    <w:p>
      <w:pPr>
        <w:keepNext w:val="0"/>
        <w:keepLines w:val="0"/>
        <w:pageBreakBefore w:val="0"/>
        <w:wordWrap/>
        <w:overflowPunct/>
        <w:topLinePunct w:val="0"/>
        <w:autoSpaceDE w:val="0"/>
        <w:autoSpaceDN w:val="0"/>
        <w:bidi w:val="0"/>
        <w:spacing w:before="115" w:line="360" w:lineRule="auto"/>
        <w:ind w:left="40" w:right="104" w:firstLine="478"/>
        <w:rPr>
          <w:rFonts w:ascii="宋体" w:hAnsi="宋体" w:eastAsia="宋体" w:cs="宋体"/>
          <w:spacing w:val="-7"/>
          <w:sz w:val="24"/>
          <w:szCs w:val="24"/>
        </w:rPr>
      </w:pPr>
      <w:r>
        <w:rPr>
          <w:rFonts w:ascii="Times New Roman" w:hAnsi="Times New Roman" w:eastAsia="Times New Roman" w:cs="Times New Roman"/>
          <w:spacing w:val="2"/>
          <w:sz w:val="24"/>
          <w:szCs w:val="24"/>
        </w:rPr>
        <w:t xml:space="preserve">3.7.4  </w:t>
      </w:r>
      <w:r>
        <w:rPr>
          <w:rFonts w:ascii="宋体" w:hAnsi="宋体" w:eastAsia="宋体" w:cs="宋体"/>
          <w:spacing w:val="2"/>
          <w:sz w:val="24"/>
          <w:szCs w:val="24"/>
        </w:rPr>
        <w:t>投标文件正本一份</w:t>
      </w:r>
      <w:r>
        <w:rPr>
          <w:rFonts w:ascii="Times New Roman" w:hAnsi="Times New Roman" w:eastAsia="Times New Roman" w:cs="Times New Roman"/>
          <w:spacing w:val="2"/>
          <w:sz w:val="24"/>
          <w:szCs w:val="24"/>
        </w:rPr>
        <w:t xml:space="preserve">,  </w:t>
      </w:r>
      <w:r>
        <w:rPr>
          <w:rFonts w:ascii="宋体" w:hAnsi="宋体" w:eastAsia="宋体" w:cs="宋体"/>
          <w:spacing w:val="2"/>
          <w:sz w:val="24"/>
          <w:szCs w:val="24"/>
        </w:rPr>
        <w:t>副本份数见投标人须知前附表。正本和副</w:t>
      </w:r>
      <w:r>
        <w:rPr>
          <w:rFonts w:ascii="宋体" w:hAnsi="宋体" w:eastAsia="宋体" w:cs="宋体"/>
          <w:spacing w:val="1"/>
          <w:sz w:val="24"/>
          <w:szCs w:val="24"/>
        </w:rPr>
        <w:t>本的封面右</w:t>
      </w:r>
      <w:r>
        <w:rPr>
          <w:rFonts w:ascii="宋体" w:hAnsi="宋体" w:eastAsia="宋体" w:cs="宋体"/>
          <w:sz w:val="24"/>
          <w:szCs w:val="24"/>
        </w:rPr>
        <w:t xml:space="preserve"> </w:t>
      </w:r>
      <w:r>
        <w:rPr>
          <w:rFonts w:ascii="宋体" w:hAnsi="宋体" w:eastAsia="宋体" w:cs="宋体"/>
          <w:spacing w:val="-1"/>
          <w:sz w:val="24"/>
          <w:szCs w:val="24"/>
        </w:rPr>
        <w:t>上角上应清楚地标记</w:t>
      </w:r>
      <w:r>
        <w:rPr>
          <w:rFonts w:ascii="Times New Roman" w:hAnsi="Times New Roman" w:eastAsia="Times New Roman" w:cs="Times New Roman"/>
          <w:spacing w:val="-1"/>
          <w:sz w:val="24"/>
          <w:szCs w:val="24"/>
        </w:rPr>
        <w:t>“</w:t>
      </w:r>
      <w:r>
        <w:rPr>
          <w:rFonts w:ascii="宋体" w:hAnsi="宋体" w:eastAsia="宋体" w:cs="宋体"/>
          <w:spacing w:val="-1"/>
          <w:sz w:val="24"/>
          <w:szCs w:val="24"/>
        </w:rPr>
        <w:t>正本</w:t>
      </w:r>
      <w:r>
        <w:rPr>
          <w:rFonts w:ascii="Times New Roman" w:hAnsi="Times New Roman" w:eastAsia="Times New Roman" w:cs="Times New Roman"/>
          <w:spacing w:val="-1"/>
          <w:sz w:val="24"/>
          <w:szCs w:val="24"/>
        </w:rPr>
        <w:t>”</w:t>
      </w:r>
      <w:r>
        <w:rPr>
          <w:rFonts w:ascii="宋体" w:hAnsi="宋体" w:eastAsia="宋体" w:cs="宋体"/>
          <w:spacing w:val="-1"/>
          <w:sz w:val="24"/>
          <w:szCs w:val="24"/>
        </w:rPr>
        <w:t>或</w:t>
      </w:r>
      <w:r>
        <w:rPr>
          <w:rFonts w:ascii="Times New Roman" w:hAnsi="Times New Roman" w:eastAsia="Times New Roman" w:cs="Times New Roman"/>
          <w:spacing w:val="-1"/>
          <w:sz w:val="24"/>
          <w:szCs w:val="24"/>
        </w:rPr>
        <w:t>“</w:t>
      </w:r>
      <w:r>
        <w:rPr>
          <w:rFonts w:ascii="宋体" w:hAnsi="宋体" w:eastAsia="宋体" w:cs="宋体"/>
          <w:spacing w:val="-1"/>
          <w:sz w:val="24"/>
          <w:szCs w:val="24"/>
        </w:rPr>
        <w:t>副本</w:t>
      </w:r>
      <w:r>
        <w:rPr>
          <w:rFonts w:ascii="Times New Roman" w:hAnsi="Times New Roman" w:eastAsia="Times New Roman" w:cs="Times New Roman"/>
          <w:spacing w:val="-1"/>
          <w:sz w:val="24"/>
          <w:szCs w:val="24"/>
        </w:rPr>
        <w:t>”</w:t>
      </w:r>
      <w:r>
        <w:rPr>
          <w:rFonts w:ascii="宋体" w:hAnsi="宋体" w:eastAsia="宋体" w:cs="宋体"/>
          <w:spacing w:val="-1"/>
          <w:sz w:val="24"/>
          <w:szCs w:val="24"/>
        </w:rPr>
        <w:t>字样。投标人应根</w:t>
      </w:r>
      <w:r>
        <w:rPr>
          <w:rFonts w:ascii="宋体" w:hAnsi="宋体" w:eastAsia="宋体" w:cs="宋体"/>
          <w:spacing w:val="-2"/>
          <w:sz w:val="24"/>
          <w:szCs w:val="24"/>
        </w:rPr>
        <w:t>据投标人须知前附表要求提供</w:t>
      </w:r>
      <w:r>
        <w:rPr>
          <w:rFonts w:ascii="宋体" w:hAnsi="宋体" w:eastAsia="宋体" w:cs="宋体"/>
          <w:sz w:val="24"/>
          <w:szCs w:val="24"/>
        </w:rPr>
        <w:t xml:space="preserve"> </w:t>
      </w:r>
      <w:r>
        <w:rPr>
          <w:rFonts w:ascii="宋体" w:hAnsi="宋体" w:eastAsia="宋体" w:cs="宋体"/>
          <w:spacing w:val="-6"/>
          <w:sz w:val="24"/>
          <w:szCs w:val="24"/>
        </w:rPr>
        <w:t>电子版文件。当副本和正本不一致或电子版文件和纸质正本文件不一致时，以纸质正</w:t>
      </w:r>
      <w:r>
        <w:rPr>
          <w:rFonts w:ascii="宋体" w:hAnsi="宋体" w:eastAsia="宋体" w:cs="宋体"/>
          <w:spacing w:val="-7"/>
          <w:sz w:val="24"/>
          <w:szCs w:val="24"/>
        </w:rPr>
        <w:t>本文件为准。</w:t>
      </w:r>
    </w:p>
    <w:p>
      <w:pPr>
        <w:keepNext w:val="0"/>
        <w:keepLines w:val="0"/>
        <w:pageBreakBefore w:val="0"/>
        <w:wordWrap/>
        <w:overflowPunct/>
        <w:topLinePunct w:val="0"/>
        <w:autoSpaceDE w:val="0"/>
        <w:autoSpaceDN w:val="0"/>
        <w:bidi w:val="0"/>
        <w:spacing w:before="1" w:line="360" w:lineRule="auto"/>
        <w:ind w:left="39" w:firstLine="468" w:firstLineChars="200"/>
        <w:rPr>
          <w:rFonts w:ascii="宋体" w:hAnsi="宋体" w:eastAsia="宋体" w:cs="宋体"/>
          <w:sz w:val="24"/>
          <w:szCs w:val="24"/>
        </w:rPr>
      </w:pPr>
      <w:r>
        <w:rPr>
          <w:rFonts w:ascii="Times New Roman" w:hAnsi="Times New Roman" w:eastAsia="Times New Roman" w:cs="Times New Roman"/>
          <w:spacing w:val="-3"/>
          <w:sz w:val="24"/>
          <w:szCs w:val="24"/>
        </w:rPr>
        <w:t xml:space="preserve">3.7.5  </w:t>
      </w:r>
      <w:r>
        <w:rPr>
          <w:rFonts w:ascii="宋体" w:hAnsi="宋体" w:eastAsia="宋体" w:cs="宋体"/>
          <w:spacing w:val="-3"/>
          <w:sz w:val="24"/>
          <w:szCs w:val="24"/>
        </w:rPr>
        <w:t>投标文件的正本与副本应分别装订成册（</w:t>
      </w:r>
      <w:r>
        <w:rPr>
          <w:rFonts w:ascii="Times New Roman" w:hAnsi="Times New Roman" w:eastAsia="Times New Roman" w:cs="Times New Roman"/>
          <w:spacing w:val="-3"/>
          <w:sz w:val="24"/>
          <w:szCs w:val="24"/>
        </w:rPr>
        <w:t xml:space="preserve">A4  </w:t>
      </w:r>
      <w:r>
        <w:rPr>
          <w:rFonts w:ascii="宋体" w:hAnsi="宋体" w:eastAsia="宋体" w:cs="宋体"/>
          <w:spacing w:val="-3"/>
          <w:sz w:val="24"/>
          <w:szCs w:val="24"/>
        </w:rPr>
        <w:t>纸幅</w:t>
      </w:r>
      <w:r>
        <w:rPr>
          <w:rFonts w:ascii="宋体" w:hAnsi="宋体" w:eastAsia="宋体" w:cs="宋体"/>
          <w:spacing w:val="-17"/>
          <w:sz w:val="24"/>
          <w:szCs w:val="24"/>
        </w:rPr>
        <w:t>），</w:t>
      </w:r>
      <w:r>
        <w:rPr>
          <w:rFonts w:ascii="宋体" w:hAnsi="宋体" w:eastAsia="宋体" w:cs="宋体"/>
          <w:spacing w:val="-3"/>
          <w:sz w:val="24"/>
          <w:szCs w:val="24"/>
        </w:rPr>
        <w:t>编制目录并逐页标注</w:t>
      </w:r>
      <w:r>
        <w:rPr>
          <w:rFonts w:ascii="宋体" w:hAnsi="宋体" w:eastAsia="宋体" w:cs="宋体"/>
          <w:sz w:val="24"/>
          <w:szCs w:val="24"/>
        </w:rPr>
        <w:t xml:space="preserve"> </w:t>
      </w:r>
      <w:r>
        <w:rPr>
          <w:rFonts w:ascii="宋体" w:hAnsi="宋体" w:eastAsia="宋体" w:cs="宋体"/>
          <w:spacing w:val="-10"/>
          <w:sz w:val="24"/>
          <w:szCs w:val="24"/>
        </w:rPr>
        <w:t>连续页码。投标文件不得采用活页夹装订，</w:t>
      </w:r>
      <w:r>
        <w:rPr>
          <w:rFonts w:ascii="宋体" w:hAnsi="宋体" w:eastAsia="宋体" w:cs="宋体"/>
          <w:spacing w:val="56"/>
          <w:sz w:val="24"/>
          <w:szCs w:val="24"/>
        </w:rPr>
        <w:t xml:space="preserve"> </w:t>
      </w:r>
      <w:r>
        <w:rPr>
          <w:rFonts w:ascii="宋体" w:hAnsi="宋体" w:eastAsia="宋体" w:cs="宋体"/>
          <w:spacing w:val="-10"/>
          <w:sz w:val="24"/>
          <w:szCs w:val="24"/>
        </w:rPr>
        <w:t>否则，</w:t>
      </w:r>
      <w:r>
        <w:rPr>
          <w:rFonts w:ascii="宋体" w:hAnsi="宋体" w:eastAsia="宋体" w:cs="宋体"/>
          <w:spacing w:val="-31"/>
          <w:sz w:val="24"/>
          <w:szCs w:val="24"/>
        </w:rPr>
        <w:t xml:space="preserve"> </w:t>
      </w:r>
      <w:r>
        <w:rPr>
          <w:rFonts w:ascii="宋体" w:hAnsi="宋体" w:eastAsia="宋体" w:cs="宋体"/>
          <w:spacing w:val="-10"/>
          <w:sz w:val="24"/>
          <w:szCs w:val="24"/>
        </w:rPr>
        <w:t>招标人对由于投标文件装订松散而</w:t>
      </w:r>
    </w:p>
    <w:p>
      <w:pPr>
        <w:keepNext w:val="0"/>
        <w:keepLines w:val="0"/>
        <w:pageBreakBefore w:val="0"/>
        <w:wordWrap/>
        <w:overflowPunct/>
        <w:topLinePunct w:val="0"/>
        <w:autoSpaceDE w:val="0"/>
        <w:autoSpaceDN w:val="0"/>
        <w:bidi w:val="0"/>
        <w:spacing w:before="1" w:line="360" w:lineRule="auto"/>
        <w:ind w:left="37"/>
        <w:rPr>
          <w:rFonts w:ascii="宋体" w:hAnsi="宋体" w:eastAsia="宋体" w:cs="宋体"/>
          <w:sz w:val="24"/>
          <w:szCs w:val="24"/>
        </w:rPr>
      </w:pPr>
      <w:r>
        <w:rPr>
          <w:rFonts w:ascii="宋体" w:hAnsi="宋体" w:eastAsia="宋体" w:cs="宋体"/>
          <w:spacing w:val="-1"/>
          <w:sz w:val="24"/>
          <w:szCs w:val="24"/>
        </w:rPr>
        <w:t>造成的丢失或其他后果不承担任何责任。装订的其他要求见投</w:t>
      </w:r>
      <w:r>
        <w:rPr>
          <w:rFonts w:ascii="宋体" w:hAnsi="宋体" w:eastAsia="宋体" w:cs="宋体"/>
          <w:spacing w:val="-2"/>
          <w:sz w:val="24"/>
          <w:szCs w:val="24"/>
        </w:rPr>
        <w:t>标人须知前附表。</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91" w:line="360" w:lineRule="auto"/>
        <w:ind w:left="32"/>
        <w:rPr>
          <w:rFonts w:ascii="黑体" w:hAnsi="黑体" w:eastAsia="黑体" w:cs="黑体"/>
          <w:sz w:val="28"/>
          <w:szCs w:val="28"/>
        </w:rPr>
      </w:pPr>
      <w:r>
        <w:rPr>
          <w:rFonts w:ascii="黑体" w:hAnsi="黑体" w:eastAsia="黑体" w:cs="黑体"/>
          <w:sz w:val="28"/>
          <w:szCs w:val="28"/>
        </w:rPr>
        <w:t>4. 投标</w:t>
      </w:r>
    </w:p>
    <w:p>
      <w:pPr>
        <w:keepNext w:val="0"/>
        <w:keepLines w:val="0"/>
        <w:pageBreakBefore w:val="0"/>
        <w:wordWrap/>
        <w:overflowPunct/>
        <w:topLinePunct w:val="0"/>
        <w:autoSpaceDE w:val="0"/>
        <w:autoSpaceDN w:val="0"/>
        <w:bidi w:val="0"/>
        <w:spacing w:before="264" w:line="360" w:lineRule="auto"/>
        <w:ind w:left="31"/>
        <w:rPr>
          <w:rFonts w:ascii="黑体" w:hAnsi="黑体" w:eastAsia="黑体" w:cs="黑体"/>
          <w:sz w:val="24"/>
          <w:szCs w:val="24"/>
        </w:rPr>
      </w:pPr>
      <w:r>
        <w:rPr>
          <w:rFonts w:ascii="黑体" w:hAnsi="黑体" w:eastAsia="黑体" w:cs="黑体"/>
          <w:spacing w:val="-1"/>
          <w:sz w:val="24"/>
          <w:szCs w:val="24"/>
        </w:rPr>
        <w:t>4.1 投标文件的密封和标识</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left="519"/>
        <w:rPr>
          <w:rFonts w:ascii="宋体" w:hAnsi="宋体" w:eastAsia="宋体" w:cs="宋体"/>
          <w:sz w:val="24"/>
          <w:szCs w:val="24"/>
        </w:rPr>
      </w:pPr>
      <w:r>
        <w:rPr>
          <w:rFonts w:ascii="宋体" w:hAnsi="宋体" w:eastAsia="宋体" w:cs="宋体"/>
          <w:spacing w:val="-2"/>
          <w:sz w:val="24"/>
          <w:szCs w:val="24"/>
        </w:rPr>
        <w:t>若采用双信封形式，第</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 xml:space="preserve">4.1.1 </w:t>
      </w:r>
      <w:r>
        <w:rPr>
          <w:rFonts w:ascii="宋体" w:hAnsi="宋体" w:eastAsia="宋体" w:cs="宋体"/>
          <w:spacing w:val="-2"/>
          <w:sz w:val="24"/>
          <w:szCs w:val="24"/>
        </w:rPr>
        <w:t>项和第</w:t>
      </w:r>
      <w:r>
        <w:rPr>
          <w:rFonts w:ascii="宋体" w:hAnsi="宋体" w:eastAsia="宋体" w:cs="宋体"/>
          <w:spacing w:val="-56"/>
          <w:sz w:val="24"/>
          <w:szCs w:val="24"/>
        </w:rPr>
        <w:t xml:space="preserve"> </w:t>
      </w:r>
      <w:r>
        <w:rPr>
          <w:rFonts w:ascii="Times New Roman" w:hAnsi="Times New Roman" w:eastAsia="Times New Roman" w:cs="Times New Roman"/>
          <w:spacing w:val="-2"/>
          <w:sz w:val="24"/>
          <w:szCs w:val="24"/>
        </w:rPr>
        <w:t xml:space="preserve">4.1.2 </w:t>
      </w:r>
      <w:r>
        <w:rPr>
          <w:rFonts w:ascii="宋体" w:hAnsi="宋体" w:eastAsia="宋体" w:cs="宋体"/>
          <w:spacing w:val="-2"/>
          <w:sz w:val="24"/>
          <w:szCs w:val="24"/>
        </w:rPr>
        <w:t>项采用以下条款：</w:t>
      </w:r>
    </w:p>
    <w:p>
      <w:pPr>
        <w:keepNext w:val="0"/>
        <w:keepLines w:val="0"/>
        <w:pageBreakBefore w:val="0"/>
        <w:wordWrap/>
        <w:overflowPunct/>
        <w:topLinePunct w:val="0"/>
        <w:autoSpaceDE w:val="0"/>
        <w:autoSpaceDN w:val="0"/>
        <w:bidi w:val="0"/>
        <w:spacing w:before="114" w:line="360" w:lineRule="auto"/>
        <w:ind w:left="38" w:firstLine="474"/>
        <w:rPr>
          <w:rFonts w:ascii="宋体" w:hAnsi="宋体" w:eastAsia="宋体" w:cs="宋体"/>
          <w:sz w:val="24"/>
          <w:szCs w:val="24"/>
        </w:rPr>
      </w:pPr>
      <w:r>
        <w:rPr>
          <w:rFonts w:ascii="Times New Roman" w:hAnsi="Times New Roman" w:eastAsia="Times New Roman" w:cs="Times New Roman"/>
          <w:spacing w:val="-3"/>
          <w:sz w:val="24"/>
          <w:szCs w:val="24"/>
        </w:rPr>
        <w:t xml:space="preserve">4.1.1  </w:t>
      </w:r>
      <w:r>
        <w:rPr>
          <w:rFonts w:ascii="宋体" w:hAnsi="宋体" w:eastAsia="宋体" w:cs="宋体"/>
          <w:spacing w:val="-3"/>
          <w:sz w:val="24"/>
          <w:szCs w:val="24"/>
        </w:rPr>
        <w:t>投标文件应采用双信封形式密封。投标文件第一个信封（商务及技术文件）</w:t>
      </w:r>
      <w:r>
        <w:rPr>
          <w:rFonts w:ascii="宋体" w:hAnsi="宋体" w:eastAsia="宋体" w:cs="宋体"/>
          <w:spacing w:val="8"/>
          <w:sz w:val="24"/>
          <w:szCs w:val="24"/>
        </w:rPr>
        <w:t xml:space="preserve"> </w:t>
      </w:r>
      <w:r>
        <w:rPr>
          <w:rFonts w:ascii="宋体" w:hAnsi="宋体" w:eastAsia="宋体" w:cs="宋体"/>
          <w:spacing w:val="-6"/>
          <w:sz w:val="24"/>
          <w:szCs w:val="24"/>
        </w:rPr>
        <w:t>以及第二个信封（报价文件）应单独密封包装。商务及技术文件的正本与副本应统一</w:t>
      </w:r>
      <w:r>
        <w:rPr>
          <w:rFonts w:ascii="宋体" w:hAnsi="宋体" w:eastAsia="宋体" w:cs="宋体"/>
          <w:spacing w:val="2"/>
          <w:sz w:val="24"/>
          <w:szCs w:val="24"/>
        </w:rPr>
        <w:t xml:space="preserve">  </w:t>
      </w:r>
      <w:r>
        <w:rPr>
          <w:rFonts w:ascii="宋体" w:hAnsi="宋体" w:eastAsia="宋体" w:cs="宋体"/>
          <w:spacing w:val="-7"/>
          <w:sz w:val="24"/>
          <w:szCs w:val="24"/>
        </w:rPr>
        <w:t>密封在一个封套中。报价文件的正本与副本、投标文件电子版文件（如需要）</w:t>
      </w:r>
      <w:r>
        <w:rPr>
          <w:rFonts w:ascii="宋体" w:hAnsi="宋体" w:eastAsia="宋体" w:cs="宋体"/>
          <w:spacing w:val="34"/>
          <w:sz w:val="24"/>
          <w:szCs w:val="24"/>
        </w:rPr>
        <w:t xml:space="preserve"> </w:t>
      </w:r>
      <w:r>
        <w:rPr>
          <w:rFonts w:ascii="宋体" w:hAnsi="宋体" w:eastAsia="宋体" w:cs="宋体"/>
          <w:spacing w:val="-7"/>
          <w:sz w:val="24"/>
          <w:szCs w:val="24"/>
        </w:rPr>
        <w:t>以及填</w:t>
      </w:r>
      <w:r>
        <w:rPr>
          <w:rFonts w:ascii="宋体" w:hAnsi="宋体" w:eastAsia="宋体" w:cs="宋体"/>
          <w:sz w:val="24"/>
          <w:szCs w:val="24"/>
        </w:rPr>
        <w:t xml:space="preserve">  </w:t>
      </w:r>
      <w:r>
        <w:rPr>
          <w:rFonts w:ascii="宋体" w:hAnsi="宋体" w:eastAsia="宋体" w:cs="宋体"/>
          <w:spacing w:val="-6"/>
          <w:sz w:val="24"/>
          <w:szCs w:val="24"/>
        </w:rPr>
        <w:t>写完毕的工程量固化清单电子文件（如采用工程量固化清单形式）应统一密封在另一</w:t>
      </w:r>
      <w:r>
        <w:rPr>
          <w:rFonts w:ascii="宋体" w:hAnsi="宋体" w:eastAsia="宋体" w:cs="宋体"/>
          <w:spacing w:val="3"/>
          <w:sz w:val="24"/>
          <w:szCs w:val="24"/>
        </w:rPr>
        <w:t xml:space="preserve">  </w:t>
      </w:r>
      <w:r>
        <w:rPr>
          <w:rFonts w:ascii="宋体" w:hAnsi="宋体" w:eastAsia="宋体" w:cs="宋体"/>
          <w:spacing w:val="-6"/>
          <w:sz w:val="24"/>
          <w:szCs w:val="24"/>
        </w:rPr>
        <w:t>个封套中。封套应加贴封条，并在封套的封口处加盖投标人单位章或由投标人的法定</w:t>
      </w:r>
      <w:r>
        <w:rPr>
          <w:rFonts w:ascii="宋体" w:hAnsi="宋体" w:eastAsia="宋体" w:cs="宋体"/>
          <w:spacing w:val="-1"/>
          <w:sz w:val="24"/>
          <w:szCs w:val="24"/>
        </w:rPr>
        <w:t>代表人或其委托代理人签字。</w:t>
      </w:r>
    </w:p>
    <w:p>
      <w:pPr>
        <w:keepNext w:val="0"/>
        <w:keepLines w:val="0"/>
        <w:pageBreakBefore w:val="0"/>
        <w:wordWrap/>
        <w:overflowPunct/>
        <w:topLinePunct w:val="0"/>
        <w:autoSpaceDE w:val="0"/>
        <w:autoSpaceDN w:val="0"/>
        <w:bidi w:val="0"/>
        <w:spacing w:before="113" w:line="360" w:lineRule="auto"/>
        <w:ind w:left="517"/>
        <w:rPr>
          <w:rFonts w:ascii="宋体" w:hAnsi="宋体" w:eastAsia="宋体" w:cs="宋体"/>
          <w:sz w:val="24"/>
          <w:szCs w:val="24"/>
        </w:rPr>
      </w:pPr>
      <w:r>
        <w:rPr>
          <w:rFonts w:ascii="宋体" w:hAnsi="宋体" w:eastAsia="宋体" w:cs="宋体"/>
          <w:spacing w:val="-1"/>
          <w:sz w:val="24"/>
          <w:szCs w:val="24"/>
        </w:rPr>
        <w:t>采用银行保函形式提交投标保证金的，银行保函原件应密封</w:t>
      </w:r>
      <w:r>
        <w:rPr>
          <w:rFonts w:ascii="宋体" w:hAnsi="宋体" w:eastAsia="宋体" w:cs="宋体"/>
          <w:spacing w:val="-2"/>
          <w:sz w:val="24"/>
          <w:szCs w:val="24"/>
        </w:rPr>
        <w:t>在单独的封套中。</w:t>
      </w:r>
    </w:p>
    <w:p>
      <w:pPr>
        <w:keepNext w:val="0"/>
        <w:keepLines w:val="0"/>
        <w:pageBreakBefore w:val="0"/>
        <w:wordWrap/>
        <w:overflowPunct/>
        <w:topLinePunct w:val="0"/>
        <w:autoSpaceDE w:val="0"/>
        <w:autoSpaceDN w:val="0"/>
        <w:bidi w:val="0"/>
        <w:spacing w:line="360" w:lineRule="auto"/>
        <w:ind w:firstLine="448" w:firstLineChars="200"/>
        <w:rPr>
          <w:rFonts w:ascii="宋体" w:hAnsi="宋体" w:eastAsia="宋体" w:cs="宋体"/>
          <w:sz w:val="24"/>
          <w:szCs w:val="24"/>
        </w:rPr>
      </w:pPr>
      <w:r>
        <w:rPr>
          <w:rFonts w:ascii="Times New Roman" w:hAnsi="Times New Roman" w:eastAsia="Times New Roman" w:cs="Times New Roman"/>
          <w:spacing w:val="-8"/>
          <w:sz w:val="24"/>
          <w:szCs w:val="24"/>
        </w:rPr>
        <w:t xml:space="preserve">4.1.2  </w:t>
      </w:r>
      <w:r>
        <w:rPr>
          <w:rFonts w:ascii="宋体" w:hAnsi="宋体" w:eastAsia="宋体" w:cs="宋体"/>
          <w:spacing w:val="-8"/>
          <w:sz w:val="24"/>
          <w:szCs w:val="24"/>
        </w:rPr>
        <w:t>投标文件第一个信封（商务及技术文件）、第二个信封（报价文件）以及银</w:t>
      </w:r>
      <w:r>
        <w:rPr>
          <w:rFonts w:ascii="宋体" w:hAnsi="宋体" w:eastAsia="宋体" w:cs="宋体"/>
          <w:spacing w:val="-2"/>
          <w:sz w:val="24"/>
          <w:szCs w:val="24"/>
        </w:rPr>
        <w:t>行保函封套上应写明的内容见投标人须知前</w:t>
      </w:r>
      <w:r>
        <w:rPr>
          <w:rFonts w:ascii="宋体" w:hAnsi="宋体" w:eastAsia="宋体" w:cs="宋体"/>
          <w:spacing w:val="-3"/>
          <w:sz w:val="24"/>
          <w:szCs w:val="24"/>
        </w:rPr>
        <w:t>附表。</w:t>
      </w:r>
    </w:p>
    <w:p>
      <w:pPr>
        <w:keepNext w:val="0"/>
        <w:keepLines w:val="0"/>
        <w:pageBreakBefore w:val="0"/>
        <w:wordWrap/>
        <w:overflowPunct/>
        <w:topLinePunct w:val="0"/>
        <w:autoSpaceDE w:val="0"/>
        <w:autoSpaceDN w:val="0"/>
        <w:bidi w:val="0"/>
        <w:spacing w:before="113" w:line="360" w:lineRule="auto"/>
        <w:ind w:left="519"/>
        <w:rPr>
          <w:rFonts w:ascii="宋体" w:hAnsi="宋体" w:eastAsia="宋体" w:cs="宋体"/>
          <w:sz w:val="24"/>
          <w:szCs w:val="24"/>
        </w:rPr>
      </w:pPr>
      <w:r>
        <w:rPr>
          <w:rFonts w:ascii="宋体" w:hAnsi="宋体" w:eastAsia="宋体" w:cs="宋体"/>
          <w:spacing w:val="-2"/>
          <w:sz w:val="24"/>
          <w:szCs w:val="24"/>
        </w:rPr>
        <w:t>若采用单信封形式，第</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 xml:space="preserve">4.1.1 </w:t>
      </w:r>
      <w:r>
        <w:rPr>
          <w:rFonts w:ascii="宋体" w:hAnsi="宋体" w:eastAsia="宋体" w:cs="宋体"/>
          <w:spacing w:val="-2"/>
          <w:sz w:val="24"/>
          <w:szCs w:val="24"/>
        </w:rPr>
        <w:t>项和第</w:t>
      </w:r>
      <w:r>
        <w:rPr>
          <w:rFonts w:ascii="宋体" w:hAnsi="宋体" w:eastAsia="宋体" w:cs="宋体"/>
          <w:spacing w:val="-56"/>
          <w:sz w:val="24"/>
          <w:szCs w:val="24"/>
        </w:rPr>
        <w:t xml:space="preserve"> </w:t>
      </w:r>
      <w:r>
        <w:rPr>
          <w:rFonts w:ascii="Times New Roman" w:hAnsi="Times New Roman" w:eastAsia="Times New Roman" w:cs="Times New Roman"/>
          <w:spacing w:val="-2"/>
          <w:sz w:val="24"/>
          <w:szCs w:val="24"/>
        </w:rPr>
        <w:t xml:space="preserve">4.1.2 </w:t>
      </w:r>
      <w:r>
        <w:rPr>
          <w:rFonts w:ascii="宋体" w:hAnsi="宋体" w:eastAsia="宋体" w:cs="宋体"/>
          <w:spacing w:val="-2"/>
          <w:sz w:val="24"/>
          <w:szCs w:val="24"/>
        </w:rPr>
        <w:t>项采用以下条款：</w:t>
      </w:r>
    </w:p>
    <w:p>
      <w:pPr>
        <w:keepNext w:val="0"/>
        <w:keepLines w:val="0"/>
        <w:pageBreakBefore w:val="0"/>
        <w:wordWrap/>
        <w:overflowPunct/>
        <w:topLinePunct w:val="0"/>
        <w:autoSpaceDE w:val="0"/>
        <w:autoSpaceDN w:val="0"/>
        <w:bidi w:val="0"/>
        <w:spacing w:before="115" w:line="360" w:lineRule="auto"/>
        <w:ind w:left="39" w:right="3" w:firstLine="473"/>
        <w:rPr>
          <w:rFonts w:ascii="宋体" w:hAnsi="宋体" w:eastAsia="宋体" w:cs="宋体"/>
          <w:sz w:val="24"/>
          <w:szCs w:val="24"/>
        </w:rPr>
      </w:pPr>
      <w:r>
        <w:rPr>
          <w:rFonts w:ascii="Times New Roman" w:hAnsi="Times New Roman" w:eastAsia="Times New Roman" w:cs="Times New Roman"/>
          <w:spacing w:val="-2"/>
          <w:sz w:val="24"/>
          <w:szCs w:val="24"/>
        </w:rPr>
        <w:t xml:space="preserve">4.1.1  </w:t>
      </w:r>
      <w:r>
        <w:rPr>
          <w:rFonts w:ascii="宋体" w:hAnsi="宋体" w:eastAsia="宋体" w:cs="宋体"/>
          <w:spacing w:val="-2"/>
          <w:sz w:val="24"/>
          <w:szCs w:val="24"/>
        </w:rPr>
        <w:t>投标文件应采用单信封形式密封。</w:t>
      </w:r>
      <w:r>
        <w:rPr>
          <w:rFonts w:ascii="宋体" w:hAnsi="宋体" w:eastAsia="宋体" w:cs="宋体"/>
          <w:spacing w:val="-20"/>
          <w:sz w:val="24"/>
          <w:szCs w:val="24"/>
        </w:rPr>
        <w:t xml:space="preserve"> </w:t>
      </w:r>
      <w:r>
        <w:rPr>
          <w:rFonts w:ascii="宋体" w:hAnsi="宋体" w:eastAsia="宋体" w:cs="宋体"/>
          <w:spacing w:val="-2"/>
          <w:sz w:val="24"/>
          <w:szCs w:val="24"/>
        </w:rPr>
        <w:t>投标文件的正本与副本、投标文件电子</w:t>
      </w:r>
      <w:r>
        <w:rPr>
          <w:rFonts w:ascii="宋体" w:hAnsi="宋体" w:eastAsia="宋体" w:cs="宋体"/>
          <w:sz w:val="24"/>
          <w:szCs w:val="24"/>
        </w:rPr>
        <w:t xml:space="preserve"> </w:t>
      </w:r>
      <w:r>
        <w:rPr>
          <w:rFonts w:ascii="宋体" w:hAnsi="宋体" w:eastAsia="宋体" w:cs="宋体"/>
          <w:spacing w:val="-6"/>
          <w:sz w:val="24"/>
          <w:szCs w:val="24"/>
        </w:rPr>
        <w:t>版文件（如需要） 以及填写完毕的工程量固化清单电子文件（如采用工</w:t>
      </w:r>
      <w:r>
        <w:rPr>
          <w:rFonts w:ascii="宋体" w:hAnsi="宋体" w:eastAsia="宋体" w:cs="宋体"/>
          <w:spacing w:val="-7"/>
          <w:sz w:val="24"/>
          <w:szCs w:val="24"/>
        </w:rPr>
        <w:t>程量固化清单</w:t>
      </w:r>
      <w:r>
        <w:rPr>
          <w:rFonts w:ascii="宋体" w:hAnsi="宋体" w:eastAsia="宋体" w:cs="宋体"/>
          <w:sz w:val="24"/>
          <w:szCs w:val="24"/>
        </w:rPr>
        <w:t xml:space="preserve"> </w:t>
      </w:r>
      <w:r>
        <w:rPr>
          <w:rFonts w:ascii="宋体" w:hAnsi="宋体" w:eastAsia="宋体" w:cs="宋体"/>
          <w:spacing w:val="-9"/>
          <w:sz w:val="24"/>
          <w:szCs w:val="24"/>
        </w:rPr>
        <w:t>形式）</w:t>
      </w:r>
      <w:r>
        <w:rPr>
          <w:rFonts w:ascii="宋体" w:hAnsi="宋体" w:eastAsia="宋体" w:cs="宋体"/>
          <w:spacing w:val="-50"/>
          <w:sz w:val="24"/>
          <w:szCs w:val="24"/>
        </w:rPr>
        <w:t xml:space="preserve"> </w:t>
      </w:r>
      <w:r>
        <w:rPr>
          <w:rFonts w:ascii="宋体" w:hAnsi="宋体" w:eastAsia="宋体" w:cs="宋体"/>
          <w:spacing w:val="-9"/>
          <w:sz w:val="24"/>
          <w:szCs w:val="24"/>
        </w:rPr>
        <w:t>应统一密封在一个封套中。封套应加贴封条，并在封套的封口处加盖投标人单</w:t>
      </w:r>
    </w:p>
    <w:p>
      <w:pPr>
        <w:keepNext w:val="0"/>
        <w:keepLines w:val="0"/>
        <w:pageBreakBefore w:val="0"/>
        <w:wordWrap/>
        <w:overflowPunct/>
        <w:topLinePunct w:val="0"/>
        <w:autoSpaceDE w:val="0"/>
        <w:autoSpaceDN w:val="0"/>
        <w:bidi w:val="0"/>
        <w:spacing w:before="1" w:line="360" w:lineRule="auto"/>
        <w:ind w:left="38"/>
        <w:rPr>
          <w:rFonts w:ascii="宋体" w:hAnsi="宋体" w:eastAsia="宋体" w:cs="宋体"/>
          <w:sz w:val="24"/>
          <w:szCs w:val="24"/>
        </w:rPr>
      </w:pPr>
      <w:r>
        <w:rPr>
          <w:rFonts w:ascii="宋体" w:hAnsi="宋体" w:eastAsia="宋体" w:cs="宋体"/>
          <w:spacing w:val="-1"/>
          <w:sz w:val="24"/>
          <w:szCs w:val="24"/>
        </w:rPr>
        <w:t>位章或由投标人的法定代表人或其委托代理人签字。</w:t>
      </w:r>
    </w:p>
    <w:p>
      <w:pPr>
        <w:keepNext w:val="0"/>
        <w:keepLines w:val="0"/>
        <w:pageBreakBefore w:val="0"/>
        <w:wordWrap/>
        <w:overflowPunct/>
        <w:topLinePunct w:val="0"/>
        <w:autoSpaceDE w:val="0"/>
        <w:autoSpaceDN w:val="0"/>
        <w:bidi w:val="0"/>
        <w:spacing w:before="116" w:line="360" w:lineRule="auto"/>
        <w:ind w:left="517"/>
        <w:rPr>
          <w:rFonts w:ascii="宋体" w:hAnsi="宋体" w:eastAsia="宋体" w:cs="宋体"/>
          <w:sz w:val="24"/>
          <w:szCs w:val="24"/>
        </w:rPr>
      </w:pPr>
      <w:r>
        <w:rPr>
          <w:rFonts w:ascii="宋体" w:hAnsi="宋体" w:eastAsia="宋体" w:cs="宋体"/>
          <w:spacing w:val="-1"/>
          <w:sz w:val="24"/>
          <w:szCs w:val="24"/>
        </w:rPr>
        <w:t>采用银行保函形式提交投标保证金的，银行保函原件应密封</w:t>
      </w:r>
      <w:r>
        <w:rPr>
          <w:rFonts w:ascii="宋体" w:hAnsi="宋体" w:eastAsia="宋体" w:cs="宋体"/>
          <w:spacing w:val="-2"/>
          <w:sz w:val="24"/>
          <w:szCs w:val="24"/>
        </w:rPr>
        <w:t>在单独的封套中。</w:t>
      </w:r>
    </w:p>
    <w:p>
      <w:pPr>
        <w:keepNext w:val="0"/>
        <w:keepLines w:val="0"/>
        <w:pageBreakBefore w:val="0"/>
        <w:wordWrap/>
        <w:overflowPunct/>
        <w:topLinePunct w:val="0"/>
        <w:autoSpaceDE w:val="0"/>
        <w:autoSpaceDN w:val="0"/>
        <w:bidi w:val="0"/>
        <w:spacing w:before="114" w:line="360" w:lineRule="auto"/>
        <w:ind w:left="512"/>
        <w:rPr>
          <w:rFonts w:ascii="宋体" w:hAnsi="宋体" w:eastAsia="宋体" w:cs="宋体"/>
          <w:sz w:val="24"/>
          <w:szCs w:val="24"/>
        </w:rPr>
      </w:pPr>
      <w:r>
        <w:rPr>
          <w:rFonts w:ascii="Times New Roman" w:hAnsi="Times New Roman" w:eastAsia="Times New Roman" w:cs="Times New Roman"/>
          <w:spacing w:val="-1"/>
          <w:sz w:val="24"/>
          <w:szCs w:val="24"/>
        </w:rPr>
        <w:t xml:space="preserve">4.1.2  </w:t>
      </w:r>
      <w:r>
        <w:rPr>
          <w:rFonts w:ascii="宋体" w:hAnsi="宋体" w:eastAsia="宋体" w:cs="宋体"/>
          <w:spacing w:val="-1"/>
          <w:sz w:val="24"/>
          <w:szCs w:val="24"/>
        </w:rPr>
        <w:t>投标文件以及银行保函封套上应写明的内容见投标人须知前</w:t>
      </w:r>
      <w:r>
        <w:rPr>
          <w:rFonts w:ascii="宋体" w:hAnsi="宋体" w:eastAsia="宋体" w:cs="宋体"/>
          <w:spacing w:val="-2"/>
          <w:sz w:val="24"/>
          <w:szCs w:val="24"/>
        </w:rPr>
        <w:t>附表。</w:t>
      </w:r>
    </w:p>
    <w:p>
      <w:pPr>
        <w:keepNext w:val="0"/>
        <w:keepLines w:val="0"/>
        <w:pageBreakBefore w:val="0"/>
        <w:wordWrap/>
        <w:overflowPunct/>
        <w:topLinePunct w:val="0"/>
        <w:autoSpaceDE w:val="0"/>
        <w:autoSpaceDN w:val="0"/>
        <w:bidi w:val="0"/>
        <w:spacing w:before="116" w:line="360" w:lineRule="auto"/>
        <w:ind w:left="512"/>
        <w:rPr>
          <w:rFonts w:ascii="宋体" w:hAnsi="宋体" w:eastAsia="宋体" w:cs="宋体"/>
          <w:sz w:val="24"/>
          <w:szCs w:val="24"/>
        </w:rPr>
      </w:pPr>
      <w:r>
        <w:rPr>
          <w:rFonts w:ascii="Times New Roman" w:hAnsi="Times New Roman" w:eastAsia="Times New Roman" w:cs="Times New Roman"/>
          <w:spacing w:val="-6"/>
          <w:sz w:val="24"/>
          <w:szCs w:val="24"/>
        </w:rPr>
        <w:t xml:space="preserve">4.1.3  </w:t>
      </w:r>
      <w:r>
        <w:rPr>
          <w:rFonts w:ascii="宋体" w:hAnsi="宋体" w:eastAsia="宋体" w:cs="宋体"/>
          <w:spacing w:val="-6"/>
          <w:sz w:val="24"/>
          <w:szCs w:val="24"/>
        </w:rPr>
        <w:t>未按本章第</w:t>
      </w:r>
      <w:r>
        <w:rPr>
          <w:rFonts w:ascii="宋体" w:hAnsi="宋体" w:eastAsia="宋体" w:cs="宋体"/>
          <w:spacing w:val="-40"/>
          <w:sz w:val="24"/>
          <w:szCs w:val="24"/>
        </w:rPr>
        <w:t xml:space="preserve"> </w:t>
      </w:r>
      <w:r>
        <w:rPr>
          <w:rFonts w:ascii="Times New Roman" w:hAnsi="Times New Roman" w:eastAsia="Times New Roman" w:cs="Times New Roman"/>
          <w:spacing w:val="-6"/>
          <w:sz w:val="24"/>
          <w:szCs w:val="24"/>
        </w:rPr>
        <w:t>4.1.1</w:t>
      </w:r>
      <w:r>
        <w:rPr>
          <w:rFonts w:ascii="Times New Roman" w:hAnsi="Times New Roman" w:eastAsia="Times New Roman" w:cs="Times New Roman"/>
          <w:spacing w:val="13"/>
          <w:sz w:val="24"/>
          <w:szCs w:val="24"/>
        </w:rPr>
        <w:t xml:space="preserve"> </w:t>
      </w:r>
      <w:r>
        <w:rPr>
          <w:rFonts w:ascii="宋体" w:hAnsi="宋体" w:eastAsia="宋体" w:cs="宋体"/>
          <w:spacing w:val="-6"/>
          <w:sz w:val="24"/>
          <w:szCs w:val="24"/>
        </w:rPr>
        <w:t>项要求密封的投标文件，招标人将予以拒收。</w:t>
      </w:r>
    </w:p>
    <w:p>
      <w:pPr>
        <w:keepNext w:val="0"/>
        <w:keepLines w:val="0"/>
        <w:pageBreakBefore w:val="0"/>
        <w:wordWrap/>
        <w:overflowPunct/>
        <w:topLinePunct w:val="0"/>
        <w:autoSpaceDE w:val="0"/>
        <w:autoSpaceDN w:val="0"/>
        <w:bidi w:val="0"/>
        <w:spacing w:before="267" w:line="360" w:lineRule="auto"/>
        <w:ind w:left="31"/>
        <w:rPr>
          <w:rFonts w:ascii="黑体" w:hAnsi="黑体" w:eastAsia="黑体" w:cs="黑体"/>
          <w:sz w:val="24"/>
          <w:szCs w:val="24"/>
        </w:rPr>
      </w:pPr>
      <w:r>
        <w:rPr>
          <w:rFonts w:ascii="黑体" w:hAnsi="黑体" w:eastAsia="黑体" w:cs="黑体"/>
          <w:spacing w:val="-1"/>
          <w:sz w:val="24"/>
          <w:szCs w:val="24"/>
        </w:rPr>
        <w:t>4.2</w:t>
      </w:r>
      <w:r>
        <w:rPr>
          <w:rFonts w:ascii="黑体" w:hAnsi="黑体" w:eastAsia="黑体" w:cs="黑体"/>
          <w:spacing w:val="67"/>
          <w:sz w:val="24"/>
          <w:szCs w:val="24"/>
        </w:rPr>
        <w:t xml:space="preserve"> </w:t>
      </w:r>
      <w:r>
        <w:rPr>
          <w:rFonts w:ascii="黑体" w:hAnsi="黑体" w:eastAsia="黑体" w:cs="黑体"/>
          <w:spacing w:val="-1"/>
          <w:sz w:val="24"/>
          <w:szCs w:val="24"/>
        </w:rPr>
        <w:t>投标文件的递交</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right="3"/>
        <w:jc w:val="right"/>
        <w:rPr>
          <w:rFonts w:ascii="宋体" w:hAnsi="宋体" w:eastAsia="宋体" w:cs="宋体"/>
          <w:sz w:val="24"/>
          <w:szCs w:val="24"/>
        </w:rPr>
      </w:pPr>
      <w:r>
        <w:rPr>
          <w:rFonts w:ascii="Times New Roman" w:hAnsi="Times New Roman" w:eastAsia="Times New Roman" w:cs="Times New Roman"/>
          <w:spacing w:val="1"/>
          <w:sz w:val="24"/>
          <w:szCs w:val="24"/>
        </w:rPr>
        <w:t xml:space="preserve">4.2.1  </w:t>
      </w:r>
      <w:r>
        <w:rPr>
          <w:rFonts w:ascii="宋体" w:hAnsi="宋体" w:eastAsia="宋体" w:cs="宋体"/>
          <w:spacing w:val="1"/>
          <w:sz w:val="24"/>
          <w:szCs w:val="24"/>
        </w:rPr>
        <w:t>投标人应在第一章“招标公告”</w:t>
      </w:r>
      <w:r>
        <w:rPr>
          <w:rFonts w:ascii="宋体" w:hAnsi="宋体" w:eastAsia="宋体" w:cs="宋体"/>
          <w:sz w:val="24"/>
          <w:szCs w:val="24"/>
        </w:rPr>
        <w:t>或“投标邀请书”规定的投标截止时间前</w:t>
      </w:r>
    </w:p>
    <w:p>
      <w:pPr>
        <w:keepNext w:val="0"/>
        <w:keepLines w:val="0"/>
        <w:pageBreakBefore w:val="0"/>
        <w:wordWrap/>
        <w:overflowPunct/>
        <w:topLinePunct w:val="0"/>
        <w:autoSpaceDE w:val="0"/>
        <w:autoSpaceDN w:val="0"/>
        <w:bidi w:val="0"/>
        <w:spacing w:before="117" w:line="360" w:lineRule="auto"/>
        <w:ind w:left="39"/>
        <w:rPr>
          <w:rFonts w:ascii="宋体" w:hAnsi="宋体" w:eastAsia="宋体" w:cs="宋体"/>
          <w:sz w:val="24"/>
          <w:szCs w:val="24"/>
        </w:rPr>
      </w:pPr>
      <w:r>
        <w:rPr>
          <w:rFonts w:ascii="宋体" w:hAnsi="宋体" w:eastAsia="宋体" w:cs="宋体"/>
          <w:spacing w:val="-6"/>
          <w:sz w:val="24"/>
          <w:szCs w:val="24"/>
        </w:rPr>
        <w:t>递交投标文件。</w:t>
      </w:r>
    </w:p>
    <w:p>
      <w:pPr>
        <w:keepNext w:val="0"/>
        <w:keepLines w:val="0"/>
        <w:pageBreakBefore w:val="0"/>
        <w:wordWrap/>
        <w:overflowPunct/>
        <w:topLinePunct w:val="0"/>
        <w:autoSpaceDE w:val="0"/>
        <w:autoSpaceDN w:val="0"/>
        <w:bidi w:val="0"/>
        <w:spacing w:before="115" w:line="360" w:lineRule="auto"/>
        <w:ind w:right="29"/>
        <w:jc w:val="right"/>
        <w:rPr>
          <w:rFonts w:ascii="宋体" w:hAnsi="宋体" w:eastAsia="宋体" w:cs="宋体"/>
          <w:sz w:val="24"/>
          <w:szCs w:val="24"/>
        </w:rPr>
      </w:pPr>
      <w:r>
        <w:rPr>
          <w:rFonts w:ascii="Times New Roman" w:hAnsi="Times New Roman" w:eastAsia="Times New Roman" w:cs="Times New Roman"/>
          <w:spacing w:val="-5"/>
          <w:sz w:val="24"/>
          <w:szCs w:val="24"/>
        </w:rPr>
        <w:t xml:space="preserve">4.2.2  </w:t>
      </w:r>
      <w:r>
        <w:rPr>
          <w:rFonts w:ascii="宋体" w:hAnsi="宋体" w:eastAsia="宋体" w:cs="宋体"/>
          <w:spacing w:val="-5"/>
          <w:sz w:val="24"/>
          <w:szCs w:val="24"/>
        </w:rPr>
        <w:t>投标人递交投标文件的地点：</w:t>
      </w:r>
      <w:r>
        <w:rPr>
          <w:rFonts w:ascii="宋体" w:hAnsi="宋体" w:eastAsia="宋体" w:cs="宋体"/>
          <w:spacing w:val="71"/>
          <w:sz w:val="24"/>
          <w:szCs w:val="24"/>
        </w:rPr>
        <w:t xml:space="preserve"> </w:t>
      </w:r>
      <w:r>
        <w:rPr>
          <w:rFonts w:ascii="宋体" w:hAnsi="宋体" w:eastAsia="宋体" w:cs="宋体"/>
          <w:spacing w:val="-5"/>
          <w:sz w:val="24"/>
          <w:szCs w:val="24"/>
        </w:rPr>
        <w:t>见第一章“招标公告”或“投标邀请书”。</w:t>
      </w:r>
    </w:p>
    <w:p>
      <w:pPr>
        <w:keepNext w:val="0"/>
        <w:keepLines w:val="0"/>
        <w:pageBreakBefore w:val="0"/>
        <w:wordWrap/>
        <w:overflowPunct/>
        <w:topLinePunct w:val="0"/>
        <w:autoSpaceDE w:val="0"/>
        <w:autoSpaceDN w:val="0"/>
        <w:bidi w:val="0"/>
        <w:spacing w:before="115" w:line="360" w:lineRule="auto"/>
        <w:jc w:val="right"/>
        <w:rPr>
          <w:rFonts w:ascii="宋体" w:hAnsi="宋体" w:eastAsia="宋体" w:cs="宋体"/>
          <w:sz w:val="24"/>
          <w:szCs w:val="24"/>
        </w:rPr>
      </w:pPr>
      <w:r>
        <w:rPr>
          <w:rFonts w:ascii="Times New Roman" w:hAnsi="Times New Roman" w:eastAsia="Times New Roman" w:cs="Times New Roman"/>
          <w:spacing w:val="-2"/>
          <w:sz w:val="24"/>
          <w:szCs w:val="24"/>
        </w:rPr>
        <w:t xml:space="preserve">4.2.3  </w:t>
      </w:r>
      <w:r>
        <w:rPr>
          <w:rFonts w:ascii="宋体" w:hAnsi="宋体" w:eastAsia="宋体" w:cs="宋体"/>
          <w:spacing w:val="-2"/>
          <w:sz w:val="24"/>
          <w:szCs w:val="24"/>
        </w:rPr>
        <w:t>除投标人须知前附表另有规定外，投</w:t>
      </w:r>
      <w:r>
        <w:rPr>
          <w:rFonts w:ascii="宋体" w:hAnsi="宋体" w:eastAsia="宋体" w:cs="宋体"/>
          <w:spacing w:val="-3"/>
          <w:sz w:val="24"/>
          <w:szCs w:val="24"/>
        </w:rPr>
        <w:t>标人所递交的投标文件不予退还。 投</w:t>
      </w:r>
    </w:p>
    <w:p>
      <w:pPr>
        <w:keepNext w:val="0"/>
        <w:keepLines w:val="0"/>
        <w:pageBreakBefore w:val="0"/>
        <w:wordWrap/>
        <w:overflowPunct/>
        <w:topLinePunct w:val="0"/>
        <w:autoSpaceDE w:val="0"/>
        <w:autoSpaceDN w:val="0"/>
        <w:bidi w:val="0"/>
        <w:spacing w:before="116" w:line="360" w:lineRule="auto"/>
        <w:ind w:left="39"/>
        <w:rPr>
          <w:rFonts w:ascii="宋体" w:hAnsi="宋体" w:eastAsia="宋体" w:cs="宋体"/>
          <w:spacing w:val="-3"/>
          <w:position w:val="16"/>
          <w:sz w:val="24"/>
          <w:szCs w:val="24"/>
        </w:rPr>
      </w:pPr>
      <w:r>
        <w:rPr>
          <w:rFonts w:ascii="宋体" w:hAnsi="宋体" w:eastAsia="宋体" w:cs="宋体"/>
          <w:spacing w:val="-3"/>
          <w:position w:val="16"/>
          <w:sz w:val="24"/>
          <w:szCs w:val="24"/>
        </w:rPr>
        <w:t>标人少于</w:t>
      </w:r>
      <w:r>
        <w:rPr>
          <w:rFonts w:ascii="宋体" w:hAnsi="宋体" w:eastAsia="宋体" w:cs="宋体"/>
          <w:spacing w:val="-38"/>
          <w:position w:val="16"/>
          <w:sz w:val="24"/>
          <w:szCs w:val="24"/>
        </w:rPr>
        <w:t xml:space="preserve"> </w:t>
      </w:r>
      <w:r>
        <w:rPr>
          <w:rFonts w:ascii="Times New Roman" w:hAnsi="Times New Roman" w:eastAsia="Times New Roman" w:cs="Times New Roman"/>
          <w:spacing w:val="-3"/>
          <w:position w:val="16"/>
          <w:sz w:val="24"/>
          <w:szCs w:val="24"/>
        </w:rPr>
        <w:t xml:space="preserve">3 </w:t>
      </w:r>
      <w:r>
        <w:rPr>
          <w:rFonts w:ascii="宋体" w:hAnsi="宋体" w:eastAsia="宋体" w:cs="宋体"/>
          <w:spacing w:val="-3"/>
          <w:position w:val="16"/>
          <w:sz w:val="24"/>
          <w:szCs w:val="24"/>
        </w:rPr>
        <w:t>个的，投标文件当场退还给投标人。</w:t>
      </w:r>
    </w:p>
    <w:p>
      <w:pPr>
        <w:keepNext w:val="0"/>
        <w:keepLines w:val="0"/>
        <w:pageBreakBefore w:val="0"/>
        <w:wordWrap/>
        <w:overflowPunct/>
        <w:topLinePunct w:val="0"/>
        <w:autoSpaceDE w:val="0"/>
        <w:autoSpaceDN w:val="0"/>
        <w:bidi w:val="0"/>
        <w:spacing w:before="116" w:line="360" w:lineRule="auto"/>
        <w:ind w:left="39" w:firstLine="476" w:firstLineChars="20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4.2.4 投标人在递交投标文件时，应在递交文件登记表上签字，同时招标人负责 接收投标文件的工作人员也应在递交文件登记表上签字确认收到该投标人的投标文件。</w:t>
      </w:r>
    </w:p>
    <w:p>
      <w:pPr>
        <w:keepNext w:val="0"/>
        <w:keepLines w:val="0"/>
        <w:pageBreakBefore w:val="0"/>
        <w:wordWrap/>
        <w:overflowPunct/>
        <w:topLinePunct w:val="0"/>
        <w:autoSpaceDE w:val="0"/>
        <w:autoSpaceDN w:val="0"/>
        <w:bidi w:val="0"/>
        <w:spacing w:before="128" w:line="360" w:lineRule="auto"/>
        <w:ind w:left="512"/>
        <w:rPr>
          <w:rFonts w:ascii="宋体" w:hAnsi="宋体" w:eastAsia="宋体" w:cs="宋体"/>
          <w:sz w:val="24"/>
          <w:szCs w:val="24"/>
        </w:rPr>
      </w:pPr>
      <w:r>
        <w:rPr>
          <w:rFonts w:ascii="Times New Roman" w:hAnsi="Times New Roman" w:eastAsia="Times New Roman" w:cs="Times New Roman"/>
          <w:spacing w:val="-5"/>
          <w:sz w:val="24"/>
          <w:szCs w:val="24"/>
        </w:rPr>
        <w:t xml:space="preserve">4.2.5  </w:t>
      </w:r>
      <w:r>
        <w:rPr>
          <w:rFonts w:ascii="宋体" w:hAnsi="宋体" w:eastAsia="宋体" w:cs="宋体"/>
          <w:spacing w:val="-5"/>
          <w:sz w:val="24"/>
          <w:szCs w:val="24"/>
        </w:rPr>
        <w:t>逾期送达的或未送达指定地点的</w:t>
      </w:r>
      <w:r>
        <w:rPr>
          <w:rFonts w:ascii="宋体" w:hAnsi="宋体" w:eastAsia="宋体" w:cs="宋体"/>
          <w:spacing w:val="-6"/>
          <w:sz w:val="24"/>
          <w:szCs w:val="24"/>
        </w:rPr>
        <w:t>投标文件，招标人将予以拒收。</w:t>
      </w:r>
    </w:p>
    <w:p>
      <w:pPr>
        <w:keepNext w:val="0"/>
        <w:keepLines w:val="0"/>
        <w:pageBreakBefore w:val="0"/>
        <w:wordWrap/>
        <w:overflowPunct/>
        <w:topLinePunct w:val="0"/>
        <w:autoSpaceDE w:val="0"/>
        <w:autoSpaceDN w:val="0"/>
        <w:bidi w:val="0"/>
        <w:spacing w:before="267" w:line="360" w:lineRule="auto"/>
        <w:ind w:left="31"/>
        <w:rPr>
          <w:rFonts w:ascii="黑体" w:hAnsi="黑体" w:eastAsia="黑体" w:cs="黑体"/>
          <w:sz w:val="24"/>
          <w:szCs w:val="24"/>
        </w:rPr>
      </w:pPr>
      <w:r>
        <w:rPr>
          <w:rFonts w:ascii="黑体" w:hAnsi="黑体" w:eastAsia="黑体" w:cs="黑体"/>
          <w:spacing w:val="-1"/>
          <w:sz w:val="24"/>
          <w:szCs w:val="24"/>
        </w:rPr>
        <w:t>4.3 投标文件的修改与撤回</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jc w:val="right"/>
        <w:rPr>
          <w:rFonts w:ascii="宋体" w:hAnsi="宋体" w:eastAsia="宋体" w:cs="宋体"/>
          <w:sz w:val="24"/>
          <w:szCs w:val="24"/>
        </w:rPr>
      </w:pPr>
      <w:r>
        <w:rPr>
          <w:rFonts w:ascii="Times New Roman" w:hAnsi="Times New Roman" w:eastAsia="Times New Roman" w:cs="Times New Roman"/>
          <w:spacing w:val="-2"/>
          <w:sz w:val="24"/>
          <w:szCs w:val="24"/>
        </w:rPr>
        <w:t xml:space="preserve">4.3.1  </w:t>
      </w:r>
      <w:r>
        <w:rPr>
          <w:rFonts w:ascii="宋体" w:hAnsi="宋体" w:eastAsia="宋体" w:cs="宋体"/>
          <w:spacing w:val="-2"/>
          <w:sz w:val="24"/>
          <w:szCs w:val="24"/>
        </w:rPr>
        <w:t>在本章第</w:t>
      </w:r>
      <w:r>
        <w:rPr>
          <w:rFonts w:ascii="宋体" w:hAnsi="宋体" w:eastAsia="宋体" w:cs="宋体"/>
          <w:spacing w:val="-57"/>
          <w:sz w:val="24"/>
          <w:szCs w:val="24"/>
        </w:rPr>
        <w:t xml:space="preserve"> </w:t>
      </w:r>
      <w:r>
        <w:rPr>
          <w:rFonts w:ascii="Times New Roman" w:hAnsi="Times New Roman" w:eastAsia="Times New Roman" w:cs="Times New Roman"/>
          <w:spacing w:val="-2"/>
          <w:sz w:val="24"/>
          <w:szCs w:val="24"/>
        </w:rPr>
        <w:t xml:space="preserve">4.2.1 </w:t>
      </w:r>
      <w:r>
        <w:rPr>
          <w:rFonts w:ascii="宋体" w:hAnsi="宋体" w:eastAsia="宋体" w:cs="宋体"/>
          <w:spacing w:val="-2"/>
          <w:sz w:val="24"/>
          <w:szCs w:val="24"/>
        </w:rPr>
        <w:t>项规定的投标截止时间前，投</w:t>
      </w:r>
      <w:r>
        <w:rPr>
          <w:rFonts w:ascii="宋体" w:hAnsi="宋体" w:eastAsia="宋体" w:cs="宋体"/>
          <w:spacing w:val="-3"/>
          <w:sz w:val="24"/>
          <w:szCs w:val="24"/>
        </w:rPr>
        <w:t>标人可以修改或撤回已递交的</w:t>
      </w:r>
    </w:p>
    <w:p>
      <w:pPr>
        <w:keepNext w:val="0"/>
        <w:keepLines w:val="0"/>
        <w:pageBreakBefore w:val="0"/>
        <w:wordWrap/>
        <w:overflowPunct/>
        <w:topLinePunct w:val="0"/>
        <w:autoSpaceDE w:val="0"/>
        <w:autoSpaceDN w:val="0"/>
        <w:bidi w:val="0"/>
        <w:spacing w:before="114" w:line="360" w:lineRule="auto"/>
        <w:ind w:left="41"/>
        <w:rPr>
          <w:rFonts w:ascii="宋体" w:hAnsi="宋体" w:eastAsia="宋体" w:cs="宋体"/>
          <w:sz w:val="24"/>
          <w:szCs w:val="24"/>
        </w:rPr>
      </w:pPr>
      <w:r>
        <w:rPr>
          <w:rFonts w:ascii="宋体" w:hAnsi="宋体" w:eastAsia="宋体" w:cs="宋体"/>
          <w:spacing w:val="-3"/>
          <w:position w:val="16"/>
          <w:sz w:val="24"/>
          <w:szCs w:val="24"/>
        </w:rPr>
        <w:t>投标文件，但应以书面形式通知招标人。</w:t>
      </w:r>
    </w:p>
    <w:p>
      <w:pPr>
        <w:keepNext w:val="0"/>
        <w:keepLines w:val="0"/>
        <w:pageBreakBefore w:val="0"/>
        <w:wordWrap/>
        <w:overflowPunct/>
        <w:topLinePunct w:val="0"/>
        <w:autoSpaceDE w:val="0"/>
        <w:autoSpaceDN w:val="0"/>
        <w:bidi w:val="0"/>
        <w:spacing w:line="360" w:lineRule="auto"/>
        <w:ind w:left="512"/>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4.3.2</w:t>
      </w:r>
    </w:p>
    <w:p>
      <w:pPr>
        <w:keepNext w:val="0"/>
        <w:keepLines w:val="0"/>
        <w:pageBreakBefore w:val="0"/>
        <w:wordWrap/>
        <w:overflowPunct/>
        <w:topLinePunct w:val="0"/>
        <w:autoSpaceDE w:val="0"/>
        <w:autoSpaceDN w:val="0"/>
        <w:bidi w:val="0"/>
        <w:spacing w:before="131" w:line="360" w:lineRule="auto"/>
        <w:ind w:left="39" w:firstLine="473"/>
        <w:rPr>
          <w:rFonts w:ascii="宋体" w:hAnsi="宋体" w:eastAsia="宋体" w:cs="宋体"/>
          <w:sz w:val="24"/>
          <w:szCs w:val="24"/>
        </w:rPr>
      </w:pPr>
      <w:r>
        <w:rPr>
          <w:rFonts w:ascii="Times New Roman" w:hAnsi="Times New Roman" w:eastAsia="Times New Roman" w:cs="Times New Roman"/>
          <w:spacing w:val="-1"/>
          <w:sz w:val="24"/>
          <w:szCs w:val="24"/>
        </w:rPr>
        <w:t xml:space="preserve">4.3.3  </w:t>
      </w:r>
      <w:r>
        <w:rPr>
          <w:rFonts w:ascii="宋体" w:hAnsi="宋体" w:eastAsia="宋体" w:cs="宋体"/>
          <w:spacing w:val="-1"/>
          <w:sz w:val="24"/>
          <w:szCs w:val="24"/>
        </w:rPr>
        <w:t>投标人撤回投标文件的，招标</w:t>
      </w:r>
      <w:r>
        <w:rPr>
          <w:rFonts w:ascii="宋体" w:hAnsi="宋体" w:eastAsia="宋体" w:cs="宋体"/>
          <w:spacing w:val="-2"/>
          <w:sz w:val="24"/>
          <w:szCs w:val="24"/>
        </w:rPr>
        <w:t>人自收到投标人书面撤回通知之日起</w:t>
      </w:r>
      <w:r>
        <w:rPr>
          <w:rFonts w:ascii="宋体" w:hAnsi="宋体" w:eastAsia="宋体" w:cs="宋体"/>
          <w:spacing w:val="-33"/>
          <w:sz w:val="24"/>
          <w:szCs w:val="24"/>
        </w:rPr>
        <w:t xml:space="preserve"> </w:t>
      </w:r>
      <w:r>
        <w:rPr>
          <w:rFonts w:ascii="Times New Roman" w:hAnsi="Times New Roman" w:eastAsia="Times New Roman" w:cs="Times New Roman"/>
          <w:spacing w:val="-2"/>
          <w:sz w:val="24"/>
          <w:szCs w:val="24"/>
        </w:rPr>
        <w:t xml:space="preserve">5  </w:t>
      </w:r>
      <w:r>
        <w:rPr>
          <w:rFonts w:ascii="宋体" w:hAnsi="宋体" w:eastAsia="宋体" w:cs="宋体"/>
          <w:spacing w:val="-2"/>
          <w:sz w:val="24"/>
          <w:szCs w:val="24"/>
        </w:rPr>
        <w:t>日内</w:t>
      </w:r>
      <w:r>
        <w:rPr>
          <w:rFonts w:ascii="宋体" w:hAnsi="宋体" w:eastAsia="宋体" w:cs="宋体"/>
          <w:sz w:val="24"/>
          <w:szCs w:val="24"/>
        </w:rPr>
        <w:t xml:space="preserve"> </w:t>
      </w:r>
      <w:r>
        <w:rPr>
          <w:rFonts w:ascii="宋体" w:hAnsi="宋体" w:eastAsia="宋体" w:cs="宋体"/>
          <w:spacing w:val="-4"/>
          <w:sz w:val="24"/>
          <w:szCs w:val="24"/>
        </w:rPr>
        <w:t>退还已收取的投标保证金。</w:t>
      </w:r>
    </w:p>
    <w:p>
      <w:pPr>
        <w:keepNext w:val="0"/>
        <w:keepLines w:val="0"/>
        <w:pageBreakBefore w:val="0"/>
        <w:wordWrap/>
        <w:overflowPunct/>
        <w:topLinePunct w:val="0"/>
        <w:autoSpaceDE w:val="0"/>
        <w:autoSpaceDN w:val="0"/>
        <w:bidi w:val="0"/>
        <w:spacing w:before="131" w:line="360" w:lineRule="auto"/>
        <w:ind w:left="39" w:firstLine="473"/>
        <w:rPr>
          <w:rFonts w:ascii="宋体" w:hAnsi="宋体" w:eastAsia="宋体" w:cs="宋体"/>
          <w:spacing w:val="-1"/>
          <w:sz w:val="24"/>
          <w:szCs w:val="24"/>
        </w:rPr>
      </w:pPr>
      <w:r>
        <w:rPr>
          <w:rFonts w:ascii="宋体" w:hAnsi="宋体" w:eastAsia="宋体" w:cs="宋体"/>
          <w:spacing w:val="-1"/>
          <w:sz w:val="24"/>
          <w:szCs w:val="24"/>
        </w:rPr>
        <w:t>4.3.4  修改的内容为投标文件的组成部分。修改的投标文件应按照本章第 3 条、第 4 条的规定进行编制、密封、标记和递交，并标明“修改”字样。</w:t>
      </w:r>
    </w:p>
    <w:p>
      <w:pPr>
        <w:keepNext w:val="0"/>
        <w:keepLines w:val="0"/>
        <w:pageBreakBefore w:val="0"/>
        <w:wordWrap/>
        <w:overflowPunct/>
        <w:topLinePunct w:val="0"/>
        <w:autoSpaceDE w:val="0"/>
        <w:autoSpaceDN w:val="0"/>
        <w:bidi w:val="0"/>
        <w:spacing w:before="131" w:line="360" w:lineRule="auto"/>
        <w:ind w:left="39" w:firstLine="473"/>
        <w:rPr>
          <w:rFonts w:ascii="宋体" w:hAnsi="宋体" w:eastAsia="宋体" w:cs="宋体"/>
          <w:spacing w:val="-1"/>
          <w:sz w:val="24"/>
          <w:szCs w:val="24"/>
        </w:rPr>
      </w:pPr>
    </w:p>
    <w:p>
      <w:pPr>
        <w:keepNext w:val="0"/>
        <w:keepLines w:val="0"/>
        <w:pageBreakBefore w:val="0"/>
        <w:wordWrap/>
        <w:overflowPunct/>
        <w:topLinePunct w:val="0"/>
        <w:autoSpaceDE w:val="0"/>
        <w:autoSpaceDN w:val="0"/>
        <w:bidi w:val="0"/>
        <w:spacing w:before="92" w:line="360" w:lineRule="auto"/>
        <w:ind w:left="33"/>
        <w:rPr>
          <w:rFonts w:ascii="黑体" w:hAnsi="黑体" w:eastAsia="黑体" w:cs="黑体"/>
          <w:sz w:val="28"/>
          <w:szCs w:val="28"/>
        </w:rPr>
      </w:pPr>
      <w:r>
        <w:rPr>
          <w:rFonts w:ascii="黑体" w:hAnsi="黑体" w:eastAsia="黑体" w:cs="黑体"/>
          <w:spacing w:val="-3"/>
          <w:sz w:val="28"/>
          <w:szCs w:val="28"/>
        </w:rPr>
        <w:t>5.</w:t>
      </w:r>
      <w:r>
        <w:rPr>
          <w:rFonts w:ascii="黑体" w:hAnsi="黑体" w:eastAsia="黑体" w:cs="黑体"/>
          <w:spacing w:val="14"/>
          <w:sz w:val="28"/>
          <w:szCs w:val="28"/>
        </w:rPr>
        <w:t xml:space="preserve"> </w:t>
      </w:r>
      <w:r>
        <w:rPr>
          <w:rFonts w:ascii="黑体" w:hAnsi="黑体" w:eastAsia="黑体" w:cs="黑体"/>
          <w:spacing w:val="-3"/>
          <w:sz w:val="28"/>
          <w:szCs w:val="28"/>
        </w:rPr>
        <w:t>开标</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266" w:line="360" w:lineRule="auto"/>
        <w:ind w:left="32"/>
        <w:rPr>
          <w:rFonts w:ascii="黑体" w:hAnsi="黑体" w:eastAsia="黑体" w:cs="黑体"/>
          <w:sz w:val="24"/>
          <w:szCs w:val="24"/>
        </w:rPr>
      </w:pPr>
      <w:r>
        <w:rPr>
          <w:rFonts w:ascii="黑体" w:hAnsi="黑体" w:eastAsia="黑体" w:cs="黑体"/>
          <w:spacing w:val="-1"/>
          <w:sz w:val="24"/>
          <w:szCs w:val="24"/>
        </w:rPr>
        <w:t>5.1 开标时间和地点</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131" w:line="360" w:lineRule="auto"/>
        <w:ind w:left="39" w:firstLine="473"/>
        <w:rPr>
          <w:rFonts w:ascii="宋体" w:hAnsi="宋体" w:eastAsia="宋体" w:cs="宋体"/>
          <w:spacing w:val="-3"/>
          <w:sz w:val="24"/>
          <w:szCs w:val="24"/>
        </w:rPr>
      </w:pPr>
      <w:r>
        <w:rPr>
          <w:rFonts w:ascii="宋体" w:hAnsi="宋体" w:eastAsia="宋体" w:cs="宋体"/>
          <w:spacing w:val="-1"/>
          <w:sz w:val="24"/>
          <w:szCs w:val="24"/>
        </w:rPr>
        <w:t>招标人在本章第</w:t>
      </w:r>
      <w:r>
        <w:rPr>
          <w:rFonts w:ascii="宋体" w:hAnsi="宋体" w:eastAsia="宋体" w:cs="宋体"/>
          <w:spacing w:val="-33"/>
          <w:sz w:val="24"/>
          <w:szCs w:val="24"/>
        </w:rPr>
        <w:t xml:space="preserve"> </w:t>
      </w:r>
      <w:r>
        <w:rPr>
          <w:rFonts w:ascii="Times New Roman" w:hAnsi="Times New Roman" w:eastAsia="Times New Roman" w:cs="Times New Roman"/>
          <w:spacing w:val="-1"/>
          <w:sz w:val="24"/>
          <w:szCs w:val="24"/>
        </w:rPr>
        <w:t>4.2.1</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项规定的投标截止时间（开标时间）和投标人须知前附表</w:t>
      </w:r>
      <w:r>
        <w:rPr>
          <w:rFonts w:ascii="宋体" w:hAnsi="宋体" w:eastAsia="宋体" w:cs="宋体"/>
          <w:spacing w:val="-9"/>
          <w:sz w:val="24"/>
          <w:szCs w:val="24"/>
        </w:rPr>
        <w:t>规定的地点对收到的投标文件第一个信封（商务及技术文件） 公开开标， 并邀请所有</w:t>
      </w:r>
      <w:r>
        <w:rPr>
          <w:rFonts w:ascii="宋体" w:hAnsi="宋体" w:eastAsia="宋体" w:cs="宋体"/>
          <w:spacing w:val="6"/>
          <w:sz w:val="24"/>
          <w:szCs w:val="24"/>
        </w:rPr>
        <w:t xml:space="preserve"> </w:t>
      </w:r>
      <w:r>
        <w:rPr>
          <w:rFonts w:ascii="宋体" w:hAnsi="宋体" w:eastAsia="宋体" w:cs="宋体"/>
          <w:spacing w:val="-3"/>
          <w:sz w:val="24"/>
          <w:szCs w:val="24"/>
        </w:rPr>
        <w:t>投标人的法定代表人或其委托代理人准时参加。</w:t>
      </w:r>
    </w:p>
    <w:p>
      <w:pPr>
        <w:keepNext w:val="0"/>
        <w:keepLines w:val="0"/>
        <w:pageBreakBefore w:val="0"/>
        <w:wordWrap/>
        <w:overflowPunct/>
        <w:topLinePunct w:val="0"/>
        <w:autoSpaceDE w:val="0"/>
        <w:autoSpaceDN w:val="0"/>
        <w:bidi w:val="0"/>
        <w:spacing w:before="131" w:line="360" w:lineRule="auto"/>
        <w:ind w:left="39" w:firstLine="473"/>
        <w:rPr>
          <w:rFonts w:ascii="宋体" w:hAnsi="宋体" w:eastAsia="宋体" w:cs="宋体"/>
          <w:spacing w:val="-1"/>
          <w:sz w:val="24"/>
          <w:szCs w:val="24"/>
        </w:rPr>
      </w:pPr>
      <w:r>
        <w:rPr>
          <w:rFonts w:ascii="宋体" w:hAnsi="宋体" w:eastAsia="宋体" w:cs="宋体"/>
          <w:spacing w:val="-1"/>
          <w:sz w:val="24"/>
          <w:szCs w:val="24"/>
        </w:rPr>
        <w:t>招标人在投标人须知前附表规定的时间和地点对投标文件第二个信封（报价文件） 公开开标，并邀请所有投标人的法定代表人或其委托代理人准时参加。投标人若未派法定代表人或委托代理人出席开标活动， 视为该投标人默认开标结果。</w:t>
      </w:r>
    </w:p>
    <w:p>
      <w:pPr>
        <w:keepNext w:val="0"/>
        <w:keepLines w:val="0"/>
        <w:pageBreakBefore w:val="0"/>
        <w:wordWrap/>
        <w:overflowPunct/>
        <w:topLinePunct w:val="0"/>
        <w:autoSpaceDE w:val="0"/>
        <w:autoSpaceDN w:val="0"/>
        <w:bidi w:val="0"/>
        <w:spacing w:before="265" w:line="360" w:lineRule="auto"/>
        <w:ind w:left="32"/>
        <w:rPr>
          <w:rFonts w:ascii="黑体" w:hAnsi="黑体" w:eastAsia="黑体" w:cs="黑体"/>
          <w:spacing w:val="-2"/>
          <w:sz w:val="24"/>
          <w:szCs w:val="24"/>
        </w:rPr>
      </w:pPr>
      <w:r>
        <w:rPr>
          <w:rFonts w:ascii="黑体" w:hAnsi="黑体" w:eastAsia="黑体" w:cs="黑体"/>
          <w:spacing w:val="-2"/>
          <w:sz w:val="24"/>
          <w:szCs w:val="24"/>
        </w:rPr>
        <w:t>5.2</w:t>
      </w:r>
      <w:r>
        <w:rPr>
          <w:rFonts w:ascii="黑体" w:hAnsi="黑体" w:eastAsia="黑体" w:cs="黑体"/>
          <w:spacing w:val="-47"/>
          <w:sz w:val="24"/>
          <w:szCs w:val="24"/>
        </w:rPr>
        <w:t xml:space="preserve"> </w:t>
      </w:r>
      <w:r>
        <w:rPr>
          <w:rFonts w:ascii="黑体" w:hAnsi="黑体" w:eastAsia="黑体" w:cs="黑体"/>
          <w:spacing w:val="-2"/>
          <w:sz w:val="24"/>
          <w:szCs w:val="24"/>
        </w:rPr>
        <w:t>开标程序</w:t>
      </w:r>
    </w:p>
    <w:p>
      <w:pPr>
        <w:keepNext w:val="0"/>
        <w:keepLines w:val="0"/>
        <w:pageBreakBefore w:val="0"/>
        <w:wordWrap/>
        <w:overflowPunct/>
        <w:topLinePunct w:val="0"/>
        <w:autoSpaceDE w:val="0"/>
        <w:autoSpaceDN w:val="0"/>
        <w:bidi w:val="0"/>
        <w:spacing w:before="265" w:line="360" w:lineRule="auto"/>
        <w:ind w:left="32" w:firstLine="472" w:firstLineChars="200"/>
        <w:rPr>
          <w:rFonts w:hint="eastAsia" w:ascii="宋体" w:hAnsi="宋体" w:eastAsia="宋体" w:cs="宋体"/>
          <w:spacing w:val="-2"/>
          <w:sz w:val="24"/>
          <w:szCs w:val="24"/>
          <w:lang w:eastAsia="zh-CN"/>
        </w:rPr>
      </w:pPr>
      <w:r>
        <w:rPr>
          <w:rFonts w:ascii="Times New Roman" w:hAnsi="Times New Roman" w:eastAsia="Times New Roman" w:cs="Times New Roman"/>
          <w:spacing w:val="-2"/>
          <w:sz w:val="24"/>
          <w:szCs w:val="24"/>
        </w:rPr>
        <w:t xml:space="preserve">5.2.1  </w:t>
      </w:r>
      <w:r>
        <w:rPr>
          <w:rFonts w:ascii="宋体" w:hAnsi="宋体" w:eastAsia="宋体" w:cs="宋体"/>
          <w:spacing w:val="-2"/>
          <w:sz w:val="24"/>
          <w:szCs w:val="24"/>
        </w:rPr>
        <w:t>主持人按下列程序对投标文件第一个信封（商务及技术文件）进行开标</w:t>
      </w:r>
      <w:r>
        <w:rPr>
          <w:rFonts w:hint="eastAsia" w:ascii="宋体" w:hAnsi="宋体" w:eastAsia="宋体" w:cs="宋体"/>
          <w:spacing w:val="-2"/>
          <w:sz w:val="24"/>
          <w:szCs w:val="24"/>
          <w:lang w:eastAsia="zh-CN"/>
        </w:rPr>
        <w:t>。</w:t>
      </w:r>
    </w:p>
    <w:p>
      <w:pPr>
        <w:keepNext w:val="0"/>
        <w:keepLines w:val="0"/>
        <w:pageBreakBefore w:val="0"/>
        <w:wordWrap/>
        <w:overflowPunct/>
        <w:topLinePunct w:val="0"/>
        <w:autoSpaceDE w:val="0"/>
        <w:autoSpaceDN w:val="0"/>
        <w:bidi w:val="0"/>
        <w:spacing w:before="265" w:line="360" w:lineRule="auto"/>
        <w:ind w:left="32" w:firstLine="472" w:firstLineChars="200"/>
        <w:rPr>
          <w:rFonts w:ascii="宋体" w:hAnsi="宋体" w:eastAsia="宋体" w:cs="宋体"/>
          <w:spacing w:val="-2"/>
          <w:sz w:val="24"/>
          <w:szCs w:val="24"/>
        </w:rPr>
      </w:pPr>
      <w:r>
        <w:rPr>
          <w:rFonts w:ascii="宋体" w:hAnsi="宋体" w:eastAsia="宋体" w:cs="宋体"/>
          <w:spacing w:val="-2"/>
          <w:sz w:val="24"/>
          <w:szCs w:val="24"/>
        </w:rPr>
        <w:t>（1）宣布开标纪律；</w:t>
      </w:r>
    </w:p>
    <w:p>
      <w:pPr>
        <w:keepNext w:val="0"/>
        <w:keepLines w:val="0"/>
        <w:pageBreakBefore w:val="0"/>
        <w:wordWrap/>
        <w:overflowPunct/>
        <w:topLinePunct w:val="0"/>
        <w:autoSpaceDE w:val="0"/>
        <w:autoSpaceDN w:val="0"/>
        <w:bidi w:val="0"/>
        <w:spacing w:before="114" w:line="360" w:lineRule="auto"/>
        <w:ind w:left="404"/>
        <w:rPr>
          <w:rFonts w:ascii="宋体" w:hAnsi="宋体" w:eastAsia="宋体" w:cs="宋体"/>
          <w:sz w:val="24"/>
          <w:szCs w:val="24"/>
        </w:rPr>
      </w:pPr>
      <w:r>
        <w:rPr>
          <w:rFonts w:ascii="宋体" w:hAnsi="宋体" w:eastAsia="宋体" w:cs="宋体"/>
          <w:spacing w:val="-1"/>
          <w:position w:val="11"/>
          <w:sz w:val="24"/>
          <w:szCs w:val="24"/>
        </w:rPr>
        <w:t>（</w:t>
      </w:r>
      <w:r>
        <w:rPr>
          <w:rFonts w:ascii="Times New Roman" w:hAnsi="Times New Roman" w:eastAsia="Times New Roman" w:cs="Times New Roman"/>
          <w:spacing w:val="-1"/>
          <w:position w:val="11"/>
          <w:sz w:val="24"/>
          <w:szCs w:val="24"/>
        </w:rPr>
        <w:t>2</w:t>
      </w:r>
      <w:r>
        <w:rPr>
          <w:rFonts w:ascii="宋体" w:hAnsi="宋体" w:eastAsia="宋体" w:cs="宋体"/>
          <w:spacing w:val="-1"/>
          <w:position w:val="11"/>
          <w:sz w:val="24"/>
          <w:szCs w:val="24"/>
        </w:rPr>
        <w:t>）公布在投标截止时间前递交投标文件的投标人数量；</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04"/>
        <w:textAlignment w:val="baseline"/>
        <w:rPr>
          <w:rFonts w:ascii="宋体" w:hAnsi="宋体" w:eastAsia="宋体" w:cs="宋体"/>
          <w:spacing w:val="-3"/>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）宣布开标人、唱标人、记录人等有关人员姓名；</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04"/>
        <w:textAlignment w:val="baseline"/>
        <w:rPr>
          <w:rFonts w:ascii="宋体" w:hAnsi="宋体" w:eastAsia="宋体" w:cs="宋体"/>
          <w:spacing w:val="-2"/>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）按照投标人须知前附表规定由投标人推选的代表检查投标文件的密封情况；</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404"/>
        <w:textAlignment w:val="baseline"/>
        <w:rPr>
          <w:rFonts w:ascii="宋体" w:hAnsi="宋体" w:eastAsia="宋体" w:cs="宋体"/>
          <w:sz w:val="24"/>
          <w:szCs w:val="24"/>
        </w:rPr>
      </w:pPr>
      <w:r>
        <w:rPr>
          <w:rFonts w:ascii="宋体" w:hAnsi="宋体" w:eastAsia="宋体" w:cs="宋体"/>
          <w:spacing w:val="-8"/>
          <w:position w:val="11"/>
          <w:sz w:val="24"/>
          <w:szCs w:val="24"/>
        </w:rPr>
        <w:t>（</w:t>
      </w:r>
      <w:r>
        <w:rPr>
          <w:rFonts w:ascii="Times New Roman" w:hAnsi="Times New Roman" w:eastAsia="Times New Roman" w:cs="Times New Roman"/>
          <w:spacing w:val="-8"/>
          <w:position w:val="11"/>
          <w:sz w:val="24"/>
          <w:szCs w:val="24"/>
        </w:rPr>
        <w:t>5</w:t>
      </w:r>
      <w:r>
        <w:rPr>
          <w:rFonts w:ascii="宋体" w:hAnsi="宋体" w:eastAsia="宋体" w:cs="宋体"/>
          <w:spacing w:val="-8"/>
          <w:position w:val="11"/>
          <w:sz w:val="24"/>
          <w:szCs w:val="24"/>
        </w:rPr>
        <w:t>）按照投标人须知前附表规定的开标顺序当众开标，公布标段名称、投标人名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7"/>
        <w:textAlignment w:val="baseline"/>
        <w:rPr>
          <w:rFonts w:ascii="宋体" w:hAnsi="宋体" w:eastAsia="宋体" w:cs="宋体"/>
          <w:sz w:val="24"/>
          <w:szCs w:val="24"/>
        </w:rPr>
      </w:pPr>
      <w:r>
        <w:rPr>
          <w:rFonts w:ascii="宋体" w:hAnsi="宋体" w:eastAsia="宋体" w:cs="宋体"/>
          <w:spacing w:val="-2"/>
          <w:sz w:val="24"/>
          <w:szCs w:val="24"/>
        </w:rPr>
        <w:t>称、投标保证金的递交情况、工期及其他内容，并</w:t>
      </w:r>
      <w:r>
        <w:rPr>
          <w:rFonts w:ascii="宋体" w:hAnsi="宋体" w:eastAsia="宋体" w:cs="宋体"/>
          <w:spacing w:val="-3"/>
          <w:sz w:val="24"/>
          <w:szCs w:val="24"/>
        </w:rPr>
        <w:t>记录在案；</w:t>
      </w:r>
    </w:p>
    <w:p>
      <w:pPr>
        <w:keepNext w:val="0"/>
        <w:keepLines w:val="0"/>
        <w:pageBreakBefore w:val="0"/>
        <w:numPr>
          <w:ilvl w:val="0"/>
          <w:numId w:val="7"/>
        </w:numPr>
        <w:wordWrap/>
        <w:overflowPunct/>
        <w:topLinePunct w:val="0"/>
        <w:autoSpaceDE w:val="0"/>
        <w:autoSpaceDN w:val="0"/>
        <w:bidi w:val="0"/>
        <w:spacing w:before="116" w:line="360" w:lineRule="auto"/>
        <w:ind w:left="404" w:right="481"/>
        <w:rPr>
          <w:rFonts w:ascii="宋体" w:hAnsi="宋体" w:eastAsia="宋体" w:cs="宋体"/>
          <w:sz w:val="24"/>
          <w:szCs w:val="24"/>
        </w:rPr>
      </w:pPr>
      <w:r>
        <w:rPr>
          <w:rFonts w:ascii="宋体" w:hAnsi="宋体" w:eastAsia="宋体" w:cs="宋体"/>
          <w:spacing w:val="-2"/>
          <w:sz w:val="24"/>
          <w:szCs w:val="24"/>
        </w:rPr>
        <w:t>投标人代表、招标人代表、记录人等有关人员在开标记录</w:t>
      </w:r>
      <w:r>
        <w:rPr>
          <w:rFonts w:ascii="宋体" w:hAnsi="宋体" w:eastAsia="宋体" w:cs="宋体"/>
          <w:spacing w:val="-3"/>
          <w:sz w:val="24"/>
          <w:szCs w:val="24"/>
        </w:rPr>
        <w:t>上签字确认</w:t>
      </w:r>
      <w:r>
        <w:rPr>
          <w:rFonts w:hint="eastAsia" w:ascii="宋体" w:hAnsi="宋体" w:eastAsia="宋体" w:cs="宋体"/>
          <w:spacing w:val="-3"/>
          <w:sz w:val="24"/>
          <w:szCs w:val="24"/>
          <w:lang w:eastAsia="zh-CN"/>
        </w:rPr>
        <w:t>；</w:t>
      </w:r>
      <w:r>
        <w:rPr>
          <w:rFonts w:ascii="宋体" w:hAnsi="宋体" w:eastAsia="宋体" w:cs="宋体"/>
          <w:sz w:val="24"/>
          <w:szCs w:val="24"/>
        </w:rPr>
        <w:t xml:space="preserve"> </w:t>
      </w:r>
    </w:p>
    <w:p>
      <w:pPr>
        <w:keepNext w:val="0"/>
        <w:keepLines w:val="0"/>
        <w:pageBreakBefore w:val="0"/>
        <w:numPr>
          <w:ilvl w:val="0"/>
          <w:numId w:val="0"/>
        </w:numPr>
        <w:wordWrap/>
        <w:overflowPunct/>
        <w:topLinePunct w:val="0"/>
        <w:autoSpaceDE w:val="0"/>
        <w:autoSpaceDN w:val="0"/>
        <w:bidi w:val="0"/>
        <w:spacing w:before="116" w:line="360" w:lineRule="auto"/>
        <w:ind w:right="481" w:rightChars="0" w:firstLine="456" w:firstLineChars="200"/>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7</w:t>
      </w:r>
      <w:r>
        <w:rPr>
          <w:rFonts w:ascii="宋体" w:hAnsi="宋体" w:eastAsia="宋体" w:cs="宋体"/>
          <w:spacing w:val="-6"/>
          <w:sz w:val="24"/>
          <w:szCs w:val="24"/>
        </w:rPr>
        <w:t>）开标结束。</w:t>
      </w:r>
    </w:p>
    <w:p>
      <w:pPr>
        <w:keepNext w:val="0"/>
        <w:keepLines w:val="0"/>
        <w:pageBreakBefore w:val="0"/>
        <w:wordWrap/>
        <w:overflowPunct/>
        <w:topLinePunct w:val="0"/>
        <w:autoSpaceDE w:val="0"/>
        <w:autoSpaceDN w:val="0"/>
        <w:bidi w:val="0"/>
        <w:spacing w:before="116" w:line="360" w:lineRule="auto"/>
        <w:ind w:right="37"/>
        <w:jc w:val="center"/>
        <w:rPr>
          <w:rFonts w:ascii="宋体" w:hAnsi="宋体" w:eastAsia="宋体" w:cs="宋体"/>
          <w:sz w:val="24"/>
          <w:szCs w:val="24"/>
        </w:rPr>
      </w:pPr>
      <w:r>
        <w:rPr>
          <w:rFonts w:ascii="Times New Roman" w:hAnsi="Times New Roman" w:eastAsia="Times New Roman" w:cs="Times New Roman"/>
          <w:position w:val="11"/>
          <w:sz w:val="24"/>
          <w:szCs w:val="24"/>
        </w:rPr>
        <w:t xml:space="preserve">5.2.2  </w:t>
      </w:r>
      <w:r>
        <w:rPr>
          <w:rFonts w:ascii="宋体" w:hAnsi="宋体" w:eastAsia="宋体" w:cs="宋体"/>
          <w:position w:val="11"/>
          <w:sz w:val="24"/>
          <w:szCs w:val="24"/>
        </w:rPr>
        <w:t>在投标文件第一个信封（商务及技术文件）开标现场，投标文件第二个信</w:t>
      </w:r>
    </w:p>
    <w:p>
      <w:pPr>
        <w:keepNext w:val="0"/>
        <w:keepLines w:val="0"/>
        <w:pageBreakBefore w:val="0"/>
        <w:wordWrap/>
        <w:overflowPunct/>
        <w:topLinePunct w:val="0"/>
        <w:autoSpaceDE w:val="0"/>
        <w:autoSpaceDN w:val="0"/>
        <w:bidi w:val="0"/>
        <w:spacing w:before="1" w:line="360" w:lineRule="auto"/>
        <w:ind w:left="37"/>
        <w:rPr>
          <w:rFonts w:ascii="宋体" w:hAnsi="宋体" w:eastAsia="宋体" w:cs="宋体"/>
          <w:sz w:val="24"/>
          <w:szCs w:val="24"/>
        </w:rPr>
      </w:pPr>
      <w:r>
        <w:rPr>
          <w:rFonts w:ascii="宋体" w:hAnsi="宋体" w:eastAsia="宋体" w:cs="宋体"/>
          <w:spacing w:val="-11"/>
          <w:sz w:val="24"/>
          <w:szCs w:val="24"/>
        </w:rPr>
        <w:t>封（报价文件）不予开封，由招标人密封保存。</w:t>
      </w:r>
    </w:p>
    <w:p>
      <w:pPr>
        <w:keepNext w:val="0"/>
        <w:keepLines w:val="0"/>
        <w:pageBreakBefore w:val="0"/>
        <w:wordWrap/>
        <w:overflowPunct/>
        <w:topLinePunct w:val="0"/>
        <w:autoSpaceDE w:val="0"/>
        <w:autoSpaceDN w:val="0"/>
        <w:bidi w:val="0"/>
        <w:spacing w:before="114" w:line="360" w:lineRule="auto"/>
        <w:ind w:right="34"/>
        <w:jc w:val="center"/>
        <w:rPr>
          <w:rFonts w:ascii="宋体" w:hAnsi="宋体" w:eastAsia="宋体" w:cs="宋体"/>
          <w:sz w:val="24"/>
          <w:szCs w:val="24"/>
        </w:rPr>
      </w:pPr>
      <w:r>
        <w:rPr>
          <w:rFonts w:ascii="Times New Roman" w:hAnsi="Times New Roman" w:eastAsia="Times New Roman" w:cs="Times New Roman"/>
          <w:spacing w:val="-1"/>
          <w:position w:val="11"/>
          <w:sz w:val="24"/>
          <w:szCs w:val="24"/>
        </w:rPr>
        <w:t xml:space="preserve">5.2.3  </w:t>
      </w:r>
      <w:r>
        <w:rPr>
          <w:rFonts w:ascii="宋体" w:hAnsi="宋体" w:eastAsia="宋体" w:cs="宋体"/>
          <w:spacing w:val="-1"/>
          <w:position w:val="11"/>
          <w:sz w:val="24"/>
          <w:szCs w:val="24"/>
        </w:rPr>
        <w:t xml:space="preserve">招标人将按照本章第 </w:t>
      </w:r>
      <w:r>
        <w:rPr>
          <w:rFonts w:ascii="Times New Roman" w:hAnsi="Times New Roman" w:eastAsia="Times New Roman" w:cs="Times New Roman"/>
          <w:spacing w:val="-1"/>
          <w:position w:val="11"/>
          <w:sz w:val="24"/>
          <w:szCs w:val="24"/>
        </w:rPr>
        <w:t xml:space="preserve">5.1  </w:t>
      </w:r>
      <w:r>
        <w:rPr>
          <w:rFonts w:ascii="宋体" w:hAnsi="宋体" w:eastAsia="宋体" w:cs="宋体"/>
          <w:spacing w:val="-1"/>
          <w:position w:val="11"/>
          <w:sz w:val="24"/>
          <w:szCs w:val="24"/>
        </w:rPr>
        <w:t>款规定的时间和地点对投标文件第二个信封（报</w:t>
      </w:r>
    </w:p>
    <w:p>
      <w:pPr>
        <w:keepNext w:val="0"/>
        <w:keepLines w:val="0"/>
        <w:pageBreakBefore w:val="0"/>
        <w:wordWrap/>
        <w:overflowPunct/>
        <w:topLinePunct w:val="0"/>
        <w:autoSpaceDE w:val="0"/>
        <w:autoSpaceDN w:val="0"/>
        <w:bidi w:val="0"/>
        <w:spacing w:line="360" w:lineRule="auto"/>
        <w:ind w:left="39"/>
        <w:rPr>
          <w:rFonts w:ascii="宋体" w:hAnsi="宋体" w:eastAsia="宋体" w:cs="宋体"/>
          <w:spacing w:val="60"/>
          <w:sz w:val="24"/>
          <w:szCs w:val="24"/>
        </w:rPr>
      </w:pPr>
      <w:r>
        <w:rPr>
          <w:rFonts w:ascii="宋体" w:hAnsi="宋体" w:eastAsia="宋体" w:cs="宋体"/>
          <w:spacing w:val="-11"/>
          <w:sz w:val="24"/>
          <w:szCs w:val="24"/>
        </w:rPr>
        <w:t>价文件）进行开标。</w:t>
      </w:r>
      <w:r>
        <w:rPr>
          <w:rFonts w:ascii="宋体" w:hAnsi="宋体" w:eastAsia="宋体" w:cs="宋体"/>
          <w:spacing w:val="60"/>
          <w:sz w:val="24"/>
          <w:szCs w:val="24"/>
        </w:rPr>
        <w:t xml:space="preserve"> </w:t>
      </w:r>
    </w:p>
    <w:p>
      <w:pPr>
        <w:keepNext w:val="0"/>
        <w:keepLines w:val="0"/>
        <w:pageBreakBefore w:val="0"/>
        <w:wordWrap/>
        <w:overflowPunct/>
        <w:topLinePunct w:val="0"/>
        <w:autoSpaceDE w:val="0"/>
        <w:autoSpaceDN w:val="0"/>
        <w:bidi w:val="0"/>
        <w:spacing w:line="360" w:lineRule="auto"/>
        <w:ind w:left="39" w:firstLine="436" w:firstLineChars="200"/>
        <w:rPr>
          <w:rFonts w:ascii="宋体" w:hAnsi="宋体" w:eastAsia="宋体" w:cs="宋体"/>
          <w:sz w:val="24"/>
          <w:szCs w:val="24"/>
        </w:rPr>
      </w:pPr>
      <w:r>
        <w:rPr>
          <w:rFonts w:ascii="宋体" w:hAnsi="宋体" w:eastAsia="宋体" w:cs="宋体"/>
          <w:spacing w:val="-11"/>
          <w:sz w:val="24"/>
          <w:szCs w:val="24"/>
        </w:rPr>
        <w:t>主持人按下列程序进行开标：</w:t>
      </w:r>
    </w:p>
    <w:p>
      <w:pPr>
        <w:keepNext w:val="0"/>
        <w:keepLines w:val="0"/>
        <w:pageBreakBefore w:val="0"/>
        <w:numPr>
          <w:ilvl w:val="0"/>
          <w:numId w:val="8"/>
        </w:numPr>
        <w:wordWrap/>
        <w:overflowPunct/>
        <w:topLinePunct w:val="0"/>
        <w:autoSpaceDE w:val="0"/>
        <w:autoSpaceDN w:val="0"/>
        <w:bidi w:val="0"/>
        <w:spacing w:before="117" w:line="360" w:lineRule="auto"/>
        <w:ind w:left="404"/>
        <w:rPr>
          <w:rFonts w:ascii="宋体" w:hAnsi="宋体" w:eastAsia="宋体" w:cs="宋体"/>
          <w:sz w:val="24"/>
          <w:szCs w:val="24"/>
        </w:rPr>
      </w:pPr>
      <w:r>
        <w:rPr>
          <w:rFonts w:ascii="宋体" w:hAnsi="宋体" w:eastAsia="宋体" w:cs="宋体"/>
          <w:spacing w:val="-7"/>
          <w:sz w:val="24"/>
          <w:szCs w:val="24"/>
        </w:rPr>
        <w:t>宣布开标纪律；</w:t>
      </w:r>
    </w:p>
    <w:p>
      <w:pPr>
        <w:keepNext w:val="0"/>
        <w:keepLines w:val="0"/>
        <w:pageBreakBefore w:val="0"/>
        <w:numPr>
          <w:ilvl w:val="0"/>
          <w:numId w:val="0"/>
        </w:numPr>
        <w:wordWrap/>
        <w:overflowPunct/>
        <w:topLinePunct w:val="0"/>
        <w:autoSpaceDE w:val="0"/>
        <w:autoSpaceDN w:val="0"/>
        <w:bidi w:val="0"/>
        <w:spacing w:before="117" w:line="360" w:lineRule="auto"/>
        <w:ind w:firstLine="436" w:firstLineChars="200"/>
        <w:rPr>
          <w:rFonts w:ascii="宋体" w:hAnsi="宋体" w:eastAsia="宋体" w:cs="宋体"/>
          <w:sz w:val="24"/>
          <w:szCs w:val="24"/>
        </w:rPr>
      </w:pPr>
      <w:r>
        <w:rPr>
          <w:rFonts w:ascii="宋体" w:hAnsi="宋体" w:eastAsia="宋体" w:cs="宋体"/>
          <w:spacing w:val="-11"/>
          <w:position w:val="11"/>
          <w:sz w:val="24"/>
          <w:szCs w:val="24"/>
        </w:rPr>
        <w:t>（</w:t>
      </w:r>
      <w:r>
        <w:rPr>
          <w:rFonts w:ascii="Times New Roman" w:hAnsi="Times New Roman" w:eastAsia="Times New Roman" w:cs="Times New Roman"/>
          <w:spacing w:val="-11"/>
          <w:position w:val="11"/>
          <w:sz w:val="24"/>
          <w:szCs w:val="24"/>
        </w:rPr>
        <w:t>2</w:t>
      </w:r>
      <w:r>
        <w:rPr>
          <w:rFonts w:ascii="宋体" w:hAnsi="宋体" w:eastAsia="宋体" w:cs="宋体"/>
          <w:spacing w:val="-11"/>
          <w:position w:val="11"/>
          <w:sz w:val="24"/>
          <w:szCs w:val="24"/>
        </w:rPr>
        <w:t>）当众拆开投标文件第一个信封（商务及技术文件） 评审结果的密封袋，</w:t>
      </w:r>
      <w:r>
        <w:rPr>
          <w:rFonts w:ascii="宋体" w:hAnsi="宋体" w:eastAsia="宋体" w:cs="宋体"/>
          <w:spacing w:val="56"/>
          <w:position w:val="11"/>
          <w:sz w:val="24"/>
          <w:szCs w:val="24"/>
        </w:rPr>
        <w:t xml:space="preserve"> </w:t>
      </w:r>
      <w:r>
        <w:rPr>
          <w:rFonts w:ascii="宋体" w:hAnsi="宋体" w:eastAsia="宋体" w:cs="宋体"/>
          <w:spacing w:val="-11"/>
          <w:position w:val="11"/>
          <w:sz w:val="24"/>
          <w:szCs w:val="24"/>
        </w:rPr>
        <w:t>宣布</w:t>
      </w:r>
    </w:p>
    <w:p>
      <w:pPr>
        <w:keepNext w:val="0"/>
        <w:keepLines w:val="0"/>
        <w:pageBreakBefore w:val="0"/>
        <w:wordWrap/>
        <w:overflowPunct/>
        <w:topLinePunct w:val="0"/>
        <w:autoSpaceDE w:val="0"/>
        <w:autoSpaceDN w:val="0"/>
        <w:bidi w:val="0"/>
        <w:spacing w:line="360" w:lineRule="auto"/>
        <w:ind w:left="38"/>
        <w:rPr>
          <w:rFonts w:ascii="宋体" w:hAnsi="宋体" w:eastAsia="宋体" w:cs="宋体"/>
          <w:sz w:val="24"/>
          <w:szCs w:val="24"/>
        </w:rPr>
      </w:pPr>
      <w:r>
        <w:rPr>
          <w:rFonts w:ascii="宋体" w:hAnsi="宋体" w:eastAsia="宋体" w:cs="宋体"/>
          <w:spacing w:val="-1"/>
          <w:sz w:val="24"/>
          <w:szCs w:val="24"/>
        </w:rPr>
        <w:t>通过投标文件第一个信封（商务及技术文件）评审的投标人名单；</w:t>
      </w:r>
    </w:p>
    <w:p>
      <w:pPr>
        <w:keepNext w:val="0"/>
        <w:keepLines w:val="0"/>
        <w:pageBreakBefore w:val="0"/>
        <w:numPr>
          <w:ilvl w:val="0"/>
          <w:numId w:val="8"/>
        </w:numPr>
        <w:wordWrap/>
        <w:overflowPunct/>
        <w:topLinePunct w:val="0"/>
        <w:autoSpaceDE w:val="0"/>
        <w:autoSpaceDN w:val="0"/>
        <w:bidi w:val="0"/>
        <w:spacing w:before="115" w:line="360" w:lineRule="auto"/>
        <w:ind w:left="404" w:leftChars="0" w:firstLine="0" w:firstLineChars="0"/>
        <w:rPr>
          <w:rFonts w:ascii="Arial"/>
          <w:sz w:val="21"/>
        </w:rPr>
      </w:pPr>
      <w:r>
        <w:rPr>
          <w:rFonts w:ascii="宋体" w:hAnsi="宋体" w:eastAsia="宋体" w:cs="宋体"/>
          <w:spacing w:val="-3"/>
          <w:sz w:val="24"/>
          <w:szCs w:val="24"/>
        </w:rPr>
        <w:t>宣布开标人、唱标人、记录人等有关人员姓名；</w:t>
      </w:r>
    </w:p>
    <w:p>
      <w:pPr>
        <w:keepNext w:val="0"/>
        <w:keepLines w:val="0"/>
        <w:pageBreakBefore w:val="0"/>
        <w:numPr>
          <w:ilvl w:val="0"/>
          <w:numId w:val="0"/>
        </w:numPr>
        <w:wordWrap/>
        <w:overflowPunct/>
        <w:topLinePunct w:val="0"/>
        <w:autoSpaceDE w:val="0"/>
        <w:autoSpaceDN w:val="0"/>
        <w:bidi w:val="0"/>
        <w:spacing w:before="115" w:line="360" w:lineRule="auto"/>
        <w:ind w:left="404" w:leftChars="0"/>
        <w:rPr>
          <w:rFonts w:ascii="Arial"/>
          <w:sz w:val="21"/>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）按照投标人须知前附表规定由投标人推选的代表检查投标文件的密封情况；</w:t>
      </w:r>
    </w:p>
    <w:p>
      <w:pPr>
        <w:keepNext w:val="0"/>
        <w:keepLines w:val="0"/>
        <w:pageBreakBefore w:val="0"/>
        <w:wordWrap/>
        <w:overflowPunct/>
        <w:topLinePunct w:val="0"/>
        <w:autoSpaceDE w:val="0"/>
        <w:autoSpaceDN w:val="0"/>
        <w:bidi w:val="0"/>
        <w:spacing w:before="78" w:line="360" w:lineRule="auto"/>
        <w:ind w:left="37" w:right="38" w:firstLine="367"/>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5</w:t>
      </w:r>
      <w:r>
        <w:rPr>
          <w:rFonts w:ascii="宋体" w:hAnsi="宋体" w:eastAsia="宋体" w:cs="宋体"/>
          <w:spacing w:val="-6"/>
          <w:sz w:val="24"/>
          <w:szCs w:val="24"/>
        </w:rPr>
        <w:t>）按照投标人须知前附表规定的开标顺序当众开标，开标人只拆</w:t>
      </w:r>
      <w:r>
        <w:rPr>
          <w:rFonts w:ascii="宋体" w:hAnsi="宋体" w:eastAsia="宋体" w:cs="宋体"/>
          <w:spacing w:val="-7"/>
          <w:sz w:val="24"/>
          <w:szCs w:val="24"/>
        </w:rPr>
        <w:t>封通过投标文</w:t>
      </w:r>
      <w:r>
        <w:rPr>
          <w:rFonts w:ascii="宋体" w:hAnsi="宋体" w:eastAsia="宋体" w:cs="宋体"/>
          <w:spacing w:val="-3"/>
          <w:sz w:val="24"/>
          <w:szCs w:val="24"/>
        </w:rPr>
        <w:t>件第一个信封（商务及技术文件）评审的投标文件第二个信封（报价文件</w:t>
      </w:r>
      <w:r>
        <w:rPr>
          <w:rFonts w:ascii="宋体" w:hAnsi="宋体" w:eastAsia="宋体" w:cs="宋体"/>
          <w:spacing w:val="1"/>
          <w:sz w:val="24"/>
          <w:szCs w:val="24"/>
        </w:rPr>
        <w:t>），</w:t>
      </w:r>
      <w:r>
        <w:rPr>
          <w:rFonts w:ascii="宋体" w:hAnsi="宋体" w:eastAsia="宋体" w:cs="宋体"/>
          <w:spacing w:val="-3"/>
          <w:sz w:val="24"/>
          <w:szCs w:val="24"/>
        </w:rPr>
        <w:t>公布标</w:t>
      </w:r>
    </w:p>
    <w:p>
      <w:pPr>
        <w:keepNext w:val="0"/>
        <w:keepLines w:val="0"/>
        <w:pageBreakBefore w:val="0"/>
        <w:wordWrap/>
        <w:overflowPunct/>
        <w:topLinePunct w:val="0"/>
        <w:autoSpaceDE w:val="0"/>
        <w:autoSpaceDN w:val="0"/>
        <w:bidi w:val="0"/>
        <w:spacing w:line="360" w:lineRule="auto"/>
        <w:ind w:left="39"/>
        <w:rPr>
          <w:rFonts w:ascii="宋体" w:hAnsi="宋体" w:eastAsia="宋体" w:cs="宋体"/>
          <w:sz w:val="24"/>
          <w:szCs w:val="24"/>
        </w:rPr>
      </w:pPr>
      <w:r>
        <w:rPr>
          <w:rFonts w:ascii="宋体" w:hAnsi="宋体" w:eastAsia="宋体" w:cs="宋体"/>
          <w:spacing w:val="-5"/>
          <w:sz w:val="24"/>
          <w:szCs w:val="24"/>
        </w:rPr>
        <w:t>段名称、 投标人名称、投标报价及其他内容，并记录在案；</w:t>
      </w:r>
    </w:p>
    <w:p>
      <w:pPr>
        <w:keepNext w:val="0"/>
        <w:keepLines w:val="0"/>
        <w:pageBreakBefore w:val="0"/>
        <w:numPr>
          <w:ilvl w:val="0"/>
          <w:numId w:val="9"/>
        </w:numPr>
        <w:wordWrap/>
        <w:overflowPunct/>
        <w:topLinePunct w:val="0"/>
        <w:autoSpaceDE w:val="0"/>
        <w:autoSpaceDN w:val="0"/>
        <w:bidi w:val="0"/>
        <w:spacing w:before="117" w:line="360" w:lineRule="auto"/>
        <w:ind w:left="404"/>
        <w:rPr>
          <w:rFonts w:ascii="宋体" w:hAnsi="宋体" w:eastAsia="宋体" w:cs="宋体"/>
          <w:spacing w:val="-5"/>
          <w:sz w:val="24"/>
          <w:szCs w:val="24"/>
        </w:rPr>
      </w:pPr>
      <w:r>
        <w:rPr>
          <w:rFonts w:ascii="宋体" w:hAnsi="宋体" w:eastAsia="宋体" w:cs="宋体"/>
          <w:spacing w:val="-5"/>
          <w:sz w:val="24"/>
          <w:szCs w:val="24"/>
        </w:rPr>
        <w:t>计算并宣布评标基准价；</w:t>
      </w:r>
    </w:p>
    <w:p>
      <w:pPr>
        <w:keepNext w:val="0"/>
        <w:keepLines w:val="0"/>
        <w:pageBreakBefore w:val="0"/>
        <w:numPr>
          <w:ilvl w:val="0"/>
          <w:numId w:val="0"/>
        </w:numPr>
        <w:wordWrap/>
        <w:overflowPunct/>
        <w:topLinePunct w:val="0"/>
        <w:autoSpaceDE w:val="0"/>
        <w:autoSpaceDN w:val="0"/>
        <w:bidi w:val="0"/>
        <w:spacing w:before="117" w:line="360" w:lineRule="auto"/>
        <w:ind w:firstLine="456" w:firstLineChars="200"/>
        <w:rPr>
          <w:rFonts w:ascii="宋体" w:hAnsi="宋体" w:eastAsia="宋体" w:cs="宋体"/>
          <w:sz w:val="24"/>
          <w:szCs w:val="24"/>
        </w:rPr>
      </w:pPr>
      <w:r>
        <w:rPr>
          <w:rFonts w:ascii="宋体" w:hAnsi="宋体" w:eastAsia="宋体" w:cs="宋体"/>
          <w:spacing w:val="-6"/>
          <w:position w:val="11"/>
          <w:sz w:val="24"/>
          <w:szCs w:val="24"/>
        </w:rPr>
        <w:t>（</w:t>
      </w:r>
      <w:r>
        <w:rPr>
          <w:rFonts w:ascii="Times New Roman" w:hAnsi="Times New Roman" w:eastAsia="Times New Roman" w:cs="Times New Roman"/>
          <w:spacing w:val="-6"/>
          <w:position w:val="11"/>
          <w:sz w:val="24"/>
          <w:szCs w:val="24"/>
        </w:rPr>
        <w:t>7</w:t>
      </w:r>
      <w:r>
        <w:rPr>
          <w:rFonts w:ascii="宋体" w:hAnsi="宋体" w:eastAsia="宋体" w:cs="宋体"/>
          <w:spacing w:val="-6"/>
          <w:position w:val="11"/>
          <w:sz w:val="24"/>
          <w:szCs w:val="24"/>
        </w:rPr>
        <w:t>）将未通过投标文件第一个信封（商务及技术文件） 评审的投</w:t>
      </w:r>
      <w:r>
        <w:rPr>
          <w:rFonts w:ascii="宋体" w:hAnsi="宋体" w:eastAsia="宋体" w:cs="宋体"/>
          <w:spacing w:val="-7"/>
          <w:position w:val="11"/>
          <w:sz w:val="24"/>
          <w:szCs w:val="24"/>
        </w:rPr>
        <w:t>标文件第二个信</w:t>
      </w:r>
    </w:p>
    <w:p>
      <w:pPr>
        <w:keepNext w:val="0"/>
        <w:keepLines w:val="0"/>
        <w:pageBreakBefore w:val="0"/>
        <w:wordWrap/>
        <w:overflowPunct/>
        <w:topLinePunct w:val="0"/>
        <w:autoSpaceDE w:val="0"/>
        <w:autoSpaceDN w:val="0"/>
        <w:bidi w:val="0"/>
        <w:spacing w:line="360" w:lineRule="auto"/>
        <w:ind w:left="37"/>
        <w:rPr>
          <w:rFonts w:ascii="宋体" w:hAnsi="宋体" w:eastAsia="宋体" w:cs="宋体"/>
          <w:sz w:val="24"/>
          <w:szCs w:val="24"/>
        </w:rPr>
      </w:pPr>
      <w:r>
        <w:rPr>
          <w:rFonts w:ascii="宋体" w:hAnsi="宋体" w:eastAsia="宋体" w:cs="宋体"/>
          <w:spacing w:val="-4"/>
          <w:sz w:val="24"/>
          <w:szCs w:val="24"/>
        </w:rPr>
        <w:t>封（报价文件）退还给投标人；投标人未参加第二个信封开标的，招标人应当在评标结束后及时将第二个信封原封退还投标人。</w:t>
      </w:r>
    </w:p>
    <w:p>
      <w:pPr>
        <w:keepNext w:val="0"/>
        <w:keepLines w:val="0"/>
        <w:pageBreakBefore w:val="0"/>
        <w:wordWrap/>
        <w:overflowPunct/>
        <w:topLinePunct w:val="0"/>
        <w:autoSpaceDE w:val="0"/>
        <w:autoSpaceDN w:val="0"/>
        <w:bidi w:val="0"/>
        <w:spacing w:before="116" w:line="360" w:lineRule="auto"/>
        <w:ind w:left="40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宋体" w:hAnsi="宋体" w:eastAsia="宋体" w:cs="宋体"/>
          <w:spacing w:val="-2"/>
          <w:sz w:val="24"/>
          <w:szCs w:val="24"/>
        </w:rPr>
        <w:t>）投标人代表、招标人代表、记录人等有关人员在开标记录上签字确认；</w:t>
      </w:r>
    </w:p>
    <w:p>
      <w:pPr>
        <w:keepNext w:val="0"/>
        <w:keepLines w:val="0"/>
        <w:pageBreakBefore w:val="0"/>
        <w:wordWrap/>
        <w:overflowPunct/>
        <w:topLinePunct w:val="0"/>
        <w:autoSpaceDE w:val="0"/>
        <w:autoSpaceDN w:val="0"/>
        <w:bidi w:val="0"/>
        <w:spacing w:before="113" w:line="360" w:lineRule="auto"/>
        <w:ind w:left="404"/>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9</w:t>
      </w:r>
      <w:r>
        <w:rPr>
          <w:rFonts w:ascii="宋体" w:hAnsi="宋体" w:eastAsia="宋体" w:cs="宋体"/>
          <w:spacing w:val="-6"/>
          <w:sz w:val="24"/>
          <w:szCs w:val="24"/>
        </w:rPr>
        <w:t>）开标结束。</w:t>
      </w:r>
    </w:p>
    <w:p>
      <w:pPr>
        <w:keepNext w:val="0"/>
        <w:keepLines w:val="0"/>
        <w:pageBreakBefore w:val="0"/>
        <w:wordWrap/>
        <w:overflowPunct/>
        <w:topLinePunct w:val="0"/>
        <w:autoSpaceDE w:val="0"/>
        <w:autoSpaceDN w:val="0"/>
        <w:bidi w:val="0"/>
        <w:spacing w:before="114" w:line="360" w:lineRule="auto"/>
        <w:ind w:left="39" w:right="40" w:firstLine="481"/>
        <w:rPr>
          <w:rFonts w:ascii="宋体" w:hAnsi="宋体" w:eastAsia="宋体" w:cs="宋体"/>
          <w:sz w:val="24"/>
          <w:szCs w:val="24"/>
        </w:rPr>
      </w:pPr>
      <w:r>
        <w:rPr>
          <w:rFonts w:ascii="Times New Roman" w:hAnsi="Times New Roman" w:eastAsia="Times New Roman" w:cs="Times New Roman"/>
          <w:sz w:val="24"/>
          <w:szCs w:val="24"/>
        </w:rPr>
        <w:t xml:space="preserve">5.2.4  </w:t>
      </w:r>
      <w:r>
        <w:rPr>
          <w:rFonts w:ascii="宋体" w:hAnsi="宋体" w:eastAsia="宋体" w:cs="宋体"/>
          <w:sz w:val="24"/>
          <w:szCs w:val="24"/>
        </w:rPr>
        <w:t>若采用合理低价法或综合评分法，在投标文件第二个信封（报价文件）开</w:t>
      </w:r>
      <w:r>
        <w:rPr>
          <w:rFonts w:ascii="宋体" w:hAnsi="宋体" w:eastAsia="宋体" w:cs="宋体"/>
          <w:spacing w:val="-7"/>
          <w:sz w:val="24"/>
          <w:szCs w:val="24"/>
        </w:rPr>
        <w:t>标现场， 招标人将按第三章“评标办法</w:t>
      </w:r>
      <w:r>
        <w:rPr>
          <w:rFonts w:ascii="宋体" w:hAnsi="宋体" w:eastAsia="宋体" w:cs="宋体"/>
          <w:spacing w:val="-78"/>
          <w:sz w:val="24"/>
          <w:szCs w:val="24"/>
        </w:rPr>
        <w:t xml:space="preserve"> </w:t>
      </w:r>
      <w:r>
        <w:rPr>
          <w:rFonts w:ascii="宋体" w:hAnsi="宋体" w:eastAsia="宋体" w:cs="宋体"/>
          <w:spacing w:val="-7"/>
          <w:sz w:val="24"/>
          <w:szCs w:val="24"/>
        </w:rPr>
        <w:t>”规定的原则计算并宣布评标基准价。若招标</w:t>
      </w:r>
      <w:r>
        <w:rPr>
          <w:rFonts w:ascii="宋体" w:hAnsi="宋体" w:eastAsia="宋体" w:cs="宋体"/>
          <w:spacing w:val="-2"/>
          <w:sz w:val="24"/>
          <w:szCs w:val="24"/>
        </w:rPr>
        <w:t>人发现投标文件出现以下任一情况，其投标报价将不再参加评标基准价的计算：</w:t>
      </w:r>
    </w:p>
    <w:p>
      <w:pPr>
        <w:keepNext w:val="0"/>
        <w:keepLines w:val="0"/>
        <w:pageBreakBefore w:val="0"/>
        <w:wordWrap/>
        <w:overflowPunct/>
        <w:topLinePunct w:val="0"/>
        <w:autoSpaceDE w:val="0"/>
        <w:autoSpaceDN w:val="0"/>
        <w:bidi w:val="0"/>
        <w:spacing w:before="117" w:line="360" w:lineRule="auto"/>
        <w:ind w:left="404"/>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1</w:t>
      </w:r>
      <w:r>
        <w:rPr>
          <w:rFonts w:ascii="宋体" w:hAnsi="宋体" w:eastAsia="宋体" w:cs="宋体"/>
          <w:spacing w:val="-5"/>
          <w:sz w:val="24"/>
          <w:szCs w:val="24"/>
        </w:rPr>
        <w:t>）未在投标函上填写投标总价；</w:t>
      </w:r>
    </w:p>
    <w:p>
      <w:pPr>
        <w:keepNext w:val="0"/>
        <w:keepLines w:val="0"/>
        <w:pageBreakBefore w:val="0"/>
        <w:wordWrap/>
        <w:overflowPunct/>
        <w:topLinePunct w:val="0"/>
        <w:autoSpaceDE w:val="0"/>
        <w:autoSpaceDN w:val="0"/>
        <w:bidi w:val="0"/>
        <w:spacing w:before="118" w:line="360" w:lineRule="auto"/>
        <w:ind w:left="40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）投标报价或调价函中的报价超出招标人公布的最高投标限价（如有</w:t>
      </w:r>
      <w:r>
        <w:rPr>
          <w:rFonts w:ascii="宋体" w:hAnsi="宋体" w:eastAsia="宋体" w:cs="宋体"/>
          <w:spacing w:val="-60"/>
          <w:sz w:val="24"/>
          <w:szCs w:val="24"/>
        </w:rPr>
        <w:t>）；</w:t>
      </w:r>
    </w:p>
    <w:p>
      <w:pPr>
        <w:keepNext w:val="0"/>
        <w:keepLines w:val="0"/>
        <w:pageBreakBefore w:val="0"/>
        <w:wordWrap/>
        <w:overflowPunct/>
        <w:topLinePunct w:val="0"/>
        <w:autoSpaceDE w:val="0"/>
        <w:autoSpaceDN w:val="0"/>
        <w:bidi w:val="0"/>
        <w:spacing w:before="115" w:line="360" w:lineRule="auto"/>
        <w:ind w:left="40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）投标报价或调价函中报价的大写金额无法确定具体数值；</w:t>
      </w:r>
    </w:p>
    <w:p>
      <w:pPr>
        <w:keepNext w:val="0"/>
        <w:keepLines w:val="0"/>
        <w:pageBreakBefore w:val="0"/>
        <w:wordWrap/>
        <w:overflowPunct/>
        <w:topLinePunct w:val="0"/>
        <w:autoSpaceDE w:val="0"/>
        <w:autoSpaceDN w:val="0"/>
        <w:bidi w:val="0"/>
        <w:spacing w:before="116" w:line="360" w:lineRule="auto"/>
        <w:ind w:left="40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）投标函上填写的标段号与投标文件封套上标记的标段号不一致。</w:t>
      </w:r>
    </w:p>
    <w:p>
      <w:pPr>
        <w:keepNext w:val="0"/>
        <w:keepLines w:val="0"/>
        <w:pageBreakBefore w:val="0"/>
        <w:wordWrap/>
        <w:overflowPunct/>
        <w:topLinePunct w:val="0"/>
        <w:autoSpaceDE w:val="0"/>
        <w:autoSpaceDN w:val="0"/>
        <w:bidi w:val="0"/>
        <w:spacing w:before="117" w:line="360" w:lineRule="auto"/>
        <w:ind w:left="40" w:right="37" w:firstLine="481"/>
        <w:rPr>
          <w:rFonts w:ascii="宋体" w:hAnsi="宋体" w:eastAsia="宋体" w:cs="宋体"/>
          <w:sz w:val="24"/>
          <w:szCs w:val="24"/>
        </w:rPr>
      </w:pPr>
      <w:r>
        <w:rPr>
          <w:rFonts w:ascii="宋体" w:hAnsi="宋体" w:eastAsia="宋体" w:cs="宋体"/>
          <w:spacing w:val="-9"/>
          <w:sz w:val="24"/>
          <w:szCs w:val="24"/>
        </w:rPr>
        <w:t>如果投标人认为某一标段的评标基准价计算有误，有权在</w:t>
      </w:r>
      <w:r>
        <w:rPr>
          <w:rFonts w:ascii="宋体" w:hAnsi="宋体" w:eastAsia="宋体" w:cs="宋体"/>
          <w:spacing w:val="-10"/>
          <w:sz w:val="24"/>
          <w:szCs w:val="24"/>
        </w:rPr>
        <w:t>开标现场提出， 经招标</w:t>
      </w:r>
      <w:r>
        <w:rPr>
          <w:rFonts w:ascii="宋体" w:hAnsi="宋体" w:eastAsia="宋体" w:cs="宋体"/>
          <w:sz w:val="24"/>
          <w:szCs w:val="24"/>
        </w:rPr>
        <w:t xml:space="preserve"> </w:t>
      </w:r>
      <w:r>
        <w:rPr>
          <w:rFonts w:ascii="宋体" w:hAnsi="宋体" w:eastAsia="宋体" w:cs="宋体"/>
          <w:spacing w:val="-6"/>
          <w:sz w:val="24"/>
          <w:szCs w:val="24"/>
        </w:rPr>
        <w:t>人当场核实确认之后，可重新宣布评标基准价。开标现场宣布的评标基准价除计算有</w:t>
      </w:r>
      <w:r>
        <w:rPr>
          <w:rFonts w:ascii="宋体" w:hAnsi="宋体" w:eastAsia="宋体" w:cs="宋体"/>
          <w:spacing w:val="-3"/>
          <w:sz w:val="24"/>
          <w:szCs w:val="24"/>
        </w:rPr>
        <w:t>误经评标委员会修正外，在整个评标期间保持不变，不随任何</w:t>
      </w:r>
      <w:r>
        <w:rPr>
          <w:rFonts w:ascii="宋体" w:hAnsi="宋体" w:eastAsia="宋体" w:cs="宋体"/>
          <w:spacing w:val="-4"/>
          <w:sz w:val="24"/>
          <w:szCs w:val="24"/>
        </w:rPr>
        <w:t>因素发生变化。</w:t>
      </w:r>
    </w:p>
    <w:p>
      <w:pPr>
        <w:keepNext w:val="0"/>
        <w:keepLines w:val="0"/>
        <w:pageBreakBefore w:val="0"/>
        <w:wordWrap/>
        <w:overflowPunct/>
        <w:topLinePunct w:val="0"/>
        <w:autoSpaceDE w:val="0"/>
        <w:autoSpaceDN w:val="0"/>
        <w:bidi w:val="0"/>
        <w:spacing w:before="115" w:line="360" w:lineRule="auto"/>
        <w:ind w:left="39" w:firstLine="481"/>
        <w:rPr>
          <w:rFonts w:ascii="宋体" w:hAnsi="宋体" w:eastAsia="宋体" w:cs="宋体"/>
          <w:sz w:val="24"/>
          <w:szCs w:val="24"/>
        </w:rPr>
      </w:pPr>
      <w:r>
        <w:rPr>
          <w:rFonts w:ascii="Times New Roman" w:hAnsi="Times New Roman" w:eastAsia="Times New Roman" w:cs="Times New Roman"/>
          <w:sz w:val="24"/>
          <w:szCs w:val="24"/>
        </w:rPr>
        <w:t xml:space="preserve">5.2.5  </w:t>
      </w:r>
      <w:r>
        <w:rPr>
          <w:rFonts w:ascii="宋体" w:hAnsi="宋体" w:eastAsia="宋体" w:cs="宋体"/>
          <w:sz w:val="24"/>
          <w:szCs w:val="24"/>
        </w:rPr>
        <w:t>在投标文件第一个信封（商务及技术文件）或第二个信封（报价文件）开</w:t>
      </w:r>
      <w:r>
        <w:rPr>
          <w:rFonts w:ascii="宋体" w:hAnsi="宋体" w:eastAsia="宋体" w:cs="宋体"/>
          <w:spacing w:val="11"/>
          <w:sz w:val="24"/>
          <w:szCs w:val="24"/>
        </w:rPr>
        <w:t xml:space="preserve"> </w:t>
      </w:r>
      <w:r>
        <w:rPr>
          <w:rFonts w:ascii="宋体" w:hAnsi="宋体" w:eastAsia="宋体" w:cs="宋体"/>
          <w:spacing w:val="-6"/>
          <w:sz w:val="24"/>
          <w:szCs w:val="24"/>
        </w:rPr>
        <w:t>标过程中，若招标人宣读的内容与投标文件不符，投标人有权在开标现场提出疑问，</w:t>
      </w:r>
      <w:r>
        <w:rPr>
          <w:rFonts w:ascii="宋体" w:hAnsi="宋体" w:eastAsia="宋体" w:cs="宋体"/>
          <w:sz w:val="24"/>
          <w:szCs w:val="24"/>
        </w:rPr>
        <w:t xml:space="preserve"> </w:t>
      </w:r>
      <w:r>
        <w:rPr>
          <w:rFonts w:ascii="宋体" w:hAnsi="宋体" w:eastAsia="宋体" w:cs="宋体"/>
          <w:spacing w:val="-7"/>
          <w:sz w:val="24"/>
          <w:szCs w:val="24"/>
        </w:rPr>
        <w:t>经招标人当场核查确认之后，可重新宣读其投标文件。若投标人现场未提出疑问，则</w:t>
      </w:r>
      <w:r>
        <w:rPr>
          <w:rFonts w:ascii="宋体" w:hAnsi="宋体" w:eastAsia="宋体" w:cs="宋体"/>
          <w:spacing w:val="-3"/>
          <w:sz w:val="24"/>
          <w:szCs w:val="24"/>
        </w:rPr>
        <w:t>认为投标人已确认招标人宣读的内容。</w:t>
      </w:r>
    </w:p>
    <w:p>
      <w:pPr>
        <w:keepNext w:val="0"/>
        <w:keepLines w:val="0"/>
        <w:pageBreakBefore w:val="0"/>
        <w:wordWrap/>
        <w:overflowPunct/>
        <w:topLinePunct w:val="0"/>
        <w:autoSpaceDE w:val="0"/>
        <w:autoSpaceDN w:val="0"/>
        <w:bidi w:val="0"/>
        <w:spacing w:before="267" w:line="360" w:lineRule="auto"/>
        <w:ind w:left="32"/>
        <w:rPr>
          <w:rFonts w:ascii="黑体" w:hAnsi="黑体" w:eastAsia="黑体" w:cs="黑体"/>
          <w:sz w:val="24"/>
          <w:szCs w:val="24"/>
        </w:rPr>
      </w:pPr>
      <w:r>
        <w:rPr>
          <w:rFonts w:ascii="黑体" w:hAnsi="黑体" w:eastAsia="黑体" w:cs="黑体"/>
          <w:spacing w:val="-2"/>
          <w:sz w:val="24"/>
          <w:szCs w:val="24"/>
        </w:rPr>
        <w:t>5.3</w:t>
      </w:r>
      <w:r>
        <w:rPr>
          <w:rFonts w:ascii="黑体" w:hAnsi="黑体" w:eastAsia="黑体" w:cs="黑体"/>
          <w:spacing w:val="73"/>
          <w:sz w:val="24"/>
          <w:szCs w:val="24"/>
        </w:rPr>
        <w:t xml:space="preserve"> </w:t>
      </w:r>
      <w:r>
        <w:rPr>
          <w:rFonts w:ascii="黑体" w:hAnsi="黑体" w:eastAsia="黑体" w:cs="黑体"/>
          <w:spacing w:val="-2"/>
          <w:sz w:val="24"/>
          <w:szCs w:val="24"/>
        </w:rPr>
        <w:t>开标异议</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left="39" w:right="18" w:firstLine="481"/>
        <w:rPr>
          <w:rFonts w:ascii="宋体" w:hAnsi="宋体" w:eastAsia="宋体" w:cs="宋体"/>
          <w:sz w:val="24"/>
          <w:szCs w:val="24"/>
        </w:rPr>
      </w:pPr>
      <w:r>
        <w:rPr>
          <w:rFonts w:ascii="宋体" w:hAnsi="宋体" w:eastAsia="宋体" w:cs="宋体"/>
          <w:spacing w:val="-16"/>
          <w:sz w:val="24"/>
          <w:szCs w:val="24"/>
        </w:rPr>
        <w:t>投标人对开标有异议的， 应在开标现场提出，招标人</w:t>
      </w:r>
      <w:r>
        <w:rPr>
          <w:rFonts w:ascii="宋体" w:hAnsi="宋体" w:eastAsia="宋体" w:cs="宋体"/>
          <w:spacing w:val="-17"/>
          <w:sz w:val="24"/>
          <w:szCs w:val="24"/>
        </w:rPr>
        <w:t>当场作出答复，并制作记录，</w:t>
      </w:r>
      <w:r>
        <w:rPr>
          <w:rFonts w:ascii="宋体" w:hAnsi="宋体" w:eastAsia="宋体" w:cs="宋体"/>
          <w:sz w:val="24"/>
          <w:szCs w:val="24"/>
        </w:rPr>
        <w:t xml:space="preserve"> </w:t>
      </w:r>
      <w:r>
        <w:rPr>
          <w:rFonts w:ascii="宋体" w:hAnsi="宋体" w:eastAsia="宋体" w:cs="宋体"/>
          <w:spacing w:val="-1"/>
          <w:sz w:val="24"/>
          <w:szCs w:val="24"/>
        </w:rPr>
        <w:t>有异议的投标人代表、招标人代表、记录人等有关人员在记录上签字确认。</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92" w:line="360" w:lineRule="auto"/>
        <w:ind w:left="38"/>
        <w:rPr>
          <w:rFonts w:ascii="黑体" w:hAnsi="黑体" w:eastAsia="黑体" w:cs="黑体"/>
          <w:sz w:val="28"/>
          <w:szCs w:val="28"/>
        </w:rPr>
      </w:pPr>
      <w:r>
        <w:rPr>
          <w:rFonts w:ascii="黑体" w:hAnsi="黑体" w:eastAsia="黑体" w:cs="黑体"/>
          <w:spacing w:val="-4"/>
          <w:sz w:val="28"/>
          <w:szCs w:val="28"/>
        </w:rPr>
        <w:t>6.</w:t>
      </w:r>
      <w:r>
        <w:rPr>
          <w:rFonts w:ascii="黑体" w:hAnsi="黑体" w:eastAsia="黑体" w:cs="黑体"/>
          <w:spacing w:val="10"/>
          <w:sz w:val="28"/>
          <w:szCs w:val="28"/>
        </w:rPr>
        <w:t xml:space="preserve"> </w:t>
      </w:r>
      <w:r>
        <w:rPr>
          <w:rFonts w:ascii="黑体" w:hAnsi="黑体" w:eastAsia="黑体" w:cs="黑体"/>
          <w:spacing w:val="-4"/>
          <w:sz w:val="28"/>
          <w:szCs w:val="28"/>
        </w:rPr>
        <w:t>评标</w:t>
      </w:r>
    </w:p>
    <w:p>
      <w:pPr>
        <w:keepNext w:val="0"/>
        <w:keepLines w:val="0"/>
        <w:pageBreakBefore w:val="0"/>
        <w:wordWrap/>
        <w:overflowPunct/>
        <w:topLinePunct w:val="0"/>
        <w:autoSpaceDE w:val="0"/>
        <w:autoSpaceDN w:val="0"/>
        <w:bidi w:val="0"/>
        <w:spacing w:before="264" w:line="360" w:lineRule="auto"/>
        <w:ind w:left="37"/>
        <w:rPr>
          <w:rFonts w:ascii="黑体" w:hAnsi="黑体" w:eastAsia="黑体" w:cs="黑体"/>
          <w:sz w:val="24"/>
          <w:szCs w:val="24"/>
        </w:rPr>
      </w:pPr>
      <w:r>
        <w:rPr>
          <w:rFonts w:ascii="黑体" w:hAnsi="黑体" w:eastAsia="黑体" w:cs="黑体"/>
          <w:spacing w:val="-2"/>
          <w:sz w:val="24"/>
          <w:szCs w:val="24"/>
        </w:rPr>
        <w:t>6.1</w:t>
      </w:r>
      <w:r>
        <w:rPr>
          <w:rFonts w:ascii="黑体" w:hAnsi="黑体" w:eastAsia="黑体" w:cs="黑体"/>
          <w:spacing w:val="68"/>
          <w:sz w:val="24"/>
          <w:szCs w:val="24"/>
        </w:rPr>
        <w:t xml:space="preserve"> </w:t>
      </w:r>
      <w:r>
        <w:rPr>
          <w:rFonts w:ascii="黑体" w:hAnsi="黑体" w:eastAsia="黑体" w:cs="黑体"/>
          <w:spacing w:val="-2"/>
          <w:sz w:val="24"/>
          <w:szCs w:val="24"/>
        </w:rPr>
        <w:t>评标委员会</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69" w:line="360" w:lineRule="auto"/>
        <w:ind w:left="519"/>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6.1.1</w:t>
      </w:r>
    </w:p>
    <w:p>
      <w:pPr>
        <w:keepNext w:val="0"/>
        <w:keepLines w:val="0"/>
        <w:pageBreakBefore w:val="0"/>
        <w:wordWrap/>
        <w:overflowPunct/>
        <w:topLinePunct w:val="0"/>
        <w:autoSpaceDE w:val="0"/>
        <w:autoSpaceDN w:val="0"/>
        <w:bidi w:val="0"/>
        <w:spacing w:before="131" w:line="360" w:lineRule="auto"/>
        <w:ind w:left="519"/>
        <w:rPr>
          <w:rFonts w:ascii="宋体" w:hAnsi="宋体" w:eastAsia="宋体" w:cs="宋体"/>
          <w:sz w:val="24"/>
          <w:szCs w:val="24"/>
        </w:rPr>
      </w:pPr>
      <w:r>
        <w:rPr>
          <w:rFonts w:ascii="Times New Roman" w:hAnsi="Times New Roman" w:eastAsia="Times New Roman" w:cs="Times New Roman"/>
          <w:spacing w:val="-4"/>
          <w:sz w:val="24"/>
          <w:szCs w:val="24"/>
        </w:rPr>
        <w:t xml:space="preserve">6.1.2  </w:t>
      </w:r>
      <w:r>
        <w:rPr>
          <w:rFonts w:ascii="宋体" w:hAnsi="宋体" w:eastAsia="宋体" w:cs="宋体"/>
          <w:spacing w:val="-4"/>
          <w:sz w:val="24"/>
          <w:szCs w:val="24"/>
        </w:rPr>
        <w:t>评标委员会成员有下列情形之一的，应主动提出回避：</w:t>
      </w:r>
    </w:p>
    <w:p>
      <w:pPr>
        <w:keepNext w:val="0"/>
        <w:keepLines w:val="0"/>
        <w:pageBreakBefore w:val="0"/>
        <w:wordWrap/>
        <w:overflowPunct/>
        <w:topLinePunct w:val="0"/>
        <w:autoSpaceDE w:val="0"/>
        <w:autoSpaceDN w:val="0"/>
        <w:bidi w:val="0"/>
        <w:spacing w:before="114" w:line="360" w:lineRule="auto"/>
        <w:ind w:left="404" w:right="1730"/>
        <w:rPr>
          <w:rFonts w:ascii="宋体" w:hAnsi="宋体" w:eastAsia="宋体" w:cs="宋体"/>
          <w:spacing w:val="13"/>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）为负责招标项目监督管理的交通运输主管部门的工作人员；</w:t>
      </w:r>
      <w:r>
        <w:rPr>
          <w:rFonts w:ascii="宋体" w:hAnsi="宋体" w:eastAsia="宋体" w:cs="宋体"/>
          <w:spacing w:val="13"/>
          <w:sz w:val="24"/>
          <w:szCs w:val="24"/>
        </w:rPr>
        <w:t xml:space="preserve"> </w:t>
      </w:r>
    </w:p>
    <w:p>
      <w:pPr>
        <w:keepNext w:val="0"/>
        <w:keepLines w:val="0"/>
        <w:pageBreakBefore w:val="0"/>
        <w:wordWrap/>
        <w:overflowPunct/>
        <w:topLinePunct w:val="0"/>
        <w:autoSpaceDE w:val="0"/>
        <w:autoSpaceDN w:val="0"/>
        <w:bidi w:val="0"/>
        <w:spacing w:before="114" w:line="360" w:lineRule="auto"/>
        <w:ind w:left="404" w:right="173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）与投标人法定代表人或其委托代理人有近亲属关系；</w:t>
      </w:r>
    </w:p>
    <w:p>
      <w:pPr>
        <w:keepNext w:val="0"/>
        <w:keepLines w:val="0"/>
        <w:pageBreakBefore w:val="0"/>
        <w:wordWrap/>
        <w:overflowPunct/>
        <w:topLinePunct w:val="0"/>
        <w:autoSpaceDE w:val="0"/>
        <w:autoSpaceDN w:val="0"/>
        <w:bidi w:val="0"/>
        <w:spacing w:before="115" w:line="360" w:lineRule="auto"/>
        <w:ind w:left="404"/>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）为投标人的工作人员或退休人员；</w:t>
      </w:r>
    </w:p>
    <w:p>
      <w:pPr>
        <w:keepNext w:val="0"/>
        <w:keepLines w:val="0"/>
        <w:pageBreakBefore w:val="0"/>
        <w:wordWrap/>
        <w:overflowPunct/>
        <w:topLinePunct w:val="0"/>
        <w:autoSpaceDE w:val="0"/>
        <w:autoSpaceDN w:val="0"/>
        <w:bidi w:val="0"/>
        <w:spacing w:before="113" w:line="360" w:lineRule="auto"/>
        <w:ind w:left="40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）与投标人有其他利害关系</w:t>
      </w:r>
      <w:r>
        <w:rPr>
          <w:rFonts w:hint="eastAsia" w:ascii="宋体" w:hAnsi="宋体" w:eastAsia="宋体" w:cs="宋体"/>
          <w:spacing w:val="-3"/>
          <w:sz w:val="24"/>
          <w:szCs w:val="24"/>
          <w:lang w:eastAsia="zh-CN"/>
        </w:rPr>
        <w:t>，</w:t>
      </w:r>
      <w:r>
        <w:rPr>
          <w:rFonts w:ascii="宋体" w:hAnsi="宋体" w:eastAsia="宋体" w:cs="宋体"/>
          <w:spacing w:val="-3"/>
          <w:sz w:val="24"/>
          <w:szCs w:val="24"/>
        </w:rPr>
        <w:t>可能影响评标活动公正性；</w:t>
      </w:r>
    </w:p>
    <w:p>
      <w:pPr>
        <w:keepNext w:val="0"/>
        <w:keepLines w:val="0"/>
        <w:pageBreakBefore w:val="0"/>
        <w:wordWrap/>
        <w:overflowPunct/>
        <w:topLinePunct w:val="0"/>
        <w:autoSpaceDE w:val="0"/>
        <w:autoSpaceDN w:val="0"/>
        <w:bidi w:val="0"/>
        <w:spacing w:before="115" w:line="360" w:lineRule="auto"/>
        <w:jc w:val="center"/>
        <w:rPr>
          <w:rFonts w:hint="eastAsia" w:ascii="宋体" w:hAnsi="宋体" w:cs="宋体"/>
          <w:spacing w:val="-8"/>
          <w:sz w:val="24"/>
          <w:szCs w:val="24"/>
          <w:lang w:eastAsia="zh-CN"/>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5</w:t>
      </w:r>
      <w:r>
        <w:rPr>
          <w:rFonts w:ascii="宋体" w:hAnsi="宋体" w:eastAsia="宋体" w:cs="宋体"/>
          <w:spacing w:val="-7"/>
          <w:sz w:val="24"/>
          <w:szCs w:val="24"/>
        </w:rPr>
        <w:t>）在与招标投标有关的活动中有过违法违规行为、曾受过行政处罚或刑</w:t>
      </w:r>
      <w:r>
        <w:rPr>
          <w:rFonts w:ascii="宋体" w:hAnsi="宋体" w:eastAsia="宋体" w:cs="宋体"/>
          <w:spacing w:val="-8"/>
          <w:sz w:val="24"/>
          <w:szCs w:val="24"/>
        </w:rPr>
        <w:t>事处罚</w:t>
      </w:r>
      <w:r>
        <w:rPr>
          <w:rFonts w:hint="eastAsia" w:ascii="宋体" w:hAnsi="宋体" w:cs="宋体"/>
          <w:spacing w:val="-8"/>
          <w:sz w:val="24"/>
          <w:szCs w:val="24"/>
          <w:lang w:eastAsia="zh-CN"/>
        </w:rPr>
        <w:t>。</w:t>
      </w:r>
    </w:p>
    <w:p>
      <w:pPr>
        <w:keepNext w:val="0"/>
        <w:keepLines w:val="0"/>
        <w:pageBreakBefore w:val="0"/>
        <w:wordWrap/>
        <w:overflowPunct/>
        <w:topLinePunct w:val="0"/>
        <w:autoSpaceDE w:val="0"/>
        <w:autoSpaceDN w:val="0"/>
        <w:bidi w:val="0"/>
        <w:spacing w:before="115" w:line="360" w:lineRule="auto"/>
        <w:ind w:firstLine="448" w:firstLineChars="200"/>
        <w:jc w:val="both"/>
        <w:rPr>
          <w:rFonts w:hint="eastAsia" w:ascii="宋体" w:hAnsi="宋体" w:cs="宋体"/>
          <w:spacing w:val="-8"/>
          <w:sz w:val="24"/>
          <w:szCs w:val="24"/>
          <w:lang w:eastAsia="zh-CN"/>
        </w:rPr>
      </w:pPr>
      <w:r>
        <w:rPr>
          <w:rFonts w:hint="eastAsia" w:ascii="宋体" w:hAnsi="宋体" w:cs="宋体"/>
          <w:spacing w:val="-8"/>
          <w:sz w:val="24"/>
          <w:szCs w:val="24"/>
          <w:lang w:eastAsia="zh-CN"/>
        </w:rPr>
        <w:t>招标人及其子公司、招标人下属单位、招标人的上级主管部门或者控股公司、招标代理机构的工作人员或者退休人员不得以专家身份参与本单位招标或者招标代理项目的评标。</w:t>
      </w:r>
    </w:p>
    <w:p>
      <w:pPr>
        <w:keepNext w:val="0"/>
        <w:keepLines w:val="0"/>
        <w:pageBreakBefore w:val="0"/>
        <w:wordWrap/>
        <w:overflowPunct/>
        <w:topLinePunct w:val="0"/>
        <w:autoSpaceDE w:val="0"/>
        <w:autoSpaceDN w:val="0"/>
        <w:bidi w:val="0"/>
        <w:spacing w:before="115" w:line="360" w:lineRule="auto"/>
        <w:ind w:firstLine="480" w:firstLineChars="200"/>
        <w:jc w:val="both"/>
        <w:rPr>
          <w:rFonts w:ascii="宋体" w:hAnsi="宋体" w:eastAsia="宋体" w:cs="宋体"/>
          <w:sz w:val="24"/>
          <w:szCs w:val="24"/>
        </w:rPr>
      </w:pPr>
      <w:r>
        <w:rPr>
          <w:rFonts w:ascii="Times New Roman" w:hAnsi="Times New Roman" w:eastAsia="Times New Roman" w:cs="Times New Roman"/>
          <w:sz w:val="24"/>
          <w:szCs w:val="24"/>
        </w:rPr>
        <w:t xml:space="preserve">6.1.3  </w:t>
      </w:r>
      <w:r>
        <w:rPr>
          <w:rFonts w:ascii="宋体" w:hAnsi="宋体" w:eastAsia="宋体" w:cs="宋体"/>
          <w:sz w:val="24"/>
          <w:szCs w:val="24"/>
        </w:rPr>
        <w:t>评标过程中，评标委员会成员有回避事由、擅离职守或因健康等原因不能</w:t>
      </w:r>
      <w:r>
        <w:rPr>
          <w:rFonts w:ascii="宋体" w:hAnsi="宋体" w:eastAsia="宋体" w:cs="宋体"/>
          <w:spacing w:val="-12"/>
          <w:sz w:val="24"/>
          <w:szCs w:val="24"/>
        </w:rPr>
        <w:t>继续评标的，招标人有权更换。被更换的评标委员会成员作出的评审结论无效，由更</w:t>
      </w:r>
      <w:r>
        <w:rPr>
          <w:rFonts w:ascii="宋体" w:hAnsi="宋体" w:eastAsia="宋体" w:cs="宋体"/>
          <w:spacing w:val="-3"/>
          <w:sz w:val="24"/>
          <w:szCs w:val="24"/>
        </w:rPr>
        <w:t>换后的评标委员会成员重新进行评审。</w:t>
      </w:r>
    </w:p>
    <w:p>
      <w:pPr>
        <w:keepNext w:val="0"/>
        <w:keepLines w:val="0"/>
        <w:pageBreakBefore w:val="0"/>
        <w:wordWrap/>
        <w:overflowPunct/>
        <w:topLinePunct w:val="0"/>
        <w:autoSpaceDE w:val="0"/>
        <w:autoSpaceDN w:val="0"/>
        <w:bidi w:val="0"/>
        <w:spacing w:before="267" w:line="360" w:lineRule="auto"/>
        <w:ind w:left="37"/>
        <w:rPr>
          <w:rFonts w:ascii="黑体" w:hAnsi="黑体" w:eastAsia="黑体" w:cs="黑体"/>
          <w:sz w:val="24"/>
          <w:szCs w:val="24"/>
        </w:rPr>
      </w:pPr>
      <w:r>
        <w:rPr>
          <w:rFonts w:ascii="黑体" w:hAnsi="黑体" w:eastAsia="黑体" w:cs="黑体"/>
          <w:spacing w:val="-1"/>
          <w:sz w:val="24"/>
          <w:szCs w:val="24"/>
        </w:rPr>
        <w:t>6.2 评标原则</w:t>
      </w:r>
    </w:p>
    <w:p>
      <w:pPr>
        <w:keepNext w:val="0"/>
        <w:keepLines w:val="0"/>
        <w:pageBreakBefore w:val="0"/>
        <w:wordWrap/>
        <w:overflowPunct/>
        <w:topLinePunct w:val="0"/>
        <w:autoSpaceDE w:val="0"/>
        <w:autoSpaceDN w:val="0"/>
        <w:bidi w:val="0"/>
        <w:spacing w:before="264" w:line="360" w:lineRule="auto"/>
        <w:ind w:left="37"/>
        <w:rPr>
          <w:rFonts w:ascii="黑体" w:hAnsi="黑体" w:eastAsia="黑体" w:cs="黑体"/>
          <w:sz w:val="24"/>
          <w:szCs w:val="24"/>
        </w:rPr>
      </w:pPr>
      <w:r>
        <w:rPr>
          <w:rFonts w:ascii="黑体" w:hAnsi="黑体" w:eastAsia="黑体" w:cs="黑体"/>
          <w:spacing w:val="-3"/>
          <w:sz w:val="24"/>
          <w:szCs w:val="24"/>
        </w:rPr>
        <w:t>6.3</w:t>
      </w:r>
      <w:r>
        <w:rPr>
          <w:rFonts w:ascii="黑体" w:hAnsi="黑体" w:eastAsia="黑体" w:cs="黑体"/>
          <w:spacing w:val="9"/>
          <w:sz w:val="24"/>
          <w:szCs w:val="24"/>
        </w:rPr>
        <w:t xml:space="preserve"> </w:t>
      </w:r>
      <w:r>
        <w:rPr>
          <w:rFonts w:ascii="黑体" w:hAnsi="黑体" w:eastAsia="黑体" w:cs="黑体"/>
          <w:spacing w:val="-3"/>
          <w:sz w:val="24"/>
          <w:szCs w:val="24"/>
        </w:rPr>
        <w:t>评标</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left="519"/>
        <w:rPr>
          <w:rFonts w:ascii="宋体" w:hAnsi="宋体" w:eastAsia="宋体" w:cs="宋体"/>
          <w:sz w:val="24"/>
          <w:szCs w:val="24"/>
        </w:rPr>
      </w:pPr>
      <w:r>
        <w:rPr>
          <w:rFonts w:ascii="Times New Roman" w:hAnsi="Times New Roman" w:eastAsia="Times New Roman" w:cs="Times New Roman"/>
          <w:spacing w:val="1"/>
          <w:sz w:val="24"/>
          <w:szCs w:val="24"/>
        </w:rPr>
        <w:t xml:space="preserve">6.3.1  </w:t>
      </w:r>
      <w:r>
        <w:rPr>
          <w:rFonts w:ascii="宋体" w:hAnsi="宋体" w:eastAsia="宋体" w:cs="宋体"/>
          <w:spacing w:val="1"/>
          <w:sz w:val="24"/>
          <w:szCs w:val="24"/>
        </w:rPr>
        <w:t>评标委员会按照第三章</w:t>
      </w:r>
      <w:r>
        <w:rPr>
          <w:rFonts w:ascii="Times New Roman" w:hAnsi="Times New Roman" w:eastAsia="Times New Roman" w:cs="Times New Roman"/>
          <w:spacing w:val="1"/>
          <w:sz w:val="24"/>
          <w:szCs w:val="24"/>
        </w:rPr>
        <w:t>“</w:t>
      </w:r>
      <w:r>
        <w:rPr>
          <w:rFonts w:ascii="宋体" w:hAnsi="宋体" w:eastAsia="宋体" w:cs="宋体"/>
          <w:spacing w:val="1"/>
          <w:sz w:val="24"/>
          <w:szCs w:val="24"/>
        </w:rPr>
        <w:t>评标办法</w:t>
      </w:r>
      <w:r>
        <w:rPr>
          <w:rFonts w:ascii="Times New Roman" w:hAnsi="Times New Roman" w:eastAsia="Times New Roman" w:cs="Times New Roman"/>
          <w:spacing w:val="1"/>
          <w:sz w:val="24"/>
          <w:szCs w:val="24"/>
        </w:rPr>
        <w:t>”</w:t>
      </w:r>
      <w:r>
        <w:rPr>
          <w:rFonts w:ascii="宋体" w:hAnsi="宋体" w:eastAsia="宋体" w:cs="宋体"/>
          <w:spacing w:val="1"/>
          <w:sz w:val="24"/>
          <w:szCs w:val="24"/>
        </w:rPr>
        <w:t>规定的方法、评审因素、标准和程序对</w:t>
      </w:r>
    </w:p>
    <w:p>
      <w:pPr>
        <w:keepNext w:val="0"/>
        <w:keepLines w:val="0"/>
        <w:pageBreakBefore w:val="0"/>
        <w:wordWrap/>
        <w:overflowPunct/>
        <w:topLinePunct w:val="0"/>
        <w:autoSpaceDE w:val="0"/>
        <w:autoSpaceDN w:val="0"/>
        <w:bidi w:val="0"/>
        <w:spacing w:before="116" w:line="360" w:lineRule="auto"/>
        <w:ind w:left="39" w:right="84" w:firstLine="1"/>
        <w:rPr>
          <w:rFonts w:ascii="宋体" w:hAnsi="宋体" w:eastAsia="宋体" w:cs="宋体"/>
          <w:sz w:val="24"/>
          <w:szCs w:val="24"/>
        </w:rPr>
      </w:pPr>
      <w:r>
        <w:rPr>
          <w:rFonts w:ascii="宋体" w:hAnsi="宋体" w:eastAsia="宋体" w:cs="宋体"/>
          <w:spacing w:val="-6"/>
          <w:sz w:val="24"/>
          <w:szCs w:val="24"/>
        </w:rPr>
        <w:t>投标文件进行评审。第三章</w:t>
      </w:r>
      <w:r>
        <w:rPr>
          <w:rFonts w:ascii="Times New Roman" w:hAnsi="Times New Roman" w:eastAsia="Times New Roman" w:cs="Times New Roman"/>
          <w:spacing w:val="-6"/>
          <w:sz w:val="24"/>
          <w:szCs w:val="24"/>
        </w:rPr>
        <w:t>“</w:t>
      </w:r>
      <w:r>
        <w:rPr>
          <w:rFonts w:ascii="宋体" w:hAnsi="宋体" w:eastAsia="宋体" w:cs="宋体"/>
          <w:spacing w:val="-6"/>
          <w:sz w:val="24"/>
          <w:szCs w:val="24"/>
        </w:rPr>
        <w:t>评标办法</w:t>
      </w:r>
      <w:r>
        <w:rPr>
          <w:rFonts w:ascii="Times New Roman" w:hAnsi="Times New Roman" w:eastAsia="Times New Roman" w:cs="Times New Roman"/>
          <w:spacing w:val="-6"/>
          <w:sz w:val="24"/>
          <w:szCs w:val="24"/>
        </w:rPr>
        <w:t>”</w:t>
      </w:r>
      <w:r>
        <w:rPr>
          <w:rFonts w:ascii="宋体" w:hAnsi="宋体" w:eastAsia="宋体" w:cs="宋体"/>
          <w:spacing w:val="-6"/>
          <w:sz w:val="24"/>
          <w:szCs w:val="24"/>
        </w:rPr>
        <w:t>没有规定的</w:t>
      </w:r>
      <w:r>
        <w:rPr>
          <w:rFonts w:ascii="宋体" w:hAnsi="宋体" w:eastAsia="宋体" w:cs="宋体"/>
          <w:spacing w:val="-7"/>
          <w:sz w:val="24"/>
          <w:szCs w:val="24"/>
        </w:rPr>
        <w:t>方法、评审因素和标准，不作为评</w:t>
      </w:r>
      <w:r>
        <w:rPr>
          <w:rFonts w:ascii="宋体" w:hAnsi="宋体" w:eastAsia="宋体" w:cs="宋体"/>
          <w:spacing w:val="-9"/>
          <w:sz w:val="24"/>
          <w:szCs w:val="24"/>
        </w:rPr>
        <w:t>标依据。</w:t>
      </w:r>
    </w:p>
    <w:p>
      <w:pPr>
        <w:keepNext w:val="0"/>
        <w:keepLines w:val="0"/>
        <w:pageBreakBefore w:val="0"/>
        <w:wordWrap/>
        <w:overflowPunct/>
        <w:topLinePunct w:val="0"/>
        <w:autoSpaceDE w:val="0"/>
        <w:autoSpaceDN w:val="0"/>
        <w:bidi w:val="0"/>
        <w:spacing w:before="116" w:line="360" w:lineRule="auto"/>
        <w:ind w:firstLine="484" w:firstLineChars="200"/>
        <w:jc w:val="left"/>
        <w:rPr>
          <w:rFonts w:ascii="宋体" w:hAnsi="宋体" w:eastAsia="宋体" w:cs="宋体"/>
          <w:spacing w:val="-6"/>
          <w:sz w:val="24"/>
          <w:szCs w:val="24"/>
        </w:rPr>
      </w:pPr>
      <w:r>
        <w:rPr>
          <w:rFonts w:ascii="Times New Roman" w:hAnsi="Times New Roman" w:eastAsia="Times New Roman" w:cs="Times New Roman"/>
          <w:spacing w:val="1"/>
          <w:sz w:val="24"/>
          <w:szCs w:val="24"/>
        </w:rPr>
        <w:t xml:space="preserve">6.3.2  </w:t>
      </w:r>
      <w:r>
        <w:rPr>
          <w:rFonts w:ascii="宋体" w:hAnsi="宋体" w:eastAsia="宋体" w:cs="宋体"/>
          <w:spacing w:val="-6"/>
          <w:sz w:val="24"/>
          <w:szCs w:val="24"/>
        </w:rPr>
        <w:t>评标完成后，评标委员会应向招标人提交书面评标报告和中标候选人名单。评标委员会推荐中标候选人的人数见投标人须知前附表。</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91" w:line="360" w:lineRule="auto"/>
        <w:ind w:left="40"/>
        <w:rPr>
          <w:rFonts w:ascii="黑体" w:hAnsi="黑体" w:eastAsia="黑体" w:cs="黑体"/>
          <w:sz w:val="28"/>
          <w:szCs w:val="28"/>
        </w:rPr>
      </w:pPr>
      <w:r>
        <w:rPr>
          <w:rFonts w:ascii="黑体" w:hAnsi="黑体" w:eastAsia="黑体" w:cs="黑体"/>
          <w:spacing w:val="-1"/>
          <w:sz w:val="28"/>
          <w:szCs w:val="28"/>
        </w:rPr>
        <w:t>7. 合同授予</w:t>
      </w:r>
    </w:p>
    <w:p>
      <w:pPr>
        <w:keepNext w:val="0"/>
        <w:keepLines w:val="0"/>
        <w:pageBreakBefore w:val="0"/>
        <w:wordWrap/>
        <w:overflowPunct/>
        <w:topLinePunct w:val="0"/>
        <w:autoSpaceDE w:val="0"/>
        <w:autoSpaceDN w:val="0"/>
        <w:bidi w:val="0"/>
        <w:spacing w:before="265" w:line="360" w:lineRule="auto"/>
        <w:ind w:left="39"/>
        <w:rPr>
          <w:rFonts w:ascii="黑体" w:hAnsi="黑体" w:eastAsia="黑体" w:cs="黑体"/>
          <w:sz w:val="24"/>
          <w:szCs w:val="24"/>
        </w:rPr>
      </w:pPr>
      <w:r>
        <w:rPr>
          <w:rFonts w:ascii="黑体" w:hAnsi="黑体" w:eastAsia="黑体" w:cs="黑体"/>
          <w:spacing w:val="-4"/>
          <w:sz w:val="24"/>
          <w:szCs w:val="24"/>
        </w:rPr>
        <w:t>7.1</w:t>
      </w:r>
      <w:r>
        <w:rPr>
          <w:rFonts w:ascii="黑体" w:hAnsi="黑体" w:eastAsia="黑体" w:cs="黑体"/>
          <w:spacing w:val="32"/>
          <w:sz w:val="24"/>
          <w:szCs w:val="24"/>
        </w:rPr>
        <w:t xml:space="preserve"> </w:t>
      </w:r>
      <w:r>
        <w:rPr>
          <w:rFonts w:ascii="黑体" w:hAnsi="黑体" w:eastAsia="黑体" w:cs="黑体"/>
          <w:spacing w:val="-4"/>
          <w:sz w:val="24"/>
          <w:szCs w:val="24"/>
        </w:rPr>
        <w:t>中标候选人公示</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117" w:line="360" w:lineRule="auto"/>
        <w:ind w:left="38" w:right="83" w:firstLine="366"/>
        <w:rPr>
          <w:rFonts w:ascii="宋体" w:hAnsi="宋体" w:eastAsia="宋体" w:cs="宋体"/>
          <w:spacing w:val="-7"/>
          <w:sz w:val="24"/>
          <w:szCs w:val="24"/>
        </w:rPr>
      </w:pPr>
      <w:r>
        <w:rPr>
          <w:rFonts w:hint="eastAsia" w:ascii="宋体" w:hAnsi="宋体" w:eastAsia="宋体" w:cs="宋体"/>
          <w:spacing w:val="-7"/>
          <w:sz w:val="24"/>
          <w:szCs w:val="24"/>
          <w:lang w:val="en-US" w:eastAsia="zh-CN"/>
        </w:rPr>
        <w:t>7.1.1</w:t>
      </w:r>
      <w:r>
        <w:rPr>
          <w:rFonts w:ascii="宋体" w:hAnsi="宋体" w:eastAsia="宋体" w:cs="宋体"/>
          <w:spacing w:val="-7"/>
          <w:sz w:val="24"/>
          <w:szCs w:val="24"/>
        </w:rPr>
        <w:t>招标人在收到评标报告之日起 3 日内，按照投标人须知前附表规定的公示媒介和期限公示中标候选人，公示期不得少于 3 日，公示内容包括：</w:t>
      </w:r>
    </w:p>
    <w:p>
      <w:pPr>
        <w:keepNext w:val="0"/>
        <w:keepLines w:val="0"/>
        <w:pageBreakBefore w:val="0"/>
        <w:wordWrap/>
        <w:overflowPunct/>
        <w:topLinePunct w:val="0"/>
        <w:autoSpaceDE w:val="0"/>
        <w:autoSpaceDN w:val="0"/>
        <w:bidi w:val="0"/>
        <w:spacing w:before="117" w:line="360" w:lineRule="auto"/>
        <w:ind w:left="38" w:right="83" w:firstLine="366"/>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1</w:t>
      </w:r>
      <w:r>
        <w:rPr>
          <w:rFonts w:ascii="宋体" w:hAnsi="宋体" w:eastAsia="宋体" w:cs="宋体"/>
          <w:spacing w:val="-7"/>
          <w:sz w:val="24"/>
          <w:szCs w:val="24"/>
        </w:rPr>
        <w:t>）中标候选人排序、名称、投标报价，对工程质量要求、安全目</w:t>
      </w:r>
      <w:r>
        <w:rPr>
          <w:rFonts w:ascii="宋体" w:hAnsi="宋体" w:eastAsia="宋体" w:cs="宋体"/>
          <w:spacing w:val="-8"/>
          <w:sz w:val="24"/>
          <w:szCs w:val="24"/>
        </w:rPr>
        <w:t>标和工期的响</w:t>
      </w:r>
      <w:r>
        <w:rPr>
          <w:rFonts w:ascii="宋体" w:hAnsi="宋体" w:eastAsia="宋体" w:cs="宋体"/>
          <w:sz w:val="24"/>
          <w:szCs w:val="24"/>
        </w:rPr>
        <w:t xml:space="preserve"> </w:t>
      </w:r>
      <w:r>
        <w:rPr>
          <w:rFonts w:ascii="宋体" w:hAnsi="宋体" w:eastAsia="宋体" w:cs="宋体"/>
          <w:spacing w:val="-3"/>
          <w:sz w:val="24"/>
          <w:szCs w:val="24"/>
        </w:rPr>
        <w:t>应情况；</w:t>
      </w:r>
    </w:p>
    <w:p>
      <w:pPr>
        <w:keepNext w:val="0"/>
        <w:keepLines w:val="0"/>
        <w:pageBreakBefore w:val="0"/>
        <w:wordWrap/>
        <w:overflowPunct/>
        <w:topLinePunct w:val="0"/>
        <w:autoSpaceDE w:val="0"/>
        <w:autoSpaceDN w:val="0"/>
        <w:bidi w:val="0"/>
        <w:spacing w:before="113" w:line="360" w:lineRule="auto"/>
        <w:ind w:left="404"/>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）中标候选人在投标文件中承诺的项目经理和项目总工姓名、个人业绩、</w:t>
      </w:r>
      <w:r>
        <w:rPr>
          <w:rFonts w:ascii="宋体" w:hAnsi="宋体" w:eastAsia="宋体" w:cs="宋体"/>
          <w:spacing w:val="-4"/>
          <w:sz w:val="24"/>
          <w:szCs w:val="24"/>
        </w:rPr>
        <w:t>相关</w:t>
      </w:r>
    </w:p>
    <w:p>
      <w:pPr>
        <w:keepNext w:val="0"/>
        <w:keepLines w:val="0"/>
        <w:pageBreakBefore w:val="0"/>
        <w:wordWrap/>
        <w:overflowPunct/>
        <w:topLinePunct w:val="0"/>
        <w:autoSpaceDE w:val="0"/>
        <w:autoSpaceDN w:val="0"/>
        <w:bidi w:val="0"/>
        <w:spacing w:before="116" w:line="360" w:lineRule="auto"/>
        <w:ind w:left="38"/>
        <w:rPr>
          <w:rFonts w:ascii="宋体" w:hAnsi="宋体" w:eastAsia="宋体" w:cs="宋体"/>
          <w:sz w:val="24"/>
          <w:szCs w:val="24"/>
        </w:rPr>
      </w:pPr>
      <w:r>
        <w:rPr>
          <w:rFonts w:ascii="宋体" w:hAnsi="宋体" w:eastAsia="宋体" w:cs="宋体"/>
          <w:spacing w:val="-8"/>
          <w:sz w:val="24"/>
          <w:szCs w:val="24"/>
        </w:rPr>
        <w:t>证书名称和编号；</w:t>
      </w:r>
    </w:p>
    <w:p>
      <w:pPr>
        <w:keepNext w:val="0"/>
        <w:keepLines w:val="0"/>
        <w:pageBreakBefore w:val="0"/>
        <w:wordWrap/>
        <w:overflowPunct/>
        <w:topLinePunct w:val="0"/>
        <w:autoSpaceDE w:val="0"/>
        <w:autoSpaceDN w:val="0"/>
        <w:bidi w:val="0"/>
        <w:spacing w:before="113" w:line="360" w:lineRule="auto"/>
        <w:ind w:left="404"/>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）中标候选人在投标文件中填报的项目业绩；</w:t>
      </w:r>
    </w:p>
    <w:p>
      <w:pPr>
        <w:keepNext w:val="0"/>
        <w:keepLines w:val="0"/>
        <w:pageBreakBefore w:val="0"/>
        <w:wordWrap/>
        <w:overflowPunct/>
        <w:topLinePunct w:val="0"/>
        <w:autoSpaceDE w:val="0"/>
        <w:autoSpaceDN w:val="0"/>
        <w:bidi w:val="0"/>
        <w:spacing w:before="115" w:line="360" w:lineRule="auto"/>
        <w:ind w:left="404"/>
        <w:rPr>
          <w:rFonts w:ascii="宋体" w:hAnsi="宋体" w:eastAsia="宋体" w:cs="宋体"/>
          <w:sz w:val="24"/>
          <w:szCs w:val="24"/>
        </w:rPr>
      </w:pPr>
      <w:r>
        <w:rPr>
          <w:rFonts w:ascii="宋体" w:hAnsi="宋体" w:eastAsia="宋体" w:cs="宋体"/>
          <w:spacing w:val="-3"/>
          <w:position w:val="11"/>
          <w:sz w:val="24"/>
          <w:szCs w:val="24"/>
        </w:rPr>
        <w:t>（</w:t>
      </w:r>
      <w:r>
        <w:rPr>
          <w:rFonts w:ascii="Times New Roman" w:hAnsi="Times New Roman" w:eastAsia="Times New Roman" w:cs="Times New Roman"/>
          <w:spacing w:val="-3"/>
          <w:position w:val="11"/>
          <w:sz w:val="24"/>
          <w:szCs w:val="24"/>
        </w:rPr>
        <w:t>4</w:t>
      </w:r>
      <w:r>
        <w:rPr>
          <w:rFonts w:ascii="宋体" w:hAnsi="宋体" w:eastAsia="宋体" w:cs="宋体"/>
          <w:spacing w:val="-3"/>
          <w:position w:val="11"/>
          <w:sz w:val="24"/>
          <w:szCs w:val="24"/>
        </w:rPr>
        <w:t>）被否决投标的投标人名称、否决依据和原</w:t>
      </w:r>
      <w:r>
        <w:rPr>
          <w:rFonts w:ascii="宋体" w:hAnsi="宋体" w:eastAsia="宋体" w:cs="宋体"/>
          <w:spacing w:val="-4"/>
          <w:position w:val="11"/>
          <w:sz w:val="24"/>
          <w:szCs w:val="24"/>
        </w:rPr>
        <w:t>因；</w:t>
      </w:r>
    </w:p>
    <w:p>
      <w:pPr>
        <w:keepNext w:val="0"/>
        <w:keepLines w:val="0"/>
        <w:pageBreakBefore w:val="0"/>
        <w:wordWrap/>
        <w:overflowPunct/>
        <w:topLinePunct w:val="0"/>
        <w:autoSpaceDE w:val="0"/>
        <w:autoSpaceDN w:val="0"/>
        <w:bidi w:val="0"/>
        <w:spacing w:line="360" w:lineRule="auto"/>
        <w:ind w:left="404"/>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5</w:t>
      </w:r>
      <w:r>
        <w:rPr>
          <w:rFonts w:ascii="宋体" w:hAnsi="宋体" w:eastAsia="宋体" w:cs="宋体"/>
          <w:spacing w:val="-5"/>
          <w:sz w:val="24"/>
          <w:szCs w:val="24"/>
        </w:rPr>
        <w:t>）提出异议的渠道和方式；</w:t>
      </w:r>
    </w:p>
    <w:p>
      <w:pPr>
        <w:keepNext w:val="0"/>
        <w:keepLines w:val="0"/>
        <w:pageBreakBefore w:val="0"/>
        <w:wordWrap/>
        <w:overflowPunct/>
        <w:topLinePunct w:val="0"/>
        <w:autoSpaceDE w:val="0"/>
        <w:autoSpaceDN w:val="0"/>
        <w:bidi w:val="0"/>
        <w:spacing w:before="113" w:line="360" w:lineRule="auto"/>
        <w:ind w:left="404"/>
        <w:rPr>
          <w:rFonts w:ascii="宋体" w:hAnsi="宋体" w:eastAsia="宋体" w:cs="宋体"/>
          <w:spacing w:val="-3"/>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6</w:t>
      </w:r>
      <w:r>
        <w:rPr>
          <w:rFonts w:ascii="宋体" w:hAnsi="宋体" w:eastAsia="宋体" w:cs="宋体"/>
          <w:spacing w:val="-3"/>
          <w:sz w:val="24"/>
          <w:szCs w:val="24"/>
        </w:rPr>
        <w:t>）投标人须知前附表规定公示的其他内容。</w:t>
      </w:r>
    </w:p>
    <w:p>
      <w:pPr>
        <w:keepNext w:val="0"/>
        <w:keepLines w:val="0"/>
        <w:pageBreakBefore w:val="0"/>
        <w:wordWrap/>
        <w:overflowPunct/>
        <w:topLinePunct w:val="0"/>
        <w:autoSpaceDE w:val="0"/>
        <w:autoSpaceDN w:val="0"/>
        <w:bidi w:val="0"/>
        <w:spacing w:before="113" w:line="360" w:lineRule="auto"/>
        <w:ind w:firstLine="468" w:firstLineChars="200"/>
        <w:rPr>
          <w:rFonts w:hint="default" w:ascii="宋体" w:hAnsi="宋体" w:eastAsia="宋体" w:cs="宋体"/>
          <w:spacing w:val="-3"/>
          <w:sz w:val="24"/>
          <w:szCs w:val="24"/>
          <w:lang w:val="en-US" w:eastAsia="zh-CN"/>
        </w:rPr>
      </w:pPr>
      <w:r>
        <w:rPr>
          <w:rFonts w:hint="eastAsia" w:ascii="宋体" w:hAnsi="宋体" w:cs="宋体"/>
          <w:spacing w:val="-3"/>
          <w:sz w:val="24"/>
          <w:szCs w:val="24"/>
          <w:lang w:val="en-US" w:eastAsia="zh-CN"/>
        </w:rPr>
        <w:t>7.1.2中标人/招标人在领取中标通知书前需向广州公共资源交易中心缴纳公共资源交易服务费，具体按广州公共资源交易中心相关规定执行。</w:t>
      </w:r>
    </w:p>
    <w:p>
      <w:pPr>
        <w:keepNext w:val="0"/>
        <w:keepLines w:val="0"/>
        <w:pageBreakBefore w:val="0"/>
        <w:wordWrap/>
        <w:overflowPunct/>
        <w:topLinePunct w:val="0"/>
        <w:autoSpaceDE w:val="0"/>
        <w:autoSpaceDN w:val="0"/>
        <w:bidi w:val="0"/>
        <w:spacing w:before="268" w:line="360" w:lineRule="auto"/>
        <w:ind w:left="39"/>
        <w:rPr>
          <w:rFonts w:ascii="黑体" w:hAnsi="黑体" w:eastAsia="黑体" w:cs="黑体"/>
          <w:sz w:val="24"/>
          <w:szCs w:val="24"/>
        </w:rPr>
      </w:pPr>
      <w:r>
        <w:rPr>
          <w:rFonts w:ascii="黑体" w:hAnsi="黑体" w:eastAsia="黑体" w:cs="黑体"/>
          <w:spacing w:val="-1"/>
          <w:sz w:val="24"/>
          <w:szCs w:val="24"/>
        </w:rPr>
        <w:t>7.2 评标结果异议</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left="60" w:right="17" w:firstLine="460"/>
        <w:jc w:val="both"/>
        <w:rPr>
          <w:rFonts w:ascii="宋体" w:hAnsi="宋体" w:eastAsia="宋体" w:cs="宋体"/>
          <w:sz w:val="24"/>
          <w:szCs w:val="24"/>
        </w:rPr>
      </w:pPr>
      <w:r>
        <w:rPr>
          <w:rFonts w:ascii="宋体" w:hAnsi="宋体" w:eastAsia="宋体" w:cs="宋体"/>
          <w:spacing w:val="-6"/>
          <w:sz w:val="24"/>
          <w:szCs w:val="24"/>
        </w:rPr>
        <w:t>投标人或其他利害关系人对依法必须进行招标的项目的评标结果有异议的，</w:t>
      </w:r>
      <w:r>
        <w:rPr>
          <w:rFonts w:ascii="宋体" w:hAnsi="宋体" w:eastAsia="宋体" w:cs="宋体"/>
          <w:spacing w:val="-15"/>
          <w:sz w:val="24"/>
          <w:szCs w:val="24"/>
        </w:rPr>
        <w:t xml:space="preserve"> </w:t>
      </w:r>
      <w:r>
        <w:rPr>
          <w:rFonts w:ascii="宋体" w:hAnsi="宋体" w:eastAsia="宋体" w:cs="宋体"/>
          <w:spacing w:val="-6"/>
          <w:sz w:val="24"/>
          <w:szCs w:val="24"/>
        </w:rPr>
        <w:t>应在</w:t>
      </w:r>
      <w:r>
        <w:rPr>
          <w:rFonts w:ascii="宋体" w:hAnsi="宋体" w:eastAsia="宋体" w:cs="宋体"/>
          <w:spacing w:val="-12"/>
          <w:sz w:val="24"/>
          <w:szCs w:val="24"/>
        </w:rPr>
        <w:t>中标候选人公示期间提出。招标人将在收到异议之日起</w:t>
      </w:r>
      <w:r>
        <w:rPr>
          <w:rFonts w:ascii="宋体" w:hAnsi="宋体" w:eastAsia="宋体" w:cs="宋体"/>
          <w:spacing w:val="-33"/>
          <w:sz w:val="24"/>
          <w:szCs w:val="24"/>
        </w:rPr>
        <w:t xml:space="preserve"> </w:t>
      </w:r>
      <w:r>
        <w:rPr>
          <w:rFonts w:ascii="Times New Roman" w:hAnsi="Times New Roman" w:eastAsia="Times New Roman" w:cs="Times New Roman"/>
          <w:spacing w:val="-12"/>
          <w:sz w:val="24"/>
          <w:szCs w:val="24"/>
        </w:rPr>
        <w:t>3</w:t>
      </w:r>
      <w:r>
        <w:rPr>
          <w:rFonts w:ascii="Times New Roman" w:hAnsi="Times New Roman" w:eastAsia="Times New Roman" w:cs="Times New Roman"/>
          <w:spacing w:val="51"/>
          <w:sz w:val="24"/>
          <w:szCs w:val="24"/>
        </w:rPr>
        <w:t xml:space="preserve"> </w:t>
      </w:r>
      <w:r>
        <w:rPr>
          <w:rFonts w:ascii="宋体" w:hAnsi="宋体" w:eastAsia="宋体" w:cs="宋体"/>
          <w:spacing w:val="-12"/>
          <w:sz w:val="24"/>
          <w:szCs w:val="24"/>
        </w:rPr>
        <w:t>日内作出答复；</w:t>
      </w:r>
      <w:r>
        <w:rPr>
          <w:rFonts w:ascii="宋体" w:hAnsi="宋体" w:eastAsia="宋体" w:cs="宋体"/>
          <w:spacing w:val="-39"/>
          <w:sz w:val="24"/>
          <w:szCs w:val="24"/>
        </w:rPr>
        <w:t xml:space="preserve"> </w:t>
      </w:r>
      <w:r>
        <w:rPr>
          <w:rFonts w:ascii="宋体" w:hAnsi="宋体" w:eastAsia="宋体" w:cs="宋体"/>
          <w:spacing w:val="-12"/>
          <w:sz w:val="24"/>
          <w:szCs w:val="24"/>
        </w:rPr>
        <w:t>作出答复前，</w:t>
      </w:r>
    </w:p>
    <w:p>
      <w:pPr>
        <w:keepNext w:val="0"/>
        <w:keepLines w:val="0"/>
        <w:pageBreakBefore w:val="0"/>
        <w:wordWrap/>
        <w:overflowPunct/>
        <w:topLinePunct w:val="0"/>
        <w:autoSpaceDE w:val="0"/>
        <w:autoSpaceDN w:val="0"/>
        <w:bidi w:val="0"/>
        <w:spacing w:before="1" w:line="360" w:lineRule="auto"/>
        <w:ind w:left="36"/>
        <w:rPr>
          <w:rFonts w:ascii="宋体" w:hAnsi="宋体" w:eastAsia="宋体" w:cs="宋体"/>
          <w:sz w:val="24"/>
          <w:szCs w:val="24"/>
        </w:rPr>
      </w:pPr>
      <w:r>
        <w:rPr>
          <w:rFonts w:ascii="宋体" w:hAnsi="宋体" w:eastAsia="宋体" w:cs="宋体"/>
          <w:spacing w:val="-4"/>
          <w:sz w:val="24"/>
          <w:szCs w:val="24"/>
        </w:rPr>
        <w:t>将暂停招标投标活动。</w:t>
      </w:r>
    </w:p>
    <w:p>
      <w:pPr>
        <w:keepNext w:val="0"/>
        <w:keepLines w:val="0"/>
        <w:pageBreakBefore w:val="0"/>
        <w:wordWrap/>
        <w:overflowPunct/>
        <w:topLinePunct w:val="0"/>
        <w:autoSpaceDE w:val="0"/>
        <w:autoSpaceDN w:val="0"/>
        <w:bidi w:val="0"/>
        <w:spacing w:before="267" w:line="360" w:lineRule="auto"/>
        <w:ind w:left="39"/>
        <w:rPr>
          <w:rFonts w:ascii="黑体" w:hAnsi="黑体" w:eastAsia="黑体" w:cs="黑体"/>
          <w:sz w:val="24"/>
          <w:szCs w:val="24"/>
        </w:rPr>
      </w:pPr>
      <w:r>
        <w:rPr>
          <w:rFonts w:ascii="黑体" w:hAnsi="黑体" w:eastAsia="黑体" w:cs="黑体"/>
          <w:spacing w:val="-3"/>
          <w:sz w:val="24"/>
          <w:szCs w:val="24"/>
        </w:rPr>
        <w:t>7.3</w:t>
      </w:r>
      <w:r>
        <w:rPr>
          <w:rFonts w:ascii="黑体" w:hAnsi="黑体" w:eastAsia="黑体" w:cs="黑体"/>
          <w:spacing w:val="30"/>
          <w:sz w:val="24"/>
          <w:szCs w:val="24"/>
        </w:rPr>
        <w:t xml:space="preserve"> </w:t>
      </w:r>
      <w:r>
        <w:rPr>
          <w:rFonts w:ascii="黑体" w:hAnsi="黑体" w:eastAsia="黑体" w:cs="黑体"/>
          <w:spacing w:val="-3"/>
          <w:sz w:val="24"/>
          <w:szCs w:val="24"/>
        </w:rPr>
        <w:t>中标候选人履约能力审查</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firstLine="452" w:firstLineChars="200"/>
        <w:rPr>
          <w:rFonts w:ascii="宋体" w:hAnsi="宋体" w:eastAsia="宋体" w:cs="宋体"/>
          <w:sz w:val="24"/>
          <w:szCs w:val="24"/>
        </w:rPr>
      </w:pPr>
      <w:r>
        <w:rPr>
          <w:rFonts w:ascii="宋体" w:hAnsi="宋体" w:eastAsia="宋体" w:cs="宋体"/>
          <w:spacing w:val="-7"/>
          <w:sz w:val="24"/>
          <w:szCs w:val="24"/>
        </w:rPr>
        <w:t>中标候选人的经营、财务状况发生较大变化或存在违法行为，招标人认为可能影</w:t>
      </w:r>
      <w:r>
        <w:rPr>
          <w:rFonts w:ascii="宋体" w:hAnsi="宋体" w:eastAsia="宋体" w:cs="宋体"/>
          <w:spacing w:val="-6"/>
          <w:sz w:val="24"/>
          <w:szCs w:val="24"/>
        </w:rPr>
        <w:t>响其履约能力的，将在发出中标通知书前提请原评标委员会按照招标文件规定的标准</w:t>
      </w:r>
      <w:r>
        <w:rPr>
          <w:rFonts w:ascii="宋体" w:hAnsi="宋体" w:eastAsia="宋体" w:cs="宋体"/>
          <w:spacing w:val="-5"/>
          <w:sz w:val="24"/>
          <w:szCs w:val="24"/>
        </w:rPr>
        <w:t>和方法进行审查确认。</w:t>
      </w:r>
    </w:p>
    <w:p>
      <w:pPr>
        <w:keepNext w:val="0"/>
        <w:keepLines w:val="0"/>
        <w:pageBreakBefore w:val="0"/>
        <w:wordWrap/>
        <w:overflowPunct/>
        <w:topLinePunct w:val="0"/>
        <w:autoSpaceDE w:val="0"/>
        <w:autoSpaceDN w:val="0"/>
        <w:bidi w:val="0"/>
        <w:spacing w:before="265" w:line="360" w:lineRule="auto"/>
        <w:ind w:left="39"/>
        <w:rPr>
          <w:rFonts w:ascii="黑体" w:hAnsi="黑体" w:eastAsia="黑体" w:cs="黑体"/>
          <w:sz w:val="24"/>
          <w:szCs w:val="24"/>
        </w:rPr>
      </w:pPr>
      <w:r>
        <w:rPr>
          <w:rFonts w:ascii="黑体" w:hAnsi="黑体" w:eastAsia="黑体" w:cs="黑体"/>
          <w:spacing w:val="-2"/>
          <w:sz w:val="24"/>
          <w:szCs w:val="24"/>
        </w:rPr>
        <w:t>7.4 定标</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left="40" w:right="75" w:firstLine="479"/>
        <w:rPr>
          <w:rFonts w:ascii="宋体" w:hAnsi="宋体" w:eastAsia="宋体" w:cs="宋体"/>
          <w:sz w:val="24"/>
          <w:szCs w:val="24"/>
        </w:rPr>
      </w:pPr>
      <w:r>
        <w:rPr>
          <w:rFonts w:ascii="宋体" w:hAnsi="宋体" w:eastAsia="宋体" w:cs="宋体"/>
          <w:spacing w:val="-6"/>
          <w:sz w:val="24"/>
          <w:szCs w:val="24"/>
        </w:rPr>
        <w:t>按照投标人须知前附表的规定，</w:t>
      </w:r>
      <w:r>
        <w:rPr>
          <w:rFonts w:ascii="宋体" w:hAnsi="宋体" w:eastAsia="宋体" w:cs="宋体"/>
          <w:spacing w:val="-14"/>
          <w:sz w:val="24"/>
          <w:szCs w:val="24"/>
        </w:rPr>
        <w:t xml:space="preserve"> </w:t>
      </w:r>
      <w:r>
        <w:rPr>
          <w:rFonts w:ascii="宋体" w:hAnsi="宋体" w:eastAsia="宋体" w:cs="宋体"/>
          <w:spacing w:val="-6"/>
          <w:sz w:val="24"/>
          <w:szCs w:val="24"/>
        </w:rPr>
        <w:t>招标人或招标人授权的评标委员会依法确定中标</w:t>
      </w:r>
      <w:r>
        <w:rPr>
          <w:rFonts w:ascii="宋体" w:hAnsi="宋体" w:eastAsia="宋体" w:cs="宋体"/>
          <w:spacing w:val="-12"/>
          <w:sz w:val="24"/>
          <w:szCs w:val="24"/>
        </w:rPr>
        <w:t>人。</w:t>
      </w:r>
    </w:p>
    <w:p>
      <w:pPr>
        <w:keepNext w:val="0"/>
        <w:keepLines w:val="0"/>
        <w:pageBreakBefore w:val="0"/>
        <w:wordWrap/>
        <w:overflowPunct/>
        <w:topLinePunct w:val="0"/>
        <w:autoSpaceDE w:val="0"/>
        <w:autoSpaceDN w:val="0"/>
        <w:bidi w:val="0"/>
        <w:spacing w:before="262" w:line="360" w:lineRule="auto"/>
        <w:ind w:left="39"/>
        <w:rPr>
          <w:rFonts w:ascii="黑体" w:hAnsi="黑体" w:eastAsia="黑体" w:cs="黑体"/>
          <w:sz w:val="24"/>
          <w:szCs w:val="24"/>
        </w:rPr>
      </w:pPr>
      <w:r>
        <w:rPr>
          <w:rFonts w:ascii="黑体" w:hAnsi="黑体" w:eastAsia="黑体" w:cs="黑体"/>
          <w:spacing w:val="-5"/>
          <w:sz w:val="24"/>
          <w:szCs w:val="24"/>
        </w:rPr>
        <w:t>7.5</w:t>
      </w:r>
      <w:r>
        <w:rPr>
          <w:rFonts w:ascii="黑体" w:hAnsi="黑体" w:eastAsia="黑体" w:cs="黑体"/>
          <w:spacing w:val="30"/>
          <w:sz w:val="24"/>
          <w:szCs w:val="24"/>
        </w:rPr>
        <w:t xml:space="preserve"> </w:t>
      </w:r>
      <w:r>
        <w:rPr>
          <w:rFonts w:ascii="黑体" w:hAnsi="黑体" w:eastAsia="黑体" w:cs="黑体"/>
          <w:spacing w:val="-5"/>
          <w:sz w:val="24"/>
          <w:szCs w:val="24"/>
        </w:rPr>
        <w:t>中标通知</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left="60" w:right="74" w:firstLine="456"/>
        <w:rPr>
          <w:rFonts w:ascii="宋体" w:hAnsi="宋体" w:eastAsia="宋体" w:cs="宋体"/>
          <w:sz w:val="24"/>
          <w:szCs w:val="24"/>
        </w:rPr>
      </w:pPr>
      <w:r>
        <w:rPr>
          <w:rFonts w:ascii="宋体" w:hAnsi="宋体" w:eastAsia="宋体" w:cs="宋体"/>
          <w:spacing w:val="-5"/>
          <w:sz w:val="24"/>
          <w:szCs w:val="24"/>
        </w:rPr>
        <w:t>在本章第</w:t>
      </w:r>
      <w:r>
        <w:rPr>
          <w:rFonts w:ascii="宋体" w:hAnsi="宋体" w:eastAsia="宋体" w:cs="宋体"/>
          <w:spacing w:val="-50"/>
          <w:sz w:val="24"/>
          <w:szCs w:val="24"/>
        </w:rPr>
        <w:t xml:space="preserve"> </w:t>
      </w:r>
      <w:r>
        <w:rPr>
          <w:rFonts w:ascii="Times New Roman" w:hAnsi="Times New Roman" w:eastAsia="Times New Roman" w:cs="Times New Roman"/>
          <w:spacing w:val="-5"/>
          <w:sz w:val="24"/>
          <w:szCs w:val="24"/>
        </w:rPr>
        <w:t xml:space="preserve">3.3 </w:t>
      </w:r>
      <w:r>
        <w:rPr>
          <w:rFonts w:ascii="宋体" w:hAnsi="宋体" w:eastAsia="宋体" w:cs="宋体"/>
          <w:spacing w:val="-5"/>
          <w:sz w:val="24"/>
          <w:szCs w:val="24"/>
        </w:rPr>
        <w:t>款规定的投标有效期内，招</w:t>
      </w:r>
      <w:r>
        <w:rPr>
          <w:rFonts w:ascii="宋体" w:hAnsi="宋体" w:eastAsia="宋体" w:cs="宋体"/>
          <w:spacing w:val="-6"/>
          <w:sz w:val="24"/>
          <w:szCs w:val="24"/>
        </w:rPr>
        <w:t>标人以投标人须知前附表规定的形式向</w:t>
      </w:r>
      <w:r>
        <w:rPr>
          <w:rFonts w:ascii="宋体" w:hAnsi="宋体" w:eastAsia="宋体" w:cs="宋体"/>
          <w:spacing w:val="-3"/>
          <w:sz w:val="24"/>
          <w:szCs w:val="24"/>
        </w:rPr>
        <w:t>中标人发出中标通知书，同时将中标结果通知未中标的投标人。</w:t>
      </w:r>
    </w:p>
    <w:p>
      <w:pPr>
        <w:keepNext w:val="0"/>
        <w:keepLines w:val="0"/>
        <w:pageBreakBefore w:val="0"/>
        <w:wordWrap/>
        <w:overflowPunct/>
        <w:topLinePunct w:val="0"/>
        <w:autoSpaceDE w:val="0"/>
        <w:autoSpaceDN w:val="0"/>
        <w:bidi w:val="0"/>
        <w:spacing w:before="267" w:line="360" w:lineRule="auto"/>
        <w:ind w:left="39"/>
        <w:rPr>
          <w:rFonts w:ascii="黑体" w:hAnsi="黑体" w:eastAsia="黑体" w:cs="黑体"/>
          <w:sz w:val="24"/>
          <w:szCs w:val="24"/>
        </w:rPr>
      </w:pPr>
      <w:r>
        <w:rPr>
          <w:rFonts w:ascii="黑体" w:hAnsi="黑体" w:eastAsia="黑体" w:cs="黑体"/>
          <w:spacing w:val="-5"/>
          <w:sz w:val="24"/>
          <w:szCs w:val="24"/>
        </w:rPr>
        <w:t>7.6</w:t>
      </w:r>
      <w:r>
        <w:rPr>
          <w:rFonts w:ascii="黑体" w:hAnsi="黑体" w:eastAsia="黑体" w:cs="黑体"/>
          <w:spacing w:val="33"/>
          <w:sz w:val="24"/>
          <w:szCs w:val="24"/>
        </w:rPr>
        <w:t xml:space="preserve"> </w:t>
      </w:r>
      <w:r>
        <w:rPr>
          <w:rFonts w:ascii="黑体" w:hAnsi="黑体" w:eastAsia="黑体" w:cs="黑体"/>
          <w:spacing w:val="-5"/>
          <w:sz w:val="24"/>
          <w:szCs w:val="24"/>
        </w:rPr>
        <w:t>中标结果公告</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left="54" w:right="74" w:firstLine="464"/>
        <w:rPr>
          <w:rFonts w:ascii="宋体" w:hAnsi="宋体" w:eastAsia="宋体" w:cs="宋体"/>
          <w:sz w:val="24"/>
          <w:szCs w:val="24"/>
        </w:rPr>
      </w:pPr>
      <w:r>
        <w:rPr>
          <w:rFonts w:ascii="宋体" w:hAnsi="宋体" w:eastAsia="宋体" w:cs="宋体"/>
          <w:spacing w:val="-5"/>
          <w:sz w:val="24"/>
          <w:szCs w:val="24"/>
        </w:rPr>
        <w:t>招标人在确定中标人之日起</w:t>
      </w:r>
      <w:r>
        <w:rPr>
          <w:rFonts w:ascii="宋体" w:hAnsi="宋体" w:eastAsia="宋体" w:cs="宋体"/>
          <w:spacing w:val="-37"/>
          <w:sz w:val="24"/>
          <w:szCs w:val="24"/>
        </w:rPr>
        <w:t xml:space="preserve"> </w:t>
      </w:r>
      <w:r>
        <w:rPr>
          <w:rFonts w:ascii="Times New Roman" w:hAnsi="Times New Roman" w:eastAsia="Times New Roman" w:cs="Times New Roman"/>
          <w:spacing w:val="-5"/>
          <w:sz w:val="24"/>
          <w:szCs w:val="24"/>
        </w:rPr>
        <w:t>3</w:t>
      </w:r>
      <w:r>
        <w:rPr>
          <w:rFonts w:ascii="宋体" w:hAnsi="宋体" w:eastAsia="宋体" w:cs="宋体"/>
          <w:spacing w:val="-5"/>
          <w:sz w:val="24"/>
          <w:szCs w:val="24"/>
        </w:rPr>
        <w:t>日内，按照投标人须知前附表规定的公告媒介和期</w:t>
      </w:r>
      <w:r>
        <w:rPr>
          <w:rFonts w:ascii="宋体" w:hAnsi="宋体" w:eastAsia="宋体" w:cs="宋体"/>
          <w:spacing w:val="-6"/>
          <w:sz w:val="24"/>
          <w:szCs w:val="24"/>
        </w:rPr>
        <w:t>限公告中标结果，公告期不得少于</w:t>
      </w:r>
      <w:r>
        <w:rPr>
          <w:rFonts w:ascii="宋体" w:hAnsi="宋体" w:eastAsia="宋体" w:cs="宋体"/>
          <w:spacing w:val="-34"/>
          <w:sz w:val="24"/>
          <w:szCs w:val="24"/>
        </w:rPr>
        <w:t xml:space="preserve"> </w:t>
      </w:r>
      <w:r>
        <w:rPr>
          <w:rFonts w:ascii="Times New Roman" w:hAnsi="Times New Roman" w:eastAsia="Times New Roman" w:cs="Times New Roman"/>
          <w:spacing w:val="-6"/>
          <w:sz w:val="24"/>
          <w:szCs w:val="24"/>
        </w:rPr>
        <w:t>3</w:t>
      </w:r>
      <w:r>
        <w:rPr>
          <w:rFonts w:ascii="宋体" w:hAnsi="宋体" w:eastAsia="宋体" w:cs="宋体"/>
          <w:spacing w:val="-6"/>
          <w:sz w:val="24"/>
          <w:szCs w:val="24"/>
        </w:rPr>
        <w:t>日。</w:t>
      </w:r>
      <w:r>
        <w:rPr>
          <w:rFonts w:ascii="宋体" w:hAnsi="宋体" w:eastAsia="宋体" w:cs="宋体"/>
          <w:spacing w:val="-51"/>
          <w:sz w:val="24"/>
          <w:szCs w:val="24"/>
        </w:rPr>
        <w:t xml:space="preserve"> </w:t>
      </w:r>
      <w:r>
        <w:rPr>
          <w:rFonts w:ascii="宋体" w:hAnsi="宋体" w:eastAsia="宋体" w:cs="宋体"/>
          <w:spacing w:val="-6"/>
          <w:sz w:val="24"/>
          <w:szCs w:val="24"/>
        </w:rPr>
        <w:t>公告内容包括中标人名称、中标价。</w:t>
      </w:r>
    </w:p>
    <w:p>
      <w:pPr>
        <w:keepNext w:val="0"/>
        <w:keepLines w:val="0"/>
        <w:pageBreakBefore w:val="0"/>
        <w:wordWrap/>
        <w:overflowPunct/>
        <w:topLinePunct w:val="0"/>
        <w:autoSpaceDE w:val="0"/>
        <w:autoSpaceDN w:val="0"/>
        <w:bidi w:val="0"/>
        <w:spacing w:before="268" w:line="360" w:lineRule="auto"/>
        <w:ind w:left="39"/>
        <w:rPr>
          <w:rFonts w:ascii="黑体" w:hAnsi="黑体" w:eastAsia="黑体" w:cs="黑体"/>
          <w:sz w:val="24"/>
          <w:szCs w:val="24"/>
        </w:rPr>
      </w:pPr>
      <w:r>
        <w:rPr>
          <w:rFonts w:ascii="黑体" w:hAnsi="黑体" w:eastAsia="黑体" w:cs="黑体"/>
          <w:spacing w:val="-2"/>
          <w:sz w:val="24"/>
          <w:szCs w:val="24"/>
        </w:rPr>
        <w:t>7.7 履约保证金</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9" w:line="360" w:lineRule="auto"/>
        <w:ind w:left="37" w:right="74" w:firstLine="480"/>
        <w:rPr>
          <w:rFonts w:ascii="宋体" w:hAnsi="宋体" w:eastAsia="宋体" w:cs="宋体"/>
          <w:sz w:val="24"/>
          <w:szCs w:val="24"/>
        </w:rPr>
      </w:pPr>
      <w:r>
        <w:rPr>
          <w:rFonts w:ascii="Times New Roman" w:hAnsi="Times New Roman" w:eastAsia="Times New Roman" w:cs="Times New Roman"/>
          <w:spacing w:val="-3"/>
          <w:sz w:val="24"/>
          <w:szCs w:val="24"/>
        </w:rPr>
        <w:t xml:space="preserve">7.7.1  </w:t>
      </w:r>
      <w:r>
        <w:rPr>
          <w:rFonts w:ascii="宋体" w:hAnsi="宋体" w:eastAsia="宋体" w:cs="宋体"/>
          <w:spacing w:val="-3"/>
          <w:sz w:val="24"/>
          <w:szCs w:val="24"/>
        </w:rPr>
        <w:t>在签订合同前，中标人应按投标人须知前附表规定的形式、金额和招标文</w:t>
      </w:r>
      <w:r>
        <w:rPr>
          <w:rFonts w:ascii="宋体" w:hAnsi="宋体" w:eastAsia="宋体" w:cs="宋体"/>
          <w:spacing w:val="4"/>
          <w:sz w:val="24"/>
          <w:szCs w:val="24"/>
        </w:rPr>
        <w:t>件第四章</w:t>
      </w:r>
      <w:r>
        <w:rPr>
          <w:rFonts w:ascii="Times New Roman" w:hAnsi="Times New Roman" w:eastAsia="Times New Roman" w:cs="Times New Roman"/>
          <w:spacing w:val="4"/>
          <w:sz w:val="24"/>
          <w:szCs w:val="24"/>
        </w:rPr>
        <w:t>“</w:t>
      </w:r>
      <w:r>
        <w:rPr>
          <w:rFonts w:ascii="宋体" w:hAnsi="宋体" w:eastAsia="宋体" w:cs="宋体"/>
          <w:spacing w:val="4"/>
          <w:sz w:val="24"/>
          <w:szCs w:val="24"/>
        </w:rPr>
        <w:t>合同条款及格式</w:t>
      </w:r>
      <w:r>
        <w:rPr>
          <w:rFonts w:ascii="Times New Roman" w:hAnsi="Times New Roman" w:eastAsia="Times New Roman" w:cs="Times New Roman"/>
          <w:spacing w:val="4"/>
          <w:sz w:val="24"/>
          <w:szCs w:val="24"/>
        </w:rPr>
        <w:t>”</w:t>
      </w:r>
      <w:r>
        <w:rPr>
          <w:rFonts w:ascii="宋体" w:hAnsi="宋体" w:eastAsia="宋体" w:cs="宋体"/>
          <w:spacing w:val="4"/>
          <w:sz w:val="24"/>
          <w:szCs w:val="24"/>
        </w:rPr>
        <w:t>规定的或事先经过招标人书面认可的履约保证金格式向</w:t>
      </w:r>
      <w:r>
        <w:rPr>
          <w:rFonts w:ascii="宋体" w:hAnsi="宋体" w:eastAsia="宋体" w:cs="宋体"/>
          <w:spacing w:val="-6"/>
          <w:sz w:val="24"/>
          <w:szCs w:val="24"/>
        </w:rPr>
        <w:t>招标人提交履约保证金。除投标人须知前附表另有规定外， 履约保证金为签约合同价</w:t>
      </w:r>
      <w:r>
        <w:rPr>
          <w:rFonts w:ascii="宋体" w:hAnsi="宋体" w:eastAsia="宋体" w:cs="宋体"/>
          <w:spacing w:val="-2"/>
          <w:sz w:val="24"/>
          <w:szCs w:val="24"/>
        </w:rPr>
        <w:t>的</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10%</w:t>
      </w:r>
      <w:r>
        <w:rPr>
          <w:rFonts w:ascii="宋体" w:hAnsi="宋体" w:eastAsia="宋体" w:cs="宋体"/>
          <w:spacing w:val="-2"/>
          <w:sz w:val="24"/>
          <w:szCs w:val="24"/>
        </w:rPr>
        <w:t>。联合体中标的，其履约保证金以联</w:t>
      </w:r>
      <w:r>
        <w:rPr>
          <w:rFonts w:ascii="宋体" w:hAnsi="宋体" w:eastAsia="宋体" w:cs="宋体"/>
          <w:spacing w:val="-3"/>
          <w:sz w:val="24"/>
          <w:szCs w:val="24"/>
        </w:rPr>
        <w:t>合体各方或联合体中牵头人的名义提交。</w:t>
      </w:r>
    </w:p>
    <w:p>
      <w:pPr>
        <w:keepNext w:val="0"/>
        <w:keepLines w:val="0"/>
        <w:pageBreakBefore w:val="0"/>
        <w:wordWrap/>
        <w:overflowPunct/>
        <w:topLinePunct w:val="0"/>
        <w:autoSpaceDE w:val="0"/>
        <w:autoSpaceDN w:val="0"/>
        <w:bidi w:val="0"/>
        <w:spacing w:before="114" w:line="360" w:lineRule="auto"/>
        <w:ind w:left="517"/>
        <w:rPr>
          <w:rFonts w:ascii="宋体" w:hAnsi="宋体" w:eastAsia="宋体" w:cs="宋体"/>
          <w:sz w:val="24"/>
          <w:szCs w:val="24"/>
        </w:rPr>
      </w:pPr>
      <w:r>
        <w:rPr>
          <w:rFonts w:ascii="宋体" w:hAnsi="宋体" w:eastAsia="宋体" w:cs="宋体"/>
          <w:spacing w:val="-7"/>
          <w:position w:val="11"/>
          <w:sz w:val="24"/>
          <w:szCs w:val="24"/>
        </w:rPr>
        <w:t>采用银行保函时，应由符合投标人须知前附表规定级别的银行开具，所需的费用</w:t>
      </w:r>
    </w:p>
    <w:p>
      <w:pPr>
        <w:keepNext w:val="0"/>
        <w:keepLines w:val="0"/>
        <w:pageBreakBefore w:val="0"/>
        <w:wordWrap/>
        <w:overflowPunct/>
        <w:topLinePunct w:val="0"/>
        <w:autoSpaceDE w:val="0"/>
        <w:autoSpaceDN w:val="0"/>
        <w:bidi w:val="0"/>
        <w:spacing w:before="1" w:line="360" w:lineRule="auto"/>
        <w:ind w:left="67"/>
        <w:rPr>
          <w:rFonts w:ascii="宋体" w:hAnsi="宋体" w:eastAsia="宋体" w:cs="宋体"/>
          <w:sz w:val="24"/>
          <w:szCs w:val="24"/>
        </w:rPr>
      </w:pPr>
      <w:r>
        <w:rPr>
          <w:rFonts w:ascii="宋体" w:hAnsi="宋体" w:eastAsia="宋体" w:cs="宋体"/>
          <w:spacing w:val="-2"/>
          <w:sz w:val="24"/>
          <w:szCs w:val="24"/>
        </w:rPr>
        <w:t>由中标人承担，中标人应保证银行保函有效。</w:t>
      </w:r>
    </w:p>
    <w:p>
      <w:pPr>
        <w:keepNext w:val="0"/>
        <w:keepLines w:val="0"/>
        <w:pageBreakBefore w:val="0"/>
        <w:wordWrap/>
        <w:overflowPunct/>
        <w:topLinePunct w:val="0"/>
        <w:autoSpaceDE w:val="0"/>
        <w:autoSpaceDN w:val="0"/>
        <w:bidi w:val="0"/>
        <w:spacing w:before="114" w:line="360" w:lineRule="auto"/>
        <w:ind w:left="39" w:right="75" w:firstLine="478"/>
        <w:rPr>
          <w:rFonts w:ascii="宋体" w:hAnsi="宋体" w:eastAsia="宋体" w:cs="宋体"/>
          <w:sz w:val="24"/>
          <w:szCs w:val="24"/>
        </w:rPr>
      </w:pPr>
      <w:r>
        <w:rPr>
          <w:rFonts w:ascii="Times New Roman" w:hAnsi="Times New Roman" w:eastAsia="Times New Roman" w:cs="Times New Roman"/>
          <w:spacing w:val="-9"/>
          <w:sz w:val="24"/>
          <w:szCs w:val="24"/>
        </w:rPr>
        <w:t>7.7.2</w:t>
      </w:r>
      <w:r>
        <w:rPr>
          <w:rFonts w:ascii="Times New Roman" w:hAnsi="Times New Roman" w:eastAsia="Times New Roman" w:cs="Times New Roman"/>
          <w:spacing w:val="16"/>
          <w:sz w:val="24"/>
          <w:szCs w:val="24"/>
        </w:rPr>
        <w:t xml:space="preserve">  </w:t>
      </w:r>
      <w:r>
        <w:rPr>
          <w:rFonts w:ascii="宋体" w:hAnsi="宋体" w:eastAsia="宋体" w:cs="宋体"/>
          <w:spacing w:val="-9"/>
          <w:sz w:val="24"/>
          <w:szCs w:val="24"/>
        </w:rPr>
        <w:t>中标人不能按本章第</w:t>
      </w:r>
      <w:r>
        <w:rPr>
          <w:rFonts w:ascii="宋体" w:hAnsi="宋体" w:eastAsia="宋体" w:cs="宋体"/>
          <w:spacing w:val="-50"/>
          <w:sz w:val="24"/>
          <w:szCs w:val="24"/>
        </w:rPr>
        <w:t xml:space="preserve"> </w:t>
      </w:r>
      <w:r>
        <w:rPr>
          <w:rFonts w:ascii="Times New Roman" w:hAnsi="Times New Roman" w:eastAsia="Times New Roman" w:cs="Times New Roman"/>
          <w:spacing w:val="-9"/>
          <w:sz w:val="24"/>
          <w:szCs w:val="24"/>
        </w:rPr>
        <w:t>7.7.1</w:t>
      </w:r>
      <w:r>
        <w:rPr>
          <w:rFonts w:ascii="Times New Roman" w:hAnsi="Times New Roman" w:eastAsia="Times New Roman" w:cs="Times New Roman"/>
          <w:spacing w:val="13"/>
          <w:sz w:val="24"/>
          <w:szCs w:val="24"/>
        </w:rPr>
        <w:t xml:space="preserve"> </w:t>
      </w:r>
      <w:r>
        <w:rPr>
          <w:rFonts w:ascii="宋体" w:hAnsi="宋体" w:eastAsia="宋体" w:cs="宋体"/>
          <w:spacing w:val="-9"/>
          <w:sz w:val="24"/>
          <w:szCs w:val="24"/>
        </w:rPr>
        <w:t>项要求提交</w:t>
      </w:r>
      <w:r>
        <w:rPr>
          <w:rFonts w:ascii="宋体" w:hAnsi="宋体" w:eastAsia="宋体" w:cs="宋体"/>
          <w:spacing w:val="-10"/>
          <w:sz w:val="24"/>
          <w:szCs w:val="24"/>
        </w:rPr>
        <w:t>履约保证金的，视为放弃中标，其投</w:t>
      </w:r>
      <w:r>
        <w:rPr>
          <w:rFonts w:ascii="宋体" w:hAnsi="宋体" w:eastAsia="宋体" w:cs="宋体"/>
          <w:sz w:val="24"/>
          <w:szCs w:val="24"/>
        </w:rPr>
        <w:t xml:space="preserve"> </w:t>
      </w:r>
      <w:r>
        <w:rPr>
          <w:rFonts w:ascii="宋体" w:hAnsi="宋体" w:eastAsia="宋体" w:cs="宋体"/>
          <w:spacing w:val="-10"/>
          <w:sz w:val="24"/>
          <w:szCs w:val="24"/>
        </w:rPr>
        <w:t>标保证金不予退还， 给招标人造成的损失超过投标保证金数额的，中标人还应</w:t>
      </w:r>
      <w:r>
        <w:rPr>
          <w:rFonts w:ascii="宋体" w:hAnsi="宋体" w:eastAsia="宋体" w:cs="宋体"/>
          <w:spacing w:val="-11"/>
          <w:sz w:val="24"/>
          <w:szCs w:val="24"/>
        </w:rPr>
        <w:t>对超过</w:t>
      </w:r>
      <w:r>
        <w:rPr>
          <w:rFonts w:ascii="宋体" w:hAnsi="宋体" w:eastAsia="宋体" w:cs="宋体"/>
          <w:spacing w:val="-6"/>
          <w:sz w:val="24"/>
          <w:szCs w:val="24"/>
        </w:rPr>
        <w:t>部分予以赔偿。</w:t>
      </w:r>
    </w:p>
    <w:p>
      <w:pPr>
        <w:keepNext w:val="0"/>
        <w:keepLines w:val="0"/>
        <w:pageBreakBefore w:val="0"/>
        <w:wordWrap/>
        <w:overflowPunct/>
        <w:topLinePunct w:val="0"/>
        <w:autoSpaceDE w:val="0"/>
        <w:autoSpaceDN w:val="0"/>
        <w:bidi w:val="0"/>
        <w:spacing w:before="267" w:line="360" w:lineRule="auto"/>
        <w:ind w:left="39"/>
        <w:rPr>
          <w:rFonts w:ascii="黑体" w:hAnsi="黑体" w:eastAsia="黑体" w:cs="黑体"/>
          <w:sz w:val="24"/>
          <w:szCs w:val="24"/>
        </w:rPr>
      </w:pPr>
      <w:r>
        <w:rPr>
          <w:rFonts w:ascii="黑体" w:hAnsi="黑体" w:eastAsia="黑体" w:cs="黑体"/>
          <w:spacing w:val="-2"/>
          <w:sz w:val="24"/>
          <w:szCs w:val="24"/>
        </w:rPr>
        <w:t>7.8 签订合同</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left="40" w:right="74" w:firstLine="477"/>
        <w:jc w:val="both"/>
        <w:rPr>
          <w:rFonts w:ascii="宋体" w:hAnsi="宋体" w:eastAsia="宋体" w:cs="宋体"/>
          <w:sz w:val="24"/>
          <w:szCs w:val="24"/>
        </w:rPr>
      </w:pPr>
      <w:r>
        <w:rPr>
          <w:rFonts w:ascii="Times New Roman" w:hAnsi="Times New Roman" w:eastAsia="Times New Roman" w:cs="Times New Roman"/>
          <w:spacing w:val="-4"/>
          <w:sz w:val="24"/>
          <w:szCs w:val="24"/>
        </w:rPr>
        <w:t xml:space="preserve">7.8.1  </w:t>
      </w:r>
      <w:r>
        <w:rPr>
          <w:rFonts w:ascii="宋体" w:hAnsi="宋体" w:eastAsia="宋体" w:cs="宋体"/>
          <w:spacing w:val="-4"/>
          <w:sz w:val="24"/>
          <w:szCs w:val="24"/>
        </w:rPr>
        <w:t>招标人和中标人应在中标通知书发出之日起</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 xml:space="preserve">30  </w:t>
      </w:r>
      <w:r>
        <w:rPr>
          <w:rFonts w:ascii="宋体" w:hAnsi="宋体" w:eastAsia="宋体" w:cs="宋体"/>
          <w:spacing w:val="-4"/>
          <w:sz w:val="24"/>
          <w:szCs w:val="24"/>
        </w:rPr>
        <w:t>日内，根据招标文件</w:t>
      </w:r>
      <w:r>
        <w:rPr>
          <w:rFonts w:ascii="宋体" w:hAnsi="宋体" w:eastAsia="宋体" w:cs="宋体"/>
          <w:spacing w:val="-5"/>
          <w:sz w:val="24"/>
          <w:szCs w:val="24"/>
        </w:rPr>
        <w:t>和中标</w:t>
      </w:r>
      <w:r>
        <w:rPr>
          <w:rFonts w:ascii="宋体" w:hAnsi="宋体" w:eastAsia="宋体" w:cs="宋体"/>
          <w:sz w:val="24"/>
          <w:szCs w:val="24"/>
        </w:rPr>
        <w:t xml:space="preserve"> </w:t>
      </w:r>
      <w:r>
        <w:rPr>
          <w:rFonts w:ascii="宋体" w:hAnsi="宋体" w:eastAsia="宋体" w:cs="宋体"/>
          <w:spacing w:val="-5"/>
          <w:sz w:val="24"/>
          <w:szCs w:val="24"/>
        </w:rPr>
        <w:t>人的投标文件订立书面合同。中标人无正当理由拒签合同，</w:t>
      </w:r>
      <w:r>
        <w:rPr>
          <w:rFonts w:ascii="宋体" w:hAnsi="宋体" w:eastAsia="宋体" w:cs="宋体"/>
          <w:spacing w:val="-38"/>
          <w:sz w:val="24"/>
          <w:szCs w:val="24"/>
        </w:rPr>
        <w:t xml:space="preserve"> </w:t>
      </w:r>
      <w:r>
        <w:rPr>
          <w:rFonts w:ascii="宋体" w:hAnsi="宋体" w:eastAsia="宋体" w:cs="宋体"/>
          <w:spacing w:val="-5"/>
          <w:sz w:val="24"/>
          <w:szCs w:val="24"/>
        </w:rPr>
        <w:t>在签订合同时向招标人提</w:t>
      </w:r>
      <w:r>
        <w:rPr>
          <w:rFonts w:ascii="宋体" w:hAnsi="宋体" w:eastAsia="宋体" w:cs="宋体"/>
          <w:sz w:val="24"/>
          <w:szCs w:val="24"/>
        </w:rPr>
        <w:t xml:space="preserve"> </w:t>
      </w:r>
      <w:r>
        <w:rPr>
          <w:rFonts w:ascii="宋体" w:hAnsi="宋体" w:eastAsia="宋体" w:cs="宋体"/>
          <w:spacing w:val="-15"/>
          <w:sz w:val="24"/>
          <w:szCs w:val="24"/>
        </w:rPr>
        <w:t>出附加条件，或不按照招标文件要求提交履约保证金的，招</w:t>
      </w:r>
      <w:r>
        <w:rPr>
          <w:rFonts w:ascii="宋体" w:hAnsi="宋体" w:eastAsia="宋体" w:cs="宋体"/>
          <w:spacing w:val="-16"/>
          <w:sz w:val="24"/>
          <w:szCs w:val="24"/>
        </w:rPr>
        <w:t>标人取消其中标资格，</w:t>
      </w:r>
      <w:r>
        <w:rPr>
          <w:rFonts w:ascii="宋体" w:hAnsi="宋体" w:eastAsia="宋体" w:cs="宋体"/>
          <w:spacing w:val="33"/>
          <w:sz w:val="24"/>
          <w:szCs w:val="24"/>
        </w:rPr>
        <w:t xml:space="preserve"> </w:t>
      </w:r>
      <w:r>
        <w:rPr>
          <w:rFonts w:ascii="宋体" w:hAnsi="宋体" w:eastAsia="宋体" w:cs="宋体"/>
          <w:spacing w:val="-16"/>
          <w:sz w:val="24"/>
          <w:szCs w:val="24"/>
        </w:rPr>
        <w:t>其</w:t>
      </w:r>
      <w:r>
        <w:rPr>
          <w:rFonts w:ascii="宋体" w:hAnsi="宋体" w:eastAsia="宋体" w:cs="宋体"/>
          <w:sz w:val="24"/>
          <w:szCs w:val="24"/>
        </w:rPr>
        <w:t xml:space="preserve"> </w:t>
      </w:r>
      <w:r>
        <w:rPr>
          <w:rFonts w:ascii="宋体" w:hAnsi="宋体" w:eastAsia="宋体" w:cs="宋体"/>
          <w:spacing w:val="-10"/>
          <w:sz w:val="24"/>
          <w:szCs w:val="24"/>
        </w:rPr>
        <w:t>投标保证金不予退还；给招标人造成的损失超过投标保证金数额的，中标人</w:t>
      </w:r>
      <w:r>
        <w:rPr>
          <w:rFonts w:ascii="宋体" w:hAnsi="宋体" w:eastAsia="宋体" w:cs="宋体"/>
          <w:spacing w:val="-11"/>
          <w:sz w:val="24"/>
          <w:szCs w:val="24"/>
        </w:rPr>
        <w:t>还应对超</w:t>
      </w:r>
      <w:r>
        <w:rPr>
          <w:rFonts w:ascii="宋体" w:hAnsi="宋体" w:eastAsia="宋体" w:cs="宋体"/>
          <w:spacing w:val="-5"/>
          <w:sz w:val="24"/>
          <w:szCs w:val="24"/>
        </w:rPr>
        <w:t>过部分予以赔偿。</w:t>
      </w:r>
    </w:p>
    <w:p>
      <w:pPr>
        <w:keepNext w:val="0"/>
        <w:keepLines w:val="0"/>
        <w:pageBreakBefore w:val="0"/>
        <w:wordWrap/>
        <w:overflowPunct/>
        <w:topLinePunct w:val="0"/>
        <w:autoSpaceDE w:val="0"/>
        <w:autoSpaceDN w:val="0"/>
        <w:bidi w:val="0"/>
        <w:spacing w:before="115" w:line="360" w:lineRule="auto"/>
        <w:ind w:left="40" w:right="76" w:firstLine="477"/>
        <w:rPr>
          <w:rFonts w:ascii="宋体" w:hAnsi="宋体" w:eastAsia="宋体" w:cs="宋体"/>
          <w:sz w:val="24"/>
          <w:szCs w:val="24"/>
        </w:rPr>
      </w:pPr>
      <w:r>
        <w:rPr>
          <w:rFonts w:ascii="Times New Roman" w:hAnsi="Times New Roman" w:eastAsia="Times New Roman" w:cs="Times New Roman"/>
          <w:sz w:val="24"/>
          <w:szCs w:val="24"/>
        </w:rPr>
        <w:t xml:space="preserve">7.8.2  </w:t>
      </w:r>
      <w:r>
        <w:rPr>
          <w:rFonts w:ascii="宋体" w:hAnsi="宋体" w:eastAsia="宋体" w:cs="宋体"/>
          <w:sz w:val="24"/>
          <w:szCs w:val="24"/>
        </w:rPr>
        <w:t>发出中标通知书后，招标人无正当理由拒签合同，或在签订合同时向中标</w:t>
      </w:r>
      <w:r>
        <w:rPr>
          <w:rFonts w:ascii="宋体" w:hAnsi="宋体" w:eastAsia="宋体" w:cs="宋体"/>
          <w:spacing w:val="18"/>
          <w:sz w:val="24"/>
          <w:szCs w:val="24"/>
        </w:rPr>
        <w:t xml:space="preserve"> </w:t>
      </w:r>
      <w:r>
        <w:rPr>
          <w:rFonts w:ascii="宋体" w:hAnsi="宋体" w:eastAsia="宋体" w:cs="宋体"/>
          <w:spacing w:val="-15"/>
          <w:sz w:val="24"/>
          <w:szCs w:val="24"/>
        </w:rPr>
        <w:t>人提出附加条件的，招标人向中标人退还投标保证金；给中标</w:t>
      </w:r>
      <w:r>
        <w:rPr>
          <w:rFonts w:ascii="宋体" w:hAnsi="宋体" w:eastAsia="宋体" w:cs="宋体"/>
          <w:spacing w:val="-16"/>
          <w:sz w:val="24"/>
          <w:szCs w:val="24"/>
        </w:rPr>
        <w:t>人造成损失的，还应赔</w:t>
      </w:r>
      <w:r>
        <w:rPr>
          <w:rFonts w:ascii="宋体" w:hAnsi="宋体" w:eastAsia="宋体" w:cs="宋体"/>
          <w:spacing w:val="-9"/>
          <w:sz w:val="24"/>
          <w:szCs w:val="24"/>
        </w:rPr>
        <w:t>偿损失。</w:t>
      </w:r>
    </w:p>
    <w:p>
      <w:pPr>
        <w:keepNext w:val="0"/>
        <w:keepLines w:val="0"/>
        <w:pageBreakBefore w:val="0"/>
        <w:wordWrap/>
        <w:overflowPunct/>
        <w:topLinePunct w:val="0"/>
        <w:autoSpaceDE w:val="0"/>
        <w:autoSpaceDN w:val="0"/>
        <w:bidi w:val="0"/>
        <w:spacing w:before="112" w:line="360" w:lineRule="auto"/>
        <w:ind w:left="517"/>
        <w:rPr>
          <w:rFonts w:ascii="宋体" w:hAnsi="宋体" w:eastAsia="宋体" w:cs="宋体"/>
          <w:sz w:val="11"/>
          <w:szCs w:val="11"/>
        </w:rPr>
      </w:pPr>
      <w:r>
        <w:rPr>
          <w:rFonts w:ascii="Times New Roman" w:hAnsi="Times New Roman" w:eastAsia="Times New Roman" w:cs="Times New Roman"/>
          <w:spacing w:val="-10"/>
          <w:sz w:val="24"/>
          <w:szCs w:val="24"/>
        </w:rPr>
        <w:t xml:space="preserve">7.8.3  </w:t>
      </w:r>
      <w:r>
        <w:rPr>
          <w:rFonts w:ascii="宋体" w:hAnsi="宋体" w:eastAsia="宋体" w:cs="宋体"/>
          <w:spacing w:val="-10"/>
          <w:sz w:val="24"/>
          <w:szCs w:val="24"/>
        </w:rPr>
        <w:t>签约合同价的确定原则如下：</w:t>
      </w:r>
    </w:p>
    <w:p>
      <w:pPr>
        <w:keepNext w:val="0"/>
        <w:keepLines w:val="0"/>
        <w:pageBreakBefore w:val="0"/>
        <w:wordWrap/>
        <w:overflowPunct/>
        <w:topLinePunct w:val="0"/>
        <w:autoSpaceDE w:val="0"/>
        <w:autoSpaceDN w:val="0"/>
        <w:bidi w:val="0"/>
        <w:spacing w:before="117" w:line="360" w:lineRule="auto"/>
        <w:ind w:right="10"/>
        <w:jc w:val="center"/>
        <w:rPr>
          <w:rFonts w:ascii="宋体" w:hAnsi="宋体" w:eastAsia="宋体" w:cs="宋体"/>
          <w:sz w:val="24"/>
          <w:szCs w:val="24"/>
        </w:rPr>
      </w:pPr>
      <w:r>
        <w:rPr>
          <w:rFonts w:ascii="宋体" w:hAnsi="宋体" w:eastAsia="宋体" w:cs="宋体"/>
          <w:spacing w:val="-6"/>
          <w:position w:val="11"/>
          <w:sz w:val="24"/>
          <w:szCs w:val="24"/>
        </w:rPr>
        <w:t>（</w:t>
      </w:r>
      <w:r>
        <w:rPr>
          <w:rFonts w:ascii="Times New Roman" w:hAnsi="Times New Roman" w:eastAsia="Times New Roman" w:cs="Times New Roman"/>
          <w:spacing w:val="-6"/>
          <w:position w:val="11"/>
          <w:sz w:val="24"/>
          <w:szCs w:val="24"/>
        </w:rPr>
        <w:t>1</w:t>
      </w:r>
      <w:r>
        <w:rPr>
          <w:rFonts w:ascii="宋体" w:hAnsi="宋体" w:eastAsia="宋体" w:cs="宋体"/>
          <w:spacing w:val="-6"/>
          <w:position w:val="11"/>
          <w:sz w:val="24"/>
          <w:szCs w:val="24"/>
        </w:rPr>
        <w:t>）按照评标办法规定对投标报价进行修正后，</w:t>
      </w:r>
      <w:r>
        <w:rPr>
          <w:rFonts w:ascii="宋体" w:hAnsi="宋体" w:eastAsia="宋体" w:cs="宋体"/>
          <w:spacing w:val="-7"/>
          <w:position w:val="11"/>
          <w:sz w:val="24"/>
          <w:szCs w:val="24"/>
        </w:rPr>
        <w:t>若修正后的最终投标报价小于开</w:t>
      </w:r>
    </w:p>
    <w:p>
      <w:pPr>
        <w:keepNext w:val="0"/>
        <w:keepLines w:val="0"/>
        <w:pageBreakBefore w:val="0"/>
        <w:wordWrap/>
        <w:overflowPunct/>
        <w:topLinePunct w:val="0"/>
        <w:autoSpaceDE w:val="0"/>
        <w:autoSpaceDN w:val="0"/>
        <w:bidi w:val="0"/>
        <w:spacing w:line="360" w:lineRule="auto"/>
        <w:ind w:left="39"/>
        <w:rPr>
          <w:rFonts w:ascii="宋体" w:hAnsi="宋体" w:eastAsia="宋体" w:cs="宋体"/>
          <w:sz w:val="24"/>
          <w:szCs w:val="24"/>
        </w:rPr>
      </w:pPr>
      <w:r>
        <w:rPr>
          <w:rFonts w:ascii="宋体" w:hAnsi="宋体" w:eastAsia="宋体" w:cs="宋体"/>
          <w:spacing w:val="-2"/>
          <w:sz w:val="24"/>
          <w:szCs w:val="24"/>
        </w:rPr>
        <w:t>标时的投标函大写金额报价，则签订合同时以修正后的最终投标报价为准；</w:t>
      </w:r>
    </w:p>
    <w:p>
      <w:pPr>
        <w:keepNext w:val="0"/>
        <w:keepLines w:val="0"/>
        <w:pageBreakBefore w:val="0"/>
        <w:wordWrap/>
        <w:overflowPunct/>
        <w:topLinePunct w:val="0"/>
        <w:autoSpaceDE w:val="0"/>
        <w:autoSpaceDN w:val="0"/>
        <w:bidi w:val="0"/>
        <w:spacing w:before="115" w:line="360" w:lineRule="auto"/>
        <w:ind w:left="39" w:right="1" w:firstLine="365"/>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2</w:t>
      </w:r>
      <w:r>
        <w:rPr>
          <w:rFonts w:ascii="宋体" w:hAnsi="宋体" w:eastAsia="宋体" w:cs="宋体"/>
          <w:spacing w:val="-6"/>
          <w:sz w:val="24"/>
          <w:szCs w:val="24"/>
        </w:rPr>
        <w:t>）按照评标办法规定对投标报价进行修正后，若修正后的最终</w:t>
      </w:r>
      <w:r>
        <w:rPr>
          <w:rFonts w:ascii="宋体" w:hAnsi="宋体" w:eastAsia="宋体" w:cs="宋体"/>
          <w:spacing w:val="-7"/>
          <w:sz w:val="24"/>
          <w:szCs w:val="24"/>
        </w:rPr>
        <w:t>投标报价大于开</w:t>
      </w:r>
      <w:r>
        <w:rPr>
          <w:rFonts w:ascii="宋体" w:hAnsi="宋体" w:eastAsia="宋体" w:cs="宋体"/>
          <w:sz w:val="24"/>
          <w:szCs w:val="24"/>
        </w:rPr>
        <w:t xml:space="preserve"> </w:t>
      </w:r>
      <w:r>
        <w:rPr>
          <w:rFonts w:ascii="宋体" w:hAnsi="宋体" w:eastAsia="宋体" w:cs="宋体"/>
          <w:spacing w:val="-10"/>
          <w:sz w:val="24"/>
          <w:szCs w:val="24"/>
        </w:rPr>
        <w:t>标时的投标函大写金额报价，则签订合同时以开标时的投标函大写金额报价</w:t>
      </w:r>
      <w:r>
        <w:rPr>
          <w:rFonts w:ascii="宋体" w:hAnsi="宋体" w:eastAsia="宋体" w:cs="宋体"/>
          <w:spacing w:val="-11"/>
          <w:sz w:val="24"/>
          <w:szCs w:val="24"/>
        </w:rPr>
        <w:t>为准，同</w:t>
      </w:r>
    </w:p>
    <w:p>
      <w:pPr>
        <w:keepNext w:val="0"/>
        <w:keepLines w:val="0"/>
        <w:pageBreakBefore w:val="0"/>
        <w:wordWrap/>
        <w:overflowPunct/>
        <w:topLinePunct w:val="0"/>
        <w:autoSpaceDE w:val="0"/>
        <w:autoSpaceDN w:val="0"/>
        <w:bidi w:val="0"/>
        <w:spacing w:line="360" w:lineRule="auto"/>
        <w:ind w:left="49"/>
        <w:rPr>
          <w:rFonts w:ascii="宋体" w:hAnsi="宋体" w:eastAsia="宋体" w:cs="宋体"/>
          <w:sz w:val="24"/>
          <w:szCs w:val="24"/>
        </w:rPr>
      </w:pPr>
      <w:r>
        <w:rPr>
          <w:rFonts w:ascii="宋体" w:hAnsi="宋体" w:eastAsia="宋体" w:cs="宋体"/>
          <w:spacing w:val="-3"/>
          <w:sz w:val="24"/>
          <w:szCs w:val="24"/>
        </w:rPr>
        <w:t>时按比例修正相应子目的单价或合价。</w:t>
      </w:r>
    </w:p>
    <w:p>
      <w:pPr>
        <w:keepNext w:val="0"/>
        <w:keepLines w:val="0"/>
        <w:pageBreakBefore w:val="0"/>
        <w:wordWrap/>
        <w:overflowPunct/>
        <w:topLinePunct w:val="0"/>
        <w:autoSpaceDE w:val="0"/>
        <w:autoSpaceDN w:val="0"/>
        <w:bidi w:val="0"/>
        <w:spacing w:before="115" w:line="360" w:lineRule="auto"/>
        <w:ind w:right="6"/>
        <w:jc w:val="center"/>
        <w:rPr>
          <w:rFonts w:ascii="宋体" w:hAnsi="宋体" w:eastAsia="宋体" w:cs="宋体"/>
          <w:sz w:val="24"/>
          <w:szCs w:val="24"/>
        </w:rPr>
      </w:pPr>
      <w:r>
        <w:rPr>
          <w:rFonts w:ascii="Times New Roman" w:hAnsi="Times New Roman" w:eastAsia="Times New Roman" w:cs="Times New Roman"/>
          <w:spacing w:val="-3"/>
          <w:position w:val="11"/>
          <w:sz w:val="24"/>
          <w:szCs w:val="24"/>
        </w:rPr>
        <w:t xml:space="preserve">7.8.4  </w:t>
      </w:r>
      <w:r>
        <w:rPr>
          <w:rFonts w:ascii="宋体" w:hAnsi="宋体" w:eastAsia="宋体" w:cs="宋体"/>
          <w:spacing w:val="-3"/>
          <w:position w:val="11"/>
          <w:sz w:val="24"/>
          <w:szCs w:val="24"/>
        </w:rPr>
        <w:t>联合体中标的，联合体各方应共同与招标人签订合同，就中标项目向招标</w:t>
      </w:r>
    </w:p>
    <w:p>
      <w:pPr>
        <w:keepNext w:val="0"/>
        <w:keepLines w:val="0"/>
        <w:pageBreakBefore w:val="0"/>
        <w:wordWrap/>
        <w:overflowPunct/>
        <w:topLinePunct w:val="0"/>
        <w:autoSpaceDE w:val="0"/>
        <w:autoSpaceDN w:val="0"/>
        <w:bidi w:val="0"/>
        <w:spacing w:before="1" w:line="360" w:lineRule="auto"/>
        <w:ind w:left="40"/>
        <w:rPr>
          <w:rFonts w:ascii="宋体" w:hAnsi="宋体" w:eastAsia="宋体" w:cs="宋体"/>
          <w:sz w:val="24"/>
          <w:szCs w:val="24"/>
        </w:rPr>
      </w:pPr>
      <w:r>
        <w:rPr>
          <w:rFonts w:ascii="宋体" w:hAnsi="宋体" w:eastAsia="宋体" w:cs="宋体"/>
          <w:spacing w:val="-6"/>
          <w:sz w:val="24"/>
          <w:szCs w:val="24"/>
        </w:rPr>
        <w:t>人承担连带责任。</w:t>
      </w:r>
    </w:p>
    <w:p>
      <w:pPr>
        <w:keepNext w:val="0"/>
        <w:keepLines w:val="0"/>
        <w:pageBreakBefore w:val="0"/>
        <w:wordWrap/>
        <w:overflowPunct/>
        <w:topLinePunct w:val="0"/>
        <w:autoSpaceDE w:val="0"/>
        <w:autoSpaceDN w:val="0"/>
        <w:bidi w:val="0"/>
        <w:spacing w:before="116" w:line="360" w:lineRule="auto"/>
        <w:ind w:left="39" w:right="1" w:firstLine="478"/>
        <w:rPr>
          <w:rFonts w:ascii="宋体" w:hAnsi="宋体" w:eastAsia="宋体" w:cs="宋体"/>
          <w:spacing w:val="-4"/>
          <w:sz w:val="24"/>
          <w:szCs w:val="24"/>
        </w:rPr>
      </w:pPr>
      <w:r>
        <w:rPr>
          <w:rFonts w:ascii="Times New Roman" w:hAnsi="Times New Roman" w:eastAsia="Times New Roman" w:cs="Times New Roman"/>
          <w:spacing w:val="-3"/>
          <w:sz w:val="24"/>
          <w:szCs w:val="24"/>
        </w:rPr>
        <w:t xml:space="preserve">7.8.5  </w:t>
      </w:r>
      <w:r>
        <w:rPr>
          <w:rFonts w:ascii="宋体" w:hAnsi="宋体" w:eastAsia="宋体" w:cs="宋体"/>
          <w:spacing w:val="-3"/>
          <w:sz w:val="24"/>
          <w:szCs w:val="24"/>
        </w:rPr>
        <w:t>招标人和中标人在签订合同协议书的同时，须按照本招标文件规定的格式</w:t>
      </w:r>
      <w:r>
        <w:rPr>
          <w:rFonts w:ascii="宋体" w:hAnsi="宋体" w:eastAsia="宋体" w:cs="宋体"/>
          <w:spacing w:val="16"/>
          <w:sz w:val="24"/>
          <w:szCs w:val="24"/>
        </w:rPr>
        <w:t xml:space="preserve"> </w:t>
      </w:r>
      <w:r>
        <w:rPr>
          <w:rFonts w:ascii="宋体" w:hAnsi="宋体" w:eastAsia="宋体" w:cs="宋体"/>
          <w:spacing w:val="-6"/>
          <w:sz w:val="24"/>
          <w:szCs w:val="24"/>
        </w:rPr>
        <w:t>和要求签订廉政合同及安全生产合同，明确双方在廉政建设和安全生产方面的权利和</w:t>
      </w:r>
      <w:r>
        <w:rPr>
          <w:rFonts w:ascii="宋体" w:hAnsi="宋体" w:eastAsia="宋体" w:cs="宋体"/>
          <w:spacing w:val="-4"/>
          <w:sz w:val="24"/>
          <w:szCs w:val="24"/>
        </w:rPr>
        <w:t>义务以及应承担的违约责任。</w:t>
      </w:r>
    </w:p>
    <w:p>
      <w:pPr>
        <w:keepNext w:val="0"/>
        <w:keepLines w:val="0"/>
        <w:pageBreakBefore w:val="0"/>
        <w:wordWrap/>
        <w:overflowPunct/>
        <w:topLinePunct w:val="0"/>
        <w:autoSpaceDE w:val="0"/>
        <w:autoSpaceDN w:val="0"/>
        <w:bidi w:val="0"/>
        <w:spacing w:before="1" w:line="360" w:lineRule="auto"/>
        <w:ind w:left="41" w:firstLine="464" w:firstLineChars="200"/>
        <w:rPr>
          <w:rFonts w:hint="eastAsia" w:ascii="宋体" w:hAnsi="宋体" w:cs="宋体"/>
          <w:spacing w:val="-4"/>
          <w:sz w:val="24"/>
          <w:szCs w:val="24"/>
          <w:lang w:val="en-US" w:eastAsia="zh-CN"/>
        </w:rPr>
      </w:pPr>
      <w:r>
        <w:rPr>
          <w:rFonts w:hint="eastAsia" w:ascii="宋体" w:hAnsi="宋体" w:cs="宋体"/>
          <w:spacing w:val="-4"/>
          <w:sz w:val="24"/>
          <w:szCs w:val="24"/>
          <w:lang w:val="en-US" w:eastAsia="zh-CN"/>
        </w:rPr>
        <w:t>7.8.6在签订合同前，招标人对中标人的工程量清单报价进行核定。如存在不平衡报价或其他错误，在保持投标总价不变的前提下，招标人按以下原则处理：</w:t>
      </w:r>
    </w:p>
    <w:p>
      <w:pPr>
        <w:spacing w:line="400" w:lineRule="exact"/>
        <w:ind w:firstLine="480" w:firstLineChars="200"/>
        <w:rPr>
          <w:rFonts w:hint="eastAsia"/>
          <w:color w:val="auto"/>
          <w:sz w:val="24"/>
          <w:highlight w:val="none"/>
        </w:rPr>
      </w:pPr>
      <w:r>
        <w:rPr>
          <w:rFonts w:hint="eastAsia"/>
          <w:color w:val="auto"/>
          <w:sz w:val="24"/>
          <w:highlight w:val="none"/>
        </w:rPr>
        <w:t>（1）若中标人的工程量清单报价，超过如下范围：招标人招标方案估算相应单价与（1-中标人中标价下浮率）乘积的 85 %～ 115 %，则视为存在不平衡报价。</w:t>
      </w:r>
    </w:p>
    <w:p>
      <w:pPr>
        <w:spacing w:line="400" w:lineRule="exact"/>
        <w:ind w:firstLine="480" w:firstLineChars="200"/>
        <w:rPr>
          <w:rFonts w:hint="eastAsia"/>
          <w:color w:val="auto"/>
          <w:sz w:val="24"/>
          <w:highlight w:val="none"/>
        </w:rPr>
      </w:pPr>
      <w:r>
        <w:rPr>
          <w:rFonts w:hint="eastAsia"/>
          <w:color w:val="auto"/>
          <w:sz w:val="24"/>
          <w:highlight w:val="none"/>
        </w:rPr>
        <w:t>如果存在不平衡报价，招标人将在保证投标总价不变的前提下，按以下原则调整其工程量清单报价（不随报价调整的除外）：（1）招标人方案估算相应单价×（1-中标人中标价下浮率）为基准进行调整；（2）按上述算术修正和本款调整后，对以百分比计取的非固定报价项目的报价也应作相应的修正。</w:t>
      </w:r>
    </w:p>
    <w:p>
      <w:pPr>
        <w:spacing w:line="400" w:lineRule="exact"/>
        <w:ind w:firstLine="480" w:firstLineChars="200"/>
        <w:rPr>
          <w:rFonts w:hint="eastAsia"/>
          <w:color w:val="auto"/>
          <w:sz w:val="24"/>
          <w:highlight w:val="none"/>
        </w:rPr>
      </w:pPr>
      <w:r>
        <w:rPr>
          <w:rFonts w:hint="eastAsia"/>
          <w:color w:val="auto"/>
          <w:sz w:val="24"/>
          <w:highlight w:val="none"/>
        </w:rPr>
        <w:t>（2）为使调整后的投标总价保持不变，对处于招标人方案估算相应单价与（1-中标人中标价下浮率）乘积的 85 %～ 115 %内的报价，招标人有权根据本项第（1）条调整原则进行报价调整。</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92" w:line="360" w:lineRule="auto"/>
        <w:ind w:left="36"/>
        <w:rPr>
          <w:rFonts w:ascii="黑体" w:hAnsi="黑体" w:eastAsia="黑体" w:cs="黑体"/>
          <w:sz w:val="28"/>
          <w:szCs w:val="28"/>
        </w:rPr>
      </w:pPr>
      <w:r>
        <w:rPr>
          <w:rFonts w:ascii="黑体" w:hAnsi="黑体" w:eastAsia="黑体" w:cs="黑体"/>
          <w:spacing w:val="-1"/>
          <w:sz w:val="28"/>
          <w:szCs w:val="28"/>
        </w:rPr>
        <w:t>8. 纪律和监督</w:t>
      </w:r>
    </w:p>
    <w:p>
      <w:pPr>
        <w:keepNext w:val="0"/>
        <w:keepLines w:val="0"/>
        <w:pageBreakBefore w:val="0"/>
        <w:wordWrap/>
        <w:overflowPunct/>
        <w:topLinePunct w:val="0"/>
        <w:autoSpaceDE w:val="0"/>
        <w:autoSpaceDN w:val="0"/>
        <w:bidi w:val="0"/>
        <w:spacing w:before="264" w:line="360" w:lineRule="auto"/>
        <w:ind w:left="35"/>
        <w:rPr>
          <w:rFonts w:ascii="黑体" w:hAnsi="黑体" w:eastAsia="黑体" w:cs="黑体"/>
          <w:sz w:val="24"/>
          <w:szCs w:val="24"/>
        </w:rPr>
      </w:pPr>
      <w:r>
        <w:rPr>
          <w:rFonts w:ascii="黑体" w:hAnsi="黑体" w:eastAsia="黑体" w:cs="黑体"/>
          <w:spacing w:val="-1"/>
          <w:sz w:val="24"/>
          <w:szCs w:val="24"/>
        </w:rPr>
        <w:t>8.1 对招标人的纪律要求</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8" w:line="360" w:lineRule="auto"/>
        <w:ind w:left="40" w:right="1" w:firstLine="478"/>
        <w:rPr>
          <w:rFonts w:ascii="宋体" w:hAnsi="宋体" w:eastAsia="宋体" w:cs="宋体"/>
          <w:sz w:val="24"/>
          <w:szCs w:val="24"/>
        </w:rPr>
      </w:pPr>
      <w:r>
        <w:rPr>
          <w:rFonts w:ascii="宋体" w:hAnsi="宋体" w:eastAsia="宋体" w:cs="宋体"/>
          <w:spacing w:val="-6"/>
          <w:sz w:val="24"/>
          <w:szCs w:val="24"/>
        </w:rPr>
        <w:t>招标人不得泄露招标投标活动中应保密的情况和资料，不得与投标人串通损害国</w:t>
      </w:r>
      <w:r>
        <w:rPr>
          <w:rFonts w:ascii="宋体" w:hAnsi="宋体" w:eastAsia="宋体" w:cs="宋体"/>
          <w:sz w:val="24"/>
          <w:szCs w:val="24"/>
        </w:rPr>
        <w:t xml:space="preserve"> </w:t>
      </w:r>
      <w:r>
        <w:rPr>
          <w:rFonts w:ascii="宋体" w:hAnsi="宋体" w:eastAsia="宋体" w:cs="宋体"/>
          <w:spacing w:val="-3"/>
          <w:sz w:val="24"/>
          <w:szCs w:val="24"/>
        </w:rPr>
        <w:t>家利益、社会公共利益或他人合法权益。</w:t>
      </w:r>
    </w:p>
    <w:p>
      <w:pPr>
        <w:keepNext w:val="0"/>
        <w:keepLines w:val="0"/>
        <w:pageBreakBefore w:val="0"/>
        <w:wordWrap/>
        <w:overflowPunct/>
        <w:topLinePunct w:val="0"/>
        <w:autoSpaceDE w:val="0"/>
        <w:autoSpaceDN w:val="0"/>
        <w:bidi w:val="0"/>
        <w:spacing w:before="267" w:line="360" w:lineRule="auto"/>
        <w:ind w:left="35"/>
        <w:rPr>
          <w:rFonts w:ascii="黑体" w:hAnsi="黑体" w:eastAsia="黑体" w:cs="黑体"/>
          <w:sz w:val="24"/>
          <w:szCs w:val="24"/>
        </w:rPr>
      </w:pPr>
      <w:r>
        <w:rPr>
          <w:rFonts w:ascii="黑体" w:hAnsi="黑体" w:eastAsia="黑体" w:cs="黑体"/>
          <w:spacing w:val="-1"/>
          <w:sz w:val="24"/>
          <w:szCs w:val="24"/>
        </w:rPr>
        <w:t>8.2 对投标人的纪律要求</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9" w:line="360" w:lineRule="auto"/>
        <w:ind w:left="42" w:firstLine="478"/>
        <w:jc w:val="both"/>
        <w:rPr>
          <w:rFonts w:ascii="宋体" w:hAnsi="宋体" w:eastAsia="宋体" w:cs="宋体"/>
          <w:sz w:val="24"/>
          <w:szCs w:val="24"/>
        </w:rPr>
      </w:pPr>
      <w:r>
        <w:rPr>
          <w:rFonts w:ascii="宋体" w:hAnsi="宋体" w:eastAsia="宋体" w:cs="宋体"/>
          <w:spacing w:val="-6"/>
          <w:sz w:val="24"/>
          <w:szCs w:val="24"/>
        </w:rPr>
        <w:t>投标人不得相互串通投标或与招标人串通投标，不得向招标人或评标委员会成员</w:t>
      </w:r>
      <w:r>
        <w:rPr>
          <w:rFonts w:ascii="宋体" w:hAnsi="宋体" w:eastAsia="宋体" w:cs="宋体"/>
          <w:sz w:val="24"/>
          <w:szCs w:val="24"/>
        </w:rPr>
        <w:t xml:space="preserve"> </w:t>
      </w:r>
      <w:r>
        <w:rPr>
          <w:rFonts w:ascii="宋体" w:hAnsi="宋体" w:eastAsia="宋体" w:cs="宋体"/>
          <w:spacing w:val="-9"/>
          <w:sz w:val="24"/>
          <w:szCs w:val="24"/>
        </w:rPr>
        <w:t>行贿谋取中标，不得以他人名义投标或以其他方式弄虚作假骗取中标；投标人不得以</w:t>
      </w:r>
    </w:p>
    <w:p>
      <w:pPr>
        <w:keepNext w:val="0"/>
        <w:keepLines w:val="0"/>
        <w:pageBreakBefore w:val="0"/>
        <w:wordWrap/>
        <w:overflowPunct/>
        <w:topLinePunct w:val="0"/>
        <w:autoSpaceDE w:val="0"/>
        <w:autoSpaceDN w:val="0"/>
        <w:bidi w:val="0"/>
        <w:spacing w:before="1" w:line="360" w:lineRule="auto"/>
        <w:ind w:left="37"/>
        <w:rPr>
          <w:rFonts w:ascii="宋体" w:hAnsi="宋体" w:eastAsia="宋体" w:cs="宋体"/>
          <w:sz w:val="24"/>
          <w:szCs w:val="24"/>
        </w:rPr>
      </w:pPr>
      <w:r>
        <w:rPr>
          <w:rFonts w:ascii="宋体" w:hAnsi="宋体" w:eastAsia="宋体" w:cs="宋体"/>
          <w:spacing w:val="-3"/>
          <w:sz w:val="24"/>
          <w:szCs w:val="24"/>
        </w:rPr>
        <w:t>任何方式干扰、影响评标工作。</w:t>
      </w:r>
    </w:p>
    <w:p>
      <w:pPr>
        <w:keepNext w:val="0"/>
        <w:keepLines w:val="0"/>
        <w:pageBreakBefore w:val="0"/>
        <w:wordWrap/>
        <w:overflowPunct/>
        <w:topLinePunct w:val="0"/>
        <w:autoSpaceDE w:val="0"/>
        <w:autoSpaceDN w:val="0"/>
        <w:bidi w:val="0"/>
        <w:spacing w:before="268" w:line="360" w:lineRule="auto"/>
        <w:ind w:left="35"/>
        <w:rPr>
          <w:rFonts w:ascii="黑体" w:hAnsi="黑体" w:eastAsia="黑体" w:cs="黑体"/>
          <w:sz w:val="24"/>
          <w:szCs w:val="24"/>
        </w:rPr>
      </w:pPr>
      <w:r>
        <w:rPr>
          <w:rFonts w:ascii="黑体" w:hAnsi="黑体" w:eastAsia="黑体" w:cs="黑体"/>
          <w:spacing w:val="-1"/>
          <w:sz w:val="24"/>
          <w:szCs w:val="24"/>
        </w:rPr>
        <w:t>8.3 对评标委员会成员的纪律要求</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9" w:line="360" w:lineRule="auto"/>
        <w:ind w:left="37" w:firstLine="479"/>
        <w:jc w:val="both"/>
        <w:rPr>
          <w:rFonts w:ascii="宋体" w:hAnsi="宋体" w:eastAsia="宋体" w:cs="宋体"/>
          <w:sz w:val="24"/>
          <w:szCs w:val="24"/>
        </w:rPr>
      </w:pPr>
      <w:r>
        <w:rPr>
          <w:rFonts w:ascii="宋体" w:hAnsi="宋体" w:eastAsia="宋体" w:cs="宋体"/>
          <w:spacing w:val="-6"/>
          <w:sz w:val="24"/>
          <w:szCs w:val="24"/>
        </w:rPr>
        <w:t>评标委员会成员不得收受他人的财物或其他好处，不得向他人透露对投标文件的</w:t>
      </w:r>
      <w:r>
        <w:rPr>
          <w:rFonts w:ascii="宋体" w:hAnsi="宋体" w:eastAsia="宋体" w:cs="宋体"/>
          <w:sz w:val="24"/>
          <w:szCs w:val="24"/>
        </w:rPr>
        <w:t xml:space="preserve"> </w:t>
      </w:r>
      <w:r>
        <w:rPr>
          <w:rFonts w:ascii="宋体" w:hAnsi="宋体" w:eastAsia="宋体" w:cs="宋体"/>
          <w:spacing w:val="-7"/>
          <w:sz w:val="24"/>
          <w:szCs w:val="24"/>
        </w:rPr>
        <w:t>评审和比较、中标候选人的推荐情况以及评标有关的其他情况。在评标活动中，评标</w:t>
      </w:r>
      <w:r>
        <w:rPr>
          <w:rFonts w:ascii="宋体" w:hAnsi="宋体" w:eastAsia="宋体" w:cs="宋体"/>
          <w:sz w:val="24"/>
          <w:szCs w:val="24"/>
        </w:rPr>
        <w:t xml:space="preserve"> </w:t>
      </w:r>
      <w:r>
        <w:rPr>
          <w:rFonts w:ascii="宋体" w:hAnsi="宋体" w:eastAsia="宋体" w:cs="宋体"/>
          <w:spacing w:val="-16"/>
          <w:sz w:val="24"/>
          <w:szCs w:val="24"/>
        </w:rPr>
        <w:t>委员会成员应客观、公正地履行职责，遵守职业道德，不得擅离职守，影响评标程序</w:t>
      </w:r>
      <w:r>
        <w:rPr>
          <w:rFonts w:ascii="宋体" w:hAnsi="宋体" w:eastAsia="宋体" w:cs="宋体"/>
          <w:sz w:val="24"/>
          <w:szCs w:val="24"/>
        </w:rPr>
        <w:t xml:space="preserve"> </w:t>
      </w:r>
      <w:r>
        <w:rPr>
          <w:rFonts w:ascii="宋体" w:hAnsi="宋体" w:eastAsia="宋体" w:cs="宋体"/>
          <w:spacing w:val="-1"/>
          <w:sz w:val="24"/>
          <w:szCs w:val="24"/>
        </w:rPr>
        <w:t>正常进行，不得使用第三章</w:t>
      </w:r>
      <w:r>
        <w:rPr>
          <w:rFonts w:ascii="Times New Roman" w:hAnsi="Times New Roman" w:eastAsia="Times New Roman" w:cs="Times New Roman"/>
          <w:spacing w:val="-1"/>
          <w:sz w:val="24"/>
          <w:szCs w:val="24"/>
        </w:rPr>
        <w:t>“</w:t>
      </w:r>
      <w:r>
        <w:rPr>
          <w:rFonts w:ascii="宋体" w:hAnsi="宋体" w:eastAsia="宋体" w:cs="宋体"/>
          <w:spacing w:val="-1"/>
          <w:sz w:val="24"/>
          <w:szCs w:val="24"/>
        </w:rPr>
        <w:t>评标办法</w:t>
      </w:r>
      <w:r>
        <w:rPr>
          <w:rFonts w:ascii="Times New Roman" w:hAnsi="Times New Roman" w:eastAsia="Times New Roman" w:cs="Times New Roman"/>
          <w:spacing w:val="-1"/>
          <w:sz w:val="24"/>
          <w:szCs w:val="24"/>
        </w:rPr>
        <w:t>”</w:t>
      </w:r>
      <w:r>
        <w:rPr>
          <w:rFonts w:ascii="宋体" w:hAnsi="宋体" w:eastAsia="宋体" w:cs="宋体"/>
          <w:spacing w:val="-1"/>
          <w:sz w:val="24"/>
          <w:szCs w:val="24"/>
        </w:rPr>
        <w:t>没有规定的评审因素和</w:t>
      </w:r>
      <w:r>
        <w:rPr>
          <w:rFonts w:ascii="宋体" w:hAnsi="宋体" w:eastAsia="宋体" w:cs="宋体"/>
          <w:spacing w:val="-2"/>
          <w:sz w:val="24"/>
          <w:szCs w:val="24"/>
        </w:rPr>
        <w:t>标准进行评标。</w:t>
      </w:r>
    </w:p>
    <w:p>
      <w:pPr>
        <w:keepNext w:val="0"/>
        <w:keepLines w:val="0"/>
        <w:pageBreakBefore w:val="0"/>
        <w:wordWrap/>
        <w:overflowPunct/>
        <w:topLinePunct w:val="0"/>
        <w:autoSpaceDE w:val="0"/>
        <w:autoSpaceDN w:val="0"/>
        <w:bidi w:val="0"/>
        <w:spacing w:before="267" w:line="360" w:lineRule="auto"/>
        <w:ind w:left="35"/>
        <w:rPr>
          <w:rFonts w:ascii="黑体" w:hAnsi="黑体" w:eastAsia="黑体" w:cs="黑体"/>
          <w:sz w:val="24"/>
          <w:szCs w:val="24"/>
        </w:rPr>
      </w:pPr>
      <w:r>
        <w:rPr>
          <w:rFonts w:ascii="黑体" w:hAnsi="黑体" w:eastAsia="黑体" w:cs="黑体"/>
          <w:spacing w:val="-1"/>
          <w:sz w:val="24"/>
          <w:szCs w:val="24"/>
        </w:rPr>
        <w:t>8.4 对与评标活动有关的工作人员的纪律要求</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9" w:line="360" w:lineRule="auto"/>
        <w:ind w:firstLine="456" w:firstLineChars="200"/>
        <w:jc w:val="left"/>
        <w:rPr>
          <w:rFonts w:ascii="宋体" w:hAnsi="宋体" w:eastAsia="宋体" w:cs="宋体"/>
          <w:sz w:val="24"/>
          <w:szCs w:val="24"/>
        </w:rPr>
      </w:pPr>
      <w:r>
        <w:rPr>
          <w:rFonts w:ascii="宋体" w:hAnsi="宋体" w:eastAsia="宋体" w:cs="宋体"/>
          <w:spacing w:val="-6"/>
          <w:sz w:val="24"/>
          <w:szCs w:val="24"/>
        </w:rPr>
        <w:t>与评标活动有关的工作人员不得收受他人的财物或其他好处，不得向他人透露对</w:t>
      </w:r>
      <w:r>
        <w:rPr>
          <w:rFonts w:ascii="宋体" w:hAnsi="宋体" w:eastAsia="宋体" w:cs="宋体"/>
          <w:spacing w:val="-3"/>
          <w:sz w:val="24"/>
          <w:szCs w:val="24"/>
        </w:rPr>
        <w:t>投标文件的评审和比较、中标候选人的推荐情况以及评标有关的其他情况。在评标活</w:t>
      </w:r>
      <w:r>
        <w:rPr>
          <w:rFonts w:ascii="宋体" w:hAnsi="宋体" w:eastAsia="宋体" w:cs="宋体"/>
          <w:spacing w:val="-1"/>
          <w:sz w:val="24"/>
          <w:szCs w:val="24"/>
        </w:rPr>
        <w:t>动中，与评标活动有关的工作人员不得擅离职守</w:t>
      </w:r>
      <w:r>
        <w:rPr>
          <w:rFonts w:ascii="宋体" w:hAnsi="宋体" w:eastAsia="宋体" w:cs="宋体"/>
          <w:spacing w:val="-2"/>
          <w:sz w:val="24"/>
          <w:szCs w:val="24"/>
        </w:rPr>
        <w:t>，影响评标程序正常进行。</w:t>
      </w:r>
    </w:p>
    <w:p>
      <w:pPr>
        <w:keepNext w:val="0"/>
        <w:keepLines w:val="0"/>
        <w:pageBreakBefore w:val="0"/>
        <w:wordWrap/>
        <w:overflowPunct/>
        <w:topLinePunct w:val="0"/>
        <w:autoSpaceDE w:val="0"/>
        <w:autoSpaceDN w:val="0"/>
        <w:bidi w:val="0"/>
        <w:spacing w:before="267" w:line="360" w:lineRule="auto"/>
        <w:ind w:left="35"/>
        <w:rPr>
          <w:rFonts w:ascii="黑体" w:hAnsi="黑体" w:eastAsia="黑体" w:cs="黑体"/>
          <w:sz w:val="24"/>
          <w:szCs w:val="24"/>
        </w:rPr>
      </w:pPr>
      <w:r>
        <w:rPr>
          <w:rFonts w:ascii="黑体" w:hAnsi="黑体" w:eastAsia="黑体" w:cs="黑体"/>
          <w:spacing w:val="-3"/>
          <w:sz w:val="24"/>
          <w:szCs w:val="24"/>
        </w:rPr>
        <w:t>8.5</w:t>
      </w:r>
      <w:r>
        <w:rPr>
          <w:rFonts w:ascii="黑体" w:hAnsi="黑体" w:eastAsia="黑体" w:cs="黑体"/>
          <w:spacing w:val="11"/>
          <w:sz w:val="24"/>
          <w:szCs w:val="24"/>
        </w:rPr>
        <w:t xml:space="preserve"> </w:t>
      </w:r>
      <w:r>
        <w:rPr>
          <w:rFonts w:ascii="黑体" w:hAnsi="黑体" w:eastAsia="黑体" w:cs="黑体"/>
          <w:spacing w:val="-3"/>
          <w:sz w:val="24"/>
          <w:szCs w:val="24"/>
        </w:rPr>
        <w:t>投诉</w:t>
      </w:r>
    </w:p>
    <w:p>
      <w:pPr>
        <w:keepNext w:val="0"/>
        <w:keepLines w:val="0"/>
        <w:pageBreakBefore w:val="0"/>
        <w:wordWrap/>
        <w:overflowPunct/>
        <w:topLinePunct w:val="0"/>
        <w:autoSpaceDE w:val="0"/>
        <w:autoSpaceDN w:val="0"/>
        <w:bidi w:val="0"/>
        <w:spacing w:before="116" w:line="360" w:lineRule="auto"/>
        <w:ind w:firstLine="464" w:firstLineChars="200"/>
        <w:rPr>
          <w:rFonts w:ascii="宋体" w:hAnsi="宋体" w:eastAsia="宋体" w:cs="宋体"/>
          <w:sz w:val="24"/>
          <w:szCs w:val="24"/>
        </w:rPr>
      </w:pPr>
      <w:r>
        <w:rPr>
          <w:rFonts w:ascii="Times New Roman" w:hAnsi="Times New Roman" w:eastAsia="Times New Roman" w:cs="Times New Roman"/>
          <w:spacing w:val="-4"/>
          <w:sz w:val="24"/>
          <w:szCs w:val="24"/>
        </w:rPr>
        <w:t xml:space="preserve"> 8.5.1 投标人或其他利害关系人认为招标投标活动不符合法律、行政法规规定的， 可以自知道或应当知道之日起 10 日内向交通运输主管部门投诉。对于按法规规定应  先提出异议的事项进行投诉的，应当提交已提出异议的证明文件。未按规定提出异议 或者未提交已提出异议的证明文件的投诉，交通运输主管部门可以不予受理。投诉人 缺乏事实根据或者法律依据进行投诉的，或者有证据表明投诉人捏造事实、伪造材料 的，或者投诉人以非法手段取得证明材料进行投诉的，交通运输主管部门应当予以驳 回，并对恶意投诉按照有关规定追究投诉人责任。交通运输主管部门处理投诉，有权 查阅、复制有关文件、资料，调查有关情况，相关单位和人员应当予以配合。必要时，交通运输主管部门可以责令暂停招标投标活动。</w:t>
      </w:r>
      <w:r>
        <w:rPr>
          <w:rFonts w:ascii="宋体" w:hAnsi="宋体" w:eastAsia="宋体" w:cs="宋体"/>
          <w:spacing w:val="-3"/>
          <w:sz w:val="24"/>
          <w:szCs w:val="24"/>
        </w:rPr>
        <w:t>监督部门的联系方式见投标人须知前附表。</w:t>
      </w:r>
    </w:p>
    <w:p>
      <w:pPr>
        <w:keepNext w:val="0"/>
        <w:keepLines w:val="0"/>
        <w:pageBreakBefore w:val="0"/>
        <w:wordWrap/>
        <w:overflowPunct/>
        <w:topLinePunct w:val="0"/>
        <w:autoSpaceDE w:val="0"/>
        <w:autoSpaceDN w:val="0"/>
        <w:bidi w:val="0"/>
        <w:spacing w:before="114" w:line="360" w:lineRule="auto"/>
        <w:ind w:left="45" w:right="68" w:firstLine="477"/>
        <w:rPr>
          <w:rFonts w:ascii="宋体" w:hAnsi="宋体" w:eastAsia="宋体" w:cs="宋体"/>
          <w:sz w:val="24"/>
          <w:szCs w:val="24"/>
        </w:rPr>
      </w:pPr>
      <w:r>
        <w:rPr>
          <w:rFonts w:ascii="Times New Roman" w:hAnsi="Times New Roman" w:eastAsia="Times New Roman" w:cs="Times New Roman"/>
          <w:sz w:val="24"/>
          <w:szCs w:val="24"/>
        </w:rPr>
        <w:t xml:space="preserve">8.5.2  </w:t>
      </w:r>
      <w:r>
        <w:rPr>
          <w:rFonts w:ascii="宋体" w:hAnsi="宋体" w:eastAsia="宋体" w:cs="宋体"/>
          <w:sz w:val="24"/>
          <w:szCs w:val="24"/>
        </w:rPr>
        <w:t>投标人或其他利害关系人对招标文件、开标和评标结果提出投诉的，应按</w:t>
      </w:r>
      <w:r>
        <w:rPr>
          <w:rFonts w:ascii="宋体" w:hAnsi="宋体" w:eastAsia="宋体" w:cs="宋体"/>
          <w:spacing w:val="8"/>
          <w:sz w:val="24"/>
          <w:szCs w:val="24"/>
        </w:rPr>
        <w:t xml:space="preserve"> </w:t>
      </w:r>
      <w:r>
        <w:rPr>
          <w:rFonts w:ascii="宋体" w:hAnsi="宋体" w:eastAsia="宋体" w:cs="宋体"/>
          <w:spacing w:val="-2"/>
          <w:sz w:val="24"/>
          <w:szCs w:val="24"/>
        </w:rPr>
        <w:t>照本章第</w:t>
      </w:r>
      <w:r>
        <w:rPr>
          <w:rFonts w:ascii="宋体" w:hAnsi="宋体" w:eastAsia="宋体" w:cs="宋体"/>
          <w:spacing w:val="-35"/>
          <w:sz w:val="24"/>
          <w:szCs w:val="24"/>
        </w:rPr>
        <w:t xml:space="preserve"> </w:t>
      </w:r>
      <w:r>
        <w:rPr>
          <w:rFonts w:ascii="Times New Roman" w:hAnsi="Times New Roman" w:eastAsia="Times New Roman" w:cs="Times New Roman"/>
          <w:spacing w:val="-2"/>
          <w:sz w:val="24"/>
          <w:szCs w:val="24"/>
        </w:rPr>
        <w:t>2.4</w:t>
      </w:r>
      <w:r>
        <w:rPr>
          <w:rFonts w:ascii="Times New Roman" w:hAnsi="Times New Roman" w:eastAsia="Times New Roman" w:cs="Times New Roman"/>
          <w:spacing w:val="24"/>
          <w:w w:val="101"/>
          <w:sz w:val="24"/>
          <w:szCs w:val="24"/>
        </w:rPr>
        <w:t xml:space="preserve"> </w:t>
      </w:r>
      <w:r>
        <w:rPr>
          <w:rFonts w:ascii="宋体" w:hAnsi="宋体" w:eastAsia="宋体" w:cs="宋体"/>
          <w:spacing w:val="-2"/>
          <w:sz w:val="24"/>
          <w:szCs w:val="24"/>
        </w:rPr>
        <w:t>款、第</w:t>
      </w:r>
      <w:r>
        <w:rPr>
          <w:rFonts w:ascii="宋体" w:hAnsi="宋体" w:eastAsia="宋体" w:cs="宋体"/>
          <w:spacing w:val="-34"/>
          <w:sz w:val="24"/>
          <w:szCs w:val="24"/>
        </w:rPr>
        <w:t xml:space="preserve"> </w:t>
      </w:r>
      <w:r>
        <w:rPr>
          <w:rFonts w:ascii="Times New Roman" w:hAnsi="Times New Roman" w:eastAsia="Times New Roman" w:cs="Times New Roman"/>
          <w:spacing w:val="-2"/>
          <w:sz w:val="24"/>
          <w:szCs w:val="24"/>
        </w:rPr>
        <w:t>5.3</w:t>
      </w:r>
      <w:r>
        <w:rPr>
          <w:rFonts w:ascii="Times New Roman" w:hAnsi="Times New Roman" w:eastAsia="Times New Roman" w:cs="Times New Roman"/>
          <w:spacing w:val="25"/>
          <w:sz w:val="24"/>
          <w:szCs w:val="24"/>
        </w:rPr>
        <w:t xml:space="preserve"> </w:t>
      </w:r>
      <w:r>
        <w:rPr>
          <w:rFonts w:ascii="宋体" w:hAnsi="宋体" w:eastAsia="宋体" w:cs="宋体"/>
          <w:spacing w:val="-2"/>
          <w:sz w:val="24"/>
          <w:szCs w:val="24"/>
        </w:rPr>
        <w:t>款和第</w:t>
      </w:r>
      <w:r>
        <w:rPr>
          <w:rFonts w:ascii="宋体" w:hAnsi="宋体" w:eastAsia="宋体" w:cs="宋体"/>
          <w:spacing w:val="-37"/>
          <w:sz w:val="24"/>
          <w:szCs w:val="24"/>
        </w:rPr>
        <w:t xml:space="preserve"> </w:t>
      </w:r>
      <w:r>
        <w:rPr>
          <w:rFonts w:ascii="Times New Roman" w:hAnsi="Times New Roman" w:eastAsia="Times New Roman" w:cs="Times New Roman"/>
          <w:spacing w:val="-2"/>
          <w:sz w:val="24"/>
          <w:szCs w:val="24"/>
        </w:rPr>
        <w:t>7.2</w:t>
      </w:r>
      <w:r>
        <w:rPr>
          <w:rFonts w:ascii="Times New Roman" w:hAnsi="Times New Roman" w:eastAsia="Times New Roman" w:cs="Times New Roman"/>
          <w:spacing w:val="25"/>
          <w:sz w:val="24"/>
          <w:szCs w:val="24"/>
        </w:rPr>
        <w:t xml:space="preserve"> </w:t>
      </w:r>
      <w:r>
        <w:rPr>
          <w:rFonts w:ascii="宋体" w:hAnsi="宋体" w:eastAsia="宋体" w:cs="宋体"/>
          <w:spacing w:val="-2"/>
          <w:sz w:val="24"/>
          <w:szCs w:val="24"/>
        </w:rPr>
        <w:t>款的规定先向招标人提出异议。异议答复期间不</w:t>
      </w:r>
    </w:p>
    <w:p>
      <w:pPr>
        <w:keepNext w:val="0"/>
        <w:keepLines w:val="0"/>
        <w:pageBreakBefore w:val="0"/>
        <w:wordWrap/>
        <w:overflowPunct/>
        <w:topLinePunct w:val="0"/>
        <w:autoSpaceDE w:val="0"/>
        <w:autoSpaceDN w:val="0"/>
        <w:bidi w:val="0"/>
        <w:spacing w:before="1" w:line="360" w:lineRule="auto"/>
        <w:ind w:left="38"/>
        <w:rPr>
          <w:rFonts w:ascii="宋体" w:hAnsi="宋体" w:eastAsia="宋体" w:cs="宋体"/>
          <w:sz w:val="24"/>
          <w:szCs w:val="24"/>
        </w:rPr>
      </w:pPr>
      <w:r>
        <w:rPr>
          <w:rFonts w:ascii="宋体" w:hAnsi="宋体" w:eastAsia="宋体" w:cs="宋体"/>
          <w:spacing w:val="-3"/>
          <w:sz w:val="24"/>
          <w:szCs w:val="24"/>
        </w:rPr>
        <w:t>计算在第</w:t>
      </w:r>
      <w:r>
        <w:rPr>
          <w:rFonts w:ascii="宋体" w:hAnsi="宋体" w:eastAsia="宋体" w:cs="宋体"/>
          <w:spacing w:val="-46"/>
          <w:sz w:val="24"/>
          <w:szCs w:val="24"/>
        </w:rPr>
        <w:t xml:space="preserve"> </w:t>
      </w:r>
      <w:r>
        <w:rPr>
          <w:rFonts w:ascii="Times New Roman" w:hAnsi="Times New Roman" w:eastAsia="Times New Roman" w:cs="Times New Roman"/>
          <w:spacing w:val="-3"/>
          <w:sz w:val="24"/>
          <w:szCs w:val="24"/>
        </w:rPr>
        <w:t xml:space="preserve">8.5.1 </w:t>
      </w:r>
      <w:r>
        <w:rPr>
          <w:rFonts w:ascii="宋体" w:hAnsi="宋体" w:eastAsia="宋体" w:cs="宋体"/>
          <w:spacing w:val="-3"/>
          <w:sz w:val="24"/>
          <w:szCs w:val="24"/>
        </w:rPr>
        <w:t>项规定的期限内。</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91" w:line="360" w:lineRule="auto"/>
        <w:ind w:left="32"/>
        <w:rPr>
          <w:rFonts w:ascii="黑体" w:hAnsi="黑体" w:eastAsia="黑体" w:cs="黑体"/>
          <w:sz w:val="28"/>
          <w:szCs w:val="28"/>
        </w:rPr>
      </w:pPr>
      <w:r>
        <w:rPr>
          <w:rFonts w:ascii="黑体" w:hAnsi="黑体" w:eastAsia="黑体" w:cs="黑体"/>
          <w:spacing w:val="-1"/>
          <w:sz w:val="28"/>
          <w:szCs w:val="28"/>
        </w:rPr>
        <w:t>9. 是否采用电子招标投标</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9" w:line="360" w:lineRule="auto"/>
        <w:ind w:left="519"/>
        <w:rPr>
          <w:rFonts w:ascii="宋体" w:hAnsi="宋体" w:eastAsia="宋体" w:cs="宋体"/>
          <w:sz w:val="24"/>
          <w:szCs w:val="24"/>
        </w:rPr>
      </w:pPr>
      <w:r>
        <w:rPr>
          <w:rFonts w:ascii="宋体" w:hAnsi="宋体" w:eastAsia="宋体" w:cs="宋体"/>
          <w:spacing w:val="-2"/>
          <w:position w:val="33"/>
          <w:sz w:val="24"/>
          <w:szCs w:val="24"/>
        </w:rPr>
        <w:t>本招标项目是否采用电子招标投标方式，见投标人须知前附表。</w:t>
      </w:r>
    </w:p>
    <w:p>
      <w:pPr>
        <w:keepNext w:val="0"/>
        <w:keepLines w:val="0"/>
        <w:pageBreakBefore w:val="0"/>
        <w:wordWrap/>
        <w:overflowPunct/>
        <w:topLinePunct w:val="0"/>
        <w:autoSpaceDE w:val="0"/>
        <w:autoSpaceDN w:val="0"/>
        <w:bidi w:val="0"/>
        <w:spacing w:line="360" w:lineRule="auto"/>
        <w:ind w:left="54"/>
        <w:rPr>
          <w:rFonts w:ascii="黑体" w:hAnsi="黑体" w:eastAsia="黑体" w:cs="黑体"/>
          <w:sz w:val="28"/>
          <w:szCs w:val="28"/>
        </w:rPr>
      </w:pPr>
      <w:r>
        <w:rPr>
          <w:rFonts w:ascii="黑体" w:hAnsi="黑体" w:eastAsia="黑体" w:cs="黑体"/>
          <w:spacing w:val="-2"/>
          <w:sz w:val="28"/>
          <w:szCs w:val="28"/>
        </w:rPr>
        <w:t>10. 需要补充的其他内容</w:t>
      </w:r>
    </w:p>
    <w:p>
      <w:pPr>
        <w:keepNext w:val="0"/>
        <w:keepLines w:val="0"/>
        <w:pageBreakBefore w:val="0"/>
        <w:wordWrap/>
        <w:overflowPunct/>
        <w:topLinePunct w:val="0"/>
        <w:autoSpaceDE w:val="0"/>
        <w:autoSpaceDN w:val="0"/>
        <w:bidi w:val="0"/>
        <w:spacing w:line="360" w:lineRule="auto"/>
        <w:rPr>
          <w:rFonts w:ascii="Arial"/>
          <w:sz w:val="21"/>
        </w:rPr>
      </w:pPr>
    </w:p>
    <w:p>
      <w:pPr>
        <w:keepNext w:val="0"/>
        <w:keepLines w:val="0"/>
        <w:pageBreakBefore w:val="0"/>
        <w:wordWrap/>
        <w:overflowPunct/>
        <w:topLinePunct w:val="0"/>
        <w:autoSpaceDE w:val="0"/>
        <w:autoSpaceDN w:val="0"/>
        <w:bidi w:val="0"/>
        <w:spacing w:before="79" w:line="360" w:lineRule="auto"/>
        <w:ind w:left="43" w:right="100" w:firstLine="492"/>
        <w:jc w:val="both"/>
        <w:rPr>
          <w:rFonts w:ascii="宋体" w:hAnsi="宋体" w:eastAsia="宋体" w:cs="宋体"/>
          <w:spacing w:val="-2"/>
          <w:sz w:val="24"/>
          <w:szCs w:val="24"/>
        </w:rPr>
      </w:pPr>
      <w:r>
        <w:rPr>
          <w:rFonts w:ascii="Times New Roman" w:hAnsi="Times New Roman" w:eastAsia="Times New Roman" w:cs="Times New Roman"/>
          <w:spacing w:val="-1"/>
          <w:sz w:val="24"/>
          <w:szCs w:val="24"/>
        </w:rPr>
        <w:t>10.1</w:t>
      </w:r>
      <w:r>
        <w:rPr>
          <w:rFonts w:ascii="Times New Roman" w:hAnsi="Times New Roman" w:eastAsia="Times New Roman" w:cs="Times New Roman"/>
          <w:spacing w:val="30"/>
          <w:w w:val="101"/>
          <w:sz w:val="24"/>
          <w:szCs w:val="24"/>
        </w:rPr>
        <w:t xml:space="preserve">  </w:t>
      </w:r>
      <w:r>
        <w:rPr>
          <w:rFonts w:ascii="宋体" w:hAnsi="宋体" w:eastAsia="宋体" w:cs="宋体"/>
          <w:spacing w:val="-1"/>
          <w:sz w:val="24"/>
          <w:szCs w:val="24"/>
        </w:rPr>
        <w:t>自购买招标文件之日起，投标人应保证其提供的联系方式（电话、传真、</w:t>
      </w:r>
      <w:r>
        <w:rPr>
          <w:rFonts w:ascii="宋体" w:hAnsi="宋体" w:eastAsia="宋体" w:cs="宋体"/>
          <w:spacing w:val="-6"/>
          <w:sz w:val="24"/>
          <w:szCs w:val="24"/>
        </w:rPr>
        <w:t>电子邮件）一直有效，以便及时收到招标人发出的函件</w:t>
      </w:r>
      <w:r>
        <w:rPr>
          <w:rFonts w:ascii="Times New Roman" w:hAnsi="Times New Roman" w:eastAsia="Times New Roman" w:cs="Times New Roman"/>
          <w:spacing w:val="-6"/>
          <w:sz w:val="24"/>
          <w:szCs w:val="24"/>
        </w:rPr>
        <w:t>(</w:t>
      </w:r>
      <w:r>
        <w:rPr>
          <w:rFonts w:ascii="宋体" w:hAnsi="宋体" w:eastAsia="宋体" w:cs="宋体"/>
          <w:spacing w:val="-6"/>
          <w:sz w:val="24"/>
          <w:szCs w:val="24"/>
        </w:rPr>
        <w:t>招标文件的澄清、修改等</w:t>
      </w:r>
      <w:r>
        <w:rPr>
          <w:rFonts w:ascii="Times New Roman" w:hAnsi="Times New Roman" w:eastAsia="Times New Roman" w:cs="Times New Roman"/>
          <w:spacing w:val="-6"/>
          <w:sz w:val="24"/>
          <w:szCs w:val="24"/>
        </w:rPr>
        <w:t>)</w:t>
      </w:r>
      <w:r>
        <w:rPr>
          <w:rFonts w:ascii="宋体" w:hAnsi="宋体" w:eastAsia="宋体" w:cs="宋体"/>
          <w:spacing w:val="-6"/>
          <w:sz w:val="24"/>
          <w:szCs w:val="24"/>
        </w:rPr>
        <w:t>，</w:t>
      </w:r>
      <w:r>
        <w:rPr>
          <w:rFonts w:ascii="宋体" w:hAnsi="宋体" w:eastAsia="宋体" w:cs="宋体"/>
          <w:sz w:val="24"/>
          <w:szCs w:val="24"/>
        </w:rPr>
        <w:t xml:space="preserve"> </w:t>
      </w:r>
      <w:r>
        <w:rPr>
          <w:rFonts w:ascii="宋体" w:hAnsi="宋体" w:eastAsia="宋体" w:cs="宋体"/>
          <w:spacing w:val="-1"/>
          <w:sz w:val="24"/>
          <w:szCs w:val="24"/>
        </w:rPr>
        <w:t>并应及时向招标人反馈信息，否则招标人不承</w:t>
      </w:r>
      <w:r>
        <w:rPr>
          <w:rFonts w:ascii="宋体" w:hAnsi="宋体" w:eastAsia="宋体" w:cs="宋体"/>
          <w:spacing w:val="-2"/>
          <w:sz w:val="24"/>
          <w:szCs w:val="24"/>
        </w:rPr>
        <w:t>担由此引起的一切后果。</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10.2 信用等级的确定原则：</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10.2.1 招标文件中的信用等级指的是广东省交通运输厅最新年度的信用评价。 如无广东省最新年度信用等级而有上一年度广东省信用等级的，则其原信用等级可延 续一年，但在递交资审申请文件（资格后审的为投标文件）时信用等级的使用次数应 按上一年度公布的信用评价结果顺延上一年度的使用次数。具体使用次数有关规定如下：</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1.对于信用等级为 AA 级的从业单位 :</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(1)仅最新一年度信用等级为 AA 级的从业单位在参加广东省公路工程建设项目投标活动（以递交资格预审申请文件或资格后审递交投标文件时间为准）时，可申请</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使用 AA 级分值 8 次，用完 8 次后信用等级分值将按 A 级分值取定；</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(2)连续最近两个年度信用等级为 AA 级的单位在参加广东省公路工程投标活动（以递交资格预审申请文件或资格后审递交投标文件时间为准）时，可申请使用 AA级分值 12 次，用完 12 次后信用等级分值将按 A 级取定；</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2.对于信用等级为 A 级的从业单位 :当年度信用等级 A 级单位在参加广东省公路 工程建设项目招投标活动（以递交资格预审申请文件或资格后审递交投标文件时间为准）时，可申请使用 A 级分值 12 次，用完 12 次后信用等级分值将按 B 级分值取定。</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3.当年度信用等级为 AA、A 级的从业单位未承诺使用的信用等级分值的，AA 级</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信用等级企业按 A 级对待、A 级信用等级企业按 B 级对待。</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4.若从业企业在信用评价年度信用等级由 AA 降级为 A 级时，AA 级信用等级已使用次数纳入 A 级信用等级使用次数合并累计。</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10.2.2 信用等级延续 1 年后仍无信用评价等级的，按照初次进入广东省确定，原则上按 B 级对待，但下列情况除外：最新年度的全国公路从业单位（施工单位）信用评价结果为 C 级或 D 级的，则按最新年度的全国公路从业单位（施工单位）信用评价结果对待；或最新年度的全国公路从业单位（施工单位）信用评价结果未被评为 C级或 D 级的，但在广东省最近年度原评价等级为 D 级的，则按 C 级对待。</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10.2.3  AA、A 级单位是指使用广东省信用评价等级申请承诺书的单位。提交申请承诺书未使用 AA、A 时，在评标过程中，AA 级信用等级企业按 A 级对待、A 级信用 等级企业按 B 级对待。（注：属于资格预审项目的，以资格预审申请文件的为准。当 出现跨年度信用等级时，以投标人资格预审时申请使用信用等级与投标文件递交截止日的信用等级作比较，按“就低原则 ”认定等级，即降低等级的按低等级认定、升高等级的仍维持资审时的申请等级。）</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10.2.4 在招标评标中，信用评价等级采用按次、按标段或标类（指资格预审时未明确具体标段的情形）申请使用的原则，即在同一次招标中的多个标段的投标，可自愿对其中部分或全部标段申请使用 AA 或 A 级信用等级，无论中标与否，均应根据递交投标（或申请）文件情况按标段计算使用次数（非投标人原因导致招标失败的情况除外）。</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10.2.5 招标项目为一个标段类别时，投标人以联合体形式投标的，信用等级以联合体中信用等级较低的为准。</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10.2.6 如招标内容包含了多个标段类别（如机电工程+交通安全设施工程类），招标项目的资质条件设置不止一个资质时投标人的信用等级认定原则：</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 xml:space="preserve"> 方法一（就低不就高模式）：</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独立投标的，按各类别招标内容相对应的投标人的信用等级，按就低不就高的原则确定投标人的最终信用等级得分；以联合体形式投标的，联合体成员按联合体协议书中约定承担的专业工程对应相应的信用等级, 按就低不就高的原则确定投标人的最终信用等级得分。</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举例：招标文件约定的机电工程所占的比例为 70%，交通安全设施工程所占的比例为 30%，联合体形式投标的情形：单位甲为机电专业，其信用等级分值为机电工程 A 级，单位乙为交通安全设施工程专业，其信用等级分值为交通安全设施工程 B 级。 结合招标文件中约定的信用等级 A 级对应分值为 4.75 分，B 级对应分值为 4.45 分，则按方法一计算的联合体信用等级分值为：4.45 分。</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方法二（组合模式）：</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独立投标的，按各类别招标内容相对应的投标人的信用等级分值（m1、m2……） 分别乘以招标文件中约定的各类别招标内容所占的比例后（比例为 n1、n2……）加 总之和为投标人的最终信用等级得分（m1×n1+ m2×n2+……）； 以联合体形式投标  的，联合体成员按联合体协议书中约定承担的专业工程对应相应的信用等级类别 ,其相应的信用评价分值（成员 1 为 k 1、成员 2 为 k 2……）分别乘以招标文件中约定的各类别招标内容所占的比例后（比例为 t1、t2……）加总之和为投标人的最终信用等级得分（k1×t1+ k2×t2+……）。投标人的信用等级使用次数应分别按类别计算。</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举例：招标文件约定的机电工程所占的比例为 70%，交通安全设施工程所占的比 例为30%，联合体形式投标的情形：单位甲为机电专业，其信用等级分值为机电工程 A 级，单位乙为交通安全设施工程专业，其信用等级分值为交通安全设施工程 B 级。 结合招标文件中约定的信用等级 A 级对应分值为 4.75 分，B 级对应分值为4.45分，则按方法二计算的联合体信用等级分值为：4.75×70%+4.45×30%=4.66 分。</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10.2.7 附属区房建项目不属于广东省公路水运工程从业企业信用评价体系的参评范围，故附属区房建项目单独招标时，投标人的信用评价等级视为 B 级。</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10.3 如果推荐的第一中标候选人放弃中标、因不可抗力提出不能履行合同、或 因被投诉经查证属实取消中标资格的，或者招标文件规定应当提交履约保证金而在规 定的期限内未能提交的，招标人可以确定排名第二的中标候选人为中标人,或重新组织招标， 以此类推。</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10.4 如果开标后至中标通知书发出前，第一中标候选人发生投标人须知 1.4.4 （1）至（7）的情形及中标候选人信用等级被广东省交通运输厅直接降为 D 级的情形， 则取消其中标资格，招标人按推荐中标候选人排名顺序依次确定中标人，或重新组织招标。</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10.5 本招标文件中所有 “类似工程 ”均指新建或改、扩建(公路技术等级)公 路施工项目。在采用新建公路项目完工业绩时，对于同公路等级改、扩建中的新建桥梁或隧道工程业绩也应认可。</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10.6 有关业绩的说明</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10.6.1</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a、特大桥及大桥按国家最新颁布的标准进行划分；</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b、完成整座桥梁的半幅或整座桥梁其中的一部分工作内容达到特大桥或大桥对应技术标准的，按相应标段标准以座计算；</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c、同一投标人的单座桥梁仅能计一次，只完成整个工程部分分部工程不参与计算业绩。</w:t>
      </w:r>
    </w:p>
    <w:p>
      <w:pPr>
        <w:keepNext w:val="0"/>
        <w:keepLines w:val="0"/>
        <w:pageBreakBefore w:val="0"/>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10.6.2</w:t>
      </w:r>
    </w:p>
    <w:p>
      <w:pPr>
        <w:keepNext w:val="0"/>
        <w:keepLines w:val="0"/>
        <w:pageBreakBefore w:val="0"/>
        <w:numPr>
          <w:ilvl w:val="0"/>
          <w:numId w:val="10"/>
        </w:numPr>
        <w:wordWrap/>
        <w:overflowPunct/>
        <w:topLinePunct w:val="0"/>
        <w:autoSpaceDE w:val="0"/>
        <w:autoSpaceDN w:val="0"/>
        <w:bidi w:val="0"/>
        <w:spacing w:before="79" w:line="360" w:lineRule="auto"/>
        <w:ind w:left="43" w:right="100" w:firstLine="492"/>
        <w:jc w:val="both"/>
        <w:rPr>
          <w:rFonts w:hint="eastAsia" w:ascii="宋体" w:hAnsi="宋体" w:eastAsia="宋体" w:cs="宋体"/>
          <w:spacing w:val="-2"/>
          <w:sz w:val="24"/>
          <w:szCs w:val="24"/>
        </w:rPr>
      </w:pPr>
      <w:r>
        <w:rPr>
          <w:rFonts w:hint="eastAsia" w:ascii="宋体" w:hAnsi="宋体" w:eastAsia="宋体" w:cs="宋体"/>
          <w:spacing w:val="-2"/>
          <w:sz w:val="24"/>
          <w:szCs w:val="24"/>
        </w:rPr>
        <w:t>特长隧道：单座隧道单洞（即左洞加右洞）总长大于 6000m 的，或完成单 座隧道的一部分且该部分的单洞累计长度大于 6000m 的，均按 1 座计；完成单座特长 隧道的一部分，该部分单洞累计长度大于 3000m 且不大于 6000m 的，按 0.5 座计，完成 N 座该类隧道按 N×0.5 座计；</w:t>
      </w:r>
    </w:p>
    <w:p>
      <w:pPr>
        <w:keepNext w:val="0"/>
        <w:keepLines w:val="0"/>
        <w:pageBreakBefore w:val="0"/>
        <w:numPr>
          <w:ilvl w:val="0"/>
          <w:numId w:val="10"/>
        </w:numPr>
        <w:wordWrap/>
        <w:overflowPunct/>
        <w:topLinePunct w:val="0"/>
        <w:autoSpaceDE w:val="0"/>
        <w:autoSpaceDN w:val="0"/>
        <w:bidi w:val="0"/>
        <w:spacing w:before="79" w:line="360" w:lineRule="auto"/>
        <w:ind w:left="43" w:leftChars="0" w:right="100" w:rightChars="0" w:firstLine="492" w:firstLineChars="0"/>
        <w:jc w:val="both"/>
        <w:rPr>
          <w:rFonts w:hint="eastAsia" w:ascii="宋体" w:hAnsi="宋体" w:eastAsia="宋体" w:cs="宋体"/>
          <w:spacing w:val="-2"/>
          <w:sz w:val="24"/>
          <w:szCs w:val="24"/>
        </w:rPr>
      </w:pPr>
      <w:r>
        <w:rPr>
          <w:rFonts w:hint="eastAsia" w:ascii="宋体" w:hAnsi="宋体" w:eastAsia="宋体" w:cs="宋体"/>
          <w:spacing w:val="-2"/>
          <w:sz w:val="24"/>
          <w:szCs w:val="24"/>
        </w:rPr>
        <w:t>长隧道：单座隧道单洞（即左洞加右洞）总长大于 2000 米且不大于 6000 米 的，或完成单座隧道的一部分且该部分的单洞累计长度大于 2000 米且不大于 6000 米的，均按 1 座计；</w:t>
      </w:r>
    </w:p>
    <w:p>
      <w:pPr>
        <w:keepNext w:val="0"/>
        <w:keepLines w:val="0"/>
        <w:pageBreakBefore w:val="0"/>
        <w:numPr>
          <w:ilvl w:val="0"/>
          <w:numId w:val="0"/>
        </w:numPr>
        <w:wordWrap/>
        <w:overflowPunct/>
        <w:topLinePunct w:val="0"/>
        <w:autoSpaceDE w:val="0"/>
        <w:autoSpaceDN w:val="0"/>
        <w:bidi w:val="0"/>
        <w:spacing w:before="79" w:line="360" w:lineRule="auto"/>
        <w:ind w:right="100" w:rightChars="0" w:firstLine="472" w:firstLineChars="200"/>
        <w:jc w:val="both"/>
        <w:rPr>
          <w:rFonts w:hint="eastAsia" w:ascii="宋体" w:hAnsi="宋体" w:eastAsia="宋体" w:cs="宋体"/>
          <w:spacing w:val="-2"/>
          <w:sz w:val="24"/>
          <w:szCs w:val="24"/>
        </w:rPr>
      </w:pPr>
      <w:r>
        <w:rPr>
          <w:rFonts w:hint="eastAsia" w:ascii="宋体" w:hAnsi="宋体" w:eastAsia="宋体" w:cs="宋体"/>
          <w:spacing w:val="-2"/>
          <w:sz w:val="24"/>
          <w:szCs w:val="24"/>
        </w:rPr>
        <w:t>c、同一座隧道同时满足条件的，同一投标人只计算一次业绩；特长隧道可计为长隧道。</w:t>
      </w:r>
    </w:p>
    <w:p>
      <w:pPr>
        <w:keepNext w:val="0"/>
        <w:keepLines w:val="0"/>
        <w:pageBreakBefore w:val="0"/>
        <w:numPr>
          <w:ilvl w:val="0"/>
          <w:numId w:val="0"/>
        </w:numPr>
        <w:wordWrap/>
        <w:overflowPunct/>
        <w:topLinePunct w:val="0"/>
        <w:autoSpaceDE w:val="0"/>
        <w:autoSpaceDN w:val="0"/>
        <w:bidi w:val="0"/>
        <w:spacing w:before="79" w:line="360" w:lineRule="auto"/>
        <w:ind w:right="100" w:rightChars="0" w:firstLine="472" w:firstLineChars="200"/>
        <w:jc w:val="both"/>
        <w:rPr>
          <w:rFonts w:hint="eastAsia" w:ascii="宋体" w:hAnsi="宋体" w:eastAsia="宋体" w:cs="宋体"/>
          <w:spacing w:val="-2"/>
          <w:sz w:val="24"/>
          <w:szCs w:val="24"/>
        </w:rPr>
      </w:pPr>
      <w:r>
        <w:rPr>
          <w:rFonts w:hint="eastAsia" w:ascii="宋体" w:hAnsi="宋体" w:eastAsia="宋体" w:cs="宋体"/>
          <w:spacing w:val="-2"/>
          <w:sz w:val="24"/>
          <w:szCs w:val="24"/>
        </w:rPr>
        <w:t>10.7 招标文件中如无特别说明，业绩里程累计长度均不扣除桥隧等构造物长度。</w:t>
      </w:r>
    </w:p>
    <w:p>
      <w:pPr>
        <w:keepNext w:val="0"/>
        <w:keepLines w:val="0"/>
        <w:pageBreakBefore w:val="0"/>
        <w:numPr>
          <w:ilvl w:val="0"/>
          <w:numId w:val="0"/>
        </w:numPr>
        <w:wordWrap/>
        <w:overflowPunct/>
        <w:topLinePunct w:val="0"/>
        <w:autoSpaceDE w:val="0"/>
        <w:autoSpaceDN w:val="0"/>
        <w:bidi w:val="0"/>
        <w:spacing w:before="79" w:line="360" w:lineRule="auto"/>
        <w:ind w:right="100" w:rightChars="0" w:firstLine="472" w:firstLineChars="200"/>
        <w:jc w:val="both"/>
        <w:rPr>
          <w:rFonts w:hint="eastAsia" w:ascii="宋体" w:hAnsi="宋体" w:eastAsia="宋体" w:cs="宋体"/>
          <w:spacing w:val="-2"/>
          <w:sz w:val="24"/>
          <w:szCs w:val="24"/>
        </w:rPr>
      </w:pPr>
      <w:r>
        <w:rPr>
          <w:rFonts w:hint="eastAsia" w:ascii="宋体" w:hAnsi="宋体" w:eastAsia="宋体" w:cs="宋体"/>
          <w:spacing w:val="-2"/>
          <w:sz w:val="24"/>
          <w:szCs w:val="24"/>
        </w:rPr>
        <w:t>10.8 若投标人在递交投标文件期间，出现采取不正当手段妨碍其他投标人投标的过激行为，或出现在开标会现场扰乱招投标市场秩序的行为，招标人有权将投标人此行为上报省级交通主管部门，作为不良记录纳入公路建设市场信用信息管理系统。</w:t>
      </w:r>
    </w:p>
    <w:p>
      <w:pPr>
        <w:keepNext w:val="0"/>
        <w:keepLines w:val="0"/>
        <w:pageBreakBefore w:val="0"/>
        <w:numPr>
          <w:ilvl w:val="0"/>
          <w:numId w:val="0"/>
        </w:numPr>
        <w:wordWrap/>
        <w:overflowPunct/>
        <w:topLinePunct w:val="0"/>
        <w:autoSpaceDE w:val="0"/>
        <w:autoSpaceDN w:val="0"/>
        <w:bidi w:val="0"/>
        <w:spacing w:before="79" w:line="360" w:lineRule="auto"/>
        <w:ind w:right="100" w:rightChars="0" w:firstLine="472" w:firstLineChars="200"/>
        <w:jc w:val="both"/>
        <w:rPr>
          <w:rFonts w:hint="eastAsia" w:ascii="宋体" w:hAnsi="宋体" w:eastAsia="宋体" w:cs="宋体"/>
          <w:spacing w:val="-2"/>
          <w:sz w:val="24"/>
          <w:szCs w:val="24"/>
        </w:rPr>
      </w:pPr>
      <w:r>
        <w:rPr>
          <w:rFonts w:hint="eastAsia" w:ascii="宋体" w:hAnsi="宋体" w:eastAsia="宋体" w:cs="宋体"/>
          <w:spacing w:val="-2"/>
          <w:sz w:val="24"/>
          <w:szCs w:val="24"/>
        </w:rPr>
        <w:t>10.9 同时对两个及两个以上标段进行投标的投标人，不能使用同一套人员、设备。（如果最终只允许中一个标段，则允许使用同一套人员、设备）。</w:t>
      </w:r>
    </w:p>
    <w:p>
      <w:pPr>
        <w:numPr>
          <w:ilvl w:val="0"/>
          <w:numId w:val="0"/>
        </w:numPr>
        <w:spacing w:line="248" w:lineRule="auto"/>
        <w:rPr>
          <w:rFonts w:ascii="宋体" w:hAnsi="宋体" w:eastAsia="宋体" w:cs="宋体"/>
          <w:spacing w:val="9"/>
          <w:sz w:val="35"/>
          <w:szCs w:val="35"/>
          <w14:textOutline w14:w="6537" w14:cap="sq" w14:cmpd="sng">
            <w14:solidFill>
              <w14:srgbClr w14:val="000000"/>
            </w14:solidFill>
            <w14:prstDash w14:val="solid"/>
            <w14:bevel/>
          </w14:textOutline>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rPr>
          <w:spacing w:val="10"/>
          <w14:textOutline w14:w="9461" w14:cap="sq" w14:cmpd="sng">
            <w14:solidFill>
              <w14:srgbClr w14:val="000000"/>
            </w14:solidFill>
            <w14:prstDash w14:val="solid"/>
            <w14:bevel/>
          </w14:textOutline>
        </w:rPr>
      </w:pPr>
      <w:r>
        <w:rPr>
          <w:spacing w:val="10"/>
          <w14:textOutline w14:w="9461" w14:cap="sq" w14:cmpd="sng">
            <w14:solidFill>
              <w14:srgbClr w14:val="000000"/>
            </w14:solidFill>
            <w14:prstDash w14:val="solid"/>
            <w14:bevel/>
          </w14:textOutline>
        </w:rPr>
        <w:br w:type="page"/>
      </w:r>
    </w:p>
    <w:p>
      <w:pPr>
        <w:pStyle w:val="4"/>
        <w:spacing w:before="169" w:line="221" w:lineRule="auto"/>
        <w:ind w:left="2575"/>
      </w:pPr>
      <w:r>
        <w:rPr>
          <w:spacing w:val="10"/>
          <w14:textOutline w14:w="9461" w14:cap="sq" w14:cmpd="sng">
            <w14:solidFill>
              <w14:srgbClr w14:val="000000"/>
            </w14:solidFill>
            <w14:prstDash w14:val="solid"/>
            <w14:bevel/>
          </w14:textOutline>
        </w:rPr>
        <w:t>第</w:t>
      </w:r>
      <w:r>
        <w:rPr>
          <w:spacing w:val="-144"/>
        </w:rPr>
        <w:t xml:space="preserve"> </w:t>
      </w:r>
      <w:r>
        <w:rPr>
          <w:spacing w:val="10"/>
          <w14:textOutline w14:w="9461" w14:cap="sq" w14:cmpd="sng">
            <w14:solidFill>
              <w14:srgbClr w14:val="000000"/>
            </w14:solidFill>
            <w14:prstDash w14:val="solid"/>
            <w14:bevel/>
          </w14:textOutline>
        </w:rPr>
        <w:t>三章</w:t>
      </w:r>
      <w:r>
        <w:rPr>
          <w:spacing w:val="180"/>
        </w:rPr>
        <w:t xml:space="preserve"> </w:t>
      </w:r>
      <w:r>
        <w:rPr>
          <w:spacing w:val="10"/>
          <w14:textOutline w14:w="9461" w14:cap="sq" w14:cmpd="sng">
            <w14:solidFill>
              <w14:srgbClr w14:val="000000"/>
            </w14:solidFill>
            <w14:prstDash w14:val="solid"/>
            <w14:bevel/>
          </w14:textOutline>
        </w:rPr>
        <w:t>评标</w:t>
      </w:r>
      <w:r>
        <w:rPr>
          <w:spacing w:val="-154"/>
        </w:rPr>
        <w:t xml:space="preserve"> </w:t>
      </w:r>
      <w:r>
        <w:rPr>
          <w:spacing w:val="10"/>
          <w14:textOutline w14:w="9461" w14:cap="sq" w14:cmpd="sng">
            <w14:solidFill>
              <w14:srgbClr w14:val="000000"/>
            </w14:solidFill>
            <w14:prstDash w14:val="solid"/>
            <w14:bevel/>
          </w14:textOutline>
        </w:rPr>
        <w:t>办</w:t>
      </w:r>
      <w:r>
        <w:rPr>
          <w:spacing w:val="-154"/>
        </w:rPr>
        <w:t xml:space="preserve"> </w:t>
      </w:r>
      <w:r>
        <w:rPr>
          <w:spacing w:val="10"/>
          <w14:textOutline w14:w="9461" w14:cap="sq" w14:cmpd="sng">
            <w14:solidFill>
              <w14:srgbClr w14:val="000000"/>
            </w14:solidFill>
            <w14:prstDash w14:val="solid"/>
            <w14:bevel/>
          </w14:textOutline>
        </w:rPr>
        <w:t>法</w:t>
      </w:r>
    </w:p>
    <w:p>
      <w:pPr>
        <w:spacing w:line="353" w:lineRule="auto"/>
        <w:rPr>
          <w:rFonts w:ascii="Arial"/>
          <w:sz w:val="21"/>
        </w:rPr>
      </w:pPr>
    </w:p>
    <w:p>
      <w:pPr>
        <w:pStyle w:val="4"/>
        <w:spacing w:before="114" w:line="500" w:lineRule="exact"/>
        <w:ind w:left="373"/>
        <w:rPr>
          <w:rFonts w:ascii="宋体" w:hAnsi="宋体" w:eastAsia="宋体" w:cs="宋体"/>
          <w:sz w:val="16"/>
          <w:szCs w:val="16"/>
        </w:rPr>
      </w:pPr>
      <w:r>
        <w:rPr>
          <w:spacing w:val="-2"/>
          <w:position w:val="2"/>
          <w:sz w:val="35"/>
          <w:szCs w:val="35"/>
          <w14:textOutline w14:w="6537" w14:cap="sq" w14:cmpd="sng">
            <w14:solidFill>
              <w14:srgbClr w14:val="000000"/>
            </w14:solidFill>
            <w14:prstDash w14:val="solid"/>
            <w14:bevel/>
          </w14:textOutline>
        </w:rPr>
        <w:t>第</w:t>
      </w:r>
      <w:r>
        <w:rPr>
          <w:spacing w:val="-55"/>
          <w:position w:val="2"/>
          <w:sz w:val="35"/>
          <w:szCs w:val="35"/>
        </w:rPr>
        <w:t xml:space="preserve"> </w:t>
      </w:r>
      <w:r>
        <w:rPr>
          <w:spacing w:val="-2"/>
          <w:position w:val="2"/>
          <w:sz w:val="35"/>
          <w:szCs w:val="35"/>
          <w14:textOutline w14:w="6537" w14:cap="sq" w14:cmpd="sng">
            <w14:solidFill>
              <w14:srgbClr w14:val="000000"/>
            </w14:solidFill>
            <w14:prstDash w14:val="solid"/>
            <w14:bevel/>
          </w14:textOutline>
        </w:rPr>
        <w:t>三</w:t>
      </w:r>
      <w:r>
        <w:rPr>
          <w:spacing w:val="-78"/>
          <w:position w:val="2"/>
          <w:sz w:val="35"/>
          <w:szCs w:val="35"/>
        </w:rPr>
        <w:t xml:space="preserve"> </w:t>
      </w:r>
      <w:r>
        <w:rPr>
          <w:spacing w:val="-2"/>
          <w:position w:val="2"/>
          <w:sz w:val="35"/>
          <w:szCs w:val="35"/>
          <w14:textOutline w14:w="6537" w14:cap="sq" w14:cmpd="sng">
            <w14:solidFill>
              <w14:srgbClr w14:val="000000"/>
            </w14:solidFill>
            <w14:prstDash w14:val="solid"/>
            <w14:bevel/>
          </w14:textOutline>
        </w:rPr>
        <w:t>章</w:t>
      </w:r>
      <w:r>
        <w:rPr>
          <w:spacing w:val="-2"/>
          <w:position w:val="2"/>
          <w:sz w:val="35"/>
          <w:szCs w:val="35"/>
        </w:rPr>
        <w:t xml:space="preserve">  </w:t>
      </w:r>
      <w:r>
        <w:rPr>
          <w:spacing w:val="-2"/>
          <w:position w:val="2"/>
          <w:sz w:val="35"/>
          <w:szCs w:val="35"/>
          <w14:textOutline w14:w="6537" w14:cap="sq" w14:cmpd="sng">
            <w14:solidFill>
              <w14:srgbClr w14:val="000000"/>
            </w14:solidFill>
            <w14:prstDash w14:val="solid"/>
            <w14:bevel/>
          </w14:textOutline>
        </w:rPr>
        <w:t>评</w:t>
      </w:r>
      <w:r>
        <w:rPr>
          <w:spacing w:val="-86"/>
          <w:position w:val="2"/>
          <w:sz w:val="35"/>
          <w:szCs w:val="35"/>
        </w:rPr>
        <w:t xml:space="preserve"> </w:t>
      </w:r>
      <w:r>
        <w:rPr>
          <w:spacing w:val="-2"/>
          <w:position w:val="2"/>
          <w:sz w:val="35"/>
          <w:szCs w:val="35"/>
          <w14:textOutline w14:w="6537" w14:cap="sq" w14:cmpd="sng">
            <w14:solidFill>
              <w14:srgbClr w14:val="000000"/>
            </w14:solidFill>
            <w14:prstDash w14:val="solid"/>
            <w14:bevel/>
          </w14:textOutline>
        </w:rPr>
        <w:t>标</w:t>
      </w:r>
      <w:r>
        <w:rPr>
          <w:spacing w:val="-77"/>
          <w:position w:val="2"/>
          <w:sz w:val="35"/>
          <w:szCs w:val="35"/>
        </w:rPr>
        <w:t xml:space="preserve"> </w:t>
      </w:r>
      <w:r>
        <w:rPr>
          <w:spacing w:val="-2"/>
          <w:position w:val="2"/>
          <w:sz w:val="35"/>
          <w:szCs w:val="35"/>
          <w14:textOutline w14:w="6537" w14:cap="sq" w14:cmpd="sng">
            <w14:solidFill>
              <w14:srgbClr w14:val="000000"/>
            </w14:solidFill>
            <w14:prstDash w14:val="solid"/>
            <w14:bevel/>
          </w14:textOutline>
        </w:rPr>
        <w:t>办</w:t>
      </w:r>
      <w:r>
        <w:rPr>
          <w:spacing w:val="-76"/>
          <w:position w:val="2"/>
          <w:sz w:val="35"/>
          <w:szCs w:val="35"/>
        </w:rPr>
        <w:t xml:space="preserve"> </w:t>
      </w:r>
      <w:r>
        <w:rPr>
          <w:spacing w:val="-2"/>
          <w:position w:val="2"/>
          <w:sz w:val="35"/>
          <w:szCs w:val="35"/>
          <w14:textOutline w14:w="6537" w14:cap="sq" w14:cmpd="sng">
            <w14:solidFill>
              <w14:srgbClr w14:val="000000"/>
            </w14:solidFill>
            <w14:prstDash w14:val="solid"/>
            <w14:bevel/>
          </w14:textOutline>
        </w:rPr>
        <w:t>法</w:t>
      </w:r>
      <w:r>
        <w:rPr>
          <w:spacing w:val="-88"/>
          <w:position w:val="2"/>
          <w:sz w:val="35"/>
          <w:szCs w:val="35"/>
        </w:rPr>
        <w:t xml:space="preserve"> </w:t>
      </w:r>
      <w:r>
        <w:rPr>
          <w:spacing w:val="-2"/>
          <w:position w:val="2"/>
          <w:sz w:val="35"/>
          <w:szCs w:val="35"/>
          <w14:textOutline w14:w="6537" w14:cap="sq" w14:cmpd="sng">
            <w14:solidFill>
              <w14:srgbClr w14:val="000000"/>
            </w14:solidFill>
            <w14:prstDash w14:val="solid"/>
            <w14:bevel/>
          </w14:textOutline>
        </w:rPr>
        <w:t>（双</w:t>
      </w:r>
      <w:r>
        <w:rPr>
          <w:spacing w:val="-79"/>
          <w:position w:val="2"/>
          <w:sz w:val="35"/>
          <w:szCs w:val="35"/>
        </w:rPr>
        <w:t xml:space="preserve"> </w:t>
      </w:r>
      <w:r>
        <w:rPr>
          <w:spacing w:val="-2"/>
          <w:position w:val="2"/>
          <w:sz w:val="35"/>
          <w:szCs w:val="35"/>
          <w14:textOutline w14:w="6537" w14:cap="sq" w14:cmpd="sng">
            <w14:solidFill>
              <w14:srgbClr w14:val="000000"/>
            </w14:solidFill>
            <w14:prstDash w14:val="solid"/>
            <w14:bevel/>
          </w14:textOutline>
        </w:rPr>
        <w:t>信</w:t>
      </w:r>
      <w:r>
        <w:rPr>
          <w:spacing w:val="-82"/>
          <w:position w:val="2"/>
          <w:sz w:val="35"/>
          <w:szCs w:val="35"/>
        </w:rPr>
        <w:t xml:space="preserve"> </w:t>
      </w:r>
      <w:r>
        <w:rPr>
          <w:spacing w:val="-2"/>
          <w:position w:val="2"/>
          <w:sz w:val="35"/>
          <w:szCs w:val="35"/>
          <w14:textOutline w14:w="6537" w14:cap="sq" w14:cmpd="sng">
            <w14:solidFill>
              <w14:srgbClr w14:val="000000"/>
            </w14:solidFill>
            <w14:prstDash w14:val="solid"/>
            <w14:bevel/>
          </w14:textOutline>
        </w:rPr>
        <w:t>封</w:t>
      </w:r>
      <w:r>
        <w:rPr>
          <w:spacing w:val="-59"/>
          <w:position w:val="2"/>
          <w:sz w:val="35"/>
          <w:szCs w:val="35"/>
        </w:rPr>
        <w:t xml:space="preserve"> </w:t>
      </w:r>
      <w:r>
        <w:rPr>
          <w:spacing w:val="-2"/>
          <w:position w:val="2"/>
          <w:sz w:val="35"/>
          <w:szCs w:val="35"/>
          <w14:textOutline w14:w="6537" w14:cap="sq" w14:cmpd="sng">
            <w14:solidFill>
              <w14:srgbClr w14:val="000000"/>
            </w14:solidFill>
            <w14:prstDash w14:val="solid"/>
            <w14:bevel/>
          </w14:textOutline>
        </w:rPr>
        <w:t>的</w:t>
      </w:r>
      <w:r>
        <w:rPr>
          <w:spacing w:val="-78"/>
          <w:position w:val="2"/>
          <w:sz w:val="35"/>
          <w:szCs w:val="35"/>
        </w:rPr>
        <w:t xml:space="preserve"> </w:t>
      </w:r>
      <w:r>
        <w:rPr>
          <w:spacing w:val="-2"/>
          <w:position w:val="2"/>
          <w:sz w:val="35"/>
          <w:szCs w:val="35"/>
          <w14:textOutline w14:w="6537" w14:cap="sq" w14:cmpd="sng">
            <w14:solidFill>
              <w14:srgbClr w14:val="000000"/>
            </w14:solidFill>
            <w14:prstDash w14:val="solid"/>
            <w14:bevel/>
          </w14:textOutline>
        </w:rPr>
        <w:t>合</w:t>
      </w:r>
      <w:r>
        <w:rPr>
          <w:spacing w:val="-81"/>
          <w:position w:val="2"/>
          <w:sz w:val="35"/>
          <w:szCs w:val="35"/>
        </w:rPr>
        <w:t xml:space="preserve"> </w:t>
      </w:r>
      <w:r>
        <w:rPr>
          <w:spacing w:val="-2"/>
          <w:position w:val="2"/>
          <w:sz w:val="35"/>
          <w:szCs w:val="35"/>
          <w14:textOutline w14:w="6537" w14:cap="sq" w14:cmpd="sng">
            <w14:solidFill>
              <w14:srgbClr w14:val="000000"/>
            </w14:solidFill>
            <w14:prstDash w14:val="solid"/>
            <w14:bevel/>
          </w14:textOutline>
        </w:rPr>
        <w:t>理</w:t>
      </w:r>
      <w:r>
        <w:rPr>
          <w:spacing w:val="-81"/>
          <w:position w:val="2"/>
          <w:sz w:val="35"/>
          <w:szCs w:val="35"/>
        </w:rPr>
        <w:t xml:space="preserve"> </w:t>
      </w:r>
      <w:r>
        <w:rPr>
          <w:spacing w:val="-2"/>
          <w:position w:val="2"/>
          <w:sz w:val="35"/>
          <w:szCs w:val="35"/>
          <w14:textOutline w14:w="6537" w14:cap="sq" w14:cmpd="sng">
            <w14:solidFill>
              <w14:srgbClr w14:val="000000"/>
            </w14:solidFill>
            <w14:prstDash w14:val="solid"/>
            <w14:bevel/>
          </w14:textOutline>
        </w:rPr>
        <w:t>低</w:t>
      </w:r>
      <w:r>
        <w:rPr>
          <w:spacing w:val="-81"/>
          <w:position w:val="2"/>
          <w:sz w:val="35"/>
          <w:szCs w:val="35"/>
        </w:rPr>
        <w:t xml:space="preserve"> </w:t>
      </w:r>
      <w:r>
        <w:rPr>
          <w:spacing w:val="-2"/>
          <w:position w:val="2"/>
          <w:sz w:val="35"/>
          <w:szCs w:val="35"/>
          <w14:textOutline w14:w="6537" w14:cap="sq" w14:cmpd="sng">
            <w14:solidFill>
              <w14:srgbClr w14:val="000000"/>
            </w14:solidFill>
            <w14:prstDash w14:val="solid"/>
            <w14:bevel/>
          </w14:textOutline>
        </w:rPr>
        <w:t>价</w:t>
      </w:r>
      <w:r>
        <w:rPr>
          <w:spacing w:val="-76"/>
          <w:position w:val="2"/>
          <w:sz w:val="35"/>
          <w:szCs w:val="35"/>
        </w:rPr>
        <w:t xml:space="preserve"> </w:t>
      </w:r>
      <w:r>
        <w:rPr>
          <w:spacing w:val="-2"/>
          <w:position w:val="2"/>
          <w:sz w:val="35"/>
          <w:szCs w:val="35"/>
          <w14:textOutline w14:w="6537" w14:cap="sq" w14:cmpd="sng">
            <w14:solidFill>
              <w14:srgbClr w14:val="000000"/>
            </w14:solidFill>
            <w14:prstDash w14:val="solid"/>
            <w14:bevel/>
          </w14:textOutline>
        </w:rPr>
        <w:t>法</w:t>
      </w:r>
      <w:r>
        <w:rPr>
          <w:spacing w:val="-53"/>
          <w:position w:val="2"/>
          <w:sz w:val="35"/>
          <w:szCs w:val="35"/>
        </w:rPr>
        <w:t xml:space="preserve"> </w:t>
      </w:r>
      <w:r>
        <w:rPr>
          <w:spacing w:val="-2"/>
          <w:position w:val="2"/>
          <w:sz w:val="35"/>
          <w:szCs w:val="35"/>
          <w14:textOutline w14:w="6537" w14:cap="sq" w14:cmpd="sng">
            <w14:solidFill>
              <w14:srgbClr w14:val="000000"/>
            </w14:solidFill>
            <w14:prstDash w14:val="solid"/>
            <w14:bevel/>
          </w14:textOutline>
        </w:rPr>
        <w:t>）</w:t>
      </w:r>
    </w:p>
    <w:p>
      <w:pPr>
        <w:spacing w:line="386" w:lineRule="auto"/>
        <w:rPr>
          <w:rFonts w:ascii="Arial"/>
          <w:sz w:val="21"/>
        </w:rPr>
      </w:pPr>
    </w:p>
    <w:p>
      <w:pPr>
        <w:spacing w:before="91" w:line="211" w:lineRule="auto"/>
        <w:ind w:left="1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评标办法前附表</w:t>
      </w:r>
    </w:p>
    <w:tbl>
      <w:tblPr>
        <w:tblStyle w:val="16"/>
        <w:tblW w:w="90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1130"/>
        <w:gridCol w:w="70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45" w:type="dxa"/>
            <w:gridSpan w:val="2"/>
            <w:vAlign w:val="top"/>
          </w:tcPr>
          <w:p>
            <w:pPr>
              <w:pStyle w:val="17"/>
              <w:spacing w:before="180" w:line="228" w:lineRule="auto"/>
              <w:ind w:left="716"/>
              <w:rPr>
                <w:sz w:val="20"/>
                <w:szCs w:val="20"/>
              </w:rPr>
            </w:pPr>
            <w:r>
              <w:rPr>
                <w:spacing w:val="7"/>
                <w:sz w:val="20"/>
                <w:szCs w:val="20"/>
                <w14:textOutline w14:w="3795" w14:cap="sq" w14:cmpd="sng">
                  <w14:solidFill>
                    <w14:srgbClr w14:val="000000"/>
                  </w14:solidFill>
                  <w14:prstDash w14:val="solid"/>
                  <w14:bevel/>
                </w14:textOutline>
              </w:rPr>
              <w:t>条款号</w:t>
            </w:r>
          </w:p>
        </w:tc>
        <w:tc>
          <w:tcPr>
            <w:tcW w:w="7052" w:type="dxa"/>
            <w:vAlign w:val="top"/>
          </w:tcPr>
          <w:p>
            <w:pPr>
              <w:pStyle w:val="17"/>
              <w:spacing w:before="180" w:line="228" w:lineRule="auto"/>
              <w:ind w:left="2583"/>
              <w:rPr>
                <w:sz w:val="20"/>
                <w:szCs w:val="20"/>
              </w:rPr>
            </w:pPr>
            <w:r>
              <w:rPr>
                <w:spacing w:val="9"/>
                <w:sz w:val="20"/>
                <w:szCs w:val="20"/>
                <w14:textOutline w14:w="3795" w14:cap="sq" w14:cmpd="sng">
                  <w14:solidFill>
                    <w14:srgbClr w14:val="000000"/>
                  </w14:solidFill>
                  <w14:prstDash w14:val="solid"/>
                  <w14:bevel/>
                </w14:textOutline>
              </w:rPr>
              <w:t>评审因素与评审标准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7" w:hRule="atLeast"/>
        </w:trPr>
        <w:tc>
          <w:tcPr>
            <w:tcW w:w="915"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17"/>
              <w:spacing w:before="65" w:line="189" w:lineRule="auto"/>
              <w:ind w:left="425"/>
              <w:rPr>
                <w:sz w:val="20"/>
                <w:szCs w:val="20"/>
              </w:rPr>
            </w:pPr>
            <w:r>
              <w:rPr>
                <w:sz w:val="20"/>
                <w:szCs w:val="20"/>
              </w:rPr>
              <w:t>1</w:t>
            </w:r>
          </w:p>
        </w:tc>
        <w:tc>
          <w:tcPr>
            <w:tcW w:w="1130"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17"/>
              <w:spacing w:before="65" w:line="408" w:lineRule="exact"/>
              <w:ind w:left="358"/>
              <w:rPr>
                <w:sz w:val="20"/>
                <w:szCs w:val="20"/>
              </w:rPr>
            </w:pPr>
            <w:r>
              <w:rPr>
                <w:spacing w:val="5"/>
                <w:position w:val="15"/>
                <w:sz w:val="20"/>
                <w:szCs w:val="20"/>
              </w:rPr>
              <w:t>评标</w:t>
            </w:r>
          </w:p>
          <w:p>
            <w:pPr>
              <w:pStyle w:val="17"/>
              <w:spacing w:line="229" w:lineRule="auto"/>
              <w:ind w:left="359"/>
              <w:rPr>
                <w:sz w:val="20"/>
                <w:szCs w:val="20"/>
              </w:rPr>
            </w:pPr>
            <w:r>
              <w:rPr>
                <w:spacing w:val="4"/>
                <w:sz w:val="20"/>
                <w:szCs w:val="20"/>
              </w:rPr>
              <w:t>方法</w:t>
            </w:r>
          </w:p>
        </w:tc>
        <w:tc>
          <w:tcPr>
            <w:tcW w:w="7052" w:type="dxa"/>
            <w:vAlign w:val="top"/>
          </w:tcPr>
          <w:p>
            <w:pPr>
              <w:spacing w:line="324" w:lineRule="auto"/>
              <w:rPr>
                <w:rFonts w:ascii="Arial"/>
                <w:sz w:val="21"/>
              </w:rPr>
            </w:pPr>
          </w:p>
          <w:p>
            <w:pPr>
              <w:pStyle w:val="17"/>
              <w:spacing w:before="65" w:line="408" w:lineRule="exact"/>
              <w:ind w:left="491"/>
              <w:rPr>
                <w:sz w:val="20"/>
                <w:szCs w:val="20"/>
              </w:rPr>
            </w:pPr>
            <w:r>
              <w:rPr>
                <w:spacing w:val="7"/>
                <w:position w:val="15"/>
                <w:sz w:val="20"/>
                <w:szCs w:val="20"/>
              </w:rPr>
              <w:t>综合评分相等时，评标委员会依次按照以下优先顺序推荐中标候选人或</w:t>
            </w:r>
          </w:p>
          <w:p>
            <w:pPr>
              <w:pStyle w:val="17"/>
              <w:spacing w:line="228" w:lineRule="auto"/>
              <w:ind w:left="129"/>
              <w:rPr>
                <w:sz w:val="20"/>
                <w:szCs w:val="20"/>
              </w:rPr>
            </w:pPr>
            <w:r>
              <w:rPr>
                <w:spacing w:val="6"/>
                <w:sz w:val="20"/>
                <w:szCs w:val="20"/>
              </w:rPr>
              <w:t>确定中标人：</w:t>
            </w:r>
          </w:p>
          <w:p>
            <w:pPr>
              <w:pStyle w:val="17"/>
              <w:spacing w:before="160" w:line="226" w:lineRule="auto"/>
              <w:ind w:left="139"/>
              <w:rPr>
                <w:sz w:val="20"/>
                <w:szCs w:val="20"/>
              </w:rPr>
            </w:pPr>
            <w:r>
              <w:rPr>
                <w:spacing w:val="6"/>
                <w:sz w:val="20"/>
                <w:szCs w:val="20"/>
              </w:rPr>
              <w:t>（1）评标价低的优先；</w:t>
            </w:r>
          </w:p>
          <w:p>
            <w:pPr>
              <w:pStyle w:val="17"/>
              <w:spacing w:before="162" w:line="394" w:lineRule="exact"/>
              <w:ind w:left="139"/>
              <w:rPr>
                <w:sz w:val="20"/>
                <w:szCs w:val="20"/>
              </w:rPr>
            </w:pPr>
            <w:r>
              <w:rPr>
                <w:spacing w:val="8"/>
                <w:position w:val="14"/>
                <w:sz w:val="20"/>
                <w:szCs w:val="20"/>
              </w:rPr>
              <w:t>（2）按招标文件规定被认定为最新年度广东省公路工程从业单位信用评价</w:t>
            </w:r>
          </w:p>
          <w:p>
            <w:pPr>
              <w:pStyle w:val="17"/>
              <w:spacing w:line="263" w:lineRule="exact"/>
              <w:ind w:left="130"/>
              <w:rPr>
                <w:sz w:val="20"/>
                <w:szCs w:val="20"/>
              </w:rPr>
            </w:pPr>
            <w:r>
              <w:rPr>
                <w:spacing w:val="8"/>
                <w:sz w:val="20"/>
                <w:szCs w:val="20"/>
              </w:rPr>
              <w:t>等级较高的投标人优先</w:t>
            </w:r>
            <w:r>
              <w:rPr>
                <w:spacing w:val="-25"/>
                <w:position w:val="10"/>
                <w:sz w:val="10"/>
                <w:szCs w:val="10"/>
              </w:rPr>
              <w:t xml:space="preserve"> </w:t>
            </w:r>
            <w:r>
              <w:rPr>
                <w:spacing w:val="8"/>
                <w:sz w:val="20"/>
                <w:szCs w:val="20"/>
              </w:rPr>
              <w:t>;</w:t>
            </w:r>
          </w:p>
          <w:p>
            <w:pPr>
              <w:pStyle w:val="17"/>
              <w:spacing w:before="161" w:line="377" w:lineRule="auto"/>
              <w:ind w:left="129" w:right="119" w:hanging="6"/>
              <w:rPr>
                <w:sz w:val="20"/>
                <w:szCs w:val="20"/>
              </w:rPr>
            </w:pPr>
            <w:r>
              <w:rPr>
                <w:spacing w:val="12"/>
                <w:sz w:val="20"/>
                <w:szCs w:val="20"/>
              </w:rPr>
              <w:t>【采用如下的优先顺序：承诺使用的</w:t>
            </w:r>
            <w:r>
              <w:rPr>
                <w:spacing w:val="-40"/>
                <w:sz w:val="20"/>
                <w:szCs w:val="20"/>
              </w:rPr>
              <w:t xml:space="preserve"> </w:t>
            </w:r>
            <w:r>
              <w:rPr>
                <w:sz w:val="20"/>
                <w:szCs w:val="20"/>
              </w:rPr>
              <w:t>AA</w:t>
            </w:r>
            <w:r>
              <w:rPr>
                <w:spacing w:val="-33"/>
                <w:sz w:val="20"/>
                <w:szCs w:val="20"/>
              </w:rPr>
              <w:t xml:space="preserve"> </w:t>
            </w:r>
            <w:r>
              <w:rPr>
                <w:spacing w:val="12"/>
                <w:sz w:val="20"/>
                <w:szCs w:val="20"/>
              </w:rPr>
              <w:t>级投标人、不承诺使用的</w:t>
            </w:r>
            <w:r>
              <w:rPr>
                <w:spacing w:val="-43"/>
                <w:sz w:val="20"/>
                <w:szCs w:val="20"/>
              </w:rPr>
              <w:t xml:space="preserve"> </w:t>
            </w:r>
            <w:r>
              <w:rPr>
                <w:sz w:val="20"/>
                <w:szCs w:val="20"/>
              </w:rPr>
              <w:t>AA</w:t>
            </w:r>
            <w:r>
              <w:rPr>
                <w:spacing w:val="-32"/>
                <w:sz w:val="20"/>
                <w:szCs w:val="20"/>
              </w:rPr>
              <w:t xml:space="preserve"> </w:t>
            </w:r>
            <w:r>
              <w:rPr>
                <w:spacing w:val="12"/>
                <w:sz w:val="20"/>
                <w:szCs w:val="20"/>
              </w:rPr>
              <w:t>级投</w:t>
            </w:r>
            <w:r>
              <w:rPr>
                <w:sz w:val="20"/>
                <w:szCs w:val="20"/>
              </w:rPr>
              <w:t xml:space="preserve"> </w:t>
            </w:r>
            <w:r>
              <w:rPr>
                <w:spacing w:val="6"/>
                <w:sz w:val="20"/>
                <w:szCs w:val="20"/>
              </w:rPr>
              <w:t>标人、承诺使用的</w:t>
            </w:r>
            <w:r>
              <w:rPr>
                <w:spacing w:val="-45"/>
                <w:sz w:val="20"/>
                <w:szCs w:val="20"/>
              </w:rPr>
              <w:t xml:space="preserve"> </w:t>
            </w:r>
            <w:r>
              <w:rPr>
                <w:spacing w:val="6"/>
                <w:sz w:val="20"/>
                <w:szCs w:val="20"/>
              </w:rPr>
              <w:t>A</w:t>
            </w:r>
            <w:r>
              <w:rPr>
                <w:spacing w:val="-35"/>
                <w:sz w:val="20"/>
                <w:szCs w:val="20"/>
              </w:rPr>
              <w:t xml:space="preserve"> </w:t>
            </w:r>
            <w:r>
              <w:rPr>
                <w:spacing w:val="6"/>
                <w:sz w:val="20"/>
                <w:szCs w:val="20"/>
              </w:rPr>
              <w:t>级投标人、不承诺使用的</w:t>
            </w:r>
            <w:r>
              <w:rPr>
                <w:spacing w:val="-43"/>
                <w:sz w:val="20"/>
                <w:szCs w:val="20"/>
              </w:rPr>
              <w:t xml:space="preserve"> </w:t>
            </w:r>
            <w:r>
              <w:rPr>
                <w:spacing w:val="6"/>
                <w:sz w:val="20"/>
                <w:szCs w:val="20"/>
              </w:rPr>
              <w:t>A</w:t>
            </w:r>
            <w:r>
              <w:rPr>
                <w:spacing w:val="-37"/>
                <w:sz w:val="20"/>
                <w:szCs w:val="20"/>
              </w:rPr>
              <w:t xml:space="preserve"> </w:t>
            </w:r>
            <w:r>
              <w:rPr>
                <w:spacing w:val="6"/>
                <w:sz w:val="20"/>
                <w:szCs w:val="20"/>
              </w:rPr>
              <w:t>级投标人、</w:t>
            </w:r>
            <w:r>
              <w:rPr>
                <w:spacing w:val="5"/>
                <w:sz w:val="20"/>
                <w:szCs w:val="20"/>
              </w:rPr>
              <w:t>B</w:t>
            </w:r>
            <w:r>
              <w:rPr>
                <w:spacing w:val="-35"/>
                <w:sz w:val="20"/>
                <w:szCs w:val="20"/>
              </w:rPr>
              <w:t xml:space="preserve"> </w:t>
            </w:r>
            <w:r>
              <w:rPr>
                <w:spacing w:val="5"/>
                <w:sz w:val="20"/>
                <w:szCs w:val="20"/>
              </w:rPr>
              <w:t>级投标人、未</w:t>
            </w:r>
          </w:p>
          <w:p>
            <w:pPr>
              <w:pStyle w:val="17"/>
              <w:spacing w:before="1" w:line="227" w:lineRule="auto"/>
              <w:ind w:left="130"/>
              <w:rPr>
                <w:sz w:val="20"/>
                <w:szCs w:val="20"/>
              </w:rPr>
            </w:pPr>
            <w:r>
              <w:rPr>
                <w:spacing w:val="7"/>
                <w:sz w:val="20"/>
                <w:szCs w:val="20"/>
              </w:rPr>
              <w:t>参评且被确定为</w:t>
            </w:r>
            <w:r>
              <w:rPr>
                <w:spacing w:val="-44"/>
                <w:sz w:val="20"/>
                <w:szCs w:val="20"/>
              </w:rPr>
              <w:t xml:space="preserve"> </w:t>
            </w:r>
            <w:r>
              <w:rPr>
                <w:spacing w:val="7"/>
                <w:sz w:val="20"/>
                <w:szCs w:val="20"/>
              </w:rPr>
              <w:t>B</w:t>
            </w:r>
            <w:r>
              <w:rPr>
                <w:spacing w:val="-35"/>
                <w:sz w:val="20"/>
                <w:szCs w:val="20"/>
              </w:rPr>
              <w:t xml:space="preserve"> </w:t>
            </w:r>
            <w:r>
              <w:rPr>
                <w:spacing w:val="7"/>
                <w:sz w:val="20"/>
                <w:szCs w:val="20"/>
              </w:rPr>
              <w:t>级投标人】</w:t>
            </w:r>
          </w:p>
          <w:p>
            <w:pPr>
              <w:pStyle w:val="17"/>
              <w:spacing w:before="163" w:line="228" w:lineRule="auto"/>
              <w:ind w:left="139"/>
              <w:rPr>
                <w:sz w:val="20"/>
                <w:szCs w:val="20"/>
              </w:rPr>
            </w:pPr>
            <w:r>
              <w:rPr>
                <w:spacing w:val="6"/>
                <w:sz w:val="20"/>
                <w:szCs w:val="20"/>
              </w:rPr>
              <w:t>（3）</w:t>
            </w:r>
            <w:r>
              <w:rPr>
                <w:spacing w:val="-46"/>
                <w:sz w:val="20"/>
                <w:szCs w:val="20"/>
              </w:rPr>
              <w:t xml:space="preserve"> </w:t>
            </w:r>
            <w:r>
              <w:rPr>
                <w:spacing w:val="6"/>
                <w:sz w:val="20"/>
                <w:szCs w:val="20"/>
              </w:rPr>
              <w:t>以投标人企业最新年度净资产较高的优先；</w:t>
            </w:r>
          </w:p>
          <w:p>
            <w:pPr>
              <w:pStyle w:val="17"/>
              <w:spacing w:before="161" w:line="227" w:lineRule="auto"/>
              <w:ind w:left="139"/>
              <w:rPr>
                <w:sz w:val="20"/>
                <w:szCs w:val="20"/>
              </w:rPr>
            </w:pPr>
            <w:r>
              <w:rPr>
                <w:spacing w:val="9"/>
                <w:sz w:val="20"/>
                <w:szCs w:val="20"/>
              </w:rPr>
              <w:t>（4）评标委员会视投标人情况综合比较，</w:t>
            </w:r>
            <w:r>
              <w:rPr>
                <w:spacing w:val="8"/>
                <w:sz w:val="20"/>
                <w:szCs w:val="20"/>
              </w:rPr>
              <w:t>投票确定其名次。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4" w:hRule="atLeast"/>
        </w:trPr>
        <w:tc>
          <w:tcPr>
            <w:tcW w:w="915"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17"/>
              <w:spacing w:before="65" w:line="408" w:lineRule="exact"/>
              <w:ind w:left="254"/>
              <w:rPr>
                <w:sz w:val="20"/>
                <w:szCs w:val="20"/>
              </w:rPr>
            </w:pPr>
            <w:r>
              <w:rPr>
                <w:spacing w:val="-10"/>
                <w:position w:val="18"/>
                <w:sz w:val="20"/>
                <w:szCs w:val="20"/>
              </w:rPr>
              <w:t>2.1.1</w:t>
            </w:r>
          </w:p>
          <w:p>
            <w:pPr>
              <w:pStyle w:val="17"/>
              <w:spacing w:line="189" w:lineRule="auto"/>
              <w:ind w:left="254"/>
              <w:rPr>
                <w:sz w:val="20"/>
                <w:szCs w:val="20"/>
              </w:rPr>
            </w:pPr>
            <w:r>
              <w:rPr>
                <w:spacing w:val="-10"/>
                <w:sz w:val="20"/>
                <w:szCs w:val="20"/>
              </w:rPr>
              <w:t>2.1.3</w:t>
            </w:r>
          </w:p>
        </w:tc>
        <w:tc>
          <w:tcPr>
            <w:tcW w:w="1130"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17"/>
              <w:spacing w:before="65" w:line="378" w:lineRule="auto"/>
              <w:ind w:left="151" w:right="147" w:hanging="1"/>
              <w:jc w:val="both"/>
              <w:rPr>
                <w:sz w:val="20"/>
                <w:szCs w:val="20"/>
              </w:rPr>
            </w:pPr>
            <w:r>
              <w:rPr>
                <w:spacing w:val="6"/>
                <w:sz w:val="20"/>
                <w:szCs w:val="20"/>
              </w:rPr>
              <w:t>形式评审</w:t>
            </w:r>
            <w:r>
              <w:rPr>
                <w:spacing w:val="2"/>
                <w:sz w:val="20"/>
                <w:szCs w:val="20"/>
              </w:rPr>
              <w:t xml:space="preserve"> </w:t>
            </w:r>
            <w:r>
              <w:rPr>
                <w:spacing w:val="6"/>
                <w:sz w:val="20"/>
                <w:szCs w:val="20"/>
              </w:rPr>
              <w:t>与响应性</w:t>
            </w:r>
          </w:p>
          <w:p>
            <w:pPr>
              <w:pStyle w:val="17"/>
              <w:spacing w:line="228" w:lineRule="auto"/>
              <w:ind w:left="147"/>
              <w:rPr>
                <w:sz w:val="20"/>
                <w:szCs w:val="20"/>
              </w:rPr>
            </w:pPr>
            <w:r>
              <w:rPr>
                <w:spacing w:val="7"/>
                <w:sz w:val="20"/>
                <w:szCs w:val="20"/>
              </w:rPr>
              <w:t>评审标准</w:t>
            </w:r>
          </w:p>
        </w:tc>
        <w:tc>
          <w:tcPr>
            <w:tcW w:w="7052" w:type="dxa"/>
            <w:vAlign w:val="top"/>
          </w:tcPr>
          <w:p>
            <w:pPr>
              <w:spacing w:line="457" w:lineRule="auto"/>
              <w:rPr>
                <w:rFonts w:ascii="Arial"/>
                <w:sz w:val="21"/>
              </w:rPr>
            </w:pPr>
          </w:p>
          <w:p>
            <w:pPr>
              <w:pStyle w:val="17"/>
              <w:spacing w:before="65" w:line="228" w:lineRule="auto"/>
              <w:ind w:left="129"/>
              <w:rPr>
                <w:sz w:val="20"/>
                <w:szCs w:val="20"/>
              </w:rPr>
            </w:pPr>
            <w:r>
              <w:rPr>
                <w:spacing w:val="9"/>
                <w:sz w:val="20"/>
                <w:szCs w:val="20"/>
                <w14:textOutline w14:w="3795" w14:cap="sq" w14:cmpd="sng">
                  <w14:solidFill>
                    <w14:srgbClr w14:val="000000"/>
                  </w14:solidFill>
                  <w14:prstDash w14:val="solid"/>
                  <w14:bevel/>
                </w14:textOutline>
              </w:rPr>
              <w:t>第一个信封（商务及技术文件）评审标准：</w:t>
            </w:r>
          </w:p>
          <w:p>
            <w:pPr>
              <w:pStyle w:val="17"/>
              <w:spacing w:before="161" w:line="228" w:lineRule="auto"/>
              <w:ind w:left="139"/>
              <w:rPr>
                <w:sz w:val="20"/>
                <w:szCs w:val="20"/>
              </w:rPr>
            </w:pPr>
            <w:r>
              <w:rPr>
                <w:spacing w:val="9"/>
                <w:sz w:val="20"/>
                <w:szCs w:val="20"/>
              </w:rPr>
              <w:t>（1）投标文件按照招标文件规定的格式、内容填写，字迹清</w:t>
            </w:r>
            <w:r>
              <w:rPr>
                <w:spacing w:val="8"/>
                <w:sz w:val="20"/>
                <w:szCs w:val="20"/>
              </w:rPr>
              <w:t>晰可辨：</w:t>
            </w:r>
          </w:p>
          <w:p>
            <w:pPr>
              <w:pStyle w:val="17"/>
              <w:spacing w:before="161" w:line="408" w:lineRule="exact"/>
              <w:ind w:left="487"/>
              <w:rPr>
                <w:sz w:val="20"/>
                <w:szCs w:val="20"/>
              </w:rPr>
            </w:pPr>
            <w:r>
              <w:rPr>
                <w:rFonts w:ascii="PMingLiU" w:hAnsi="PMingLiU" w:eastAsia="PMingLiU" w:cs="PMingLiU"/>
                <w:spacing w:val="6"/>
                <w:position w:val="15"/>
                <w:sz w:val="19"/>
                <w:szCs w:val="19"/>
              </w:rPr>
              <w:t>a.</w:t>
            </w:r>
            <w:r>
              <w:rPr>
                <w:rFonts w:ascii="PMingLiU" w:hAnsi="PMingLiU" w:eastAsia="PMingLiU" w:cs="PMingLiU"/>
                <w:spacing w:val="5"/>
                <w:position w:val="15"/>
                <w:sz w:val="19"/>
                <w:szCs w:val="19"/>
              </w:rPr>
              <w:t xml:space="preserve">    </w:t>
            </w:r>
            <w:r>
              <w:rPr>
                <w:spacing w:val="6"/>
                <w:position w:val="15"/>
                <w:sz w:val="20"/>
                <w:szCs w:val="20"/>
              </w:rPr>
              <w:t>投标函按招标文件规定填报了项目名称、标段号（如有)、补遗书编</w:t>
            </w:r>
          </w:p>
          <w:p>
            <w:pPr>
              <w:pStyle w:val="17"/>
              <w:spacing w:line="228" w:lineRule="auto"/>
              <w:ind w:left="134"/>
              <w:rPr>
                <w:sz w:val="20"/>
                <w:szCs w:val="20"/>
              </w:rPr>
            </w:pPr>
            <w:r>
              <w:rPr>
                <w:spacing w:val="8"/>
                <w:sz w:val="20"/>
                <w:szCs w:val="20"/>
              </w:rPr>
              <w:t>号（如有)、工期、工程质量要求及安全目标；</w:t>
            </w:r>
          </w:p>
          <w:p>
            <w:pPr>
              <w:pStyle w:val="17"/>
              <w:spacing w:before="163" w:line="408" w:lineRule="exact"/>
              <w:ind w:left="481"/>
              <w:rPr>
                <w:sz w:val="20"/>
                <w:szCs w:val="20"/>
              </w:rPr>
            </w:pPr>
            <w:r>
              <w:rPr>
                <w:rFonts w:ascii="PMingLiU" w:hAnsi="PMingLiU" w:eastAsia="PMingLiU" w:cs="PMingLiU"/>
                <w:spacing w:val="8"/>
                <w:position w:val="14"/>
                <w:sz w:val="19"/>
                <w:szCs w:val="19"/>
              </w:rPr>
              <w:t>b.</w:t>
            </w:r>
            <w:r>
              <w:rPr>
                <w:rFonts w:ascii="PMingLiU" w:hAnsi="PMingLiU" w:eastAsia="PMingLiU" w:cs="PMingLiU"/>
                <w:spacing w:val="18"/>
                <w:w w:val="101"/>
                <w:position w:val="14"/>
                <w:sz w:val="19"/>
                <w:szCs w:val="19"/>
              </w:rPr>
              <w:t xml:space="preserve">   </w:t>
            </w:r>
            <w:r>
              <w:rPr>
                <w:spacing w:val="8"/>
                <w:position w:val="14"/>
                <w:sz w:val="20"/>
                <w:szCs w:val="20"/>
              </w:rPr>
              <w:t>投标函附录的所有数据均符合招标文件规定；</w:t>
            </w:r>
          </w:p>
          <w:p>
            <w:pPr>
              <w:pStyle w:val="17"/>
              <w:spacing w:line="227" w:lineRule="auto"/>
              <w:ind w:left="485"/>
              <w:rPr>
                <w:sz w:val="20"/>
                <w:szCs w:val="20"/>
              </w:rPr>
            </w:pPr>
            <w:r>
              <w:rPr>
                <w:rFonts w:ascii="PMingLiU" w:hAnsi="PMingLiU" w:eastAsia="PMingLiU" w:cs="PMingLiU"/>
                <w:spacing w:val="8"/>
                <w:sz w:val="19"/>
                <w:szCs w:val="19"/>
              </w:rPr>
              <w:t>c.</w:t>
            </w:r>
            <w:r>
              <w:rPr>
                <w:rFonts w:ascii="PMingLiU" w:hAnsi="PMingLiU" w:eastAsia="PMingLiU" w:cs="PMingLiU"/>
                <w:spacing w:val="3"/>
                <w:sz w:val="19"/>
                <w:szCs w:val="19"/>
              </w:rPr>
              <w:t xml:space="preserve">    </w:t>
            </w:r>
            <w:r>
              <w:rPr>
                <w:spacing w:val="8"/>
                <w:sz w:val="20"/>
                <w:szCs w:val="20"/>
              </w:rPr>
              <w:t>投标文件组成齐全完整，内容均按规定填写。</w:t>
            </w:r>
          </w:p>
          <w:p>
            <w:pPr>
              <w:pStyle w:val="17"/>
              <w:spacing w:before="153" w:line="408" w:lineRule="exact"/>
              <w:ind w:left="139"/>
              <w:rPr>
                <w:sz w:val="20"/>
                <w:szCs w:val="20"/>
              </w:rPr>
            </w:pPr>
            <w:r>
              <w:rPr>
                <w:spacing w:val="8"/>
                <w:position w:val="15"/>
                <w:sz w:val="20"/>
                <w:szCs w:val="20"/>
              </w:rPr>
              <w:t>（2）投标文件上法定代表人或其委托代理人的签字、投标人的单位章盖章</w:t>
            </w:r>
          </w:p>
          <w:p>
            <w:pPr>
              <w:pStyle w:val="17"/>
              <w:spacing w:before="1" w:line="227" w:lineRule="auto"/>
              <w:ind w:left="129"/>
              <w:rPr>
                <w:sz w:val="20"/>
                <w:szCs w:val="20"/>
              </w:rPr>
            </w:pPr>
            <w:r>
              <w:rPr>
                <w:spacing w:val="8"/>
                <w:sz w:val="20"/>
                <w:szCs w:val="20"/>
              </w:rPr>
              <w:t>齐全，符合招标文件规定。</w:t>
            </w:r>
          </w:p>
        </w:tc>
      </w:tr>
    </w:tbl>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before="228"/>
      </w:pPr>
    </w:p>
    <w:tbl>
      <w:tblPr>
        <w:tblStyle w:val="16"/>
        <w:tblW w:w="90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1130"/>
        <w:gridCol w:w="70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45" w:type="dxa"/>
            <w:gridSpan w:val="2"/>
            <w:vAlign w:val="top"/>
          </w:tcPr>
          <w:p>
            <w:pPr>
              <w:pStyle w:val="17"/>
              <w:spacing w:before="179" w:line="228" w:lineRule="auto"/>
              <w:ind w:left="716"/>
              <w:rPr>
                <w:sz w:val="20"/>
                <w:szCs w:val="20"/>
              </w:rPr>
            </w:pPr>
            <w:r>
              <w:rPr>
                <w:spacing w:val="7"/>
                <w:sz w:val="20"/>
                <w:szCs w:val="20"/>
                <w14:textOutline w14:w="3795" w14:cap="sq" w14:cmpd="sng">
                  <w14:solidFill>
                    <w14:srgbClr w14:val="000000"/>
                  </w14:solidFill>
                  <w14:prstDash w14:val="solid"/>
                  <w14:bevel/>
                </w14:textOutline>
              </w:rPr>
              <w:t>条款号</w:t>
            </w:r>
          </w:p>
        </w:tc>
        <w:tc>
          <w:tcPr>
            <w:tcW w:w="7052" w:type="dxa"/>
            <w:vAlign w:val="top"/>
          </w:tcPr>
          <w:p>
            <w:pPr>
              <w:pStyle w:val="17"/>
              <w:spacing w:before="179" w:line="228" w:lineRule="auto"/>
              <w:ind w:left="2583"/>
              <w:rPr>
                <w:sz w:val="20"/>
                <w:szCs w:val="20"/>
              </w:rPr>
            </w:pPr>
            <w:r>
              <w:rPr>
                <w:spacing w:val="9"/>
                <w:sz w:val="20"/>
                <w:szCs w:val="20"/>
                <w14:textOutline w14:w="3795" w14:cap="sq" w14:cmpd="sng">
                  <w14:solidFill>
                    <w14:srgbClr w14:val="000000"/>
                  </w14:solidFill>
                  <w14:prstDash w14:val="solid"/>
                  <w14:bevel/>
                </w14:textOutline>
              </w:rPr>
              <w:t>评审因素与评审标准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5" w:hRule="atLeast"/>
        </w:trPr>
        <w:tc>
          <w:tcPr>
            <w:tcW w:w="915"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7"/>
              <w:spacing w:before="65" w:line="408" w:lineRule="exact"/>
              <w:ind w:left="254"/>
              <w:rPr>
                <w:sz w:val="20"/>
                <w:szCs w:val="20"/>
              </w:rPr>
            </w:pPr>
            <w:r>
              <w:rPr>
                <w:spacing w:val="-10"/>
                <w:position w:val="18"/>
                <w:sz w:val="20"/>
                <w:szCs w:val="20"/>
              </w:rPr>
              <w:t>2.1.1</w:t>
            </w:r>
          </w:p>
          <w:p>
            <w:pPr>
              <w:pStyle w:val="17"/>
              <w:spacing w:line="189" w:lineRule="auto"/>
              <w:ind w:left="254"/>
              <w:rPr>
                <w:sz w:val="20"/>
                <w:szCs w:val="20"/>
              </w:rPr>
            </w:pPr>
            <w:r>
              <w:rPr>
                <w:spacing w:val="-10"/>
                <w:sz w:val="20"/>
                <w:szCs w:val="20"/>
              </w:rPr>
              <w:t>2.1.3</w:t>
            </w:r>
          </w:p>
        </w:tc>
        <w:tc>
          <w:tcPr>
            <w:tcW w:w="1130"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7"/>
              <w:spacing w:before="65" w:line="377" w:lineRule="auto"/>
              <w:ind w:left="151" w:right="147" w:hanging="1"/>
              <w:jc w:val="both"/>
              <w:rPr>
                <w:sz w:val="20"/>
                <w:szCs w:val="20"/>
              </w:rPr>
            </w:pPr>
            <w:r>
              <w:rPr>
                <w:spacing w:val="6"/>
                <w:sz w:val="20"/>
                <w:szCs w:val="20"/>
              </w:rPr>
              <w:t>形式评审</w:t>
            </w:r>
            <w:r>
              <w:rPr>
                <w:spacing w:val="2"/>
                <w:sz w:val="20"/>
                <w:szCs w:val="20"/>
              </w:rPr>
              <w:t xml:space="preserve"> </w:t>
            </w:r>
            <w:r>
              <w:rPr>
                <w:spacing w:val="6"/>
                <w:sz w:val="20"/>
                <w:szCs w:val="20"/>
              </w:rPr>
              <w:t>与响应性</w:t>
            </w:r>
          </w:p>
          <w:p>
            <w:pPr>
              <w:pStyle w:val="17"/>
              <w:spacing w:line="228" w:lineRule="auto"/>
              <w:ind w:left="147"/>
              <w:rPr>
                <w:sz w:val="20"/>
                <w:szCs w:val="20"/>
              </w:rPr>
            </w:pPr>
            <w:r>
              <w:rPr>
                <w:spacing w:val="7"/>
                <w:sz w:val="20"/>
                <w:szCs w:val="20"/>
              </w:rPr>
              <w:t>评审标准</w:t>
            </w:r>
          </w:p>
        </w:tc>
        <w:tc>
          <w:tcPr>
            <w:tcW w:w="7052" w:type="dxa"/>
            <w:vAlign w:val="top"/>
          </w:tcPr>
          <w:p>
            <w:pPr>
              <w:spacing w:line="259" w:lineRule="auto"/>
              <w:rPr>
                <w:rFonts w:ascii="Arial"/>
                <w:sz w:val="21"/>
              </w:rPr>
            </w:pPr>
          </w:p>
          <w:p>
            <w:pPr>
              <w:pStyle w:val="17"/>
              <w:spacing w:before="1" w:line="226" w:lineRule="auto"/>
              <w:ind w:left="139"/>
              <w:rPr>
                <w:sz w:val="20"/>
                <w:szCs w:val="20"/>
              </w:rPr>
            </w:pPr>
            <w:r>
              <w:rPr>
                <w:spacing w:val="8"/>
                <w:sz w:val="20"/>
                <w:szCs w:val="20"/>
              </w:rPr>
              <w:t>（</w:t>
            </w:r>
            <w:r>
              <w:rPr>
                <w:rFonts w:hint="eastAsia"/>
                <w:spacing w:val="8"/>
                <w:sz w:val="20"/>
                <w:szCs w:val="20"/>
                <w:lang w:val="en-US" w:eastAsia="zh-CN"/>
              </w:rPr>
              <w:t>3</w:t>
            </w:r>
            <w:r>
              <w:rPr>
                <w:spacing w:val="8"/>
                <w:sz w:val="20"/>
                <w:szCs w:val="20"/>
              </w:rPr>
              <w:t>）投标人按照招标文件的规定提供了投标保证金：</w:t>
            </w:r>
          </w:p>
          <w:p>
            <w:pPr>
              <w:pStyle w:val="17"/>
              <w:spacing w:before="162" w:line="408" w:lineRule="exact"/>
              <w:ind w:left="489"/>
              <w:rPr>
                <w:sz w:val="20"/>
                <w:szCs w:val="20"/>
              </w:rPr>
            </w:pPr>
            <w:r>
              <w:rPr>
                <w:spacing w:val="7"/>
                <w:position w:val="15"/>
                <w:sz w:val="20"/>
                <w:szCs w:val="20"/>
              </w:rPr>
              <w:t>a.投标保证金金额符合招标文件规定的金额，且投标保证金有效期不少</w:t>
            </w:r>
          </w:p>
          <w:p>
            <w:pPr>
              <w:pStyle w:val="17"/>
              <w:spacing w:line="228" w:lineRule="auto"/>
              <w:ind w:left="132"/>
              <w:rPr>
                <w:sz w:val="20"/>
                <w:szCs w:val="20"/>
              </w:rPr>
            </w:pPr>
            <w:r>
              <w:rPr>
                <w:spacing w:val="6"/>
                <w:sz w:val="20"/>
                <w:szCs w:val="20"/>
              </w:rPr>
              <w:t>于投标有效期；</w:t>
            </w:r>
          </w:p>
          <w:p>
            <w:pPr>
              <w:pStyle w:val="17"/>
              <w:spacing w:before="160" w:line="378" w:lineRule="auto"/>
              <w:ind w:left="133" w:right="124" w:firstLine="352"/>
              <w:rPr>
                <w:sz w:val="20"/>
                <w:szCs w:val="20"/>
              </w:rPr>
            </w:pPr>
            <w:r>
              <w:rPr>
                <w:spacing w:val="21"/>
                <w:sz w:val="20"/>
                <w:szCs w:val="20"/>
              </w:rPr>
              <w:t>b.若投标保证金采用现金或支票形式提交，投标人应在投标人须知</w:t>
            </w:r>
            <w:r>
              <w:rPr>
                <w:spacing w:val="3"/>
                <w:sz w:val="20"/>
                <w:szCs w:val="20"/>
              </w:rPr>
              <w:t xml:space="preserve"> </w:t>
            </w:r>
            <w:r>
              <w:rPr>
                <w:spacing w:val="6"/>
                <w:sz w:val="20"/>
                <w:szCs w:val="20"/>
              </w:rPr>
              <w:t>3.4.1</w:t>
            </w:r>
            <w:r>
              <w:rPr>
                <w:spacing w:val="-22"/>
                <w:sz w:val="20"/>
                <w:szCs w:val="20"/>
              </w:rPr>
              <w:t xml:space="preserve"> </w:t>
            </w:r>
            <w:r>
              <w:rPr>
                <w:spacing w:val="6"/>
                <w:sz w:val="20"/>
                <w:szCs w:val="20"/>
              </w:rPr>
              <w:t>项规定的时间，将投标保证金由投标人的基本账户转入招标人指定账</w:t>
            </w:r>
          </w:p>
          <w:p>
            <w:pPr>
              <w:pStyle w:val="17"/>
              <w:spacing w:before="1" w:line="228" w:lineRule="auto"/>
              <w:ind w:left="129"/>
              <w:rPr>
                <w:sz w:val="20"/>
                <w:szCs w:val="20"/>
              </w:rPr>
            </w:pPr>
            <w:r>
              <w:rPr>
                <w:sz w:val="20"/>
                <w:szCs w:val="20"/>
              </w:rPr>
              <w:t>户；</w:t>
            </w:r>
          </w:p>
          <w:p>
            <w:pPr>
              <w:pStyle w:val="17"/>
              <w:spacing w:before="160" w:line="408" w:lineRule="exact"/>
              <w:ind w:left="493"/>
              <w:rPr>
                <w:sz w:val="20"/>
                <w:szCs w:val="20"/>
              </w:rPr>
            </w:pPr>
            <w:r>
              <w:rPr>
                <w:spacing w:val="12"/>
                <w:position w:val="15"/>
                <w:sz w:val="20"/>
                <w:szCs w:val="20"/>
              </w:rPr>
              <w:t>c.若投标保证金采用银行保函或投标人须知前附表</w:t>
            </w:r>
            <w:r>
              <w:rPr>
                <w:spacing w:val="-28"/>
                <w:position w:val="15"/>
                <w:sz w:val="20"/>
                <w:szCs w:val="20"/>
              </w:rPr>
              <w:t xml:space="preserve"> </w:t>
            </w:r>
            <w:r>
              <w:rPr>
                <w:spacing w:val="11"/>
                <w:position w:val="15"/>
                <w:sz w:val="20"/>
                <w:szCs w:val="20"/>
              </w:rPr>
              <w:t>3.4.1</w:t>
            </w:r>
            <w:r>
              <w:rPr>
                <w:spacing w:val="-30"/>
                <w:position w:val="15"/>
                <w:sz w:val="20"/>
                <w:szCs w:val="20"/>
              </w:rPr>
              <w:t xml:space="preserve"> </w:t>
            </w:r>
            <w:r>
              <w:rPr>
                <w:spacing w:val="11"/>
                <w:position w:val="15"/>
                <w:sz w:val="20"/>
                <w:szCs w:val="20"/>
              </w:rPr>
              <w:t>项规定的其</w:t>
            </w:r>
          </w:p>
          <w:p>
            <w:pPr>
              <w:pStyle w:val="17"/>
              <w:spacing w:before="1" w:line="227" w:lineRule="auto"/>
              <w:ind w:left="129"/>
              <w:rPr>
                <w:sz w:val="20"/>
                <w:szCs w:val="20"/>
              </w:rPr>
            </w:pPr>
            <w:r>
              <w:rPr>
                <w:spacing w:val="8"/>
                <w:sz w:val="20"/>
                <w:szCs w:val="20"/>
              </w:rPr>
              <w:t>他形式提交，应满足招标文件要求。</w:t>
            </w:r>
          </w:p>
          <w:p>
            <w:pPr>
              <w:pStyle w:val="17"/>
              <w:spacing w:before="163" w:line="377" w:lineRule="auto"/>
              <w:ind w:left="133" w:right="124" w:firstLine="5"/>
              <w:jc w:val="both"/>
              <w:rPr>
                <w:sz w:val="20"/>
                <w:szCs w:val="20"/>
              </w:rPr>
            </w:pPr>
            <w:r>
              <w:rPr>
                <w:spacing w:val="8"/>
                <w:sz w:val="20"/>
                <w:szCs w:val="20"/>
              </w:rPr>
              <w:t>（</w:t>
            </w:r>
            <w:r>
              <w:rPr>
                <w:rFonts w:hint="eastAsia"/>
                <w:spacing w:val="8"/>
                <w:sz w:val="20"/>
                <w:szCs w:val="20"/>
                <w:lang w:val="en-US" w:eastAsia="zh-CN"/>
              </w:rPr>
              <w:t>4</w:t>
            </w:r>
            <w:r>
              <w:rPr>
                <w:spacing w:val="8"/>
                <w:sz w:val="20"/>
                <w:szCs w:val="20"/>
              </w:rPr>
              <w:t>）投标人法定代表人授权委托代理人签署投标文件的，需提交授权委托</w:t>
            </w:r>
            <w:r>
              <w:rPr>
                <w:spacing w:val="18"/>
                <w:sz w:val="20"/>
                <w:szCs w:val="20"/>
              </w:rPr>
              <w:t xml:space="preserve"> </w:t>
            </w:r>
            <w:r>
              <w:rPr>
                <w:spacing w:val="12"/>
                <w:sz w:val="20"/>
                <w:szCs w:val="20"/>
              </w:rPr>
              <w:t>书，且授权人和被授权人均在授权委托书上签名，未使用印章、签名章或</w:t>
            </w:r>
          </w:p>
          <w:p>
            <w:pPr>
              <w:pStyle w:val="17"/>
              <w:spacing w:before="1" w:line="227" w:lineRule="auto"/>
              <w:ind w:left="129"/>
              <w:rPr>
                <w:spacing w:val="8"/>
                <w:sz w:val="20"/>
                <w:szCs w:val="20"/>
              </w:rPr>
            </w:pPr>
            <w:r>
              <w:rPr>
                <w:spacing w:val="8"/>
                <w:sz w:val="20"/>
                <w:szCs w:val="20"/>
              </w:rPr>
              <w:t>其他电子制版签名代替。</w:t>
            </w:r>
          </w:p>
          <w:p>
            <w:pPr>
              <w:pStyle w:val="17"/>
              <w:spacing w:before="65" w:line="378" w:lineRule="auto"/>
              <w:ind w:left="128" w:right="70" w:firstLine="10"/>
              <w:jc w:val="both"/>
              <w:rPr>
                <w:sz w:val="20"/>
                <w:szCs w:val="20"/>
              </w:rPr>
            </w:pPr>
            <w:r>
              <w:rPr>
                <w:spacing w:val="5"/>
                <w:sz w:val="20"/>
                <w:szCs w:val="20"/>
              </w:rPr>
              <w:t>（</w:t>
            </w:r>
            <w:r>
              <w:rPr>
                <w:rFonts w:hint="eastAsia"/>
                <w:spacing w:val="5"/>
                <w:sz w:val="20"/>
                <w:szCs w:val="20"/>
                <w:lang w:val="en-US" w:eastAsia="zh-CN"/>
              </w:rPr>
              <w:t>5</w:t>
            </w:r>
            <w:r>
              <w:rPr>
                <w:spacing w:val="5"/>
                <w:sz w:val="20"/>
                <w:szCs w:val="20"/>
              </w:rPr>
              <w:t>）投标人法定代表人亲自签署投标文件的，提供了法定代表人身份证明，</w:t>
            </w:r>
            <w:r>
              <w:rPr>
                <w:spacing w:val="2"/>
                <w:sz w:val="20"/>
                <w:szCs w:val="20"/>
              </w:rPr>
              <w:t xml:space="preserve"> </w:t>
            </w:r>
            <w:r>
              <w:rPr>
                <w:spacing w:val="7"/>
                <w:sz w:val="20"/>
                <w:szCs w:val="20"/>
              </w:rPr>
              <w:t>且法定代表人在法定代表人身份证明上签名，未使用印章、签名章或</w:t>
            </w:r>
            <w:r>
              <w:rPr>
                <w:spacing w:val="6"/>
                <w:sz w:val="20"/>
                <w:szCs w:val="20"/>
              </w:rPr>
              <w:t>其他电</w:t>
            </w:r>
            <w:r>
              <w:rPr>
                <w:spacing w:val="7"/>
                <w:sz w:val="20"/>
                <w:szCs w:val="20"/>
              </w:rPr>
              <w:t>子制版签名代替。</w:t>
            </w:r>
          </w:p>
          <w:p>
            <w:pPr>
              <w:pStyle w:val="17"/>
              <w:spacing w:before="1" w:line="226" w:lineRule="auto"/>
              <w:ind w:left="129"/>
              <w:rPr>
                <w:sz w:val="20"/>
                <w:szCs w:val="20"/>
              </w:rPr>
            </w:pPr>
            <w:r>
              <w:rPr>
                <w:spacing w:val="9"/>
                <w:position w:val="4"/>
                <w:sz w:val="20"/>
                <w:szCs w:val="20"/>
              </w:rPr>
              <w:t>（</w:t>
            </w:r>
            <w:r>
              <w:rPr>
                <w:rFonts w:hint="eastAsia"/>
                <w:spacing w:val="9"/>
                <w:position w:val="4"/>
                <w:sz w:val="20"/>
                <w:szCs w:val="20"/>
                <w:lang w:val="en-US" w:eastAsia="zh-CN"/>
              </w:rPr>
              <w:t>6</w:t>
            </w:r>
            <w:r>
              <w:rPr>
                <w:spacing w:val="9"/>
                <w:position w:val="4"/>
                <w:sz w:val="20"/>
                <w:szCs w:val="20"/>
              </w:rPr>
              <w:t>）投标人未以联合体形式投标</w:t>
            </w:r>
          </w:p>
          <w:p>
            <w:pPr>
              <w:pStyle w:val="17"/>
              <w:spacing w:before="161" w:line="377" w:lineRule="auto"/>
              <w:ind w:left="131" w:right="123" w:firstLine="7"/>
              <w:rPr>
                <w:sz w:val="20"/>
                <w:szCs w:val="20"/>
              </w:rPr>
            </w:pPr>
            <w:r>
              <w:rPr>
                <w:spacing w:val="10"/>
                <w:sz w:val="20"/>
                <w:szCs w:val="20"/>
              </w:rPr>
              <w:t>（</w:t>
            </w:r>
            <w:r>
              <w:rPr>
                <w:rFonts w:hint="eastAsia"/>
                <w:spacing w:val="10"/>
                <w:sz w:val="20"/>
                <w:szCs w:val="20"/>
                <w:lang w:val="en-US" w:eastAsia="zh-CN"/>
              </w:rPr>
              <w:t>7</w:t>
            </w:r>
            <w:r>
              <w:rPr>
                <w:spacing w:val="10"/>
                <w:sz w:val="20"/>
                <w:szCs w:val="20"/>
              </w:rPr>
              <w:t>）如投标人不具备拟分包工程所需的某专项</w:t>
            </w:r>
            <w:r>
              <w:rPr>
                <w:spacing w:val="9"/>
                <w:sz w:val="20"/>
                <w:szCs w:val="20"/>
              </w:rPr>
              <w:t>工程相应资质或投标人如有</w:t>
            </w:r>
            <w:r>
              <w:rPr>
                <w:sz w:val="20"/>
                <w:szCs w:val="20"/>
              </w:rPr>
              <w:t xml:space="preserve"> </w:t>
            </w:r>
            <w:r>
              <w:rPr>
                <w:spacing w:val="6"/>
                <w:sz w:val="20"/>
                <w:szCs w:val="20"/>
              </w:rPr>
              <w:t>分包计划，符合招标文件第二章“投标人须知</w:t>
            </w:r>
            <w:r>
              <w:rPr>
                <w:spacing w:val="-73"/>
                <w:sz w:val="20"/>
                <w:szCs w:val="20"/>
              </w:rPr>
              <w:t xml:space="preserve"> </w:t>
            </w:r>
            <w:r>
              <w:rPr>
                <w:spacing w:val="6"/>
                <w:sz w:val="20"/>
                <w:szCs w:val="20"/>
              </w:rPr>
              <w:t>”</w:t>
            </w:r>
            <w:r>
              <w:rPr>
                <w:spacing w:val="-27"/>
                <w:sz w:val="20"/>
                <w:szCs w:val="20"/>
              </w:rPr>
              <w:t xml:space="preserve"> </w:t>
            </w:r>
            <w:r>
              <w:rPr>
                <w:spacing w:val="5"/>
                <w:sz w:val="20"/>
                <w:szCs w:val="20"/>
              </w:rPr>
              <w:t>第</w:t>
            </w:r>
            <w:r>
              <w:rPr>
                <w:spacing w:val="-23"/>
                <w:sz w:val="20"/>
                <w:szCs w:val="20"/>
              </w:rPr>
              <w:t xml:space="preserve"> </w:t>
            </w:r>
            <w:r>
              <w:rPr>
                <w:spacing w:val="5"/>
                <w:sz w:val="20"/>
                <w:szCs w:val="20"/>
              </w:rPr>
              <w:t>1.11</w:t>
            </w:r>
            <w:r>
              <w:rPr>
                <w:spacing w:val="-40"/>
                <w:sz w:val="20"/>
                <w:szCs w:val="20"/>
              </w:rPr>
              <w:t xml:space="preserve"> </w:t>
            </w:r>
            <w:r>
              <w:rPr>
                <w:spacing w:val="5"/>
                <w:sz w:val="20"/>
                <w:szCs w:val="20"/>
              </w:rPr>
              <w:t>款规定，且按招标</w:t>
            </w:r>
            <w:r>
              <w:rPr>
                <w:spacing w:val="8"/>
                <w:sz w:val="20"/>
                <w:szCs w:val="20"/>
              </w:rPr>
              <w:t>文件第九章“投标文件格式</w:t>
            </w:r>
            <w:r>
              <w:rPr>
                <w:spacing w:val="-62"/>
                <w:sz w:val="20"/>
                <w:szCs w:val="20"/>
              </w:rPr>
              <w:t xml:space="preserve"> </w:t>
            </w:r>
            <w:r>
              <w:rPr>
                <w:spacing w:val="8"/>
                <w:sz w:val="20"/>
                <w:szCs w:val="20"/>
              </w:rPr>
              <w:t>”的要求填写了“拟分包项目情况表</w:t>
            </w:r>
            <w:r>
              <w:rPr>
                <w:spacing w:val="-70"/>
                <w:sz w:val="20"/>
                <w:szCs w:val="20"/>
              </w:rPr>
              <w:t xml:space="preserve"> </w:t>
            </w:r>
            <w:r>
              <w:rPr>
                <w:spacing w:val="8"/>
                <w:sz w:val="20"/>
                <w:szCs w:val="20"/>
              </w:rPr>
              <w:t>”。</w:t>
            </w:r>
          </w:p>
          <w:p>
            <w:pPr>
              <w:pStyle w:val="17"/>
              <w:spacing w:before="162" w:line="411" w:lineRule="exact"/>
              <w:ind w:left="139"/>
              <w:rPr>
                <w:sz w:val="20"/>
                <w:szCs w:val="20"/>
              </w:rPr>
            </w:pPr>
            <w:r>
              <w:rPr>
                <w:spacing w:val="8"/>
                <w:position w:val="15"/>
                <w:sz w:val="20"/>
                <w:szCs w:val="20"/>
              </w:rPr>
              <w:t>（</w:t>
            </w:r>
            <w:r>
              <w:rPr>
                <w:rFonts w:hint="eastAsia"/>
                <w:spacing w:val="8"/>
                <w:position w:val="15"/>
                <w:sz w:val="20"/>
                <w:szCs w:val="20"/>
                <w:lang w:val="en-US" w:eastAsia="zh-CN"/>
              </w:rPr>
              <w:t>8</w:t>
            </w:r>
            <w:r>
              <w:rPr>
                <w:spacing w:val="8"/>
                <w:position w:val="15"/>
                <w:sz w:val="20"/>
                <w:szCs w:val="20"/>
              </w:rPr>
              <w:t>）</w:t>
            </w:r>
            <w:r>
              <w:rPr>
                <w:spacing w:val="-46"/>
                <w:position w:val="15"/>
                <w:sz w:val="20"/>
                <w:szCs w:val="20"/>
              </w:rPr>
              <w:t xml:space="preserve"> </w:t>
            </w:r>
            <w:r>
              <w:rPr>
                <w:spacing w:val="8"/>
                <w:position w:val="15"/>
                <w:sz w:val="20"/>
                <w:szCs w:val="20"/>
              </w:rPr>
              <w:t>同一投标人未提交两个以上不同的投标文件，但招标文件要求提交备</w:t>
            </w:r>
          </w:p>
          <w:p>
            <w:pPr>
              <w:pStyle w:val="17"/>
              <w:spacing w:before="1" w:line="227" w:lineRule="auto"/>
              <w:ind w:left="128"/>
              <w:rPr>
                <w:sz w:val="20"/>
                <w:szCs w:val="20"/>
              </w:rPr>
            </w:pPr>
            <w:r>
              <w:rPr>
                <w:spacing w:val="7"/>
                <w:sz w:val="20"/>
                <w:szCs w:val="20"/>
              </w:rPr>
              <w:t>选投标的除外。</w:t>
            </w:r>
          </w:p>
          <w:p>
            <w:pPr>
              <w:pStyle w:val="17"/>
              <w:spacing w:before="161" w:line="226" w:lineRule="auto"/>
              <w:ind w:left="139"/>
              <w:rPr>
                <w:sz w:val="20"/>
                <w:szCs w:val="20"/>
              </w:rPr>
            </w:pPr>
            <w:r>
              <w:rPr>
                <w:spacing w:val="8"/>
                <w:sz w:val="20"/>
                <w:szCs w:val="20"/>
              </w:rPr>
              <w:t>（</w:t>
            </w:r>
            <w:r>
              <w:rPr>
                <w:rFonts w:hint="eastAsia"/>
                <w:spacing w:val="8"/>
                <w:sz w:val="20"/>
                <w:szCs w:val="20"/>
                <w:lang w:val="en-US" w:eastAsia="zh-CN"/>
              </w:rPr>
              <w:t>9</w:t>
            </w:r>
            <w:r>
              <w:rPr>
                <w:spacing w:val="8"/>
                <w:sz w:val="20"/>
                <w:szCs w:val="20"/>
              </w:rPr>
              <w:t>）投标文件中未出现有关投标报价的内容。</w:t>
            </w:r>
          </w:p>
          <w:p>
            <w:pPr>
              <w:pStyle w:val="17"/>
              <w:spacing w:before="163" w:line="408" w:lineRule="exact"/>
              <w:ind w:left="139"/>
              <w:rPr>
                <w:sz w:val="20"/>
                <w:szCs w:val="20"/>
              </w:rPr>
            </w:pPr>
            <w:r>
              <w:rPr>
                <w:spacing w:val="9"/>
                <w:position w:val="15"/>
                <w:sz w:val="20"/>
                <w:szCs w:val="20"/>
              </w:rPr>
              <w:t>（1</w:t>
            </w:r>
            <w:r>
              <w:rPr>
                <w:rFonts w:hint="eastAsia"/>
                <w:spacing w:val="9"/>
                <w:position w:val="15"/>
                <w:sz w:val="20"/>
                <w:szCs w:val="20"/>
                <w:lang w:val="en-US" w:eastAsia="zh-CN"/>
              </w:rPr>
              <w:t>0</w:t>
            </w:r>
            <w:r>
              <w:rPr>
                <w:spacing w:val="9"/>
                <w:position w:val="15"/>
                <w:sz w:val="20"/>
                <w:szCs w:val="20"/>
              </w:rPr>
              <w:t>）投标文件载明的招标项目完成期限未超过</w:t>
            </w:r>
            <w:r>
              <w:rPr>
                <w:spacing w:val="8"/>
                <w:position w:val="15"/>
                <w:sz w:val="20"/>
                <w:szCs w:val="20"/>
              </w:rPr>
              <w:t>招标文件规定的时限。</w:t>
            </w:r>
          </w:p>
          <w:p>
            <w:pPr>
              <w:pStyle w:val="17"/>
              <w:spacing w:before="1" w:line="227" w:lineRule="auto"/>
              <w:ind w:left="139"/>
              <w:rPr>
                <w:sz w:val="20"/>
                <w:szCs w:val="20"/>
              </w:rPr>
            </w:pPr>
            <w:r>
              <w:rPr>
                <w:spacing w:val="8"/>
                <w:sz w:val="20"/>
                <w:szCs w:val="20"/>
              </w:rPr>
              <w:t>（1</w:t>
            </w:r>
            <w:r>
              <w:rPr>
                <w:rFonts w:hint="eastAsia"/>
                <w:spacing w:val="8"/>
                <w:sz w:val="20"/>
                <w:szCs w:val="20"/>
                <w:lang w:val="en-US" w:eastAsia="zh-CN"/>
              </w:rPr>
              <w:t>1</w:t>
            </w:r>
            <w:r>
              <w:rPr>
                <w:spacing w:val="8"/>
                <w:sz w:val="20"/>
                <w:szCs w:val="20"/>
              </w:rPr>
              <w:t>）投标文件对招标文件的实质性要求和条件作出响应。</w:t>
            </w:r>
          </w:p>
          <w:p>
            <w:pPr>
              <w:pStyle w:val="17"/>
              <w:spacing w:before="163" w:line="228" w:lineRule="auto"/>
              <w:ind w:left="139"/>
              <w:rPr>
                <w:sz w:val="20"/>
                <w:szCs w:val="20"/>
              </w:rPr>
            </w:pPr>
            <w:r>
              <w:rPr>
                <w:spacing w:val="7"/>
                <w:sz w:val="20"/>
                <w:szCs w:val="20"/>
              </w:rPr>
              <w:t>（1</w:t>
            </w:r>
            <w:r>
              <w:rPr>
                <w:rFonts w:hint="eastAsia"/>
                <w:spacing w:val="7"/>
                <w:sz w:val="20"/>
                <w:szCs w:val="20"/>
                <w:lang w:val="en-US" w:eastAsia="zh-CN"/>
              </w:rPr>
              <w:t>2</w:t>
            </w:r>
            <w:r>
              <w:rPr>
                <w:spacing w:val="7"/>
                <w:sz w:val="20"/>
                <w:szCs w:val="20"/>
              </w:rPr>
              <w:t>）权利义务符合招标文件规定：</w:t>
            </w:r>
          </w:p>
          <w:p>
            <w:pPr>
              <w:pStyle w:val="17"/>
              <w:spacing w:before="162" w:line="408" w:lineRule="exact"/>
              <w:ind w:right="55"/>
              <w:jc w:val="right"/>
              <w:rPr>
                <w:sz w:val="20"/>
                <w:szCs w:val="20"/>
              </w:rPr>
            </w:pPr>
            <w:r>
              <w:rPr>
                <w:spacing w:val="9"/>
                <w:position w:val="15"/>
                <w:sz w:val="20"/>
                <w:szCs w:val="20"/>
              </w:rPr>
              <w:t>a.投标人应接受招标文件规定的风险划分原则，</w:t>
            </w:r>
            <w:r>
              <w:rPr>
                <w:spacing w:val="8"/>
                <w:position w:val="15"/>
                <w:sz w:val="20"/>
                <w:szCs w:val="20"/>
              </w:rPr>
              <w:t>未提出新的风险划分办</w:t>
            </w:r>
          </w:p>
          <w:p>
            <w:pPr>
              <w:pStyle w:val="17"/>
              <w:spacing w:line="229" w:lineRule="auto"/>
              <w:ind w:left="129"/>
              <w:rPr>
                <w:sz w:val="20"/>
                <w:szCs w:val="20"/>
              </w:rPr>
            </w:pPr>
            <w:r>
              <w:rPr>
                <w:sz w:val="20"/>
                <w:szCs w:val="20"/>
              </w:rPr>
              <w:t>法；</w:t>
            </w:r>
          </w:p>
          <w:p>
            <w:pPr>
              <w:pStyle w:val="17"/>
              <w:spacing w:before="159" w:line="228" w:lineRule="auto"/>
              <w:ind w:left="545"/>
              <w:rPr>
                <w:sz w:val="20"/>
                <w:szCs w:val="20"/>
              </w:rPr>
            </w:pPr>
            <w:r>
              <w:rPr>
                <w:spacing w:val="9"/>
                <w:sz w:val="20"/>
                <w:szCs w:val="20"/>
              </w:rPr>
              <w:t>b.投标人未增加发包人的责任范围，或减少投标人义务；</w:t>
            </w:r>
          </w:p>
          <w:p>
            <w:pPr>
              <w:pStyle w:val="17"/>
              <w:spacing w:before="162" w:line="408" w:lineRule="exact"/>
              <w:ind w:left="553"/>
              <w:rPr>
                <w:sz w:val="20"/>
                <w:szCs w:val="20"/>
              </w:rPr>
            </w:pPr>
            <w:r>
              <w:rPr>
                <w:spacing w:val="8"/>
                <w:position w:val="15"/>
                <w:sz w:val="20"/>
                <w:szCs w:val="20"/>
              </w:rPr>
              <w:t>c.投标人未提出不同的工程验收、计量、支付办法；</w:t>
            </w:r>
          </w:p>
          <w:p>
            <w:pPr>
              <w:pStyle w:val="17"/>
              <w:spacing w:line="227" w:lineRule="auto"/>
              <w:ind w:left="553"/>
              <w:rPr>
                <w:sz w:val="20"/>
                <w:szCs w:val="20"/>
              </w:rPr>
            </w:pPr>
            <w:r>
              <w:rPr>
                <w:spacing w:val="8"/>
                <w:sz w:val="20"/>
                <w:szCs w:val="20"/>
              </w:rPr>
              <w:t>d.投标人对合同纠纷、事故处理办法未提出异议；</w:t>
            </w:r>
          </w:p>
          <w:p>
            <w:pPr>
              <w:pStyle w:val="17"/>
              <w:spacing w:before="164" w:line="408" w:lineRule="exact"/>
              <w:ind w:left="553"/>
              <w:rPr>
                <w:sz w:val="20"/>
                <w:szCs w:val="20"/>
              </w:rPr>
            </w:pPr>
            <w:r>
              <w:rPr>
                <w:spacing w:val="7"/>
                <w:position w:val="15"/>
                <w:sz w:val="20"/>
                <w:szCs w:val="20"/>
              </w:rPr>
              <w:t>e.投标人在投标活动中无欺诈行为；</w:t>
            </w:r>
          </w:p>
          <w:p>
            <w:pPr>
              <w:pStyle w:val="17"/>
              <w:spacing w:before="1" w:line="227" w:lineRule="auto"/>
              <w:ind w:left="552"/>
              <w:rPr>
                <w:sz w:val="20"/>
                <w:szCs w:val="20"/>
              </w:rPr>
            </w:pPr>
            <w:r>
              <w:rPr>
                <w:spacing w:val="8"/>
                <w:sz w:val="20"/>
                <w:szCs w:val="20"/>
              </w:rPr>
              <w:t>f.投标人未对合同条款有重要保留。</w:t>
            </w:r>
          </w:p>
          <w:p>
            <w:pPr>
              <w:pStyle w:val="17"/>
              <w:spacing w:before="161" w:line="408" w:lineRule="exact"/>
              <w:ind w:left="376"/>
              <w:rPr>
                <w:sz w:val="20"/>
                <w:szCs w:val="20"/>
              </w:rPr>
            </w:pPr>
            <w:r>
              <w:rPr>
                <w:spacing w:val="9"/>
                <w:position w:val="15"/>
                <w:sz w:val="20"/>
                <w:szCs w:val="20"/>
              </w:rPr>
              <w:t>(1</w:t>
            </w:r>
            <w:r>
              <w:rPr>
                <w:rFonts w:hint="eastAsia"/>
                <w:spacing w:val="9"/>
                <w:position w:val="15"/>
                <w:sz w:val="20"/>
                <w:szCs w:val="20"/>
                <w:lang w:val="en-US" w:eastAsia="zh-CN"/>
              </w:rPr>
              <w:t>3</w:t>
            </w:r>
            <w:r>
              <w:rPr>
                <w:spacing w:val="9"/>
                <w:position w:val="15"/>
                <w:sz w:val="20"/>
                <w:szCs w:val="20"/>
              </w:rPr>
              <w:t>)投标文件正、副本份数符合招标文件第二章“</w:t>
            </w:r>
            <w:r>
              <w:rPr>
                <w:spacing w:val="8"/>
                <w:position w:val="15"/>
                <w:sz w:val="20"/>
                <w:szCs w:val="20"/>
              </w:rPr>
              <w:t>投标人须知 第</w:t>
            </w:r>
            <w:r>
              <w:rPr>
                <w:spacing w:val="-31"/>
                <w:position w:val="15"/>
                <w:sz w:val="20"/>
                <w:szCs w:val="20"/>
              </w:rPr>
              <w:t xml:space="preserve"> </w:t>
            </w:r>
            <w:r>
              <w:rPr>
                <w:spacing w:val="8"/>
                <w:position w:val="15"/>
                <w:sz w:val="20"/>
                <w:szCs w:val="20"/>
              </w:rPr>
              <w:t>3.7.4</w:t>
            </w:r>
          </w:p>
          <w:p>
            <w:pPr>
              <w:pStyle w:val="17"/>
              <w:spacing w:before="1" w:line="227" w:lineRule="auto"/>
              <w:ind w:left="129"/>
              <w:rPr>
                <w:rFonts w:hint="eastAsia"/>
                <w:spacing w:val="8"/>
                <w:sz w:val="20"/>
                <w:szCs w:val="20"/>
                <w:lang w:eastAsia="zh-CN"/>
              </w:rPr>
            </w:pPr>
            <w:r>
              <w:rPr>
                <w:spacing w:val="4"/>
                <w:sz w:val="20"/>
                <w:szCs w:val="20"/>
              </w:rPr>
              <w:t>项规定。</w:t>
            </w:r>
          </w:p>
        </w:tc>
      </w:tr>
    </w:tbl>
    <w:p>
      <w:pPr>
        <w:spacing w:before="228"/>
      </w:pPr>
    </w:p>
    <w:tbl>
      <w:tblPr>
        <w:tblStyle w:val="16"/>
        <w:tblW w:w="90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903"/>
        <w:gridCol w:w="71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863" w:type="dxa"/>
            <w:gridSpan w:val="2"/>
            <w:vAlign w:val="top"/>
          </w:tcPr>
          <w:p>
            <w:pPr>
              <w:pStyle w:val="17"/>
              <w:spacing w:before="170" w:line="228" w:lineRule="auto"/>
              <w:ind w:left="625"/>
              <w:rPr>
                <w:sz w:val="20"/>
                <w:szCs w:val="20"/>
              </w:rPr>
            </w:pPr>
            <w:r>
              <w:rPr>
                <w:spacing w:val="7"/>
                <w:sz w:val="20"/>
                <w:szCs w:val="20"/>
                <w14:textOutline w14:w="3795" w14:cap="sq" w14:cmpd="sng">
                  <w14:solidFill>
                    <w14:srgbClr w14:val="000000"/>
                  </w14:solidFill>
                  <w14:prstDash w14:val="solid"/>
                  <w14:bevel/>
                </w14:textOutline>
              </w:rPr>
              <w:t>条款号</w:t>
            </w:r>
          </w:p>
        </w:tc>
        <w:tc>
          <w:tcPr>
            <w:tcW w:w="7161" w:type="dxa"/>
            <w:vAlign w:val="top"/>
          </w:tcPr>
          <w:p>
            <w:pPr>
              <w:pStyle w:val="17"/>
              <w:spacing w:before="170" w:line="228" w:lineRule="auto"/>
              <w:ind w:left="2638"/>
              <w:rPr>
                <w:sz w:val="20"/>
                <w:szCs w:val="20"/>
              </w:rPr>
            </w:pPr>
            <w:r>
              <w:rPr>
                <w:spacing w:val="9"/>
                <w:sz w:val="20"/>
                <w:szCs w:val="20"/>
                <w14:textOutline w14:w="3795" w14:cap="sq" w14:cmpd="sng">
                  <w14:solidFill>
                    <w14:srgbClr w14:val="000000"/>
                  </w14:solidFill>
                  <w14:prstDash w14:val="solid"/>
                  <w14:bevel/>
                </w14:textOutline>
              </w:rPr>
              <w:t>评审因素与评审标准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5" w:hRule="atLeast"/>
        </w:trPr>
        <w:tc>
          <w:tcPr>
            <w:tcW w:w="960"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7"/>
              <w:spacing w:before="65" w:line="408" w:lineRule="exact"/>
              <w:ind w:left="237"/>
              <w:rPr>
                <w:sz w:val="20"/>
                <w:szCs w:val="20"/>
              </w:rPr>
            </w:pPr>
            <w:r>
              <w:rPr>
                <w:spacing w:val="-10"/>
                <w:position w:val="18"/>
                <w:sz w:val="20"/>
                <w:szCs w:val="20"/>
              </w:rPr>
              <w:t>2.1.1</w:t>
            </w:r>
          </w:p>
          <w:p>
            <w:pPr>
              <w:pStyle w:val="17"/>
              <w:spacing w:line="189" w:lineRule="auto"/>
              <w:ind w:left="237"/>
              <w:rPr>
                <w:sz w:val="20"/>
                <w:szCs w:val="20"/>
              </w:rPr>
            </w:pPr>
            <w:r>
              <w:rPr>
                <w:spacing w:val="-10"/>
                <w:sz w:val="20"/>
                <w:szCs w:val="20"/>
              </w:rPr>
              <w:t>2.1.3</w:t>
            </w:r>
          </w:p>
        </w:tc>
        <w:tc>
          <w:tcPr>
            <w:tcW w:w="903"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17"/>
              <w:spacing w:before="65" w:line="408" w:lineRule="exact"/>
              <w:ind w:left="235"/>
              <w:rPr>
                <w:sz w:val="20"/>
                <w:szCs w:val="20"/>
              </w:rPr>
            </w:pPr>
            <w:r>
              <w:rPr>
                <w:spacing w:val="19"/>
                <w:position w:val="15"/>
                <w:sz w:val="20"/>
                <w:szCs w:val="20"/>
              </w:rPr>
              <w:t>形式</w:t>
            </w:r>
          </w:p>
          <w:p>
            <w:pPr>
              <w:pStyle w:val="17"/>
              <w:spacing w:line="228" w:lineRule="auto"/>
              <w:ind w:left="231"/>
              <w:rPr>
                <w:sz w:val="20"/>
                <w:szCs w:val="20"/>
              </w:rPr>
            </w:pPr>
            <w:r>
              <w:rPr>
                <w:spacing w:val="24"/>
                <w:sz w:val="20"/>
                <w:szCs w:val="20"/>
              </w:rPr>
              <w:t>评审</w:t>
            </w:r>
          </w:p>
          <w:p>
            <w:pPr>
              <w:pStyle w:val="17"/>
              <w:spacing w:before="162" w:line="230" w:lineRule="auto"/>
              <w:ind w:left="236"/>
              <w:rPr>
                <w:sz w:val="20"/>
                <w:szCs w:val="20"/>
              </w:rPr>
            </w:pPr>
            <w:r>
              <w:rPr>
                <w:spacing w:val="22"/>
                <w:sz w:val="20"/>
                <w:szCs w:val="20"/>
              </w:rPr>
              <w:t>与响</w:t>
            </w:r>
          </w:p>
          <w:p>
            <w:pPr>
              <w:pStyle w:val="17"/>
              <w:spacing w:before="159" w:line="229" w:lineRule="auto"/>
              <w:ind w:left="232"/>
              <w:rPr>
                <w:sz w:val="20"/>
                <w:szCs w:val="20"/>
              </w:rPr>
            </w:pPr>
            <w:r>
              <w:rPr>
                <w:spacing w:val="20"/>
                <w:sz w:val="20"/>
                <w:szCs w:val="20"/>
              </w:rPr>
              <w:t>应性</w:t>
            </w:r>
          </w:p>
          <w:p>
            <w:pPr>
              <w:pStyle w:val="17"/>
              <w:spacing w:before="160" w:line="228" w:lineRule="auto"/>
              <w:ind w:left="231"/>
              <w:rPr>
                <w:sz w:val="20"/>
                <w:szCs w:val="20"/>
              </w:rPr>
            </w:pPr>
            <w:r>
              <w:rPr>
                <w:spacing w:val="24"/>
                <w:sz w:val="20"/>
                <w:szCs w:val="20"/>
              </w:rPr>
              <w:t>评审</w:t>
            </w:r>
          </w:p>
          <w:p>
            <w:pPr>
              <w:pStyle w:val="17"/>
              <w:spacing w:before="160" w:line="228" w:lineRule="auto"/>
              <w:ind w:left="233"/>
              <w:rPr>
                <w:sz w:val="20"/>
                <w:szCs w:val="20"/>
              </w:rPr>
            </w:pPr>
            <w:r>
              <w:rPr>
                <w:spacing w:val="4"/>
                <w:sz w:val="20"/>
                <w:szCs w:val="20"/>
              </w:rPr>
              <w:t>标准</w:t>
            </w:r>
          </w:p>
        </w:tc>
        <w:tc>
          <w:tcPr>
            <w:tcW w:w="7161" w:type="dxa"/>
            <w:vAlign w:val="top"/>
          </w:tcPr>
          <w:p>
            <w:pPr>
              <w:spacing w:line="411" w:lineRule="auto"/>
              <w:rPr>
                <w:rFonts w:ascii="Arial"/>
                <w:sz w:val="21"/>
              </w:rPr>
            </w:pPr>
          </w:p>
          <w:p>
            <w:pPr>
              <w:pStyle w:val="17"/>
              <w:spacing w:before="65" w:line="386" w:lineRule="auto"/>
              <w:ind w:left="231" w:right="228" w:firstLine="10"/>
              <w:jc w:val="both"/>
              <w:rPr>
                <w:sz w:val="20"/>
                <w:szCs w:val="20"/>
              </w:rPr>
            </w:pPr>
            <w:r>
              <w:rPr>
                <w:spacing w:val="12"/>
                <w:sz w:val="20"/>
                <w:szCs w:val="20"/>
              </w:rPr>
              <w:t>（1</w:t>
            </w:r>
            <w:r>
              <w:rPr>
                <w:rFonts w:hint="eastAsia"/>
                <w:spacing w:val="12"/>
                <w:sz w:val="20"/>
                <w:szCs w:val="20"/>
                <w:lang w:val="en-US" w:eastAsia="zh-CN"/>
              </w:rPr>
              <w:t>4</w:t>
            </w:r>
            <w:r>
              <w:rPr>
                <w:spacing w:val="12"/>
                <w:sz w:val="20"/>
                <w:szCs w:val="20"/>
              </w:rPr>
              <w:t>）投标人在投标文</w:t>
            </w:r>
            <w:r>
              <w:rPr>
                <w:spacing w:val="11"/>
                <w:sz w:val="20"/>
                <w:szCs w:val="20"/>
              </w:rPr>
              <w:t>件递交截止日</w:t>
            </w:r>
            <w:r>
              <w:rPr>
                <w:rFonts w:hint="eastAsia"/>
                <w:spacing w:val="11"/>
                <w:sz w:val="20"/>
                <w:szCs w:val="20"/>
                <w:lang w:eastAsia="zh-CN"/>
              </w:rPr>
              <w:t>前</w:t>
            </w:r>
            <w:r>
              <w:rPr>
                <w:spacing w:val="11"/>
                <w:sz w:val="20"/>
                <w:szCs w:val="20"/>
              </w:rPr>
              <w:t>，没有被交通运</w:t>
            </w:r>
            <w:r>
              <w:rPr>
                <w:sz w:val="20"/>
                <w:szCs w:val="20"/>
              </w:rPr>
              <w:t xml:space="preserve"> </w:t>
            </w:r>
            <w:r>
              <w:rPr>
                <w:spacing w:val="16"/>
                <w:sz w:val="20"/>
                <w:szCs w:val="20"/>
              </w:rPr>
              <w:t>输部或广东省交通运输厅行政处罚且取消投标资格或信用等级被广东省</w:t>
            </w:r>
            <w:r>
              <w:rPr>
                <w:spacing w:val="7"/>
                <w:sz w:val="20"/>
                <w:szCs w:val="20"/>
              </w:rPr>
              <w:t>交通运输厅降低为</w:t>
            </w:r>
            <w:r>
              <w:rPr>
                <w:spacing w:val="-38"/>
                <w:sz w:val="20"/>
                <w:szCs w:val="20"/>
              </w:rPr>
              <w:t xml:space="preserve"> </w:t>
            </w:r>
            <w:r>
              <w:rPr>
                <w:spacing w:val="7"/>
                <w:sz w:val="20"/>
                <w:szCs w:val="20"/>
              </w:rPr>
              <w:t>D</w:t>
            </w:r>
            <w:r>
              <w:rPr>
                <w:spacing w:val="-35"/>
                <w:sz w:val="20"/>
                <w:szCs w:val="20"/>
              </w:rPr>
              <w:t xml:space="preserve"> </w:t>
            </w:r>
            <w:r>
              <w:rPr>
                <w:spacing w:val="7"/>
                <w:sz w:val="20"/>
                <w:szCs w:val="20"/>
              </w:rPr>
              <w:t>级等情况之一的。</w:t>
            </w:r>
          </w:p>
          <w:p>
            <w:pPr>
              <w:pStyle w:val="17"/>
              <w:spacing w:before="161" w:line="227" w:lineRule="auto"/>
              <w:ind w:left="242"/>
              <w:rPr>
                <w:sz w:val="20"/>
                <w:szCs w:val="20"/>
              </w:rPr>
            </w:pPr>
            <w:r>
              <w:rPr>
                <w:spacing w:val="8"/>
                <w:sz w:val="20"/>
                <w:szCs w:val="20"/>
              </w:rPr>
              <w:t>（1</w:t>
            </w:r>
            <w:r>
              <w:rPr>
                <w:rFonts w:hint="eastAsia"/>
                <w:spacing w:val="8"/>
                <w:sz w:val="20"/>
                <w:szCs w:val="20"/>
                <w:lang w:val="en-US" w:eastAsia="zh-CN"/>
              </w:rPr>
              <w:t>5</w:t>
            </w:r>
            <w:r>
              <w:rPr>
                <w:spacing w:val="8"/>
                <w:sz w:val="20"/>
                <w:szCs w:val="20"/>
              </w:rPr>
              <w:t>）投标文件未附有招标人不能接受的条件。</w:t>
            </w:r>
          </w:p>
          <w:p>
            <w:pPr>
              <w:spacing w:line="251" w:lineRule="auto"/>
              <w:rPr>
                <w:rFonts w:ascii="Arial"/>
                <w:sz w:val="21"/>
              </w:rPr>
            </w:pPr>
          </w:p>
          <w:p>
            <w:pPr>
              <w:spacing w:line="251" w:lineRule="auto"/>
              <w:rPr>
                <w:rFonts w:ascii="Arial"/>
                <w:sz w:val="21"/>
              </w:rPr>
            </w:pPr>
          </w:p>
          <w:p>
            <w:pPr>
              <w:pStyle w:val="17"/>
              <w:spacing w:before="65" w:line="226" w:lineRule="auto"/>
              <w:ind w:left="232"/>
              <w:rPr>
                <w:sz w:val="20"/>
                <w:szCs w:val="20"/>
              </w:rPr>
            </w:pPr>
            <w:r>
              <w:rPr>
                <w:spacing w:val="9"/>
                <w:sz w:val="20"/>
                <w:szCs w:val="20"/>
                <w14:textOutline w14:w="3795" w14:cap="sq" w14:cmpd="sng">
                  <w14:solidFill>
                    <w14:srgbClr w14:val="000000"/>
                  </w14:solidFill>
                  <w14:prstDash w14:val="solid"/>
                  <w14:bevel/>
                </w14:textOutline>
              </w:rPr>
              <w:t>第二个信封（报价文件）评审标准：</w:t>
            </w:r>
          </w:p>
          <w:p>
            <w:pPr>
              <w:pStyle w:val="17"/>
              <w:spacing w:before="162" w:line="228" w:lineRule="auto"/>
              <w:ind w:left="242"/>
              <w:rPr>
                <w:sz w:val="20"/>
                <w:szCs w:val="20"/>
              </w:rPr>
            </w:pPr>
            <w:r>
              <w:rPr>
                <w:spacing w:val="7"/>
                <w:sz w:val="20"/>
                <w:szCs w:val="20"/>
              </w:rPr>
              <w:t>（1）投标文件按照招标文件规定的格式、</w:t>
            </w:r>
            <w:r>
              <w:rPr>
                <w:spacing w:val="-42"/>
                <w:sz w:val="20"/>
                <w:szCs w:val="20"/>
              </w:rPr>
              <w:t xml:space="preserve"> </w:t>
            </w:r>
            <w:r>
              <w:rPr>
                <w:spacing w:val="7"/>
                <w:sz w:val="20"/>
                <w:szCs w:val="20"/>
              </w:rPr>
              <w:t>内容填写，字迹清晰可辨：</w:t>
            </w:r>
          </w:p>
          <w:p>
            <w:pPr>
              <w:pStyle w:val="17"/>
              <w:spacing w:before="161" w:line="411" w:lineRule="exact"/>
              <w:ind w:left="590"/>
              <w:rPr>
                <w:sz w:val="20"/>
                <w:szCs w:val="20"/>
              </w:rPr>
            </w:pPr>
            <w:r>
              <w:rPr>
                <w:rFonts w:ascii="PMingLiU" w:hAnsi="PMingLiU" w:eastAsia="PMingLiU" w:cs="PMingLiU"/>
                <w:spacing w:val="6"/>
                <w:position w:val="15"/>
                <w:sz w:val="19"/>
                <w:szCs w:val="19"/>
              </w:rPr>
              <w:t xml:space="preserve">a.  </w:t>
            </w:r>
            <w:r>
              <w:rPr>
                <w:spacing w:val="6"/>
                <w:position w:val="15"/>
                <w:sz w:val="20"/>
                <w:szCs w:val="20"/>
              </w:rPr>
              <w:t>投标函按招标文件规定填报了项目名称、标段号（如有)、补遗书编</w:t>
            </w:r>
          </w:p>
          <w:p>
            <w:pPr>
              <w:pStyle w:val="17"/>
              <w:spacing w:line="226" w:lineRule="auto"/>
              <w:ind w:left="237"/>
              <w:rPr>
                <w:sz w:val="20"/>
                <w:szCs w:val="20"/>
              </w:rPr>
            </w:pPr>
            <w:r>
              <w:rPr>
                <w:spacing w:val="8"/>
                <w:sz w:val="20"/>
                <w:szCs w:val="20"/>
              </w:rPr>
              <w:t>号（如有)、投标总报价（包括大写金额和小写金额)；</w:t>
            </w:r>
          </w:p>
          <w:p>
            <w:pPr>
              <w:pStyle w:val="17"/>
              <w:spacing w:before="163" w:line="408" w:lineRule="exact"/>
              <w:ind w:left="584"/>
              <w:rPr>
                <w:sz w:val="20"/>
                <w:szCs w:val="20"/>
              </w:rPr>
            </w:pPr>
            <w:r>
              <w:rPr>
                <w:rFonts w:ascii="PMingLiU" w:hAnsi="PMingLiU" w:eastAsia="PMingLiU" w:cs="PMingLiU"/>
                <w:spacing w:val="9"/>
                <w:position w:val="15"/>
                <w:sz w:val="19"/>
                <w:szCs w:val="19"/>
              </w:rPr>
              <w:t xml:space="preserve">b.  </w:t>
            </w:r>
            <w:r>
              <w:rPr>
                <w:spacing w:val="9"/>
                <w:position w:val="15"/>
                <w:sz w:val="20"/>
                <w:szCs w:val="20"/>
              </w:rPr>
              <w:t>已标价工程量清单说明文字与招标文件规定一致，未进行实质性修</w:t>
            </w:r>
          </w:p>
          <w:p>
            <w:pPr>
              <w:pStyle w:val="17"/>
              <w:spacing w:line="227" w:lineRule="auto"/>
              <w:ind w:left="239"/>
              <w:rPr>
                <w:sz w:val="20"/>
                <w:szCs w:val="20"/>
              </w:rPr>
            </w:pPr>
            <w:r>
              <w:rPr>
                <w:spacing w:val="4"/>
                <w:sz w:val="20"/>
                <w:szCs w:val="20"/>
              </w:rPr>
              <w:t>改和删减；</w:t>
            </w:r>
          </w:p>
          <w:p>
            <w:pPr>
              <w:pStyle w:val="17"/>
              <w:spacing w:before="161" w:line="228" w:lineRule="auto"/>
              <w:ind w:left="588"/>
              <w:rPr>
                <w:sz w:val="20"/>
                <w:szCs w:val="20"/>
              </w:rPr>
            </w:pPr>
            <w:r>
              <w:rPr>
                <w:rFonts w:ascii="PMingLiU" w:hAnsi="PMingLiU" w:eastAsia="PMingLiU" w:cs="PMingLiU"/>
                <w:spacing w:val="8"/>
                <w:sz w:val="19"/>
                <w:szCs w:val="19"/>
              </w:rPr>
              <w:t xml:space="preserve">c.  </w:t>
            </w:r>
            <w:r>
              <w:rPr>
                <w:spacing w:val="8"/>
                <w:sz w:val="20"/>
                <w:szCs w:val="20"/>
              </w:rPr>
              <w:t>投标文件组成齐全完整，内容均按规定填写。</w:t>
            </w:r>
          </w:p>
          <w:p>
            <w:pPr>
              <w:pStyle w:val="17"/>
              <w:spacing w:before="156" w:line="408" w:lineRule="exact"/>
              <w:ind w:left="242"/>
              <w:rPr>
                <w:sz w:val="20"/>
                <w:szCs w:val="20"/>
              </w:rPr>
            </w:pPr>
            <w:r>
              <w:rPr>
                <w:spacing w:val="12"/>
                <w:position w:val="15"/>
                <w:sz w:val="20"/>
                <w:szCs w:val="20"/>
              </w:rPr>
              <w:t>（2）投标文件上法定代表人或其委托代理人的签字、投标人的单</w:t>
            </w:r>
            <w:r>
              <w:rPr>
                <w:spacing w:val="11"/>
                <w:position w:val="15"/>
                <w:sz w:val="20"/>
                <w:szCs w:val="20"/>
              </w:rPr>
              <w:t>位章盖</w:t>
            </w:r>
          </w:p>
          <w:p>
            <w:pPr>
              <w:pStyle w:val="17"/>
              <w:spacing w:before="1" w:line="226" w:lineRule="auto"/>
              <w:ind w:left="239"/>
              <w:rPr>
                <w:sz w:val="20"/>
                <w:szCs w:val="20"/>
              </w:rPr>
            </w:pPr>
            <w:r>
              <w:rPr>
                <w:spacing w:val="7"/>
                <w:sz w:val="20"/>
                <w:szCs w:val="20"/>
              </w:rPr>
              <w:t>章齐全，符合招标文件规定。</w:t>
            </w:r>
          </w:p>
          <w:p>
            <w:pPr>
              <w:pStyle w:val="17"/>
              <w:spacing w:before="162" w:line="408" w:lineRule="exact"/>
              <w:ind w:left="242"/>
              <w:rPr>
                <w:sz w:val="20"/>
                <w:szCs w:val="20"/>
              </w:rPr>
            </w:pPr>
            <w:r>
              <w:rPr>
                <w:spacing w:val="12"/>
                <w:position w:val="15"/>
                <w:sz w:val="20"/>
                <w:szCs w:val="20"/>
              </w:rPr>
              <w:t>（3）投标总报价或调价函中的报价未超过招标文件设定的最高投</w:t>
            </w:r>
            <w:r>
              <w:rPr>
                <w:spacing w:val="11"/>
                <w:position w:val="15"/>
                <w:sz w:val="20"/>
                <w:szCs w:val="20"/>
              </w:rPr>
              <w:t>标限价</w:t>
            </w:r>
          </w:p>
          <w:p>
            <w:pPr>
              <w:pStyle w:val="17"/>
              <w:spacing w:line="226" w:lineRule="auto"/>
              <w:ind w:left="242"/>
              <w:rPr>
                <w:sz w:val="20"/>
                <w:szCs w:val="20"/>
              </w:rPr>
            </w:pPr>
            <w:r>
              <w:rPr>
                <w:spacing w:val="7"/>
                <w:sz w:val="20"/>
                <w:szCs w:val="20"/>
              </w:rPr>
              <w:t>（如有）及最高评标限价（如有）。</w:t>
            </w:r>
          </w:p>
          <w:p>
            <w:pPr>
              <w:pStyle w:val="17"/>
              <w:spacing w:before="166" w:line="226" w:lineRule="auto"/>
              <w:ind w:left="242"/>
              <w:rPr>
                <w:sz w:val="20"/>
                <w:szCs w:val="20"/>
              </w:rPr>
            </w:pPr>
            <w:r>
              <w:rPr>
                <w:spacing w:val="9"/>
                <w:sz w:val="20"/>
                <w:szCs w:val="20"/>
              </w:rPr>
              <w:t>（4）投标总报价或调价函中报价的大写金额能够确</w:t>
            </w:r>
            <w:r>
              <w:rPr>
                <w:spacing w:val="8"/>
                <w:sz w:val="20"/>
                <w:szCs w:val="20"/>
              </w:rPr>
              <w:t>定具体数值。</w:t>
            </w:r>
          </w:p>
          <w:p>
            <w:pPr>
              <w:pStyle w:val="17"/>
              <w:spacing w:before="163" w:line="408" w:lineRule="exact"/>
              <w:ind w:left="242"/>
              <w:rPr>
                <w:sz w:val="20"/>
                <w:szCs w:val="20"/>
              </w:rPr>
            </w:pPr>
            <w:r>
              <w:rPr>
                <w:spacing w:val="10"/>
                <w:position w:val="15"/>
                <w:sz w:val="20"/>
                <w:szCs w:val="20"/>
              </w:rPr>
              <w:t>（5）</w:t>
            </w:r>
            <w:r>
              <w:rPr>
                <w:spacing w:val="-39"/>
                <w:position w:val="15"/>
                <w:sz w:val="20"/>
                <w:szCs w:val="20"/>
              </w:rPr>
              <w:t xml:space="preserve"> </w:t>
            </w:r>
            <w:r>
              <w:rPr>
                <w:spacing w:val="10"/>
                <w:position w:val="15"/>
                <w:sz w:val="20"/>
                <w:szCs w:val="20"/>
              </w:rPr>
              <w:t>同一投标人未提交两个以上不同的投标报价，但招标文件要求提交</w:t>
            </w:r>
          </w:p>
          <w:p>
            <w:pPr>
              <w:pStyle w:val="17"/>
              <w:spacing w:before="1" w:line="227" w:lineRule="auto"/>
              <w:ind w:left="234"/>
              <w:rPr>
                <w:sz w:val="20"/>
                <w:szCs w:val="20"/>
              </w:rPr>
            </w:pPr>
            <w:r>
              <w:rPr>
                <w:spacing w:val="7"/>
                <w:sz w:val="20"/>
                <w:szCs w:val="20"/>
              </w:rPr>
              <w:t>备选投标的除外。</w:t>
            </w:r>
          </w:p>
          <w:p>
            <w:pPr>
              <w:pStyle w:val="17"/>
              <w:spacing w:before="161" w:line="408" w:lineRule="exact"/>
              <w:ind w:left="242"/>
              <w:rPr>
                <w:sz w:val="20"/>
                <w:szCs w:val="20"/>
              </w:rPr>
            </w:pPr>
            <w:r>
              <w:rPr>
                <w:spacing w:val="14"/>
                <w:position w:val="15"/>
                <w:sz w:val="20"/>
                <w:szCs w:val="20"/>
              </w:rPr>
              <w:t>（6）投标人若提交调价函，调价函符合招标文件第二章“投标人须知</w:t>
            </w:r>
            <w:r>
              <w:rPr>
                <w:spacing w:val="-64"/>
                <w:position w:val="15"/>
                <w:sz w:val="20"/>
                <w:szCs w:val="20"/>
              </w:rPr>
              <w:t xml:space="preserve"> </w:t>
            </w:r>
            <w:r>
              <w:rPr>
                <w:spacing w:val="14"/>
                <w:position w:val="15"/>
                <w:sz w:val="20"/>
                <w:szCs w:val="20"/>
              </w:rPr>
              <w:t>”</w:t>
            </w:r>
          </w:p>
          <w:p>
            <w:pPr>
              <w:pStyle w:val="17"/>
              <w:spacing w:before="1" w:line="227" w:lineRule="auto"/>
              <w:ind w:left="232"/>
              <w:rPr>
                <w:sz w:val="20"/>
                <w:szCs w:val="20"/>
              </w:rPr>
            </w:pPr>
            <w:r>
              <w:rPr>
                <w:spacing w:val="3"/>
                <w:sz w:val="20"/>
                <w:szCs w:val="20"/>
              </w:rPr>
              <w:t>第</w:t>
            </w:r>
            <w:r>
              <w:rPr>
                <w:spacing w:val="-36"/>
                <w:sz w:val="20"/>
                <w:szCs w:val="20"/>
              </w:rPr>
              <w:t xml:space="preserve"> </w:t>
            </w:r>
            <w:r>
              <w:rPr>
                <w:spacing w:val="3"/>
                <w:sz w:val="20"/>
                <w:szCs w:val="20"/>
              </w:rPr>
              <w:t>3.2.6</w:t>
            </w:r>
            <w:r>
              <w:rPr>
                <w:spacing w:val="-35"/>
                <w:sz w:val="20"/>
                <w:szCs w:val="20"/>
              </w:rPr>
              <w:t xml:space="preserve"> </w:t>
            </w:r>
            <w:r>
              <w:rPr>
                <w:spacing w:val="3"/>
                <w:sz w:val="20"/>
                <w:szCs w:val="20"/>
              </w:rPr>
              <w:t>项要求。</w:t>
            </w:r>
          </w:p>
          <w:p>
            <w:pPr>
              <w:pStyle w:val="17"/>
              <w:spacing w:before="160" w:line="378" w:lineRule="auto"/>
              <w:ind w:left="231" w:right="228" w:firstLine="10"/>
              <w:rPr>
                <w:sz w:val="20"/>
                <w:szCs w:val="20"/>
              </w:rPr>
            </w:pPr>
            <w:r>
              <w:rPr>
                <w:spacing w:val="12"/>
                <w:sz w:val="20"/>
                <w:szCs w:val="20"/>
              </w:rPr>
              <w:t>（7）投标人若填写工程量固化清单，填写完毕的工程量固化清单</w:t>
            </w:r>
            <w:r>
              <w:rPr>
                <w:spacing w:val="11"/>
                <w:sz w:val="20"/>
                <w:szCs w:val="20"/>
              </w:rPr>
              <w:t>未对工</w:t>
            </w:r>
            <w:r>
              <w:rPr>
                <w:sz w:val="20"/>
                <w:szCs w:val="20"/>
              </w:rPr>
              <w:t xml:space="preserve"> </w:t>
            </w:r>
            <w:r>
              <w:rPr>
                <w:spacing w:val="9"/>
                <w:sz w:val="20"/>
                <w:szCs w:val="20"/>
              </w:rPr>
              <w:t>程量固化清单电子文件中的数据、格式和运算定义进行修改；工程量固化</w:t>
            </w:r>
          </w:p>
          <w:p>
            <w:pPr>
              <w:pStyle w:val="17"/>
              <w:spacing w:before="1" w:line="226" w:lineRule="auto"/>
              <w:ind w:left="232"/>
              <w:rPr>
                <w:sz w:val="20"/>
                <w:szCs w:val="20"/>
              </w:rPr>
            </w:pPr>
            <w:r>
              <w:rPr>
                <w:spacing w:val="9"/>
                <w:sz w:val="20"/>
                <w:szCs w:val="20"/>
              </w:rPr>
              <w:t>清单中的投标总报价和投标函大写金额报价一致。</w:t>
            </w:r>
          </w:p>
          <w:p>
            <w:pPr>
              <w:pStyle w:val="17"/>
              <w:spacing w:before="163" w:line="408" w:lineRule="exact"/>
              <w:ind w:left="242"/>
              <w:rPr>
                <w:sz w:val="20"/>
                <w:szCs w:val="20"/>
              </w:rPr>
            </w:pPr>
            <w:r>
              <w:rPr>
                <w:spacing w:val="5"/>
                <w:position w:val="15"/>
                <w:sz w:val="20"/>
                <w:szCs w:val="20"/>
              </w:rPr>
              <w:t>（8）投标文件正、副本份数符合招标文件第二章“投标人须知</w:t>
            </w:r>
            <w:r>
              <w:rPr>
                <w:spacing w:val="-55"/>
                <w:position w:val="15"/>
                <w:sz w:val="20"/>
                <w:szCs w:val="20"/>
              </w:rPr>
              <w:t xml:space="preserve"> </w:t>
            </w:r>
            <w:r>
              <w:rPr>
                <w:spacing w:val="5"/>
                <w:position w:val="15"/>
                <w:sz w:val="20"/>
                <w:szCs w:val="20"/>
              </w:rPr>
              <w:t>”第 3.7.4</w:t>
            </w:r>
          </w:p>
          <w:p>
            <w:pPr>
              <w:pStyle w:val="17"/>
              <w:spacing w:line="228" w:lineRule="auto"/>
              <w:ind w:left="235"/>
              <w:rPr>
                <w:sz w:val="20"/>
                <w:szCs w:val="20"/>
              </w:rPr>
            </w:pPr>
            <w:r>
              <w:rPr>
                <w:spacing w:val="-16"/>
                <w:sz w:val="20"/>
                <w:szCs w:val="20"/>
              </w:rPr>
              <w:t>项规定。</w:t>
            </w:r>
          </w:p>
        </w:tc>
      </w:tr>
    </w:tbl>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228"/>
      </w:pPr>
    </w:p>
    <w:p>
      <w:pPr>
        <w:pStyle w:val="12"/>
      </w:pPr>
    </w:p>
    <w:tbl>
      <w:tblPr>
        <w:tblStyle w:val="16"/>
        <w:tblW w:w="90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0"/>
        <w:gridCol w:w="903"/>
        <w:gridCol w:w="71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863" w:type="dxa"/>
            <w:gridSpan w:val="2"/>
            <w:vAlign w:val="top"/>
          </w:tcPr>
          <w:p>
            <w:pPr>
              <w:pStyle w:val="17"/>
              <w:spacing w:before="170" w:line="228" w:lineRule="auto"/>
              <w:ind w:left="625"/>
              <w:rPr>
                <w:sz w:val="20"/>
                <w:szCs w:val="20"/>
              </w:rPr>
            </w:pPr>
            <w:r>
              <w:rPr>
                <w:spacing w:val="7"/>
                <w:sz w:val="20"/>
                <w:szCs w:val="20"/>
                <w14:textOutline w14:w="3795" w14:cap="sq" w14:cmpd="sng">
                  <w14:solidFill>
                    <w14:srgbClr w14:val="000000"/>
                  </w14:solidFill>
                  <w14:prstDash w14:val="solid"/>
                  <w14:bevel/>
                </w14:textOutline>
              </w:rPr>
              <w:t>条款号</w:t>
            </w:r>
          </w:p>
        </w:tc>
        <w:tc>
          <w:tcPr>
            <w:tcW w:w="7161" w:type="dxa"/>
            <w:vAlign w:val="top"/>
          </w:tcPr>
          <w:p>
            <w:pPr>
              <w:pStyle w:val="17"/>
              <w:spacing w:before="170" w:line="228" w:lineRule="auto"/>
              <w:ind w:left="2638"/>
              <w:rPr>
                <w:sz w:val="20"/>
                <w:szCs w:val="20"/>
              </w:rPr>
            </w:pPr>
            <w:r>
              <w:rPr>
                <w:spacing w:val="9"/>
                <w:sz w:val="20"/>
                <w:szCs w:val="20"/>
                <w14:textOutline w14:w="3795" w14:cap="sq" w14:cmpd="sng">
                  <w14:solidFill>
                    <w14:srgbClr w14:val="000000"/>
                  </w14:solidFill>
                  <w14:prstDash w14:val="solid"/>
                  <w14:bevel/>
                </w14:textOutline>
              </w:rPr>
              <w:t>评审因素与评审标准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3" w:hRule="atLeast"/>
        </w:trPr>
        <w:tc>
          <w:tcPr>
            <w:tcW w:w="960"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7"/>
              <w:spacing w:before="65" w:line="190" w:lineRule="auto"/>
              <w:ind w:left="237"/>
              <w:rPr>
                <w:sz w:val="20"/>
                <w:szCs w:val="20"/>
              </w:rPr>
            </w:pPr>
            <w:r>
              <w:rPr>
                <w:spacing w:val="-10"/>
                <w:sz w:val="20"/>
                <w:szCs w:val="20"/>
              </w:rPr>
              <w:t>2.1.2</w:t>
            </w:r>
          </w:p>
        </w:tc>
        <w:tc>
          <w:tcPr>
            <w:tcW w:w="903"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17"/>
              <w:spacing w:before="65" w:line="408" w:lineRule="exact"/>
              <w:ind w:left="241"/>
              <w:rPr>
                <w:sz w:val="20"/>
                <w:szCs w:val="20"/>
              </w:rPr>
            </w:pPr>
            <w:r>
              <w:rPr>
                <w:spacing w:val="14"/>
                <w:position w:val="15"/>
                <w:sz w:val="20"/>
                <w:szCs w:val="20"/>
              </w:rPr>
              <w:t>资格</w:t>
            </w:r>
          </w:p>
          <w:p>
            <w:pPr>
              <w:pStyle w:val="17"/>
              <w:spacing w:line="228" w:lineRule="auto"/>
              <w:ind w:left="231"/>
              <w:rPr>
                <w:sz w:val="20"/>
                <w:szCs w:val="20"/>
              </w:rPr>
            </w:pPr>
            <w:r>
              <w:rPr>
                <w:spacing w:val="24"/>
                <w:sz w:val="20"/>
                <w:szCs w:val="20"/>
              </w:rPr>
              <w:t>评审</w:t>
            </w:r>
          </w:p>
          <w:p>
            <w:pPr>
              <w:pStyle w:val="17"/>
              <w:spacing w:before="160" w:line="228" w:lineRule="auto"/>
              <w:ind w:left="233"/>
              <w:rPr>
                <w:sz w:val="20"/>
                <w:szCs w:val="20"/>
              </w:rPr>
            </w:pPr>
            <w:r>
              <w:rPr>
                <w:spacing w:val="19"/>
                <w:sz w:val="20"/>
                <w:szCs w:val="20"/>
              </w:rPr>
              <w:t>标准</w:t>
            </w:r>
          </w:p>
          <w:p>
            <w:pPr>
              <w:pStyle w:val="17"/>
              <w:spacing w:before="143" w:line="228" w:lineRule="auto"/>
              <w:ind w:left="228"/>
              <w:rPr>
                <w:sz w:val="10"/>
                <w:szCs w:val="10"/>
              </w:rPr>
            </w:pPr>
          </w:p>
        </w:tc>
        <w:tc>
          <w:tcPr>
            <w:tcW w:w="7161"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17"/>
              <w:spacing w:before="66" w:line="377" w:lineRule="auto"/>
              <w:ind w:left="232" w:right="228" w:firstLine="9"/>
              <w:jc w:val="both"/>
              <w:rPr>
                <w:sz w:val="20"/>
                <w:szCs w:val="20"/>
              </w:rPr>
            </w:pPr>
            <w:r>
              <w:rPr>
                <w:spacing w:val="12"/>
                <w:sz w:val="20"/>
                <w:szCs w:val="20"/>
              </w:rPr>
              <w:t>（1）投标人具备有效的营业执照、资质证书、安全生产许可证和</w:t>
            </w:r>
            <w:r>
              <w:rPr>
                <w:spacing w:val="11"/>
                <w:sz w:val="20"/>
                <w:szCs w:val="20"/>
              </w:rPr>
              <w:t>基本账</w:t>
            </w:r>
            <w:r>
              <w:rPr>
                <w:sz w:val="20"/>
                <w:szCs w:val="20"/>
              </w:rPr>
              <w:t xml:space="preserve"> </w:t>
            </w:r>
            <w:r>
              <w:rPr>
                <w:spacing w:val="9"/>
                <w:sz w:val="20"/>
                <w:szCs w:val="20"/>
              </w:rPr>
              <w:t>户开户许可证（如企业所在地已取消企业银行账户许可而无法提供开户许</w:t>
            </w:r>
            <w:r>
              <w:rPr>
                <w:spacing w:val="5"/>
                <w:sz w:val="20"/>
                <w:szCs w:val="20"/>
              </w:rPr>
              <w:t xml:space="preserve"> </w:t>
            </w:r>
            <w:r>
              <w:rPr>
                <w:spacing w:val="8"/>
                <w:sz w:val="20"/>
                <w:szCs w:val="20"/>
              </w:rPr>
              <w:t>可证的，则需附上开户银行出具的“基本存款账户信息</w:t>
            </w:r>
            <w:r>
              <w:rPr>
                <w:spacing w:val="-63"/>
                <w:sz w:val="20"/>
                <w:szCs w:val="20"/>
              </w:rPr>
              <w:t xml:space="preserve"> </w:t>
            </w:r>
            <w:r>
              <w:rPr>
                <w:spacing w:val="8"/>
                <w:sz w:val="20"/>
                <w:szCs w:val="20"/>
              </w:rPr>
              <w:t>”或“人民银行账</w:t>
            </w:r>
          </w:p>
          <w:p>
            <w:pPr>
              <w:pStyle w:val="17"/>
              <w:spacing w:line="226" w:lineRule="auto"/>
              <w:ind w:left="232"/>
              <w:rPr>
                <w:sz w:val="20"/>
                <w:szCs w:val="20"/>
              </w:rPr>
            </w:pPr>
            <w:r>
              <w:rPr>
                <w:spacing w:val="9"/>
                <w:sz w:val="20"/>
                <w:szCs w:val="20"/>
              </w:rPr>
              <w:t>户管理系统查询的基本账户信息截图</w:t>
            </w:r>
            <w:r>
              <w:rPr>
                <w:spacing w:val="-70"/>
                <w:sz w:val="20"/>
                <w:szCs w:val="20"/>
              </w:rPr>
              <w:t xml:space="preserve"> </w:t>
            </w:r>
            <w:r>
              <w:rPr>
                <w:spacing w:val="9"/>
                <w:sz w:val="20"/>
                <w:szCs w:val="20"/>
              </w:rPr>
              <w:t>”</w:t>
            </w:r>
            <w:r>
              <w:rPr>
                <w:spacing w:val="-9"/>
                <w:sz w:val="20"/>
                <w:szCs w:val="20"/>
              </w:rPr>
              <w:t>）；</w:t>
            </w:r>
          </w:p>
          <w:p>
            <w:pPr>
              <w:pStyle w:val="17"/>
              <w:spacing w:before="162" w:line="408" w:lineRule="exact"/>
              <w:ind w:left="242"/>
              <w:rPr>
                <w:sz w:val="20"/>
                <w:szCs w:val="20"/>
              </w:rPr>
            </w:pPr>
            <w:r>
              <w:rPr>
                <w:spacing w:val="8"/>
                <w:position w:val="15"/>
                <w:sz w:val="20"/>
                <w:szCs w:val="20"/>
              </w:rPr>
              <w:t>（2）投标人的资质等级符合招标文件规定；</w:t>
            </w:r>
          </w:p>
          <w:p>
            <w:pPr>
              <w:pStyle w:val="17"/>
              <w:spacing w:line="227" w:lineRule="auto"/>
              <w:ind w:left="242"/>
              <w:rPr>
                <w:sz w:val="20"/>
                <w:szCs w:val="20"/>
              </w:rPr>
            </w:pPr>
            <w:r>
              <w:rPr>
                <w:spacing w:val="8"/>
                <w:sz w:val="20"/>
                <w:szCs w:val="20"/>
              </w:rPr>
              <w:t>（3）投标人的财务状况符合招标文件规定；</w:t>
            </w:r>
          </w:p>
          <w:p>
            <w:pPr>
              <w:pStyle w:val="17"/>
              <w:spacing w:before="163" w:line="408" w:lineRule="exact"/>
              <w:ind w:left="242"/>
              <w:rPr>
                <w:sz w:val="20"/>
                <w:szCs w:val="20"/>
              </w:rPr>
            </w:pPr>
            <w:r>
              <w:rPr>
                <w:spacing w:val="8"/>
                <w:position w:val="15"/>
                <w:sz w:val="20"/>
                <w:szCs w:val="20"/>
              </w:rPr>
              <w:t>（4）投标人的类似项目业绩符合招标文件规定；</w:t>
            </w:r>
          </w:p>
          <w:p>
            <w:pPr>
              <w:pStyle w:val="17"/>
              <w:spacing w:before="1" w:line="226" w:lineRule="auto"/>
              <w:ind w:left="242"/>
              <w:rPr>
                <w:sz w:val="20"/>
                <w:szCs w:val="20"/>
              </w:rPr>
            </w:pPr>
            <w:r>
              <w:rPr>
                <w:spacing w:val="8"/>
                <w:sz w:val="20"/>
                <w:szCs w:val="20"/>
              </w:rPr>
              <w:t>（5）投标人的信誉符合招标文件规定；</w:t>
            </w:r>
          </w:p>
          <w:p>
            <w:pPr>
              <w:pStyle w:val="17"/>
              <w:spacing w:line="408" w:lineRule="exact"/>
              <w:ind w:left="242"/>
              <w:rPr>
                <w:rFonts w:hint="eastAsia" w:ascii="宋体" w:hAnsi="宋体" w:eastAsia="宋体" w:cs="宋体"/>
                <w:spacing w:val="8"/>
                <w:position w:val="4"/>
                <w:sz w:val="20"/>
                <w:szCs w:val="20"/>
                <w:lang w:eastAsia="zh-CN"/>
              </w:rPr>
            </w:pPr>
            <w:r>
              <w:rPr>
                <w:rFonts w:ascii="宋体" w:hAnsi="宋体" w:eastAsia="宋体" w:cs="宋体"/>
                <w:spacing w:val="8"/>
                <w:position w:val="4"/>
                <w:sz w:val="20"/>
                <w:szCs w:val="20"/>
              </w:rPr>
              <w:t>（6）投标人的项目经理和项目总工资格（均含备选）、在岗情况符合招标文件规定，并按规定在投标文件中签字确认</w:t>
            </w:r>
            <w:r>
              <w:rPr>
                <w:rFonts w:hint="eastAsia" w:ascii="宋体" w:hAnsi="宋体" w:eastAsia="宋体" w:cs="宋体"/>
                <w:spacing w:val="8"/>
                <w:position w:val="4"/>
                <w:sz w:val="20"/>
                <w:szCs w:val="20"/>
                <w:lang w:eastAsia="zh-CN"/>
              </w:rPr>
              <w:t>；</w:t>
            </w:r>
          </w:p>
          <w:p>
            <w:pPr>
              <w:pStyle w:val="17"/>
              <w:spacing w:line="408" w:lineRule="exact"/>
              <w:ind w:left="242"/>
              <w:rPr>
                <w:sz w:val="10"/>
                <w:szCs w:val="10"/>
              </w:rPr>
            </w:pPr>
            <w:r>
              <w:rPr>
                <w:spacing w:val="8"/>
                <w:position w:val="4"/>
                <w:sz w:val="20"/>
                <w:szCs w:val="20"/>
              </w:rPr>
              <w:t>（7）投标人的其他要求符合招标文件规定；</w:t>
            </w:r>
          </w:p>
          <w:p>
            <w:pPr>
              <w:pStyle w:val="17"/>
              <w:spacing w:before="30" w:line="411" w:lineRule="exact"/>
              <w:ind w:left="242"/>
              <w:rPr>
                <w:sz w:val="20"/>
                <w:szCs w:val="20"/>
              </w:rPr>
            </w:pPr>
            <w:r>
              <w:rPr>
                <w:spacing w:val="7"/>
                <w:position w:val="15"/>
                <w:sz w:val="20"/>
                <w:szCs w:val="20"/>
              </w:rPr>
              <w:t>（8）投标人不存在第二章“投标人须知</w:t>
            </w:r>
            <w:r>
              <w:rPr>
                <w:spacing w:val="-61"/>
                <w:position w:val="15"/>
                <w:sz w:val="20"/>
                <w:szCs w:val="20"/>
              </w:rPr>
              <w:t xml:space="preserve"> </w:t>
            </w:r>
            <w:r>
              <w:rPr>
                <w:spacing w:val="7"/>
                <w:position w:val="15"/>
                <w:sz w:val="20"/>
                <w:szCs w:val="20"/>
              </w:rPr>
              <w:t>”第</w:t>
            </w:r>
            <w:r>
              <w:rPr>
                <w:spacing w:val="-22"/>
                <w:position w:val="15"/>
                <w:sz w:val="20"/>
                <w:szCs w:val="20"/>
              </w:rPr>
              <w:t xml:space="preserve"> </w:t>
            </w:r>
            <w:r>
              <w:rPr>
                <w:spacing w:val="7"/>
                <w:position w:val="15"/>
                <w:sz w:val="20"/>
                <w:szCs w:val="20"/>
              </w:rPr>
              <w:t>1.4.3</w:t>
            </w:r>
            <w:r>
              <w:rPr>
                <w:spacing w:val="-32"/>
                <w:position w:val="15"/>
                <w:sz w:val="20"/>
                <w:szCs w:val="20"/>
              </w:rPr>
              <w:t xml:space="preserve"> </w:t>
            </w:r>
            <w:r>
              <w:rPr>
                <w:spacing w:val="7"/>
                <w:position w:val="15"/>
                <w:sz w:val="20"/>
                <w:szCs w:val="20"/>
              </w:rPr>
              <w:t>项或第</w:t>
            </w:r>
            <w:r>
              <w:rPr>
                <w:spacing w:val="-19"/>
                <w:position w:val="15"/>
                <w:sz w:val="20"/>
                <w:szCs w:val="20"/>
              </w:rPr>
              <w:t xml:space="preserve"> </w:t>
            </w:r>
            <w:r>
              <w:rPr>
                <w:spacing w:val="7"/>
                <w:position w:val="15"/>
                <w:sz w:val="20"/>
                <w:szCs w:val="20"/>
              </w:rPr>
              <w:t>1.4.4</w:t>
            </w:r>
            <w:r>
              <w:rPr>
                <w:spacing w:val="-32"/>
                <w:position w:val="15"/>
                <w:sz w:val="20"/>
                <w:szCs w:val="20"/>
              </w:rPr>
              <w:t xml:space="preserve"> </w:t>
            </w:r>
            <w:r>
              <w:rPr>
                <w:spacing w:val="7"/>
                <w:position w:val="15"/>
                <w:sz w:val="20"/>
                <w:szCs w:val="20"/>
              </w:rPr>
              <w:t>项规定</w:t>
            </w:r>
          </w:p>
          <w:p>
            <w:pPr>
              <w:pStyle w:val="17"/>
              <w:spacing w:line="227" w:lineRule="auto"/>
              <w:ind w:left="249"/>
              <w:rPr>
                <w:sz w:val="20"/>
                <w:szCs w:val="20"/>
              </w:rPr>
            </w:pPr>
            <w:r>
              <w:rPr>
                <w:spacing w:val="5"/>
                <w:sz w:val="20"/>
                <w:szCs w:val="20"/>
              </w:rPr>
              <w:t>的任何一种情形；</w:t>
            </w:r>
          </w:p>
          <w:p>
            <w:pPr>
              <w:pStyle w:val="17"/>
              <w:spacing w:before="130" w:line="447" w:lineRule="exact"/>
              <w:ind w:left="242"/>
              <w:rPr>
                <w:sz w:val="12"/>
                <w:szCs w:val="12"/>
              </w:rPr>
            </w:pPr>
            <w:r>
              <w:rPr>
                <w:spacing w:val="6"/>
                <w:position w:val="4"/>
                <w:sz w:val="20"/>
                <w:szCs w:val="20"/>
              </w:rPr>
              <w:t>（9）投标人符合第二章“投标人须知</w:t>
            </w:r>
            <w:r>
              <w:rPr>
                <w:spacing w:val="-73"/>
                <w:position w:val="4"/>
                <w:sz w:val="20"/>
                <w:szCs w:val="20"/>
              </w:rPr>
              <w:t xml:space="preserve"> </w:t>
            </w:r>
            <w:r>
              <w:rPr>
                <w:spacing w:val="6"/>
                <w:position w:val="4"/>
                <w:sz w:val="20"/>
                <w:szCs w:val="20"/>
              </w:rPr>
              <w:t>”第</w:t>
            </w:r>
            <w:r>
              <w:rPr>
                <w:spacing w:val="-23"/>
                <w:position w:val="4"/>
                <w:sz w:val="20"/>
                <w:szCs w:val="20"/>
              </w:rPr>
              <w:t xml:space="preserve"> </w:t>
            </w:r>
            <w:r>
              <w:rPr>
                <w:spacing w:val="6"/>
                <w:position w:val="4"/>
                <w:sz w:val="20"/>
                <w:szCs w:val="20"/>
              </w:rPr>
              <w:t>1.4.</w:t>
            </w:r>
            <w:r>
              <w:rPr>
                <w:spacing w:val="5"/>
                <w:position w:val="4"/>
                <w:sz w:val="20"/>
                <w:szCs w:val="20"/>
              </w:rPr>
              <w:t>5</w:t>
            </w:r>
            <w:r>
              <w:rPr>
                <w:spacing w:val="-35"/>
                <w:position w:val="4"/>
                <w:sz w:val="20"/>
                <w:szCs w:val="20"/>
              </w:rPr>
              <w:t xml:space="preserve"> </w:t>
            </w:r>
            <w:r>
              <w:rPr>
                <w:spacing w:val="5"/>
                <w:position w:val="4"/>
                <w:sz w:val="20"/>
                <w:szCs w:val="20"/>
              </w:rPr>
              <w:t>项规定；</w:t>
            </w:r>
          </w:p>
          <w:p>
            <w:pPr>
              <w:pStyle w:val="17"/>
              <w:spacing w:line="408" w:lineRule="exact"/>
              <w:rPr>
                <w:sz w:val="10"/>
                <w:szCs w:val="10"/>
              </w:rPr>
            </w:pPr>
          </w:p>
        </w:tc>
      </w:tr>
    </w:tbl>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228"/>
      </w:pPr>
    </w:p>
    <w:p>
      <w:pPr>
        <w:spacing w:before="228"/>
      </w:pPr>
    </w:p>
    <w:p>
      <w:pPr>
        <w:spacing w:before="228"/>
      </w:pPr>
    </w:p>
    <w:p>
      <w:pPr>
        <w:pStyle w:val="12"/>
      </w:pPr>
    </w:p>
    <w:p>
      <w:pPr>
        <w:pStyle w:val="11"/>
      </w:pPr>
    </w:p>
    <w:p>
      <w:pPr>
        <w:spacing w:before="228"/>
      </w:pPr>
    </w:p>
    <w:tbl>
      <w:tblPr>
        <w:tblStyle w:val="16"/>
        <w:tblW w:w="91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1416"/>
        <w:gridCol w:w="68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75" w:type="dxa"/>
            <w:vAlign w:val="top"/>
          </w:tcPr>
          <w:p>
            <w:pPr>
              <w:pStyle w:val="17"/>
              <w:spacing w:before="81" w:line="228" w:lineRule="auto"/>
              <w:ind w:left="129"/>
              <w:rPr>
                <w:sz w:val="20"/>
                <w:szCs w:val="20"/>
              </w:rPr>
            </w:pPr>
            <w:r>
              <w:rPr>
                <w:spacing w:val="7"/>
                <w:sz w:val="20"/>
                <w:szCs w:val="20"/>
                <w14:textOutline w14:w="3795" w14:cap="sq" w14:cmpd="sng">
                  <w14:solidFill>
                    <w14:srgbClr w14:val="000000"/>
                  </w14:solidFill>
                  <w14:prstDash w14:val="solid"/>
                  <w14:bevel/>
                </w14:textOutline>
              </w:rPr>
              <w:t>条款号</w:t>
            </w:r>
          </w:p>
        </w:tc>
        <w:tc>
          <w:tcPr>
            <w:tcW w:w="1416" w:type="dxa"/>
            <w:vAlign w:val="top"/>
          </w:tcPr>
          <w:p>
            <w:pPr>
              <w:pStyle w:val="17"/>
              <w:spacing w:before="81" w:line="228" w:lineRule="auto"/>
              <w:ind w:left="293"/>
              <w:rPr>
                <w:sz w:val="20"/>
                <w:szCs w:val="20"/>
              </w:rPr>
            </w:pPr>
            <w:r>
              <w:rPr>
                <w:spacing w:val="8"/>
                <w:sz w:val="20"/>
                <w:szCs w:val="20"/>
                <w14:textOutline w14:w="3795" w14:cap="sq" w14:cmpd="sng">
                  <w14:solidFill>
                    <w14:srgbClr w14:val="000000"/>
                  </w14:solidFill>
                  <w14:prstDash w14:val="solid"/>
                  <w14:bevel/>
                </w14:textOutline>
              </w:rPr>
              <w:t>条款内容</w:t>
            </w:r>
          </w:p>
        </w:tc>
        <w:tc>
          <w:tcPr>
            <w:tcW w:w="6826" w:type="dxa"/>
            <w:vAlign w:val="top"/>
          </w:tcPr>
          <w:p>
            <w:pPr>
              <w:pStyle w:val="17"/>
              <w:spacing w:before="81" w:line="228" w:lineRule="auto"/>
              <w:ind w:left="2998"/>
              <w:rPr>
                <w:sz w:val="20"/>
                <w:szCs w:val="20"/>
              </w:rPr>
            </w:pPr>
            <w:r>
              <w:rPr>
                <w:spacing w:val="8"/>
                <w:sz w:val="20"/>
                <w:szCs w:val="20"/>
                <w14:textOutline w14:w="3795" w14:cap="sq" w14:cmpd="sng">
                  <w14:solidFill>
                    <w14:srgbClr w14:val="000000"/>
                  </w14:solidFill>
                  <w14:prstDash w14:val="solid"/>
                  <w14:bevel/>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75" w:type="dxa"/>
            <w:vAlign w:val="top"/>
          </w:tcPr>
          <w:p>
            <w:pPr>
              <w:spacing w:line="289" w:lineRule="auto"/>
              <w:rPr>
                <w:rFonts w:ascii="Arial"/>
                <w:sz w:val="21"/>
              </w:rPr>
            </w:pPr>
          </w:p>
          <w:p>
            <w:pPr>
              <w:pStyle w:val="17"/>
              <w:spacing w:before="65" w:line="190" w:lineRule="auto"/>
              <w:ind w:left="183"/>
              <w:rPr>
                <w:sz w:val="20"/>
                <w:szCs w:val="20"/>
              </w:rPr>
            </w:pPr>
            <w:r>
              <w:rPr>
                <w:spacing w:val="2"/>
                <w:sz w:val="20"/>
                <w:szCs w:val="20"/>
              </w:rPr>
              <w:t>2.2.1</w:t>
            </w:r>
          </w:p>
        </w:tc>
        <w:tc>
          <w:tcPr>
            <w:tcW w:w="1416" w:type="dxa"/>
            <w:vAlign w:val="top"/>
          </w:tcPr>
          <w:p>
            <w:pPr>
              <w:pStyle w:val="17"/>
              <w:spacing w:before="60" w:line="404" w:lineRule="exact"/>
              <w:ind w:left="294"/>
              <w:rPr>
                <w:sz w:val="20"/>
                <w:szCs w:val="20"/>
              </w:rPr>
            </w:pPr>
            <w:r>
              <w:rPr>
                <w:spacing w:val="6"/>
                <w:position w:val="15"/>
                <w:sz w:val="20"/>
                <w:szCs w:val="20"/>
              </w:rPr>
              <w:t>分值构成</w:t>
            </w:r>
          </w:p>
          <w:p>
            <w:pPr>
              <w:pStyle w:val="17"/>
              <w:spacing w:line="220" w:lineRule="auto"/>
              <w:ind w:left="202"/>
              <w:rPr>
                <w:sz w:val="18"/>
                <w:szCs w:val="18"/>
              </w:rPr>
            </w:pPr>
            <w:r>
              <w:rPr>
                <w:spacing w:val="-9"/>
                <w:sz w:val="18"/>
                <w:szCs w:val="18"/>
              </w:rPr>
              <w:t>(总分</w:t>
            </w:r>
            <w:r>
              <w:rPr>
                <w:spacing w:val="-23"/>
                <w:sz w:val="18"/>
                <w:szCs w:val="18"/>
              </w:rPr>
              <w:t xml:space="preserve"> </w:t>
            </w:r>
            <w:r>
              <w:rPr>
                <w:spacing w:val="-9"/>
                <w:sz w:val="18"/>
                <w:szCs w:val="18"/>
              </w:rPr>
              <w:t>100</w:t>
            </w:r>
            <w:r>
              <w:rPr>
                <w:spacing w:val="-36"/>
                <w:sz w:val="18"/>
                <w:szCs w:val="18"/>
              </w:rPr>
              <w:t xml:space="preserve"> </w:t>
            </w:r>
            <w:r>
              <w:rPr>
                <w:spacing w:val="-9"/>
                <w:sz w:val="18"/>
                <w:szCs w:val="18"/>
              </w:rPr>
              <w:t>分)</w:t>
            </w:r>
          </w:p>
        </w:tc>
        <w:tc>
          <w:tcPr>
            <w:tcW w:w="6826" w:type="dxa"/>
            <w:vAlign w:val="top"/>
          </w:tcPr>
          <w:p>
            <w:pPr>
              <w:pStyle w:val="17"/>
              <w:spacing w:before="31" w:line="226" w:lineRule="auto"/>
              <w:ind w:left="127"/>
              <w:rPr>
                <w:sz w:val="20"/>
                <w:szCs w:val="20"/>
              </w:rPr>
            </w:pPr>
            <w:r>
              <w:rPr>
                <w:spacing w:val="6"/>
                <w:sz w:val="20"/>
                <w:szCs w:val="20"/>
              </w:rPr>
              <w:t>评标价：95</w:t>
            </w:r>
            <w:r>
              <w:rPr>
                <w:spacing w:val="-36"/>
                <w:sz w:val="20"/>
                <w:szCs w:val="20"/>
              </w:rPr>
              <w:t xml:space="preserve"> </w:t>
            </w:r>
            <w:r>
              <w:rPr>
                <w:spacing w:val="6"/>
                <w:sz w:val="20"/>
                <w:szCs w:val="20"/>
              </w:rPr>
              <w:t>分</w:t>
            </w:r>
          </w:p>
          <w:p>
            <w:pPr>
              <w:pStyle w:val="17"/>
              <w:spacing w:before="162" w:line="228" w:lineRule="auto"/>
              <w:ind w:left="129"/>
              <w:rPr>
                <w:sz w:val="20"/>
                <w:szCs w:val="20"/>
              </w:rPr>
            </w:pPr>
            <w:r>
              <w:rPr>
                <w:spacing w:val="6"/>
                <w:sz w:val="20"/>
                <w:szCs w:val="20"/>
              </w:rPr>
              <w:t>其他因素：5</w:t>
            </w:r>
            <w:r>
              <w:rPr>
                <w:spacing w:val="-35"/>
                <w:sz w:val="20"/>
                <w:szCs w:val="20"/>
              </w:rPr>
              <w:t xml:space="preserve"> </w:t>
            </w:r>
            <w:r>
              <w:rPr>
                <w:spacing w:val="6"/>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7" w:hRule="atLeast"/>
        </w:trPr>
        <w:tc>
          <w:tcPr>
            <w:tcW w:w="875"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17"/>
              <w:spacing w:before="65" w:line="189" w:lineRule="auto"/>
              <w:ind w:left="183"/>
              <w:rPr>
                <w:sz w:val="20"/>
                <w:szCs w:val="20"/>
              </w:rPr>
            </w:pPr>
            <w:r>
              <w:rPr>
                <w:spacing w:val="3"/>
                <w:sz w:val="20"/>
                <w:szCs w:val="20"/>
              </w:rPr>
              <w:t>2.2.2</w:t>
            </w:r>
          </w:p>
        </w:tc>
        <w:tc>
          <w:tcPr>
            <w:tcW w:w="1416"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17"/>
              <w:spacing w:before="65" w:line="226" w:lineRule="auto"/>
              <w:ind w:left="185"/>
              <w:rPr>
                <w:sz w:val="20"/>
                <w:szCs w:val="20"/>
              </w:rPr>
            </w:pPr>
            <w:r>
              <w:rPr>
                <w:spacing w:val="8"/>
                <w:sz w:val="20"/>
                <w:szCs w:val="20"/>
              </w:rPr>
              <w:t>评标基准价</w:t>
            </w:r>
          </w:p>
          <w:p>
            <w:pPr>
              <w:pStyle w:val="17"/>
              <w:spacing w:before="162" w:line="228" w:lineRule="auto"/>
              <w:ind w:left="291"/>
              <w:rPr>
                <w:sz w:val="20"/>
                <w:szCs w:val="20"/>
              </w:rPr>
            </w:pPr>
            <w:r>
              <w:rPr>
                <w:spacing w:val="7"/>
                <w:sz w:val="20"/>
                <w:szCs w:val="20"/>
              </w:rPr>
              <w:t>计算方法</w:t>
            </w:r>
          </w:p>
        </w:tc>
        <w:tc>
          <w:tcPr>
            <w:tcW w:w="6826" w:type="dxa"/>
            <w:vAlign w:val="top"/>
          </w:tcPr>
          <w:p>
            <w:pPr>
              <w:pStyle w:val="17"/>
              <w:spacing w:before="237" w:line="226" w:lineRule="auto"/>
              <w:ind w:left="127"/>
              <w:rPr>
                <w:sz w:val="20"/>
                <w:szCs w:val="20"/>
              </w:rPr>
            </w:pPr>
            <w:r>
              <w:rPr>
                <w:spacing w:val="7"/>
                <w:sz w:val="20"/>
                <w:szCs w:val="20"/>
              </w:rPr>
              <w:t>评标基准价的计算：</w:t>
            </w:r>
          </w:p>
          <w:p>
            <w:pPr>
              <w:pStyle w:val="17"/>
              <w:spacing w:before="162" w:line="408" w:lineRule="exact"/>
              <w:ind w:left="127"/>
              <w:rPr>
                <w:sz w:val="20"/>
                <w:szCs w:val="20"/>
              </w:rPr>
            </w:pPr>
            <w:r>
              <w:rPr>
                <w:spacing w:val="9"/>
                <w:position w:val="15"/>
                <w:sz w:val="20"/>
                <w:szCs w:val="20"/>
              </w:rPr>
              <w:t>在开标现场，招标人将当场计算并宣布评标基准价。</w:t>
            </w:r>
          </w:p>
          <w:p>
            <w:pPr>
              <w:pStyle w:val="17"/>
              <w:spacing w:line="226" w:lineRule="auto"/>
              <w:ind w:left="138"/>
              <w:rPr>
                <w:sz w:val="20"/>
                <w:szCs w:val="20"/>
              </w:rPr>
            </w:pPr>
            <w:r>
              <w:rPr>
                <w:spacing w:val="6"/>
                <w:sz w:val="20"/>
                <w:szCs w:val="20"/>
              </w:rPr>
              <w:t>（1）评标价的确定：</w:t>
            </w:r>
          </w:p>
          <w:p>
            <w:pPr>
              <w:pStyle w:val="17"/>
              <w:spacing w:before="163" w:line="226" w:lineRule="auto"/>
              <w:ind w:left="129"/>
              <w:rPr>
                <w:sz w:val="20"/>
                <w:szCs w:val="20"/>
              </w:rPr>
            </w:pPr>
            <w:r>
              <w:rPr>
                <w:spacing w:val="9"/>
                <w:sz w:val="20"/>
                <w:szCs w:val="20"/>
              </w:rPr>
              <w:t>评标价=投标函文字报价</w:t>
            </w:r>
          </w:p>
          <w:p>
            <w:pPr>
              <w:pStyle w:val="17"/>
              <w:spacing w:before="163" w:line="226" w:lineRule="auto"/>
              <w:ind w:left="138"/>
              <w:rPr>
                <w:sz w:val="20"/>
                <w:szCs w:val="20"/>
              </w:rPr>
            </w:pPr>
            <w:r>
              <w:rPr>
                <w:spacing w:val="8"/>
                <w:sz w:val="20"/>
                <w:szCs w:val="20"/>
              </w:rPr>
              <w:t>（2）最高评标限价的确定</w:t>
            </w:r>
          </w:p>
          <w:p>
            <w:pPr>
              <w:pStyle w:val="17"/>
              <w:spacing w:before="163" w:line="411" w:lineRule="exact"/>
              <w:ind w:left="551"/>
              <w:rPr>
                <w:sz w:val="20"/>
                <w:szCs w:val="20"/>
              </w:rPr>
            </w:pPr>
            <w:r>
              <w:rPr>
                <w:spacing w:val="11"/>
                <w:position w:val="15"/>
                <w:sz w:val="20"/>
                <w:szCs w:val="20"/>
              </w:rPr>
              <w:t>最高投标限价下浮率（以下简称“下浮率</w:t>
            </w:r>
            <w:r>
              <w:rPr>
                <w:spacing w:val="-68"/>
                <w:position w:val="15"/>
                <w:sz w:val="20"/>
                <w:szCs w:val="20"/>
              </w:rPr>
              <w:t xml:space="preserve"> </w:t>
            </w:r>
            <w:r>
              <w:rPr>
                <w:spacing w:val="11"/>
                <w:position w:val="15"/>
                <w:sz w:val="20"/>
                <w:szCs w:val="20"/>
              </w:rPr>
              <w:t>”）在第</w:t>
            </w:r>
            <w:r>
              <w:rPr>
                <w:spacing w:val="10"/>
                <w:position w:val="15"/>
                <w:sz w:val="20"/>
                <w:szCs w:val="20"/>
              </w:rPr>
              <w:t>二个信封开标前</w:t>
            </w:r>
          </w:p>
          <w:p>
            <w:pPr>
              <w:pStyle w:val="17"/>
              <w:spacing w:before="1" w:line="226" w:lineRule="auto"/>
              <w:ind w:left="127"/>
              <w:rPr>
                <w:sz w:val="20"/>
                <w:szCs w:val="20"/>
              </w:rPr>
            </w:pPr>
            <w:r>
              <w:rPr>
                <w:spacing w:val="8"/>
                <w:sz w:val="20"/>
                <w:szCs w:val="20"/>
              </w:rPr>
              <w:t>在开标现场采取逐标段摇珠方式确定。</w:t>
            </w:r>
          </w:p>
          <w:p>
            <w:pPr>
              <w:pStyle w:val="17"/>
              <w:spacing w:before="162" w:line="408" w:lineRule="exact"/>
              <w:ind w:left="549"/>
              <w:rPr>
                <w:sz w:val="20"/>
                <w:szCs w:val="20"/>
              </w:rPr>
            </w:pPr>
            <w:r>
              <w:rPr>
                <w:spacing w:val="7"/>
                <w:position w:val="15"/>
                <w:sz w:val="20"/>
                <w:szCs w:val="20"/>
              </w:rPr>
              <w:t>方法的选择：1</w:t>
            </w:r>
            <w:r>
              <w:rPr>
                <w:spacing w:val="-29"/>
                <w:position w:val="15"/>
                <w:sz w:val="20"/>
                <w:szCs w:val="20"/>
              </w:rPr>
              <w:t xml:space="preserve"> </w:t>
            </w:r>
            <w:r>
              <w:rPr>
                <w:spacing w:val="7"/>
                <w:position w:val="15"/>
                <w:sz w:val="20"/>
                <w:szCs w:val="20"/>
              </w:rPr>
              <w:t>号球代表方法一，2</w:t>
            </w:r>
            <w:r>
              <w:rPr>
                <w:spacing w:val="-33"/>
                <w:position w:val="15"/>
                <w:sz w:val="20"/>
                <w:szCs w:val="20"/>
              </w:rPr>
              <w:t xml:space="preserve"> </w:t>
            </w:r>
            <w:r>
              <w:rPr>
                <w:spacing w:val="7"/>
                <w:position w:val="15"/>
                <w:sz w:val="20"/>
                <w:szCs w:val="20"/>
              </w:rPr>
              <w:t>号球代表方法二，采用随机摇珠</w:t>
            </w:r>
          </w:p>
          <w:p>
            <w:pPr>
              <w:pStyle w:val="17"/>
              <w:spacing w:before="1" w:line="226" w:lineRule="auto"/>
              <w:ind w:left="145"/>
              <w:rPr>
                <w:sz w:val="20"/>
                <w:szCs w:val="20"/>
              </w:rPr>
            </w:pPr>
            <w:r>
              <w:rPr>
                <w:spacing w:val="10"/>
                <w:sz w:val="20"/>
                <w:szCs w:val="20"/>
              </w:rPr>
              <w:t>的方式摇取</w:t>
            </w:r>
            <w:r>
              <w:rPr>
                <w:spacing w:val="-21"/>
                <w:sz w:val="20"/>
                <w:szCs w:val="20"/>
              </w:rPr>
              <w:t xml:space="preserve"> </w:t>
            </w:r>
            <w:r>
              <w:rPr>
                <w:spacing w:val="10"/>
                <w:sz w:val="20"/>
                <w:szCs w:val="20"/>
              </w:rPr>
              <w:t>1</w:t>
            </w:r>
            <w:r>
              <w:rPr>
                <w:spacing w:val="-36"/>
                <w:sz w:val="20"/>
                <w:szCs w:val="20"/>
              </w:rPr>
              <w:t xml:space="preserve"> </w:t>
            </w:r>
            <w:r>
              <w:rPr>
                <w:spacing w:val="10"/>
                <w:sz w:val="20"/>
                <w:szCs w:val="20"/>
              </w:rPr>
              <w:t>个球，摇出球对应的方法即为下一步采取的下浮</w:t>
            </w:r>
            <w:r>
              <w:rPr>
                <w:spacing w:val="9"/>
                <w:sz w:val="20"/>
                <w:szCs w:val="20"/>
              </w:rPr>
              <w:t>率摇珠操</w:t>
            </w:r>
          </w:p>
          <w:p>
            <w:pPr>
              <w:pStyle w:val="17"/>
              <w:spacing w:before="131" w:line="408" w:lineRule="exact"/>
              <w:ind w:left="129"/>
              <w:rPr>
                <w:sz w:val="10"/>
                <w:szCs w:val="10"/>
              </w:rPr>
            </w:pPr>
            <w:r>
              <w:rPr>
                <w:spacing w:val="7"/>
                <w:position w:val="5"/>
                <w:sz w:val="20"/>
                <w:szCs w:val="20"/>
              </w:rPr>
              <w:t>作方法。</w:t>
            </w:r>
          </w:p>
          <w:p>
            <w:pPr>
              <w:pStyle w:val="17"/>
              <w:spacing w:before="31" w:line="228" w:lineRule="auto"/>
              <w:ind w:left="555"/>
              <w:rPr>
                <w:sz w:val="20"/>
                <w:szCs w:val="20"/>
              </w:rPr>
            </w:pPr>
            <w:r>
              <w:rPr>
                <w:spacing w:val="7"/>
                <w:sz w:val="20"/>
                <w:szCs w:val="20"/>
              </w:rPr>
              <w:t>下浮率摇珠操作方法如下：</w:t>
            </w:r>
          </w:p>
          <w:p>
            <w:pPr>
              <w:pStyle w:val="17"/>
              <w:spacing w:before="162" w:line="377" w:lineRule="auto"/>
              <w:ind w:left="130" w:right="69" w:firstLine="419"/>
              <w:rPr>
                <w:spacing w:val="4"/>
                <w:sz w:val="20"/>
                <w:szCs w:val="20"/>
              </w:rPr>
            </w:pPr>
            <w:r>
              <w:rPr>
                <w:spacing w:val="4"/>
                <w:sz w:val="20"/>
                <w:szCs w:val="20"/>
              </w:rPr>
              <w:t>方法一：在</w:t>
            </w:r>
            <w:r>
              <w:rPr>
                <w:rFonts w:hint="eastAsia"/>
                <w:spacing w:val="4"/>
                <w:sz w:val="20"/>
                <w:szCs w:val="20"/>
                <w:lang w:val="en-US" w:eastAsia="zh-CN"/>
              </w:rPr>
              <w:t>[5%-8%]</w:t>
            </w:r>
            <w:r>
              <w:rPr>
                <w:spacing w:val="4"/>
                <w:sz w:val="20"/>
                <w:szCs w:val="20"/>
              </w:rPr>
              <w:t>范围内，以 0.1%为一档次增序确定摇珠号码， 不少于 31 个球，每个标段各一次性摇取 1 个球，摇出球对应的下浮率即 为本标段招标的下浮率。</w:t>
            </w:r>
          </w:p>
          <w:p>
            <w:pPr>
              <w:pStyle w:val="17"/>
              <w:spacing w:before="162" w:line="377" w:lineRule="auto"/>
              <w:ind w:left="130" w:right="69" w:firstLine="419"/>
              <w:rPr>
                <w:sz w:val="20"/>
                <w:szCs w:val="20"/>
              </w:rPr>
            </w:pPr>
            <w:r>
              <w:rPr>
                <w:spacing w:val="4"/>
                <w:sz w:val="20"/>
                <w:szCs w:val="20"/>
              </w:rPr>
              <w:t>方法二：</w:t>
            </w:r>
            <w:r>
              <w:rPr>
                <w:spacing w:val="4"/>
                <w:sz w:val="20"/>
                <w:szCs w:val="20"/>
                <w:highlight w:val="none"/>
              </w:rPr>
              <w:t>在</w:t>
            </w:r>
            <w:r>
              <w:rPr>
                <w:rFonts w:hint="eastAsia"/>
                <w:spacing w:val="4"/>
                <w:sz w:val="20"/>
                <w:szCs w:val="20"/>
                <w:highlight w:val="none"/>
                <w:lang w:val="en-US" w:eastAsia="zh-CN"/>
              </w:rPr>
              <w:t>[5%-8%]</w:t>
            </w:r>
            <w:r>
              <w:rPr>
                <w:spacing w:val="4"/>
                <w:sz w:val="20"/>
                <w:szCs w:val="20"/>
                <w:highlight w:val="none"/>
              </w:rPr>
              <w:t>范围内，</w:t>
            </w:r>
            <w:r>
              <w:rPr>
                <w:spacing w:val="4"/>
                <w:sz w:val="20"/>
                <w:szCs w:val="20"/>
              </w:rPr>
              <w:t>以</w:t>
            </w:r>
            <w:r>
              <w:rPr>
                <w:spacing w:val="-28"/>
                <w:sz w:val="20"/>
                <w:szCs w:val="20"/>
              </w:rPr>
              <w:t xml:space="preserve"> </w:t>
            </w:r>
            <w:r>
              <w:rPr>
                <w:spacing w:val="4"/>
                <w:sz w:val="20"/>
                <w:szCs w:val="20"/>
              </w:rPr>
              <w:t>0.1%为一档次增序确定摇珠号码，</w:t>
            </w:r>
            <w:r>
              <w:rPr>
                <w:sz w:val="20"/>
                <w:szCs w:val="20"/>
              </w:rPr>
              <w:t xml:space="preserve"> </w:t>
            </w:r>
            <w:r>
              <w:rPr>
                <w:spacing w:val="7"/>
                <w:sz w:val="20"/>
                <w:szCs w:val="20"/>
              </w:rPr>
              <w:t>不少于</w:t>
            </w:r>
            <w:r>
              <w:rPr>
                <w:spacing w:val="-31"/>
                <w:sz w:val="20"/>
                <w:szCs w:val="20"/>
              </w:rPr>
              <w:t xml:space="preserve"> </w:t>
            </w:r>
            <w:r>
              <w:rPr>
                <w:spacing w:val="7"/>
                <w:sz w:val="20"/>
                <w:szCs w:val="20"/>
              </w:rPr>
              <w:t>31</w:t>
            </w:r>
            <w:r>
              <w:rPr>
                <w:spacing w:val="-41"/>
                <w:sz w:val="20"/>
                <w:szCs w:val="20"/>
              </w:rPr>
              <w:t xml:space="preserve"> </w:t>
            </w:r>
            <w:r>
              <w:rPr>
                <w:spacing w:val="7"/>
                <w:sz w:val="20"/>
                <w:szCs w:val="20"/>
              </w:rPr>
              <w:t>个球，每个标段各一次性摇取</w:t>
            </w:r>
            <w:r>
              <w:rPr>
                <w:spacing w:val="-35"/>
                <w:sz w:val="20"/>
                <w:szCs w:val="20"/>
              </w:rPr>
              <w:t xml:space="preserve"> </w:t>
            </w:r>
            <w:r>
              <w:rPr>
                <w:spacing w:val="7"/>
                <w:sz w:val="20"/>
                <w:szCs w:val="20"/>
              </w:rPr>
              <w:t>3</w:t>
            </w:r>
            <w:r>
              <w:rPr>
                <w:spacing w:val="-40"/>
                <w:sz w:val="20"/>
                <w:szCs w:val="20"/>
              </w:rPr>
              <w:t xml:space="preserve"> </w:t>
            </w:r>
            <w:r>
              <w:rPr>
                <w:spacing w:val="7"/>
                <w:sz w:val="20"/>
                <w:szCs w:val="20"/>
              </w:rPr>
              <w:t>个球（摇出</w:t>
            </w:r>
            <w:r>
              <w:rPr>
                <w:spacing w:val="6"/>
                <w:sz w:val="20"/>
                <w:szCs w:val="20"/>
              </w:rPr>
              <w:t>的球不放回</w:t>
            </w:r>
            <w:r>
              <w:rPr>
                <w:spacing w:val="4"/>
                <w:sz w:val="20"/>
                <w:szCs w:val="20"/>
              </w:rPr>
              <w:t>），</w:t>
            </w:r>
            <w:r>
              <w:rPr>
                <w:spacing w:val="6"/>
                <w:sz w:val="20"/>
                <w:szCs w:val="20"/>
              </w:rPr>
              <w:t>摇</w:t>
            </w:r>
            <w:r>
              <w:rPr>
                <w:sz w:val="20"/>
                <w:szCs w:val="20"/>
              </w:rPr>
              <w:t xml:space="preserve"> </w:t>
            </w:r>
            <w:r>
              <w:rPr>
                <w:spacing w:val="11"/>
                <w:sz w:val="20"/>
                <w:szCs w:val="20"/>
              </w:rPr>
              <w:t>出</w:t>
            </w:r>
            <w:r>
              <w:rPr>
                <w:spacing w:val="-33"/>
                <w:sz w:val="20"/>
                <w:szCs w:val="20"/>
              </w:rPr>
              <w:t xml:space="preserve"> </w:t>
            </w:r>
            <w:r>
              <w:rPr>
                <w:spacing w:val="11"/>
                <w:sz w:val="20"/>
                <w:szCs w:val="20"/>
              </w:rPr>
              <w:t>3</w:t>
            </w:r>
            <w:r>
              <w:rPr>
                <w:spacing w:val="-35"/>
                <w:sz w:val="20"/>
                <w:szCs w:val="20"/>
              </w:rPr>
              <w:t xml:space="preserve"> </w:t>
            </w:r>
            <w:r>
              <w:rPr>
                <w:spacing w:val="11"/>
                <w:sz w:val="20"/>
                <w:szCs w:val="20"/>
              </w:rPr>
              <w:t>个球对应的下浮率的平均值即为本标段招标的下</w:t>
            </w:r>
            <w:r>
              <w:rPr>
                <w:spacing w:val="10"/>
                <w:sz w:val="20"/>
                <w:szCs w:val="20"/>
              </w:rPr>
              <w:t>浮率。（注：摇出三</w:t>
            </w:r>
            <w:r>
              <w:rPr>
                <w:spacing w:val="9"/>
                <w:sz w:val="20"/>
                <w:szCs w:val="20"/>
              </w:rPr>
              <w:t>个下浮率的平均值四舍</w:t>
            </w:r>
            <w:r>
              <w:rPr>
                <w:spacing w:val="4"/>
                <w:sz w:val="20"/>
                <w:szCs w:val="20"/>
              </w:rPr>
              <w:t>五入取整到</w:t>
            </w:r>
            <w:r>
              <w:rPr>
                <w:spacing w:val="-35"/>
                <w:sz w:val="20"/>
                <w:szCs w:val="20"/>
              </w:rPr>
              <w:t xml:space="preserve"> </w:t>
            </w:r>
            <w:r>
              <w:rPr>
                <w:spacing w:val="4"/>
                <w:sz w:val="20"/>
                <w:szCs w:val="20"/>
              </w:rPr>
              <w:t>0.001</w:t>
            </w:r>
            <w:r>
              <w:rPr>
                <w:spacing w:val="-7"/>
                <w:sz w:val="20"/>
                <w:szCs w:val="20"/>
              </w:rPr>
              <w:t>％）</w:t>
            </w:r>
            <w:r>
              <w:rPr>
                <w:spacing w:val="-60"/>
                <w:sz w:val="20"/>
                <w:szCs w:val="20"/>
              </w:rPr>
              <w:t xml:space="preserve"> </w:t>
            </w:r>
            <w:r>
              <w:rPr>
                <w:spacing w:val="4"/>
                <w:sz w:val="20"/>
                <w:szCs w:val="20"/>
              </w:rPr>
              <w:t>。</w:t>
            </w:r>
          </w:p>
          <w:p>
            <w:pPr>
              <w:pStyle w:val="17"/>
              <w:spacing w:before="143" w:line="241" w:lineRule="auto"/>
              <w:ind w:left="551"/>
              <w:rPr>
                <w:sz w:val="20"/>
                <w:szCs w:val="20"/>
              </w:rPr>
            </w:pPr>
            <w:r>
              <w:rPr>
                <w:spacing w:val="8"/>
                <w:sz w:val="20"/>
                <w:szCs w:val="20"/>
              </w:rPr>
              <w:t>最高评标限价＝最高投标限价×（1-下浮率）</w:t>
            </w:r>
          </w:p>
          <w:p>
            <w:pPr>
              <w:pStyle w:val="17"/>
              <w:spacing w:before="1" w:line="226" w:lineRule="auto"/>
              <w:ind w:left="132"/>
              <w:rPr>
                <w:sz w:val="20"/>
                <w:szCs w:val="20"/>
              </w:rPr>
            </w:pPr>
          </w:p>
        </w:tc>
      </w:tr>
    </w:tbl>
    <w:p>
      <w:pPr>
        <w:spacing w:line="308" w:lineRule="auto"/>
        <w:rPr>
          <w:rFonts w:ascii="Arial"/>
          <w:sz w:val="21"/>
        </w:rPr>
      </w:pPr>
    </w:p>
    <w:p>
      <w:pPr>
        <w:spacing w:line="308" w:lineRule="auto"/>
        <w:rPr>
          <w:rFonts w:ascii="Arial"/>
          <w:sz w:val="21"/>
        </w:rPr>
      </w:pPr>
    </w:p>
    <w:p>
      <w:pPr>
        <w:spacing w:line="309" w:lineRule="auto"/>
        <w:rPr>
          <w:rFonts w:ascii="Arial"/>
          <w:sz w:val="21"/>
        </w:rPr>
      </w:pPr>
    </w:p>
    <w:p>
      <w:pPr>
        <w:spacing w:before="45"/>
      </w:pPr>
    </w:p>
    <w:p>
      <w:pPr>
        <w:spacing w:before="45"/>
      </w:pPr>
    </w:p>
    <w:p>
      <w:pPr>
        <w:spacing w:before="44"/>
      </w:pPr>
    </w:p>
    <w:tbl>
      <w:tblPr>
        <w:tblStyle w:val="16"/>
        <w:tblW w:w="90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9"/>
        <w:gridCol w:w="1063"/>
        <w:gridCol w:w="7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69" w:type="dxa"/>
            <w:vAlign w:val="top"/>
          </w:tcPr>
          <w:p>
            <w:pPr>
              <w:pStyle w:val="17"/>
              <w:spacing w:before="95" w:line="228" w:lineRule="auto"/>
              <w:ind w:left="231"/>
              <w:rPr>
                <w:sz w:val="20"/>
                <w:szCs w:val="20"/>
              </w:rPr>
            </w:pPr>
            <w:r>
              <w:rPr>
                <w:spacing w:val="5"/>
                <w:sz w:val="20"/>
                <w:szCs w:val="20"/>
                <w14:textOutline w14:w="3795" w14:cap="sq" w14:cmpd="sng">
                  <w14:solidFill>
                    <w14:srgbClr w14:val="000000"/>
                  </w14:solidFill>
                  <w14:prstDash w14:val="solid"/>
                  <w14:bevel/>
                </w14:textOutline>
              </w:rPr>
              <w:t>条款</w:t>
            </w:r>
          </w:p>
          <w:p>
            <w:pPr>
              <w:pStyle w:val="17"/>
              <w:spacing w:before="72" w:line="229" w:lineRule="auto"/>
              <w:ind w:left="340"/>
              <w:rPr>
                <w:sz w:val="20"/>
                <w:szCs w:val="20"/>
              </w:rPr>
            </w:pPr>
            <w:r>
              <w:rPr>
                <w:sz w:val="20"/>
                <w:szCs w:val="20"/>
                <w14:textOutline w14:w="3795" w14:cap="sq" w14:cmpd="sng">
                  <w14:solidFill>
                    <w14:srgbClr w14:val="000000"/>
                  </w14:solidFill>
                  <w14:prstDash w14:val="solid"/>
                  <w14:bevel/>
                </w14:textOutline>
              </w:rPr>
              <w:t>号</w:t>
            </w:r>
          </w:p>
        </w:tc>
        <w:tc>
          <w:tcPr>
            <w:tcW w:w="1063" w:type="dxa"/>
            <w:vAlign w:val="top"/>
          </w:tcPr>
          <w:p>
            <w:pPr>
              <w:pStyle w:val="17"/>
              <w:spacing w:before="96" w:line="319" w:lineRule="exact"/>
              <w:ind w:left="327"/>
              <w:rPr>
                <w:sz w:val="20"/>
                <w:szCs w:val="20"/>
              </w:rPr>
            </w:pPr>
            <w:r>
              <w:rPr>
                <w:spacing w:val="5"/>
                <w:position w:val="8"/>
                <w:sz w:val="20"/>
                <w:szCs w:val="20"/>
                <w14:textOutline w14:w="3795" w14:cap="sq" w14:cmpd="sng">
                  <w14:solidFill>
                    <w14:srgbClr w14:val="000000"/>
                  </w14:solidFill>
                  <w14:prstDash w14:val="solid"/>
                  <w14:bevel/>
                </w14:textOutline>
              </w:rPr>
              <w:t>条款</w:t>
            </w:r>
          </w:p>
          <w:p>
            <w:pPr>
              <w:pStyle w:val="17"/>
              <w:spacing w:line="227" w:lineRule="auto"/>
              <w:ind w:left="351"/>
              <w:rPr>
                <w:sz w:val="20"/>
                <w:szCs w:val="20"/>
              </w:rPr>
            </w:pPr>
            <w:r>
              <w:rPr>
                <w:spacing w:val="-7"/>
                <w:sz w:val="20"/>
                <w:szCs w:val="20"/>
                <w14:textOutline w14:w="3795" w14:cap="sq" w14:cmpd="sng">
                  <w14:solidFill>
                    <w14:srgbClr w14:val="000000"/>
                  </w14:solidFill>
                  <w14:prstDash w14:val="solid"/>
                  <w14:bevel/>
                </w14:textOutline>
              </w:rPr>
              <w:t>内容</w:t>
            </w:r>
          </w:p>
        </w:tc>
        <w:tc>
          <w:tcPr>
            <w:tcW w:w="7165" w:type="dxa"/>
            <w:vAlign w:val="top"/>
          </w:tcPr>
          <w:p>
            <w:pPr>
              <w:pStyle w:val="17"/>
              <w:spacing w:before="256" w:line="228" w:lineRule="auto"/>
              <w:ind w:left="3169"/>
              <w:rPr>
                <w:sz w:val="20"/>
                <w:szCs w:val="20"/>
              </w:rPr>
            </w:pPr>
            <w:r>
              <w:rPr>
                <w:spacing w:val="8"/>
                <w:sz w:val="20"/>
                <w:szCs w:val="20"/>
                <w14:textOutline w14:w="3795" w14:cap="sq" w14:cmpd="sng">
                  <w14:solidFill>
                    <w14:srgbClr w14:val="000000"/>
                  </w14:solidFill>
                  <w14:prstDash w14:val="solid"/>
                  <w14:bevel/>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9" w:hRule="atLeast"/>
        </w:trPr>
        <w:tc>
          <w:tcPr>
            <w:tcW w:w="86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17"/>
              <w:spacing w:before="65" w:line="189" w:lineRule="auto"/>
              <w:ind w:left="179"/>
              <w:rPr>
                <w:sz w:val="20"/>
                <w:szCs w:val="20"/>
              </w:rPr>
            </w:pPr>
            <w:r>
              <w:rPr>
                <w:spacing w:val="3"/>
                <w:sz w:val="20"/>
                <w:szCs w:val="20"/>
              </w:rPr>
              <w:t>2.2.2</w:t>
            </w:r>
          </w:p>
        </w:tc>
        <w:tc>
          <w:tcPr>
            <w:tcW w:w="1063"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7"/>
              <w:spacing w:before="65" w:line="300" w:lineRule="exact"/>
              <w:ind w:left="219"/>
              <w:rPr>
                <w:sz w:val="20"/>
                <w:szCs w:val="20"/>
              </w:rPr>
            </w:pPr>
            <w:r>
              <w:rPr>
                <w:spacing w:val="7"/>
                <w:position w:val="6"/>
                <w:sz w:val="20"/>
                <w:szCs w:val="20"/>
              </w:rPr>
              <w:t>评标基</w:t>
            </w:r>
          </w:p>
          <w:p>
            <w:pPr>
              <w:pStyle w:val="17"/>
              <w:spacing w:line="226" w:lineRule="auto"/>
              <w:ind w:left="222"/>
              <w:rPr>
                <w:sz w:val="20"/>
                <w:szCs w:val="20"/>
              </w:rPr>
            </w:pPr>
            <w:r>
              <w:rPr>
                <w:spacing w:val="6"/>
                <w:sz w:val="20"/>
                <w:szCs w:val="20"/>
              </w:rPr>
              <w:t>准价计</w:t>
            </w:r>
          </w:p>
          <w:p>
            <w:pPr>
              <w:pStyle w:val="17"/>
              <w:spacing w:before="54" w:line="228" w:lineRule="auto"/>
              <w:ind w:left="222"/>
              <w:rPr>
                <w:sz w:val="20"/>
                <w:szCs w:val="20"/>
              </w:rPr>
            </w:pPr>
            <w:r>
              <w:rPr>
                <w:spacing w:val="6"/>
                <w:sz w:val="20"/>
                <w:szCs w:val="20"/>
              </w:rPr>
              <w:t>算方法</w:t>
            </w:r>
          </w:p>
        </w:tc>
        <w:tc>
          <w:tcPr>
            <w:tcW w:w="7165" w:type="dxa"/>
            <w:vAlign w:val="top"/>
          </w:tcPr>
          <w:p>
            <w:pPr>
              <w:spacing w:line="242" w:lineRule="auto"/>
              <w:rPr>
                <w:rFonts w:ascii="Arial"/>
                <w:sz w:val="21"/>
              </w:rPr>
            </w:pPr>
          </w:p>
          <w:p>
            <w:pPr>
              <w:pStyle w:val="17"/>
              <w:spacing w:before="65" w:line="226" w:lineRule="auto"/>
              <w:ind w:left="139"/>
              <w:rPr>
                <w:sz w:val="20"/>
                <w:szCs w:val="20"/>
              </w:rPr>
            </w:pPr>
            <w:r>
              <w:rPr>
                <w:spacing w:val="6"/>
                <w:sz w:val="20"/>
                <w:szCs w:val="20"/>
              </w:rPr>
              <w:t>（3）有效评标价范围：</w:t>
            </w:r>
          </w:p>
          <w:p>
            <w:pPr>
              <w:pStyle w:val="17"/>
              <w:spacing w:before="162" w:line="408" w:lineRule="exact"/>
              <w:ind w:left="550"/>
              <w:rPr>
                <w:sz w:val="20"/>
                <w:szCs w:val="20"/>
              </w:rPr>
            </w:pPr>
            <w:r>
              <w:rPr>
                <w:spacing w:val="9"/>
                <w:position w:val="15"/>
                <w:sz w:val="20"/>
                <w:szCs w:val="20"/>
              </w:rPr>
              <w:t>有效评标价范围为：不大于最高评标限价的评标价为有效评标价。大于</w:t>
            </w:r>
          </w:p>
          <w:p>
            <w:pPr>
              <w:pStyle w:val="17"/>
              <w:spacing w:line="226" w:lineRule="auto"/>
              <w:ind w:left="131"/>
              <w:rPr>
                <w:sz w:val="20"/>
                <w:szCs w:val="20"/>
              </w:rPr>
            </w:pPr>
            <w:r>
              <w:rPr>
                <w:spacing w:val="8"/>
                <w:sz w:val="20"/>
                <w:szCs w:val="20"/>
              </w:rPr>
              <w:t>最高评标限价的评标价，将否决其投标。</w:t>
            </w:r>
          </w:p>
          <w:p>
            <w:pPr>
              <w:pStyle w:val="17"/>
              <w:spacing w:before="163" w:line="226" w:lineRule="auto"/>
              <w:ind w:left="139"/>
              <w:rPr>
                <w:sz w:val="20"/>
                <w:szCs w:val="20"/>
              </w:rPr>
            </w:pPr>
            <w:r>
              <w:rPr>
                <w:spacing w:val="9"/>
                <w:sz w:val="20"/>
                <w:szCs w:val="20"/>
              </w:rPr>
              <w:t>（4）确定参与评标基准价计算的有效评标</w:t>
            </w:r>
            <w:r>
              <w:rPr>
                <w:spacing w:val="8"/>
                <w:sz w:val="20"/>
                <w:szCs w:val="20"/>
              </w:rPr>
              <w:t>价的平均值计算：</w:t>
            </w:r>
          </w:p>
          <w:p>
            <w:pPr>
              <w:pStyle w:val="17"/>
              <w:spacing w:before="162" w:line="378" w:lineRule="auto"/>
              <w:ind w:left="130" w:right="162" w:firstLine="418"/>
              <w:jc w:val="both"/>
              <w:rPr>
                <w:sz w:val="20"/>
                <w:szCs w:val="20"/>
              </w:rPr>
            </w:pPr>
            <w:r>
              <w:rPr>
                <w:spacing w:val="9"/>
                <w:sz w:val="20"/>
                <w:szCs w:val="20"/>
              </w:rPr>
              <w:t>①参与评标基准价计算的评标价的范围：最高评标限价的</w:t>
            </w:r>
            <w:r>
              <w:rPr>
                <w:spacing w:val="-39"/>
                <w:sz w:val="20"/>
                <w:szCs w:val="20"/>
              </w:rPr>
              <w:t xml:space="preserve"> </w:t>
            </w:r>
            <w:r>
              <w:rPr>
                <w:spacing w:val="9"/>
                <w:sz w:val="20"/>
                <w:szCs w:val="20"/>
              </w:rPr>
              <w:t>85%≤参</w:t>
            </w:r>
            <w:r>
              <w:rPr>
                <w:spacing w:val="8"/>
                <w:sz w:val="20"/>
                <w:szCs w:val="20"/>
              </w:rPr>
              <w:t>与评</w:t>
            </w:r>
            <w:r>
              <w:rPr>
                <w:sz w:val="20"/>
                <w:szCs w:val="20"/>
              </w:rPr>
              <w:t xml:space="preserve"> </w:t>
            </w:r>
            <w:r>
              <w:rPr>
                <w:spacing w:val="8"/>
                <w:sz w:val="20"/>
                <w:szCs w:val="20"/>
              </w:rPr>
              <w:t>标基准价计算的评标价≤最高评标限价的</w:t>
            </w:r>
            <w:r>
              <w:rPr>
                <w:spacing w:val="-24"/>
                <w:sz w:val="20"/>
                <w:szCs w:val="20"/>
              </w:rPr>
              <w:t xml:space="preserve"> </w:t>
            </w:r>
            <w:r>
              <w:rPr>
                <w:spacing w:val="8"/>
                <w:sz w:val="20"/>
                <w:szCs w:val="20"/>
              </w:rPr>
              <w:t>100% ，</w:t>
            </w:r>
            <w:r>
              <w:rPr>
                <w:spacing w:val="7"/>
                <w:sz w:val="20"/>
                <w:szCs w:val="20"/>
              </w:rPr>
              <w:t>小于最高评标限价的</w:t>
            </w:r>
            <w:r>
              <w:rPr>
                <w:spacing w:val="-36"/>
                <w:sz w:val="20"/>
                <w:szCs w:val="20"/>
              </w:rPr>
              <w:t xml:space="preserve"> </w:t>
            </w:r>
            <w:r>
              <w:rPr>
                <w:spacing w:val="7"/>
                <w:sz w:val="20"/>
                <w:szCs w:val="20"/>
              </w:rPr>
              <w:t>85%</w:t>
            </w:r>
          </w:p>
          <w:p>
            <w:pPr>
              <w:pStyle w:val="17"/>
              <w:spacing w:line="226" w:lineRule="auto"/>
              <w:ind w:left="146"/>
              <w:rPr>
                <w:sz w:val="20"/>
                <w:szCs w:val="20"/>
              </w:rPr>
            </w:pPr>
            <w:r>
              <w:rPr>
                <w:spacing w:val="9"/>
                <w:sz w:val="20"/>
                <w:szCs w:val="20"/>
              </w:rPr>
              <w:t>的评标价不参与评标基准价的计算，但仍参</w:t>
            </w:r>
            <w:r>
              <w:rPr>
                <w:spacing w:val="8"/>
                <w:sz w:val="20"/>
                <w:szCs w:val="20"/>
              </w:rPr>
              <w:t>与评标价的得分计算。</w:t>
            </w:r>
          </w:p>
          <w:p>
            <w:pPr>
              <w:pStyle w:val="17"/>
              <w:spacing w:before="163" w:line="377" w:lineRule="auto"/>
              <w:ind w:left="129" w:right="124" w:firstLine="418"/>
              <w:jc w:val="both"/>
              <w:rPr>
                <w:sz w:val="20"/>
                <w:szCs w:val="20"/>
              </w:rPr>
            </w:pPr>
            <w:r>
              <w:rPr>
                <w:spacing w:val="9"/>
                <w:sz w:val="20"/>
                <w:szCs w:val="20"/>
              </w:rPr>
              <w:t>②参与评标基准价计算的有效评标价的平均值计算：除按第二章“投标</w:t>
            </w:r>
            <w:r>
              <w:rPr>
                <w:spacing w:val="5"/>
                <w:sz w:val="20"/>
                <w:szCs w:val="20"/>
              </w:rPr>
              <w:t xml:space="preserve"> </w:t>
            </w:r>
            <w:r>
              <w:rPr>
                <w:spacing w:val="7"/>
                <w:sz w:val="20"/>
                <w:szCs w:val="20"/>
              </w:rPr>
              <w:t>人须知</w:t>
            </w:r>
            <w:r>
              <w:rPr>
                <w:spacing w:val="-70"/>
                <w:sz w:val="20"/>
                <w:szCs w:val="20"/>
              </w:rPr>
              <w:t xml:space="preserve"> </w:t>
            </w:r>
            <w:r>
              <w:rPr>
                <w:spacing w:val="7"/>
                <w:sz w:val="20"/>
                <w:szCs w:val="20"/>
              </w:rPr>
              <w:t>”第</w:t>
            </w:r>
            <w:r>
              <w:rPr>
                <w:spacing w:val="-36"/>
                <w:sz w:val="20"/>
                <w:szCs w:val="20"/>
              </w:rPr>
              <w:t xml:space="preserve"> </w:t>
            </w:r>
            <w:r>
              <w:rPr>
                <w:spacing w:val="7"/>
                <w:sz w:val="20"/>
                <w:szCs w:val="20"/>
              </w:rPr>
              <w:t>5.2.4</w:t>
            </w:r>
            <w:r>
              <w:rPr>
                <w:spacing w:val="-34"/>
                <w:sz w:val="20"/>
                <w:szCs w:val="20"/>
              </w:rPr>
              <w:t xml:space="preserve"> </w:t>
            </w:r>
            <w:r>
              <w:rPr>
                <w:spacing w:val="7"/>
                <w:sz w:val="20"/>
                <w:szCs w:val="20"/>
              </w:rPr>
              <w:t>项规定开标现场被宣布为不进入评标基准价计算的投标报</w:t>
            </w:r>
            <w:r>
              <w:rPr>
                <w:sz w:val="20"/>
                <w:szCs w:val="20"/>
              </w:rPr>
              <w:t xml:space="preserve"> </w:t>
            </w:r>
            <w:r>
              <w:rPr>
                <w:spacing w:val="9"/>
                <w:sz w:val="20"/>
                <w:szCs w:val="20"/>
              </w:rPr>
              <w:t>价之外，在上述确定的参与评标基准价计算的评标价中去掉一个最高值和一</w:t>
            </w:r>
            <w:r>
              <w:rPr>
                <w:spacing w:val="8"/>
                <w:sz w:val="20"/>
                <w:szCs w:val="20"/>
              </w:rPr>
              <w:t xml:space="preserve"> </w:t>
            </w:r>
            <w:r>
              <w:rPr>
                <w:spacing w:val="16"/>
                <w:sz w:val="20"/>
                <w:szCs w:val="20"/>
              </w:rPr>
              <w:t>个最低值后的算术平均值即为参与评标基准价计算的</w:t>
            </w:r>
            <w:r>
              <w:rPr>
                <w:spacing w:val="15"/>
                <w:sz w:val="20"/>
                <w:szCs w:val="20"/>
              </w:rPr>
              <w:t>有效评标价的平均值</w:t>
            </w:r>
            <w:r>
              <w:rPr>
                <w:sz w:val="20"/>
                <w:szCs w:val="20"/>
              </w:rPr>
              <w:t xml:space="preserve"> </w:t>
            </w:r>
            <w:r>
              <w:rPr>
                <w:spacing w:val="11"/>
                <w:sz w:val="20"/>
                <w:szCs w:val="20"/>
              </w:rPr>
              <w:t>(如果参与评标价平均值计算的有效投标人少于</w:t>
            </w:r>
            <w:r>
              <w:rPr>
                <w:spacing w:val="-27"/>
                <w:sz w:val="20"/>
                <w:szCs w:val="20"/>
              </w:rPr>
              <w:t xml:space="preserve"> </w:t>
            </w:r>
            <w:r>
              <w:rPr>
                <w:spacing w:val="11"/>
                <w:sz w:val="20"/>
                <w:szCs w:val="20"/>
              </w:rPr>
              <w:t>5</w:t>
            </w:r>
            <w:r>
              <w:rPr>
                <w:spacing w:val="-33"/>
                <w:sz w:val="20"/>
                <w:szCs w:val="20"/>
              </w:rPr>
              <w:t xml:space="preserve"> </w:t>
            </w:r>
            <w:r>
              <w:rPr>
                <w:spacing w:val="11"/>
                <w:sz w:val="20"/>
                <w:szCs w:val="20"/>
              </w:rPr>
              <w:t>家时，则计算上述平均值</w:t>
            </w:r>
          </w:p>
          <w:p>
            <w:pPr>
              <w:pStyle w:val="17"/>
              <w:spacing w:before="1" w:line="227" w:lineRule="auto"/>
              <w:ind w:left="139"/>
              <w:rPr>
                <w:sz w:val="20"/>
                <w:szCs w:val="20"/>
              </w:rPr>
            </w:pPr>
            <w:r>
              <w:rPr>
                <w:spacing w:val="7"/>
                <w:sz w:val="20"/>
                <w:szCs w:val="20"/>
              </w:rPr>
              <w:t>时不去掉最高值和最低值)。</w:t>
            </w:r>
          </w:p>
          <w:p>
            <w:pPr>
              <w:pStyle w:val="17"/>
              <w:spacing w:before="163" w:line="377" w:lineRule="auto"/>
              <w:ind w:left="127" w:right="124" w:firstLine="422"/>
              <w:jc w:val="both"/>
              <w:rPr>
                <w:sz w:val="20"/>
                <w:szCs w:val="20"/>
              </w:rPr>
            </w:pPr>
            <w:r>
              <w:rPr>
                <w:spacing w:val="9"/>
                <w:sz w:val="20"/>
                <w:szCs w:val="20"/>
              </w:rPr>
              <w:t>若投标人的评标价均小于最高评标限价的</w:t>
            </w:r>
            <w:r>
              <w:rPr>
                <w:spacing w:val="-38"/>
                <w:sz w:val="20"/>
                <w:szCs w:val="20"/>
              </w:rPr>
              <w:t xml:space="preserve"> </w:t>
            </w:r>
            <w:r>
              <w:rPr>
                <w:spacing w:val="9"/>
                <w:sz w:val="20"/>
                <w:szCs w:val="20"/>
              </w:rPr>
              <w:t>85%时，则以最高评标限</w:t>
            </w:r>
            <w:r>
              <w:rPr>
                <w:spacing w:val="8"/>
                <w:sz w:val="20"/>
                <w:szCs w:val="20"/>
              </w:rPr>
              <w:t>价的</w:t>
            </w:r>
            <w:r>
              <w:rPr>
                <w:sz w:val="20"/>
                <w:szCs w:val="20"/>
              </w:rPr>
              <w:t xml:space="preserve"> </w:t>
            </w:r>
            <w:r>
              <w:rPr>
                <w:spacing w:val="10"/>
                <w:sz w:val="20"/>
                <w:szCs w:val="20"/>
              </w:rPr>
              <w:t>85%为评标基准价。评标委员会可对评标价小于最高评标限价</w:t>
            </w:r>
            <w:r>
              <w:rPr>
                <w:spacing w:val="9"/>
                <w:sz w:val="20"/>
                <w:szCs w:val="20"/>
              </w:rPr>
              <w:t>的</w:t>
            </w:r>
            <w:r>
              <w:rPr>
                <w:spacing w:val="-39"/>
                <w:sz w:val="20"/>
                <w:szCs w:val="20"/>
              </w:rPr>
              <w:t xml:space="preserve"> </w:t>
            </w:r>
            <w:r>
              <w:rPr>
                <w:spacing w:val="9"/>
                <w:sz w:val="20"/>
                <w:szCs w:val="20"/>
              </w:rPr>
              <w:t>85％的启动</w:t>
            </w:r>
            <w:r>
              <w:rPr>
                <w:sz w:val="20"/>
                <w:szCs w:val="20"/>
              </w:rPr>
              <w:t xml:space="preserve"> </w:t>
            </w:r>
            <w:r>
              <w:rPr>
                <w:spacing w:val="9"/>
                <w:sz w:val="20"/>
                <w:szCs w:val="20"/>
              </w:rPr>
              <w:t>澄清程序，要求投标人作出书面说明并提供相关证明材料，若投标人不能合</w:t>
            </w:r>
            <w:r>
              <w:rPr>
                <w:spacing w:val="7"/>
                <w:sz w:val="20"/>
                <w:szCs w:val="20"/>
              </w:rPr>
              <w:t xml:space="preserve"> </w:t>
            </w:r>
            <w:r>
              <w:rPr>
                <w:spacing w:val="9"/>
                <w:sz w:val="20"/>
                <w:szCs w:val="20"/>
              </w:rPr>
              <w:t>理说明或者不能提供相关证明资料的，评标委员会认定该投标人以低于成本</w:t>
            </w:r>
            <w:r>
              <w:rPr>
                <w:spacing w:val="7"/>
                <w:sz w:val="20"/>
                <w:szCs w:val="20"/>
              </w:rPr>
              <w:t xml:space="preserve"> </w:t>
            </w:r>
            <w:r>
              <w:rPr>
                <w:spacing w:val="9"/>
                <w:sz w:val="20"/>
                <w:szCs w:val="20"/>
              </w:rPr>
              <w:t>报价竞标，否决其投标。当所有投标人的投标因此种情况被否决；或当因此</w:t>
            </w:r>
            <w:r>
              <w:rPr>
                <w:spacing w:val="10"/>
                <w:sz w:val="20"/>
                <w:szCs w:val="20"/>
              </w:rPr>
              <w:t xml:space="preserve"> </w:t>
            </w:r>
            <w:r>
              <w:rPr>
                <w:spacing w:val="9"/>
                <w:sz w:val="20"/>
                <w:szCs w:val="20"/>
              </w:rPr>
              <w:t>种情况被否决部分投标人后，有效投标人不足三家，评标委员会认为竞争不</w:t>
            </w:r>
            <w:r>
              <w:rPr>
                <w:spacing w:val="7"/>
                <w:sz w:val="20"/>
                <w:szCs w:val="20"/>
              </w:rPr>
              <w:t xml:space="preserve"> </w:t>
            </w:r>
            <w:r>
              <w:rPr>
                <w:spacing w:val="9"/>
                <w:sz w:val="20"/>
                <w:szCs w:val="20"/>
              </w:rPr>
              <w:t>足的情况出现时，评标委员会可以否决全部投标。未否决全部投标的，评标</w:t>
            </w:r>
          </w:p>
          <w:p>
            <w:pPr>
              <w:pStyle w:val="17"/>
              <w:spacing w:line="226" w:lineRule="auto"/>
              <w:ind w:left="128"/>
              <w:rPr>
                <w:sz w:val="20"/>
                <w:szCs w:val="20"/>
              </w:rPr>
            </w:pPr>
            <w:r>
              <w:rPr>
                <w:spacing w:val="9"/>
                <w:sz w:val="20"/>
                <w:szCs w:val="20"/>
              </w:rPr>
              <w:t>委员会应当在评标报告中阐明理由并推荐中标候选人。</w:t>
            </w:r>
          </w:p>
          <w:p>
            <w:pPr>
              <w:pStyle w:val="17"/>
              <w:spacing w:before="162" w:line="377" w:lineRule="auto"/>
              <w:ind w:left="132" w:right="124" w:firstLine="432"/>
              <w:jc w:val="both"/>
              <w:rPr>
                <w:sz w:val="20"/>
                <w:szCs w:val="20"/>
              </w:rPr>
            </w:pPr>
            <w:r>
              <w:rPr>
                <w:spacing w:val="9"/>
                <w:sz w:val="20"/>
                <w:szCs w:val="20"/>
              </w:rPr>
              <w:t>即使某投标文件第二个信封未通过形式评审与响</w:t>
            </w:r>
            <w:r>
              <w:rPr>
                <w:spacing w:val="8"/>
                <w:sz w:val="20"/>
                <w:szCs w:val="20"/>
              </w:rPr>
              <w:t>应性评审，如其报价处</w:t>
            </w:r>
            <w:r>
              <w:rPr>
                <w:sz w:val="20"/>
                <w:szCs w:val="20"/>
              </w:rPr>
              <w:t xml:space="preserve"> </w:t>
            </w:r>
            <w:r>
              <w:rPr>
                <w:spacing w:val="9"/>
                <w:sz w:val="20"/>
                <w:szCs w:val="20"/>
              </w:rPr>
              <w:t>于参与评标基准价计算的有效评标价的范围内，其评标价仍应参与有效评标</w:t>
            </w:r>
          </w:p>
          <w:p>
            <w:pPr>
              <w:pStyle w:val="17"/>
              <w:spacing w:before="1" w:line="226" w:lineRule="auto"/>
              <w:ind w:left="130"/>
              <w:rPr>
                <w:sz w:val="20"/>
                <w:szCs w:val="20"/>
              </w:rPr>
            </w:pPr>
            <w:r>
              <w:rPr>
                <w:spacing w:val="7"/>
                <w:sz w:val="20"/>
                <w:szCs w:val="20"/>
              </w:rPr>
              <w:t>价平均值的计算。</w:t>
            </w:r>
          </w:p>
        </w:tc>
      </w:tr>
    </w:tbl>
    <w:p>
      <w:pPr>
        <w:rPr>
          <w:rFonts w:ascii="Arial"/>
          <w:sz w:val="21"/>
        </w:rPr>
      </w:pPr>
    </w:p>
    <w:p>
      <w:pPr>
        <w:spacing w:before="228"/>
      </w:pPr>
    </w:p>
    <w:p>
      <w:pPr>
        <w:pStyle w:val="12"/>
      </w:pPr>
    </w:p>
    <w:p>
      <w:pPr>
        <w:pStyle w:val="11"/>
      </w:pPr>
    </w:p>
    <w:tbl>
      <w:tblPr>
        <w:tblStyle w:val="16"/>
        <w:tblW w:w="90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9"/>
        <w:gridCol w:w="1063"/>
        <w:gridCol w:w="7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69" w:type="dxa"/>
            <w:vAlign w:val="top"/>
          </w:tcPr>
          <w:p>
            <w:pPr>
              <w:pStyle w:val="17"/>
              <w:spacing w:before="95" w:line="228" w:lineRule="auto"/>
              <w:ind w:left="231"/>
              <w:rPr>
                <w:sz w:val="20"/>
                <w:szCs w:val="20"/>
              </w:rPr>
            </w:pPr>
            <w:r>
              <w:rPr>
                <w:spacing w:val="5"/>
                <w:sz w:val="20"/>
                <w:szCs w:val="20"/>
                <w14:textOutline w14:w="3795" w14:cap="sq" w14:cmpd="sng">
                  <w14:solidFill>
                    <w14:srgbClr w14:val="000000"/>
                  </w14:solidFill>
                  <w14:prstDash w14:val="solid"/>
                  <w14:bevel/>
                </w14:textOutline>
              </w:rPr>
              <w:t>条款</w:t>
            </w:r>
          </w:p>
          <w:p>
            <w:pPr>
              <w:pStyle w:val="17"/>
              <w:spacing w:before="72" w:line="229" w:lineRule="auto"/>
              <w:ind w:left="340"/>
              <w:rPr>
                <w:sz w:val="20"/>
                <w:szCs w:val="20"/>
              </w:rPr>
            </w:pPr>
            <w:r>
              <w:rPr>
                <w:sz w:val="20"/>
                <w:szCs w:val="20"/>
                <w14:textOutline w14:w="3795" w14:cap="sq" w14:cmpd="sng">
                  <w14:solidFill>
                    <w14:srgbClr w14:val="000000"/>
                  </w14:solidFill>
                  <w14:prstDash w14:val="solid"/>
                  <w14:bevel/>
                </w14:textOutline>
              </w:rPr>
              <w:t>号</w:t>
            </w:r>
          </w:p>
        </w:tc>
        <w:tc>
          <w:tcPr>
            <w:tcW w:w="1063" w:type="dxa"/>
            <w:vAlign w:val="top"/>
          </w:tcPr>
          <w:p>
            <w:pPr>
              <w:pStyle w:val="17"/>
              <w:spacing w:before="96" w:line="319" w:lineRule="exact"/>
              <w:ind w:left="327"/>
              <w:rPr>
                <w:sz w:val="20"/>
                <w:szCs w:val="20"/>
              </w:rPr>
            </w:pPr>
            <w:r>
              <w:rPr>
                <w:spacing w:val="5"/>
                <w:position w:val="8"/>
                <w:sz w:val="20"/>
                <w:szCs w:val="20"/>
                <w14:textOutline w14:w="3795" w14:cap="sq" w14:cmpd="sng">
                  <w14:solidFill>
                    <w14:srgbClr w14:val="000000"/>
                  </w14:solidFill>
                  <w14:prstDash w14:val="solid"/>
                  <w14:bevel/>
                </w14:textOutline>
              </w:rPr>
              <w:t>条款</w:t>
            </w:r>
          </w:p>
          <w:p>
            <w:pPr>
              <w:pStyle w:val="17"/>
              <w:spacing w:line="227" w:lineRule="auto"/>
              <w:ind w:left="351"/>
              <w:rPr>
                <w:sz w:val="20"/>
                <w:szCs w:val="20"/>
              </w:rPr>
            </w:pPr>
            <w:r>
              <w:rPr>
                <w:spacing w:val="-7"/>
                <w:sz w:val="20"/>
                <w:szCs w:val="20"/>
                <w14:textOutline w14:w="3795" w14:cap="sq" w14:cmpd="sng">
                  <w14:solidFill>
                    <w14:srgbClr w14:val="000000"/>
                  </w14:solidFill>
                  <w14:prstDash w14:val="solid"/>
                  <w14:bevel/>
                </w14:textOutline>
              </w:rPr>
              <w:t>内容</w:t>
            </w:r>
          </w:p>
        </w:tc>
        <w:tc>
          <w:tcPr>
            <w:tcW w:w="7165" w:type="dxa"/>
            <w:vAlign w:val="top"/>
          </w:tcPr>
          <w:p>
            <w:pPr>
              <w:pStyle w:val="17"/>
              <w:spacing w:before="256" w:line="228" w:lineRule="auto"/>
              <w:ind w:left="3169"/>
              <w:rPr>
                <w:sz w:val="20"/>
                <w:szCs w:val="20"/>
              </w:rPr>
            </w:pPr>
            <w:r>
              <w:rPr>
                <w:spacing w:val="8"/>
                <w:sz w:val="20"/>
                <w:szCs w:val="20"/>
                <w14:textOutline w14:w="3795" w14:cap="sq" w14:cmpd="sng">
                  <w14:solidFill>
                    <w14:srgbClr w14:val="000000"/>
                  </w14:solidFill>
                  <w14:prstDash w14:val="solid"/>
                  <w14:bevel/>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4" w:hRule="atLeast"/>
        </w:trPr>
        <w:tc>
          <w:tcPr>
            <w:tcW w:w="869"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7"/>
              <w:spacing w:before="65" w:line="189" w:lineRule="auto"/>
              <w:ind w:left="179"/>
              <w:rPr>
                <w:sz w:val="20"/>
                <w:szCs w:val="20"/>
              </w:rPr>
            </w:pPr>
            <w:r>
              <w:rPr>
                <w:spacing w:val="3"/>
                <w:sz w:val="20"/>
                <w:szCs w:val="20"/>
              </w:rPr>
              <w:t>2.2.2</w:t>
            </w:r>
          </w:p>
        </w:tc>
        <w:tc>
          <w:tcPr>
            <w:tcW w:w="1063" w:type="dxa"/>
            <w:vAlign w:val="top"/>
          </w:tcPr>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pStyle w:val="17"/>
              <w:spacing w:before="65" w:line="300" w:lineRule="exact"/>
              <w:ind w:left="219"/>
              <w:rPr>
                <w:sz w:val="20"/>
                <w:szCs w:val="20"/>
                <w:highlight w:val="none"/>
              </w:rPr>
            </w:pPr>
            <w:r>
              <w:rPr>
                <w:spacing w:val="7"/>
                <w:position w:val="6"/>
                <w:sz w:val="20"/>
                <w:szCs w:val="20"/>
                <w:highlight w:val="none"/>
              </w:rPr>
              <w:t>评标基</w:t>
            </w:r>
          </w:p>
          <w:p>
            <w:pPr>
              <w:pStyle w:val="17"/>
              <w:spacing w:line="226" w:lineRule="auto"/>
              <w:ind w:left="222"/>
              <w:rPr>
                <w:sz w:val="20"/>
                <w:szCs w:val="20"/>
                <w:highlight w:val="none"/>
              </w:rPr>
            </w:pPr>
            <w:r>
              <w:rPr>
                <w:spacing w:val="6"/>
                <w:sz w:val="20"/>
                <w:szCs w:val="20"/>
                <w:highlight w:val="none"/>
              </w:rPr>
              <w:t>准价计</w:t>
            </w:r>
          </w:p>
          <w:p>
            <w:pPr>
              <w:pStyle w:val="17"/>
              <w:spacing w:before="54" w:line="228" w:lineRule="auto"/>
              <w:ind w:left="222"/>
              <w:rPr>
                <w:sz w:val="20"/>
                <w:szCs w:val="20"/>
                <w:highlight w:val="none"/>
              </w:rPr>
            </w:pPr>
            <w:r>
              <w:rPr>
                <w:spacing w:val="6"/>
                <w:sz w:val="20"/>
                <w:szCs w:val="20"/>
                <w:highlight w:val="none"/>
              </w:rPr>
              <w:t>算方法</w:t>
            </w:r>
          </w:p>
        </w:tc>
        <w:tc>
          <w:tcPr>
            <w:tcW w:w="7165" w:type="dxa"/>
            <w:vAlign w:val="top"/>
          </w:tcPr>
          <w:p>
            <w:pPr>
              <w:pStyle w:val="17"/>
              <w:spacing w:before="300" w:line="226" w:lineRule="auto"/>
              <w:ind w:left="139"/>
              <w:rPr>
                <w:sz w:val="20"/>
                <w:szCs w:val="20"/>
                <w:highlight w:val="none"/>
              </w:rPr>
            </w:pPr>
            <w:r>
              <w:rPr>
                <w:spacing w:val="9"/>
                <w:sz w:val="20"/>
                <w:szCs w:val="20"/>
                <w:highlight w:val="none"/>
              </w:rPr>
              <w:t>（5）评标基准价的确定</w:t>
            </w:r>
            <w:r>
              <w:rPr>
                <w:spacing w:val="1"/>
                <w:sz w:val="20"/>
                <w:szCs w:val="20"/>
                <w:highlight w:val="none"/>
              </w:rPr>
              <w:t>：</w:t>
            </w:r>
          </w:p>
          <w:p>
            <w:pPr>
              <w:pStyle w:val="17"/>
              <w:spacing w:before="300" w:line="226" w:lineRule="auto"/>
              <w:ind w:left="139" w:firstLine="436" w:firstLineChars="200"/>
              <w:rPr>
                <w:spacing w:val="9"/>
                <w:sz w:val="20"/>
                <w:szCs w:val="20"/>
                <w:highlight w:val="none"/>
              </w:rPr>
            </w:pPr>
            <w:r>
              <w:rPr>
                <w:spacing w:val="9"/>
                <w:sz w:val="20"/>
                <w:szCs w:val="20"/>
                <w:highlight w:val="none"/>
              </w:rPr>
              <w:t xml:space="preserve">方法： ( </w:t>
            </w:r>
            <w:r>
              <w:rPr>
                <w:rFonts w:hint="eastAsia"/>
                <w:spacing w:val="9"/>
                <w:sz w:val="20"/>
                <w:szCs w:val="20"/>
                <w:highlight w:val="none"/>
                <w:lang w:val="en-US" w:eastAsia="zh-CN"/>
              </w:rPr>
              <w:t>0.7</w:t>
            </w:r>
            <w:r>
              <w:rPr>
                <w:spacing w:val="9"/>
                <w:sz w:val="20"/>
                <w:szCs w:val="20"/>
                <w:highlight w:val="none"/>
              </w:rPr>
              <w:t xml:space="preserve">×最高评标限价 + </w:t>
            </w:r>
            <w:r>
              <w:rPr>
                <w:rFonts w:hint="eastAsia"/>
                <w:spacing w:val="9"/>
                <w:sz w:val="20"/>
                <w:szCs w:val="20"/>
                <w:highlight w:val="none"/>
                <w:lang w:val="en-US" w:eastAsia="zh-CN"/>
              </w:rPr>
              <w:t>0.3</w:t>
            </w:r>
            <w:r>
              <w:rPr>
                <w:spacing w:val="9"/>
                <w:sz w:val="20"/>
                <w:szCs w:val="20"/>
                <w:highlight w:val="none"/>
              </w:rPr>
              <w:t xml:space="preserve"> ×参与评标基准价计算的有效评标价的平均值）</w:t>
            </w:r>
          </w:p>
          <w:p>
            <w:pPr>
              <w:pStyle w:val="17"/>
              <w:spacing w:before="151" w:line="369" w:lineRule="auto"/>
              <w:ind w:left="128" w:right="124" w:firstLine="420"/>
              <w:rPr>
                <w:sz w:val="20"/>
                <w:szCs w:val="20"/>
                <w:highlight w:val="none"/>
              </w:rPr>
            </w:pPr>
            <w:r>
              <w:rPr>
                <w:spacing w:val="9"/>
                <w:sz w:val="20"/>
                <w:szCs w:val="20"/>
                <w:highlight w:val="none"/>
              </w:rPr>
              <w:t>在评标过程中，评标委员会应对招标人计算的评标基准价进行复核，存</w:t>
            </w:r>
            <w:r>
              <w:rPr>
                <w:spacing w:val="7"/>
                <w:sz w:val="20"/>
                <w:szCs w:val="20"/>
                <w:highlight w:val="none"/>
              </w:rPr>
              <w:t xml:space="preserve"> </w:t>
            </w:r>
            <w:r>
              <w:rPr>
                <w:spacing w:val="9"/>
                <w:sz w:val="20"/>
                <w:szCs w:val="20"/>
                <w:highlight w:val="none"/>
              </w:rPr>
              <w:t>在计算错误的应予以修正并在评标报告中作出说明。除此之外，评标基准价</w:t>
            </w:r>
          </w:p>
          <w:p>
            <w:pPr>
              <w:pStyle w:val="17"/>
              <w:spacing w:before="1" w:line="227" w:lineRule="auto"/>
              <w:ind w:left="128"/>
              <w:rPr>
                <w:sz w:val="20"/>
                <w:szCs w:val="20"/>
                <w:highlight w:val="none"/>
              </w:rPr>
            </w:pPr>
            <w:r>
              <w:rPr>
                <w:spacing w:val="9"/>
                <w:sz w:val="20"/>
                <w:szCs w:val="20"/>
                <w:highlight w:val="none"/>
              </w:rPr>
              <w:t>在整个评标期间保持不变，不随任何因素发生变化。</w:t>
            </w:r>
          </w:p>
          <w:p>
            <w:pPr>
              <w:pStyle w:val="17"/>
              <w:spacing w:before="154" w:line="226" w:lineRule="auto"/>
              <w:ind w:left="551"/>
              <w:rPr>
                <w:sz w:val="20"/>
                <w:szCs w:val="20"/>
                <w:highlight w:val="none"/>
              </w:rPr>
            </w:pPr>
            <w:r>
              <w:rPr>
                <w:spacing w:val="9"/>
                <w:sz w:val="20"/>
                <w:szCs w:val="20"/>
                <w:highlight w:val="none"/>
              </w:rPr>
              <w:t>备注：最高评标限价、评标基准价四舍五入至个位整数元。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3" w:hRule="atLeast"/>
        </w:trPr>
        <w:tc>
          <w:tcPr>
            <w:tcW w:w="869" w:type="dxa"/>
            <w:vAlign w:val="top"/>
          </w:tcPr>
          <w:p>
            <w:pPr>
              <w:spacing w:line="307" w:lineRule="auto"/>
              <w:rPr>
                <w:rFonts w:ascii="Arial"/>
                <w:sz w:val="21"/>
              </w:rPr>
            </w:pPr>
          </w:p>
          <w:p>
            <w:pPr>
              <w:spacing w:line="308" w:lineRule="auto"/>
              <w:rPr>
                <w:rFonts w:ascii="Arial"/>
                <w:sz w:val="21"/>
              </w:rPr>
            </w:pPr>
          </w:p>
          <w:p>
            <w:pPr>
              <w:pStyle w:val="17"/>
              <w:spacing w:before="65" w:line="189" w:lineRule="auto"/>
              <w:ind w:left="206"/>
              <w:rPr>
                <w:sz w:val="20"/>
                <w:szCs w:val="20"/>
              </w:rPr>
            </w:pPr>
            <w:r>
              <w:rPr>
                <w:spacing w:val="-4"/>
                <w:sz w:val="20"/>
                <w:szCs w:val="20"/>
              </w:rPr>
              <w:t>2.2.3</w:t>
            </w:r>
          </w:p>
        </w:tc>
        <w:tc>
          <w:tcPr>
            <w:tcW w:w="1063" w:type="dxa"/>
            <w:vAlign w:val="top"/>
          </w:tcPr>
          <w:p>
            <w:pPr>
              <w:pStyle w:val="17"/>
              <w:spacing w:before="171" w:line="226" w:lineRule="auto"/>
              <w:ind w:left="219"/>
              <w:rPr>
                <w:sz w:val="20"/>
                <w:szCs w:val="20"/>
              </w:rPr>
            </w:pPr>
            <w:r>
              <w:rPr>
                <w:spacing w:val="7"/>
                <w:sz w:val="20"/>
                <w:szCs w:val="20"/>
              </w:rPr>
              <w:t>评标价</w:t>
            </w:r>
          </w:p>
          <w:p>
            <w:pPr>
              <w:pStyle w:val="17"/>
              <w:spacing w:before="76" w:line="228" w:lineRule="auto"/>
              <w:ind w:left="237"/>
              <w:rPr>
                <w:sz w:val="20"/>
                <w:szCs w:val="20"/>
              </w:rPr>
            </w:pPr>
            <w:r>
              <w:rPr>
                <w:spacing w:val="1"/>
                <w:sz w:val="20"/>
                <w:szCs w:val="20"/>
              </w:rPr>
              <w:t>的偏差</w:t>
            </w:r>
          </w:p>
          <w:p>
            <w:pPr>
              <w:pStyle w:val="17"/>
              <w:spacing w:before="72" w:line="228" w:lineRule="auto"/>
              <w:ind w:left="222"/>
              <w:rPr>
                <w:sz w:val="20"/>
                <w:szCs w:val="20"/>
              </w:rPr>
            </w:pPr>
            <w:r>
              <w:rPr>
                <w:spacing w:val="6"/>
                <w:sz w:val="20"/>
                <w:szCs w:val="20"/>
              </w:rPr>
              <w:t>率计算</w:t>
            </w:r>
          </w:p>
          <w:p>
            <w:pPr>
              <w:pStyle w:val="17"/>
              <w:spacing w:before="72" w:line="229" w:lineRule="auto"/>
              <w:ind w:left="332"/>
              <w:rPr>
                <w:sz w:val="20"/>
                <w:szCs w:val="20"/>
              </w:rPr>
            </w:pPr>
            <w:r>
              <w:rPr>
                <w:spacing w:val="1"/>
                <w:sz w:val="20"/>
                <w:szCs w:val="20"/>
              </w:rPr>
              <w:t>公式</w:t>
            </w:r>
          </w:p>
        </w:tc>
        <w:tc>
          <w:tcPr>
            <w:tcW w:w="7165" w:type="dxa"/>
            <w:vAlign w:val="top"/>
          </w:tcPr>
          <w:p>
            <w:pPr>
              <w:spacing w:line="291" w:lineRule="auto"/>
              <w:rPr>
                <w:rFonts w:ascii="Arial"/>
                <w:sz w:val="21"/>
              </w:rPr>
            </w:pPr>
          </w:p>
          <w:p>
            <w:pPr>
              <w:spacing w:line="292" w:lineRule="auto"/>
              <w:rPr>
                <w:rFonts w:ascii="Arial"/>
                <w:sz w:val="21"/>
              </w:rPr>
            </w:pPr>
          </w:p>
          <w:p>
            <w:pPr>
              <w:pStyle w:val="17"/>
              <w:spacing w:before="65" w:line="226" w:lineRule="auto"/>
              <w:ind w:left="846"/>
              <w:rPr>
                <w:sz w:val="20"/>
                <w:szCs w:val="20"/>
              </w:rPr>
            </w:pPr>
            <w:r>
              <w:rPr>
                <w:spacing w:val="8"/>
                <w:sz w:val="20"/>
                <w:szCs w:val="20"/>
              </w:rPr>
              <w:t>偏差率=100%</w:t>
            </w:r>
            <w:r>
              <w:rPr>
                <w:spacing w:val="45"/>
                <w:sz w:val="20"/>
                <w:szCs w:val="20"/>
              </w:rPr>
              <w:t xml:space="preserve"> </w:t>
            </w:r>
            <w:r>
              <w:rPr>
                <w:spacing w:val="8"/>
                <w:sz w:val="20"/>
                <w:szCs w:val="20"/>
              </w:rPr>
              <w:t>×(投标人评标价一评标基准价</w:t>
            </w:r>
            <w:r>
              <w:rPr>
                <w:spacing w:val="7"/>
                <w:sz w:val="20"/>
                <w:szCs w:val="20"/>
              </w:rPr>
              <w:t>）/评标基准价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2" w:hRule="atLeast"/>
        </w:trPr>
        <w:tc>
          <w:tcPr>
            <w:tcW w:w="86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7"/>
              <w:spacing w:before="65" w:line="286" w:lineRule="exact"/>
              <w:ind w:left="206"/>
              <w:rPr>
                <w:sz w:val="20"/>
                <w:szCs w:val="20"/>
              </w:rPr>
            </w:pPr>
            <w:r>
              <w:rPr>
                <w:spacing w:val="-4"/>
                <w:position w:val="9"/>
                <w:sz w:val="20"/>
                <w:szCs w:val="20"/>
              </w:rPr>
              <w:t>2.2.4</w:t>
            </w:r>
          </w:p>
          <w:p>
            <w:pPr>
              <w:pStyle w:val="17"/>
              <w:spacing w:line="239" w:lineRule="auto"/>
              <w:ind w:left="213"/>
              <w:rPr>
                <w:sz w:val="20"/>
                <w:szCs w:val="20"/>
              </w:rPr>
            </w:pPr>
            <w:r>
              <w:rPr>
                <w:spacing w:val="-9"/>
                <w:sz w:val="20"/>
                <w:szCs w:val="20"/>
              </w:rPr>
              <w:t>（1）</w:t>
            </w:r>
          </w:p>
        </w:tc>
        <w:tc>
          <w:tcPr>
            <w:tcW w:w="1063"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17"/>
              <w:spacing w:before="65" w:line="226" w:lineRule="auto"/>
              <w:ind w:left="219"/>
              <w:rPr>
                <w:sz w:val="20"/>
                <w:szCs w:val="20"/>
              </w:rPr>
            </w:pPr>
            <w:r>
              <w:rPr>
                <w:spacing w:val="7"/>
                <w:sz w:val="20"/>
                <w:szCs w:val="20"/>
              </w:rPr>
              <w:t>评标价</w:t>
            </w:r>
          </w:p>
        </w:tc>
        <w:tc>
          <w:tcPr>
            <w:tcW w:w="7165" w:type="dxa"/>
            <w:vAlign w:val="top"/>
          </w:tcPr>
          <w:p>
            <w:pPr>
              <w:spacing w:line="257" w:lineRule="auto"/>
              <w:rPr>
                <w:rFonts w:ascii="Arial"/>
                <w:sz w:val="21"/>
              </w:rPr>
            </w:pPr>
          </w:p>
          <w:p>
            <w:pPr>
              <w:pStyle w:val="17"/>
              <w:spacing w:before="65" w:line="228" w:lineRule="auto"/>
              <w:ind w:left="130"/>
              <w:rPr>
                <w:sz w:val="20"/>
                <w:szCs w:val="20"/>
              </w:rPr>
            </w:pPr>
            <w:r>
              <w:rPr>
                <w:sz w:val="20"/>
                <w:szCs w:val="20"/>
              </w:rPr>
              <w:t>95</w:t>
            </w:r>
            <w:r>
              <w:rPr>
                <w:spacing w:val="-38"/>
                <w:sz w:val="20"/>
                <w:szCs w:val="20"/>
              </w:rPr>
              <w:t xml:space="preserve"> </w:t>
            </w:r>
            <w:r>
              <w:rPr>
                <w:sz w:val="20"/>
                <w:szCs w:val="20"/>
              </w:rPr>
              <w:t>分</w:t>
            </w:r>
          </w:p>
          <w:p>
            <w:pPr>
              <w:pStyle w:val="17"/>
              <w:spacing w:before="160" w:line="228" w:lineRule="auto"/>
              <w:ind w:left="130"/>
              <w:rPr>
                <w:sz w:val="20"/>
                <w:szCs w:val="20"/>
              </w:rPr>
            </w:pPr>
            <w:r>
              <w:rPr>
                <w:spacing w:val="7"/>
                <w:sz w:val="20"/>
                <w:szCs w:val="20"/>
                <w14:textOutline w14:w="3795" w14:cap="sq" w14:cmpd="sng">
                  <w14:solidFill>
                    <w14:srgbClr w14:val="000000"/>
                  </w14:solidFill>
                  <w14:prstDash w14:val="solid"/>
                  <w14:bevel/>
                </w14:textOutline>
              </w:rPr>
              <w:t>方法一：适用于下浮率摇取</w:t>
            </w:r>
            <w:r>
              <w:rPr>
                <w:spacing w:val="-13"/>
                <w:sz w:val="20"/>
                <w:szCs w:val="20"/>
              </w:rPr>
              <w:t xml:space="preserve"> </w:t>
            </w:r>
            <w:r>
              <w:rPr>
                <w:spacing w:val="7"/>
                <w:sz w:val="20"/>
                <w:szCs w:val="20"/>
                <w14:textOutline w14:w="3795" w14:cap="sq" w14:cmpd="sng">
                  <w14:solidFill>
                    <w14:srgbClr w14:val="000000"/>
                  </w14:solidFill>
                  <w14:prstDash w14:val="solid"/>
                  <w14:bevel/>
                </w14:textOutline>
              </w:rPr>
              <w:t>1</w:t>
            </w:r>
            <w:r>
              <w:rPr>
                <w:spacing w:val="-38"/>
                <w:sz w:val="20"/>
                <w:szCs w:val="20"/>
              </w:rPr>
              <w:t xml:space="preserve"> </w:t>
            </w:r>
            <w:r>
              <w:rPr>
                <w:spacing w:val="7"/>
                <w:sz w:val="20"/>
                <w:szCs w:val="20"/>
                <w14:textOutline w14:w="3795" w14:cap="sq" w14:cmpd="sng">
                  <w14:solidFill>
                    <w14:srgbClr w14:val="000000"/>
                  </w14:solidFill>
                  <w14:prstDash w14:val="solid"/>
                  <w14:bevel/>
                </w14:textOutline>
              </w:rPr>
              <w:t>个球的情况：</w:t>
            </w:r>
          </w:p>
          <w:p>
            <w:pPr>
              <w:pStyle w:val="17"/>
              <w:spacing w:before="163" w:line="226" w:lineRule="auto"/>
              <w:ind w:left="128"/>
              <w:rPr>
                <w:sz w:val="20"/>
                <w:szCs w:val="20"/>
              </w:rPr>
            </w:pPr>
            <w:r>
              <w:rPr>
                <w:spacing w:val="8"/>
                <w:sz w:val="20"/>
                <w:szCs w:val="20"/>
              </w:rPr>
              <w:t>评标价得分计算公式示例：</w:t>
            </w:r>
          </w:p>
          <w:p>
            <w:pPr>
              <w:pStyle w:val="17"/>
              <w:spacing w:before="162" w:line="408" w:lineRule="exact"/>
              <w:ind w:left="166"/>
              <w:rPr>
                <w:sz w:val="20"/>
                <w:szCs w:val="20"/>
              </w:rPr>
            </w:pPr>
            <w:r>
              <w:rPr>
                <w:spacing w:val="10"/>
                <w:position w:val="15"/>
                <w:sz w:val="20"/>
                <w:szCs w:val="20"/>
              </w:rPr>
              <w:t>(1)如果投标人的评标价&gt;评标基准价，则评标价得分＝95－偏差率×10</w:t>
            </w:r>
            <w:r>
              <w:rPr>
                <w:spacing w:val="9"/>
                <w:position w:val="15"/>
                <w:sz w:val="20"/>
                <w:szCs w:val="20"/>
              </w:rPr>
              <w:t>0×</w:t>
            </w:r>
          </w:p>
          <w:p>
            <w:pPr>
              <w:pStyle w:val="17"/>
              <w:spacing w:before="1" w:line="229" w:lineRule="auto"/>
              <w:ind w:left="125"/>
              <w:rPr>
                <w:sz w:val="20"/>
                <w:szCs w:val="20"/>
              </w:rPr>
            </w:pPr>
            <w:r>
              <w:rPr>
                <w:spacing w:val="2"/>
                <w:sz w:val="20"/>
                <w:szCs w:val="20"/>
              </w:rPr>
              <w:t>D1；D1</w:t>
            </w:r>
            <w:r>
              <w:rPr>
                <w:spacing w:val="-31"/>
                <w:sz w:val="20"/>
                <w:szCs w:val="20"/>
              </w:rPr>
              <w:t xml:space="preserve"> </w:t>
            </w:r>
            <w:r>
              <w:rPr>
                <w:spacing w:val="2"/>
                <w:sz w:val="20"/>
                <w:szCs w:val="20"/>
              </w:rPr>
              <w:t>取</w:t>
            </w:r>
            <w:r>
              <w:rPr>
                <w:spacing w:val="11"/>
                <w:sz w:val="20"/>
                <w:szCs w:val="20"/>
                <w:u w:val="single" w:color="auto"/>
              </w:rPr>
              <w:t xml:space="preserve">  </w:t>
            </w:r>
            <w:r>
              <w:rPr>
                <w:spacing w:val="2"/>
                <w:sz w:val="20"/>
                <w:szCs w:val="20"/>
                <w:u w:val="single" w:color="auto"/>
              </w:rPr>
              <w:t xml:space="preserve">3  </w:t>
            </w:r>
            <w:r>
              <w:rPr>
                <w:spacing w:val="2"/>
                <w:sz w:val="20"/>
                <w:szCs w:val="20"/>
              </w:rPr>
              <w:t>；</w:t>
            </w:r>
          </w:p>
          <w:p>
            <w:pPr>
              <w:pStyle w:val="17"/>
              <w:spacing w:before="159" w:line="410" w:lineRule="exact"/>
              <w:ind w:left="166"/>
              <w:rPr>
                <w:sz w:val="20"/>
                <w:szCs w:val="20"/>
              </w:rPr>
            </w:pPr>
            <w:r>
              <w:rPr>
                <w:spacing w:val="7"/>
                <w:position w:val="15"/>
                <w:sz w:val="20"/>
                <w:szCs w:val="20"/>
              </w:rPr>
              <w:t>(2)如果投标人的评标价≤评标基准价，则评标价得分＝95＋偏差率×100×</w:t>
            </w:r>
          </w:p>
          <w:p>
            <w:pPr>
              <w:pStyle w:val="17"/>
              <w:spacing w:before="1" w:line="229" w:lineRule="auto"/>
              <w:ind w:left="125"/>
              <w:rPr>
                <w:sz w:val="20"/>
                <w:szCs w:val="20"/>
              </w:rPr>
            </w:pPr>
            <w:r>
              <w:rPr>
                <w:spacing w:val="1"/>
                <w:sz w:val="20"/>
                <w:szCs w:val="20"/>
              </w:rPr>
              <w:t>D2；D2</w:t>
            </w:r>
            <w:r>
              <w:rPr>
                <w:spacing w:val="-33"/>
                <w:sz w:val="20"/>
                <w:szCs w:val="20"/>
              </w:rPr>
              <w:t xml:space="preserve"> </w:t>
            </w:r>
            <w:r>
              <w:rPr>
                <w:spacing w:val="1"/>
                <w:sz w:val="20"/>
                <w:szCs w:val="20"/>
              </w:rPr>
              <w:t>取</w:t>
            </w:r>
            <w:r>
              <w:rPr>
                <w:spacing w:val="17"/>
                <w:sz w:val="20"/>
                <w:szCs w:val="20"/>
                <w:u w:val="single" w:color="auto"/>
              </w:rPr>
              <w:t xml:space="preserve">  </w:t>
            </w:r>
            <w:r>
              <w:rPr>
                <w:spacing w:val="1"/>
                <w:sz w:val="20"/>
                <w:szCs w:val="20"/>
                <w:u w:val="single" w:color="auto"/>
              </w:rPr>
              <w:t xml:space="preserve">1  </w:t>
            </w:r>
            <w:r>
              <w:rPr>
                <w:spacing w:val="1"/>
                <w:sz w:val="20"/>
                <w:szCs w:val="20"/>
              </w:rPr>
              <w:t>。</w:t>
            </w:r>
          </w:p>
          <w:p>
            <w:pPr>
              <w:spacing w:line="249" w:lineRule="auto"/>
              <w:rPr>
                <w:rFonts w:ascii="Arial"/>
                <w:sz w:val="21"/>
              </w:rPr>
            </w:pPr>
          </w:p>
          <w:p>
            <w:pPr>
              <w:spacing w:line="249" w:lineRule="auto"/>
              <w:rPr>
                <w:rFonts w:ascii="Arial"/>
                <w:sz w:val="21"/>
              </w:rPr>
            </w:pPr>
          </w:p>
          <w:p>
            <w:pPr>
              <w:pStyle w:val="17"/>
              <w:spacing w:before="66" w:line="228" w:lineRule="auto"/>
              <w:ind w:left="130"/>
              <w:rPr>
                <w:sz w:val="20"/>
                <w:szCs w:val="20"/>
              </w:rPr>
            </w:pPr>
            <w:r>
              <w:rPr>
                <w:spacing w:val="8"/>
                <w:sz w:val="20"/>
                <w:szCs w:val="20"/>
                <w14:textOutline w14:w="3795" w14:cap="sq" w14:cmpd="sng">
                  <w14:solidFill>
                    <w14:srgbClr w14:val="000000"/>
                  </w14:solidFill>
                  <w14:prstDash w14:val="solid"/>
                  <w14:bevel/>
                </w14:textOutline>
              </w:rPr>
              <w:t>方法二：适用于下浮率摇取</w:t>
            </w:r>
            <w:r>
              <w:rPr>
                <w:spacing w:val="-32"/>
                <w:sz w:val="20"/>
                <w:szCs w:val="20"/>
              </w:rPr>
              <w:t xml:space="preserve"> </w:t>
            </w:r>
            <w:r>
              <w:rPr>
                <w:spacing w:val="8"/>
                <w:sz w:val="20"/>
                <w:szCs w:val="20"/>
                <w14:textOutline w14:w="3795" w14:cap="sq" w14:cmpd="sng">
                  <w14:solidFill>
                    <w14:srgbClr w14:val="000000"/>
                  </w14:solidFill>
                  <w14:prstDash w14:val="solid"/>
                  <w14:bevel/>
                </w14:textOutline>
              </w:rPr>
              <w:t>3</w:t>
            </w:r>
            <w:r>
              <w:rPr>
                <w:spacing w:val="-38"/>
                <w:sz w:val="20"/>
                <w:szCs w:val="20"/>
              </w:rPr>
              <w:t xml:space="preserve"> </w:t>
            </w:r>
            <w:r>
              <w:rPr>
                <w:spacing w:val="8"/>
                <w:sz w:val="20"/>
                <w:szCs w:val="20"/>
                <w14:textOutline w14:w="3795" w14:cap="sq" w14:cmpd="sng">
                  <w14:solidFill>
                    <w14:srgbClr w14:val="000000"/>
                  </w14:solidFill>
                  <w14:prstDash w14:val="solid"/>
                  <w14:bevel/>
                </w14:textOutline>
              </w:rPr>
              <w:t>个球的情况：</w:t>
            </w:r>
          </w:p>
          <w:p>
            <w:pPr>
              <w:pStyle w:val="17"/>
              <w:spacing w:before="161" w:line="226" w:lineRule="auto"/>
              <w:ind w:left="128"/>
              <w:rPr>
                <w:sz w:val="20"/>
                <w:szCs w:val="20"/>
              </w:rPr>
            </w:pPr>
            <w:r>
              <w:rPr>
                <w:spacing w:val="8"/>
                <w:sz w:val="20"/>
                <w:szCs w:val="20"/>
              </w:rPr>
              <w:t>评标价得分计算公式示例：</w:t>
            </w:r>
          </w:p>
          <w:p>
            <w:pPr>
              <w:pStyle w:val="17"/>
              <w:spacing w:before="165" w:line="408" w:lineRule="exact"/>
              <w:ind w:left="166"/>
              <w:rPr>
                <w:sz w:val="20"/>
                <w:szCs w:val="20"/>
                <w:highlight w:val="none"/>
              </w:rPr>
            </w:pPr>
            <w:r>
              <w:rPr>
                <w:spacing w:val="10"/>
                <w:position w:val="15"/>
                <w:sz w:val="20"/>
                <w:szCs w:val="20"/>
              </w:rPr>
              <w:t>(1)如果</w:t>
            </w:r>
            <w:r>
              <w:rPr>
                <w:spacing w:val="10"/>
                <w:position w:val="15"/>
                <w:sz w:val="20"/>
                <w:szCs w:val="20"/>
                <w:highlight w:val="none"/>
              </w:rPr>
              <w:t>投标人的评标价&gt;评标基准价，则评标价得分＝95－偏差率×10</w:t>
            </w:r>
            <w:r>
              <w:rPr>
                <w:spacing w:val="9"/>
                <w:position w:val="15"/>
                <w:sz w:val="20"/>
                <w:szCs w:val="20"/>
                <w:highlight w:val="none"/>
              </w:rPr>
              <w:t>0×</w:t>
            </w:r>
          </w:p>
          <w:p>
            <w:pPr>
              <w:pStyle w:val="17"/>
              <w:spacing w:before="1" w:line="229" w:lineRule="auto"/>
              <w:ind w:left="125"/>
              <w:rPr>
                <w:sz w:val="20"/>
                <w:szCs w:val="20"/>
                <w:highlight w:val="none"/>
              </w:rPr>
            </w:pPr>
            <w:r>
              <w:rPr>
                <w:spacing w:val="2"/>
                <w:sz w:val="20"/>
                <w:szCs w:val="20"/>
                <w:highlight w:val="none"/>
              </w:rPr>
              <w:t>D1；D1</w:t>
            </w:r>
            <w:r>
              <w:rPr>
                <w:spacing w:val="-29"/>
                <w:sz w:val="20"/>
                <w:szCs w:val="20"/>
                <w:highlight w:val="none"/>
              </w:rPr>
              <w:t xml:space="preserve"> </w:t>
            </w:r>
            <w:r>
              <w:rPr>
                <w:spacing w:val="2"/>
                <w:sz w:val="20"/>
                <w:szCs w:val="20"/>
                <w:highlight w:val="none"/>
              </w:rPr>
              <w:t>取</w:t>
            </w:r>
            <w:r>
              <w:rPr>
                <w:spacing w:val="-45"/>
                <w:sz w:val="20"/>
                <w:szCs w:val="20"/>
                <w:highlight w:val="none"/>
              </w:rPr>
              <w:t xml:space="preserve"> </w:t>
            </w:r>
            <w:r>
              <w:rPr>
                <w:spacing w:val="-77"/>
                <w:sz w:val="20"/>
                <w:szCs w:val="20"/>
                <w:highlight w:val="none"/>
                <w:u w:val="single" w:color="auto"/>
              </w:rPr>
              <w:t xml:space="preserve"> </w:t>
            </w:r>
            <w:r>
              <w:rPr>
                <w:spacing w:val="2"/>
                <w:sz w:val="20"/>
                <w:szCs w:val="20"/>
                <w:highlight w:val="none"/>
                <w:u w:val="single" w:color="auto"/>
              </w:rPr>
              <w:t xml:space="preserve">1.5 </w:t>
            </w:r>
            <w:r>
              <w:rPr>
                <w:spacing w:val="2"/>
                <w:sz w:val="20"/>
                <w:szCs w:val="20"/>
                <w:highlight w:val="none"/>
              </w:rPr>
              <w:t>；</w:t>
            </w:r>
          </w:p>
          <w:p>
            <w:pPr>
              <w:pStyle w:val="17"/>
              <w:spacing w:before="159" w:line="408" w:lineRule="exact"/>
              <w:ind w:left="166"/>
              <w:rPr>
                <w:sz w:val="20"/>
                <w:szCs w:val="20"/>
                <w:highlight w:val="none"/>
              </w:rPr>
            </w:pPr>
            <w:r>
              <w:rPr>
                <w:spacing w:val="7"/>
                <w:position w:val="15"/>
                <w:sz w:val="20"/>
                <w:szCs w:val="20"/>
                <w:highlight w:val="none"/>
              </w:rPr>
              <w:t>(2)如果投标人的评标价≤评标基准价，则评标价得分＝95＋偏差率×100×</w:t>
            </w:r>
          </w:p>
          <w:p>
            <w:pPr>
              <w:pStyle w:val="17"/>
              <w:spacing w:before="1" w:line="229" w:lineRule="auto"/>
              <w:ind w:left="125"/>
              <w:rPr>
                <w:sz w:val="20"/>
                <w:szCs w:val="20"/>
                <w:highlight w:val="none"/>
              </w:rPr>
            </w:pPr>
            <w:r>
              <w:rPr>
                <w:spacing w:val="4"/>
                <w:sz w:val="20"/>
                <w:szCs w:val="20"/>
                <w:highlight w:val="none"/>
              </w:rPr>
              <w:t>D2；D2</w:t>
            </w:r>
            <w:r>
              <w:rPr>
                <w:spacing w:val="-32"/>
                <w:sz w:val="20"/>
                <w:szCs w:val="20"/>
                <w:highlight w:val="none"/>
              </w:rPr>
              <w:t xml:space="preserve"> </w:t>
            </w:r>
            <w:r>
              <w:rPr>
                <w:spacing w:val="4"/>
                <w:sz w:val="20"/>
                <w:szCs w:val="20"/>
                <w:highlight w:val="none"/>
              </w:rPr>
              <w:t>取</w:t>
            </w:r>
            <w:r>
              <w:rPr>
                <w:spacing w:val="4"/>
                <w:sz w:val="20"/>
                <w:szCs w:val="20"/>
                <w:highlight w:val="none"/>
                <w:u w:val="single" w:color="auto"/>
              </w:rPr>
              <w:t xml:space="preserve"> 0.5</w:t>
            </w:r>
            <w:r>
              <w:rPr>
                <w:spacing w:val="8"/>
                <w:sz w:val="20"/>
                <w:szCs w:val="20"/>
                <w:highlight w:val="none"/>
                <w:u w:val="single" w:color="auto"/>
              </w:rPr>
              <w:t xml:space="preserve"> </w:t>
            </w:r>
            <w:r>
              <w:rPr>
                <w:spacing w:val="4"/>
                <w:sz w:val="20"/>
                <w:szCs w:val="20"/>
                <w:highlight w:val="none"/>
              </w:rPr>
              <w:t>。</w:t>
            </w:r>
          </w:p>
          <w:p>
            <w:pPr>
              <w:pStyle w:val="17"/>
              <w:spacing w:before="161" w:line="226" w:lineRule="auto"/>
              <w:ind w:left="129"/>
              <w:rPr>
                <w:sz w:val="20"/>
                <w:szCs w:val="20"/>
              </w:rPr>
            </w:pPr>
            <w:r>
              <w:rPr>
                <w:spacing w:val="8"/>
                <w:sz w:val="20"/>
                <w:szCs w:val="20"/>
              </w:rPr>
              <w:t>注：评标价得分计算保留小数点后四位，小数点后第五位“</w:t>
            </w:r>
            <w:r>
              <w:rPr>
                <w:spacing w:val="-56"/>
                <w:sz w:val="20"/>
                <w:szCs w:val="20"/>
              </w:rPr>
              <w:t xml:space="preserve"> </w:t>
            </w:r>
            <w:r>
              <w:rPr>
                <w:spacing w:val="8"/>
                <w:sz w:val="20"/>
                <w:szCs w:val="20"/>
              </w:rPr>
              <w:t>四舍五入</w:t>
            </w:r>
            <w:r>
              <w:rPr>
                <w:spacing w:val="-70"/>
                <w:sz w:val="20"/>
                <w:szCs w:val="20"/>
              </w:rPr>
              <w:t xml:space="preserve"> </w:t>
            </w:r>
            <w:r>
              <w:rPr>
                <w:spacing w:val="8"/>
                <w:sz w:val="20"/>
                <w:szCs w:val="20"/>
              </w:rPr>
              <w:t>”。</w:t>
            </w:r>
          </w:p>
        </w:tc>
      </w:tr>
    </w:tbl>
    <w:p>
      <w:pPr>
        <w:rPr>
          <w:rFonts w:ascii="Arial"/>
          <w:sz w:val="21"/>
        </w:rPr>
      </w:pPr>
    </w:p>
    <w:p>
      <w:pPr>
        <w:spacing w:before="228"/>
      </w:pPr>
    </w:p>
    <w:tbl>
      <w:tblPr>
        <w:tblStyle w:val="16"/>
        <w:tblW w:w="90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9"/>
        <w:gridCol w:w="1063"/>
        <w:gridCol w:w="71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869" w:type="dxa"/>
            <w:vAlign w:val="top"/>
          </w:tcPr>
          <w:p>
            <w:pPr>
              <w:pStyle w:val="17"/>
              <w:spacing w:before="95" w:line="228" w:lineRule="auto"/>
              <w:ind w:left="231"/>
              <w:rPr>
                <w:sz w:val="20"/>
                <w:szCs w:val="20"/>
              </w:rPr>
            </w:pPr>
            <w:r>
              <w:rPr>
                <w:spacing w:val="5"/>
                <w:sz w:val="20"/>
                <w:szCs w:val="20"/>
                <w14:textOutline w14:w="3795" w14:cap="sq" w14:cmpd="sng">
                  <w14:solidFill>
                    <w14:srgbClr w14:val="000000"/>
                  </w14:solidFill>
                  <w14:prstDash w14:val="solid"/>
                  <w14:bevel/>
                </w14:textOutline>
              </w:rPr>
              <w:t>条款</w:t>
            </w:r>
          </w:p>
          <w:p>
            <w:pPr>
              <w:pStyle w:val="17"/>
              <w:spacing w:before="72" w:line="229" w:lineRule="auto"/>
              <w:ind w:left="340"/>
              <w:rPr>
                <w:sz w:val="20"/>
                <w:szCs w:val="20"/>
              </w:rPr>
            </w:pPr>
            <w:r>
              <w:rPr>
                <w:sz w:val="20"/>
                <w:szCs w:val="20"/>
                <w14:textOutline w14:w="3795" w14:cap="sq" w14:cmpd="sng">
                  <w14:solidFill>
                    <w14:srgbClr w14:val="000000"/>
                  </w14:solidFill>
                  <w14:prstDash w14:val="solid"/>
                  <w14:bevel/>
                </w14:textOutline>
              </w:rPr>
              <w:t>号</w:t>
            </w:r>
          </w:p>
        </w:tc>
        <w:tc>
          <w:tcPr>
            <w:tcW w:w="1063" w:type="dxa"/>
            <w:vAlign w:val="top"/>
          </w:tcPr>
          <w:p>
            <w:pPr>
              <w:pStyle w:val="17"/>
              <w:spacing w:before="96" w:line="319" w:lineRule="exact"/>
              <w:ind w:left="327"/>
              <w:rPr>
                <w:sz w:val="20"/>
                <w:szCs w:val="20"/>
              </w:rPr>
            </w:pPr>
            <w:r>
              <w:rPr>
                <w:spacing w:val="5"/>
                <w:position w:val="8"/>
                <w:sz w:val="20"/>
                <w:szCs w:val="20"/>
                <w14:textOutline w14:w="3795" w14:cap="sq" w14:cmpd="sng">
                  <w14:solidFill>
                    <w14:srgbClr w14:val="000000"/>
                  </w14:solidFill>
                  <w14:prstDash w14:val="solid"/>
                  <w14:bevel/>
                </w14:textOutline>
              </w:rPr>
              <w:t>条款</w:t>
            </w:r>
          </w:p>
          <w:p>
            <w:pPr>
              <w:pStyle w:val="17"/>
              <w:spacing w:line="227" w:lineRule="auto"/>
              <w:ind w:left="351"/>
              <w:rPr>
                <w:sz w:val="20"/>
                <w:szCs w:val="20"/>
              </w:rPr>
            </w:pPr>
            <w:r>
              <w:rPr>
                <w:spacing w:val="-7"/>
                <w:sz w:val="20"/>
                <w:szCs w:val="20"/>
                <w14:textOutline w14:w="3795" w14:cap="sq" w14:cmpd="sng">
                  <w14:solidFill>
                    <w14:srgbClr w14:val="000000"/>
                  </w14:solidFill>
                  <w14:prstDash w14:val="solid"/>
                  <w14:bevel/>
                </w14:textOutline>
              </w:rPr>
              <w:t>内容</w:t>
            </w:r>
          </w:p>
        </w:tc>
        <w:tc>
          <w:tcPr>
            <w:tcW w:w="7165" w:type="dxa"/>
            <w:vAlign w:val="top"/>
          </w:tcPr>
          <w:p>
            <w:pPr>
              <w:pStyle w:val="17"/>
              <w:spacing w:before="256" w:line="228" w:lineRule="auto"/>
              <w:ind w:left="3169"/>
              <w:rPr>
                <w:sz w:val="20"/>
                <w:szCs w:val="20"/>
              </w:rPr>
            </w:pPr>
            <w:r>
              <w:rPr>
                <w:spacing w:val="8"/>
                <w:sz w:val="20"/>
                <w:szCs w:val="20"/>
                <w14:textOutline w14:w="3795" w14:cap="sq" w14:cmpd="sng">
                  <w14:solidFill>
                    <w14:srgbClr w14:val="000000"/>
                  </w14:solidFill>
                  <w14:prstDash w14:val="solid"/>
                  <w14:bevel/>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3" w:hRule="atLeast"/>
        </w:trPr>
        <w:tc>
          <w:tcPr>
            <w:tcW w:w="86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17"/>
              <w:spacing w:before="65" w:line="286" w:lineRule="exact"/>
              <w:ind w:left="206"/>
              <w:rPr>
                <w:sz w:val="20"/>
                <w:szCs w:val="20"/>
              </w:rPr>
            </w:pPr>
            <w:r>
              <w:rPr>
                <w:spacing w:val="-4"/>
                <w:position w:val="9"/>
                <w:sz w:val="20"/>
                <w:szCs w:val="20"/>
              </w:rPr>
              <w:t>2.2.4</w:t>
            </w:r>
          </w:p>
          <w:p>
            <w:pPr>
              <w:pStyle w:val="17"/>
              <w:spacing w:line="239" w:lineRule="auto"/>
              <w:ind w:left="213"/>
              <w:rPr>
                <w:sz w:val="20"/>
                <w:szCs w:val="20"/>
              </w:rPr>
            </w:pPr>
            <w:r>
              <w:rPr>
                <w:spacing w:val="-9"/>
                <w:sz w:val="20"/>
                <w:szCs w:val="20"/>
              </w:rPr>
              <w:t>（2）</w:t>
            </w:r>
          </w:p>
        </w:tc>
        <w:tc>
          <w:tcPr>
            <w:tcW w:w="1063"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17"/>
              <w:spacing w:before="65" w:line="319" w:lineRule="exact"/>
              <w:ind w:left="326"/>
              <w:rPr>
                <w:sz w:val="20"/>
                <w:szCs w:val="20"/>
              </w:rPr>
            </w:pPr>
            <w:r>
              <w:rPr>
                <w:spacing w:val="4"/>
                <w:position w:val="8"/>
                <w:sz w:val="20"/>
                <w:szCs w:val="20"/>
              </w:rPr>
              <w:t>其他</w:t>
            </w:r>
          </w:p>
          <w:p>
            <w:pPr>
              <w:pStyle w:val="17"/>
              <w:spacing w:line="227" w:lineRule="auto"/>
              <w:ind w:left="342"/>
              <w:rPr>
                <w:sz w:val="20"/>
                <w:szCs w:val="20"/>
              </w:rPr>
            </w:pPr>
            <w:r>
              <w:rPr>
                <w:spacing w:val="-4"/>
                <w:sz w:val="20"/>
                <w:szCs w:val="20"/>
              </w:rPr>
              <w:t>因素</w:t>
            </w:r>
          </w:p>
        </w:tc>
        <w:tc>
          <w:tcPr>
            <w:tcW w:w="7165" w:type="dxa"/>
            <w:vAlign w:val="top"/>
          </w:tcPr>
          <w:p>
            <w:pPr>
              <w:spacing w:line="373" w:lineRule="auto"/>
              <w:rPr>
                <w:rFonts w:ascii="Arial"/>
                <w:sz w:val="21"/>
              </w:rPr>
            </w:pPr>
          </w:p>
          <w:p>
            <w:pPr>
              <w:pStyle w:val="17"/>
              <w:spacing w:before="65" w:line="227" w:lineRule="auto"/>
              <w:ind w:left="132"/>
              <w:rPr>
                <w:sz w:val="20"/>
                <w:szCs w:val="20"/>
              </w:rPr>
            </w:pPr>
            <w:r>
              <w:rPr>
                <w:spacing w:val="6"/>
                <w:sz w:val="20"/>
                <w:szCs w:val="20"/>
              </w:rPr>
              <w:t>履约信誉情况：</w:t>
            </w:r>
          </w:p>
          <w:p>
            <w:pPr>
              <w:pStyle w:val="17"/>
              <w:spacing w:before="161" w:line="228" w:lineRule="auto"/>
              <w:ind w:left="144"/>
              <w:rPr>
                <w:sz w:val="20"/>
                <w:szCs w:val="20"/>
              </w:rPr>
            </w:pPr>
            <w:r>
              <w:rPr>
                <w:spacing w:val="4"/>
                <w:sz w:val="20"/>
                <w:szCs w:val="20"/>
              </w:rPr>
              <w:t>1.信用等级（2.5</w:t>
            </w:r>
            <w:r>
              <w:rPr>
                <w:spacing w:val="-37"/>
                <w:sz w:val="20"/>
                <w:szCs w:val="20"/>
              </w:rPr>
              <w:t xml:space="preserve"> </w:t>
            </w:r>
            <w:r>
              <w:rPr>
                <w:spacing w:val="4"/>
                <w:sz w:val="20"/>
                <w:szCs w:val="20"/>
              </w:rPr>
              <w:t>分）</w:t>
            </w:r>
          </w:p>
          <w:p>
            <w:pPr>
              <w:pStyle w:val="17"/>
              <w:spacing w:before="161" w:line="410" w:lineRule="exact"/>
              <w:ind w:left="228"/>
              <w:rPr>
                <w:sz w:val="20"/>
                <w:szCs w:val="20"/>
              </w:rPr>
            </w:pPr>
            <w:r>
              <w:rPr>
                <w:position w:val="15"/>
                <w:sz w:val="20"/>
                <w:szCs w:val="20"/>
              </w:rPr>
              <w:t>AA</w:t>
            </w:r>
            <w:r>
              <w:rPr>
                <w:spacing w:val="7"/>
                <w:position w:val="15"/>
                <w:sz w:val="20"/>
                <w:szCs w:val="20"/>
              </w:rPr>
              <w:t>、A、B、C</w:t>
            </w:r>
            <w:r>
              <w:rPr>
                <w:spacing w:val="-34"/>
                <w:position w:val="15"/>
                <w:sz w:val="20"/>
                <w:szCs w:val="20"/>
              </w:rPr>
              <w:t xml:space="preserve"> </w:t>
            </w:r>
            <w:r>
              <w:rPr>
                <w:spacing w:val="7"/>
                <w:position w:val="15"/>
                <w:sz w:val="20"/>
                <w:szCs w:val="20"/>
              </w:rPr>
              <w:t>级单位的信用等级分得分分别为</w:t>
            </w:r>
            <w:r>
              <w:rPr>
                <w:spacing w:val="-35"/>
                <w:position w:val="15"/>
                <w:sz w:val="20"/>
                <w:szCs w:val="20"/>
              </w:rPr>
              <w:t xml:space="preserve"> </w:t>
            </w:r>
            <w:r>
              <w:rPr>
                <w:spacing w:val="7"/>
                <w:position w:val="15"/>
                <w:sz w:val="20"/>
                <w:szCs w:val="20"/>
              </w:rPr>
              <w:t>2.5、2.4、2.2</w:t>
            </w:r>
            <w:r>
              <w:rPr>
                <w:spacing w:val="6"/>
                <w:position w:val="15"/>
                <w:sz w:val="20"/>
                <w:szCs w:val="20"/>
              </w:rPr>
              <w:t>5、1.75</w:t>
            </w:r>
            <w:r>
              <w:rPr>
                <w:spacing w:val="-37"/>
                <w:position w:val="15"/>
                <w:sz w:val="20"/>
                <w:szCs w:val="20"/>
              </w:rPr>
              <w:t xml:space="preserve"> </w:t>
            </w:r>
            <w:r>
              <w:rPr>
                <w:spacing w:val="6"/>
                <w:position w:val="15"/>
                <w:sz w:val="20"/>
                <w:szCs w:val="20"/>
              </w:rPr>
              <w:t>分。</w:t>
            </w:r>
          </w:p>
          <w:p>
            <w:pPr>
              <w:pStyle w:val="17"/>
              <w:spacing w:before="1" w:line="226" w:lineRule="auto"/>
              <w:ind w:left="129"/>
              <w:rPr>
                <w:sz w:val="20"/>
                <w:szCs w:val="20"/>
              </w:rPr>
            </w:pPr>
            <w:r>
              <w:rPr>
                <w:spacing w:val="7"/>
                <w:sz w:val="20"/>
                <w:szCs w:val="20"/>
              </w:rPr>
              <w:t>注：信用等级的确定原则遵循投标人须知前附表</w:t>
            </w:r>
            <w:r>
              <w:rPr>
                <w:spacing w:val="-8"/>
                <w:sz w:val="20"/>
                <w:szCs w:val="20"/>
              </w:rPr>
              <w:t xml:space="preserve"> </w:t>
            </w:r>
            <w:r>
              <w:rPr>
                <w:spacing w:val="7"/>
                <w:sz w:val="20"/>
                <w:szCs w:val="20"/>
              </w:rPr>
              <w:t>10.2</w:t>
            </w:r>
            <w:r>
              <w:rPr>
                <w:spacing w:val="-39"/>
                <w:sz w:val="20"/>
                <w:szCs w:val="20"/>
              </w:rPr>
              <w:t xml:space="preserve"> </w:t>
            </w:r>
            <w:r>
              <w:rPr>
                <w:spacing w:val="7"/>
                <w:sz w:val="20"/>
                <w:szCs w:val="20"/>
              </w:rPr>
              <w:t>款的规定。</w:t>
            </w:r>
          </w:p>
          <w:p>
            <w:pPr>
              <w:spacing w:line="251" w:lineRule="auto"/>
              <w:rPr>
                <w:rFonts w:ascii="Arial"/>
                <w:sz w:val="21"/>
              </w:rPr>
            </w:pPr>
          </w:p>
          <w:p>
            <w:pPr>
              <w:spacing w:line="251" w:lineRule="auto"/>
              <w:rPr>
                <w:rFonts w:ascii="Arial"/>
                <w:sz w:val="21"/>
              </w:rPr>
            </w:pPr>
          </w:p>
          <w:p>
            <w:pPr>
              <w:pStyle w:val="17"/>
              <w:spacing w:before="65" w:line="228" w:lineRule="auto"/>
              <w:ind w:left="131"/>
              <w:rPr>
                <w:sz w:val="20"/>
                <w:szCs w:val="20"/>
              </w:rPr>
            </w:pPr>
            <w:r>
              <w:rPr>
                <w:spacing w:val="5"/>
                <w:sz w:val="20"/>
                <w:szCs w:val="20"/>
              </w:rPr>
              <w:t>2.履约情况（2.5</w:t>
            </w:r>
            <w:r>
              <w:rPr>
                <w:spacing w:val="-36"/>
                <w:sz w:val="20"/>
                <w:szCs w:val="20"/>
              </w:rPr>
              <w:t xml:space="preserve"> </w:t>
            </w:r>
            <w:r>
              <w:rPr>
                <w:spacing w:val="5"/>
                <w:sz w:val="20"/>
                <w:szCs w:val="20"/>
              </w:rPr>
              <w:t>分）</w:t>
            </w:r>
          </w:p>
          <w:p>
            <w:pPr>
              <w:pStyle w:val="17"/>
              <w:spacing w:before="160" w:line="228" w:lineRule="auto"/>
              <w:ind w:left="130"/>
              <w:rPr>
                <w:sz w:val="20"/>
                <w:szCs w:val="20"/>
              </w:rPr>
            </w:pPr>
            <w:r>
              <w:rPr>
                <w:spacing w:val="7"/>
                <w:sz w:val="20"/>
                <w:szCs w:val="20"/>
              </w:rPr>
              <w:t>若没出现下述情形得满分，得满分</w:t>
            </w:r>
            <w:r>
              <w:rPr>
                <w:spacing w:val="-35"/>
                <w:sz w:val="20"/>
                <w:szCs w:val="20"/>
              </w:rPr>
              <w:t xml:space="preserve"> </w:t>
            </w:r>
            <w:r>
              <w:rPr>
                <w:spacing w:val="7"/>
                <w:sz w:val="20"/>
                <w:szCs w:val="20"/>
              </w:rPr>
              <w:t>2.5</w:t>
            </w:r>
            <w:r>
              <w:rPr>
                <w:spacing w:val="-35"/>
                <w:sz w:val="20"/>
                <w:szCs w:val="20"/>
              </w:rPr>
              <w:t xml:space="preserve"> </w:t>
            </w:r>
            <w:r>
              <w:rPr>
                <w:spacing w:val="7"/>
                <w:sz w:val="20"/>
                <w:szCs w:val="20"/>
              </w:rPr>
              <w:t>分。</w:t>
            </w:r>
          </w:p>
          <w:p>
            <w:pPr>
              <w:pStyle w:val="17"/>
              <w:spacing w:before="162" w:line="408" w:lineRule="exact"/>
              <w:ind w:left="343"/>
              <w:rPr>
                <w:sz w:val="20"/>
                <w:szCs w:val="20"/>
              </w:rPr>
            </w:pPr>
            <w:r>
              <w:rPr>
                <w:spacing w:val="8"/>
                <w:position w:val="15"/>
                <w:sz w:val="20"/>
                <w:szCs w:val="20"/>
              </w:rPr>
              <w:t>投标文件递交截止日前</w:t>
            </w:r>
            <w:r>
              <w:rPr>
                <w:spacing w:val="-22"/>
                <w:position w:val="15"/>
                <w:sz w:val="20"/>
                <w:szCs w:val="20"/>
              </w:rPr>
              <w:t xml:space="preserve"> </w:t>
            </w:r>
            <w:r>
              <w:rPr>
                <w:spacing w:val="8"/>
                <w:position w:val="15"/>
                <w:sz w:val="20"/>
                <w:szCs w:val="20"/>
              </w:rPr>
              <w:t>1</w:t>
            </w:r>
            <w:r>
              <w:rPr>
                <w:spacing w:val="-37"/>
                <w:position w:val="15"/>
                <w:sz w:val="20"/>
                <w:szCs w:val="20"/>
              </w:rPr>
              <w:t xml:space="preserve"> </w:t>
            </w:r>
            <w:r>
              <w:rPr>
                <w:spacing w:val="8"/>
                <w:position w:val="15"/>
                <w:sz w:val="20"/>
                <w:szCs w:val="20"/>
              </w:rPr>
              <w:t>年内，投标人因公路工程（含附属设施）质量、</w:t>
            </w:r>
          </w:p>
          <w:p>
            <w:pPr>
              <w:pStyle w:val="17"/>
              <w:spacing w:line="227" w:lineRule="auto"/>
              <w:ind w:left="133"/>
              <w:rPr>
                <w:sz w:val="20"/>
                <w:szCs w:val="20"/>
              </w:rPr>
            </w:pPr>
            <w:r>
              <w:rPr>
                <w:spacing w:val="8"/>
                <w:sz w:val="20"/>
                <w:szCs w:val="20"/>
              </w:rPr>
              <w:t>安全、履约或招标投标问题等原因被：</w:t>
            </w:r>
          </w:p>
          <w:p>
            <w:pPr>
              <w:pStyle w:val="17"/>
              <w:spacing w:before="164" w:line="228" w:lineRule="auto"/>
              <w:ind w:left="149"/>
              <w:rPr>
                <w:sz w:val="20"/>
                <w:szCs w:val="20"/>
              </w:rPr>
            </w:pPr>
            <w:r>
              <w:rPr>
                <w:spacing w:val="6"/>
                <w:sz w:val="20"/>
                <w:szCs w:val="20"/>
              </w:rPr>
              <w:t>（1）交通运输部行政处罚的，扣</w:t>
            </w:r>
            <w:r>
              <w:rPr>
                <w:spacing w:val="-25"/>
                <w:sz w:val="20"/>
                <w:szCs w:val="20"/>
              </w:rPr>
              <w:t xml:space="preserve"> </w:t>
            </w:r>
            <w:r>
              <w:rPr>
                <w:spacing w:val="6"/>
                <w:sz w:val="20"/>
                <w:szCs w:val="20"/>
              </w:rPr>
              <w:t>2.5</w:t>
            </w:r>
            <w:r>
              <w:rPr>
                <w:spacing w:val="-38"/>
                <w:sz w:val="20"/>
                <w:szCs w:val="20"/>
              </w:rPr>
              <w:t xml:space="preserve"> </w:t>
            </w:r>
            <w:r>
              <w:rPr>
                <w:spacing w:val="6"/>
                <w:sz w:val="20"/>
                <w:szCs w:val="20"/>
              </w:rPr>
              <w:t>分/次。</w:t>
            </w:r>
          </w:p>
          <w:p>
            <w:pPr>
              <w:pStyle w:val="17"/>
              <w:spacing w:before="161" w:line="228" w:lineRule="auto"/>
              <w:ind w:left="149"/>
              <w:rPr>
                <w:sz w:val="20"/>
                <w:szCs w:val="20"/>
              </w:rPr>
            </w:pPr>
            <w:r>
              <w:rPr>
                <w:spacing w:val="6"/>
                <w:sz w:val="20"/>
                <w:szCs w:val="20"/>
              </w:rPr>
              <w:t>（2）广东省交通运输厅行政处罚的，扣</w:t>
            </w:r>
            <w:r>
              <w:rPr>
                <w:spacing w:val="-17"/>
                <w:sz w:val="20"/>
                <w:szCs w:val="20"/>
              </w:rPr>
              <w:t xml:space="preserve"> </w:t>
            </w:r>
            <w:r>
              <w:rPr>
                <w:spacing w:val="6"/>
                <w:sz w:val="20"/>
                <w:szCs w:val="20"/>
              </w:rPr>
              <w:t>1.5</w:t>
            </w:r>
            <w:r>
              <w:rPr>
                <w:spacing w:val="-35"/>
                <w:sz w:val="20"/>
                <w:szCs w:val="20"/>
              </w:rPr>
              <w:t xml:space="preserve"> </w:t>
            </w:r>
            <w:r>
              <w:rPr>
                <w:spacing w:val="6"/>
                <w:sz w:val="20"/>
                <w:szCs w:val="20"/>
              </w:rPr>
              <w:t>分/次。</w:t>
            </w:r>
          </w:p>
          <w:p>
            <w:pPr>
              <w:pStyle w:val="17"/>
              <w:tabs>
                <w:tab w:val="left" w:pos="248"/>
              </w:tabs>
              <w:spacing w:before="131" w:line="316" w:lineRule="auto"/>
              <w:ind w:left="148" w:right="124" w:hanging="18"/>
              <w:rPr>
                <w:sz w:val="20"/>
                <w:szCs w:val="20"/>
              </w:rPr>
            </w:pPr>
            <w:r>
              <w:rPr>
                <w:sz w:val="20"/>
                <w:szCs w:val="20"/>
                <w:highlight w:val="none"/>
                <w:u w:val="single" w:color="auto"/>
              </w:rPr>
              <w:tab/>
            </w:r>
            <w:r>
              <w:rPr>
                <w:sz w:val="20"/>
                <w:szCs w:val="20"/>
                <w:highlight w:val="none"/>
                <w:u w:val="single" w:color="auto"/>
              </w:rPr>
              <w:tab/>
            </w:r>
            <w:r>
              <w:rPr>
                <w:spacing w:val="4"/>
                <w:sz w:val="20"/>
                <w:szCs w:val="20"/>
                <w:highlight w:val="none"/>
                <w:u w:val="single" w:color="auto"/>
              </w:rPr>
              <w:t>（3）招标项目所在地地级以上市交通运输局行政处罚的，扣</w:t>
            </w:r>
            <w:r>
              <w:rPr>
                <w:spacing w:val="-21"/>
                <w:sz w:val="20"/>
                <w:szCs w:val="20"/>
                <w:highlight w:val="none"/>
                <w:u w:val="single" w:color="auto"/>
              </w:rPr>
              <w:t xml:space="preserve"> </w:t>
            </w:r>
            <w:r>
              <w:rPr>
                <w:spacing w:val="4"/>
                <w:sz w:val="20"/>
                <w:szCs w:val="20"/>
                <w:highlight w:val="none"/>
                <w:u w:val="single" w:color="auto"/>
              </w:rPr>
              <w:t>0.75</w:t>
            </w:r>
            <w:r>
              <w:rPr>
                <w:spacing w:val="-38"/>
                <w:sz w:val="20"/>
                <w:szCs w:val="20"/>
                <w:highlight w:val="none"/>
                <w:u w:val="single" w:color="auto"/>
              </w:rPr>
              <w:t xml:space="preserve"> </w:t>
            </w:r>
            <w:r>
              <w:rPr>
                <w:spacing w:val="4"/>
                <w:sz w:val="20"/>
                <w:szCs w:val="20"/>
                <w:highlight w:val="none"/>
                <w:u w:val="single" w:color="auto"/>
              </w:rPr>
              <w:t>分/次。</w:t>
            </w:r>
            <w:r>
              <w:rPr>
                <w:position w:val="10"/>
                <w:sz w:val="10"/>
                <w:szCs w:val="10"/>
                <w:highlight w:val="none"/>
              </w:rPr>
              <w:t xml:space="preserve"> </w:t>
            </w:r>
            <w:r>
              <w:rPr>
                <w:spacing w:val="7"/>
                <w:sz w:val="20"/>
                <w:szCs w:val="20"/>
              </w:rPr>
              <w:t>（4）广东省交通运输厅正式约谈的，扣</w:t>
            </w:r>
            <w:r>
              <w:rPr>
                <w:spacing w:val="-38"/>
                <w:sz w:val="20"/>
                <w:szCs w:val="20"/>
              </w:rPr>
              <w:t xml:space="preserve"> </w:t>
            </w:r>
            <w:r>
              <w:rPr>
                <w:spacing w:val="7"/>
                <w:sz w:val="20"/>
                <w:szCs w:val="20"/>
              </w:rPr>
              <w:t>0.0</w:t>
            </w:r>
            <w:r>
              <w:rPr>
                <w:spacing w:val="6"/>
                <w:sz w:val="20"/>
                <w:szCs w:val="20"/>
              </w:rPr>
              <w:t>5</w:t>
            </w:r>
            <w:r>
              <w:rPr>
                <w:spacing w:val="-35"/>
                <w:sz w:val="20"/>
                <w:szCs w:val="20"/>
              </w:rPr>
              <w:t xml:space="preserve"> </w:t>
            </w:r>
            <w:r>
              <w:rPr>
                <w:spacing w:val="6"/>
                <w:sz w:val="20"/>
                <w:szCs w:val="20"/>
              </w:rPr>
              <w:t>分/次。</w:t>
            </w:r>
          </w:p>
          <w:p>
            <w:pPr>
              <w:spacing w:line="471" w:lineRule="auto"/>
              <w:rPr>
                <w:rFonts w:ascii="Arial"/>
                <w:sz w:val="21"/>
              </w:rPr>
            </w:pPr>
          </w:p>
          <w:p>
            <w:pPr>
              <w:pStyle w:val="17"/>
              <w:spacing w:before="66" w:line="408" w:lineRule="exact"/>
              <w:ind w:left="149"/>
              <w:rPr>
                <w:sz w:val="20"/>
                <w:szCs w:val="20"/>
              </w:rPr>
            </w:pPr>
            <w:r>
              <w:rPr>
                <w:spacing w:val="10"/>
                <w:position w:val="4"/>
                <w:sz w:val="20"/>
                <w:szCs w:val="20"/>
              </w:rPr>
              <w:t>同一事项同时被多个部门行政处罚或正式约谈只按最高的扣分计</w:t>
            </w:r>
            <w:r>
              <w:rPr>
                <w:spacing w:val="9"/>
                <w:position w:val="4"/>
                <w:sz w:val="20"/>
                <w:szCs w:val="20"/>
              </w:rPr>
              <w:t>算</w:t>
            </w:r>
            <w:r>
              <w:rPr>
                <w:spacing w:val="-19"/>
                <w:position w:val="4"/>
                <w:sz w:val="20"/>
                <w:szCs w:val="20"/>
              </w:rPr>
              <w:t xml:space="preserve"> </w:t>
            </w:r>
            <w:r>
              <w:rPr>
                <w:spacing w:val="9"/>
                <w:position w:val="4"/>
                <w:sz w:val="20"/>
                <w:szCs w:val="20"/>
              </w:rPr>
              <w:t>1</w:t>
            </w:r>
            <w:r>
              <w:rPr>
                <w:spacing w:val="-33"/>
                <w:position w:val="4"/>
                <w:sz w:val="20"/>
                <w:szCs w:val="20"/>
              </w:rPr>
              <w:t xml:space="preserve"> </w:t>
            </w:r>
            <w:r>
              <w:rPr>
                <w:spacing w:val="9"/>
                <w:position w:val="4"/>
                <w:sz w:val="20"/>
                <w:szCs w:val="20"/>
              </w:rPr>
              <w:t>次。</w:t>
            </w:r>
          </w:p>
          <w:p>
            <w:pPr>
              <w:pStyle w:val="17"/>
              <w:spacing w:before="32" w:line="408" w:lineRule="exact"/>
              <w:ind w:left="132"/>
              <w:rPr>
                <w:sz w:val="20"/>
                <w:szCs w:val="20"/>
              </w:rPr>
            </w:pPr>
            <w:r>
              <w:rPr>
                <w:spacing w:val="9"/>
                <w:position w:val="15"/>
                <w:sz w:val="20"/>
                <w:szCs w:val="20"/>
              </w:rPr>
              <w:t>如果扣完本项分值，可以从总分中扣。以联合体形式投标的，若各联合体成</w:t>
            </w:r>
          </w:p>
          <w:p>
            <w:pPr>
              <w:pStyle w:val="17"/>
              <w:spacing w:before="1" w:line="227" w:lineRule="auto"/>
              <w:ind w:left="137"/>
              <w:rPr>
                <w:sz w:val="20"/>
                <w:szCs w:val="20"/>
              </w:rPr>
            </w:pPr>
            <w:r>
              <w:rPr>
                <w:spacing w:val="9"/>
                <w:sz w:val="20"/>
                <w:szCs w:val="20"/>
              </w:rPr>
              <w:t>员任何一方或均存在上述情形的，对联合体各成员进行累计扣分。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9097" w:type="dxa"/>
            <w:gridSpan w:val="3"/>
            <w:vAlign w:val="top"/>
          </w:tcPr>
          <w:p>
            <w:pPr>
              <w:spacing w:line="382" w:lineRule="auto"/>
              <w:rPr>
                <w:rFonts w:ascii="Arial"/>
                <w:sz w:val="21"/>
              </w:rPr>
            </w:pPr>
          </w:p>
          <w:p>
            <w:pPr>
              <w:pStyle w:val="17"/>
              <w:spacing w:before="65" w:line="228" w:lineRule="auto"/>
              <w:ind w:left="143"/>
              <w:rPr>
                <w:sz w:val="20"/>
                <w:szCs w:val="20"/>
              </w:rPr>
            </w:pPr>
            <w:r>
              <w:rPr>
                <w:spacing w:val="6"/>
                <w:sz w:val="20"/>
                <w:szCs w:val="20"/>
              </w:rPr>
              <w:t>需要补充的其他内容：</w:t>
            </w:r>
          </w:p>
        </w:tc>
      </w:tr>
    </w:tbl>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12"/>
        <w:rPr>
          <w:rFonts w:ascii="Arial"/>
          <w:sz w:val="21"/>
        </w:rPr>
      </w:pPr>
    </w:p>
    <w:p>
      <w:pPr>
        <w:pStyle w:val="11"/>
        <w:rPr>
          <w:rFonts w:ascii="Arial"/>
          <w:sz w:val="21"/>
        </w:rPr>
      </w:pPr>
    </w:p>
    <w:p>
      <w:pPr>
        <w:pStyle w:val="8"/>
        <w:rPr>
          <w:rFonts w:ascii="Arial"/>
          <w:sz w:val="21"/>
        </w:rPr>
      </w:pPr>
    </w:p>
    <w:p>
      <w:pPr>
        <w:rPr>
          <w:rFonts w:ascii="Arial"/>
          <w:sz w:val="21"/>
        </w:rPr>
      </w:pPr>
    </w:p>
    <w:p>
      <w:pPr>
        <w:pStyle w:val="12"/>
      </w:pPr>
    </w:p>
    <w:p>
      <w:pPr>
        <w:spacing w:line="244" w:lineRule="auto"/>
        <w:rPr>
          <w:rFonts w:ascii="Arial"/>
          <w:sz w:val="21"/>
        </w:rPr>
      </w:pPr>
    </w:p>
    <w:p>
      <w:pPr>
        <w:spacing w:before="30"/>
      </w:pPr>
    </w:p>
    <w:p>
      <w:pPr>
        <w:spacing w:before="30"/>
      </w:pPr>
    </w:p>
    <w:tbl>
      <w:tblPr>
        <w:tblStyle w:val="16"/>
        <w:tblW w:w="9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81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97" w:type="dxa"/>
            <w:vAlign w:val="top"/>
          </w:tcPr>
          <w:p>
            <w:pPr>
              <w:pStyle w:val="17"/>
              <w:spacing w:before="139" w:line="228" w:lineRule="auto"/>
              <w:ind w:left="190"/>
              <w:rPr>
                <w:sz w:val="20"/>
                <w:szCs w:val="20"/>
              </w:rPr>
            </w:pPr>
            <w:r>
              <w:rPr>
                <w:spacing w:val="7"/>
                <w:sz w:val="20"/>
                <w:szCs w:val="20"/>
                <w14:textOutline w14:w="3795" w14:cap="sq" w14:cmpd="sng">
                  <w14:solidFill>
                    <w14:srgbClr w14:val="000000"/>
                  </w14:solidFill>
                  <w14:prstDash w14:val="solid"/>
                  <w14:bevel/>
                </w14:textOutline>
              </w:rPr>
              <w:t>条款号</w:t>
            </w:r>
          </w:p>
        </w:tc>
        <w:tc>
          <w:tcPr>
            <w:tcW w:w="8125" w:type="dxa"/>
            <w:vAlign w:val="top"/>
          </w:tcPr>
          <w:p>
            <w:pPr>
              <w:pStyle w:val="17"/>
              <w:spacing w:before="139" w:line="228" w:lineRule="auto"/>
              <w:ind w:left="3700"/>
              <w:rPr>
                <w:sz w:val="20"/>
                <w:szCs w:val="20"/>
              </w:rPr>
            </w:pPr>
            <w:r>
              <w:rPr>
                <w:spacing w:val="8"/>
                <w:sz w:val="20"/>
                <w:szCs w:val="20"/>
                <w14:textOutline w14:w="3795" w14:cap="sq" w14:cmpd="sng">
                  <w14:solidFill>
                    <w14:srgbClr w14:val="000000"/>
                  </w14:solidFill>
                  <w14:prstDash w14:val="solid"/>
                  <w14:bevel/>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0" w:hRule="atLeast"/>
        </w:trPr>
        <w:tc>
          <w:tcPr>
            <w:tcW w:w="997"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7"/>
              <w:spacing w:before="65" w:line="189" w:lineRule="auto"/>
              <w:ind w:left="468"/>
              <w:rPr>
                <w:sz w:val="20"/>
                <w:szCs w:val="20"/>
              </w:rPr>
            </w:pPr>
            <w:r>
              <w:rPr>
                <w:sz w:val="20"/>
                <w:szCs w:val="20"/>
              </w:rPr>
              <w:t>1</w:t>
            </w:r>
          </w:p>
        </w:tc>
        <w:tc>
          <w:tcPr>
            <w:tcW w:w="8125" w:type="dxa"/>
            <w:vAlign w:val="top"/>
          </w:tcPr>
          <w:p>
            <w:pPr>
              <w:pStyle w:val="17"/>
              <w:spacing w:before="32" w:line="408" w:lineRule="exact"/>
              <w:ind w:left="128"/>
              <w:rPr>
                <w:sz w:val="20"/>
                <w:szCs w:val="20"/>
              </w:rPr>
            </w:pPr>
            <w:r>
              <w:rPr>
                <w:spacing w:val="8"/>
                <w:position w:val="15"/>
                <w:sz w:val="20"/>
                <w:szCs w:val="20"/>
                <w14:textOutline w14:w="3795" w14:cap="sq" w14:cmpd="sng">
                  <w14:solidFill>
                    <w14:srgbClr w14:val="000000"/>
                  </w14:solidFill>
                  <w14:prstDash w14:val="solid"/>
                  <w14:bevel/>
                </w14:textOutline>
              </w:rPr>
              <w:t>将评标办法原文第</w:t>
            </w:r>
            <w:r>
              <w:rPr>
                <w:spacing w:val="-24"/>
                <w:position w:val="15"/>
                <w:sz w:val="20"/>
                <w:szCs w:val="20"/>
              </w:rPr>
              <w:t xml:space="preserve"> </w:t>
            </w:r>
            <w:r>
              <w:rPr>
                <w:spacing w:val="8"/>
                <w:position w:val="15"/>
                <w:sz w:val="20"/>
                <w:szCs w:val="20"/>
                <w14:textOutline w14:w="3795" w14:cap="sq" w14:cmpd="sng">
                  <w14:solidFill>
                    <w14:srgbClr w14:val="000000"/>
                  </w14:solidFill>
                  <w14:prstDash w14:val="solid"/>
                  <w14:bevel/>
                </w14:textOutline>
              </w:rPr>
              <w:t>1</w:t>
            </w:r>
            <w:r>
              <w:rPr>
                <w:spacing w:val="-36"/>
                <w:position w:val="15"/>
                <w:sz w:val="20"/>
                <w:szCs w:val="20"/>
              </w:rPr>
              <w:t xml:space="preserve"> </w:t>
            </w:r>
            <w:r>
              <w:rPr>
                <w:spacing w:val="8"/>
                <w:position w:val="15"/>
                <w:sz w:val="20"/>
                <w:szCs w:val="20"/>
                <w14:textOutline w14:w="3795" w14:cap="sq" w14:cmpd="sng">
                  <w14:solidFill>
                    <w14:srgbClr w14:val="000000"/>
                  </w14:solidFill>
                  <w14:prstDash w14:val="solid"/>
                  <w14:bevel/>
                </w14:textOutline>
              </w:rPr>
              <w:t>条“评标方法</w:t>
            </w:r>
            <w:r>
              <w:rPr>
                <w:spacing w:val="-73"/>
                <w:position w:val="15"/>
                <w:sz w:val="20"/>
                <w:szCs w:val="20"/>
              </w:rPr>
              <w:t xml:space="preserve"> </w:t>
            </w:r>
            <w:r>
              <w:rPr>
                <w:spacing w:val="8"/>
                <w:position w:val="15"/>
                <w:sz w:val="20"/>
                <w:szCs w:val="20"/>
                <w14:textOutline w14:w="3795" w14:cap="sq" w14:cmpd="sng">
                  <w14:solidFill>
                    <w14:srgbClr w14:val="000000"/>
                  </w14:solidFill>
                  <w14:prstDash w14:val="solid"/>
                  <w14:bevel/>
                </w14:textOutline>
              </w:rPr>
              <w:t>”改为“评标方法、组织及工作程序</w:t>
            </w:r>
            <w:r>
              <w:rPr>
                <w:spacing w:val="-70"/>
                <w:position w:val="15"/>
                <w:sz w:val="20"/>
                <w:szCs w:val="20"/>
              </w:rPr>
              <w:t xml:space="preserve"> </w:t>
            </w:r>
            <w:r>
              <w:rPr>
                <w:spacing w:val="7"/>
                <w:position w:val="15"/>
                <w:sz w:val="20"/>
                <w:szCs w:val="20"/>
                <w14:textOutline w14:w="3795" w14:cap="sq" w14:cmpd="sng">
                  <w14:solidFill>
                    <w14:srgbClr w14:val="000000"/>
                  </w14:solidFill>
                  <w14:prstDash w14:val="solid"/>
                  <w14:bevel/>
                </w14:textOutline>
              </w:rPr>
              <w:t>”，原文内容</w:t>
            </w:r>
          </w:p>
          <w:p>
            <w:pPr>
              <w:pStyle w:val="17"/>
              <w:spacing w:line="227" w:lineRule="auto"/>
              <w:ind w:left="129"/>
              <w:rPr>
                <w:sz w:val="20"/>
                <w:szCs w:val="20"/>
              </w:rPr>
            </w:pPr>
            <w:r>
              <w:rPr>
                <w:spacing w:val="6"/>
                <w:sz w:val="20"/>
                <w:szCs w:val="20"/>
                <w14:textOutline w14:w="3795" w14:cap="sq" w14:cmpd="sng">
                  <w14:solidFill>
                    <w14:srgbClr w14:val="000000"/>
                  </w14:solidFill>
                  <w14:prstDash w14:val="solid"/>
                  <w14:bevel/>
                </w14:textOutline>
              </w:rPr>
              <w:t>修改如下：</w:t>
            </w:r>
          </w:p>
          <w:p>
            <w:pPr>
              <w:pStyle w:val="17"/>
              <w:spacing w:before="161" w:line="408" w:lineRule="exact"/>
              <w:ind w:left="145"/>
              <w:rPr>
                <w:sz w:val="20"/>
                <w:szCs w:val="20"/>
              </w:rPr>
            </w:pPr>
            <w:r>
              <w:rPr>
                <w:spacing w:val="7"/>
                <w:position w:val="15"/>
                <w:sz w:val="20"/>
                <w:szCs w:val="20"/>
              </w:rPr>
              <w:t>1.评标方法、组织及工作程序</w:t>
            </w:r>
          </w:p>
          <w:p>
            <w:pPr>
              <w:pStyle w:val="17"/>
              <w:spacing w:line="228" w:lineRule="auto"/>
              <w:ind w:left="145"/>
              <w:rPr>
                <w:sz w:val="20"/>
                <w:szCs w:val="20"/>
              </w:rPr>
            </w:pPr>
            <w:r>
              <w:rPr>
                <w:spacing w:val="3"/>
                <w:sz w:val="20"/>
                <w:szCs w:val="20"/>
              </w:rPr>
              <w:t>1.1</w:t>
            </w:r>
            <w:r>
              <w:rPr>
                <w:spacing w:val="-44"/>
                <w:sz w:val="20"/>
                <w:szCs w:val="20"/>
              </w:rPr>
              <w:t xml:space="preserve"> </w:t>
            </w:r>
            <w:r>
              <w:rPr>
                <w:spacing w:val="3"/>
                <w:sz w:val="20"/>
                <w:szCs w:val="20"/>
              </w:rPr>
              <w:t>评标方法</w:t>
            </w:r>
          </w:p>
          <w:p>
            <w:pPr>
              <w:pStyle w:val="17"/>
              <w:spacing w:before="161" w:line="377" w:lineRule="auto"/>
              <w:ind w:left="129" w:right="126" w:firstLine="421"/>
              <w:jc w:val="both"/>
              <w:rPr>
                <w:sz w:val="20"/>
                <w:szCs w:val="20"/>
              </w:rPr>
            </w:pPr>
            <w:r>
              <w:rPr>
                <w:spacing w:val="7"/>
                <w:sz w:val="20"/>
                <w:szCs w:val="20"/>
              </w:rPr>
              <w:t>本次评标采用双信封的合理低价法。评标委员会对满足招标</w:t>
            </w:r>
            <w:r>
              <w:rPr>
                <w:spacing w:val="6"/>
                <w:sz w:val="20"/>
                <w:szCs w:val="20"/>
              </w:rPr>
              <w:t>文件实质性要求的投标</w:t>
            </w:r>
            <w:r>
              <w:rPr>
                <w:sz w:val="20"/>
                <w:szCs w:val="20"/>
              </w:rPr>
              <w:t xml:space="preserve"> </w:t>
            </w:r>
            <w:r>
              <w:rPr>
                <w:spacing w:val="6"/>
                <w:sz w:val="20"/>
                <w:szCs w:val="20"/>
              </w:rPr>
              <w:t>文件，按照本章第</w:t>
            </w:r>
            <w:r>
              <w:rPr>
                <w:spacing w:val="-29"/>
                <w:sz w:val="20"/>
                <w:szCs w:val="20"/>
              </w:rPr>
              <w:t xml:space="preserve"> </w:t>
            </w:r>
            <w:r>
              <w:rPr>
                <w:spacing w:val="6"/>
                <w:sz w:val="20"/>
                <w:szCs w:val="20"/>
              </w:rPr>
              <w:t>2.2</w:t>
            </w:r>
            <w:r>
              <w:rPr>
                <w:spacing w:val="-42"/>
                <w:sz w:val="20"/>
                <w:szCs w:val="20"/>
              </w:rPr>
              <w:t xml:space="preserve"> </w:t>
            </w:r>
            <w:r>
              <w:rPr>
                <w:spacing w:val="6"/>
                <w:sz w:val="20"/>
                <w:szCs w:val="20"/>
              </w:rPr>
              <w:t>款规定的评分标准进行打分，并按得分由高到低顺序推荐中标候</w:t>
            </w:r>
            <w:r>
              <w:rPr>
                <w:sz w:val="20"/>
                <w:szCs w:val="20"/>
              </w:rPr>
              <w:t xml:space="preserve"> </w:t>
            </w:r>
            <w:r>
              <w:rPr>
                <w:spacing w:val="7"/>
                <w:sz w:val="20"/>
                <w:szCs w:val="20"/>
              </w:rPr>
              <w:t>选人，但投标报价低于其成本的除外。综合评分相等时，评标委员会应按照评标</w:t>
            </w:r>
            <w:r>
              <w:rPr>
                <w:spacing w:val="6"/>
                <w:sz w:val="20"/>
                <w:szCs w:val="20"/>
              </w:rPr>
              <w:t>办法前</w:t>
            </w:r>
          </w:p>
          <w:p>
            <w:pPr>
              <w:pStyle w:val="17"/>
              <w:spacing w:before="1" w:line="226" w:lineRule="auto"/>
              <w:ind w:left="146"/>
              <w:rPr>
                <w:sz w:val="20"/>
                <w:szCs w:val="20"/>
              </w:rPr>
            </w:pPr>
            <w:r>
              <w:rPr>
                <w:spacing w:val="8"/>
                <w:sz w:val="20"/>
                <w:szCs w:val="20"/>
              </w:rPr>
              <w:t>附表规定的优先次序推荐中标候选人或确定中标人。</w:t>
            </w:r>
          </w:p>
          <w:p>
            <w:pPr>
              <w:pStyle w:val="17"/>
              <w:spacing w:before="165" w:line="228" w:lineRule="auto"/>
              <w:ind w:left="145"/>
              <w:rPr>
                <w:sz w:val="20"/>
                <w:szCs w:val="20"/>
              </w:rPr>
            </w:pPr>
            <w:r>
              <w:rPr>
                <w:spacing w:val="3"/>
                <w:sz w:val="20"/>
                <w:szCs w:val="20"/>
              </w:rPr>
              <w:t>1.2</w:t>
            </w:r>
            <w:r>
              <w:rPr>
                <w:spacing w:val="-44"/>
                <w:sz w:val="20"/>
                <w:szCs w:val="20"/>
              </w:rPr>
              <w:t xml:space="preserve"> </w:t>
            </w:r>
            <w:r>
              <w:rPr>
                <w:spacing w:val="3"/>
                <w:sz w:val="20"/>
                <w:szCs w:val="20"/>
              </w:rPr>
              <w:t>评标组织</w:t>
            </w:r>
          </w:p>
          <w:p>
            <w:pPr>
              <w:pStyle w:val="17"/>
              <w:spacing w:before="161" w:line="228" w:lineRule="auto"/>
              <w:ind w:left="145"/>
              <w:rPr>
                <w:sz w:val="20"/>
                <w:szCs w:val="20"/>
              </w:rPr>
            </w:pPr>
            <w:r>
              <w:rPr>
                <w:spacing w:val="4"/>
                <w:sz w:val="20"/>
                <w:szCs w:val="20"/>
              </w:rPr>
              <w:t>1.2.1</w:t>
            </w:r>
            <w:r>
              <w:rPr>
                <w:spacing w:val="-40"/>
                <w:sz w:val="20"/>
                <w:szCs w:val="20"/>
              </w:rPr>
              <w:t xml:space="preserve"> </w:t>
            </w:r>
            <w:r>
              <w:rPr>
                <w:spacing w:val="4"/>
                <w:sz w:val="20"/>
                <w:szCs w:val="20"/>
              </w:rPr>
              <w:t>协助工作组</w:t>
            </w:r>
          </w:p>
          <w:p>
            <w:pPr>
              <w:pStyle w:val="17"/>
              <w:spacing w:before="161" w:line="408" w:lineRule="exact"/>
              <w:ind w:left="550"/>
              <w:rPr>
                <w:sz w:val="20"/>
                <w:szCs w:val="20"/>
              </w:rPr>
            </w:pPr>
            <w:r>
              <w:rPr>
                <w:spacing w:val="7"/>
                <w:position w:val="15"/>
                <w:sz w:val="20"/>
                <w:szCs w:val="20"/>
              </w:rPr>
              <w:t>招标人可在评标工作开始前成立协助工作组，选派熟悉招标</w:t>
            </w:r>
            <w:r>
              <w:rPr>
                <w:spacing w:val="6"/>
                <w:position w:val="15"/>
                <w:sz w:val="20"/>
                <w:szCs w:val="20"/>
              </w:rPr>
              <w:t>工作、政治素质高的人</w:t>
            </w:r>
          </w:p>
          <w:p>
            <w:pPr>
              <w:pStyle w:val="17"/>
              <w:spacing w:before="1" w:line="226" w:lineRule="auto"/>
              <w:ind w:left="138"/>
              <w:rPr>
                <w:sz w:val="20"/>
                <w:szCs w:val="20"/>
              </w:rPr>
            </w:pPr>
            <w:r>
              <w:rPr>
                <w:spacing w:val="4"/>
                <w:sz w:val="20"/>
                <w:szCs w:val="20"/>
              </w:rPr>
              <w:t>员组成，协助评标委员会工作。协助工作组人员的具体数量由招标人视评</w:t>
            </w:r>
            <w:r>
              <w:rPr>
                <w:spacing w:val="3"/>
                <w:sz w:val="20"/>
                <w:szCs w:val="20"/>
              </w:rPr>
              <w:t>标工作量确定。</w:t>
            </w:r>
          </w:p>
          <w:p>
            <w:pPr>
              <w:pStyle w:val="17"/>
              <w:spacing w:before="162" w:line="408" w:lineRule="exact"/>
              <w:ind w:left="553"/>
              <w:rPr>
                <w:sz w:val="20"/>
                <w:szCs w:val="20"/>
              </w:rPr>
            </w:pPr>
            <w:r>
              <w:rPr>
                <w:spacing w:val="9"/>
                <w:position w:val="15"/>
                <w:sz w:val="20"/>
                <w:szCs w:val="20"/>
              </w:rPr>
              <w:t>招标人可以协助评标委员会开展下列工作并提供相关信息：</w:t>
            </w:r>
          </w:p>
          <w:p>
            <w:pPr>
              <w:pStyle w:val="17"/>
              <w:spacing w:before="1" w:line="227" w:lineRule="auto"/>
              <w:ind w:left="562"/>
              <w:rPr>
                <w:sz w:val="20"/>
                <w:szCs w:val="20"/>
              </w:rPr>
            </w:pPr>
            <w:r>
              <w:rPr>
                <w:spacing w:val="8"/>
                <w:sz w:val="20"/>
                <w:szCs w:val="20"/>
              </w:rPr>
              <w:t>（1）根据招标文件，编制评标使用的相应表格；</w:t>
            </w:r>
          </w:p>
          <w:p>
            <w:pPr>
              <w:pStyle w:val="17"/>
              <w:spacing w:before="164" w:line="226" w:lineRule="auto"/>
              <w:ind w:left="562"/>
              <w:rPr>
                <w:sz w:val="20"/>
                <w:szCs w:val="20"/>
              </w:rPr>
            </w:pPr>
            <w:r>
              <w:rPr>
                <w:spacing w:val="9"/>
                <w:sz w:val="20"/>
                <w:szCs w:val="20"/>
              </w:rPr>
              <w:t>（2）对投标报价进行算术性校核（如采用固化工程量清单，本步骤省略</w:t>
            </w:r>
            <w:r>
              <w:rPr>
                <w:spacing w:val="2"/>
                <w:sz w:val="20"/>
                <w:szCs w:val="20"/>
              </w:rPr>
              <w:t>）；</w:t>
            </w:r>
          </w:p>
          <w:p>
            <w:pPr>
              <w:pStyle w:val="17"/>
              <w:spacing w:before="163" w:line="408" w:lineRule="exact"/>
              <w:ind w:left="562"/>
              <w:rPr>
                <w:sz w:val="20"/>
                <w:szCs w:val="20"/>
              </w:rPr>
            </w:pPr>
            <w:r>
              <w:rPr>
                <w:spacing w:val="9"/>
                <w:position w:val="15"/>
                <w:sz w:val="20"/>
                <w:szCs w:val="20"/>
              </w:rPr>
              <w:t>（3）以评标标准和方法为依据，列出投标文件相对于招标文件的所有偏差，并进</w:t>
            </w:r>
          </w:p>
          <w:p>
            <w:pPr>
              <w:pStyle w:val="17"/>
              <w:spacing w:line="227" w:lineRule="auto"/>
              <w:ind w:left="133"/>
              <w:rPr>
                <w:sz w:val="20"/>
                <w:szCs w:val="20"/>
              </w:rPr>
            </w:pPr>
            <w:r>
              <w:rPr>
                <w:spacing w:val="6"/>
                <w:sz w:val="20"/>
                <w:szCs w:val="20"/>
              </w:rPr>
              <w:t>行归类汇总；</w:t>
            </w:r>
          </w:p>
          <w:p>
            <w:pPr>
              <w:pStyle w:val="17"/>
              <w:spacing w:before="161" w:line="228" w:lineRule="auto"/>
              <w:ind w:left="562"/>
              <w:rPr>
                <w:sz w:val="20"/>
                <w:szCs w:val="20"/>
              </w:rPr>
            </w:pPr>
            <w:r>
              <w:rPr>
                <w:spacing w:val="9"/>
                <w:sz w:val="20"/>
                <w:szCs w:val="20"/>
              </w:rPr>
              <w:t>（4）查询公路建设市场信用信息管理系统，对投标人的资质、业绩、主要人员资</w:t>
            </w:r>
          </w:p>
          <w:p>
            <w:pPr>
              <w:pStyle w:val="17"/>
              <w:spacing w:before="132" w:line="408" w:lineRule="exact"/>
              <w:ind w:left="132"/>
              <w:rPr>
                <w:sz w:val="10"/>
                <w:szCs w:val="10"/>
              </w:rPr>
            </w:pPr>
            <w:r>
              <w:rPr>
                <w:spacing w:val="9"/>
                <w:position w:val="4"/>
                <w:sz w:val="20"/>
                <w:szCs w:val="20"/>
              </w:rPr>
              <w:t>历和目前在岗情况、信用等级进行核实。</w:t>
            </w:r>
            <w:r>
              <w:fldChar w:fldCharType="begin"/>
            </w:r>
            <w:r>
              <w:instrText xml:space="preserve"> HYPERLINK \l "bookmark98" </w:instrText>
            </w:r>
            <w:r>
              <w:fldChar w:fldCharType="separate"/>
            </w:r>
            <w:r>
              <w:rPr>
                <w:spacing w:val="9"/>
                <w:position w:val="14"/>
                <w:sz w:val="10"/>
                <w:szCs w:val="10"/>
              </w:rPr>
              <w:t>①</w:t>
            </w:r>
            <w:r>
              <w:rPr>
                <w:spacing w:val="9"/>
                <w:position w:val="14"/>
                <w:sz w:val="10"/>
                <w:szCs w:val="10"/>
              </w:rPr>
              <w:fldChar w:fldCharType="end"/>
            </w:r>
          </w:p>
          <w:p>
            <w:pPr>
              <w:pStyle w:val="17"/>
              <w:spacing w:before="32" w:line="408" w:lineRule="exact"/>
              <w:ind w:left="550"/>
              <w:rPr>
                <w:sz w:val="20"/>
                <w:szCs w:val="20"/>
              </w:rPr>
            </w:pPr>
            <w:r>
              <w:rPr>
                <w:spacing w:val="7"/>
                <w:position w:val="15"/>
                <w:sz w:val="20"/>
                <w:szCs w:val="20"/>
              </w:rPr>
              <w:t>招标人不得对投标文件作出任何评价，不得故意遗漏或者片</w:t>
            </w:r>
            <w:r>
              <w:rPr>
                <w:spacing w:val="6"/>
                <w:position w:val="15"/>
                <w:sz w:val="20"/>
                <w:szCs w:val="20"/>
              </w:rPr>
              <w:t>面摘录，不得在评标委</w:t>
            </w:r>
          </w:p>
          <w:p>
            <w:pPr>
              <w:pStyle w:val="17"/>
              <w:spacing w:before="1" w:line="226" w:lineRule="auto"/>
              <w:ind w:left="138"/>
              <w:rPr>
                <w:sz w:val="20"/>
                <w:szCs w:val="20"/>
              </w:rPr>
            </w:pPr>
            <w:r>
              <w:rPr>
                <w:spacing w:val="9"/>
                <w:sz w:val="20"/>
                <w:szCs w:val="20"/>
              </w:rPr>
              <w:t>员会对所有偏差定性之前透露存有偏差的投</w:t>
            </w:r>
            <w:r>
              <w:rPr>
                <w:spacing w:val="8"/>
                <w:sz w:val="20"/>
                <w:szCs w:val="20"/>
              </w:rPr>
              <w:t>标人名称。</w:t>
            </w:r>
          </w:p>
          <w:p>
            <w:pPr>
              <w:pStyle w:val="17"/>
              <w:spacing w:before="162" w:line="227" w:lineRule="auto"/>
              <w:ind w:left="145"/>
              <w:rPr>
                <w:sz w:val="20"/>
                <w:szCs w:val="20"/>
              </w:rPr>
            </w:pPr>
            <w:r>
              <w:rPr>
                <w:spacing w:val="4"/>
                <w:sz w:val="20"/>
                <w:szCs w:val="20"/>
              </w:rPr>
              <w:t>1.2.2</w:t>
            </w:r>
            <w:r>
              <w:rPr>
                <w:spacing w:val="-40"/>
                <w:sz w:val="20"/>
                <w:szCs w:val="20"/>
              </w:rPr>
              <w:t xml:space="preserve"> </w:t>
            </w:r>
            <w:r>
              <w:rPr>
                <w:spacing w:val="4"/>
                <w:sz w:val="20"/>
                <w:szCs w:val="20"/>
              </w:rPr>
              <w:t>评标委员会</w:t>
            </w:r>
          </w:p>
          <w:p>
            <w:pPr>
              <w:pStyle w:val="17"/>
              <w:spacing w:before="165" w:line="408" w:lineRule="exact"/>
              <w:ind w:left="349"/>
              <w:rPr>
                <w:sz w:val="20"/>
                <w:szCs w:val="20"/>
              </w:rPr>
            </w:pPr>
            <w:r>
              <w:rPr>
                <w:spacing w:val="10"/>
                <w:position w:val="15"/>
                <w:sz w:val="20"/>
                <w:szCs w:val="20"/>
              </w:rPr>
              <w:t>评标委员会由招标人按国家、广东省等的有关规定依法组</w:t>
            </w:r>
            <w:r>
              <w:rPr>
                <w:spacing w:val="9"/>
                <w:position w:val="15"/>
                <w:sz w:val="20"/>
                <w:szCs w:val="20"/>
              </w:rPr>
              <w:t>建。评标委员会的主要工</w:t>
            </w:r>
          </w:p>
          <w:p>
            <w:pPr>
              <w:pStyle w:val="17"/>
              <w:spacing w:line="227" w:lineRule="auto"/>
              <w:ind w:left="130"/>
              <w:rPr>
                <w:sz w:val="20"/>
                <w:szCs w:val="20"/>
              </w:rPr>
            </w:pPr>
            <w:r>
              <w:rPr>
                <w:spacing w:val="6"/>
                <w:sz w:val="20"/>
                <w:szCs w:val="20"/>
              </w:rPr>
              <w:t>作内容包括：</w:t>
            </w:r>
          </w:p>
          <w:p>
            <w:pPr>
              <w:pStyle w:val="17"/>
              <w:spacing w:before="162" w:line="408" w:lineRule="exact"/>
              <w:ind w:left="360"/>
              <w:rPr>
                <w:sz w:val="20"/>
                <w:szCs w:val="20"/>
              </w:rPr>
            </w:pPr>
            <w:r>
              <w:rPr>
                <w:spacing w:val="9"/>
                <w:position w:val="15"/>
                <w:sz w:val="20"/>
                <w:szCs w:val="20"/>
              </w:rPr>
              <w:t>（1）评标委员会开始评标工作之前，首先听取招标人、协助工作组关于工程情况和</w:t>
            </w:r>
          </w:p>
          <w:p>
            <w:pPr>
              <w:pStyle w:val="17"/>
              <w:spacing w:line="227" w:lineRule="auto"/>
              <w:ind w:left="131"/>
              <w:rPr>
                <w:sz w:val="20"/>
                <w:szCs w:val="20"/>
              </w:rPr>
            </w:pPr>
            <w:r>
              <w:rPr>
                <w:spacing w:val="9"/>
                <w:sz w:val="20"/>
                <w:szCs w:val="20"/>
              </w:rPr>
              <w:t>辅助工作的说明，并认真研读招标文件，获取评标所需的重要信息和数据；</w:t>
            </w:r>
          </w:p>
          <w:p>
            <w:pPr>
              <w:pStyle w:val="17"/>
              <w:spacing w:before="162" w:line="408" w:lineRule="exact"/>
              <w:ind w:left="360"/>
              <w:rPr>
                <w:sz w:val="20"/>
                <w:szCs w:val="20"/>
              </w:rPr>
            </w:pPr>
            <w:r>
              <w:rPr>
                <w:spacing w:val="9"/>
                <w:position w:val="15"/>
                <w:sz w:val="20"/>
                <w:szCs w:val="20"/>
              </w:rPr>
              <w:t>（2）对协助工作组提供的评标工作用表和</w:t>
            </w:r>
            <w:r>
              <w:rPr>
                <w:spacing w:val="8"/>
                <w:position w:val="15"/>
                <w:sz w:val="20"/>
                <w:szCs w:val="20"/>
              </w:rPr>
              <w:t>评标内容进行核查；</w:t>
            </w:r>
          </w:p>
          <w:p>
            <w:pPr>
              <w:pStyle w:val="17"/>
              <w:spacing w:before="1" w:line="227" w:lineRule="auto"/>
              <w:ind w:left="360"/>
              <w:rPr>
                <w:sz w:val="20"/>
                <w:szCs w:val="20"/>
              </w:rPr>
            </w:pPr>
            <w:r>
              <w:rPr>
                <w:spacing w:val="6"/>
                <w:sz w:val="20"/>
                <w:szCs w:val="20"/>
              </w:rPr>
              <w:t>（3）按照以下</w:t>
            </w:r>
            <w:r>
              <w:rPr>
                <w:spacing w:val="-20"/>
                <w:sz w:val="20"/>
                <w:szCs w:val="20"/>
              </w:rPr>
              <w:t xml:space="preserve"> </w:t>
            </w:r>
            <w:r>
              <w:rPr>
                <w:spacing w:val="6"/>
                <w:sz w:val="20"/>
                <w:szCs w:val="20"/>
              </w:rPr>
              <w:t>1.3</w:t>
            </w:r>
            <w:r>
              <w:rPr>
                <w:spacing w:val="-40"/>
                <w:sz w:val="20"/>
                <w:szCs w:val="20"/>
              </w:rPr>
              <w:t xml:space="preserve"> </w:t>
            </w:r>
            <w:r>
              <w:rPr>
                <w:spacing w:val="6"/>
                <w:sz w:val="20"/>
                <w:szCs w:val="20"/>
              </w:rPr>
              <w:t>款程序进行各项评审工作。</w:t>
            </w:r>
          </w:p>
          <w:p>
            <w:pPr>
              <w:pStyle w:val="17"/>
              <w:spacing w:before="164" w:line="228" w:lineRule="auto"/>
              <w:ind w:left="145"/>
              <w:rPr>
                <w:sz w:val="20"/>
                <w:szCs w:val="20"/>
              </w:rPr>
            </w:pPr>
            <w:r>
              <w:rPr>
                <w:spacing w:val="4"/>
                <w:sz w:val="20"/>
                <w:szCs w:val="20"/>
              </w:rPr>
              <w:t>1.3</w:t>
            </w:r>
            <w:r>
              <w:rPr>
                <w:spacing w:val="-39"/>
                <w:sz w:val="20"/>
                <w:szCs w:val="20"/>
              </w:rPr>
              <w:t xml:space="preserve"> </w:t>
            </w:r>
            <w:r>
              <w:rPr>
                <w:spacing w:val="4"/>
                <w:sz w:val="20"/>
                <w:szCs w:val="20"/>
              </w:rPr>
              <w:t>评审工作程序</w:t>
            </w:r>
          </w:p>
          <w:p>
            <w:pPr>
              <w:pStyle w:val="17"/>
              <w:spacing w:before="160" w:line="227" w:lineRule="auto"/>
              <w:ind w:left="349"/>
              <w:rPr>
                <w:sz w:val="20"/>
                <w:szCs w:val="20"/>
              </w:rPr>
            </w:pPr>
            <w:r>
              <w:rPr>
                <w:spacing w:val="8"/>
                <w:sz w:val="20"/>
                <w:szCs w:val="20"/>
              </w:rPr>
              <w:t>评标委员会将按以下程序开展评标工作：</w:t>
            </w:r>
          </w:p>
        </w:tc>
      </w:tr>
    </w:tbl>
    <w:p>
      <w:pPr>
        <w:spacing w:line="318" w:lineRule="auto"/>
        <w:rPr>
          <w:rFonts w:ascii="Arial"/>
          <w:sz w:val="21"/>
        </w:rPr>
      </w:pPr>
    </w:p>
    <w:p>
      <w:pPr>
        <w:spacing w:before="228"/>
      </w:pPr>
    </w:p>
    <w:tbl>
      <w:tblPr>
        <w:tblStyle w:val="16"/>
        <w:tblW w:w="9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81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3" w:hRule="atLeast"/>
        </w:trPr>
        <w:tc>
          <w:tcPr>
            <w:tcW w:w="997"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7"/>
              <w:spacing w:before="65" w:line="189" w:lineRule="auto"/>
              <w:ind w:left="468"/>
              <w:rPr>
                <w:sz w:val="20"/>
                <w:szCs w:val="20"/>
              </w:rPr>
            </w:pPr>
            <w:r>
              <w:rPr>
                <w:sz w:val="20"/>
                <w:szCs w:val="20"/>
              </w:rPr>
              <w:t>1</w:t>
            </w:r>
          </w:p>
        </w:tc>
        <w:tc>
          <w:tcPr>
            <w:tcW w:w="8125" w:type="dxa"/>
            <w:vAlign w:val="top"/>
          </w:tcPr>
          <w:p>
            <w:pPr>
              <w:pStyle w:val="17"/>
              <w:spacing w:before="35" w:line="228" w:lineRule="auto"/>
              <w:ind w:left="145"/>
              <w:rPr>
                <w:sz w:val="20"/>
                <w:szCs w:val="20"/>
              </w:rPr>
            </w:pPr>
            <w:r>
              <w:rPr>
                <w:spacing w:val="7"/>
                <w:sz w:val="20"/>
                <w:szCs w:val="20"/>
              </w:rPr>
              <w:t>1.3.1</w:t>
            </w:r>
            <w:r>
              <w:rPr>
                <w:spacing w:val="-41"/>
                <w:sz w:val="20"/>
                <w:szCs w:val="20"/>
              </w:rPr>
              <w:t xml:space="preserve"> </w:t>
            </w:r>
            <w:r>
              <w:rPr>
                <w:spacing w:val="7"/>
                <w:sz w:val="20"/>
                <w:szCs w:val="20"/>
              </w:rPr>
              <w:t>第一个信封（商务及技术文件）的评审：</w:t>
            </w:r>
          </w:p>
          <w:p>
            <w:pPr>
              <w:pStyle w:val="17"/>
              <w:spacing w:before="161" w:line="408" w:lineRule="exact"/>
              <w:ind w:left="360"/>
              <w:rPr>
                <w:sz w:val="20"/>
                <w:szCs w:val="20"/>
              </w:rPr>
            </w:pPr>
            <w:r>
              <w:rPr>
                <w:spacing w:val="9"/>
                <w:position w:val="15"/>
                <w:sz w:val="20"/>
                <w:szCs w:val="20"/>
              </w:rPr>
              <w:t>（1）初步评审：包括对投标文件进行形式评审与响应性评审、资格评审（适用于未</w:t>
            </w:r>
          </w:p>
          <w:p>
            <w:pPr>
              <w:pStyle w:val="17"/>
              <w:spacing w:line="227" w:lineRule="auto"/>
              <w:ind w:left="128"/>
              <w:rPr>
                <w:sz w:val="20"/>
                <w:szCs w:val="20"/>
              </w:rPr>
            </w:pPr>
            <w:r>
              <w:rPr>
                <w:spacing w:val="8"/>
                <w:sz w:val="20"/>
                <w:szCs w:val="20"/>
              </w:rPr>
              <w:t>进行资格预审</w:t>
            </w:r>
            <w:r>
              <w:rPr>
                <w:spacing w:val="1"/>
                <w:sz w:val="20"/>
                <w:szCs w:val="20"/>
              </w:rPr>
              <w:t>）；</w:t>
            </w:r>
          </w:p>
          <w:p>
            <w:pPr>
              <w:pStyle w:val="17"/>
              <w:spacing w:before="160" w:line="378" w:lineRule="auto"/>
              <w:ind w:left="131" w:right="55" w:firstLine="229"/>
              <w:rPr>
                <w:sz w:val="20"/>
                <w:szCs w:val="20"/>
              </w:rPr>
            </w:pPr>
            <w:r>
              <w:rPr>
                <w:spacing w:val="8"/>
                <w:sz w:val="20"/>
                <w:szCs w:val="20"/>
              </w:rPr>
              <w:t xml:space="preserve">（2）详细评审：评标委员会首先对通过初步评审的投标文件第一个信封（商务及技 </w:t>
            </w:r>
            <w:r>
              <w:rPr>
                <w:spacing w:val="3"/>
                <w:sz w:val="20"/>
                <w:szCs w:val="20"/>
              </w:rPr>
              <w:t>术文件）进行详细评审，对投标人的其他因素（信用等级、履约情况）得分评审与确认。</w:t>
            </w:r>
          </w:p>
          <w:p>
            <w:pPr>
              <w:pStyle w:val="17"/>
              <w:spacing w:line="226" w:lineRule="auto"/>
              <w:ind w:left="145"/>
              <w:rPr>
                <w:sz w:val="20"/>
                <w:szCs w:val="20"/>
              </w:rPr>
            </w:pPr>
            <w:r>
              <w:rPr>
                <w:spacing w:val="6"/>
                <w:sz w:val="20"/>
                <w:szCs w:val="20"/>
              </w:rPr>
              <w:t>1.3.2</w:t>
            </w:r>
            <w:r>
              <w:rPr>
                <w:spacing w:val="-31"/>
                <w:sz w:val="20"/>
                <w:szCs w:val="20"/>
              </w:rPr>
              <w:t xml:space="preserve"> </w:t>
            </w:r>
            <w:r>
              <w:rPr>
                <w:spacing w:val="6"/>
                <w:sz w:val="20"/>
                <w:szCs w:val="20"/>
              </w:rPr>
              <w:t>第二个信封（报价文件）的评审：</w:t>
            </w:r>
          </w:p>
          <w:p>
            <w:pPr>
              <w:pStyle w:val="17"/>
              <w:spacing w:before="163" w:line="228" w:lineRule="auto"/>
              <w:ind w:left="360"/>
              <w:rPr>
                <w:sz w:val="20"/>
                <w:szCs w:val="20"/>
              </w:rPr>
            </w:pPr>
            <w:r>
              <w:rPr>
                <w:spacing w:val="5"/>
                <w:sz w:val="20"/>
                <w:szCs w:val="20"/>
              </w:rPr>
              <w:t>（1）初步评审：</w:t>
            </w:r>
          </w:p>
          <w:p>
            <w:pPr>
              <w:pStyle w:val="17"/>
              <w:spacing w:before="161" w:line="411" w:lineRule="exact"/>
              <w:ind w:left="349"/>
              <w:rPr>
                <w:sz w:val="20"/>
                <w:szCs w:val="20"/>
              </w:rPr>
            </w:pPr>
            <w:r>
              <w:rPr>
                <w:spacing w:val="12"/>
                <w:position w:val="15"/>
                <w:sz w:val="20"/>
                <w:szCs w:val="20"/>
              </w:rPr>
              <w:t>①只有投标文件第一个信封通过详细评审的投标人才能继续参加第二个信封报价文</w:t>
            </w:r>
          </w:p>
          <w:p>
            <w:pPr>
              <w:pStyle w:val="17"/>
              <w:spacing w:before="1" w:line="227" w:lineRule="auto"/>
              <w:ind w:left="129"/>
              <w:rPr>
                <w:sz w:val="20"/>
                <w:szCs w:val="20"/>
              </w:rPr>
            </w:pPr>
            <w:r>
              <w:rPr>
                <w:spacing w:val="8"/>
                <w:sz w:val="20"/>
                <w:szCs w:val="20"/>
              </w:rPr>
              <w:t>件的形式评审与响应性评审；</w:t>
            </w:r>
          </w:p>
          <w:p>
            <w:pPr>
              <w:pStyle w:val="17"/>
              <w:spacing w:before="161" w:line="408" w:lineRule="exact"/>
              <w:ind w:left="349"/>
              <w:rPr>
                <w:sz w:val="20"/>
                <w:szCs w:val="20"/>
              </w:rPr>
            </w:pPr>
            <w:r>
              <w:rPr>
                <w:spacing w:val="9"/>
                <w:position w:val="15"/>
                <w:sz w:val="20"/>
                <w:szCs w:val="20"/>
              </w:rPr>
              <w:t>②报价算术性修正（如采用固化工程量清单，本步</w:t>
            </w:r>
            <w:r>
              <w:rPr>
                <w:spacing w:val="8"/>
                <w:position w:val="15"/>
                <w:sz w:val="20"/>
                <w:szCs w:val="20"/>
              </w:rPr>
              <w:t>骤省略）。</w:t>
            </w:r>
          </w:p>
          <w:p>
            <w:pPr>
              <w:pStyle w:val="17"/>
              <w:spacing w:line="226" w:lineRule="auto"/>
              <w:ind w:left="360"/>
              <w:rPr>
                <w:sz w:val="20"/>
                <w:szCs w:val="20"/>
              </w:rPr>
            </w:pPr>
            <w:r>
              <w:rPr>
                <w:spacing w:val="8"/>
                <w:sz w:val="20"/>
                <w:szCs w:val="20"/>
              </w:rPr>
              <w:t>（2）详细评审：计算评标基准价、评标价得分及综合得分。</w:t>
            </w:r>
          </w:p>
          <w:p>
            <w:pPr>
              <w:pStyle w:val="17"/>
              <w:spacing w:before="163" w:line="228" w:lineRule="auto"/>
              <w:ind w:left="145"/>
              <w:rPr>
                <w:sz w:val="20"/>
                <w:szCs w:val="20"/>
              </w:rPr>
            </w:pPr>
            <w:r>
              <w:rPr>
                <w:spacing w:val="5"/>
                <w:sz w:val="20"/>
                <w:szCs w:val="20"/>
              </w:rPr>
              <w:t>1.3.3</w:t>
            </w:r>
            <w:r>
              <w:rPr>
                <w:spacing w:val="-25"/>
                <w:sz w:val="20"/>
                <w:szCs w:val="20"/>
              </w:rPr>
              <w:t xml:space="preserve"> </w:t>
            </w:r>
            <w:r>
              <w:rPr>
                <w:spacing w:val="5"/>
                <w:sz w:val="20"/>
                <w:szCs w:val="20"/>
              </w:rPr>
              <w:t>投标文件相关信息的核查。</w:t>
            </w:r>
          </w:p>
          <w:p>
            <w:pPr>
              <w:pStyle w:val="17"/>
              <w:spacing w:before="163" w:line="228" w:lineRule="auto"/>
              <w:ind w:left="145"/>
              <w:rPr>
                <w:sz w:val="20"/>
                <w:szCs w:val="20"/>
              </w:rPr>
            </w:pPr>
            <w:r>
              <w:rPr>
                <w:spacing w:val="6"/>
                <w:sz w:val="20"/>
                <w:szCs w:val="20"/>
              </w:rPr>
              <w:t>1.3.4</w:t>
            </w:r>
            <w:r>
              <w:rPr>
                <w:spacing w:val="-38"/>
                <w:sz w:val="20"/>
                <w:szCs w:val="20"/>
              </w:rPr>
              <w:t xml:space="preserve"> </w:t>
            </w:r>
            <w:r>
              <w:rPr>
                <w:spacing w:val="6"/>
                <w:sz w:val="20"/>
                <w:szCs w:val="20"/>
              </w:rPr>
              <w:t>投标文件的澄清和说明(如有)。</w:t>
            </w:r>
          </w:p>
          <w:p>
            <w:pPr>
              <w:pStyle w:val="17"/>
              <w:spacing w:before="162" w:line="226" w:lineRule="auto"/>
              <w:ind w:left="145"/>
              <w:rPr>
                <w:sz w:val="20"/>
                <w:szCs w:val="20"/>
              </w:rPr>
            </w:pPr>
            <w:r>
              <w:rPr>
                <w:spacing w:val="7"/>
                <w:sz w:val="20"/>
                <w:szCs w:val="20"/>
              </w:rPr>
              <w:t>1.3.5</w:t>
            </w:r>
            <w:r>
              <w:rPr>
                <w:spacing w:val="-29"/>
                <w:sz w:val="20"/>
                <w:szCs w:val="20"/>
              </w:rPr>
              <w:t xml:space="preserve"> </w:t>
            </w:r>
            <w:r>
              <w:rPr>
                <w:spacing w:val="7"/>
                <w:sz w:val="20"/>
                <w:szCs w:val="20"/>
              </w:rPr>
              <w:t>按评标办法规定推荐中标候选人，编写评标报告。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997" w:type="dxa"/>
            <w:vAlign w:val="top"/>
          </w:tcPr>
          <w:p>
            <w:pPr>
              <w:spacing w:line="354" w:lineRule="auto"/>
              <w:rPr>
                <w:rFonts w:ascii="Arial"/>
                <w:sz w:val="21"/>
              </w:rPr>
            </w:pPr>
          </w:p>
          <w:p>
            <w:pPr>
              <w:pStyle w:val="17"/>
              <w:spacing w:before="65" w:line="190" w:lineRule="auto"/>
              <w:ind w:left="135"/>
              <w:rPr>
                <w:sz w:val="20"/>
                <w:szCs w:val="20"/>
              </w:rPr>
            </w:pPr>
            <w:r>
              <w:rPr>
                <w:spacing w:val="2"/>
                <w:sz w:val="20"/>
                <w:szCs w:val="20"/>
              </w:rPr>
              <w:t>2.2.1</w:t>
            </w:r>
          </w:p>
        </w:tc>
        <w:tc>
          <w:tcPr>
            <w:tcW w:w="8125" w:type="dxa"/>
            <w:vAlign w:val="top"/>
          </w:tcPr>
          <w:p>
            <w:pPr>
              <w:pStyle w:val="17"/>
              <w:spacing w:before="31" w:line="228" w:lineRule="auto"/>
              <w:ind w:left="132"/>
              <w:rPr>
                <w:sz w:val="20"/>
                <w:szCs w:val="20"/>
              </w:rPr>
            </w:pPr>
            <w:r>
              <w:rPr>
                <w:spacing w:val="4"/>
                <w:sz w:val="20"/>
                <w:szCs w:val="20"/>
              </w:rPr>
              <w:t>2.2.1</w:t>
            </w:r>
            <w:r>
              <w:rPr>
                <w:spacing w:val="-34"/>
                <w:sz w:val="20"/>
                <w:szCs w:val="20"/>
              </w:rPr>
              <w:t xml:space="preserve"> </w:t>
            </w:r>
            <w:r>
              <w:rPr>
                <w:spacing w:val="4"/>
                <w:sz w:val="20"/>
                <w:szCs w:val="20"/>
              </w:rPr>
              <w:t>分值构成</w:t>
            </w:r>
          </w:p>
          <w:p>
            <w:pPr>
              <w:pStyle w:val="17"/>
              <w:spacing w:before="161" w:line="226" w:lineRule="auto"/>
              <w:ind w:left="129"/>
              <w:rPr>
                <w:sz w:val="20"/>
                <w:szCs w:val="20"/>
              </w:rPr>
            </w:pPr>
            <w:r>
              <w:rPr>
                <w:spacing w:val="8"/>
                <w:sz w:val="20"/>
                <w:szCs w:val="20"/>
              </w:rPr>
              <w:t>评标价：见评标办法前附表。</w:t>
            </w:r>
          </w:p>
          <w:p>
            <w:pPr>
              <w:pStyle w:val="17"/>
              <w:spacing w:before="165" w:line="227" w:lineRule="auto"/>
              <w:ind w:left="130"/>
              <w:rPr>
                <w:sz w:val="20"/>
                <w:szCs w:val="20"/>
              </w:rPr>
            </w:pPr>
            <w:r>
              <w:rPr>
                <w:spacing w:val="8"/>
                <w:sz w:val="20"/>
                <w:szCs w:val="20"/>
              </w:rPr>
              <w:t>其他因素：见评标办法前附表。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997" w:type="dxa"/>
            <w:vAlign w:val="top"/>
          </w:tcPr>
          <w:p>
            <w:pPr>
              <w:spacing w:line="357" w:lineRule="auto"/>
              <w:rPr>
                <w:rFonts w:ascii="Arial"/>
                <w:sz w:val="21"/>
              </w:rPr>
            </w:pPr>
          </w:p>
          <w:p>
            <w:pPr>
              <w:pStyle w:val="17"/>
              <w:spacing w:before="65" w:line="189" w:lineRule="auto"/>
              <w:ind w:left="135"/>
              <w:rPr>
                <w:sz w:val="20"/>
                <w:szCs w:val="20"/>
              </w:rPr>
            </w:pPr>
            <w:r>
              <w:rPr>
                <w:spacing w:val="2"/>
                <w:sz w:val="20"/>
                <w:szCs w:val="20"/>
              </w:rPr>
              <w:t>2.2.4</w:t>
            </w:r>
          </w:p>
        </w:tc>
        <w:tc>
          <w:tcPr>
            <w:tcW w:w="8125" w:type="dxa"/>
            <w:vAlign w:val="top"/>
          </w:tcPr>
          <w:p>
            <w:pPr>
              <w:pStyle w:val="17"/>
              <w:spacing w:before="34" w:line="228" w:lineRule="auto"/>
              <w:ind w:left="132"/>
              <w:rPr>
                <w:sz w:val="20"/>
                <w:szCs w:val="20"/>
              </w:rPr>
            </w:pPr>
            <w:r>
              <w:rPr>
                <w:spacing w:val="4"/>
                <w:sz w:val="20"/>
                <w:szCs w:val="20"/>
              </w:rPr>
              <w:t>2.2.4</w:t>
            </w:r>
            <w:r>
              <w:rPr>
                <w:spacing w:val="-34"/>
                <w:sz w:val="20"/>
                <w:szCs w:val="20"/>
              </w:rPr>
              <w:t xml:space="preserve"> </w:t>
            </w:r>
            <w:r>
              <w:rPr>
                <w:spacing w:val="4"/>
                <w:sz w:val="20"/>
                <w:szCs w:val="20"/>
              </w:rPr>
              <w:t>评分标准</w:t>
            </w:r>
          </w:p>
          <w:p>
            <w:pPr>
              <w:pStyle w:val="17"/>
              <w:spacing w:before="160" w:line="226" w:lineRule="auto"/>
              <w:ind w:left="129"/>
              <w:rPr>
                <w:sz w:val="20"/>
                <w:szCs w:val="20"/>
              </w:rPr>
            </w:pPr>
            <w:r>
              <w:rPr>
                <w:spacing w:val="8"/>
                <w:sz w:val="20"/>
                <w:szCs w:val="20"/>
              </w:rPr>
              <w:t>评标价评分标准：见评标办法前附表。</w:t>
            </w:r>
          </w:p>
          <w:p>
            <w:pPr>
              <w:pStyle w:val="17"/>
              <w:spacing w:before="162" w:line="227" w:lineRule="auto"/>
              <w:ind w:left="130"/>
              <w:rPr>
                <w:sz w:val="20"/>
                <w:szCs w:val="20"/>
              </w:rPr>
            </w:pPr>
            <w:r>
              <w:rPr>
                <w:spacing w:val="8"/>
                <w:sz w:val="20"/>
                <w:szCs w:val="20"/>
              </w:rPr>
              <w:t>其他因素评分标准：见评标办法前附表。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997" w:type="dxa"/>
            <w:vAlign w:val="top"/>
          </w:tcPr>
          <w:p>
            <w:pPr>
              <w:spacing w:line="244" w:lineRule="auto"/>
              <w:rPr>
                <w:rFonts w:ascii="Arial"/>
                <w:sz w:val="21"/>
              </w:rPr>
            </w:pPr>
          </w:p>
          <w:p>
            <w:pPr>
              <w:pStyle w:val="17"/>
              <w:spacing w:before="65" w:line="190" w:lineRule="auto"/>
              <w:ind w:left="137"/>
              <w:rPr>
                <w:sz w:val="20"/>
                <w:szCs w:val="20"/>
              </w:rPr>
            </w:pPr>
            <w:r>
              <w:rPr>
                <w:spacing w:val="2"/>
                <w:sz w:val="20"/>
                <w:szCs w:val="20"/>
              </w:rPr>
              <w:t>3.4.1</w:t>
            </w:r>
          </w:p>
        </w:tc>
        <w:tc>
          <w:tcPr>
            <w:tcW w:w="8125" w:type="dxa"/>
            <w:vAlign w:val="top"/>
          </w:tcPr>
          <w:p>
            <w:pPr>
              <w:pStyle w:val="17"/>
              <w:spacing w:before="75" w:line="408" w:lineRule="exact"/>
              <w:ind w:left="128"/>
              <w:rPr>
                <w:sz w:val="20"/>
                <w:szCs w:val="20"/>
              </w:rPr>
            </w:pPr>
            <w:r>
              <w:rPr>
                <w:spacing w:val="5"/>
                <w:position w:val="15"/>
                <w:sz w:val="20"/>
                <w:szCs w:val="20"/>
              </w:rPr>
              <w:t>将评标办法原文第</w:t>
            </w:r>
            <w:r>
              <w:rPr>
                <w:spacing w:val="-30"/>
                <w:position w:val="15"/>
                <w:sz w:val="20"/>
                <w:szCs w:val="20"/>
              </w:rPr>
              <w:t xml:space="preserve"> </w:t>
            </w:r>
            <w:r>
              <w:rPr>
                <w:spacing w:val="5"/>
                <w:position w:val="15"/>
                <w:sz w:val="20"/>
                <w:szCs w:val="20"/>
              </w:rPr>
              <w:t>3.4.1</w:t>
            </w:r>
            <w:r>
              <w:rPr>
                <w:spacing w:val="-35"/>
                <w:position w:val="15"/>
                <w:sz w:val="20"/>
                <w:szCs w:val="20"/>
              </w:rPr>
              <w:t xml:space="preserve"> </w:t>
            </w:r>
            <w:r>
              <w:rPr>
                <w:spacing w:val="5"/>
                <w:position w:val="15"/>
                <w:sz w:val="20"/>
                <w:szCs w:val="20"/>
              </w:rPr>
              <w:t>项修改为：评标委员会按本章第</w:t>
            </w:r>
            <w:r>
              <w:rPr>
                <w:spacing w:val="-36"/>
                <w:position w:val="15"/>
                <w:sz w:val="20"/>
                <w:szCs w:val="20"/>
              </w:rPr>
              <w:t xml:space="preserve"> </w:t>
            </w:r>
            <w:r>
              <w:rPr>
                <w:spacing w:val="5"/>
                <w:position w:val="15"/>
                <w:sz w:val="20"/>
                <w:szCs w:val="20"/>
              </w:rPr>
              <w:t>2.2</w:t>
            </w:r>
            <w:r>
              <w:rPr>
                <w:spacing w:val="-40"/>
                <w:position w:val="15"/>
                <w:sz w:val="20"/>
                <w:szCs w:val="20"/>
              </w:rPr>
              <w:t xml:space="preserve"> </w:t>
            </w:r>
            <w:r>
              <w:rPr>
                <w:spacing w:val="5"/>
                <w:position w:val="15"/>
                <w:sz w:val="20"/>
                <w:szCs w:val="20"/>
              </w:rPr>
              <w:t>款规定的量化因素和分值</w:t>
            </w:r>
          </w:p>
          <w:p>
            <w:pPr>
              <w:pStyle w:val="17"/>
              <w:spacing w:line="226" w:lineRule="auto"/>
              <w:ind w:left="128"/>
              <w:rPr>
                <w:sz w:val="20"/>
                <w:szCs w:val="20"/>
              </w:rPr>
            </w:pPr>
            <w:r>
              <w:rPr>
                <w:spacing w:val="8"/>
                <w:sz w:val="20"/>
                <w:szCs w:val="20"/>
              </w:rPr>
              <w:t>进行打分，并计算出综合评估得分。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997" w:type="dxa"/>
            <w:vAlign w:val="top"/>
          </w:tcPr>
          <w:p>
            <w:pPr>
              <w:spacing w:line="245" w:lineRule="auto"/>
              <w:rPr>
                <w:rFonts w:ascii="Arial"/>
                <w:sz w:val="21"/>
              </w:rPr>
            </w:pPr>
          </w:p>
          <w:p>
            <w:pPr>
              <w:pStyle w:val="17"/>
              <w:spacing w:before="65" w:line="189" w:lineRule="auto"/>
              <w:ind w:left="137"/>
              <w:rPr>
                <w:sz w:val="20"/>
                <w:szCs w:val="20"/>
              </w:rPr>
            </w:pPr>
            <w:r>
              <w:rPr>
                <w:spacing w:val="2"/>
                <w:sz w:val="20"/>
                <w:szCs w:val="20"/>
              </w:rPr>
              <w:t>3.4.2</w:t>
            </w:r>
          </w:p>
        </w:tc>
        <w:tc>
          <w:tcPr>
            <w:tcW w:w="8125" w:type="dxa"/>
            <w:vAlign w:val="top"/>
          </w:tcPr>
          <w:p>
            <w:pPr>
              <w:pStyle w:val="17"/>
              <w:spacing w:before="74" w:line="228" w:lineRule="auto"/>
              <w:ind w:left="128"/>
              <w:rPr>
                <w:sz w:val="20"/>
                <w:szCs w:val="20"/>
              </w:rPr>
            </w:pPr>
            <w:r>
              <w:rPr>
                <w:spacing w:val="6"/>
                <w:sz w:val="20"/>
                <w:szCs w:val="20"/>
              </w:rPr>
              <w:t>将评标办法原文第</w:t>
            </w:r>
            <w:r>
              <w:rPr>
                <w:spacing w:val="-30"/>
                <w:sz w:val="20"/>
                <w:szCs w:val="20"/>
              </w:rPr>
              <w:t xml:space="preserve"> </w:t>
            </w:r>
            <w:r>
              <w:rPr>
                <w:spacing w:val="6"/>
                <w:sz w:val="20"/>
                <w:szCs w:val="20"/>
              </w:rPr>
              <w:t>3.4.2</w:t>
            </w:r>
            <w:r>
              <w:rPr>
                <w:spacing w:val="-34"/>
                <w:sz w:val="20"/>
                <w:szCs w:val="20"/>
              </w:rPr>
              <w:t xml:space="preserve"> </w:t>
            </w:r>
            <w:r>
              <w:rPr>
                <w:spacing w:val="6"/>
                <w:sz w:val="20"/>
                <w:szCs w:val="20"/>
              </w:rPr>
              <w:t>项修改如下：</w:t>
            </w:r>
          </w:p>
          <w:p>
            <w:pPr>
              <w:pStyle w:val="17"/>
              <w:spacing w:before="161" w:line="228" w:lineRule="auto"/>
              <w:ind w:left="132"/>
              <w:rPr>
                <w:sz w:val="20"/>
                <w:szCs w:val="20"/>
              </w:rPr>
            </w:pPr>
            <w:r>
              <w:rPr>
                <w:spacing w:val="8"/>
                <w:sz w:val="20"/>
                <w:szCs w:val="20"/>
              </w:rPr>
              <w:t>投标人得分分值计算保留小数点后四位，小数点后第五位“</w:t>
            </w:r>
            <w:r>
              <w:rPr>
                <w:spacing w:val="-61"/>
                <w:sz w:val="20"/>
                <w:szCs w:val="20"/>
              </w:rPr>
              <w:t xml:space="preserve"> </w:t>
            </w:r>
            <w:r>
              <w:rPr>
                <w:spacing w:val="8"/>
                <w:sz w:val="20"/>
                <w:szCs w:val="20"/>
              </w:rPr>
              <w:t>四舍五入</w:t>
            </w:r>
            <w:r>
              <w:rPr>
                <w:spacing w:val="-70"/>
                <w:sz w:val="20"/>
                <w:szCs w:val="20"/>
              </w:rPr>
              <w:t xml:space="preserve"> </w:t>
            </w:r>
            <w:r>
              <w:rPr>
                <w:spacing w:val="8"/>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6" w:hRule="atLeast"/>
        </w:trPr>
        <w:tc>
          <w:tcPr>
            <w:tcW w:w="997"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17"/>
              <w:spacing w:before="65" w:line="189" w:lineRule="auto"/>
              <w:ind w:left="351"/>
              <w:rPr>
                <w:sz w:val="20"/>
                <w:szCs w:val="20"/>
              </w:rPr>
            </w:pPr>
            <w:r>
              <w:rPr>
                <w:spacing w:val="1"/>
                <w:sz w:val="20"/>
                <w:szCs w:val="20"/>
              </w:rPr>
              <w:t>3.5</w:t>
            </w:r>
          </w:p>
        </w:tc>
        <w:tc>
          <w:tcPr>
            <w:tcW w:w="8125" w:type="dxa"/>
            <w:vAlign w:val="top"/>
          </w:tcPr>
          <w:p>
            <w:pPr>
              <w:pStyle w:val="17"/>
              <w:spacing w:before="111" w:line="228" w:lineRule="auto"/>
              <w:ind w:left="134"/>
              <w:rPr>
                <w:sz w:val="20"/>
                <w:szCs w:val="20"/>
              </w:rPr>
            </w:pPr>
            <w:r>
              <w:rPr>
                <w:spacing w:val="3"/>
                <w:sz w:val="20"/>
                <w:szCs w:val="20"/>
              </w:rPr>
              <w:t>3.5.2</w:t>
            </w:r>
            <w:r>
              <w:rPr>
                <w:spacing w:val="-35"/>
                <w:sz w:val="20"/>
                <w:szCs w:val="20"/>
              </w:rPr>
              <w:t xml:space="preserve"> </w:t>
            </w:r>
            <w:r>
              <w:rPr>
                <w:spacing w:val="3"/>
                <w:sz w:val="20"/>
                <w:szCs w:val="20"/>
              </w:rPr>
              <w:t>项（2）</w:t>
            </w:r>
            <w:r>
              <w:rPr>
                <w:spacing w:val="-42"/>
                <w:sz w:val="20"/>
                <w:szCs w:val="20"/>
              </w:rPr>
              <w:t xml:space="preserve"> </w:t>
            </w:r>
            <w:r>
              <w:rPr>
                <w:spacing w:val="3"/>
                <w:sz w:val="20"/>
                <w:szCs w:val="20"/>
              </w:rPr>
              <w:t>目末增加以下条款：</w:t>
            </w:r>
          </w:p>
          <w:p>
            <w:pPr>
              <w:pStyle w:val="17"/>
              <w:spacing w:before="161" w:line="410" w:lineRule="exact"/>
              <w:ind w:left="553"/>
              <w:rPr>
                <w:sz w:val="20"/>
                <w:szCs w:val="20"/>
              </w:rPr>
            </w:pPr>
            <w:r>
              <w:rPr>
                <w:spacing w:val="6"/>
                <w:position w:val="15"/>
                <w:sz w:val="20"/>
                <w:szCs w:val="20"/>
              </w:rPr>
              <w:t>g.当一家以上投标人评标价相同时，若各投标人工程量清单细目单价也相同，视为</w:t>
            </w:r>
          </w:p>
          <w:p>
            <w:pPr>
              <w:pStyle w:val="17"/>
              <w:spacing w:line="226" w:lineRule="auto"/>
              <w:ind w:left="148"/>
              <w:rPr>
                <w:sz w:val="20"/>
                <w:szCs w:val="20"/>
              </w:rPr>
            </w:pPr>
            <w:r>
              <w:rPr>
                <w:spacing w:val="5"/>
                <w:sz w:val="20"/>
                <w:szCs w:val="20"/>
              </w:rPr>
              <w:t>串标（</w:t>
            </w:r>
            <w:r>
              <w:rPr>
                <w:spacing w:val="-51"/>
                <w:sz w:val="20"/>
                <w:szCs w:val="20"/>
              </w:rPr>
              <w:t xml:space="preserve"> </w:t>
            </w:r>
            <w:r>
              <w:rPr>
                <w:spacing w:val="5"/>
                <w:sz w:val="20"/>
                <w:szCs w:val="20"/>
              </w:rPr>
              <w:t>一个标段仅一工作细目报价的除外）。</w:t>
            </w:r>
          </w:p>
          <w:p>
            <w:pPr>
              <w:pStyle w:val="17"/>
              <w:spacing w:before="167" w:line="461" w:lineRule="exact"/>
              <w:ind w:left="368"/>
              <w:rPr>
                <w:sz w:val="20"/>
                <w:szCs w:val="20"/>
              </w:rPr>
            </w:pPr>
            <w:r>
              <w:rPr>
                <w:spacing w:val="9"/>
                <w:position w:val="17"/>
              </w:rPr>
              <w:t>h</w:t>
            </w:r>
            <w:r>
              <w:rPr>
                <w:spacing w:val="9"/>
                <w:position w:val="17"/>
                <w:sz w:val="20"/>
                <w:szCs w:val="20"/>
              </w:rPr>
              <w:t>.广东省实施《中华人民共和国招标投标法》办法第十六条规定</w:t>
            </w:r>
            <w:r>
              <w:rPr>
                <w:spacing w:val="8"/>
                <w:position w:val="17"/>
                <w:sz w:val="20"/>
                <w:szCs w:val="20"/>
              </w:rPr>
              <w:t>的情形。</w:t>
            </w:r>
          </w:p>
          <w:p>
            <w:pPr>
              <w:pStyle w:val="17"/>
              <w:spacing w:line="228" w:lineRule="auto"/>
              <w:ind w:left="130"/>
              <w:rPr>
                <w:sz w:val="20"/>
                <w:szCs w:val="20"/>
              </w:rPr>
            </w:pPr>
            <w:r>
              <w:rPr>
                <w:spacing w:val="2"/>
                <w:sz w:val="20"/>
                <w:szCs w:val="20"/>
              </w:rPr>
              <w:t>增加</w:t>
            </w:r>
            <w:r>
              <w:rPr>
                <w:spacing w:val="-36"/>
                <w:sz w:val="20"/>
                <w:szCs w:val="20"/>
              </w:rPr>
              <w:t xml:space="preserve"> </w:t>
            </w:r>
            <w:r>
              <w:rPr>
                <w:spacing w:val="2"/>
                <w:sz w:val="20"/>
                <w:szCs w:val="20"/>
              </w:rPr>
              <w:t>3.5.3</w:t>
            </w:r>
            <w:r>
              <w:rPr>
                <w:spacing w:val="-35"/>
                <w:sz w:val="20"/>
                <w:szCs w:val="20"/>
              </w:rPr>
              <w:t xml:space="preserve"> </w:t>
            </w:r>
            <w:r>
              <w:rPr>
                <w:spacing w:val="2"/>
                <w:sz w:val="20"/>
                <w:szCs w:val="20"/>
              </w:rPr>
              <w:t>项：</w:t>
            </w:r>
          </w:p>
          <w:p>
            <w:pPr>
              <w:pStyle w:val="17"/>
              <w:spacing w:before="161" w:line="377" w:lineRule="auto"/>
              <w:ind w:left="129" w:right="126" w:firstLine="224"/>
              <w:jc w:val="both"/>
              <w:rPr>
                <w:sz w:val="20"/>
                <w:szCs w:val="20"/>
              </w:rPr>
            </w:pPr>
            <w:r>
              <w:rPr>
                <w:spacing w:val="7"/>
                <w:sz w:val="20"/>
                <w:szCs w:val="20"/>
              </w:rPr>
              <w:t>3.5.3</w:t>
            </w:r>
            <w:r>
              <w:rPr>
                <w:spacing w:val="-35"/>
                <w:sz w:val="20"/>
                <w:szCs w:val="20"/>
              </w:rPr>
              <w:t xml:space="preserve"> </w:t>
            </w:r>
            <w:r>
              <w:rPr>
                <w:spacing w:val="7"/>
                <w:sz w:val="20"/>
                <w:szCs w:val="20"/>
              </w:rPr>
              <w:t>依法必须进行招标的项目，除第一中标候选人或者中标人，其他投标人存在串</w:t>
            </w:r>
            <w:r>
              <w:rPr>
                <w:sz w:val="20"/>
                <w:szCs w:val="20"/>
              </w:rPr>
              <w:t xml:space="preserve"> </w:t>
            </w:r>
            <w:r>
              <w:rPr>
                <w:spacing w:val="7"/>
                <w:sz w:val="20"/>
                <w:szCs w:val="20"/>
              </w:rPr>
              <w:t>通投标、弄虚作假、行贿情形且在评标过程中未被发现的，视为对中标结果没</w:t>
            </w:r>
            <w:r>
              <w:rPr>
                <w:spacing w:val="6"/>
                <w:sz w:val="20"/>
                <w:szCs w:val="20"/>
              </w:rPr>
              <w:t>有造成实</w:t>
            </w:r>
            <w:r>
              <w:rPr>
                <w:sz w:val="20"/>
                <w:szCs w:val="20"/>
              </w:rPr>
              <w:t xml:space="preserve"> </w:t>
            </w:r>
            <w:r>
              <w:rPr>
                <w:spacing w:val="7"/>
                <w:sz w:val="20"/>
                <w:szCs w:val="20"/>
              </w:rPr>
              <w:t>质性影响，招标人可以依法继续开展招标活动。投标人的违法行为由行政监督</w:t>
            </w:r>
            <w:r>
              <w:rPr>
                <w:spacing w:val="6"/>
                <w:sz w:val="20"/>
                <w:szCs w:val="20"/>
              </w:rPr>
              <w:t>部门依法</w:t>
            </w:r>
          </w:p>
          <w:p>
            <w:pPr>
              <w:pStyle w:val="17"/>
              <w:spacing w:before="1" w:line="231" w:lineRule="auto"/>
              <w:ind w:left="134"/>
              <w:rPr>
                <w:sz w:val="20"/>
                <w:szCs w:val="20"/>
              </w:rPr>
            </w:pPr>
            <w:r>
              <w:rPr>
                <w:spacing w:val="1"/>
                <w:sz w:val="20"/>
                <w:szCs w:val="20"/>
              </w:rPr>
              <w:t>处理。</w:t>
            </w:r>
          </w:p>
        </w:tc>
      </w:tr>
    </w:tbl>
    <w:p>
      <w:pPr>
        <w:rPr>
          <w:rFonts w:ascii="Arial"/>
          <w:sz w:val="21"/>
        </w:rPr>
      </w:pPr>
    </w:p>
    <w:p>
      <w:pPr>
        <w:spacing w:before="228"/>
      </w:pPr>
    </w:p>
    <w:tbl>
      <w:tblPr>
        <w:tblStyle w:val="16"/>
        <w:tblW w:w="91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81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8" w:hRule="atLeast"/>
        </w:trPr>
        <w:tc>
          <w:tcPr>
            <w:tcW w:w="997"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17"/>
              <w:spacing w:before="65" w:line="189" w:lineRule="auto"/>
              <w:ind w:left="351"/>
              <w:rPr>
                <w:sz w:val="20"/>
                <w:szCs w:val="20"/>
              </w:rPr>
            </w:pPr>
            <w:r>
              <w:rPr>
                <w:spacing w:val="1"/>
                <w:sz w:val="20"/>
                <w:szCs w:val="20"/>
              </w:rPr>
              <w:t>3.8</w:t>
            </w:r>
          </w:p>
        </w:tc>
        <w:tc>
          <w:tcPr>
            <w:tcW w:w="8125" w:type="dxa"/>
            <w:vAlign w:val="top"/>
          </w:tcPr>
          <w:p>
            <w:pPr>
              <w:spacing w:line="451" w:lineRule="auto"/>
              <w:rPr>
                <w:rFonts w:ascii="Arial"/>
                <w:sz w:val="21"/>
              </w:rPr>
            </w:pPr>
          </w:p>
          <w:p>
            <w:pPr>
              <w:pStyle w:val="17"/>
              <w:spacing w:before="65" w:line="228" w:lineRule="auto"/>
              <w:ind w:left="130"/>
              <w:rPr>
                <w:sz w:val="20"/>
                <w:szCs w:val="20"/>
              </w:rPr>
            </w:pPr>
            <w:r>
              <w:rPr>
                <w:spacing w:val="3"/>
                <w:sz w:val="20"/>
                <w:szCs w:val="20"/>
              </w:rPr>
              <w:t>增加</w:t>
            </w:r>
            <w:r>
              <w:rPr>
                <w:spacing w:val="-32"/>
                <w:sz w:val="20"/>
                <w:szCs w:val="20"/>
              </w:rPr>
              <w:t xml:space="preserve"> </w:t>
            </w:r>
            <w:r>
              <w:rPr>
                <w:spacing w:val="3"/>
                <w:sz w:val="20"/>
                <w:szCs w:val="20"/>
              </w:rPr>
              <w:t>3.8.3-3.8.7</w:t>
            </w:r>
            <w:r>
              <w:rPr>
                <w:spacing w:val="-34"/>
                <w:sz w:val="20"/>
                <w:szCs w:val="20"/>
              </w:rPr>
              <w:t xml:space="preserve"> </w:t>
            </w:r>
            <w:r>
              <w:rPr>
                <w:spacing w:val="3"/>
                <w:sz w:val="20"/>
                <w:szCs w:val="20"/>
              </w:rPr>
              <w:t>项：</w:t>
            </w:r>
          </w:p>
          <w:p>
            <w:pPr>
              <w:pStyle w:val="17"/>
              <w:spacing w:before="162" w:line="371" w:lineRule="auto"/>
              <w:ind w:left="130" w:right="71" w:firstLine="435"/>
              <w:jc w:val="both"/>
              <w:rPr>
                <w:sz w:val="20"/>
                <w:szCs w:val="20"/>
              </w:rPr>
            </w:pPr>
            <w:r>
              <w:rPr>
                <w:spacing w:val="7"/>
                <w:sz w:val="20"/>
                <w:szCs w:val="20"/>
              </w:rPr>
              <w:t>3.8.3</w:t>
            </w:r>
            <w:r>
              <w:rPr>
                <w:spacing w:val="-39"/>
                <w:sz w:val="20"/>
                <w:szCs w:val="20"/>
              </w:rPr>
              <w:t xml:space="preserve"> </w:t>
            </w:r>
            <w:r>
              <w:rPr>
                <w:spacing w:val="7"/>
                <w:sz w:val="20"/>
                <w:szCs w:val="20"/>
              </w:rPr>
              <w:t>推荐中标候选人方式</w:t>
            </w:r>
            <w:r>
              <w:rPr>
                <w:spacing w:val="-6"/>
                <w:sz w:val="20"/>
                <w:szCs w:val="20"/>
              </w:rPr>
              <w:t>：（</w:t>
            </w:r>
            <w:r>
              <w:rPr>
                <w:spacing w:val="7"/>
                <w:sz w:val="20"/>
                <w:szCs w:val="20"/>
              </w:rPr>
              <w:t>1）</w:t>
            </w:r>
            <w:r>
              <w:rPr>
                <w:spacing w:val="-59"/>
                <w:sz w:val="20"/>
                <w:szCs w:val="20"/>
              </w:rPr>
              <w:t xml:space="preserve"> </w:t>
            </w:r>
            <w:r>
              <w:rPr>
                <w:spacing w:val="7"/>
                <w:sz w:val="20"/>
                <w:szCs w:val="20"/>
              </w:rPr>
              <w:t>已被推荐为某一标段的第一中标候选人</w:t>
            </w:r>
            <w:r>
              <w:rPr>
                <w:spacing w:val="6"/>
                <w:sz w:val="20"/>
                <w:szCs w:val="20"/>
              </w:rPr>
              <w:t>，</w:t>
            </w:r>
            <w:r>
              <w:rPr>
                <w:spacing w:val="-51"/>
                <w:sz w:val="20"/>
                <w:szCs w:val="20"/>
              </w:rPr>
              <w:t xml:space="preserve"> </w:t>
            </w:r>
            <w:r>
              <w:rPr>
                <w:spacing w:val="6"/>
                <w:sz w:val="20"/>
                <w:szCs w:val="20"/>
              </w:rPr>
              <w:t>自动</w:t>
            </w:r>
            <w:r>
              <w:rPr>
                <w:sz w:val="20"/>
                <w:szCs w:val="20"/>
              </w:rPr>
              <w:t xml:space="preserve">  </w:t>
            </w:r>
            <w:r>
              <w:rPr>
                <w:spacing w:val="10"/>
                <w:sz w:val="20"/>
                <w:szCs w:val="20"/>
              </w:rPr>
              <w:t>失去其在本次招标中其他标段的中标候选人资</w:t>
            </w:r>
            <w:r>
              <w:rPr>
                <w:spacing w:val="9"/>
                <w:sz w:val="20"/>
                <w:szCs w:val="20"/>
              </w:rPr>
              <w:t>格。（2）按标段最高投标限价由高到低</w:t>
            </w:r>
            <w:r>
              <w:rPr>
                <w:sz w:val="20"/>
                <w:szCs w:val="20"/>
              </w:rPr>
              <w:t xml:space="preserve"> </w:t>
            </w:r>
            <w:r>
              <w:rPr>
                <w:spacing w:val="7"/>
                <w:sz w:val="20"/>
                <w:szCs w:val="20"/>
              </w:rPr>
              <w:t>顺序依次选定各标段中标候选人，如果出现投标人在多个标段都排名第一，将</w:t>
            </w:r>
            <w:r>
              <w:rPr>
                <w:spacing w:val="6"/>
                <w:sz w:val="20"/>
                <w:szCs w:val="20"/>
              </w:rPr>
              <w:t>确定该投</w:t>
            </w:r>
            <w:r>
              <w:rPr>
                <w:sz w:val="20"/>
                <w:szCs w:val="20"/>
              </w:rPr>
              <w:t xml:space="preserve"> </w:t>
            </w:r>
            <w:r>
              <w:rPr>
                <w:spacing w:val="7"/>
                <w:sz w:val="20"/>
                <w:szCs w:val="20"/>
              </w:rPr>
              <w:t>标人为最高投标限价较高的标段的第一中标候选人，同时该投标人自动失去在</w:t>
            </w:r>
            <w:r>
              <w:rPr>
                <w:spacing w:val="6"/>
                <w:sz w:val="20"/>
                <w:szCs w:val="20"/>
              </w:rPr>
              <w:t>本次招标</w:t>
            </w:r>
            <w:r>
              <w:rPr>
                <w:sz w:val="20"/>
                <w:szCs w:val="20"/>
              </w:rPr>
              <w:t xml:space="preserve"> </w:t>
            </w:r>
            <w:r>
              <w:rPr>
                <w:spacing w:val="8"/>
                <w:sz w:val="20"/>
                <w:szCs w:val="20"/>
              </w:rPr>
              <w:t>中其他标段的中标候选人资格，其他标段的综合排名名次高者自动上升为中标候选人，</w:t>
            </w:r>
          </w:p>
          <w:p>
            <w:pPr>
              <w:pStyle w:val="17"/>
              <w:spacing w:line="408" w:lineRule="exact"/>
              <w:ind w:left="153"/>
              <w:rPr>
                <w:sz w:val="10"/>
                <w:szCs w:val="10"/>
              </w:rPr>
            </w:pPr>
            <w:r>
              <w:rPr>
                <w:spacing w:val="3"/>
                <w:position w:val="5"/>
                <w:sz w:val="20"/>
                <w:szCs w:val="20"/>
              </w:rPr>
              <w:t>以此类推。</w:t>
            </w:r>
            <w:r>
              <w:fldChar w:fldCharType="begin"/>
            </w:r>
            <w:r>
              <w:instrText xml:space="preserve"> HYPERLINK \l "bookmark99" </w:instrText>
            </w:r>
            <w:r>
              <w:fldChar w:fldCharType="separate"/>
            </w:r>
            <w:r>
              <w:rPr>
                <w:spacing w:val="3"/>
                <w:position w:val="14"/>
                <w:sz w:val="10"/>
                <w:szCs w:val="10"/>
              </w:rPr>
              <w:t>①</w:t>
            </w:r>
            <w:r>
              <w:rPr>
                <w:spacing w:val="3"/>
                <w:position w:val="14"/>
                <w:sz w:val="10"/>
                <w:szCs w:val="10"/>
              </w:rPr>
              <w:fldChar w:fldCharType="end"/>
            </w:r>
          </w:p>
          <w:p>
            <w:pPr>
              <w:pStyle w:val="17"/>
              <w:spacing w:before="31" w:line="377" w:lineRule="auto"/>
              <w:ind w:left="129" w:right="126" w:firstLine="437"/>
              <w:jc w:val="both"/>
              <w:rPr>
                <w:sz w:val="20"/>
                <w:szCs w:val="20"/>
              </w:rPr>
            </w:pPr>
            <w:r>
              <w:rPr>
                <w:spacing w:val="6"/>
                <w:sz w:val="20"/>
                <w:szCs w:val="20"/>
              </w:rPr>
              <w:t>3.8.4</w:t>
            </w:r>
            <w:r>
              <w:rPr>
                <w:spacing w:val="-31"/>
                <w:sz w:val="20"/>
                <w:szCs w:val="20"/>
              </w:rPr>
              <w:t xml:space="preserve"> </w:t>
            </w:r>
            <w:r>
              <w:rPr>
                <w:spacing w:val="6"/>
                <w:sz w:val="20"/>
                <w:szCs w:val="20"/>
              </w:rPr>
              <w:t>通过第一个信封商务及技术文件评审的投标人少于</w:t>
            </w:r>
            <w:r>
              <w:rPr>
                <w:spacing w:val="-33"/>
                <w:sz w:val="20"/>
                <w:szCs w:val="20"/>
              </w:rPr>
              <w:t xml:space="preserve"> </w:t>
            </w:r>
            <w:r>
              <w:rPr>
                <w:spacing w:val="6"/>
                <w:sz w:val="20"/>
                <w:szCs w:val="20"/>
              </w:rPr>
              <w:t>3</w:t>
            </w:r>
            <w:r>
              <w:rPr>
                <w:spacing w:val="-38"/>
                <w:sz w:val="20"/>
                <w:szCs w:val="20"/>
              </w:rPr>
              <w:t xml:space="preserve"> </w:t>
            </w:r>
            <w:r>
              <w:rPr>
                <w:spacing w:val="6"/>
                <w:sz w:val="20"/>
                <w:szCs w:val="20"/>
              </w:rPr>
              <w:t>个的，评标委员会可以</w:t>
            </w:r>
            <w:r>
              <w:rPr>
                <w:sz w:val="20"/>
                <w:szCs w:val="20"/>
              </w:rPr>
              <w:t xml:space="preserve"> </w:t>
            </w:r>
            <w:r>
              <w:rPr>
                <w:spacing w:val="7"/>
                <w:sz w:val="20"/>
                <w:szCs w:val="20"/>
              </w:rPr>
              <w:t>否决全部投标；未否决全部投标的，评标委员会应当在评标报告中阐明理由，招</w:t>
            </w:r>
            <w:r>
              <w:rPr>
                <w:spacing w:val="6"/>
                <w:sz w:val="20"/>
                <w:szCs w:val="20"/>
              </w:rPr>
              <w:t>标人应</w:t>
            </w:r>
            <w:r>
              <w:rPr>
                <w:sz w:val="20"/>
                <w:szCs w:val="20"/>
              </w:rPr>
              <w:t xml:space="preserve"> </w:t>
            </w:r>
            <w:r>
              <w:rPr>
                <w:spacing w:val="7"/>
                <w:sz w:val="20"/>
                <w:szCs w:val="20"/>
              </w:rPr>
              <w:t>当按照招标文件规定的程序进行第二个信封报价文件开标，但评标委员会在进行</w:t>
            </w:r>
            <w:r>
              <w:rPr>
                <w:spacing w:val="6"/>
                <w:sz w:val="20"/>
                <w:szCs w:val="20"/>
              </w:rPr>
              <w:t>报价文</w:t>
            </w:r>
            <w:r>
              <w:rPr>
                <w:sz w:val="20"/>
                <w:szCs w:val="20"/>
              </w:rPr>
              <w:t xml:space="preserve"> </w:t>
            </w:r>
            <w:r>
              <w:rPr>
                <w:spacing w:val="7"/>
                <w:sz w:val="20"/>
                <w:szCs w:val="20"/>
              </w:rPr>
              <w:t>件评审时仍有权否决全部投标；评标委员会未在报价文件评审时否决全部投标的</w:t>
            </w:r>
            <w:r>
              <w:rPr>
                <w:spacing w:val="6"/>
                <w:sz w:val="20"/>
                <w:szCs w:val="20"/>
              </w:rPr>
              <w:t>，应当</w:t>
            </w:r>
          </w:p>
          <w:p>
            <w:pPr>
              <w:pStyle w:val="17"/>
              <w:spacing w:line="226" w:lineRule="auto"/>
              <w:ind w:left="129"/>
              <w:rPr>
                <w:sz w:val="20"/>
                <w:szCs w:val="20"/>
              </w:rPr>
            </w:pPr>
            <w:r>
              <w:rPr>
                <w:spacing w:val="8"/>
                <w:sz w:val="20"/>
                <w:szCs w:val="20"/>
              </w:rPr>
              <w:t>在评标报告中阐明理由并推荐中标候选人。</w:t>
            </w:r>
          </w:p>
          <w:p>
            <w:pPr>
              <w:pStyle w:val="17"/>
              <w:spacing w:before="164" w:line="377" w:lineRule="auto"/>
              <w:ind w:left="131" w:right="126" w:firstLine="424"/>
              <w:jc w:val="both"/>
              <w:rPr>
                <w:sz w:val="20"/>
                <w:szCs w:val="20"/>
              </w:rPr>
            </w:pPr>
            <w:r>
              <w:rPr>
                <w:spacing w:val="7"/>
                <w:sz w:val="20"/>
                <w:szCs w:val="20"/>
              </w:rPr>
              <w:t>3.8.5</w:t>
            </w:r>
            <w:r>
              <w:rPr>
                <w:spacing w:val="-38"/>
                <w:sz w:val="20"/>
                <w:szCs w:val="20"/>
              </w:rPr>
              <w:t xml:space="preserve"> </w:t>
            </w:r>
            <w:r>
              <w:rPr>
                <w:spacing w:val="7"/>
                <w:sz w:val="20"/>
                <w:szCs w:val="20"/>
              </w:rPr>
              <w:t>通过第一个信封商务及技术文件</w:t>
            </w:r>
            <w:r>
              <w:rPr>
                <w:spacing w:val="6"/>
                <w:sz w:val="20"/>
                <w:szCs w:val="20"/>
              </w:rPr>
              <w:t>评审的投标人在</w:t>
            </w:r>
            <w:r>
              <w:rPr>
                <w:spacing w:val="-35"/>
                <w:sz w:val="20"/>
                <w:szCs w:val="20"/>
              </w:rPr>
              <w:t xml:space="preserve"> </w:t>
            </w:r>
            <w:r>
              <w:rPr>
                <w:spacing w:val="6"/>
                <w:sz w:val="20"/>
                <w:szCs w:val="20"/>
              </w:rPr>
              <w:t>3</w:t>
            </w:r>
            <w:r>
              <w:rPr>
                <w:spacing w:val="-38"/>
                <w:sz w:val="20"/>
                <w:szCs w:val="20"/>
              </w:rPr>
              <w:t xml:space="preserve"> </w:t>
            </w:r>
            <w:r>
              <w:rPr>
                <w:spacing w:val="6"/>
                <w:sz w:val="20"/>
                <w:szCs w:val="20"/>
              </w:rPr>
              <w:t>个及以上的，招标人应当</w:t>
            </w:r>
            <w:r>
              <w:rPr>
                <w:sz w:val="20"/>
                <w:szCs w:val="20"/>
              </w:rPr>
              <w:t xml:space="preserve"> </w:t>
            </w:r>
            <w:r>
              <w:rPr>
                <w:spacing w:val="7"/>
                <w:sz w:val="20"/>
                <w:szCs w:val="20"/>
              </w:rPr>
              <w:t>按照招标文件规定的程序进行第二个信封报价文件开标；在对报价文件进行</w:t>
            </w:r>
            <w:r>
              <w:rPr>
                <w:spacing w:val="6"/>
                <w:sz w:val="20"/>
                <w:szCs w:val="20"/>
              </w:rPr>
              <w:t>评审后，有</w:t>
            </w:r>
            <w:r>
              <w:rPr>
                <w:sz w:val="20"/>
                <w:szCs w:val="20"/>
              </w:rPr>
              <w:t xml:space="preserve"> </w:t>
            </w:r>
            <w:r>
              <w:rPr>
                <w:spacing w:val="6"/>
                <w:sz w:val="20"/>
                <w:szCs w:val="20"/>
              </w:rPr>
              <w:t>效投标不足</w:t>
            </w:r>
            <w:r>
              <w:rPr>
                <w:spacing w:val="-29"/>
                <w:sz w:val="20"/>
                <w:szCs w:val="20"/>
              </w:rPr>
              <w:t xml:space="preserve"> </w:t>
            </w:r>
            <w:r>
              <w:rPr>
                <w:spacing w:val="6"/>
                <w:sz w:val="20"/>
                <w:szCs w:val="20"/>
              </w:rPr>
              <w:t>3</w:t>
            </w:r>
            <w:r>
              <w:rPr>
                <w:spacing w:val="-38"/>
                <w:sz w:val="20"/>
                <w:szCs w:val="20"/>
              </w:rPr>
              <w:t xml:space="preserve"> </w:t>
            </w:r>
            <w:r>
              <w:rPr>
                <w:spacing w:val="6"/>
                <w:sz w:val="20"/>
                <w:szCs w:val="20"/>
              </w:rPr>
              <w:t>个的，评标委员会可以否决全部投标。未否决全部投标的，评标委员会应</w:t>
            </w:r>
          </w:p>
          <w:p>
            <w:pPr>
              <w:pStyle w:val="17"/>
              <w:spacing w:line="226" w:lineRule="auto"/>
              <w:ind w:left="143"/>
              <w:rPr>
                <w:sz w:val="20"/>
                <w:szCs w:val="20"/>
              </w:rPr>
            </w:pPr>
            <w:r>
              <w:rPr>
                <w:spacing w:val="8"/>
                <w:sz w:val="20"/>
                <w:szCs w:val="20"/>
              </w:rPr>
              <w:t>当在评标报告中阐明理由并推荐中标候选人。</w:t>
            </w:r>
          </w:p>
          <w:p>
            <w:pPr>
              <w:pStyle w:val="17"/>
              <w:spacing w:before="162" w:line="408" w:lineRule="exact"/>
              <w:ind w:left="554"/>
              <w:rPr>
                <w:sz w:val="20"/>
                <w:szCs w:val="20"/>
              </w:rPr>
            </w:pPr>
            <w:r>
              <w:rPr>
                <w:spacing w:val="7"/>
                <w:position w:val="15"/>
                <w:sz w:val="20"/>
                <w:szCs w:val="20"/>
              </w:rPr>
              <w:t>3.8.6</w:t>
            </w:r>
            <w:r>
              <w:rPr>
                <w:spacing w:val="-28"/>
                <w:position w:val="15"/>
                <w:sz w:val="20"/>
                <w:szCs w:val="20"/>
              </w:rPr>
              <w:t xml:space="preserve"> </w:t>
            </w:r>
            <w:r>
              <w:rPr>
                <w:spacing w:val="7"/>
                <w:position w:val="15"/>
                <w:sz w:val="20"/>
                <w:szCs w:val="20"/>
              </w:rPr>
              <w:t>如果发生无法确定推荐中标候选人的其他意外情况，评标委员会可建议招标</w:t>
            </w:r>
          </w:p>
          <w:p>
            <w:pPr>
              <w:pStyle w:val="17"/>
              <w:spacing w:before="1" w:line="228" w:lineRule="auto"/>
              <w:ind w:left="131"/>
              <w:rPr>
                <w:sz w:val="20"/>
                <w:szCs w:val="20"/>
              </w:rPr>
            </w:pPr>
            <w:r>
              <w:rPr>
                <w:spacing w:val="6"/>
                <w:sz w:val="20"/>
                <w:szCs w:val="20"/>
              </w:rPr>
              <w:t>人重新招标。</w:t>
            </w:r>
          </w:p>
          <w:p>
            <w:pPr>
              <w:pStyle w:val="17"/>
              <w:spacing w:before="131" w:line="440" w:lineRule="exact"/>
              <w:ind w:left="554"/>
              <w:rPr>
                <w:sz w:val="10"/>
                <w:szCs w:val="10"/>
              </w:rPr>
            </w:pPr>
            <w:r>
              <w:rPr>
                <w:spacing w:val="9"/>
                <w:position w:val="7"/>
                <w:sz w:val="20"/>
                <w:szCs w:val="20"/>
                <w14:textOutline w14:w="3795" w14:cap="sq" w14:cmpd="sng">
                  <w14:solidFill>
                    <w14:srgbClr w14:val="000000"/>
                  </w14:solidFill>
                  <w14:prstDash w14:val="solid"/>
                  <w14:bevel/>
                </w14:textOutline>
              </w:rPr>
              <w:t>3.8.7</w:t>
            </w:r>
            <w:r>
              <w:rPr>
                <w:spacing w:val="-37"/>
                <w:position w:val="7"/>
                <w:sz w:val="20"/>
                <w:szCs w:val="20"/>
              </w:rPr>
              <w:t xml:space="preserve"> </w:t>
            </w:r>
            <w:r>
              <w:rPr>
                <w:spacing w:val="9"/>
                <w:position w:val="7"/>
                <w:sz w:val="20"/>
                <w:szCs w:val="20"/>
                <w14:textOutline w14:w="3795" w14:cap="sq" w14:cmpd="sng">
                  <w14:solidFill>
                    <w14:srgbClr w14:val="000000"/>
                  </w14:solidFill>
                  <w14:prstDash w14:val="solid"/>
                  <w14:bevel/>
                </w14:textOutline>
              </w:rPr>
              <w:t>本招标文件规定的否决投标条款包含在以</w:t>
            </w:r>
            <w:r>
              <w:rPr>
                <w:spacing w:val="8"/>
                <w:position w:val="7"/>
                <w:sz w:val="20"/>
                <w:szCs w:val="20"/>
                <w14:textOutline w14:w="3795" w14:cap="sq" w14:cmpd="sng">
                  <w14:solidFill>
                    <w14:srgbClr w14:val="000000"/>
                  </w14:solidFill>
                  <w14:prstDash w14:val="solid"/>
                  <w14:bevel/>
                </w14:textOutline>
              </w:rPr>
              <w:t>下条款：</w:t>
            </w:r>
            <w:r>
              <w:fldChar w:fldCharType="begin"/>
            </w:r>
            <w:r>
              <w:instrText xml:space="preserve"> HYPERLINK \l "bookmark100" </w:instrText>
            </w:r>
            <w:r>
              <w:fldChar w:fldCharType="separate"/>
            </w:r>
            <w:r>
              <w:rPr>
                <w:spacing w:val="8"/>
                <w:position w:val="17"/>
                <w:sz w:val="10"/>
                <w:szCs w:val="10"/>
                <w14:textOutline w14:w="1925" w14:cap="sq" w14:cmpd="sng">
                  <w14:solidFill>
                    <w14:srgbClr w14:val="000000"/>
                  </w14:solidFill>
                  <w14:prstDash w14:val="solid"/>
                  <w14:bevel/>
                </w14:textOutline>
              </w:rPr>
              <w:t>②</w:t>
            </w:r>
            <w:r>
              <w:rPr>
                <w:spacing w:val="8"/>
                <w:position w:val="17"/>
                <w:sz w:val="10"/>
                <w:szCs w:val="10"/>
                <w14:textOutline w14:w="1925" w14:cap="sq" w14:cmpd="sng">
                  <w14:solidFill>
                    <w14:srgbClr w14:val="000000"/>
                  </w14:solidFill>
                  <w14:prstDash w14:val="solid"/>
                  <w14:bevel/>
                </w14:textOutline>
              </w:rPr>
              <w:fldChar w:fldCharType="end"/>
            </w:r>
          </w:p>
          <w:p>
            <w:pPr>
              <w:pStyle w:val="17"/>
              <w:spacing w:line="226" w:lineRule="auto"/>
              <w:ind w:left="560"/>
              <w:rPr>
                <w:sz w:val="20"/>
                <w:szCs w:val="20"/>
              </w:rPr>
            </w:pPr>
            <w:r>
              <w:rPr>
                <w:spacing w:val="6"/>
                <w:sz w:val="20"/>
                <w:szCs w:val="20"/>
                <w14:textOutline w14:w="3795" w14:cap="sq" w14:cmpd="sng">
                  <w14:solidFill>
                    <w14:srgbClr w14:val="000000"/>
                  </w14:solidFill>
                  <w14:prstDash w14:val="solid"/>
                  <w14:bevel/>
                </w14:textOutline>
              </w:rPr>
              <w:t>（1）招标公告第</w:t>
            </w:r>
            <w:r>
              <w:rPr>
                <w:spacing w:val="-26"/>
                <w:sz w:val="20"/>
                <w:szCs w:val="20"/>
              </w:rPr>
              <w:t xml:space="preserve"> </w:t>
            </w:r>
            <w:r>
              <w:rPr>
                <w:spacing w:val="6"/>
                <w:sz w:val="20"/>
                <w:szCs w:val="20"/>
                <w14:textOutline w14:w="3795" w14:cap="sq" w14:cmpd="sng">
                  <w14:solidFill>
                    <w14:srgbClr w14:val="000000"/>
                  </w14:solidFill>
                  <w14:prstDash w14:val="solid"/>
                  <w14:bevel/>
                </w14:textOutline>
              </w:rPr>
              <w:t>3</w:t>
            </w:r>
            <w:r>
              <w:rPr>
                <w:spacing w:val="-27"/>
                <w:sz w:val="20"/>
                <w:szCs w:val="20"/>
              </w:rPr>
              <w:t xml:space="preserve"> </w:t>
            </w:r>
            <w:r>
              <w:rPr>
                <w:spacing w:val="6"/>
                <w:sz w:val="20"/>
                <w:szCs w:val="20"/>
                <w14:textOutline w14:w="3795" w14:cap="sq" w14:cmpd="sng">
                  <w14:solidFill>
                    <w14:srgbClr w14:val="000000"/>
                  </w14:solidFill>
                  <w14:prstDash w14:val="solid"/>
                  <w14:bevel/>
                </w14:textOutline>
              </w:rPr>
              <w:t>点</w:t>
            </w:r>
            <w:r>
              <w:rPr>
                <w:spacing w:val="6"/>
                <w:sz w:val="20"/>
                <w:szCs w:val="20"/>
              </w:rPr>
              <w:t xml:space="preserve"> </w:t>
            </w:r>
            <w:r>
              <w:rPr>
                <w:spacing w:val="6"/>
                <w:sz w:val="20"/>
                <w:szCs w:val="20"/>
                <w14:textOutline w14:w="3795" w14:cap="sq" w14:cmpd="sng">
                  <w14:solidFill>
                    <w14:srgbClr w14:val="000000"/>
                  </w14:solidFill>
                  <w14:prstDash w14:val="solid"/>
                  <w14:bevel/>
                </w14:textOutline>
              </w:rPr>
              <w:t>投标人资格要求；</w:t>
            </w:r>
          </w:p>
          <w:p>
            <w:pPr>
              <w:pStyle w:val="17"/>
              <w:spacing w:before="165" w:line="358" w:lineRule="auto"/>
              <w:ind w:left="560"/>
              <w:rPr>
                <w:sz w:val="22"/>
                <w:szCs w:val="22"/>
              </w:rPr>
            </w:pPr>
            <w:r>
              <w:rPr>
                <w:spacing w:val="-6"/>
                <w:sz w:val="20"/>
                <w:szCs w:val="20"/>
                <w14:textOutline w14:w="3795" w14:cap="sq" w14:cmpd="sng">
                  <w14:solidFill>
                    <w14:srgbClr w14:val="000000"/>
                  </w14:solidFill>
                  <w14:prstDash w14:val="solid"/>
                  <w14:bevel/>
                </w14:textOutline>
              </w:rPr>
              <w:t>（2）</w:t>
            </w:r>
            <w:r>
              <w:rPr>
                <w:spacing w:val="-6"/>
                <w:sz w:val="22"/>
                <w:szCs w:val="22"/>
                <w:u w:val="single" w:color="000000"/>
                <w14:textOutline w14:w="4013" w14:cap="sq" w14:cmpd="sng">
                  <w14:solidFill>
                    <w14:srgbClr w14:val="000000"/>
                  </w14:solidFill>
                  <w14:prstDash w14:val="solid"/>
                  <w14:bevel/>
                </w14:textOutline>
              </w:rPr>
              <w:t>投标人须知</w:t>
            </w:r>
            <w:r>
              <w:rPr>
                <w:spacing w:val="-27"/>
                <w:sz w:val="22"/>
                <w:szCs w:val="22"/>
                <w:u w:val="single" w:color="auto"/>
              </w:rPr>
              <w:t xml:space="preserve"> </w:t>
            </w:r>
            <w:r>
              <w:rPr>
                <w:spacing w:val="-6"/>
                <w:sz w:val="22"/>
                <w:szCs w:val="22"/>
                <w:u w:val="single" w:color="000000"/>
                <w14:textOutline w14:w="4013" w14:cap="sq" w14:cmpd="sng">
                  <w14:solidFill>
                    <w14:srgbClr w14:val="000000"/>
                  </w14:solidFill>
                  <w14:prstDash w14:val="solid"/>
                  <w14:bevel/>
                </w14:textOutline>
              </w:rPr>
              <w:t>1.4.3</w:t>
            </w:r>
            <w:r>
              <w:rPr>
                <w:spacing w:val="-45"/>
                <w:sz w:val="22"/>
                <w:szCs w:val="22"/>
                <w:u w:val="single" w:color="auto"/>
              </w:rPr>
              <w:t xml:space="preserve"> </w:t>
            </w:r>
            <w:r>
              <w:rPr>
                <w:spacing w:val="-6"/>
                <w:sz w:val="22"/>
                <w:szCs w:val="22"/>
                <w:u w:val="single" w:color="000000"/>
                <w14:textOutline w14:w="4013" w14:cap="sq" w14:cmpd="sng">
                  <w14:solidFill>
                    <w14:srgbClr w14:val="000000"/>
                  </w14:solidFill>
                  <w14:prstDash w14:val="solid"/>
                  <w14:bevel/>
                </w14:textOutline>
              </w:rPr>
              <w:t>项、1.4.4</w:t>
            </w:r>
            <w:r>
              <w:rPr>
                <w:spacing w:val="-43"/>
                <w:sz w:val="22"/>
                <w:szCs w:val="22"/>
                <w:u w:val="single" w:color="auto"/>
              </w:rPr>
              <w:t xml:space="preserve"> </w:t>
            </w:r>
            <w:r>
              <w:rPr>
                <w:spacing w:val="-6"/>
                <w:sz w:val="22"/>
                <w:szCs w:val="22"/>
                <w:u w:val="single" w:color="000000"/>
                <w14:textOutline w14:w="4013" w14:cap="sq" w14:cmpd="sng">
                  <w14:solidFill>
                    <w14:srgbClr w14:val="000000"/>
                  </w14:solidFill>
                  <w14:prstDash w14:val="solid"/>
                  <w14:bevel/>
                </w14:textOutline>
              </w:rPr>
              <w:t>项、1.4.5</w:t>
            </w:r>
            <w:r>
              <w:rPr>
                <w:spacing w:val="-45"/>
                <w:sz w:val="22"/>
                <w:szCs w:val="22"/>
                <w:u w:val="single" w:color="auto"/>
              </w:rPr>
              <w:t xml:space="preserve"> </w:t>
            </w:r>
            <w:r>
              <w:rPr>
                <w:spacing w:val="-6"/>
                <w:sz w:val="22"/>
                <w:szCs w:val="22"/>
                <w:u w:val="single" w:color="000000"/>
                <w14:textOutline w14:w="4013" w14:cap="sq" w14:cmpd="sng">
                  <w14:solidFill>
                    <w14:srgbClr w14:val="000000"/>
                  </w14:solidFill>
                  <w14:prstDash w14:val="solid"/>
                  <w14:bevel/>
                </w14:textOutline>
              </w:rPr>
              <w:t>项、1.11.1</w:t>
            </w:r>
            <w:r>
              <w:rPr>
                <w:spacing w:val="-43"/>
                <w:sz w:val="22"/>
                <w:szCs w:val="22"/>
                <w:u w:val="single" w:color="auto"/>
              </w:rPr>
              <w:t xml:space="preserve"> </w:t>
            </w:r>
            <w:r>
              <w:rPr>
                <w:spacing w:val="-6"/>
                <w:sz w:val="22"/>
                <w:szCs w:val="22"/>
                <w:u w:val="single" w:color="000000"/>
                <w14:textOutline w14:w="4013" w14:cap="sq" w14:cmpd="sng">
                  <w14:solidFill>
                    <w14:srgbClr w14:val="000000"/>
                  </w14:solidFill>
                  <w14:prstDash w14:val="solid"/>
                  <w14:bevel/>
                </w14:textOutline>
              </w:rPr>
              <w:t>项、1.12.2</w:t>
            </w:r>
            <w:r>
              <w:rPr>
                <w:spacing w:val="-42"/>
                <w:sz w:val="22"/>
                <w:szCs w:val="22"/>
                <w:u w:val="single" w:color="auto"/>
              </w:rPr>
              <w:t xml:space="preserve"> </w:t>
            </w:r>
            <w:r>
              <w:rPr>
                <w:spacing w:val="-6"/>
                <w:sz w:val="22"/>
                <w:szCs w:val="22"/>
                <w:u w:val="single" w:color="000000"/>
                <w14:textOutline w14:w="4013" w14:cap="sq" w14:cmpd="sng">
                  <w14:solidFill>
                    <w14:srgbClr w14:val="000000"/>
                  </w14:solidFill>
                  <w14:prstDash w14:val="solid"/>
                  <w14:bevel/>
                </w14:textOutline>
              </w:rPr>
              <w:t>项、3.4.2</w:t>
            </w:r>
          </w:p>
          <w:p>
            <w:pPr>
              <w:pStyle w:val="17"/>
              <w:spacing w:before="1" w:line="220" w:lineRule="auto"/>
              <w:ind w:left="133"/>
              <w:rPr>
                <w:sz w:val="22"/>
                <w:szCs w:val="22"/>
              </w:rPr>
            </w:pPr>
            <w:r>
              <w:rPr>
                <w:spacing w:val="-2"/>
                <w:sz w:val="22"/>
                <w:szCs w:val="22"/>
                <w:u w:val="single" w:color="000000"/>
                <w14:textOutline w14:w="4013" w14:cap="sq" w14:cmpd="sng">
                  <w14:solidFill>
                    <w14:srgbClr w14:val="000000"/>
                  </w14:solidFill>
                  <w14:prstDash w14:val="solid"/>
                  <w14:bevel/>
                </w14:textOutline>
              </w:rPr>
              <w:t>项、3.5.11</w:t>
            </w:r>
            <w:r>
              <w:rPr>
                <w:spacing w:val="-33"/>
                <w:sz w:val="22"/>
                <w:szCs w:val="22"/>
                <w:u w:val="single" w:color="auto"/>
              </w:rPr>
              <w:t xml:space="preserve"> </w:t>
            </w:r>
            <w:r>
              <w:rPr>
                <w:spacing w:val="-2"/>
                <w:sz w:val="22"/>
                <w:szCs w:val="22"/>
                <w:u w:val="single" w:color="000000"/>
                <w14:textOutline w14:w="4013" w14:cap="sq" w14:cmpd="sng">
                  <w14:solidFill>
                    <w14:srgbClr w14:val="000000"/>
                  </w14:solidFill>
                  <w14:prstDash w14:val="solid"/>
                  <w14:bevel/>
                </w14:textOutline>
              </w:rPr>
              <w:t>项、3.6.1</w:t>
            </w:r>
            <w:r>
              <w:rPr>
                <w:spacing w:val="-45"/>
                <w:sz w:val="22"/>
                <w:szCs w:val="22"/>
                <w:u w:val="single" w:color="auto"/>
              </w:rPr>
              <w:t xml:space="preserve"> </w:t>
            </w:r>
            <w:r>
              <w:rPr>
                <w:spacing w:val="-2"/>
                <w:sz w:val="22"/>
                <w:szCs w:val="22"/>
                <w:u w:val="single" w:color="000000"/>
                <w14:textOutline w14:w="4013" w14:cap="sq" w14:cmpd="sng">
                  <w14:solidFill>
                    <w14:srgbClr w14:val="000000"/>
                  </w14:solidFill>
                  <w14:prstDash w14:val="solid"/>
                  <w14:bevel/>
                </w14:textOutline>
              </w:rPr>
              <w:t>项；</w:t>
            </w:r>
          </w:p>
          <w:p>
            <w:pPr>
              <w:pStyle w:val="17"/>
              <w:spacing w:before="165" w:line="227" w:lineRule="auto"/>
              <w:ind w:left="560"/>
              <w:rPr>
                <w:sz w:val="20"/>
                <w:szCs w:val="20"/>
              </w:rPr>
            </w:pPr>
            <w:r>
              <w:rPr>
                <w:spacing w:val="8"/>
                <w:sz w:val="20"/>
                <w:szCs w:val="20"/>
                <w14:textOutline w14:w="3795" w14:cap="sq" w14:cmpd="sng">
                  <w14:solidFill>
                    <w14:srgbClr w14:val="000000"/>
                  </w14:solidFill>
                  <w14:prstDash w14:val="solid"/>
                  <w14:bevel/>
                </w14:textOutline>
              </w:rPr>
              <w:t>（3）本评标办法的否决条款。</w:t>
            </w:r>
          </w:p>
        </w:tc>
      </w:tr>
    </w:tbl>
    <w:p>
      <w:pPr>
        <w:spacing w:line="412" w:lineRule="auto"/>
        <w:rPr>
          <w:rFonts w:ascii="Arial"/>
          <w:sz w:val="21"/>
        </w:rPr>
      </w:pPr>
    </w:p>
    <w:p>
      <w:pPr>
        <w:pStyle w:val="12"/>
        <w:rPr>
          <w:rFonts w:ascii="Arial"/>
          <w:sz w:val="21"/>
        </w:rPr>
      </w:pPr>
    </w:p>
    <w:p>
      <w:pPr>
        <w:pStyle w:val="11"/>
        <w:rPr>
          <w:rFonts w:ascii="Arial"/>
          <w:sz w:val="21"/>
        </w:rPr>
      </w:pPr>
    </w:p>
    <w:p>
      <w:pPr>
        <w:pStyle w:val="8"/>
        <w:rPr>
          <w:rFonts w:ascii="Arial"/>
          <w:sz w:val="21"/>
        </w:rPr>
      </w:pPr>
    </w:p>
    <w:p>
      <w:pPr>
        <w:rPr>
          <w:rFonts w:ascii="Arial"/>
          <w:sz w:val="21"/>
        </w:rPr>
      </w:pPr>
    </w:p>
    <w:p>
      <w:pPr>
        <w:pStyle w:val="12"/>
        <w:rPr>
          <w:rFonts w:ascii="Arial"/>
          <w:sz w:val="21"/>
        </w:rPr>
      </w:pPr>
    </w:p>
    <w:p>
      <w:pPr>
        <w:pStyle w:val="11"/>
        <w:rPr>
          <w:rFonts w:ascii="Arial"/>
          <w:sz w:val="21"/>
        </w:rPr>
      </w:pPr>
    </w:p>
    <w:p>
      <w:pPr>
        <w:pStyle w:val="8"/>
        <w:rPr>
          <w:rFonts w:ascii="Arial"/>
          <w:sz w:val="21"/>
        </w:rPr>
      </w:pPr>
    </w:p>
    <w:p>
      <w:pPr>
        <w:rPr>
          <w:rFonts w:ascii="Arial"/>
          <w:sz w:val="21"/>
        </w:rPr>
      </w:pPr>
    </w:p>
    <w:p>
      <w:pPr>
        <w:pStyle w:val="12"/>
        <w:rPr>
          <w:rFonts w:ascii="Arial"/>
          <w:sz w:val="21"/>
        </w:rPr>
      </w:pPr>
    </w:p>
    <w:p>
      <w:pPr>
        <w:pStyle w:val="11"/>
      </w:pPr>
    </w:p>
    <w:p>
      <w:pPr>
        <w:pStyle w:val="11"/>
      </w:pPr>
    </w:p>
    <w:p>
      <w:pPr>
        <w:pStyle w:val="4"/>
        <w:numPr>
          <w:ilvl w:val="0"/>
          <w:numId w:val="6"/>
        </w:numPr>
        <w:spacing w:before="223" w:line="222" w:lineRule="auto"/>
        <w:ind w:left="0" w:leftChars="0" w:firstLine="0" w:firstLineChars="0"/>
        <w:jc w:val="center"/>
        <w:rPr>
          <w:spacing w:val="-1"/>
          <w:sz w:val="30"/>
          <w:szCs w:val="30"/>
          <w14:textOutline w14:w="5448" w14:cap="sq" w14:cmpd="sng">
            <w14:solidFill>
              <w14:srgbClr w14:val="000000"/>
            </w14:solidFill>
            <w14:prstDash w14:val="solid"/>
            <w14:bevel/>
          </w14:textOutline>
        </w:rPr>
      </w:pPr>
      <w:r>
        <w:rPr>
          <w:spacing w:val="-1"/>
          <w:sz w:val="30"/>
          <w:szCs w:val="30"/>
          <w14:textOutline w14:w="5448" w14:cap="sq" w14:cmpd="sng">
            <w14:solidFill>
              <w14:srgbClr w14:val="000000"/>
            </w14:solidFill>
            <w14:prstDash w14:val="solid"/>
            <w14:bevel/>
          </w14:textOutline>
        </w:rPr>
        <w:t>评标办法</w:t>
      </w:r>
    </w:p>
    <w:p>
      <w:pPr>
        <w:pStyle w:val="15"/>
        <w:rPr>
          <w:spacing w:val="-1"/>
          <w:sz w:val="30"/>
          <w:szCs w:val="30"/>
          <w14:textOutline w14:w="5448" w14:cap="sq" w14:cmpd="sng">
            <w14:solidFill>
              <w14:srgbClr w14:val="000000"/>
            </w14:solidFill>
            <w14:prstDash w14:val="solid"/>
            <w14:bevel/>
          </w14:textOutline>
        </w:rPr>
      </w:pPr>
    </w:p>
    <w:p>
      <w:pPr>
        <w:spacing w:line="270" w:lineRule="auto"/>
        <w:rPr>
          <w:rFonts w:ascii="Arial"/>
          <w:sz w:val="21"/>
        </w:rPr>
      </w:pPr>
    </w:p>
    <w:p>
      <w:pPr>
        <w:spacing w:before="18" w:line="220" w:lineRule="auto"/>
        <w:rPr>
          <w:rFonts w:ascii="宋体" w:hAnsi="宋体" w:eastAsia="宋体" w:cs="宋体"/>
          <w:spacing w:val="-1"/>
          <w:sz w:val="18"/>
          <w:szCs w:val="18"/>
        </w:rPr>
      </w:pPr>
    </w:p>
    <w:p>
      <w:pPr>
        <w:spacing w:line="273" w:lineRule="auto"/>
        <w:rPr>
          <w:rFonts w:ascii="Arial"/>
          <w:sz w:val="21"/>
        </w:rPr>
      </w:pPr>
      <w:r>
        <w:rPr>
          <w:rFonts w:ascii="黑体" w:hAnsi="黑体" w:eastAsia="黑体" w:cs="黑体"/>
          <w:spacing w:val="-3"/>
          <w:sz w:val="28"/>
          <w:szCs w:val="28"/>
        </w:rPr>
        <w:t>1. 评标方法、组织及工作程序</w:t>
      </w:r>
    </w:p>
    <w:p>
      <w:pPr>
        <w:pStyle w:val="17"/>
        <w:spacing w:line="228" w:lineRule="auto"/>
        <w:ind w:left="145"/>
        <w:rPr>
          <w:sz w:val="20"/>
          <w:szCs w:val="20"/>
        </w:rPr>
      </w:pPr>
      <w:r>
        <w:rPr>
          <w:spacing w:val="3"/>
          <w:sz w:val="20"/>
          <w:szCs w:val="20"/>
        </w:rPr>
        <w:t>1.1</w:t>
      </w:r>
      <w:r>
        <w:rPr>
          <w:spacing w:val="-44"/>
          <w:sz w:val="20"/>
          <w:szCs w:val="20"/>
        </w:rPr>
        <w:t xml:space="preserve"> </w:t>
      </w:r>
      <w:r>
        <w:rPr>
          <w:spacing w:val="3"/>
          <w:sz w:val="20"/>
          <w:szCs w:val="20"/>
        </w:rPr>
        <w:t>评标方法</w:t>
      </w:r>
    </w:p>
    <w:p>
      <w:pPr>
        <w:pStyle w:val="17"/>
        <w:spacing w:before="161" w:line="377" w:lineRule="auto"/>
        <w:ind w:left="129" w:right="126" w:firstLine="421"/>
        <w:jc w:val="both"/>
        <w:rPr>
          <w:sz w:val="20"/>
          <w:szCs w:val="20"/>
        </w:rPr>
      </w:pPr>
      <w:r>
        <w:rPr>
          <w:spacing w:val="7"/>
          <w:sz w:val="20"/>
          <w:szCs w:val="20"/>
        </w:rPr>
        <w:t>本次评标采用双信封的合理低价法。评标委员会对满足招标</w:t>
      </w:r>
      <w:r>
        <w:rPr>
          <w:spacing w:val="6"/>
          <w:sz w:val="20"/>
          <w:szCs w:val="20"/>
        </w:rPr>
        <w:t>文件实质性要求的投标</w:t>
      </w:r>
      <w:r>
        <w:rPr>
          <w:sz w:val="20"/>
          <w:szCs w:val="20"/>
        </w:rPr>
        <w:t xml:space="preserve"> </w:t>
      </w:r>
      <w:r>
        <w:rPr>
          <w:spacing w:val="6"/>
          <w:sz w:val="20"/>
          <w:szCs w:val="20"/>
        </w:rPr>
        <w:t>文件，按照本章第</w:t>
      </w:r>
      <w:r>
        <w:rPr>
          <w:spacing w:val="-29"/>
          <w:sz w:val="20"/>
          <w:szCs w:val="20"/>
        </w:rPr>
        <w:t xml:space="preserve"> </w:t>
      </w:r>
      <w:r>
        <w:rPr>
          <w:spacing w:val="6"/>
          <w:sz w:val="20"/>
          <w:szCs w:val="20"/>
        </w:rPr>
        <w:t>2.2</w:t>
      </w:r>
      <w:r>
        <w:rPr>
          <w:spacing w:val="-42"/>
          <w:sz w:val="20"/>
          <w:szCs w:val="20"/>
        </w:rPr>
        <w:t xml:space="preserve"> </w:t>
      </w:r>
      <w:r>
        <w:rPr>
          <w:spacing w:val="6"/>
          <w:sz w:val="20"/>
          <w:szCs w:val="20"/>
        </w:rPr>
        <w:t>款规定的评分标准进行打分，并按得分由高到低顺序推荐中标候</w:t>
      </w:r>
      <w:r>
        <w:rPr>
          <w:sz w:val="20"/>
          <w:szCs w:val="20"/>
        </w:rPr>
        <w:t xml:space="preserve"> </w:t>
      </w:r>
      <w:r>
        <w:rPr>
          <w:spacing w:val="7"/>
          <w:sz w:val="20"/>
          <w:szCs w:val="20"/>
        </w:rPr>
        <w:t>选人，但投标报价低于其成本的除外。综合评分相等时，评标委员会应按照评标</w:t>
      </w:r>
      <w:r>
        <w:rPr>
          <w:spacing w:val="6"/>
          <w:sz w:val="20"/>
          <w:szCs w:val="20"/>
        </w:rPr>
        <w:t>办法前</w:t>
      </w:r>
    </w:p>
    <w:p>
      <w:pPr>
        <w:pStyle w:val="17"/>
        <w:spacing w:before="1" w:line="226" w:lineRule="auto"/>
        <w:ind w:left="146"/>
        <w:rPr>
          <w:sz w:val="20"/>
          <w:szCs w:val="20"/>
        </w:rPr>
      </w:pPr>
      <w:r>
        <w:rPr>
          <w:spacing w:val="8"/>
          <w:sz w:val="20"/>
          <w:szCs w:val="20"/>
        </w:rPr>
        <w:t>附表规定的优先次序推荐中标候选人或确定中标人。</w:t>
      </w:r>
    </w:p>
    <w:p>
      <w:pPr>
        <w:pStyle w:val="17"/>
        <w:spacing w:before="165" w:line="228" w:lineRule="auto"/>
        <w:ind w:left="145"/>
        <w:rPr>
          <w:sz w:val="20"/>
          <w:szCs w:val="20"/>
        </w:rPr>
      </w:pPr>
      <w:r>
        <w:rPr>
          <w:spacing w:val="3"/>
          <w:sz w:val="20"/>
          <w:szCs w:val="20"/>
        </w:rPr>
        <w:t>1.2</w:t>
      </w:r>
      <w:r>
        <w:rPr>
          <w:spacing w:val="-44"/>
          <w:sz w:val="20"/>
          <w:szCs w:val="20"/>
        </w:rPr>
        <w:t xml:space="preserve"> </w:t>
      </w:r>
      <w:r>
        <w:rPr>
          <w:spacing w:val="3"/>
          <w:sz w:val="20"/>
          <w:szCs w:val="20"/>
        </w:rPr>
        <w:t>评标组织</w:t>
      </w:r>
    </w:p>
    <w:p>
      <w:pPr>
        <w:pStyle w:val="17"/>
        <w:spacing w:before="161" w:line="228" w:lineRule="auto"/>
        <w:ind w:left="145"/>
        <w:rPr>
          <w:sz w:val="20"/>
          <w:szCs w:val="20"/>
        </w:rPr>
      </w:pPr>
      <w:r>
        <w:rPr>
          <w:spacing w:val="4"/>
          <w:sz w:val="20"/>
          <w:szCs w:val="20"/>
        </w:rPr>
        <w:t>1.2.1</w:t>
      </w:r>
      <w:r>
        <w:rPr>
          <w:spacing w:val="-40"/>
          <w:sz w:val="20"/>
          <w:szCs w:val="20"/>
        </w:rPr>
        <w:t xml:space="preserve"> </w:t>
      </w:r>
      <w:r>
        <w:rPr>
          <w:spacing w:val="4"/>
          <w:sz w:val="20"/>
          <w:szCs w:val="20"/>
        </w:rPr>
        <w:t>协助工作组</w:t>
      </w:r>
    </w:p>
    <w:p>
      <w:pPr>
        <w:pStyle w:val="17"/>
        <w:spacing w:before="161" w:line="408" w:lineRule="exact"/>
        <w:ind w:left="550"/>
        <w:rPr>
          <w:sz w:val="20"/>
          <w:szCs w:val="20"/>
        </w:rPr>
      </w:pPr>
      <w:r>
        <w:rPr>
          <w:spacing w:val="7"/>
          <w:position w:val="15"/>
          <w:sz w:val="20"/>
          <w:szCs w:val="20"/>
        </w:rPr>
        <w:t>招标人可在评标工作开始前成立协助工作组，选派熟悉招标</w:t>
      </w:r>
      <w:r>
        <w:rPr>
          <w:spacing w:val="6"/>
          <w:position w:val="15"/>
          <w:sz w:val="20"/>
          <w:szCs w:val="20"/>
        </w:rPr>
        <w:t>工作、政治素质高的人</w:t>
      </w:r>
    </w:p>
    <w:p>
      <w:pPr>
        <w:pStyle w:val="17"/>
        <w:spacing w:before="1" w:line="226" w:lineRule="auto"/>
        <w:ind w:left="138"/>
        <w:rPr>
          <w:sz w:val="20"/>
          <w:szCs w:val="20"/>
        </w:rPr>
      </w:pPr>
      <w:r>
        <w:rPr>
          <w:spacing w:val="4"/>
          <w:sz w:val="20"/>
          <w:szCs w:val="20"/>
        </w:rPr>
        <w:t>员组成，协助评标委员会工作。协助工作组人员的具体数量由招标人视评</w:t>
      </w:r>
      <w:r>
        <w:rPr>
          <w:spacing w:val="3"/>
          <w:sz w:val="20"/>
          <w:szCs w:val="20"/>
        </w:rPr>
        <w:t>标工作量确定。</w:t>
      </w:r>
    </w:p>
    <w:p>
      <w:pPr>
        <w:pStyle w:val="17"/>
        <w:spacing w:before="162" w:line="408" w:lineRule="exact"/>
        <w:ind w:left="553"/>
        <w:rPr>
          <w:sz w:val="20"/>
          <w:szCs w:val="20"/>
        </w:rPr>
      </w:pPr>
      <w:r>
        <w:rPr>
          <w:spacing w:val="9"/>
          <w:position w:val="15"/>
          <w:sz w:val="20"/>
          <w:szCs w:val="20"/>
        </w:rPr>
        <w:t>招标人可以协助评标委员会开展下列工作并提供相关信息：</w:t>
      </w:r>
    </w:p>
    <w:p>
      <w:pPr>
        <w:pStyle w:val="17"/>
        <w:spacing w:before="1" w:line="227" w:lineRule="auto"/>
        <w:ind w:left="562"/>
        <w:rPr>
          <w:sz w:val="20"/>
          <w:szCs w:val="20"/>
        </w:rPr>
      </w:pPr>
      <w:r>
        <w:rPr>
          <w:spacing w:val="8"/>
          <w:sz w:val="20"/>
          <w:szCs w:val="20"/>
        </w:rPr>
        <w:t>（1）根据招标文件，编制评标使用的相应表格；</w:t>
      </w:r>
    </w:p>
    <w:p>
      <w:pPr>
        <w:pStyle w:val="17"/>
        <w:spacing w:before="164" w:line="226" w:lineRule="auto"/>
        <w:ind w:left="562"/>
        <w:rPr>
          <w:sz w:val="20"/>
          <w:szCs w:val="20"/>
        </w:rPr>
      </w:pPr>
      <w:r>
        <w:rPr>
          <w:spacing w:val="9"/>
          <w:sz w:val="20"/>
          <w:szCs w:val="20"/>
        </w:rPr>
        <w:t>（2）对投标报价进行算术性校核（如采用固化工程量清单，本步骤省略</w:t>
      </w:r>
      <w:r>
        <w:rPr>
          <w:spacing w:val="2"/>
          <w:sz w:val="20"/>
          <w:szCs w:val="20"/>
        </w:rPr>
        <w:t>）；</w:t>
      </w:r>
    </w:p>
    <w:p>
      <w:pPr>
        <w:pStyle w:val="17"/>
        <w:spacing w:before="163" w:line="408" w:lineRule="exact"/>
        <w:ind w:left="562"/>
        <w:rPr>
          <w:sz w:val="20"/>
          <w:szCs w:val="20"/>
        </w:rPr>
      </w:pPr>
      <w:r>
        <w:rPr>
          <w:spacing w:val="9"/>
          <w:position w:val="15"/>
          <w:sz w:val="20"/>
          <w:szCs w:val="20"/>
        </w:rPr>
        <w:t>（3）以评标标准和方法为依据，列出投标文件相对于招标文件的所有偏差，并进</w:t>
      </w:r>
    </w:p>
    <w:p>
      <w:pPr>
        <w:pStyle w:val="17"/>
        <w:spacing w:line="227" w:lineRule="auto"/>
        <w:ind w:left="133"/>
        <w:rPr>
          <w:sz w:val="20"/>
          <w:szCs w:val="20"/>
        </w:rPr>
      </w:pPr>
      <w:r>
        <w:rPr>
          <w:spacing w:val="6"/>
          <w:sz w:val="20"/>
          <w:szCs w:val="20"/>
        </w:rPr>
        <w:t>行归类汇总；</w:t>
      </w:r>
    </w:p>
    <w:p>
      <w:pPr>
        <w:pStyle w:val="17"/>
        <w:spacing w:before="161" w:line="228" w:lineRule="auto"/>
        <w:ind w:left="562"/>
        <w:rPr>
          <w:sz w:val="20"/>
          <w:szCs w:val="20"/>
        </w:rPr>
      </w:pPr>
      <w:r>
        <w:rPr>
          <w:spacing w:val="9"/>
          <w:sz w:val="20"/>
          <w:szCs w:val="20"/>
        </w:rPr>
        <w:t>（4）查询公路建设市场信用信息管理系统，对投标人的资质、业绩、主要人员资</w:t>
      </w:r>
    </w:p>
    <w:p>
      <w:pPr>
        <w:pStyle w:val="17"/>
        <w:spacing w:before="132" w:line="408" w:lineRule="exact"/>
        <w:ind w:left="132"/>
        <w:rPr>
          <w:sz w:val="10"/>
          <w:szCs w:val="10"/>
        </w:rPr>
      </w:pPr>
      <w:r>
        <w:rPr>
          <w:spacing w:val="9"/>
          <w:position w:val="4"/>
          <w:sz w:val="20"/>
          <w:szCs w:val="20"/>
        </w:rPr>
        <w:t>历和目前在岗情况、信用等级进行核实。</w:t>
      </w:r>
    </w:p>
    <w:p>
      <w:pPr>
        <w:pStyle w:val="17"/>
        <w:spacing w:before="32" w:line="408" w:lineRule="exact"/>
        <w:ind w:left="550"/>
        <w:rPr>
          <w:sz w:val="20"/>
          <w:szCs w:val="20"/>
        </w:rPr>
      </w:pPr>
      <w:r>
        <w:rPr>
          <w:spacing w:val="7"/>
          <w:position w:val="15"/>
          <w:sz w:val="20"/>
          <w:szCs w:val="20"/>
        </w:rPr>
        <w:t>招标人不得对投标文件作出任何评价，不得故意遗漏或者片</w:t>
      </w:r>
      <w:r>
        <w:rPr>
          <w:spacing w:val="6"/>
          <w:position w:val="15"/>
          <w:sz w:val="20"/>
          <w:szCs w:val="20"/>
        </w:rPr>
        <w:t>面摘录，不得在评标委</w:t>
      </w:r>
    </w:p>
    <w:p>
      <w:pPr>
        <w:pStyle w:val="17"/>
        <w:spacing w:before="1" w:line="226" w:lineRule="auto"/>
        <w:ind w:left="138"/>
        <w:rPr>
          <w:sz w:val="20"/>
          <w:szCs w:val="20"/>
        </w:rPr>
      </w:pPr>
      <w:r>
        <w:rPr>
          <w:spacing w:val="9"/>
          <w:sz w:val="20"/>
          <w:szCs w:val="20"/>
        </w:rPr>
        <w:t>员会对所有偏差定性之前透露存有偏差的投</w:t>
      </w:r>
      <w:r>
        <w:rPr>
          <w:spacing w:val="8"/>
          <w:sz w:val="20"/>
          <w:szCs w:val="20"/>
        </w:rPr>
        <w:t>标人名称。</w:t>
      </w:r>
    </w:p>
    <w:p>
      <w:pPr>
        <w:pStyle w:val="17"/>
        <w:spacing w:before="162" w:line="227" w:lineRule="auto"/>
        <w:ind w:left="145"/>
        <w:rPr>
          <w:sz w:val="20"/>
          <w:szCs w:val="20"/>
        </w:rPr>
      </w:pPr>
      <w:r>
        <w:rPr>
          <w:spacing w:val="4"/>
          <w:sz w:val="20"/>
          <w:szCs w:val="20"/>
        </w:rPr>
        <w:t>1.2.2</w:t>
      </w:r>
      <w:r>
        <w:rPr>
          <w:spacing w:val="-40"/>
          <w:sz w:val="20"/>
          <w:szCs w:val="20"/>
        </w:rPr>
        <w:t xml:space="preserve"> </w:t>
      </w:r>
      <w:r>
        <w:rPr>
          <w:spacing w:val="4"/>
          <w:sz w:val="20"/>
          <w:szCs w:val="20"/>
        </w:rPr>
        <w:t>评标委员会</w:t>
      </w:r>
    </w:p>
    <w:p>
      <w:pPr>
        <w:pStyle w:val="17"/>
        <w:spacing w:before="165" w:line="408" w:lineRule="exact"/>
        <w:ind w:left="349"/>
        <w:rPr>
          <w:sz w:val="20"/>
          <w:szCs w:val="20"/>
        </w:rPr>
      </w:pPr>
      <w:r>
        <w:rPr>
          <w:spacing w:val="10"/>
          <w:position w:val="15"/>
          <w:sz w:val="20"/>
          <w:szCs w:val="20"/>
        </w:rPr>
        <w:t>评标委员会由招标人按国家、广东省等的有关规定依法组</w:t>
      </w:r>
      <w:r>
        <w:rPr>
          <w:spacing w:val="9"/>
          <w:position w:val="15"/>
          <w:sz w:val="20"/>
          <w:szCs w:val="20"/>
        </w:rPr>
        <w:t>建。评标委员会的主要工</w:t>
      </w:r>
    </w:p>
    <w:p>
      <w:pPr>
        <w:pStyle w:val="17"/>
        <w:spacing w:line="227" w:lineRule="auto"/>
        <w:ind w:left="130"/>
        <w:rPr>
          <w:sz w:val="20"/>
          <w:szCs w:val="20"/>
        </w:rPr>
      </w:pPr>
      <w:r>
        <w:rPr>
          <w:spacing w:val="6"/>
          <w:sz w:val="20"/>
          <w:szCs w:val="20"/>
        </w:rPr>
        <w:t>作内容包括：</w:t>
      </w:r>
    </w:p>
    <w:p>
      <w:pPr>
        <w:pStyle w:val="17"/>
        <w:spacing w:before="162" w:line="408" w:lineRule="exact"/>
        <w:ind w:left="360"/>
        <w:rPr>
          <w:sz w:val="20"/>
          <w:szCs w:val="20"/>
        </w:rPr>
      </w:pPr>
      <w:r>
        <w:rPr>
          <w:spacing w:val="9"/>
          <w:position w:val="15"/>
          <w:sz w:val="20"/>
          <w:szCs w:val="20"/>
        </w:rPr>
        <w:t>（1）评标委员会开始评标工作之前，首先听取招标人、协助工作组关于工程情况和</w:t>
      </w:r>
    </w:p>
    <w:p>
      <w:pPr>
        <w:pStyle w:val="17"/>
        <w:spacing w:line="227" w:lineRule="auto"/>
        <w:ind w:left="131"/>
        <w:rPr>
          <w:sz w:val="20"/>
          <w:szCs w:val="20"/>
        </w:rPr>
      </w:pPr>
      <w:r>
        <w:rPr>
          <w:spacing w:val="9"/>
          <w:sz w:val="20"/>
          <w:szCs w:val="20"/>
        </w:rPr>
        <w:t>辅助工作的说明，并认真研读招标文件，获取评标所需的重要信息和数据；</w:t>
      </w:r>
    </w:p>
    <w:p>
      <w:pPr>
        <w:pStyle w:val="17"/>
        <w:spacing w:before="162" w:line="408" w:lineRule="exact"/>
        <w:ind w:left="360"/>
        <w:rPr>
          <w:sz w:val="20"/>
          <w:szCs w:val="20"/>
        </w:rPr>
      </w:pPr>
      <w:r>
        <w:rPr>
          <w:spacing w:val="9"/>
          <w:position w:val="15"/>
          <w:sz w:val="20"/>
          <w:szCs w:val="20"/>
        </w:rPr>
        <w:t>（2）对协助工作组提供的评标工作用表和</w:t>
      </w:r>
      <w:r>
        <w:rPr>
          <w:spacing w:val="8"/>
          <w:position w:val="15"/>
          <w:sz w:val="20"/>
          <w:szCs w:val="20"/>
        </w:rPr>
        <w:t>评标内容进行核查；</w:t>
      </w:r>
    </w:p>
    <w:p>
      <w:pPr>
        <w:pStyle w:val="17"/>
        <w:spacing w:before="1" w:line="227" w:lineRule="auto"/>
        <w:ind w:left="360"/>
        <w:rPr>
          <w:sz w:val="20"/>
          <w:szCs w:val="20"/>
        </w:rPr>
      </w:pPr>
      <w:r>
        <w:rPr>
          <w:spacing w:val="6"/>
          <w:sz w:val="20"/>
          <w:szCs w:val="20"/>
        </w:rPr>
        <w:t>（3）按照以下</w:t>
      </w:r>
      <w:r>
        <w:rPr>
          <w:spacing w:val="-20"/>
          <w:sz w:val="20"/>
          <w:szCs w:val="20"/>
        </w:rPr>
        <w:t xml:space="preserve"> </w:t>
      </w:r>
      <w:r>
        <w:rPr>
          <w:spacing w:val="6"/>
          <w:sz w:val="20"/>
          <w:szCs w:val="20"/>
        </w:rPr>
        <w:t>1.3</w:t>
      </w:r>
      <w:r>
        <w:rPr>
          <w:spacing w:val="-40"/>
          <w:sz w:val="20"/>
          <w:szCs w:val="20"/>
        </w:rPr>
        <w:t xml:space="preserve"> </w:t>
      </w:r>
      <w:r>
        <w:rPr>
          <w:spacing w:val="6"/>
          <w:sz w:val="20"/>
          <w:szCs w:val="20"/>
        </w:rPr>
        <w:t>款程序进行各项评审工作。</w:t>
      </w:r>
    </w:p>
    <w:p>
      <w:pPr>
        <w:pStyle w:val="17"/>
        <w:spacing w:before="164" w:line="228" w:lineRule="auto"/>
        <w:ind w:left="145"/>
        <w:rPr>
          <w:sz w:val="20"/>
          <w:szCs w:val="20"/>
        </w:rPr>
      </w:pPr>
      <w:r>
        <w:rPr>
          <w:spacing w:val="4"/>
          <w:sz w:val="20"/>
          <w:szCs w:val="20"/>
        </w:rPr>
        <w:t>1.3</w:t>
      </w:r>
      <w:r>
        <w:rPr>
          <w:spacing w:val="-39"/>
          <w:sz w:val="20"/>
          <w:szCs w:val="20"/>
        </w:rPr>
        <w:t xml:space="preserve"> </w:t>
      </w:r>
      <w:r>
        <w:rPr>
          <w:spacing w:val="4"/>
          <w:sz w:val="20"/>
          <w:szCs w:val="20"/>
        </w:rPr>
        <w:t>评审工作程序</w:t>
      </w:r>
    </w:p>
    <w:p>
      <w:pPr>
        <w:spacing w:line="297" w:lineRule="auto"/>
        <w:rPr>
          <w:spacing w:val="8"/>
          <w:sz w:val="20"/>
          <w:szCs w:val="20"/>
        </w:rPr>
      </w:pPr>
      <w:r>
        <w:rPr>
          <w:spacing w:val="8"/>
          <w:sz w:val="20"/>
          <w:szCs w:val="20"/>
        </w:rPr>
        <w:t>评标委员会将按以下程序开展评标工作：</w:t>
      </w:r>
    </w:p>
    <w:p>
      <w:pPr>
        <w:pStyle w:val="17"/>
        <w:spacing w:before="35" w:line="228" w:lineRule="auto"/>
        <w:ind w:left="145"/>
        <w:rPr>
          <w:sz w:val="20"/>
          <w:szCs w:val="20"/>
        </w:rPr>
      </w:pPr>
      <w:r>
        <w:rPr>
          <w:spacing w:val="7"/>
          <w:sz w:val="20"/>
          <w:szCs w:val="20"/>
        </w:rPr>
        <w:t>1.3.1</w:t>
      </w:r>
      <w:r>
        <w:rPr>
          <w:spacing w:val="-41"/>
          <w:sz w:val="20"/>
          <w:szCs w:val="20"/>
        </w:rPr>
        <w:t xml:space="preserve"> </w:t>
      </w:r>
      <w:r>
        <w:rPr>
          <w:spacing w:val="7"/>
          <w:sz w:val="20"/>
          <w:szCs w:val="20"/>
        </w:rPr>
        <w:t>第一个信封（商务及技术文件）的评审：</w:t>
      </w:r>
    </w:p>
    <w:p>
      <w:pPr>
        <w:pStyle w:val="17"/>
        <w:spacing w:before="161" w:line="408" w:lineRule="exact"/>
        <w:ind w:left="360"/>
        <w:rPr>
          <w:sz w:val="20"/>
          <w:szCs w:val="20"/>
        </w:rPr>
      </w:pPr>
      <w:r>
        <w:rPr>
          <w:spacing w:val="9"/>
          <w:position w:val="15"/>
          <w:sz w:val="20"/>
          <w:szCs w:val="20"/>
        </w:rPr>
        <w:t>（1）初步评审：包括对投标文件进行形式评审与响应性评审、资格评审（适用于未</w:t>
      </w:r>
    </w:p>
    <w:p>
      <w:pPr>
        <w:pStyle w:val="17"/>
        <w:spacing w:line="227" w:lineRule="auto"/>
        <w:ind w:left="128"/>
        <w:rPr>
          <w:sz w:val="20"/>
          <w:szCs w:val="20"/>
        </w:rPr>
      </w:pPr>
      <w:r>
        <w:rPr>
          <w:spacing w:val="8"/>
          <w:sz w:val="20"/>
          <w:szCs w:val="20"/>
        </w:rPr>
        <w:t>进行资格预审</w:t>
      </w:r>
      <w:r>
        <w:rPr>
          <w:spacing w:val="1"/>
          <w:sz w:val="20"/>
          <w:szCs w:val="20"/>
        </w:rPr>
        <w:t>）；</w:t>
      </w:r>
    </w:p>
    <w:p>
      <w:pPr>
        <w:pStyle w:val="17"/>
        <w:spacing w:before="160" w:line="378" w:lineRule="auto"/>
        <w:ind w:left="131" w:right="55" w:firstLine="229"/>
        <w:rPr>
          <w:sz w:val="20"/>
          <w:szCs w:val="20"/>
        </w:rPr>
      </w:pPr>
      <w:r>
        <w:rPr>
          <w:spacing w:val="8"/>
          <w:sz w:val="20"/>
          <w:szCs w:val="20"/>
        </w:rPr>
        <w:t xml:space="preserve">（2）详细评审：评标委员会首先对通过初步评审的投标文件第一个信封（商务及技 </w:t>
      </w:r>
      <w:r>
        <w:rPr>
          <w:spacing w:val="3"/>
          <w:sz w:val="20"/>
          <w:szCs w:val="20"/>
        </w:rPr>
        <w:t>术文件）进行详细评审，对投标人的其他因素（信用等级、履约情况）得分评审与确认。</w:t>
      </w:r>
    </w:p>
    <w:p>
      <w:pPr>
        <w:pStyle w:val="17"/>
        <w:spacing w:line="226" w:lineRule="auto"/>
        <w:ind w:left="145"/>
        <w:rPr>
          <w:sz w:val="20"/>
          <w:szCs w:val="20"/>
        </w:rPr>
      </w:pPr>
      <w:r>
        <w:rPr>
          <w:spacing w:val="6"/>
          <w:sz w:val="20"/>
          <w:szCs w:val="20"/>
        </w:rPr>
        <w:t>1.3.2</w:t>
      </w:r>
      <w:r>
        <w:rPr>
          <w:spacing w:val="-31"/>
          <w:sz w:val="20"/>
          <w:szCs w:val="20"/>
        </w:rPr>
        <w:t xml:space="preserve"> </w:t>
      </w:r>
      <w:r>
        <w:rPr>
          <w:spacing w:val="6"/>
          <w:sz w:val="20"/>
          <w:szCs w:val="20"/>
        </w:rPr>
        <w:t>第二个信封（报价文件）的评审：</w:t>
      </w:r>
    </w:p>
    <w:p>
      <w:pPr>
        <w:pStyle w:val="17"/>
        <w:spacing w:before="163" w:line="228" w:lineRule="auto"/>
        <w:ind w:left="360"/>
        <w:rPr>
          <w:sz w:val="20"/>
          <w:szCs w:val="20"/>
        </w:rPr>
      </w:pPr>
      <w:r>
        <w:rPr>
          <w:spacing w:val="5"/>
          <w:sz w:val="20"/>
          <w:szCs w:val="20"/>
        </w:rPr>
        <w:t>（1）初步评审：</w:t>
      </w:r>
    </w:p>
    <w:p>
      <w:pPr>
        <w:pStyle w:val="17"/>
        <w:spacing w:before="161" w:line="411" w:lineRule="exact"/>
        <w:ind w:left="349"/>
        <w:rPr>
          <w:sz w:val="20"/>
          <w:szCs w:val="20"/>
        </w:rPr>
      </w:pPr>
      <w:r>
        <w:rPr>
          <w:spacing w:val="12"/>
          <w:position w:val="15"/>
          <w:sz w:val="20"/>
          <w:szCs w:val="20"/>
        </w:rPr>
        <w:t>①只有投标文件第一个信封通过详细评审的投标人才能继续参加第二个信封报价文</w:t>
      </w:r>
    </w:p>
    <w:p>
      <w:pPr>
        <w:pStyle w:val="17"/>
        <w:spacing w:before="1" w:line="227" w:lineRule="auto"/>
        <w:ind w:left="129"/>
        <w:rPr>
          <w:sz w:val="20"/>
          <w:szCs w:val="20"/>
        </w:rPr>
      </w:pPr>
      <w:r>
        <w:rPr>
          <w:spacing w:val="8"/>
          <w:sz w:val="20"/>
          <w:szCs w:val="20"/>
        </w:rPr>
        <w:t>件的形式评审与响应性评审；</w:t>
      </w:r>
    </w:p>
    <w:p>
      <w:pPr>
        <w:pStyle w:val="17"/>
        <w:spacing w:before="161" w:line="408" w:lineRule="exact"/>
        <w:ind w:left="349"/>
        <w:rPr>
          <w:sz w:val="20"/>
          <w:szCs w:val="20"/>
        </w:rPr>
      </w:pPr>
      <w:r>
        <w:rPr>
          <w:spacing w:val="9"/>
          <w:position w:val="15"/>
          <w:sz w:val="20"/>
          <w:szCs w:val="20"/>
        </w:rPr>
        <w:t>②报价算术性修正（如采用固化工程量清单，本步</w:t>
      </w:r>
      <w:r>
        <w:rPr>
          <w:spacing w:val="8"/>
          <w:position w:val="15"/>
          <w:sz w:val="20"/>
          <w:szCs w:val="20"/>
        </w:rPr>
        <w:t>骤省略）。</w:t>
      </w:r>
    </w:p>
    <w:p>
      <w:pPr>
        <w:pStyle w:val="17"/>
        <w:spacing w:line="226" w:lineRule="auto"/>
        <w:ind w:left="360"/>
        <w:rPr>
          <w:sz w:val="20"/>
          <w:szCs w:val="20"/>
        </w:rPr>
      </w:pPr>
      <w:r>
        <w:rPr>
          <w:spacing w:val="8"/>
          <w:sz w:val="20"/>
          <w:szCs w:val="20"/>
        </w:rPr>
        <w:t>（2）详细评审：计算评标基准价、评标价得分及综合得分。</w:t>
      </w:r>
    </w:p>
    <w:p>
      <w:pPr>
        <w:pStyle w:val="17"/>
        <w:spacing w:before="161" w:line="408" w:lineRule="exact"/>
        <w:ind w:left="349"/>
        <w:rPr>
          <w:rFonts w:ascii="宋体" w:hAnsi="宋体" w:eastAsia="宋体" w:cs="宋体"/>
          <w:spacing w:val="9"/>
          <w:position w:val="15"/>
          <w:sz w:val="20"/>
          <w:szCs w:val="20"/>
        </w:rPr>
      </w:pPr>
      <w:r>
        <w:rPr>
          <w:rFonts w:ascii="宋体" w:hAnsi="宋体" w:eastAsia="宋体" w:cs="宋体"/>
          <w:spacing w:val="9"/>
          <w:position w:val="15"/>
          <w:sz w:val="20"/>
          <w:szCs w:val="20"/>
        </w:rPr>
        <w:t>1.3.3 投标文件相关信息的核查。</w:t>
      </w:r>
    </w:p>
    <w:p>
      <w:pPr>
        <w:pStyle w:val="17"/>
        <w:spacing w:before="161" w:line="408" w:lineRule="exact"/>
        <w:ind w:left="349"/>
        <w:rPr>
          <w:rFonts w:ascii="宋体" w:hAnsi="宋体" w:eastAsia="宋体" w:cs="宋体"/>
          <w:spacing w:val="9"/>
          <w:position w:val="15"/>
          <w:sz w:val="20"/>
          <w:szCs w:val="20"/>
        </w:rPr>
      </w:pPr>
      <w:r>
        <w:rPr>
          <w:rFonts w:ascii="宋体" w:hAnsi="宋体" w:eastAsia="宋体" w:cs="宋体"/>
          <w:spacing w:val="9"/>
          <w:position w:val="15"/>
          <w:sz w:val="20"/>
          <w:szCs w:val="20"/>
        </w:rPr>
        <w:t>1.3.4 投标文件的澄清和说明(如有)。</w:t>
      </w:r>
    </w:p>
    <w:p>
      <w:pPr>
        <w:pStyle w:val="17"/>
        <w:spacing w:before="161" w:line="408" w:lineRule="exact"/>
        <w:ind w:left="349"/>
        <w:rPr>
          <w:rFonts w:ascii="宋体" w:hAnsi="宋体" w:eastAsia="宋体" w:cs="宋体"/>
          <w:spacing w:val="9"/>
          <w:position w:val="15"/>
          <w:sz w:val="20"/>
          <w:szCs w:val="20"/>
        </w:rPr>
      </w:pPr>
      <w:r>
        <w:rPr>
          <w:rFonts w:ascii="宋体" w:hAnsi="宋体" w:eastAsia="宋体" w:cs="宋体"/>
          <w:spacing w:val="9"/>
          <w:position w:val="15"/>
          <w:sz w:val="20"/>
          <w:szCs w:val="20"/>
        </w:rPr>
        <w:t>1.3.5 按评标办法规定推荐中标候选人，编写评标报告。</w:t>
      </w:r>
    </w:p>
    <w:p>
      <w:pPr>
        <w:spacing w:before="91" w:line="219" w:lineRule="auto"/>
        <w:ind w:left="37"/>
        <w:rPr>
          <w:rFonts w:ascii="黑体" w:hAnsi="黑体" w:eastAsia="黑体" w:cs="黑体"/>
          <w:sz w:val="28"/>
          <w:szCs w:val="28"/>
        </w:rPr>
      </w:pPr>
      <w:r>
        <w:rPr>
          <w:rFonts w:ascii="黑体" w:hAnsi="黑体" w:eastAsia="黑体" w:cs="黑体"/>
          <w:spacing w:val="-1"/>
          <w:sz w:val="28"/>
          <w:szCs w:val="28"/>
        </w:rPr>
        <w:t>2. 评审标准</w:t>
      </w:r>
    </w:p>
    <w:p>
      <w:pPr>
        <w:spacing w:before="266" w:line="219" w:lineRule="auto"/>
        <w:ind w:left="36"/>
        <w:rPr>
          <w:rFonts w:ascii="黑体" w:hAnsi="黑体" w:eastAsia="黑体" w:cs="黑体"/>
          <w:sz w:val="24"/>
          <w:szCs w:val="24"/>
        </w:rPr>
      </w:pPr>
      <w:r>
        <w:rPr>
          <w:rFonts w:ascii="黑体" w:hAnsi="黑体" w:eastAsia="黑体" w:cs="黑体"/>
          <w:spacing w:val="-1"/>
          <w:sz w:val="24"/>
          <w:szCs w:val="24"/>
        </w:rPr>
        <w:t>2.1 初步评审标准</w:t>
      </w:r>
    </w:p>
    <w:p>
      <w:pPr>
        <w:spacing w:line="338" w:lineRule="auto"/>
        <w:rPr>
          <w:rFonts w:ascii="Arial"/>
          <w:sz w:val="21"/>
        </w:rPr>
      </w:pPr>
    </w:p>
    <w:p>
      <w:pPr>
        <w:spacing w:line="400" w:lineRule="exact"/>
        <w:ind w:firstLine="480" w:firstLineChars="200"/>
        <w:rPr>
          <w:color w:val="auto"/>
          <w:sz w:val="24"/>
          <w:highlight w:val="none"/>
        </w:rPr>
      </w:pPr>
      <w:r>
        <w:rPr>
          <w:rFonts w:hint="eastAsia"/>
          <w:color w:val="auto"/>
          <w:sz w:val="24"/>
          <w:highlight w:val="none"/>
        </w:rPr>
        <w:t>2.1.1 形式评审标准：见评标办法前附表。</w:t>
      </w:r>
    </w:p>
    <w:p>
      <w:pPr>
        <w:spacing w:line="400" w:lineRule="exact"/>
        <w:ind w:firstLine="480" w:firstLineChars="200"/>
        <w:rPr>
          <w:rFonts w:hint="eastAsia"/>
          <w:color w:val="auto"/>
          <w:sz w:val="24"/>
          <w:highlight w:val="none"/>
        </w:rPr>
      </w:pPr>
      <w:r>
        <w:rPr>
          <w:rFonts w:hint="eastAsia"/>
          <w:color w:val="auto"/>
          <w:sz w:val="24"/>
          <w:highlight w:val="none"/>
        </w:rPr>
        <w:t>2.1.2 资格评审标准：见评标办法前附表。</w:t>
      </w:r>
    </w:p>
    <w:p>
      <w:pPr>
        <w:spacing w:line="400" w:lineRule="exact"/>
        <w:ind w:firstLine="480" w:firstLineChars="200"/>
        <w:rPr>
          <w:rFonts w:hint="eastAsia"/>
          <w:color w:val="auto"/>
          <w:sz w:val="24"/>
          <w:highlight w:val="none"/>
        </w:rPr>
      </w:pPr>
      <w:r>
        <w:rPr>
          <w:rFonts w:hint="eastAsia"/>
          <w:color w:val="auto"/>
          <w:sz w:val="24"/>
          <w:highlight w:val="none"/>
        </w:rPr>
        <w:t>2.1.3 响应性评审标准：见评标办法前附表。</w:t>
      </w:r>
    </w:p>
    <w:p>
      <w:pPr>
        <w:spacing w:before="282" w:line="219" w:lineRule="auto"/>
        <w:ind w:left="36"/>
        <w:rPr>
          <w:rFonts w:ascii="黑体" w:hAnsi="黑体" w:eastAsia="黑体" w:cs="黑体"/>
          <w:sz w:val="24"/>
          <w:szCs w:val="24"/>
        </w:rPr>
      </w:pPr>
      <w:r>
        <w:rPr>
          <w:rFonts w:ascii="黑体" w:hAnsi="黑体" w:eastAsia="黑体" w:cs="黑体"/>
          <w:spacing w:val="-1"/>
          <w:sz w:val="24"/>
          <w:szCs w:val="24"/>
        </w:rPr>
        <w:t>2.2 分值构成与评分标准</w:t>
      </w:r>
    </w:p>
    <w:p>
      <w:pPr>
        <w:spacing w:line="273" w:lineRule="auto"/>
        <w:rPr>
          <w:rFonts w:ascii="Arial"/>
          <w:sz w:val="21"/>
        </w:rPr>
      </w:pPr>
    </w:p>
    <w:p>
      <w:pPr>
        <w:spacing w:before="79" w:line="220" w:lineRule="auto"/>
        <w:ind w:left="513"/>
        <w:rPr>
          <w:rFonts w:ascii="黑体" w:hAnsi="黑体" w:eastAsia="黑体" w:cs="黑体"/>
          <w:sz w:val="24"/>
          <w:szCs w:val="24"/>
        </w:rPr>
      </w:pPr>
      <w:r>
        <w:rPr>
          <w:rFonts w:ascii="Times New Roman" w:hAnsi="Times New Roman" w:eastAsia="Times New Roman" w:cs="Times New Roman"/>
          <w:spacing w:val="-2"/>
          <w:sz w:val="24"/>
          <w:szCs w:val="24"/>
        </w:rPr>
        <w:t>2.2.1</w:t>
      </w:r>
      <w:r>
        <w:rPr>
          <w:rFonts w:ascii="Times New Roman" w:hAnsi="Times New Roman" w:eastAsia="Times New Roman" w:cs="Times New Roman"/>
          <w:spacing w:val="7"/>
          <w:sz w:val="24"/>
          <w:szCs w:val="24"/>
        </w:rPr>
        <w:t xml:space="preserve">  </w:t>
      </w:r>
      <w:r>
        <w:rPr>
          <w:rFonts w:ascii="黑体" w:hAnsi="黑体" w:eastAsia="黑体" w:cs="黑体"/>
          <w:spacing w:val="-2"/>
          <w:sz w:val="24"/>
          <w:szCs w:val="24"/>
        </w:rPr>
        <w:t>分值构成</w:t>
      </w:r>
    </w:p>
    <w:p>
      <w:pPr>
        <w:spacing w:before="115" w:line="218" w:lineRule="auto"/>
        <w:ind w:left="517"/>
        <w:rPr>
          <w:rFonts w:ascii="宋体" w:hAnsi="宋体" w:eastAsia="宋体" w:cs="宋体"/>
          <w:spacing w:val="-4"/>
          <w:sz w:val="24"/>
          <w:szCs w:val="24"/>
        </w:rPr>
      </w:pPr>
      <w:r>
        <w:rPr>
          <w:rFonts w:ascii="宋体" w:hAnsi="宋体" w:eastAsia="宋体" w:cs="宋体"/>
          <w:spacing w:val="-4"/>
          <w:sz w:val="24"/>
          <w:szCs w:val="24"/>
        </w:rPr>
        <w:t>评标价：见评标办法前附表。</w:t>
      </w:r>
    </w:p>
    <w:p>
      <w:pPr>
        <w:spacing w:before="115" w:line="218" w:lineRule="auto"/>
        <w:ind w:left="517"/>
        <w:rPr>
          <w:rFonts w:ascii="宋体" w:hAnsi="宋体" w:eastAsia="宋体" w:cs="宋体"/>
          <w:spacing w:val="-4"/>
          <w:sz w:val="24"/>
          <w:szCs w:val="24"/>
        </w:rPr>
      </w:pPr>
      <w:r>
        <w:rPr>
          <w:spacing w:val="8"/>
          <w:sz w:val="24"/>
          <w:szCs w:val="24"/>
        </w:rPr>
        <w:t>其他因素：见评标办法前附表。</w:t>
      </w:r>
    </w:p>
    <w:p>
      <w:pPr>
        <w:spacing w:before="117" w:line="219" w:lineRule="auto"/>
        <w:ind w:left="513"/>
        <w:rPr>
          <w:rFonts w:ascii="黑体" w:hAnsi="黑体" w:eastAsia="黑体" w:cs="黑体"/>
          <w:sz w:val="24"/>
          <w:szCs w:val="24"/>
        </w:rPr>
      </w:pPr>
      <w:r>
        <w:rPr>
          <w:rFonts w:ascii="Times New Roman" w:hAnsi="Times New Roman" w:eastAsia="Times New Roman" w:cs="Times New Roman"/>
          <w:spacing w:val="-1"/>
          <w:sz w:val="24"/>
          <w:szCs w:val="24"/>
        </w:rPr>
        <w:t xml:space="preserve">2.2.2  </w:t>
      </w:r>
      <w:r>
        <w:rPr>
          <w:rFonts w:ascii="黑体" w:hAnsi="黑体" w:eastAsia="黑体" w:cs="黑体"/>
          <w:spacing w:val="-1"/>
          <w:sz w:val="24"/>
          <w:szCs w:val="24"/>
        </w:rPr>
        <w:t>评标基准价计算</w:t>
      </w:r>
    </w:p>
    <w:p>
      <w:pPr>
        <w:spacing w:before="114" w:line="218" w:lineRule="auto"/>
        <w:ind w:left="517"/>
        <w:rPr>
          <w:rFonts w:ascii="宋体" w:hAnsi="宋体" w:eastAsia="宋体" w:cs="宋体"/>
          <w:sz w:val="24"/>
          <w:szCs w:val="24"/>
        </w:rPr>
      </w:pPr>
      <w:r>
        <w:rPr>
          <w:rFonts w:ascii="宋体" w:hAnsi="宋体" w:eastAsia="宋体" w:cs="宋体"/>
          <w:spacing w:val="-3"/>
          <w:sz w:val="24"/>
          <w:szCs w:val="24"/>
        </w:rPr>
        <w:t>评标基准价计算方法：见评标办法前附表。</w:t>
      </w:r>
    </w:p>
    <w:p>
      <w:pPr>
        <w:spacing w:before="117" w:line="219" w:lineRule="auto"/>
        <w:ind w:left="513"/>
        <w:rPr>
          <w:rFonts w:ascii="黑体" w:hAnsi="黑体" w:eastAsia="黑体" w:cs="黑体"/>
          <w:sz w:val="24"/>
          <w:szCs w:val="24"/>
        </w:rPr>
      </w:pPr>
      <w:r>
        <w:rPr>
          <w:rFonts w:ascii="Times New Roman" w:hAnsi="Times New Roman" w:eastAsia="Times New Roman" w:cs="Times New Roman"/>
          <w:spacing w:val="-1"/>
          <w:sz w:val="24"/>
          <w:szCs w:val="24"/>
        </w:rPr>
        <w:t xml:space="preserve">2.2.3  </w:t>
      </w:r>
      <w:r>
        <w:rPr>
          <w:rFonts w:ascii="黑体" w:hAnsi="黑体" w:eastAsia="黑体" w:cs="黑体"/>
          <w:spacing w:val="-1"/>
          <w:sz w:val="24"/>
          <w:szCs w:val="24"/>
        </w:rPr>
        <w:t>评标价的偏差率计算</w:t>
      </w:r>
    </w:p>
    <w:p>
      <w:pPr>
        <w:spacing w:before="117" w:line="218" w:lineRule="auto"/>
        <w:ind w:left="517"/>
        <w:rPr>
          <w:rFonts w:ascii="宋体" w:hAnsi="宋体" w:eastAsia="宋体" w:cs="宋体"/>
          <w:sz w:val="24"/>
          <w:szCs w:val="24"/>
        </w:rPr>
      </w:pPr>
      <w:r>
        <w:rPr>
          <w:rFonts w:ascii="宋体" w:hAnsi="宋体" w:eastAsia="宋体" w:cs="宋体"/>
          <w:spacing w:val="-2"/>
          <w:sz w:val="24"/>
          <w:szCs w:val="24"/>
        </w:rPr>
        <w:t>评标价的偏差率计算公式：见评标办法前附表。</w:t>
      </w:r>
    </w:p>
    <w:p>
      <w:pPr>
        <w:spacing w:before="115" w:line="219" w:lineRule="auto"/>
        <w:ind w:left="513"/>
        <w:rPr>
          <w:rFonts w:ascii="黑体" w:hAnsi="黑体" w:eastAsia="黑体" w:cs="黑体"/>
          <w:sz w:val="24"/>
          <w:szCs w:val="24"/>
        </w:rPr>
      </w:pPr>
      <w:r>
        <w:rPr>
          <w:rFonts w:ascii="Times New Roman" w:hAnsi="Times New Roman" w:eastAsia="Times New Roman" w:cs="Times New Roman"/>
          <w:spacing w:val="-1"/>
          <w:sz w:val="24"/>
          <w:szCs w:val="24"/>
        </w:rPr>
        <w:t xml:space="preserve">2.2.4  </w:t>
      </w:r>
      <w:r>
        <w:rPr>
          <w:rFonts w:ascii="黑体" w:hAnsi="黑体" w:eastAsia="黑体" w:cs="黑体"/>
          <w:spacing w:val="-1"/>
          <w:sz w:val="24"/>
          <w:szCs w:val="24"/>
        </w:rPr>
        <w:t>评分标准</w:t>
      </w:r>
    </w:p>
    <w:p>
      <w:pPr>
        <w:spacing w:before="117" w:line="218" w:lineRule="auto"/>
        <w:ind w:left="517"/>
        <w:rPr>
          <w:rFonts w:ascii="宋体" w:hAnsi="宋体" w:eastAsia="宋体" w:cs="宋体"/>
          <w:spacing w:val="-3"/>
          <w:sz w:val="24"/>
          <w:szCs w:val="24"/>
          <w:highlight w:val="none"/>
        </w:rPr>
      </w:pPr>
      <w:r>
        <w:rPr>
          <w:rFonts w:ascii="宋体" w:hAnsi="宋体" w:eastAsia="宋体" w:cs="宋体"/>
          <w:spacing w:val="-3"/>
          <w:sz w:val="24"/>
          <w:szCs w:val="24"/>
          <w:highlight w:val="none"/>
        </w:rPr>
        <w:t>评标价评分标准：见评标办法前附表。</w:t>
      </w:r>
    </w:p>
    <w:p>
      <w:pPr>
        <w:spacing w:before="117" w:line="218" w:lineRule="auto"/>
        <w:ind w:left="517"/>
        <w:rPr>
          <w:rFonts w:ascii="宋体" w:hAnsi="宋体" w:eastAsia="宋体" w:cs="宋体"/>
          <w:spacing w:val="-3"/>
          <w:sz w:val="24"/>
          <w:szCs w:val="24"/>
          <w:highlight w:val="none"/>
        </w:rPr>
      </w:pPr>
      <w:r>
        <w:rPr>
          <w:spacing w:val="8"/>
          <w:sz w:val="20"/>
          <w:szCs w:val="20"/>
          <w:highlight w:val="none"/>
        </w:rPr>
        <w:t>其他因素评分标准：见评标办法前附表。</w:t>
      </w:r>
    </w:p>
    <w:p>
      <w:pPr>
        <w:spacing w:line="301" w:lineRule="auto"/>
        <w:rPr>
          <w:rFonts w:ascii="Arial"/>
          <w:sz w:val="21"/>
        </w:rPr>
      </w:pPr>
    </w:p>
    <w:p>
      <w:pPr>
        <w:spacing w:before="91" w:line="219" w:lineRule="auto"/>
        <w:ind w:left="39"/>
        <w:rPr>
          <w:rFonts w:ascii="黑体" w:hAnsi="黑体" w:eastAsia="黑体" w:cs="黑体"/>
          <w:sz w:val="28"/>
          <w:szCs w:val="28"/>
        </w:rPr>
      </w:pPr>
      <w:r>
        <w:rPr>
          <w:rFonts w:ascii="黑体" w:hAnsi="黑体" w:eastAsia="黑体" w:cs="黑体"/>
          <w:spacing w:val="-1"/>
          <w:sz w:val="28"/>
          <w:szCs w:val="28"/>
        </w:rPr>
        <w:t>3. 评标程序</w:t>
      </w:r>
    </w:p>
    <w:p>
      <w:pPr>
        <w:spacing w:before="264" w:line="219" w:lineRule="auto"/>
        <w:ind w:left="38"/>
        <w:rPr>
          <w:rFonts w:ascii="黑体" w:hAnsi="黑体" w:eastAsia="黑体" w:cs="黑体"/>
          <w:sz w:val="24"/>
          <w:szCs w:val="24"/>
        </w:rPr>
      </w:pPr>
      <w:r>
        <w:rPr>
          <w:rFonts w:ascii="黑体" w:hAnsi="黑体" w:eastAsia="黑体" w:cs="黑体"/>
          <w:spacing w:val="-1"/>
          <w:sz w:val="24"/>
          <w:szCs w:val="24"/>
        </w:rPr>
        <w:t>3.1 第一个信封初步评审</w:t>
      </w:r>
    </w:p>
    <w:p>
      <w:pPr>
        <w:spacing w:line="275" w:lineRule="auto"/>
        <w:rPr>
          <w:rFonts w:ascii="Arial"/>
          <w:sz w:val="21"/>
        </w:rPr>
      </w:pPr>
    </w:p>
    <w:p>
      <w:pPr>
        <w:spacing w:before="79" w:line="308" w:lineRule="auto"/>
        <w:ind w:left="39" w:right="65" w:firstLine="479"/>
        <w:jc w:val="both"/>
        <w:rPr>
          <w:rFonts w:ascii="宋体" w:hAnsi="宋体" w:eastAsia="宋体" w:cs="宋体"/>
          <w:sz w:val="24"/>
          <w:szCs w:val="24"/>
        </w:rPr>
      </w:pPr>
      <w:r>
        <w:rPr>
          <w:rFonts w:ascii="Times New Roman" w:hAnsi="Times New Roman" w:eastAsia="Times New Roman" w:cs="Times New Roman"/>
          <w:spacing w:val="-1"/>
          <w:sz w:val="24"/>
          <w:szCs w:val="24"/>
        </w:rPr>
        <w:t xml:space="preserve">3.1.1  </w:t>
      </w:r>
      <w:r>
        <w:rPr>
          <w:rFonts w:ascii="宋体" w:hAnsi="宋体" w:eastAsia="宋体" w:cs="宋体"/>
          <w:spacing w:val="-1"/>
          <w:sz w:val="24"/>
          <w:szCs w:val="24"/>
        </w:rPr>
        <w:t>评标委员会可以要求投标人提交第二章</w:t>
      </w:r>
      <w:r>
        <w:rPr>
          <w:rFonts w:ascii="Times New Roman" w:hAnsi="Times New Roman" w:eastAsia="Times New Roman" w:cs="Times New Roman"/>
          <w:spacing w:val="-1"/>
          <w:sz w:val="24"/>
          <w:szCs w:val="24"/>
        </w:rPr>
        <w:t>“</w:t>
      </w:r>
      <w:r>
        <w:rPr>
          <w:rFonts w:ascii="宋体" w:hAnsi="宋体" w:eastAsia="宋体" w:cs="宋体"/>
          <w:spacing w:val="-1"/>
          <w:sz w:val="24"/>
          <w:szCs w:val="24"/>
        </w:rPr>
        <w:t>投标人须知</w:t>
      </w:r>
      <w:r>
        <w:rPr>
          <w:rFonts w:ascii="Times New Roman" w:hAnsi="Times New Roman" w:eastAsia="Times New Roman" w:cs="Times New Roman"/>
          <w:spacing w:val="-1"/>
          <w:sz w:val="24"/>
          <w:szCs w:val="24"/>
        </w:rPr>
        <w:t>”</w:t>
      </w:r>
      <w:r>
        <w:rPr>
          <w:rFonts w:ascii="宋体" w:hAnsi="宋体" w:eastAsia="宋体" w:cs="宋体"/>
          <w:spacing w:val="-1"/>
          <w:sz w:val="24"/>
          <w:szCs w:val="24"/>
        </w:rPr>
        <w:t>第</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3.5.1</w:t>
      </w:r>
      <w:r>
        <w:rPr>
          <w:rFonts w:ascii="Times New Roman" w:hAnsi="Times New Roman" w:eastAsia="Times New Roman" w:cs="Times New Roman"/>
          <w:spacing w:val="16"/>
          <w:sz w:val="24"/>
          <w:szCs w:val="24"/>
        </w:rPr>
        <w:t xml:space="preserve"> </w:t>
      </w:r>
      <w:r>
        <w:rPr>
          <w:rFonts w:ascii="宋体" w:hAnsi="宋体" w:eastAsia="宋体" w:cs="宋体"/>
          <w:spacing w:val="-1"/>
          <w:sz w:val="24"/>
          <w:szCs w:val="24"/>
        </w:rPr>
        <w:t>项至第</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3.5.6</w:t>
      </w:r>
      <w:r>
        <w:rPr>
          <w:rFonts w:ascii="Times New Roman" w:hAnsi="Times New Roman" w:eastAsia="Times New Roman" w:cs="Times New Roman"/>
          <w:sz w:val="24"/>
          <w:szCs w:val="24"/>
        </w:rPr>
        <w:t xml:space="preserve"> </w:t>
      </w:r>
      <w:r>
        <w:rPr>
          <w:rFonts w:ascii="宋体" w:hAnsi="宋体" w:eastAsia="宋体" w:cs="宋体"/>
          <w:spacing w:val="-1"/>
          <w:sz w:val="24"/>
          <w:szCs w:val="24"/>
        </w:rPr>
        <w:t xml:space="preserve">项规定的有关证明和证件的原件，以便核验。评标委员会依据本章第 </w:t>
      </w:r>
      <w:r>
        <w:rPr>
          <w:rFonts w:ascii="Times New Roman" w:hAnsi="Times New Roman" w:eastAsia="Times New Roman" w:cs="Times New Roman"/>
          <w:spacing w:val="-1"/>
          <w:sz w:val="24"/>
          <w:szCs w:val="24"/>
        </w:rPr>
        <w:t>2.1</w:t>
      </w:r>
      <w:r>
        <w:rPr>
          <w:rFonts w:ascii="宋体" w:hAnsi="宋体" w:eastAsia="宋体" w:cs="宋体"/>
          <w:spacing w:val="-1"/>
          <w:sz w:val="24"/>
          <w:szCs w:val="24"/>
        </w:rPr>
        <w:t>款规定的</w:t>
      </w:r>
      <w:r>
        <w:rPr>
          <w:rFonts w:ascii="宋体" w:hAnsi="宋体" w:eastAsia="宋体" w:cs="宋体"/>
          <w:sz w:val="24"/>
          <w:szCs w:val="24"/>
        </w:rPr>
        <w:t xml:space="preserve"> </w:t>
      </w:r>
      <w:r>
        <w:rPr>
          <w:rFonts w:ascii="宋体" w:hAnsi="宋体" w:eastAsia="宋体" w:cs="宋体"/>
          <w:spacing w:val="1"/>
          <w:sz w:val="24"/>
          <w:szCs w:val="24"/>
        </w:rPr>
        <w:t>标准对投标文件第一个信封（商务及技术文</w:t>
      </w:r>
      <w:r>
        <w:rPr>
          <w:rFonts w:ascii="宋体" w:hAnsi="宋体" w:eastAsia="宋体" w:cs="宋体"/>
          <w:sz w:val="24"/>
          <w:szCs w:val="24"/>
        </w:rPr>
        <w:t>件）进行初步评审。有一项不符合评审</w:t>
      </w:r>
      <w:r>
        <w:rPr>
          <w:rFonts w:ascii="宋体" w:hAnsi="宋体" w:eastAsia="宋体" w:cs="宋体"/>
          <w:spacing w:val="-8"/>
          <w:sz w:val="24"/>
          <w:szCs w:val="24"/>
        </w:rPr>
        <w:t>标准的，评标委员会应否决其投标。（适</w:t>
      </w:r>
      <w:r>
        <w:rPr>
          <w:rFonts w:ascii="宋体" w:hAnsi="宋体" w:eastAsia="宋体" w:cs="宋体"/>
          <w:spacing w:val="-9"/>
          <w:sz w:val="24"/>
          <w:szCs w:val="24"/>
        </w:rPr>
        <w:t>用于未进行资格预审的）</w:t>
      </w:r>
    </w:p>
    <w:p>
      <w:pPr>
        <w:spacing w:before="264" w:line="219" w:lineRule="auto"/>
        <w:ind w:left="38"/>
        <w:rPr>
          <w:rFonts w:ascii="黑体" w:hAnsi="黑体" w:eastAsia="黑体" w:cs="黑体"/>
          <w:sz w:val="24"/>
          <w:szCs w:val="24"/>
        </w:rPr>
      </w:pPr>
      <w:r>
        <w:rPr>
          <w:rFonts w:ascii="黑体" w:hAnsi="黑体" w:eastAsia="黑体" w:cs="黑体"/>
          <w:spacing w:val="-1"/>
          <w:sz w:val="24"/>
          <w:szCs w:val="24"/>
        </w:rPr>
        <w:t>3.2 第二个信封开标</w:t>
      </w:r>
    </w:p>
    <w:p>
      <w:pPr>
        <w:spacing w:line="275" w:lineRule="auto"/>
        <w:rPr>
          <w:rFonts w:ascii="Arial"/>
          <w:sz w:val="21"/>
        </w:rPr>
      </w:pPr>
    </w:p>
    <w:p>
      <w:pPr>
        <w:spacing w:before="78" w:line="278" w:lineRule="auto"/>
        <w:ind w:left="38" w:right="52" w:firstLine="479"/>
        <w:jc w:val="both"/>
        <w:rPr>
          <w:rFonts w:ascii="宋体" w:hAnsi="宋体" w:eastAsia="宋体" w:cs="宋体"/>
          <w:sz w:val="24"/>
          <w:szCs w:val="24"/>
        </w:rPr>
      </w:pPr>
      <w:r>
        <w:rPr>
          <w:rFonts w:ascii="宋体" w:hAnsi="宋体" w:eastAsia="宋体" w:cs="宋体"/>
          <w:spacing w:val="-9"/>
          <w:sz w:val="24"/>
          <w:szCs w:val="24"/>
        </w:rPr>
        <w:t>第一个信封（商务及技术文件）</w:t>
      </w:r>
      <w:r>
        <w:rPr>
          <w:rFonts w:ascii="宋体" w:hAnsi="宋体" w:eastAsia="宋体" w:cs="宋体"/>
          <w:spacing w:val="-35"/>
          <w:sz w:val="24"/>
          <w:szCs w:val="24"/>
        </w:rPr>
        <w:t xml:space="preserve"> </w:t>
      </w:r>
      <w:r>
        <w:rPr>
          <w:rFonts w:ascii="宋体" w:hAnsi="宋体" w:eastAsia="宋体" w:cs="宋体"/>
          <w:spacing w:val="-9"/>
          <w:sz w:val="24"/>
          <w:szCs w:val="24"/>
        </w:rPr>
        <w:t>评审结束后， 招标人将按照第二章</w:t>
      </w:r>
      <w:r>
        <w:rPr>
          <w:rFonts w:ascii="Times New Roman" w:hAnsi="Times New Roman" w:eastAsia="Times New Roman" w:cs="Times New Roman"/>
          <w:spacing w:val="-9"/>
          <w:sz w:val="24"/>
          <w:szCs w:val="24"/>
        </w:rPr>
        <w:t>“</w:t>
      </w:r>
      <w:r>
        <w:rPr>
          <w:rFonts w:ascii="宋体" w:hAnsi="宋体" w:eastAsia="宋体" w:cs="宋体"/>
          <w:spacing w:val="-10"/>
          <w:sz w:val="24"/>
          <w:szCs w:val="24"/>
        </w:rPr>
        <w:t>投标人须知</w:t>
      </w:r>
      <w:r>
        <w:rPr>
          <w:rFonts w:ascii="Times New Roman" w:hAnsi="Times New Roman" w:eastAsia="Times New Roman" w:cs="Times New Roman"/>
          <w:spacing w:val="-10"/>
          <w:sz w:val="24"/>
          <w:szCs w:val="24"/>
        </w:rPr>
        <w:t>”</w:t>
      </w:r>
      <w:r>
        <w:rPr>
          <w:rFonts w:ascii="Times New Roman" w:hAnsi="Times New Roman" w:eastAsia="Times New Roman" w:cs="Times New Roman"/>
          <w:sz w:val="24"/>
          <w:szCs w:val="24"/>
        </w:rPr>
        <w:t xml:space="preserve"> </w:t>
      </w:r>
      <w:r>
        <w:rPr>
          <w:rFonts w:ascii="宋体" w:hAnsi="宋体" w:eastAsia="宋体" w:cs="宋体"/>
          <w:spacing w:val="-1"/>
          <w:sz w:val="24"/>
          <w:szCs w:val="24"/>
        </w:rPr>
        <w:t xml:space="preserve">第 </w:t>
      </w:r>
      <w:r>
        <w:rPr>
          <w:rFonts w:ascii="Times New Roman" w:hAnsi="Times New Roman" w:eastAsia="Times New Roman" w:cs="Times New Roman"/>
          <w:spacing w:val="-1"/>
          <w:sz w:val="24"/>
          <w:szCs w:val="24"/>
        </w:rPr>
        <w:t>5.1</w:t>
      </w:r>
      <w:r>
        <w:rPr>
          <w:rFonts w:ascii="Times New Roman" w:hAnsi="Times New Roman" w:eastAsia="Times New Roman" w:cs="Times New Roman"/>
          <w:spacing w:val="64"/>
          <w:sz w:val="24"/>
          <w:szCs w:val="24"/>
        </w:rPr>
        <w:t xml:space="preserve"> </w:t>
      </w:r>
      <w:r>
        <w:rPr>
          <w:rFonts w:ascii="宋体" w:hAnsi="宋体" w:eastAsia="宋体" w:cs="宋体"/>
          <w:spacing w:val="-1"/>
          <w:sz w:val="24"/>
          <w:szCs w:val="24"/>
        </w:rPr>
        <w:t>款规定的时间和地点对通过投标文件第一个信封（商务及技术文件）评审的</w:t>
      </w:r>
      <w:r>
        <w:rPr>
          <w:rFonts w:ascii="宋体" w:hAnsi="宋体" w:eastAsia="宋体" w:cs="宋体"/>
          <w:sz w:val="24"/>
          <w:szCs w:val="24"/>
        </w:rPr>
        <w:t xml:space="preserve"> </w:t>
      </w:r>
      <w:r>
        <w:rPr>
          <w:rFonts w:ascii="宋体" w:hAnsi="宋体" w:eastAsia="宋体" w:cs="宋体"/>
          <w:spacing w:val="-2"/>
          <w:sz w:val="24"/>
          <w:szCs w:val="24"/>
        </w:rPr>
        <w:t>投标文件第二个信封（报价文件）进行开标。</w:t>
      </w:r>
    </w:p>
    <w:p>
      <w:pPr>
        <w:spacing w:before="268" w:line="219" w:lineRule="auto"/>
        <w:ind w:left="38"/>
        <w:rPr>
          <w:rFonts w:ascii="黑体" w:hAnsi="黑体" w:eastAsia="黑体" w:cs="黑体"/>
          <w:sz w:val="24"/>
          <w:szCs w:val="24"/>
        </w:rPr>
      </w:pPr>
      <w:r>
        <w:rPr>
          <w:rFonts w:ascii="黑体" w:hAnsi="黑体" w:eastAsia="黑体" w:cs="黑体"/>
          <w:spacing w:val="-1"/>
          <w:sz w:val="24"/>
          <w:szCs w:val="24"/>
        </w:rPr>
        <w:t>3.3 第二个信封初步评审</w:t>
      </w:r>
    </w:p>
    <w:p>
      <w:pPr>
        <w:spacing w:line="277" w:lineRule="auto"/>
        <w:rPr>
          <w:rFonts w:ascii="Arial"/>
          <w:sz w:val="21"/>
        </w:rPr>
      </w:pPr>
    </w:p>
    <w:p>
      <w:pPr>
        <w:spacing w:before="78" w:line="307" w:lineRule="auto"/>
        <w:ind w:left="41" w:right="104" w:firstLine="476"/>
        <w:rPr>
          <w:rFonts w:ascii="宋体" w:hAnsi="宋体" w:eastAsia="宋体" w:cs="宋体"/>
          <w:sz w:val="24"/>
          <w:szCs w:val="24"/>
        </w:rPr>
      </w:pPr>
      <w:r>
        <w:rPr>
          <w:rFonts w:ascii="Times New Roman" w:hAnsi="Times New Roman" w:eastAsia="Times New Roman" w:cs="Times New Roman"/>
          <w:spacing w:val="-2"/>
          <w:sz w:val="24"/>
          <w:szCs w:val="24"/>
        </w:rPr>
        <w:t xml:space="preserve">3.3.1  </w:t>
      </w:r>
      <w:r>
        <w:rPr>
          <w:rFonts w:ascii="宋体" w:hAnsi="宋体" w:eastAsia="宋体" w:cs="宋体"/>
          <w:spacing w:val="-2"/>
          <w:sz w:val="24"/>
          <w:szCs w:val="24"/>
        </w:rPr>
        <w:t>评标委员会依据本章第</w:t>
      </w:r>
      <w:r>
        <w:rPr>
          <w:rFonts w:ascii="宋体" w:hAnsi="宋体" w:eastAsia="宋体" w:cs="宋体"/>
          <w:spacing w:val="-54"/>
          <w:sz w:val="24"/>
          <w:szCs w:val="24"/>
        </w:rPr>
        <w:t xml:space="preserve"> </w:t>
      </w:r>
      <w:r>
        <w:rPr>
          <w:rFonts w:ascii="Times New Roman" w:hAnsi="Times New Roman" w:eastAsia="Times New Roman" w:cs="Times New Roman"/>
          <w:spacing w:val="-2"/>
          <w:sz w:val="24"/>
          <w:szCs w:val="24"/>
        </w:rPr>
        <w:t xml:space="preserve">2.1.1 </w:t>
      </w:r>
      <w:r>
        <w:rPr>
          <w:rFonts w:ascii="宋体" w:hAnsi="宋体" w:eastAsia="宋体" w:cs="宋体"/>
          <w:spacing w:val="-2"/>
          <w:sz w:val="24"/>
          <w:szCs w:val="24"/>
        </w:rPr>
        <w:t>项、第</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 xml:space="preserve">2.1.3 </w:t>
      </w:r>
      <w:r>
        <w:rPr>
          <w:rFonts w:ascii="宋体" w:hAnsi="宋体" w:eastAsia="宋体" w:cs="宋体"/>
          <w:spacing w:val="-2"/>
          <w:sz w:val="24"/>
          <w:szCs w:val="24"/>
        </w:rPr>
        <w:t>项</w:t>
      </w:r>
      <w:r>
        <w:rPr>
          <w:rFonts w:ascii="宋体" w:hAnsi="宋体" w:eastAsia="宋体" w:cs="宋体"/>
          <w:spacing w:val="-3"/>
          <w:sz w:val="24"/>
          <w:szCs w:val="24"/>
        </w:rPr>
        <w:t>规定的评审标准对投标文件第</w:t>
      </w:r>
      <w:r>
        <w:rPr>
          <w:rFonts w:ascii="宋体" w:hAnsi="宋体" w:eastAsia="宋体" w:cs="宋体"/>
          <w:sz w:val="24"/>
          <w:szCs w:val="24"/>
        </w:rPr>
        <w:t xml:space="preserve"> </w:t>
      </w:r>
      <w:r>
        <w:rPr>
          <w:rFonts w:ascii="宋体" w:hAnsi="宋体" w:eastAsia="宋体" w:cs="宋体"/>
          <w:spacing w:val="-2"/>
          <w:sz w:val="24"/>
          <w:szCs w:val="24"/>
        </w:rPr>
        <w:t>二个信封（报价文件）</w:t>
      </w:r>
      <w:r>
        <w:rPr>
          <w:rFonts w:ascii="宋体" w:hAnsi="宋体" w:eastAsia="宋体" w:cs="宋体"/>
          <w:spacing w:val="-31"/>
          <w:sz w:val="24"/>
          <w:szCs w:val="24"/>
        </w:rPr>
        <w:t xml:space="preserve"> </w:t>
      </w:r>
      <w:r>
        <w:rPr>
          <w:rFonts w:ascii="宋体" w:hAnsi="宋体" w:eastAsia="宋体" w:cs="宋体"/>
          <w:spacing w:val="-2"/>
          <w:sz w:val="24"/>
          <w:szCs w:val="24"/>
        </w:rPr>
        <w:t>进行初步评审。有一项不符合评审标准的，评标委员会应否</w:t>
      </w:r>
      <w:r>
        <w:rPr>
          <w:rFonts w:ascii="宋体" w:hAnsi="宋体" w:eastAsia="宋体" w:cs="宋体"/>
          <w:spacing w:val="-4"/>
          <w:sz w:val="24"/>
          <w:szCs w:val="24"/>
        </w:rPr>
        <w:t>决其投标。</w:t>
      </w:r>
    </w:p>
    <w:p>
      <w:pPr>
        <w:spacing w:before="109" w:line="310" w:lineRule="auto"/>
        <w:ind w:left="38" w:right="109" w:firstLine="480"/>
        <w:rPr>
          <w:rFonts w:ascii="宋体" w:hAnsi="宋体" w:eastAsia="宋体" w:cs="宋体"/>
          <w:sz w:val="24"/>
          <w:szCs w:val="24"/>
        </w:rPr>
      </w:pPr>
      <w:r>
        <w:rPr>
          <w:rFonts w:ascii="Times New Roman" w:hAnsi="Times New Roman" w:eastAsia="Times New Roman" w:cs="Times New Roman"/>
          <w:sz w:val="24"/>
          <w:szCs w:val="24"/>
        </w:rPr>
        <w:t>3.3.2</w:t>
      </w:r>
      <w:r>
        <w:rPr>
          <w:rFonts w:hint="eastAsia" w:ascii="Times New Roman" w:hAnsi="Times New Roman" w:eastAsia="宋体" w:cs="Times New Roman"/>
          <w:sz w:val="24"/>
          <w:szCs w:val="24"/>
          <w:lang w:val="en-US" w:eastAsia="zh-CN"/>
        </w:rPr>
        <w:t xml:space="preserve"> </w:t>
      </w:r>
      <w:r>
        <w:rPr>
          <w:rFonts w:ascii="宋体" w:hAnsi="宋体" w:eastAsia="宋体" w:cs="宋体"/>
          <w:sz w:val="24"/>
          <w:szCs w:val="24"/>
        </w:rPr>
        <w:t>投标报价有算术错误的，评标委员会按以下原则对投标报价进行修正，</w:t>
      </w:r>
      <w:r>
        <w:rPr>
          <w:rFonts w:ascii="宋体" w:hAnsi="宋体" w:eastAsia="宋体" w:cs="宋体"/>
          <w:spacing w:val="15"/>
          <w:sz w:val="24"/>
          <w:szCs w:val="24"/>
        </w:rPr>
        <w:t xml:space="preserve"> </w:t>
      </w:r>
      <w:r>
        <w:rPr>
          <w:rFonts w:ascii="宋体" w:hAnsi="宋体" w:eastAsia="宋体" w:cs="宋体"/>
          <w:spacing w:val="-3"/>
          <w:sz w:val="24"/>
          <w:szCs w:val="24"/>
        </w:rPr>
        <w:t>修正的价格经投标人书面确认后具有约束力。投标人不接受修正价格的， 评标委员</w:t>
      </w:r>
      <w:r>
        <w:rPr>
          <w:rFonts w:ascii="宋体" w:hAnsi="宋体" w:eastAsia="宋体" w:cs="宋体"/>
          <w:spacing w:val="-5"/>
          <w:sz w:val="24"/>
          <w:szCs w:val="24"/>
        </w:rPr>
        <w:t>会应否决其投标。</w:t>
      </w:r>
    </w:p>
    <w:p>
      <w:pPr>
        <w:spacing w:before="116" w:line="220" w:lineRule="auto"/>
        <w:ind w:left="524"/>
        <w:rPr>
          <w:rFonts w:ascii="宋体" w:hAnsi="宋体" w:eastAsia="宋体" w:cs="宋体"/>
          <w:spacing w:val="-3"/>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）投标文件中的大写金额与小写金额不一致的，以大</w:t>
      </w:r>
      <w:r>
        <w:rPr>
          <w:rFonts w:ascii="宋体" w:hAnsi="宋体" w:eastAsia="宋体" w:cs="宋体"/>
          <w:spacing w:val="-3"/>
          <w:sz w:val="24"/>
          <w:szCs w:val="24"/>
        </w:rPr>
        <w:t>写金额为准；</w:t>
      </w:r>
    </w:p>
    <w:p>
      <w:pPr>
        <w:spacing w:before="116" w:line="220" w:lineRule="auto"/>
        <w:ind w:firstLine="472" w:firstLineChars="200"/>
        <w:rPr>
          <w:rFonts w:ascii="宋体" w:hAnsi="宋体" w:eastAsia="宋体" w:cs="宋体"/>
          <w:spacing w:val="-2"/>
          <w:sz w:val="24"/>
          <w:szCs w:val="24"/>
        </w:rPr>
      </w:pPr>
      <w:r>
        <w:rPr>
          <w:rFonts w:ascii="宋体" w:hAnsi="宋体" w:eastAsia="宋体" w:cs="宋体"/>
          <w:spacing w:val="-2"/>
          <w:sz w:val="24"/>
          <w:szCs w:val="24"/>
        </w:rPr>
        <w:t>（2）总价金额与依据单价计算出的结果不一致的，以单价金额为准修正总价，但单价金额小数点有明显错误的除外；</w:t>
      </w:r>
    </w:p>
    <w:p>
      <w:pPr>
        <w:spacing w:before="116" w:line="220" w:lineRule="auto"/>
        <w:ind w:firstLine="472" w:firstLineChars="200"/>
        <w:rPr>
          <w:rFonts w:ascii="宋体" w:hAnsi="宋体" w:eastAsia="宋体" w:cs="宋体"/>
          <w:sz w:val="24"/>
          <w:szCs w:val="24"/>
        </w:rPr>
      </w:pPr>
      <w:r>
        <w:rPr>
          <w:rFonts w:ascii="宋体" w:hAnsi="宋体" w:eastAsia="宋体" w:cs="宋体"/>
          <w:spacing w:val="-2"/>
          <w:sz w:val="24"/>
          <w:szCs w:val="24"/>
        </w:rPr>
        <w:t>（3）当单价与数量相乘不等于合价时，以</w:t>
      </w:r>
      <w:r>
        <w:rPr>
          <w:rFonts w:ascii="宋体" w:hAnsi="宋体" w:eastAsia="宋体" w:cs="宋体"/>
          <w:spacing w:val="-13"/>
          <w:sz w:val="24"/>
          <w:szCs w:val="24"/>
        </w:rPr>
        <w:t>单价计算为准，如果单价有明显的小</w:t>
      </w:r>
      <w:r>
        <w:rPr>
          <w:rFonts w:ascii="宋体" w:hAnsi="宋体" w:eastAsia="宋体" w:cs="宋体"/>
          <w:spacing w:val="-2"/>
          <w:sz w:val="24"/>
          <w:szCs w:val="24"/>
        </w:rPr>
        <w:t>数点位置差错，应以标出的合价为准，同时对单价予以</w:t>
      </w:r>
      <w:r>
        <w:rPr>
          <w:rFonts w:ascii="宋体" w:hAnsi="宋体" w:eastAsia="宋体" w:cs="宋体"/>
          <w:spacing w:val="-3"/>
          <w:sz w:val="24"/>
          <w:szCs w:val="24"/>
        </w:rPr>
        <w:t>修正；</w:t>
      </w:r>
    </w:p>
    <w:p>
      <w:pPr>
        <w:spacing w:before="118" w:line="262" w:lineRule="auto"/>
        <w:ind w:left="40" w:right="108" w:firstLine="484"/>
        <w:rPr>
          <w:rFonts w:ascii="宋体" w:hAnsi="宋体" w:eastAsia="宋体" w:cs="宋体"/>
          <w:spacing w:val="-13"/>
          <w:sz w:val="24"/>
          <w:szCs w:val="24"/>
        </w:rPr>
      </w:pPr>
      <w:r>
        <w:rPr>
          <w:rFonts w:ascii="宋体" w:hAnsi="宋体" w:eastAsia="宋体" w:cs="宋体"/>
          <w:spacing w:val="-13"/>
          <w:sz w:val="24"/>
          <w:szCs w:val="24"/>
        </w:rPr>
        <w:t>（4）当各子目的合价累计不等于总价时，应以各子目合价累计数为准，修正总价。</w:t>
      </w:r>
    </w:p>
    <w:p>
      <w:pPr>
        <w:spacing w:before="118" w:line="262" w:lineRule="auto"/>
        <w:ind w:left="40" w:right="108" w:firstLine="484"/>
        <w:rPr>
          <w:rFonts w:ascii="宋体" w:hAnsi="宋体" w:eastAsia="宋体" w:cs="宋体"/>
          <w:spacing w:val="-5"/>
          <w:sz w:val="24"/>
          <w:szCs w:val="24"/>
        </w:rPr>
      </w:pPr>
      <w:r>
        <w:rPr>
          <w:rFonts w:ascii="宋体" w:hAnsi="宋体" w:eastAsia="宋体" w:cs="宋体"/>
          <w:spacing w:val="-13"/>
          <w:sz w:val="24"/>
          <w:szCs w:val="24"/>
        </w:rPr>
        <w:t>3.3.3  工程量清单中的投标报价有其他错误的，评标委员会按以下原则对投标报</w:t>
      </w:r>
      <w:r>
        <w:rPr>
          <w:rFonts w:ascii="宋体" w:hAnsi="宋体" w:eastAsia="宋体" w:cs="宋体"/>
          <w:sz w:val="24"/>
          <w:szCs w:val="24"/>
        </w:rPr>
        <w:t>价进行修正，修正的价格经投标人书面确认后具有约束力。投标人不接受修正价格</w:t>
      </w:r>
      <w:r>
        <w:rPr>
          <w:rFonts w:ascii="宋体" w:hAnsi="宋体" w:eastAsia="宋体" w:cs="宋体"/>
          <w:spacing w:val="-5"/>
          <w:sz w:val="24"/>
          <w:szCs w:val="24"/>
        </w:rPr>
        <w:t>的，评标委员会应否决其投标。</w:t>
      </w:r>
    </w:p>
    <w:p>
      <w:pPr>
        <w:spacing w:before="118" w:line="262" w:lineRule="auto"/>
        <w:ind w:left="40" w:right="108" w:firstLine="484"/>
        <w:rPr>
          <w:rFonts w:ascii="宋体" w:hAnsi="宋体" w:eastAsia="宋体" w:cs="宋体"/>
          <w:spacing w:val="-6"/>
          <w:sz w:val="24"/>
          <w:szCs w:val="24"/>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1</w:t>
      </w:r>
      <w:r>
        <w:rPr>
          <w:rFonts w:ascii="宋体" w:hAnsi="宋体" w:eastAsia="宋体" w:cs="宋体"/>
          <w:spacing w:val="-8"/>
          <w:sz w:val="24"/>
          <w:szCs w:val="24"/>
        </w:rPr>
        <w:t>）在招标人给定的工程量清单中漏报了某个工程子目的单价、合价或总额价，</w:t>
      </w:r>
      <w:r>
        <w:rPr>
          <w:rFonts w:ascii="宋体" w:hAnsi="宋体" w:eastAsia="宋体" w:cs="宋体"/>
          <w:spacing w:val="11"/>
          <w:sz w:val="24"/>
          <w:szCs w:val="24"/>
        </w:rPr>
        <w:t xml:space="preserve"> </w:t>
      </w:r>
      <w:r>
        <w:rPr>
          <w:rFonts w:ascii="宋体" w:hAnsi="宋体" w:eastAsia="宋体" w:cs="宋体"/>
          <w:spacing w:val="-3"/>
          <w:sz w:val="24"/>
          <w:szCs w:val="24"/>
        </w:rPr>
        <w:t>或所报单价、合价或总额价减少了报价范围， 则漏报的工程子目单价、合价和总额</w:t>
      </w:r>
      <w:r>
        <w:rPr>
          <w:rFonts w:ascii="宋体" w:hAnsi="宋体" w:eastAsia="宋体" w:cs="宋体"/>
          <w:sz w:val="24"/>
          <w:szCs w:val="24"/>
        </w:rPr>
        <w:t>价或单价、合价和总额价中减少的报价内容视为已含入其他工程子目的单价、合价</w:t>
      </w:r>
      <w:r>
        <w:rPr>
          <w:rFonts w:ascii="宋体" w:hAnsi="宋体" w:eastAsia="宋体" w:cs="宋体"/>
          <w:spacing w:val="-6"/>
          <w:sz w:val="24"/>
          <w:szCs w:val="24"/>
        </w:rPr>
        <w:t>和总额价之中。</w:t>
      </w:r>
    </w:p>
    <w:p>
      <w:pPr>
        <w:spacing w:before="118" w:line="262" w:lineRule="auto"/>
        <w:ind w:left="40" w:right="108" w:firstLine="484"/>
        <w:rPr>
          <w:rFonts w:ascii="宋体" w:hAnsi="宋体" w:eastAsia="宋体" w:cs="宋体"/>
          <w:sz w:val="24"/>
          <w:szCs w:val="24"/>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2</w:t>
      </w:r>
      <w:r>
        <w:rPr>
          <w:rFonts w:ascii="宋体" w:hAnsi="宋体" w:eastAsia="宋体" w:cs="宋体"/>
          <w:spacing w:val="-8"/>
          <w:sz w:val="24"/>
          <w:szCs w:val="24"/>
        </w:rPr>
        <w:t>）在招标人给定的工程量清单中多报了某个工程子目的单价、合价或总额价，</w:t>
      </w:r>
      <w:r>
        <w:rPr>
          <w:rFonts w:ascii="宋体" w:hAnsi="宋体" w:eastAsia="宋体" w:cs="宋体"/>
          <w:spacing w:val="-3"/>
          <w:sz w:val="24"/>
          <w:szCs w:val="24"/>
        </w:rPr>
        <w:t>或所报单价、合价或总额价增加了报价范围，则从投标报价中扣除多报的工程子目</w:t>
      </w:r>
      <w:r>
        <w:rPr>
          <w:rFonts w:ascii="宋体" w:hAnsi="宋体" w:eastAsia="宋体" w:cs="宋体"/>
          <w:spacing w:val="-2"/>
          <w:sz w:val="24"/>
          <w:szCs w:val="24"/>
        </w:rPr>
        <w:t>报价或工程子目报价中增加了报价范围的部分报价。</w:t>
      </w:r>
    </w:p>
    <w:p>
      <w:pPr>
        <w:spacing w:before="114" w:line="401" w:lineRule="exact"/>
        <w:ind w:left="524"/>
        <w:rPr>
          <w:rFonts w:ascii="宋体" w:hAnsi="宋体" w:eastAsia="宋体" w:cs="宋体"/>
          <w:sz w:val="24"/>
          <w:szCs w:val="24"/>
        </w:rPr>
      </w:pPr>
      <w:r>
        <w:rPr>
          <w:rFonts w:ascii="宋体" w:hAnsi="宋体" w:eastAsia="宋体" w:cs="宋体"/>
          <w:spacing w:val="-5"/>
          <w:position w:val="11"/>
          <w:sz w:val="24"/>
          <w:szCs w:val="24"/>
        </w:rPr>
        <w:t>（</w:t>
      </w:r>
      <w:r>
        <w:rPr>
          <w:rFonts w:ascii="Times New Roman" w:hAnsi="Times New Roman" w:eastAsia="Times New Roman" w:cs="Times New Roman"/>
          <w:spacing w:val="-5"/>
          <w:position w:val="11"/>
          <w:sz w:val="24"/>
          <w:szCs w:val="24"/>
        </w:rPr>
        <w:t>3</w:t>
      </w:r>
      <w:r>
        <w:rPr>
          <w:rFonts w:ascii="宋体" w:hAnsi="宋体" w:eastAsia="宋体" w:cs="宋体"/>
          <w:spacing w:val="-5"/>
          <w:position w:val="11"/>
          <w:sz w:val="24"/>
          <w:szCs w:val="24"/>
        </w:rPr>
        <w:t>）当单价与数量的乘积与合价（金额）虽然一致，但投标人修改了该子目的</w:t>
      </w:r>
    </w:p>
    <w:p>
      <w:pPr>
        <w:spacing w:line="218" w:lineRule="auto"/>
        <w:ind w:left="41"/>
        <w:rPr>
          <w:rFonts w:ascii="宋体" w:hAnsi="宋体" w:eastAsia="宋体" w:cs="宋体"/>
          <w:sz w:val="24"/>
          <w:szCs w:val="24"/>
        </w:rPr>
      </w:pPr>
      <w:r>
        <w:rPr>
          <w:rFonts w:ascii="宋体" w:hAnsi="宋体" w:eastAsia="宋体" w:cs="宋体"/>
          <w:spacing w:val="-1"/>
          <w:sz w:val="24"/>
          <w:szCs w:val="24"/>
        </w:rPr>
        <w:t>工程数量，则其合价按招标人给定的工程数量乘</w:t>
      </w:r>
      <w:r>
        <w:rPr>
          <w:rFonts w:ascii="宋体" w:hAnsi="宋体" w:eastAsia="宋体" w:cs="宋体"/>
          <w:spacing w:val="-2"/>
          <w:sz w:val="24"/>
          <w:szCs w:val="24"/>
        </w:rPr>
        <w:t>以投标人所报单价予以修正。</w:t>
      </w:r>
    </w:p>
    <w:p>
      <w:pPr>
        <w:spacing w:before="116" w:line="264" w:lineRule="auto"/>
        <w:ind w:left="39" w:right="67" w:firstLine="479"/>
        <w:rPr>
          <w:rFonts w:ascii="宋体" w:hAnsi="宋体" w:eastAsia="宋体" w:cs="宋体"/>
          <w:sz w:val="24"/>
          <w:szCs w:val="24"/>
        </w:rPr>
      </w:pPr>
      <w:r>
        <w:rPr>
          <w:rFonts w:ascii="Times New Roman" w:hAnsi="Times New Roman" w:eastAsia="Times New Roman" w:cs="Times New Roman"/>
          <w:sz w:val="24"/>
          <w:szCs w:val="24"/>
        </w:rPr>
        <w:t xml:space="preserve">3.3.4  </w:t>
      </w:r>
      <w:r>
        <w:rPr>
          <w:rFonts w:ascii="宋体" w:hAnsi="宋体" w:eastAsia="宋体" w:cs="宋体"/>
          <w:sz w:val="24"/>
          <w:szCs w:val="24"/>
        </w:rPr>
        <w:t>修正后的最终投标报价若超过最高投标限价（如有</w:t>
      </w:r>
      <w:r>
        <w:rPr>
          <w:rFonts w:ascii="宋体" w:hAnsi="宋体" w:eastAsia="宋体" w:cs="宋体"/>
          <w:spacing w:val="-50"/>
          <w:sz w:val="24"/>
          <w:szCs w:val="24"/>
        </w:rPr>
        <w:t>），</w:t>
      </w:r>
      <w:r>
        <w:rPr>
          <w:rFonts w:ascii="宋体" w:hAnsi="宋体" w:eastAsia="宋体" w:cs="宋体"/>
          <w:sz w:val="24"/>
          <w:szCs w:val="24"/>
        </w:rPr>
        <w:t>评标委员会应否决</w:t>
      </w:r>
      <w:r>
        <w:rPr>
          <w:rFonts w:ascii="宋体" w:hAnsi="宋体" w:eastAsia="宋体" w:cs="宋体"/>
          <w:spacing w:val="-9"/>
          <w:sz w:val="24"/>
          <w:szCs w:val="24"/>
        </w:rPr>
        <w:t>其投标。</w:t>
      </w:r>
    </w:p>
    <w:p>
      <w:pPr>
        <w:spacing w:before="114" w:line="401" w:lineRule="exact"/>
        <w:ind w:firstLine="464" w:firstLineChars="200"/>
        <w:rPr>
          <w:rFonts w:ascii="宋体" w:hAnsi="宋体" w:eastAsia="宋体" w:cs="宋体"/>
          <w:sz w:val="24"/>
          <w:szCs w:val="24"/>
        </w:rPr>
      </w:pPr>
      <w:r>
        <w:rPr>
          <w:rFonts w:ascii="宋体" w:hAnsi="宋体" w:eastAsia="宋体" w:cs="宋体"/>
          <w:spacing w:val="-4"/>
          <w:position w:val="11"/>
          <w:sz w:val="24"/>
          <w:szCs w:val="24"/>
        </w:rPr>
        <w:t>3.3.5 修正后的最终投标报价仅作为签订合同的一个依据，不参与评标价得分的计算</w:t>
      </w:r>
      <w:r>
        <w:rPr>
          <w:rFonts w:ascii="宋体" w:hAnsi="宋体" w:eastAsia="宋体" w:cs="宋体"/>
          <w:spacing w:val="-10"/>
          <w:sz w:val="24"/>
          <w:szCs w:val="24"/>
        </w:rPr>
        <w:t>。</w:t>
      </w:r>
    </w:p>
    <w:p>
      <w:pPr>
        <w:spacing w:before="264" w:line="219" w:lineRule="auto"/>
        <w:ind w:left="38"/>
        <w:rPr>
          <w:rFonts w:ascii="黑体" w:hAnsi="黑体" w:eastAsia="黑体" w:cs="黑体"/>
          <w:spacing w:val="-1"/>
          <w:sz w:val="24"/>
          <w:szCs w:val="24"/>
        </w:rPr>
      </w:pPr>
    </w:p>
    <w:p>
      <w:pPr>
        <w:spacing w:before="264" w:line="219" w:lineRule="auto"/>
        <w:ind w:left="38"/>
        <w:rPr>
          <w:rFonts w:ascii="黑体" w:hAnsi="黑体" w:eastAsia="黑体" w:cs="黑体"/>
          <w:spacing w:val="-1"/>
          <w:sz w:val="24"/>
          <w:szCs w:val="24"/>
        </w:rPr>
      </w:pPr>
    </w:p>
    <w:p>
      <w:pPr>
        <w:spacing w:before="264" w:line="219" w:lineRule="auto"/>
        <w:ind w:left="38"/>
        <w:rPr>
          <w:rFonts w:ascii="黑体" w:hAnsi="黑体" w:eastAsia="黑体" w:cs="黑体"/>
          <w:sz w:val="24"/>
          <w:szCs w:val="24"/>
        </w:rPr>
      </w:pPr>
      <w:r>
        <w:rPr>
          <w:rFonts w:ascii="黑体" w:hAnsi="黑体" w:eastAsia="黑体" w:cs="黑体"/>
          <w:spacing w:val="-1"/>
          <w:sz w:val="24"/>
          <w:szCs w:val="24"/>
        </w:rPr>
        <w:t>3.4 第二个信封详细评审</w:t>
      </w:r>
    </w:p>
    <w:p>
      <w:pPr>
        <w:spacing w:line="276" w:lineRule="auto"/>
        <w:rPr>
          <w:rFonts w:ascii="Arial"/>
          <w:sz w:val="21"/>
        </w:rPr>
      </w:pPr>
    </w:p>
    <w:p>
      <w:pPr>
        <w:spacing w:line="218" w:lineRule="auto"/>
        <w:ind w:left="39" w:firstLine="460" w:firstLineChars="200"/>
        <w:rPr>
          <w:rFonts w:hint="eastAsia" w:ascii="宋体" w:hAnsi="宋体" w:eastAsia="宋体" w:cs="宋体"/>
          <w:sz w:val="24"/>
          <w:szCs w:val="24"/>
          <w:lang w:eastAsia="zh-CN"/>
        </w:rPr>
      </w:pPr>
      <w:r>
        <w:rPr>
          <w:rFonts w:ascii="Times New Roman" w:hAnsi="Times New Roman" w:eastAsia="Times New Roman" w:cs="Times New Roman"/>
          <w:spacing w:val="-5"/>
          <w:position w:val="11"/>
          <w:sz w:val="24"/>
          <w:szCs w:val="24"/>
        </w:rPr>
        <w:t>3.4.1  评标委员会按本章第 2.2 款规定的量化因素和分值进行打分，并计算出综合评估得分</w:t>
      </w:r>
      <w:r>
        <w:rPr>
          <w:rFonts w:hint="eastAsia" w:ascii="Times New Roman" w:hAnsi="Times New Roman" w:eastAsia="宋体" w:cs="Times New Roman"/>
          <w:spacing w:val="-5"/>
          <w:position w:val="11"/>
          <w:sz w:val="24"/>
          <w:szCs w:val="24"/>
          <w:lang w:eastAsia="zh-CN"/>
        </w:rPr>
        <w:t>。</w:t>
      </w:r>
    </w:p>
    <w:p>
      <w:pPr>
        <w:spacing w:before="115" w:line="220" w:lineRule="auto"/>
        <w:ind w:left="518"/>
        <w:rPr>
          <w:rFonts w:ascii="宋体" w:hAnsi="宋体" w:eastAsia="宋体" w:cs="宋体"/>
          <w:sz w:val="24"/>
          <w:szCs w:val="24"/>
        </w:rPr>
      </w:pPr>
      <w:r>
        <w:rPr>
          <w:rFonts w:ascii="Times New Roman" w:hAnsi="Times New Roman" w:eastAsia="Times New Roman" w:cs="Times New Roman"/>
          <w:spacing w:val="-1"/>
          <w:sz w:val="24"/>
          <w:szCs w:val="24"/>
        </w:rPr>
        <w:t>3.4.2  投标人得分分值计算保留小数点后四位，小数点后第五位“ 四舍五入 ”。</w:t>
      </w:r>
    </w:p>
    <w:p>
      <w:pPr>
        <w:spacing w:before="114" w:line="308" w:lineRule="auto"/>
        <w:ind w:left="40" w:right="64" w:firstLine="478"/>
        <w:jc w:val="both"/>
        <w:rPr>
          <w:rFonts w:ascii="宋体" w:hAnsi="宋体" w:eastAsia="宋体" w:cs="宋体"/>
          <w:sz w:val="24"/>
          <w:szCs w:val="24"/>
        </w:rPr>
      </w:pPr>
      <w:r>
        <w:rPr>
          <w:rFonts w:ascii="Times New Roman" w:hAnsi="Times New Roman" w:eastAsia="Times New Roman" w:cs="Times New Roman"/>
          <w:spacing w:val="-5"/>
          <w:sz w:val="24"/>
          <w:szCs w:val="24"/>
        </w:rPr>
        <w:t xml:space="preserve">3.4.3  </w:t>
      </w:r>
      <w:r>
        <w:rPr>
          <w:rFonts w:ascii="宋体" w:hAnsi="宋体" w:eastAsia="宋体" w:cs="宋体"/>
          <w:spacing w:val="-5"/>
          <w:sz w:val="24"/>
          <w:szCs w:val="24"/>
        </w:rPr>
        <w:t>评标委员会发现投标人的报价明显低于其</w:t>
      </w:r>
      <w:r>
        <w:rPr>
          <w:rFonts w:ascii="宋体" w:hAnsi="宋体" w:eastAsia="宋体" w:cs="宋体"/>
          <w:spacing w:val="-6"/>
          <w:sz w:val="24"/>
          <w:szCs w:val="24"/>
        </w:rPr>
        <w:t>他投标报价，使得其投标报价可</w:t>
      </w:r>
      <w:r>
        <w:rPr>
          <w:rFonts w:ascii="宋体" w:hAnsi="宋体" w:eastAsia="宋体" w:cs="宋体"/>
          <w:spacing w:val="-3"/>
          <w:sz w:val="24"/>
          <w:szCs w:val="24"/>
        </w:rPr>
        <w:t>能低于其个别成本的，应要求该投标人作出书面说明并提供相应的证明材料</w:t>
      </w:r>
      <w:r>
        <w:rPr>
          <w:rFonts w:ascii="宋体" w:hAnsi="宋体" w:eastAsia="宋体" w:cs="宋体"/>
          <w:spacing w:val="-4"/>
          <w:sz w:val="24"/>
          <w:szCs w:val="24"/>
        </w:rPr>
        <w:t>。投标</w:t>
      </w:r>
      <w:r>
        <w:rPr>
          <w:rFonts w:ascii="宋体" w:hAnsi="宋体" w:eastAsia="宋体" w:cs="宋体"/>
          <w:spacing w:val="-2"/>
          <w:sz w:val="24"/>
          <w:szCs w:val="24"/>
        </w:rPr>
        <w:t>人不能合理说明或不能提供相应证明材料的，评标委员会应认定</w:t>
      </w:r>
      <w:r>
        <w:rPr>
          <w:rFonts w:ascii="宋体" w:hAnsi="宋体" w:eastAsia="宋体" w:cs="宋体"/>
          <w:spacing w:val="-3"/>
          <w:sz w:val="24"/>
          <w:szCs w:val="24"/>
        </w:rPr>
        <w:t>该投标人以低于成</w:t>
      </w:r>
      <w:r>
        <w:rPr>
          <w:rFonts w:ascii="宋体" w:hAnsi="宋体" w:eastAsia="宋体" w:cs="宋体"/>
          <w:spacing w:val="-16"/>
          <w:sz w:val="24"/>
          <w:szCs w:val="24"/>
        </w:rPr>
        <w:t>本报价竞标，并否决其投标。</w:t>
      </w:r>
    </w:p>
    <w:p>
      <w:pPr>
        <w:spacing w:before="269" w:line="219" w:lineRule="auto"/>
        <w:ind w:left="38"/>
        <w:rPr>
          <w:rFonts w:ascii="黑体" w:hAnsi="黑体" w:eastAsia="黑体" w:cs="黑体"/>
          <w:sz w:val="24"/>
          <w:szCs w:val="24"/>
        </w:rPr>
      </w:pPr>
      <w:r>
        <w:rPr>
          <w:rFonts w:ascii="黑体" w:hAnsi="黑体" w:eastAsia="黑体" w:cs="黑体"/>
          <w:spacing w:val="-1"/>
          <w:sz w:val="24"/>
          <w:szCs w:val="24"/>
        </w:rPr>
        <w:t>3.5 投标文件相关信息的核查</w:t>
      </w:r>
    </w:p>
    <w:p>
      <w:pPr>
        <w:spacing w:line="274" w:lineRule="auto"/>
        <w:rPr>
          <w:rFonts w:ascii="Arial"/>
          <w:sz w:val="21"/>
        </w:rPr>
      </w:pPr>
    </w:p>
    <w:p>
      <w:pPr>
        <w:spacing w:before="78" w:line="308" w:lineRule="auto"/>
        <w:ind w:left="38" w:right="65" w:firstLine="480"/>
        <w:rPr>
          <w:rFonts w:ascii="宋体" w:hAnsi="宋体" w:eastAsia="宋体" w:cs="宋体"/>
          <w:sz w:val="24"/>
          <w:szCs w:val="24"/>
        </w:rPr>
      </w:pPr>
      <w:r>
        <w:rPr>
          <w:rFonts w:ascii="Times New Roman" w:hAnsi="Times New Roman" w:eastAsia="Times New Roman" w:cs="Times New Roman"/>
          <w:spacing w:val="-5"/>
          <w:sz w:val="24"/>
          <w:szCs w:val="24"/>
        </w:rPr>
        <w:t xml:space="preserve">3.5.1  </w:t>
      </w:r>
      <w:r>
        <w:rPr>
          <w:rFonts w:ascii="宋体" w:hAnsi="宋体" w:eastAsia="宋体" w:cs="宋体"/>
          <w:spacing w:val="-5"/>
          <w:sz w:val="24"/>
          <w:szCs w:val="24"/>
        </w:rPr>
        <w:t>在评标过程中，评标委员会应查询</w:t>
      </w:r>
      <w:r>
        <w:rPr>
          <w:rFonts w:ascii="宋体" w:hAnsi="宋体" w:eastAsia="宋体" w:cs="宋体"/>
          <w:spacing w:val="-6"/>
          <w:sz w:val="24"/>
          <w:szCs w:val="24"/>
        </w:rPr>
        <w:t>交通运输主管部门“公路建设市场信用</w:t>
      </w:r>
      <w:r>
        <w:rPr>
          <w:rFonts w:ascii="宋体" w:hAnsi="宋体" w:eastAsia="宋体" w:cs="宋体"/>
          <w:sz w:val="24"/>
          <w:szCs w:val="24"/>
        </w:rPr>
        <w:t xml:space="preserve"> </w:t>
      </w:r>
      <w:r>
        <w:rPr>
          <w:rFonts w:ascii="宋体" w:hAnsi="宋体" w:eastAsia="宋体" w:cs="宋体"/>
          <w:spacing w:val="-7"/>
          <w:sz w:val="24"/>
          <w:szCs w:val="24"/>
        </w:rPr>
        <w:t>信息管理系统</w:t>
      </w:r>
      <w:r>
        <w:rPr>
          <w:rFonts w:ascii="宋体" w:hAnsi="宋体" w:eastAsia="宋体" w:cs="宋体"/>
          <w:spacing w:val="-78"/>
          <w:sz w:val="24"/>
          <w:szCs w:val="24"/>
        </w:rPr>
        <w:t xml:space="preserve"> </w:t>
      </w:r>
      <w:r>
        <w:rPr>
          <w:rFonts w:ascii="宋体" w:hAnsi="宋体" w:eastAsia="宋体" w:cs="宋体"/>
          <w:spacing w:val="-7"/>
          <w:sz w:val="24"/>
          <w:szCs w:val="24"/>
        </w:rPr>
        <w:t>”，对投标人的资质、业绩、主要人员资历和目前在岗情况、信用等级</w:t>
      </w:r>
      <w:r>
        <w:rPr>
          <w:rFonts w:ascii="宋体" w:hAnsi="宋体" w:eastAsia="宋体" w:cs="宋体"/>
          <w:sz w:val="24"/>
          <w:szCs w:val="24"/>
        </w:rPr>
        <w:t xml:space="preserve"> </w:t>
      </w:r>
      <w:r>
        <w:rPr>
          <w:rFonts w:ascii="宋体" w:hAnsi="宋体" w:eastAsia="宋体" w:cs="宋体"/>
          <w:spacing w:val="1"/>
          <w:sz w:val="24"/>
          <w:szCs w:val="24"/>
        </w:rPr>
        <w:t>等信息进行核实。若投标文件载明的信息与交通</w:t>
      </w:r>
      <w:r>
        <w:rPr>
          <w:rFonts w:ascii="宋体" w:hAnsi="宋体" w:eastAsia="宋体" w:cs="宋体"/>
          <w:sz w:val="24"/>
          <w:szCs w:val="24"/>
        </w:rPr>
        <w:t xml:space="preserve">运输主管部门“公路建设市场信用 </w:t>
      </w:r>
      <w:r>
        <w:rPr>
          <w:rFonts w:ascii="宋体" w:hAnsi="宋体" w:eastAsia="宋体" w:cs="宋体"/>
          <w:spacing w:val="-5"/>
          <w:sz w:val="24"/>
          <w:szCs w:val="24"/>
        </w:rPr>
        <w:t>信息管理系统</w:t>
      </w:r>
      <w:r>
        <w:rPr>
          <w:rFonts w:ascii="宋体" w:hAnsi="宋体" w:eastAsia="宋体" w:cs="宋体"/>
          <w:spacing w:val="-70"/>
          <w:sz w:val="24"/>
          <w:szCs w:val="24"/>
        </w:rPr>
        <w:t xml:space="preserve"> </w:t>
      </w:r>
      <w:r>
        <w:rPr>
          <w:rFonts w:ascii="宋体" w:hAnsi="宋体" w:eastAsia="宋体" w:cs="宋体"/>
          <w:spacing w:val="-5"/>
          <w:sz w:val="24"/>
          <w:szCs w:val="24"/>
        </w:rPr>
        <w:t>”发布的信息不符， 使得投标人的资格条件不符合招标文件规定的，</w:t>
      </w:r>
    </w:p>
    <w:p>
      <w:pPr>
        <w:spacing w:before="1" w:line="218" w:lineRule="auto"/>
        <w:ind w:left="37"/>
        <w:rPr>
          <w:rFonts w:ascii="宋体" w:hAnsi="宋体" w:eastAsia="宋体" w:cs="宋体"/>
          <w:sz w:val="24"/>
          <w:szCs w:val="24"/>
        </w:rPr>
      </w:pPr>
      <w:r>
        <w:rPr>
          <w:rFonts w:ascii="宋体" w:hAnsi="宋体" w:eastAsia="宋体" w:cs="宋体"/>
          <w:spacing w:val="-4"/>
          <w:sz w:val="24"/>
          <w:szCs w:val="24"/>
        </w:rPr>
        <w:t>评标委员会应否决其投标。</w:t>
      </w:r>
    </w:p>
    <w:p>
      <w:pPr>
        <w:spacing w:before="117" w:line="307" w:lineRule="auto"/>
        <w:ind w:left="40" w:right="64" w:firstLine="478"/>
        <w:rPr>
          <w:rFonts w:ascii="宋体" w:hAnsi="宋体" w:eastAsia="宋体" w:cs="宋体"/>
          <w:sz w:val="24"/>
          <w:szCs w:val="24"/>
        </w:rPr>
      </w:pPr>
      <w:r>
        <w:rPr>
          <w:rFonts w:ascii="Times New Roman" w:hAnsi="Times New Roman" w:eastAsia="Times New Roman" w:cs="Times New Roman"/>
          <w:spacing w:val="-2"/>
          <w:sz w:val="24"/>
          <w:szCs w:val="24"/>
        </w:rPr>
        <w:t xml:space="preserve">3.5.2  </w:t>
      </w:r>
      <w:r>
        <w:rPr>
          <w:rFonts w:ascii="宋体" w:hAnsi="宋体" w:eastAsia="宋体" w:cs="宋体"/>
          <w:spacing w:val="-2"/>
          <w:sz w:val="24"/>
          <w:szCs w:val="24"/>
        </w:rPr>
        <w:t>评标委员会应对在评标过程中发现</w:t>
      </w:r>
      <w:r>
        <w:rPr>
          <w:rFonts w:ascii="宋体" w:hAnsi="宋体" w:eastAsia="宋体" w:cs="宋体"/>
          <w:spacing w:val="-3"/>
          <w:sz w:val="24"/>
          <w:szCs w:val="24"/>
        </w:rPr>
        <w:t>的投标人与投标人之间、投标人与招标</w:t>
      </w:r>
      <w:r>
        <w:rPr>
          <w:rFonts w:ascii="宋体" w:hAnsi="宋体" w:eastAsia="宋体" w:cs="宋体"/>
          <w:sz w:val="24"/>
          <w:szCs w:val="24"/>
        </w:rPr>
        <w:t xml:space="preserve"> </w:t>
      </w:r>
      <w:r>
        <w:rPr>
          <w:rFonts w:ascii="宋体" w:hAnsi="宋体" w:eastAsia="宋体" w:cs="宋体"/>
          <w:spacing w:val="1"/>
          <w:sz w:val="24"/>
          <w:szCs w:val="24"/>
        </w:rPr>
        <w:t>人之间存在的串通投标的情形进行评审和认定</w:t>
      </w:r>
      <w:r>
        <w:rPr>
          <w:rFonts w:ascii="宋体" w:hAnsi="宋体" w:eastAsia="宋体" w:cs="宋体"/>
          <w:sz w:val="24"/>
          <w:szCs w:val="24"/>
        </w:rPr>
        <w:t>。投标人存在串通投标、弄虚作假、</w:t>
      </w:r>
      <w:r>
        <w:rPr>
          <w:rFonts w:ascii="宋体" w:hAnsi="宋体" w:eastAsia="宋体" w:cs="宋体"/>
          <w:spacing w:val="-3"/>
          <w:sz w:val="24"/>
          <w:szCs w:val="24"/>
        </w:rPr>
        <w:t>行贿等违法行为的，评标委员会应否决其投标。</w:t>
      </w:r>
    </w:p>
    <w:p>
      <w:pPr>
        <w:spacing w:before="117" w:line="398" w:lineRule="exact"/>
        <w:ind w:left="524"/>
        <w:rPr>
          <w:rFonts w:ascii="宋体" w:hAnsi="宋体" w:eastAsia="宋体" w:cs="宋体"/>
          <w:sz w:val="24"/>
          <w:szCs w:val="24"/>
        </w:rPr>
      </w:pPr>
      <w:r>
        <w:rPr>
          <w:rFonts w:ascii="宋体" w:hAnsi="宋体" w:eastAsia="宋体" w:cs="宋体"/>
          <w:spacing w:val="-2"/>
          <w:position w:val="11"/>
          <w:sz w:val="24"/>
          <w:szCs w:val="24"/>
        </w:rPr>
        <w:t>（</w:t>
      </w:r>
      <w:r>
        <w:rPr>
          <w:rFonts w:ascii="Times New Roman" w:hAnsi="Times New Roman" w:eastAsia="Times New Roman" w:cs="Times New Roman"/>
          <w:spacing w:val="-2"/>
          <w:position w:val="11"/>
          <w:sz w:val="24"/>
          <w:szCs w:val="24"/>
        </w:rPr>
        <w:t>1</w:t>
      </w:r>
      <w:r>
        <w:rPr>
          <w:rFonts w:ascii="宋体" w:hAnsi="宋体" w:eastAsia="宋体" w:cs="宋体"/>
          <w:spacing w:val="-2"/>
          <w:position w:val="11"/>
          <w:sz w:val="24"/>
          <w:szCs w:val="24"/>
        </w:rPr>
        <w:t>）有下列情形之一的，属于投标人相互</w:t>
      </w:r>
      <w:r>
        <w:rPr>
          <w:rFonts w:ascii="宋体" w:hAnsi="宋体" w:eastAsia="宋体" w:cs="宋体"/>
          <w:spacing w:val="-3"/>
          <w:position w:val="11"/>
          <w:sz w:val="24"/>
          <w:szCs w:val="24"/>
        </w:rPr>
        <w:t>串通投标：</w:t>
      </w:r>
    </w:p>
    <w:p>
      <w:pPr>
        <w:spacing w:before="1" w:line="231" w:lineRule="auto"/>
        <w:ind w:left="517"/>
        <w:rPr>
          <w:rFonts w:ascii="宋体" w:hAnsi="宋体" w:eastAsia="宋体" w:cs="宋体"/>
          <w:sz w:val="24"/>
          <w:szCs w:val="24"/>
        </w:rPr>
      </w:pPr>
      <w:r>
        <w:rPr>
          <w:rFonts w:ascii="Times New Roman" w:hAnsi="Times New Roman" w:eastAsia="Times New Roman" w:cs="Times New Roman"/>
          <w:spacing w:val="-3"/>
          <w:sz w:val="24"/>
          <w:szCs w:val="24"/>
        </w:rPr>
        <w:t>a.</w:t>
      </w:r>
      <w:r>
        <w:rPr>
          <w:rFonts w:ascii="宋体" w:hAnsi="宋体" w:eastAsia="宋体" w:cs="宋体"/>
          <w:spacing w:val="-3"/>
          <w:sz w:val="24"/>
          <w:szCs w:val="24"/>
        </w:rPr>
        <w:t>投标人之间协商投标报价等投标文件的实质性内容；</w:t>
      </w:r>
    </w:p>
    <w:p>
      <w:pPr>
        <w:spacing w:before="100" w:line="234" w:lineRule="auto"/>
        <w:ind w:left="508"/>
        <w:rPr>
          <w:rFonts w:ascii="宋体" w:hAnsi="宋体" w:eastAsia="宋体" w:cs="宋体"/>
          <w:sz w:val="24"/>
          <w:szCs w:val="24"/>
        </w:rPr>
      </w:pPr>
      <w:r>
        <w:rPr>
          <w:rFonts w:ascii="Times New Roman" w:hAnsi="Times New Roman" w:eastAsia="Times New Roman" w:cs="Times New Roman"/>
          <w:spacing w:val="-4"/>
          <w:sz w:val="24"/>
          <w:szCs w:val="24"/>
        </w:rPr>
        <w:t>b.</w:t>
      </w:r>
      <w:r>
        <w:rPr>
          <w:rFonts w:ascii="宋体" w:hAnsi="宋体" w:eastAsia="宋体" w:cs="宋体"/>
          <w:spacing w:val="-4"/>
          <w:sz w:val="24"/>
          <w:szCs w:val="24"/>
        </w:rPr>
        <w:t>投标人之间约定中标人；</w:t>
      </w:r>
    </w:p>
    <w:p>
      <w:pPr>
        <w:spacing w:before="97" w:line="233" w:lineRule="auto"/>
        <w:ind w:left="516"/>
        <w:rPr>
          <w:rFonts w:ascii="宋体" w:hAnsi="宋体" w:eastAsia="宋体" w:cs="宋体"/>
          <w:sz w:val="24"/>
          <w:szCs w:val="24"/>
        </w:rPr>
      </w:pPr>
      <w:r>
        <w:rPr>
          <w:rFonts w:ascii="Times New Roman" w:hAnsi="Times New Roman" w:eastAsia="Times New Roman" w:cs="Times New Roman"/>
          <w:spacing w:val="-2"/>
          <w:sz w:val="24"/>
          <w:szCs w:val="24"/>
        </w:rPr>
        <w:t>c.</w:t>
      </w:r>
      <w:r>
        <w:rPr>
          <w:rFonts w:ascii="宋体" w:hAnsi="宋体" w:eastAsia="宋体" w:cs="宋体"/>
          <w:spacing w:val="-2"/>
          <w:sz w:val="24"/>
          <w:szCs w:val="24"/>
        </w:rPr>
        <w:t>投标人之间约定部分投标人放弃投标或</w:t>
      </w:r>
      <w:r>
        <w:rPr>
          <w:rFonts w:ascii="宋体" w:hAnsi="宋体" w:eastAsia="宋体" w:cs="宋体"/>
          <w:spacing w:val="-3"/>
          <w:sz w:val="24"/>
          <w:szCs w:val="24"/>
        </w:rPr>
        <w:t>中标；</w:t>
      </w:r>
    </w:p>
    <w:p>
      <w:pPr>
        <w:spacing w:before="95" w:line="233" w:lineRule="auto"/>
        <w:ind w:left="516"/>
        <w:rPr>
          <w:rFonts w:ascii="宋体" w:hAnsi="宋体" w:eastAsia="宋体" w:cs="宋体"/>
          <w:spacing w:val="16"/>
          <w:sz w:val="24"/>
          <w:szCs w:val="24"/>
        </w:rPr>
      </w:pPr>
      <w:r>
        <w:rPr>
          <w:rFonts w:ascii="Times New Roman" w:hAnsi="Times New Roman" w:eastAsia="Times New Roman" w:cs="Times New Roman"/>
          <w:spacing w:val="-2"/>
          <w:sz w:val="24"/>
          <w:szCs w:val="24"/>
        </w:rPr>
        <w:t>d.</w:t>
      </w:r>
      <w:r>
        <w:rPr>
          <w:rFonts w:ascii="宋体" w:hAnsi="宋体" w:eastAsia="宋体" w:cs="宋体"/>
          <w:spacing w:val="-2"/>
          <w:sz w:val="24"/>
          <w:szCs w:val="24"/>
        </w:rPr>
        <w:t>属于同一集团、协会、商会等组织成员的投标人按照该组织要求协同投标；</w:t>
      </w:r>
      <w:r>
        <w:rPr>
          <w:rFonts w:ascii="Times New Roman" w:hAnsi="Times New Roman" w:eastAsia="Times New Roman" w:cs="Times New Roman"/>
          <w:spacing w:val="-2"/>
          <w:sz w:val="24"/>
          <w:szCs w:val="24"/>
        </w:rPr>
        <w:t>e.</w:t>
      </w:r>
      <w:r>
        <w:rPr>
          <w:rFonts w:ascii="宋体" w:hAnsi="宋体" w:eastAsia="宋体" w:cs="宋体"/>
          <w:spacing w:val="-2"/>
          <w:sz w:val="24"/>
          <w:szCs w:val="24"/>
        </w:rPr>
        <w:t>投标人之间为谋取中标或排斥特定投标人而采取的其他联合行动</w:t>
      </w:r>
      <w:r>
        <w:rPr>
          <w:rFonts w:hint="eastAsia" w:ascii="宋体" w:hAnsi="宋体" w:eastAsia="宋体" w:cs="宋体"/>
          <w:spacing w:val="-2"/>
          <w:sz w:val="24"/>
          <w:szCs w:val="24"/>
          <w:lang w:eastAsia="zh-CN"/>
        </w:rPr>
        <w:t>。</w:t>
      </w:r>
      <w:r>
        <w:rPr>
          <w:rFonts w:ascii="宋体" w:hAnsi="宋体" w:eastAsia="宋体" w:cs="宋体"/>
          <w:spacing w:val="16"/>
          <w:sz w:val="24"/>
          <w:szCs w:val="24"/>
        </w:rPr>
        <w:t xml:space="preserve"> </w:t>
      </w:r>
    </w:p>
    <w:p>
      <w:pPr>
        <w:spacing w:before="78" w:line="263" w:lineRule="auto"/>
        <w:ind w:right="1190" w:firstLine="234" w:firstLineChars="1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）有下列情形之一的，视为投标人相互串通投标：</w:t>
      </w:r>
    </w:p>
    <w:p>
      <w:pPr>
        <w:spacing w:before="114" w:line="401" w:lineRule="exact"/>
        <w:ind w:left="517"/>
        <w:rPr>
          <w:rFonts w:ascii="宋体" w:hAnsi="宋体" w:eastAsia="宋体" w:cs="宋体"/>
          <w:sz w:val="24"/>
          <w:szCs w:val="24"/>
        </w:rPr>
      </w:pPr>
      <w:r>
        <w:rPr>
          <w:rFonts w:ascii="Times New Roman" w:hAnsi="Times New Roman" w:eastAsia="Times New Roman" w:cs="Times New Roman"/>
          <w:spacing w:val="-3"/>
          <w:position w:val="10"/>
          <w:sz w:val="24"/>
          <w:szCs w:val="24"/>
        </w:rPr>
        <w:t>a.</w:t>
      </w:r>
      <w:r>
        <w:rPr>
          <w:rFonts w:ascii="宋体" w:hAnsi="宋体" w:eastAsia="宋体" w:cs="宋体"/>
          <w:spacing w:val="-3"/>
          <w:position w:val="10"/>
          <w:sz w:val="24"/>
          <w:szCs w:val="24"/>
        </w:rPr>
        <w:t>不同投标人的投标文件由同一单位或个人编制；</w:t>
      </w:r>
    </w:p>
    <w:p>
      <w:pPr>
        <w:spacing w:line="233" w:lineRule="auto"/>
        <w:ind w:left="508"/>
        <w:rPr>
          <w:rFonts w:ascii="宋体" w:hAnsi="宋体" w:eastAsia="宋体" w:cs="宋体"/>
          <w:sz w:val="24"/>
          <w:szCs w:val="24"/>
        </w:rPr>
      </w:pPr>
      <w:r>
        <w:rPr>
          <w:rFonts w:ascii="Times New Roman" w:hAnsi="Times New Roman" w:eastAsia="Times New Roman" w:cs="Times New Roman"/>
          <w:spacing w:val="-3"/>
          <w:sz w:val="24"/>
          <w:szCs w:val="24"/>
        </w:rPr>
        <w:t>b.</w:t>
      </w:r>
      <w:r>
        <w:rPr>
          <w:rFonts w:ascii="宋体" w:hAnsi="宋体" w:eastAsia="宋体" w:cs="宋体"/>
          <w:spacing w:val="-3"/>
          <w:sz w:val="24"/>
          <w:szCs w:val="24"/>
        </w:rPr>
        <w:t>不同投标人委托同一单位或个人办理投标事宜；</w:t>
      </w:r>
    </w:p>
    <w:p>
      <w:pPr>
        <w:spacing w:before="95" w:line="233" w:lineRule="auto"/>
        <w:ind w:left="516"/>
        <w:rPr>
          <w:rFonts w:ascii="宋体" w:hAnsi="宋体" w:eastAsia="宋体" w:cs="宋体"/>
          <w:sz w:val="24"/>
          <w:szCs w:val="24"/>
        </w:rPr>
      </w:pPr>
      <w:r>
        <w:rPr>
          <w:rFonts w:ascii="Times New Roman" w:hAnsi="Times New Roman" w:eastAsia="Times New Roman" w:cs="Times New Roman"/>
          <w:spacing w:val="-2"/>
          <w:sz w:val="24"/>
          <w:szCs w:val="24"/>
        </w:rPr>
        <w:t>c.</w:t>
      </w:r>
      <w:r>
        <w:rPr>
          <w:rFonts w:ascii="宋体" w:hAnsi="宋体" w:eastAsia="宋体" w:cs="宋体"/>
          <w:spacing w:val="-2"/>
          <w:sz w:val="24"/>
          <w:szCs w:val="24"/>
        </w:rPr>
        <w:t>不同投标人的投标文件载明的项目管理成员为同一人；</w:t>
      </w:r>
    </w:p>
    <w:p>
      <w:pPr>
        <w:spacing w:before="97" w:line="401" w:lineRule="exact"/>
        <w:ind w:left="516"/>
        <w:rPr>
          <w:rFonts w:ascii="宋体" w:hAnsi="宋体" w:eastAsia="宋体" w:cs="宋体"/>
          <w:sz w:val="24"/>
          <w:szCs w:val="24"/>
        </w:rPr>
      </w:pPr>
      <w:r>
        <w:rPr>
          <w:rFonts w:ascii="Times New Roman" w:hAnsi="Times New Roman" w:eastAsia="Times New Roman" w:cs="Times New Roman"/>
          <w:spacing w:val="-2"/>
          <w:position w:val="11"/>
          <w:sz w:val="24"/>
          <w:szCs w:val="24"/>
        </w:rPr>
        <w:t>d.</w:t>
      </w:r>
      <w:r>
        <w:rPr>
          <w:rFonts w:ascii="宋体" w:hAnsi="宋体" w:eastAsia="宋体" w:cs="宋体"/>
          <w:spacing w:val="-2"/>
          <w:position w:val="11"/>
          <w:sz w:val="24"/>
          <w:szCs w:val="24"/>
        </w:rPr>
        <w:t>不同投标人的投标文件异常一致或投标报价呈规律性差异；</w:t>
      </w:r>
    </w:p>
    <w:p>
      <w:pPr>
        <w:spacing w:line="233" w:lineRule="auto"/>
        <w:ind w:left="517"/>
        <w:rPr>
          <w:rFonts w:ascii="宋体" w:hAnsi="宋体" w:eastAsia="宋体" w:cs="宋体"/>
          <w:sz w:val="24"/>
          <w:szCs w:val="24"/>
        </w:rPr>
      </w:pPr>
      <w:r>
        <w:rPr>
          <w:rFonts w:ascii="Times New Roman" w:hAnsi="Times New Roman" w:eastAsia="Times New Roman" w:cs="Times New Roman"/>
          <w:spacing w:val="-4"/>
          <w:sz w:val="24"/>
          <w:szCs w:val="24"/>
        </w:rPr>
        <w:t>e.</w:t>
      </w:r>
      <w:r>
        <w:rPr>
          <w:rFonts w:ascii="宋体" w:hAnsi="宋体" w:eastAsia="宋体" w:cs="宋体"/>
          <w:spacing w:val="-4"/>
          <w:sz w:val="24"/>
          <w:szCs w:val="24"/>
        </w:rPr>
        <w:t>不同投标人的投标文件相互混装；</w:t>
      </w:r>
    </w:p>
    <w:p>
      <w:pPr>
        <w:spacing w:before="96" w:line="400" w:lineRule="exact"/>
        <w:ind w:left="518"/>
        <w:rPr>
          <w:rFonts w:ascii="宋体" w:hAnsi="宋体" w:eastAsia="宋体" w:cs="宋体"/>
          <w:spacing w:val="-2"/>
          <w:position w:val="10"/>
          <w:sz w:val="24"/>
          <w:szCs w:val="24"/>
        </w:rPr>
      </w:pPr>
      <w:r>
        <w:rPr>
          <w:rFonts w:ascii="Times New Roman" w:hAnsi="Times New Roman" w:eastAsia="Times New Roman" w:cs="Times New Roman"/>
          <w:spacing w:val="-2"/>
          <w:position w:val="10"/>
          <w:sz w:val="24"/>
          <w:szCs w:val="24"/>
        </w:rPr>
        <w:t>f.</w:t>
      </w:r>
      <w:r>
        <w:rPr>
          <w:rFonts w:ascii="宋体" w:hAnsi="宋体" w:eastAsia="宋体" w:cs="宋体"/>
          <w:spacing w:val="-2"/>
          <w:position w:val="10"/>
          <w:sz w:val="24"/>
          <w:szCs w:val="24"/>
        </w:rPr>
        <w:t>不同投标人的投标保证金从同一单位或个人的账户转出。</w:t>
      </w:r>
    </w:p>
    <w:p>
      <w:pPr>
        <w:spacing w:before="96" w:line="400" w:lineRule="exact"/>
        <w:ind w:firstLine="472" w:firstLineChars="200"/>
        <w:rPr>
          <w:rFonts w:hint="eastAsia" w:ascii="宋体" w:hAnsi="宋体" w:eastAsia="宋体" w:cs="宋体"/>
          <w:spacing w:val="-2"/>
          <w:position w:val="10"/>
          <w:sz w:val="24"/>
          <w:szCs w:val="24"/>
        </w:rPr>
      </w:pPr>
      <w:r>
        <w:rPr>
          <w:rFonts w:hint="eastAsia" w:ascii="宋体" w:hAnsi="宋体" w:eastAsia="宋体" w:cs="宋体"/>
          <w:spacing w:val="-2"/>
          <w:position w:val="10"/>
          <w:sz w:val="24"/>
          <w:szCs w:val="24"/>
        </w:rPr>
        <w:t>g.当一家以上投标人评标价相同时，若各投标人工程量清单细目单价也相同，视为串标（ 一个标段仅一工作细目报价的除外）。</w:t>
      </w:r>
    </w:p>
    <w:p>
      <w:pPr>
        <w:spacing w:before="96" w:line="400" w:lineRule="exact"/>
        <w:ind w:left="518"/>
        <w:rPr>
          <w:rFonts w:ascii="宋体" w:hAnsi="宋体" w:eastAsia="宋体" w:cs="宋体"/>
          <w:spacing w:val="-2"/>
          <w:position w:val="10"/>
          <w:sz w:val="24"/>
          <w:szCs w:val="24"/>
        </w:rPr>
      </w:pPr>
      <w:r>
        <w:rPr>
          <w:rFonts w:hint="eastAsia" w:ascii="宋体" w:hAnsi="宋体" w:eastAsia="宋体" w:cs="宋体"/>
          <w:spacing w:val="-2"/>
          <w:position w:val="10"/>
          <w:sz w:val="24"/>
          <w:szCs w:val="24"/>
        </w:rPr>
        <w:t>h.广东省实施《中华人民共和国招标投标法》办法第十六条规定的情形。</w:t>
      </w:r>
    </w:p>
    <w:p>
      <w:pPr>
        <w:spacing w:before="1" w:line="220" w:lineRule="auto"/>
        <w:ind w:left="524"/>
        <w:rPr>
          <w:rFonts w:ascii="宋体" w:hAnsi="宋体" w:eastAsia="宋体" w:cs="宋体"/>
          <w:spacing w:val="-3"/>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）有下列情形之一的，属于招标人与投标人串通投标：</w:t>
      </w:r>
    </w:p>
    <w:p>
      <w:pPr>
        <w:spacing w:before="1" w:line="220" w:lineRule="auto"/>
        <w:ind w:left="524"/>
        <w:rPr>
          <w:rFonts w:ascii="Times New Roman" w:hAnsi="Times New Roman" w:eastAsia="Times New Roman" w:cs="Times New Roman"/>
          <w:spacing w:val="-2"/>
          <w:sz w:val="24"/>
          <w:szCs w:val="24"/>
        </w:rPr>
      </w:pPr>
      <w:r>
        <w:rPr>
          <w:rFonts w:ascii="Times New Roman" w:hAnsi="Times New Roman" w:eastAsia="Times New Roman" w:cs="Times New Roman"/>
          <w:spacing w:val="-1"/>
          <w:sz w:val="24"/>
          <w:szCs w:val="24"/>
        </w:rPr>
        <w:t>a.</w:t>
      </w:r>
      <w:r>
        <w:rPr>
          <w:rFonts w:ascii="宋体" w:hAnsi="宋体" w:eastAsia="宋体" w:cs="宋体"/>
          <w:spacing w:val="-1"/>
          <w:sz w:val="24"/>
          <w:szCs w:val="24"/>
        </w:rPr>
        <w:t>招标人在开标前开启投标文件并将有关信息泄露给其他</w:t>
      </w:r>
      <w:r>
        <w:rPr>
          <w:rFonts w:ascii="宋体" w:hAnsi="宋体" w:eastAsia="宋体" w:cs="宋体"/>
          <w:spacing w:val="-2"/>
          <w:sz w:val="24"/>
          <w:szCs w:val="24"/>
        </w:rPr>
        <w:t>投标人</w:t>
      </w:r>
      <w:r>
        <w:rPr>
          <w:rFonts w:ascii="Times New Roman" w:hAnsi="Times New Roman" w:eastAsia="Times New Roman" w:cs="Times New Roman"/>
          <w:spacing w:val="-2"/>
          <w:sz w:val="24"/>
          <w:szCs w:val="24"/>
        </w:rPr>
        <w:t xml:space="preserve">;  </w:t>
      </w:r>
    </w:p>
    <w:p>
      <w:pPr>
        <w:spacing w:before="1" w:line="220" w:lineRule="auto"/>
        <w:ind w:left="524"/>
        <w:rPr>
          <w:rFonts w:ascii="宋体" w:hAnsi="宋体" w:eastAsia="宋体" w:cs="宋体"/>
          <w:spacing w:val="-2"/>
          <w:sz w:val="24"/>
          <w:szCs w:val="24"/>
        </w:rPr>
      </w:pPr>
      <w:r>
        <w:rPr>
          <w:rFonts w:ascii="Times New Roman" w:hAnsi="Times New Roman" w:eastAsia="Times New Roman" w:cs="Times New Roman"/>
          <w:spacing w:val="-2"/>
          <w:sz w:val="24"/>
          <w:szCs w:val="24"/>
        </w:rPr>
        <w:t>b.</w:t>
      </w:r>
      <w:r>
        <w:rPr>
          <w:rFonts w:ascii="宋体" w:hAnsi="宋体" w:eastAsia="宋体" w:cs="宋体"/>
          <w:spacing w:val="-2"/>
          <w:sz w:val="24"/>
          <w:szCs w:val="24"/>
        </w:rPr>
        <w:t>招标人直接或间接向投标人泄露标底、评标委员会成员等信息；</w:t>
      </w:r>
    </w:p>
    <w:p>
      <w:pPr>
        <w:spacing w:before="1" w:line="220" w:lineRule="auto"/>
        <w:ind w:left="524"/>
        <w:rPr>
          <w:rFonts w:ascii="宋体" w:hAnsi="宋体" w:eastAsia="宋体" w:cs="宋体"/>
          <w:sz w:val="24"/>
          <w:szCs w:val="24"/>
        </w:rPr>
      </w:pPr>
      <w:r>
        <w:rPr>
          <w:rFonts w:ascii="Times New Roman" w:hAnsi="Times New Roman" w:eastAsia="Times New Roman" w:cs="Times New Roman"/>
          <w:spacing w:val="-2"/>
          <w:sz w:val="24"/>
          <w:szCs w:val="24"/>
        </w:rPr>
        <w:t>c.</w:t>
      </w:r>
      <w:r>
        <w:rPr>
          <w:rFonts w:ascii="宋体" w:hAnsi="宋体" w:eastAsia="宋体" w:cs="宋体"/>
          <w:spacing w:val="-2"/>
          <w:sz w:val="24"/>
          <w:szCs w:val="24"/>
        </w:rPr>
        <w:t>招标人明示或暗示投标人压低或抬高投</w:t>
      </w:r>
      <w:r>
        <w:rPr>
          <w:rFonts w:ascii="宋体" w:hAnsi="宋体" w:eastAsia="宋体" w:cs="宋体"/>
          <w:spacing w:val="-3"/>
          <w:sz w:val="24"/>
          <w:szCs w:val="24"/>
        </w:rPr>
        <w:t>标报价；</w:t>
      </w:r>
    </w:p>
    <w:p>
      <w:pPr>
        <w:spacing w:before="100" w:line="233" w:lineRule="auto"/>
        <w:ind w:left="516"/>
        <w:rPr>
          <w:rFonts w:ascii="宋体" w:hAnsi="宋体" w:eastAsia="宋体" w:cs="宋体"/>
          <w:sz w:val="24"/>
          <w:szCs w:val="24"/>
        </w:rPr>
      </w:pPr>
      <w:r>
        <w:rPr>
          <w:rFonts w:ascii="Times New Roman" w:hAnsi="Times New Roman" w:eastAsia="Times New Roman" w:cs="Times New Roman"/>
          <w:spacing w:val="-4"/>
          <w:sz w:val="24"/>
          <w:szCs w:val="24"/>
        </w:rPr>
        <w:t>d.</w:t>
      </w:r>
      <w:r>
        <w:rPr>
          <w:rFonts w:ascii="宋体" w:hAnsi="宋体" w:eastAsia="宋体" w:cs="宋体"/>
          <w:spacing w:val="-4"/>
          <w:sz w:val="24"/>
          <w:szCs w:val="24"/>
        </w:rPr>
        <w:t>招标人授意投标人撤换、修改投标文件；</w:t>
      </w:r>
    </w:p>
    <w:p>
      <w:pPr>
        <w:spacing w:before="94" w:line="233" w:lineRule="auto"/>
        <w:ind w:left="517"/>
        <w:rPr>
          <w:rFonts w:ascii="宋体" w:hAnsi="宋体" w:eastAsia="宋体" w:cs="宋体"/>
          <w:spacing w:val="-3"/>
          <w:sz w:val="24"/>
          <w:szCs w:val="24"/>
        </w:rPr>
      </w:pPr>
      <w:r>
        <w:rPr>
          <w:rFonts w:ascii="Times New Roman" w:hAnsi="Times New Roman" w:eastAsia="Times New Roman" w:cs="Times New Roman"/>
          <w:spacing w:val="-3"/>
          <w:sz w:val="24"/>
          <w:szCs w:val="24"/>
        </w:rPr>
        <w:t>e.</w:t>
      </w:r>
      <w:r>
        <w:rPr>
          <w:rFonts w:ascii="宋体" w:hAnsi="宋体" w:eastAsia="宋体" w:cs="宋体"/>
          <w:spacing w:val="-3"/>
          <w:sz w:val="24"/>
          <w:szCs w:val="24"/>
        </w:rPr>
        <w:t>招标人明示或暗示投标人为特定投标人中标提供方便；</w:t>
      </w:r>
    </w:p>
    <w:p>
      <w:pPr>
        <w:spacing w:before="94" w:line="233" w:lineRule="auto"/>
        <w:ind w:left="517"/>
        <w:rPr>
          <w:rFonts w:ascii="宋体" w:hAnsi="宋体" w:eastAsia="宋体" w:cs="宋体"/>
          <w:spacing w:val="-2"/>
          <w:sz w:val="24"/>
          <w:szCs w:val="24"/>
        </w:rPr>
      </w:pPr>
      <w:r>
        <w:rPr>
          <w:rFonts w:ascii="Times New Roman" w:hAnsi="Times New Roman" w:eastAsia="Times New Roman" w:cs="Times New Roman"/>
          <w:spacing w:val="-2"/>
          <w:sz w:val="24"/>
          <w:szCs w:val="24"/>
        </w:rPr>
        <w:t>f.</w:t>
      </w:r>
      <w:r>
        <w:rPr>
          <w:rFonts w:ascii="宋体" w:hAnsi="宋体" w:eastAsia="宋体" w:cs="宋体"/>
          <w:spacing w:val="-2"/>
          <w:sz w:val="24"/>
          <w:szCs w:val="24"/>
        </w:rPr>
        <w:t>招标人与投标人为谋求特定投标人中标而采取的其他串通行为。</w:t>
      </w:r>
    </w:p>
    <w:p>
      <w:pPr>
        <w:spacing w:before="94" w:line="233" w:lineRule="auto"/>
        <w:ind w:left="517"/>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）投标人有下列情形之一的，属于弄虚作假的行为：</w:t>
      </w:r>
    </w:p>
    <w:p>
      <w:pPr>
        <w:spacing w:before="114" w:line="233" w:lineRule="auto"/>
        <w:ind w:left="517"/>
        <w:rPr>
          <w:rFonts w:ascii="宋体" w:hAnsi="宋体" w:eastAsia="宋体" w:cs="宋体"/>
          <w:sz w:val="24"/>
          <w:szCs w:val="24"/>
        </w:rPr>
      </w:pPr>
      <w:r>
        <w:rPr>
          <w:rFonts w:ascii="Times New Roman" w:hAnsi="Times New Roman" w:eastAsia="Times New Roman" w:cs="Times New Roman"/>
          <w:spacing w:val="-1"/>
          <w:sz w:val="24"/>
          <w:szCs w:val="24"/>
        </w:rPr>
        <w:t>a.</w:t>
      </w:r>
      <w:r>
        <w:rPr>
          <w:rFonts w:ascii="宋体" w:hAnsi="宋体" w:eastAsia="宋体" w:cs="宋体"/>
          <w:spacing w:val="-1"/>
          <w:sz w:val="24"/>
          <w:szCs w:val="24"/>
        </w:rPr>
        <w:t>使用通过受让或租借等方式获取的资格、资质证书投标；</w:t>
      </w:r>
    </w:p>
    <w:p>
      <w:pPr>
        <w:spacing w:before="98" w:line="401" w:lineRule="exact"/>
        <w:ind w:left="508"/>
        <w:rPr>
          <w:rFonts w:ascii="宋体" w:hAnsi="宋体" w:eastAsia="宋体" w:cs="宋体"/>
          <w:sz w:val="24"/>
          <w:szCs w:val="24"/>
        </w:rPr>
      </w:pPr>
      <w:r>
        <w:rPr>
          <w:rFonts w:ascii="Times New Roman" w:hAnsi="Times New Roman" w:eastAsia="Times New Roman" w:cs="Times New Roman"/>
          <w:spacing w:val="-4"/>
          <w:position w:val="10"/>
          <w:sz w:val="24"/>
          <w:szCs w:val="24"/>
        </w:rPr>
        <w:t>b.</w:t>
      </w:r>
      <w:r>
        <w:rPr>
          <w:rFonts w:ascii="宋体" w:hAnsi="宋体" w:eastAsia="宋体" w:cs="宋体"/>
          <w:spacing w:val="-4"/>
          <w:position w:val="10"/>
          <w:sz w:val="24"/>
          <w:szCs w:val="24"/>
        </w:rPr>
        <w:t>使用伪造、变造的许可证件；</w:t>
      </w:r>
    </w:p>
    <w:p>
      <w:pPr>
        <w:spacing w:before="1" w:line="232" w:lineRule="auto"/>
        <w:ind w:left="516"/>
        <w:rPr>
          <w:rFonts w:ascii="宋体" w:hAnsi="宋体" w:eastAsia="宋体" w:cs="宋体"/>
          <w:sz w:val="24"/>
          <w:szCs w:val="24"/>
        </w:rPr>
      </w:pPr>
      <w:r>
        <w:rPr>
          <w:rFonts w:ascii="Times New Roman" w:hAnsi="Times New Roman" w:eastAsia="Times New Roman" w:cs="Times New Roman"/>
          <w:spacing w:val="-4"/>
          <w:sz w:val="24"/>
          <w:szCs w:val="24"/>
        </w:rPr>
        <w:t>c.</w:t>
      </w:r>
      <w:r>
        <w:rPr>
          <w:rFonts w:ascii="宋体" w:hAnsi="宋体" w:eastAsia="宋体" w:cs="宋体"/>
          <w:spacing w:val="-4"/>
          <w:sz w:val="24"/>
          <w:szCs w:val="24"/>
        </w:rPr>
        <w:t>提供虚假的财务状况或业绩；</w:t>
      </w:r>
    </w:p>
    <w:p>
      <w:pPr>
        <w:spacing w:before="95" w:line="233" w:lineRule="auto"/>
        <w:ind w:left="516"/>
        <w:rPr>
          <w:rFonts w:ascii="宋体" w:hAnsi="宋体" w:eastAsia="宋体" w:cs="宋体"/>
          <w:sz w:val="24"/>
          <w:szCs w:val="24"/>
        </w:rPr>
      </w:pPr>
      <w:r>
        <w:rPr>
          <w:rFonts w:ascii="Times New Roman" w:hAnsi="Times New Roman" w:eastAsia="Times New Roman" w:cs="Times New Roman"/>
          <w:spacing w:val="-2"/>
          <w:sz w:val="24"/>
          <w:szCs w:val="24"/>
        </w:rPr>
        <w:t>d.</w:t>
      </w:r>
      <w:r>
        <w:rPr>
          <w:rFonts w:ascii="宋体" w:hAnsi="宋体" w:eastAsia="宋体" w:cs="宋体"/>
          <w:spacing w:val="-2"/>
          <w:sz w:val="24"/>
          <w:szCs w:val="24"/>
        </w:rPr>
        <w:t>提供虚假的项目负责人或主要技术人员简历、劳动关系</w:t>
      </w:r>
      <w:r>
        <w:rPr>
          <w:rFonts w:ascii="宋体" w:hAnsi="宋体" w:eastAsia="宋体" w:cs="宋体"/>
          <w:spacing w:val="-3"/>
          <w:sz w:val="24"/>
          <w:szCs w:val="24"/>
        </w:rPr>
        <w:t>证明；</w:t>
      </w:r>
    </w:p>
    <w:p>
      <w:pPr>
        <w:spacing w:before="98" w:line="401" w:lineRule="exact"/>
        <w:ind w:left="517"/>
        <w:rPr>
          <w:rFonts w:ascii="宋体" w:hAnsi="宋体" w:eastAsia="宋体" w:cs="宋体"/>
          <w:sz w:val="24"/>
          <w:szCs w:val="24"/>
        </w:rPr>
      </w:pPr>
      <w:r>
        <w:rPr>
          <w:rFonts w:ascii="Times New Roman" w:hAnsi="Times New Roman" w:eastAsia="Times New Roman" w:cs="Times New Roman"/>
          <w:spacing w:val="-6"/>
          <w:position w:val="11"/>
          <w:sz w:val="24"/>
          <w:szCs w:val="24"/>
        </w:rPr>
        <w:t>e.</w:t>
      </w:r>
      <w:r>
        <w:rPr>
          <w:rFonts w:ascii="宋体" w:hAnsi="宋体" w:eastAsia="宋体" w:cs="宋体"/>
          <w:spacing w:val="-6"/>
          <w:position w:val="11"/>
          <w:sz w:val="24"/>
          <w:szCs w:val="24"/>
        </w:rPr>
        <w:t>提供虚假的信用状况；</w:t>
      </w:r>
    </w:p>
    <w:p>
      <w:pPr>
        <w:spacing w:before="1" w:line="232" w:lineRule="auto"/>
        <w:ind w:left="518"/>
        <w:rPr>
          <w:rFonts w:ascii="宋体" w:hAnsi="宋体" w:eastAsia="宋体" w:cs="宋体"/>
          <w:spacing w:val="-4"/>
          <w:sz w:val="24"/>
          <w:szCs w:val="24"/>
        </w:rPr>
      </w:pPr>
      <w:r>
        <w:rPr>
          <w:rFonts w:ascii="Times New Roman" w:hAnsi="Times New Roman" w:eastAsia="Times New Roman" w:cs="Times New Roman"/>
          <w:spacing w:val="-4"/>
          <w:sz w:val="24"/>
          <w:szCs w:val="24"/>
        </w:rPr>
        <w:t>f.</w:t>
      </w:r>
      <w:r>
        <w:rPr>
          <w:rFonts w:ascii="宋体" w:hAnsi="宋体" w:eastAsia="宋体" w:cs="宋体"/>
          <w:spacing w:val="-4"/>
          <w:sz w:val="24"/>
          <w:szCs w:val="24"/>
        </w:rPr>
        <w:t>其他弄虚作假的行为。</w:t>
      </w:r>
    </w:p>
    <w:p>
      <w:pPr>
        <w:spacing w:before="1" w:line="232" w:lineRule="auto"/>
        <w:ind w:firstLine="464" w:firstLineChars="200"/>
        <w:rPr>
          <w:rFonts w:ascii="宋体" w:hAnsi="宋体" w:eastAsia="宋体" w:cs="宋体"/>
          <w:spacing w:val="-4"/>
          <w:sz w:val="24"/>
          <w:szCs w:val="24"/>
        </w:rPr>
      </w:pPr>
      <w:r>
        <w:rPr>
          <w:rFonts w:hint="eastAsia" w:ascii="宋体" w:hAnsi="宋体" w:eastAsia="宋体" w:cs="宋体"/>
          <w:spacing w:val="-4"/>
          <w:sz w:val="24"/>
          <w:szCs w:val="24"/>
        </w:rPr>
        <w:t>3.5.3 依法必须进行招标的项目，除第一中标候选人或者中标人，其他投标人存在串 通投标、弄虚作假、行贿情形且在评标过程中未被发现的，视为对中标结果没有造成实 质性影响，招标人可以依法继续开展招标活动。投标人的违法行为由行政监督部门依法处理。</w:t>
      </w:r>
    </w:p>
    <w:p>
      <w:pPr>
        <w:spacing w:line="257" w:lineRule="auto"/>
        <w:rPr>
          <w:rFonts w:ascii="Arial"/>
          <w:sz w:val="21"/>
        </w:rPr>
      </w:pPr>
    </w:p>
    <w:p>
      <w:pPr>
        <w:spacing w:before="78" w:line="218" w:lineRule="auto"/>
        <w:ind w:left="38"/>
        <w:rPr>
          <w:rFonts w:ascii="黑体" w:hAnsi="黑体" w:eastAsia="黑体" w:cs="黑体"/>
          <w:sz w:val="24"/>
          <w:szCs w:val="24"/>
        </w:rPr>
      </w:pPr>
      <w:r>
        <w:rPr>
          <w:rFonts w:ascii="黑体" w:hAnsi="黑体" w:eastAsia="黑体" w:cs="黑体"/>
          <w:spacing w:val="-1"/>
          <w:sz w:val="24"/>
          <w:szCs w:val="24"/>
        </w:rPr>
        <w:t>3.6 投标文件的澄清和说明</w:t>
      </w:r>
    </w:p>
    <w:p>
      <w:pPr>
        <w:spacing w:line="276" w:lineRule="auto"/>
        <w:rPr>
          <w:rFonts w:ascii="Arial"/>
          <w:sz w:val="21"/>
        </w:rPr>
      </w:pPr>
    </w:p>
    <w:p>
      <w:pPr>
        <w:spacing w:before="78" w:line="308" w:lineRule="auto"/>
        <w:ind w:left="40" w:right="84" w:firstLine="478"/>
        <w:rPr>
          <w:rFonts w:ascii="宋体" w:hAnsi="宋体" w:eastAsia="宋体" w:cs="宋体"/>
          <w:spacing w:val="-8"/>
          <w:sz w:val="24"/>
          <w:szCs w:val="24"/>
        </w:rPr>
      </w:pPr>
      <w:r>
        <w:rPr>
          <w:rFonts w:ascii="Times New Roman" w:hAnsi="Times New Roman" w:eastAsia="Times New Roman" w:cs="Times New Roman"/>
          <w:spacing w:val="-5"/>
          <w:sz w:val="24"/>
          <w:szCs w:val="24"/>
        </w:rPr>
        <w:t xml:space="preserve">3.6.1  </w:t>
      </w:r>
      <w:r>
        <w:rPr>
          <w:rFonts w:ascii="宋体" w:hAnsi="宋体" w:eastAsia="宋体" w:cs="宋体"/>
          <w:spacing w:val="-5"/>
          <w:sz w:val="24"/>
          <w:szCs w:val="24"/>
        </w:rPr>
        <w:t>在评标过程中， 评标委员会可以书面形式</w:t>
      </w:r>
      <w:r>
        <w:rPr>
          <w:rFonts w:ascii="宋体" w:hAnsi="宋体" w:eastAsia="宋体" w:cs="宋体"/>
          <w:spacing w:val="-6"/>
          <w:sz w:val="24"/>
          <w:szCs w:val="24"/>
        </w:rPr>
        <w:t>要求投标人对投标文件中含义不</w:t>
      </w:r>
      <w:r>
        <w:rPr>
          <w:rFonts w:ascii="宋体" w:hAnsi="宋体" w:eastAsia="宋体" w:cs="宋体"/>
          <w:sz w:val="24"/>
          <w:szCs w:val="24"/>
        </w:rPr>
        <w:t xml:space="preserve"> 明确的内容、明显文字或计算错误进行书面澄清或说明。评标委员会不接受投标人</w:t>
      </w:r>
      <w:r>
        <w:rPr>
          <w:rFonts w:ascii="宋体" w:hAnsi="宋体" w:eastAsia="宋体" w:cs="宋体"/>
          <w:spacing w:val="17"/>
          <w:sz w:val="24"/>
          <w:szCs w:val="24"/>
        </w:rPr>
        <w:t xml:space="preserve"> </w:t>
      </w:r>
      <w:r>
        <w:rPr>
          <w:rFonts w:ascii="宋体" w:hAnsi="宋体" w:eastAsia="宋体" w:cs="宋体"/>
          <w:spacing w:val="1"/>
          <w:sz w:val="24"/>
          <w:szCs w:val="24"/>
        </w:rPr>
        <w:t>主动提出的澄清、说明。投标人不按评标委员</w:t>
      </w:r>
      <w:r>
        <w:rPr>
          <w:rFonts w:ascii="宋体" w:hAnsi="宋体" w:eastAsia="宋体" w:cs="宋体"/>
          <w:sz w:val="24"/>
          <w:szCs w:val="24"/>
        </w:rPr>
        <w:t>会要求澄清或说明的，评标委员会应</w:t>
      </w:r>
      <w:r>
        <w:rPr>
          <w:rFonts w:ascii="宋体" w:hAnsi="宋体" w:eastAsia="宋体" w:cs="宋体"/>
          <w:spacing w:val="-8"/>
          <w:sz w:val="24"/>
          <w:szCs w:val="24"/>
        </w:rPr>
        <w:t>否决其投标。</w:t>
      </w:r>
    </w:p>
    <w:p>
      <w:pPr>
        <w:spacing w:before="78" w:line="308" w:lineRule="auto"/>
        <w:ind w:left="40" w:right="84" w:firstLine="478"/>
        <w:rPr>
          <w:rFonts w:ascii="宋体" w:hAnsi="宋体" w:eastAsia="宋体" w:cs="宋体"/>
          <w:spacing w:val="-6"/>
          <w:sz w:val="24"/>
          <w:szCs w:val="24"/>
        </w:rPr>
      </w:pPr>
      <w:r>
        <w:rPr>
          <w:rFonts w:ascii="Times New Roman" w:hAnsi="Times New Roman" w:eastAsia="Times New Roman" w:cs="Times New Roman"/>
          <w:spacing w:val="-2"/>
          <w:sz w:val="24"/>
          <w:szCs w:val="24"/>
        </w:rPr>
        <w:t xml:space="preserve">3.6.2  </w:t>
      </w:r>
      <w:r>
        <w:rPr>
          <w:rFonts w:ascii="宋体" w:hAnsi="宋体" w:eastAsia="宋体" w:cs="宋体"/>
          <w:spacing w:val="-2"/>
          <w:sz w:val="24"/>
          <w:szCs w:val="24"/>
        </w:rPr>
        <w:t>澄清和说明不得超出投标文件的范围</w:t>
      </w:r>
      <w:r>
        <w:rPr>
          <w:rFonts w:ascii="宋体" w:hAnsi="宋体" w:eastAsia="宋体" w:cs="宋体"/>
          <w:spacing w:val="-3"/>
          <w:sz w:val="24"/>
          <w:szCs w:val="24"/>
        </w:rPr>
        <w:t>或改变投标文件的实质性内容（算术</w:t>
      </w:r>
      <w:r>
        <w:rPr>
          <w:rFonts w:ascii="宋体" w:hAnsi="宋体" w:eastAsia="宋体" w:cs="宋体"/>
          <w:sz w:val="24"/>
          <w:szCs w:val="24"/>
        </w:rPr>
        <w:t xml:space="preserve"> </w:t>
      </w:r>
      <w:r>
        <w:rPr>
          <w:rFonts w:ascii="宋体" w:hAnsi="宋体" w:eastAsia="宋体" w:cs="宋体"/>
          <w:spacing w:val="-5"/>
          <w:sz w:val="24"/>
          <w:szCs w:val="24"/>
        </w:rPr>
        <w:t>性错误的修正除外）。投标人的书面澄清、说明属于投标文件的组成</w:t>
      </w:r>
      <w:r>
        <w:rPr>
          <w:rFonts w:ascii="宋体" w:hAnsi="宋体" w:eastAsia="宋体" w:cs="宋体"/>
          <w:spacing w:val="-6"/>
          <w:sz w:val="24"/>
          <w:szCs w:val="24"/>
        </w:rPr>
        <w:t>部分。</w:t>
      </w:r>
    </w:p>
    <w:p>
      <w:pPr>
        <w:spacing w:before="78" w:line="308" w:lineRule="auto"/>
        <w:ind w:left="40" w:right="84" w:firstLine="478"/>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3.6.3  评标委员会不得暗示或诱导投标人作出澄清、说明，对投标人提交的澄清、说明有疑问的，可以要求投标人进一步澄清或说明，直至满足评标委员会的要求。</w:t>
      </w:r>
    </w:p>
    <w:p>
      <w:pPr>
        <w:spacing w:before="78" w:line="308" w:lineRule="auto"/>
        <w:ind w:left="40" w:right="84" w:firstLine="478"/>
        <w:rPr>
          <w:rFonts w:ascii="Times New Roman" w:hAnsi="Times New Roman" w:eastAsia="Times New Roman" w:cs="Times New Roman"/>
          <w:spacing w:val="-2"/>
          <w:sz w:val="24"/>
          <w:szCs w:val="24"/>
        </w:rPr>
      </w:pPr>
      <w:r>
        <w:rPr>
          <w:rFonts w:ascii="Times New Roman" w:hAnsi="Times New Roman" w:eastAsia="Times New Roman" w:cs="Times New Roman"/>
          <w:spacing w:val="-2"/>
          <w:sz w:val="24"/>
          <w:szCs w:val="24"/>
        </w:rPr>
        <w:t>3.6.4 凡超出招标文件规定的或给发包人带来未曾要求的利益的变化、偏差或其他因素在评标时不予考虑。</w:t>
      </w:r>
    </w:p>
    <w:p>
      <w:pPr>
        <w:spacing w:before="78" w:line="220" w:lineRule="auto"/>
        <w:ind w:left="38"/>
        <w:rPr>
          <w:rFonts w:ascii="黑体" w:hAnsi="黑体" w:eastAsia="黑体" w:cs="黑体"/>
          <w:sz w:val="24"/>
          <w:szCs w:val="24"/>
        </w:rPr>
      </w:pPr>
      <w:r>
        <w:rPr>
          <w:rFonts w:ascii="黑体" w:hAnsi="黑体" w:eastAsia="黑体" w:cs="黑体"/>
          <w:spacing w:val="-1"/>
          <w:sz w:val="24"/>
          <w:szCs w:val="24"/>
        </w:rPr>
        <w:t>3.7 不得否决投标的情形</w:t>
      </w:r>
    </w:p>
    <w:p>
      <w:pPr>
        <w:spacing w:line="274" w:lineRule="auto"/>
        <w:rPr>
          <w:rFonts w:ascii="Arial"/>
          <w:sz w:val="21"/>
        </w:rPr>
      </w:pPr>
    </w:p>
    <w:p>
      <w:pPr>
        <w:spacing w:before="78" w:line="308" w:lineRule="auto"/>
        <w:ind w:left="37" w:firstLine="483"/>
        <w:jc w:val="both"/>
        <w:rPr>
          <w:rFonts w:ascii="宋体" w:hAnsi="宋体" w:eastAsia="宋体" w:cs="宋体"/>
          <w:sz w:val="24"/>
          <w:szCs w:val="24"/>
        </w:rPr>
      </w:pPr>
      <w:r>
        <w:rPr>
          <w:rFonts w:ascii="宋体" w:hAnsi="宋体" w:eastAsia="宋体" w:cs="宋体"/>
          <w:spacing w:val="-9"/>
          <w:sz w:val="24"/>
          <w:szCs w:val="24"/>
        </w:rPr>
        <w:t>投标文件存在第二章“投标人须知”第</w:t>
      </w:r>
      <w:r>
        <w:rPr>
          <w:rFonts w:ascii="宋体" w:hAnsi="宋体" w:eastAsia="宋体" w:cs="宋体"/>
          <w:spacing w:val="-32"/>
          <w:sz w:val="24"/>
          <w:szCs w:val="24"/>
        </w:rPr>
        <w:t xml:space="preserve"> </w:t>
      </w:r>
      <w:r>
        <w:rPr>
          <w:rFonts w:ascii="Times New Roman" w:hAnsi="Times New Roman" w:eastAsia="Times New Roman" w:cs="Times New Roman"/>
          <w:spacing w:val="-9"/>
          <w:sz w:val="24"/>
          <w:szCs w:val="24"/>
        </w:rPr>
        <w:t>1.12.3</w:t>
      </w:r>
      <w:r>
        <w:rPr>
          <w:rFonts w:ascii="Times New Roman" w:hAnsi="Times New Roman" w:eastAsia="Times New Roman" w:cs="Times New Roman"/>
          <w:spacing w:val="14"/>
          <w:sz w:val="24"/>
          <w:szCs w:val="24"/>
        </w:rPr>
        <w:t xml:space="preserve"> </w:t>
      </w:r>
      <w:r>
        <w:rPr>
          <w:rFonts w:ascii="宋体" w:hAnsi="宋体" w:eastAsia="宋体" w:cs="宋体"/>
          <w:spacing w:val="-9"/>
          <w:sz w:val="24"/>
          <w:szCs w:val="24"/>
        </w:rPr>
        <w:t>项所列情形的，均</w:t>
      </w:r>
      <w:r>
        <w:rPr>
          <w:rFonts w:ascii="宋体" w:hAnsi="宋体" w:eastAsia="宋体" w:cs="宋体"/>
          <w:spacing w:val="-10"/>
          <w:sz w:val="24"/>
          <w:szCs w:val="24"/>
        </w:rPr>
        <w:t>视为细微偏差，</w:t>
      </w:r>
      <w:r>
        <w:rPr>
          <w:rFonts w:ascii="宋体" w:hAnsi="宋体" w:eastAsia="宋体" w:cs="宋体"/>
          <w:spacing w:val="-1"/>
          <w:sz w:val="24"/>
          <w:szCs w:val="24"/>
        </w:rPr>
        <w:t>评标委员会不得否决投标人的投标，应按照第</w:t>
      </w:r>
      <w:r>
        <w:rPr>
          <w:rFonts w:ascii="宋体" w:hAnsi="宋体" w:eastAsia="宋体" w:cs="宋体"/>
          <w:spacing w:val="-2"/>
          <w:sz w:val="24"/>
          <w:szCs w:val="24"/>
        </w:rPr>
        <w:t xml:space="preserve">二章“投标人须知”第 </w:t>
      </w:r>
      <w:r>
        <w:rPr>
          <w:rFonts w:ascii="Times New Roman" w:hAnsi="Times New Roman" w:eastAsia="Times New Roman" w:cs="Times New Roman"/>
          <w:spacing w:val="-2"/>
          <w:sz w:val="24"/>
          <w:szCs w:val="24"/>
        </w:rPr>
        <w:t>1.12.4</w:t>
      </w:r>
      <w:r>
        <w:rPr>
          <w:rFonts w:ascii="Times New Roman" w:hAnsi="Times New Roman" w:eastAsia="Times New Roman" w:cs="Times New Roman"/>
          <w:spacing w:val="30"/>
          <w:sz w:val="24"/>
          <w:szCs w:val="24"/>
        </w:rPr>
        <w:t xml:space="preserve"> </w:t>
      </w:r>
      <w:r>
        <w:rPr>
          <w:rFonts w:ascii="宋体" w:hAnsi="宋体" w:eastAsia="宋体" w:cs="宋体"/>
          <w:spacing w:val="-2"/>
          <w:sz w:val="24"/>
          <w:szCs w:val="24"/>
        </w:rPr>
        <w:t>项规定</w:t>
      </w:r>
      <w:r>
        <w:rPr>
          <w:rFonts w:ascii="宋体" w:hAnsi="宋体" w:eastAsia="宋体" w:cs="宋体"/>
          <w:spacing w:val="-9"/>
          <w:sz w:val="24"/>
          <w:szCs w:val="24"/>
        </w:rPr>
        <w:t>的原则处理。</w:t>
      </w:r>
    </w:p>
    <w:p>
      <w:pPr>
        <w:spacing w:before="263" w:line="219" w:lineRule="auto"/>
        <w:ind w:left="38"/>
        <w:rPr>
          <w:rFonts w:ascii="黑体" w:hAnsi="黑体" w:eastAsia="黑体" w:cs="黑体"/>
          <w:sz w:val="24"/>
          <w:szCs w:val="24"/>
        </w:rPr>
      </w:pPr>
      <w:r>
        <w:rPr>
          <w:rFonts w:ascii="黑体" w:hAnsi="黑体" w:eastAsia="黑体" w:cs="黑体"/>
          <w:spacing w:val="-1"/>
          <w:sz w:val="24"/>
          <w:szCs w:val="24"/>
        </w:rPr>
        <w:t>3.8 评标结果</w:t>
      </w:r>
    </w:p>
    <w:p>
      <w:pPr>
        <w:spacing w:line="276" w:lineRule="auto"/>
        <w:rPr>
          <w:rFonts w:ascii="Arial"/>
          <w:sz w:val="21"/>
        </w:rPr>
      </w:pPr>
    </w:p>
    <w:p>
      <w:pPr>
        <w:spacing w:before="78" w:line="308" w:lineRule="auto"/>
        <w:ind w:left="37" w:firstLine="483"/>
        <w:jc w:val="both"/>
        <w:rPr>
          <w:rFonts w:ascii="宋体" w:hAnsi="宋体" w:eastAsia="宋体" w:cs="宋体"/>
          <w:spacing w:val="-9"/>
          <w:sz w:val="24"/>
          <w:szCs w:val="24"/>
        </w:rPr>
      </w:pPr>
      <w:r>
        <w:rPr>
          <w:rFonts w:ascii="宋体" w:hAnsi="宋体" w:eastAsia="宋体" w:cs="宋体"/>
          <w:spacing w:val="-9"/>
          <w:sz w:val="24"/>
          <w:szCs w:val="24"/>
        </w:rPr>
        <w:t>3.8.1  除第二章“投标人须知”前附表授权直接确定中标人外，评标委员会按照得分由高到低的顺序推荐中标候选人，并标明排序。</w:t>
      </w:r>
    </w:p>
    <w:p>
      <w:pPr>
        <w:ind w:firstLine="476" w:firstLineChars="200"/>
        <w:rPr>
          <w:rFonts w:ascii="宋体" w:hAnsi="宋体" w:eastAsia="宋体" w:cs="宋体"/>
          <w:spacing w:val="-2"/>
          <w:sz w:val="24"/>
          <w:szCs w:val="24"/>
        </w:rPr>
      </w:pPr>
      <w:r>
        <w:rPr>
          <w:rFonts w:ascii="Times New Roman" w:hAnsi="Times New Roman" w:eastAsia="Times New Roman" w:cs="Times New Roman"/>
          <w:spacing w:val="-1"/>
          <w:sz w:val="24"/>
          <w:szCs w:val="24"/>
        </w:rPr>
        <w:t xml:space="preserve">3.8.2  </w:t>
      </w:r>
      <w:r>
        <w:rPr>
          <w:rFonts w:ascii="宋体" w:hAnsi="宋体" w:eastAsia="宋体" w:cs="宋体"/>
          <w:spacing w:val="-1"/>
          <w:sz w:val="24"/>
          <w:szCs w:val="24"/>
        </w:rPr>
        <w:t>评标委员会完成评标后，应向</w:t>
      </w:r>
      <w:r>
        <w:rPr>
          <w:rFonts w:ascii="宋体" w:hAnsi="宋体" w:eastAsia="宋体" w:cs="宋体"/>
          <w:spacing w:val="-2"/>
          <w:sz w:val="24"/>
          <w:szCs w:val="24"/>
        </w:rPr>
        <w:t>招标人提交书面评标报告。</w:t>
      </w:r>
    </w:p>
    <w:p>
      <w:pPr>
        <w:pStyle w:val="17"/>
        <w:spacing w:before="162" w:line="371" w:lineRule="auto"/>
        <w:ind w:left="130" w:right="71" w:firstLine="435"/>
        <w:jc w:val="both"/>
        <w:rPr>
          <w:sz w:val="20"/>
          <w:szCs w:val="20"/>
        </w:rPr>
      </w:pPr>
      <w:r>
        <w:rPr>
          <w:spacing w:val="7"/>
          <w:sz w:val="20"/>
          <w:szCs w:val="20"/>
        </w:rPr>
        <w:t>3.8.3</w:t>
      </w:r>
      <w:r>
        <w:rPr>
          <w:spacing w:val="-39"/>
          <w:sz w:val="20"/>
          <w:szCs w:val="20"/>
        </w:rPr>
        <w:t xml:space="preserve"> </w:t>
      </w:r>
      <w:r>
        <w:rPr>
          <w:spacing w:val="7"/>
          <w:sz w:val="20"/>
          <w:szCs w:val="20"/>
        </w:rPr>
        <w:t>推荐中标候选人方式</w:t>
      </w:r>
      <w:r>
        <w:rPr>
          <w:spacing w:val="-6"/>
          <w:sz w:val="20"/>
          <w:szCs w:val="20"/>
        </w:rPr>
        <w:t>：（</w:t>
      </w:r>
      <w:r>
        <w:rPr>
          <w:spacing w:val="7"/>
          <w:sz w:val="20"/>
          <w:szCs w:val="20"/>
        </w:rPr>
        <w:t>1）</w:t>
      </w:r>
      <w:r>
        <w:rPr>
          <w:spacing w:val="-59"/>
          <w:sz w:val="20"/>
          <w:szCs w:val="20"/>
        </w:rPr>
        <w:t xml:space="preserve"> </w:t>
      </w:r>
      <w:r>
        <w:rPr>
          <w:spacing w:val="7"/>
          <w:sz w:val="20"/>
          <w:szCs w:val="20"/>
        </w:rPr>
        <w:t>已被推荐为某一标段的第一中标候选人</w:t>
      </w:r>
      <w:r>
        <w:rPr>
          <w:spacing w:val="6"/>
          <w:sz w:val="20"/>
          <w:szCs w:val="20"/>
        </w:rPr>
        <w:t>，</w:t>
      </w:r>
      <w:r>
        <w:rPr>
          <w:spacing w:val="-51"/>
          <w:sz w:val="20"/>
          <w:szCs w:val="20"/>
        </w:rPr>
        <w:t xml:space="preserve"> </w:t>
      </w:r>
      <w:r>
        <w:rPr>
          <w:spacing w:val="6"/>
          <w:sz w:val="20"/>
          <w:szCs w:val="20"/>
        </w:rPr>
        <w:t>自动</w:t>
      </w:r>
      <w:r>
        <w:rPr>
          <w:spacing w:val="10"/>
          <w:sz w:val="20"/>
          <w:szCs w:val="20"/>
        </w:rPr>
        <w:t>失去其在本次招标中其他标段的中标候选人资</w:t>
      </w:r>
      <w:r>
        <w:rPr>
          <w:spacing w:val="9"/>
          <w:sz w:val="20"/>
          <w:szCs w:val="20"/>
        </w:rPr>
        <w:t>格。（2）按标段最高投标限价由高到低</w:t>
      </w:r>
      <w:r>
        <w:rPr>
          <w:sz w:val="20"/>
          <w:szCs w:val="20"/>
        </w:rPr>
        <w:t xml:space="preserve"> </w:t>
      </w:r>
      <w:r>
        <w:rPr>
          <w:spacing w:val="7"/>
          <w:sz w:val="20"/>
          <w:szCs w:val="20"/>
        </w:rPr>
        <w:t>顺序依次选定各标段中标候选人，如果出现投标人在多个标段都排名第一，将</w:t>
      </w:r>
      <w:r>
        <w:rPr>
          <w:spacing w:val="6"/>
          <w:sz w:val="20"/>
          <w:szCs w:val="20"/>
        </w:rPr>
        <w:t>确定该投</w:t>
      </w:r>
      <w:r>
        <w:rPr>
          <w:sz w:val="20"/>
          <w:szCs w:val="20"/>
        </w:rPr>
        <w:t xml:space="preserve"> </w:t>
      </w:r>
      <w:r>
        <w:rPr>
          <w:spacing w:val="7"/>
          <w:sz w:val="20"/>
          <w:szCs w:val="20"/>
        </w:rPr>
        <w:t>标人为最高投标限价较高的标段的第一中标候选人，同时该投标人自动失去在</w:t>
      </w:r>
      <w:r>
        <w:rPr>
          <w:spacing w:val="6"/>
          <w:sz w:val="20"/>
          <w:szCs w:val="20"/>
        </w:rPr>
        <w:t>本次招标</w:t>
      </w:r>
      <w:r>
        <w:rPr>
          <w:sz w:val="20"/>
          <w:szCs w:val="20"/>
        </w:rPr>
        <w:t xml:space="preserve"> </w:t>
      </w:r>
      <w:r>
        <w:rPr>
          <w:spacing w:val="8"/>
          <w:sz w:val="20"/>
          <w:szCs w:val="20"/>
        </w:rPr>
        <w:t>中其他标段的中标候选人资格，其他标段的综合排名名次高者自动上升为中标候选人，</w:t>
      </w:r>
    </w:p>
    <w:p>
      <w:pPr>
        <w:pStyle w:val="17"/>
        <w:spacing w:line="408" w:lineRule="exact"/>
        <w:ind w:left="153"/>
        <w:rPr>
          <w:sz w:val="10"/>
          <w:szCs w:val="10"/>
        </w:rPr>
      </w:pPr>
      <w:r>
        <w:rPr>
          <w:spacing w:val="3"/>
          <w:position w:val="5"/>
          <w:sz w:val="20"/>
          <w:szCs w:val="20"/>
        </w:rPr>
        <w:t>以此类推。</w:t>
      </w:r>
    </w:p>
    <w:p>
      <w:pPr>
        <w:pStyle w:val="17"/>
        <w:spacing w:before="31" w:line="377" w:lineRule="auto"/>
        <w:ind w:left="129" w:right="126" w:firstLine="437"/>
        <w:jc w:val="both"/>
        <w:rPr>
          <w:sz w:val="20"/>
          <w:szCs w:val="20"/>
        </w:rPr>
      </w:pPr>
      <w:r>
        <w:rPr>
          <w:spacing w:val="6"/>
          <w:sz w:val="20"/>
          <w:szCs w:val="20"/>
        </w:rPr>
        <w:t>3.8.4</w:t>
      </w:r>
      <w:r>
        <w:rPr>
          <w:spacing w:val="-31"/>
          <w:sz w:val="20"/>
          <w:szCs w:val="20"/>
        </w:rPr>
        <w:t xml:space="preserve"> </w:t>
      </w:r>
      <w:r>
        <w:rPr>
          <w:spacing w:val="6"/>
          <w:sz w:val="20"/>
          <w:szCs w:val="20"/>
        </w:rPr>
        <w:t>通过第一个信封商务及技术文件评审的投标人少于</w:t>
      </w:r>
      <w:r>
        <w:rPr>
          <w:spacing w:val="-33"/>
          <w:sz w:val="20"/>
          <w:szCs w:val="20"/>
        </w:rPr>
        <w:t xml:space="preserve"> </w:t>
      </w:r>
      <w:r>
        <w:rPr>
          <w:spacing w:val="6"/>
          <w:sz w:val="20"/>
          <w:szCs w:val="20"/>
        </w:rPr>
        <w:t>3</w:t>
      </w:r>
      <w:r>
        <w:rPr>
          <w:spacing w:val="-38"/>
          <w:sz w:val="20"/>
          <w:szCs w:val="20"/>
        </w:rPr>
        <w:t xml:space="preserve"> </w:t>
      </w:r>
      <w:r>
        <w:rPr>
          <w:spacing w:val="6"/>
          <w:sz w:val="20"/>
          <w:szCs w:val="20"/>
        </w:rPr>
        <w:t>个的，评标委员会可以</w:t>
      </w:r>
      <w:r>
        <w:rPr>
          <w:sz w:val="20"/>
          <w:szCs w:val="20"/>
        </w:rPr>
        <w:t xml:space="preserve"> </w:t>
      </w:r>
      <w:r>
        <w:rPr>
          <w:spacing w:val="7"/>
          <w:sz w:val="20"/>
          <w:szCs w:val="20"/>
        </w:rPr>
        <w:t>否决全部投标；未否决全部投标的，评标委员会应当在评标报告中阐明理由，招</w:t>
      </w:r>
      <w:r>
        <w:rPr>
          <w:spacing w:val="6"/>
          <w:sz w:val="20"/>
          <w:szCs w:val="20"/>
        </w:rPr>
        <w:t>标人应</w:t>
      </w:r>
      <w:r>
        <w:rPr>
          <w:sz w:val="20"/>
          <w:szCs w:val="20"/>
        </w:rPr>
        <w:t xml:space="preserve"> </w:t>
      </w:r>
      <w:r>
        <w:rPr>
          <w:spacing w:val="7"/>
          <w:sz w:val="20"/>
          <w:szCs w:val="20"/>
        </w:rPr>
        <w:t>当按照招标文件规定的程序进行第二个信封报价文件开标，但评标委员会在进行</w:t>
      </w:r>
      <w:r>
        <w:rPr>
          <w:spacing w:val="6"/>
          <w:sz w:val="20"/>
          <w:szCs w:val="20"/>
        </w:rPr>
        <w:t>报价文</w:t>
      </w:r>
      <w:r>
        <w:rPr>
          <w:sz w:val="20"/>
          <w:szCs w:val="20"/>
        </w:rPr>
        <w:t xml:space="preserve"> </w:t>
      </w:r>
      <w:r>
        <w:rPr>
          <w:spacing w:val="7"/>
          <w:sz w:val="20"/>
          <w:szCs w:val="20"/>
        </w:rPr>
        <w:t>件评审时仍有权否决全部投标；评标委员会未在报价文件评审时否决全部投标的</w:t>
      </w:r>
      <w:r>
        <w:rPr>
          <w:spacing w:val="6"/>
          <w:sz w:val="20"/>
          <w:szCs w:val="20"/>
        </w:rPr>
        <w:t>，应当</w:t>
      </w:r>
      <w:r>
        <w:rPr>
          <w:spacing w:val="8"/>
          <w:sz w:val="20"/>
          <w:szCs w:val="20"/>
        </w:rPr>
        <w:t>在评标报告中阐明理由并推荐中标候选人。</w:t>
      </w:r>
    </w:p>
    <w:p>
      <w:pPr>
        <w:pStyle w:val="17"/>
        <w:spacing w:before="164" w:line="377" w:lineRule="auto"/>
        <w:ind w:left="131" w:right="126" w:firstLine="424"/>
        <w:jc w:val="both"/>
        <w:rPr>
          <w:sz w:val="20"/>
          <w:szCs w:val="20"/>
        </w:rPr>
      </w:pPr>
      <w:r>
        <w:rPr>
          <w:spacing w:val="7"/>
          <w:sz w:val="20"/>
          <w:szCs w:val="20"/>
        </w:rPr>
        <w:t>3.8.5</w:t>
      </w:r>
      <w:r>
        <w:rPr>
          <w:spacing w:val="-38"/>
          <w:sz w:val="20"/>
          <w:szCs w:val="20"/>
        </w:rPr>
        <w:t xml:space="preserve"> </w:t>
      </w:r>
      <w:r>
        <w:rPr>
          <w:spacing w:val="7"/>
          <w:sz w:val="20"/>
          <w:szCs w:val="20"/>
        </w:rPr>
        <w:t>通过第一个信封商务及技术文件</w:t>
      </w:r>
      <w:r>
        <w:rPr>
          <w:spacing w:val="6"/>
          <w:sz w:val="20"/>
          <w:szCs w:val="20"/>
        </w:rPr>
        <w:t>评审的投标人在</w:t>
      </w:r>
      <w:r>
        <w:rPr>
          <w:spacing w:val="-35"/>
          <w:sz w:val="20"/>
          <w:szCs w:val="20"/>
        </w:rPr>
        <w:t xml:space="preserve"> </w:t>
      </w:r>
      <w:r>
        <w:rPr>
          <w:spacing w:val="6"/>
          <w:sz w:val="20"/>
          <w:szCs w:val="20"/>
        </w:rPr>
        <w:t>3</w:t>
      </w:r>
      <w:r>
        <w:rPr>
          <w:spacing w:val="-38"/>
          <w:sz w:val="20"/>
          <w:szCs w:val="20"/>
        </w:rPr>
        <w:t xml:space="preserve"> </w:t>
      </w:r>
      <w:r>
        <w:rPr>
          <w:spacing w:val="6"/>
          <w:sz w:val="20"/>
          <w:szCs w:val="20"/>
        </w:rPr>
        <w:t>个及以上的，招标人应当</w:t>
      </w:r>
      <w:r>
        <w:rPr>
          <w:spacing w:val="7"/>
          <w:sz w:val="20"/>
          <w:szCs w:val="20"/>
        </w:rPr>
        <w:t>按照招标文件规定的程序进行第二个信封报价文件开标；在对报价文件进行</w:t>
      </w:r>
      <w:r>
        <w:rPr>
          <w:spacing w:val="6"/>
          <w:sz w:val="20"/>
          <w:szCs w:val="20"/>
        </w:rPr>
        <w:t>评审后，有效投标不足</w:t>
      </w:r>
      <w:r>
        <w:rPr>
          <w:spacing w:val="-29"/>
          <w:sz w:val="20"/>
          <w:szCs w:val="20"/>
        </w:rPr>
        <w:t xml:space="preserve"> </w:t>
      </w:r>
      <w:r>
        <w:rPr>
          <w:spacing w:val="6"/>
          <w:sz w:val="20"/>
          <w:szCs w:val="20"/>
        </w:rPr>
        <w:t>3</w:t>
      </w:r>
      <w:r>
        <w:rPr>
          <w:spacing w:val="-38"/>
          <w:sz w:val="20"/>
          <w:szCs w:val="20"/>
        </w:rPr>
        <w:t xml:space="preserve"> </w:t>
      </w:r>
      <w:r>
        <w:rPr>
          <w:spacing w:val="6"/>
          <w:sz w:val="20"/>
          <w:szCs w:val="20"/>
        </w:rPr>
        <w:t>个的，评标委员会可以否决全部投标。未否决全部投标的，评标委员会应</w:t>
      </w:r>
      <w:r>
        <w:rPr>
          <w:spacing w:val="8"/>
          <w:sz w:val="20"/>
          <w:szCs w:val="20"/>
        </w:rPr>
        <w:t>当在评标报告中阐明理由并推荐中标候选人。</w:t>
      </w:r>
    </w:p>
    <w:p>
      <w:pPr>
        <w:pStyle w:val="17"/>
        <w:spacing w:before="162" w:line="408" w:lineRule="exact"/>
        <w:ind w:left="554"/>
        <w:rPr>
          <w:sz w:val="20"/>
          <w:szCs w:val="20"/>
        </w:rPr>
      </w:pPr>
      <w:r>
        <w:rPr>
          <w:spacing w:val="7"/>
          <w:position w:val="15"/>
          <w:sz w:val="20"/>
          <w:szCs w:val="20"/>
        </w:rPr>
        <w:t>3.8.6</w:t>
      </w:r>
      <w:r>
        <w:rPr>
          <w:spacing w:val="-28"/>
          <w:position w:val="15"/>
          <w:sz w:val="20"/>
          <w:szCs w:val="20"/>
        </w:rPr>
        <w:t xml:space="preserve"> </w:t>
      </w:r>
      <w:r>
        <w:rPr>
          <w:spacing w:val="7"/>
          <w:position w:val="15"/>
          <w:sz w:val="20"/>
          <w:szCs w:val="20"/>
        </w:rPr>
        <w:t>如果发生无法确定推荐中标候选人的其他意外情况，评标委员会可建议招标</w:t>
      </w:r>
    </w:p>
    <w:p>
      <w:pPr>
        <w:pStyle w:val="17"/>
        <w:spacing w:before="1" w:line="228" w:lineRule="auto"/>
        <w:ind w:left="131"/>
        <w:rPr>
          <w:sz w:val="20"/>
          <w:szCs w:val="20"/>
        </w:rPr>
      </w:pPr>
      <w:r>
        <w:rPr>
          <w:spacing w:val="6"/>
          <w:sz w:val="20"/>
          <w:szCs w:val="20"/>
        </w:rPr>
        <w:t>人重新招标。</w:t>
      </w:r>
    </w:p>
    <w:p>
      <w:pPr>
        <w:pStyle w:val="17"/>
        <w:spacing w:before="131" w:line="440" w:lineRule="exact"/>
        <w:ind w:left="554"/>
        <w:rPr>
          <w:rFonts w:hint="eastAsia" w:eastAsia="宋体"/>
          <w:sz w:val="10"/>
          <w:szCs w:val="10"/>
          <w:lang w:eastAsia="zh-CN"/>
        </w:rPr>
      </w:pPr>
      <w:r>
        <w:rPr>
          <w:spacing w:val="9"/>
          <w:position w:val="7"/>
          <w:sz w:val="20"/>
          <w:szCs w:val="20"/>
          <w14:textOutline w14:w="3795" w14:cap="sq" w14:cmpd="sng">
            <w14:solidFill>
              <w14:srgbClr w14:val="000000"/>
            </w14:solidFill>
            <w14:prstDash w14:val="solid"/>
            <w14:bevel/>
          </w14:textOutline>
        </w:rPr>
        <w:t>3.8.7</w:t>
      </w:r>
      <w:r>
        <w:rPr>
          <w:spacing w:val="-37"/>
          <w:position w:val="7"/>
          <w:sz w:val="20"/>
          <w:szCs w:val="20"/>
        </w:rPr>
        <w:t xml:space="preserve"> </w:t>
      </w:r>
      <w:r>
        <w:rPr>
          <w:spacing w:val="9"/>
          <w:position w:val="7"/>
          <w:sz w:val="20"/>
          <w:szCs w:val="20"/>
          <w14:textOutline w14:w="3795" w14:cap="sq" w14:cmpd="sng">
            <w14:solidFill>
              <w14:srgbClr w14:val="000000"/>
            </w14:solidFill>
            <w14:prstDash w14:val="solid"/>
            <w14:bevel/>
          </w14:textOutline>
        </w:rPr>
        <w:t>本招标文件规定的否决投标条款包含在以</w:t>
      </w:r>
      <w:r>
        <w:rPr>
          <w:spacing w:val="8"/>
          <w:position w:val="7"/>
          <w:sz w:val="20"/>
          <w:szCs w:val="20"/>
          <w14:textOutline w14:w="3795" w14:cap="sq" w14:cmpd="sng">
            <w14:solidFill>
              <w14:srgbClr w14:val="000000"/>
            </w14:solidFill>
            <w14:prstDash w14:val="solid"/>
            <w14:bevel/>
          </w14:textOutline>
        </w:rPr>
        <w:t>下条款</w:t>
      </w:r>
      <w:r>
        <w:rPr>
          <w:rFonts w:hint="eastAsia"/>
          <w:spacing w:val="8"/>
          <w:position w:val="7"/>
          <w:sz w:val="20"/>
          <w:szCs w:val="20"/>
          <w:lang w:eastAsia="zh-CN"/>
          <w14:textOutline w14:w="3795" w14:cap="sq" w14:cmpd="sng">
            <w14:solidFill>
              <w14:srgbClr w14:val="000000"/>
            </w14:solidFill>
            <w14:prstDash w14:val="solid"/>
            <w14:bevel/>
          </w14:textOutline>
        </w:rPr>
        <w:t>：</w:t>
      </w:r>
    </w:p>
    <w:p>
      <w:pPr>
        <w:pStyle w:val="17"/>
        <w:spacing w:line="226" w:lineRule="auto"/>
        <w:ind w:left="560"/>
        <w:rPr>
          <w:sz w:val="20"/>
          <w:szCs w:val="20"/>
        </w:rPr>
      </w:pPr>
      <w:r>
        <w:rPr>
          <w:spacing w:val="6"/>
          <w:sz w:val="20"/>
          <w:szCs w:val="20"/>
          <w14:textOutline w14:w="3795" w14:cap="sq" w14:cmpd="sng">
            <w14:solidFill>
              <w14:srgbClr w14:val="000000"/>
            </w14:solidFill>
            <w14:prstDash w14:val="solid"/>
            <w14:bevel/>
          </w14:textOutline>
        </w:rPr>
        <w:t>（1）招标公告第</w:t>
      </w:r>
      <w:r>
        <w:rPr>
          <w:spacing w:val="-26"/>
          <w:sz w:val="20"/>
          <w:szCs w:val="20"/>
        </w:rPr>
        <w:t xml:space="preserve"> </w:t>
      </w:r>
      <w:r>
        <w:rPr>
          <w:spacing w:val="6"/>
          <w:sz w:val="20"/>
          <w:szCs w:val="20"/>
          <w14:textOutline w14:w="3795" w14:cap="sq" w14:cmpd="sng">
            <w14:solidFill>
              <w14:srgbClr w14:val="000000"/>
            </w14:solidFill>
            <w14:prstDash w14:val="solid"/>
            <w14:bevel/>
          </w14:textOutline>
        </w:rPr>
        <w:t>3</w:t>
      </w:r>
      <w:r>
        <w:rPr>
          <w:spacing w:val="-27"/>
          <w:sz w:val="20"/>
          <w:szCs w:val="20"/>
        </w:rPr>
        <w:t xml:space="preserve"> </w:t>
      </w:r>
      <w:r>
        <w:rPr>
          <w:spacing w:val="6"/>
          <w:sz w:val="20"/>
          <w:szCs w:val="20"/>
          <w14:textOutline w14:w="3795" w14:cap="sq" w14:cmpd="sng">
            <w14:solidFill>
              <w14:srgbClr w14:val="000000"/>
            </w14:solidFill>
            <w14:prstDash w14:val="solid"/>
            <w14:bevel/>
          </w14:textOutline>
        </w:rPr>
        <w:t>点</w:t>
      </w:r>
      <w:r>
        <w:rPr>
          <w:spacing w:val="6"/>
          <w:sz w:val="20"/>
          <w:szCs w:val="20"/>
        </w:rPr>
        <w:t xml:space="preserve"> </w:t>
      </w:r>
      <w:r>
        <w:rPr>
          <w:spacing w:val="6"/>
          <w:sz w:val="20"/>
          <w:szCs w:val="20"/>
          <w14:textOutline w14:w="3795" w14:cap="sq" w14:cmpd="sng">
            <w14:solidFill>
              <w14:srgbClr w14:val="000000"/>
            </w14:solidFill>
            <w14:prstDash w14:val="solid"/>
            <w14:bevel/>
          </w14:textOutline>
        </w:rPr>
        <w:t>投标人资格要求；</w:t>
      </w:r>
    </w:p>
    <w:p>
      <w:pPr>
        <w:pStyle w:val="17"/>
        <w:spacing w:before="165" w:line="358" w:lineRule="auto"/>
        <w:ind w:left="560"/>
        <w:rPr>
          <w:sz w:val="22"/>
          <w:szCs w:val="22"/>
        </w:rPr>
      </w:pPr>
      <w:r>
        <w:rPr>
          <w:spacing w:val="-6"/>
          <w:sz w:val="20"/>
          <w:szCs w:val="20"/>
          <w14:textOutline w14:w="3795" w14:cap="sq" w14:cmpd="sng">
            <w14:solidFill>
              <w14:srgbClr w14:val="000000"/>
            </w14:solidFill>
            <w14:prstDash w14:val="solid"/>
            <w14:bevel/>
          </w14:textOutline>
        </w:rPr>
        <w:t>（2）</w:t>
      </w:r>
      <w:r>
        <w:rPr>
          <w:spacing w:val="-6"/>
          <w:sz w:val="22"/>
          <w:szCs w:val="22"/>
          <w:u w:val="single" w:color="000000"/>
          <w14:textOutline w14:w="4013" w14:cap="sq" w14:cmpd="sng">
            <w14:solidFill>
              <w14:srgbClr w14:val="000000"/>
            </w14:solidFill>
            <w14:prstDash w14:val="solid"/>
            <w14:bevel/>
          </w14:textOutline>
        </w:rPr>
        <w:t>投标人须知</w:t>
      </w:r>
      <w:r>
        <w:rPr>
          <w:spacing w:val="-27"/>
          <w:sz w:val="22"/>
          <w:szCs w:val="22"/>
          <w:u w:val="single" w:color="auto"/>
        </w:rPr>
        <w:t xml:space="preserve"> </w:t>
      </w:r>
      <w:r>
        <w:rPr>
          <w:spacing w:val="-6"/>
          <w:sz w:val="22"/>
          <w:szCs w:val="22"/>
          <w:u w:val="single" w:color="000000"/>
          <w14:textOutline w14:w="4013" w14:cap="sq" w14:cmpd="sng">
            <w14:solidFill>
              <w14:srgbClr w14:val="000000"/>
            </w14:solidFill>
            <w14:prstDash w14:val="solid"/>
            <w14:bevel/>
          </w14:textOutline>
        </w:rPr>
        <w:t>1.4.3</w:t>
      </w:r>
      <w:r>
        <w:rPr>
          <w:spacing w:val="-45"/>
          <w:sz w:val="22"/>
          <w:szCs w:val="22"/>
          <w:u w:val="single" w:color="auto"/>
        </w:rPr>
        <w:t xml:space="preserve"> </w:t>
      </w:r>
      <w:r>
        <w:rPr>
          <w:spacing w:val="-6"/>
          <w:sz w:val="22"/>
          <w:szCs w:val="22"/>
          <w:u w:val="single" w:color="000000"/>
          <w14:textOutline w14:w="4013" w14:cap="sq" w14:cmpd="sng">
            <w14:solidFill>
              <w14:srgbClr w14:val="000000"/>
            </w14:solidFill>
            <w14:prstDash w14:val="solid"/>
            <w14:bevel/>
          </w14:textOutline>
        </w:rPr>
        <w:t>项、1.4.4</w:t>
      </w:r>
      <w:r>
        <w:rPr>
          <w:spacing w:val="-43"/>
          <w:sz w:val="22"/>
          <w:szCs w:val="22"/>
          <w:u w:val="single" w:color="auto"/>
        </w:rPr>
        <w:t xml:space="preserve"> </w:t>
      </w:r>
      <w:r>
        <w:rPr>
          <w:spacing w:val="-6"/>
          <w:sz w:val="22"/>
          <w:szCs w:val="22"/>
          <w:u w:val="single" w:color="000000"/>
          <w14:textOutline w14:w="4013" w14:cap="sq" w14:cmpd="sng">
            <w14:solidFill>
              <w14:srgbClr w14:val="000000"/>
            </w14:solidFill>
            <w14:prstDash w14:val="solid"/>
            <w14:bevel/>
          </w14:textOutline>
        </w:rPr>
        <w:t>项、1.4.5</w:t>
      </w:r>
      <w:r>
        <w:rPr>
          <w:spacing w:val="-45"/>
          <w:sz w:val="22"/>
          <w:szCs w:val="22"/>
          <w:u w:val="single" w:color="auto"/>
        </w:rPr>
        <w:t xml:space="preserve"> </w:t>
      </w:r>
      <w:r>
        <w:rPr>
          <w:spacing w:val="-6"/>
          <w:sz w:val="22"/>
          <w:szCs w:val="22"/>
          <w:u w:val="single" w:color="000000"/>
          <w14:textOutline w14:w="4013" w14:cap="sq" w14:cmpd="sng">
            <w14:solidFill>
              <w14:srgbClr w14:val="000000"/>
            </w14:solidFill>
            <w14:prstDash w14:val="solid"/>
            <w14:bevel/>
          </w14:textOutline>
        </w:rPr>
        <w:t>项、1.11.1</w:t>
      </w:r>
      <w:r>
        <w:rPr>
          <w:spacing w:val="-43"/>
          <w:sz w:val="22"/>
          <w:szCs w:val="22"/>
          <w:u w:val="single" w:color="auto"/>
        </w:rPr>
        <w:t xml:space="preserve"> </w:t>
      </w:r>
      <w:r>
        <w:rPr>
          <w:spacing w:val="-6"/>
          <w:sz w:val="22"/>
          <w:szCs w:val="22"/>
          <w:u w:val="single" w:color="000000"/>
          <w14:textOutline w14:w="4013" w14:cap="sq" w14:cmpd="sng">
            <w14:solidFill>
              <w14:srgbClr w14:val="000000"/>
            </w14:solidFill>
            <w14:prstDash w14:val="solid"/>
            <w14:bevel/>
          </w14:textOutline>
        </w:rPr>
        <w:t>项、1.12.2</w:t>
      </w:r>
      <w:r>
        <w:rPr>
          <w:spacing w:val="-42"/>
          <w:sz w:val="22"/>
          <w:szCs w:val="22"/>
          <w:u w:val="single" w:color="auto"/>
        </w:rPr>
        <w:t xml:space="preserve"> </w:t>
      </w:r>
      <w:r>
        <w:rPr>
          <w:spacing w:val="-6"/>
          <w:sz w:val="22"/>
          <w:szCs w:val="22"/>
          <w:u w:val="single" w:color="000000"/>
          <w14:textOutline w14:w="4013" w14:cap="sq" w14:cmpd="sng">
            <w14:solidFill>
              <w14:srgbClr w14:val="000000"/>
            </w14:solidFill>
            <w14:prstDash w14:val="solid"/>
            <w14:bevel/>
          </w14:textOutline>
        </w:rPr>
        <w:t>项、3.4.2</w:t>
      </w:r>
    </w:p>
    <w:p>
      <w:pPr>
        <w:pStyle w:val="17"/>
        <w:spacing w:before="1" w:line="220" w:lineRule="auto"/>
        <w:ind w:left="133"/>
        <w:rPr>
          <w:sz w:val="22"/>
          <w:szCs w:val="22"/>
        </w:rPr>
      </w:pPr>
      <w:r>
        <w:rPr>
          <w:spacing w:val="-2"/>
          <w:sz w:val="22"/>
          <w:szCs w:val="22"/>
          <w:u w:val="single" w:color="000000"/>
          <w14:textOutline w14:w="4013" w14:cap="sq" w14:cmpd="sng">
            <w14:solidFill>
              <w14:srgbClr w14:val="000000"/>
            </w14:solidFill>
            <w14:prstDash w14:val="solid"/>
            <w14:bevel/>
          </w14:textOutline>
        </w:rPr>
        <w:t>项、3.5.11</w:t>
      </w:r>
      <w:r>
        <w:rPr>
          <w:spacing w:val="-33"/>
          <w:sz w:val="22"/>
          <w:szCs w:val="22"/>
          <w:u w:val="single" w:color="auto"/>
        </w:rPr>
        <w:t xml:space="preserve"> </w:t>
      </w:r>
      <w:r>
        <w:rPr>
          <w:spacing w:val="-2"/>
          <w:sz w:val="22"/>
          <w:szCs w:val="22"/>
          <w:u w:val="single" w:color="000000"/>
          <w14:textOutline w14:w="4013" w14:cap="sq" w14:cmpd="sng">
            <w14:solidFill>
              <w14:srgbClr w14:val="000000"/>
            </w14:solidFill>
            <w14:prstDash w14:val="solid"/>
            <w14:bevel/>
          </w14:textOutline>
        </w:rPr>
        <w:t>项、3.6.1</w:t>
      </w:r>
      <w:r>
        <w:rPr>
          <w:spacing w:val="-45"/>
          <w:sz w:val="22"/>
          <w:szCs w:val="22"/>
          <w:u w:val="single" w:color="auto"/>
        </w:rPr>
        <w:t xml:space="preserve"> </w:t>
      </w:r>
      <w:r>
        <w:rPr>
          <w:spacing w:val="-2"/>
          <w:sz w:val="22"/>
          <w:szCs w:val="22"/>
          <w:u w:val="single" w:color="000000"/>
          <w14:textOutline w14:w="4013" w14:cap="sq" w14:cmpd="sng">
            <w14:solidFill>
              <w14:srgbClr w14:val="000000"/>
            </w14:solidFill>
            <w14:prstDash w14:val="solid"/>
            <w14:bevel/>
          </w14:textOutline>
        </w:rPr>
        <w:t>项；</w:t>
      </w:r>
    </w:p>
    <w:p>
      <w:pPr>
        <w:ind w:firstLine="432" w:firstLineChars="200"/>
        <w:rPr>
          <w:rFonts w:ascii="宋体" w:hAnsi="宋体" w:eastAsia="宋体" w:cs="宋体"/>
          <w:spacing w:val="-2"/>
          <w:sz w:val="24"/>
          <w:szCs w:val="24"/>
        </w:rPr>
      </w:pPr>
      <w:r>
        <w:rPr>
          <w:spacing w:val="8"/>
          <w:sz w:val="20"/>
          <w:szCs w:val="20"/>
          <w14:textOutline w14:w="3795" w14:cap="sq" w14:cmpd="sng">
            <w14:solidFill>
              <w14:srgbClr w14:val="000000"/>
            </w14:solidFill>
            <w14:prstDash w14:val="solid"/>
            <w14:bevel/>
          </w14:textOutline>
        </w:rPr>
        <w:t>（3）本评标办法的否决条款。</w:t>
      </w:r>
    </w:p>
    <w:p>
      <w:pPr>
        <w:spacing w:before="18" w:line="220" w:lineRule="auto"/>
        <w:ind w:left="61"/>
        <w:rPr>
          <w:rFonts w:ascii="宋体" w:hAnsi="宋体" w:eastAsia="宋体" w:cs="宋体"/>
          <w:spacing w:val="-1"/>
          <w:sz w:val="18"/>
          <w:szCs w:val="18"/>
        </w:rPr>
      </w:pPr>
    </w:p>
    <w:p>
      <w:pPr>
        <w:spacing w:line="353"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4"/>
        <w:spacing w:before="169" w:line="222" w:lineRule="auto"/>
        <w:ind w:left="1372"/>
        <w:rPr>
          <w:spacing w:val="27"/>
          <w14:textOutline w14:w="9461" w14:cap="sq" w14:cmpd="sng">
            <w14:solidFill>
              <w14:srgbClr w14:val="000000"/>
            </w14:solidFill>
            <w14:prstDash w14:val="solid"/>
            <w14:bevel/>
          </w14:textOutline>
        </w:rPr>
      </w:pPr>
    </w:p>
    <w:p>
      <w:pPr>
        <w:pStyle w:val="4"/>
        <w:spacing w:before="169" w:line="222" w:lineRule="auto"/>
        <w:ind w:left="1372"/>
        <w:rPr>
          <w:spacing w:val="27"/>
          <w14:textOutline w14:w="9461" w14:cap="sq" w14:cmpd="sng">
            <w14:solidFill>
              <w14:srgbClr w14:val="000000"/>
            </w14:solidFill>
            <w14:prstDash w14:val="solid"/>
            <w14:bevel/>
          </w14:textOutline>
        </w:rPr>
      </w:pPr>
    </w:p>
    <w:p>
      <w:pPr>
        <w:pStyle w:val="4"/>
        <w:spacing w:before="169" w:line="222" w:lineRule="auto"/>
        <w:ind w:left="1372"/>
        <w:rPr>
          <w:spacing w:val="27"/>
          <w14:textOutline w14:w="9461" w14:cap="sq" w14:cmpd="sng">
            <w14:solidFill>
              <w14:srgbClr w14:val="000000"/>
            </w14:solidFill>
            <w14:prstDash w14:val="solid"/>
            <w14:bevel/>
          </w14:textOutline>
        </w:rPr>
      </w:pPr>
    </w:p>
    <w:p>
      <w:pPr>
        <w:pStyle w:val="4"/>
        <w:spacing w:before="169" w:line="222" w:lineRule="auto"/>
        <w:ind w:left="1372"/>
        <w:rPr>
          <w:spacing w:val="27"/>
          <w14:textOutline w14:w="9461" w14:cap="sq" w14:cmpd="sng">
            <w14:solidFill>
              <w14:srgbClr w14:val="000000"/>
            </w14:solidFill>
            <w14:prstDash w14:val="solid"/>
            <w14:bevel/>
          </w14:textOutline>
        </w:rPr>
      </w:pPr>
    </w:p>
    <w:p>
      <w:pPr>
        <w:pStyle w:val="4"/>
        <w:spacing w:before="169" w:line="222" w:lineRule="auto"/>
        <w:ind w:left="1372"/>
        <w:rPr>
          <w:spacing w:val="27"/>
          <w14:textOutline w14:w="9461" w14:cap="sq" w14:cmpd="sng">
            <w14:solidFill>
              <w14:srgbClr w14:val="000000"/>
            </w14:solidFill>
            <w14:prstDash w14:val="solid"/>
            <w14:bevel/>
          </w14:textOutline>
        </w:rPr>
      </w:pPr>
    </w:p>
    <w:p>
      <w:pPr>
        <w:pStyle w:val="4"/>
        <w:spacing w:before="169" w:line="222" w:lineRule="auto"/>
        <w:ind w:left="1372"/>
        <w:rPr>
          <w:spacing w:val="27"/>
          <w14:textOutline w14:w="9461" w14:cap="sq" w14:cmpd="sng">
            <w14:solidFill>
              <w14:srgbClr w14:val="000000"/>
            </w14:solidFill>
            <w14:prstDash w14:val="solid"/>
            <w14:bevel/>
          </w14:textOutline>
        </w:rPr>
      </w:pPr>
    </w:p>
    <w:p>
      <w:pPr>
        <w:pStyle w:val="4"/>
        <w:spacing w:before="169" w:line="222" w:lineRule="auto"/>
        <w:ind w:left="1372"/>
        <w:rPr>
          <w:spacing w:val="27"/>
          <w14:textOutline w14:w="9461" w14:cap="sq" w14:cmpd="sng">
            <w14:solidFill>
              <w14:srgbClr w14:val="000000"/>
            </w14:solidFill>
            <w14:prstDash w14:val="solid"/>
            <w14:bevel/>
          </w14:textOutline>
        </w:rPr>
      </w:pPr>
    </w:p>
    <w:p>
      <w:pPr>
        <w:pStyle w:val="4"/>
        <w:spacing w:before="169" w:line="222" w:lineRule="auto"/>
        <w:ind w:left="1372"/>
        <w:rPr>
          <w:spacing w:val="27"/>
          <w14:textOutline w14:w="9461" w14:cap="sq" w14:cmpd="sng">
            <w14:solidFill>
              <w14:srgbClr w14:val="000000"/>
            </w14:solidFill>
            <w14:prstDash w14:val="solid"/>
            <w14:bevel/>
          </w14:textOutline>
        </w:rPr>
      </w:pPr>
    </w:p>
    <w:p>
      <w:pPr>
        <w:pStyle w:val="4"/>
        <w:spacing w:before="169" w:line="222" w:lineRule="auto"/>
        <w:ind w:left="1372"/>
      </w:pPr>
      <w:r>
        <w:rPr>
          <w:spacing w:val="27"/>
          <w14:textOutline w14:w="9461" w14:cap="sq" w14:cmpd="sng">
            <w14:solidFill>
              <w14:srgbClr w14:val="000000"/>
            </w14:solidFill>
            <w14:prstDash w14:val="solid"/>
            <w14:bevel/>
          </w14:textOutline>
        </w:rPr>
        <w:t>第</w:t>
      </w:r>
      <w:r>
        <w:rPr>
          <w:spacing w:val="-126"/>
        </w:rPr>
        <w:t xml:space="preserve"> </w:t>
      </w:r>
      <w:r>
        <w:rPr>
          <w:spacing w:val="27"/>
          <w14:textOutline w14:w="9461" w14:cap="sq" w14:cmpd="sng">
            <w14:solidFill>
              <w14:srgbClr w14:val="000000"/>
            </w14:solidFill>
            <w14:prstDash w14:val="solid"/>
            <w14:bevel/>
          </w14:textOutline>
        </w:rPr>
        <w:t>四章</w:t>
      </w:r>
      <w:r>
        <w:rPr>
          <w:spacing w:val="182"/>
        </w:rPr>
        <w:t xml:space="preserve"> </w:t>
      </w:r>
      <w:r>
        <w:rPr>
          <w:spacing w:val="27"/>
          <w14:textOutline w14:w="9461" w14:cap="sq" w14:cmpd="sng">
            <w14:solidFill>
              <w14:srgbClr w14:val="000000"/>
            </w14:solidFill>
            <w14:prstDash w14:val="solid"/>
            <w14:bevel/>
          </w14:textOutline>
        </w:rPr>
        <w:t>合</w:t>
      </w:r>
      <w:r>
        <w:rPr>
          <w:spacing w:val="-132"/>
        </w:rPr>
        <w:t xml:space="preserve"> </w:t>
      </w:r>
      <w:r>
        <w:rPr>
          <w:spacing w:val="27"/>
          <w14:textOutline w14:w="9461" w14:cap="sq" w14:cmpd="sng">
            <w14:solidFill>
              <w14:srgbClr w14:val="000000"/>
            </w14:solidFill>
            <w14:prstDash w14:val="solid"/>
            <w14:bevel/>
          </w14:textOutline>
        </w:rPr>
        <w:t>同条款及格</w:t>
      </w:r>
      <w:r>
        <w:rPr>
          <w:spacing w:val="-150"/>
        </w:rPr>
        <w:t xml:space="preserve"> </w:t>
      </w:r>
      <w:r>
        <w:rPr>
          <w:spacing w:val="27"/>
          <w14:textOutline w14:w="9461" w14:cap="sq" w14:cmpd="sng">
            <w14:solidFill>
              <w14:srgbClr w14:val="000000"/>
            </w14:solidFill>
            <w14:prstDash w14:val="solid"/>
            <w14:bevel/>
          </w14:textOutline>
        </w:rPr>
        <w:t>式</w:t>
      </w:r>
    </w:p>
    <w:p>
      <w:pPr>
        <w:spacing w:line="406" w:lineRule="auto"/>
        <w:rPr>
          <w:rFonts w:ascii="Arial"/>
          <w:sz w:val="21"/>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pacing w:val="-8"/>
          <w:sz w:val="35"/>
          <w:szCs w:val="35"/>
          <w14:textOutline w14:w="6537" w14:cap="sq" w14:cmpd="sng">
            <w14:solidFill>
              <w14:srgbClr w14:val="000000"/>
            </w14:solidFill>
            <w14:prstDash w14:val="solid"/>
            <w14:bevel/>
          </w14:textOutline>
        </w:rPr>
      </w:pPr>
    </w:p>
    <w:p>
      <w:pPr>
        <w:pStyle w:val="4"/>
        <w:spacing w:before="114" w:line="227" w:lineRule="auto"/>
        <w:ind w:left="2302"/>
        <w:rPr>
          <w:sz w:val="35"/>
          <w:szCs w:val="35"/>
        </w:rPr>
      </w:pPr>
      <w:r>
        <w:rPr>
          <w:spacing w:val="-8"/>
          <w:sz w:val="35"/>
          <w:szCs w:val="35"/>
          <w14:textOutline w14:w="6537" w14:cap="sq" w14:cmpd="sng">
            <w14:solidFill>
              <w14:srgbClr w14:val="000000"/>
            </w14:solidFill>
            <w14:prstDash w14:val="solid"/>
            <w14:bevel/>
          </w14:textOutline>
        </w:rPr>
        <w:t>第</w:t>
      </w:r>
      <w:r>
        <w:rPr>
          <w:spacing w:val="-71"/>
          <w:sz w:val="35"/>
          <w:szCs w:val="35"/>
        </w:rPr>
        <w:t xml:space="preserve"> </w:t>
      </w:r>
      <w:r>
        <w:rPr>
          <w:spacing w:val="-8"/>
          <w:sz w:val="35"/>
          <w:szCs w:val="35"/>
          <w14:textOutline w14:w="6537" w14:cap="sq" w14:cmpd="sng">
            <w14:solidFill>
              <w14:srgbClr w14:val="000000"/>
            </w14:solidFill>
            <w14:prstDash w14:val="solid"/>
            <w14:bevel/>
          </w14:textOutline>
        </w:rPr>
        <w:t>一</w:t>
      </w:r>
      <w:r>
        <w:rPr>
          <w:spacing w:val="-74"/>
          <w:sz w:val="35"/>
          <w:szCs w:val="35"/>
        </w:rPr>
        <w:t xml:space="preserve"> </w:t>
      </w:r>
      <w:r>
        <w:rPr>
          <w:spacing w:val="-8"/>
          <w:sz w:val="35"/>
          <w:szCs w:val="35"/>
          <w14:textOutline w14:w="6537" w14:cap="sq" w14:cmpd="sng">
            <w14:solidFill>
              <w14:srgbClr w14:val="000000"/>
            </w14:solidFill>
            <w14:prstDash w14:val="solid"/>
            <w14:bevel/>
          </w14:textOutline>
        </w:rPr>
        <w:t>节</w:t>
      </w:r>
      <w:r>
        <w:rPr>
          <w:spacing w:val="29"/>
          <w:sz w:val="35"/>
          <w:szCs w:val="35"/>
        </w:rPr>
        <w:t xml:space="preserve">   </w:t>
      </w:r>
      <w:r>
        <w:rPr>
          <w:spacing w:val="-8"/>
          <w:sz w:val="35"/>
          <w:szCs w:val="35"/>
          <w14:textOutline w14:w="6537" w14:cap="sq" w14:cmpd="sng">
            <w14:solidFill>
              <w14:srgbClr w14:val="000000"/>
            </w14:solidFill>
            <w14:prstDash w14:val="solid"/>
            <w14:bevel/>
          </w14:textOutline>
        </w:rPr>
        <w:t>通</w:t>
      </w:r>
      <w:r>
        <w:rPr>
          <w:spacing w:val="-74"/>
          <w:sz w:val="35"/>
          <w:szCs w:val="35"/>
        </w:rPr>
        <w:t xml:space="preserve"> </w:t>
      </w:r>
      <w:r>
        <w:rPr>
          <w:spacing w:val="-8"/>
          <w:sz w:val="35"/>
          <w:szCs w:val="35"/>
          <w14:textOutline w14:w="6537" w14:cap="sq" w14:cmpd="sng">
            <w14:solidFill>
              <w14:srgbClr w14:val="000000"/>
            </w14:solidFill>
            <w14:prstDash w14:val="solid"/>
            <w14:bevel/>
          </w14:textOutline>
        </w:rPr>
        <w:t>用</w:t>
      </w:r>
      <w:r>
        <w:rPr>
          <w:spacing w:val="-78"/>
          <w:sz w:val="35"/>
          <w:szCs w:val="35"/>
        </w:rPr>
        <w:t xml:space="preserve"> </w:t>
      </w:r>
      <w:r>
        <w:rPr>
          <w:spacing w:val="-8"/>
          <w:sz w:val="35"/>
          <w:szCs w:val="35"/>
          <w14:textOutline w14:w="6537" w14:cap="sq" w14:cmpd="sng">
            <w14:solidFill>
              <w14:srgbClr w14:val="000000"/>
            </w14:solidFill>
            <w14:prstDash w14:val="solid"/>
            <w14:bevel/>
          </w14:textOutline>
        </w:rPr>
        <w:t>合</w:t>
      </w:r>
      <w:r>
        <w:rPr>
          <w:spacing w:val="-61"/>
          <w:sz w:val="35"/>
          <w:szCs w:val="35"/>
        </w:rPr>
        <w:t xml:space="preserve"> </w:t>
      </w:r>
      <w:r>
        <w:rPr>
          <w:spacing w:val="-8"/>
          <w:sz w:val="35"/>
          <w:szCs w:val="35"/>
          <w14:textOutline w14:w="6537" w14:cap="sq" w14:cmpd="sng">
            <w14:solidFill>
              <w14:srgbClr w14:val="000000"/>
            </w14:solidFill>
            <w14:prstDash w14:val="solid"/>
            <w14:bevel/>
          </w14:textOutline>
        </w:rPr>
        <w:t>同</w:t>
      </w:r>
      <w:r>
        <w:rPr>
          <w:spacing w:val="-78"/>
          <w:sz w:val="35"/>
          <w:szCs w:val="35"/>
        </w:rPr>
        <w:t xml:space="preserve"> </w:t>
      </w:r>
      <w:r>
        <w:rPr>
          <w:spacing w:val="-8"/>
          <w:sz w:val="35"/>
          <w:szCs w:val="35"/>
          <w14:textOutline w14:w="6537" w14:cap="sq" w14:cmpd="sng">
            <w14:solidFill>
              <w14:srgbClr w14:val="000000"/>
            </w14:solidFill>
            <w14:prstDash w14:val="solid"/>
            <w14:bevel/>
          </w14:textOutline>
        </w:rPr>
        <w:t>条</w:t>
      </w:r>
      <w:r>
        <w:rPr>
          <w:spacing w:val="-78"/>
          <w:sz w:val="35"/>
          <w:szCs w:val="35"/>
        </w:rPr>
        <w:t xml:space="preserve"> </w:t>
      </w:r>
      <w:r>
        <w:rPr>
          <w:spacing w:val="-8"/>
          <w:sz w:val="35"/>
          <w:szCs w:val="35"/>
          <w14:textOutline w14:w="6537" w14:cap="sq" w14:cmpd="sng">
            <w14:solidFill>
              <w14:srgbClr w14:val="000000"/>
            </w14:solidFill>
            <w14:prstDash w14:val="solid"/>
            <w14:bevel/>
          </w14:textOutline>
        </w:rPr>
        <w:t>款</w:t>
      </w:r>
    </w:p>
    <w:p>
      <w:pPr>
        <w:spacing w:line="313" w:lineRule="auto"/>
        <w:rPr>
          <w:rFonts w:ascii="Arial"/>
          <w:sz w:val="21"/>
        </w:rPr>
      </w:pPr>
    </w:p>
    <w:p>
      <w:pPr>
        <w:spacing w:line="313" w:lineRule="auto"/>
        <w:rPr>
          <w:rFonts w:ascii="Arial"/>
          <w:sz w:val="21"/>
        </w:rPr>
      </w:pPr>
    </w:p>
    <w:p>
      <w:pPr>
        <w:spacing w:line="314" w:lineRule="auto"/>
        <w:rPr>
          <w:rFonts w:ascii="Arial"/>
          <w:sz w:val="21"/>
        </w:rPr>
      </w:pPr>
    </w:p>
    <w:p>
      <w:pPr>
        <w:spacing w:before="91" w:line="220" w:lineRule="auto"/>
        <w:ind w:left="858"/>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详见«标准施工招标文件»（2007</w:t>
      </w:r>
      <w:r>
        <w:rPr>
          <w:rFonts w:ascii="宋体" w:hAnsi="宋体" w:eastAsia="宋体" w:cs="宋体"/>
          <w:spacing w:val="-56"/>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版）的通用合同条款内容。</w:t>
      </w:r>
    </w:p>
    <w:p>
      <w:pPr>
        <w:spacing w:line="406" w:lineRule="auto"/>
        <w:rPr>
          <w:rFonts w:ascii="Arial"/>
          <w:sz w:val="21"/>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pacing w:val="-6"/>
          <w:sz w:val="35"/>
          <w:szCs w:val="35"/>
          <w14:textOutline w14:w="6537" w14:cap="sq" w14:cmpd="sng">
            <w14:solidFill>
              <w14:srgbClr w14:val="000000"/>
            </w14:solidFill>
            <w14:prstDash w14:val="solid"/>
            <w14:bevel/>
          </w14:textOutline>
        </w:rPr>
      </w:pPr>
    </w:p>
    <w:p>
      <w:pPr>
        <w:pStyle w:val="4"/>
        <w:spacing w:before="114" w:line="227" w:lineRule="auto"/>
        <w:ind w:left="2861"/>
        <w:rPr>
          <w:sz w:val="35"/>
          <w:szCs w:val="35"/>
        </w:rPr>
      </w:pPr>
      <w:r>
        <w:rPr>
          <w:spacing w:val="-6"/>
          <w:sz w:val="35"/>
          <w:szCs w:val="35"/>
          <w14:textOutline w14:w="6537" w14:cap="sq" w14:cmpd="sng">
            <w14:solidFill>
              <w14:srgbClr w14:val="000000"/>
            </w14:solidFill>
            <w14:prstDash w14:val="solid"/>
            <w14:bevel/>
          </w14:textOutline>
        </w:rPr>
        <w:t>第</w:t>
      </w:r>
      <w:r>
        <w:rPr>
          <w:spacing w:val="-74"/>
          <w:sz w:val="35"/>
          <w:szCs w:val="35"/>
        </w:rPr>
        <w:t xml:space="preserve"> </w:t>
      </w:r>
      <w:r>
        <w:rPr>
          <w:spacing w:val="-6"/>
          <w:sz w:val="35"/>
          <w:szCs w:val="35"/>
          <w14:textOutline w14:w="6537" w14:cap="sq" w14:cmpd="sng">
            <w14:solidFill>
              <w14:srgbClr w14:val="000000"/>
            </w14:solidFill>
            <w14:prstDash w14:val="solid"/>
            <w14:bevel/>
          </w14:textOutline>
        </w:rPr>
        <w:t>二</w:t>
      </w:r>
      <w:r>
        <w:rPr>
          <w:spacing w:val="-74"/>
          <w:sz w:val="35"/>
          <w:szCs w:val="35"/>
        </w:rPr>
        <w:t xml:space="preserve"> </w:t>
      </w:r>
      <w:r>
        <w:rPr>
          <w:spacing w:val="-6"/>
          <w:sz w:val="35"/>
          <w:szCs w:val="35"/>
          <w14:textOutline w14:w="6537" w14:cap="sq" w14:cmpd="sng">
            <w14:solidFill>
              <w14:srgbClr w14:val="000000"/>
            </w14:solidFill>
            <w14:prstDash w14:val="solid"/>
            <w14:bevel/>
          </w14:textOutline>
        </w:rPr>
        <w:t>节</w:t>
      </w:r>
      <w:r>
        <w:rPr>
          <w:spacing w:val="-6"/>
          <w:sz w:val="35"/>
          <w:szCs w:val="35"/>
        </w:rPr>
        <w:t xml:space="preserve">  </w:t>
      </w:r>
      <w:r>
        <w:rPr>
          <w:spacing w:val="-6"/>
          <w:sz w:val="35"/>
          <w:szCs w:val="35"/>
          <w14:textOutline w14:w="6537" w14:cap="sq" w14:cmpd="sng">
            <w14:solidFill>
              <w14:srgbClr w14:val="000000"/>
            </w14:solidFill>
            <w14:prstDash w14:val="solid"/>
            <w14:bevel/>
          </w14:textOutline>
        </w:rPr>
        <w:t>专</w:t>
      </w:r>
      <w:r>
        <w:rPr>
          <w:spacing w:val="-74"/>
          <w:sz w:val="35"/>
          <w:szCs w:val="35"/>
        </w:rPr>
        <w:t xml:space="preserve"> </w:t>
      </w:r>
      <w:r>
        <w:rPr>
          <w:spacing w:val="-6"/>
          <w:sz w:val="35"/>
          <w:szCs w:val="35"/>
          <w14:textOutline w14:w="6537" w14:cap="sq" w14:cmpd="sng">
            <w14:solidFill>
              <w14:srgbClr w14:val="000000"/>
            </w14:solidFill>
            <w14:prstDash w14:val="solid"/>
            <w14:bevel/>
          </w14:textOutline>
        </w:rPr>
        <w:t>用</w:t>
      </w:r>
      <w:r>
        <w:rPr>
          <w:spacing w:val="-78"/>
          <w:sz w:val="35"/>
          <w:szCs w:val="35"/>
        </w:rPr>
        <w:t xml:space="preserve"> </w:t>
      </w:r>
      <w:r>
        <w:rPr>
          <w:spacing w:val="-6"/>
          <w:sz w:val="35"/>
          <w:szCs w:val="35"/>
          <w14:textOutline w14:w="6537" w14:cap="sq" w14:cmpd="sng">
            <w14:solidFill>
              <w14:srgbClr w14:val="000000"/>
            </w14:solidFill>
            <w14:prstDash w14:val="solid"/>
            <w14:bevel/>
          </w14:textOutline>
        </w:rPr>
        <w:t>合</w:t>
      </w:r>
      <w:r>
        <w:rPr>
          <w:spacing w:val="-61"/>
          <w:sz w:val="35"/>
          <w:szCs w:val="35"/>
        </w:rPr>
        <w:t xml:space="preserve"> </w:t>
      </w:r>
      <w:r>
        <w:rPr>
          <w:spacing w:val="-6"/>
          <w:sz w:val="35"/>
          <w:szCs w:val="35"/>
          <w14:textOutline w14:w="6537" w14:cap="sq" w14:cmpd="sng">
            <w14:solidFill>
              <w14:srgbClr w14:val="000000"/>
            </w14:solidFill>
            <w14:prstDash w14:val="solid"/>
            <w14:bevel/>
          </w14:textOutline>
        </w:rPr>
        <w:t>同</w:t>
      </w:r>
      <w:r>
        <w:rPr>
          <w:spacing w:val="-78"/>
          <w:sz w:val="35"/>
          <w:szCs w:val="35"/>
        </w:rPr>
        <w:t xml:space="preserve"> </w:t>
      </w:r>
      <w:r>
        <w:rPr>
          <w:spacing w:val="-6"/>
          <w:sz w:val="35"/>
          <w:szCs w:val="35"/>
          <w14:textOutline w14:w="6537" w14:cap="sq" w14:cmpd="sng">
            <w14:solidFill>
              <w14:srgbClr w14:val="000000"/>
            </w14:solidFill>
            <w14:prstDash w14:val="solid"/>
            <w14:bevel/>
          </w14:textOutline>
        </w:rPr>
        <w:t>条</w:t>
      </w:r>
      <w:r>
        <w:rPr>
          <w:spacing w:val="-78"/>
          <w:sz w:val="35"/>
          <w:szCs w:val="35"/>
        </w:rPr>
        <w:t xml:space="preserve"> </w:t>
      </w:r>
      <w:r>
        <w:rPr>
          <w:spacing w:val="-6"/>
          <w:sz w:val="35"/>
          <w:szCs w:val="35"/>
          <w14:textOutline w14:w="6537" w14:cap="sq" w14:cmpd="sng">
            <w14:solidFill>
              <w14:srgbClr w14:val="000000"/>
            </w14:solidFill>
            <w14:prstDash w14:val="solid"/>
            <w14:bevel/>
          </w14:textOutline>
        </w:rPr>
        <w:t>款</w:t>
      </w:r>
    </w:p>
    <w:p>
      <w:pPr>
        <w:spacing w:before="259" w:line="223" w:lineRule="auto"/>
        <w:ind w:left="9"/>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包括：</w:t>
      </w:r>
    </w:p>
    <w:p>
      <w:pPr>
        <w:spacing w:before="206" w:line="543" w:lineRule="exact"/>
        <w:ind w:left="562"/>
        <w:rPr>
          <w:rFonts w:ascii="宋体" w:hAnsi="宋体" w:eastAsia="宋体" w:cs="宋体"/>
          <w:sz w:val="28"/>
          <w:szCs w:val="28"/>
        </w:rPr>
      </w:pPr>
      <w:r>
        <w:rPr>
          <w:rFonts w:ascii="宋体" w:hAnsi="宋体" w:eastAsia="宋体" w:cs="宋体"/>
          <w:spacing w:val="1"/>
          <w:position w:val="19"/>
          <w:sz w:val="28"/>
          <w:szCs w:val="28"/>
          <w14:textOutline w14:w="5103" w14:cap="sq" w14:cmpd="sng">
            <w14:solidFill>
              <w14:srgbClr w14:val="000000"/>
            </w14:solidFill>
            <w14:prstDash w14:val="solid"/>
            <w14:bevel/>
          </w14:textOutline>
        </w:rPr>
        <w:t>A</w:t>
      </w:r>
      <w:r>
        <w:rPr>
          <w:rFonts w:ascii="宋体" w:hAnsi="宋体" w:eastAsia="宋体" w:cs="宋体"/>
          <w:spacing w:val="1"/>
          <w:position w:val="19"/>
          <w:sz w:val="28"/>
          <w:szCs w:val="28"/>
        </w:rPr>
        <w:t xml:space="preserve">  </w:t>
      </w:r>
      <w:r>
        <w:rPr>
          <w:rFonts w:ascii="宋体" w:hAnsi="宋体" w:eastAsia="宋体" w:cs="宋体"/>
          <w:spacing w:val="1"/>
          <w:position w:val="19"/>
          <w:sz w:val="28"/>
          <w:szCs w:val="28"/>
          <w14:textOutline w14:w="5103" w14:cap="sq" w14:cmpd="sng">
            <w14:solidFill>
              <w14:srgbClr w14:val="000000"/>
            </w14:solidFill>
            <w14:prstDash w14:val="solid"/>
            <w14:bevel/>
          </w14:textOutline>
        </w:rPr>
        <w:t>公路工程专用合同条款详见«公路工程标准施工招</w:t>
      </w:r>
      <w:r>
        <w:rPr>
          <w:rFonts w:ascii="宋体" w:hAnsi="宋体" w:eastAsia="宋体" w:cs="宋体"/>
          <w:position w:val="19"/>
          <w:sz w:val="28"/>
          <w:szCs w:val="28"/>
          <w14:textOutline w14:w="5103" w14:cap="sq" w14:cmpd="sng">
            <w14:solidFill>
              <w14:srgbClr w14:val="000000"/>
            </w14:solidFill>
            <w14:prstDash w14:val="solid"/>
            <w14:bevel/>
          </w14:textOutline>
        </w:rPr>
        <w:t>标文件»</w:t>
      </w:r>
    </w:p>
    <w:p>
      <w:pPr>
        <w:spacing w:line="219" w:lineRule="auto"/>
        <w:ind w:left="858"/>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（2018</w:t>
      </w:r>
      <w:r>
        <w:rPr>
          <w:rFonts w:ascii="宋体" w:hAnsi="宋体" w:eastAsia="宋体" w:cs="宋体"/>
          <w:spacing w:val="-46"/>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版）的第四章第二节</w:t>
      </w:r>
    </w:p>
    <w:p>
      <w:pPr>
        <w:spacing w:before="212" w:line="220" w:lineRule="auto"/>
        <w:ind w:left="565"/>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B</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项目专用合同条款</w:t>
      </w:r>
    </w:p>
    <w:p>
      <w:pPr>
        <w:spacing w:line="406" w:lineRule="auto"/>
        <w:rPr>
          <w:rFonts w:ascii="Arial"/>
          <w:sz w:val="21"/>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pacing w:val="-2"/>
          <w:sz w:val="35"/>
          <w:szCs w:val="35"/>
          <w14:textOutline w14:w="6537" w14:cap="sq" w14:cmpd="sng">
            <w14:solidFill>
              <w14:srgbClr w14:val="000000"/>
            </w14:solidFill>
            <w14:prstDash w14:val="solid"/>
            <w14:bevel/>
          </w14:textOutline>
        </w:rPr>
      </w:pPr>
    </w:p>
    <w:p>
      <w:pPr>
        <w:pStyle w:val="4"/>
        <w:spacing w:before="114" w:line="227" w:lineRule="auto"/>
        <w:ind w:left="2560"/>
        <w:rPr>
          <w:sz w:val="35"/>
          <w:szCs w:val="35"/>
        </w:rPr>
      </w:pPr>
      <w:r>
        <w:rPr>
          <w:spacing w:val="-2"/>
          <w:sz w:val="35"/>
          <w:szCs w:val="35"/>
          <w14:textOutline w14:w="6537" w14:cap="sq" w14:cmpd="sng">
            <w14:solidFill>
              <w14:srgbClr w14:val="000000"/>
            </w14:solidFill>
            <w14:prstDash w14:val="solid"/>
            <w14:bevel/>
          </w14:textOutline>
        </w:rPr>
        <w:t>B.项</w:t>
      </w:r>
      <w:r>
        <w:rPr>
          <w:spacing w:val="-33"/>
          <w:sz w:val="35"/>
          <w:szCs w:val="35"/>
        </w:rPr>
        <w:t xml:space="preserve"> </w:t>
      </w:r>
      <w:r>
        <w:rPr>
          <w:spacing w:val="-2"/>
          <w:sz w:val="35"/>
          <w:szCs w:val="35"/>
          <w14:textOutline w14:w="6537" w14:cap="sq" w14:cmpd="sng">
            <w14:solidFill>
              <w14:srgbClr w14:val="000000"/>
            </w14:solidFill>
            <w14:prstDash w14:val="solid"/>
            <w14:bevel/>
          </w14:textOutline>
        </w:rPr>
        <w:t>目</w:t>
      </w:r>
      <w:r>
        <w:rPr>
          <w:spacing w:val="-72"/>
          <w:sz w:val="35"/>
          <w:szCs w:val="35"/>
        </w:rPr>
        <w:t xml:space="preserve"> </w:t>
      </w:r>
      <w:r>
        <w:rPr>
          <w:spacing w:val="-2"/>
          <w:sz w:val="35"/>
          <w:szCs w:val="35"/>
          <w14:textOutline w14:w="6537" w14:cap="sq" w14:cmpd="sng">
            <w14:solidFill>
              <w14:srgbClr w14:val="000000"/>
            </w14:solidFill>
            <w14:prstDash w14:val="solid"/>
            <w14:bevel/>
          </w14:textOutline>
        </w:rPr>
        <w:t>专</w:t>
      </w:r>
      <w:r>
        <w:rPr>
          <w:spacing w:val="-74"/>
          <w:sz w:val="35"/>
          <w:szCs w:val="35"/>
        </w:rPr>
        <w:t xml:space="preserve"> </w:t>
      </w:r>
      <w:r>
        <w:rPr>
          <w:spacing w:val="-2"/>
          <w:sz w:val="35"/>
          <w:szCs w:val="35"/>
          <w14:textOutline w14:w="6537" w14:cap="sq" w14:cmpd="sng">
            <w14:solidFill>
              <w14:srgbClr w14:val="000000"/>
            </w14:solidFill>
            <w14:prstDash w14:val="solid"/>
            <w14:bevel/>
          </w14:textOutline>
        </w:rPr>
        <w:t>用</w:t>
      </w:r>
      <w:r>
        <w:rPr>
          <w:spacing w:val="-78"/>
          <w:sz w:val="35"/>
          <w:szCs w:val="35"/>
        </w:rPr>
        <w:t xml:space="preserve"> </w:t>
      </w:r>
      <w:r>
        <w:rPr>
          <w:spacing w:val="-2"/>
          <w:sz w:val="35"/>
          <w:szCs w:val="35"/>
          <w14:textOutline w14:w="6537" w14:cap="sq" w14:cmpd="sng">
            <w14:solidFill>
              <w14:srgbClr w14:val="000000"/>
            </w14:solidFill>
            <w14:prstDash w14:val="solid"/>
            <w14:bevel/>
          </w14:textOutline>
        </w:rPr>
        <w:t>合</w:t>
      </w:r>
      <w:r>
        <w:rPr>
          <w:spacing w:val="-61"/>
          <w:sz w:val="35"/>
          <w:szCs w:val="35"/>
        </w:rPr>
        <w:t xml:space="preserve"> </w:t>
      </w:r>
      <w:r>
        <w:rPr>
          <w:spacing w:val="-2"/>
          <w:sz w:val="35"/>
          <w:szCs w:val="35"/>
          <w14:textOutline w14:w="6537" w14:cap="sq" w14:cmpd="sng">
            <w14:solidFill>
              <w14:srgbClr w14:val="000000"/>
            </w14:solidFill>
            <w14:prstDash w14:val="solid"/>
            <w14:bevel/>
          </w14:textOutline>
        </w:rPr>
        <w:t>同</w:t>
      </w:r>
      <w:r>
        <w:rPr>
          <w:spacing w:val="-78"/>
          <w:sz w:val="35"/>
          <w:szCs w:val="35"/>
        </w:rPr>
        <w:t xml:space="preserve"> </w:t>
      </w:r>
      <w:r>
        <w:rPr>
          <w:spacing w:val="-2"/>
          <w:sz w:val="35"/>
          <w:szCs w:val="35"/>
          <w14:textOutline w14:w="6537" w14:cap="sq" w14:cmpd="sng">
            <w14:solidFill>
              <w14:srgbClr w14:val="000000"/>
            </w14:solidFill>
            <w14:prstDash w14:val="solid"/>
            <w14:bevel/>
          </w14:textOutline>
        </w:rPr>
        <w:t>条</w:t>
      </w:r>
      <w:r>
        <w:rPr>
          <w:spacing w:val="-80"/>
          <w:sz w:val="35"/>
          <w:szCs w:val="35"/>
        </w:rPr>
        <w:t xml:space="preserve"> </w:t>
      </w:r>
      <w:r>
        <w:rPr>
          <w:spacing w:val="-2"/>
          <w:sz w:val="35"/>
          <w:szCs w:val="35"/>
          <w14:textOutline w14:w="6537" w14:cap="sq" w14:cmpd="sng">
            <w14:solidFill>
              <w14:srgbClr w14:val="000000"/>
            </w14:solidFill>
            <w14:prstDash w14:val="solid"/>
            <w14:bevel/>
          </w14:textOutline>
        </w:rPr>
        <w:t>款</w:t>
      </w:r>
    </w:p>
    <w:p>
      <w:pPr>
        <w:spacing w:line="347" w:lineRule="auto"/>
        <w:rPr>
          <w:rFonts w:ascii="Arial"/>
          <w:sz w:val="21"/>
        </w:rPr>
      </w:pPr>
    </w:p>
    <w:p>
      <w:pPr>
        <w:spacing w:line="348" w:lineRule="auto"/>
        <w:rPr>
          <w:rFonts w:ascii="Arial"/>
          <w:sz w:val="21"/>
        </w:rPr>
      </w:pPr>
    </w:p>
    <w:p>
      <w:pPr>
        <w:spacing w:before="78" w:line="219" w:lineRule="auto"/>
        <w:ind w:left="8"/>
        <w:rPr>
          <w:rFonts w:ascii="宋体" w:hAnsi="宋体" w:eastAsia="宋体" w:cs="宋体"/>
          <w:sz w:val="24"/>
          <w:szCs w:val="24"/>
        </w:rPr>
      </w:pPr>
      <w:r>
        <w:rPr>
          <w:rFonts w:ascii="宋体" w:hAnsi="宋体" w:eastAsia="宋体" w:cs="宋体"/>
          <w:spacing w:val="-15"/>
          <w:sz w:val="24"/>
          <w:szCs w:val="24"/>
        </w:rPr>
        <w:t>说</w:t>
      </w:r>
      <w:r>
        <w:rPr>
          <w:rFonts w:ascii="宋体" w:hAnsi="宋体" w:eastAsia="宋体" w:cs="宋体"/>
          <w:spacing w:val="15"/>
          <w:sz w:val="24"/>
          <w:szCs w:val="24"/>
        </w:rPr>
        <w:t xml:space="preserve">  </w:t>
      </w:r>
      <w:r>
        <w:rPr>
          <w:rFonts w:ascii="宋体" w:hAnsi="宋体" w:eastAsia="宋体" w:cs="宋体"/>
          <w:spacing w:val="-15"/>
          <w:sz w:val="24"/>
          <w:szCs w:val="24"/>
        </w:rPr>
        <w:t>明：</w:t>
      </w:r>
    </w:p>
    <w:p>
      <w:pPr>
        <w:spacing w:before="183" w:line="359" w:lineRule="auto"/>
        <w:ind w:left="4" w:right="209" w:firstLine="498"/>
        <w:rPr>
          <w:rFonts w:ascii="宋体" w:hAnsi="宋体" w:eastAsia="宋体" w:cs="宋体"/>
          <w:sz w:val="24"/>
          <w:szCs w:val="24"/>
        </w:rPr>
      </w:pPr>
      <w:r>
        <w:rPr>
          <w:rFonts w:ascii="宋体" w:hAnsi="宋体" w:eastAsia="宋体" w:cs="宋体"/>
          <w:sz w:val="24"/>
          <w:szCs w:val="24"/>
        </w:rPr>
        <w:t>1. 招标人在根据本范本编制项目招标文件中的“项目</w:t>
      </w:r>
      <w:r>
        <w:rPr>
          <w:rFonts w:ascii="宋体" w:hAnsi="宋体" w:eastAsia="宋体" w:cs="宋体"/>
          <w:spacing w:val="-1"/>
          <w:sz w:val="24"/>
          <w:szCs w:val="24"/>
        </w:rPr>
        <w:t>专用合同条款</w:t>
      </w:r>
      <w:r>
        <w:rPr>
          <w:rFonts w:ascii="宋体" w:hAnsi="宋体" w:eastAsia="宋体" w:cs="宋体"/>
          <w:spacing w:val="-86"/>
          <w:sz w:val="24"/>
          <w:szCs w:val="24"/>
        </w:rPr>
        <w:t xml:space="preserve"> </w:t>
      </w:r>
      <w:r>
        <w:rPr>
          <w:rFonts w:ascii="宋体" w:hAnsi="宋体" w:eastAsia="宋体" w:cs="宋体"/>
          <w:spacing w:val="-1"/>
          <w:sz w:val="24"/>
          <w:szCs w:val="24"/>
        </w:rPr>
        <w:t xml:space="preserve">”时，可根据 </w:t>
      </w:r>
      <w:r>
        <w:rPr>
          <w:rFonts w:ascii="宋体" w:hAnsi="宋体" w:eastAsia="宋体" w:cs="宋体"/>
          <w:spacing w:val="-4"/>
          <w:sz w:val="24"/>
          <w:szCs w:val="24"/>
        </w:rPr>
        <w:t>招标项目的具体特点和实际需要，对“通用合同条款</w:t>
      </w:r>
      <w:r>
        <w:rPr>
          <w:rFonts w:ascii="宋体" w:hAnsi="宋体" w:eastAsia="宋体" w:cs="宋体"/>
          <w:spacing w:val="-76"/>
          <w:sz w:val="24"/>
          <w:szCs w:val="24"/>
        </w:rPr>
        <w:t xml:space="preserve"> </w:t>
      </w:r>
      <w:r>
        <w:rPr>
          <w:rFonts w:ascii="宋体" w:hAnsi="宋体" w:eastAsia="宋体" w:cs="宋体"/>
          <w:spacing w:val="-4"/>
          <w:sz w:val="24"/>
          <w:szCs w:val="24"/>
        </w:rPr>
        <w:t>”及“公路工程专用合同条款</w:t>
      </w:r>
      <w:r>
        <w:rPr>
          <w:rFonts w:ascii="宋体" w:hAnsi="宋体" w:eastAsia="宋体" w:cs="宋体"/>
          <w:spacing w:val="-88"/>
          <w:sz w:val="24"/>
          <w:szCs w:val="24"/>
        </w:rPr>
        <w:t xml:space="preserve"> </w:t>
      </w:r>
      <w:r>
        <w:rPr>
          <w:rFonts w:ascii="宋体" w:hAnsi="宋体" w:eastAsia="宋体" w:cs="宋体"/>
          <w:spacing w:val="-4"/>
          <w:sz w:val="24"/>
          <w:szCs w:val="24"/>
        </w:rPr>
        <w:t>”进 行补充和细化，除“通用合同条款</w:t>
      </w:r>
      <w:r>
        <w:rPr>
          <w:rFonts w:ascii="宋体" w:hAnsi="宋体" w:eastAsia="宋体" w:cs="宋体"/>
          <w:spacing w:val="-76"/>
          <w:sz w:val="24"/>
          <w:szCs w:val="24"/>
        </w:rPr>
        <w:t xml:space="preserve"> </w:t>
      </w:r>
      <w:r>
        <w:rPr>
          <w:rFonts w:ascii="宋体" w:hAnsi="宋体" w:eastAsia="宋体" w:cs="宋体"/>
          <w:spacing w:val="-4"/>
          <w:sz w:val="24"/>
          <w:szCs w:val="24"/>
        </w:rPr>
        <w:t>”明确“专用合同条款</w:t>
      </w:r>
      <w:r>
        <w:rPr>
          <w:rFonts w:ascii="宋体" w:hAnsi="宋体" w:eastAsia="宋体" w:cs="宋体"/>
          <w:spacing w:val="-88"/>
          <w:sz w:val="24"/>
          <w:szCs w:val="24"/>
        </w:rPr>
        <w:t xml:space="preserve"> </w:t>
      </w:r>
      <w:r>
        <w:rPr>
          <w:rFonts w:ascii="宋体" w:hAnsi="宋体" w:eastAsia="宋体" w:cs="宋体"/>
          <w:spacing w:val="-4"/>
          <w:sz w:val="24"/>
          <w:szCs w:val="24"/>
        </w:rPr>
        <w:t xml:space="preserve">”可做出不同约定及“公路工 </w:t>
      </w:r>
      <w:r>
        <w:rPr>
          <w:rFonts w:ascii="宋体" w:hAnsi="宋体" w:eastAsia="宋体" w:cs="宋体"/>
          <w:spacing w:val="-1"/>
          <w:sz w:val="24"/>
          <w:szCs w:val="24"/>
        </w:rPr>
        <w:t>程专用合同条款</w:t>
      </w:r>
      <w:r>
        <w:rPr>
          <w:rFonts w:ascii="宋体" w:hAnsi="宋体" w:eastAsia="宋体" w:cs="宋体"/>
          <w:spacing w:val="-75"/>
          <w:sz w:val="24"/>
          <w:szCs w:val="24"/>
        </w:rPr>
        <w:t xml:space="preserve"> </w:t>
      </w:r>
      <w:r>
        <w:rPr>
          <w:rFonts w:ascii="宋体" w:hAnsi="宋体" w:eastAsia="宋体" w:cs="宋体"/>
          <w:spacing w:val="-1"/>
          <w:sz w:val="24"/>
          <w:szCs w:val="24"/>
        </w:rPr>
        <w:t>”明确“项目专用合同条款</w:t>
      </w:r>
      <w:r>
        <w:rPr>
          <w:rFonts w:ascii="宋体" w:hAnsi="宋体" w:eastAsia="宋体" w:cs="宋体"/>
          <w:spacing w:val="-86"/>
          <w:sz w:val="24"/>
          <w:szCs w:val="24"/>
        </w:rPr>
        <w:t xml:space="preserve"> </w:t>
      </w:r>
      <w:r>
        <w:rPr>
          <w:rFonts w:ascii="宋体" w:hAnsi="宋体" w:eastAsia="宋体" w:cs="宋体"/>
          <w:spacing w:val="-1"/>
          <w:sz w:val="24"/>
          <w:szCs w:val="24"/>
        </w:rPr>
        <w:t xml:space="preserve">” 可做出不同约定外，补充和细化的内容 </w:t>
      </w:r>
      <w:r>
        <w:rPr>
          <w:rFonts w:ascii="宋体" w:hAnsi="宋体" w:eastAsia="宋体" w:cs="宋体"/>
          <w:spacing w:val="-7"/>
          <w:sz w:val="24"/>
          <w:szCs w:val="24"/>
        </w:rPr>
        <w:t>不得与“通用合同条款</w:t>
      </w:r>
      <w:r>
        <w:rPr>
          <w:rFonts w:ascii="宋体" w:hAnsi="宋体" w:eastAsia="宋体" w:cs="宋体"/>
          <w:spacing w:val="-88"/>
          <w:sz w:val="24"/>
          <w:szCs w:val="24"/>
        </w:rPr>
        <w:t xml:space="preserve"> </w:t>
      </w:r>
      <w:r>
        <w:rPr>
          <w:rFonts w:ascii="宋体" w:hAnsi="宋体" w:eastAsia="宋体" w:cs="宋体"/>
          <w:spacing w:val="-7"/>
          <w:sz w:val="24"/>
          <w:szCs w:val="24"/>
        </w:rPr>
        <w:t>”及“公路工程专用合同条款</w:t>
      </w:r>
      <w:r>
        <w:rPr>
          <w:rFonts w:ascii="宋体" w:hAnsi="宋体" w:eastAsia="宋体" w:cs="宋体"/>
          <w:spacing w:val="-88"/>
          <w:sz w:val="24"/>
          <w:szCs w:val="24"/>
        </w:rPr>
        <w:t xml:space="preserve"> </w:t>
      </w:r>
      <w:r>
        <w:rPr>
          <w:rFonts w:ascii="宋体" w:hAnsi="宋体" w:eastAsia="宋体" w:cs="宋体"/>
          <w:spacing w:val="-7"/>
          <w:sz w:val="24"/>
          <w:szCs w:val="24"/>
        </w:rPr>
        <w:t>”强制性规</w:t>
      </w:r>
      <w:r>
        <w:rPr>
          <w:rFonts w:ascii="宋体" w:hAnsi="宋体" w:eastAsia="宋体" w:cs="宋体"/>
          <w:spacing w:val="-8"/>
          <w:sz w:val="24"/>
          <w:szCs w:val="24"/>
        </w:rPr>
        <w:t>定相抵触。同时，补充、</w:t>
      </w:r>
      <w:r>
        <w:rPr>
          <w:rFonts w:ascii="宋体" w:hAnsi="宋体" w:eastAsia="宋体" w:cs="宋体"/>
          <w:sz w:val="24"/>
          <w:szCs w:val="24"/>
        </w:rPr>
        <w:t xml:space="preserve"> </w:t>
      </w:r>
      <w:r>
        <w:rPr>
          <w:rFonts w:ascii="宋体" w:hAnsi="宋体" w:eastAsia="宋体" w:cs="宋体"/>
          <w:spacing w:val="-2"/>
          <w:sz w:val="24"/>
          <w:szCs w:val="24"/>
        </w:rPr>
        <w:t>细化或约定的不同内容，不得违反法律、行政法规的强制性规定和平等、自愿、公平和</w:t>
      </w:r>
    </w:p>
    <w:p>
      <w:pPr>
        <w:spacing w:line="219" w:lineRule="auto"/>
        <w:ind w:left="4"/>
        <w:rPr>
          <w:rFonts w:ascii="宋体" w:hAnsi="宋体" w:eastAsia="宋体" w:cs="宋体"/>
          <w:sz w:val="24"/>
          <w:szCs w:val="24"/>
        </w:rPr>
      </w:pPr>
      <w:r>
        <w:rPr>
          <w:rFonts w:ascii="宋体" w:hAnsi="宋体" w:eastAsia="宋体" w:cs="宋体"/>
          <w:spacing w:val="-2"/>
          <w:sz w:val="24"/>
          <w:szCs w:val="24"/>
        </w:rPr>
        <w:t>诚实信用原则。</w:t>
      </w:r>
    </w:p>
    <w:p>
      <w:pPr>
        <w:spacing w:before="180" w:line="219" w:lineRule="auto"/>
        <w:ind w:left="488"/>
        <w:rPr>
          <w:rFonts w:ascii="宋体" w:hAnsi="宋体" w:eastAsia="宋体" w:cs="宋体"/>
          <w:sz w:val="24"/>
          <w:szCs w:val="24"/>
        </w:rPr>
      </w:pPr>
      <w:r>
        <w:rPr>
          <w:rFonts w:ascii="宋体" w:hAnsi="宋体" w:eastAsia="宋体" w:cs="宋体"/>
          <w:sz w:val="24"/>
          <w:szCs w:val="24"/>
        </w:rPr>
        <w:t>2. 项目专用合同条款的编号应与通用合同条款</w:t>
      </w:r>
      <w:r>
        <w:rPr>
          <w:rFonts w:ascii="宋体" w:hAnsi="宋体" w:eastAsia="宋体" w:cs="宋体"/>
          <w:spacing w:val="-1"/>
          <w:sz w:val="24"/>
          <w:szCs w:val="24"/>
        </w:rPr>
        <w:t>和公路工程专用合同条款一致。</w:t>
      </w:r>
    </w:p>
    <w:p>
      <w:pPr>
        <w:spacing w:before="183" w:line="219" w:lineRule="auto"/>
        <w:ind w:left="490"/>
        <w:rPr>
          <w:rFonts w:ascii="宋体" w:hAnsi="宋体" w:eastAsia="宋体" w:cs="宋体"/>
          <w:sz w:val="24"/>
          <w:szCs w:val="24"/>
        </w:rPr>
      </w:pPr>
      <w:r>
        <w:rPr>
          <w:rFonts w:ascii="宋体" w:hAnsi="宋体" w:eastAsia="宋体" w:cs="宋体"/>
          <w:spacing w:val="-1"/>
          <w:sz w:val="24"/>
          <w:szCs w:val="24"/>
        </w:rPr>
        <w:t>3. 项目专用合同条款可对下列内容进行补充和细化：</w:t>
      </w:r>
    </w:p>
    <w:p>
      <w:pPr>
        <w:spacing w:before="182" w:line="359" w:lineRule="auto"/>
        <w:ind w:left="11" w:right="291" w:firstLine="516"/>
        <w:rPr>
          <w:rFonts w:ascii="宋体" w:hAnsi="宋体" w:eastAsia="宋体" w:cs="宋体"/>
          <w:sz w:val="24"/>
          <w:szCs w:val="24"/>
        </w:rPr>
      </w:pPr>
      <w:r>
        <w:rPr>
          <w:rFonts w:ascii="宋体" w:hAnsi="宋体" w:eastAsia="宋体" w:cs="宋体"/>
          <w:spacing w:val="-2"/>
          <w:sz w:val="24"/>
          <w:szCs w:val="24"/>
        </w:rPr>
        <w:t>(1)“通用合同条款</w:t>
      </w:r>
      <w:r>
        <w:rPr>
          <w:rFonts w:ascii="宋体" w:hAnsi="宋体" w:eastAsia="宋体" w:cs="宋体"/>
          <w:spacing w:val="-86"/>
          <w:sz w:val="24"/>
          <w:szCs w:val="24"/>
        </w:rPr>
        <w:t xml:space="preserve"> </w:t>
      </w:r>
      <w:r>
        <w:rPr>
          <w:rFonts w:ascii="宋体" w:hAnsi="宋体" w:eastAsia="宋体" w:cs="宋体"/>
          <w:spacing w:val="-2"/>
          <w:sz w:val="24"/>
          <w:szCs w:val="24"/>
        </w:rPr>
        <w:t>”中明确指出“专用合同条</w:t>
      </w:r>
      <w:r>
        <w:rPr>
          <w:rFonts w:ascii="宋体" w:hAnsi="宋体" w:eastAsia="宋体" w:cs="宋体"/>
          <w:spacing w:val="-3"/>
          <w:sz w:val="24"/>
          <w:szCs w:val="24"/>
        </w:rPr>
        <w:t>款</w:t>
      </w:r>
      <w:r>
        <w:rPr>
          <w:rFonts w:ascii="宋体" w:hAnsi="宋体" w:eastAsia="宋体" w:cs="宋体"/>
          <w:spacing w:val="-85"/>
          <w:sz w:val="24"/>
          <w:szCs w:val="24"/>
        </w:rPr>
        <w:t xml:space="preserve"> </w:t>
      </w:r>
      <w:r>
        <w:rPr>
          <w:rFonts w:ascii="宋体" w:hAnsi="宋体" w:eastAsia="宋体" w:cs="宋体"/>
          <w:spacing w:val="-3"/>
          <w:sz w:val="24"/>
          <w:szCs w:val="24"/>
        </w:rPr>
        <w:t>”可对“通用合同条款</w:t>
      </w:r>
      <w:r>
        <w:rPr>
          <w:rFonts w:ascii="宋体" w:hAnsi="宋体" w:eastAsia="宋体" w:cs="宋体"/>
          <w:spacing w:val="-86"/>
          <w:sz w:val="24"/>
          <w:szCs w:val="24"/>
        </w:rPr>
        <w:t xml:space="preserve"> </w:t>
      </w:r>
      <w:r>
        <w:rPr>
          <w:rFonts w:ascii="宋体" w:hAnsi="宋体" w:eastAsia="宋体" w:cs="宋体"/>
          <w:spacing w:val="-3"/>
          <w:sz w:val="24"/>
          <w:szCs w:val="24"/>
        </w:rPr>
        <w:t>”进行修</w:t>
      </w:r>
      <w:r>
        <w:rPr>
          <w:rFonts w:ascii="宋体" w:hAnsi="宋体" w:eastAsia="宋体" w:cs="宋体"/>
          <w:sz w:val="24"/>
          <w:szCs w:val="24"/>
        </w:rPr>
        <w:t xml:space="preserve"> </w:t>
      </w:r>
      <w:r>
        <w:rPr>
          <w:rFonts w:ascii="宋体" w:hAnsi="宋体" w:eastAsia="宋体" w:cs="宋体"/>
          <w:spacing w:val="15"/>
          <w:sz w:val="24"/>
          <w:szCs w:val="24"/>
        </w:rPr>
        <w:t>改的内容(在“</w:t>
      </w:r>
      <w:r>
        <w:rPr>
          <w:rFonts w:ascii="宋体" w:hAnsi="宋体" w:eastAsia="宋体" w:cs="宋体"/>
          <w:spacing w:val="-77"/>
          <w:sz w:val="24"/>
          <w:szCs w:val="24"/>
        </w:rPr>
        <w:t xml:space="preserve"> </w:t>
      </w:r>
      <w:r>
        <w:rPr>
          <w:rFonts w:ascii="宋体" w:hAnsi="宋体" w:eastAsia="宋体" w:cs="宋体"/>
          <w:spacing w:val="15"/>
          <w:sz w:val="24"/>
          <w:szCs w:val="24"/>
        </w:rPr>
        <w:t>通用合同条款</w:t>
      </w:r>
      <w:r>
        <w:rPr>
          <w:rFonts w:ascii="宋体" w:hAnsi="宋体" w:eastAsia="宋体" w:cs="宋体"/>
          <w:spacing w:val="-64"/>
          <w:sz w:val="24"/>
          <w:szCs w:val="24"/>
        </w:rPr>
        <w:t xml:space="preserve"> </w:t>
      </w:r>
      <w:r>
        <w:rPr>
          <w:rFonts w:ascii="宋体" w:hAnsi="宋体" w:eastAsia="宋体" w:cs="宋体"/>
          <w:spacing w:val="15"/>
          <w:sz w:val="24"/>
          <w:szCs w:val="24"/>
        </w:rPr>
        <w:t>”中用“</w:t>
      </w:r>
      <w:r>
        <w:rPr>
          <w:rFonts w:ascii="宋体" w:hAnsi="宋体" w:eastAsia="宋体" w:cs="宋体"/>
          <w:spacing w:val="-87"/>
          <w:sz w:val="24"/>
          <w:szCs w:val="24"/>
        </w:rPr>
        <w:t xml:space="preserve"> </w:t>
      </w:r>
      <w:r>
        <w:rPr>
          <w:rFonts w:ascii="宋体" w:hAnsi="宋体" w:eastAsia="宋体" w:cs="宋体"/>
          <w:spacing w:val="15"/>
          <w:sz w:val="24"/>
          <w:szCs w:val="24"/>
        </w:rPr>
        <w:t>应按合同约定</w:t>
      </w:r>
      <w:r>
        <w:rPr>
          <w:rFonts w:ascii="宋体" w:hAnsi="宋体" w:eastAsia="宋体" w:cs="宋体"/>
          <w:spacing w:val="-64"/>
          <w:sz w:val="24"/>
          <w:szCs w:val="24"/>
        </w:rPr>
        <w:t xml:space="preserve"> </w:t>
      </w:r>
      <w:r>
        <w:rPr>
          <w:rFonts w:ascii="宋体" w:hAnsi="宋体" w:eastAsia="宋体" w:cs="宋体"/>
          <w:spacing w:val="15"/>
          <w:sz w:val="24"/>
          <w:szCs w:val="24"/>
        </w:rPr>
        <w:t>”、</w:t>
      </w:r>
      <w:r>
        <w:rPr>
          <w:rFonts w:ascii="宋体" w:hAnsi="宋体" w:eastAsia="宋体" w:cs="宋体"/>
          <w:spacing w:val="-96"/>
          <w:sz w:val="24"/>
          <w:szCs w:val="24"/>
        </w:rPr>
        <w:t xml:space="preserve"> </w:t>
      </w:r>
      <w:r>
        <w:rPr>
          <w:rFonts w:ascii="宋体" w:hAnsi="宋体" w:eastAsia="宋体" w:cs="宋体"/>
          <w:spacing w:val="15"/>
          <w:sz w:val="24"/>
          <w:szCs w:val="24"/>
        </w:rPr>
        <w:t>“</w:t>
      </w:r>
      <w:r>
        <w:rPr>
          <w:rFonts w:ascii="宋体" w:hAnsi="宋体" w:eastAsia="宋体" w:cs="宋体"/>
          <w:spacing w:val="-86"/>
          <w:sz w:val="24"/>
          <w:szCs w:val="24"/>
        </w:rPr>
        <w:t xml:space="preserve"> </w:t>
      </w:r>
      <w:r>
        <w:rPr>
          <w:rFonts w:ascii="宋体" w:hAnsi="宋体" w:eastAsia="宋体" w:cs="宋体"/>
          <w:spacing w:val="15"/>
          <w:sz w:val="24"/>
          <w:szCs w:val="24"/>
        </w:rPr>
        <w:t>应按专用合同条款约</w:t>
      </w:r>
      <w:r>
        <w:rPr>
          <w:rFonts w:ascii="宋体" w:hAnsi="宋体" w:eastAsia="宋体" w:cs="宋体"/>
          <w:sz w:val="24"/>
          <w:szCs w:val="24"/>
        </w:rPr>
        <w:t xml:space="preserve"> </w:t>
      </w:r>
      <w:r>
        <w:rPr>
          <w:rFonts w:ascii="宋体" w:hAnsi="宋体" w:eastAsia="宋体" w:cs="宋体"/>
          <w:spacing w:val="-4"/>
          <w:sz w:val="24"/>
          <w:szCs w:val="24"/>
        </w:rPr>
        <w:t>定</w:t>
      </w:r>
      <w:r>
        <w:rPr>
          <w:rFonts w:ascii="宋体" w:hAnsi="宋体" w:eastAsia="宋体" w:cs="宋体"/>
          <w:spacing w:val="-88"/>
          <w:sz w:val="24"/>
          <w:szCs w:val="24"/>
        </w:rPr>
        <w:t xml:space="preserve"> </w:t>
      </w:r>
      <w:r>
        <w:rPr>
          <w:rFonts w:ascii="宋体" w:hAnsi="宋体" w:eastAsia="宋体" w:cs="宋体"/>
          <w:spacing w:val="-4"/>
          <w:sz w:val="24"/>
          <w:szCs w:val="24"/>
        </w:rPr>
        <w:t>”“除合同另有约定外</w:t>
      </w:r>
      <w:r>
        <w:rPr>
          <w:rFonts w:ascii="宋体" w:hAnsi="宋体" w:eastAsia="宋体" w:cs="宋体"/>
          <w:spacing w:val="-88"/>
          <w:sz w:val="24"/>
          <w:szCs w:val="24"/>
        </w:rPr>
        <w:t xml:space="preserve"> </w:t>
      </w:r>
      <w:r>
        <w:rPr>
          <w:rFonts w:ascii="宋体" w:hAnsi="宋体" w:eastAsia="宋体" w:cs="宋体"/>
          <w:spacing w:val="-4"/>
          <w:sz w:val="24"/>
          <w:szCs w:val="24"/>
        </w:rPr>
        <w:t>”、“除专用合同条款另有约定</w:t>
      </w:r>
      <w:r>
        <w:rPr>
          <w:rFonts w:ascii="宋体" w:hAnsi="宋体" w:eastAsia="宋体" w:cs="宋体"/>
          <w:spacing w:val="-5"/>
          <w:sz w:val="24"/>
          <w:szCs w:val="24"/>
        </w:rPr>
        <w:t>外</w:t>
      </w:r>
      <w:r>
        <w:rPr>
          <w:rFonts w:ascii="宋体" w:hAnsi="宋体" w:eastAsia="宋体" w:cs="宋体"/>
          <w:spacing w:val="-88"/>
          <w:sz w:val="24"/>
          <w:szCs w:val="24"/>
        </w:rPr>
        <w:t xml:space="preserve"> </w:t>
      </w:r>
      <w:r>
        <w:rPr>
          <w:rFonts w:ascii="宋体" w:hAnsi="宋体" w:eastAsia="宋体" w:cs="宋体"/>
          <w:spacing w:val="-5"/>
          <w:sz w:val="24"/>
          <w:szCs w:val="24"/>
        </w:rPr>
        <w:t>”、“在专用合同条款中约</w:t>
      </w:r>
    </w:p>
    <w:p>
      <w:pPr>
        <w:spacing w:line="219" w:lineRule="auto"/>
        <w:ind w:left="11"/>
        <w:rPr>
          <w:rFonts w:ascii="宋体" w:hAnsi="宋体" w:eastAsia="宋体" w:cs="宋体"/>
          <w:sz w:val="24"/>
          <w:szCs w:val="24"/>
        </w:rPr>
      </w:pPr>
      <w:r>
        <w:rPr>
          <w:rFonts w:ascii="宋体" w:hAnsi="宋体" w:eastAsia="宋体" w:cs="宋体"/>
          <w:spacing w:val="-4"/>
          <w:sz w:val="24"/>
          <w:szCs w:val="24"/>
        </w:rPr>
        <w:t>定</w:t>
      </w:r>
      <w:r>
        <w:rPr>
          <w:rFonts w:ascii="宋体" w:hAnsi="宋体" w:eastAsia="宋体" w:cs="宋体"/>
          <w:spacing w:val="-85"/>
          <w:sz w:val="24"/>
          <w:szCs w:val="24"/>
        </w:rPr>
        <w:t xml:space="preserve"> </w:t>
      </w:r>
      <w:r>
        <w:rPr>
          <w:rFonts w:ascii="宋体" w:hAnsi="宋体" w:eastAsia="宋体" w:cs="宋体"/>
          <w:spacing w:val="-4"/>
          <w:sz w:val="24"/>
          <w:szCs w:val="24"/>
        </w:rPr>
        <w:t>”等多种文字形式表达)；</w:t>
      </w:r>
    </w:p>
    <w:p>
      <w:pPr>
        <w:spacing w:before="182" w:line="359" w:lineRule="auto"/>
        <w:ind w:left="6" w:right="291" w:firstLine="521"/>
        <w:rPr>
          <w:rFonts w:ascii="宋体" w:hAnsi="宋体" w:eastAsia="宋体" w:cs="宋体"/>
          <w:sz w:val="24"/>
          <w:szCs w:val="24"/>
        </w:rPr>
      </w:pPr>
      <w:r>
        <w:rPr>
          <w:rFonts w:ascii="宋体" w:hAnsi="宋体" w:eastAsia="宋体" w:cs="宋体"/>
          <w:spacing w:val="-2"/>
          <w:sz w:val="24"/>
          <w:szCs w:val="24"/>
        </w:rPr>
        <w:t>(2)“公路工程专用合同条款</w:t>
      </w:r>
      <w:r>
        <w:rPr>
          <w:rFonts w:ascii="宋体" w:hAnsi="宋体" w:eastAsia="宋体" w:cs="宋体"/>
          <w:spacing w:val="-69"/>
          <w:sz w:val="24"/>
          <w:szCs w:val="24"/>
        </w:rPr>
        <w:t xml:space="preserve"> </w:t>
      </w:r>
      <w:r>
        <w:rPr>
          <w:rFonts w:ascii="宋体" w:hAnsi="宋体" w:eastAsia="宋体" w:cs="宋体"/>
          <w:spacing w:val="-2"/>
          <w:sz w:val="24"/>
          <w:szCs w:val="24"/>
        </w:rPr>
        <w:t>”中明确指出“项目专用合同条款</w:t>
      </w:r>
      <w:r>
        <w:rPr>
          <w:rFonts w:ascii="宋体" w:hAnsi="宋体" w:eastAsia="宋体" w:cs="宋体"/>
          <w:spacing w:val="-85"/>
          <w:sz w:val="24"/>
          <w:szCs w:val="24"/>
        </w:rPr>
        <w:t xml:space="preserve"> </w:t>
      </w:r>
      <w:r>
        <w:rPr>
          <w:rFonts w:ascii="宋体" w:hAnsi="宋体" w:eastAsia="宋体" w:cs="宋体"/>
          <w:spacing w:val="-2"/>
          <w:sz w:val="24"/>
          <w:szCs w:val="24"/>
        </w:rPr>
        <w:t>”可对“公路工程</w:t>
      </w:r>
      <w:r>
        <w:rPr>
          <w:rFonts w:ascii="宋体" w:hAnsi="宋体" w:eastAsia="宋体" w:cs="宋体"/>
          <w:sz w:val="24"/>
          <w:szCs w:val="24"/>
        </w:rPr>
        <w:t xml:space="preserve"> </w:t>
      </w:r>
      <w:r>
        <w:rPr>
          <w:rFonts w:ascii="宋体" w:hAnsi="宋体" w:eastAsia="宋体" w:cs="宋体"/>
          <w:spacing w:val="-3"/>
          <w:sz w:val="24"/>
          <w:szCs w:val="24"/>
        </w:rPr>
        <w:t>专用合同条款</w:t>
      </w:r>
      <w:r>
        <w:rPr>
          <w:rFonts w:ascii="宋体" w:hAnsi="宋体" w:eastAsia="宋体" w:cs="宋体"/>
          <w:spacing w:val="-89"/>
          <w:sz w:val="24"/>
          <w:szCs w:val="24"/>
        </w:rPr>
        <w:t xml:space="preserve"> </w:t>
      </w:r>
      <w:r>
        <w:rPr>
          <w:rFonts w:ascii="宋体" w:hAnsi="宋体" w:eastAsia="宋体" w:cs="宋体"/>
          <w:spacing w:val="-3"/>
          <w:sz w:val="24"/>
          <w:szCs w:val="24"/>
        </w:rPr>
        <w:t>”进行修改的内容（在“公路工程专用合</w:t>
      </w:r>
      <w:r>
        <w:rPr>
          <w:rFonts w:ascii="宋体" w:hAnsi="宋体" w:eastAsia="宋体" w:cs="宋体"/>
          <w:spacing w:val="-4"/>
          <w:sz w:val="24"/>
          <w:szCs w:val="24"/>
        </w:rPr>
        <w:t>同条款</w:t>
      </w:r>
      <w:r>
        <w:rPr>
          <w:rFonts w:ascii="宋体" w:hAnsi="宋体" w:eastAsia="宋体" w:cs="宋体"/>
          <w:spacing w:val="-88"/>
          <w:sz w:val="24"/>
          <w:szCs w:val="24"/>
        </w:rPr>
        <w:t xml:space="preserve"> </w:t>
      </w:r>
      <w:r>
        <w:rPr>
          <w:rFonts w:ascii="宋体" w:hAnsi="宋体" w:eastAsia="宋体" w:cs="宋体"/>
          <w:spacing w:val="-4"/>
          <w:sz w:val="24"/>
          <w:szCs w:val="24"/>
        </w:rPr>
        <w:t>”中用“除项目专用合同</w:t>
      </w:r>
      <w:r>
        <w:rPr>
          <w:rFonts w:ascii="宋体" w:hAnsi="宋体" w:eastAsia="宋体" w:cs="宋体"/>
          <w:sz w:val="24"/>
          <w:szCs w:val="24"/>
        </w:rPr>
        <w:t xml:space="preserve"> </w:t>
      </w:r>
      <w:r>
        <w:rPr>
          <w:rFonts w:ascii="宋体" w:hAnsi="宋体" w:eastAsia="宋体" w:cs="宋体"/>
          <w:spacing w:val="-3"/>
          <w:sz w:val="24"/>
          <w:szCs w:val="24"/>
        </w:rPr>
        <w:t>条款另有约定外</w:t>
      </w:r>
      <w:r>
        <w:rPr>
          <w:rFonts w:ascii="宋体" w:hAnsi="宋体" w:eastAsia="宋体" w:cs="宋体"/>
          <w:spacing w:val="-89"/>
          <w:sz w:val="24"/>
          <w:szCs w:val="24"/>
        </w:rPr>
        <w:t xml:space="preserve"> </w:t>
      </w:r>
      <w:r>
        <w:rPr>
          <w:rFonts w:ascii="宋体" w:hAnsi="宋体" w:eastAsia="宋体" w:cs="宋体"/>
          <w:spacing w:val="-3"/>
          <w:sz w:val="24"/>
          <w:szCs w:val="24"/>
        </w:rPr>
        <w:t>”、“项目专用合同条款可能约定的</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4"/>
          <w:sz w:val="24"/>
          <w:szCs w:val="24"/>
        </w:rPr>
        <w:t>、“项目专用合同条款约定的其</w:t>
      </w:r>
    </w:p>
    <w:p>
      <w:pPr>
        <w:spacing w:before="1" w:line="219" w:lineRule="auto"/>
        <w:ind w:left="5"/>
        <w:rPr>
          <w:rFonts w:ascii="宋体" w:hAnsi="宋体" w:eastAsia="宋体" w:cs="宋体"/>
          <w:sz w:val="24"/>
          <w:szCs w:val="24"/>
        </w:rPr>
      </w:pPr>
      <w:r>
        <w:rPr>
          <w:rFonts w:ascii="宋体" w:hAnsi="宋体" w:eastAsia="宋体" w:cs="宋体"/>
          <w:spacing w:val="-4"/>
          <w:sz w:val="24"/>
          <w:szCs w:val="24"/>
        </w:rPr>
        <w:t>他情形</w:t>
      </w:r>
      <w:r>
        <w:rPr>
          <w:rFonts w:ascii="宋体" w:hAnsi="宋体" w:eastAsia="宋体" w:cs="宋体"/>
          <w:spacing w:val="-87"/>
          <w:sz w:val="24"/>
          <w:szCs w:val="24"/>
        </w:rPr>
        <w:t xml:space="preserve"> </w:t>
      </w:r>
      <w:r>
        <w:rPr>
          <w:rFonts w:ascii="宋体" w:hAnsi="宋体" w:eastAsia="宋体" w:cs="宋体"/>
          <w:spacing w:val="-4"/>
          <w:sz w:val="24"/>
          <w:szCs w:val="24"/>
        </w:rPr>
        <w:t>”等多种文字形式表达</w:t>
      </w:r>
      <w:r>
        <w:rPr>
          <w:rFonts w:ascii="宋体" w:hAnsi="宋体" w:eastAsia="宋体" w:cs="宋体"/>
          <w:spacing w:val="4"/>
          <w:sz w:val="24"/>
          <w:szCs w:val="24"/>
        </w:rPr>
        <w:t>）；</w:t>
      </w:r>
    </w:p>
    <w:p>
      <w:pPr>
        <w:spacing w:before="183" w:line="219" w:lineRule="auto"/>
        <w:ind w:left="527"/>
        <w:rPr>
          <w:rFonts w:ascii="宋体" w:hAnsi="宋体" w:eastAsia="宋体" w:cs="宋体"/>
          <w:sz w:val="24"/>
          <w:szCs w:val="24"/>
        </w:rPr>
      </w:pPr>
      <w:r>
        <w:rPr>
          <w:rFonts w:ascii="宋体" w:hAnsi="宋体" w:eastAsia="宋体" w:cs="宋体"/>
          <w:spacing w:val="-4"/>
          <w:sz w:val="24"/>
          <w:szCs w:val="24"/>
        </w:rPr>
        <w:t>(3)其他需要补充、细化的内容。</w:t>
      </w:r>
    </w:p>
    <w:p>
      <w:pPr>
        <w:spacing w:line="406" w:lineRule="auto"/>
        <w:rPr>
          <w:rFonts w:ascii="Arial"/>
          <w:sz w:val="21"/>
        </w:rPr>
      </w:pPr>
    </w:p>
    <w:p>
      <w:pPr>
        <w:pStyle w:val="4"/>
        <w:spacing w:before="114" w:line="227" w:lineRule="auto"/>
        <w:ind w:left="2198"/>
        <w:rPr>
          <w:spacing w:val="83"/>
          <w:sz w:val="35"/>
          <w:szCs w:val="35"/>
          <w14:textOutline w14:w="6537" w14:cap="sq" w14:cmpd="sng">
            <w14:solidFill>
              <w14:srgbClr w14:val="000000"/>
            </w14:solidFill>
            <w14:prstDash w14:val="solid"/>
            <w14:bevel/>
          </w14:textOutline>
        </w:rPr>
      </w:pPr>
    </w:p>
    <w:p>
      <w:pPr>
        <w:pStyle w:val="4"/>
        <w:spacing w:before="114" w:line="227" w:lineRule="auto"/>
        <w:ind w:left="2198"/>
        <w:rPr>
          <w:spacing w:val="83"/>
          <w:sz w:val="35"/>
          <w:szCs w:val="35"/>
          <w14:textOutline w14:w="6537" w14:cap="sq" w14:cmpd="sng">
            <w14:solidFill>
              <w14:srgbClr w14:val="000000"/>
            </w14:solidFill>
            <w14:prstDash w14:val="solid"/>
            <w14:bevel/>
          </w14:textOutline>
        </w:rPr>
      </w:pPr>
    </w:p>
    <w:p>
      <w:pPr>
        <w:pStyle w:val="4"/>
        <w:spacing w:before="114" w:line="227" w:lineRule="auto"/>
        <w:ind w:left="2198"/>
        <w:rPr>
          <w:spacing w:val="83"/>
          <w:sz w:val="35"/>
          <w:szCs w:val="35"/>
          <w14:textOutline w14:w="6537" w14:cap="sq" w14:cmpd="sng">
            <w14:solidFill>
              <w14:srgbClr w14:val="000000"/>
            </w14:solidFill>
            <w14:prstDash w14:val="solid"/>
            <w14:bevel/>
          </w14:textOutline>
        </w:rPr>
      </w:pPr>
    </w:p>
    <w:p>
      <w:pPr>
        <w:pStyle w:val="4"/>
        <w:spacing w:before="114" w:line="227" w:lineRule="auto"/>
        <w:ind w:left="2198"/>
        <w:rPr>
          <w:spacing w:val="83"/>
          <w:sz w:val="35"/>
          <w:szCs w:val="35"/>
          <w14:textOutline w14:w="6537" w14:cap="sq" w14:cmpd="sng">
            <w14:solidFill>
              <w14:srgbClr w14:val="000000"/>
            </w14:solidFill>
            <w14:prstDash w14:val="solid"/>
            <w14:bevel/>
          </w14:textOutline>
        </w:rPr>
      </w:pPr>
    </w:p>
    <w:p>
      <w:pPr>
        <w:pStyle w:val="4"/>
        <w:spacing w:before="114" w:line="227" w:lineRule="auto"/>
        <w:ind w:left="2198"/>
        <w:rPr>
          <w:spacing w:val="83"/>
          <w:sz w:val="35"/>
          <w:szCs w:val="35"/>
          <w14:textOutline w14:w="6537" w14:cap="sq" w14:cmpd="sng">
            <w14:solidFill>
              <w14:srgbClr w14:val="000000"/>
            </w14:solidFill>
            <w14:prstDash w14:val="solid"/>
            <w14:bevel/>
          </w14:textOutline>
        </w:rPr>
      </w:pPr>
    </w:p>
    <w:p>
      <w:pPr>
        <w:pStyle w:val="4"/>
        <w:spacing w:before="114" w:line="227" w:lineRule="auto"/>
        <w:ind w:left="2198"/>
        <w:rPr>
          <w:spacing w:val="83"/>
          <w:sz w:val="35"/>
          <w:szCs w:val="35"/>
          <w14:textOutline w14:w="6537" w14:cap="sq" w14:cmpd="sng">
            <w14:solidFill>
              <w14:srgbClr w14:val="000000"/>
            </w14:solidFill>
            <w14:prstDash w14:val="solid"/>
            <w14:bevel/>
          </w14:textOutline>
        </w:rPr>
      </w:pPr>
    </w:p>
    <w:p>
      <w:pPr>
        <w:pStyle w:val="4"/>
        <w:spacing w:before="114" w:line="227" w:lineRule="auto"/>
        <w:ind w:left="2198"/>
        <w:rPr>
          <w:spacing w:val="83"/>
          <w:sz w:val="35"/>
          <w:szCs w:val="35"/>
          <w14:textOutline w14:w="6537" w14:cap="sq" w14:cmpd="sng">
            <w14:solidFill>
              <w14:srgbClr w14:val="000000"/>
            </w14:solidFill>
            <w14:prstDash w14:val="solid"/>
            <w14:bevel/>
          </w14:textOutline>
        </w:rPr>
      </w:pPr>
    </w:p>
    <w:p>
      <w:pPr>
        <w:pStyle w:val="4"/>
        <w:spacing w:before="114" w:line="227" w:lineRule="auto"/>
        <w:ind w:left="2198"/>
        <w:rPr>
          <w:sz w:val="35"/>
          <w:szCs w:val="35"/>
        </w:rPr>
      </w:pPr>
      <w:r>
        <w:rPr>
          <w:spacing w:val="83"/>
          <w:sz w:val="35"/>
          <w:szCs w:val="35"/>
          <w14:textOutline w14:w="6537" w14:cap="sq" w14:cmpd="sng">
            <w14:solidFill>
              <w14:srgbClr w14:val="000000"/>
            </w14:solidFill>
            <w14:prstDash w14:val="solid"/>
            <w14:bevel/>
          </w14:textOutline>
        </w:rPr>
        <w:t>项目专用合同条款数据表</w:t>
      </w:r>
    </w:p>
    <w:p>
      <w:pPr>
        <w:spacing w:line="364" w:lineRule="auto"/>
        <w:rPr>
          <w:rFonts w:ascii="Arial"/>
          <w:sz w:val="21"/>
        </w:rPr>
      </w:pPr>
    </w:p>
    <w:p>
      <w:pPr>
        <w:spacing w:before="65" w:line="381" w:lineRule="auto"/>
        <w:ind w:left="86" w:right="238"/>
        <w:jc w:val="both"/>
        <w:rPr>
          <w:rFonts w:ascii="宋体" w:hAnsi="宋体" w:eastAsia="宋体" w:cs="宋体"/>
          <w:sz w:val="20"/>
          <w:szCs w:val="20"/>
        </w:rPr>
      </w:pPr>
      <w:r>
        <w:rPr>
          <w:rFonts w:ascii="宋体" w:hAnsi="宋体" w:eastAsia="宋体" w:cs="宋体"/>
          <w:spacing w:val="9"/>
          <w:sz w:val="20"/>
          <w:szCs w:val="20"/>
        </w:rPr>
        <w:t>说明： 本数据表是项目专用合同条款中适用于本项目的信息和数据的归纳与提示，是项目专用合同</w:t>
      </w:r>
      <w:r>
        <w:rPr>
          <w:rFonts w:ascii="宋体" w:hAnsi="宋体" w:eastAsia="宋体" w:cs="宋体"/>
          <w:spacing w:val="12"/>
          <w:sz w:val="20"/>
          <w:szCs w:val="20"/>
        </w:rPr>
        <w:t xml:space="preserve"> </w:t>
      </w:r>
      <w:r>
        <w:rPr>
          <w:rFonts w:ascii="宋体" w:hAnsi="宋体" w:eastAsia="宋体" w:cs="宋体"/>
          <w:spacing w:val="11"/>
          <w:sz w:val="20"/>
          <w:szCs w:val="20"/>
        </w:rPr>
        <w:t>条款的组成部分。第九章“投标文件格式</w:t>
      </w:r>
      <w:r>
        <w:rPr>
          <w:rFonts w:ascii="宋体" w:hAnsi="宋体" w:eastAsia="宋体" w:cs="宋体"/>
          <w:spacing w:val="-64"/>
          <w:sz w:val="20"/>
          <w:szCs w:val="20"/>
        </w:rPr>
        <w:t xml:space="preserve"> </w:t>
      </w:r>
      <w:r>
        <w:rPr>
          <w:rFonts w:ascii="宋体" w:hAnsi="宋体" w:eastAsia="宋体" w:cs="宋体"/>
          <w:spacing w:val="11"/>
          <w:sz w:val="20"/>
          <w:szCs w:val="20"/>
        </w:rPr>
        <w:t>”的投标函附录中的数据（供投标人确认）与本表所列有</w:t>
      </w:r>
    </w:p>
    <w:p>
      <w:pPr>
        <w:spacing w:line="227" w:lineRule="auto"/>
        <w:ind w:left="85"/>
        <w:rPr>
          <w:rFonts w:ascii="宋体" w:hAnsi="宋体" w:eastAsia="宋体" w:cs="宋体"/>
          <w:sz w:val="20"/>
          <w:szCs w:val="20"/>
        </w:rPr>
      </w:pPr>
      <w:r>
        <w:rPr>
          <w:rFonts w:ascii="宋体" w:hAnsi="宋体" w:eastAsia="宋体" w:cs="宋体"/>
          <w:spacing w:val="9"/>
          <w:sz w:val="20"/>
          <w:szCs w:val="20"/>
        </w:rPr>
        <w:t>重复。编写招标文件的单位应仔细校核，不使数据出现差错或不一致。</w:t>
      </w:r>
    </w:p>
    <w:p>
      <w:pPr>
        <w:spacing w:before="13"/>
      </w:pPr>
    </w:p>
    <w:tbl>
      <w:tblPr>
        <w:tblStyle w:val="16"/>
        <w:tblW w:w="9304" w:type="dxa"/>
        <w:tblInd w:w="2" w:type="dxa"/>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Layout w:type="fixed"/>
        <w:tblCellMar>
          <w:top w:w="0" w:type="dxa"/>
          <w:left w:w="0" w:type="dxa"/>
          <w:bottom w:w="0" w:type="dxa"/>
          <w:right w:w="0" w:type="dxa"/>
        </w:tblCellMar>
      </w:tblPr>
      <w:tblGrid>
        <w:gridCol w:w="709"/>
        <w:gridCol w:w="1244"/>
        <w:gridCol w:w="7351"/>
      </w:tblGrid>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343" w:hRule="atLeast"/>
        </w:trPr>
        <w:tc>
          <w:tcPr>
            <w:tcW w:w="709" w:type="dxa"/>
            <w:vAlign w:val="top"/>
          </w:tcPr>
          <w:p>
            <w:pPr>
              <w:pStyle w:val="17"/>
              <w:spacing w:before="67" w:line="229" w:lineRule="auto"/>
              <w:ind w:left="148"/>
              <w:rPr>
                <w:sz w:val="20"/>
                <w:szCs w:val="20"/>
              </w:rPr>
            </w:pPr>
            <w:r>
              <w:rPr>
                <w:spacing w:val="6"/>
                <w:sz w:val="20"/>
                <w:szCs w:val="20"/>
                <w14:textOutline w14:w="3795" w14:cap="sq" w14:cmpd="sng">
                  <w14:solidFill>
                    <w14:srgbClr w14:val="000000"/>
                  </w14:solidFill>
                  <w14:prstDash w14:val="solid"/>
                  <w14:bevel/>
                </w14:textOutline>
              </w:rPr>
              <w:t>序号</w:t>
            </w:r>
          </w:p>
        </w:tc>
        <w:tc>
          <w:tcPr>
            <w:tcW w:w="1244" w:type="dxa"/>
            <w:vAlign w:val="top"/>
          </w:tcPr>
          <w:p>
            <w:pPr>
              <w:pStyle w:val="17"/>
              <w:spacing w:before="66" w:line="228" w:lineRule="auto"/>
              <w:ind w:left="313"/>
              <w:rPr>
                <w:sz w:val="20"/>
                <w:szCs w:val="20"/>
              </w:rPr>
            </w:pPr>
            <w:r>
              <w:rPr>
                <w:spacing w:val="7"/>
                <w:sz w:val="20"/>
                <w:szCs w:val="20"/>
                <w14:textOutline w14:w="3795" w14:cap="sq" w14:cmpd="sng">
                  <w14:solidFill>
                    <w14:srgbClr w14:val="000000"/>
                  </w14:solidFill>
                  <w14:prstDash w14:val="solid"/>
                  <w14:bevel/>
                </w14:textOutline>
              </w:rPr>
              <w:t>条目号</w:t>
            </w:r>
          </w:p>
        </w:tc>
        <w:tc>
          <w:tcPr>
            <w:tcW w:w="7351" w:type="dxa"/>
            <w:vAlign w:val="top"/>
          </w:tcPr>
          <w:p>
            <w:pPr>
              <w:pStyle w:val="17"/>
              <w:spacing w:before="35" w:line="228" w:lineRule="auto"/>
              <w:ind w:left="3154"/>
              <w:rPr>
                <w:sz w:val="20"/>
                <w:szCs w:val="20"/>
              </w:rPr>
            </w:pPr>
            <w:r>
              <w:rPr>
                <w:spacing w:val="8"/>
                <w:sz w:val="20"/>
                <w:szCs w:val="20"/>
                <w14:textOutline w14:w="3795" w14:cap="sq" w14:cmpd="sng">
                  <w14:solidFill>
                    <w14:srgbClr w14:val="000000"/>
                  </w14:solidFill>
                  <w14:prstDash w14:val="solid"/>
                  <w14:bevel/>
                </w14:textOutline>
              </w:rPr>
              <w:t>信息或数据</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731" w:hRule="atLeast"/>
        </w:trPr>
        <w:tc>
          <w:tcPr>
            <w:tcW w:w="709" w:type="dxa"/>
            <w:vAlign w:val="top"/>
          </w:tcPr>
          <w:p>
            <w:pPr>
              <w:pStyle w:val="17"/>
              <w:spacing w:before="291" w:line="189" w:lineRule="auto"/>
              <w:ind w:left="323"/>
              <w:rPr>
                <w:sz w:val="20"/>
                <w:szCs w:val="20"/>
              </w:rPr>
            </w:pPr>
            <w:r>
              <w:rPr>
                <w:sz w:val="20"/>
                <w:szCs w:val="20"/>
              </w:rPr>
              <w:t>1</w:t>
            </w:r>
          </w:p>
        </w:tc>
        <w:tc>
          <w:tcPr>
            <w:tcW w:w="1244" w:type="dxa"/>
            <w:vAlign w:val="top"/>
          </w:tcPr>
          <w:p>
            <w:pPr>
              <w:pStyle w:val="17"/>
              <w:spacing w:before="290" w:line="190" w:lineRule="auto"/>
              <w:ind w:left="274"/>
              <w:rPr>
                <w:sz w:val="20"/>
                <w:szCs w:val="20"/>
              </w:rPr>
            </w:pPr>
            <w:r>
              <w:fldChar w:fldCharType="begin"/>
            </w:r>
            <w:r>
              <w:instrText xml:space="preserve"> HYPERLINK "1.1.2.2" </w:instrText>
            </w:r>
            <w:r>
              <w:fldChar w:fldCharType="separate"/>
            </w:r>
            <w:r>
              <w:rPr>
                <w:spacing w:val="1"/>
                <w:sz w:val="20"/>
                <w:szCs w:val="20"/>
              </w:rPr>
              <w:t>1.1.2.2</w:t>
            </w:r>
            <w:r>
              <w:rPr>
                <w:spacing w:val="1"/>
                <w:sz w:val="20"/>
                <w:szCs w:val="20"/>
              </w:rPr>
              <w:fldChar w:fldCharType="end"/>
            </w:r>
          </w:p>
        </w:tc>
        <w:tc>
          <w:tcPr>
            <w:tcW w:w="7351" w:type="dxa"/>
            <w:vAlign w:val="top"/>
          </w:tcPr>
          <w:p>
            <w:pPr>
              <w:pStyle w:val="17"/>
              <w:spacing w:before="122" w:line="273" w:lineRule="exact"/>
              <w:ind w:left="62"/>
              <w:rPr>
                <w:rFonts w:hint="eastAsia" w:eastAsia="宋体"/>
                <w:sz w:val="20"/>
                <w:szCs w:val="20"/>
                <w:lang w:eastAsia="zh-CN"/>
              </w:rPr>
            </w:pPr>
            <w:r>
              <w:rPr>
                <w:spacing w:val="4"/>
                <w:position w:val="4"/>
                <w:sz w:val="20"/>
                <w:szCs w:val="20"/>
              </w:rPr>
              <w:t>发包人：</w:t>
            </w:r>
            <w:r>
              <w:rPr>
                <w:rFonts w:hint="eastAsia"/>
                <w:spacing w:val="4"/>
                <w:position w:val="4"/>
                <w:sz w:val="20"/>
                <w:szCs w:val="20"/>
                <w:lang w:eastAsia="zh-CN"/>
              </w:rPr>
              <w:t>阳西县程村镇人民政府</w:t>
            </w:r>
          </w:p>
          <w:p>
            <w:pPr>
              <w:pStyle w:val="17"/>
              <w:spacing w:line="237" w:lineRule="auto"/>
              <w:ind w:left="58"/>
              <w:rPr>
                <w:sz w:val="20"/>
                <w:szCs w:val="20"/>
              </w:rPr>
            </w:pPr>
            <w:r>
              <w:rPr>
                <w:spacing w:val="3"/>
                <w:sz w:val="20"/>
                <w:szCs w:val="20"/>
              </w:rPr>
              <w:t>地址：</w:t>
            </w:r>
            <w:r>
              <w:rPr>
                <w:rFonts w:hint="eastAsia"/>
                <w:spacing w:val="3"/>
                <w:sz w:val="20"/>
                <w:szCs w:val="20"/>
                <w:lang w:val="en-US" w:eastAsia="zh-CN"/>
              </w:rPr>
              <w:t xml:space="preserve">                             </w:t>
            </w:r>
            <w:r>
              <w:rPr>
                <w:spacing w:val="2"/>
                <w:sz w:val="20"/>
                <w:szCs w:val="20"/>
              </w:rPr>
              <w:t>邮政编码：</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731" w:hRule="atLeast"/>
        </w:trPr>
        <w:tc>
          <w:tcPr>
            <w:tcW w:w="709" w:type="dxa"/>
            <w:vAlign w:val="top"/>
          </w:tcPr>
          <w:p>
            <w:pPr>
              <w:pStyle w:val="17"/>
              <w:spacing w:before="292" w:line="189" w:lineRule="auto"/>
              <w:ind w:left="310"/>
              <w:rPr>
                <w:sz w:val="20"/>
                <w:szCs w:val="20"/>
              </w:rPr>
            </w:pPr>
            <w:r>
              <w:rPr>
                <w:sz w:val="20"/>
                <w:szCs w:val="20"/>
              </w:rPr>
              <w:t>2</w:t>
            </w:r>
          </w:p>
        </w:tc>
        <w:tc>
          <w:tcPr>
            <w:tcW w:w="1244" w:type="dxa"/>
            <w:vAlign w:val="top"/>
          </w:tcPr>
          <w:p>
            <w:pPr>
              <w:pStyle w:val="17"/>
              <w:spacing w:before="291" w:line="190" w:lineRule="auto"/>
              <w:ind w:left="274"/>
              <w:rPr>
                <w:sz w:val="20"/>
                <w:szCs w:val="20"/>
              </w:rPr>
            </w:pPr>
            <w:r>
              <w:fldChar w:fldCharType="begin"/>
            </w:r>
            <w:r>
              <w:instrText xml:space="preserve"> HYPERLINK "1.1.2.6" </w:instrText>
            </w:r>
            <w:r>
              <w:fldChar w:fldCharType="separate"/>
            </w:r>
            <w:r>
              <w:rPr>
                <w:spacing w:val="1"/>
                <w:sz w:val="20"/>
                <w:szCs w:val="20"/>
              </w:rPr>
              <w:t>1.1.2.6</w:t>
            </w:r>
            <w:r>
              <w:rPr>
                <w:spacing w:val="1"/>
                <w:sz w:val="20"/>
                <w:szCs w:val="20"/>
              </w:rPr>
              <w:fldChar w:fldCharType="end"/>
            </w:r>
          </w:p>
        </w:tc>
        <w:tc>
          <w:tcPr>
            <w:tcW w:w="7351" w:type="dxa"/>
            <w:vAlign w:val="top"/>
          </w:tcPr>
          <w:p>
            <w:pPr>
              <w:pStyle w:val="17"/>
              <w:spacing w:before="125" w:line="271" w:lineRule="exact"/>
              <w:ind w:left="59"/>
              <w:rPr>
                <w:sz w:val="20"/>
                <w:szCs w:val="20"/>
              </w:rPr>
            </w:pPr>
            <w:r>
              <w:rPr>
                <w:spacing w:val="4"/>
                <w:position w:val="4"/>
                <w:sz w:val="20"/>
                <w:szCs w:val="20"/>
              </w:rPr>
              <w:t>监理人：</w:t>
            </w:r>
          </w:p>
          <w:p>
            <w:pPr>
              <w:pStyle w:val="17"/>
              <w:spacing w:line="237" w:lineRule="auto"/>
              <w:ind w:left="58"/>
              <w:rPr>
                <w:sz w:val="20"/>
                <w:szCs w:val="20"/>
              </w:rPr>
            </w:pPr>
            <w:r>
              <w:rPr>
                <w:spacing w:val="3"/>
                <w:sz w:val="20"/>
                <w:szCs w:val="20"/>
              </w:rPr>
              <w:t>地址：</w:t>
            </w:r>
            <w:r>
              <w:rPr>
                <w:rFonts w:hint="eastAsia"/>
                <w:spacing w:val="3"/>
                <w:sz w:val="20"/>
                <w:szCs w:val="20"/>
                <w:lang w:val="en-US" w:eastAsia="zh-CN"/>
              </w:rPr>
              <w:t xml:space="preserve">                             </w:t>
            </w:r>
            <w:r>
              <w:rPr>
                <w:spacing w:val="2"/>
                <w:sz w:val="20"/>
                <w:szCs w:val="20"/>
              </w:rPr>
              <w:t>邮政编码：</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732" w:hRule="atLeast"/>
        </w:trPr>
        <w:tc>
          <w:tcPr>
            <w:tcW w:w="709" w:type="dxa"/>
            <w:vAlign w:val="top"/>
          </w:tcPr>
          <w:p>
            <w:pPr>
              <w:pStyle w:val="17"/>
              <w:spacing w:before="293" w:line="189" w:lineRule="auto"/>
              <w:ind w:left="312"/>
              <w:rPr>
                <w:sz w:val="20"/>
                <w:szCs w:val="20"/>
              </w:rPr>
            </w:pPr>
            <w:r>
              <w:rPr>
                <w:sz w:val="20"/>
                <w:szCs w:val="20"/>
              </w:rPr>
              <w:t>3</w:t>
            </w:r>
          </w:p>
        </w:tc>
        <w:tc>
          <w:tcPr>
            <w:tcW w:w="1244" w:type="dxa"/>
            <w:vAlign w:val="top"/>
          </w:tcPr>
          <w:p>
            <w:pPr>
              <w:pStyle w:val="17"/>
              <w:spacing w:before="292" w:line="190" w:lineRule="auto"/>
              <w:ind w:left="221"/>
              <w:rPr>
                <w:sz w:val="20"/>
                <w:szCs w:val="20"/>
              </w:rPr>
            </w:pPr>
            <w:r>
              <w:fldChar w:fldCharType="begin"/>
            </w:r>
            <w:r>
              <w:instrText xml:space="preserve"> HYPERLINK "1.1.2.10" </w:instrText>
            </w:r>
            <w:r>
              <w:fldChar w:fldCharType="separate"/>
            </w:r>
            <w:r>
              <w:rPr>
                <w:spacing w:val="1"/>
                <w:sz w:val="20"/>
                <w:szCs w:val="20"/>
              </w:rPr>
              <w:t>1.1.2.10</w:t>
            </w:r>
            <w:r>
              <w:rPr>
                <w:spacing w:val="1"/>
                <w:sz w:val="20"/>
                <w:szCs w:val="20"/>
              </w:rPr>
              <w:fldChar w:fldCharType="end"/>
            </w:r>
          </w:p>
        </w:tc>
        <w:tc>
          <w:tcPr>
            <w:tcW w:w="7351" w:type="dxa"/>
            <w:vAlign w:val="top"/>
          </w:tcPr>
          <w:p>
            <w:pPr>
              <w:pStyle w:val="17"/>
              <w:spacing w:before="126" w:line="271" w:lineRule="exact"/>
              <w:ind w:left="58"/>
              <w:rPr>
                <w:sz w:val="20"/>
                <w:szCs w:val="20"/>
              </w:rPr>
            </w:pPr>
            <w:r>
              <w:rPr>
                <w:spacing w:val="5"/>
                <w:position w:val="4"/>
                <w:sz w:val="20"/>
                <w:szCs w:val="20"/>
              </w:rPr>
              <w:t>试验人：</w:t>
            </w:r>
          </w:p>
          <w:p>
            <w:pPr>
              <w:pStyle w:val="17"/>
              <w:spacing w:line="237" w:lineRule="auto"/>
              <w:ind w:left="58"/>
              <w:rPr>
                <w:sz w:val="20"/>
                <w:szCs w:val="20"/>
              </w:rPr>
            </w:pPr>
            <w:r>
              <w:rPr>
                <w:spacing w:val="3"/>
                <w:sz w:val="20"/>
                <w:szCs w:val="20"/>
              </w:rPr>
              <w:t>地址：</w:t>
            </w:r>
            <w:r>
              <w:rPr>
                <w:rFonts w:hint="eastAsia"/>
                <w:spacing w:val="3"/>
                <w:sz w:val="20"/>
                <w:szCs w:val="20"/>
                <w:lang w:val="en-US" w:eastAsia="zh-CN"/>
              </w:rPr>
              <w:t xml:space="preserve">                             </w:t>
            </w:r>
            <w:r>
              <w:rPr>
                <w:spacing w:val="2"/>
                <w:sz w:val="20"/>
                <w:szCs w:val="20"/>
              </w:rPr>
              <w:t>邮政编码：</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732" w:hRule="atLeast"/>
        </w:trPr>
        <w:tc>
          <w:tcPr>
            <w:tcW w:w="709" w:type="dxa"/>
            <w:vAlign w:val="top"/>
          </w:tcPr>
          <w:p>
            <w:pPr>
              <w:pStyle w:val="17"/>
              <w:spacing w:before="293" w:line="189" w:lineRule="auto"/>
              <w:ind w:left="307"/>
              <w:rPr>
                <w:sz w:val="20"/>
                <w:szCs w:val="20"/>
              </w:rPr>
            </w:pPr>
            <w:r>
              <w:rPr>
                <w:sz w:val="20"/>
                <w:szCs w:val="20"/>
              </w:rPr>
              <w:t>4</w:t>
            </w:r>
          </w:p>
        </w:tc>
        <w:tc>
          <w:tcPr>
            <w:tcW w:w="1244" w:type="dxa"/>
            <w:vAlign w:val="top"/>
          </w:tcPr>
          <w:p>
            <w:pPr>
              <w:pStyle w:val="17"/>
              <w:spacing w:before="292" w:line="190" w:lineRule="auto"/>
              <w:ind w:left="274"/>
              <w:rPr>
                <w:sz w:val="20"/>
                <w:szCs w:val="20"/>
              </w:rPr>
            </w:pPr>
            <w:r>
              <w:fldChar w:fldCharType="begin"/>
            </w:r>
            <w:r>
              <w:instrText xml:space="preserve"> HYPERLINK "1.1.4.5" </w:instrText>
            </w:r>
            <w:r>
              <w:fldChar w:fldCharType="separate"/>
            </w:r>
            <w:r>
              <w:rPr>
                <w:spacing w:val="1"/>
                <w:sz w:val="20"/>
                <w:szCs w:val="20"/>
              </w:rPr>
              <w:t>1.1.4.5</w:t>
            </w:r>
            <w:r>
              <w:rPr>
                <w:spacing w:val="1"/>
                <w:sz w:val="20"/>
                <w:szCs w:val="20"/>
              </w:rPr>
              <w:fldChar w:fldCharType="end"/>
            </w:r>
          </w:p>
        </w:tc>
        <w:tc>
          <w:tcPr>
            <w:tcW w:w="7351" w:type="dxa"/>
            <w:vAlign w:val="top"/>
          </w:tcPr>
          <w:p>
            <w:pPr>
              <w:pStyle w:val="17"/>
              <w:spacing w:before="108" w:line="247" w:lineRule="auto"/>
              <w:ind w:left="58" w:right="54"/>
              <w:rPr>
                <w:sz w:val="20"/>
                <w:szCs w:val="20"/>
              </w:rPr>
            </w:pPr>
            <w:r>
              <w:rPr>
                <w:spacing w:val="5"/>
                <w:sz w:val="20"/>
                <w:szCs w:val="20"/>
              </w:rPr>
              <w:t>缺陷责任期：</w:t>
            </w:r>
            <w:r>
              <w:rPr>
                <w:spacing w:val="-47"/>
                <w:sz w:val="20"/>
                <w:szCs w:val="20"/>
              </w:rPr>
              <w:t xml:space="preserve"> </w:t>
            </w:r>
            <w:r>
              <w:rPr>
                <w:spacing w:val="5"/>
                <w:sz w:val="20"/>
                <w:szCs w:val="20"/>
              </w:rPr>
              <w:t>自实际交工日期起计算</w:t>
            </w:r>
            <w:r>
              <w:rPr>
                <w:rFonts w:hint="eastAsia"/>
                <w:spacing w:val="5"/>
                <w:sz w:val="20"/>
                <w:szCs w:val="20"/>
                <w:u w:val="single" w:color="010101"/>
                <w:lang w:val="en-US" w:eastAsia="zh-CN"/>
              </w:rPr>
              <w:t>2</w:t>
            </w:r>
            <w:r>
              <w:rPr>
                <w:spacing w:val="-91"/>
                <w:sz w:val="20"/>
                <w:szCs w:val="20"/>
              </w:rPr>
              <w:t xml:space="preserve"> </w:t>
            </w:r>
            <w:r>
              <w:rPr>
                <w:spacing w:val="5"/>
                <w:sz w:val="20"/>
                <w:szCs w:val="20"/>
              </w:rPr>
              <w:t>年</w:t>
            </w:r>
            <w:r>
              <w:rPr>
                <w:spacing w:val="5"/>
                <w:position w:val="10"/>
                <w:sz w:val="10"/>
                <w:szCs w:val="10"/>
              </w:rPr>
              <w:t>①</w:t>
            </w:r>
            <w:r>
              <w:rPr>
                <w:spacing w:val="-76"/>
                <w:sz w:val="20"/>
                <w:szCs w:val="20"/>
                <w:u w:val="none" w:color="auto"/>
              </w:rPr>
              <w:t xml:space="preserve"> </w:t>
            </w:r>
            <w:r>
              <w:rPr>
                <w:spacing w:val="9"/>
                <w:sz w:val="20"/>
                <w:szCs w:val="20"/>
                <w:u w:val="none" w:color="auto"/>
              </w:rPr>
              <w:t>。</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732" w:hRule="atLeast"/>
        </w:trPr>
        <w:tc>
          <w:tcPr>
            <w:tcW w:w="709" w:type="dxa"/>
            <w:vAlign w:val="top"/>
          </w:tcPr>
          <w:p>
            <w:pPr>
              <w:pStyle w:val="17"/>
              <w:spacing w:before="295" w:line="187" w:lineRule="auto"/>
              <w:ind w:left="312"/>
              <w:rPr>
                <w:sz w:val="20"/>
                <w:szCs w:val="20"/>
              </w:rPr>
            </w:pPr>
            <w:r>
              <w:rPr>
                <w:sz w:val="20"/>
                <w:szCs w:val="20"/>
              </w:rPr>
              <w:t>5</w:t>
            </w:r>
          </w:p>
        </w:tc>
        <w:tc>
          <w:tcPr>
            <w:tcW w:w="1244" w:type="dxa"/>
            <w:vAlign w:val="top"/>
          </w:tcPr>
          <w:p>
            <w:pPr>
              <w:pStyle w:val="17"/>
              <w:spacing w:before="292" w:line="190" w:lineRule="auto"/>
              <w:ind w:left="380"/>
              <w:rPr>
                <w:sz w:val="20"/>
                <w:szCs w:val="20"/>
              </w:rPr>
            </w:pPr>
            <w:r>
              <w:rPr>
                <w:sz w:val="20"/>
                <w:szCs w:val="20"/>
              </w:rPr>
              <w:t>1.6.3</w:t>
            </w:r>
          </w:p>
        </w:tc>
        <w:tc>
          <w:tcPr>
            <w:tcW w:w="7351" w:type="dxa"/>
            <w:vAlign w:val="top"/>
          </w:tcPr>
          <w:p>
            <w:pPr>
              <w:pStyle w:val="17"/>
              <w:spacing w:before="125" w:line="239" w:lineRule="auto"/>
              <w:ind w:left="61" w:right="157" w:firstLine="17"/>
              <w:rPr>
                <w:sz w:val="20"/>
                <w:szCs w:val="20"/>
              </w:rPr>
            </w:pPr>
            <w:r>
              <w:rPr>
                <w:spacing w:val="9"/>
                <w:sz w:val="20"/>
                <w:szCs w:val="20"/>
              </w:rPr>
              <w:t>图纸需要修改和补充的，应由监理人取得发包人同意后，在该工程或工程相应</w:t>
            </w:r>
            <w:r>
              <w:rPr>
                <w:spacing w:val="1"/>
                <w:sz w:val="20"/>
                <w:szCs w:val="20"/>
              </w:rPr>
              <w:t xml:space="preserve"> </w:t>
            </w:r>
            <w:r>
              <w:rPr>
                <w:spacing w:val="7"/>
                <w:sz w:val="20"/>
                <w:szCs w:val="20"/>
              </w:rPr>
              <w:t>部位施工前</w:t>
            </w:r>
            <w:r>
              <w:rPr>
                <w:spacing w:val="15"/>
                <w:sz w:val="20"/>
                <w:szCs w:val="20"/>
                <w:u w:val="single" w:color="010101"/>
              </w:rPr>
              <w:t xml:space="preserve">  </w:t>
            </w:r>
            <w:r>
              <w:rPr>
                <w:rFonts w:hint="eastAsia"/>
                <w:spacing w:val="15"/>
                <w:sz w:val="20"/>
                <w:szCs w:val="20"/>
                <w:u w:val="single" w:color="010101"/>
                <w:lang w:val="en-US" w:eastAsia="zh-CN"/>
              </w:rPr>
              <w:t>7</w:t>
            </w:r>
            <w:r>
              <w:rPr>
                <w:spacing w:val="15"/>
                <w:sz w:val="20"/>
                <w:szCs w:val="20"/>
                <w:u w:val="single" w:color="010101"/>
              </w:rPr>
              <w:t xml:space="preserve">  </w:t>
            </w:r>
            <w:r>
              <w:rPr>
                <w:spacing w:val="-82"/>
                <w:sz w:val="20"/>
                <w:szCs w:val="20"/>
              </w:rPr>
              <w:t xml:space="preserve"> </w:t>
            </w:r>
            <w:r>
              <w:rPr>
                <w:spacing w:val="7"/>
                <w:sz w:val="20"/>
                <w:szCs w:val="20"/>
              </w:rPr>
              <w:t>天签发图纸修改图给承包人。</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732" w:hRule="atLeast"/>
        </w:trPr>
        <w:tc>
          <w:tcPr>
            <w:tcW w:w="709" w:type="dxa"/>
            <w:vAlign w:val="top"/>
          </w:tcPr>
          <w:p>
            <w:pPr>
              <w:pStyle w:val="17"/>
              <w:spacing w:before="295" w:line="189" w:lineRule="auto"/>
              <w:ind w:left="309"/>
              <w:rPr>
                <w:sz w:val="20"/>
                <w:szCs w:val="20"/>
              </w:rPr>
            </w:pPr>
            <w:r>
              <w:rPr>
                <w:sz w:val="20"/>
                <w:szCs w:val="20"/>
              </w:rPr>
              <w:t>6</w:t>
            </w:r>
          </w:p>
        </w:tc>
        <w:tc>
          <w:tcPr>
            <w:tcW w:w="1244" w:type="dxa"/>
            <w:vAlign w:val="top"/>
          </w:tcPr>
          <w:p>
            <w:pPr>
              <w:pStyle w:val="17"/>
              <w:spacing w:before="294" w:line="190" w:lineRule="auto"/>
              <w:ind w:left="368"/>
              <w:rPr>
                <w:sz w:val="20"/>
                <w:szCs w:val="20"/>
              </w:rPr>
            </w:pPr>
            <w:r>
              <w:rPr>
                <w:spacing w:val="2"/>
                <w:sz w:val="20"/>
                <w:szCs w:val="20"/>
              </w:rPr>
              <w:t>3.1.1</w:t>
            </w:r>
          </w:p>
        </w:tc>
        <w:tc>
          <w:tcPr>
            <w:tcW w:w="7351" w:type="dxa"/>
            <w:vAlign w:val="top"/>
          </w:tcPr>
          <w:p>
            <w:pPr>
              <w:pStyle w:val="17"/>
              <w:spacing w:before="125" w:line="228" w:lineRule="auto"/>
              <w:ind w:left="59"/>
              <w:rPr>
                <w:sz w:val="20"/>
                <w:szCs w:val="20"/>
              </w:rPr>
            </w:pPr>
            <w:r>
              <w:rPr>
                <w:spacing w:val="9"/>
                <w:sz w:val="20"/>
                <w:szCs w:val="20"/>
              </w:rPr>
              <w:t>监理人在行使下列权力前需要经发包人事先批准：</w:t>
            </w:r>
          </w:p>
          <w:p>
            <w:pPr>
              <w:pStyle w:val="17"/>
              <w:spacing w:before="24" w:line="228" w:lineRule="auto"/>
              <w:ind w:left="95"/>
              <w:rPr>
                <w:sz w:val="20"/>
                <w:szCs w:val="20"/>
              </w:rPr>
            </w:pPr>
            <w:r>
              <w:rPr>
                <w:spacing w:val="7"/>
                <w:sz w:val="20"/>
                <w:szCs w:val="20"/>
              </w:rPr>
              <w:t>(6)根据第 15.3 款发出的变更指示，均需要经发包人</w:t>
            </w:r>
            <w:r>
              <w:rPr>
                <w:spacing w:val="6"/>
                <w:sz w:val="20"/>
                <w:szCs w:val="20"/>
              </w:rPr>
              <w:t>事先批准。</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732" w:hRule="atLeast"/>
        </w:trPr>
        <w:tc>
          <w:tcPr>
            <w:tcW w:w="709" w:type="dxa"/>
            <w:vAlign w:val="top"/>
          </w:tcPr>
          <w:p>
            <w:pPr>
              <w:pStyle w:val="17"/>
              <w:spacing w:before="297" w:line="187" w:lineRule="auto"/>
              <w:ind w:left="312"/>
              <w:rPr>
                <w:sz w:val="20"/>
                <w:szCs w:val="20"/>
              </w:rPr>
            </w:pPr>
            <w:r>
              <w:rPr>
                <w:sz w:val="20"/>
                <w:szCs w:val="20"/>
              </w:rPr>
              <w:t>7</w:t>
            </w:r>
          </w:p>
        </w:tc>
        <w:tc>
          <w:tcPr>
            <w:tcW w:w="1244" w:type="dxa"/>
            <w:vAlign w:val="top"/>
          </w:tcPr>
          <w:p>
            <w:pPr>
              <w:pStyle w:val="17"/>
              <w:spacing w:before="261" w:line="231" w:lineRule="auto"/>
              <w:ind w:left="205"/>
              <w:rPr>
                <w:sz w:val="20"/>
                <w:szCs w:val="20"/>
              </w:rPr>
            </w:pPr>
            <w:r>
              <w:rPr>
                <w:spacing w:val="4"/>
                <w:sz w:val="20"/>
                <w:szCs w:val="20"/>
              </w:rPr>
              <w:t>4.6.3(1)</w:t>
            </w:r>
          </w:p>
        </w:tc>
        <w:tc>
          <w:tcPr>
            <w:tcW w:w="7351" w:type="dxa"/>
            <w:vAlign w:val="top"/>
          </w:tcPr>
          <w:p>
            <w:pPr>
              <w:pStyle w:val="17"/>
              <w:spacing w:before="125" w:line="239" w:lineRule="auto"/>
              <w:ind w:left="59" w:right="54" w:firstLine="10"/>
              <w:rPr>
                <w:sz w:val="20"/>
                <w:szCs w:val="20"/>
              </w:rPr>
            </w:pPr>
            <w:r>
              <w:rPr>
                <w:spacing w:val="11"/>
                <w:sz w:val="20"/>
                <w:szCs w:val="20"/>
                <w:highlight w:val="none"/>
              </w:rPr>
              <w:t>需缴纳违约金金额：项目经理</w:t>
            </w:r>
            <w:r>
              <w:rPr>
                <w:spacing w:val="-99"/>
                <w:sz w:val="20"/>
                <w:szCs w:val="20"/>
                <w:highlight w:val="none"/>
              </w:rPr>
              <w:t xml:space="preserve"> </w:t>
            </w:r>
            <w:r>
              <w:rPr>
                <w:rFonts w:hint="eastAsia"/>
                <w:spacing w:val="8"/>
                <w:sz w:val="20"/>
                <w:szCs w:val="20"/>
                <w:highlight w:val="none"/>
                <w:u w:val="single" w:color="auto"/>
                <w:lang w:val="en-US" w:eastAsia="zh-CN"/>
              </w:rPr>
              <w:t>1</w:t>
            </w:r>
            <w:r>
              <w:rPr>
                <w:spacing w:val="11"/>
                <w:sz w:val="20"/>
                <w:szCs w:val="20"/>
                <w:highlight w:val="none"/>
              </w:rPr>
              <w:t>万元/人次，</w:t>
            </w:r>
            <w:r>
              <w:rPr>
                <w:spacing w:val="10"/>
                <w:sz w:val="20"/>
                <w:szCs w:val="20"/>
                <w:highlight w:val="none"/>
              </w:rPr>
              <w:t>总工程师</w:t>
            </w:r>
            <w:r>
              <w:rPr>
                <w:spacing w:val="-95"/>
                <w:sz w:val="20"/>
                <w:szCs w:val="20"/>
                <w:highlight w:val="none"/>
              </w:rPr>
              <w:t xml:space="preserve"> </w:t>
            </w:r>
            <w:r>
              <w:rPr>
                <w:rFonts w:hint="eastAsia"/>
                <w:spacing w:val="8"/>
                <w:sz w:val="20"/>
                <w:szCs w:val="20"/>
                <w:highlight w:val="none"/>
                <w:u w:val="single" w:color="auto"/>
                <w:lang w:val="en-US" w:eastAsia="zh-CN"/>
              </w:rPr>
              <w:t>1</w:t>
            </w:r>
            <w:r>
              <w:rPr>
                <w:spacing w:val="-87"/>
                <w:sz w:val="20"/>
                <w:szCs w:val="20"/>
                <w:highlight w:val="none"/>
              </w:rPr>
              <w:t xml:space="preserve"> </w:t>
            </w:r>
            <w:r>
              <w:rPr>
                <w:spacing w:val="10"/>
                <w:sz w:val="20"/>
                <w:szCs w:val="20"/>
                <w:highlight w:val="none"/>
              </w:rPr>
              <w:t>万元/人次，其他主</w:t>
            </w:r>
            <w:r>
              <w:rPr>
                <w:sz w:val="20"/>
                <w:szCs w:val="20"/>
                <w:highlight w:val="none"/>
              </w:rPr>
              <w:t xml:space="preserve"> </w:t>
            </w:r>
            <w:r>
              <w:rPr>
                <w:spacing w:val="6"/>
                <w:sz w:val="20"/>
                <w:szCs w:val="20"/>
                <w:highlight w:val="none"/>
              </w:rPr>
              <w:t>要管理人员</w:t>
            </w:r>
            <w:r>
              <w:rPr>
                <w:rFonts w:hint="eastAsia"/>
                <w:spacing w:val="6"/>
                <w:sz w:val="20"/>
                <w:szCs w:val="20"/>
                <w:highlight w:val="none"/>
                <w:u w:val="single" w:color="auto"/>
                <w:lang w:val="en-US" w:eastAsia="zh-CN"/>
              </w:rPr>
              <w:t>5000</w:t>
            </w:r>
            <w:r>
              <w:rPr>
                <w:spacing w:val="6"/>
                <w:sz w:val="20"/>
                <w:szCs w:val="20"/>
                <w:highlight w:val="none"/>
              </w:rPr>
              <w:t>元/人次。</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732" w:hRule="atLeast"/>
        </w:trPr>
        <w:tc>
          <w:tcPr>
            <w:tcW w:w="709" w:type="dxa"/>
            <w:vAlign w:val="top"/>
          </w:tcPr>
          <w:p>
            <w:pPr>
              <w:spacing w:line="295" w:lineRule="auto"/>
              <w:rPr>
                <w:rFonts w:ascii="Arial"/>
                <w:sz w:val="21"/>
              </w:rPr>
            </w:pPr>
          </w:p>
          <w:p>
            <w:pPr>
              <w:pStyle w:val="17"/>
              <w:spacing w:before="65" w:line="189" w:lineRule="auto"/>
              <w:ind w:left="308"/>
              <w:rPr>
                <w:sz w:val="20"/>
                <w:szCs w:val="20"/>
              </w:rPr>
            </w:pPr>
            <w:r>
              <w:rPr>
                <w:sz w:val="20"/>
                <w:szCs w:val="20"/>
              </w:rPr>
              <w:t>8</w:t>
            </w:r>
          </w:p>
        </w:tc>
        <w:tc>
          <w:tcPr>
            <w:tcW w:w="1244" w:type="dxa"/>
            <w:vAlign w:val="top"/>
          </w:tcPr>
          <w:p>
            <w:pPr>
              <w:spacing w:line="294" w:lineRule="auto"/>
              <w:rPr>
                <w:rFonts w:ascii="Arial"/>
                <w:sz w:val="21"/>
              </w:rPr>
            </w:pPr>
          </w:p>
          <w:p>
            <w:pPr>
              <w:pStyle w:val="17"/>
              <w:spacing w:before="65" w:line="190" w:lineRule="auto"/>
              <w:ind w:left="368"/>
              <w:rPr>
                <w:sz w:val="20"/>
                <w:szCs w:val="20"/>
              </w:rPr>
            </w:pPr>
            <w:r>
              <w:rPr>
                <w:spacing w:val="2"/>
                <w:sz w:val="20"/>
                <w:szCs w:val="20"/>
              </w:rPr>
              <w:t>5.2.1</w:t>
            </w:r>
          </w:p>
        </w:tc>
        <w:tc>
          <w:tcPr>
            <w:tcW w:w="7351" w:type="dxa"/>
            <w:vAlign w:val="top"/>
          </w:tcPr>
          <w:p>
            <w:pPr>
              <w:pStyle w:val="17"/>
              <w:spacing w:before="125" w:line="227" w:lineRule="auto"/>
              <w:ind w:left="62"/>
              <w:rPr>
                <w:sz w:val="20"/>
                <w:szCs w:val="20"/>
              </w:rPr>
            </w:pPr>
            <w:r>
              <w:rPr>
                <w:spacing w:val="6"/>
                <w:sz w:val="20"/>
                <w:szCs w:val="20"/>
              </w:rPr>
              <w:t>发包人是否提供材料或工程设备：</w:t>
            </w:r>
            <w:r>
              <w:rPr>
                <w:spacing w:val="6"/>
                <w:sz w:val="20"/>
                <w:szCs w:val="20"/>
                <w:u w:val="single" w:color="010101"/>
              </w:rPr>
              <w:t xml:space="preserve"> 否   </w:t>
            </w:r>
          </w:p>
          <w:p>
            <w:pPr>
              <w:pStyle w:val="17"/>
              <w:spacing w:before="25" w:line="227" w:lineRule="auto"/>
              <w:ind w:left="62"/>
              <w:rPr>
                <w:sz w:val="20"/>
                <w:szCs w:val="20"/>
              </w:rPr>
            </w:pPr>
            <w:r>
              <w:rPr>
                <w:spacing w:val="9"/>
                <w:sz w:val="20"/>
                <w:szCs w:val="20"/>
              </w:rPr>
              <w:t>如发包人负责提供部分材料或工程设备，相关规定如下：</w:t>
            </w:r>
            <w:r>
              <w:rPr>
                <w:sz w:val="20"/>
                <w:szCs w:val="20"/>
                <w:u w:val="single" w:color="010101"/>
              </w:rPr>
              <w:t xml:space="preserve">            </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732" w:hRule="atLeast"/>
        </w:trPr>
        <w:tc>
          <w:tcPr>
            <w:tcW w:w="709" w:type="dxa"/>
            <w:vAlign w:val="top"/>
          </w:tcPr>
          <w:p>
            <w:pPr>
              <w:pStyle w:val="17"/>
              <w:spacing w:before="294" w:line="189" w:lineRule="auto"/>
              <w:ind w:left="308"/>
              <w:rPr>
                <w:sz w:val="20"/>
                <w:szCs w:val="20"/>
              </w:rPr>
            </w:pPr>
            <w:r>
              <w:rPr>
                <w:sz w:val="20"/>
                <w:szCs w:val="20"/>
              </w:rPr>
              <w:t>9</w:t>
            </w:r>
          </w:p>
        </w:tc>
        <w:tc>
          <w:tcPr>
            <w:tcW w:w="1244" w:type="dxa"/>
            <w:vAlign w:val="top"/>
          </w:tcPr>
          <w:p>
            <w:pPr>
              <w:pStyle w:val="17"/>
              <w:spacing w:before="294" w:line="189" w:lineRule="auto"/>
              <w:ind w:left="469"/>
              <w:rPr>
                <w:sz w:val="20"/>
                <w:szCs w:val="20"/>
              </w:rPr>
            </w:pPr>
            <w:r>
              <w:rPr>
                <w:spacing w:val="1"/>
                <w:sz w:val="20"/>
                <w:szCs w:val="20"/>
              </w:rPr>
              <w:t>6.2</w:t>
            </w:r>
          </w:p>
        </w:tc>
        <w:tc>
          <w:tcPr>
            <w:tcW w:w="7351" w:type="dxa"/>
            <w:vAlign w:val="top"/>
          </w:tcPr>
          <w:p>
            <w:pPr>
              <w:pStyle w:val="17"/>
              <w:spacing w:before="124" w:line="227" w:lineRule="auto"/>
              <w:ind w:left="62"/>
              <w:rPr>
                <w:sz w:val="20"/>
                <w:szCs w:val="20"/>
              </w:rPr>
            </w:pPr>
            <w:r>
              <w:rPr>
                <w:spacing w:val="6"/>
                <w:sz w:val="20"/>
                <w:szCs w:val="20"/>
              </w:rPr>
              <w:t>发包人是否提供施工设备和临时设施：</w:t>
            </w:r>
            <w:r>
              <w:rPr>
                <w:spacing w:val="6"/>
                <w:sz w:val="20"/>
                <w:szCs w:val="20"/>
                <w:u w:val="single" w:color="010101"/>
              </w:rPr>
              <w:t xml:space="preserve"> 否   </w:t>
            </w:r>
          </w:p>
          <w:p>
            <w:pPr>
              <w:pStyle w:val="17"/>
              <w:spacing w:before="25" w:line="227" w:lineRule="auto"/>
              <w:ind w:left="62"/>
              <w:rPr>
                <w:sz w:val="20"/>
                <w:szCs w:val="20"/>
              </w:rPr>
            </w:pPr>
            <w:r>
              <w:rPr>
                <w:spacing w:val="7"/>
                <w:sz w:val="20"/>
                <w:szCs w:val="20"/>
              </w:rPr>
              <w:t>如发包人负责提供部分施工设备和临时设施，相关规定如下：</w:t>
            </w:r>
            <w:r>
              <w:rPr>
                <w:spacing w:val="7"/>
                <w:sz w:val="20"/>
                <w:szCs w:val="20"/>
                <w:u w:val="single" w:color="010101"/>
              </w:rPr>
              <w:t xml:space="preserve">        </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1447" w:hRule="atLeast"/>
        </w:trPr>
        <w:tc>
          <w:tcPr>
            <w:tcW w:w="709" w:type="dxa"/>
            <w:vAlign w:val="top"/>
          </w:tcPr>
          <w:p>
            <w:pPr>
              <w:spacing w:line="291" w:lineRule="auto"/>
              <w:rPr>
                <w:rFonts w:ascii="Arial"/>
                <w:sz w:val="21"/>
              </w:rPr>
            </w:pPr>
          </w:p>
          <w:p>
            <w:pPr>
              <w:spacing w:line="291" w:lineRule="auto"/>
              <w:rPr>
                <w:rFonts w:ascii="Arial"/>
                <w:sz w:val="21"/>
              </w:rPr>
            </w:pPr>
          </w:p>
          <w:p>
            <w:pPr>
              <w:pStyle w:val="17"/>
              <w:spacing w:before="65" w:line="190" w:lineRule="auto"/>
              <w:ind w:left="270"/>
              <w:rPr>
                <w:sz w:val="20"/>
                <w:szCs w:val="20"/>
              </w:rPr>
            </w:pPr>
            <w:r>
              <w:rPr>
                <w:spacing w:val="-7"/>
                <w:sz w:val="20"/>
                <w:szCs w:val="20"/>
              </w:rPr>
              <w:t>10</w:t>
            </w:r>
          </w:p>
        </w:tc>
        <w:tc>
          <w:tcPr>
            <w:tcW w:w="1244" w:type="dxa"/>
            <w:vAlign w:val="top"/>
          </w:tcPr>
          <w:p>
            <w:pPr>
              <w:spacing w:line="291" w:lineRule="auto"/>
              <w:rPr>
                <w:rFonts w:ascii="Arial"/>
                <w:sz w:val="21"/>
              </w:rPr>
            </w:pPr>
          </w:p>
          <w:p>
            <w:pPr>
              <w:spacing w:line="291" w:lineRule="auto"/>
              <w:rPr>
                <w:rFonts w:ascii="Arial"/>
                <w:sz w:val="21"/>
              </w:rPr>
            </w:pPr>
          </w:p>
          <w:p>
            <w:pPr>
              <w:pStyle w:val="17"/>
              <w:spacing w:before="65" w:line="190" w:lineRule="auto"/>
              <w:ind w:left="365"/>
              <w:rPr>
                <w:sz w:val="20"/>
                <w:szCs w:val="20"/>
              </w:rPr>
            </w:pPr>
            <w:r>
              <w:rPr>
                <w:spacing w:val="3"/>
                <w:sz w:val="20"/>
                <w:szCs w:val="20"/>
              </w:rPr>
              <w:t>8.1.1</w:t>
            </w:r>
          </w:p>
        </w:tc>
        <w:tc>
          <w:tcPr>
            <w:tcW w:w="7351" w:type="dxa"/>
            <w:vAlign w:val="top"/>
          </w:tcPr>
          <w:p>
            <w:pPr>
              <w:pStyle w:val="17"/>
              <w:spacing w:before="211" w:line="239" w:lineRule="auto"/>
              <w:ind w:left="58" w:right="54" w:firstLine="3"/>
              <w:rPr>
                <w:sz w:val="20"/>
                <w:szCs w:val="20"/>
                <w:u w:val="single" w:color="auto"/>
              </w:rPr>
            </w:pPr>
            <w:r>
              <w:rPr>
                <w:spacing w:val="13"/>
                <w:sz w:val="20"/>
                <w:szCs w:val="20"/>
              </w:rPr>
              <w:t>发包人提供测量基准点、基准线和水准点及其</w:t>
            </w:r>
            <w:r>
              <w:rPr>
                <w:spacing w:val="12"/>
                <w:sz w:val="20"/>
                <w:szCs w:val="20"/>
              </w:rPr>
              <w:t>书面资料的期限：</w:t>
            </w:r>
            <w:r>
              <w:rPr>
                <w:rFonts w:hint="eastAsia"/>
                <w:spacing w:val="12"/>
                <w:sz w:val="20"/>
                <w:szCs w:val="20"/>
                <w:u w:val="single" w:color="auto"/>
              </w:rPr>
              <w:t xml:space="preserve">签订施工合同后10天内 </w:t>
            </w:r>
            <w:r>
              <w:rPr>
                <w:spacing w:val="11"/>
                <w:sz w:val="20"/>
                <w:szCs w:val="20"/>
                <w:u w:val="single" w:color="auto"/>
              </w:rPr>
              <w:t>。</w:t>
            </w:r>
          </w:p>
          <w:p>
            <w:pPr>
              <w:pStyle w:val="17"/>
              <w:spacing w:before="24"/>
              <w:ind w:left="58" w:right="157"/>
              <w:rPr>
                <w:sz w:val="20"/>
                <w:szCs w:val="20"/>
              </w:rPr>
            </w:pPr>
            <w:r>
              <w:rPr>
                <w:spacing w:val="10"/>
                <w:sz w:val="20"/>
                <w:szCs w:val="20"/>
              </w:rPr>
              <w:t>承包人将施工控制网资料报送监理人审批的期限：</w:t>
            </w:r>
            <w:r>
              <w:rPr>
                <w:rFonts w:hint="eastAsia"/>
                <w:spacing w:val="10"/>
                <w:sz w:val="20"/>
                <w:szCs w:val="20"/>
                <w:u w:val="single"/>
              </w:rPr>
              <w:t>开工前14天</w:t>
            </w:r>
            <w:r>
              <w:rPr>
                <w:spacing w:val="11"/>
                <w:sz w:val="20"/>
                <w:szCs w:val="20"/>
                <w:u w:val="single" w:color="auto"/>
              </w:rPr>
              <w:t>。</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939" w:hRule="atLeast"/>
        </w:trPr>
        <w:tc>
          <w:tcPr>
            <w:tcW w:w="709" w:type="dxa"/>
            <w:vAlign w:val="top"/>
          </w:tcPr>
          <w:p>
            <w:pPr>
              <w:spacing w:line="263" w:lineRule="auto"/>
              <w:rPr>
                <w:rFonts w:ascii="Arial"/>
                <w:sz w:val="21"/>
              </w:rPr>
            </w:pPr>
          </w:p>
          <w:p>
            <w:pPr>
              <w:pStyle w:val="17"/>
              <w:spacing w:before="65" w:line="189" w:lineRule="auto"/>
              <w:ind w:left="270"/>
              <w:rPr>
                <w:sz w:val="20"/>
                <w:szCs w:val="20"/>
              </w:rPr>
            </w:pPr>
            <w:r>
              <w:rPr>
                <w:spacing w:val="-7"/>
                <w:sz w:val="20"/>
                <w:szCs w:val="20"/>
              </w:rPr>
              <w:t>11</w:t>
            </w:r>
          </w:p>
        </w:tc>
        <w:tc>
          <w:tcPr>
            <w:tcW w:w="1244" w:type="dxa"/>
            <w:vAlign w:val="top"/>
          </w:tcPr>
          <w:p>
            <w:pPr>
              <w:pStyle w:val="17"/>
              <w:spacing w:before="297"/>
              <w:ind w:left="168"/>
              <w:rPr>
                <w:sz w:val="20"/>
                <w:szCs w:val="20"/>
              </w:rPr>
            </w:pPr>
            <w:r>
              <w:rPr>
                <w:spacing w:val="1"/>
                <w:sz w:val="20"/>
                <w:szCs w:val="20"/>
              </w:rPr>
              <w:t>11.3（2）</w:t>
            </w:r>
          </w:p>
        </w:tc>
        <w:tc>
          <w:tcPr>
            <w:tcW w:w="7351" w:type="dxa"/>
            <w:vAlign w:val="top"/>
          </w:tcPr>
          <w:p>
            <w:pPr>
              <w:pStyle w:val="17"/>
              <w:spacing w:before="77" w:line="243" w:lineRule="auto"/>
              <w:ind w:left="62"/>
              <w:rPr>
                <w:sz w:val="20"/>
                <w:szCs w:val="20"/>
                <w:highlight w:val="none"/>
              </w:rPr>
            </w:pPr>
            <w:r>
              <w:rPr>
                <w:spacing w:val="8"/>
                <w:sz w:val="20"/>
                <w:szCs w:val="20"/>
                <w:highlight w:val="none"/>
              </w:rPr>
              <w:t xml:space="preserve">如顺延合同工期在 </w:t>
            </w:r>
            <w:r>
              <w:rPr>
                <w:rFonts w:hint="eastAsia"/>
                <w:spacing w:val="8"/>
                <w:sz w:val="20"/>
                <w:szCs w:val="20"/>
                <w:highlight w:val="none"/>
                <w:u w:val="single" w:color="auto"/>
                <w:lang w:val="en-US" w:eastAsia="zh-CN"/>
              </w:rPr>
              <w:t>6</w:t>
            </w:r>
            <w:r>
              <w:rPr>
                <w:spacing w:val="8"/>
                <w:sz w:val="20"/>
                <w:szCs w:val="20"/>
                <w:highlight w:val="none"/>
              </w:rPr>
              <w:t xml:space="preserve"> 个月</w:t>
            </w:r>
            <w:r>
              <w:rPr>
                <w:spacing w:val="8"/>
                <w:position w:val="10"/>
                <w:sz w:val="10"/>
                <w:szCs w:val="10"/>
                <w:highlight w:val="none"/>
              </w:rPr>
              <w:t>②</w:t>
            </w:r>
            <w:r>
              <w:rPr>
                <w:spacing w:val="8"/>
                <w:sz w:val="20"/>
                <w:szCs w:val="20"/>
                <w:highlight w:val="none"/>
              </w:rPr>
              <w:t>及以内的，发包人将不予增加费用；</w:t>
            </w:r>
          </w:p>
          <w:p>
            <w:pPr>
              <w:pStyle w:val="17"/>
              <w:spacing w:before="7" w:line="248" w:lineRule="auto"/>
              <w:ind w:left="59" w:right="51" w:firstLine="2"/>
              <w:rPr>
                <w:sz w:val="20"/>
                <w:szCs w:val="20"/>
              </w:rPr>
            </w:pPr>
            <w:r>
              <w:rPr>
                <w:spacing w:val="10"/>
                <w:sz w:val="20"/>
                <w:szCs w:val="20"/>
                <w:highlight w:val="none"/>
              </w:rPr>
              <w:t xml:space="preserve">如顺延合同工期在 </w:t>
            </w:r>
            <w:r>
              <w:rPr>
                <w:rFonts w:hint="eastAsia"/>
                <w:spacing w:val="10"/>
                <w:sz w:val="20"/>
                <w:szCs w:val="20"/>
                <w:highlight w:val="none"/>
                <w:u w:val="single" w:color="auto"/>
                <w:lang w:val="en-US" w:eastAsia="zh-CN"/>
              </w:rPr>
              <w:t>6</w:t>
            </w:r>
            <w:r>
              <w:rPr>
                <w:spacing w:val="10"/>
                <w:sz w:val="20"/>
                <w:szCs w:val="20"/>
                <w:highlight w:val="none"/>
              </w:rPr>
              <w:t xml:space="preserve"> 个月</w:t>
            </w:r>
            <w:r>
              <w:rPr>
                <w:spacing w:val="10"/>
                <w:position w:val="10"/>
                <w:sz w:val="10"/>
                <w:szCs w:val="10"/>
                <w:highlight w:val="none"/>
              </w:rPr>
              <w:t>②</w:t>
            </w:r>
            <w:r>
              <w:rPr>
                <w:position w:val="10"/>
                <w:sz w:val="10"/>
                <w:szCs w:val="10"/>
                <w:highlight w:val="none"/>
              </w:rPr>
              <w:t xml:space="preserve"> </w:t>
            </w:r>
            <w:r>
              <w:rPr>
                <w:spacing w:val="10"/>
                <w:sz w:val="20"/>
                <w:szCs w:val="20"/>
                <w:highlight w:val="none"/>
              </w:rPr>
              <w:t>以上的，发包人将按如下原则给予补偿：</w:t>
            </w:r>
            <w:r>
              <w:rPr>
                <w:spacing w:val="10"/>
                <w:sz w:val="20"/>
                <w:szCs w:val="20"/>
                <w:highlight w:val="none"/>
                <w:u w:val="single" w:color="auto"/>
              </w:rPr>
              <w:t>详见</w:t>
            </w:r>
            <w:r>
              <w:rPr>
                <w:sz w:val="20"/>
                <w:szCs w:val="20"/>
                <w:highlight w:val="none"/>
              </w:rPr>
              <w:t xml:space="preserve"> </w:t>
            </w:r>
            <w:r>
              <w:rPr>
                <w:spacing w:val="11"/>
                <w:sz w:val="20"/>
                <w:szCs w:val="20"/>
                <w:highlight w:val="none"/>
                <w:u w:val="single" w:color="auto"/>
              </w:rPr>
              <w:t>专用合同条款。</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677" w:hRule="atLeast"/>
        </w:trPr>
        <w:tc>
          <w:tcPr>
            <w:tcW w:w="709" w:type="dxa"/>
            <w:vAlign w:val="top"/>
          </w:tcPr>
          <w:p>
            <w:pPr>
              <w:pStyle w:val="17"/>
              <w:spacing w:before="199" w:line="189" w:lineRule="auto"/>
              <w:ind w:left="270"/>
              <w:rPr>
                <w:sz w:val="20"/>
                <w:szCs w:val="20"/>
              </w:rPr>
            </w:pPr>
            <w:r>
              <w:rPr>
                <w:spacing w:val="-7"/>
                <w:sz w:val="20"/>
                <w:szCs w:val="20"/>
              </w:rPr>
              <w:t>12</w:t>
            </w:r>
          </w:p>
        </w:tc>
        <w:tc>
          <w:tcPr>
            <w:tcW w:w="1244" w:type="dxa"/>
            <w:vAlign w:val="top"/>
          </w:tcPr>
          <w:p>
            <w:pPr>
              <w:pStyle w:val="17"/>
              <w:spacing w:before="234"/>
              <w:jc w:val="right"/>
              <w:rPr>
                <w:sz w:val="20"/>
                <w:szCs w:val="20"/>
              </w:rPr>
            </w:pPr>
            <w:r>
              <w:rPr>
                <w:spacing w:val="-4"/>
                <w:sz w:val="20"/>
                <w:szCs w:val="20"/>
              </w:rPr>
              <w:t>11.3（2）4）</w:t>
            </w:r>
          </w:p>
        </w:tc>
        <w:tc>
          <w:tcPr>
            <w:tcW w:w="7351" w:type="dxa"/>
            <w:vAlign w:val="top"/>
          </w:tcPr>
          <w:p>
            <w:pPr>
              <w:pStyle w:val="17"/>
              <w:spacing w:before="217" w:line="243" w:lineRule="auto"/>
              <w:ind w:left="57"/>
              <w:rPr>
                <w:sz w:val="20"/>
                <w:szCs w:val="20"/>
              </w:rPr>
            </w:pPr>
            <w:r>
              <w:rPr>
                <w:spacing w:val="8"/>
                <w:sz w:val="20"/>
                <w:szCs w:val="20"/>
                <w:highlight w:val="none"/>
              </w:rPr>
              <w:t>仅对超出</w:t>
            </w:r>
            <w:r>
              <w:rPr>
                <w:rFonts w:hint="eastAsia"/>
                <w:spacing w:val="8"/>
                <w:sz w:val="20"/>
                <w:szCs w:val="20"/>
                <w:highlight w:val="none"/>
                <w:u w:val="single"/>
                <w:lang w:val="en-US" w:eastAsia="zh-CN"/>
              </w:rPr>
              <w:t>6</w:t>
            </w:r>
            <w:r>
              <w:rPr>
                <w:spacing w:val="8"/>
                <w:sz w:val="20"/>
                <w:szCs w:val="20"/>
                <w:highlight w:val="none"/>
              </w:rPr>
              <w:t>个月以上部分进行补偿</w:t>
            </w:r>
            <w:r>
              <w:rPr>
                <w:spacing w:val="5"/>
                <w:sz w:val="20"/>
                <w:szCs w:val="20"/>
                <w:highlight w:val="none"/>
              </w:rPr>
              <w:t>。</w:t>
            </w:r>
          </w:p>
        </w:tc>
      </w:tr>
    </w:tbl>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59" w:line="231" w:lineRule="auto"/>
        <w:ind w:left="85" w:right="359" w:hanging="2"/>
        <w:rPr>
          <w:rFonts w:ascii="宋体" w:hAnsi="宋体" w:eastAsia="宋体" w:cs="宋体"/>
          <w:sz w:val="18"/>
          <w:szCs w:val="18"/>
        </w:rPr>
      </w:pPr>
      <w:r>
        <w:rPr>
          <w:rFonts w:ascii="宋体" w:hAnsi="宋体" w:eastAsia="宋体" w:cs="宋体"/>
          <w:sz w:val="18"/>
          <w:szCs w:val="18"/>
        </w:rPr>
        <w:t xml:space="preserve">① 缺陷责任期一般应为自实际交工日期起计算 </w:t>
      </w:r>
      <w:r>
        <w:rPr>
          <w:rFonts w:ascii="Times New Roman" w:hAnsi="Times New Roman" w:eastAsia="Times New Roman" w:cs="Times New Roman"/>
          <w:sz w:val="18"/>
          <w:szCs w:val="18"/>
        </w:rPr>
        <w:t xml:space="preserve">1  </w:t>
      </w:r>
      <w:r>
        <w:rPr>
          <w:rFonts w:ascii="宋体" w:hAnsi="宋体" w:eastAsia="宋体" w:cs="宋体"/>
          <w:sz w:val="18"/>
          <w:szCs w:val="18"/>
        </w:rPr>
        <w:t>年，最长不超</w:t>
      </w:r>
      <w:r>
        <w:rPr>
          <w:rFonts w:ascii="宋体" w:hAnsi="宋体" w:eastAsia="宋体" w:cs="宋体"/>
          <w:spacing w:val="-1"/>
          <w:sz w:val="18"/>
          <w:szCs w:val="18"/>
        </w:rPr>
        <w:t xml:space="preserve">过 </w:t>
      </w:r>
      <w:r>
        <w:rPr>
          <w:rFonts w:ascii="Times New Roman" w:hAnsi="Times New Roman" w:eastAsia="Times New Roman" w:cs="Times New Roman"/>
          <w:spacing w:val="-1"/>
          <w:sz w:val="18"/>
          <w:szCs w:val="18"/>
        </w:rPr>
        <w:t>2</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 xml:space="preserve">年【对绿化工程，可设置 </w:t>
      </w:r>
      <w:r>
        <w:rPr>
          <w:rFonts w:ascii="Times New Roman" w:hAnsi="Times New Roman" w:eastAsia="Times New Roman" w:cs="Times New Roman"/>
          <w:spacing w:val="-1"/>
          <w:sz w:val="18"/>
          <w:szCs w:val="18"/>
        </w:rPr>
        <w:t>6</w:t>
      </w:r>
      <w:r>
        <w:rPr>
          <w:rFonts w:ascii="Times New Roman" w:hAnsi="Times New Roman" w:eastAsia="Times New Roman" w:cs="Times New Roman"/>
          <w:spacing w:val="3"/>
          <w:sz w:val="18"/>
          <w:szCs w:val="18"/>
        </w:rPr>
        <w:t xml:space="preserve">  </w:t>
      </w:r>
      <w:r>
        <w:rPr>
          <w:rFonts w:ascii="宋体" w:hAnsi="宋体" w:eastAsia="宋体" w:cs="宋体"/>
          <w:spacing w:val="-1"/>
          <w:sz w:val="18"/>
          <w:szCs w:val="18"/>
        </w:rPr>
        <w:t>个月或以上养护</w:t>
      </w:r>
      <w:r>
        <w:rPr>
          <w:rFonts w:ascii="宋体" w:hAnsi="宋体" w:eastAsia="宋体" w:cs="宋体"/>
          <w:spacing w:val="1"/>
          <w:sz w:val="18"/>
          <w:szCs w:val="18"/>
        </w:rPr>
        <w:t xml:space="preserve"> </w:t>
      </w:r>
      <w:r>
        <w:rPr>
          <w:rFonts w:ascii="宋体" w:hAnsi="宋体" w:eastAsia="宋体" w:cs="宋体"/>
          <w:spacing w:val="-4"/>
          <w:sz w:val="18"/>
          <w:szCs w:val="18"/>
        </w:rPr>
        <w:t>期】。</w:t>
      </w:r>
    </w:p>
    <w:p>
      <w:pPr>
        <w:spacing w:before="18" w:line="217" w:lineRule="auto"/>
        <w:ind w:left="82"/>
        <w:rPr>
          <w:rFonts w:ascii="宋体" w:hAnsi="宋体" w:eastAsia="宋体" w:cs="宋体"/>
          <w:sz w:val="18"/>
          <w:szCs w:val="18"/>
        </w:rPr>
      </w:pPr>
      <w:r>
        <w:rPr>
          <w:rFonts w:ascii="宋体" w:hAnsi="宋体" w:eastAsia="宋体" w:cs="宋体"/>
          <w:spacing w:val="-1"/>
          <w:sz w:val="18"/>
          <w:szCs w:val="18"/>
        </w:rPr>
        <w:t xml:space="preserve">② 建议填写数字的范围一般为大于等于 </w:t>
      </w:r>
      <w:r>
        <w:rPr>
          <w:rFonts w:ascii="Times New Roman" w:hAnsi="Times New Roman" w:eastAsia="Times New Roman" w:cs="Times New Roman"/>
          <w:spacing w:val="-1"/>
          <w:sz w:val="18"/>
          <w:szCs w:val="18"/>
        </w:rPr>
        <w:t xml:space="preserve">3  </w:t>
      </w:r>
      <w:r>
        <w:rPr>
          <w:rFonts w:ascii="宋体" w:hAnsi="宋体" w:eastAsia="宋体" w:cs="宋体"/>
          <w:spacing w:val="-1"/>
          <w:sz w:val="18"/>
          <w:szCs w:val="18"/>
        </w:rPr>
        <w:t xml:space="preserve">小于等于 </w:t>
      </w:r>
      <w:r>
        <w:rPr>
          <w:rFonts w:ascii="Times New Roman" w:hAnsi="Times New Roman" w:eastAsia="Times New Roman" w:cs="Times New Roman"/>
          <w:spacing w:val="-1"/>
          <w:sz w:val="18"/>
          <w:szCs w:val="18"/>
        </w:rPr>
        <w:t>9</w:t>
      </w:r>
      <w:r>
        <w:rPr>
          <w:rFonts w:ascii="Times New Roman" w:hAnsi="Times New Roman" w:eastAsia="Times New Roman" w:cs="Times New Roman"/>
          <w:spacing w:val="-15"/>
          <w:sz w:val="18"/>
          <w:szCs w:val="18"/>
        </w:rPr>
        <w:t xml:space="preserve"> </w:t>
      </w:r>
      <w:r>
        <w:rPr>
          <w:rFonts w:ascii="宋体" w:hAnsi="宋体" w:eastAsia="宋体" w:cs="宋体"/>
          <w:spacing w:val="-1"/>
          <w:sz w:val="18"/>
          <w:szCs w:val="18"/>
        </w:rPr>
        <w:t>，所填数字须一致。</w:t>
      </w:r>
    </w:p>
    <w:p>
      <w:pPr>
        <w:spacing w:before="228"/>
      </w:pPr>
      <w:r>
        <mc:AlternateContent>
          <mc:Choice Requires="wps">
            <w:drawing>
              <wp:anchor distT="0" distB="0" distL="114300" distR="114300" simplePos="0" relativeHeight="251660288" behindDoc="0" locked="0" layoutInCell="0" allowOverlap="1">
                <wp:simplePos x="0" y="0"/>
                <wp:positionH relativeFrom="page">
                  <wp:posOffset>899795</wp:posOffset>
                </wp:positionH>
                <wp:positionV relativeFrom="page">
                  <wp:posOffset>8383270</wp:posOffset>
                </wp:positionV>
                <wp:extent cx="1828800" cy="0"/>
                <wp:effectExtent l="4445" t="4445" r="5080" b="5080"/>
                <wp:wrapNone/>
                <wp:docPr id="79" name="任意多边形 79"/>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660.1pt;height:0pt;width:144pt;mso-position-horizontal-relative:page;mso-position-vertical-relative:page;z-index:251660288;mso-width-relative:page;mso-height-relative:page;" filled="f" stroked="t" coordsize="2880,1" o:allowincell="f" o:gfxdata="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5x9E3WAAAADQEAAA8AAAAAAAAAAQAgAAAAIgAAAGRycy9kb3ducmV2LnhtbFBLAQIUABQAAAAI&#10;AIdO4kACBsaRKAIAAIkEAAAOAAAAAAAAAAEAIAAAACUBAABkcnMvZTJvRG9jLnhtbFBLBQYAAAAA&#10;BgAGAFkBAAC/BQAAAAA=&#10;" path="m0,0l2880,0e">
                <v:fill on="f" focussize="0,0"/>
                <v:stroke weight="0pt" color="#000000" joinstyle="bevel" endcap="square"/>
                <v:imagedata o:title=""/>
                <o:lock v:ext="edit" aspectratio="f"/>
              </v:shape>
            </w:pict>
          </mc:Fallback>
        </mc:AlternateContent>
      </w:r>
    </w:p>
    <w:tbl>
      <w:tblPr>
        <w:tblStyle w:val="16"/>
        <w:tblW w:w="9304" w:type="dxa"/>
        <w:tblInd w:w="2" w:type="dxa"/>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Layout w:type="fixed"/>
        <w:tblCellMar>
          <w:top w:w="0" w:type="dxa"/>
          <w:left w:w="0" w:type="dxa"/>
          <w:bottom w:w="0" w:type="dxa"/>
          <w:right w:w="0" w:type="dxa"/>
        </w:tblCellMar>
      </w:tblPr>
      <w:tblGrid>
        <w:gridCol w:w="709"/>
        <w:gridCol w:w="1244"/>
        <w:gridCol w:w="7351"/>
      </w:tblGrid>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343" w:hRule="atLeast"/>
        </w:trPr>
        <w:tc>
          <w:tcPr>
            <w:tcW w:w="709" w:type="dxa"/>
            <w:vAlign w:val="top"/>
          </w:tcPr>
          <w:p>
            <w:pPr>
              <w:pStyle w:val="17"/>
              <w:spacing w:before="67" w:line="229" w:lineRule="auto"/>
              <w:ind w:left="148"/>
              <w:rPr>
                <w:sz w:val="20"/>
                <w:szCs w:val="20"/>
              </w:rPr>
            </w:pPr>
            <w:r>
              <w:rPr>
                <w:spacing w:val="6"/>
                <w:sz w:val="20"/>
                <w:szCs w:val="20"/>
                <w14:textOutline w14:w="3795" w14:cap="sq" w14:cmpd="sng">
                  <w14:solidFill>
                    <w14:srgbClr w14:val="000000"/>
                  </w14:solidFill>
                  <w14:prstDash w14:val="solid"/>
                  <w14:bevel/>
                </w14:textOutline>
              </w:rPr>
              <w:t>序号</w:t>
            </w:r>
          </w:p>
        </w:tc>
        <w:tc>
          <w:tcPr>
            <w:tcW w:w="1244" w:type="dxa"/>
            <w:vAlign w:val="top"/>
          </w:tcPr>
          <w:p>
            <w:pPr>
              <w:pStyle w:val="17"/>
              <w:spacing w:before="67" w:line="228" w:lineRule="auto"/>
              <w:ind w:left="313"/>
              <w:rPr>
                <w:sz w:val="20"/>
                <w:szCs w:val="20"/>
              </w:rPr>
            </w:pPr>
            <w:r>
              <w:rPr>
                <w:spacing w:val="7"/>
                <w:sz w:val="20"/>
                <w:szCs w:val="20"/>
                <w14:textOutline w14:w="3795" w14:cap="sq" w14:cmpd="sng">
                  <w14:solidFill>
                    <w14:srgbClr w14:val="000000"/>
                  </w14:solidFill>
                  <w14:prstDash w14:val="solid"/>
                  <w14:bevel/>
                </w14:textOutline>
              </w:rPr>
              <w:t>条目号</w:t>
            </w:r>
          </w:p>
        </w:tc>
        <w:tc>
          <w:tcPr>
            <w:tcW w:w="7351" w:type="dxa"/>
            <w:vAlign w:val="top"/>
          </w:tcPr>
          <w:p>
            <w:pPr>
              <w:pStyle w:val="17"/>
              <w:spacing w:before="35" w:line="228" w:lineRule="auto"/>
              <w:ind w:left="3154"/>
              <w:rPr>
                <w:sz w:val="20"/>
                <w:szCs w:val="20"/>
              </w:rPr>
            </w:pPr>
            <w:r>
              <w:rPr>
                <w:spacing w:val="8"/>
                <w:sz w:val="20"/>
                <w:szCs w:val="20"/>
                <w14:textOutline w14:w="3795" w14:cap="sq" w14:cmpd="sng">
                  <w14:solidFill>
                    <w14:srgbClr w14:val="000000"/>
                  </w14:solidFill>
                  <w14:prstDash w14:val="solid"/>
                  <w14:bevel/>
                </w14:textOutline>
              </w:rPr>
              <w:t>信息或数据</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74" w:hRule="atLeast"/>
        </w:trPr>
        <w:tc>
          <w:tcPr>
            <w:tcW w:w="709" w:type="dxa"/>
            <w:vAlign w:val="top"/>
          </w:tcPr>
          <w:p>
            <w:pPr>
              <w:pStyle w:val="17"/>
              <w:spacing w:before="195" w:line="190" w:lineRule="auto"/>
              <w:ind w:left="270"/>
              <w:rPr>
                <w:sz w:val="20"/>
                <w:szCs w:val="20"/>
              </w:rPr>
            </w:pPr>
            <w:r>
              <w:rPr>
                <w:spacing w:val="-7"/>
                <w:sz w:val="20"/>
                <w:szCs w:val="20"/>
              </w:rPr>
              <w:t>13</w:t>
            </w:r>
          </w:p>
        </w:tc>
        <w:tc>
          <w:tcPr>
            <w:tcW w:w="1244" w:type="dxa"/>
            <w:vAlign w:val="top"/>
          </w:tcPr>
          <w:p>
            <w:pPr>
              <w:pStyle w:val="17"/>
              <w:spacing w:before="163"/>
              <w:ind w:left="168"/>
              <w:rPr>
                <w:sz w:val="20"/>
                <w:szCs w:val="20"/>
              </w:rPr>
            </w:pPr>
            <w:r>
              <w:rPr>
                <w:spacing w:val="1"/>
                <w:sz w:val="20"/>
                <w:szCs w:val="20"/>
              </w:rPr>
              <w:t>11.5（3）</w:t>
            </w:r>
          </w:p>
        </w:tc>
        <w:tc>
          <w:tcPr>
            <w:tcW w:w="7351" w:type="dxa"/>
            <w:vAlign w:val="top"/>
          </w:tcPr>
          <w:p>
            <w:pPr>
              <w:pStyle w:val="17"/>
              <w:spacing w:before="163" w:line="228" w:lineRule="auto"/>
              <w:ind w:left="57"/>
              <w:rPr>
                <w:sz w:val="20"/>
                <w:szCs w:val="20"/>
              </w:rPr>
            </w:pPr>
            <w:r>
              <w:rPr>
                <w:spacing w:val="7"/>
                <w:sz w:val="20"/>
                <w:szCs w:val="20"/>
              </w:rPr>
              <w:t>逾期交工违约金：</w:t>
            </w:r>
            <w:r>
              <w:rPr>
                <w:rFonts w:hint="eastAsia"/>
                <w:spacing w:val="7"/>
                <w:sz w:val="20"/>
                <w:szCs w:val="20"/>
                <w:u w:val="single"/>
              </w:rPr>
              <w:t>5000.00</w:t>
            </w:r>
            <w:r>
              <w:rPr>
                <w:spacing w:val="7"/>
                <w:sz w:val="20"/>
                <w:szCs w:val="20"/>
              </w:rPr>
              <w:t>元/天</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30" w:hRule="atLeast"/>
        </w:trPr>
        <w:tc>
          <w:tcPr>
            <w:tcW w:w="709" w:type="dxa"/>
            <w:vAlign w:val="top"/>
          </w:tcPr>
          <w:p>
            <w:pPr>
              <w:pStyle w:val="17"/>
              <w:spacing w:before="263" w:line="189" w:lineRule="auto"/>
              <w:ind w:left="270"/>
              <w:rPr>
                <w:sz w:val="20"/>
                <w:szCs w:val="20"/>
              </w:rPr>
            </w:pPr>
            <w:r>
              <w:rPr>
                <w:spacing w:val="-7"/>
                <w:sz w:val="20"/>
                <w:szCs w:val="20"/>
              </w:rPr>
              <w:t>14</w:t>
            </w:r>
          </w:p>
        </w:tc>
        <w:tc>
          <w:tcPr>
            <w:tcW w:w="1244" w:type="dxa"/>
            <w:vAlign w:val="top"/>
          </w:tcPr>
          <w:p>
            <w:pPr>
              <w:pStyle w:val="17"/>
              <w:spacing w:before="230"/>
              <w:ind w:left="168"/>
              <w:rPr>
                <w:sz w:val="20"/>
                <w:szCs w:val="20"/>
              </w:rPr>
            </w:pPr>
            <w:r>
              <w:rPr>
                <w:spacing w:val="1"/>
                <w:sz w:val="20"/>
                <w:szCs w:val="20"/>
              </w:rPr>
              <w:t>11.5（3）</w:t>
            </w:r>
          </w:p>
        </w:tc>
        <w:tc>
          <w:tcPr>
            <w:tcW w:w="7351" w:type="dxa"/>
            <w:vAlign w:val="top"/>
          </w:tcPr>
          <w:p>
            <w:pPr>
              <w:pStyle w:val="17"/>
              <w:spacing w:before="213" w:line="242" w:lineRule="auto"/>
              <w:ind w:left="57"/>
              <w:rPr>
                <w:sz w:val="20"/>
                <w:szCs w:val="20"/>
              </w:rPr>
            </w:pPr>
            <w:r>
              <w:rPr>
                <w:spacing w:val="8"/>
                <w:sz w:val="20"/>
                <w:szCs w:val="20"/>
              </w:rPr>
              <w:t>逾期交工违约金限额：</w:t>
            </w:r>
            <w:r>
              <w:rPr>
                <w:rFonts w:hint="eastAsia"/>
                <w:spacing w:val="8"/>
                <w:sz w:val="20"/>
                <w:szCs w:val="20"/>
                <w:u w:val="single" w:color="auto"/>
              </w:rPr>
              <w:t>10</w:t>
            </w:r>
            <w:r>
              <w:rPr>
                <w:spacing w:val="22"/>
                <w:sz w:val="20"/>
                <w:szCs w:val="20"/>
                <w:u w:val="single" w:color="auto"/>
              </w:rPr>
              <w:t xml:space="preserve"> </w:t>
            </w:r>
            <w:r>
              <w:rPr>
                <w:spacing w:val="-94"/>
                <w:sz w:val="20"/>
                <w:szCs w:val="20"/>
                <w:u w:val="single" w:color="auto"/>
              </w:rPr>
              <w:t xml:space="preserve"> </w:t>
            </w:r>
            <w:r>
              <w:rPr>
                <w:spacing w:val="8"/>
                <w:sz w:val="20"/>
                <w:szCs w:val="20"/>
              </w:rPr>
              <w:t>%签约合同价</w:t>
            </w:r>
            <w:r>
              <w:rPr>
                <w:spacing w:val="8"/>
                <w:position w:val="10"/>
                <w:sz w:val="20"/>
                <w:szCs w:val="20"/>
              </w:rPr>
              <w:t>①</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90" w:hRule="atLeast"/>
        </w:trPr>
        <w:tc>
          <w:tcPr>
            <w:tcW w:w="709" w:type="dxa"/>
            <w:vAlign w:val="top"/>
          </w:tcPr>
          <w:p>
            <w:pPr>
              <w:pStyle w:val="17"/>
              <w:spacing w:before="264" w:line="190" w:lineRule="auto"/>
              <w:ind w:left="270"/>
              <w:rPr>
                <w:sz w:val="20"/>
                <w:szCs w:val="20"/>
              </w:rPr>
            </w:pPr>
            <w:r>
              <w:rPr>
                <w:spacing w:val="-7"/>
                <w:sz w:val="20"/>
                <w:szCs w:val="20"/>
              </w:rPr>
              <w:t>15</w:t>
            </w:r>
          </w:p>
        </w:tc>
        <w:tc>
          <w:tcPr>
            <w:tcW w:w="1244" w:type="dxa"/>
            <w:vAlign w:val="top"/>
          </w:tcPr>
          <w:p>
            <w:pPr>
              <w:pStyle w:val="17"/>
              <w:spacing w:before="264" w:line="190" w:lineRule="auto"/>
              <w:ind w:left="430"/>
              <w:rPr>
                <w:sz w:val="20"/>
                <w:szCs w:val="20"/>
              </w:rPr>
            </w:pPr>
            <w:r>
              <w:rPr>
                <w:spacing w:val="-1"/>
                <w:sz w:val="20"/>
                <w:szCs w:val="20"/>
              </w:rPr>
              <w:t>11.6</w:t>
            </w:r>
          </w:p>
        </w:tc>
        <w:tc>
          <w:tcPr>
            <w:tcW w:w="7351" w:type="dxa"/>
            <w:vAlign w:val="top"/>
          </w:tcPr>
          <w:p>
            <w:pPr>
              <w:pStyle w:val="17"/>
              <w:spacing w:before="213" w:line="246" w:lineRule="auto"/>
              <w:ind w:left="59"/>
              <w:rPr>
                <w:rFonts w:hint="eastAsia" w:eastAsia="宋体"/>
                <w:sz w:val="20"/>
                <w:szCs w:val="20"/>
                <w:lang w:eastAsia="zh-CN"/>
              </w:rPr>
            </w:pPr>
            <w:r>
              <w:rPr>
                <w:spacing w:val="7"/>
                <w:sz w:val="20"/>
                <w:szCs w:val="20"/>
              </w:rPr>
              <w:t>提前交工的奖金：</w:t>
            </w:r>
            <w:r>
              <w:rPr>
                <w:rFonts w:hint="eastAsia"/>
                <w:spacing w:val="21"/>
                <w:sz w:val="20"/>
                <w:szCs w:val="20"/>
                <w:u w:val="single" w:color="010101"/>
                <w:lang w:eastAsia="zh-CN"/>
              </w:rPr>
              <w:t>无</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35" w:hRule="atLeast"/>
        </w:trPr>
        <w:tc>
          <w:tcPr>
            <w:tcW w:w="709" w:type="dxa"/>
            <w:vAlign w:val="top"/>
          </w:tcPr>
          <w:p>
            <w:pPr>
              <w:pStyle w:val="17"/>
              <w:spacing w:before="263" w:line="190" w:lineRule="auto"/>
              <w:ind w:left="270"/>
              <w:rPr>
                <w:sz w:val="20"/>
                <w:szCs w:val="20"/>
              </w:rPr>
            </w:pPr>
            <w:r>
              <w:rPr>
                <w:spacing w:val="-7"/>
                <w:sz w:val="20"/>
                <w:szCs w:val="20"/>
              </w:rPr>
              <w:t>16</w:t>
            </w:r>
          </w:p>
        </w:tc>
        <w:tc>
          <w:tcPr>
            <w:tcW w:w="1244" w:type="dxa"/>
            <w:vAlign w:val="top"/>
          </w:tcPr>
          <w:p>
            <w:pPr>
              <w:pStyle w:val="17"/>
              <w:spacing w:before="263" w:line="190" w:lineRule="auto"/>
              <w:ind w:left="430"/>
              <w:rPr>
                <w:sz w:val="20"/>
                <w:szCs w:val="20"/>
              </w:rPr>
            </w:pPr>
            <w:r>
              <w:rPr>
                <w:spacing w:val="-1"/>
                <w:sz w:val="20"/>
                <w:szCs w:val="20"/>
              </w:rPr>
              <w:t>11.6</w:t>
            </w:r>
          </w:p>
        </w:tc>
        <w:tc>
          <w:tcPr>
            <w:tcW w:w="7351" w:type="dxa"/>
            <w:vAlign w:val="top"/>
          </w:tcPr>
          <w:p>
            <w:pPr>
              <w:pStyle w:val="17"/>
              <w:spacing w:before="214" w:line="242" w:lineRule="auto"/>
              <w:ind w:left="59"/>
              <w:rPr>
                <w:rFonts w:hint="eastAsia" w:eastAsia="宋体"/>
                <w:sz w:val="20"/>
                <w:szCs w:val="20"/>
                <w:lang w:eastAsia="zh-CN"/>
              </w:rPr>
            </w:pPr>
            <w:r>
              <w:rPr>
                <w:spacing w:val="8"/>
                <w:sz w:val="20"/>
                <w:szCs w:val="20"/>
              </w:rPr>
              <w:t>提前交工的奖金限额：</w:t>
            </w:r>
            <w:r>
              <w:rPr>
                <w:rFonts w:hint="eastAsia"/>
                <w:spacing w:val="19"/>
                <w:sz w:val="20"/>
                <w:szCs w:val="20"/>
                <w:u w:val="single" w:color="010101"/>
                <w:lang w:eastAsia="zh-CN"/>
              </w:rPr>
              <w:t>无</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675" w:hRule="atLeast"/>
        </w:trPr>
        <w:tc>
          <w:tcPr>
            <w:tcW w:w="709" w:type="dxa"/>
            <w:vAlign w:val="top"/>
          </w:tcPr>
          <w:p>
            <w:pPr>
              <w:pStyle w:val="17"/>
              <w:spacing w:before="262" w:line="190" w:lineRule="auto"/>
              <w:ind w:left="270"/>
              <w:rPr>
                <w:sz w:val="20"/>
                <w:szCs w:val="20"/>
              </w:rPr>
            </w:pPr>
            <w:r>
              <w:rPr>
                <w:spacing w:val="-7"/>
                <w:sz w:val="20"/>
                <w:szCs w:val="20"/>
              </w:rPr>
              <w:t>17</w:t>
            </w:r>
          </w:p>
        </w:tc>
        <w:tc>
          <w:tcPr>
            <w:tcW w:w="1244" w:type="dxa"/>
            <w:vAlign w:val="top"/>
          </w:tcPr>
          <w:p>
            <w:pPr>
              <w:pStyle w:val="17"/>
              <w:spacing w:before="262" w:line="190" w:lineRule="auto"/>
              <w:ind w:left="380"/>
              <w:rPr>
                <w:sz w:val="20"/>
                <w:szCs w:val="20"/>
              </w:rPr>
            </w:pPr>
            <w:r>
              <w:rPr>
                <w:sz w:val="20"/>
                <w:szCs w:val="20"/>
              </w:rPr>
              <w:t>13.11</w:t>
            </w:r>
          </w:p>
        </w:tc>
        <w:tc>
          <w:tcPr>
            <w:tcW w:w="7351" w:type="dxa"/>
            <w:vAlign w:val="top"/>
          </w:tcPr>
          <w:p>
            <w:pPr>
              <w:pStyle w:val="17"/>
              <w:spacing w:before="213" w:line="242" w:lineRule="auto"/>
              <w:ind w:left="58"/>
              <w:rPr>
                <w:sz w:val="20"/>
                <w:szCs w:val="20"/>
              </w:rPr>
            </w:pPr>
            <w:r>
              <w:rPr>
                <w:spacing w:val="8"/>
                <w:sz w:val="20"/>
                <w:szCs w:val="20"/>
                <w:highlight w:val="none"/>
              </w:rPr>
              <w:t>优质优价价款：合同工程量清单第200章～900章合计金额的</w:t>
            </w:r>
            <w:r>
              <w:rPr>
                <w:spacing w:val="-82"/>
                <w:sz w:val="20"/>
                <w:szCs w:val="20"/>
                <w:highlight w:val="none"/>
              </w:rPr>
              <w:t xml:space="preserve"> </w:t>
            </w:r>
            <w:r>
              <w:rPr>
                <w:rFonts w:hint="eastAsia"/>
                <w:spacing w:val="5"/>
                <w:sz w:val="20"/>
                <w:szCs w:val="20"/>
                <w:highlight w:val="none"/>
                <w:u w:val="single" w:color="auto"/>
                <w:lang w:val="en-US" w:eastAsia="zh-CN"/>
              </w:rPr>
              <w:t>2.5</w:t>
            </w:r>
            <w:r>
              <w:rPr>
                <w:spacing w:val="-96"/>
                <w:sz w:val="20"/>
                <w:szCs w:val="20"/>
                <w:highlight w:val="none"/>
              </w:rPr>
              <w:t xml:space="preserve"> </w:t>
            </w:r>
            <w:r>
              <w:rPr>
                <w:spacing w:val="8"/>
                <w:sz w:val="20"/>
                <w:szCs w:val="20"/>
                <w:highlight w:val="none"/>
              </w:rPr>
              <w:t>%（含税金）</w:t>
            </w:r>
            <w:r>
              <w:rPr>
                <w:spacing w:val="8"/>
                <w:position w:val="10"/>
                <w:sz w:val="20"/>
                <w:szCs w:val="20"/>
                <w:highlight w:val="none"/>
              </w:rPr>
              <w:t>④</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1014" w:hRule="atLeast"/>
        </w:trPr>
        <w:tc>
          <w:tcPr>
            <w:tcW w:w="709" w:type="dxa"/>
            <w:vAlign w:val="top"/>
          </w:tcPr>
          <w:p>
            <w:pPr>
              <w:spacing w:line="364" w:lineRule="auto"/>
              <w:rPr>
                <w:rFonts w:ascii="Arial"/>
                <w:sz w:val="20"/>
                <w:szCs w:val="20"/>
              </w:rPr>
            </w:pPr>
          </w:p>
          <w:p>
            <w:pPr>
              <w:pStyle w:val="17"/>
              <w:spacing w:before="65" w:line="190" w:lineRule="auto"/>
              <w:ind w:left="270"/>
              <w:rPr>
                <w:sz w:val="20"/>
                <w:szCs w:val="20"/>
              </w:rPr>
            </w:pPr>
            <w:r>
              <w:rPr>
                <w:spacing w:val="-7"/>
                <w:sz w:val="20"/>
                <w:szCs w:val="20"/>
              </w:rPr>
              <w:t>18</w:t>
            </w:r>
          </w:p>
        </w:tc>
        <w:tc>
          <w:tcPr>
            <w:tcW w:w="1244" w:type="dxa"/>
            <w:vAlign w:val="top"/>
          </w:tcPr>
          <w:p>
            <w:pPr>
              <w:spacing w:line="364" w:lineRule="auto"/>
              <w:rPr>
                <w:rFonts w:ascii="Arial"/>
                <w:sz w:val="20"/>
                <w:szCs w:val="20"/>
              </w:rPr>
            </w:pPr>
          </w:p>
          <w:p>
            <w:pPr>
              <w:pStyle w:val="17"/>
              <w:spacing w:before="65" w:line="190" w:lineRule="auto"/>
              <w:ind w:left="221"/>
              <w:rPr>
                <w:sz w:val="20"/>
                <w:szCs w:val="20"/>
              </w:rPr>
            </w:pPr>
            <w:r>
              <w:rPr>
                <w:sz w:val="20"/>
                <w:szCs w:val="20"/>
              </w:rPr>
              <w:fldChar w:fldCharType="begin"/>
            </w:r>
            <w:r>
              <w:rPr>
                <w:sz w:val="20"/>
                <w:szCs w:val="20"/>
              </w:rPr>
              <w:instrText xml:space="preserve"> HYPERLINK "15.4.4.2" </w:instrText>
            </w:r>
            <w:r>
              <w:rPr>
                <w:sz w:val="20"/>
                <w:szCs w:val="20"/>
              </w:rPr>
              <w:fldChar w:fldCharType="separate"/>
            </w:r>
            <w:r>
              <w:rPr>
                <w:spacing w:val="2"/>
                <w:sz w:val="20"/>
                <w:szCs w:val="20"/>
              </w:rPr>
              <w:t>15.4.4.2</w:t>
            </w:r>
            <w:r>
              <w:rPr>
                <w:spacing w:val="2"/>
                <w:sz w:val="20"/>
                <w:szCs w:val="20"/>
              </w:rPr>
              <w:fldChar w:fldCharType="end"/>
            </w:r>
          </w:p>
        </w:tc>
        <w:tc>
          <w:tcPr>
            <w:tcW w:w="7351" w:type="dxa"/>
            <w:vAlign w:val="top"/>
          </w:tcPr>
          <w:p>
            <w:pPr>
              <w:pStyle w:val="17"/>
              <w:spacing w:before="128" w:line="228" w:lineRule="auto"/>
              <w:ind w:left="58"/>
              <w:rPr>
                <w:sz w:val="20"/>
                <w:szCs w:val="20"/>
              </w:rPr>
            </w:pPr>
            <w:r>
              <w:rPr>
                <w:spacing w:val="8"/>
                <w:sz w:val="20"/>
                <w:szCs w:val="20"/>
              </w:rPr>
              <w:t>应急抢险工程变更金额确定原则：</w:t>
            </w:r>
          </w:p>
          <w:p>
            <w:pPr>
              <w:pStyle w:val="17"/>
              <w:spacing w:before="24" w:line="228" w:lineRule="auto"/>
              <w:ind w:left="80"/>
              <w:rPr>
                <w:sz w:val="20"/>
                <w:szCs w:val="20"/>
              </w:rPr>
            </w:pPr>
            <w:r>
              <w:rPr>
                <w:spacing w:val="7"/>
                <w:sz w:val="20"/>
                <w:szCs w:val="20"/>
              </w:rPr>
              <w:t>□变更金额=审批的变更预算</w:t>
            </w:r>
          </w:p>
          <w:p>
            <w:pPr>
              <w:pStyle w:val="17"/>
              <w:spacing w:before="26" w:line="228" w:lineRule="auto"/>
              <w:ind w:left="80"/>
              <w:rPr>
                <w:sz w:val="20"/>
                <w:szCs w:val="20"/>
              </w:rPr>
            </w:pPr>
            <w:r>
              <w:rPr>
                <w:rFonts w:hint="eastAsia"/>
                <w:spacing w:val="7"/>
                <w:sz w:val="20"/>
                <w:szCs w:val="20"/>
                <w:lang w:eastAsia="zh-CN"/>
              </w:rPr>
              <w:t>☑</w:t>
            </w:r>
            <w:r>
              <w:rPr>
                <w:spacing w:val="7"/>
                <w:sz w:val="20"/>
                <w:szCs w:val="20"/>
              </w:rPr>
              <w:t>变更金额=审批的变更预算×（1-中标下浮率）</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819" w:hRule="atLeast"/>
        </w:trPr>
        <w:tc>
          <w:tcPr>
            <w:tcW w:w="709" w:type="dxa"/>
            <w:vAlign w:val="top"/>
          </w:tcPr>
          <w:p>
            <w:pPr>
              <w:spacing w:line="270" w:lineRule="auto"/>
              <w:rPr>
                <w:rFonts w:ascii="Arial"/>
                <w:sz w:val="20"/>
                <w:szCs w:val="20"/>
              </w:rPr>
            </w:pPr>
          </w:p>
          <w:p>
            <w:pPr>
              <w:pStyle w:val="17"/>
              <w:spacing w:before="65" w:line="190" w:lineRule="auto"/>
              <w:ind w:left="270"/>
              <w:rPr>
                <w:sz w:val="20"/>
                <w:szCs w:val="20"/>
              </w:rPr>
            </w:pPr>
            <w:r>
              <w:rPr>
                <w:spacing w:val="-7"/>
                <w:sz w:val="20"/>
                <w:szCs w:val="20"/>
              </w:rPr>
              <w:t>19</w:t>
            </w:r>
          </w:p>
        </w:tc>
        <w:tc>
          <w:tcPr>
            <w:tcW w:w="1244" w:type="dxa"/>
            <w:vAlign w:val="top"/>
          </w:tcPr>
          <w:p>
            <w:pPr>
              <w:spacing w:line="270" w:lineRule="auto"/>
              <w:rPr>
                <w:rFonts w:ascii="Arial"/>
                <w:sz w:val="20"/>
                <w:szCs w:val="20"/>
              </w:rPr>
            </w:pPr>
          </w:p>
          <w:p>
            <w:pPr>
              <w:pStyle w:val="17"/>
              <w:spacing w:before="65" w:line="190" w:lineRule="auto"/>
              <w:ind w:left="327"/>
              <w:rPr>
                <w:sz w:val="20"/>
                <w:szCs w:val="20"/>
              </w:rPr>
            </w:pPr>
            <w:r>
              <w:rPr>
                <w:spacing w:val="1"/>
                <w:sz w:val="20"/>
                <w:szCs w:val="20"/>
              </w:rPr>
              <w:t>15.5.2</w:t>
            </w:r>
          </w:p>
        </w:tc>
        <w:tc>
          <w:tcPr>
            <w:tcW w:w="7351" w:type="dxa"/>
            <w:vAlign w:val="top"/>
          </w:tcPr>
          <w:p>
            <w:pPr>
              <w:pStyle w:val="17"/>
              <w:spacing w:before="168"/>
              <w:ind w:left="59" w:right="157" w:hanging="1"/>
              <w:rPr>
                <w:sz w:val="20"/>
                <w:szCs w:val="20"/>
              </w:rPr>
            </w:pPr>
            <w:r>
              <w:rPr>
                <w:spacing w:val="10"/>
                <w:sz w:val="20"/>
                <w:szCs w:val="20"/>
              </w:rPr>
              <w:t>承包人提出的合理化建议降低了合同价格或者提高</w:t>
            </w:r>
            <w:r>
              <w:rPr>
                <w:spacing w:val="9"/>
                <w:sz w:val="20"/>
                <w:szCs w:val="20"/>
              </w:rPr>
              <w:t>了工程经济效益的，发包人</w:t>
            </w:r>
            <w:r>
              <w:rPr>
                <w:sz w:val="20"/>
                <w:szCs w:val="20"/>
              </w:rPr>
              <w:t xml:space="preserve"> </w:t>
            </w:r>
            <w:r>
              <w:rPr>
                <w:spacing w:val="7"/>
                <w:sz w:val="20"/>
                <w:szCs w:val="20"/>
              </w:rPr>
              <w:t>按所节约成本的</w:t>
            </w:r>
            <w:r>
              <w:rPr>
                <w:rFonts w:hint="eastAsia"/>
                <w:spacing w:val="7"/>
                <w:sz w:val="20"/>
                <w:szCs w:val="20"/>
                <w:u w:val="single" w:color="010101"/>
                <w:lang w:val="en-US" w:eastAsia="zh-CN"/>
              </w:rPr>
              <w:t>/</w:t>
            </w:r>
            <w:r>
              <w:rPr>
                <w:spacing w:val="-85"/>
                <w:sz w:val="20"/>
                <w:szCs w:val="20"/>
              </w:rPr>
              <w:t xml:space="preserve"> </w:t>
            </w:r>
            <w:r>
              <w:rPr>
                <w:spacing w:val="7"/>
                <w:sz w:val="20"/>
                <w:szCs w:val="20"/>
              </w:rPr>
              <w:t>%或增加收益的</w:t>
            </w:r>
            <w:r>
              <w:rPr>
                <w:spacing w:val="-98"/>
                <w:sz w:val="20"/>
                <w:szCs w:val="20"/>
              </w:rPr>
              <w:t xml:space="preserve"> </w:t>
            </w:r>
            <w:r>
              <w:rPr>
                <w:spacing w:val="5"/>
                <w:sz w:val="20"/>
                <w:szCs w:val="20"/>
                <w:u w:val="single" w:color="010101"/>
              </w:rPr>
              <w:t xml:space="preserve"> </w:t>
            </w:r>
            <w:r>
              <w:rPr>
                <w:rFonts w:hint="eastAsia"/>
                <w:spacing w:val="5"/>
                <w:sz w:val="20"/>
                <w:szCs w:val="20"/>
                <w:u w:val="single" w:color="010101"/>
                <w:lang w:val="en-US" w:eastAsia="zh-CN"/>
              </w:rPr>
              <w:t>/</w:t>
            </w:r>
            <w:r>
              <w:rPr>
                <w:spacing w:val="-98"/>
                <w:sz w:val="20"/>
                <w:szCs w:val="20"/>
              </w:rPr>
              <w:t xml:space="preserve"> </w:t>
            </w:r>
            <w:r>
              <w:rPr>
                <w:spacing w:val="7"/>
                <w:sz w:val="20"/>
                <w:szCs w:val="20"/>
              </w:rPr>
              <w:t>%给予奖励。</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675" w:hRule="atLeast"/>
        </w:trPr>
        <w:tc>
          <w:tcPr>
            <w:tcW w:w="709" w:type="dxa"/>
            <w:vAlign w:val="top"/>
          </w:tcPr>
          <w:p>
            <w:pPr>
              <w:pStyle w:val="17"/>
              <w:spacing w:before="265" w:line="189" w:lineRule="auto"/>
              <w:ind w:left="257"/>
              <w:rPr>
                <w:sz w:val="20"/>
                <w:szCs w:val="20"/>
              </w:rPr>
            </w:pPr>
            <w:r>
              <w:rPr>
                <w:spacing w:val="-1"/>
                <w:sz w:val="20"/>
                <w:szCs w:val="20"/>
              </w:rPr>
              <w:t>20</w:t>
            </w:r>
          </w:p>
        </w:tc>
        <w:tc>
          <w:tcPr>
            <w:tcW w:w="1244" w:type="dxa"/>
            <w:vAlign w:val="top"/>
          </w:tcPr>
          <w:p>
            <w:pPr>
              <w:pStyle w:val="17"/>
              <w:spacing w:before="264" w:line="190" w:lineRule="auto"/>
              <w:ind w:left="430"/>
              <w:rPr>
                <w:sz w:val="20"/>
                <w:szCs w:val="20"/>
              </w:rPr>
            </w:pPr>
            <w:r>
              <w:rPr>
                <w:spacing w:val="-1"/>
                <w:sz w:val="20"/>
                <w:szCs w:val="20"/>
              </w:rPr>
              <w:t>16.1</w:t>
            </w:r>
          </w:p>
        </w:tc>
        <w:tc>
          <w:tcPr>
            <w:tcW w:w="7351" w:type="dxa"/>
            <w:vAlign w:val="top"/>
          </w:tcPr>
          <w:p>
            <w:pPr>
              <w:pStyle w:val="17"/>
              <w:spacing w:before="96" w:line="228" w:lineRule="auto"/>
              <w:ind w:left="80"/>
              <w:rPr>
                <w:sz w:val="20"/>
                <w:szCs w:val="20"/>
              </w:rPr>
            </w:pPr>
            <w:r>
              <w:rPr>
                <w:rFonts w:hint="eastAsia"/>
                <w:spacing w:val="8"/>
                <w:sz w:val="20"/>
                <w:szCs w:val="20"/>
                <w:lang w:eastAsia="zh-CN"/>
              </w:rPr>
              <w:t>☑</w:t>
            </w:r>
            <w:r>
              <w:rPr>
                <w:spacing w:val="8"/>
                <w:sz w:val="20"/>
                <w:szCs w:val="20"/>
              </w:rPr>
              <w:t>因物价波动引起的价格调整按照</w:t>
            </w:r>
            <w:r>
              <w:rPr>
                <w:rFonts w:hint="eastAsia"/>
                <w:spacing w:val="8"/>
                <w:sz w:val="20"/>
                <w:szCs w:val="20"/>
              </w:rPr>
              <w:t>16.1</w:t>
            </w:r>
            <w:r>
              <w:rPr>
                <w:spacing w:val="-88"/>
                <w:sz w:val="20"/>
                <w:szCs w:val="20"/>
              </w:rPr>
              <w:t xml:space="preserve"> </w:t>
            </w:r>
            <w:r>
              <w:rPr>
                <w:spacing w:val="8"/>
                <w:sz w:val="20"/>
                <w:szCs w:val="20"/>
              </w:rPr>
              <w:t>项约定的原则处理</w:t>
            </w:r>
          </w:p>
          <w:p>
            <w:pPr>
              <w:pStyle w:val="17"/>
              <w:spacing w:before="9" w:line="242" w:lineRule="auto"/>
              <w:ind w:left="80"/>
              <w:rPr>
                <w:sz w:val="20"/>
                <w:szCs w:val="20"/>
              </w:rPr>
            </w:pPr>
            <w:r>
              <w:rPr>
                <w:spacing w:val="6"/>
                <w:sz w:val="20"/>
                <w:szCs w:val="20"/>
              </w:rPr>
              <w:t>□合同期内不调价</w:t>
            </w:r>
            <w:r>
              <w:rPr>
                <w:spacing w:val="6"/>
                <w:position w:val="10"/>
                <w:sz w:val="20"/>
                <w:szCs w:val="20"/>
              </w:rPr>
              <w:t>⑤</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949" w:hRule="atLeast"/>
        </w:trPr>
        <w:tc>
          <w:tcPr>
            <w:tcW w:w="709" w:type="dxa"/>
            <w:vAlign w:val="top"/>
          </w:tcPr>
          <w:p>
            <w:pPr>
              <w:spacing w:line="336" w:lineRule="auto"/>
              <w:rPr>
                <w:rFonts w:ascii="Arial"/>
                <w:sz w:val="20"/>
                <w:szCs w:val="20"/>
              </w:rPr>
            </w:pPr>
          </w:p>
          <w:p>
            <w:pPr>
              <w:pStyle w:val="17"/>
              <w:spacing w:before="65" w:line="189" w:lineRule="auto"/>
              <w:ind w:left="257"/>
              <w:rPr>
                <w:sz w:val="20"/>
                <w:szCs w:val="20"/>
              </w:rPr>
            </w:pPr>
            <w:r>
              <w:rPr>
                <w:spacing w:val="-1"/>
                <w:sz w:val="20"/>
                <w:szCs w:val="20"/>
              </w:rPr>
              <w:t>21</w:t>
            </w:r>
          </w:p>
        </w:tc>
        <w:tc>
          <w:tcPr>
            <w:tcW w:w="1244" w:type="dxa"/>
            <w:vAlign w:val="top"/>
          </w:tcPr>
          <w:p>
            <w:pPr>
              <w:spacing w:line="335" w:lineRule="auto"/>
              <w:rPr>
                <w:rFonts w:ascii="Arial"/>
                <w:sz w:val="20"/>
                <w:szCs w:val="20"/>
              </w:rPr>
            </w:pPr>
          </w:p>
          <w:p>
            <w:pPr>
              <w:pStyle w:val="17"/>
              <w:spacing w:before="65" w:line="190" w:lineRule="auto"/>
              <w:ind w:left="327"/>
              <w:rPr>
                <w:sz w:val="20"/>
                <w:szCs w:val="20"/>
              </w:rPr>
            </w:pPr>
            <w:r>
              <w:rPr>
                <w:spacing w:val="1"/>
                <w:sz w:val="20"/>
                <w:szCs w:val="20"/>
              </w:rPr>
              <w:t>17.1.7</w:t>
            </w:r>
          </w:p>
        </w:tc>
        <w:tc>
          <w:tcPr>
            <w:tcW w:w="7351" w:type="dxa"/>
            <w:vAlign w:val="top"/>
          </w:tcPr>
          <w:p>
            <w:pPr>
              <w:pStyle w:val="17"/>
              <w:spacing w:before="97" w:line="228" w:lineRule="auto"/>
              <w:ind w:left="60"/>
              <w:rPr>
                <w:sz w:val="20"/>
                <w:szCs w:val="20"/>
                <w:highlight w:val="none"/>
              </w:rPr>
            </w:pPr>
            <w:r>
              <w:rPr>
                <w:spacing w:val="8"/>
                <w:sz w:val="20"/>
                <w:szCs w:val="20"/>
                <w:highlight w:val="none"/>
              </w:rPr>
              <w:t>路面备料款的暂定计量和支付：</w:t>
            </w:r>
          </w:p>
          <w:p>
            <w:pPr>
              <w:pStyle w:val="17"/>
              <w:spacing w:before="26"/>
              <w:ind w:left="58" w:right="261"/>
              <w:rPr>
                <w:sz w:val="20"/>
                <w:szCs w:val="20"/>
              </w:rPr>
            </w:pPr>
            <w:r>
              <w:rPr>
                <w:spacing w:val="8"/>
                <w:sz w:val="20"/>
                <w:szCs w:val="20"/>
                <w:highlight w:val="none"/>
              </w:rPr>
              <w:t>计量数量：</w:t>
            </w:r>
            <w:r>
              <w:rPr>
                <w:spacing w:val="-58"/>
                <w:sz w:val="20"/>
                <w:szCs w:val="20"/>
                <w:highlight w:val="none"/>
              </w:rPr>
              <w:t xml:space="preserve"> </w:t>
            </w:r>
            <w:r>
              <w:rPr>
                <w:spacing w:val="8"/>
                <w:sz w:val="20"/>
                <w:szCs w:val="20"/>
                <w:highlight w:val="none"/>
              </w:rPr>
              <w:t>以承包人实际进场并经监理人和发包人代表验收</w:t>
            </w:r>
            <w:r>
              <w:rPr>
                <w:spacing w:val="7"/>
                <w:sz w:val="20"/>
                <w:szCs w:val="20"/>
                <w:highlight w:val="none"/>
              </w:rPr>
              <w:t>确认数量的</w:t>
            </w:r>
            <w:r>
              <w:rPr>
                <w:spacing w:val="7"/>
                <w:sz w:val="20"/>
                <w:szCs w:val="20"/>
                <w:highlight w:val="none"/>
                <w:u w:val="single" w:color="auto"/>
              </w:rPr>
              <w:t xml:space="preserve">  </w:t>
            </w:r>
            <w:r>
              <w:rPr>
                <w:rFonts w:hint="eastAsia"/>
                <w:spacing w:val="7"/>
                <w:sz w:val="20"/>
                <w:szCs w:val="20"/>
                <w:highlight w:val="none"/>
                <w:u w:val="single" w:color="auto"/>
                <w:lang w:val="en-US" w:eastAsia="zh-CN"/>
              </w:rPr>
              <w:t>/</w:t>
            </w:r>
            <w:r>
              <w:rPr>
                <w:spacing w:val="7"/>
                <w:sz w:val="20"/>
                <w:szCs w:val="20"/>
                <w:highlight w:val="none"/>
                <w:u w:val="single" w:color="auto"/>
              </w:rPr>
              <w:t xml:space="preserve"> </w:t>
            </w:r>
            <w:r>
              <w:rPr>
                <w:spacing w:val="-96"/>
                <w:sz w:val="20"/>
                <w:szCs w:val="20"/>
                <w:highlight w:val="none"/>
              </w:rPr>
              <w:t xml:space="preserve"> </w:t>
            </w:r>
            <w:r>
              <w:rPr>
                <w:spacing w:val="7"/>
                <w:sz w:val="20"/>
                <w:szCs w:val="20"/>
                <w:highlight w:val="none"/>
              </w:rPr>
              <w:t>%</w:t>
            </w:r>
            <w:r>
              <w:rPr>
                <w:sz w:val="20"/>
                <w:szCs w:val="20"/>
                <w:highlight w:val="none"/>
              </w:rPr>
              <w:t xml:space="preserve"> 计。</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196" w:hRule="atLeast"/>
        </w:trPr>
        <w:tc>
          <w:tcPr>
            <w:tcW w:w="709" w:type="dxa"/>
            <w:vAlign w:val="top"/>
          </w:tcPr>
          <w:p>
            <w:pPr>
              <w:pStyle w:val="17"/>
              <w:spacing w:before="268" w:line="189" w:lineRule="auto"/>
              <w:ind w:left="257"/>
              <w:rPr>
                <w:sz w:val="20"/>
                <w:szCs w:val="20"/>
              </w:rPr>
            </w:pPr>
            <w:r>
              <w:rPr>
                <w:spacing w:val="-1"/>
                <w:sz w:val="20"/>
                <w:szCs w:val="20"/>
              </w:rPr>
              <w:t>22</w:t>
            </w:r>
          </w:p>
        </w:tc>
        <w:tc>
          <w:tcPr>
            <w:tcW w:w="1244" w:type="dxa"/>
            <w:vAlign w:val="top"/>
          </w:tcPr>
          <w:p>
            <w:pPr>
              <w:pStyle w:val="17"/>
              <w:spacing w:before="235"/>
              <w:ind w:left="72"/>
              <w:rPr>
                <w:color w:val="auto"/>
                <w:sz w:val="20"/>
                <w:szCs w:val="20"/>
                <w:highlight w:val="none"/>
              </w:rPr>
            </w:pPr>
            <w:r>
              <w:rPr>
                <w:color w:val="auto"/>
                <w:spacing w:val="2"/>
                <w:sz w:val="20"/>
                <w:szCs w:val="20"/>
                <w:highlight w:val="none"/>
              </w:rPr>
              <w:t>17.2.1（1）</w:t>
            </w:r>
          </w:p>
        </w:tc>
        <w:tc>
          <w:tcPr>
            <w:tcW w:w="7351" w:type="dxa"/>
            <w:vAlign w:val="top"/>
          </w:tcPr>
          <w:p>
            <w:pPr>
              <w:pStyle w:val="17"/>
              <w:spacing w:before="216" w:line="244" w:lineRule="auto"/>
              <w:ind w:left="59"/>
              <w:rPr>
                <w:rFonts w:hint="eastAsia"/>
                <w:color w:val="auto"/>
                <w:spacing w:val="8"/>
                <w:sz w:val="20"/>
                <w:szCs w:val="20"/>
                <w:highlight w:val="none"/>
                <w:lang w:eastAsia="zh-CN"/>
              </w:rPr>
            </w:pPr>
            <w:r>
              <w:rPr>
                <w:color w:val="auto"/>
                <w:spacing w:val="8"/>
                <w:sz w:val="20"/>
                <w:szCs w:val="20"/>
                <w:highlight w:val="none"/>
              </w:rPr>
              <w:t>开工预付款金额：</w:t>
            </w:r>
            <w:r>
              <w:rPr>
                <w:rFonts w:hint="eastAsia"/>
                <w:color w:val="auto"/>
                <w:spacing w:val="8"/>
                <w:sz w:val="20"/>
                <w:szCs w:val="20"/>
                <w:highlight w:val="none"/>
              </w:rPr>
              <w:t>开工预付款</w:t>
            </w:r>
            <w:r>
              <w:rPr>
                <w:rFonts w:hint="eastAsia"/>
                <w:color w:val="auto"/>
                <w:spacing w:val="8"/>
                <w:sz w:val="20"/>
                <w:szCs w:val="20"/>
                <w:highlight w:val="none"/>
                <w:lang w:val="en-US" w:eastAsia="zh-CN"/>
              </w:rPr>
              <w:t>1</w:t>
            </w:r>
            <w:r>
              <w:rPr>
                <w:rFonts w:hint="eastAsia"/>
                <w:color w:val="auto"/>
                <w:spacing w:val="8"/>
                <w:sz w:val="20"/>
                <w:szCs w:val="20"/>
                <w:highlight w:val="none"/>
              </w:rPr>
              <w:t>0%</w:t>
            </w:r>
            <w:r>
              <w:rPr>
                <w:rFonts w:hint="eastAsia"/>
                <w:color w:val="auto"/>
                <w:spacing w:val="8"/>
                <w:sz w:val="20"/>
                <w:szCs w:val="20"/>
                <w:highlight w:val="none"/>
                <w:lang w:eastAsia="zh-CN"/>
              </w:rPr>
              <w:t>；开工后，建设单位协助施工企业向财政申请支付预付款按合同价的10%付款.施工企业不能以预付款未到位而拒绝组织施工。</w:t>
            </w:r>
          </w:p>
          <w:p>
            <w:pPr>
              <w:pStyle w:val="17"/>
              <w:spacing w:before="216" w:line="244" w:lineRule="auto"/>
              <w:rPr>
                <w:rFonts w:hint="eastAsia"/>
                <w:color w:val="auto"/>
                <w:spacing w:val="8"/>
                <w:sz w:val="20"/>
                <w:szCs w:val="20"/>
                <w:highlight w:val="none"/>
                <w:lang w:eastAsia="zh-CN"/>
              </w:rPr>
            </w:pPr>
            <w:r>
              <w:rPr>
                <w:rFonts w:hint="eastAsia"/>
                <w:color w:val="auto"/>
                <w:spacing w:val="8"/>
                <w:sz w:val="20"/>
                <w:szCs w:val="20"/>
                <w:highlight w:val="none"/>
                <w:lang w:val="en-US" w:eastAsia="zh-CN"/>
              </w:rPr>
              <w:t>预</w:t>
            </w:r>
            <w:r>
              <w:rPr>
                <w:rFonts w:hint="eastAsia"/>
                <w:color w:val="auto"/>
                <w:spacing w:val="8"/>
                <w:sz w:val="20"/>
                <w:szCs w:val="20"/>
                <w:highlight w:val="none"/>
                <w:lang w:eastAsia="zh-CN"/>
              </w:rPr>
              <w:t>付款的扣回与还清：</w:t>
            </w:r>
            <w:r>
              <w:rPr>
                <w:rFonts w:hint="eastAsia"/>
                <w:color w:val="auto"/>
                <w:spacing w:val="8"/>
                <w:sz w:val="20"/>
                <w:szCs w:val="20"/>
                <w:highlight w:val="none"/>
                <w:lang w:val="en-US" w:eastAsia="zh-CN"/>
              </w:rPr>
              <w:t>开工预付款在进度付款证书的累计金额达到各单项工程签约合同价10%之后，开始按工程进度以固定比例（即每完成各单项工程签约合同价的1%，扣回开工预付款的2%）分期从各月的进度付款证书中扣回，全部金额在进度付款证书的累计金额达到各单项工程签约合同价的80%时扣完。</w:t>
            </w:r>
            <w:r>
              <w:rPr>
                <w:rFonts w:hint="eastAsia"/>
                <w:color w:val="auto"/>
                <w:spacing w:val="8"/>
                <w:sz w:val="20"/>
                <w:szCs w:val="20"/>
                <w:highlight w:val="none"/>
                <w:lang w:eastAsia="zh-CN"/>
              </w:rPr>
              <w:t>如有需要，发包人可根据实际情况制定更符合工程需要的预付款月扣款比例。</w:t>
            </w:r>
          </w:p>
          <w:p>
            <w:pPr>
              <w:pStyle w:val="17"/>
              <w:spacing w:before="216" w:line="244" w:lineRule="auto"/>
              <w:rPr>
                <w:color w:val="auto"/>
                <w:sz w:val="20"/>
                <w:szCs w:val="20"/>
                <w:highlight w:val="none"/>
              </w:rPr>
            </w:pPr>
            <w:r>
              <w:rPr>
                <w:rFonts w:hint="eastAsia" w:ascii="宋体" w:hAnsi="宋体" w:eastAsia="宋体" w:cs="宋体"/>
                <w:color w:val="auto"/>
                <w:spacing w:val="8"/>
                <w:sz w:val="20"/>
                <w:szCs w:val="20"/>
                <w:highlight w:val="none"/>
                <w:lang w:val="en-US" w:eastAsia="zh-CN"/>
              </w:rPr>
              <w:t>工程进度款付款周期：在财政资金到位的情况下，发包人收到承包人进度预算及报表后，按各单项工程每期实际完成计量工程量80%支付工程进度款，工程款付至各单项工程签约合同价的80%时（不含暂列金额），不再支付工程款。由建设项目同级财政部门审定结算后支付到结算审核价的97%，缺陷责任期满后一次性支付剩余的3%</w:t>
            </w:r>
            <w:r>
              <w:rPr>
                <w:rFonts w:hint="eastAsia" w:ascii="宋体" w:hAnsi="宋体" w:eastAsia="宋体" w:cs="宋体"/>
                <w:color w:val="auto"/>
                <w:spacing w:val="8"/>
                <w:sz w:val="20"/>
                <w:szCs w:val="20"/>
                <w:highlight w:val="none"/>
              </w:rPr>
              <w:t>质量保证金</w:t>
            </w:r>
            <w:r>
              <w:rPr>
                <w:rFonts w:hint="eastAsia" w:ascii="宋体" w:hAnsi="宋体" w:eastAsia="宋体" w:cs="宋体"/>
                <w:color w:val="auto"/>
                <w:spacing w:val="8"/>
                <w:sz w:val="20"/>
                <w:szCs w:val="20"/>
                <w:highlight w:val="none"/>
                <w:lang w:val="en-US" w:eastAsia="zh-CN"/>
              </w:rPr>
              <w:t>，不计利息。（具体以财政部门审核为准。）</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90" w:hRule="atLeast"/>
        </w:trPr>
        <w:tc>
          <w:tcPr>
            <w:tcW w:w="709" w:type="dxa"/>
            <w:vAlign w:val="top"/>
          </w:tcPr>
          <w:p>
            <w:pPr>
              <w:pStyle w:val="17"/>
              <w:spacing w:before="267" w:line="189" w:lineRule="auto"/>
              <w:ind w:left="257"/>
              <w:rPr>
                <w:sz w:val="20"/>
                <w:szCs w:val="20"/>
              </w:rPr>
            </w:pPr>
            <w:r>
              <w:rPr>
                <w:spacing w:val="-1"/>
                <w:sz w:val="20"/>
                <w:szCs w:val="20"/>
              </w:rPr>
              <w:t>23</w:t>
            </w:r>
          </w:p>
        </w:tc>
        <w:tc>
          <w:tcPr>
            <w:tcW w:w="1244" w:type="dxa"/>
            <w:vAlign w:val="top"/>
          </w:tcPr>
          <w:p>
            <w:pPr>
              <w:pStyle w:val="17"/>
              <w:spacing w:before="234"/>
              <w:ind w:left="72"/>
              <w:rPr>
                <w:color w:val="auto"/>
                <w:sz w:val="20"/>
                <w:szCs w:val="20"/>
              </w:rPr>
            </w:pPr>
            <w:r>
              <w:rPr>
                <w:color w:val="auto"/>
                <w:spacing w:val="2"/>
                <w:sz w:val="20"/>
                <w:szCs w:val="20"/>
              </w:rPr>
              <w:t>17.2.1（2）</w:t>
            </w:r>
          </w:p>
        </w:tc>
        <w:tc>
          <w:tcPr>
            <w:tcW w:w="7351" w:type="dxa"/>
            <w:vAlign w:val="top"/>
          </w:tcPr>
          <w:p>
            <w:pPr>
              <w:pStyle w:val="17"/>
              <w:spacing w:before="217" w:line="243" w:lineRule="auto"/>
              <w:ind w:left="58"/>
              <w:rPr>
                <w:rFonts w:hint="eastAsia" w:eastAsia="宋体"/>
                <w:color w:val="auto"/>
                <w:sz w:val="20"/>
                <w:szCs w:val="20"/>
                <w:lang w:eastAsia="zh-CN"/>
              </w:rPr>
            </w:pPr>
            <w:r>
              <w:rPr>
                <w:color w:val="auto"/>
                <w:spacing w:val="9"/>
                <w:sz w:val="20"/>
                <w:szCs w:val="20"/>
              </w:rPr>
              <w:t>材料、设备预付款比例：</w:t>
            </w:r>
            <w:r>
              <w:rPr>
                <w:rFonts w:hint="eastAsia"/>
                <w:color w:val="auto"/>
                <w:spacing w:val="25"/>
                <w:sz w:val="20"/>
                <w:szCs w:val="20"/>
                <w:u w:val="single" w:color="010101"/>
                <w:lang w:eastAsia="zh-CN"/>
              </w:rPr>
              <w:t>无</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460" w:hRule="atLeast"/>
        </w:trPr>
        <w:tc>
          <w:tcPr>
            <w:tcW w:w="709" w:type="dxa"/>
            <w:vAlign w:val="top"/>
          </w:tcPr>
          <w:p>
            <w:pPr>
              <w:pStyle w:val="17"/>
              <w:spacing w:before="266" w:line="189" w:lineRule="auto"/>
              <w:ind w:left="257"/>
              <w:rPr>
                <w:sz w:val="20"/>
                <w:szCs w:val="20"/>
              </w:rPr>
            </w:pPr>
            <w:r>
              <w:rPr>
                <w:spacing w:val="-1"/>
                <w:sz w:val="20"/>
                <w:szCs w:val="20"/>
              </w:rPr>
              <w:t>24</w:t>
            </w:r>
          </w:p>
        </w:tc>
        <w:tc>
          <w:tcPr>
            <w:tcW w:w="1244" w:type="dxa"/>
            <w:vAlign w:val="top"/>
          </w:tcPr>
          <w:p>
            <w:pPr>
              <w:pStyle w:val="17"/>
              <w:spacing w:before="265" w:line="190" w:lineRule="auto"/>
              <w:ind w:left="327"/>
              <w:rPr>
                <w:color w:val="auto"/>
                <w:sz w:val="20"/>
                <w:szCs w:val="20"/>
              </w:rPr>
            </w:pPr>
            <w:r>
              <w:rPr>
                <w:color w:val="auto"/>
                <w:spacing w:val="1"/>
                <w:sz w:val="20"/>
                <w:szCs w:val="20"/>
              </w:rPr>
              <w:t>17.3.2</w:t>
            </w:r>
          </w:p>
        </w:tc>
        <w:tc>
          <w:tcPr>
            <w:tcW w:w="7351" w:type="dxa"/>
            <w:vAlign w:val="top"/>
          </w:tcPr>
          <w:p>
            <w:pPr>
              <w:pStyle w:val="17"/>
              <w:spacing w:before="233" w:line="228" w:lineRule="auto"/>
              <w:ind w:left="58"/>
              <w:rPr>
                <w:color w:val="auto"/>
                <w:sz w:val="20"/>
                <w:szCs w:val="20"/>
              </w:rPr>
            </w:pPr>
            <w:r>
              <w:rPr>
                <w:color w:val="auto"/>
                <w:spacing w:val="9"/>
                <w:sz w:val="20"/>
                <w:szCs w:val="20"/>
              </w:rPr>
              <w:t>承包人在每个付款周期末向监理人提交进度付款申请单的份数：</w:t>
            </w:r>
            <w:r>
              <w:rPr>
                <w:rFonts w:hint="eastAsia"/>
                <w:color w:val="auto"/>
                <w:spacing w:val="9"/>
                <w:sz w:val="20"/>
                <w:szCs w:val="20"/>
                <w:u w:val="single" w:color="010101"/>
                <w:lang w:val="en-US" w:eastAsia="zh-CN"/>
              </w:rPr>
              <w:t>5</w:t>
            </w:r>
            <w:r>
              <w:rPr>
                <w:color w:val="auto"/>
                <w:spacing w:val="-87"/>
                <w:sz w:val="20"/>
                <w:szCs w:val="20"/>
              </w:rPr>
              <w:t xml:space="preserve"> </w:t>
            </w:r>
            <w:r>
              <w:rPr>
                <w:color w:val="auto"/>
                <w:spacing w:val="9"/>
                <w:sz w:val="20"/>
                <w:szCs w:val="20"/>
              </w:rPr>
              <w:t>份</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05" w:hRule="atLeast"/>
        </w:trPr>
        <w:tc>
          <w:tcPr>
            <w:tcW w:w="709" w:type="dxa"/>
            <w:vAlign w:val="top"/>
          </w:tcPr>
          <w:p>
            <w:pPr>
              <w:pStyle w:val="17"/>
              <w:spacing w:before="268" w:line="189" w:lineRule="auto"/>
              <w:ind w:left="257"/>
              <w:rPr>
                <w:sz w:val="20"/>
                <w:szCs w:val="20"/>
              </w:rPr>
            </w:pPr>
            <w:r>
              <w:rPr>
                <w:spacing w:val="-1"/>
                <w:sz w:val="20"/>
                <w:szCs w:val="20"/>
              </w:rPr>
              <w:t>25</w:t>
            </w:r>
          </w:p>
        </w:tc>
        <w:tc>
          <w:tcPr>
            <w:tcW w:w="1244" w:type="dxa"/>
            <w:vAlign w:val="top"/>
          </w:tcPr>
          <w:p>
            <w:pPr>
              <w:pStyle w:val="17"/>
              <w:spacing w:before="234" w:line="231" w:lineRule="auto"/>
              <w:ind w:left="168"/>
              <w:rPr>
                <w:color w:val="auto"/>
                <w:sz w:val="20"/>
                <w:szCs w:val="20"/>
              </w:rPr>
            </w:pPr>
            <w:r>
              <w:rPr>
                <w:color w:val="auto"/>
                <w:spacing w:val="2"/>
                <w:sz w:val="20"/>
                <w:szCs w:val="20"/>
              </w:rPr>
              <w:t>17.3.3(1)</w:t>
            </w:r>
          </w:p>
        </w:tc>
        <w:tc>
          <w:tcPr>
            <w:tcW w:w="7351" w:type="dxa"/>
            <w:vAlign w:val="top"/>
          </w:tcPr>
          <w:p>
            <w:pPr>
              <w:pStyle w:val="17"/>
              <w:spacing w:before="215" w:line="245" w:lineRule="auto"/>
              <w:ind w:left="57"/>
              <w:rPr>
                <w:rFonts w:hint="eastAsia" w:eastAsia="宋体"/>
                <w:color w:val="auto"/>
                <w:sz w:val="20"/>
                <w:szCs w:val="20"/>
                <w:lang w:eastAsia="zh-CN"/>
              </w:rPr>
            </w:pPr>
            <w:r>
              <w:rPr>
                <w:color w:val="auto"/>
                <w:spacing w:val="7"/>
                <w:sz w:val="20"/>
                <w:szCs w:val="20"/>
              </w:rPr>
              <w:t>进度付款证书最低限额：</w:t>
            </w:r>
            <w:r>
              <w:rPr>
                <w:rFonts w:hint="eastAsia"/>
                <w:color w:val="auto"/>
                <w:spacing w:val="7"/>
                <w:sz w:val="20"/>
                <w:szCs w:val="20"/>
                <w:u w:val="single" w:color="010101"/>
                <w:lang w:val="en-US" w:eastAsia="zh-CN"/>
              </w:rPr>
              <w:t>30</w:t>
            </w:r>
            <w:r>
              <w:rPr>
                <w:color w:val="auto"/>
                <w:spacing w:val="7"/>
                <w:sz w:val="20"/>
                <w:szCs w:val="20"/>
              </w:rPr>
              <w:t xml:space="preserve"> 万元</w:t>
            </w:r>
            <w:r>
              <w:rPr>
                <w:color w:val="auto"/>
                <w:spacing w:val="7"/>
                <w:position w:val="10"/>
                <w:sz w:val="20"/>
                <w:szCs w:val="20"/>
              </w:rPr>
              <w:t>⑧</w:t>
            </w:r>
            <w:r>
              <w:rPr>
                <w:rFonts w:hint="eastAsia" w:ascii="宋体" w:hAnsi="宋体"/>
                <w:color w:val="auto"/>
                <w:sz w:val="20"/>
                <w:szCs w:val="20"/>
              </w:rPr>
              <w:t>（最后一期除外）</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677" w:hRule="atLeast"/>
        </w:trPr>
        <w:tc>
          <w:tcPr>
            <w:tcW w:w="709" w:type="dxa"/>
            <w:vAlign w:val="top"/>
          </w:tcPr>
          <w:p>
            <w:pPr>
              <w:pStyle w:val="17"/>
              <w:spacing w:before="267" w:line="189" w:lineRule="auto"/>
              <w:ind w:left="257"/>
              <w:rPr>
                <w:sz w:val="20"/>
                <w:szCs w:val="20"/>
              </w:rPr>
            </w:pPr>
            <w:r>
              <w:rPr>
                <w:spacing w:val="-1"/>
                <w:sz w:val="20"/>
                <w:szCs w:val="20"/>
              </w:rPr>
              <w:t>26</w:t>
            </w:r>
          </w:p>
        </w:tc>
        <w:tc>
          <w:tcPr>
            <w:tcW w:w="1244" w:type="dxa"/>
            <w:vAlign w:val="top"/>
          </w:tcPr>
          <w:p>
            <w:pPr>
              <w:pStyle w:val="17"/>
              <w:spacing w:before="234" w:line="231" w:lineRule="auto"/>
              <w:ind w:left="168"/>
              <w:rPr>
                <w:color w:val="auto"/>
                <w:sz w:val="20"/>
                <w:szCs w:val="20"/>
              </w:rPr>
            </w:pPr>
            <w:r>
              <w:rPr>
                <w:color w:val="auto"/>
                <w:spacing w:val="2"/>
                <w:sz w:val="20"/>
                <w:szCs w:val="20"/>
              </w:rPr>
              <w:t>17.3.3(2)</w:t>
            </w:r>
          </w:p>
        </w:tc>
        <w:tc>
          <w:tcPr>
            <w:tcW w:w="7351" w:type="dxa"/>
            <w:vAlign w:val="top"/>
          </w:tcPr>
          <w:p>
            <w:pPr>
              <w:pStyle w:val="17"/>
              <w:spacing w:before="218" w:line="243" w:lineRule="auto"/>
              <w:ind w:left="57"/>
              <w:rPr>
                <w:color w:val="auto"/>
                <w:sz w:val="20"/>
                <w:szCs w:val="20"/>
              </w:rPr>
            </w:pPr>
            <w:r>
              <w:rPr>
                <w:rFonts w:hint="eastAsia"/>
                <w:color w:val="auto"/>
                <w:sz w:val="20"/>
                <w:szCs w:val="20"/>
                <w:lang w:val="en-US" w:eastAsia="zh-CN"/>
              </w:rPr>
              <w:t>逾期付款违约金的利率： 0.15‰/天</w:t>
            </w:r>
          </w:p>
          <w:p>
            <w:pPr>
              <w:pStyle w:val="17"/>
              <w:spacing w:before="218" w:line="243" w:lineRule="auto"/>
              <w:ind w:left="57"/>
              <w:rPr>
                <w:color w:val="auto"/>
                <w:sz w:val="20"/>
                <w:szCs w:val="20"/>
              </w:rPr>
            </w:pPr>
          </w:p>
        </w:tc>
      </w:tr>
    </w:tbl>
    <w:p>
      <w:pPr>
        <w:spacing w:line="248" w:lineRule="auto"/>
        <w:rPr>
          <w:rFonts w:ascii="Arial"/>
          <w:sz w:val="21"/>
        </w:rPr>
      </w:pPr>
    </w:p>
    <w:p>
      <w:pPr>
        <w:spacing w:before="58" w:line="239" w:lineRule="auto"/>
        <w:ind w:left="83"/>
        <w:rPr>
          <w:rFonts w:ascii="宋体" w:hAnsi="宋体" w:eastAsia="宋体" w:cs="宋体"/>
          <w:sz w:val="18"/>
          <w:szCs w:val="18"/>
        </w:rPr>
      </w:pPr>
      <w:r>
        <w:rPr>
          <w:rFonts w:ascii="宋体" w:hAnsi="宋体" w:eastAsia="宋体" w:cs="宋体"/>
          <w:spacing w:val="-1"/>
          <w:sz w:val="18"/>
          <w:szCs w:val="18"/>
        </w:rPr>
        <w:t xml:space="preserve">① 逾期交工违约金限额一般应为 </w:t>
      </w:r>
      <w:r>
        <w:rPr>
          <w:rFonts w:ascii="Times New Roman" w:hAnsi="Times New Roman" w:eastAsia="Times New Roman" w:cs="Times New Roman"/>
          <w:spacing w:val="-1"/>
          <w:sz w:val="18"/>
          <w:szCs w:val="18"/>
        </w:rPr>
        <w:t>10%</w:t>
      </w:r>
      <w:r>
        <w:rPr>
          <w:rFonts w:ascii="宋体" w:hAnsi="宋体" w:eastAsia="宋体" w:cs="宋体"/>
          <w:spacing w:val="-1"/>
          <w:sz w:val="18"/>
          <w:szCs w:val="18"/>
        </w:rPr>
        <w:t>签约合同价。</w:t>
      </w:r>
    </w:p>
    <w:p>
      <w:pPr>
        <w:spacing w:line="217" w:lineRule="auto"/>
        <w:ind w:left="82"/>
        <w:rPr>
          <w:rFonts w:ascii="宋体" w:hAnsi="宋体" w:eastAsia="宋体" w:cs="宋体"/>
          <w:sz w:val="18"/>
          <w:szCs w:val="18"/>
        </w:rPr>
      </w:pPr>
      <w:r>
        <w:rPr>
          <w:rFonts w:ascii="宋体" w:hAnsi="宋体" w:eastAsia="宋体" w:cs="宋体"/>
          <w:spacing w:val="-1"/>
          <w:sz w:val="18"/>
          <w:szCs w:val="18"/>
        </w:rPr>
        <w:t>② 招标人可根据招标项目的实际需要确定是否设置。</w:t>
      </w:r>
    </w:p>
    <w:p>
      <w:pPr>
        <w:spacing w:before="21" w:line="217" w:lineRule="auto"/>
        <w:ind w:left="82"/>
        <w:rPr>
          <w:rFonts w:ascii="宋体" w:hAnsi="宋体" w:eastAsia="宋体" w:cs="宋体"/>
          <w:sz w:val="18"/>
          <w:szCs w:val="18"/>
        </w:rPr>
      </w:pPr>
      <w:r>
        <w:rPr>
          <w:rFonts w:ascii="宋体" w:hAnsi="宋体" w:eastAsia="宋体" w:cs="宋体"/>
          <w:spacing w:val="-1"/>
          <w:sz w:val="18"/>
          <w:szCs w:val="18"/>
        </w:rPr>
        <w:t>③ 招标人可根据招标项目的实际需要确定是否设置。</w:t>
      </w:r>
    </w:p>
    <w:p>
      <w:pPr>
        <w:spacing w:before="21" w:line="217" w:lineRule="auto"/>
        <w:ind w:left="82"/>
        <w:rPr>
          <w:rFonts w:ascii="宋体" w:hAnsi="宋体" w:eastAsia="宋体" w:cs="宋体"/>
          <w:sz w:val="18"/>
          <w:szCs w:val="18"/>
        </w:rPr>
      </w:pPr>
      <w:r>
        <w:rPr>
          <w:rFonts w:ascii="宋体" w:hAnsi="宋体" w:eastAsia="宋体" w:cs="宋体"/>
          <w:sz w:val="18"/>
          <w:szCs w:val="18"/>
        </w:rPr>
        <w:t>④ 招标人根据项目实际情况自行确定比例，比例为不超过</w:t>
      </w:r>
      <w:r>
        <w:rPr>
          <w:rFonts w:ascii="Times New Roman" w:hAnsi="Times New Roman" w:eastAsia="Times New Roman" w:cs="Times New Roman"/>
          <w:spacing w:val="-1"/>
          <w:sz w:val="18"/>
          <w:szCs w:val="18"/>
        </w:rPr>
        <w:t>2.5%</w:t>
      </w:r>
      <w:r>
        <w:rPr>
          <w:rFonts w:ascii="宋体" w:hAnsi="宋体" w:eastAsia="宋体" w:cs="宋体"/>
          <w:spacing w:val="-1"/>
          <w:sz w:val="18"/>
          <w:szCs w:val="18"/>
        </w:rPr>
        <w:t>。</w:t>
      </w:r>
    </w:p>
    <w:p>
      <w:pPr>
        <w:spacing w:before="20" w:line="239" w:lineRule="auto"/>
        <w:ind w:left="82"/>
        <w:rPr>
          <w:rFonts w:ascii="宋体" w:hAnsi="宋体" w:eastAsia="宋体" w:cs="宋体"/>
          <w:sz w:val="18"/>
          <w:szCs w:val="18"/>
        </w:rPr>
      </w:pPr>
      <w:r>
        <w:rPr>
          <w:rFonts w:ascii="宋体" w:hAnsi="宋体" w:eastAsia="宋体" w:cs="宋体"/>
          <w:sz w:val="18"/>
          <w:szCs w:val="18"/>
        </w:rPr>
        <w:t xml:space="preserve">⑤ 对于工程规模不大、工期较短的工程（例如工期不超过 </w:t>
      </w:r>
      <w:r>
        <w:rPr>
          <w:rFonts w:ascii="Times New Roman" w:hAnsi="Times New Roman" w:eastAsia="Times New Roman" w:cs="Times New Roman"/>
          <w:sz w:val="18"/>
          <w:szCs w:val="18"/>
        </w:rPr>
        <w:t>1</w:t>
      </w:r>
      <w:r>
        <w:rPr>
          <w:rFonts w:ascii="Times New Roman" w:hAnsi="Times New Roman" w:eastAsia="Times New Roman" w:cs="Times New Roman"/>
          <w:spacing w:val="-1"/>
          <w:sz w:val="18"/>
          <w:szCs w:val="18"/>
        </w:rPr>
        <w:t xml:space="preserve">2  </w:t>
      </w:r>
      <w:r>
        <w:rPr>
          <w:rFonts w:ascii="宋体" w:hAnsi="宋体" w:eastAsia="宋体" w:cs="宋体"/>
          <w:spacing w:val="-1"/>
          <w:sz w:val="18"/>
          <w:szCs w:val="18"/>
        </w:rPr>
        <w:t>个月的</w:t>
      </w:r>
      <w:r>
        <w:rPr>
          <w:rFonts w:ascii="宋体" w:hAnsi="宋体" w:eastAsia="宋体" w:cs="宋体"/>
          <w:spacing w:val="4"/>
          <w:sz w:val="18"/>
          <w:szCs w:val="18"/>
        </w:rPr>
        <w:t>），</w:t>
      </w:r>
      <w:r>
        <w:rPr>
          <w:rFonts w:ascii="宋体" w:hAnsi="宋体" w:eastAsia="宋体" w:cs="宋体"/>
          <w:spacing w:val="-1"/>
          <w:sz w:val="18"/>
          <w:szCs w:val="18"/>
        </w:rPr>
        <w:t>可以不进行调价。</w:t>
      </w:r>
    </w:p>
    <w:p>
      <w:pPr>
        <w:spacing w:before="21" w:line="220" w:lineRule="auto"/>
        <w:ind w:left="82"/>
        <w:rPr>
          <w:rFonts w:ascii="宋体" w:hAnsi="宋体" w:eastAsia="宋体" w:cs="宋体"/>
          <w:sz w:val="18"/>
          <w:szCs w:val="18"/>
        </w:rPr>
      </w:pPr>
      <w:r>
        <w:rPr>
          <w:rFonts w:ascii="宋体" w:hAnsi="宋体" w:eastAsia="宋体" w:cs="宋体"/>
          <w:sz w:val="18"/>
          <w:szCs w:val="18"/>
        </w:rPr>
        <w:t>⑦ 指主要材料，一般应为 70%～75%，最低不少</w:t>
      </w:r>
      <w:r>
        <w:rPr>
          <w:rFonts w:ascii="宋体" w:hAnsi="宋体" w:eastAsia="宋体" w:cs="宋体"/>
          <w:spacing w:val="-1"/>
          <w:sz w:val="18"/>
          <w:szCs w:val="18"/>
        </w:rPr>
        <w:t>于 60%。</w:t>
      </w:r>
    </w:p>
    <w:p>
      <w:pPr>
        <w:spacing w:before="18" w:line="220" w:lineRule="auto"/>
        <w:ind w:left="82"/>
        <w:rPr>
          <w:rFonts w:ascii="宋体" w:hAnsi="宋体" w:eastAsia="宋体" w:cs="宋体"/>
          <w:sz w:val="18"/>
          <w:szCs w:val="18"/>
        </w:rPr>
      </w:pPr>
      <w:r>
        <w:rPr>
          <w:rFonts w:ascii="宋体" w:hAnsi="宋体" w:eastAsia="宋体" w:cs="宋体"/>
          <w:sz w:val="18"/>
          <w:szCs w:val="18"/>
        </w:rPr>
        <w:t>⑧ 一般按月平均支付额的0.2～0.3倍计，以利于承包</w:t>
      </w:r>
      <w:r>
        <w:rPr>
          <w:rFonts w:ascii="宋体" w:hAnsi="宋体" w:eastAsia="宋体" w:cs="宋体"/>
          <w:spacing w:val="-1"/>
          <w:sz w:val="18"/>
          <w:szCs w:val="18"/>
        </w:rPr>
        <w:t>人资金周转。</w:t>
      </w:r>
    </w:p>
    <w:p>
      <w:pPr>
        <w:spacing w:before="18" w:line="220" w:lineRule="auto"/>
        <w:ind w:left="82"/>
        <w:rPr>
          <w:rFonts w:ascii="宋体" w:hAnsi="宋体" w:eastAsia="宋体" w:cs="宋体"/>
          <w:sz w:val="18"/>
          <w:szCs w:val="18"/>
        </w:rPr>
      </w:pPr>
      <w:r>
        <w:rPr>
          <w:rFonts w:ascii="宋体" w:hAnsi="宋体" w:eastAsia="宋体" w:cs="宋体"/>
          <w:sz w:val="18"/>
          <w:szCs w:val="18"/>
        </w:rPr>
        <w:t>⑨ 相当于中国人民银行短期贷款利率加手续费。招标人不能自行取消本项内容</w:t>
      </w:r>
      <w:r>
        <w:rPr>
          <w:rFonts w:ascii="宋体" w:hAnsi="宋体" w:eastAsia="宋体" w:cs="宋体"/>
          <w:spacing w:val="-1"/>
          <w:sz w:val="18"/>
          <w:szCs w:val="18"/>
        </w:rPr>
        <w:t>或降低利率。</w:t>
      </w:r>
    </w:p>
    <w:p>
      <w:pPr>
        <w:spacing w:before="228"/>
      </w:pPr>
      <w:r>
        <mc:AlternateContent>
          <mc:Choice Requires="wps">
            <w:drawing>
              <wp:anchor distT="0" distB="0" distL="114300" distR="114300" simplePos="0" relativeHeight="251661312" behindDoc="0" locked="0" layoutInCell="0" allowOverlap="1">
                <wp:simplePos x="0" y="0"/>
                <wp:positionH relativeFrom="page">
                  <wp:posOffset>899795</wp:posOffset>
                </wp:positionH>
                <wp:positionV relativeFrom="page">
                  <wp:posOffset>9269095</wp:posOffset>
                </wp:positionV>
                <wp:extent cx="1828800" cy="0"/>
                <wp:effectExtent l="4445" t="4445" r="5080" b="5080"/>
                <wp:wrapNone/>
                <wp:docPr id="80" name="任意多边形 80"/>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29.85pt;height:0pt;width:144pt;mso-position-horizontal-relative:page;mso-position-vertical-relative:page;z-index:251661312;mso-width-relative:page;mso-height-relative:page;" filled="f" stroked="t" coordsize="2880,1" o:allowincell="f" o:gfxdata="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A&#10;/14J1QAAAA0BAAAPAAAAAAAAAAEAIAAAACIAAABkcnMvZG93bnJldi54bWxQSwECFAAUAAAACACH&#10;TuJANXIBxCcCAACJBAAADgAAAAAAAAABACAAAAAkAQAAZHJzL2Uyb0RvYy54bWxQSwUGAAAAAAYA&#10;BgBZAQAAvQUAAAAA&#10;" path="m0,0l2880,0e">
                <v:fill on="f" focussize="0,0"/>
                <v:stroke weight="0pt" color="#000000" joinstyle="bevel" endcap="square"/>
                <v:imagedata o:title=""/>
                <o:lock v:ext="edit" aspectratio="f"/>
              </v:shape>
            </w:pict>
          </mc:Fallback>
        </mc:AlternateContent>
      </w:r>
    </w:p>
    <w:tbl>
      <w:tblPr>
        <w:tblStyle w:val="16"/>
        <w:tblW w:w="9304" w:type="dxa"/>
        <w:tblInd w:w="2" w:type="dxa"/>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Layout w:type="fixed"/>
        <w:tblCellMar>
          <w:top w:w="0" w:type="dxa"/>
          <w:left w:w="0" w:type="dxa"/>
          <w:bottom w:w="0" w:type="dxa"/>
          <w:right w:w="0" w:type="dxa"/>
        </w:tblCellMar>
      </w:tblPr>
      <w:tblGrid>
        <w:gridCol w:w="709"/>
        <w:gridCol w:w="1244"/>
        <w:gridCol w:w="7351"/>
      </w:tblGrid>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344" w:hRule="atLeast"/>
        </w:trPr>
        <w:tc>
          <w:tcPr>
            <w:tcW w:w="709" w:type="dxa"/>
            <w:vAlign w:val="top"/>
          </w:tcPr>
          <w:p>
            <w:pPr>
              <w:pStyle w:val="17"/>
              <w:spacing w:before="67" w:line="229" w:lineRule="auto"/>
              <w:ind w:left="148"/>
              <w:rPr>
                <w:sz w:val="20"/>
                <w:szCs w:val="20"/>
              </w:rPr>
            </w:pPr>
            <w:r>
              <w:rPr>
                <w:spacing w:val="6"/>
                <w:sz w:val="20"/>
                <w:szCs w:val="20"/>
                <w14:textOutline w14:w="3795" w14:cap="sq" w14:cmpd="sng">
                  <w14:solidFill>
                    <w14:srgbClr w14:val="000000"/>
                  </w14:solidFill>
                  <w14:prstDash w14:val="solid"/>
                  <w14:bevel/>
                </w14:textOutline>
              </w:rPr>
              <w:t>序号</w:t>
            </w:r>
          </w:p>
        </w:tc>
        <w:tc>
          <w:tcPr>
            <w:tcW w:w="1244" w:type="dxa"/>
            <w:vAlign w:val="top"/>
          </w:tcPr>
          <w:p>
            <w:pPr>
              <w:pStyle w:val="17"/>
              <w:spacing w:before="67" w:line="228" w:lineRule="auto"/>
              <w:ind w:left="313"/>
              <w:rPr>
                <w:sz w:val="20"/>
                <w:szCs w:val="20"/>
              </w:rPr>
            </w:pPr>
            <w:r>
              <w:rPr>
                <w:spacing w:val="7"/>
                <w:sz w:val="20"/>
                <w:szCs w:val="20"/>
                <w14:textOutline w14:w="3795" w14:cap="sq" w14:cmpd="sng">
                  <w14:solidFill>
                    <w14:srgbClr w14:val="000000"/>
                  </w14:solidFill>
                  <w14:prstDash w14:val="solid"/>
                  <w14:bevel/>
                </w14:textOutline>
              </w:rPr>
              <w:t>条目号</w:t>
            </w:r>
          </w:p>
        </w:tc>
        <w:tc>
          <w:tcPr>
            <w:tcW w:w="7351" w:type="dxa"/>
            <w:vAlign w:val="top"/>
          </w:tcPr>
          <w:p>
            <w:pPr>
              <w:pStyle w:val="17"/>
              <w:spacing w:before="35" w:line="228" w:lineRule="auto"/>
              <w:ind w:left="3154"/>
              <w:rPr>
                <w:sz w:val="20"/>
                <w:szCs w:val="20"/>
              </w:rPr>
            </w:pPr>
            <w:r>
              <w:rPr>
                <w:spacing w:val="8"/>
                <w:sz w:val="20"/>
                <w:szCs w:val="20"/>
                <w14:textOutline w14:w="3795" w14:cap="sq" w14:cmpd="sng">
                  <w14:solidFill>
                    <w14:srgbClr w14:val="000000"/>
                  </w14:solidFill>
                  <w14:prstDash w14:val="solid"/>
                  <w14:bevel/>
                </w14:textOutline>
              </w:rPr>
              <w:t>信息或数据</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579" w:hRule="atLeast"/>
        </w:trPr>
        <w:tc>
          <w:tcPr>
            <w:tcW w:w="709" w:type="dxa"/>
            <w:vAlign w:val="center"/>
          </w:tcPr>
          <w:p>
            <w:pPr>
              <w:pStyle w:val="17"/>
              <w:spacing w:before="65" w:line="189" w:lineRule="auto"/>
              <w:jc w:val="center"/>
              <w:rPr>
                <w:sz w:val="20"/>
                <w:szCs w:val="20"/>
              </w:rPr>
            </w:pPr>
            <w:r>
              <w:rPr>
                <w:spacing w:val="-1"/>
                <w:sz w:val="20"/>
                <w:szCs w:val="20"/>
              </w:rPr>
              <w:t>27</w:t>
            </w:r>
          </w:p>
        </w:tc>
        <w:tc>
          <w:tcPr>
            <w:tcW w:w="1244" w:type="dxa"/>
            <w:vAlign w:val="center"/>
          </w:tcPr>
          <w:p>
            <w:pPr>
              <w:pStyle w:val="17"/>
              <w:spacing w:before="65" w:line="190" w:lineRule="auto"/>
              <w:jc w:val="center"/>
              <w:rPr>
                <w:sz w:val="20"/>
                <w:szCs w:val="20"/>
              </w:rPr>
            </w:pPr>
            <w:r>
              <w:rPr>
                <w:spacing w:val="1"/>
                <w:sz w:val="20"/>
                <w:szCs w:val="20"/>
              </w:rPr>
              <w:t>17.4.1</w:t>
            </w:r>
          </w:p>
        </w:tc>
        <w:tc>
          <w:tcPr>
            <w:tcW w:w="7351" w:type="dxa"/>
            <w:vAlign w:val="center"/>
          </w:tcPr>
          <w:p>
            <w:pPr>
              <w:pStyle w:val="17"/>
              <w:spacing w:before="36" w:line="211" w:lineRule="auto"/>
              <w:ind w:left="80"/>
              <w:jc w:val="both"/>
              <w:rPr>
                <w:spacing w:val="9"/>
                <w:sz w:val="20"/>
                <w:szCs w:val="20"/>
              </w:rPr>
            </w:pPr>
            <w:r>
              <w:rPr>
                <w:spacing w:val="9"/>
                <w:sz w:val="20"/>
                <w:szCs w:val="20"/>
              </w:rPr>
              <w:t>质量保证金限额：</w:t>
            </w:r>
            <w:r>
              <w:rPr>
                <w:spacing w:val="9"/>
                <w:sz w:val="20"/>
                <w:szCs w:val="20"/>
                <w:u w:val="single" w:color="auto"/>
              </w:rPr>
              <w:t xml:space="preserve"> </w:t>
            </w:r>
            <w:r>
              <w:rPr>
                <w:rFonts w:hint="eastAsia"/>
                <w:spacing w:val="9"/>
                <w:sz w:val="20"/>
                <w:szCs w:val="20"/>
                <w:u w:val="single" w:color="auto"/>
                <w:lang w:val="en-US" w:eastAsia="zh-CN"/>
              </w:rPr>
              <w:t>3</w:t>
            </w:r>
            <w:r>
              <w:rPr>
                <w:spacing w:val="9"/>
                <w:sz w:val="20"/>
                <w:szCs w:val="20"/>
                <w:u w:val="single" w:color="auto"/>
              </w:rPr>
              <w:t xml:space="preserve"> </w:t>
            </w:r>
            <w:r>
              <w:rPr>
                <w:spacing w:val="-97"/>
                <w:sz w:val="20"/>
                <w:szCs w:val="20"/>
              </w:rPr>
              <w:t xml:space="preserve"> </w:t>
            </w:r>
            <w:r>
              <w:rPr>
                <w:spacing w:val="9"/>
                <w:sz w:val="20"/>
                <w:szCs w:val="20"/>
              </w:rPr>
              <w:t>%</w:t>
            </w:r>
            <w:r>
              <w:rPr>
                <w:spacing w:val="9"/>
                <w:position w:val="10"/>
                <w:sz w:val="10"/>
                <w:szCs w:val="10"/>
              </w:rPr>
              <w:t>①</w:t>
            </w:r>
            <w:r>
              <w:rPr>
                <w:spacing w:val="9"/>
                <w:sz w:val="20"/>
                <w:szCs w:val="20"/>
              </w:rPr>
              <w:t>合同价格。</w:t>
            </w:r>
          </w:p>
          <w:p>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质量保证金是否计付利息： </w:t>
            </w:r>
          </w:p>
          <w:p>
            <w:pPr>
              <w:keepNext w:val="0"/>
              <w:keepLines w:val="0"/>
              <w:widowControl/>
              <w:suppressLineNumbers w:val="0"/>
              <w:jc w:val="left"/>
            </w:pPr>
            <w:r>
              <w:rPr>
                <w:rFonts w:hint="eastAsia" w:ascii="宋体" w:hAnsi="宋体" w:eastAsia="宋体" w:cs="宋体"/>
                <w:snapToGrid w:val="0"/>
                <w:color w:val="000000"/>
                <w:kern w:val="0"/>
                <w:sz w:val="20"/>
                <w:szCs w:val="20"/>
                <w:lang w:val="en-US" w:eastAsia="zh-CN" w:bidi="ar"/>
              </w:rPr>
              <w:t xml:space="preserve">□是，利息的计算方式： </w:t>
            </w:r>
          </w:p>
          <w:p>
            <w:pPr>
              <w:keepNext w:val="0"/>
              <w:keepLines w:val="0"/>
              <w:widowControl/>
              <w:suppressLineNumbers w:val="0"/>
              <w:jc w:val="left"/>
            </w:pPr>
            <w:r>
              <w:rPr>
                <w:rFonts w:ascii="MS PMincho" w:hAnsi="MS PMincho" w:eastAsia="MS PMincho" w:cs="MS PMincho"/>
                <w:snapToGrid w:val="0"/>
                <w:color w:val="000000"/>
                <w:kern w:val="0"/>
                <w:sz w:val="19"/>
                <w:szCs w:val="19"/>
                <w:lang w:val="en-US" w:eastAsia="zh-CN" w:bidi="ar"/>
              </w:rPr>
              <w:t>☑</w:t>
            </w:r>
            <w:r>
              <w:rPr>
                <w:rFonts w:hint="eastAsia" w:ascii="宋体" w:hAnsi="宋体" w:eastAsia="宋体" w:cs="宋体"/>
                <w:snapToGrid w:val="0"/>
                <w:color w:val="000000"/>
                <w:kern w:val="0"/>
                <w:sz w:val="20"/>
                <w:szCs w:val="20"/>
                <w:lang w:val="en-US" w:eastAsia="zh-CN" w:bidi="ar"/>
              </w:rPr>
              <w:t>否</w:t>
            </w:r>
          </w:p>
          <w:p>
            <w:pPr>
              <w:pStyle w:val="17"/>
              <w:spacing w:before="36" w:line="211" w:lineRule="auto"/>
              <w:ind w:left="80"/>
              <w:jc w:val="both"/>
              <w:rPr>
                <w:spacing w:val="9"/>
                <w:sz w:val="20"/>
                <w:szCs w:val="20"/>
              </w:rPr>
            </w:pP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675" w:hRule="atLeast"/>
        </w:trPr>
        <w:tc>
          <w:tcPr>
            <w:tcW w:w="709" w:type="dxa"/>
            <w:vAlign w:val="top"/>
          </w:tcPr>
          <w:p>
            <w:pPr>
              <w:pStyle w:val="17"/>
              <w:spacing w:before="262" w:line="189" w:lineRule="auto"/>
              <w:ind w:left="257"/>
              <w:rPr>
                <w:sz w:val="20"/>
                <w:szCs w:val="20"/>
              </w:rPr>
            </w:pPr>
            <w:r>
              <w:rPr>
                <w:spacing w:val="-1"/>
                <w:sz w:val="20"/>
                <w:szCs w:val="20"/>
              </w:rPr>
              <w:t>28</w:t>
            </w:r>
          </w:p>
        </w:tc>
        <w:tc>
          <w:tcPr>
            <w:tcW w:w="1244" w:type="dxa"/>
            <w:vAlign w:val="top"/>
          </w:tcPr>
          <w:p>
            <w:pPr>
              <w:pStyle w:val="17"/>
              <w:spacing w:before="229"/>
              <w:ind w:left="72"/>
              <w:rPr>
                <w:sz w:val="20"/>
                <w:szCs w:val="20"/>
              </w:rPr>
            </w:pPr>
            <w:r>
              <w:rPr>
                <w:spacing w:val="2"/>
                <w:sz w:val="20"/>
                <w:szCs w:val="20"/>
              </w:rPr>
              <w:t>17.5.1（1）</w:t>
            </w:r>
          </w:p>
        </w:tc>
        <w:tc>
          <w:tcPr>
            <w:tcW w:w="7351" w:type="dxa"/>
            <w:vAlign w:val="top"/>
          </w:tcPr>
          <w:p>
            <w:pPr>
              <w:pStyle w:val="17"/>
              <w:spacing w:before="229" w:line="227" w:lineRule="auto"/>
              <w:ind w:left="58"/>
              <w:rPr>
                <w:sz w:val="20"/>
                <w:szCs w:val="20"/>
              </w:rPr>
            </w:pPr>
            <w:r>
              <w:rPr>
                <w:spacing w:val="9"/>
                <w:sz w:val="20"/>
                <w:szCs w:val="20"/>
              </w:rPr>
              <w:t>承包人向监理人提交交工付款申请单(包括相关证明材料)的份数：</w:t>
            </w:r>
            <w:r>
              <w:rPr>
                <w:spacing w:val="20"/>
                <w:sz w:val="20"/>
                <w:szCs w:val="20"/>
                <w:u w:val="single" w:color="010101"/>
              </w:rPr>
              <w:t xml:space="preserve"> </w:t>
            </w:r>
            <w:r>
              <w:rPr>
                <w:rFonts w:hint="eastAsia"/>
                <w:spacing w:val="20"/>
                <w:sz w:val="20"/>
                <w:szCs w:val="20"/>
                <w:u w:val="single" w:color="010101"/>
                <w:lang w:val="en-US" w:eastAsia="zh-CN"/>
              </w:rPr>
              <w:t>6</w:t>
            </w:r>
            <w:r>
              <w:rPr>
                <w:spacing w:val="-91"/>
                <w:sz w:val="20"/>
                <w:szCs w:val="20"/>
              </w:rPr>
              <w:t xml:space="preserve"> </w:t>
            </w:r>
            <w:r>
              <w:rPr>
                <w:spacing w:val="9"/>
                <w:sz w:val="20"/>
                <w:szCs w:val="20"/>
              </w:rPr>
              <w:t>份</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675" w:hRule="atLeast"/>
        </w:trPr>
        <w:tc>
          <w:tcPr>
            <w:tcW w:w="709" w:type="dxa"/>
            <w:vAlign w:val="top"/>
          </w:tcPr>
          <w:p>
            <w:pPr>
              <w:pStyle w:val="17"/>
              <w:spacing w:before="263" w:line="189" w:lineRule="auto"/>
              <w:ind w:left="257"/>
              <w:rPr>
                <w:sz w:val="20"/>
                <w:szCs w:val="20"/>
              </w:rPr>
            </w:pPr>
            <w:r>
              <w:rPr>
                <w:spacing w:val="-1"/>
                <w:sz w:val="20"/>
                <w:szCs w:val="20"/>
              </w:rPr>
              <w:t>29</w:t>
            </w:r>
          </w:p>
        </w:tc>
        <w:tc>
          <w:tcPr>
            <w:tcW w:w="1244" w:type="dxa"/>
            <w:vAlign w:val="top"/>
          </w:tcPr>
          <w:p>
            <w:pPr>
              <w:pStyle w:val="17"/>
              <w:spacing w:before="230"/>
              <w:ind w:left="72"/>
              <w:rPr>
                <w:sz w:val="20"/>
                <w:szCs w:val="20"/>
              </w:rPr>
            </w:pPr>
            <w:r>
              <w:rPr>
                <w:spacing w:val="2"/>
                <w:sz w:val="20"/>
                <w:szCs w:val="20"/>
              </w:rPr>
              <w:t>17.6.1（1）</w:t>
            </w:r>
          </w:p>
        </w:tc>
        <w:tc>
          <w:tcPr>
            <w:tcW w:w="7351" w:type="dxa"/>
            <w:vAlign w:val="top"/>
          </w:tcPr>
          <w:p>
            <w:pPr>
              <w:pStyle w:val="17"/>
              <w:spacing w:before="230" w:line="227" w:lineRule="auto"/>
              <w:ind w:left="58"/>
              <w:rPr>
                <w:sz w:val="20"/>
                <w:szCs w:val="20"/>
              </w:rPr>
            </w:pPr>
            <w:r>
              <w:rPr>
                <w:spacing w:val="9"/>
                <w:sz w:val="20"/>
                <w:szCs w:val="20"/>
              </w:rPr>
              <w:t>承包人向监理人提交最终结清申请单(包括相关证明材料)的份数：</w:t>
            </w:r>
            <w:r>
              <w:rPr>
                <w:spacing w:val="20"/>
                <w:sz w:val="20"/>
                <w:szCs w:val="20"/>
                <w:u w:val="single" w:color="010101"/>
              </w:rPr>
              <w:t xml:space="preserve"> </w:t>
            </w:r>
            <w:r>
              <w:rPr>
                <w:rFonts w:hint="eastAsia"/>
                <w:spacing w:val="20"/>
                <w:sz w:val="20"/>
                <w:szCs w:val="20"/>
                <w:u w:val="single" w:color="010101"/>
                <w:lang w:val="en-US" w:eastAsia="zh-CN"/>
              </w:rPr>
              <w:t>6</w:t>
            </w:r>
            <w:r>
              <w:rPr>
                <w:spacing w:val="20"/>
                <w:sz w:val="20"/>
                <w:szCs w:val="20"/>
                <w:u w:val="single" w:color="010101"/>
              </w:rPr>
              <w:t xml:space="preserve"> </w:t>
            </w:r>
            <w:r>
              <w:rPr>
                <w:spacing w:val="-91"/>
                <w:sz w:val="20"/>
                <w:szCs w:val="20"/>
              </w:rPr>
              <w:t xml:space="preserve"> </w:t>
            </w:r>
            <w:r>
              <w:rPr>
                <w:spacing w:val="9"/>
                <w:sz w:val="20"/>
                <w:szCs w:val="20"/>
              </w:rPr>
              <w:t>份</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675" w:hRule="atLeast"/>
        </w:trPr>
        <w:tc>
          <w:tcPr>
            <w:tcW w:w="709" w:type="dxa"/>
            <w:vAlign w:val="top"/>
          </w:tcPr>
          <w:p>
            <w:pPr>
              <w:pStyle w:val="17"/>
              <w:spacing w:before="262" w:line="189" w:lineRule="auto"/>
              <w:ind w:left="259"/>
              <w:rPr>
                <w:sz w:val="20"/>
                <w:szCs w:val="20"/>
              </w:rPr>
            </w:pPr>
            <w:r>
              <w:rPr>
                <w:spacing w:val="-2"/>
                <w:sz w:val="20"/>
                <w:szCs w:val="20"/>
              </w:rPr>
              <w:t>30</w:t>
            </w:r>
          </w:p>
        </w:tc>
        <w:tc>
          <w:tcPr>
            <w:tcW w:w="1244" w:type="dxa"/>
            <w:vAlign w:val="top"/>
          </w:tcPr>
          <w:p>
            <w:pPr>
              <w:pStyle w:val="17"/>
              <w:spacing w:before="229"/>
              <w:ind w:left="168"/>
              <w:rPr>
                <w:sz w:val="20"/>
                <w:szCs w:val="20"/>
              </w:rPr>
            </w:pPr>
            <w:r>
              <w:rPr>
                <w:spacing w:val="1"/>
                <w:sz w:val="20"/>
                <w:szCs w:val="20"/>
              </w:rPr>
              <w:t>18.2（2）</w:t>
            </w:r>
          </w:p>
        </w:tc>
        <w:tc>
          <w:tcPr>
            <w:tcW w:w="7351" w:type="dxa"/>
            <w:vAlign w:val="top"/>
          </w:tcPr>
          <w:p>
            <w:pPr>
              <w:pStyle w:val="17"/>
              <w:spacing w:before="229" w:line="228" w:lineRule="auto"/>
              <w:ind w:left="59"/>
              <w:rPr>
                <w:sz w:val="20"/>
                <w:szCs w:val="20"/>
              </w:rPr>
            </w:pPr>
            <w:r>
              <w:rPr>
                <w:spacing w:val="7"/>
                <w:sz w:val="20"/>
                <w:szCs w:val="20"/>
              </w:rPr>
              <w:t>竣工资料的份数：</w:t>
            </w:r>
            <w:r>
              <w:rPr>
                <w:rFonts w:hint="eastAsia"/>
                <w:spacing w:val="15"/>
                <w:sz w:val="20"/>
                <w:szCs w:val="20"/>
                <w:u w:val="single" w:color="010101"/>
                <w:lang w:val="en-US" w:eastAsia="zh-CN"/>
              </w:rPr>
              <w:t>6</w:t>
            </w:r>
            <w:r>
              <w:rPr>
                <w:spacing w:val="-86"/>
                <w:sz w:val="20"/>
                <w:szCs w:val="20"/>
              </w:rPr>
              <w:t xml:space="preserve"> </w:t>
            </w:r>
            <w:r>
              <w:rPr>
                <w:spacing w:val="7"/>
                <w:sz w:val="20"/>
                <w:szCs w:val="20"/>
              </w:rPr>
              <w:t>份</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1128" w:hRule="atLeast"/>
        </w:trPr>
        <w:tc>
          <w:tcPr>
            <w:tcW w:w="709" w:type="dxa"/>
            <w:vAlign w:val="top"/>
          </w:tcPr>
          <w:p>
            <w:pPr>
              <w:spacing w:line="247" w:lineRule="auto"/>
              <w:rPr>
                <w:rFonts w:ascii="Arial"/>
                <w:sz w:val="21"/>
              </w:rPr>
            </w:pPr>
          </w:p>
          <w:p>
            <w:pPr>
              <w:spacing w:line="248" w:lineRule="auto"/>
              <w:rPr>
                <w:rFonts w:ascii="Arial"/>
                <w:sz w:val="21"/>
              </w:rPr>
            </w:pPr>
          </w:p>
          <w:p>
            <w:pPr>
              <w:pStyle w:val="17"/>
              <w:spacing w:before="65" w:line="190" w:lineRule="auto"/>
              <w:ind w:left="259"/>
              <w:rPr>
                <w:sz w:val="20"/>
                <w:szCs w:val="20"/>
              </w:rPr>
            </w:pPr>
            <w:r>
              <w:rPr>
                <w:spacing w:val="-2"/>
                <w:sz w:val="20"/>
                <w:szCs w:val="20"/>
              </w:rPr>
              <w:t>31</w:t>
            </w:r>
          </w:p>
        </w:tc>
        <w:tc>
          <w:tcPr>
            <w:tcW w:w="1244" w:type="dxa"/>
            <w:vAlign w:val="top"/>
          </w:tcPr>
          <w:p>
            <w:pPr>
              <w:spacing w:line="247" w:lineRule="auto"/>
              <w:rPr>
                <w:rFonts w:ascii="Arial"/>
                <w:sz w:val="21"/>
              </w:rPr>
            </w:pPr>
          </w:p>
          <w:p>
            <w:pPr>
              <w:spacing w:line="248" w:lineRule="auto"/>
              <w:rPr>
                <w:rFonts w:ascii="Arial"/>
                <w:sz w:val="21"/>
              </w:rPr>
            </w:pPr>
          </w:p>
          <w:p>
            <w:pPr>
              <w:pStyle w:val="17"/>
              <w:spacing w:before="65" w:line="190" w:lineRule="auto"/>
              <w:ind w:left="327"/>
              <w:rPr>
                <w:sz w:val="20"/>
                <w:szCs w:val="20"/>
              </w:rPr>
            </w:pPr>
            <w:r>
              <w:rPr>
                <w:spacing w:val="1"/>
                <w:sz w:val="20"/>
                <w:szCs w:val="20"/>
              </w:rPr>
              <w:t>18.5.1</w:t>
            </w:r>
          </w:p>
        </w:tc>
        <w:tc>
          <w:tcPr>
            <w:tcW w:w="7351" w:type="dxa"/>
            <w:vAlign w:val="top"/>
          </w:tcPr>
          <w:p>
            <w:pPr>
              <w:pStyle w:val="17"/>
              <w:spacing w:before="174" w:line="228" w:lineRule="auto"/>
              <w:ind w:left="60"/>
              <w:rPr>
                <w:sz w:val="20"/>
                <w:szCs w:val="20"/>
              </w:rPr>
            </w:pPr>
            <w:r>
              <w:rPr>
                <w:spacing w:val="9"/>
                <w:sz w:val="20"/>
                <w:szCs w:val="20"/>
              </w:rPr>
              <w:t>单位工程或工程设备是否需投入施工期运行：</w:t>
            </w:r>
            <w:r>
              <w:rPr>
                <w:spacing w:val="9"/>
                <w:sz w:val="20"/>
                <w:szCs w:val="20"/>
                <w:u w:val="single" w:color="010101"/>
              </w:rPr>
              <w:t xml:space="preserve"> 否</w:t>
            </w:r>
          </w:p>
          <w:p>
            <w:pPr>
              <w:pStyle w:val="17"/>
              <w:spacing w:before="45" w:line="228" w:lineRule="auto"/>
              <w:ind w:left="62"/>
              <w:rPr>
                <w:sz w:val="20"/>
                <w:szCs w:val="20"/>
              </w:rPr>
            </w:pPr>
            <w:r>
              <w:rPr>
                <w:spacing w:val="13"/>
                <w:sz w:val="20"/>
                <w:szCs w:val="20"/>
              </w:rPr>
              <w:t>如单位工程或工程设备需要进行施工期运行，需要</w:t>
            </w:r>
            <w:r>
              <w:rPr>
                <w:spacing w:val="12"/>
                <w:sz w:val="20"/>
                <w:szCs w:val="20"/>
              </w:rPr>
              <w:t>施工期运行的单位工程或工</w:t>
            </w:r>
          </w:p>
          <w:p>
            <w:pPr>
              <w:pStyle w:val="17"/>
              <w:spacing w:before="26" w:line="228" w:lineRule="auto"/>
              <w:ind w:left="58"/>
              <w:rPr>
                <w:sz w:val="20"/>
                <w:szCs w:val="20"/>
              </w:rPr>
            </w:pPr>
            <w:r>
              <w:rPr>
                <w:spacing w:val="9"/>
                <w:sz w:val="20"/>
                <w:szCs w:val="20"/>
              </w:rPr>
              <w:t>程设备规定如下：</w:t>
            </w:r>
            <w:r>
              <w:rPr>
                <w:sz w:val="20"/>
                <w:szCs w:val="20"/>
                <w:u w:val="single" w:color="auto"/>
              </w:rPr>
              <w:t xml:space="preserve">                           </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1128" w:hRule="atLeast"/>
        </w:trPr>
        <w:tc>
          <w:tcPr>
            <w:tcW w:w="709" w:type="dxa"/>
            <w:vAlign w:val="top"/>
          </w:tcPr>
          <w:p>
            <w:pPr>
              <w:spacing w:line="424" w:lineRule="auto"/>
              <w:rPr>
                <w:rFonts w:ascii="Arial"/>
                <w:sz w:val="21"/>
              </w:rPr>
            </w:pPr>
          </w:p>
          <w:p>
            <w:pPr>
              <w:pStyle w:val="17"/>
              <w:spacing w:before="65" w:line="189" w:lineRule="auto"/>
              <w:ind w:left="259"/>
              <w:rPr>
                <w:sz w:val="20"/>
                <w:szCs w:val="20"/>
              </w:rPr>
            </w:pPr>
            <w:r>
              <w:rPr>
                <w:spacing w:val="-2"/>
                <w:sz w:val="20"/>
                <w:szCs w:val="20"/>
              </w:rPr>
              <w:t>32</w:t>
            </w:r>
          </w:p>
        </w:tc>
        <w:tc>
          <w:tcPr>
            <w:tcW w:w="1244" w:type="dxa"/>
            <w:vAlign w:val="top"/>
          </w:tcPr>
          <w:p>
            <w:pPr>
              <w:spacing w:line="423" w:lineRule="auto"/>
              <w:rPr>
                <w:rFonts w:ascii="Arial"/>
                <w:sz w:val="21"/>
              </w:rPr>
            </w:pPr>
          </w:p>
          <w:p>
            <w:pPr>
              <w:pStyle w:val="17"/>
              <w:spacing w:before="65" w:line="190" w:lineRule="auto"/>
              <w:ind w:left="327"/>
              <w:rPr>
                <w:sz w:val="20"/>
                <w:szCs w:val="20"/>
              </w:rPr>
            </w:pPr>
            <w:r>
              <w:rPr>
                <w:spacing w:val="1"/>
                <w:sz w:val="20"/>
                <w:szCs w:val="20"/>
              </w:rPr>
              <w:t>18.6.1</w:t>
            </w:r>
          </w:p>
        </w:tc>
        <w:tc>
          <w:tcPr>
            <w:tcW w:w="7351" w:type="dxa"/>
            <w:vAlign w:val="top"/>
          </w:tcPr>
          <w:p>
            <w:pPr>
              <w:pStyle w:val="17"/>
              <w:spacing w:before="252" w:line="227" w:lineRule="auto"/>
              <w:ind w:left="59"/>
              <w:rPr>
                <w:sz w:val="20"/>
                <w:szCs w:val="20"/>
              </w:rPr>
            </w:pPr>
            <w:r>
              <w:rPr>
                <w:spacing w:val="9"/>
                <w:sz w:val="20"/>
                <w:szCs w:val="20"/>
              </w:rPr>
              <w:t>本工程及工程设备是否进行试运行：</w:t>
            </w:r>
            <w:r>
              <w:rPr>
                <w:spacing w:val="9"/>
                <w:sz w:val="20"/>
                <w:szCs w:val="20"/>
                <w:u w:val="single" w:color="010101"/>
              </w:rPr>
              <w:t xml:space="preserve"> 否</w:t>
            </w:r>
            <w:r>
              <w:rPr>
                <w:spacing w:val="1"/>
                <w:sz w:val="20"/>
                <w:szCs w:val="20"/>
                <w:u w:val="single" w:color="010101"/>
              </w:rPr>
              <w:t xml:space="preserve">  </w:t>
            </w:r>
          </w:p>
          <w:p>
            <w:pPr>
              <w:pStyle w:val="17"/>
              <w:spacing w:before="164" w:line="227" w:lineRule="auto"/>
              <w:ind w:left="62"/>
              <w:rPr>
                <w:sz w:val="20"/>
                <w:szCs w:val="20"/>
              </w:rPr>
            </w:pPr>
            <w:r>
              <w:rPr>
                <w:spacing w:val="7"/>
                <w:sz w:val="20"/>
                <w:szCs w:val="20"/>
              </w:rPr>
              <w:t>如本工程及工程设备需要进行试运行，试运行的具体规定如下：</w:t>
            </w:r>
            <w:r>
              <w:rPr>
                <w:spacing w:val="7"/>
                <w:sz w:val="20"/>
                <w:szCs w:val="20"/>
                <w:u w:val="single" w:color="010101"/>
              </w:rPr>
              <w:t xml:space="preserve">            </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1086" w:hRule="atLeast"/>
        </w:trPr>
        <w:tc>
          <w:tcPr>
            <w:tcW w:w="709" w:type="dxa"/>
            <w:vAlign w:val="top"/>
          </w:tcPr>
          <w:p>
            <w:pPr>
              <w:spacing w:line="248" w:lineRule="auto"/>
              <w:rPr>
                <w:rFonts w:ascii="Arial"/>
                <w:sz w:val="21"/>
              </w:rPr>
            </w:pPr>
          </w:p>
          <w:p>
            <w:pPr>
              <w:spacing w:line="248" w:lineRule="auto"/>
              <w:rPr>
                <w:rFonts w:ascii="Arial"/>
                <w:sz w:val="21"/>
              </w:rPr>
            </w:pPr>
          </w:p>
          <w:p>
            <w:pPr>
              <w:pStyle w:val="17"/>
              <w:spacing w:before="65" w:line="189" w:lineRule="auto"/>
              <w:ind w:left="259"/>
              <w:rPr>
                <w:sz w:val="20"/>
                <w:szCs w:val="20"/>
              </w:rPr>
            </w:pPr>
            <w:r>
              <w:rPr>
                <w:spacing w:val="-2"/>
                <w:sz w:val="20"/>
                <w:szCs w:val="20"/>
              </w:rPr>
              <w:t>33</w:t>
            </w:r>
          </w:p>
        </w:tc>
        <w:tc>
          <w:tcPr>
            <w:tcW w:w="1244" w:type="dxa"/>
            <w:vAlign w:val="top"/>
          </w:tcPr>
          <w:p>
            <w:pPr>
              <w:spacing w:line="243" w:lineRule="auto"/>
              <w:rPr>
                <w:rFonts w:ascii="Arial"/>
                <w:sz w:val="21"/>
              </w:rPr>
            </w:pPr>
          </w:p>
          <w:p>
            <w:pPr>
              <w:spacing w:line="244" w:lineRule="auto"/>
              <w:rPr>
                <w:rFonts w:ascii="Arial"/>
                <w:sz w:val="21"/>
              </w:rPr>
            </w:pPr>
          </w:p>
          <w:p>
            <w:pPr>
              <w:pStyle w:val="17"/>
              <w:spacing w:before="65"/>
              <w:ind w:left="168"/>
              <w:rPr>
                <w:sz w:val="20"/>
                <w:szCs w:val="20"/>
              </w:rPr>
            </w:pPr>
            <w:r>
              <w:rPr>
                <w:spacing w:val="1"/>
                <w:sz w:val="20"/>
                <w:szCs w:val="20"/>
              </w:rPr>
              <w:t>19.7（1）</w:t>
            </w:r>
          </w:p>
        </w:tc>
        <w:tc>
          <w:tcPr>
            <w:tcW w:w="7351" w:type="dxa"/>
            <w:vAlign w:val="top"/>
          </w:tcPr>
          <w:p>
            <w:pPr>
              <w:pStyle w:val="17"/>
              <w:spacing w:before="264" w:line="264" w:lineRule="exact"/>
              <w:ind w:left="59"/>
              <w:rPr>
                <w:sz w:val="20"/>
                <w:szCs w:val="20"/>
              </w:rPr>
            </w:pPr>
            <w:r>
              <w:rPr>
                <w:spacing w:val="5"/>
                <w:sz w:val="20"/>
                <w:szCs w:val="20"/>
              </w:rPr>
              <w:t>保修期</w:t>
            </w:r>
            <w:r>
              <w:rPr>
                <w:spacing w:val="5"/>
                <w:position w:val="9"/>
                <w:sz w:val="10"/>
                <w:szCs w:val="10"/>
              </w:rPr>
              <w:t>②</w:t>
            </w:r>
            <w:r>
              <w:rPr>
                <w:spacing w:val="5"/>
                <w:sz w:val="20"/>
                <w:szCs w:val="20"/>
              </w:rPr>
              <w:t>：</w:t>
            </w:r>
          </w:p>
          <w:p>
            <w:pPr>
              <w:pStyle w:val="17"/>
              <w:spacing w:before="27" w:line="228" w:lineRule="auto"/>
              <w:ind w:left="69"/>
              <w:rPr>
                <w:sz w:val="20"/>
                <w:szCs w:val="20"/>
              </w:rPr>
            </w:pPr>
            <w:r>
              <w:rPr>
                <w:spacing w:val="8"/>
                <w:sz w:val="20"/>
                <w:szCs w:val="20"/>
              </w:rPr>
              <w:t>自本项目实际交工日期之日起计算</w:t>
            </w:r>
            <w:r>
              <w:rPr>
                <w:spacing w:val="8"/>
                <w:sz w:val="20"/>
                <w:szCs w:val="20"/>
                <w:u w:val="single" w:color="auto"/>
              </w:rPr>
              <w:t xml:space="preserve"> </w:t>
            </w:r>
            <w:r>
              <w:rPr>
                <w:rFonts w:hint="eastAsia"/>
                <w:spacing w:val="8"/>
                <w:sz w:val="20"/>
                <w:szCs w:val="20"/>
                <w:u w:val="single" w:color="auto"/>
                <w:lang w:val="en-US" w:eastAsia="zh-CN"/>
              </w:rPr>
              <w:t>5</w:t>
            </w:r>
            <w:r>
              <w:rPr>
                <w:spacing w:val="8"/>
                <w:sz w:val="20"/>
                <w:szCs w:val="20"/>
                <w:u w:val="single" w:color="auto"/>
              </w:rPr>
              <w:t xml:space="preserve"> </w:t>
            </w:r>
            <w:r>
              <w:rPr>
                <w:spacing w:val="-90"/>
                <w:sz w:val="20"/>
                <w:szCs w:val="20"/>
              </w:rPr>
              <w:t xml:space="preserve"> </w:t>
            </w:r>
            <w:r>
              <w:rPr>
                <w:spacing w:val="8"/>
                <w:sz w:val="20"/>
                <w:szCs w:val="20"/>
              </w:rPr>
              <w:t>年</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675" w:hRule="atLeast"/>
        </w:trPr>
        <w:tc>
          <w:tcPr>
            <w:tcW w:w="709" w:type="dxa"/>
            <w:vAlign w:val="top"/>
          </w:tcPr>
          <w:p>
            <w:pPr>
              <w:pStyle w:val="17"/>
              <w:spacing w:before="267" w:line="189" w:lineRule="auto"/>
              <w:ind w:left="259"/>
              <w:rPr>
                <w:sz w:val="20"/>
                <w:szCs w:val="20"/>
              </w:rPr>
            </w:pPr>
            <w:r>
              <w:rPr>
                <w:spacing w:val="-2"/>
                <w:sz w:val="20"/>
                <w:szCs w:val="20"/>
              </w:rPr>
              <w:t>34</w:t>
            </w:r>
          </w:p>
        </w:tc>
        <w:tc>
          <w:tcPr>
            <w:tcW w:w="1244" w:type="dxa"/>
            <w:vAlign w:val="top"/>
          </w:tcPr>
          <w:p>
            <w:pPr>
              <w:pStyle w:val="17"/>
              <w:spacing w:before="266" w:line="190" w:lineRule="auto"/>
              <w:ind w:left="417"/>
              <w:rPr>
                <w:sz w:val="20"/>
                <w:szCs w:val="20"/>
              </w:rPr>
            </w:pPr>
            <w:r>
              <w:rPr>
                <w:spacing w:val="2"/>
                <w:sz w:val="20"/>
                <w:szCs w:val="20"/>
              </w:rPr>
              <w:t>20.1</w:t>
            </w:r>
          </w:p>
        </w:tc>
        <w:tc>
          <w:tcPr>
            <w:tcW w:w="7351" w:type="dxa"/>
            <w:vAlign w:val="top"/>
          </w:tcPr>
          <w:p>
            <w:pPr>
              <w:pStyle w:val="17"/>
              <w:spacing w:before="234" w:line="228" w:lineRule="auto"/>
              <w:ind w:left="61"/>
              <w:rPr>
                <w:sz w:val="20"/>
                <w:szCs w:val="20"/>
              </w:rPr>
            </w:pPr>
            <w:r>
              <w:rPr>
                <w:spacing w:val="8"/>
                <w:sz w:val="20"/>
                <w:szCs w:val="20"/>
              </w:rPr>
              <w:t>建筑工程一切险及第三者责任险的保险费率：</w:t>
            </w:r>
            <w:r>
              <w:rPr>
                <w:rFonts w:hint="eastAsia"/>
                <w:spacing w:val="20"/>
                <w:sz w:val="20"/>
                <w:szCs w:val="20"/>
                <w:u w:val="single" w:color="010101"/>
                <w:lang w:val="en-US" w:eastAsia="zh-CN"/>
              </w:rPr>
              <w:t>4.5</w:t>
            </w:r>
            <w:r>
              <w:rPr>
                <w:spacing w:val="-82"/>
                <w:sz w:val="20"/>
                <w:szCs w:val="20"/>
              </w:rPr>
              <w:t xml:space="preserve"> </w:t>
            </w:r>
            <w:r>
              <w:rPr>
                <w:spacing w:val="8"/>
                <w:sz w:val="20"/>
                <w:szCs w:val="20"/>
              </w:rPr>
              <w:t>‰；</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675" w:hRule="atLeast"/>
        </w:trPr>
        <w:tc>
          <w:tcPr>
            <w:tcW w:w="709" w:type="dxa"/>
            <w:vAlign w:val="top"/>
          </w:tcPr>
          <w:p>
            <w:pPr>
              <w:pStyle w:val="17"/>
              <w:spacing w:before="266" w:line="189" w:lineRule="auto"/>
              <w:ind w:left="259"/>
              <w:rPr>
                <w:sz w:val="20"/>
                <w:szCs w:val="20"/>
              </w:rPr>
            </w:pPr>
            <w:r>
              <w:rPr>
                <w:spacing w:val="-2"/>
                <w:sz w:val="20"/>
                <w:szCs w:val="20"/>
              </w:rPr>
              <w:t>35</w:t>
            </w:r>
          </w:p>
        </w:tc>
        <w:tc>
          <w:tcPr>
            <w:tcW w:w="1244" w:type="dxa"/>
            <w:vAlign w:val="top"/>
          </w:tcPr>
          <w:p>
            <w:pPr>
              <w:spacing w:line="269" w:lineRule="auto"/>
              <w:rPr>
                <w:rFonts w:ascii="Arial"/>
                <w:sz w:val="21"/>
              </w:rPr>
            </w:pPr>
          </w:p>
          <w:p>
            <w:pPr>
              <w:pStyle w:val="17"/>
              <w:spacing w:before="65" w:line="189" w:lineRule="auto"/>
              <w:ind w:left="314"/>
              <w:rPr>
                <w:sz w:val="20"/>
                <w:szCs w:val="20"/>
              </w:rPr>
            </w:pPr>
            <w:r>
              <w:rPr>
                <w:spacing w:val="3"/>
                <w:sz w:val="20"/>
                <w:szCs w:val="20"/>
              </w:rPr>
              <w:t>20.4.2</w:t>
            </w:r>
          </w:p>
        </w:tc>
        <w:tc>
          <w:tcPr>
            <w:tcW w:w="7351" w:type="dxa"/>
            <w:vAlign w:val="top"/>
          </w:tcPr>
          <w:p>
            <w:pPr>
              <w:pStyle w:val="17"/>
              <w:spacing w:before="302" w:line="228" w:lineRule="auto"/>
              <w:ind w:left="58"/>
              <w:rPr>
                <w:sz w:val="20"/>
                <w:szCs w:val="20"/>
              </w:rPr>
            </w:pPr>
            <w:r>
              <w:rPr>
                <w:spacing w:val="9"/>
                <w:sz w:val="20"/>
                <w:szCs w:val="20"/>
              </w:rPr>
              <w:t>第三者责任险的最低投保金额：</w:t>
            </w:r>
            <w:r>
              <w:rPr>
                <w:rFonts w:hint="eastAsia"/>
                <w:spacing w:val="16"/>
                <w:sz w:val="20"/>
                <w:szCs w:val="20"/>
                <w:u w:val="single" w:color="010101"/>
                <w:lang w:val="en-US" w:eastAsia="zh-CN"/>
              </w:rPr>
              <w:t>100</w:t>
            </w:r>
            <w:r>
              <w:rPr>
                <w:spacing w:val="9"/>
                <w:sz w:val="20"/>
                <w:szCs w:val="20"/>
              </w:rPr>
              <w:t>万元，事故次数不限(不计免</w:t>
            </w:r>
            <w:r>
              <w:rPr>
                <w:spacing w:val="8"/>
                <w:sz w:val="20"/>
                <w:szCs w:val="20"/>
              </w:rPr>
              <w:t>赔额)</w:t>
            </w:r>
          </w:p>
        </w:tc>
      </w:tr>
    </w:tbl>
    <w:p>
      <w:pPr>
        <w:spacing w:line="358" w:lineRule="auto"/>
        <w:rPr>
          <w:rFonts w:ascii="Arial"/>
          <w:sz w:val="21"/>
        </w:rPr>
      </w:pPr>
    </w:p>
    <w:p>
      <w:pPr>
        <w:spacing w:line="359" w:lineRule="auto"/>
        <w:rPr>
          <w:rFonts w:ascii="Arial"/>
          <w:sz w:val="21"/>
        </w:rPr>
      </w:pPr>
    </w:p>
    <w:p>
      <w:pPr>
        <w:spacing w:before="58" w:line="217" w:lineRule="auto"/>
        <w:ind w:left="83"/>
        <w:rPr>
          <w:rFonts w:ascii="宋体" w:hAnsi="宋体" w:eastAsia="宋体" w:cs="宋体"/>
          <w:sz w:val="18"/>
          <w:szCs w:val="18"/>
        </w:rPr>
      </w:pPr>
      <w:r>
        <w:rPr>
          <w:rFonts w:ascii="宋体" w:hAnsi="宋体" w:eastAsia="宋体" w:cs="宋体"/>
          <w:spacing w:val="-1"/>
          <w:sz w:val="18"/>
          <w:szCs w:val="18"/>
        </w:rPr>
        <w:t>① 质量保证金最高不超过合同价格的</w:t>
      </w:r>
      <w:r>
        <w:rPr>
          <w:rFonts w:ascii="Times New Roman" w:hAnsi="Times New Roman" w:eastAsia="Times New Roman" w:cs="Times New Roman"/>
          <w:spacing w:val="-1"/>
          <w:sz w:val="18"/>
          <w:szCs w:val="18"/>
        </w:rPr>
        <w:t>3%</w:t>
      </w:r>
      <w:r>
        <w:rPr>
          <w:rFonts w:ascii="宋体" w:hAnsi="宋体" w:eastAsia="宋体" w:cs="宋体"/>
          <w:spacing w:val="-1"/>
          <w:sz w:val="18"/>
          <w:szCs w:val="18"/>
        </w:rPr>
        <w:t>。</w:t>
      </w:r>
    </w:p>
    <w:p>
      <w:pPr>
        <w:spacing w:before="23" w:line="229" w:lineRule="auto"/>
        <w:ind w:left="82" w:right="359"/>
        <w:rPr>
          <w:rFonts w:ascii="宋体" w:hAnsi="宋体" w:eastAsia="宋体" w:cs="宋体"/>
          <w:sz w:val="18"/>
          <w:szCs w:val="18"/>
        </w:rPr>
      </w:pPr>
      <w:r>
        <w:rPr>
          <w:rFonts w:ascii="宋体" w:hAnsi="宋体" w:eastAsia="宋体" w:cs="宋体"/>
          <w:sz w:val="18"/>
          <w:szCs w:val="18"/>
        </w:rPr>
        <w:t xml:space="preserve">② 保修期一般应为自实际交工日期起计算 </w:t>
      </w:r>
      <w:r>
        <w:rPr>
          <w:rFonts w:ascii="Times New Roman" w:hAnsi="Times New Roman" w:eastAsia="Times New Roman" w:cs="Times New Roman"/>
          <w:sz w:val="18"/>
          <w:szCs w:val="18"/>
        </w:rPr>
        <w:t xml:space="preserve">5  </w:t>
      </w:r>
      <w:r>
        <w:rPr>
          <w:rFonts w:ascii="宋体" w:hAnsi="宋体" w:eastAsia="宋体" w:cs="宋体"/>
          <w:sz w:val="18"/>
          <w:szCs w:val="18"/>
        </w:rPr>
        <w:t>年，按不同工程类别填写时间。绿化工程保修期起算</w:t>
      </w:r>
      <w:r>
        <w:rPr>
          <w:rFonts w:ascii="宋体" w:hAnsi="宋体" w:eastAsia="宋体" w:cs="宋体"/>
          <w:spacing w:val="-1"/>
          <w:sz w:val="18"/>
          <w:szCs w:val="18"/>
        </w:rPr>
        <w:t>时间须与绿化工</w:t>
      </w:r>
      <w:r>
        <w:rPr>
          <w:rFonts w:ascii="宋体" w:hAnsi="宋体" w:eastAsia="宋体" w:cs="宋体"/>
          <w:sz w:val="18"/>
          <w:szCs w:val="18"/>
        </w:rPr>
        <w:t xml:space="preserve"> </w:t>
      </w:r>
      <w:r>
        <w:rPr>
          <w:rFonts w:ascii="宋体" w:hAnsi="宋体" w:eastAsia="宋体" w:cs="宋体"/>
          <w:spacing w:val="-1"/>
          <w:sz w:val="18"/>
          <w:szCs w:val="18"/>
        </w:rPr>
        <w:t>程缺陷期起算时间一致。</w:t>
      </w:r>
    </w:p>
    <w:p>
      <w:pPr>
        <w:spacing w:before="228"/>
      </w:pPr>
    </w:p>
    <w:p>
      <w:pPr>
        <w:spacing w:before="228"/>
      </w:pPr>
    </w:p>
    <w:p>
      <w:pPr>
        <w:spacing w:before="228"/>
      </w:pPr>
    </w:p>
    <w:p>
      <w:pPr>
        <w:spacing w:before="228"/>
      </w:pPr>
    </w:p>
    <w:p>
      <w:pPr>
        <w:spacing w:before="228"/>
      </w:pPr>
    </w:p>
    <w:p>
      <w:pPr>
        <w:pStyle w:val="3"/>
        <w:numPr>
          <w:ilvl w:val="0"/>
          <w:numId w:val="0"/>
        </w:numPr>
        <w:ind w:leftChars="0"/>
        <w:jc w:val="both"/>
      </w:pPr>
    </w:p>
    <w:p/>
    <w:p>
      <w:pPr>
        <w:pStyle w:val="3"/>
        <w:numPr>
          <w:ilvl w:val="0"/>
          <w:numId w:val="0"/>
        </w:numPr>
        <w:ind w:leftChars="0"/>
        <w:jc w:val="both"/>
      </w:pPr>
    </w:p>
    <w:p>
      <w:pPr>
        <w:spacing w:before="228"/>
      </w:pPr>
    </w:p>
    <w:p>
      <w:pPr>
        <w:spacing w:before="228"/>
      </w:pPr>
      <w:r>
        <mc:AlternateContent>
          <mc:Choice Requires="wps">
            <w:drawing>
              <wp:anchor distT="0" distB="0" distL="114300" distR="114300" simplePos="0" relativeHeight="251662336" behindDoc="0" locked="0" layoutInCell="0" allowOverlap="1">
                <wp:simplePos x="0" y="0"/>
                <wp:positionH relativeFrom="page">
                  <wp:posOffset>899795</wp:posOffset>
                </wp:positionH>
                <wp:positionV relativeFrom="page">
                  <wp:posOffset>9267190</wp:posOffset>
                </wp:positionV>
                <wp:extent cx="1828800" cy="0"/>
                <wp:effectExtent l="4445" t="4445" r="5080" b="5080"/>
                <wp:wrapNone/>
                <wp:docPr id="81" name="任意多边形 81"/>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29.7pt;height:0pt;width:144pt;mso-position-horizontal-relative:page;mso-position-vertical-relative:page;z-index:251662336;mso-width-relative:page;mso-height-relative:page;" filled="f" stroked="t" coordsize="2880,1" o:allowincell="f" o:gfxdata="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OeeDn1wAAAA0BAAAPAAAAAAAAAAEAIAAAACIAAABkcnMvZG93bnJldi54bWxQSwECFAAUAAAA&#10;CACHTuJASzLyASgCAACJBAAADgAAAAAAAAABACAAAAAmAQAAZHJzL2Uyb0RvYy54bWxQSwUGAAAA&#10;AAYABgBZAQAAwAUAAAAA&#10;" path="m0,0l2880,0e">
                <v:fill on="f" focussize="0,0"/>
                <v:stroke weight="0pt" color="#000000" joinstyle="bevel" endcap="square"/>
                <v:imagedata o:title=""/>
                <o:lock v:ext="edit" aspectratio="f"/>
              </v:shape>
            </w:pict>
          </mc:Fallback>
        </mc:AlternateContent>
      </w:r>
    </w:p>
    <w:tbl>
      <w:tblPr>
        <w:tblStyle w:val="16"/>
        <w:tblW w:w="9304" w:type="dxa"/>
        <w:tblInd w:w="2" w:type="dxa"/>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Layout w:type="fixed"/>
        <w:tblCellMar>
          <w:top w:w="0" w:type="dxa"/>
          <w:left w:w="0" w:type="dxa"/>
          <w:bottom w:w="0" w:type="dxa"/>
          <w:right w:w="0" w:type="dxa"/>
        </w:tblCellMar>
      </w:tblPr>
      <w:tblGrid>
        <w:gridCol w:w="709"/>
        <w:gridCol w:w="1244"/>
        <w:gridCol w:w="7351"/>
      </w:tblGrid>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343" w:hRule="atLeast"/>
        </w:trPr>
        <w:tc>
          <w:tcPr>
            <w:tcW w:w="709" w:type="dxa"/>
            <w:vAlign w:val="top"/>
          </w:tcPr>
          <w:p>
            <w:pPr>
              <w:pStyle w:val="17"/>
              <w:spacing w:before="67" w:line="229" w:lineRule="auto"/>
              <w:ind w:left="148"/>
              <w:rPr>
                <w:sz w:val="20"/>
                <w:szCs w:val="20"/>
              </w:rPr>
            </w:pPr>
            <w:r>
              <w:rPr>
                <w:spacing w:val="6"/>
                <w:sz w:val="20"/>
                <w:szCs w:val="20"/>
                <w14:textOutline w14:w="3795" w14:cap="sq" w14:cmpd="sng">
                  <w14:solidFill>
                    <w14:srgbClr w14:val="000000"/>
                  </w14:solidFill>
                  <w14:prstDash w14:val="solid"/>
                  <w14:bevel/>
                </w14:textOutline>
              </w:rPr>
              <w:t>序号</w:t>
            </w:r>
          </w:p>
        </w:tc>
        <w:tc>
          <w:tcPr>
            <w:tcW w:w="1244" w:type="dxa"/>
            <w:vAlign w:val="top"/>
          </w:tcPr>
          <w:p>
            <w:pPr>
              <w:pStyle w:val="17"/>
              <w:spacing w:before="67" w:line="228" w:lineRule="auto"/>
              <w:ind w:left="313"/>
              <w:rPr>
                <w:sz w:val="20"/>
                <w:szCs w:val="20"/>
              </w:rPr>
            </w:pPr>
            <w:r>
              <w:rPr>
                <w:spacing w:val="7"/>
                <w:sz w:val="20"/>
                <w:szCs w:val="20"/>
                <w14:textOutline w14:w="3795" w14:cap="sq" w14:cmpd="sng">
                  <w14:solidFill>
                    <w14:srgbClr w14:val="000000"/>
                  </w14:solidFill>
                  <w14:prstDash w14:val="solid"/>
                  <w14:bevel/>
                </w14:textOutline>
              </w:rPr>
              <w:t>条目号</w:t>
            </w:r>
          </w:p>
        </w:tc>
        <w:tc>
          <w:tcPr>
            <w:tcW w:w="7351" w:type="dxa"/>
            <w:vAlign w:val="top"/>
          </w:tcPr>
          <w:p>
            <w:pPr>
              <w:pStyle w:val="17"/>
              <w:spacing w:before="35" w:line="228" w:lineRule="auto"/>
              <w:ind w:left="3154"/>
              <w:rPr>
                <w:sz w:val="20"/>
                <w:szCs w:val="20"/>
              </w:rPr>
            </w:pPr>
            <w:r>
              <w:rPr>
                <w:spacing w:val="8"/>
                <w:sz w:val="20"/>
                <w:szCs w:val="20"/>
                <w14:textOutline w14:w="3795" w14:cap="sq" w14:cmpd="sng">
                  <w14:solidFill>
                    <w14:srgbClr w14:val="000000"/>
                  </w14:solidFill>
                  <w14:prstDash w14:val="solid"/>
                  <w14:bevel/>
                </w14:textOutline>
              </w:rPr>
              <w:t>信息或数据</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951" w:hRule="atLeast"/>
        </w:trPr>
        <w:tc>
          <w:tcPr>
            <w:tcW w:w="709" w:type="dxa"/>
            <w:vAlign w:val="top"/>
          </w:tcPr>
          <w:p>
            <w:pPr>
              <w:spacing w:line="335" w:lineRule="auto"/>
              <w:rPr>
                <w:rFonts w:ascii="Arial"/>
                <w:sz w:val="21"/>
              </w:rPr>
            </w:pPr>
          </w:p>
          <w:p>
            <w:pPr>
              <w:pStyle w:val="17"/>
              <w:spacing w:before="65" w:line="189" w:lineRule="auto"/>
              <w:ind w:left="259"/>
              <w:rPr>
                <w:sz w:val="20"/>
                <w:szCs w:val="20"/>
              </w:rPr>
            </w:pPr>
            <w:r>
              <w:rPr>
                <w:spacing w:val="-2"/>
                <w:sz w:val="20"/>
                <w:szCs w:val="20"/>
              </w:rPr>
              <w:t>37</w:t>
            </w:r>
          </w:p>
        </w:tc>
        <w:tc>
          <w:tcPr>
            <w:tcW w:w="1244" w:type="dxa"/>
            <w:vAlign w:val="top"/>
          </w:tcPr>
          <w:p>
            <w:pPr>
              <w:spacing w:line="334" w:lineRule="auto"/>
              <w:rPr>
                <w:rFonts w:ascii="Arial"/>
                <w:sz w:val="21"/>
              </w:rPr>
            </w:pPr>
          </w:p>
          <w:p>
            <w:pPr>
              <w:pStyle w:val="17"/>
              <w:spacing w:before="65" w:line="190" w:lineRule="auto"/>
              <w:ind w:left="417"/>
              <w:rPr>
                <w:sz w:val="20"/>
                <w:szCs w:val="20"/>
              </w:rPr>
            </w:pPr>
            <w:r>
              <w:rPr>
                <w:spacing w:val="2"/>
                <w:sz w:val="20"/>
                <w:szCs w:val="20"/>
              </w:rPr>
              <w:t>24.1</w:t>
            </w:r>
          </w:p>
        </w:tc>
        <w:tc>
          <w:tcPr>
            <w:tcW w:w="7351" w:type="dxa"/>
            <w:vAlign w:val="top"/>
          </w:tcPr>
          <w:p>
            <w:pPr>
              <w:pStyle w:val="17"/>
              <w:spacing w:before="163" w:line="228" w:lineRule="auto"/>
              <w:ind w:left="63"/>
              <w:rPr>
                <w:sz w:val="20"/>
                <w:szCs w:val="20"/>
              </w:rPr>
            </w:pPr>
            <w:r>
              <w:rPr>
                <w:spacing w:val="7"/>
                <w:sz w:val="20"/>
                <w:szCs w:val="20"/>
              </w:rPr>
              <w:t>争议的最终解决方式：</w:t>
            </w:r>
            <w:r>
              <w:rPr>
                <w:spacing w:val="7"/>
                <w:sz w:val="20"/>
                <w:szCs w:val="20"/>
                <w:u w:val="single" w:color="010101"/>
              </w:rPr>
              <w:t xml:space="preserve"> 仲裁</w:t>
            </w:r>
            <w:r>
              <w:rPr>
                <w:spacing w:val="30"/>
                <w:sz w:val="20"/>
                <w:szCs w:val="20"/>
                <w:u w:val="single" w:color="010101"/>
              </w:rPr>
              <w:t xml:space="preserve">   </w:t>
            </w:r>
            <w:r>
              <w:rPr>
                <w:spacing w:val="-89"/>
                <w:sz w:val="20"/>
                <w:szCs w:val="20"/>
              </w:rPr>
              <w:t xml:space="preserve"> </w:t>
            </w:r>
            <w:r>
              <w:rPr>
                <w:spacing w:val="7"/>
                <w:sz w:val="20"/>
                <w:szCs w:val="20"/>
              </w:rPr>
              <w:t>或</w:t>
            </w:r>
            <w:r>
              <w:rPr>
                <w:rFonts w:ascii="宋体" w:hAnsi="宋体" w:eastAsia="宋体" w:cs="宋体"/>
                <w:spacing w:val="7"/>
                <w:sz w:val="20"/>
                <w:szCs w:val="20"/>
              </w:rPr>
              <w:t>向</w:t>
            </w:r>
            <w:r>
              <w:rPr>
                <w:rFonts w:hint="eastAsia" w:ascii="宋体" w:hAnsi="宋体" w:eastAsia="宋体" w:cs="宋体"/>
                <w:spacing w:val="7"/>
                <w:sz w:val="20"/>
                <w:szCs w:val="20"/>
                <w:u w:val="single"/>
              </w:rPr>
              <w:t>项目属地</w:t>
            </w:r>
            <w:r>
              <w:rPr>
                <w:rFonts w:ascii="宋体" w:hAnsi="宋体" w:eastAsia="宋体" w:cs="宋体"/>
                <w:spacing w:val="7"/>
                <w:sz w:val="20"/>
                <w:szCs w:val="20"/>
              </w:rPr>
              <w:t>人民</w:t>
            </w:r>
            <w:r>
              <w:rPr>
                <w:spacing w:val="7"/>
                <w:sz w:val="20"/>
                <w:szCs w:val="20"/>
              </w:rPr>
              <w:t>法院提起诉讼。</w:t>
            </w:r>
          </w:p>
          <w:p>
            <w:pPr>
              <w:pStyle w:val="17"/>
              <w:spacing w:before="166" w:line="227" w:lineRule="auto"/>
              <w:ind w:left="62"/>
              <w:rPr>
                <w:sz w:val="20"/>
                <w:szCs w:val="20"/>
              </w:rPr>
            </w:pPr>
            <w:r>
              <w:rPr>
                <w:spacing w:val="11"/>
                <w:sz w:val="20"/>
                <w:szCs w:val="20"/>
              </w:rPr>
              <w:t>如采用仲裁，仲裁委员会名称</w:t>
            </w:r>
            <w:r>
              <w:rPr>
                <w:spacing w:val="-3"/>
                <w:sz w:val="20"/>
                <w:szCs w:val="20"/>
              </w:rPr>
              <w:t>：</w:t>
            </w:r>
            <w:r>
              <w:rPr>
                <w:spacing w:val="-3"/>
                <w:sz w:val="20"/>
                <w:szCs w:val="20"/>
                <w:u w:val="single" w:color="010101"/>
              </w:rPr>
              <w:t>（</w:t>
            </w:r>
            <w:r>
              <w:rPr>
                <w:spacing w:val="11"/>
                <w:sz w:val="20"/>
                <w:szCs w:val="20"/>
                <w:u w:val="single" w:color="010101"/>
              </w:rPr>
              <w:t>项目所在地的地级以上市）仲裁委员会。</w:t>
            </w:r>
          </w:p>
        </w:tc>
      </w:tr>
      <w:tr>
        <w:tblPrEx>
          <w:tblBorders>
            <w:top w:val="single" w:color="010101" w:sz="2" w:space="0"/>
            <w:left w:val="single" w:color="010101" w:sz="2" w:space="0"/>
            <w:bottom w:val="single" w:color="010101" w:sz="2" w:space="0"/>
            <w:right w:val="single" w:color="010101" w:sz="2" w:space="0"/>
            <w:insideH w:val="single" w:color="010101" w:sz="2" w:space="0"/>
            <w:insideV w:val="single" w:color="010101" w:sz="2" w:space="0"/>
          </w:tblBorders>
          <w:tblCellMar>
            <w:top w:w="0" w:type="dxa"/>
            <w:left w:w="0" w:type="dxa"/>
            <w:bottom w:w="0" w:type="dxa"/>
            <w:right w:w="0" w:type="dxa"/>
          </w:tblCellMar>
        </w:tblPrEx>
        <w:trPr>
          <w:trHeight w:val="1687" w:hRule="atLeast"/>
        </w:trPr>
        <w:tc>
          <w:tcPr>
            <w:tcW w:w="709" w:type="dxa"/>
            <w:vAlign w:val="top"/>
          </w:tcPr>
          <w:p>
            <w:pPr>
              <w:spacing w:line="349" w:lineRule="auto"/>
              <w:rPr>
                <w:rFonts w:ascii="Arial"/>
                <w:sz w:val="21"/>
              </w:rPr>
            </w:pPr>
          </w:p>
          <w:p>
            <w:pPr>
              <w:spacing w:line="350" w:lineRule="auto"/>
              <w:rPr>
                <w:rFonts w:ascii="Arial"/>
                <w:sz w:val="21"/>
              </w:rPr>
            </w:pPr>
          </w:p>
          <w:p>
            <w:pPr>
              <w:pStyle w:val="17"/>
              <w:spacing w:before="65" w:line="189" w:lineRule="auto"/>
              <w:ind w:left="259"/>
              <w:rPr>
                <w:sz w:val="20"/>
                <w:szCs w:val="20"/>
              </w:rPr>
            </w:pPr>
            <w:r>
              <w:rPr>
                <w:spacing w:val="-2"/>
                <w:sz w:val="20"/>
                <w:szCs w:val="20"/>
              </w:rPr>
              <w:t>38</w:t>
            </w:r>
          </w:p>
        </w:tc>
        <w:tc>
          <w:tcPr>
            <w:tcW w:w="1244" w:type="dxa"/>
            <w:vAlign w:val="top"/>
          </w:tcPr>
          <w:p>
            <w:pPr>
              <w:spacing w:line="349" w:lineRule="auto"/>
              <w:rPr>
                <w:rFonts w:ascii="Arial"/>
                <w:sz w:val="21"/>
              </w:rPr>
            </w:pPr>
          </w:p>
          <w:p>
            <w:pPr>
              <w:spacing w:line="350" w:lineRule="auto"/>
              <w:rPr>
                <w:rFonts w:ascii="Arial"/>
                <w:sz w:val="21"/>
              </w:rPr>
            </w:pPr>
          </w:p>
          <w:p>
            <w:pPr>
              <w:pStyle w:val="17"/>
              <w:spacing w:before="65" w:line="189" w:lineRule="auto"/>
              <w:ind w:left="417"/>
              <w:rPr>
                <w:sz w:val="20"/>
                <w:szCs w:val="20"/>
              </w:rPr>
            </w:pPr>
            <w:r>
              <w:rPr>
                <w:spacing w:val="2"/>
                <w:sz w:val="20"/>
                <w:szCs w:val="20"/>
              </w:rPr>
              <w:t>25.4</w:t>
            </w:r>
          </w:p>
        </w:tc>
        <w:tc>
          <w:tcPr>
            <w:tcW w:w="7351" w:type="dxa"/>
            <w:vAlign w:val="top"/>
          </w:tcPr>
          <w:p>
            <w:pPr>
              <w:pStyle w:val="17"/>
              <w:spacing w:before="25" w:line="247" w:lineRule="auto"/>
              <w:ind w:left="60" w:right="54" w:firstLine="1"/>
              <w:jc w:val="both"/>
              <w:rPr>
                <w:sz w:val="20"/>
                <w:szCs w:val="20"/>
              </w:rPr>
            </w:pPr>
            <w:r>
              <w:rPr>
                <w:rFonts w:hint="eastAsia"/>
                <w:sz w:val="20"/>
                <w:szCs w:val="20"/>
                <w:lang w:val="en-US" w:eastAsia="zh-CN"/>
              </w:rPr>
              <w:t>具体要求以发包人书面确认为准，结算金额最终以财政部门审核为准。</w:t>
            </w:r>
          </w:p>
          <w:p>
            <w:pPr>
              <w:pStyle w:val="17"/>
              <w:spacing w:before="25" w:line="247" w:lineRule="auto"/>
              <w:ind w:left="60" w:right="54" w:firstLine="1"/>
              <w:jc w:val="both"/>
              <w:rPr>
                <w:sz w:val="20"/>
                <w:szCs w:val="20"/>
              </w:rPr>
            </w:pPr>
          </w:p>
          <w:p>
            <w:pPr>
              <w:bidi w:val="0"/>
            </w:pPr>
          </w:p>
          <w:p>
            <w:pPr>
              <w:bidi w:val="0"/>
              <w:jc w:val="center"/>
            </w:pPr>
          </w:p>
        </w:tc>
      </w:tr>
    </w:tbl>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59" w:line="220" w:lineRule="auto"/>
        <w:ind w:left="83"/>
        <w:rPr>
          <w:rFonts w:ascii="宋体" w:hAnsi="宋体" w:eastAsia="宋体" w:cs="宋体"/>
          <w:sz w:val="18"/>
          <w:szCs w:val="18"/>
        </w:rPr>
      </w:pPr>
      <w:r>
        <w:rPr>
          <w:rFonts w:ascii="宋体" w:hAnsi="宋体" w:eastAsia="宋体" w:cs="宋体"/>
          <w:spacing w:val="-1"/>
          <w:sz w:val="18"/>
          <w:szCs w:val="18"/>
        </w:rPr>
        <w:t>① 原则上控制在</w:t>
      </w:r>
      <w:r>
        <w:rPr>
          <w:rFonts w:ascii="Times New Roman" w:hAnsi="Times New Roman" w:eastAsia="Times New Roman" w:cs="Times New Roman"/>
          <w:spacing w:val="-1"/>
          <w:sz w:val="18"/>
          <w:szCs w:val="18"/>
        </w:rPr>
        <w:t>3</w:t>
      </w:r>
      <w:r>
        <w:rPr>
          <w:rFonts w:ascii="宋体" w:hAnsi="宋体" w:eastAsia="宋体" w:cs="宋体"/>
          <w:spacing w:val="-1"/>
          <w:sz w:val="18"/>
          <w:szCs w:val="18"/>
        </w:rPr>
        <w:t>个月内。</w:t>
      </w:r>
    </w:p>
    <w:p>
      <w:pPr>
        <w:spacing w:before="21" w:line="241" w:lineRule="auto"/>
        <w:ind w:left="82"/>
        <w:rPr>
          <w:rFonts w:ascii="宋体" w:hAnsi="宋体" w:eastAsia="宋体" w:cs="宋体"/>
          <w:sz w:val="18"/>
          <w:szCs w:val="18"/>
        </w:rPr>
      </w:pPr>
      <w:r>
        <w:rPr>
          <w:rFonts w:ascii="宋体" w:hAnsi="宋体" w:eastAsia="宋体" w:cs="宋体"/>
          <w:spacing w:val="-1"/>
          <w:sz w:val="18"/>
          <w:szCs w:val="18"/>
        </w:rPr>
        <w:t>② 最高支付金额不宜超过发包人审核确认的</w:t>
      </w:r>
      <w:r>
        <w:rPr>
          <w:rFonts w:ascii="Times New Roman" w:hAnsi="Times New Roman" w:eastAsia="Times New Roman" w:cs="Times New Roman"/>
          <w:spacing w:val="-1"/>
          <w:sz w:val="18"/>
          <w:szCs w:val="18"/>
        </w:rPr>
        <w:t>97%</w:t>
      </w:r>
      <w:r>
        <w:rPr>
          <w:rFonts w:ascii="宋体" w:hAnsi="宋体" w:eastAsia="宋体" w:cs="宋体"/>
          <w:spacing w:val="-1"/>
          <w:sz w:val="18"/>
          <w:szCs w:val="18"/>
        </w:rPr>
        <w:t>。</w:t>
      </w:r>
    </w:p>
    <w:p>
      <w:pPr>
        <w:spacing w:line="219" w:lineRule="auto"/>
        <w:ind w:left="82"/>
        <w:rPr>
          <w:rFonts w:ascii="Arial"/>
          <w:sz w:val="21"/>
        </w:rPr>
      </w:pPr>
      <w:r>
        <w:rPr>
          <w:rFonts w:ascii="宋体" w:hAnsi="宋体" w:eastAsia="宋体" w:cs="宋体"/>
          <w:spacing w:val="-2"/>
          <w:sz w:val="18"/>
          <w:szCs w:val="18"/>
        </w:rPr>
        <w:t>③ 计量支付中可暂扣</w:t>
      </w:r>
      <w:r>
        <w:rPr>
          <w:rFonts w:ascii="Times New Roman" w:hAnsi="Times New Roman" w:eastAsia="Times New Roman" w:cs="Times New Roman"/>
          <w:spacing w:val="-2"/>
          <w:sz w:val="18"/>
          <w:szCs w:val="18"/>
        </w:rPr>
        <w:t>10%</w:t>
      </w:r>
      <w:r>
        <w:rPr>
          <w:rFonts w:ascii="Times New Roman" w:hAnsi="Times New Roman" w:eastAsia="Times New Roman" w:cs="Times New Roman"/>
          <w:spacing w:val="18"/>
          <w:sz w:val="18"/>
          <w:szCs w:val="18"/>
        </w:rPr>
        <w:t xml:space="preserve">  </w:t>
      </w:r>
      <w:r>
        <w:rPr>
          <w:rFonts w:ascii="宋体" w:hAnsi="宋体" w:eastAsia="宋体" w:cs="宋体"/>
          <w:spacing w:val="-2"/>
          <w:sz w:val="18"/>
          <w:szCs w:val="18"/>
        </w:rPr>
        <w:t>以内的工程进度款。</w:t>
      </w:r>
      <w:r>
        <mc:AlternateContent>
          <mc:Choice Requires="wps">
            <w:drawing>
              <wp:anchor distT="0" distB="0" distL="114300" distR="114300" simplePos="0" relativeHeight="251663360" behindDoc="0" locked="0" layoutInCell="0" allowOverlap="1">
                <wp:simplePos x="0" y="0"/>
                <wp:positionH relativeFrom="page">
                  <wp:posOffset>897255</wp:posOffset>
                </wp:positionH>
                <wp:positionV relativeFrom="page">
                  <wp:posOffset>9564370</wp:posOffset>
                </wp:positionV>
                <wp:extent cx="1833245" cy="4445"/>
                <wp:effectExtent l="0" t="0" r="0" b="0"/>
                <wp:wrapNone/>
                <wp:docPr id="82" name="任意多边形 82"/>
                <wp:cNvGraphicFramePr/>
                <a:graphic xmlns:a="http://schemas.openxmlformats.org/drawingml/2006/main">
                  <a:graphicData uri="http://schemas.microsoft.com/office/word/2010/wordprocessingShape">
                    <wps:wsp>
                      <wps:cNvSpPr/>
                      <wps:spPr>
                        <a:xfrm>
                          <a:off x="0" y="0"/>
                          <a:ext cx="1833245" cy="4445"/>
                        </a:xfrm>
                        <a:custGeom>
                          <a:avLst/>
                          <a:gdLst/>
                          <a:ahLst/>
                          <a:cxnLst/>
                          <a:pathLst>
                            <a:path w="2887" h="6">
                              <a:moveTo>
                                <a:pt x="3" y="3"/>
                              </a:moveTo>
                              <a:lnTo>
                                <a:pt x="2883" y="3"/>
                              </a:lnTo>
                            </a:path>
                          </a:pathLst>
                        </a:custGeom>
                        <a:noFill/>
                        <a:ln w="4318"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65pt;margin-top:753.1pt;height:0.35pt;width:144.35pt;mso-position-horizontal-relative:page;mso-position-vertical-relative:page;z-index:251663360;mso-width-relative:page;mso-height-relative:page;" filled="f" stroked="t" coordsize="2887,6" o:allowincell="f" o:gfxdata="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vPlnzYAAAADQEAAA8AAAAAAAAAAQAgAAAAIgAAAGRycy9k&#10;b3ducmV2LnhtbFBLAQIUABQAAAAIAIdO4kBhidOSOwIAAJUEAAAOAAAAAAAAAAEAIAAAACcBAABk&#10;cnMvZTJvRG9jLnhtbFBLBQYAAAAABgAGAFkBAADUBQAAAAA=&#10;" path="m3,3l2883,3e">
                <v:fill on="f" focussize="0,0"/>
                <v:stroke weight="0.34pt" color="#000000" joinstyle="bevel" endcap="square"/>
                <v:imagedata o:title=""/>
                <o:lock v:ext="edit" aspectratio="f"/>
              </v:shape>
            </w:pict>
          </mc:Fallback>
        </mc:AlternateContent>
      </w:r>
    </w:p>
    <w:p>
      <w:pPr>
        <w:pStyle w:val="4"/>
        <w:spacing w:before="114"/>
        <w:ind w:left="2675"/>
        <w:rPr>
          <w:spacing w:val="-4"/>
          <w:sz w:val="35"/>
          <w:szCs w:val="35"/>
          <w14:textOutline w14:w="6537" w14:cap="sq" w14:cmpd="sng">
            <w14:solidFill>
              <w14:srgbClr w14:val="000000"/>
            </w14:solidFill>
            <w14:prstDash w14:val="solid"/>
            <w14:bevel/>
          </w14:textOutline>
        </w:rPr>
      </w:pPr>
    </w:p>
    <w:p>
      <w:pPr>
        <w:pStyle w:val="4"/>
        <w:spacing w:before="114"/>
        <w:ind w:left="2675"/>
        <w:rPr>
          <w:spacing w:val="-4"/>
          <w:sz w:val="35"/>
          <w:szCs w:val="35"/>
          <w14:textOutline w14:w="6537" w14:cap="sq" w14:cmpd="sng">
            <w14:solidFill>
              <w14:srgbClr w14:val="000000"/>
            </w14:solidFill>
            <w14:prstDash w14:val="solid"/>
            <w14:bevel/>
          </w14:textOutline>
        </w:rPr>
      </w:pPr>
    </w:p>
    <w:p>
      <w:pPr>
        <w:pStyle w:val="4"/>
        <w:spacing w:before="114"/>
        <w:ind w:left="2675"/>
        <w:rPr>
          <w:spacing w:val="-4"/>
          <w:sz w:val="35"/>
          <w:szCs w:val="35"/>
          <w14:textOutline w14:w="6537" w14:cap="sq" w14:cmpd="sng">
            <w14:solidFill>
              <w14:srgbClr w14:val="000000"/>
            </w14:solidFill>
            <w14:prstDash w14:val="solid"/>
            <w14:bevel/>
          </w14:textOutline>
        </w:rPr>
      </w:pPr>
    </w:p>
    <w:p>
      <w:pPr>
        <w:pStyle w:val="4"/>
        <w:spacing w:before="114"/>
        <w:ind w:left="2675"/>
        <w:rPr>
          <w:rFonts w:ascii="宋体" w:hAnsi="宋体" w:eastAsia="宋体" w:cs="宋体"/>
          <w:sz w:val="22"/>
          <w:szCs w:val="22"/>
        </w:rPr>
      </w:pPr>
      <w:r>
        <w:rPr>
          <w:spacing w:val="-4"/>
          <w:sz w:val="35"/>
          <w:szCs w:val="35"/>
          <w14:textOutline w14:w="6537" w14:cap="sq" w14:cmpd="sng">
            <w14:solidFill>
              <w14:srgbClr w14:val="000000"/>
            </w14:solidFill>
            <w14:prstDash w14:val="solid"/>
            <w14:bevel/>
          </w14:textOutline>
        </w:rPr>
        <w:t>项</w:t>
      </w:r>
      <w:r>
        <w:rPr>
          <w:spacing w:val="-28"/>
          <w:sz w:val="35"/>
          <w:szCs w:val="35"/>
        </w:rPr>
        <w:t xml:space="preserve"> </w:t>
      </w:r>
      <w:r>
        <w:rPr>
          <w:spacing w:val="-4"/>
          <w:sz w:val="35"/>
          <w:szCs w:val="35"/>
          <w14:textOutline w14:w="6537" w14:cap="sq" w14:cmpd="sng">
            <w14:solidFill>
              <w14:srgbClr w14:val="000000"/>
            </w14:solidFill>
            <w14:prstDash w14:val="solid"/>
            <w14:bevel/>
          </w14:textOutline>
        </w:rPr>
        <w:t>目</w:t>
      </w:r>
      <w:r>
        <w:rPr>
          <w:spacing w:val="-72"/>
          <w:sz w:val="35"/>
          <w:szCs w:val="35"/>
        </w:rPr>
        <w:t xml:space="preserve"> </w:t>
      </w:r>
      <w:r>
        <w:rPr>
          <w:spacing w:val="-4"/>
          <w:sz w:val="35"/>
          <w:szCs w:val="35"/>
          <w14:textOutline w14:w="6537" w14:cap="sq" w14:cmpd="sng">
            <w14:solidFill>
              <w14:srgbClr w14:val="000000"/>
            </w14:solidFill>
            <w14:prstDash w14:val="solid"/>
            <w14:bevel/>
          </w14:textOutline>
        </w:rPr>
        <w:t>专</w:t>
      </w:r>
      <w:r>
        <w:rPr>
          <w:spacing w:val="-74"/>
          <w:sz w:val="35"/>
          <w:szCs w:val="35"/>
        </w:rPr>
        <w:t xml:space="preserve"> </w:t>
      </w:r>
      <w:r>
        <w:rPr>
          <w:spacing w:val="-4"/>
          <w:sz w:val="35"/>
          <w:szCs w:val="35"/>
          <w14:textOutline w14:w="6537" w14:cap="sq" w14:cmpd="sng">
            <w14:solidFill>
              <w14:srgbClr w14:val="000000"/>
            </w14:solidFill>
            <w14:prstDash w14:val="solid"/>
            <w14:bevel/>
          </w14:textOutline>
        </w:rPr>
        <w:t>用</w:t>
      </w:r>
      <w:r>
        <w:rPr>
          <w:spacing w:val="-77"/>
          <w:sz w:val="35"/>
          <w:szCs w:val="35"/>
        </w:rPr>
        <w:t xml:space="preserve"> </w:t>
      </w:r>
      <w:r>
        <w:rPr>
          <w:spacing w:val="-4"/>
          <w:sz w:val="35"/>
          <w:szCs w:val="35"/>
          <w14:textOutline w14:w="6537" w14:cap="sq" w14:cmpd="sng">
            <w14:solidFill>
              <w14:srgbClr w14:val="000000"/>
            </w14:solidFill>
            <w14:prstDash w14:val="solid"/>
            <w14:bevel/>
          </w14:textOutline>
        </w:rPr>
        <w:t>合</w:t>
      </w:r>
      <w:r>
        <w:rPr>
          <w:spacing w:val="-61"/>
          <w:sz w:val="35"/>
          <w:szCs w:val="35"/>
        </w:rPr>
        <w:t xml:space="preserve"> </w:t>
      </w:r>
      <w:r>
        <w:rPr>
          <w:spacing w:val="-4"/>
          <w:sz w:val="35"/>
          <w:szCs w:val="35"/>
          <w14:textOutline w14:w="6537" w14:cap="sq" w14:cmpd="sng">
            <w14:solidFill>
              <w14:srgbClr w14:val="000000"/>
            </w14:solidFill>
            <w14:prstDash w14:val="solid"/>
            <w14:bevel/>
          </w14:textOutline>
        </w:rPr>
        <w:t>同</w:t>
      </w:r>
      <w:r>
        <w:rPr>
          <w:spacing w:val="-78"/>
          <w:sz w:val="35"/>
          <w:szCs w:val="35"/>
        </w:rPr>
        <w:t xml:space="preserve"> </w:t>
      </w:r>
      <w:r>
        <w:rPr>
          <w:spacing w:val="-4"/>
          <w:sz w:val="35"/>
          <w:szCs w:val="35"/>
          <w14:textOutline w14:w="6537" w14:cap="sq" w14:cmpd="sng">
            <w14:solidFill>
              <w14:srgbClr w14:val="000000"/>
            </w14:solidFill>
            <w14:prstDash w14:val="solid"/>
            <w14:bevel/>
          </w14:textOutline>
        </w:rPr>
        <w:t>条</w:t>
      </w:r>
      <w:r>
        <w:rPr>
          <w:spacing w:val="-81"/>
          <w:sz w:val="35"/>
          <w:szCs w:val="35"/>
        </w:rPr>
        <w:t xml:space="preserve"> </w:t>
      </w:r>
      <w:r>
        <w:rPr>
          <w:spacing w:val="-4"/>
          <w:sz w:val="35"/>
          <w:szCs w:val="35"/>
          <w14:textOutline w14:w="6537" w14:cap="sq" w14:cmpd="sng">
            <w14:solidFill>
              <w14:srgbClr w14:val="000000"/>
            </w14:solidFill>
            <w14:prstDash w14:val="solid"/>
            <w14:bevel/>
          </w14:textOutline>
        </w:rPr>
        <w:t>款</w:t>
      </w:r>
      <w:r>
        <w:fldChar w:fldCharType="begin"/>
      </w:r>
      <w:r>
        <w:instrText xml:space="preserve"> HYPERLINK \l "bookmark150" </w:instrText>
      </w:r>
      <w:r>
        <w:fldChar w:fldCharType="separate"/>
      </w:r>
      <w:r>
        <w:rPr>
          <w:rFonts w:ascii="宋体" w:hAnsi="宋体" w:eastAsia="宋体" w:cs="宋体"/>
          <w:spacing w:val="-4"/>
          <w:position w:val="21"/>
          <w:sz w:val="22"/>
          <w:szCs w:val="22"/>
        </w:rPr>
        <w:t>①</w:t>
      </w:r>
      <w:r>
        <w:rPr>
          <w:rFonts w:ascii="宋体" w:hAnsi="宋体" w:eastAsia="宋体" w:cs="宋体"/>
          <w:spacing w:val="-4"/>
          <w:position w:val="21"/>
          <w:sz w:val="22"/>
          <w:szCs w:val="22"/>
        </w:rPr>
        <w:fldChar w:fldCharType="end"/>
      </w:r>
    </w:p>
    <w:p>
      <w:pPr>
        <w:spacing w:line="301" w:lineRule="auto"/>
        <w:rPr>
          <w:rFonts w:ascii="Arial"/>
          <w:sz w:val="21"/>
        </w:rPr>
      </w:pPr>
    </w:p>
    <w:p>
      <w:pPr>
        <w:spacing w:line="302" w:lineRule="auto"/>
        <w:rPr>
          <w:rFonts w:ascii="Arial"/>
          <w:sz w:val="21"/>
        </w:rPr>
      </w:pPr>
    </w:p>
    <w:p>
      <w:pPr>
        <w:spacing w:before="78" w:line="359" w:lineRule="auto"/>
        <w:ind w:left="674" w:right="230" w:hanging="660"/>
        <w:rPr>
          <w:rFonts w:ascii="宋体" w:hAnsi="宋体" w:eastAsia="宋体" w:cs="宋体"/>
          <w:sz w:val="24"/>
          <w:szCs w:val="24"/>
        </w:rPr>
      </w:pPr>
      <w:r>
        <w:rPr>
          <w:rFonts w:ascii="宋体" w:hAnsi="宋体" w:eastAsia="宋体" w:cs="宋体"/>
          <w:spacing w:val="-3"/>
          <w:sz w:val="24"/>
          <w:szCs w:val="24"/>
        </w:rPr>
        <w:t>说明：本部分所列的项目专用合同条款是对“公路工程专用合同条款</w:t>
      </w:r>
      <w:r>
        <w:rPr>
          <w:rFonts w:ascii="宋体" w:hAnsi="宋体" w:eastAsia="宋体" w:cs="宋体"/>
          <w:spacing w:val="-73"/>
          <w:sz w:val="24"/>
          <w:szCs w:val="24"/>
        </w:rPr>
        <w:t xml:space="preserve"> </w:t>
      </w:r>
      <w:r>
        <w:rPr>
          <w:rFonts w:ascii="宋体" w:hAnsi="宋体" w:eastAsia="宋体" w:cs="宋体"/>
          <w:spacing w:val="-3"/>
          <w:sz w:val="24"/>
          <w:szCs w:val="24"/>
        </w:rPr>
        <w:t>”中规定必须在项</w:t>
      </w:r>
      <w:r>
        <w:rPr>
          <w:rFonts w:ascii="宋体" w:hAnsi="宋体" w:eastAsia="宋体" w:cs="宋体"/>
          <w:sz w:val="24"/>
          <w:szCs w:val="24"/>
        </w:rPr>
        <w:t xml:space="preserve"> </w:t>
      </w:r>
      <w:r>
        <w:rPr>
          <w:rFonts w:ascii="宋体" w:hAnsi="宋体" w:eastAsia="宋体" w:cs="宋体"/>
          <w:spacing w:val="-1"/>
          <w:sz w:val="24"/>
          <w:szCs w:val="24"/>
        </w:rPr>
        <w:t>目专用合同条款中明确的内容的集中，招标人编制的“项目专用合同条</w:t>
      </w:r>
      <w:r>
        <w:rPr>
          <w:rFonts w:ascii="宋体" w:hAnsi="宋体" w:eastAsia="宋体" w:cs="宋体"/>
          <w:spacing w:val="-2"/>
          <w:sz w:val="24"/>
          <w:szCs w:val="24"/>
        </w:rPr>
        <w:t>款</w:t>
      </w:r>
      <w:r>
        <w:rPr>
          <w:rFonts w:ascii="宋体" w:hAnsi="宋体" w:eastAsia="宋体" w:cs="宋体"/>
          <w:spacing w:val="-91"/>
          <w:sz w:val="24"/>
          <w:szCs w:val="24"/>
        </w:rPr>
        <w:t xml:space="preserve"> </w:t>
      </w:r>
      <w:r>
        <w:rPr>
          <w:rFonts w:ascii="宋体" w:hAnsi="宋体" w:eastAsia="宋体" w:cs="宋体"/>
          <w:spacing w:val="-2"/>
          <w:sz w:val="24"/>
          <w:szCs w:val="24"/>
        </w:rPr>
        <w:t>”不限</w:t>
      </w:r>
      <w:r>
        <w:rPr>
          <w:rFonts w:ascii="宋体" w:hAnsi="宋体" w:eastAsia="宋体" w:cs="宋体"/>
          <w:sz w:val="24"/>
          <w:szCs w:val="24"/>
        </w:rPr>
        <w:t xml:space="preserve"> </w:t>
      </w:r>
      <w:r>
        <w:rPr>
          <w:rFonts w:ascii="宋体" w:hAnsi="宋体" w:eastAsia="宋体" w:cs="宋体"/>
          <w:spacing w:val="-5"/>
          <w:sz w:val="24"/>
          <w:szCs w:val="24"/>
        </w:rPr>
        <w:t>于本部分所列内容。合同条款中如果国家或有关部门颁布了新的技术</w:t>
      </w:r>
      <w:r>
        <w:rPr>
          <w:rFonts w:ascii="宋体" w:hAnsi="宋体" w:eastAsia="宋体" w:cs="宋体"/>
          <w:spacing w:val="-6"/>
          <w:sz w:val="24"/>
          <w:szCs w:val="24"/>
        </w:rPr>
        <w:t>标准或规范，</w:t>
      </w:r>
      <w:r>
        <w:rPr>
          <w:rFonts w:ascii="宋体" w:hAnsi="宋体" w:eastAsia="宋体" w:cs="宋体"/>
          <w:spacing w:val="-1"/>
          <w:sz w:val="24"/>
          <w:szCs w:val="24"/>
        </w:rPr>
        <w:t>则应采用新的标准或规范进行执行。</w:t>
      </w:r>
    </w:p>
    <w:p>
      <w:pPr>
        <w:spacing w:line="282" w:lineRule="auto"/>
        <w:rPr>
          <w:rFonts w:ascii="Arial"/>
          <w:sz w:val="21"/>
        </w:rPr>
      </w:pPr>
    </w:p>
    <w:p>
      <w:pPr>
        <w:spacing w:line="283" w:lineRule="auto"/>
        <w:rPr>
          <w:rFonts w:ascii="Arial"/>
          <w:sz w:val="21"/>
        </w:rPr>
      </w:pPr>
    </w:p>
    <w:p>
      <w:pPr>
        <w:spacing w:before="78" w:line="220" w:lineRule="auto"/>
        <w:ind w:left="499"/>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1.一般约定</w:t>
      </w:r>
    </w:p>
    <w:p>
      <w:pPr>
        <w:spacing w:before="182" w:line="220" w:lineRule="auto"/>
        <w:ind w:left="499"/>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13"/>
          <w:sz w:val="24"/>
          <w:szCs w:val="24"/>
        </w:rPr>
        <w:t xml:space="preserve"> </w:t>
      </w:r>
      <w:r>
        <w:rPr>
          <w:rFonts w:ascii="宋体" w:hAnsi="宋体" w:eastAsia="宋体" w:cs="宋体"/>
          <w:spacing w:val="-6"/>
          <w:sz w:val="24"/>
          <w:szCs w:val="24"/>
        </w:rPr>
        <w:t>词语定义</w:t>
      </w:r>
    </w:p>
    <w:p>
      <w:pPr>
        <w:spacing w:before="180" w:line="219" w:lineRule="auto"/>
        <w:ind w:left="482"/>
        <w:rPr>
          <w:rFonts w:ascii="宋体" w:hAnsi="宋体" w:eastAsia="宋体" w:cs="宋体"/>
          <w:sz w:val="24"/>
          <w:szCs w:val="24"/>
        </w:rPr>
      </w:pPr>
      <w:r>
        <w:rPr>
          <w:rFonts w:ascii="宋体" w:hAnsi="宋体" w:eastAsia="宋体" w:cs="宋体"/>
          <w:spacing w:val="-5"/>
          <w:sz w:val="24"/>
          <w:szCs w:val="24"/>
        </w:rPr>
        <w:t>第</w:t>
      </w:r>
      <w:r>
        <w:rPr>
          <w:rFonts w:ascii="宋体" w:hAnsi="宋体" w:eastAsia="宋体" w:cs="宋体"/>
          <w:spacing w:val="34"/>
          <w:sz w:val="24"/>
          <w:szCs w:val="24"/>
        </w:rPr>
        <w:t xml:space="preserve"> </w:t>
      </w:r>
      <w:r>
        <w:rPr>
          <w:rFonts w:ascii="宋体" w:hAnsi="宋体" w:eastAsia="宋体" w:cs="宋体"/>
          <w:spacing w:val="-5"/>
          <w:sz w:val="24"/>
          <w:szCs w:val="24"/>
        </w:rPr>
        <w:t>1.1.2</w:t>
      </w:r>
      <w:r>
        <w:rPr>
          <w:rFonts w:ascii="宋体" w:hAnsi="宋体" w:eastAsia="宋体" w:cs="宋体"/>
          <w:spacing w:val="-50"/>
          <w:sz w:val="24"/>
          <w:szCs w:val="24"/>
        </w:rPr>
        <w:t xml:space="preserve"> </w:t>
      </w:r>
      <w:r>
        <w:rPr>
          <w:rFonts w:ascii="宋体" w:hAnsi="宋体" w:eastAsia="宋体" w:cs="宋体"/>
          <w:spacing w:val="-5"/>
          <w:sz w:val="24"/>
          <w:szCs w:val="24"/>
        </w:rPr>
        <w:t>款细化为：</w:t>
      </w:r>
    </w:p>
    <w:p>
      <w:pPr>
        <w:spacing w:before="182" w:line="220" w:lineRule="auto"/>
        <w:ind w:left="499"/>
        <w:rPr>
          <w:rFonts w:ascii="宋体" w:hAnsi="宋体" w:eastAsia="宋体" w:cs="宋体"/>
          <w:sz w:val="24"/>
          <w:szCs w:val="24"/>
        </w:rPr>
      </w:pPr>
      <w:r>
        <w:rPr>
          <w:rFonts w:ascii="宋体" w:hAnsi="宋体" w:eastAsia="宋体" w:cs="宋体"/>
          <w:spacing w:val="-3"/>
          <w:sz w:val="24"/>
          <w:szCs w:val="24"/>
        </w:rPr>
        <w:t>1.1.2</w:t>
      </w:r>
      <w:r>
        <w:rPr>
          <w:rFonts w:ascii="宋体" w:hAnsi="宋体" w:eastAsia="宋体" w:cs="宋体"/>
          <w:spacing w:val="-50"/>
          <w:sz w:val="24"/>
          <w:szCs w:val="24"/>
        </w:rPr>
        <w:t xml:space="preserve"> </w:t>
      </w:r>
      <w:r>
        <w:rPr>
          <w:rFonts w:ascii="宋体" w:hAnsi="宋体" w:eastAsia="宋体" w:cs="宋体"/>
          <w:spacing w:val="-3"/>
          <w:sz w:val="24"/>
          <w:szCs w:val="24"/>
        </w:rPr>
        <w:t>合同当事人和人员</w:t>
      </w:r>
    </w:p>
    <w:p>
      <w:pPr>
        <w:spacing w:before="182" w:line="219" w:lineRule="auto"/>
        <w:ind w:left="483"/>
        <w:rPr>
          <w:rFonts w:ascii="宋体" w:hAnsi="宋体" w:eastAsia="宋体" w:cs="宋体"/>
          <w:sz w:val="24"/>
          <w:szCs w:val="24"/>
        </w:rPr>
      </w:pPr>
      <w:r>
        <w:rPr>
          <w:rFonts w:ascii="宋体" w:hAnsi="宋体" w:eastAsia="宋体" w:cs="宋体"/>
          <w:spacing w:val="-7"/>
          <w:sz w:val="24"/>
          <w:szCs w:val="24"/>
        </w:rPr>
        <w:t>本项补充第</w:t>
      </w:r>
      <w:r>
        <w:rPr>
          <w:rFonts w:ascii="宋体" w:hAnsi="宋体" w:eastAsia="宋体" w:cs="宋体"/>
          <w:spacing w:val="-30"/>
          <w:sz w:val="24"/>
          <w:szCs w:val="24"/>
        </w:rPr>
        <w:t xml:space="preserve"> </w:t>
      </w:r>
      <w:r>
        <w:fldChar w:fldCharType="begin"/>
      </w:r>
      <w:r>
        <w:instrText xml:space="preserve"> HYPERLINK "1.1.2.9" </w:instrText>
      </w:r>
      <w:r>
        <w:fldChar w:fldCharType="separate"/>
      </w:r>
      <w:r>
        <w:rPr>
          <w:rFonts w:ascii="宋体" w:hAnsi="宋体" w:eastAsia="宋体" w:cs="宋体"/>
          <w:spacing w:val="-7"/>
          <w:sz w:val="24"/>
          <w:szCs w:val="24"/>
        </w:rPr>
        <w:t>1.1.2.9</w:t>
      </w:r>
      <w:r>
        <w:rPr>
          <w:rFonts w:ascii="宋体" w:hAnsi="宋体" w:eastAsia="宋体" w:cs="宋体"/>
          <w:spacing w:val="-7"/>
          <w:sz w:val="24"/>
          <w:szCs w:val="24"/>
        </w:rPr>
        <w:fldChar w:fldCharType="end"/>
      </w:r>
      <w:r>
        <w:rPr>
          <w:rFonts w:ascii="宋体" w:hAnsi="宋体" w:eastAsia="宋体" w:cs="宋体"/>
          <w:spacing w:val="-7"/>
          <w:sz w:val="24"/>
          <w:szCs w:val="24"/>
        </w:rPr>
        <w:t xml:space="preserve"> 目～第</w:t>
      </w:r>
      <w:r>
        <w:rPr>
          <w:rFonts w:ascii="宋体" w:hAnsi="宋体" w:eastAsia="宋体" w:cs="宋体"/>
          <w:spacing w:val="-33"/>
          <w:sz w:val="24"/>
          <w:szCs w:val="24"/>
        </w:rPr>
        <w:t xml:space="preserve"> </w:t>
      </w:r>
      <w:r>
        <w:fldChar w:fldCharType="begin"/>
      </w:r>
      <w:r>
        <w:instrText xml:space="preserve"> HYPERLINK "1.1.2.11" </w:instrText>
      </w:r>
      <w:r>
        <w:fldChar w:fldCharType="separate"/>
      </w:r>
      <w:r>
        <w:rPr>
          <w:rFonts w:ascii="宋体" w:hAnsi="宋体" w:eastAsia="宋体" w:cs="宋体"/>
          <w:spacing w:val="-7"/>
          <w:sz w:val="24"/>
          <w:szCs w:val="24"/>
        </w:rPr>
        <w:t>1.1.2.11</w:t>
      </w:r>
      <w:r>
        <w:rPr>
          <w:rFonts w:ascii="宋体" w:hAnsi="宋体" w:eastAsia="宋体" w:cs="宋体"/>
          <w:spacing w:val="-7"/>
          <w:sz w:val="24"/>
          <w:szCs w:val="24"/>
        </w:rPr>
        <w:fldChar w:fldCharType="end"/>
      </w:r>
      <w:r>
        <w:rPr>
          <w:rFonts w:ascii="宋体" w:hAnsi="宋体" w:eastAsia="宋体" w:cs="宋体"/>
          <w:spacing w:val="-7"/>
          <w:sz w:val="24"/>
          <w:szCs w:val="24"/>
        </w:rPr>
        <w:t xml:space="preserve"> 目：</w:t>
      </w:r>
    </w:p>
    <w:p>
      <w:pPr>
        <w:spacing w:before="182" w:line="219" w:lineRule="auto"/>
        <w:ind w:left="499"/>
        <w:rPr>
          <w:rFonts w:ascii="宋体" w:hAnsi="宋体" w:eastAsia="宋体" w:cs="宋体"/>
          <w:sz w:val="24"/>
          <w:szCs w:val="24"/>
        </w:rPr>
      </w:pPr>
      <w:r>
        <w:fldChar w:fldCharType="begin"/>
      </w:r>
      <w:r>
        <w:instrText xml:space="preserve"> HYPERLINK "1.1.2.9" </w:instrText>
      </w:r>
      <w:r>
        <w:fldChar w:fldCharType="separate"/>
      </w:r>
      <w:r>
        <w:rPr>
          <w:rFonts w:ascii="宋体" w:hAnsi="宋体" w:eastAsia="宋体" w:cs="宋体"/>
          <w:spacing w:val="-4"/>
          <w:sz w:val="24"/>
          <w:szCs w:val="24"/>
        </w:rPr>
        <w:t>1.1.2.9</w:t>
      </w:r>
      <w:r>
        <w:rPr>
          <w:rFonts w:ascii="宋体" w:hAnsi="宋体" w:eastAsia="宋体" w:cs="宋体"/>
          <w:spacing w:val="-4"/>
          <w:sz w:val="24"/>
          <w:szCs w:val="24"/>
        </w:rPr>
        <w:fldChar w:fldCharType="end"/>
      </w:r>
      <w:r>
        <w:rPr>
          <w:rFonts w:ascii="宋体" w:hAnsi="宋体" w:eastAsia="宋体" w:cs="宋体"/>
          <w:spacing w:val="-37"/>
          <w:sz w:val="24"/>
          <w:szCs w:val="24"/>
        </w:rPr>
        <w:t xml:space="preserve"> </w:t>
      </w:r>
      <w:r>
        <w:rPr>
          <w:rFonts w:ascii="宋体" w:hAnsi="宋体" w:eastAsia="宋体" w:cs="宋体"/>
          <w:spacing w:val="-4"/>
          <w:sz w:val="24"/>
          <w:szCs w:val="24"/>
        </w:rPr>
        <w:t>发包人代表：</w:t>
      </w:r>
    </w:p>
    <w:p>
      <w:pPr>
        <w:spacing w:before="183" w:line="465" w:lineRule="exact"/>
        <w:ind w:left="486"/>
        <w:rPr>
          <w:rFonts w:ascii="宋体" w:hAnsi="宋体" w:eastAsia="宋体" w:cs="宋体"/>
          <w:sz w:val="24"/>
          <w:szCs w:val="24"/>
        </w:rPr>
      </w:pPr>
      <w:r>
        <w:rPr>
          <w:rFonts w:ascii="宋体" w:hAnsi="宋体" w:eastAsia="宋体" w:cs="宋体"/>
          <w:spacing w:val="-1"/>
          <w:position w:val="17"/>
          <w:sz w:val="24"/>
          <w:szCs w:val="24"/>
        </w:rPr>
        <w:t>发包人代表（或称发包人驻地代表）是发包人派出到合同段执行发</w:t>
      </w:r>
      <w:r>
        <w:rPr>
          <w:rFonts w:ascii="宋体" w:hAnsi="宋体" w:eastAsia="宋体" w:cs="宋体"/>
          <w:spacing w:val="-2"/>
          <w:position w:val="17"/>
          <w:sz w:val="24"/>
          <w:szCs w:val="24"/>
        </w:rPr>
        <w:t>包人授予的一定</w:t>
      </w:r>
    </w:p>
    <w:p>
      <w:pPr>
        <w:spacing w:before="1" w:line="219" w:lineRule="auto"/>
        <w:ind w:left="10"/>
        <w:rPr>
          <w:rFonts w:ascii="宋体" w:hAnsi="宋体" w:eastAsia="宋体" w:cs="宋体"/>
          <w:sz w:val="24"/>
          <w:szCs w:val="24"/>
        </w:rPr>
      </w:pPr>
      <w:r>
        <w:rPr>
          <w:rFonts w:ascii="宋体" w:hAnsi="宋体" w:eastAsia="宋体" w:cs="宋体"/>
          <w:spacing w:val="-1"/>
          <w:sz w:val="24"/>
          <w:szCs w:val="24"/>
        </w:rPr>
        <w:t>权力及职责的现场管理人员。</w:t>
      </w:r>
    </w:p>
    <w:p>
      <w:pPr>
        <w:spacing w:before="183" w:line="219" w:lineRule="auto"/>
        <w:ind w:left="499"/>
        <w:rPr>
          <w:rFonts w:ascii="宋体" w:hAnsi="宋体" w:eastAsia="宋体" w:cs="宋体"/>
          <w:sz w:val="24"/>
          <w:szCs w:val="24"/>
        </w:rPr>
      </w:pPr>
      <w:r>
        <w:fldChar w:fldCharType="begin"/>
      </w:r>
      <w:r>
        <w:instrText xml:space="preserve"> HYPERLINK "1.1.2.10" </w:instrText>
      </w:r>
      <w:r>
        <w:fldChar w:fldCharType="separate"/>
      </w:r>
      <w:r>
        <w:rPr>
          <w:rFonts w:ascii="宋体" w:hAnsi="宋体" w:eastAsia="宋体" w:cs="宋体"/>
          <w:spacing w:val="-2"/>
          <w:sz w:val="24"/>
          <w:szCs w:val="24"/>
        </w:rPr>
        <w:t>1.1.2.10</w:t>
      </w:r>
      <w:r>
        <w:rPr>
          <w:rFonts w:ascii="宋体" w:hAnsi="宋体" w:eastAsia="宋体" w:cs="宋体"/>
          <w:spacing w:val="-2"/>
          <w:sz w:val="24"/>
          <w:szCs w:val="24"/>
        </w:rPr>
        <w:fldChar w:fldCharType="end"/>
      </w:r>
      <w:r>
        <w:rPr>
          <w:rFonts w:ascii="宋体" w:hAnsi="宋体" w:eastAsia="宋体" w:cs="宋体"/>
          <w:spacing w:val="-51"/>
          <w:sz w:val="24"/>
          <w:szCs w:val="24"/>
        </w:rPr>
        <w:t xml:space="preserve"> </w:t>
      </w:r>
      <w:r>
        <w:rPr>
          <w:rFonts w:ascii="宋体" w:hAnsi="宋体" w:eastAsia="宋体" w:cs="宋体"/>
          <w:spacing w:val="-2"/>
          <w:sz w:val="24"/>
          <w:szCs w:val="24"/>
        </w:rPr>
        <w:t>试验检测中心承包人（试验人</w:t>
      </w:r>
      <w:r>
        <w:rPr>
          <w:rFonts w:ascii="宋体" w:hAnsi="宋体" w:eastAsia="宋体" w:cs="宋体"/>
          <w:spacing w:val="2"/>
          <w:sz w:val="24"/>
          <w:szCs w:val="24"/>
        </w:rPr>
        <w:t>）：</w:t>
      </w:r>
    </w:p>
    <w:p>
      <w:pPr>
        <w:spacing w:before="180" w:line="468" w:lineRule="exact"/>
        <w:ind w:left="486"/>
        <w:rPr>
          <w:rFonts w:ascii="宋体" w:hAnsi="宋体" w:eastAsia="宋体" w:cs="宋体"/>
          <w:sz w:val="24"/>
          <w:szCs w:val="24"/>
        </w:rPr>
      </w:pPr>
      <w:r>
        <w:rPr>
          <w:rFonts w:ascii="宋体" w:hAnsi="宋体" w:eastAsia="宋体" w:cs="宋体"/>
          <w:spacing w:val="-2"/>
          <w:position w:val="17"/>
          <w:sz w:val="24"/>
          <w:szCs w:val="24"/>
        </w:rPr>
        <w:t>受发包人委托实施本合同工程试验检测工作管理的法人或其他组织，代表发包人对</w:t>
      </w:r>
    </w:p>
    <w:p>
      <w:pPr>
        <w:spacing w:before="1" w:line="218" w:lineRule="auto"/>
        <w:ind w:left="12"/>
        <w:rPr>
          <w:rFonts w:ascii="宋体" w:hAnsi="宋体" w:eastAsia="宋体" w:cs="宋体"/>
          <w:sz w:val="24"/>
          <w:szCs w:val="24"/>
        </w:rPr>
      </w:pPr>
      <w:r>
        <w:rPr>
          <w:rFonts w:ascii="宋体" w:hAnsi="宋体" w:eastAsia="宋体" w:cs="宋体"/>
          <w:spacing w:val="-1"/>
          <w:sz w:val="24"/>
          <w:szCs w:val="24"/>
        </w:rPr>
        <w:t>本合同工程进行抽检，以及对承包人的试验检测工作进行现场管理。</w:t>
      </w:r>
    </w:p>
    <w:p>
      <w:pPr>
        <w:spacing w:before="181" w:line="219" w:lineRule="auto"/>
        <w:ind w:left="499"/>
        <w:rPr>
          <w:rFonts w:ascii="宋体" w:hAnsi="宋体" w:eastAsia="宋体" w:cs="宋体"/>
          <w:sz w:val="24"/>
          <w:szCs w:val="24"/>
        </w:rPr>
      </w:pPr>
      <w:r>
        <w:fldChar w:fldCharType="begin"/>
      </w:r>
      <w:r>
        <w:instrText xml:space="preserve"> HYPERLINK "1.1.2.11" </w:instrText>
      </w:r>
      <w:r>
        <w:fldChar w:fldCharType="separate"/>
      </w:r>
      <w:r>
        <w:rPr>
          <w:rFonts w:ascii="宋体" w:hAnsi="宋体" w:eastAsia="宋体" w:cs="宋体"/>
          <w:spacing w:val="-2"/>
          <w:sz w:val="24"/>
          <w:szCs w:val="24"/>
        </w:rPr>
        <w:t>1.1.2.11</w:t>
      </w:r>
      <w:r>
        <w:rPr>
          <w:rFonts w:ascii="宋体" w:hAnsi="宋体" w:eastAsia="宋体" w:cs="宋体"/>
          <w:spacing w:val="-2"/>
          <w:sz w:val="24"/>
          <w:szCs w:val="24"/>
        </w:rPr>
        <w:fldChar w:fldCharType="end"/>
      </w:r>
      <w:r>
        <w:rPr>
          <w:rFonts w:ascii="宋体" w:hAnsi="宋体" w:eastAsia="宋体" w:cs="宋体"/>
          <w:spacing w:val="-41"/>
          <w:sz w:val="24"/>
          <w:szCs w:val="24"/>
        </w:rPr>
        <w:t xml:space="preserve"> </w:t>
      </w:r>
      <w:r>
        <w:rPr>
          <w:rFonts w:ascii="宋体" w:hAnsi="宋体" w:eastAsia="宋体" w:cs="宋体"/>
          <w:spacing w:val="-2"/>
          <w:sz w:val="24"/>
          <w:szCs w:val="24"/>
        </w:rPr>
        <w:t>第三方监测、风险管理及科研单位：</w:t>
      </w:r>
    </w:p>
    <w:p>
      <w:pPr>
        <w:spacing w:before="183" w:line="219" w:lineRule="auto"/>
        <w:ind w:left="486"/>
        <w:rPr>
          <w:rFonts w:ascii="宋体" w:hAnsi="宋体" w:eastAsia="宋体" w:cs="宋体"/>
          <w:sz w:val="24"/>
          <w:szCs w:val="24"/>
        </w:rPr>
      </w:pPr>
      <w:r>
        <w:rPr>
          <w:rFonts w:ascii="宋体" w:hAnsi="宋体" w:eastAsia="宋体" w:cs="宋体"/>
          <w:spacing w:val="-1"/>
          <w:sz w:val="24"/>
          <w:szCs w:val="24"/>
        </w:rPr>
        <w:t>受发包人委托实施本合同工程监测、风险管理及科研任务的法人或其他组织。</w:t>
      </w:r>
    </w:p>
    <w:p>
      <w:pPr>
        <w:spacing w:before="182" w:line="220" w:lineRule="auto"/>
        <w:ind w:left="499"/>
        <w:rPr>
          <w:rFonts w:ascii="宋体" w:hAnsi="宋体" w:eastAsia="宋体" w:cs="宋体"/>
          <w:sz w:val="24"/>
          <w:szCs w:val="24"/>
        </w:rPr>
      </w:pPr>
      <w:r>
        <w:rPr>
          <w:rFonts w:ascii="宋体" w:hAnsi="宋体" w:eastAsia="宋体" w:cs="宋体"/>
          <w:spacing w:val="-6"/>
          <w:sz w:val="24"/>
          <w:szCs w:val="24"/>
        </w:rPr>
        <w:t>1.1.6</w:t>
      </w:r>
      <w:r>
        <w:rPr>
          <w:rFonts w:ascii="宋体" w:hAnsi="宋体" w:eastAsia="宋体" w:cs="宋体"/>
          <w:spacing w:val="-47"/>
          <w:sz w:val="24"/>
          <w:szCs w:val="24"/>
        </w:rPr>
        <w:t xml:space="preserve"> </w:t>
      </w:r>
      <w:r>
        <w:rPr>
          <w:rFonts w:ascii="宋体" w:hAnsi="宋体" w:eastAsia="宋体" w:cs="宋体"/>
          <w:spacing w:val="-6"/>
          <w:sz w:val="24"/>
          <w:szCs w:val="24"/>
        </w:rPr>
        <w:t>其他</w:t>
      </w:r>
    </w:p>
    <w:p>
      <w:pPr>
        <w:spacing w:before="181" w:line="219" w:lineRule="auto"/>
        <w:ind w:left="483"/>
        <w:rPr>
          <w:rFonts w:ascii="宋体" w:hAnsi="宋体" w:eastAsia="宋体" w:cs="宋体"/>
          <w:sz w:val="24"/>
          <w:szCs w:val="24"/>
        </w:rPr>
      </w:pPr>
      <w:r>
        <w:rPr>
          <w:rFonts w:ascii="宋体" w:hAnsi="宋体" w:eastAsia="宋体" w:cs="宋体"/>
          <w:spacing w:val="-7"/>
          <w:sz w:val="24"/>
          <w:szCs w:val="24"/>
        </w:rPr>
        <w:t>本项补充第</w:t>
      </w:r>
      <w:r>
        <w:rPr>
          <w:rFonts w:ascii="宋体" w:hAnsi="宋体" w:eastAsia="宋体" w:cs="宋体"/>
          <w:spacing w:val="-20"/>
          <w:sz w:val="24"/>
          <w:szCs w:val="24"/>
        </w:rPr>
        <w:t xml:space="preserve"> </w:t>
      </w:r>
      <w:r>
        <w:fldChar w:fldCharType="begin"/>
      </w:r>
      <w:r>
        <w:instrText xml:space="preserve"> HYPERLINK "1.1.6.10" </w:instrText>
      </w:r>
      <w:r>
        <w:fldChar w:fldCharType="separate"/>
      </w:r>
      <w:r>
        <w:rPr>
          <w:rFonts w:ascii="宋体" w:hAnsi="宋体" w:eastAsia="宋体" w:cs="宋体"/>
          <w:spacing w:val="-7"/>
          <w:sz w:val="24"/>
          <w:szCs w:val="24"/>
        </w:rPr>
        <w:t>1.1.6.10</w:t>
      </w:r>
      <w:r>
        <w:rPr>
          <w:rFonts w:ascii="宋体" w:hAnsi="宋体" w:eastAsia="宋体" w:cs="宋体"/>
          <w:spacing w:val="-7"/>
          <w:sz w:val="24"/>
          <w:szCs w:val="24"/>
        </w:rPr>
        <w:fldChar w:fldCharType="end"/>
      </w:r>
      <w:r>
        <w:rPr>
          <w:rFonts w:ascii="宋体" w:hAnsi="宋体" w:eastAsia="宋体" w:cs="宋体"/>
          <w:spacing w:val="-7"/>
          <w:sz w:val="24"/>
          <w:szCs w:val="24"/>
        </w:rPr>
        <w:t xml:space="preserve"> 目：</w:t>
      </w:r>
    </w:p>
    <w:p>
      <w:pPr>
        <w:spacing w:before="185" w:line="219" w:lineRule="auto"/>
        <w:ind w:left="499"/>
        <w:rPr>
          <w:rFonts w:ascii="宋体" w:hAnsi="宋体" w:eastAsia="宋体" w:cs="宋体"/>
          <w:sz w:val="24"/>
          <w:szCs w:val="24"/>
        </w:rPr>
      </w:pPr>
      <w:r>
        <w:fldChar w:fldCharType="begin"/>
      </w:r>
      <w:r>
        <w:instrText xml:space="preserve"> HYPERLINK "1.1.6.10" </w:instrText>
      </w:r>
      <w:r>
        <w:fldChar w:fldCharType="separate"/>
      </w:r>
      <w:r>
        <w:rPr>
          <w:rFonts w:ascii="宋体" w:hAnsi="宋体" w:eastAsia="宋体" w:cs="宋体"/>
          <w:spacing w:val="-3"/>
          <w:sz w:val="24"/>
          <w:szCs w:val="24"/>
        </w:rPr>
        <w:t>1.1.6.10</w:t>
      </w:r>
      <w:r>
        <w:rPr>
          <w:rFonts w:ascii="宋体" w:hAnsi="宋体" w:eastAsia="宋体" w:cs="宋体"/>
          <w:spacing w:val="-3"/>
          <w:sz w:val="24"/>
          <w:szCs w:val="24"/>
        </w:rPr>
        <w:fldChar w:fldCharType="end"/>
      </w:r>
      <w:r>
        <w:rPr>
          <w:rFonts w:ascii="宋体" w:hAnsi="宋体" w:eastAsia="宋体" w:cs="宋体"/>
          <w:spacing w:val="-41"/>
          <w:sz w:val="24"/>
          <w:szCs w:val="24"/>
        </w:rPr>
        <w:t xml:space="preserve"> </w:t>
      </w:r>
      <w:r>
        <w:rPr>
          <w:rFonts w:ascii="宋体" w:hAnsi="宋体" w:eastAsia="宋体" w:cs="宋体"/>
          <w:spacing w:val="-3"/>
          <w:sz w:val="24"/>
          <w:szCs w:val="24"/>
        </w:rPr>
        <w:t>首件工程认可制：</w:t>
      </w:r>
    </w:p>
    <w:p>
      <w:pPr>
        <w:spacing w:before="180" w:line="359" w:lineRule="auto"/>
        <w:ind w:left="10" w:right="230" w:firstLine="476"/>
        <w:rPr>
          <w:rFonts w:ascii="宋体" w:hAnsi="宋体" w:eastAsia="宋体" w:cs="宋体"/>
          <w:sz w:val="24"/>
          <w:szCs w:val="24"/>
        </w:rPr>
      </w:pPr>
      <w:r>
        <w:rPr>
          <w:rFonts w:ascii="宋体" w:hAnsi="宋体" w:eastAsia="宋体" w:cs="宋体"/>
          <w:spacing w:val="-2"/>
          <w:sz w:val="24"/>
          <w:szCs w:val="24"/>
        </w:rPr>
        <w:t>简称首件制，指每一个分项工程开工前，承包人先按施工组织设计中的工艺技术要</w:t>
      </w:r>
      <w:r>
        <w:rPr>
          <w:rFonts w:ascii="宋体" w:hAnsi="宋体" w:eastAsia="宋体" w:cs="宋体"/>
          <w:spacing w:val="13"/>
          <w:sz w:val="24"/>
          <w:szCs w:val="24"/>
        </w:rPr>
        <w:t xml:space="preserve"> </w:t>
      </w:r>
      <w:r>
        <w:rPr>
          <w:rFonts w:ascii="宋体" w:hAnsi="宋体" w:eastAsia="宋体" w:cs="宋体"/>
          <w:spacing w:val="-6"/>
          <w:sz w:val="24"/>
          <w:szCs w:val="24"/>
        </w:rPr>
        <w:t>求完成样品工程，随后对样品的各项质量指标进行检测，并对检测结果进</w:t>
      </w:r>
      <w:r>
        <w:rPr>
          <w:rFonts w:ascii="宋体" w:hAnsi="宋体" w:eastAsia="宋体" w:cs="宋体"/>
          <w:spacing w:val="-7"/>
          <w:sz w:val="24"/>
          <w:szCs w:val="24"/>
        </w:rPr>
        <w:t>行分析、对比，</w:t>
      </w:r>
      <w:r>
        <w:rPr>
          <w:rFonts w:ascii="宋体" w:hAnsi="宋体" w:eastAsia="宋体" w:cs="宋体"/>
          <w:sz w:val="24"/>
          <w:szCs w:val="24"/>
        </w:rPr>
        <w:t xml:space="preserve"> </w:t>
      </w:r>
      <w:r>
        <w:rPr>
          <w:rFonts w:ascii="宋体" w:hAnsi="宋体" w:eastAsia="宋体" w:cs="宋体"/>
          <w:spacing w:val="-2"/>
          <w:sz w:val="24"/>
          <w:szCs w:val="24"/>
        </w:rPr>
        <w:t>再对施工组织设计进行修改完善。承包人从满足要求的试件中确定一个优良的首件，从</w:t>
      </w:r>
      <w:r>
        <w:rPr>
          <w:rFonts w:ascii="宋体" w:hAnsi="宋体" w:eastAsia="宋体" w:cs="宋体"/>
          <w:spacing w:val="13"/>
          <w:sz w:val="24"/>
          <w:szCs w:val="24"/>
        </w:rPr>
        <w:t xml:space="preserve"> </w:t>
      </w:r>
      <w:r>
        <w:rPr>
          <w:rFonts w:ascii="宋体" w:hAnsi="宋体" w:eastAsia="宋体" w:cs="宋体"/>
          <w:spacing w:val="-2"/>
          <w:sz w:val="24"/>
          <w:szCs w:val="24"/>
        </w:rPr>
        <w:t>程序报建、技术培训、技术交底、材料进场、施工方案和施工工艺、材料试验、现场管</w:t>
      </w:r>
    </w:p>
    <w:p>
      <w:pPr>
        <w:spacing w:before="1" w:line="218" w:lineRule="auto"/>
        <w:ind w:left="14"/>
        <w:rPr>
          <w:rFonts w:ascii="宋体" w:hAnsi="宋体" w:eastAsia="宋体" w:cs="宋体"/>
          <w:sz w:val="24"/>
          <w:szCs w:val="24"/>
        </w:rPr>
      </w:pPr>
      <w:r>
        <w:rPr>
          <w:rFonts w:ascii="宋体" w:hAnsi="宋体" w:eastAsia="宋体" w:cs="宋体"/>
          <w:spacing w:val="-2"/>
          <w:sz w:val="24"/>
          <w:szCs w:val="24"/>
        </w:rPr>
        <w:t>理和质量控制等方面，整理出一套标准样本，获得更科学、更合理的施工参数、质量保</w:t>
      </w:r>
    </w:p>
    <w:p>
      <w:pPr>
        <w:spacing w:line="265" w:lineRule="auto"/>
        <w:rPr>
          <w:rFonts w:ascii="Arial"/>
          <w:sz w:val="21"/>
        </w:rPr>
      </w:pPr>
    </w:p>
    <w:p>
      <w:pPr>
        <w:spacing w:line="265" w:lineRule="auto"/>
        <w:rPr>
          <w:rFonts w:ascii="Arial"/>
          <w:sz w:val="21"/>
        </w:rPr>
      </w:pPr>
    </w:p>
    <w:p>
      <w:pPr>
        <w:spacing w:before="60" w:line="220" w:lineRule="auto"/>
        <w:ind w:left="8"/>
        <w:rPr>
          <w:rFonts w:ascii="宋体" w:hAnsi="宋体" w:eastAsia="宋体" w:cs="宋体"/>
          <w:sz w:val="18"/>
          <w:szCs w:val="18"/>
        </w:rPr>
      </w:pPr>
      <w:r>
        <w:rPr>
          <w:rFonts w:ascii="宋体" w:hAnsi="宋体" w:eastAsia="宋体" w:cs="宋体"/>
          <w:sz w:val="18"/>
          <w:szCs w:val="18"/>
        </w:rPr>
        <w:t>① 本项目专用合同条款是以高速公路为基础，招标人可根据项目的实际情况进</w:t>
      </w:r>
      <w:r>
        <w:rPr>
          <w:rFonts w:ascii="宋体" w:hAnsi="宋体" w:eastAsia="宋体" w:cs="宋体"/>
          <w:spacing w:val="-1"/>
          <w:sz w:val="18"/>
          <w:szCs w:val="18"/>
        </w:rPr>
        <w:t>行完善或修改。</w:t>
      </w:r>
    </w:p>
    <w:p>
      <w:pPr>
        <w:spacing w:line="425" w:lineRule="auto"/>
        <w:rPr>
          <w:rFonts w:ascii="Arial"/>
          <w:sz w:val="21"/>
        </w:rPr>
      </w:pPr>
    </w:p>
    <w:p>
      <w:pPr>
        <w:spacing w:before="78" w:line="359" w:lineRule="auto"/>
        <w:ind w:left="5" w:right="291"/>
        <w:jc w:val="both"/>
        <w:rPr>
          <w:rFonts w:ascii="宋体" w:hAnsi="宋体" w:eastAsia="宋体" w:cs="宋体"/>
          <w:sz w:val="24"/>
          <w:szCs w:val="24"/>
        </w:rPr>
      </w:pPr>
      <w:r>
        <w:rPr>
          <w:rFonts w:ascii="宋体" w:hAnsi="宋体" w:eastAsia="宋体" w:cs="宋体"/>
          <w:spacing w:val="-2"/>
          <w:sz w:val="24"/>
          <w:szCs w:val="24"/>
        </w:rPr>
        <w:t>证措施和安全保证措施，并作为施工（批量生产）的依据，使施工（批量生产）过程中</w:t>
      </w:r>
      <w:r>
        <w:rPr>
          <w:rFonts w:ascii="宋体" w:hAnsi="宋体" w:eastAsia="宋体" w:cs="宋体"/>
          <w:spacing w:val="12"/>
          <w:sz w:val="24"/>
          <w:szCs w:val="24"/>
        </w:rPr>
        <w:t xml:space="preserve"> </w:t>
      </w:r>
      <w:r>
        <w:rPr>
          <w:rFonts w:ascii="宋体" w:hAnsi="宋体" w:eastAsia="宋体" w:cs="宋体"/>
          <w:spacing w:val="-2"/>
          <w:sz w:val="24"/>
          <w:szCs w:val="24"/>
        </w:rPr>
        <w:t>整个工程质量和外观效果处于可控范围内，杜绝施工（批量生产）后可能产生的各种质</w:t>
      </w:r>
    </w:p>
    <w:p>
      <w:pPr>
        <w:spacing w:line="218" w:lineRule="auto"/>
        <w:ind w:left="5"/>
        <w:rPr>
          <w:rFonts w:ascii="宋体" w:hAnsi="宋体" w:eastAsia="宋体" w:cs="宋体"/>
          <w:sz w:val="24"/>
          <w:szCs w:val="24"/>
        </w:rPr>
      </w:pPr>
      <w:r>
        <w:rPr>
          <w:rFonts w:ascii="宋体" w:hAnsi="宋体" w:eastAsia="宋体" w:cs="宋体"/>
          <w:spacing w:val="-1"/>
          <w:sz w:val="24"/>
          <w:szCs w:val="24"/>
        </w:rPr>
        <w:t>量隐患。凡未经首件工程认可的工艺过程，一律不得批量应用。</w:t>
      </w:r>
    </w:p>
    <w:p>
      <w:pPr>
        <w:spacing w:before="181" w:line="219" w:lineRule="auto"/>
        <w:ind w:left="493"/>
        <w:rPr>
          <w:rFonts w:ascii="宋体" w:hAnsi="宋体" w:eastAsia="宋体" w:cs="宋体"/>
          <w:sz w:val="24"/>
          <w:szCs w:val="24"/>
        </w:rPr>
      </w:pPr>
      <w:r>
        <w:rPr>
          <w:rFonts w:ascii="宋体" w:hAnsi="宋体" w:eastAsia="宋体" w:cs="宋体"/>
          <w:spacing w:val="-6"/>
          <w:sz w:val="24"/>
          <w:szCs w:val="24"/>
        </w:rPr>
        <w:t>1.6</w:t>
      </w:r>
      <w:r>
        <w:rPr>
          <w:rFonts w:ascii="宋体" w:hAnsi="宋体" w:eastAsia="宋体" w:cs="宋体"/>
          <w:spacing w:val="37"/>
          <w:sz w:val="24"/>
          <w:szCs w:val="24"/>
        </w:rPr>
        <w:t xml:space="preserve"> </w:t>
      </w:r>
      <w:r>
        <w:rPr>
          <w:rFonts w:ascii="宋体" w:hAnsi="宋体" w:eastAsia="宋体" w:cs="宋体"/>
          <w:spacing w:val="-6"/>
          <w:sz w:val="24"/>
          <w:szCs w:val="24"/>
        </w:rPr>
        <w:t>图纸和承包人文件</w:t>
      </w:r>
    </w:p>
    <w:p>
      <w:pPr>
        <w:spacing w:before="184" w:line="288" w:lineRule="auto"/>
        <w:ind w:left="476" w:right="7028" w:firstLine="16"/>
        <w:rPr>
          <w:rFonts w:ascii="宋体" w:hAnsi="宋体" w:eastAsia="宋体" w:cs="宋体"/>
          <w:sz w:val="24"/>
          <w:szCs w:val="24"/>
        </w:rPr>
      </w:pPr>
      <w:r>
        <w:rPr>
          <w:rFonts w:ascii="宋体" w:hAnsi="宋体" w:eastAsia="宋体" w:cs="宋体"/>
          <w:spacing w:val="-7"/>
          <w:sz w:val="24"/>
          <w:szCs w:val="24"/>
        </w:rPr>
        <w:t>1.6.1</w:t>
      </w:r>
      <w:r>
        <w:rPr>
          <w:rFonts w:ascii="宋体" w:hAnsi="宋体" w:eastAsia="宋体" w:cs="宋体"/>
          <w:spacing w:val="-19"/>
          <w:sz w:val="24"/>
          <w:szCs w:val="24"/>
        </w:rPr>
        <w:t xml:space="preserve"> </w:t>
      </w:r>
      <w:r>
        <w:rPr>
          <w:rFonts w:ascii="宋体" w:hAnsi="宋体" w:eastAsia="宋体" w:cs="宋体"/>
          <w:spacing w:val="-7"/>
          <w:sz w:val="24"/>
          <w:szCs w:val="24"/>
        </w:rPr>
        <w:t>图纸的提供</w:t>
      </w:r>
      <w:r>
        <w:rPr>
          <w:rFonts w:ascii="宋体" w:hAnsi="宋体" w:eastAsia="宋体" w:cs="宋体"/>
          <w:sz w:val="24"/>
          <w:szCs w:val="24"/>
        </w:rPr>
        <w:t xml:space="preserve"> </w:t>
      </w:r>
      <w:r>
        <w:rPr>
          <w:rFonts w:ascii="宋体" w:hAnsi="宋体" w:eastAsia="宋体" w:cs="宋体"/>
          <w:spacing w:val="-2"/>
          <w:sz w:val="24"/>
          <w:szCs w:val="24"/>
        </w:rPr>
        <w:t>本项细化为：</w:t>
      </w:r>
    </w:p>
    <w:p>
      <w:pPr>
        <w:spacing w:before="183" w:line="359" w:lineRule="auto"/>
        <w:ind w:left="5" w:right="278" w:firstLine="474"/>
        <w:jc w:val="both"/>
        <w:rPr>
          <w:rFonts w:ascii="宋体" w:hAnsi="宋体" w:eastAsia="宋体" w:cs="宋体"/>
          <w:sz w:val="24"/>
          <w:szCs w:val="24"/>
        </w:rPr>
      </w:pPr>
      <w:r>
        <w:rPr>
          <w:rFonts w:ascii="宋体" w:hAnsi="宋体" w:eastAsia="宋体" w:cs="宋体"/>
          <w:spacing w:val="1"/>
          <w:sz w:val="24"/>
          <w:szCs w:val="24"/>
        </w:rPr>
        <w:t>发包人应在发出中标通知书之后</w:t>
      </w:r>
      <w:r>
        <w:rPr>
          <w:rFonts w:ascii="宋体" w:hAnsi="宋体" w:eastAsia="宋体" w:cs="宋体"/>
          <w:spacing w:val="-49"/>
          <w:sz w:val="24"/>
          <w:szCs w:val="24"/>
        </w:rPr>
        <w:t xml:space="preserve"> </w:t>
      </w:r>
      <w:r>
        <w:rPr>
          <w:rFonts w:ascii="宋体" w:hAnsi="宋体" w:eastAsia="宋体" w:cs="宋体"/>
          <w:spacing w:val="1"/>
          <w:sz w:val="24"/>
          <w:szCs w:val="24"/>
        </w:rPr>
        <w:t>42</w:t>
      </w:r>
      <w:r>
        <w:rPr>
          <w:rFonts w:ascii="宋体" w:hAnsi="宋体" w:eastAsia="宋体" w:cs="宋体"/>
          <w:spacing w:val="-43"/>
          <w:sz w:val="24"/>
          <w:szCs w:val="24"/>
        </w:rPr>
        <w:t xml:space="preserve"> </w:t>
      </w:r>
      <w:r>
        <w:rPr>
          <w:rFonts w:ascii="宋体" w:hAnsi="宋体" w:eastAsia="宋体" w:cs="宋体"/>
          <w:spacing w:val="1"/>
          <w:sz w:val="24"/>
          <w:szCs w:val="24"/>
        </w:rPr>
        <w:t>天内，向承包人免费提供由发包人或其委</w:t>
      </w:r>
      <w:r>
        <w:rPr>
          <w:rFonts w:ascii="宋体" w:hAnsi="宋体" w:eastAsia="宋体" w:cs="宋体"/>
          <w:sz w:val="24"/>
          <w:szCs w:val="24"/>
        </w:rPr>
        <w:t xml:space="preserve">托的 </w:t>
      </w:r>
      <w:r>
        <w:rPr>
          <w:rFonts w:ascii="宋体" w:hAnsi="宋体" w:eastAsia="宋体" w:cs="宋体"/>
          <w:spacing w:val="-2"/>
          <w:sz w:val="24"/>
          <w:szCs w:val="24"/>
        </w:rPr>
        <w:t>设计单位设计的施工图纸、技术规范和其他技术资料</w:t>
      </w:r>
      <w:r>
        <w:rPr>
          <w:rFonts w:ascii="宋体" w:hAnsi="宋体" w:eastAsia="宋体" w:cs="宋体"/>
          <w:spacing w:val="-44"/>
          <w:sz w:val="24"/>
          <w:szCs w:val="24"/>
        </w:rPr>
        <w:t xml:space="preserve"> </w:t>
      </w:r>
      <w:r>
        <w:rPr>
          <w:rFonts w:ascii="宋体" w:hAnsi="宋体" w:eastAsia="宋体" w:cs="宋体"/>
          <w:spacing w:val="-2"/>
          <w:sz w:val="24"/>
          <w:szCs w:val="24"/>
        </w:rPr>
        <w:t>2</w:t>
      </w:r>
      <w:r>
        <w:rPr>
          <w:rFonts w:ascii="宋体" w:hAnsi="宋体" w:eastAsia="宋体" w:cs="宋体"/>
          <w:spacing w:val="-51"/>
          <w:sz w:val="24"/>
          <w:szCs w:val="24"/>
        </w:rPr>
        <w:t xml:space="preserve"> </w:t>
      </w:r>
      <w:r>
        <w:rPr>
          <w:rFonts w:ascii="宋体" w:hAnsi="宋体" w:eastAsia="宋体" w:cs="宋体"/>
          <w:spacing w:val="-2"/>
          <w:sz w:val="24"/>
          <w:szCs w:val="24"/>
        </w:rPr>
        <w:t>份，并向承包人进行技术交底。</w:t>
      </w:r>
      <w:r>
        <w:rPr>
          <w:rFonts w:ascii="宋体" w:hAnsi="宋体" w:eastAsia="宋体" w:cs="宋体"/>
          <w:sz w:val="24"/>
          <w:szCs w:val="24"/>
        </w:rPr>
        <w:t xml:space="preserve"> </w:t>
      </w:r>
      <w:r>
        <w:rPr>
          <w:rFonts w:ascii="宋体" w:hAnsi="宋体" w:eastAsia="宋体" w:cs="宋体"/>
          <w:spacing w:val="-2"/>
          <w:sz w:val="24"/>
          <w:szCs w:val="24"/>
        </w:rPr>
        <w:t>承包人需要更多份数时，应自费复制。上述图纸、技术规范和其他技术资料，未经发包</w:t>
      </w:r>
    </w:p>
    <w:p>
      <w:pPr>
        <w:spacing w:line="218" w:lineRule="auto"/>
        <w:ind w:left="7"/>
        <w:rPr>
          <w:rFonts w:ascii="宋体" w:hAnsi="宋体" w:eastAsia="宋体" w:cs="宋体"/>
          <w:sz w:val="24"/>
          <w:szCs w:val="24"/>
        </w:rPr>
      </w:pPr>
      <w:r>
        <w:rPr>
          <w:rFonts w:ascii="宋体" w:hAnsi="宋体" w:eastAsia="宋体" w:cs="宋体"/>
          <w:spacing w:val="-1"/>
          <w:sz w:val="24"/>
          <w:szCs w:val="24"/>
        </w:rPr>
        <w:t>人同意，承包人不得提供给与本工程无关的第三方。</w:t>
      </w:r>
    </w:p>
    <w:p>
      <w:pPr>
        <w:spacing w:before="184" w:line="466" w:lineRule="exact"/>
        <w:ind w:left="493"/>
        <w:rPr>
          <w:rFonts w:ascii="宋体" w:hAnsi="宋体" w:eastAsia="宋体" w:cs="宋体"/>
          <w:sz w:val="24"/>
          <w:szCs w:val="24"/>
        </w:rPr>
      </w:pPr>
      <w:r>
        <w:rPr>
          <w:rFonts w:ascii="宋体" w:hAnsi="宋体" w:eastAsia="宋体" w:cs="宋体"/>
          <w:spacing w:val="-7"/>
          <w:position w:val="17"/>
          <w:sz w:val="24"/>
          <w:szCs w:val="24"/>
        </w:rPr>
        <w:t>1.6.3</w:t>
      </w:r>
      <w:r>
        <w:rPr>
          <w:rFonts w:ascii="宋体" w:hAnsi="宋体" w:eastAsia="宋体" w:cs="宋体"/>
          <w:spacing w:val="-19"/>
          <w:position w:val="17"/>
          <w:sz w:val="24"/>
          <w:szCs w:val="24"/>
        </w:rPr>
        <w:t xml:space="preserve"> </w:t>
      </w:r>
      <w:r>
        <w:rPr>
          <w:rFonts w:ascii="宋体" w:hAnsi="宋体" w:eastAsia="宋体" w:cs="宋体"/>
          <w:spacing w:val="-7"/>
          <w:position w:val="17"/>
          <w:sz w:val="24"/>
          <w:szCs w:val="24"/>
        </w:rPr>
        <w:t>图纸的修改</w:t>
      </w:r>
    </w:p>
    <w:p>
      <w:pPr>
        <w:spacing w:before="1" w:line="218" w:lineRule="auto"/>
        <w:ind w:left="486"/>
        <w:rPr>
          <w:rFonts w:ascii="宋体" w:hAnsi="宋体" w:eastAsia="宋体" w:cs="宋体"/>
          <w:sz w:val="24"/>
          <w:szCs w:val="24"/>
        </w:rPr>
      </w:pPr>
      <w:r>
        <w:rPr>
          <w:rFonts w:ascii="宋体" w:hAnsi="宋体" w:eastAsia="宋体" w:cs="宋体"/>
          <w:spacing w:val="-3"/>
          <w:sz w:val="24"/>
          <w:szCs w:val="24"/>
        </w:rPr>
        <w:t>本项补充：</w:t>
      </w:r>
    </w:p>
    <w:p>
      <w:pPr>
        <w:spacing w:before="183" w:line="468" w:lineRule="exact"/>
        <w:ind w:left="475"/>
        <w:rPr>
          <w:rFonts w:ascii="宋体" w:hAnsi="宋体" w:eastAsia="宋体" w:cs="宋体"/>
          <w:sz w:val="24"/>
          <w:szCs w:val="24"/>
        </w:rPr>
      </w:pPr>
      <w:r>
        <w:rPr>
          <w:rFonts w:ascii="宋体" w:hAnsi="宋体" w:eastAsia="宋体" w:cs="宋体"/>
          <w:spacing w:val="-2"/>
          <w:position w:val="17"/>
          <w:sz w:val="24"/>
          <w:szCs w:val="24"/>
        </w:rPr>
        <w:t>承包人不得对施工图的任何部分进行修改，所有设计修改必须经设计单位认可及发</w:t>
      </w:r>
    </w:p>
    <w:p>
      <w:pPr>
        <w:spacing w:before="1" w:line="219" w:lineRule="auto"/>
        <w:ind w:left="5"/>
        <w:rPr>
          <w:rFonts w:ascii="宋体" w:hAnsi="宋体" w:eastAsia="宋体" w:cs="宋体"/>
          <w:sz w:val="24"/>
          <w:szCs w:val="24"/>
        </w:rPr>
      </w:pPr>
      <w:r>
        <w:rPr>
          <w:rFonts w:ascii="宋体" w:hAnsi="宋体" w:eastAsia="宋体" w:cs="宋体"/>
          <w:spacing w:val="-2"/>
          <w:sz w:val="24"/>
          <w:szCs w:val="24"/>
        </w:rPr>
        <w:t>包人同意，否则视为承包人违约并按</w:t>
      </w:r>
      <w:r>
        <w:rPr>
          <w:rFonts w:ascii="宋体" w:hAnsi="宋体" w:eastAsia="宋体" w:cs="宋体"/>
          <w:spacing w:val="-33"/>
          <w:sz w:val="24"/>
          <w:szCs w:val="24"/>
        </w:rPr>
        <w:t xml:space="preserve"> </w:t>
      </w:r>
      <w:r>
        <w:rPr>
          <w:rFonts w:ascii="宋体" w:hAnsi="宋体" w:eastAsia="宋体" w:cs="宋体"/>
          <w:spacing w:val="-2"/>
          <w:sz w:val="24"/>
          <w:szCs w:val="24"/>
        </w:rPr>
        <w:t>22.1</w:t>
      </w:r>
      <w:r>
        <w:rPr>
          <w:rFonts w:ascii="宋体" w:hAnsi="宋体" w:eastAsia="宋体" w:cs="宋体"/>
          <w:spacing w:val="-50"/>
          <w:sz w:val="24"/>
          <w:szCs w:val="24"/>
        </w:rPr>
        <w:t xml:space="preserve"> </w:t>
      </w:r>
      <w:r>
        <w:rPr>
          <w:rFonts w:ascii="宋体" w:hAnsi="宋体" w:eastAsia="宋体" w:cs="宋体"/>
          <w:spacing w:val="-2"/>
          <w:sz w:val="24"/>
          <w:szCs w:val="24"/>
        </w:rPr>
        <w:t>款处理。</w:t>
      </w:r>
    </w:p>
    <w:p>
      <w:pPr>
        <w:spacing w:before="180" w:line="468" w:lineRule="exact"/>
        <w:ind w:left="493"/>
        <w:rPr>
          <w:rFonts w:ascii="宋体" w:hAnsi="宋体" w:eastAsia="宋体" w:cs="宋体"/>
          <w:sz w:val="24"/>
          <w:szCs w:val="24"/>
        </w:rPr>
      </w:pPr>
      <w:r>
        <w:rPr>
          <w:rFonts w:ascii="宋体" w:hAnsi="宋体" w:eastAsia="宋体" w:cs="宋体"/>
          <w:spacing w:val="-7"/>
          <w:position w:val="17"/>
          <w:sz w:val="24"/>
          <w:szCs w:val="24"/>
        </w:rPr>
        <w:t>1.6.4</w:t>
      </w:r>
      <w:r>
        <w:rPr>
          <w:rFonts w:ascii="宋体" w:hAnsi="宋体" w:eastAsia="宋体" w:cs="宋体"/>
          <w:spacing w:val="-19"/>
          <w:position w:val="17"/>
          <w:sz w:val="24"/>
          <w:szCs w:val="24"/>
        </w:rPr>
        <w:t xml:space="preserve"> </w:t>
      </w:r>
      <w:r>
        <w:rPr>
          <w:rFonts w:ascii="宋体" w:hAnsi="宋体" w:eastAsia="宋体" w:cs="宋体"/>
          <w:spacing w:val="-7"/>
          <w:position w:val="17"/>
          <w:sz w:val="24"/>
          <w:szCs w:val="24"/>
        </w:rPr>
        <w:t>图纸的错误</w:t>
      </w:r>
    </w:p>
    <w:p>
      <w:pPr>
        <w:spacing w:before="1" w:line="218" w:lineRule="auto"/>
        <w:ind w:left="6"/>
        <w:rPr>
          <w:rFonts w:ascii="宋体" w:hAnsi="宋体" w:eastAsia="宋体" w:cs="宋体"/>
          <w:sz w:val="24"/>
          <w:szCs w:val="24"/>
        </w:rPr>
      </w:pPr>
      <w:r>
        <w:rPr>
          <w:rFonts w:ascii="宋体" w:hAnsi="宋体" w:eastAsia="宋体" w:cs="宋体"/>
          <w:spacing w:val="-2"/>
          <w:sz w:val="24"/>
          <w:szCs w:val="24"/>
        </w:rPr>
        <w:t>本项细化为：</w:t>
      </w:r>
    </w:p>
    <w:p>
      <w:pPr>
        <w:spacing w:before="183" w:line="359" w:lineRule="auto"/>
        <w:ind w:left="9" w:right="291" w:firstLine="466"/>
        <w:jc w:val="both"/>
        <w:rPr>
          <w:rFonts w:ascii="宋体" w:hAnsi="宋体" w:eastAsia="宋体" w:cs="宋体"/>
          <w:sz w:val="24"/>
          <w:szCs w:val="24"/>
        </w:rPr>
      </w:pPr>
      <w:r>
        <w:rPr>
          <w:rFonts w:ascii="宋体" w:hAnsi="宋体" w:eastAsia="宋体" w:cs="宋体"/>
          <w:spacing w:val="-2"/>
          <w:sz w:val="24"/>
          <w:szCs w:val="24"/>
        </w:rPr>
        <w:t>承包人须组织相关技术工作人员对有关的工程设计、技术规范、图纸或其他资料进</w:t>
      </w:r>
      <w:r>
        <w:rPr>
          <w:rFonts w:ascii="宋体" w:hAnsi="宋体" w:eastAsia="宋体" w:cs="宋体"/>
          <w:spacing w:val="18"/>
          <w:sz w:val="24"/>
          <w:szCs w:val="24"/>
        </w:rPr>
        <w:t xml:space="preserve"> </w:t>
      </w:r>
      <w:r>
        <w:rPr>
          <w:rFonts w:ascii="宋体" w:hAnsi="宋体" w:eastAsia="宋体" w:cs="宋体"/>
          <w:spacing w:val="-2"/>
          <w:sz w:val="24"/>
          <w:szCs w:val="24"/>
        </w:rPr>
        <w:t>行复核，发现资料中的任何差错、遗漏或缺陷后，应及时通知监理人。承包人未能在合</w:t>
      </w:r>
      <w:r>
        <w:rPr>
          <w:rFonts w:ascii="宋体" w:hAnsi="宋体" w:eastAsia="宋体" w:cs="宋体"/>
          <w:spacing w:val="8"/>
          <w:sz w:val="24"/>
          <w:szCs w:val="24"/>
        </w:rPr>
        <w:t xml:space="preserve"> </w:t>
      </w:r>
      <w:r>
        <w:rPr>
          <w:rFonts w:ascii="宋体" w:hAnsi="宋体" w:eastAsia="宋体" w:cs="宋体"/>
          <w:spacing w:val="-2"/>
          <w:sz w:val="24"/>
          <w:szCs w:val="24"/>
        </w:rPr>
        <w:t>同规定的时间内将发现的有关工程设计、技术规范、图纸或其他资料中的差错、遗漏或</w:t>
      </w:r>
    </w:p>
    <w:p>
      <w:pPr>
        <w:spacing w:line="219" w:lineRule="auto"/>
        <w:ind w:left="5"/>
        <w:rPr>
          <w:rFonts w:ascii="宋体" w:hAnsi="宋体" w:eastAsia="宋体" w:cs="宋体"/>
          <w:sz w:val="24"/>
          <w:szCs w:val="24"/>
        </w:rPr>
      </w:pPr>
      <w:r>
        <w:rPr>
          <w:rFonts w:ascii="宋体" w:hAnsi="宋体" w:eastAsia="宋体" w:cs="宋体"/>
          <w:spacing w:val="-1"/>
          <w:sz w:val="24"/>
          <w:szCs w:val="24"/>
        </w:rPr>
        <w:t>缺陷通知监理人的，由此造成的一切损失和责任均由承包人承担。</w:t>
      </w:r>
    </w:p>
    <w:p>
      <w:pPr>
        <w:spacing w:before="181" w:line="468" w:lineRule="exact"/>
        <w:ind w:left="475"/>
        <w:rPr>
          <w:rFonts w:ascii="宋体" w:hAnsi="宋体" w:eastAsia="宋体" w:cs="宋体"/>
          <w:sz w:val="24"/>
          <w:szCs w:val="24"/>
        </w:rPr>
      </w:pPr>
      <w:r>
        <w:rPr>
          <w:rFonts w:ascii="宋体" w:hAnsi="宋体" w:eastAsia="宋体" w:cs="宋体"/>
          <w:spacing w:val="-5"/>
          <w:position w:val="17"/>
          <w:sz w:val="24"/>
          <w:szCs w:val="24"/>
        </w:rPr>
        <w:t>针对图纸与工程量清单的差、错、漏等问题，承包人应</w:t>
      </w:r>
      <w:r>
        <w:rPr>
          <w:rFonts w:ascii="宋体" w:hAnsi="宋体" w:eastAsia="宋体" w:cs="宋体"/>
          <w:spacing w:val="-6"/>
          <w:position w:val="17"/>
          <w:sz w:val="24"/>
          <w:szCs w:val="24"/>
        </w:rPr>
        <w:t>在合同签订后</w:t>
      </w:r>
      <w:r>
        <w:rPr>
          <w:rFonts w:ascii="宋体" w:hAnsi="宋体" w:eastAsia="宋体" w:cs="宋体"/>
          <w:spacing w:val="-45"/>
          <w:position w:val="17"/>
          <w:sz w:val="24"/>
          <w:szCs w:val="24"/>
        </w:rPr>
        <w:t xml:space="preserve"> </w:t>
      </w:r>
      <w:r>
        <w:rPr>
          <w:rFonts w:ascii="宋体" w:hAnsi="宋体" w:eastAsia="宋体" w:cs="宋体"/>
          <w:spacing w:val="-6"/>
          <w:position w:val="17"/>
          <w:sz w:val="24"/>
          <w:szCs w:val="24"/>
        </w:rPr>
        <w:t>3</w:t>
      </w:r>
      <w:r>
        <w:rPr>
          <w:rFonts w:ascii="宋体" w:hAnsi="宋体" w:eastAsia="宋体" w:cs="宋体"/>
          <w:spacing w:val="-51"/>
          <w:position w:val="17"/>
          <w:sz w:val="24"/>
          <w:szCs w:val="24"/>
        </w:rPr>
        <w:t xml:space="preserve"> </w:t>
      </w:r>
      <w:r>
        <w:rPr>
          <w:rFonts w:ascii="宋体" w:hAnsi="宋体" w:eastAsia="宋体" w:cs="宋体"/>
          <w:spacing w:val="-6"/>
          <w:position w:val="17"/>
          <w:sz w:val="24"/>
          <w:szCs w:val="24"/>
        </w:rPr>
        <w:t>个月内提出，</w:t>
      </w:r>
    </w:p>
    <w:p>
      <w:pPr>
        <w:spacing w:line="219" w:lineRule="auto"/>
        <w:ind w:left="6"/>
        <w:rPr>
          <w:rFonts w:ascii="宋体" w:hAnsi="宋体" w:eastAsia="宋体" w:cs="宋体"/>
          <w:sz w:val="24"/>
          <w:szCs w:val="24"/>
        </w:rPr>
      </w:pPr>
      <w:r>
        <w:rPr>
          <w:rFonts w:ascii="宋体" w:hAnsi="宋体" w:eastAsia="宋体" w:cs="宋体"/>
          <w:spacing w:val="-1"/>
          <w:sz w:val="24"/>
          <w:szCs w:val="24"/>
        </w:rPr>
        <w:t>合同签订后</w:t>
      </w:r>
      <w:r>
        <w:rPr>
          <w:rFonts w:ascii="宋体" w:hAnsi="宋体" w:eastAsia="宋体" w:cs="宋体"/>
          <w:spacing w:val="-49"/>
          <w:sz w:val="24"/>
          <w:szCs w:val="24"/>
        </w:rPr>
        <w:t xml:space="preserve"> </w:t>
      </w:r>
      <w:r>
        <w:rPr>
          <w:rFonts w:ascii="宋体" w:hAnsi="宋体" w:eastAsia="宋体" w:cs="宋体"/>
          <w:spacing w:val="-1"/>
          <w:sz w:val="24"/>
          <w:szCs w:val="24"/>
        </w:rPr>
        <w:t>6</w:t>
      </w:r>
      <w:r>
        <w:rPr>
          <w:rFonts w:ascii="宋体" w:hAnsi="宋体" w:eastAsia="宋体" w:cs="宋体"/>
          <w:spacing w:val="-51"/>
          <w:sz w:val="24"/>
          <w:szCs w:val="24"/>
        </w:rPr>
        <w:t xml:space="preserve"> </w:t>
      </w:r>
      <w:r>
        <w:rPr>
          <w:rFonts w:ascii="宋体" w:hAnsi="宋体" w:eastAsia="宋体" w:cs="宋体"/>
          <w:spacing w:val="-1"/>
          <w:sz w:val="24"/>
          <w:szCs w:val="24"/>
        </w:rPr>
        <w:t>个月内完成设计工程量核查，统一作为一次变更处</w:t>
      </w:r>
      <w:r>
        <w:rPr>
          <w:rFonts w:ascii="宋体" w:hAnsi="宋体" w:eastAsia="宋体" w:cs="宋体"/>
          <w:spacing w:val="-2"/>
          <w:sz w:val="24"/>
          <w:szCs w:val="24"/>
        </w:rPr>
        <w:t>理。</w:t>
      </w:r>
    </w:p>
    <w:p>
      <w:pPr>
        <w:spacing w:before="181" w:line="219" w:lineRule="auto"/>
        <w:ind w:left="478"/>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2.</w:t>
      </w:r>
      <w:r>
        <w:rPr>
          <w:rFonts w:ascii="宋体" w:hAnsi="宋体" w:eastAsia="宋体" w:cs="宋体"/>
          <w:spacing w:val="14"/>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发包人义务</w:t>
      </w:r>
    </w:p>
    <w:p>
      <w:pPr>
        <w:spacing w:before="183" w:line="468" w:lineRule="exact"/>
        <w:ind w:left="478"/>
        <w:rPr>
          <w:rFonts w:ascii="宋体" w:hAnsi="宋体" w:eastAsia="宋体" w:cs="宋体"/>
          <w:sz w:val="24"/>
          <w:szCs w:val="24"/>
        </w:rPr>
      </w:pPr>
      <w:r>
        <w:rPr>
          <w:rFonts w:ascii="宋体" w:hAnsi="宋体" w:eastAsia="宋体" w:cs="宋体"/>
          <w:spacing w:val="-2"/>
          <w:position w:val="17"/>
          <w:sz w:val="24"/>
          <w:szCs w:val="24"/>
        </w:rPr>
        <w:t>2.3 提供施工场地</w:t>
      </w:r>
    </w:p>
    <w:p>
      <w:pPr>
        <w:spacing w:before="1" w:line="218" w:lineRule="auto"/>
        <w:ind w:left="476"/>
        <w:rPr>
          <w:rFonts w:ascii="宋体" w:hAnsi="宋体" w:eastAsia="宋体" w:cs="宋体"/>
          <w:sz w:val="24"/>
          <w:szCs w:val="24"/>
        </w:rPr>
      </w:pPr>
      <w:r>
        <w:rPr>
          <w:rFonts w:ascii="宋体" w:hAnsi="宋体" w:eastAsia="宋体" w:cs="宋体"/>
          <w:spacing w:val="-3"/>
          <w:sz w:val="24"/>
          <w:szCs w:val="24"/>
        </w:rPr>
        <w:t>本款补充：</w:t>
      </w:r>
    </w:p>
    <w:p>
      <w:pPr>
        <w:spacing w:before="181" w:line="359" w:lineRule="auto"/>
        <w:ind w:left="6" w:right="230" w:firstLine="469"/>
        <w:jc w:val="both"/>
        <w:rPr>
          <w:rFonts w:ascii="宋体" w:hAnsi="宋体" w:eastAsia="宋体" w:cs="宋体"/>
          <w:sz w:val="24"/>
          <w:szCs w:val="24"/>
        </w:rPr>
      </w:pPr>
      <w:r>
        <w:rPr>
          <w:rFonts w:ascii="宋体" w:hAnsi="宋体" w:eastAsia="宋体" w:cs="宋体"/>
          <w:spacing w:val="5"/>
          <w:sz w:val="24"/>
          <w:szCs w:val="24"/>
        </w:rPr>
        <w:t>承包人应主动协助发包人做好本合同段范围内土地征收、房屋拆迁及管线迁改工</w:t>
      </w:r>
      <w:r>
        <w:rPr>
          <w:rFonts w:ascii="宋体" w:hAnsi="宋体" w:eastAsia="宋体" w:cs="宋体"/>
          <w:spacing w:val="11"/>
          <w:sz w:val="24"/>
          <w:szCs w:val="24"/>
        </w:rPr>
        <w:t xml:space="preserve"> </w:t>
      </w:r>
      <w:r>
        <w:rPr>
          <w:rFonts w:ascii="宋体" w:hAnsi="宋体" w:eastAsia="宋体" w:cs="宋体"/>
          <w:spacing w:val="-6"/>
          <w:sz w:val="24"/>
          <w:szCs w:val="24"/>
        </w:rPr>
        <w:t>作。如果由于发包人未能按照本款规定办妥永久占地征用手续，影响</w:t>
      </w:r>
      <w:r>
        <w:rPr>
          <w:rFonts w:ascii="宋体" w:hAnsi="宋体" w:eastAsia="宋体" w:cs="宋体"/>
          <w:spacing w:val="-7"/>
          <w:sz w:val="24"/>
          <w:szCs w:val="24"/>
        </w:rPr>
        <w:t>承包人工程施工的，</w:t>
      </w:r>
    </w:p>
    <w:p>
      <w:pPr>
        <w:spacing w:before="1" w:line="219" w:lineRule="auto"/>
        <w:ind w:left="5"/>
        <w:rPr>
          <w:rFonts w:ascii="宋体" w:hAnsi="宋体" w:eastAsia="宋体" w:cs="宋体"/>
          <w:sz w:val="24"/>
          <w:szCs w:val="24"/>
        </w:rPr>
      </w:pPr>
      <w:r>
        <w:rPr>
          <w:rFonts w:ascii="宋体" w:hAnsi="宋体" w:eastAsia="宋体" w:cs="宋体"/>
          <w:spacing w:val="-1"/>
          <w:sz w:val="24"/>
          <w:szCs w:val="24"/>
        </w:rPr>
        <w:t>承包人须及时调整工程施工组织安排，合理组织和安排工程施工。</w:t>
      </w:r>
    </w:p>
    <w:p>
      <w:pPr>
        <w:spacing w:before="180" w:line="468" w:lineRule="exact"/>
        <w:ind w:left="473"/>
        <w:rPr>
          <w:rFonts w:ascii="宋体" w:hAnsi="宋体" w:eastAsia="宋体" w:cs="宋体"/>
          <w:sz w:val="24"/>
          <w:szCs w:val="24"/>
        </w:rPr>
      </w:pPr>
      <w:r>
        <w:rPr>
          <w:rFonts w:ascii="宋体" w:hAnsi="宋体" w:eastAsia="宋体" w:cs="宋体"/>
          <w:spacing w:val="-1"/>
          <w:position w:val="17"/>
          <w:sz w:val="24"/>
          <w:szCs w:val="24"/>
        </w:rPr>
        <w:t>但如果由于承包人未能按照本款规定提交占地</w:t>
      </w:r>
      <w:r>
        <w:rPr>
          <w:rFonts w:ascii="宋体" w:hAnsi="宋体" w:eastAsia="宋体" w:cs="宋体"/>
          <w:spacing w:val="-2"/>
          <w:position w:val="17"/>
          <w:sz w:val="24"/>
          <w:szCs w:val="24"/>
        </w:rPr>
        <w:t>计划，因而影响发包人办理永久工程</w:t>
      </w:r>
    </w:p>
    <w:p>
      <w:pPr>
        <w:spacing w:before="1" w:line="219" w:lineRule="auto"/>
        <w:ind w:left="44"/>
        <w:rPr>
          <w:rFonts w:ascii="宋体" w:hAnsi="宋体" w:eastAsia="宋体" w:cs="宋体"/>
          <w:sz w:val="24"/>
          <w:szCs w:val="24"/>
        </w:rPr>
      </w:pPr>
      <w:r>
        <w:rPr>
          <w:rFonts w:ascii="宋体" w:hAnsi="宋体" w:eastAsia="宋体" w:cs="宋体"/>
          <w:spacing w:val="-2"/>
          <w:sz w:val="24"/>
          <w:szCs w:val="24"/>
        </w:rPr>
        <w:t>占地征用手续而导致延误工期或增加费用，则由承包人自行负责。</w:t>
      </w:r>
    </w:p>
    <w:p>
      <w:pPr>
        <w:spacing w:line="425" w:lineRule="auto"/>
        <w:rPr>
          <w:rFonts w:ascii="Arial"/>
          <w:sz w:val="21"/>
        </w:rPr>
      </w:pPr>
    </w:p>
    <w:p>
      <w:pPr>
        <w:spacing w:before="78" w:line="466" w:lineRule="exact"/>
        <w:ind w:left="478"/>
        <w:rPr>
          <w:rFonts w:ascii="宋体" w:hAnsi="宋体" w:eastAsia="宋体" w:cs="宋体"/>
          <w:sz w:val="24"/>
          <w:szCs w:val="24"/>
        </w:rPr>
      </w:pPr>
      <w:r>
        <w:rPr>
          <w:rFonts w:ascii="宋体" w:hAnsi="宋体" w:eastAsia="宋体" w:cs="宋体"/>
          <w:spacing w:val="-4"/>
          <w:position w:val="17"/>
          <w:sz w:val="24"/>
          <w:szCs w:val="24"/>
        </w:rPr>
        <w:t>2.8</w:t>
      </w:r>
      <w:r>
        <w:rPr>
          <w:rFonts w:ascii="宋体" w:hAnsi="宋体" w:eastAsia="宋体" w:cs="宋体"/>
          <w:spacing w:val="-46"/>
          <w:position w:val="17"/>
          <w:sz w:val="24"/>
          <w:szCs w:val="24"/>
        </w:rPr>
        <w:t xml:space="preserve"> </w:t>
      </w:r>
      <w:r>
        <w:rPr>
          <w:rFonts w:ascii="宋体" w:hAnsi="宋体" w:eastAsia="宋体" w:cs="宋体"/>
          <w:spacing w:val="-4"/>
          <w:position w:val="17"/>
          <w:sz w:val="24"/>
          <w:szCs w:val="24"/>
        </w:rPr>
        <w:t>其他义务</w:t>
      </w:r>
    </w:p>
    <w:p>
      <w:pPr>
        <w:spacing w:line="218" w:lineRule="auto"/>
        <w:ind w:left="476"/>
        <w:rPr>
          <w:rFonts w:ascii="宋体" w:hAnsi="宋体" w:eastAsia="宋体" w:cs="宋体"/>
          <w:sz w:val="24"/>
          <w:szCs w:val="24"/>
        </w:rPr>
      </w:pPr>
      <w:r>
        <w:rPr>
          <w:rFonts w:ascii="宋体" w:hAnsi="宋体" w:eastAsia="宋体" w:cs="宋体"/>
          <w:spacing w:val="-3"/>
          <w:sz w:val="24"/>
          <w:szCs w:val="24"/>
        </w:rPr>
        <w:t>本款补充：</w:t>
      </w:r>
    </w:p>
    <w:p>
      <w:pPr>
        <w:spacing w:before="184" w:line="359" w:lineRule="auto"/>
        <w:ind w:left="17" w:right="291" w:firstLine="469"/>
        <w:jc w:val="both"/>
        <w:rPr>
          <w:rFonts w:ascii="宋体" w:hAnsi="宋体" w:eastAsia="宋体" w:cs="宋体"/>
          <w:sz w:val="24"/>
          <w:szCs w:val="24"/>
        </w:rPr>
      </w:pPr>
      <w:r>
        <w:rPr>
          <w:rFonts w:ascii="宋体" w:hAnsi="宋体" w:eastAsia="宋体" w:cs="宋体"/>
          <w:spacing w:val="1"/>
          <w:sz w:val="24"/>
          <w:szCs w:val="24"/>
        </w:rPr>
        <w:t>（1）发包人不提供进出施工现场的水、陆交通通道，不提供水、电、通讯的接入</w:t>
      </w:r>
      <w:r>
        <w:rPr>
          <w:rFonts w:ascii="宋体" w:hAnsi="宋体" w:eastAsia="宋体" w:cs="宋体"/>
          <w:spacing w:val="18"/>
          <w:sz w:val="24"/>
          <w:szCs w:val="24"/>
        </w:rPr>
        <w:t xml:space="preserve"> </w:t>
      </w:r>
      <w:r>
        <w:rPr>
          <w:rFonts w:ascii="宋体" w:hAnsi="宋体" w:eastAsia="宋体" w:cs="宋体"/>
          <w:spacing w:val="-2"/>
          <w:sz w:val="24"/>
          <w:szCs w:val="24"/>
        </w:rPr>
        <w:t>点及施工船舶临时停泊水域及停靠码头，由承包人自行落实解决，相关费用已包含在合</w:t>
      </w:r>
    </w:p>
    <w:p>
      <w:pPr>
        <w:spacing w:before="1" w:line="217" w:lineRule="auto"/>
        <w:ind w:left="28"/>
        <w:rPr>
          <w:rFonts w:ascii="宋体" w:hAnsi="宋体" w:eastAsia="宋体" w:cs="宋体"/>
          <w:sz w:val="24"/>
          <w:szCs w:val="24"/>
        </w:rPr>
      </w:pPr>
      <w:r>
        <w:rPr>
          <w:rFonts w:ascii="宋体" w:hAnsi="宋体" w:eastAsia="宋体" w:cs="宋体"/>
          <w:spacing w:val="-2"/>
          <w:sz w:val="24"/>
          <w:szCs w:val="24"/>
        </w:rPr>
        <w:t>同价格中，发包人不另行支付（除合同另有约定外）。</w:t>
      </w:r>
    </w:p>
    <w:p>
      <w:pPr>
        <w:spacing w:before="182" w:line="359" w:lineRule="auto"/>
        <w:ind w:left="4" w:right="291" w:firstLine="482"/>
        <w:jc w:val="both"/>
        <w:rPr>
          <w:rFonts w:ascii="宋体" w:hAnsi="宋体" w:eastAsia="宋体" w:cs="宋体"/>
          <w:sz w:val="24"/>
          <w:szCs w:val="24"/>
        </w:rPr>
      </w:pPr>
      <w:r>
        <w:rPr>
          <w:rFonts w:ascii="宋体" w:hAnsi="宋体" w:eastAsia="宋体" w:cs="宋体"/>
          <w:spacing w:val="1"/>
          <w:sz w:val="24"/>
          <w:szCs w:val="24"/>
        </w:rPr>
        <w:t>（2）施工过程中的淤泥、弃方、建筑垃圾等抛弃地点（倾倒区）由承包人自行解</w:t>
      </w:r>
      <w:r>
        <w:rPr>
          <w:rFonts w:ascii="宋体" w:hAnsi="宋体" w:eastAsia="宋体" w:cs="宋体"/>
          <w:spacing w:val="18"/>
          <w:sz w:val="24"/>
          <w:szCs w:val="24"/>
        </w:rPr>
        <w:t xml:space="preserve"> </w:t>
      </w:r>
      <w:r>
        <w:rPr>
          <w:rFonts w:ascii="宋体" w:hAnsi="宋体" w:eastAsia="宋体" w:cs="宋体"/>
          <w:spacing w:val="-2"/>
          <w:sz w:val="24"/>
          <w:szCs w:val="24"/>
        </w:rPr>
        <w:t>决，并负责办理相关许可手续，承担因申请和使用倾倒区的一切费用（含环境监测、渔</w:t>
      </w:r>
      <w:r>
        <w:rPr>
          <w:rFonts w:ascii="宋体" w:hAnsi="宋体" w:eastAsia="宋体" w:cs="宋体"/>
          <w:spacing w:val="13"/>
          <w:sz w:val="24"/>
          <w:szCs w:val="24"/>
        </w:rPr>
        <w:t xml:space="preserve"> </w:t>
      </w:r>
      <w:r>
        <w:rPr>
          <w:rFonts w:ascii="宋体" w:hAnsi="宋体" w:eastAsia="宋体" w:cs="宋体"/>
          <w:spacing w:val="-1"/>
          <w:sz w:val="24"/>
          <w:szCs w:val="24"/>
        </w:rPr>
        <w:t>业资源补偿等</w:t>
      </w:r>
      <w:r>
        <w:rPr>
          <w:rFonts w:ascii="宋体" w:hAnsi="宋体" w:eastAsia="宋体" w:cs="宋体"/>
          <w:spacing w:val="-7"/>
          <w:sz w:val="24"/>
          <w:szCs w:val="24"/>
        </w:rPr>
        <w:t>），</w:t>
      </w:r>
      <w:r>
        <w:rPr>
          <w:rFonts w:ascii="宋体" w:hAnsi="宋体" w:eastAsia="宋体" w:cs="宋体"/>
          <w:spacing w:val="-1"/>
          <w:sz w:val="24"/>
          <w:szCs w:val="24"/>
        </w:rPr>
        <w:t>相关费用已包含在合同价格中（除合</w:t>
      </w:r>
      <w:r>
        <w:rPr>
          <w:rFonts w:ascii="宋体" w:hAnsi="宋体" w:eastAsia="宋体" w:cs="宋体"/>
          <w:spacing w:val="-2"/>
          <w:sz w:val="24"/>
          <w:szCs w:val="24"/>
        </w:rPr>
        <w:t>同另有约定外）。如承包人不按</w:t>
      </w:r>
      <w:r>
        <w:rPr>
          <w:rFonts w:ascii="宋体" w:hAnsi="宋体" w:eastAsia="宋体" w:cs="宋体"/>
          <w:spacing w:val="1"/>
          <w:sz w:val="24"/>
          <w:szCs w:val="24"/>
        </w:rPr>
        <w:t xml:space="preserve"> </w:t>
      </w:r>
      <w:r>
        <w:rPr>
          <w:rFonts w:ascii="宋体" w:hAnsi="宋体" w:eastAsia="宋体" w:cs="宋体"/>
          <w:spacing w:val="-2"/>
          <w:sz w:val="24"/>
          <w:szCs w:val="24"/>
        </w:rPr>
        <w:t>要求倾倒淤泥、弃方、建筑垃圾等引起的一切责任（包括违约金、赔偿等）均由承包人</w:t>
      </w:r>
    </w:p>
    <w:p>
      <w:pPr>
        <w:spacing w:line="219" w:lineRule="auto"/>
        <w:ind w:left="14"/>
        <w:rPr>
          <w:rFonts w:ascii="宋体" w:hAnsi="宋体" w:eastAsia="宋体" w:cs="宋体"/>
          <w:sz w:val="24"/>
          <w:szCs w:val="24"/>
        </w:rPr>
      </w:pPr>
      <w:r>
        <w:rPr>
          <w:rFonts w:ascii="宋体" w:hAnsi="宋体" w:eastAsia="宋体" w:cs="宋体"/>
          <w:spacing w:val="-7"/>
          <w:sz w:val="24"/>
          <w:szCs w:val="24"/>
        </w:rPr>
        <w:t>负责。</w:t>
      </w:r>
    </w:p>
    <w:p>
      <w:pPr>
        <w:spacing w:before="182" w:line="219" w:lineRule="auto"/>
        <w:ind w:left="496"/>
        <w:rPr>
          <w:rFonts w:ascii="宋体" w:hAnsi="宋体" w:eastAsia="宋体" w:cs="宋体"/>
          <w:sz w:val="24"/>
          <w:szCs w:val="24"/>
        </w:rPr>
      </w:pPr>
      <w:r>
        <w:rPr>
          <w:rFonts w:ascii="宋体" w:hAnsi="宋体" w:eastAsia="宋体" w:cs="宋体"/>
          <w:spacing w:val="-1"/>
          <w:sz w:val="24"/>
          <w:szCs w:val="24"/>
        </w:rPr>
        <w:t>（3）发包人应在合同签订前向承包人提供工程款支付担保。</w:t>
      </w:r>
    </w:p>
    <w:p>
      <w:pPr>
        <w:spacing w:before="182" w:line="222" w:lineRule="auto"/>
        <w:ind w:left="480"/>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3.监理人</w:t>
      </w:r>
    </w:p>
    <w:p>
      <w:pPr>
        <w:spacing w:before="178" w:line="290" w:lineRule="auto"/>
        <w:ind w:left="475" w:right="6248" w:firstLine="4"/>
        <w:rPr>
          <w:rFonts w:ascii="宋体" w:hAnsi="宋体" w:eastAsia="宋体" w:cs="宋体"/>
          <w:sz w:val="24"/>
          <w:szCs w:val="24"/>
        </w:rPr>
      </w:pPr>
      <w:r>
        <w:rPr>
          <w:rFonts w:ascii="宋体" w:hAnsi="宋体" w:eastAsia="宋体" w:cs="宋体"/>
          <w:spacing w:val="-2"/>
          <w:sz w:val="24"/>
          <w:szCs w:val="24"/>
        </w:rPr>
        <w:t>3.1 监理人的职责和权力</w:t>
      </w:r>
      <w:r>
        <w:rPr>
          <w:rFonts w:ascii="宋体" w:hAnsi="宋体" w:eastAsia="宋体" w:cs="宋体"/>
          <w:spacing w:val="10"/>
          <w:sz w:val="24"/>
          <w:szCs w:val="24"/>
        </w:rPr>
        <w:t xml:space="preserve"> </w:t>
      </w:r>
      <w:r>
        <w:rPr>
          <w:rFonts w:ascii="宋体" w:hAnsi="宋体" w:eastAsia="宋体" w:cs="宋体"/>
          <w:spacing w:val="-4"/>
          <w:sz w:val="24"/>
          <w:szCs w:val="24"/>
        </w:rPr>
        <w:t>第</w:t>
      </w:r>
      <w:r>
        <w:rPr>
          <w:rFonts w:ascii="宋体" w:hAnsi="宋体" w:eastAsia="宋体" w:cs="宋体"/>
          <w:spacing w:val="-44"/>
          <w:sz w:val="24"/>
          <w:szCs w:val="24"/>
        </w:rPr>
        <w:t xml:space="preserve"> </w:t>
      </w:r>
      <w:r>
        <w:rPr>
          <w:rFonts w:ascii="宋体" w:hAnsi="宋体" w:eastAsia="宋体" w:cs="宋体"/>
          <w:spacing w:val="-4"/>
          <w:sz w:val="24"/>
          <w:szCs w:val="24"/>
        </w:rPr>
        <w:t>3.1.1</w:t>
      </w:r>
      <w:r>
        <w:rPr>
          <w:rFonts w:ascii="宋体" w:hAnsi="宋体" w:eastAsia="宋体" w:cs="宋体"/>
          <w:spacing w:val="-47"/>
          <w:sz w:val="24"/>
          <w:szCs w:val="24"/>
        </w:rPr>
        <w:t xml:space="preserve"> </w:t>
      </w:r>
      <w:r>
        <w:rPr>
          <w:rFonts w:ascii="宋体" w:hAnsi="宋体" w:eastAsia="宋体" w:cs="宋体"/>
          <w:spacing w:val="-4"/>
          <w:sz w:val="24"/>
          <w:szCs w:val="24"/>
        </w:rPr>
        <w:t>项补充：</w:t>
      </w:r>
    </w:p>
    <w:p>
      <w:pPr>
        <w:spacing w:before="180" w:line="219" w:lineRule="auto"/>
        <w:ind w:left="480"/>
        <w:rPr>
          <w:rFonts w:ascii="宋体" w:hAnsi="宋体" w:eastAsia="宋体" w:cs="宋体"/>
          <w:sz w:val="24"/>
          <w:szCs w:val="24"/>
        </w:rPr>
      </w:pPr>
      <w:r>
        <w:rPr>
          <w:rFonts w:ascii="宋体" w:hAnsi="宋体" w:eastAsia="宋体" w:cs="宋体"/>
          <w:spacing w:val="-2"/>
          <w:sz w:val="24"/>
          <w:szCs w:val="24"/>
        </w:rPr>
        <w:t>3.1.1（6）本项细化为：</w:t>
      </w:r>
    </w:p>
    <w:p>
      <w:pPr>
        <w:spacing w:before="184" w:line="219" w:lineRule="auto"/>
        <w:ind w:left="487"/>
        <w:rPr>
          <w:rFonts w:ascii="宋体" w:hAnsi="宋体" w:eastAsia="宋体" w:cs="宋体"/>
          <w:sz w:val="24"/>
          <w:szCs w:val="24"/>
        </w:rPr>
      </w:pPr>
      <w:r>
        <w:rPr>
          <w:rFonts w:ascii="宋体" w:hAnsi="宋体" w:eastAsia="宋体" w:cs="宋体"/>
          <w:spacing w:val="-1"/>
          <w:sz w:val="24"/>
          <w:szCs w:val="24"/>
        </w:rPr>
        <w:t>（6）根据第 15.3 款发出的变更指示，均需要经发包人事先批准。</w:t>
      </w:r>
    </w:p>
    <w:p>
      <w:pPr>
        <w:spacing w:before="182" w:line="359" w:lineRule="auto"/>
        <w:ind w:left="6" w:right="278" w:firstLine="470"/>
        <w:rPr>
          <w:rFonts w:ascii="宋体" w:hAnsi="宋体" w:eastAsia="宋体" w:cs="宋体"/>
          <w:sz w:val="24"/>
          <w:szCs w:val="24"/>
        </w:rPr>
      </w:pPr>
      <w:r>
        <w:rPr>
          <w:rFonts w:ascii="宋体" w:hAnsi="宋体" w:eastAsia="宋体" w:cs="宋体"/>
          <w:spacing w:val="-2"/>
          <w:sz w:val="24"/>
          <w:szCs w:val="24"/>
        </w:rPr>
        <w:t>增加以下内容：监理人关于本合同段工程的有关决定，都必须抄送发包人。发包人</w:t>
      </w:r>
      <w:r>
        <w:rPr>
          <w:rFonts w:ascii="宋体" w:hAnsi="宋体" w:eastAsia="宋体" w:cs="宋体"/>
          <w:spacing w:val="17"/>
          <w:sz w:val="24"/>
          <w:szCs w:val="24"/>
        </w:rPr>
        <w:t xml:space="preserve"> </w:t>
      </w:r>
      <w:r>
        <w:rPr>
          <w:rFonts w:ascii="宋体" w:hAnsi="宋体" w:eastAsia="宋体" w:cs="宋体"/>
          <w:spacing w:val="-1"/>
          <w:sz w:val="24"/>
          <w:szCs w:val="24"/>
        </w:rPr>
        <w:t>和承包人双方对工程施工的有关协议或决定，必须抄送</w:t>
      </w:r>
      <w:r>
        <w:rPr>
          <w:rFonts w:ascii="宋体" w:hAnsi="宋体" w:eastAsia="宋体" w:cs="宋体"/>
          <w:spacing w:val="-2"/>
          <w:sz w:val="24"/>
          <w:szCs w:val="24"/>
        </w:rPr>
        <w:t>监理人。监理人涉及工程变更、</w:t>
      </w:r>
      <w:r>
        <w:rPr>
          <w:rFonts w:ascii="宋体" w:hAnsi="宋体" w:eastAsia="宋体" w:cs="宋体"/>
          <w:sz w:val="24"/>
          <w:szCs w:val="24"/>
        </w:rPr>
        <w:t xml:space="preserve"> </w:t>
      </w:r>
      <w:r>
        <w:rPr>
          <w:rFonts w:ascii="宋体" w:hAnsi="宋体" w:eastAsia="宋体" w:cs="宋体"/>
          <w:spacing w:val="-2"/>
          <w:sz w:val="24"/>
          <w:szCs w:val="24"/>
        </w:rPr>
        <w:t>工程量增减、议价、索赔、改变工期、改变技术标准、改变重大施工技术方案，以及与</w:t>
      </w:r>
    </w:p>
    <w:p>
      <w:pPr>
        <w:spacing w:before="1" w:line="218" w:lineRule="auto"/>
        <w:ind w:left="18"/>
        <w:rPr>
          <w:rFonts w:ascii="宋体" w:hAnsi="宋体" w:eastAsia="宋体" w:cs="宋体"/>
          <w:sz w:val="24"/>
          <w:szCs w:val="24"/>
        </w:rPr>
      </w:pPr>
      <w:r>
        <w:rPr>
          <w:rFonts w:ascii="宋体" w:hAnsi="宋体" w:eastAsia="宋体" w:cs="宋体"/>
          <w:spacing w:val="-1"/>
          <w:sz w:val="24"/>
          <w:szCs w:val="24"/>
        </w:rPr>
        <w:t>费用有关的指令，均需事先与发包人协商，发包人书面认可后方能生效。</w:t>
      </w:r>
    </w:p>
    <w:p>
      <w:pPr>
        <w:spacing w:before="182" w:line="219" w:lineRule="auto"/>
        <w:ind w:left="475"/>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44"/>
          <w:sz w:val="24"/>
          <w:szCs w:val="24"/>
        </w:rPr>
        <w:t xml:space="preserve"> </w:t>
      </w:r>
      <w:r>
        <w:rPr>
          <w:rFonts w:ascii="宋体" w:hAnsi="宋体" w:eastAsia="宋体" w:cs="宋体"/>
          <w:spacing w:val="-4"/>
          <w:sz w:val="24"/>
          <w:szCs w:val="24"/>
        </w:rPr>
        <w:t>3.1.2</w:t>
      </w:r>
      <w:r>
        <w:rPr>
          <w:rFonts w:ascii="宋体" w:hAnsi="宋体" w:eastAsia="宋体" w:cs="宋体"/>
          <w:spacing w:val="-47"/>
          <w:sz w:val="24"/>
          <w:szCs w:val="24"/>
        </w:rPr>
        <w:t xml:space="preserve"> </w:t>
      </w:r>
      <w:r>
        <w:rPr>
          <w:rFonts w:ascii="宋体" w:hAnsi="宋体" w:eastAsia="宋体" w:cs="宋体"/>
          <w:spacing w:val="-4"/>
          <w:sz w:val="24"/>
          <w:szCs w:val="24"/>
        </w:rPr>
        <w:t>项补充：</w:t>
      </w:r>
    </w:p>
    <w:p>
      <w:pPr>
        <w:spacing w:before="183" w:line="359" w:lineRule="auto"/>
        <w:ind w:left="9" w:right="291" w:firstLine="480"/>
        <w:rPr>
          <w:rFonts w:ascii="宋体" w:hAnsi="宋体" w:eastAsia="宋体" w:cs="宋体"/>
          <w:sz w:val="24"/>
          <w:szCs w:val="24"/>
        </w:rPr>
      </w:pPr>
      <w:r>
        <w:rPr>
          <w:rFonts w:ascii="宋体" w:hAnsi="宋体" w:eastAsia="宋体" w:cs="宋体"/>
          <w:spacing w:val="-2"/>
          <w:sz w:val="24"/>
          <w:szCs w:val="24"/>
        </w:rPr>
        <w:t>除本合同规定必须经发包人另行批准的事项外，如果监理人已经行使了上述职权，</w:t>
      </w:r>
      <w:r>
        <w:rPr>
          <w:rFonts w:ascii="宋体" w:hAnsi="宋体" w:eastAsia="宋体" w:cs="宋体"/>
          <w:spacing w:val="4"/>
          <w:sz w:val="24"/>
          <w:szCs w:val="24"/>
        </w:rPr>
        <w:t xml:space="preserve"> </w:t>
      </w:r>
      <w:r>
        <w:rPr>
          <w:rFonts w:ascii="宋体" w:hAnsi="宋体" w:eastAsia="宋体" w:cs="宋体"/>
          <w:spacing w:val="-2"/>
          <w:sz w:val="24"/>
          <w:szCs w:val="24"/>
        </w:rPr>
        <w:t>都应认为已从发包人处取得了必要的批准。但如果监理人的某些决定不妥或有错误，不</w:t>
      </w:r>
    </w:p>
    <w:p>
      <w:pPr>
        <w:spacing w:before="1" w:line="218" w:lineRule="auto"/>
        <w:ind w:left="5"/>
        <w:rPr>
          <w:rFonts w:ascii="宋体" w:hAnsi="宋体" w:eastAsia="宋体" w:cs="宋体"/>
          <w:sz w:val="24"/>
          <w:szCs w:val="24"/>
        </w:rPr>
      </w:pPr>
      <w:r>
        <w:rPr>
          <w:rFonts w:ascii="宋体" w:hAnsi="宋体" w:eastAsia="宋体" w:cs="宋体"/>
          <w:spacing w:val="-1"/>
          <w:sz w:val="24"/>
          <w:szCs w:val="24"/>
        </w:rPr>
        <w:t>妨碍政府监督部门或发包人事后进行撤销或变更。</w:t>
      </w:r>
    </w:p>
    <w:p>
      <w:pPr>
        <w:spacing w:before="183" w:line="219" w:lineRule="auto"/>
        <w:ind w:left="476"/>
        <w:rPr>
          <w:rFonts w:ascii="宋体" w:hAnsi="宋体" w:eastAsia="宋体" w:cs="宋体"/>
          <w:sz w:val="24"/>
          <w:szCs w:val="24"/>
        </w:rPr>
      </w:pPr>
      <w:r>
        <w:rPr>
          <w:rFonts w:ascii="宋体" w:hAnsi="宋体" w:eastAsia="宋体" w:cs="宋体"/>
          <w:spacing w:val="-2"/>
          <w:sz w:val="24"/>
          <w:szCs w:val="24"/>
        </w:rPr>
        <w:t>本条增加第 3.6 款和第</w:t>
      </w:r>
      <w:r>
        <w:rPr>
          <w:rFonts w:ascii="宋体" w:hAnsi="宋体" w:eastAsia="宋体" w:cs="宋体"/>
          <w:spacing w:val="14"/>
          <w:sz w:val="24"/>
          <w:szCs w:val="24"/>
        </w:rPr>
        <w:t xml:space="preserve"> </w:t>
      </w:r>
      <w:r>
        <w:rPr>
          <w:rFonts w:ascii="宋体" w:hAnsi="宋体" w:eastAsia="宋体" w:cs="宋体"/>
          <w:spacing w:val="-2"/>
          <w:sz w:val="24"/>
          <w:szCs w:val="24"/>
        </w:rPr>
        <w:t>3.7</w:t>
      </w:r>
      <w:r>
        <w:rPr>
          <w:rFonts w:ascii="宋体" w:hAnsi="宋体" w:eastAsia="宋体" w:cs="宋体"/>
          <w:spacing w:val="10"/>
          <w:sz w:val="24"/>
          <w:szCs w:val="24"/>
        </w:rPr>
        <w:t xml:space="preserve"> </w:t>
      </w:r>
      <w:r>
        <w:rPr>
          <w:rFonts w:ascii="宋体" w:hAnsi="宋体" w:eastAsia="宋体" w:cs="宋体"/>
          <w:spacing w:val="-2"/>
          <w:sz w:val="24"/>
          <w:szCs w:val="24"/>
        </w:rPr>
        <w:t>款：</w:t>
      </w:r>
    </w:p>
    <w:p>
      <w:pPr>
        <w:spacing w:before="182" w:line="219" w:lineRule="auto"/>
        <w:ind w:left="480"/>
        <w:rPr>
          <w:rFonts w:ascii="宋体" w:hAnsi="宋体" w:eastAsia="宋体" w:cs="宋体"/>
          <w:sz w:val="24"/>
          <w:szCs w:val="24"/>
        </w:rPr>
      </w:pPr>
      <w:r>
        <w:rPr>
          <w:rFonts w:ascii="宋体" w:hAnsi="宋体" w:eastAsia="宋体" w:cs="宋体"/>
          <w:spacing w:val="-1"/>
          <w:sz w:val="24"/>
          <w:szCs w:val="24"/>
        </w:rPr>
        <w:t>3.6 发包人、监理人、试验人、承包人、风险管理等单位的关系</w:t>
      </w:r>
    </w:p>
    <w:p>
      <w:pPr>
        <w:spacing w:before="182" w:line="359" w:lineRule="auto"/>
        <w:ind w:left="4" w:right="291" w:firstLine="476"/>
        <w:rPr>
          <w:rFonts w:ascii="宋体" w:hAnsi="宋体" w:eastAsia="宋体" w:cs="宋体"/>
          <w:sz w:val="24"/>
          <w:szCs w:val="24"/>
        </w:rPr>
      </w:pPr>
      <w:r>
        <w:rPr>
          <w:rFonts w:ascii="宋体" w:hAnsi="宋体" w:eastAsia="宋体" w:cs="宋体"/>
          <w:sz w:val="24"/>
          <w:szCs w:val="24"/>
        </w:rPr>
        <w:t>3.6.1</w:t>
      </w:r>
      <w:r>
        <w:rPr>
          <w:rFonts w:ascii="宋体" w:hAnsi="宋体" w:eastAsia="宋体" w:cs="宋体"/>
          <w:spacing w:val="-51"/>
          <w:sz w:val="24"/>
          <w:szCs w:val="24"/>
        </w:rPr>
        <w:t xml:space="preserve"> </w:t>
      </w:r>
      <w:r>
        <w:rPr>
          <w:rFonts w:ascii="宋体" w:hAnsi="宋体" w:eastAsia="宋体" w:cs="宋体"/>
          <w:sz w:val="24"/>
          <w:szCs w:val="24"/>
        </w:rPr>
        <w:t>在整个建设过程中，发包人与监理人、试验人、第三</w:t>
      </w:r>
      <w:r>
        <w:rPr>
          <w:rFonts w:ascii="宋体" w:hAnsi="宋体" w:eastAsia="宋体" w:cs="宋体"/>
          <w:spacing w:val="-1"/>
          <w:sz w:val="24"/>
          <w:szCs w:val="24"/>
        </w:rPr>
        <w:t>方监测、风险管理单位</w:t>
      </w:r>
      <w:r>
        <w:rPr>
          <w:rFonts w:ascii="宋体" w:hAnsi="宋体" w:eastAsia="宋体" w:cs="宋体"/>
          <w:sz w:val="24"/>
          <w:szCs w:val="24"/>
        </w:rPr>
        <w:t xml:space="preserve"> </w:t>
      </w:r>
      <w:r>
        <w:rPr>
          <w:rFonts w:ascii="宋体" w:hAnsi="宋体" w:eastAsia="宋体" w:cs="宋体"/>
          <w:spacing w:val="-2"/>
          <w:sz w:val="24"/>
          <w:szCs w:val="24"/>
        </w:rPr>
        <w:t>之间是委托与被委托的关系；监理人与承包人是监理与被监理的关系；承包人在项目实</w:t>
      </w:r>
      <w:r>
        <w:rPr>
          <w:rFonts w:ascii="宋体" w:hAnsi="宋体" w:eastAsia="宋体" w:cs="宋体"/>
          <w:spacing w:val="13"/>
          <w:sz w:val="24"/>
          <w:szCs w:val="24"/>
        </w:rPr>
        <w:t xml:space="preserve"> </w:t>
      </w:r>
      <w:r>
        <w:rPr>
          <w:rFonts w:ascii="宋体" w:hAnsi="宋体" w:eastAsia="宋体" w:cs="宋体"/>
          <w:spacing w:val="-2"/>
          <w:sz w:val="24"/>
          <w:szCs w:val="24"/>
        </w:rPr>
        <w:t>施过程中，必须接受发包人的统一管理，同时应按合同规定接受监理人和试验人的监督</w:t>
      </w:r>
    </w:p>
    <w:p>
      <w:pPr>
        <w:spacing w:line="219" w:lineRule="auto"/>
        <w:ind w:left="6"/>
        <w:rPr>
          <w:rFonts w:ascii="宋体" w:hAnsi="宋体" w:eastAsia="宋体" w:cs="宋体"/>
          <w:sz w:val="24"/>
          <w:szCs w:val="24"/>
        </w:rPr>
      </w:pPr>
      <w:r>
        <w:rPr>
          <w:rFonts w:ascii="宋体" w:hAnsi="宋体" w:eastAsia="宋体" w:cs="宋体"/>
          <w:spacing w:val="-5"/>
          <w:sz w:val="24"/>
          <w:szCs w:val="24"/>
        </w:rPr>
        <w:t>和管理。任何与施工承包合同有关的施工活动，都必须同时经发包人和监理人审查认定，</w:t>
      </w:r>
    </w:p>
    <w:p>
      <w:pPr>
        <w:spacing w:line="425" w:lineRule="auto"/>
        <w:rPr>
          <w:rFonts w:ascii="Arial"/>
          <w:sz w:val="21"/>
        </w:rPr>
      </w:pPr>
    </w:p>
    <w:p>
      <w:pPr>
        <w:spacing w:before="78" w:line="466" w:lineRule="exact"/>
        <w:ind w:left="5"/>
        <w:rPr>
          <w:rFonts w:ascii="宋体" w:hAnsi="宋体" w:eastAsia="宋体" w:cs="宋体"/>
          <w:sz w:val="24"/>
          <w:szCs w:val="24"/>
        </w:rPr>
      </w:pPr>
      <w:r>
        <w:rPr>
          <w:rFonts w:ascii="宋体" w:hAnsi="宋体" w:eastAsia="宋体" w:cs="宋体"/>
          <w:spacing w:val="-2"/>
          <w:position w:val="17"/>
          <w:sz w:val="24"/>
          <w:szCs w:val="24"/>
        </w:rPr>
        <w:t>认为符合合同规定，发包人才同意计量。承包人应服从发包人的统一协调，积极配合发</w:t>
      </w:r>
    </w:p>
    <w:p>
      <w:pPr>
        <w:spacing w:before="1" w:line="217" w:lineRule="auto"/>
        <w:ind w:left="5"/>
        <w:rPr>
          <w:rFonts w:ascii="宋体" w:hAnsi="宋体" w:eastAsia="宋体" w:cs="宋体"/>
          <w:sz w:val="24"/>
          <w:szCs w:val="24"/>
        </w:rPr>
      </w:pPr>
      <w:r>
        <w:rPr>
          <w:rFonts w:ascii="宋体" w:hAnsi="宋体" w:eastAsia="宋体" w:cs="宋体"/>
          <w:spacing w:val="-1"/>
          <w:sz w:val="24"/>
          <w:szCs w:val="24"/>
        </w:rPr>
        <w:t>包人委托的单位开展工作，相关费用已包含在合同总价中。</w:t>
      </w:r>
    </w:p>
    <w:p>
      <w:pPr>
        <w:spacing w:before="183" w:line="359" w:lineRule="auto"/>
        <w:ind w:left="8" w:right="291" w:firstLine="472"/>
        <w:jc w:val="both"/>
        <w:rPr>
          <w:rFonts w:ascii="宋体" w:hAnsi="宋体" w:eastAsia="宋体" w:cs="宋体"/>
          <w:sz w:val="24"/>
          <w:szCs w:val="24"/>
        </w:rPr>
      </w:pPr>
      <w:r>
        <w:rPr>
          <w:rFonts w:ascii="宋体" w:hAnsi="宋体" w:eastAsia="宋体" w:cs="宋体"/>
          <w:sz w:val="24"/>
          <w:szCs w:val="24"/>
        </w:rPr>
        <w:t>3.6.2</w:t>
      </w:r>
      <w:r>
        <w:rPr>
          <w:rFonts w:ascii="宋体" w:hAnsi="宋体" w:eastAsia="宋体" w:cs="宋体"/>
          <w:spacing w:val="-49"/>
          <w:sz w:val="24"/>
          <w:szCs w:val="24"/>
        </w:rPr>
        <w:t xml:space="preserve"> </w:t>
      </w:r>
      <w:r>
        <w:rPr>
          <w:rFonts w:ascii="宋体" w:hAnsi="宋体" w:eastAsia="宋体" w:cs="宋体"/>
          <w:sz w:val="24"/>
          <w:szCs w:val="24"/>
        </w:rPr>
        <w:t>本项目工程实行承包人自检、社会监理（含试验</w:t>
      </w:r>
      <w:r>
        <w:rPr>
          <w:rFonts w:ascii="宋体" w:hAnsi="宋体" w:eastAsia="宋体" w:cs="宋体"/>
          <w:spacing w:val="-1"/>
          <w:sz w:val="24"/>
          <w:szCs w:val="24"/>
        </w:rPr>
        <w:t>人）、发包人管理和政府监</w:t>
      </w:r>
      <w:r>
        <w:rPr>
          <w:rFonts w:ascii="宋体" w:hAnsi="宋体" w:eastAsia="宋体" w:cs="宋体"/>
          <w:sz w:val="24"/>
          <w:szCs w:val="24"/>
        </w:rPr>
        <w:t xml:space="preserve"> </w:t>
      </w:r>
      <w:r>
        <w:rPr>
          <w:rFonts w:ascii="宋体" w:hAnsi="宋体" w:eastAsia="宋体" w:cs="宋体"/>
          <w:spacing w:val="-2"/>
          <w:sz w:val="24"/>
          <w:szCs w:val="24"/>
        </w:rPr>
        <w:t>督的质量保证体系。对工程质量出现问题而降低质量标准或返工而造成的一切经济和工</w:t>
      </w:r>
      <w:r>
        <w:rPr>
          <w:rFonts w:ascii="宋体" w:hAnsi="宋体" w:eastAsia="宋体" w:cs="宋体"/>
          <w:spacing w:val="9"/>
          <w:sz w:val="24"/>
          <w:szCs w:val="24"/>
        </w:rPr>
        <w:t xml:space="preserve"> </w:t>
      </w:r>
      <w:r>
        <w:rPr>
          <w:rFonts w:ascii="宋体" w:hAnsi="宋体" w:eastAsia="宋体" w:cs="宋体"/>
          <w:spacing w:val="-2"/>
          <w:sz w:val="24"/>
          <w:szCs w:val="24"/>
        </w:rPr>
        <w:t>期损失，由承包人承担，并视为承包人违约；监理人根据监理合同规定负监理不周的责</w:t>
      </w:r>
    </w:p>
    <w:p>
      <w:pPr>
        <w:spacing w:line="218" w:lineRule="auto"/>
        <w:ind w:left="4"/>
        <w:rPr>
          <w:rFonts w:ascii="宋体" w:hAnsi="宋体" w:eastAsia="宋体" w:cs="宋体"/>
          <w:sz w:val="24"/>
          <w:szCs w:val="24"/>
        </w:rPr>
      </w:pPr>
      <w:r>
        <w:rPr>
          <w:rFonts w:ascii="宋体" w:hAnsi="宋体" w:eastAsia="宋体" w:cs="宋体"/>
          <w:sz w:val="24"/>
          <w:szCs w:val="24"/>
        </w:rPr>
        <w:t>任。监理人对某一分部或分项工程的认可不影响政府机构或</w:t>
      </w:r>
      <w:r>
        <w:rPr>
          <w:rFonts w:ascii="宋体" w:hAnsi="宋体" w:eastAsia="宋体" w:cs="宋体"/>
          <w:spacing w:val="-1"/>
          <w:sz w:val="24"/>
          <w:szCs w:val="24"/>
        </w:rPr>
        <w:t>发包人在事后的否定。</w:t>
      </w:r>
    </w:p>
    <w:p>
      <w:pPr>
        <w:spacing w:before="184" w:line="219" w:lineRule="auto"/>
        <w:ind w:left="480"/>
        <w:rPr>
          <w:rFonts w:ascii="宋体" w:hAnsi="宋体" w:eastAsia="宋体" w:cs="宋体"/>
          <w:sz w:val="24"/>
          <w:szCs w:val="24"/>
        </w:rPr>
      </w:pPr>
      <w:r>
        <w:rPr>
          <w:rFonts w:ascii="宋体" w:hAnsi="宋体" w:eastAsia="宋体" w:cs="宋体"/>
          <w:spacing w:val="-1"/>
          <w:sz w:val="24"/>
          <w:szCs w:val="24"/>
        </w:rPr>
        <w:t>3.7 发包人代表（或称发包人驻地代表）</w:t>
      </w:r>
    </w:p>
    <w:p>
      <w:pPr>
        <w:spacing w:before="180" w:line="468" w:lineRule="exact"/>
        <w:ind w:left="480"/>
        <w:rPr>
          <w:rFonts w:ascii="宋体" w:hAnsi="宋体" w:eastAsia="宋体" w:cs="宋体"/>
          <w:sz w:val="24"/>
          <w:szCs w:val="24"/>
        </w:rPr>
      </w:pPr>
      <w:r>
        <w:rPr>
          <w:rFonts w:ascii="宋体" w:hAnsi="宋体" w:eastAsia="宋体" w:cs="宋体"/>
          <w:position w:val="17"/>
          <w:sz w:val="24"/>
          <w:szCs w:val="24"/>
        </w:rPr>
        <w:t>3.7.1</w:t>
      </w:r>
      <w:r>
        <w:rPr>
          <w:rFonts w:ascii="宋体" w:hAnsi="宋体" w:eastAsia="宋体" w:cs="宋体"/>
          <w:spacing w:val="-46"/>
          <w:position w:val="17"/>
          <w:sz w:val="24"/>
          <w:szCs w:val="24"/>
        </w:rPr>
        <w:t xml:space="preserve"> </w:t>
      </w:r>
      <w:r>
        <w:rPr>
          <w:rFonts w:ascii="宋体" w:hAnsi="宋体" w:eastAsia="宋体" w:cs="宋体"/>
          <w:position w:val="17"/>
          <w:sz w:val="24"/>
          <w:szCs w:val="24"/>
        </w:rPr>
        <w:t>发包人代表根据发包人的授权，代表发包</w:t>
      </w:r>
      <w:r>
        <w:rPr>
          <w:rFonts w:ascii="宋体" w:hAnsi="宋体" w:eastAsia="宋体" w:cs="宋体"/>
          <w:spacing w:val="-1"/>
          <w:position w:val="17"/>
          <w:sz w:val="24"/>
          <w:szCs w:val="24"/>
        </w:rPr>
        <w:t>人履行项目管理和控制职责，具体</w:t>
      </w:r>
    </w:p>
    <w:p>
      <w:pPr>
        <w:spacing w:line="219" w:lineRule="auto"/>
        <w:ind w:left="6"/>
        <w:rPr>
          <w:rFonts w:ascii="宋体" w:hAnsi="宋体" w:eastAsia="宋体" w:cs="宋体"/>
          <w:sz w:val="24"/>
          <w:szCs w:val="24"/>
        </w:rPr>
      </w:pPr>
      <w:r>
        <w:rPr>
          <w:rFonts w:ascii="宋体" w:hAnsi="宋体" w:eastAsia="宋体" w:cs="宋体"/>
          <w:spacing w:val="-1"/>
          <w:sz w:val="24"/>
          <w:szCs w:val="24"/>
        </w:rPr>
        <w:t>职责和权限由发包人另行明确。</w:t>
      </w:r>
    </w:p>
    <w:p>
      <w:pPr>
        <w:spacing w:before="181" w:line="468" w:lineRule="exact"/>
        <w:ind w:left="480"/>
        <w:rPr>
          <w:rFonts w:ascii="宋体" w:hAnsi="宋体" w:eastAsia="宋体" w:cs="宋体"/>
          <w:sz w:val="24"/>
          <w:szCs w:val="24"/>
        </w:rPr>
      </w:pPr>
      <w:r>
        <w:rPr>
          <w:rFonts w:ascii="宋体" w:hAnsi="宋体" w:eastAsia="宋体" w:cs="宋体"/>
          <w:position w:val="17"/>
          <w:sz w:val="24"/>
          <w:szCs w:val="24"/>
        </w:rPr>
        <w:t>3.7.2</w:t>
      </w:r>
      <w:r>
        <w:rPr>
          <w:rFonts w:ascii="宋体" w:hAnsi="宋体" w:eastAsia="宋体" w:cs="宋体"/>
          <w:spacing w:val="-46"/>
          <w:position w:val="17"/>
          <w:sz w:val="24"/>
          <w:szCs w:val="24"/>
        </w:rPr>
        <w:t xml:space="preserve"> </w:t>
      </w:r>
      <w:r>
        <w:rPr>
          <w:rFonts w:ascii="宋体" w:hAnsi="宋体" w:eastAsia="宋体" w:cs="宋体"/>
          <w:position w:val="17"/>
          <w:sz w:val="24"/>
          <w:szCs w:val="24"/>
        </w:rPr>
        <w:t>发包人代表对承包人的现场工程质量、进</w:t>
      </w:r>
      <w:r>
        <w:rPr>
          <w:rFonts w:ascii="宋体" w:hAnsi="宋体" w:eastAsia="宋体" w:cs="宋体"/>
          <w:spacing w:val="-1"/>
          <w:position w:val="17"/>
          <w:sz w:val="24"/>
          <w:szCs w:val="24"/>
        </w:rPr>
        <w:t>度、安全、文明环保等进行检查和</w:t>
      </w:r>
    </w:p>
    <w:p>
      <w:pPr>
        <w:spacing w:line="219" w:lineRule="auto"/>
        <w:ind w:left="10"/>
        <w:rPr>
          <w:rFonts w:ascii="宋体" w:hAnsi="宋体" w:eastAsia="宋体" w:cs="宋体"/>
          <w:sz w:val="24"/>
          <w:szCs w:val="24"/>
        </w:rPr>
      </w:pPr>
      <w:r>
        <w:rPr>
          <w:rFonts w:ascii="宋体" w:hAnsi="宋体" w:eastAsia="宋体" w:cs="宋体"/>
          <w:spacing w:val="-1"/>
          <w:sz w:val="24"/>
          <w:szCs w:val="24"/>
        </w:rPr>
        <w:t>督导，并有权要求承包人对存在问题进行整改。</w:t>
      </w:r>
    </w:p>
    <w:p>
      <w:pPr>
        <w:spacing w:before="181" w:line="219" w:lineRule="auto"/>
        <w:ind w:left="474"/>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4.承包人</w:t>
      </w:r>
    </w:p>
    <w:p>
      <w:pPr>
        <w:spacing w:before="183" w:line="468" w:lineRule="exact"/>
        <w:ind w:left="475"/>
        <w:rPr>
          <w:rFonts w:ascii="宋体" w:hAnsi="宋体" w:eastAsia="宋体" w:cs="宋体"/>
          <w:sz w:val="24"/>
          <w:szCs w:val="24"/>
        </w:rPr>
      </w:pPr>
      <w:r>
        <w:rPr>
          <w:rFonts w:ascii="宋体" w:hAnsi="宋体" w:eastAsia="宋体" w:cs="宋体"/>
          <w:spacing w:val="-2"/>
          <w:position w:val="17"/>
          <w:sz w:val="24"/>
          <w:szCs w:val="24"/>
        </w:rPr>
        <w:t>承包人的一般义务</w:t>
      </w:r>
    </w:p>
    <w:p>
      <w:pPr>
        <w:spacing w:before="1" w:line="218" w:lineRule="auto"/>
        <w:ind w:left="474"/>
        <w:rPr>
          <w:rFonts w:ascii="宋体" w:hAnsi="宋体" w:eastAsia="宋体" w:cs="宋体"/>
          <w:sz w:val="24"/>
          <w:szCs w:val="24"/>
        </w:rPr>
      </w:pPr>
      <w:r>
        <w:rPr>
          <w:rFonts w:ascii="宋体" w:hAnsi="宋体" w:eastAsia="宋体" w:cs="宋体"/>
          <w:spacing w:val="-3"/>
          <w:sz w:val="24"/>
          <w:szCs w:val="24"/>
        </w:rPr>
        <w:t>4.1.2</w:t>
      </w:r>
      <w:r>
        <w:rPr>
          <w:rFonts w:ascii="宋体" w:hAnsi="宋体" w:eastAsia="宋体" w:cs="宋体"/>
          <w:spacing w:val="-43"/>
          <w:sz w:val="24"/>
          <w:szCs w:val="24"/>
        </w:rPr>
        <w:t xml:space="preserve"> </w:t>
      </w:r>
      <w:r>
        <w:rPr>
          <w:rFonts w:ascii="宋体" w:hAnsi="宋体" w:eastAsia="宋体" w:cs="宋体"/>
          <w:spacing w:val="-3"/>
          <w:sz w:val="24"/>
          <w:szCs w:val="24"/>
        </w:rPr>
        <w:t>依法纳税</w:t>
      </w:r>
    </w:p>
    <w:p>
      <w:pPr>
        <w:spacing w:before="181" w:line="219" w:lineRule="auto"/>
        <w:ind w:left="476"/>
        <w:rPr>
          <w:rFonts w:ascii="宋体" w:hAnsi="宋体" w:eastAsia="宋体" w:cs="宋体"/>
          <w:sz w:val="24"/>
          <w:szCs w:val="24"/>
        </w:rPr>
      </w:pPr>
      <w:r>
        <w:rPr>
          <w:rFonts w:ascii="宋体" w:hAnsi="宋体" w:eastAsia="宋体" w:cs="宋体"/>
          <w:spacing w:val="-3"/>
          <w:sz w:val="24"/>
          <w:szCs w:val="24"/>
        </w:rPr>
        <w:t>本项补充：</w:t>
      </w:r>
    </w:p>
    <w:p>
      <w:pPr>
        <w:spacing w:before="183" w:line="359" w:lineRule="auto"/>
        <w:ind w:left="5" w:right="289" w:firstLine="474"/>
        <w:jc w:val="both"/>
        <w:rPr>
          <w:rFonts w:ascii="宋体" w:hAnsi="宋体" w:eastAsia="宋体" w:cs="宋体"/>
          <w:sz w:val="24"/>
          <w:szCs w:val="24"/>
        </w:rPr>
      </w:pPr>
      <w:r>
        <w:rPr>
          <w:rFonts w:ascii="宋体" w:hAnsi="宋体" w:eastAsia="宋体" w:cs="宋体"/>
          <w:spacing w:val="-8"/>
          <w:sz w:val="24"/>
          <w:szCs w:val="24"/>
        </w:rPr>
        <w:t>省、市和地方有关单位要收取的税费和规费（包括但不限于按交通运输部公布的《公</w:t>
      </w:r>
      <w:r>
        <w:rPr>
          <w:rFonts w:ascii="宋体" w:hAnsi="宋体" w:eastAsia="宋体" w:cs="宋体"/>
          <w:spacing w:val="1"/>
          <w:sz w:val="24"/>
          <w:szCs w:val="24"/>
        </w:rPr>
        <w:t xml:space="preserve"> </w:t>
      </w:r>
      <w:r>
        <w:rPr>
          <w:rFonts w:ascii="宋体" w:hAnsi="宋体" w:eastAsia="宋体" w:cs="宋体"/>
          <w:sz w:val="24"/>
          <w:szCs w:val="24"/>
        </w:rPr>
        <w:t>路工程建设项目概算预算编制办法》</w:t>
      </w:r>
      <w:r>
        <w:rPr>
          <w:rFonts w:ascii="宋体" w:hAnsi="宋体" w:eastAsia="宋体" w:cs="宋体"/>
          <w:spacing w:val="-61"/>
          <w:sz w:val="24"/>
          <w:szCs w:val="24"/>
        </w:rPr>
        <w:t xml:space="preserve"> </w:t>
      </w:r>
      <w:r>
        <w:rPr>
          <w:rFonts w:ascii="宋体" w:hAnsi="宋体" w:eastAsia="宋体" w:cs="宋体"/>
          <w:sz w:val="24"/>
          <w:szCs w:val="24"/>
        </w:rPr>
        <w:t>(JTG 3830-2018)规定的建筑安装工程造价</w:t>
      </w:r>
      <w:r>
        <w:rPr>
          <w:rFonts w:ascii="宋体" w:hAnsi="宋体" w:eastAsia="宋体" w:cs="宋体"/>
          <w:spacing w:val="-1"/>
          <w:sz w:val="24"/>
          <w:szCs w:val="24"/>
        </w:rPr>
        <w:t>内的增</w:t>
      </w:r>
      <w:r>
        <w:rPr>
          <w:rFonts w:ascii="宋体" w:hAnsi="宋体" w:eastAsia="宋体" w:cs="宋体"/>
          <w:sz w:val="24"/>
          <w:szCs w:val="24"/>
        </w:rPr>
        <w:t xml:space="preserve"> </w:t>
      </w:r>
      <w:r>
        <w:rPr>
          <w:rFonts w:ascii="宋体" w:hAnsi="宋体" w:eastAsia="宋体" w:cs="宋体"/>
          <w:spacing w:val="-2"/>
          <w:sz w:val="24"/>
          <w:szCs w:val="24"/>
        </w:rPr>
        <w:t>值税、城市维护建设税、教育费附加和地方教育附加税、堤围防护费</w:t>
      </w:r>
      <w:r>
        <w:rPr>
          <w:rFonts w:ascii="宋体" w:hAnsi="宋体" w:eastAsia="宋体" w:cs="宋体"/>
          <w:spacing w:val="-3"/>
          <w:sz w:val="24"/>
          <w:szCs w:val="24"/>
        </w:rPr>
        <w:t>等</w:t>
      </w:r>
      <w:r>
        <w:rPr>
          <w:rFonts w:ascii="宋体" w:hAnsi="宋体" w:eastAsia="宋体" w:cs="宋体"/>
          <w:spacing w:val="7"/>
          <w:sz w:val="24"/>
          <w:szCs w:val="24"/>
        </w:rPr>
        <w:t>），</w:t>
      </w:r>
      <w:r>
        <w:rPr>
          <w:rFonts w:ascii="宋体" w:hAnsi="宋体" w:eastAsia="宋体" w:cs="宋体"/>
          <w:spacing w:val="-3"/>
          <w:sz w:val="24"/>
          <w:szCs w:val="24"/>
        </w:rPr>
        <w:t>已包含在工</w:t>
      </w:r>
    </w:p>
    <w:p>
      <w:pPr>
        <w:spacing w:before="1" w:line="217" w:lineRule="auto"/>
        <w:ind w:left="4"/>
        <w:rPr>
          <w:rFonts w:ascii="宋体" w:hAnsi="宋体" w:eastAsia="宋体" w:cs="宋体"/>
          <w:sz w:val="24"/>
          <w:szCs w:val="24"/>
        </w:rPr>
      </w:pPr>
      <w:r>
        <w:rPr>
          <w:rFonts w:ascii="宋体" w:hAnsi="宋体" w:eastAsia="宋体" w:cs="宋体"/>
          <w:spacing w:val="-1"/>
          <w:sz w:val="24"/>
          <w:szCs w:val="24"/>
        </w:rPr>
        <w:t>程量清单单价及总价中，由承包人负责缴纳并承担所需费用。</w:t>
      </w:r>
    </w:p>
    <w:p>
      <w:pPr>
        <w:spacing w:before="185" w:line="465" w:lineRule="exact"/>
        <w:ind w:left="474"/>
        <w:rPr>
          <w:rFonts w:ascii="宋体" w:hAnsi="宋体" w:eastAsia="宋体" w:cs="宋体"/>
          <w:sz w:val="24"/>
          <w:szCs w:val="24"/>
        </w:rPr>
      </w:pPr>
      <w:r>
        <w:rPr>
          <w:rFonts w:ascii="宋体" w:hAnsi="宋体" w:eastAsia="宋体" w:cs="宋体"/>
          <w:spacing w:val="-1"/>
          <w:position w:val="17"/>
          <w:sz w:val="24"/>
          <w:szCs w:val="24"/>
        </w:rPr>
        <w:t>4.1.4 对施工作业和施工方法的完备性负责</w:t>
      </w:r>
    </w:p>
    <w:p>
      <w:pPr>
        <w:spacing w:before="1" w:line="218" w:lineRule="auto"/>
        <w:ind w:left="476"/>
        <w:rPr>
          <w:rFonts w:ascii="宋体" w:hAnsi="宋体" w:eastAsia="宋体" w:cs="宋体"/>
          <w:sz w:val="24"/>
          <w:szCs w:val="24"/>
        </w:rPr>
      </w:pPr>
      <w:r>
        <w:rPr>
          <w:rFonts w:ascii="宋体" w:hAnsi="宋体" w:eastAsia="宋体" w:cs="宋体"/>
          <w:spacing w:val="-2"/>
          <w:sz w:val="24"/>
          <w:szCs w:val="24"/>
        </w:rPr>
        <w:t>本项细化为：</w:t>
      </w:r>
    </w:p>
    <w:p>
      <w:pPr>
        <w:spacing w:before="185" w:line="359" w:lineRule="auto"/>
        <w:ind w:left="4" w:right="291" w:firstLine="471"/>
        <w:jc w:val="both"/>
        <w:rPr>
          <w:rFonts w:ascii="宋体" w:hAnsi="宋体" w:eastAsia="宋体" w:cs="宋体"/>
          <w:sz w:val="24"/>
          <w:szCs w:val="24"/>
        </w:rPr>
      </w:pPr>
      <w:r>
        <w:rPr>
          <w:rFonts w:ascii="宋体" w:hAnsi="宋体" w:eastAsia="宋体" w:cs="宋体"/>
          <w:spacing w:val="-2"/>
          <w:sz w:val="24"/>
          <w:szCs w:val="24"/>
        </w:rPr>
        <w:t>承包人应按合同约定的工作内容和施工进度要求，根据《广东省高速公路工程施工</w:t>
      </w:r>
      <w:r>
        <w:rPr>
          <w:rFonts w:ascii="宋体" w:hAnsi="宋体" w:eastAsia="宋体" w:cs="宋体"/>
          <w:spacing w:val="18"/>
          <w:sz w:val="24"/>
          <w:szCs w:val="24"/>
        </w:rPr>
        <w:t xml:space="preserve"> </w:t>
      </w:r>
      <w:r>
        <w:rPr>
          <w:rFonts w:ascii="宋体" w:hAnsi="宋体" w:eastAsia="宋体" w:cs="宋体"/>
          <w:spacing w:val="-2"/>
          <w:sz w:val="24"/>
          <w:szCs w:val="24"/>
        </w:rPr>
        <w:t>组织设计和施工方案标准化管理指南》编制施工组织设计和施工方案，并对所有施工作</w:t>
      </w:r>
      <w:r>
        <w:rPr>
          <w:rFonts w:ascii="宋体" w:hAnsi="宋体" w:eastAsia="宋体" w:cs="宋体"/>
          <w:spacing w:val="13"/>
          <w:sz w:val="24"/>
          <w:szCs w:val="24"/>
        </w:rPr>
        <w:t xml:space="preserve"> </w:t>
      </w:r>
      <w:r>
        <w:rPr>
          <w:rFonts w:ascii="宋体" w:hAnsi="宋体" w:eastAsia="宋体" w:cs="宋体"/>
          <w:spacing w:val="-2"/>
          <w:sz w:val="24"/>
          <w:szCs w:val="24"/>
        </w:rPr>
        <w:t>业和施工方案的完备性和安全可靠性负责。承包人应对施工组织设计和施工方案开展内</w:t>
      </w:r>
    </w:p>
    <w:p>
      <w:pPr>
        <w:spacing w:before="1" w:line="219" w:lineRule="auto"/>
        <w:ind w:left="8"/>
        <w:rPr>
          <w:rFonts w:ascii="宋体" w:hAnsi="宋体" w:eastAsia="宋体" w:cs="宋体"/>
          <w:sz w:val="24"/>
          <w:szCs w:val="24"/>
        </w:rPr>
      </w:pPr>
      <w:r>
        <w:rPr>
          <w:rFonts w:ascii="宋体" w:hAnsi="宋体" w:eastAsia="宋体" w:cs="宋体"/>
          <w:spacing w:val="-1"/>
          <w:sz w:val="24"/>
          <w:szCs w:val="24"/>
        </w:rPr>
        <w:t>部审查、专家论证（必要时）和报批工作。</w:t>
      </w:r>
    </w:p>
    <w:p>
      <w:pPr>
        <w:spacing w:before="180" w:line="466" w:lineRule="exact"/>
        <w:ind w:left="474"/>
        <w:rPr>
          <w:rFonts w:ascii="宋体" w:hAnsi="宋体" w:eastAsia="宋体" w:cs="宋体"/>
          <w:sz w:val="24"/>
          <w:szCs w:val="24"/>
        </w:rPr>
      </w:pPr>
      <w:r>
        <w:rPr>
          <w:rFonts w:ascii="宋体" w:hAnsi="宋体" w:eastAsia="宋体" w:cs="宋体"/>
          <w:spacing w:val="-2"/>
          <w:position w:val="17"/>
          <w:sz w:val="24"/>
          <w:szCs w:val="24"/>
        </w:rPr>
        <w:t>4.1.5</w:t>
      </w:r>
      <w:r>
        <w:rPr>
          <w:rFonts w:ascii="宋体" w:hAnsi="宋体" w:eastAsia="宋体" w:cs="宋体"/>
          <w:spacing w:val="-36"/>
          <w:position w:val="17"/>
          <w:sz w:val="24"/>
          <w:szCs w:val="24"/>
        </w:rPr>
        <w:t xml:space="preserve"> </w:t>
      </w:r>
      <w:r>
        <w:rPr>
          <w:rFonts w:ascii="宋体" w:hAnsi="宋体" w:eastAsia="宋体" w:cs="宋体"/>
          <w:spacing w:val="-2"/>
          <w:position w:val="17"/>
          <w:sz w:val="24"/>
          <w:szCs w:val="24"/>
        </w:rPr>
        <w:t>保证工程施工和人员的安全</w:t>
      </w:r>
    </w:p>
    <w:p>
      <w:pPr>
        <w:spacing w:before="1" w:line="218" w:lineRule="auto"/>
        <w:ind w:left="476"/>
        <w:rPr>
          <w:rFonts w:ascii="宋体" w:hAnsi="宋体" w:eastAsia="宋体" w:cs="宋体"/>
          <w:sz w:val="24"/>
          <w:szCs w:val="24"/>
        </w:rPr>
      </w:pPr>
      <w:r>
        <w:rPr>
          <w:rFonts w:ascii="宋体" w:hAnsi="宋体" w:eastAsia="宋体" w:cs="宋体"/>
          <w:spacing w:val="-3"/>
          <w:sz w:val="24"/>
          <w:szCs w:val="24"/>
        </w:rPr>
        <w:t>本项补充：</w:t>
      </w:r>
    </w:p>
    <w:p>
      <w:pPr>
        <w:spacing w:before="184" w:line="359" w:lineRule="auto"/>
        <w:ind w:left="10" w:right="291" w:firstLine="465"/>
        <w:jc w:val="both"/>
        <w:rPr>
          <w:rFonts w:ascii="宋体" w:hAnsi="宋体" w:eastAsia="宋体" w:cs="宋体"/>
          <w:sz w:val="24"/>
          <w:szCs w:val="24"/>
        </w:rPr>
      </w:pPr>
      <w:r>
        <w:rPr>
          <w:rFonts w:ascii="宋体" w:hAnsi="宋体" w:eastAsia="宋体" w:cs="宋体"/>
          <w:spacing w:val="-2"/>
          <w:sz w:val="24"/>
          <w:szCs w:val="24"/>
        </w:rPr>
        <w:t>承包人在施工中必须按相关规定和标准设置安全标志、标牌等必要的安全设施，否</w:t>
      </w:r>
      <w:r>
        <w:rPr>
          <w:rFonts w:ascii="宋体" w:hAnsi="宋体" w:eastAsia="宋体" w:cs="宋体"/>
          <w:spacing w:val="18"/>
          <w:sz w:val="24"/>
          <w:szCs w:val="24"/>
        </w:rPr>
        <w:t xml:space="preserve"> </w:t>
      </w:r>
      <w:r>
        <w:rPr>
          <w:rFonts w:ascii="宋体" w:hAnsi="宋体" w:eastAsia="宋体" w:cs="宋体"/>
          <w:spacing w:val="-2"/>
          <w:sz w:val="24"/>
          <w:szCs w:val="24"/>
        </w:rPr>
        <w:t>则发包人将委托其他单位制作或设置，发生的费用从安全生产费中扣除，不足部分从工</w:t>
      </w:r>
    </w:p>
    <w:p>
      <w:pPr>
        <w:spacing w:line="219" w:lineRule="auto"/>
        <w:ind w:left="4"/>
        <w:rPr>
          <w:rFonts w:ascii="宋体" w:hAnsi="宋体" w:eastAsia="宋体" w:cs="宋体"/>
          <w:sz w:val="24"/>
          <w:szCs w:val="24"/>
        </w:rPr>
      </w:pPr>
      <w:r>
        <w:rPr>
          <w:rFonts w:ascii="宋体" w:hAnsi="宋体" w:eastAsia="宋体" w:cs="宋体"/>
          <w:spacing w:val="-2"/>
          <w:sz w:val="24"/>
          <w:szCs w:val="24"/>
        </w:rPr>
        <w:t>程款中扣除。</w:t>
      </w:r>
    </w:p>
    <w:p>
      <w:pPr>
        <w:spacing w:line="425" w:lineRule="auto"/>
        <w:rPr>
          <w:rFonts w:ascii="Arial"/>
          <w:sz w:val="21"/>
        </w:rPr>
      </w:pPr>
    </w:p>
    <w:p>
      <w:pPr>
        <w:spacing w:before="78" w:line="466" w:lineRule="exact"/>
        <w:ind w:left="474"/>
        <w:rPr>
          <w:rFonts w:ascii="宋体" w:hAnsi="宋体" w:eastAsia="宋体" w:cs="宋体"/>
          <w:sz w:val="24"/>
          <w:szCs w:val="24"/>
        </w:rPr>
      </w:pPr>
      <w:r>
        <w:rPr>
          <w:rFonts w:ascii="宋体" w:hAnsi="宋体" w:eastAsia="宋体" w:cs="宋体"/>
          <w:spacing w:val="-1"/>
          <w:position w:val="17"/>
          <w:sz w:val="24"/>
          <w:szCs w:val="24"/>
        </w:rPr>
        <w:t>4.1.7</w:t>
      </w:r>
      <w:r>
        <w:rPr>
          <w:rFonts w:ascii="宋体" w:hAnsi="宋体" w:eastAsia="宋体" w:cs="宋体"/>
          <w:spacing w:val="-48"/>
          <w:position w:val="17"/>
          <w:sz w:val="24"/>
          <w:szCs w:val="24"/>
        </w:rPr>
        <w:t xml:space="preserve"> </w:t>
      </w:r>
      <w:r>
        <w:rPr>
          <w:rFonts w:ascii="宋体" w:hAnsi="宋体" w:eastAsia="宋体" w:cs="宋体"/>
          <w:spacing w:val="-1"/>
          <w:position w:val="17"/>
          <w:sz w:val="24"/>
          <w:szCs w:val="24"/>
        </w:rPr>
        <w:t>避免施工对公众与他人的利益造成损害</w:t>
      </w:r>
    </w:p>
    <w:p>
      <w:pPr>
        <w:spacing w:line="218" w:lineRule="auto"/>
        <w:ind w:left="476"/>
        <w:rPr>
          <w:rFonts w:ascii="宋体" w:hAnsi="宋体" w:eastAsia="宋体" w:cs="宋体"/>
          <w:sz w:val="24"/>
          <w:szCs w:val="24"/>
        </w:rPr>
      </w:pPr>
      <w:r>
        <w:rPr>
          <w:rFonts w:ascii="宋体" w:hAnsi="宋体" w:eastAsia="宋体" w:cs="宋体"/>
          <w:spacing w:val="-2"/>
          <w:sz w:val="24"/>
          <w:szCs w:val="24"/>
        </w:rPr>
        <w:t>本款细化为：</w:t>
      </w:r>
    </w:p>
    <w:p>
      <w:pPr>
        <w:spacing w:before="184" w:line="359" w:lineRule="auto"/>
        <w:ind w:left="8" w:right="291" w:firstLine="509"/>
        <w:rPr>
          <w:rFonts w:ascii="宋体" w:hAnsi="宋体" w:eastAsia="宋体" w:cs="宋体"/>
          <w:sz w:val="24"/>
          <w:szCs w:val="24"/>
        </w:rPr>
      </w:pPr>
      <w:r>
        <w:rPr>
          <w:rFonts w:ascii="宋体" w:hAnsi="宋体" w:eastAsia="宋体" w:cs="宋体"/>
          <w:spacing w:val="1"/>
          <w:sz w:val="24"/>
          <w:szCs w:val="24"/>
        </w:rPr>
        <w:t>(1)承包人在进行合同约定的各项工作时，不得侵害</w:t>
      </w:r>
      <w:r>
        <w:rPr>
          <w:rFonts w:ascii="宋体" w:hAnsi="宋体" w:eastAsia="宋体" w:cs="宋体"/>
          <w:sz w:val="24"/>
          <w:szCs w:val="24"/>
        </w:rPr>
        <w:t xml:space="preserve">发包人与他人使用公用道路、 </w:t>
      </w:r>
      <w:r>
        <w:rPr>
          <w:rFonts w:ascii="宋体" w:hAnsi="宋体" w:eastAsia="宋体" w:cs="宋体"/>
          <w:spacing w:val="-2"/>
          <w:sz w:val="24"/>
          <w:szCs w:val="24"/>
        </w:rPr>
        <w:t>水源、市政管网等公共设施的权利，避免对邻近的公共设施产生干扰。承包人占用或使</w:t>
      </w:r>
    </w:p>
    <w:p>
      <w:pPr>
        <w:spacing w:line="219" w:lineRule="auto"/>
        <w:ind w:left="7"/>
        <w:rPr>
          <w:rFonts w:ascii="宋体" w:hAnsi="宋体" w:eastAsia="宋体" w:cs="宋体"/>
          <w:sz w:val="24"/>
          <w:szCs w:val="24"/>
        </w:rPr>
      </w:pPr>
      <w:r>
        <w:rPr>
          <w:rFonts w:ascii="宋体" w:hAnsi="宋体" w:eastAsia="宋体" w:cs="宋体"/>
          <w:spacing w:val="-1"/>
          <w:sz w:val="24"/>
          <w:szCs w:val="24"/>
        </w:rPr>
        <w:t>用他人的施工场地，影响他人作业或生活的，应承担相应责任。</w:t>
      </w:r>
    </w:p>
    <w:p>
      <w:pPr>
        <w:spacing w:before="181" w:line="359" w:lineRule="auto"/>
        <w:ind w:left="4" w:right="209" w:firstLine="513"/>
        <w:rPr>
          <w:rFonts w:ascii="宋体" w:hAnsi="宋体" w:eastAsia="宋体" w:cs="宋体"/>
          <w:sz w:val="24"/>
          <w:szCs w:val="24"/>
        </w:rPr>
      </w:pPr>
      <w:r>
        <w:rPr>
          <w:rFonts w:ascii="宋体" w:hAnsi="宋体" w:eastAsia="宋体" w:cs="宋体"/>
          <w:sz w:val="24"/>
          <w:szCs w:val="24"/>
        </w:rPr>
        <w:t xml:space="preserve">(2)承包人对实施和完成本合同工程及缺陷修复工程中的一切施工作业（尤其是爆 </w:t>
      </w:r>
      <w:r>
        <w:rPr>
          <w:rFonts w:ascii="宋体" w:hAnsi="宋体" w:eastAsia="宋体" w:cs="宋体"/>
          <w:spacing w:val="-6"/>
          <w:sz w:val="24"/>
          <w:szCs w:val="24"/>
        </w:rPr>
        <w:t>破作业、钻孔桩施工、路基路面碾压等存在震动的施工作业以及需要临时改变当地交通、</w:t>
      </w:r>
      <w:r>
        <w:rPr>
          <w:rFonts w:ascii="宋体" w:hAnsi="宋体" w:eastAsia="宋体" w:cs="宋体"/>
          <w:spacing w:val="14"/>
          <w:sz w:val="24"/>
          <w:szCs w:val="24"/>
        </w:rPr>
        <w:t xml:space="preserve"> </w:t>
      </w:r>
      <w:r>
        <w:rPr>
          <w:rFonts w:ascii="宋体" w:hAnsi="宋体" w:eastAsia="宋体" w:cs="宋体"/>
          <w:spacing w:val="-4"/>
          <w:sz w:val="24"/>
          <w:szCs w:val="24"/>
        </w:rPr>
        <w:t>灌溉、排水现状的施工作业</w:t>
      </w:r>
      <w:r>
        <w:rPr>
          <w:rFonts w:ascii="宋体" w:hAnsi="宋体" w:eastAsia="宋体" w:cs="宋体"/>
          <w:spacing w:val="-36"/>
          <w:sz w:val="24"/>
          <w:szCs w:val="24"/>
        </w:rPr>
        <w:t>），</w:t>
      </w:r>
      <w:r>
        <w:rPr>
          <w:rFonts w:ascii="宋体" w:hAnsi="宋体" w:eastAsia="宋体" w:cs="宋体"/>
          <w:spacing w:val="-4"/>
          <w:sz w:val="24"/>
          <w:szCs w:val="24"/>
        </w:rPr>
        <w:t>有责任采取足够的预防措施，以保证不影响临近建筑物、</w:t>
      </w:r>
      <w:r>
        <w:rPr>
          <w:rFonts w:ascii="宋体" w:hAnsi="宋体" w:eastAsia="宋体" w:cs="宋体"/>
          <w:sz w:val="24"/>
          <w:szCs w:val="24"/>
        </w:rPr>
        <w:t xml:space="preserve"> </w:t>
      </w:r>
      <w:r>
        <w:rPr>
          <w:rFonts w:ascii="宋体" w:hAnsi="宋体" w:eastAsia="宋体" w:cs="宋体"/>
          <w:spacing w:val="-2"/>
          <w:sz w:val="24"/>
          <w:szCs w:val="24"/>
        </w:rPr>
        <w:t>构造物的安全与正常使用，不对群众的财产造成损失，也不干扰群众的生产、生活和</w:t>
      </w:r>
      <w:r>
        <w:rPr>
          <w:rFonts w:ascii="宋体" w:hAnsi="宋体" w:eastAsia="宋体" w:cs="宋体"/>
          <w:spacing w:val="-3"/>
          <w:sz w:val="24"/>
          <w:szCs w:val="24"/>
        </w:rPr>
        <w:t xml:space="preserve">通 </w:t>
      </w:r>
      <w:r>
        <w:rPr>
          <w:rFonts w:ascii="宋体" w:hAnsi="宋体" w:eastAsia="宋体" w:cs="宋体"/>
          <w:spacing w:val="-4"/>
          <w:sz w:val="24"/>
          <w:szCs w:val="24"/>
        </w:rPr>
        <w:t>行方便（难以避免的一定程度的干扰除外</w:t>
      </w:r>
      <w:r>
        <w:rPr>
          <w:rFonts w:ascii="宋体" w:hAnsi="宋体" w:eastAsia="宋体" w:cs="宋体"/>
          <w:spacing w:val="-28"/>
          <w:sz w:val="24"/>
          <w:szCs w:val="24"/>
        </w:rPr>
        <w:t>），</w:t>
      </w:r>
      <w:r>
        <w:rPr>
          <w:rFonts w:ascii="宋体" w:hAnsi="宋体" w:eastAsia="宋体" w:cs="宋体"/>
          <w:spacing w:val="-4"/>
          <w:sz w:val="24"/>
          <w:szCs w:val="24"/>
        </w:rPr>
        <w:t>如发生</w:t>
      </w:r>
      <w:r>
        <w:rPr>
          <w:rFonts w:ascii="宋体" w:hAnsi="宋体" w:eastAsia="宋体" w:cs="宋体"/>
          <w:spacing w:val="-5"/>
          <w:sz w:val="24"/>
          <w:szCs w:val="24"/>
        </w:rPr>
        <w:t>上述情况，并由此导致索赔、赔偿、</w:t>
      </w:r>
      <w:r>
        <w:rPr>
          <w:rFonts w:ascii="宋体" w:hAnsi="宋体" w:eastAsia="宋体" w:cs="宋体"/>
          <w:sz w:val="24"/>
          <w:szCs w:val="24"/>
        </w:rPr>
        <w:t xml:space="preserve"> </w:t>
      </w:r>
      <w:r>
        <w:rPr>
          <w:rFonts w:ascii="宋体" w:hAnsi="宋体" w:eastAsia="宋体" w:cs="宋体"/>
          <w:spacing w:val="-2"/>
          <w:sz w:val="24"/>
          <w:szCs w:val="24"/>
        </w:rPr>
        <w:t>诉讼费用及其他开支时，应由承包人承担一切责任及费用。承包人在报价和组织施工时</w:t>
      </w:r>
    </w:p>
    <w:p>
      <w:pPr>
        <w:spacing w:line="218" w:lineRule="auto"/>
        <w:ind w:left="5"/>
        <w:rPr>
          <w:rFonts w:ascii="宋体" w:hAnsi="宋体" w:eastAsia="宋体" w:cs="宋体"/>
          <w:sz w:val="24"/>
          <w:szCs w:val="24"/>
        </w:rPr>
      </w:pPr>
      <w:r>
        <w:rPr>
          <w:rFonts w:ascii="宋体" w:hAnsi="宋体" w:eastAsia="宋体" w:cs="宋体"/>
          <w:spacing w:val="-1"/>
          <w:sz w:val="24"/>
          <w:szCs w:val="24"/>
        </w:rPr>
        <w:t>应充分考虑这一因素。</w:t>
      </w:r>
    </w:p>
    <w:p>
      <w:pPr>
        <w:spacing w:before="184" w:line="359" w:lineRule="auto"/>
        <w:ind w:left="5" w:right="291" w:firstLine="481"/>
        <w:rPr>
          <w:rFonts w:ascii="宋体" w:hAnsi="宋体" w:eastAsia="宋体" w:cs="宋体"/>
          <w:sz w:val="24"/>
          <w:szCs w:val="24"/>
        </w:rPr>
      </w:pPr>
      <w:r>
        <w:rPr>
          <w:rFonts w:ascii="宋体" w:hAnsi="宋体" w:eastAsia="宋体" w:cs="宋体"/>
          <w:spacing w:val="1"/>
          <w:sz w:val="24"/>
          <w:szCs w:val="24"/>
        </w:rPr>
        <w:t>（3）承包人在实施和完成本合同工程及缺陷修复工作中的一切施工作业，在经过</w:t>
      </w:r>
      <w:r>
        <w:rPr>
          <w:rFonts w:ascii="宋体" w:hAnsi="宋体" w:eastAsia="宋体" w:cs="宋体"/>
          <w:spacing w:val="18"/>
          <w:sz w:val="24"/>
          <w:szCs w:val="24"/>
        </w:rPr>
        <w:t xml:space="preserve"> </w:t>
      </w:r>
      <w:r>
        <w:rPr>
          <w:rFonts w:ascii="宋体" w:hAnsi="宋体" w:eastAsia="宋体" w:cs="宋体"/>
          <w:spacing w:val="-2"/>
          <w:sz w:val="24"/>
          <w:szCs w:val="24"/>
        </w:rPr>
        <w:t>原地貌为鱼塘时，须在征地红线处筑设围堰分界，围堰需坚固且堰顶标高应高出原塘基</w:t>
      </w:r>
      <w:r>
        <w:rPr>
          <w:rFonts w:ascii="宋体" w:hAnsi="宋体" w:eastAsia="宋体" w:cs="宋体"/>
          <w:spacing w:val="12"/>
          <w:sz w:val="24"/>
          <w:szCs w:val="24"/>
        </w:rPr>
        <w:t xml:space="preserve"> </w:t>
      </w:r>
      <w:r>
        <w:rPr>
          <w:rFonts w:ascii="宋体" w:hAnsi="宋体" w:eastAsia="宋体" w:cs="宋体"/>
          <w:spacing w:val="-2"/>
          <w:sz w:val="24"/>
          <w:szCs w:val="24"/>
        </w:rPr>
        <w:t>至少</w:t>
      </w:r>
      <w:r>
        <w:rPr>
          <w:rFonts w:ascii="宋体" w:hAnsi="宋体" w:eastAsia="宋体" w:cs="宋体"/>
          <w:spacing w:val="-49"/>
          <w:sz w:val="24"/>
          <w:szCs w:val="24"/>
        </w:rPr>
        <w:t xml:space="preserve"> </w:t>
      </w:r>
      <w:r>
        <w:rPr>
          <w:rFonts w:ascii="宋体" w:hAnsi="宋体" w:eastAsia="宋体" w:cs="宋体"/>
          <w:spacing w:val="-2"/>
          <w:sz w:val="24"/>
          <w:szCs w:val="24"/>
        </w:rPr>
        <w:t>0.5</w:t>
      </w:r>
      <w:r>
        <w:rPr>
          <w:rFonts w:ascii="宋体" w:hAnsi="宋体" w:eastAsia="宋体" w:cs="宋体"/>
          <w:spacing w:val="-51"/>
          <w:sz w:val="24"/>
          <w:szCs w:val="24"/>
        </w:rPr>
        <w:t xml:space="preserve"> </w:t>
      </w:r>
      <w:r>
        <w:rPr>
          <w:rFonts w:ascii="宋体" w:hAnsi="宋体" w:eastAsia="宋体" w:cs="宋体"/>
          <w:spacing w:val="-2"/>
          <w:sz w:val="24"/>
          <w:szCs w:val="24"/>
        </w:rPr>
        <w:t>米，以保证施工作业不污染、不影响征地红线外鱼塘的养殖与正</w:t>
      </w:r>
      <w:r>
        <w:rPr>
          <w:rFonts w:ascii="宋体" w:hAnsi="宋体" w:eastAsia="宋体" w:cs="宋体"/>
          <w:spacing w:val="-3"/>
          <w:sz w:val="24"/>
          <w:szCs w:val="24"/>
        </w:rPr>
        <w:t>常使用，不对</w:t>
      </w:r>
      <w:r>
        <w:rPr>
          <w:rFonts w:ascii="宋体" w:hAnsi="宋体" w:eastAsia="宋体" w:cs="宋体"/>
          <w:sz w:val="24"/>
          <w:szCs w:val="24"/>
        </w:rPr>
        <w:t xml:space="preserve"> </w:t>
      </w:r>
      <w:r>
        <w:rPr>
          <w:rFonts w:ascii="宋体" w:hAnsi="宋体" w:eastAsia="宋体" w:cs="宋体"/>
          <w:spacing w:val="-2"/>
          <w:sz w:val="24"/>
          <w:szCs w:val="24"/>
        </w:rPr>
        <w:t>群众的财产造成损失，施工过程也不干扰群众的生产。如因承包人责任（如施工考虑不</w:t>
      </w:r>
      <w:r>
        <w:rPr>
          <w:rFonts w:ascii="宋体" w:hAnsi="宋体" w:eastAsia="宋体" w:cs="宋体"/>
          <w:spacing w:val="12"/>
          <w:sz w:val="24"/>
          <w:szCs w:val="24"/>
        </w:rPr>
        <w:t xml:space="preserve"> </w:t>
      </w:r>
      <w:r>
        <w:rPr>
          <w:rFonts w:ascii="宋体" w:hAnsi="宋体" w:eastAsia="宋体" w:cs="宋体"/>
          <w:spacing w:val="-2"/>
          <w:sz w:val="24"/>
          <w:szCs w:val="24"/>
        </w:rPr>
        <w:t>周或措施不当等）而造成征地红线外鱼塘污染的，承包人应负责对涉及的鱼塘进行清淤</w:t>
      </w:r>
      <w:r>
        <w:rPr>
          <w:rFonts w:ascii="宋体" w:hAnsi="宋体" w:eastAsia="宋体" w:cs="宋体"/>
          <w:spacing w:val="12"/>
          <w:sz w:val="24"/>
          <w:szCs w:val="24"/>
        </w:rPr>
        <w:t xml:space="preserve"> </w:t>
      </w:r>
      <w:r>
        <w:rPr>
          <w:rFonts w:ascii="宋体" w:hAnsi="宋体" w:eastAsia="宋体" w:cs="宋体"/>
          <w:spacing w:val="-2"/>
          <w:sz w:val="24"/>
          <w:szCs w:val="24"/>
        </w:rPr>
        <w:t>处理，并由此导致施工受阻、停工、索赔、赔偿、诉讼费用及其他开支时，应由承包人</w:t>
      </w:r>
      <w:r>
        <w:rPr>
          <w:rFonts w:ascii="宋体" w:hAnsi="宋体" w:eastAsia="宋体" w:cs="宋体"/>
          <w:spacing w:val="12"/>
          <w:sz w:val="24"/>
          <w:szCs w:val="24"/>
        </w:rPr>
        <w:t xml:space="preserve"> </w:t>
      </w:r>
      <w:r>
        <w:rPr>
          <w:rFonts w:ascii="宋体" w:hAnsi="宋体" w:eastAsia="宋体" w:cs="宋体"/>
          <w:spacing w:val="-2"/>
          <w:sz w:val="24"/>
          <w:szCs w:val="24"/>
        </w:rPr>
        <w:t>自行处理并承担一切责任及费用，同时发包人有权要求承包人采取措施进行补救。若承</w:t>
      </w:r>
      <w:r>
        <w:rPr>
          <w:rFonts w:ascii="宋体" w:hAnsi="宋体" w:eastAsia="宋体" w:cs="宋体"/>
          <w:spacing w:val="12"/>
          <w:sz w:val="24"/>
          <w:szCs w:val="24"/>
        </w:rPr>
        <w:t xml:space="preserve"> </w:t>
      </w:r>
      <w:r>
        <w:rPr>
          <w:rFonts w:ascii="宋体" w:hAnsi="宋体" w:eastAsia="宋体" w:cs="宋体"/>
          <w:spacing w:val="-2"/>
          <w:sz w:val="24"/>
          <w:szCs w:val="24"/>
        </w:rPr>
        <w:t>包人拒不接受或在限期内未采取必要措施的，发包人有权委托其他承包人或分包人进行</w:t>
      </w:r>
    </w:p>
    <w:p>
      <w:pPr>
        <w:spacing w:before="1" w:line="217" w:lineRule="auto"/>
        <w:ind w:left="5"/>
        <w:rPr>
          <w:rFonts w:ascii="宋体" w:hAnsi="宋体" w:eastAsia="宋体" w:cs="宋体"/>
          <w:sz w:val="24"/>
          <w:szCs w:val="24"/>
        </w:rPr>
      </w:pPr>
      <w:r>
        <w:rPr>
          <w:rFonts w:ascii="宋体" w:hAnsi="宋体" w:eastAsia="宋体" w:cs="宋体"/>
          <w:sz w:val="24"/>
          <w:szCs w:val="24"/>
        </w:rPr>
        <w:t>补救，产生费用由承包人承担。承包人在报价和组织施工</w:t>
      </w:r>
      <w:r>
        <w:rPr>
          <w:rFonts w:ascii="宋体" w:hAnsi="宋体" w:eastAsia="宋体" w:cs="宋体"/>
          <w:spacing w:val="-1"/>
          <w:sz w:val="24"/>
          <w:szCs w:val="24"/>
        </w:rPr>
        <w:t>时应充分考虑这一因素。</w:t>
      </w:r>
    </w:p>
    <w:p>
      <w:pPr>
        <w:spacing w:before="185" w:line="466" w:lineRule="exact"/>
        <w:ind w:left="487"/>
        <w:rPr>
          <w:rFonts w:ascii="宋体" w:hAnsi="宋体" w:eastAsia="宋体" w:cs="宋体"/>
          <w:sz w:val="24"/>
          <w:szCs w:val="24"/>
        </w:rPr>
      </w:pPr>
      <w:r>
        <w:rPr>
          <w:rFonts w:ascii="宋体" w:hAnsi="宋体" w:eastAsia="宋体" w:cs="宋体"/>
          <w:spacing w:val="1"/>
          <w:position w:val="17"/>
          <w:sz w:val="24"/>
          <w:szCs w:val="24"/>
        </w:rPr>
        <w:t>（4）承包人未经河道管理部门许可，不得擅自改变河岸现水边线、采用推填方式</w:t>
      </w:r>
    </w:p>
    <w:p>
      <w:pPr>
        <w:spacing w:line="219" w:lineRule="auto"/>
        <w:ind w:left="44"/>
        <w:rPr>
          <w:rFonts w:ascii="宋体" w:hAnsi="宋体" w:eastAsia="宋体" w:cs="宋体"/>
          <w:sz w:val="24"/>
          <w:szCs w:val="24"/>
        </w:rPr>
      </w:pPr>
      <w:r>
        <w:rPr>
          <w:rFonts w:ascii="宋体" w:hAnsi="宋体" w:eastAsia="宋体" w:cs="宋体"/>
          <w:spacing w:val="-1"/>
          <w:sz w:val="24"/>
          <w:szCs w:val="24"/>
        </w:rPr>
        <w:t>占用河道解决施工作业面不足或施工便道问题，否则引</w:t>
      </w:r>
      <w:r>
        <w:rPr>
          <w:rFonts w:ascii="宋体" w:hAnsi="宋体" w:eastAsia="宋体" w:cs="宋体"/>
          <w:spacing w:val="-2"/>
          <w:sz w:val="24"/>
          <w:szCs w:val="24"/>
        </w:rPr>
        <w:t>起的一切后果由承包人承担。</w:t>
      </w:r>
    </w:p>
    <w:p>
      <w:pPr>
        <w:spacing w:before="183" w:line="468" w:lineRule="exact"/>
        <w:ind w:left="487"/>
        <w:rPr>
          <w:rFonts w:ascii="宋体" w:hAnsi="宋体" w:eastAsia="宋体" w:cs="宋体"/>
          <w:sz w:val="24"/>
          <w:szCs w:val="24"/>
        </w:rPr>
      </w:pPr>
      <w:r>
        <w:rPr>
          <w:rFonts w:ascii="宋体" w:hAnsi="宋体" w:eastAsia="宋体" w:cs="宋体"/>
          <w:spacing w:val="1"/>
          <w:position w:val="17"/>
          <w:sz w:val="24"/>
          <w:szCs w:val="24"/>
        </w:rPr>
        <w:t>（5）如桥梁桩基位于水域等地基软弱地段，承包人应采取相应的施工辅助措施，</w:t>
      </w:r>
    </w:p>
    <w:p>
      <w:pPr>
        <w:spacing w:before="1" w:line="217" w:lineRule="auto"/>
        <w:ind w:left="9"/>
        <w:rPr>
          <w:rFonts w:ascii="宋体" w:hAnsi="宋体" w:eastAsia="宋体" w:cs="宋体"/>
          <w:sz w:val="24"/>
          <w:szCs w:val="24"/>
        </w:rPr>
      </w:pPr>
      <w:r>
        <w:rPr>
          <w:rFonts w:ascii="宋体" w:hAnsi="宋体" w:eastAsia="宋体" w:cs="宋体"/>
          <w:spacing w:val="-1"/>
          <w:sz w:val="24"/>
          <w:szCs w:val="24"/>
        </w:rPr>
        <w:t>发生费用已包含在合同总价中。</w:t>
      </w:r>
    </w:p>
    <w:p>
      <w:pPr>
        <w:spacing w:before="183" w:line="359" w:lineRule="auto"/>
        <w:ind w:left="7" w:right="291" w:firstLine="479"/>
        <w:rPr>
          <w:rFonts w:ascii="宋体" w:hAnsi="宋体" w:eastAsia="宋体" w:cs="宋体"/>
          <w:sz w:val="24"/>
          <w:szCs w:val="24"/>
        </w:rPr>
      </w:pPr>
      <w:r>
        <w:rPr>
          <w:rFonts w:ascii="宋体" w:hAnsi="宋体" w:eastAsia="宋体" w:cs="宋体"/>
          <w:spacing w:val="1"/>
          <w:sz w:val="24"/>
          <w:szCs w:val="24"/>
        </w:rPr>
        <w:t>（6）承包人应按交警、交通、铁路、航道、海事、国土、市政园林、水务、管道</w:t>
      </w:r>
      <w:r>
        <w:rPr>
          <w:rFonts w:ascii="宋体" w:hAnsi="宋体" w:eastAsia="宋体" w:cs="宋体"/>
          <w:spacing w:val="18"/>
          <w:sz w:val="24"/>
          <w:szCs w:val="24"/>
        </w:rPr>
        <w:t xml:space="preserve"> </w:t>
      </w:r>
      <w:r>
        <w:rPr>
          <w:rFonts w:ascii="宋体" w:hAnsi="宋体" w:eastAsia="宋体" w:cs="宋体"/>
          <w:spacing w:val="-2"/>
          <w:sz w:val="24"/>
          <w:szCs w:val="24"/>
        </w:rPr>
        <w:t>等管理部门的规定办理施工方案报批等相关手续，相关费用已包含在合同总价中（除合</w:t>
      </w:r>
    </w:p>
    <w:p>
      <w:pPr>
        <w:spacing w:line="220" w:lineRule="auto"/>
        <w:ind w:left="28"/>
        <w:rPr>
          <w:rFonts w:ascii="宋体" w:hAnsi="宋体" w:eastAsia="宋体" w:cs="宋体"/>
          <w:sz w:val="24"/>
          <w:szCs w:val="24"/>
        </w:rPr>
      </w:pPr>
      <w:r>
        <w:rPr>
          <w:rFonts w:ascii="宋体" w:hAnsi="宋体" w:eastAsia="宋体" w:cs="宋体"/>
          <w:spacing w:val="-5"/>
          <w:sz w:val="24"/>
          <w:szCs w:val="24"/>
        </w:rPr>
        <w:t>同另有约定外）。</w:t>
      </w:r>
    </w:p>
    <w:p>
      <w:pPr>
        <w:spacing w:before="179" w:line="468" w:lineRule="exact"/>
        <w:ind w:left="475"/>
        <w:rPr>
          <w:rFonts w:ascii="宋体" w:hAnsi="宋体" w:eastAsia="宋体" w:cs="宋体"/>
          <w:sz w:val="24"/>
          <w:szCs w:val="24"/>
        </w:rPr>
      </w:pPr>
      <w:r>
        <w:rPr>
          <w:rFonts w:ascii="宋体" w:hAnsi="宋体" w:eastAsia="宋体" w:cs="宋体"/>
          <w:spacing w:val="-2"/>
          <w:position w:val="17"/>
          <w:sz w:val="24"/>
          <w:szCs w:val="24"/>
        </w:rPr>
        <w:t>承包人利用现有道路作为施工便道的，需对道路采取一定的保护措施，施工完成后</w:t>
      </w:r>
    </w:p>
    <w:p>
      <w:pPr>
        <w:spacing w:before="1" w:line="219" w:lineRule="auto"/>
        <w:ind w:left="5"/>
        <w:rPr>
          <w:rFonts w:ascii="宋体" w:hAnsi="宋体" w:eastAsia="宋体" w:cs="宋体"/>
          <w:sz w:val="24"/>
          <w:szCs w:val="24"/>
        </w:rPr>
      </w:pPr>
      <w:r>
        <w:rPr>
          <w:rFonts w:ascii="宋体" w:hAnsi="宋体" w:eastAsia="宋体" w:cs="宋体"/>
          <w:sz w:val="24"/>
          <w:szCs w:val="24"/>
        </w:rPr>
        <w:t>应以不低于现有标准对施工损坏的道路进行修复（具体标</w:t>
      </w:r>
      <w:r>
        <w:rPr>
          <w:rFonts w:ascii="宋体" w:hAnsi="宋体" w:eastAsia="宋体" w:cs="宋体"/>
          <w:spacing w:val="-1"/>
          <w:sz w:val="24"/>
          <w:szCs w:val="24"/>
        </w:rPr>
        <w:t>准须满足权属单位的要求</w:t>
      </w:r>
      <w:r>
        <w:rPr>
          <w:rFonts w:ascii="宋体" w:hAnsi="宋体" w:eastAsia="宋体" w:cs="宋体"/>
          <w:sz w:val="24"/>
          <w:szCs w:val="24"/>
        </w:rPr>
        <w:t>），</w:t>
      </w:r>
    </w:p>
    <w:p>
      <w:pPr>
        <w:spacing w:line="425" w:lineRule="auto"/>
        <w:rPr>
          <w:rFonts w:ascii="Arial"/>
          <w:sz w:val="21"/>
        </w:rPr>
      </w:pPr>
    </w:p>
    <w:p>
      <w:pPr>
        <w:spacing w:before="78" w:line="219" w:lineRule="auto"/>
        <w:ind w:left="34"/>
        <w:rPr>
          <w:rFonts w:ascii="宋体" w:hAnsi="宋体" w:eastAsia="宋体" w:cs="宋体"/>
          <w:sz w:val="24"/>
          <w:szCs w:val="24"/>
        </w:rPr>
      </w:pPr>
      <w:r>
        <w:rPr>
          <w:rFonts w:ascii="宋体" w:hAnsi="宋体" w:eastAsia="宋体" w:cs="宋体"/>
          <w:spacing w:val="-3"/>
          <w:sz w:val="24"/>
          <w:szCs w:val="24"/>
        </w:rPr>
        <w:t>由此产生的一切费用均由承包人承担。</w:t>
      </w:r>
    </w:p>
    <w:p>
      <w:pPr>
        <w:spacing w:before="181" w:line="359" w:lineRule="auto"/>
        <w:ind w:left="4" w:right="291" w:firstLine="482"/>
        <w:rPr>
          <w:rFonts w:ascii="宋体" w:hAnsi="宋体" w:eastAsia="宋体" w:cs="宋体"/>
          <w:sz w:val="24"/>
          <w:szCs w:val="24"/>
        </w:rPr>
      </w:pPr>
      <w:r>
        <w:rPr>
          <w:rFonts w:ascii="宋体" w:hAnsi="宋体" w:eastAsia="宋体" w:cs="宋体"/>
          <w:spacing w:val="1"/>
          <w:sz w:val="24"/>
          <w:szCs w:val="24"/>
        </w:rPr>
        <w:t>（7）承包人在实施和完成本合同工程及缺陷修复工作中的一切施工作业应保证发</w:t>
      </w:r>
      <w:r>
        <w:rPr>
          <w:rFonts w:ascii="宋体" w:hAnsi="宋体" w:eastAsia="宋体" w:cs="宋体"/>
          <w:spacing w:val="18"/>
          <w:sz w:val="24"/>
          <w:szCs w:val="24"/>
        </w:rPr>
        <w:t xml:space="preserve"> </w:t>
      </w:r>
      <w:r>
        <w:rPr>
          <w:rFonts w:ascii="宋体" w:hAnsi="宋体" w:eastAsia="宋体" w:cs="宋体"/>
          <w:spacing w:val="-2"/>
          <w:sz w:val="24"/>
          <w:szCs w:val="24"/>
        </w:rPr>
        <w:t>包人免于承担因承包人借用、占用或使用当地道路、铁路、航道、市政、水利或其他公</w:t>
      </w:r>
      <w:r>
        <w:rPr>
          <w:rFonts w:ascii="宋体" w:hAnsi="宋体" w:eastAsia="宋体" w:cs="宋体"/>
          <w:spacing w:val="13"/>
          <w:sz w:val="24"/>
          <w:szCs w:val="24"/>
        </w:rPr>
        <w:t xml:space="preserve"> </w:t>
      </w:r>
      <w:r>
        <w:rPr>
          <w:rFonts w:ascii="宋体" w:hAnsi="宋体" w:eastAsia="宋体" w:cs="宋体"/>
          <w:spacing w:val="-2"/>
          <w:sz w:val="24"/>
          <w:szCs w:val="24"/>
        </w:rPr>
        <w:t>共设施所引发的补偿费、诉讼费、损害赔偿、指控费及其他开支。一旦发生，发包人有</w:t>
      </w:r>
    </w:p>
    <w:p>
      <w:pPr>
        <w:spacing w:line="219" w:lineRule="auto"/>
        <w:ind w:left="4"/>
        <w:rPr>
          <w:rFonts w:ascii="宋体" w:hAnsi="宋体" w:eastAsia="宋体" w:cs="宋体"/>
          <w:sz w:val="24"/>
          <w:szCs w:val="24"/>
        </w:rPr>
      </w:pPr>
      <w:r>
        <w:rPr>
          <w:rFonts w:ascii="宋体" w:hAnsi="宋体" w:eastAsia="宋体" w:cs="宋体"/>
          <w:spacing w:val="-1"/>
          <w:sz w:val="24"/>
          <w:szCs w:val="24"/>
        </w:rPr>
        <w:t>权在承包人的工程进度款或结算款中扣回。</w:t>
      </w:r>
    </w:p>
    <w:p>
      <w:pPr>
        <w:spacing w:before="182" w:line="359" w:lineRule="auto"/>
        <w:ind w:left="4" w:right="291" w:firstLine="482"/>
        <w:rPr>
          <w:rFonts w:ascii="宋体" w:hAnsi="宋体" w:eastAsia="宋体" w:cs="宋体"/>
          <w:sz w:val="24"/>
          <w:szCs w:val="24"/>
        </w:rPr>
      </w:pPr>
      <w:r>
        <w:rPr>
          <w:rFonts w:ascii="宋体" w:hAnsi="宋体" w:eastAsia="宋体" w:cs="宋体"/>
          <w:spacing w:val="1"/>
          <w:sz w:val="24"/>
          <w:szCs w:val="24"/>
        </w:rPr>
        <w:t>（8）承包人应按有关环境保护、水土保持、文物保护、通航安全、防洪安全、放</w:t>
      </w:r>
      <w:r>
        <w:rPr>
          <w:rFonts w:ascii="宋体" w:hAnsi="宋体" w:eastAsia="宋体" w:cs="宋体"/>
          <w:spacing w:val="18"/>
          <w:sz w:val="24"/>
          <w:szCs w:val="24"/>
        </w:rPr>
        <w:t xml:space="preserve"> </w:t>
      </w:r>
      <w:r>
        <w:rPr>
          <w:rFonts w:ascii="宋体" w:hAnsi="宋体" w:eastAsia="宋体" w:cs="宋体"/>
          <w:spacing w:val="-2"/>
          <w:sz w:val="24"/>
          <w:szCs w:val="24"/>
        </w:rPr>
        <w:t>射性环境评价、压覆矿床等专项评价报告以及相关审批部门批复意见的要求进行施工，</w:t>
      </w:r>
      <w:r>
        <w:rPr>
          <w:rFonts w:ascii="宋体" w:hAnsi="宋体" w:eastAsia="宋体" w:cs="宋体"/>
          <w:spacing w:val="13"/>
          <w:sz w:val="24"/>
          <w:szCs w:val="24"/>
        </w:rPr>
        <w:t xml:space="preserve"> </w:t>
      </w:r>
      <w:r>
        <w:rPr>
          <w:rFonts w:ascii="宋体" w:hAnsi="宋体" w:eastAsia="宋体" w:cs="宋体"/>
          <w:spacing w:val="2"/>
          <w:sz w:val="24"/>
          <w:szCs w:val="24"/>
        </w:rPr>
        <w:t>在施工过程中采用的施工工艺和施工措施所</w:t>
      </w:r>
      <w:r>
        <w:rPr>
          <w:rFonts w:ascii="宋体" w:hAnsi="宋体" w:eastAsia="宋体" w:cs="宋体"/>
          <w:spacing w:val="1"/>
          <w:sz w:val="24"/>
          <w:szCs w:val="24"/>
        </w:rPr>
        <w:t>需费用已包含在合同总价中(除合同另有约</w:t>
      </w:r>
    </w:p>
    <w:p>
      <w:pPr>
        <w:spacing w:line="220" w:lineRule="auto"/>
        <w:ind w:left="11"/>
        <w:rPr>
          <w:rFonts w:ascii="宋体" w:hAnsi="宋体" w:eastAsia="宋体" w:cs="宋体"/>
          <w:sz w:val="24"/>
          <w:szCs w:val="24"/>
        </w:rPr>
      </w:pPr>
      <w:r>
        <w:rPr>
          <w:rFonts w:ascii="宋体" w:hAnsi="宋体" w:eastAsia="宋体" w:cs="宋体"/>
          <w:spacing w:val="-4"/>
          <w:sz w:val="24"/>
          <w:szCs w:val="24"/>
        </w:rPr>
        <w:t>定外)。</w:t>
      </w:r>
    </w:p>
    <w:p>
      <w:pPr>
        <w:spacing w:before="179" w:line="468" w:lineRule="exact"/>
        <w:ind w:left="487"/>
        <w:rPr>
          <w:rFonts w:ascii="宋体" w:hAnsi="宋体" w:eastAsia="宋体" w:cs="宋体"/>
          <w:sz w:val="24"/>
          <w:szCs w:val="24"/>
        </w:rPr>
      </w:pPr>
      <w:r>
        <w:rPr>
          <w:rFonts w:ascii="宋体" w:hAnsi="宋体" w:eastAsia="宋体" w:cs="宋体"/>
          <w:spacing w:val="1"/>
          <w:position w:val="17"/>
          <w:sz w:val="24"/>
          <w:szCs w:val="24"/>
        </w:rPr>
        <w:t>（9）承包人由于未切实履行以上条款的约定，导致发生工程阻工、停工，造成项</w:t>
      </w:r>
    </w:p>
    <w:p>
      <w:pPr>
        <w:spacing w:before="1" w:line="219" w:lineRule="auto"/>
        <w:ind w:left="51"/>
        <w:rPr>
          <w:rFonts w:ascii="宋体" w:hAnsi="宋体" w:eastAsia="宋体" w:cs="宋体"/>
          <w:sz w:val="24"/>
          <w:szCs w:val="24"/>
        </w:rPr>
      </w:pPr>
      <w:r>
        <w:rPr>
          <w:rFonts w:ascii="宋体" w:hAnsi="宋体" w:eastAsia="宋体" w:cs="宋体"/>
          <w:spacing w:val="-4"/>
          <w:sz w:val="24"/>
          <w:szCs w:val="24"/>
        </w:rPr>
        <w:t>目工期延误，视为承包人违约，按</w:t>
      </w:r>
      <w:r>
        <w:rPr>
          <w:rFonts w:ascii="宋体" w:hAnsi="宋体" w:eastAsia="宋体" w:cs="宋体"/>
          <w:spacing w:val="-36"/>
          <w:sz w:val="24"/>
          <w:szCs w:val="24"/>
        </w:rPr>
        <w:t xml:space="preserve"> </w:t>
      </w:r>
      <w:r>
        <w:rPr>
          <w:rFonts w:ascii="宋体" w:hAnsi="宋体" w:eastAsia="宋体" w:cs="宋体"/>
          <w:spacing w:val="-4"/>
          <w:sz w:val="24"/>
          <w:szCs w:val="24"/>
        </w:rPr>
        <w:t>22.1</w:t>
      </w:r>
      <w:r>
        <w:rPr>
          <w:rFonts w:ascii="宋体" w:hAnsi="宋体" w:eastAsia="宋体" w:cs="宋体"/>
          <w:spacing w:val="-49"/>
          <w:sz w:val="24"/>
          <w:szCs w:val="24"/>
        </w:rPr>
        <w:t xml:space="preserve"> </w:t>
      </w:r>
      <w:r>
        <w:rPr>
          <w:rFonts w:ascii="宋体" w:hAnsi="宋体" w:eastAsia="宋体" w:cs="宋体"/>
          <w:spacing w:val="-4"/>
          <w:sz w:val="24"/>
          <w:szCs w:val="24"/>
        </w:rPr>
        <w:t>条处理。</w:t>
      </w:r>
    </w:p>
    <w:p>
      <w:pPr>
        <w:spacing w:before="180" w:line="468" w:lineRule="exact"/>
        <w:ind w:left="474"/>
        <w:rPr>
          <w:rFonts w:ascii="宋体" w:hAnsi="宋体" w:eastAsia="宋体" w:cs="宋体"/>
          <w:sz w:val="24"/>
          <w:szCs w:val="24"/>
        </w:rPr>
      </w:pPr>
      <w:r>
        <w:rPr>
          <w:rFonts w:ascii="宋体" w:hAnsi="宋体" w:eastAsia="宋体" w:cs="宋体"/>
          <w:spacing w:val="-2"/>
          <w:position w:val="17"/>
          <w:sz w:val="24"/>
          <w:szCs w:val="24"/>
        </w:rPr>
        <w:t>4.1.8</w:t>
      </w:r>
      <w:r>
        <w:rPr>
          <w:rFonts w:ascii="宋体" w:hAnsi="宋体" w:eastAsia="宋体" w:cs="宋体"/>
          <w:spacing w:val="-46"/>
          <w:position w:val="17"/>
          <w:sz w:val="24"/>
          <w:szCs w:val="24"/>
        </w:rPr>
        <w:t xml:space="preserve"> </w:t>
      </w:r>
      <w:r>
        <w:rPr>
          <w:rFonts w:ascii="宋体" w:hAnsi="宋体" w:eastAsia="宋体" w:cs="宋体"/>
          <w:spacing w:val="-2"/>
          <w:position w:val="17"/>
          <w:sz w:val="24"/>
          <w:szCs w:val="24"/>
        </w:rPr>
        <w:t>为他人提供方便</w:t>
      </w:r>
    </w:p>
    <w:p>
      <w:pPr>
        <w:spacing w:before="1" w:line="218" w:lineRule="auto"/>
        <w:ind w:left="476"/>
        <w:rPr>
          <w:rFonts w:ascii="宋体" w:hAnsi="宋体" w:eastAsia="宋体" w:cs="宋体"/>
          <w:sz w:val="24"/>
          <w:szCs w:val="24"/>
        </w:rPr>
      </w:pPr>
      <w:r>
        <w:rPr>
          <w:rFonts w:ascii="宋体" w:hAnsi="宋体" w:eastAsia="宋体" w:cs="宋体"/>
          <w:spacing w:val="-2"/>
          <w:sz w:val="24"/>
          <w:szCs w:val="24"/>
        </w:rPr>
        <w:t>本款细化为：</w:t>
      </w:r>
    </w:p>
    <w:p>
      <w:pPr>
        <w:spacing w:before="184" w:line="359" w:lineRule="auto"/>
        <w:ind w:left="5" w:right="211" w:firstLine="481"/>
        <w:jc w:val="both"/>
        <w:rPr>
          <w:rFonts w:ascii="宋体" w:hAnsi="宋体" w:eastAsia="宋体" w:cs="宋体"/>
          <w:sz w:val="24"/>
          <w:szCs w:val="24"/>
        </w:rPr>
      </w:pPr>
      <w:r>
        <w:rPr>
          <w:rFonts w:ascii="宋体" w:hAnsi="宋体" w:eastAsia="宋体" w:cs="宋体"/>
          <w:spacing w:val="-3"/>
          <w:sz w:val="24"/>
          <w:szCs w:val="24"/>
        </w:rPr>
        <w:t>（1）承包人应免费提供临时道路、便桥给本项目其他参建单位使用，并提供方便。</w:t>
      </w:r>
      <w:r>
        <w:rPr>
          <w:rFonts w:ascii="宋体" w:hAnsi="宋体" w:eastAsia="宋体" w:cs="宋体"/>
          <w:spacing w:val="6"/>
          <w:sz w:val="24"/>
          <w:szCs w:val="24"/>
        </w:rPr>
        <w:t xml:space="preserve"> </w:t>
      </w:r>
      <w:r>
        <w:rPr>
          <w:rFonts w:ascii="宋体" w:hAnsi="宋体" w:eastAsia="宋体" w:cs="宋体"/>
          <w:spacing w:val="-2"/>
          <w:sz w:val="24"/>
          <w:szCs w:val="24"/>
        </w:rPr>
        <w:t>承包人在施工期内，必须密切配合其他承包人在本合同段范围内的施工作业。如发生冲</w:t>
      </w:r>
    </w:p>
    <w:p>
      <w:pPr>
        <w:spacing w:line="219" w:lineRule="auto"/>
        <w:ind w:left="13"/>
        <w:rPr>
          <w:rFonts w:ascii="宋体" w:hAnsi="宋体" w:eastAsia="宋体" w:cs="宋体"/>
          <w:sz w:val="24"/>
          <w:szCs w:val="24"/>
        </w:rPr>
      </w:pPr>
      <w:r>
        <w:rPr>
          <w:rFonts w:ascii="宋体" w:hAnsi="宋体" w:eastAsia="宋体" w:cs="宋体"/>
          <w:spacing w:val="-1"/>
          <w:sz w:val="24"/>
          <w:szCs w:val="24"/>
        </w:rPr>
        <w:t>突，承包人应无条件接受发包人的协调及安排。</w:t>
      </w:r>
    </w:p>
    <w:p>
      <w:pPr>
        <w:spacing w:before="181" w:line="359" w:lineRule="auto"/>
        <w:ind w:left="14" w:right="291" w:firstLine="472"/>
        <w:jc w:val="both"/>
        <w:rPr>
          <w:rFonts w:ascii="宋体" w:hAnsi="宋体" w:eastAsia="宋体" w:cs="宋体"/>
          <w:sz w:val="24"/>
          <w:szCs w:val="24"/>
        </w:rPr>
      </w:pPr>
      <w:r>
        <w:rPr>
          <w:rFonts w:ascii="宋体" w:hAnsi="宋体" w:eastAsia="宋体" w:cs="宋体"/>
          <w:spacing w:val="1"/>
          <w:sz w:val="24"/>
          <w:szCs w:val="24"/>
        </w:rPr>
        <w:t>（2）如果本项目的预制构件由预制合同段统一预制，无论运输安装由预制合同段</w:t>
      </w:r>
      <w:r>
        <w:rPr>
          <w:rFonts w:ascii="宋体" w:hAnsi="宋体" w:eastAsia="宋体" w:cs="宋体"/>
          <w:spacing w:val="18"/>
          <w:sz w:val="24"/>
          <w:szCs w:val="24"/>
        </w:rPr>
        <w:t xml:space="preserve"> </w:t>
      </w:r>
      <w:r>
        <w:rPr>
          <w:rFonts w:ascii="宋体" w:hAnsi="宋体" w:eastAsia="宋体" w:cs="宋体"/>
          <w:spacing w:val="-2"/>
          <w:sz w:val="24"/>
          <w:szCs w:val="24"/>
        </w:rPr>
        <w:t>负责还是使用单位自行负责，承包人应积极配合，免费提供临时道路、便桥供预制构件</w:t>
      </w:r>
    </w:p>
    <w:p>
      <w:pPr>
        <w:spacing w:before="1" w:line="219" w:lineRule="auto"/>
        <w:ind w:left="5"/>
        <w:rPr>
          <w:rFonts w:ascii="宋体" w:hAnsi="宋体" w:eastAsia="宋体" w:cs="宋体"/>
          <w:sz w:val="24"/>
          <w:szCs w:val="24"/>
        </w:rPr>
      </w:pPr>
      <w:r>
        <w:rPr>
          <w:rFonts w:ascii="宋体" w:hAnsi="宋体" w:eastAsia="宋体" w:cs="宋体"/>
          <w:spacing w:val="-1"/>
          <w:sz w:val="24"/>
          <w:szCs w:val="24"/>
        </w:rPr>
        <w:t>运输使用，并做好便道便桥的维护，确保安全畅通。</w:t>
      </w:r>
    </w:p>
    <w:p>
      <w:pPr>
        <w:spacing w:before="183" w:line="359" w:lineRule="auto"/>
        <w:ind w:left="5" w:right="291" w:firstLine="481"/>
        <w:jc w:val="both"/>
        <w:rPr>
          <w:rFonts w:ascii="宋体" w:hAnsi="宋体" w:eastAsia="宋体" w:cs="宋体"/>
          <w:sz w:val="24"/>
          <w:szCs w:val="24"/>
        </w:rPr>
      </w:pPr>
      <w:r>
        <w:rPr>
          <w:rFonts w:ascii="宋体" w:hAnsi="宋体" w:eastAsia="宋体" w:cs="宋体"/>
          <w:spacing w:val="1"/>
          <w:sz w:val="24"/>
          <w:szCs w:val="24"/>
        </w:rPr>
        <w:t>（3）承包人应按照监理人或发包人的要求负责安装其他工程所需的预埋件。由于</w:t>
      </w:r>
      <w:r>
        <w:rPr>
          <w:rFonts w:ascii="宋体" w:hAnsi="宋体" w:eastAsia="宋体" w:cs="宋体"/>
          <w:spacing w:val="18"/>
          <w:sz w:val="24"/>
          <w:szCs w:val="24"/>
        </w:rPr>
        <w:t xml:space="preserve"> </w:t>
      </w:r>
      <w:r>
        <w:rPr>
          <w:rFonts w:ascii="宋体" w:hAnsi="宋体" w:eastAsia="宋体" w:cs="宋体"/>
          <w:spacing w:val="-2"/>
          <w:sz w:val="24"/>
          <w:szCs w:val="24"/>
        </w:rPr>
        <w:t>承包人未按相关设计图纸施工预埋件，造成的损失（包括拆除、重新预埋所需费用）由</w:t>
      </w:r>
    </w:p>
    <w:p>
      <w:pPr>
        <w:spacing w:line="219" w:lineRule="auto"/>
        <w:ind w:left="5"/>
        <w:rPr>
          <w:rFonts w:ascii="宋体" w:hAnsi="宋体" w:eastAsia="宋体" w:cs="宋体"/>
          <w:sz w:val="24"/>
          <w:szCs w:val="24"/>
        </w:rPr>
      </w:pPr>
      <w:r>
        <w:rPr>
          <w:rFonts w:ascii="宋体" w:hAnsi="宋体" w:eastAsia="宋体" w:cs="宋体"/>
          <w:spacing w:val="-2"/>
          <w:sz w:val="24"/>
          <w:szCs w:val="24"/>
        </w:rPr>
        <w:t>承包人承担。</w:t>
      </w:r>
    </w:p>
    <w:p>
      <w:pPr>
        <w:spacing w:before="181" w:line="468" w:lineRule="exact"/>
        <w:ind w:left="487"/>
        <w:rPr>
          <w:rFonts w:ascii="宋体" w:hAnsi="宋体" w:eastAsia="宋体" w:cs="宋体"/>
          <w:sz w:val="24"/>
          <w:szCs w:val="24"/>
        </w:rPr>
      </w:pPr>
      <w:r>
        <w:rPr>
          <w:rFonts w:ascii="宋体" w:hAnsi="宋体" w:eastAsia="宋体" w:cs="宋体"/>
          <w:spacing w:val="1"/>
          <w:position w:val="17"/>
          <w:sz w:val="24"/>
          <w:szCs w:val="24"/>
        </w:rPr>
        <w:t>（4）承包人应配合试验、检测单位完成相应的试验或检测工作，包括桩基检测、</w:t>
      </w:r>
    </w:p>
    <w:p>
      <w:pPr>
        <w:spacing w:before="1" w:line="217" w:lineRule="auto"/>
        <w:ind w:left="5"/>
        <w:rPr>
          <w:rFonts w:ascii="宋体" w:hAnsi="宋体" w:eastAsia="宋体" w:cs="宋体"/>
          <w:sz w:val="24"/>
          <w:szCs w:val="24"/>
        </w:rPr>
      </w:pPr>
      <w:r>
        <w:rPr>
          <w:rFonts w:ascii="宋体" w:hAnsi="宋体" w:eastAsia="宋体" w:cs="宋体"/>
          <w:sz w:val="24"/>
          <w:szCs w:val="24"/>
        </w:rPr>
        <w:t>地质钻孔等，所需配合费用已包含在合同总价中（桩基静载</w:t>
      </w:r>
      <w:r>
        <w:rPr>
          <w:rFonts w:ascii="宋体" w:hAnsi="宋体" w:eastAsia="宋体" w:cs="宋体"/>
          <w:spacing w:val="-1"/>
          <w:sz w:val="24"/>
          <w:szCs w:val="24"/>
        </w:rPr>
        <w:t>、梁板荷载试验除外）。</w:t>
      </w:r>
    </w:p>
    <w:p>
      <w:pPr>
        <w:spacing w:before="185" w:line="219" w:lineRule="auto"/>
        <w:ind w:left="474"/>
        <w:rPr>
          <w:rFonts w:ascii="宋体" w:hAnsi="宋体" w:eastAsia="宋体" w:cs="宋体"/>
          <w:sz w:val="24"/>
          <w:szCs w:val="24"/>
        </w:rPr>
      </w:pPr>
      <w:r>
        <w:rPr>
          <w:rFonts w:ascii="宋体" w:hAnsi="宋体" w:eastAsia="宋体" w:cs="宋体"/>
          <w:spacing w:val="-1"/>
          <w:sz w:val="24"/>
          <w:szCs w:val="24"/>
        </w:rPr>
        <w:t>4.1.10 其他义务</w:t>
      </w:r>
    </w:p>
    <w:p>
      <w:pPr>
        <w:spacing w:before="181" w:line="219" w:lineRule="auto"/>
        <w:ind w:left="514"/>
        <w:rPr>
          <w:rFonts w:ascii="宋体" w:hAnsi="宋体" w:eastAsia="宋体" w:cs="宋体"/>
          <w:sz w:val="24"/>
          <w:szCs w:val="24"/>
        </w:rPr>
      </w:pPr>
      <w:r>
        <w:rPr>
          <w:rFonts w:ascii="宋体" w:hAnsi="宋体" w:eastAsia="宋体" w:cs="宋体"/>
          <w:spacing w:val="-6"/>
          <w:sz w:val="24"/>
          <w:szCs w:val="24"/>
        </w:rPr>
        <w:t>第</w:t>
      </w:r>
      <w:r>
        <w:rPr>
          <w:rFonts w:ascii="宋体" w:hAnsi="宋体" w:eastAsia="宋体" w:cs="宋体"/>
          <w:spacing w:val="-42"/>
          <w:sz w:val="24"/>
          <w:szCs w:val="24"/>
        </w:rPr>
        <w:t xml:space="preserve"> </w:t>
      </w:r>
      <w:r>
        <w:rPr>
          <w:rFonts w:ascii="宋体" w:hAnsi="宋体" w:eastAsia="宋体" w:cs="宋体"/>
          <w:spacing w:val="-6"/>
          <w:sz w:val="24"/>
          <w:szCs w:val="24"/>
        </w:rPr>
        <w:t>4.1.10（1）</w:t>
      </w:r>
      <w:r>
        <w:rPr>
          <w:rFonts w:ascii="宋体" w:hAnsi="宋体" w:eastAsia="宋体" w:cs="宋体"/>
          <w:spacing w:val="-65"/>
          <w:sz w:val="24"/>
          <w:szCs w:val="24"/>
        </w:rPr>
        <w:t xml:space="preserve"> </w:t>
      </w:r>
      <w:r>
        <w:rPr>
          <w:rFonts w:ascii="宋体" w:hAnsi="宋体" w:eastAsia="宋体" w:cs="宋体"/>
          <w:spacing w:val="-6"/>
          <w:sz w:val="24"/>
          <w:szCs w:val="24"/>
        </w:rPr>
        <w:t>目补充：</w:t>
      </w:r>
    </w:p>
    <w:p>
      <w:pPr>
        <w:spacing w:before="182" w:line="359" w:lineRule="auto"/>
        <w:ind w:left="6" w:right="289" w:firstLine="497"/>
        <w:rPr>
          <w:rFonts w:ascii="宋体" w:hAnsi="宋体" w:eastAsia="宋体" w:cs="宋体"/>
          <w:sz w:val="24"/>
          <w:szCs w:val="24"/>
        </w:rPr>
      </w:pPr>
      <w:r>
        <w:rPr>
          <w:rFonts w:ascii="宋体" w:hAnsi="宋体" w:eastAsia="宋体" w:cs="宋体"/>
          <w:spacing w:val="-2"/>
          <w:sz w:val="24"/>
          <w:szCs w:val="24"/>
        </w:rPr>
        <w:t>临时用地的面积和使用期应满足工程需要和《广东省公路工</w:t>
      </w:r>
      <w:r>
        <w:rPr>
          <w:rFonts w:ascii="宋体" w:hAnsi="宋体" w:eastAsia="宋体" w:cs="宋体"/>
          <w:spacing w:val="-3"/>
          <w:sz w:val="24"/>
          <w:szCs w:val="24"/>
        </w:rPr>
        <w:t>程施工标准化指南》的</w:t>
      </w:r>
      <w:r>
        <w:rPr>
          <w:rFonts w:ascii="宋体" w:hAnsi="宋体" w:eastAsia="宋体" w:cs="宋体"/>
          <w:sz w:val="24"/>
          <w:szCs w:val="24"/>
        </w:rPr>
        <w:t xml:space="preserve"> </w:t>
      </w:r>
      <w:r>
        <w:rPr>
          <w:rFonts w:ascii="宋体" w:hAnsi="宋体" w:eastAsia="宋体" w:cs="宋体"/>
          <w:spacing w:val="-2"/>
          <w:sz w:val="24"/>
          <w:szCs w:val="24"/>
        </w:rPr>
        <w:t>要求，因临时占地发生的协调、租用、复耕、验收等相关费用由承包人承担。临时用地</w:t>
      </w:r>
      <w:r>
        <w:rPr>
          <w:rFonts w:ascii="宋体" w:hAnsi="宋体" w:eastAsia="宋体" w:cs="宋体"/>
          <w:spacing w:val="14"/>
          <w:sz w:val="24"/>
          <w:szCs w:val="24"/>
        </w:rPr>
        <w:t xml:space="preserve"> </w:t>
      </w:r>
      <w:r>
        <w:rPr>
          <w:rFonts w:ascii="宋体" w:hAnsi="宋体" w:eastAsia="宋体" w:cs="宋体"/>
          <w:spacing w:val="-10"/>
          <w:sz w:val="24"/>
          <w:szCs w:val="24"/>
        </w:rPr>
        <w:t>中如有地面附着物（包括但不限于电力、电信、房屋、坟墓等</w:t>
      </w:r>
      <w:r>
        <w:rPr>
          <w:rFonts w:ascii="宋体" w:hAnsi="宋体" w:eastAsia="宋体" w:cs="宋体"/>
          <w:spacing w:val="-6"/>
          <w:sz w:val="24"/>
          <w:szCs w:val="24"/>
        </w:rPr>
        <w:t>），</w:t>
      </w:r>
      <w:r>
        <w:rPr>
          <w:rFonts w:ascii="宋体" w:hAnsi="宋体" w:eastAsia="宋体" w:cs="宋体"/>
          <w:spacing w:val="-10"/>
          <w:sz w:val="24"/>
          <w:szCs w:val="24"/>
        </w:rPr>
        <w:t>其拆迁补偿费用已计入</w:t>
      </w:r>
    </w:p>
    <w:p>
      <w:pPr>
        <w:spacing w:before="1" w:line="217" w:lineRule="auto"/>
        <w:ind w:left="6"/>
        <w:rPr>
          <w:rFonts w:ascii="宋体" w:hAnsi="宋体" w:eastAsia="宋体" w:cs="宋体"/>
          <w:sz w:val="24"/>
          <w:szCs w:val="24"/>
        </w:rPr>
      </w:pPr>
      <w:r>
        <w:rPr>
          <w:rFonts w:ascii="宋体" w:hAnsi="宋体" w:eastAsia="宋体" w:cs="宋体"/>
          <w:spacing w:val="-10"/>
          <w:sz w:val="24"/>
          <w:szCs w:val="24"/>
        </w:rPr>
        <w:t>合同总价中。临时用地必须按规定办理相关手续，且不得对周边环境、公众及他人造成损</w:t>
      </w:r>
    </w:p>
    <w:p>
      <w:pPr>
        <w:spacing w:line="425" w:lineRule="auto"/>
        <w:rPr>
          <w:rFonts w:ascii="Arial"/>
          <w:sz w:val="21"/>
        </w:rPr>
      </w:pPr>
    </w:p>
    <w:p>
      <w:pPr>
        <w:spacing w:before="78" w:line="220" w:lineRule="auto"/>
        <w:ind w:left="10"/>
        <w:rPr>
          <w:rFonts w:ascii="宋体" w:hAnsi="宋体" w:eastAsia="宋体" w:cs="宋体"/>
          <w:sz w:val="24"/>
          <w:szCs w:val="24"/>
        </w:rPr>
      </w:pPr>
      <w:r>
        <w:rPr>
          <w:rFonts w:ascii="宋体" w:hAnsi="宋体" w:eastAsia="宋体" w:cs="宋体"/>
          <w:spacing w:val="-8"/>
          <w:sz w:val="24"/>
          <w:szCs w:val="24"/>
        </w:rPr>
        <w:t>害。</w:t>
      </w:r>
    </w:p>
    <w:p>
      <w:pPr>
        <w:spacing w:before="179" w:line="219" w:lineRule="auto"/>
        <w:ind w:left="394"/>
        <w:rPr>
          <w:rFonts w:ascii="宋体" w:hAnsi="宋体" w:eastAsia="宋体" w:cs="宋体"/>
          <w:sz w:val="24"/>
          <w:szCs w:val="24"/>
        </w:rPr>
      </w:pPr>
      <w:r>
        <w:rPr>
          <w:rFonts w:ascii="宋体" w:hAnsi="宋体" w:eastAsia="宋体" w:cs="宋体"/>
          <w:spacing w:val="-1"/>
          <w:sz w:val="24"/>
          <w:szCs w:val="24"/>
        </w:rPr>
        <w:t>将本款第</w:t>
      </w:r>
      <w:r>
        <w:rPr>
          <w:rFonts w:ascii="宋体" w:hAnsi="宋体" w:eastAsia="宋体" w:cs="宋体"/>
          <w:spacing w:val="-51"/>
          <w:sz w:val="24"/>
          <w:szCs w:val="24"/>
        </w:rPr>
        <w:t xml:space="preserve"> </w:t>
      </w:r>
      <w:r>
        <w:rPr>
          <w:rFonts w:ascii="宋体" w:hAnsi="宋体" w:eastAsia="宋体" w:cs="宋体"/>
          <w:spacing w:val="-1"/>
          <w:sz w:val="24"/>
          <w:szCs w:val="24"/>
        </w:rPr>
        <w:t>4.1.10(2)目细化为：</w:t>
      </w:r>
    </w:p>
    <w:p>
      <w:pPr>
        <w:spacing w:before="184" w:line="359" w:lineRule="auto"/>
        <w:ind w:left="4" w:right="291" w:firstLine="434"/>
        <w:rPr>
          <w:rFonts w:ascii="宋体" w:hAnsi="宋体" w:eastAsia="宋体" w:cs="宋体"/>
          <w:sz w:val="24"/>
          <w:szCs w:val="24"/>
        </w:rPr>
      </w:pPr>
      <w:r>
        <w:rPr>
          <w:rFonts w:ascii="宋体" w:hAnsi="宋体" w:eastAsia="宋体" w:cs="宋体"/>
          <w:spacing w:val="-4"/>
          <w:sz w:val="24"/>
          <w:szCs w:val="24"/>
        </w:rPr>
        <w:t>(2)除合同另有规定外，承包人应承担并支付为获得本合同工程所需的石料、砂、砾</w:t>
      </w:r>
      <w:r>
        <w:rPr>
          <w:rFonts w:ascii="宋体" w:hAnsi="宋体" w:eastAsia="宋体" w:cs="宋体"/>
          <w:spacing w:val="15"/>
          <w:sz w:val="24"/>
          <w:szCs w:val="24"/>
        </w:rPr>
        <w:t xml:space="preserve"> </w:t>
      </w:r>
      <w:r>
        <w:rPr>
          <w:rFonts w:ascii="宋体" w:hAnsi="宋体" w:eastAsia="宋体" w:cs="宋体"/>
          <w:spacing w:val="-2"/>
          <w:sz w:val="24"/>
          <w:szCs w:val="24"/>
        </w:rPr>
        <w:t>石、黏土或其他当地材料等所发生的料场使用费及其他开支或补偿费。发包人应尽可能</w:t>
      </w:r>
      <w:r>
        <w:rPr>
          <w:rFonts w:ascii="宋体" w:hAnsi="宋体" w:eastAsia="宋体" w:cs="宋体"/>
          <w:spacing w:val="13"/>
          <w:sz w:val="24"/>
          <w:szCs w:val="24"/>
        </w:rPr>
        <w:t xml:space="preserve"> </w:t>
      </w:r>
      <w:r>
        <w:rPr>
          <w:rFonts w:ascii="宋体" w:hAnsi="宋体" w:eastAsia="宋体" w:cs="宋体"/>
          <w:spacing w:val="-2"/>
          <w:sz w:val="24"/>
          <w:szCs w:val="24"/>
        </w:rPr>
        <w:t>协助承包人办理料场租用手续及解决使用过程中的有关问题。承包人应按发包人要求将</w:t>
      </w:r>
      <w:r>
        <w:rPr>
          <w:rFonts w:ascii="宋体" w:hAnsi="宋体" w:eastAsia="宋体" w:cs="宋体"/>
          <w:spacing w:val="13"/>
          <w:sz w:val="24"/>
          <w:szCs w:val="24"/>
        </w:rPr>
        <w:t xml:space="preserve"> </w:t>
      </w:r>
      <w:r>
        <w:rPr>
          <w:rFonts w:ascii="宋体" w:hAnsi="宋体" w:eastAsia="宋体" w:cs="宋体"/>
          <w:spacing w:val="-2"/>
          <w:sz w:val="24"/>
          <w:szCs w:val="24"/>
        </w:rPr>
        <w:t>砂、石料等地材的供货合同等资料提供给发包人和监理人备案。取材的料场和货源应保</w:t>
      </w:r>
      <w:r>
        <w:rPr>
          <w:rFonts w:ascii="宋体" w:hAnsi="宋体" w:eastAsia="宋体" w:cs="宋体"/>
          <w:spacing w:val="13"/>
          <w:sz w:val="24"/>
          <w:szCs w:val="24"/>
        </w:rPr>
        <w:t xml:space="preserve"> </w:t>
      </w:r>
      <w:r>
        <w:rPr>
          <w:rFonts w:ascii="宋体" w:hAnsi="宋体" w:eastAsia="宋体" w:cs="宋体"/>
          <w:spacing w:val="-2"/>
          <w:sz w:val="24"/>
          <w:szCs w:val="24"/>
        </w:rPr>
        <w:t>持相对固定，承包人及其供货人应接受发包人和监理人的监督检查，如有变更应及时通</w:t>
      </w:r>
      <w:r>
        <w:rPr>
          <w:rFonts w:ascii="宋体" w:hAnsi="宋体" w:eastAsia="宋体" w:cs="宋体"/>
          <w:spacing w:val="13"/>
          <w:sz w:val="24"/>
          <w:szCs w:val="24"/>
        </w:rPr>
        <w:t xml:space="preserve"> </w:t>
      </w:r>
      <w:r>
        <w:rPr>
          <w:rFonts w:ascii="宋体" w:hAnsi="宋体" w:eastAsia="宋体" w:cs="宋体"/>
          <w:spacing w:val="-2"/>
          <w:sz w:val="24"/>
          <w:szCs w:val="24"/>
        </w:rPr>
        <w:t>知发包人或监理人并送交相应有关资料。监理人征得发包人同意后有权要求承包人更换</w:t>
      </w:r>
    </w:p>
    <w:p>
      <w:pPr>
        <w:spacing w:line="219" w:lineRule="auto"/>
        <w:ind w:left="9"/>
        <w:rPr>
          <w:rFonts w:ascii="宋体" w:hAnsi="宋体" w:eastAsia="宋体" w:cs="宋体"/>
          <w:sz w:val="24"/>
          <w:szCs w:val="24"/>
        </w:rPr>
      </w:pPr>
      <w:r>
        <w:rPr>
          <w:rFonts w:ascii="宋体" w:hAnsi="宋体" w:eastAsia="宋体" w:cs="宋体"/>
          <w:spacing w:val="-1"/>
          <w:sz w:val="24"/>
          <w:szCs w:val="24"/>
        </w:rPr>
        <w:t>不符合要求的料场，承包人必须接受。</w:t>
      </w:r>
    </w:p>
    <w:p>
      <w:pPr>
        <w:spacing w:before="179" w:line="219" w:lineRule="auto"/>
        <w:ind w:left="394"/>
        <w:rPr>
          <w:rFonts w:ascii="宋体" w:hAnsi="宋体" w:eastAsia="宋体" w:cs="宋体"/>
          <w:sz w:val="24"/>
          <w:szCs w:val="24"/>
        </w:rPr>
      </w:pPr>
      <w:r>
        <w:rPr>
          <w:rFonts w:ascii="宋体" w:hAnsi="宋体" w:eastAsia="宋体" w:cs="宋体"/>
          <w:spacing w:val="-1"/>
          <w:sz w:val="24"/>
          <w:szCs w:val="24"/>
        </w:rPr>
        <w:t>将本款第</w:t>
      </w:r>
      <w:r>
        <w:rPr>
          <w:rFonts w:ascii="宋体" w:hAnsi="宋体" w:eastAsia="宋体" w:cs="宋体"/>
          <w:spacing w:val="-51"/>
          <w:sz w:val="24"/>
          <w:szCs w:val="24"/>
        </w:rPr>
        <w:t xml:space="preserve"> </w:t>
      </w:r>
      <w:r>
        <w:rPr>
          <w:rFonts w:ascii="宋体" w:hAnsi="宋体" w:eastAsia="宋体" w:cs="宋体"/>
          <w:spacing w:val="-1"/>
          <w:sz w:val="24"/>
          <w:szCs w:val="24"/>
        </w:rPr>
        <w:t>4.1.10(3)目细化为：</w:t>
      </w:r>
    </w:p>
    <w:p>
      <w:pPr>
        <w:spacing w:before="184" w:line="359" w:lineRule="auto"/>
        <w:ind w:left="6" w:right="291" w:firstLine="432"/>
        <w:rPr>
          <w:rFonts w:ascii="宋体" w:hAnsi="宋体" w:eastAsia="宋体" w:cs="宋体"/>
          <w:sz w:val="24"/>
          <w:szCs w:val="24"/>
        </w:rPr>
      </w:pPr>
      <w:r>
        <w:rPr>
          <w:rFonts w:ascii="宋体" w:hAnsi="宋体" w:eastAsia="宋体" w:cs="宋体"/>
          <w:spacing w:val="-4"/>
          <w:sz w:val="24"/>
          <w:szCs w:val="24"/>
        </w:rPr>
        <w:t>(3)承包人应严格遵守国家有关解决拖欠工程款和民工工资的法律、法规，及时支付</w:t>
      </w:r>
      <w:r>
        <w:rPr>
          <w:rFonts w:ascii="宋体" w:hAnsi="宋体" w:eastAsia="宋体" w:cs="宋体"/>
          <w:spacing w:val="15"/>
          <w:sz w:val="24"/>
          <w:szCs w:val="24"/>
        </w:rPr>
        <w:t xml:space="preserve"> </w:t>
      </w:r>
      <w:r>
        <w:rPr>
          <w:rFonts w:ascii="宋体" w:hAnsi="宋体" w:eastAsia="宋体" w:cs="宋体"/>
          <w:spacing w:val="-2"/>
          <w:sz w:val="24"/>
          <w:szCs w:val="24"/>
        </w:rPr>
        <w:t>工程中的材料、设备货款及民工工资等费用。承包人不得以任何借口拖欠材料、设备货</w:t>
      </w:r>
      <w:r>
        <w:rPr>
          <w:rFonts w:ascii="宋体" w:hAnsi="宋体" w:eastAsia="宋体" w:cs="宋体"/>
          <w:spacing w:val="11"/>
          <w:sz w:val="24"/>
          <w:szCs w:val="24"/>
        </w:rPr>
        <w:t xml:space="preserve"> </w:t>
      </w:r>
      <w:r>
        <w:rPr>
          <w:rFonts w:ascii="宋体" w:hAnsi="宋体" w:eastAsia="宋体" w:cs="宋体"/>
          <w:spacing w:val="-2"/>
          <w:sz w:val="24"/>
          <w:szCs w:val="24"/>
        </w:rPr>
        <w:t>款及民工工资等费用，如果出现此种现象，发包人有权代为支付其拖欠的材料、设备货</w:t>
      </w:r>
      <w:r>
        <w:rPr>
          <w:rFonts w:ascii="宋体" w:hAnsi="宋体" w:eastAsia="宋体" w:cs="宋体"/>
          <w:spacing w:val="11"/>
          <w:sz w:val="24"/>
          <w:szCs w:val="24"/>
        </w:rPr>
        <w:t xml:space="preserve"> </w:t>
      </w:r>
      <w:r>
        <w:rPr>
          <w:rFonts w:ascii="宋体" w:hAnsi="宋体" w:eastAsia="宋体" w:cs="宋体"/>
          <w:spacing w:val="-2"/>
          <w:sz w:val="24"/>
          <w:szCs w:val="24"/>
        </w:rPr>
        <w:t>款及民工工资，并从应付给承包人的工程款中扣除相应款项。对恶意拖欠和拒不按计划</w:t>
      </w:r>
    </w:p>
    <w:p>
      <w:pPr>
        <w:spacing w:line="219" w:lineRule="auto"/>
        <w:ind w:left="6"/>
        <w:rPr>
          <w:rFonts w:ascii="宋体" w:hAnsi="宋体" w:eastAsia="宋体" w:cs="宋体"/>
          <w:sz w:val="24"/>
          <w:szCs w:val="24"/>
        </w:rPr>
      </w:pPr>
      <w:r>
        <w:rPr>
          <w:rFonts w:ascii="宋体" w:hAnsi="宋体" w:eastAsia="宋体" w:cs="宋体"/>
          <w:spacing w:val="-1"/>
          <w:sz w:val="24"/>
          <w:szCs w:val="24"/>
        </w:rPr>
        <w:t>支付的，作为不良记录纳入公路建设市场信用信息管理系统。</w:t>
      </w:r>
    </w:p>
    <w:p>
      <w:pPr>
        <w:spacing w:before="185" w:line="359" w:lineRule="auto"/>
        <w:ind w:left="4" w:right="211" w:firstLine="392"/>
        <w:rPr>
          <w:rFonts w:ascii="宋体" w:hAnsi="宋体" w:eastAsia="宋体" w:cs="宋体"/>
          <w:sz w:val="24"/>
          <w:szCs w:val="24"/>
        </w:rPr>
      </w:pPr>
      <w:r>
        <w:rPr>
          <w:rFonts w:ascii="宋体" w:hAnsi="宋体" w:eastAsia="宋体" w:cs="宋体"/>
          <w:sz w:val="24"/>
          <w:szCs w:val="24"/>
        </w:rPr>
        <w:t xml:space="preserve">承包人的项目经理部是民工工资支付行为的主体，承包人的项目经理是民工工资支 </w:t>
      </w:r>
      <w:r>
        <w:rPr>
          <w:rFonts w:ascii="宋体" w:hAnsi="宋体" w:eastAsia="宋体" w:cs="宋体"/>
          <w:spacing w:val="-2"/>
          <w:sz w:val="24"/>
          <w:szCs w:val="24"/>
        </w:rPr>
        <w:t>付的责任人。项目经理部要建立全体民工花名册和工资支付表，确保将工资直</w:t>
      </w:r>
      <w:r>
        <w:rPr>
          <w:rFonts w:ascii="宋体" w:hAnsi="宋体" w:eastAsia="宋体" w:cs="宋体"/>
          <w:spacing w:val="-3"/>
          <w:sz w:val="24"/>
          <w:szCs w:val="24"/>
        </w:rPr>
        <w:t>接发放给 民工本人，或委托银行发放民工工资，严禁发放给“包工头</w:t>
      </w:r>
      <w:r>
        <w:rPr>
          <w:rFonts w:ascii="宋体" w:hAnsi="宋体" w:eastAsia="宋体" w:cs="宋体"/>
          <w:spacing w:val="-86"/>
          <w:sz w:val="24"/>
          <w:szCs w:val="24"/>
        </w:rPr>
        <w:t xml:space="preserve"> </w:t>
      </w:r>
      <w:r>
        <w:rPr>
          <w:rFonts w:ascii="宋体" w:hAnsi="宋体" w:eastAsia="宋体" w:cs="宋体"/>
          <w:spacing w:val="-3"/>
          <w:sz w:val="24"/>
          <w:szCs w:val="24"/>
        </w:rPr>
        <w:t xml:space="preserve">”或其他不具备用工主体资 </w:t>
      </w:r>
      <w:r>
        <w:rPr>
          <w:rFonts w:ascii="宋体" w:hAnsi="宋体" w:eastAsia="宋体" w:cs="宋体"/>
          <w:spacing w:val="-2"/>
          <w:sz w:val="24"/>
          <w:szCs w:val="24"/>
        </w:rPr>
        <w:t>格的组织和个人。承包人要加强对分包企业劳动用工和工资发放的监督管理，</w:t>
      </w:r>
      <w:r>
        <w:rPr>
          <w:rFonts w:ascii="宋体" w:hAnsi="宋体" w:eastAsia="宋体" w:cs="宋体"/>
          <w:spacing w:val="-3"/>
          <w:sz w:val="24"/>
          <w:szCs w:val="24"/>
        </w:rPr>
        <w:t xml:space="preserve">不得以工 </w:t>
      </w:r>
      <w:r>
        <w:rPr>
          <w:rFonts w:ascii="宋体" w:hAnsi="宋体" w:eastAsia="宋体" w:cs="宋体"/>
          <w:spacing w:val="4"/>
          <w:sz w:val="24"/>
          <w:szCs w:val="24"/>
        </w:rPr>
        <w:t xml:space="preserve">程款未到位等为由克扣或拖欠民工工资，不得将合同应收工程款等经营风险转嫁给民 </w:t>
      </w:r>
      <w:r>
        <w:rPr>
          <w:rFonts w:ascii="宋体" w:hAnsi="宋体" w:eastAsia="宋体" w:cs="宋体"/>
          <w:spacing w:val="-6"/>
          <w:sz w:val="24"/>
          <w:szCs w:val="24"/>
        </w:rPr>
        <w:t>工；因承包人将工程转包或违法分包致使拖欠民工工资的，由承包人依法承担清偿责任。</w:t>
      </w:r>
      <w:r>
        <w:rPr>
          <w:rFonts w:ascii="宋体" w:hAnsi="宋体" w:eastAsia="宋体" w:cs="宋体"/>
          <w:spacing w:val="11"/>
          <w:sz w:val="24"/>
          <w:szCs w:val="24"/>
        </w:rPr>
        <w:t xml:space="preserve"> </w:t>
      </w:r>
      <w:r>
        <w:rPr>
          <w:rFonts w:ascii="宋体" w:hAnsi="宋体" w:eastAsia="宋体" w:cs="宋体"/>
          <w:spacing w:val="-2"/>
          <w:sz w:val="24"/>
          <w:szCs w:val="24"/>
        </w:rPr>
        <w:t>承包人项目部应当配备劳资专管员，对民工实行实名制管理，通过登录广东省</w:t>
      </w:r>
      <w:r>
        <w:rPr>
          <w:rFonts w:ascii="宋体" w:hAnsi="宋体" w:eastAsia="宋体" w:cs="宋体"/>
          <w:spacing w:val="-3"/>
          <w:sz w:val="24"/>
          <w:szCs w:val="24"/>
        </w:rPr>
        <w:t xml:space="preserve">交通运输 </w:t>
      </w:r>
      <w:r>
        <w:rPr>
          <w:rFonts w:ascii="宋体" w:hAnsi="宋体" w:eastAsia="宋体" w:cs="宋体"/>
          <w:spacing w:val="-2"/>
          <w:sz w:val="24"/>
          <w:szCs w:val="24"/>
        </w:rPr>
        <w:t>厅工程建设管养平台（实名制管理系统）为每一位进场工人建立实名制档案，</w:t>
      </w:r>
      <w:r>
        <w:rPr>
          <w:rFonts w:ascii="宋体" w:hAnsi="宋体" w:eastAsia="宋体" w:cs="宋体"/>
          <w:spacing w:val="-3"/>
          <w:sz w:val="24"/>
          <w:szCs w:val="24"/>
        </w:rPr>
        <w:t xml:space="preserve">记录施工 </w:t>
      </w:r>
      <w:r>
        <w:rPr>
          <w:rFonts w:ascii="宋体" w:hAnsi="宋体" w:eastAsia="宋体" w:cs="宋体"/>
          <w:spacing w:val="-6"/>
          <w:sz w:val="24"/>
          <w:szCs w:val="24"/>
        </w:rPr>
        <w:t>人员进出场情况和施工现场作业民工的身份信息、劳动考勤与计量，建立劳动计酬手册、</w:t>
      </w:r>
    </w:p>
    <w:p>
      <w:pPr>
        <w:spacing w:before="1" w:line="219" w:lineRule="auto"/>
        <w:ind w:left="8"/>
        <w:rPr>
          <w:rFonts w:ascii="宋体" w:hAnsi="宋体" w:eastAsia="宋体" w:cs="宋体"/>
          <w:sz w:val="24"/>
          <w:szCs w:val="24"/>
        </w:rPr>
      </w:pPr>
      <w:r>
        <w:rPr>
          <w:rFonts w:ascii="宋体" w:hAnsi="宋体" w:eastAsia="宋体" w:cs="宋体"/>
          <w:spacing w:val="-5"/>
          <w:sz w:val="24"/>
          <w:szCs w:val="24"/>
        </w:rPr>
        <w:t>工资结算与支付等管理台账，实时掌握施工现场用工及其工资支付情况，不得以包代管。</w:t>
      </w:r>
    </w:p>
    <w:p>
      <w:pPr>
        <w:spacing w:before="181" w:line="359" w:lineRule="auto"/>
        <w:ind w:left="5" w:right="291" w:firstLine="394"/>
        <w:rPr>
          <w:rFonts w:ascii="宋体" w:hAnsi="宋体" w:eastAsia="宋体" w:cs="宋体"/>
          <w:sz w:val="24"/>
          <w:szCs w:val="24"/>
        </w:rPr>
      </w:pPr>
      <w:r>
        <w:rPr>
          <w:rFonts w:ascii="宋体" w:hAnsi="宋体" w:eastAsia="宋体" w:cs="宋体"/>
          <w:spacing w:val="1"/>
          <w:sz w:val="24"/>
          <w:szCs w:val="24"/>
        </w:rPr>
        <w:t>工资支付表应如实记录支付单位、支付时间、支付</w:t>
      </w:r>
      <w:r>
        <w:rPr>
          <w:rFonts w:ascii="宋体" w:hAnsi="宋体" w:eastAsia="宋体" w:cs="宋体"/>
          <w:sz w:val="24"/>
          <w:szCs w:val="24"/>
        </w:rPr>
        <w:t xml:space="preserve">对象、支付数额、支付对象的身 </w:t>
      </w:r>
      <w:r>
        <w:rPr>
          <w:rFonts w:ascii="宋体" w:hAnsi="宋体" w:eastAsia="宋体" w:cs="宋体"/>
          <w:spacing w:val="-2"/>
          <w:sz w:val="24"/>
          <w:szCs w:val="24"/>
        </w:rPr>
        <w:t>份证号和签字等信息。承包人应签订劳务合同，必须明确上述主要条款，并对主要条款</w:t>
      </w:r>
    </w:p>
    <w:p>
      <w:pPr>
        <w:spacing w:line="219" w:lineRule="auto"/>
        <w:ind w:left="3"/>
        <w:rPr>
          <w:rFonts w:ascii="宋体" w:hAnsi="宋体" w:eastAsia="宋体" w:cs="宋体"/>
          <w:sz w:val="24"/>
          <w:szCs w:val="24"/>
        </w:rPr>
      </w:pPr>
      <w:r>
        <w:rPr>
          <w:rFonts w:ascii="宋体" w:hAnsi="宋体" w:eastAsia="宋体" w:cs="宋体"/>
          <w:sz w:val="24"/>
          <w:szCs w:val="24"/>
        </w:rPr>
        <w:t>进行细化，防止恶意讨薪者恶意上访，民工花名册和工资支付</w:t>
      </w:r>
      <w:r>
        <w:rPr>
          <w:rFonts w:ascii="宋体" w:hAnsi="宋体" w:eastAsia="宋体" w:cs="宋体"/>
          <w:spacing w:val="-1"/>
          <w:sz w:val="24"/>
          <w:szCs w:val="24"/>
        </w:rPr>
        <w:t>表应报监理人备查。</w:t>
      </w:r>
    </w:p>
    <w:p>
      <w:pPr>
        <w:spacing w:before="180" w:line="219" w:lineRule="auto"/>
        <w:ind w:left="394"/>
        <w:rPr>
          <w:rFonts w:ascii="宋体" w:hAnsi="宋体" w:eastAsia="宋体" w:cs="宋体"/>
          <w:sz w:val="24"/>
          <w:szCs w:val="24"/>
        </w:rPr>
      </w:pPr>
      <w:r>
        <w:rPr>
          <w:rFonts w:ascii="宋体" w:hAnsi="宋体" w:eastAsia="宋体" w:cs="宋体"/>
          <w:spacing w:val="-1"/>
          <w:sz w:val="24"/>
          <w:szCs w:val="24"/>
        </w:rPr>
        <w:t>将本款第</w:t>
      </w:r>
      <w:r>
        <w:rPr>
          <w:rFonts w:ascii="宋体" w:hAnsi="宋体" w:eastAsia="宋体" w:cs="宋体"/>
          <w:spacing w:val="-51"/>
          <w:sz w:val="24"/>
          <w:szCs w:val="24"/>
        </w:rPr>
        <w:t xml:space="preserve"> </w:t>
      </w:r>
      <w:r>
        <w:rPr>
          <w:rFonts w:ascii="宋体" w:hAnsi="宋体" w:eastAsia="宋体" w:cs="宋体"/>
          <w:spacing w:val="-1"/>
          <w:sz w:val="24"/>
          <w:szCs w:val="24"/>
        </w:rPr>
        <w:t>4.1.10(4)目细化为：</w:t>
      </w:r>
    </w:p>
    <w:p>
      <w:pPr>
        <w:spacing w:before="184" w:line="218" w:lineRule="auto"/>
        <w:ind w:left="396"/>
        <w:rPr>
          <w:rFonts w:ascii="宋体" w:hAnsi="宋体" w:eastAsia="宋体" w:cs="宋体"/>
          <w:sz w:val="24"/>
          <w:szCs w:val="24"/>
        </w:rPr>
      </w:pPr>
      <w:r>
        <w:rPr>
          <w:rFonts w:ascii="宋体" w:hAnsi="宋体" w:eastAsia="宋体" w:cs="宋体"/>
          <w:spacing w:val="1"/>
          <w:sz w:val="24"/>
          <w:szCs w:val="24"/>
        </w:rPr>
        <w:t>承包人应分解工程价款中的人工费用，在工程项目所在地</w:t>
      </w:r>
      <w:r>
        <w:rPr>
          <w:rFonts w:ascii="宋体" w:hAnsi="宋体" w:eastAsia="宋体" w:cs="宋体"/>
          <w:sz w:val="24"/>
          <w:szCs w:val="24"/>
        </w:rPr>
        <w:t>银行开设民工工资（劳务</w:t>
      </w:r>
    </w:p>
    <w:p>
      <w:pPr>
        <w:spacing w:line="426" w:lineRule="auto"/>
        <w:rPr>
          <w:rFonts w:ascii="Arial"/>
          <w:sz w:val="21"/>
        </w:rPr>
      </w:pPr>
    </w:p>
    <w:p>
      <w:pPr>
        <w:spacing w:before="78" w:line="359" w:lineRule="auto"/>
        <w:ind w:left="4" w:right="291" w:firstLine="14"/>
        <w:jc w:val="both"/>
        <w:rPr>
          <w:rFonts w:ascii="宋体" w:hAnsi="宋体" w:eastAsia="宋体" w:cs="宋体"/>
          <w:sz w:val="24"/>
          <w:szCs w:val="24"/>
        </w:rPr>
      </w:pPr>
      <w:r>
        <w:rPr>
          <w:rFonts w:ascii="宋体" w:hAnsi="宋体" w:eastAsia="宋体" w:cs="宋体"/>
          <w:spacing w:val="-2"/>
          <w:sz w:val="24"/>
          <w:szCs w:val="24"/>
        </w:rPr>
        <w:t>费）专用账户，专项用于支付民工工资。项目实行分包人农民工工资委托承包人代发制</w:t>
      </w:r>
      <w:r>
        <w:rPr>
          <w:rFonts w:ascii="宋体" w:hAnsi="宋体" w:eastAsia="宋体" w:cs="宋体"/>
          <w:sz w:val="24"/>
          <w:szCs w:val="24"/>
        </w:rPr>
        <w:t xml:space="preserve"> </w:t>
      </w:r>
      <w:r>
        <w:rPr>
          <w:rFonts w:ascii="宋体" w:hAnsi="宋体" w:eastAsia="宋体" w:cs="宋体"/>
          <w:spacing w:val="-2"/>
          <w:sz w:val="24"/>
          <w:szCs w:val="24"/>
        </w:rPr>
        <w:t>度，分包人负责按月计算每位民工当月或上月应得工资额，承包人核查分包人提交的经</w:t>
      </w:r>
      <w:r>
        <w:rPr>
          <w:rFonts w:ascii="宋体" w:hAnsi="宋体" w:eastAsia="宋体" w:cs="宋体"/>
          <w:spacing w:val="13"/>
          <w:sz w:val="24"/>
          <w:szCs w:val="24"/>
        </w:rPr>
        <w:t xml:space="preserve"> </w:t>
      </w:r>
      <w:r>
        <w:rPr>
          <w:rFonts w:ascii="宋体" w:hAnsi="宋体" w:eastAsia="宋体" w:cs="宋体"/>
          <w:spacing w:val="-2"/>
          <w:sz w:val="24"/>
          <w:szCs w:val="24"/>
        </w:rPr>
        <w:t>民工签字确认的工资支付表，承包人的开户银行应根据承包人提供的经民工本人签字确</w:t>
      </w:r>
      <w:r>
        <w:rPr>
          <w:rFonts w:ascii="宋体" w:hAnsi="宋体" w:eastAsia="宋体" w:cs="宋体"/>
          <w:spacing w:val="13"/>
          <w:sz w:val="24"/>
          <w:szCs w:val="24"/>
        </w:rPr>
        <w:t xml:space="preserve"> </w:t>
      </w:r>
      <w:r>
        <w:rPr>
          <w:rFonts w:ascii="宋体" w:hAnsi="宋体" w:eastAsia="宋体" w:cs="宋体"/>
          <w:spacing w:val="-2"/>
          <w:sz w:val="24"/>
          <w:szCs w:val="24"/>
        </w:rPr>
        <w:t>认工资支付表，通过承包人设立的民工工资（劳务费）专用账户直接将工资划入民工个</w:t>
      </w:r>
      <w:r>
        <w:rPr>
          <w:rFonts w:ascii="宋体" w:hAnsi="宋体" w:eastAsia="宋体" w:cs="宋体"/>
          <w:spacing w:val="13"/>
          <w:sz w:val="24"/>
          <w:szCs w:val="24"/>
        </w:rPr>
        <w:t xml:space="preserve"> </w:t>
      </w:r>
      <w:r>
        <w:rPr>
          <w:rFonts w:ascii="宋体" w:hAnsi="宋体" w:eastAsia="宋体" w:cs="宋体"/>
          <w:spacing w:val="-2"/>
          <w:sz w:val="24"/>
          <w:szCs w:val="24"/>
        </w:rPr>
        <w:t>人工资账户。发包人应按照本合同约定的比例或承包人提供的人工费用数额，将应付工</w:t>
      </w:r>
      <w:r>
        <w:rPr>
          <w:rFonts w:ascii="宋体" w:hAnsi="宋体" w:eastAsia="宋体" w:cs="宋体"/>
          <w:spacing w:val="13"/>
          <w:sz w:val="24"/>
          <w:szCs w:val="24"/>
        </w:rPr>
        <w:t xml:space="preserve"> </w:t>
      </w:r>
      <w:r>
        <w:rPr>
          <w:rFonts w:ascii="宋体" w:hAnsi="宋体" w:eastAsia="宋体" w:cs="宋体"/>
          <w:spacing w:val="-2"/>
          <w:sz w:val="24"/>
          <w:szCs w:val="24"/>
        </w:rPr>
        <w:t>程款中的人工费单独拨付到承包人开设的民工工资（劳务费）专用账户。民工工资（劳</w:t>
      </w:r>
      <w:r>
        <w:rPr>
          <w:rFonts w:ascii="宋体" w:hAnsi="宋体" w:eastAsia="宋体" w:cs="宋体"/>
          <w:spacing w:val="13"/>
          <w:sz w:val="24"/>
          <w:szCs w:val="24"/>
        </w:rPr>
        <w:t xml:space="preserve"> </w:t>
      </w:r>
      <w:r>
        <w:rPr>
          <w:rFonts w:ascii="宋体" w:hAnsi="宋体" w:eastAsia="宋体" w:cs="宋体"/>
          <w:spacing w:val="-2"/>
          <w:sz w:val="24"/>
          <w:szCs w:val="24"/>
        </w:rPr>
        <w:t>务费）专用账户应向人力资源社会保障部门和交通运输主管部门备案，并委托开户银行</w:t>
      </w:r>
      <w:r>
        <w:rPr>
          <w:rFonts w:ascii="宋体" w:hAnsi="宋体" w:eastAsia="宋体" w:cs="宋体"/>
          <w:spacing w:val="13"/>
          <w:sz w:val="24"/>
          <w:szCs w:val="24"/>
        </w:rPr>
        <w:t xml:space="preserve"> </w:t>
      </w:r>
      <w:r>
        <w:rPr>
          <w:rFonts w:ascii="宋体" w:hAnsi="宋体" w:eastAsia="宋体" w:cs="宋体"/>
          <w:spacing w:val="-2"/>
          <w:sz w:val="24"/>
          <w:szCs w:val="24"/>
        </w:rPr>
        <w:t>负责日常监管，确保专款专用。开户银行发现账户资金不足、被挪用等情况，应及时向</w:t>
      </w:r>
    </w:p>
    <w:p>
      <w:pPr>
        <w:spacing w:before="1" w:line="217" w:lineRule="auto"/>
        <w:ind w:left="7"/>
        <w:rPr>
          <w:rFonts w:ascii="宋体" w:hAnsi="宋体" w:eastAsia="宋体" w:cs="宋体"/>
          <w:sz w:val="24"/>
          <w:szCs w:val="24"/>
        </w:rPr>
      </w:pPr>
      <w:r>
        <w:rPr>
          <w:rFonts w:ascii="宋体" w:hAnsi="宋体" w:eastAsia="宋体" w:cs="宋体"/>
          <w:spacing w:val="-1"/>
          <w:sz w:val="24"/>
          <w:szCs w:val="24"/>
        </w:rPr>
        <w:t>人力资源社会保障部门和交通运输主管部门报告。</w:t>
      </w:r>
    </w:p>
    <w:p>
      <w:pPr>
        <w:spacing w:before="182" w:line="468" w:lineRule="exact"/>
        <w:ind w:left="394"/>
        <w:rPr>
          <w:rFonts w:ascii="宋体" w:hAnsi="宋体" w:eastAsia="宋体" w:cs="宋体"/>
          <w:sz w:val="24"/>
          <w:szCs w:val="24"/>
        </w:rPr>
      </w:pPr>
      <w:r>
        <w:rPr>
          <w:rFonts w:ascii="宋体" w:hAnsi="宋体" w:eastAsia="宋体" w:cs="宋体"/>
          <w:spacing w:val="-1"/>
          <w:position w:val="17"/>
          <w:sz w:val="24"/>
          <w:szCs w:val="24"/>
        </w:rPr>
        <w:t>将本款第</w:t>
      </w:r>
      <w:r>
        <w:rPr>
          <w:rFonts w:ascii="宋体" w:hAnsi="宋体" w:eastAsia="宋体" w:cs="宋体"/>
          <w:spacing w:val="-51"/>
          <w:position w:val="17"/>
          <w:sz w:val="24"/>
          <w:szCs w:val="24"/>
        </w:rPr>
        <w:t xml:space="preserve"> </w:t>
      </w:r>
      <w:r>
        <w:rPr>
          <w:rFonts w:ascii="宋体" w:hAnsi="宋体" w:eastAsia="宋体" w:cs="宋体"/>
          <w:spacing w:val="-1"/>
          <w:position w:val="17"/>
          <w:sz w:val="24"/>
          <w:szCs w:val="24"/>
        </w:rPr>
        <w:t>4.1.10(6)目细化为：</w:t>
      </w:r>
    </w:p>
    <w:p>
      <w:pPr>
        <w:spacing w:line="219" w:lineRule="auto"/>
        <w:ind w:left="396"/>
        <w:rPr>
          <w:rFonts w:ascii="宋体" w:hAnsi="宋体" w:eastAsia="宋体" w:cs="宋体"/>
          <w:sz w:val="24"/>
          <w:szCs w:val="24"/>
        </w:rPr>
      </w:pPr>
      <w:r>
        <w:rPr>
          <w:rFonts w:ascii="宋体" w:hAnsi="宋体" w:eastAsia="宋体" w:cs="宋体"/>
          <w:spacing w:val="-1"/>
          <w:sz w:val="24"/>
          <w:szCs w:val="24"/>
        </w:rPr>
        <w:t>承包人应履行的其他义务：</w:t>
      </w:r>
    </w:p>
    <w:p>
      <w:pPr>
        <w:spacing w:before="180" w:line="217" w:lineRule="auto"/>
        <w:ind w:left="532"/>
        <w:rPr>
          <w:rFonts w:ascii="宋体" w:hAnsi="宋体" w:eastAsia="宋体" w:cs="宋体"/>
          <w:sz w:val="24"/>
          <w:szCs w:val="24"/>
        </w:rPr>
      </w:pPr>
      <w:r>
        <w:rPr>
          <w:rFonts w:ascii="宋体" w:hAnsi="宋体" w:eastAsia="宋体" w:cs="宋体"/>
          <w:spacing w:val="-2"/>
          <w:sz w:val="24"/>
          <w:szCs w:val="24"/>
        </w:rPr>
        <w:t>①工序衔接与协调</w:t>
      </w:r>
    </w:p>
    <w:p>
      <w:pPr>
        <w:spacing w:before="185" w:line="359" w:lineRule="auto"/>
        <w:ind w:left="4" w:right="291" w:firstLine="403"/>
        <w:rPr>
          <w:rFonts w:ascii="宋体" w:hAnsi="宋体" w:eastAsia="宋体" w:cs="宋体"/>
          <w:sz w:val="24"/>
          <w:szCs w:val="24"/>
        </w:rPr>
      </w:pPr>
      <w:r>
        <w:rPr>
          <w:rFonts w:ascii="宋体" w:hAnsi="宋体" w:eastAsia="宋体" w:cs="宋体"/>
          <w:sz w:val="24"/>
          <w:szCs w:val="24"/>
        </w:rPr>
        <w:t>多个承包人在同一区域施工时，发包人和监理人有权协调工程的实施并对工程的衔</w:t>
      </w:r>
      <w:r>
        <w:rPr>
          <w:rFonts w:ascii="宋体" w:hAnsi="宋体" w:eastAsia="宋体" w:cs="宋体"/>
          <w:spacing w:val="14"/>
          <w:sz w:val="24"/>
          <w:szCs w:val="24"/>
        </w:rPr>
        <w:t xml:space="preserve"> </w:t>
      </w:r>
      <w:r>
        <w:rPr>
          <w:rFonts w:ascii="宋体" w:hAnsi="宋体" w:eastAsia="宋体" w:cs="宋体"/>
          <w:spacing w:val="-2"/>
          <w:sz w:val="24"/>
          <w:szCs w:val="24"/>
        </w:rPr>
        <w:t>接发出指示，承包人应在发包人和监理人的统一协调下工作，承包人由此增加的费用已</w:t>
      </w:r>
    </w:p>
    <w:p>
      <w:pPr>
        <w:spacing w:before="1" w:line="217" w:lineRule="auto"/>
        <w:ind w:left="5"/>
        <w:rPr>
          <w:rFonts w:ascii="宋体" w:hAnsi="宋体" w:eastAsia="宋体" w:cs="宋体"/>
          <w:sz w:val="24"/>
          <w:szCs w:val="24"/>
        </w:rPr>
      </w:pPr>
      <w:r>
        <w:rPr>
          <w:rFonts w:ascii="宋体" w:hAnsi="宋体" w:eastAsia="宋体" w:cs="宋体"/>
          <w:spacing w:val="-2"/>
          <w:sz w:val="24"/>
          <w:szCs w:val="24"/>
        </w:rPr>
        <w:t>包含在合同总价中。</w:t>
      </w:r>
    </w:p>
    <w:p>
      <w:pPr>
        <w:spacing w:before="184" w:line="359" w:lineRule="auto"/>
        <w:ind w:left="25" w:right="291" w:firstLine="370"/>
        <w:rPr>
          <w:rFonts w:ascii="宋体" w:hAnsi="宋体" w:eastAsia="宋体" w:cs="宋体"/>
          <w:sz w:val="24"/>
          <w:szCs w:val="24"/>
        </w:rPr>
      </w:pPr>
      <w:r>
        <w:rPr>
          <w:rFonts w:ascii="宋体" w:hAnsi="宋体" w:eastAsia="宋体" w:cs="宋体"/>
          <w:spacing w:val="1"/>
          <w:sz w:val="24"/>
          <w:szCs w:val="24"/>
        </w:rPr>
        <w:t>施工用地和临时用地交付承包人后，承包人应采取有效的措</w:t>
      </w:r>
      <w:r>
        <w:rPr>
          <w:rFonts w:ascii="宋体" w:hAnsi="宋体" w:eastAsia="宋体" w:cs="宋体"/>
          <w:sz w:val="24"/>
          <w:szCs w:val="24"/>
        </w:rPr>
        <w:t xml:space="preserve">施进行管控，包括必要 </w:t>
      </w:r>
      <w:r>
        <w:rPr>
          <w:rFonts w:ascii="宋体" w:hAnsi="宋体" w:eastAsia="宋体" w:cs="宋体"/>
          <w:spacing w:val="-2"/>
          <w:sz w:val="24"/>
          <w:szCs w:val="24"/>
        </w:rPr>
        <w:t>的围蔽和安保措施，防止与本项目无关的人员或单位进入、借用、占用</w:t>
      </w:r>
      <w:r>
        <w:rPr>
          <w:rFonts w:ascii="宋体" w:hAnsi="宋体" w:eastAsia="宋体" w:cs="宋体"/>
          <w:spacing w:val="-3"/>
          <w:sz w:val="24"/>
          <w:szCs w:val="24"/>
        </w:rPr>
        <w:t>或侵占（发包人</w:t>
      </w:r>
      <w:r>
        <w:rPr>
          <w:rFonts w:ascii="宋体" w:hAnsi="宋体" w:eastAsia="宋体" w:cs="宋体"/>
          <w:sz w:val="24"/>
          <w:szCs w:val="24"/>
        </w:rPr>
        <w:t xml:space="preserve"> </w:t>
      </w:r>
      <w:r>
        <w:rPr>
          <w:rFonts w:ascii="宋体" w:hAnsi="宋体" w:eastAsia="宋体" w:cs="宋体"/>
          <w:spacing w:val="-2"/>
          <w:sz w:val="24"/>
          <w:szCs w:val="24"/>
        </w:rPr>
        <w:t>同意的除外），否则由此引起的施工干扰、工程方案变更、工期延后、</w:t>
      </w:r>
      <w:r>
        <w:rPr>
          <w:rFonts w:ascii="宋体" w:hAnsi="宋体" w:eastAsia="宋体" w:cs="宋体"/>
          <w:spacing w:val="-3"/>
          <w:sz w:val="24"/>
          <w:szCs w:val="24"/>
        </w:rPr>
        <w:t>费用增加等一切</w:t>
      </w:r>
    </w:p>
    <w:p>
      <w:pPr>
        <w:spacing w:before="1" w:line="219" w:lineRule="auto"/>
        <w:ind w:left="7"/>
        <w:rPr>
          <w:rFonts w:ascii="宋体" w:hAnsi="宋体" w:eastAsia="宋体" w:cs="宋体"/>
          <w:sz w:val="24"/>
          <w:szCs w:val="24"/>
        </w:rPr>
      </w:pPr>
      <w:r>
        <w:rPr>
          <w:rFonts w:ascii="宋体" w:hAnsi="宋体" w:eastAsia="宋体" w:cs="宋体"/>
          <w:spacing w:val="-2"/>
          <w:sz w:val="24"/>
          <w:szCs w:val="24"/>
        </w:rPr>
        <w:t>后果由承包人承担。</w:t>
      </w:r>
    </w:p>
    <w:p>
      <w:pPr>
        <w:spacing w:before="183" w:line="465" w:lineRule="exact"/>
        <w:ind w:left="401"/>
        <w:rPr>
          <w:rFonts w:ascii="宋体" w:hAnsi="宋体" w:eastAsia="宋体" w:cs="宋体"/>
          <w:sz w:val="24"/>
          <w:szCs w:val="24"/>
        </w:rPr>
      </w:pPr>
      <w:r>
        <w:rPr>
          <w:rFonts w:ascii="宋体" w:hAnsi="宋体" w:eastAsia="宋体" w:cs="宋体"/>
          <w:spacing w:val="1"/>
          <w:position w:val="17"/>
          <w:sz w:val="24"/>
          <w:szCs w:val="24"/>
        </w:rPr>
        <w:t>交工验收前，承包人应将测量控制点、高边坡</w:t>
      </w:r>
      <w:r>
        <w:rPr>
          <w:rFonts w:ascii="宋体" w:hAnsi="宋体" w:eastAsia="宋体" w:cs="宋体"/>
          <w:position w:val="17"/>
          <w:sz w:val="24"/>
          <w:szCs w:val="24"/>
        </w:rPr>
        <w:t>、软基、桥梁等观测点的资料移交给</w:t>
      </w:r>
    </w:p>
    <w:p>
      <w:pPr>
        <w:spacing w:before="1" w:line="219" w:lineRule="auto"/>
        <w:ind w:left="6"/>
        <w:rPr>
          <w:rFonts w:ascii="宋体" w:hAnsi="宋体" w:eastAsia="宋体" w:cs="宋体"/>
          <w:sz w:val="24"/>
          <w:szCs w:val="24"/>
        </w:rPr>
      </w:pPr>
      <w:r>
        <w:rPr>
          <w:rFonts w:ascii="宋体" w:hAnsi="宋体" w:eastAsia="宋体" w:cs="宋体"/>
          <w:spacing w:val="-2"/>
          <w:sz w:val="24"/>
          <w:szCs w:val="24"/>
        </w:rPr>
        <w:t>养护单位使用。</w:t>
      </w:r>
    </w:p>
    <w:p>
      <w:pPr>
        <w:spacing w:before="183" w:line="217" w:lineRule="auto"/>
        <w:ind w:left="483"/>
        <w:rPr>
          <w:rFonts w:ascii="宋体" w:hAnsi="宋体" w:eastAsia="宋体" w:cs="宋体"/>
          <w:sz w:val="24"/>
          <w:szCs w:val="24"/>
        </w:rPr>
      </w:pPr>
      <w:r>
        <w:rPr>
          <w:rFonts w:ascii="宋体" w:hAnsi="宋体" w:eastAsia="宋体" w:cs="宋体"/>
          <w:spacing w:val="-2"/>
          <w:sz w:val="24"/>
          <w:szCs w:val="24"/>
        </w:rPr>
        <w:t>②施工工艺要求</w:t>
      </w:r>
    </w:p>
    <w:p>
      <w:pPr>
        <w:spacing w:before="185" w:line="359" w:lineRule="auto"/>
        <w:ind w:left="5" w:right="289" w:firstLine="480"/>
        <w:rPr>
          <w:rFonts w:ascii="宋体" w:hAnsi="宋体" w:eastAsia="宋体" w:cs="宋体"/>
          <w:sz w:val="24"/>
          <w:szCs w:val="24"/>
        </w:rPr>
      </w:pPr>
      <w:r>
        <w:rPr>
          <w:rFonts w:ascii="宋体" w:hAnsi="宋体" w:eastAsia="宋体" w:cs="宋体"/>
          <w:spacing w:val="-8"/>
          <w:sz w:val="24"/>
          <w:szCs w:val="24"/>
        </w:rPr>
        <w:t>承包人应采取一切必要的措施，严格执行《广东省公路工程施工标准化指</w:t>
      </w:r>
      <w:r>
        <w:rPr>
          <w:rFonts w:ascii="宋体" w:hAnsi="宋体" w:eastAsia="宋体" w:cs="宋体"/>
          <w:spacing w:val="-9"/>
          <w:sz w:val="24"/>
          <w:szCs w:val="24"/>
        </w:rPr>
        <w:t>南》、《广</w:t>
      </w:r>
      <w:r>
        <w:rPr>
          <w:rFonts w:ascii="宋体" w:hAnsi="宋体" w:eastAsia="宋体" w:cs="宋体"/>
          <w:sz w:val="24"/>
          <w:szCs w:val="24"/>
        </w:rPr>
        <w:t xml:space="preserve"> </w:t>
      </w:r>
      <w:r>
        <w:rPr>
          <w:rFonts w:ascii="宋体" w:hAnsi="宋体" w:eastAsia="宋体" w:cs="宋体"/>
          <w:spacing w:val="-2"/>
          <w:sz w:val="24"/>
          <w:szCs w:val="24"/>
        </w:rPr>
        <w:t>东省高速公路公路施工安全标准化指南》和施工过程中发包人下发的工程管理手册（或</w:t>
      </w:r>
      <w:r>
        <w:rPr>
          <w:rFonts w:ascii="宋体" w:hAnsi="宋体" w:eastAsia="宋体" w:cs="宋体"/>
          <w:spacing w:val="12"/>
          <w:sz w:val="24"/>
          <w:szCs w:val="24"/>
        </w:rPr>
        <w:t xml:space="preserve"> </w:t>
      </w:r>
      <w:r>
        <w:rPr>
          <w:rFonts w:ascii="宋体" w:hAnsi="宋体" w:eastAsia="宋体" w:cs="宋体"/>
          <w:spacing w:val="-2"/>
          <w:sz w:val="24"/>
          <w:szCs w:val="24"/>
        </w:rPr>
        <w:t>创新工艺工法要求）、标准化和标杆管理、技术规范的各项规定，以及在建设过程中发</w:t>
      </w:r>
      <w:r>
        <w:rPr>
          <w:rFonts w:ascii="宋体" w:hAnsi="宋体" w:eastAsia="宋体" w:cs="宋体"/>
          <w:spacing w:val="12"/>
          <w:sz w:val="24"/>
          <w:szCs w:val="24"/>
        </w:rPr>
        <w:t xml:space="preserve"> </w:t>
      </w:r>
      <w:r>
        <w:rPr>
          <w:rFonts w:ascii="宋体" w:hAnsi="宋体" w:eastAsia="宋体" w:cs="宋体"/>
          <w:spacing w:val="-2"/>
          <w:sz w:val="24"/>
          <w:szCs w:val="24"/>
        </w:rPr>
        <w:t>包人提出的工艺工法要求，以保证达到合同规定的质量标准。在工程竣工质量要求较招</w:t>
      </w:r>
      <w:r>
        <w:rPr>
          <w:rFonts w:ascii="宋体" w:hAnsi="宋体" w:eastAsia="宋体" w:cs="宋体"/>
          <w:spacing w:val="12"/>
          <w:sz w:val="24"/>
          <w:szCs w:val="24"/>
        </w:rPr>
        <w:t xml:space="preserve"> </w:t>
      </w:r>
      <w:r>
        <w:rPr>
          <w:rFonts w:ascii="宋体" w:hAnsi="宋体" w:eastAsia="宋体" w:cs="宋体"/>
          <w:spacing w:val="-2"/>
          <w:sz w:val="24"/>
          <w:szCs w:val="24"/>
        </w:rPr>
        <w:t>标文件技术规范未发生改变的情况下，发包人或监理人对施工工艺提出的合理要求，原</w:t>
      </w:r>
      <w:r>
        <w:rPr>
          <w:rFonts w:ascii="宋体" w:hAnsi="宋体" w:eastAsia="宋体" w:cs="宋体"/>
          <w:spacing w:val="12"/>
          <w:sz w:val="24"/>
          <w:szCs w:val="24"/>
        </w:rPr>
        <w:t xml:space="preserve"> </w:t>
      </w:r>
      <w:r>
        <w:rPr>
          <w:rFonts w:ascii="宋体" w:hAnsi="宋体" w:eastAsia="宋体" w:cs="宋体"/>
          <w:spacing w:val="-2"/>
          <w:sz w:val="24"/>
          <w:szCs w:val="24"/>
        </w:rPr>
        <w:t>则上承包人不得就此要求发包人给予额外费用补偿，由此发生的一切费用视为已计入合</w:t>
      </w:r>
      <w:r>
        <w:rPr>
          <w:rFonts w:ascii="宋体" w:hAnsi="宋体" w:eastAsia="宋体" w:cs="宋体"/>
          <w:spacing w:val="12"/>
          <w:sz w:val="24"/>
          <w:szCs w:val="24"/>
        </w:rPr>
        <w:t xml:space="preserve"> </w:t>
      </w:r>
      <w:r>
        <w:rPr>
          <w:rFonts w:ascii="宋体" w:hAnsi="宋体" w:eastAsia="宋体" w:cs="宋体"/>
          <w:sz w:val="24"/>
          <w:szCs w:val="24"/>
        </w:rPr>
        <w:t>同总价中。发包人提出或受施工条件限制需改变原施工工艺（工法）的，按</w:t>
      </w:r>
      <w:r>
        <w:rPr>
          <w:rFonts w:ascii="宋体" w:hAnsi="宋体" w:eastAsia="宋体" w:cs="宋体"/>
          <w:spacing w:val="-16"/>
          <w:sz w:val="24"/>
          <w:szCs w:val="24"/>
        </w:rPr>
        <w:t xml:space="preserve"> </w:t>
      </w:r>
      <w:r>
        <w:rPr>
          <w:rFonts w:ascii="宋体" w:hAnsi="宋体" w:eastAsia="宋体" w:cs="宋体"/>
          <w:sz w:val="24"/>
          <w:szCs w:val="24"/>
        </w:rPr>
        <w:t>16.5</w:t>
      </w:r>
      <w:r>
        <w:rPr>
          <w:rFonts w:ascii="宋体" w:hAnsi="宋体" w:eastAsia="宋体" w:cs="宋体"/>
          <w:spacing w:val="-48"/>
          <w:sz w:val="24"/>
          <w:szCs w:val="24"/>
        </w:rPr>
        <w:t xml:space="preserve"> </w:t>
      </w:r>
      <w:r>
        <w:rPr>
          <w:rFonts w:ascii="宋体" w:hAnsi="宋体" w:eastAsia="宋体" w:cs="宋体"/>
          <w:sz w:val="24"/>
          <w:szCs w:val="24"/>
        </w:rPr>
        <w:t>款约</w:t>
      </w:r>
    </w:p>
    <w:p>
      <w:pPr>
        <w:spacing w:line="219" w:lineRule="auto"/>
        <w:ind w:left="11"/>
        <w:rPr>
          <w:rFonts w:ascii="宋体" w:hAnsi="宋体" w:eastAsia="宋体" w:cs="宋体"/>
          <w:sz w:val="24"/>
          <w:szCs w:val="24"/>
        </w:rPr>
      </w:pPr>
      <w:r>
        <w:rPr>
          <w:rFonts w:ascii="宋体" w:hAnsi="宋体" w:eastAsia="宋体" w:cs="宋体"/>
          <w:sz w:val="24"/>
          <w:szCs w:val="24"/>
        </w:rPr>
        <w:t>定执行。发包人推广先进工艺工法，如钢筋部品</w:t>
      </w:r>
      <w:r>
        <w:rPr>
          <w:rFonts w:ascii="宋体" w:hAnsi="宋体" w:eastAsia="宋体" w:cs="宋体"/>
          <w:spacing w:val="-1"/>
          <w:sz w:val="24"/>
          <w:szCs w:val="24"/>
        </w:rPr>
        <w:t>工艺、高温蒸养环形生产线预制场等，</w:t>
      </w:r>
    </w:p>
    <w:p>
      <w:pPr>
        <w:spacing w:line="425" w:lineRule="auto"/>
        <w:rPr>
          <w:rFonts w:ascii="Arial"/>
          <w:sz w:val="21"/>
        </w:rPr>
      </w:pPr>
    </w:p>
    <w:p>
      <w:pPr>
        <w:spacing w:before="78" w:line="466" w:lineRule="exact"/>
        <w:ind w:left="11"/>
        <w:rPr>
          <w:rFonts w:ascii="宋体" w:hAnsi="宋体" w:eastAsia="宋体" w:cs="宋体"/>
          <w:sz w:val="24"/>
          <w:szCs w:val="24"/>
        </w:rPr>
      </w:pPr>
      <w:r>
        <w:rPr>
          <w:rFonts w:ascii="宋体" w:hAnsi="宋体" w:eastAsia="宋体" w:cs="宋体"/>
          <w:spacing w:val="-2"/>
          <w:position w:val="17"/>
          <w:sz w:val="24"/>
          <w:szCs w:val="24"/>
        </w:rPr>
        <w:t>原则上承包人不得就此要求发包人给予额外费用补偿，由此发生的一切费用视为已计入</w:t>
      </w:r>
    </w:p>
    <w:p>
      <w:pPr>
        <w:spacing w:before="1" w:line="217" w:lineRule="auto"/>
        <w:ind w:left="6"/>
        <w:rPr>
          <w:rFonts w:ascii="宋体" w:hAnsi="宋体" w:eastAsia="宋体" w:cs="宋体"/>
          <w:sz w:val="24"/>
          <w:szCs w:val="24"/>
        </w:rPr>
      </w:pPr>
      <w:r>
        <w:rPr>
          <w:rFonts w:ascii="宋体" w:hAnsi="宋体" w:eastAsia="宋体" w:cs="宋体"/>
          <w:spacing w:val="-2"/>
          <w:sz w:val="24"/>
          <w:szCs w:val="24"/>
        </w:rPr>
        <w:t>合同总价中。</w:t>
      </w:r>
    </w:p>
    <w:p>
      <w:pPr>
        <w:spacing w:before="184" w:line="217" w:lineRule="auto"/>
        <w:ind w:left="483"/>
        <w:rPr>
          <w:rFonts w:ascii="宋体" w:hAnsi="宋体" w:eastAsia="宋体" w:cs="宋体"/>
          <w:sz w:val="24"/>
          <w:szCs w:val="24"/>
        </w:rPr>
      </w:pPr>
      <w:r>
        <w:rPr>
          <w:rFonts w:ascii="宋体" w:hAnsi="宋体" w:eastAsia="宋体" w:cs="宋体"/>
          <w:spacing w:val="-2"/>
          <w:sz w:val="24"/>
          <w:szCs w:val="24"/>
        </w:rPr>
        <w:t>③卫生与供水</w:t>
      </w:r>
    </w:p>
    <w:p>
      <w:pPr>
        <w:spacing w:before="183" w:line="359" w:lineRule="auto"/>
        <w:ind w:left="6" w:right="291" w:firstLine="409"/>
        <w:rPr>
          <w:rFonts w:ascii="宋体" w:hAnsi="宋体" w:eastAsia="宋体" w:cs="宋体"/>
          <w:sz w:val="24"/>
          <w:szCs w:val="24"/>
        </w:rPr>
      </w:pPr>
      <w:r>
        <w:rPr>
          <w:rFonts w:ascii="宋体" w:hAnsi="宋体" w:eastAsia="宋体" w:cs="宋体"/>
          <w:sz w:val="24"/>
          <w:szCs w:val="24"/>
        </w:rPr>
        <w:t>承包人应自费采取应有的卫生防护措施，经常保持现场及其驻地整洁和卫生，为其</w:t>
      </w:r>
      <w:r>
        <w:rPr>
          <w:rFonts w:ascii="宋体" w:hAnsi="宋体" w:eastAsia="宋体" w:cs="宋体"/>
          <w:spacing w:val="6"/>
          <w:sz w:val="24"/>
          <w:szCs w:val="24"/>
        </w:rPr>
        <w:t xml:space="preserve"> </w:t>
      </w:r>
      <w:r>
        <w:rPr>
          <w:rFonts w:ascii="宋体" w:hAnsi="宋体" w:eastAsia="宋体" w:cs="宋体"/>
          <w:spacing w:val="-2"/>
          <w:sz w:val="24"/>
          <w:szCs w:val="24"/>
        </w:rPr>
        <w:t>雇用的员工供应清洁的饮用水和合格的生活用水，以保护职员和工人的健康。在炎热的</w:t>
      </w:r>
    </w:p>
    <w:p>
      <w:pPr>
        <w:spacing w:line="218" w:lineRule="auto"/>
        <w:ind w:left="11"/>
        <w:rPr>
          <w:rFonts w:ascii="宋体" w:hAnsi="宋体" w:eastAsia="宋体" w:cs="宋体"/>
          <w:sz w:val="24"/>
          <w:szCs w:val="24"/>
        </w:rPr>
      </w:pPr>
      <w:r>
        <w:rPr>
          <w:rFonts w:ascii="宋体" w:hAnsi="宋体" w:eastAsia="宋体" w:cs="宋体"/>
          <w:spacing w:val="-1"/>
          <w:sz w:val="24"/>
          <w:szCs w:val="24"/>
        </w:rPr>
        <w:t>高温条件下施工时，承包人应注意采取防暑降温措施。</w:t>
      </w:r>
    </w:p>
    <w:p>
      <w:pPr>
        <w:spacing w:before="184" w:line="359" w:lineRule="auto"/>
        <w:ind w:left="7" w:right="291" w:firstLine="478"/>
        <w:rPr>
          <w:rFonts w:ascii="宋体" w:hAnsi="宋体" w:eastAsia="宋体" w:cs="宋体"/>
          <w:sz w:val="24"/>
          <w:szCs w:val="24"/>
        </w:rPr>
      </w:pPr>
      <w:r>
        <w:rPr>
          <w:rFonts w:ascii="宋体" w:hAnsi="宋体" w:eastAsia="宋体" w:cs="宋体"/>
          <w:spacing w:val="-2"/>
          <w:sz w:val="24"/>
          <w:szCs w:val="24"/>
        </w:rPr>
        <w:t>承包人在组织人员进驻工程现场时，应切实采取预防疫情的有效措施，配备必要的</w:t>
      </w:r>
      <w:r>
        <w:rPr>
          <w:rFonts w:ascii="宋体" w:hAnsi="宋体" w:eastAsia="宋体" w:cs="宋体"/>
          <w:spacing w:val="8"/>
          <w:sz w:val="24"/>
          <w:szCs w:val="24"/>
        </w:rPr>
        <w:t xml:space="preserve"> </w:t>
      </w:r>
      <w:r>
        <w:rPr>
          <w:rFonts w:ascii="宋体" w:hAnsi="宋体" w:eastAsia="宋体" w:cs="宋体"/>
          <w:spacing w:val="-2"/>
          <w:sz w:val="24"/>
          <w:szCs w:val="24"/>
        </w:rPr>
        <w:t>医疗用品、以及消毒、测温、通风等设施、设备，加强疫情防控工作。承包人应至少设</w:t>
      </w:r>
      <w:r>
        <w:rPr>
          <w:rFonts w:ascii="宋体" w:hAnsi="宋体" w:eastAsia="宋体" w:cs="宋体"/>
          <w:spacing w:val="10"/>
          <w:sz w:val="24"/>
          <w:szCs w:val="24"/>
        </w:rPr>
        <w:t xml:space="preserve"> </w:t>
      </w:r>
      <w:r>
        <w:rPr>
          <w:rFonts w:ascii="宋体" w:hAnsi="宋体" w:eastAsia="宋体" w:cs="宋体"/>
          <w:spacing w:val="-2"/>
          <w:sz w:val="24"/>
          <w:szCs w:val="24"/>
        </w:rPr>
        <w:t>一名专职的、具有一定卫生常识及传染病防治知识的卫生督查员，负责承包人所在施工</w:t>
      </w:r>
      <w:r>
        <w:rPr>
          <w:rFonts w:ascii="宋体" w:hAnsi="宋体" w:eastAsia="宋体" w:cs="宋体"/>
          <w:spacing w:val="10"/>
          <w:sz w:val="24"/>
          <w:szCs w:val="24"/>
        </w:rPr>
        <w:t xml:space="preserve"> </w:t>
      </w:r>
      <w:r>
        <w:rPr>
          <w:rFonts w:ascii="宋体" w:hAnsi="宋体" w:eastAsia="宋体" w:cs="宋体"/>
          <w:spacing w:val="1"/>
          <w:sz w:val="24"/>
          <w:szCs w:val="24"/>
        </w:rPr>
        <w:t>现场的传染病检查、控制和报告工作。供餐</w:t>
      </w:r>
      <w:r>
        <w:rPr>
          <w:rFonts w:ascii="宋体" w:hAnsi="宋体" w:eastAsia="宋体" w:cs="宋体"/>
          <w:spacing w:val="-43"/>
          <w:sz w:val="24"/>
          <w:szCs w:val="24"/>
        </w:rPr>
        <w:t xml:space="preserve"> </w:t>
      </w:r>
      <w:r>
        <w:rPr>
          <w:rFonts w:ascii="宋体" w:hAnsi="宋体" w:eastAsia="宋体" w:cs="宋体"/>
          <w:spacing w:val="1"/>
          <w:sz w:val="24"/>
          <w:szCs w:val="24"/>
        </w:rPr>
        <w:t>50</w:t>
      </w:r>
      <w:r>
        <w:rPr>
          <w:rFonts w:ascii="宋体" w:hAnsi="宋体" w:eastAsia="宋体" w:cs="宋体"/>
          <w:spacing w:val="-49"/>
          <w:sz w:val="24"/>
          <w:szCs w:val="24"/>
        </w:rPr>
        <w:t xml:space="preserve"> </w:t>
      </w:r>
      <w:r>
        <w:rPr>
          <w:rFonts w:ascii="宋体" w:hAnsi="宋体" w:eastAsia="宋体" w:cs="宋体"/>
          <w:spacing w:val="1"/>
          <w:sz w:val="24"/>
          <w:szCs w:val="24"/>
        </w:rPr>
        <w:t>人以上</w:t>
      </w:r>
      <w:r>
        <w:rPr>
          <w:rFonts w:ascii="宋体" w:hAnsi="宋体" w:eastAsia="宋体" w:cs="宋体"/>
          <w:sz w:val="24"/>
          <w:szCs w:val="24"/>
        </w:rPr>
        <w:t>食堂必须向当地县级市场监管部</w:t>
      </w:r>
    </w:p>
    <w:p>
      <w:pPr>
        <w:spacing w:before="1" w:line="219" w:lineRule="auto"/>
        <w:ind w:left="32"/>
        <w:rPr>
          <w:rFonts w:ascii="宋体" w:hAnsi="宋体" w:eastAsia="宋体" w:cs="宋体"/>
          <w:sz w:val="24"/>
          <w:szCs w:val="24"/>
        </w:rPr>
      </w:pPr>
      <w:r>
        <w:rPr>
          <w:rFonts w:ascii="宋体" w:hAnsi="宋体" w:eastAsia="宋体" w:cs="宋体"/>
          <w:spacing w:val="-4"/>
          <w:sz w:val="24"/>
          <w:szCs w:val="24"/>
        </w:rPr>
        <w:t>门申办食品经营许可证。</w:t>
      </w:r>
    </w:p>
    <w:p>
      <w:pPr>
        <w:spacing w:before="182" w:line="359" w:lineRule="auto"/>
        <w:ind w:left="5" w:right="230" w:firstLine="480"/>
        <w:rPr>
          <w:rFonts w:ascii="宋体" w:hAnsi="宋体" w:eastAsia="宋体" w:cs="宋体"/>
          <w:sz w:val="24"/>
          <w:szCs w:val="24"/>
        </w:rPr>
      </w:pPr>
      <w:r>
        <w:rPr>
          <w:rFonts w:ascii="宋体" w:hAnsi="宋体" w:eastAsia="宋体" w:cs="宋体"/>
          <w:spacing w:val="-7"/>
          <w:sz w:val="24"/>
          <w:szCs w:val="24"/>
        </w:rPr>
        <w:t>承包人还应建立人员流动登记制度，信息报告制度，与当地卫生防疫部门积极合作，</w:t>
      </w:r>
      <w:r>
        <w:rPr>
          <w:rFonts w:ascii="宋体" w:hAnsi="宋体" w:eastAsia="宋体" w:cs="宋体"/>
          <w:spacing w:val="17"/>
          <w:sz w:val="24"/>
          <w:szCs w:val="24"/>
        </w:rPr>
        <w:t xml:space="preserve"> </w:t>
      </w:r>
      <w:r>
        <w:rPr>
          <w:rFonts w:ascii="宋体" w:hAnsi="宋体" w:eastAsia="宋体" w:cs="宋体"/>
          <w:spacing w:val="-2"/>
          <w:sz w:val="24"/>
          <w:szCs w:val="24"/>
        </w:rPr>
        <w:t>做好各项防范措施的落实工作。一旦暴发任何具有传染性的疾病时，承包人应遵守并执</w:t>
      </w:r>
      <w:r>
        <w:rPr>
          <w:rFonts w:ascii="宋体" w:hAnsi="宋体" w:eastAsia="宋体" w:cs="宋体"/>
          <w:spacing w:val="12"/>
          <w:sz w:val="24"/>
          <w:szCs w:val="24"/>
        </w:rPr>
        <w:t xml:space="preserve"> </w:t>
      </w:r>
      <w:r>
        <w:rPr>
          <w:rFonts w:ascii="宋体" w:hAnsi="宋体" w:eastAsia="宋体" w:cs="宋体"/>
          <w:sz w:val="24"/>
          <w:szCs w:val="24"/>
        </w:rPr>
        <w:t>行当地政府或卫生防疫部门为防治和消灭上述传染病蔓延而制</w:t>
      </w:r>
      <w:r>
        <w:rPr>
          <w:rFonts w:ascii="宋体" w:hAnsi="宋体" w:eastAsia="宋体" w:cs="宋体"/>
          <w:spacing w:val="-1"/>
          <w:sz w:val="24"/>
          <w:szCs w:val="24"/>
        </w:rPr>
        <w:t>订的规章、命令和要求，</w:t>
      </w:r>
    </w:p>
    <w:p>
      <w:pPr>
        <w:spacing w:before="1" w:line="217" w:lineRule="auto"/>
        <w:ind w:left="11"/>
        <w:rPr>
          <w:rFonts w:ascii="宋体" w:hAnsi="宋体" w:eastAsia="宋体" w:cs="宋体"/>
          <w:sz w:val="24"/>
          <w:szCs w:val="24"/>
        </w:rPr>
      </w:pPr>
      <w:r>
        <w:rPr>
          <w:rFonts w:ascii="宋体" w:hAnsi="宋体" w:eastAsia="宋体" w:cs="宋体"/>
          <w:spacing w:val="-1"/>
          <w:sz w:val="24"/>
          <w:szCs w:val="24"/>
        </w:rPr>
        <w:t>并及时报告当地卫生防疫部门及发包人。</w:t>
      </w:r>
    </w:p>
    <w:p>
      <w:pPr>
        <w:spacing w:before="184" w:line="359" w:lineRule="auto"/>
        <w:ind w:left="4" w:right="291" w:firstLine="392"/>
        <w:rPr>
          <w:rFonts w:ascii="宋体" w:hAnsi="宋体" w:eastAsia="宋体" w:cs="宋体"/>
          <w:sz w:val="24"/>
          <w:szCs w:val="24"/>
        </w:rPr>
      </w:pPr>
      <w:r>
        <w:rPr>
          <w:rFonts w:ascii="宋体" w:hAnsi="宋体" w:eastAsia="宋体" w:cs="宋体"/>
          <w:spacing w:val="1"/>
          <w:sz w:val="24"/>
          <w:szCs w:val="24"/>
        </w:rPr>
        <w:t>承包人应将其采取上述措施而可能发生的全部费用计入投</w:t>
      </w:r>
      <w:r>
        <w:rPr>
          <w:rFonts w:ascii="宋体" w:hAnsi="宋体" w:eastAsia="宋体" w:cs="宋体"/>
          <w:sz w:val="24"/>
          <w:szCs w:val="24"/>
        </w:rPr>
        <w:t xml:space="preserve">标报价中，发包人将不另 </w:t>
      </w:r>
      <w:r>
        <w:rPr>
          <w:rFonts w:ascii="宋体" w:hAnsi="宋体" w:eastAsia="宋体" w:cs="宋体"/>
          <w:spacing w:val="-2"/>
          <w:sz w:val="24"/>
          <w:szCs w:val="24"/>
        </w:rPr>
        <w:t>行支付。如发生属不可抗力的公共卫生事件，承包人采取防控措施而发生的费用，参照</w:t>
      </w:r>
      <w:r>
        <w:rPr>
          <w:rFonts w:ascii="宋体" w:hAnsi="宋体" w:eastAsia="宋体" w:cs="宋体"/>
          <w:spacing w:val="13"/>
          <w:sz w:val="24"/>
          <w:szCs w:val="24"/>
        </w:rPr>
        <w:t xml:space="preserve"> </w:t>
      </w:r>
      <w:r>
        <w:rPr>
          <w:rFonts w:ascii="宋体" w:hAnsi="宋体" w:eastAsia="宋体" w:cs="宋体"/>
          <w:spacing w:val="-2"/>
          <w:sz w:val="24"/>
          <w:szCs w:val="24"/>
        </w:rPr>
        <w:t>政府部门的相关规定，予以合理补偿。因承包人采取措施不力所造成的一切后果，均由</w:t>
      </w:r>
    </w:p>
    <w:p>
      <w:pPr>
        <w:spacing w:line="219" w:lineRule="auto"/>
        <w:ind w:left="5"/>
        <w:rPr>
          <w:rFonts w:ascii="宋体" w:hAnsi="宋体" w:eastAsia="宋体" w:cs="宋体"/>
          <w:sz w:val="24"/>
          <w:szCs w:val="24"/>
        </w:rPr>
      </w:pPr>
      <w:r>
        <w:rPr>
          <w:rFonts w:ascii="宋体" w:hAnsi="宋体" w:eastAsia="宋体" w:cs="宋体"/>
          <w:spacing w:val="-2"/>
          <w:sz w:val="24"/>
          <w:szCs w:val="24"/>
        </w:rPr>
        <w:t>承包人自行负责。</w:t>
      </w:r>
    </w:p>
    <w:p>
      <w:pPr>
        <w:spacing w:before="183" w:line="217" w:lineRule="auto"/>
        <w:ind w:left="483"/>
        <w:rPr>
          <w:rFonts w:ascii="宋体" w:hAnsi="宋体" w:eastAsia="宋体" w:cs="宋体"/>
          <w:sz w:val="24"/>
          <w:szCs w:val="24"/>
        </w:rPr>
      </w:pPr>
      <w:r>
        <w:rPr>
          <w:rFonts w:ascii="宋体" w:hAnsi="宋体" w:eastAsia="宋体" w:cs="宋体"/>
          <w:spacing w:val="-1"/>
          <w:sz w:val="24"/>
          <w:szCs w:val="24"/>
        </w:rPr>
        <w:t>④项目审计、稽查和检查等的配合</w:t>
      </w:r>
    </w:p>
    <w:p>
      <w:pPr>
        <w:spacing w:before="183" w:line="468" w:lineRule="exact"/>
        <w:ind w:left="477"/>
        <w:rPr>
          <w:rFonts w:ascii="宋体" w:hAnsi="宋体" w:eastAsia="宋体" w:cs="宋体"/>
          <w:sz w:val="24"/>
          <w:szCs w:val="24"/>
        </w:rPr>
      </w:pPr>
      <w:r>
        <w:rPr>
          <w:rFonts w:ascii="宋体" w:hAnsi="宋体" w:eastAsia="宋体" w:cs="宋体"/>
          <w:spacing w:val="-2"/>
          <w:position w:val="17"/>
          <w:sz w:val="24"/>
          <w:szCs w:val="24"/>
        </w:rPr>
        <w:t>A、与本工程项目相关的审计和稽查，承包人应高度重视并委派专人积极予以配合，</w:t>
      </w:r>
    </w:p>
    <w:p>
      <w:pPr>
        <w:spacing w:before="1" w:line="219" w:lineRule="auto"/>
        <w:ind w:left="4"/>
        <w:rPr>
          <w:rFonts w:ascii="宋体" w:hAnsi="宋体" w:eastAsia="宋体" w:cs="宋体"/>
          <w:sz w:val="24"/>
          <w:szCs w:val="24"/>
        </w:rPr>
      </w:pPr>
      <w:r>
        <w:rPr>
          <w:rFonts w:ascii="宋体" w:hAnsi="宋体" w:eastAsia="宋体" w:cs="宋体"/>
          <w:spacing w:val="-1"/>
          <w:sz w:val="24"/>
          <w:szCs w:val="24"/>
        </w:rPr>
        <w:t>对审计和稽查的有关意见承包人应无条件地及时整改。</w:t>
      </w:r>
    </w:p>
    <w:p>
      <w:pPr>
        <w:spacing w:before="180" w:line="468" w:lineRule="exact"/>
        <w:ind w:left="479"/>
        <w:rPr>
          <w:rFonts w:ascii="宋体" w:hAnsi="宋体" w:eastAsia="宋体" w:cs="宋体"/>
          <w:sz w:val="24"/>
          <w:szCs w:val="24"/>
        </w:rPr>
      </w:pPr>
      <w:r>
        <w:rPr>
          <w:rFonts w:ascii="宋体" w:hAnsi="宋体" w:eastAsia="宋体" w:cs="宋体"/>
          <w:spacing w:val="2"/>
          <w:position w:val="17"/>
          <w:sz w:val="24"/>
          <w:szCs w:val="24"/>
        </w:rPr>
        <w:t>B、有关单位对本项目的各种检查和视察等活动，承包人和</w:t>
      </w:r>
      <w:r>
        <w:rPr>
          <w:rFonts w:ascii="宋体" w:hAnsi="宋体" w:eastAsia="宋体" w:cs="宋体"/>
          <w:spacing w:val="1"/>
          <w:position w:val="17"/>
          <w:sz w:val="24"/>
          <w:szCs w:val="24"/>
        </w:rPr>
        <w:t>监理人有义务积极配合</w:t>
      </w:r>
    </w:p>
    <w:p>
      <w:pPr>
        <w:spacing w:line="220" w:lineRule="auto"/>
        <w:ind w:left="6"/>
        <w:rPr>
          <w:rFonts w:ascii="宋体" w:hAnsi="宋体" w:eastAsia="宋体" w:cs="宋体"/>
          <w:sz w:val="24"/>
          <w:szCs w:val="24"/>
        </w:rPr>
      </w:pPr>
      <w:r>
        <w:rPr>
          <w:rFonts w:ascii="宋体" w:hAnsi="宋体" w:eastAsia="宋体" w:cs="宋体"/>
          <w:spacing w:val="-2"/>
          <w:sz w:val="24"/>
          <w:szCs w:val="24"/>
        </w:rPr>
        <w:t>开展各项工作。</w:t>
      </w:r>
    </w:p>
    <w:p>
      <w:pPr>
        <w:spacing w:before="182" w:line="466" w:lineRule="exact"/>
        <w:ind w:left="483"/>
        <w:rPr>
          <w:rFonts w:ascii="宋体" w:hAnsi="宋体" w:eastAsia="宋体" w:cs="宋体"/>
          <w:sz w:val="24"/>
          <w:szCs w:val="24"/>
        </w:rPr>
      </w:pPr>
      <w:r>
        <w:rPr>
          <w:rFonts w:ascii="宋体" w:hAnsi="宋体" w:eastAsia="宋体" w:cs="宋体"/>
          <w:spacing w:val="2"/>
          <w:position w:val="17"/>
          <w:sz w:val="24"/>
          <w:szCs w:val="24"/>
        </w:rPr>
        <w:t>C、本工程项目有关的各类统计报表和汇报材料包</w:t>
      </w:r>
      <w:r>
        <w:rPr>
          <w:rFonts w:ascii="宋体" w:hAnsi="宋体" w:eastAsia="宋体" w:cs="宋体"/>
          <w:spacing w:val="1"/>
          <w:position w:val="17"/>
          <w:sz w:val="24"/>
          <w:szCs w:val="24"/>
        </w:rPr>
        <w:t>括项目后评价报告，承包人和监</w:t>
      </w:r>
    </w:p>
    <w:p>
      <w:pPr>
        <w:spacing w:before="1" w:line="218" w:lineRule="auto"/>
        <w:ind w:left="8"/>
        <w:rPr>
          <w:rFonts w:ascii="宋体" w:hAnsi="宋体" w:eastAsia="宋体" w:cs="宋体"/>
          <w:sz w:val="24"/>
          <w:szCs w:val="24"/>
        </w:rPr>
      </w:pPr>
      <w:r>
        <w:rPr>
          <w:rFonts w:ascii="宋体" w:hAnsi="宋体" w:eastAsia="宋体" w:cs="宋体"/>
          <w:spacing w:val="-1"/>
          <w:sz w:val="24"/>
          <w:szCs w:val="24"/>
        </w:rPr>
        <w:t>理人有义务配合发包人做好编制工作并提供相应的资料。</w:t>
      </w:r>
    </w:p>
    <w:p>
      <w:pPr>
        <w:spacing w:before="183" w:line="359" w:lineRule="auto"/>
        <w:ind w:left="6" w:right="291" w:firstLine="474"/>
        <w:rPr>
          <w:rFonts w:ascii="宋体" w:hAnsi="宋体" w:eastAsia="宋体" w:cs="宋体"/>
          <w:sz w:val="24"/>
          <w:szCs w:val="24"/>
        </w:rPr>
      </w:pPr>
      <w:r>
        <w:rPr>
          <w:rFonts w:ascii="宋体" w:hAnsi="宋体" w:eastAsia="宋体" w:cs="宋体"/>
          <w:spacing w:val="2"/>
          <w:sz w:val="24"/>
          <w:szCs w:val="24"/>
        </w:rPr>
        <w:t>D、承包人应按监理人和发包人的有关要求，建立相应的</w:t>
      </w:r>
      <w:r>
        <w:rPr>
          <w:rFonts w:ascii="宋体" w:hAnsi="宋体" w:eastAsia="宋体" w:cs="宋体"/>
          <w:spacing w:val="1"/>
          <w:sz w:val="24"/>
          <w:szCs w:val="24"/>
        </w:rPr>
        <w:t>计量、支付、变更和造价</w:t>
      </w:r>
      <w:r>
        <w:rPr>
          <w:rFonts w:ascii="宋体" w:hAnsi="宋体" w:eastAsia="宋体" w:cs="宋体"/>
          <w:sz w:val="24"/>
          <w:szCs w:val="24"/>
        </w:rPr>
        <w:t xml:space="preserve"> </w:t>
      </w:r>
      <w:r>
        <w:rPr>
          <w:rFonts w:ascii="宋体" w:hAnsi="宋体" w:eastAsia="宋体" w:cs="宋体"/>
          <w:spacing w:val="-2"/>
          <w:sz w:val="24"/>
          <w:szCs w:val="24"/>
        </w:rPr>
        <w:t>等台帐，同时承包人和监理人应配合发包人建立相应的台帐，三方各自的台帐应动态更</w:t>
      </w:r>
      <w:r>
        <w:rPr>
          <w:rFonts w:ascii="宋体" w:hAnsi="宋体" w:eastAsia="宋体" w:cs="宋体"/>
          <w:spacing w:val="11"/>
          <w:sz w:val="24"/>
          <w:szCs w:val="24"/>
        </w:rPr>
        <w:t xml:space="preserve"> </w:t>
      </w:r>
      <w:r>
        <w:rPr>
          <w:rFonts w:ascii="宋体" w:hAnsi="宋体" w:eastAsia="宋体" w:cs="宋体"/>
          <w:spacing w:val="-2"/>
          <w:sz w:val="24"/>
          <w:szCs w:val="24"/>
        </w:rPr>
        <w:t>新，并确保一致，直至工程结算完成。承包人应按省级公路工程造价管理信息化平台的</w:t>
      </w:r>
    </w:p>
    <w:p>
      <w:pPr>
        <w:spacing w:before="1" w:line="217" w:lineRule="auto"/>
        <w:ind w:left="6"/>
        <w:rPr>
          <w:rFonts w:ascii="宋体" w:hAnsi="宋体" w:eastAsia="宋体" w:cs="宋体"/>
          <w:sz w:val="24"/>
          <w:szCs w:val="24"/>
        </w:rPr>
      </w:pPr>
      <w:r>
        <w:rPr>
          <w:rFonts w:ascii="宋体" w:hAnsi="宋体" w:eastAsia="宋体" w:cs="宋体"/>
          <w:spacing w:val="-1"/>
          <w:sz w:val="24"/>
          <w:szCs w:val="24"/>
        </w:rPr>
        <w:t>要求，及时上传造价文件。</w:t>
      </w:r>
    </w:p>
    <w:p>
      <w:pPr>
        <w:spacing w:line="389" w:lineRule="auto"/>
        <w:rPr>
          <w:rFonts w:ascii="Arial"/>
          <w:sz w:val="21"/>
        </w:rPr>
      </w:pPr>
      <w:r>
        <mc:AlternateContent>
          <mc:Choice Requires="wps">
            <w:drawing>
              <wp:anchor distT="0" distB="0" distL="114300" distR="114300" simplePos="0" relativeHeight="251664384" behindDoc="0" locked="0" layoutInCell="0" allowOverlap="1">
                <wp:simplePos x="0" y="0"/>
                <wp:positionH relativeFrom="page">
                  <wp:posOffset>898525</wp:posOffset>
                </wp:positionH>
                <wp:positionV relativeFrom="page">
                  <wp:posOffset>9565640</wp:posOffset>
                </wp:positionV>
                <wp:extent cx="1831340" cy="2540"/>
                <wp:effectExtent l="0" t="0" r="0" b="0"/>
                <wp:wrapNone/>
                <wp:docPr id="83" name="任意多边形 83"/>
                <wp:cNvGraphicFramePr/>
                <a:graphic xmlns:a="http://schemas.openxmlformats.org/drawingml/2006/main">
                  <a:graphicData uri="http://schemas.microsoft.com/office/word/2010/wordprocessingShape">
                    <wps:wsp>
                      <wps:cNvSpPr/>
                      <wps:spPr>
                        <a:xfrm>
                          <a:off x="0" y="0"/>
                          <a:ext cx="1831340" cy="2540"/>
                        </a:xfrm>
                        <a:custGeom>
                          <a:avLst/>
                          <a:gdLst/>
                          <a:ahLst/>
                          <a:cxnLst/>
                          <a:pathLst>
                            <a:path w="2883" h="4">
                              <a:moveTo>
                                <a:pt x="1" y="1"/>
                              </a:moveTo>
                              <a:lnTo>
                                <a:pt x="2881" y="1"/>
                              </a:lnTo>
                            </a:path>
                          </a:pathLst>
                        </a:custGeom>
                        <a:noFill/>
                        <a:ln w="2159"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75pt;margin-top:753.2pt;height:0.2pt;width:144.2pt;mso-position-horizontal-relative:page;mso-position-vertical-relative:page;z-index:251664384;mso-width-relative:page;mso-height-relative:page;" filled="f" stroked="t" coordsize="2883,4" o:allowincell="f" o:gfxdata="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wy2sm2QAAAA0BAAAPAAAAAAAAAAEAIAAAACIAAABkcnMvZG93&#10;bnJldi54bWxQSwECFAAUAAAACACHTuJAuwx+7DgCAACVBAAADgAAAAAAAAABACAAAAAoAQAAZHJz&#10;L2Uyb0RvYy54bWxQSwUGAAAAAAYABgBZAQAA0gUAAAAA&#10;" path="m1,1l2881,1e">
                <v:fill on="f" focussize="0,0"/>
                <v:stroke weight="0.17pt" color="#000000" joinstyle="bevel" endcap="square"/>
                <v:imagedata o:title=""/>
                <o:lock v:ext="edit" aspectratio="f"/>
              </v:shape>
            </w:pict>
          </mc:Fallback>
        </mc:AlternateContent>
      </w:r>
    </w:p>
    <w:p>
      <w:pPr>
        <w:spacing w:before="78" w:line="466" w:lineRule="exact"/>
        <w:ind w:left="488"/>
        <w:rPr>
          <w:rFonts w:ascii="宋体" w:hAnsi="宋体" w:eastAsia="宋体" w:cs="宋体"/>
          <w:sz w:val="12"/>
          <w:szCs w:val="12"/>
        </w:rPr>
      </w:pPr>
      <w:r>
        <w:rPr>
          <w:rFonts w:ascii="宋体" w:hAnsi="宋体" w:eastAsia="宋体" w:cs="宋体"/>
          <w:spacing w:val="-1"/>
          <w:position w:val="4"/>
          <w:sz w:val="24"/>
          <w:szCs w:val="24"/>
        </w:rPr>
        <w:t>⑤双标管理（标杆管理、标准化管理）</w:t>
      </w:r>
      <w:r>
        <w:fldChar w:fldCharType="begin"/>
      </w:r>
      <w:r>
        <w:instrText xml:space="preserve"> HYPERLINK \l "bookmark151" </w:instrText>
      </w:r>
      <w:r>
        <w:fldChar w:fldCharType="separate"/>
      </w:r>
      <w:r>
        <w:rPr>
          <w:rFonts w:ascii="宋体" w:hAnsi="宋体" w:eastAsia="宋体" w:cs="宋体"/>
          <w:spacing w:val="-1"/>
          <w:position w:val="16"/>
          <w:sz w:val="12"/>
          <w:szCs w:val="12"/>
          <w14:textOutline w14:w="2179" w14:cap="sq" w14:cmpd="sng">
            <w14:solidFill>
              <w14:srgbClr w14:val="000000"/>
            </w14:solidFill>
            <w14:prstDash w14:val="solid"/>
            <w14:bevel/>
          </w14:textOutline>
        </w:rPr>
        <w:t>①</w:t>
      </w:r>
      <w:r>
        <w:rPr>
          <w:rFonts w:ascii="宋体" w:hAnsi="宋体" w:eastAsia="宋体" w:cs="宋体"/>
          <w:spacing w:val="-1"/>
          <w:position w:val="16"/>
          <w:sz w:val="12"/>
          <w:szCs w:val="12"/>
          <w14:textOutline w14:w="2179" w14:cap="sq" w14:cmpd="sng">
            <w14:solidFill>
              <w14:srgbClr w14:val="000000"/>
            </w14:solidFill>
            <w14:prstDash w14:val="solid"/>
            <w14:bevel/>
          </w14:textOutline>
        </w:rPr>
        <w:fldChar w:fldCharType="end"/>
      </w:r>
    </w:p>
    <w:p>
      <w:pPr>
        <w:spacing w:before="36" w:line="359" w:lineRule="auto"/>
        <w:ind w:left="11" w:right="291" w:firstLine="479"/>
        <w:rPr>
          <w:rFonts w:ascii="宋体" w:hAnsi="宋体" w:eastAsia="宋体" w:cs="宋体"/>
          <w:sz w:val="24"/>
          <w:szCs w:val="24"/>
        </w:rPr>
      </w:pPr>
      <w:r>
        <w:rPr>
          <w:rFonts w:ascii="宋体" w:hAnsi="宋体" w:eastAsia="宋体" w:cs="宋体"/>
          <w:spacing w:val="-3"/>
          <w:sz w:val="24"/>
          <w:szCs w:val="24"/>
        </w:rPr>
        <w:t>承包人须贯彻落实交通运输部和广东省交通运输厅“平安百年品质工程</w:t>
      </w:r>
      <w:r>
        <w:rPr>
          <w:rFonts w:ascii="宋体" w:hAnsi="宋体" w:eastAsia="宋体" w:cs="宋体"/>
          <w:spacing w:val="-76"/>
          <w:sz w:val="24"/>
          <w:szCs w:val="24"/>
        </w:rPr>
        <w:t xml:space="preserve"> </w:t>
      </w:r>
      <w:r>
        <w:rPr>
          <w:rFonts w:ascii="宋体" w:hAnsi="宋体" w:eastAsia="宋体" w:cs="宋体"/>
          <w:spacing w:val="-3"/>
          <w:sz w:val="24"/>
          <w:szCs w:val="24"/>
        </w:rPr>
        <w:t>”建设有关</w:t>
      </w:r>
      <w:r>
        <w:rPr>
          <w:rFonts w:ascii="宋体" w:hAnsi="宋体" w:eastAsia="宋体" w:cs="宋体"/>
          <w:sz w:val="24"/>
          <w:szCs w:val="24"/>
        </w:rPr>
        <w:t xml:space="preserve"> </w:t>
      </w:r>
      <w:r>
        <w:rPr>
          <w:rFonts w:ascii="宋体" w:hAnsi="宋体" w:eastAsia="宋体" w:cs="宋体"/>
          <w:spacing w:val="-2"/>
          <w:sz w:val="24"/>
          <w:szCs w:val="24"/>
        </w:rPr>
        <w:t>要求，进一步深化标准化管理和标杆管理，推进精品建造和精细管理；严格遵守和执行</w:t>
      </w:r>
      <w:r>
        <w:rPr>
          <w:rFonts w:ascii="宋体" w:hAnsi="宋体" w:eastAsia="宋体" w:cs="宋体"/>
          <w:spacing w:val="11"/>
          <w:sz w:val="24"/>
          <w:szCs w:val="24"/>
        </w:rPr>
        <w:t xml:space="preserve"> </w:t>
      </w:r>
      <w:r>
        <w:rPr>
          <w:rFonts w:ascii="宋体" w:hAnsi="宋体" w:eastAsia="宋体" w:cs="宋体"/>
          <w:spacing w:val="-2"/>
          <w:sz w:val="24"/>
          <w:szCs w:val="24"/>
        </w:rPr>
        <w:t>交通运输部、广东省交通运输厅有关高速公路建设标准化管理（含发包人下发的标准化</w:t>
      </w:r>
      <w:r>
        <w:rPr>
          <w:rFonts w:ascii="宋体" w:hAnsi="宋体" w:eastAsia="宋体" w:cs="宋体"/>
          <w:spacing w:val="11"/>
          <w:sz w:val="24"/>
          <w:szCs w:val="24"/>
        </w:rPr>
        <w:t xml:space="preserve"> </w:t>
      </w:r>
      <w:r>
        <w:rPr>
          <w:rFonts w:ascii="宋体" w:hAnsi="宋体" w:eastAsia="宋体" w:cs="宋体"/>
          <w:spacing w:val="-2"/>
          <w:sz w:val="24"/>
          <w:szCs w:val="24"/>
        </w:rPr>
        <w:t>管理指南，如有</w:t>
      </w:r>
      <w:r>
        <w:rPr>
          <w:rFonts w:ascii="宋体" w:hAnsi="宋体" w:eastAsia="宋体" w:cs="宋体"/>
          <w:spacing w:val="3"/>
          <w:sz w:val="24"/>
          <w:szCs w:val="24"/>
        </w:rPr>
        <w:t>），</w:t>
      </w:r>
      <w:r>
        <w:rPr>
          <w:rFonts w:ascii="宋体" w:hAnsi="宋体" w:eastAsia="宋体" w:cs="宋体"/>
          <w:spacing w:val="-2"/>
          <w:sz w:val="24"/>
          <w:szCs w:val="24"/>
        </w:rPr>
        <w:t>高速公路建设样板（标杆）工程，高速公路施工优质优价，安全生</w:t>
      </w:r>
    </w:p>
    <w:p>
      <w:pPr>
        <w:spacing w:line="219" w:lineRule="auto"/>
        <w:ind w:left="10"/>
        <w:rPr>
          <w:rFonts w:ascii="宋体" w:hAnsi="宋体" w:eastAsia="宋体" w:cs="宋体"/>
          <w:sz w:val="24"/>
          <w:szCs w:val="24"/>
        </w:rPr>
      </w:pPr>
      <w:r>
        <w:rPr>
          <w:rFonts w:ascii="宋体" w:hAnsi="宋体" w:eastAsia="宋体" w:cs="宋体"/>
          <w:sz w:val="24"/>
          <w:szCs w:val="24"/>
        </w:rPr>
        <w:t>产标准化，平安工地建设活动以及发包人制定</w:t>
      </w:r>
      <w:r>
        <w:rPr>
          <w:rFonts w:ascii="宋体" w:hAnsi="宋体" w:eastAsia="宋体" w:cs="宋体"/>
          <w:spacing w:val="-1"/>
          <w:sz w:val="24"/>
          <w:szCs w:val="24"/>
        </w:rPr>
        <w:t>的工程管理手册等规定。</w:t>
      </w:r>
    </w:p>
    <w:p>
      <w:pPr>
        <w:spacing w:before="183" w:line="217" w:lineRule="auto"/>
        <w:ind w:left="488"/>
        <w:rPr>
          <w:rFonts w:ascii="宋体" w:hAnsi="宋体" w:eastAsia="宋体" w:cs="宋体"/>
          <w:sz w:val="24"/>
          <w:szCs w:val="24"/>
        </w:rPr>
      </w:pPr>
      <w:r>
        <w:rPr>
          <w:rFonts w:ascii="宋体" w:hAnsi="宋体" w:eastAsia="宋体" w:cs="宋体"/>
          <w:spacing w:val="-1"/>
          <w:sz w:val="24"/>
          <w:szCs w:val="24"/>
        </w:rPr>
        <w:t>⑥工程质量和施工档案</w:t>
      </w:r>
    </w:p>
    <w:p>
      <w:pPr>
        <w:spacing w:before="183" w:line="359" w:lineRule="auto"/>
        <w:ind w:left="11" w:right="291" w:firstLine="478"/>
        <w:rPr>
          <w:rFonts w:ascii="宋体" w:hAnsi="宋体" w:eastAsia="宋体" w:cs="宋体"/>
          <w:sz w:val="24"/>
          <w:szCs w:val="24"/>
        </w:rPr>
      </w:pPr>
      <w:r>
        <w:rPr>
          <w:rFonts w:ascii="宋体" w:hAnsi="宋体" w:eastAsia="宋体" w:cs="宋体"/>
          <w:spacing w:val="-2"/>
          <w:sz w:val="24"/>
          <w:szCs w:val="24"/>
        </w:rPr>
        <w:t>在施工过程中，如果工程质量不符合设计和规范要求以及优质工程有关管理规定，</w:t>
      </w:r>
      <w:r>
        <w:rPr>
          <w:rFonts w:ascii="宋体" w:hAnsi="宋体" w:eastAsia="宋体" w:cs="宋体"/>
          <w:spacing w:val="9"/>
          <w:sz w:val="24"/>
          <w:szCs w:val="24"/>
        </w:rPr>
        <w:t xml:space="preserve"> </w:t>
      </w:r>
      <w:r>
        <w:rPr>
          <w:rFonts w:ascii="宋体" w:hAnsi="宋体" w:eastAsia="宋体" w:cs="宋体"/>
          <w:spacing w:val="-2"/>
          <w:sz w:val="24"/>
          <w:szCs w:val="24"/>
        </w:rPr>
        <w:t>监理人或发包人要求停工和返工的，承包人必须立即执行，由此产生的各种费用由承包</w:t>
      </w:r>
    </w:p>
    <w:p>
      <w:pPr>
        <w:spacing w:line="219" w:lineRule="auto"/>
        <w:ind w:left="11"/>
        <w:rPr>
          <w:rFonts w:ascii="宋体" w:hAnsi="宋体" w:eastAsia="宋体" w:cs="宋体"/>
          <w:sz w:val="24"/>
          <w:szCs w:val="24"/>
        </w:rPr>
      </w:pPr>
      <w:r>
        <w:rPr>
          <w:rFonts w:ascii="宋体" w:hAnsi="宋体" w:eastAsia="宋体" w:cs="宋体"/>
          <w:spacing w:val="-2"/>
          <w:sz w:val="24"/>
          <w:szCs w:val="24"/>
        </w:rPr>
        <w:t>人承担，工期不予顺延。</w:t>
      </w:r>
    </w:p>
    <w:p>
      <w:pPr>
        <w:spacing w:before="183" w:line="359" w:lineRule="auto"/>
        <w:ind w:left="11" w:right="278" w:firstLine="479"/>
        <w:rPr>
          <w:rFonts w:ascii="宋体" w:hAnsi="宋体" w:eastAsia="宋体" w:cs="宋体"/>
          <w:sz w:val="24"/>
          <w:szCs w:val="24"/>
        </w:rPr>
      </w:pPr>
      <w:r>
        <w:rPr>
          <w:rFonts w:ascii="宋体" w:hAnsi="宋体" w:eastAsia="宋体" w:cs="宋体"/>
          <w:spacing w:val="-1"/>
          <w:sz w:val="24"/>
          <w:szCs w:val="24"/>
        </w:rPr>
        <w:t>承包人对已完工程必须进行严格的质量自检，只</w:t>
      </w:r>
      <w:r>
        <w:rPr>
          <w:rFonts w:ascii="宋体" w:hAnsi="宋体" w:eastAsia="宋体" w:cs="宋体"/>
          <w:spacing w:val="-2"/>
          <w:sz w:val="24"/>
          <w:szCs w:val="24"/>
        </w:rPr>
        <w:t>有自检合格的工程才能向监理人、</w:t>
      </w:r>
      <w:r>
        <w:rPr>
          <w:rFonts w:ascii="宋体" w:hAnsi="宋体" w:eastAsia="宋体" w:cs="宋体"/>
          <w:sz w:val="24"/>
          <w:szCs w:val="24"/>
        </w:rPr>
        <w:t xml:space="preserve"> </w:t>
      </w:r>
      <w:r>
        <w:rPr>
          <w:rFonts w:ascii="宋体" w:hAnsi="宋体" w:eastAsia="宋体" w:cs="宋体"/>
          <w:spacing w:val="1"/>
          <w:sz w:val="24"/>
          <w:szCs w:val="24"/>
        </w:rPr>
        <w:t>发包人提出验收和计量的申请。监理人在收到验收申请后的</w:t>
      </w:r>
      <w:r>
        <w:rPr>
          <w:rFonts w:ascii="宋体" w:hAnsi="宋体" w:eastAsia="宋体" w:cs="宋体"/>
          <w:spacing w:val="-49"/>
          <w:sz w:val="24"/>
          <w:szCs w:val="24"/>
        </w:rPr>
        <w:t xml:space="preserve"> </w:t>
      </w:r>
      <w:r>
        <w:rPr>
          <w:rFonts w:ascii="宋体" w:hAnsi="宋体" w:eastAsia="宋体" w:cs="宋体"/>
          <w:sz w:val="24"/>
          <w:szCs w:val="24"/>
        </w:rPr>
        <w:t>48</w:t>
      </w:r>
      <w:r>
        <w:rPr>
          <w:rFonts w:ascii="宋体" w:hAnsi="宋体" w:eastAsia="宋体" w:cs="宋体"/>
          <w:spacing w:val="-42"/>
          <w:sz w:val="24"/>
          <w:szCs w:val="24"/>
        </w:rPr>
        <w:t xml:space="preserve"> </w:t>
      </w:r>
      <w:r>
        <w:rPr>
          <w:rFonts w:ascii="宋体" w:hAnsi="宋体" w:eastAsia="宋体" w:cs="宋体"/>
          <w:sz w:val="24"/>
          <w:szCs w:val="24"/>
        </w:rPr>
        <w:t xml:space="preserve">小时内对工程进行抽检 </w:t>
      </w:r>
      <w:r>
        <w:rPr>
          <w:rFonts w:ascii="宋体" w:hAnsi="宋体" w:eastAsia="宋体" w:cs="宋体"/>
          <w:spacing w:val="-2"/>
          <w:sz w:val="24"/>
          <w:szCs w:val="24"/>
        </w:rPr>
        <w:t>和验收，对检验不合格的工程由承包人自费修复或返工。如果工程不合格是由于承包人</w:t>
      </w:r>
      <w:r>
        <w:rPr>
          <w:rFonts w:ascii="宋体" w:hAnsi="宋体" w:eastAsia="宋体" w:cs="宋体"/>
          <w:spacing w:val="11"/>
          <w:sz w:val="24"/>
          <w:szCs w:val="24"/>
        </w:rPr>
        <w:t xml:space="preserve"> </w:t>
      </w:r>
      <w:r>
        <w:rPr>
          <w:rFonts w:ascii="宋体" w:hAnsi="宋体" w:eastAsia="宋体" w:cs="宋体"/>
          <w:spacing w:val="-2"/>
          <w:sz w:val="24"/>
          <w:szCs w:val="24"/>
        </w:rPr>
        <w:t>的原因所致，则对承包人按项目专用合同条款及发包人下发的工程质量管理办法的规定</w:t>
      </w:r>
    </w:p>
    <w:p>
      <w:pPr>
        <w:spacing w:line="220" w:lineRule="auto"/>
        <w:ind w:left="8"/>
        <w:rPr>
          <w:rFonts w:ascii="宋体" w:hAnsi="宋体" w:eastAsia="宋体" w:cs="宋体"/>
          <w:sz w:val="24"/>
          <w:szCs w:val="24"/>
        </w:rPr>
      </w:pPr>
      <w:r>
        <w:rPr>
          <w:rFonts w:ascii="宋体" w:hAnsi="宋体" w:eastAsia="宋体" w:cs="宋体"/>
          <w:spacing w:val="-2"/>
          <w:sz w:val="24"/>
          <w:szCs w:val="24"/>
        </w:rPr>
        <w:t>进行处罚。</w:t>
      </w:r>
    </w:p>
    <w:p>
      <w:pPr>
        <w:spacing w:before="182" w:line="359" w:lineRule="auto"/>
        <w:ind w:left="10" w:right="230" w:firstLine="480"/>
        <w:rPr>
          <w:rFonts w:ascii="宋体" w:hAnsi="宋体" w:eastAsia="宋体" w:cs="宋体"/>
          <w:sz w:val="24"/>
          <w:szCs w:val="24"/>
        </w:rPr>
      </w:pPr>
      <w:r>
        <w:rPr>
          <w:rFonts w:ascii="宋体" w:hAnsi="宋体" w:eastAsia="宋体" w:cs="宋体"/>
          <w:spacing w:val="-1"/>
          <w:sz w:val="24"/>
          <w:szCs w:val="24"/>
        </w:rPr>
        <w:t>承包人必须设置专职档案员（资料员</w:t>
      </w:r>
      <w:r>
        <w:rPr>
          <w:rFonts w:ascii="宋体" w:hAnsi="宋体" w:eastAsia="宋体" w:cs="宋体"/>
          <w:spacing w:val="-13"/>
          <w:sz w:val="24"/>
          <w:szCs w:val="24"/>
        </w:rPr>
        <w:t>），</w:t>
      </w:r>
      <w:r>
        <w:rPr>
          <w:rFonts w:ascii="宋体" w:hAnsi="宋体" w:eastAsia="宋体" w:cs="宋体"/>
          <w:spacing w:val="-1"/>
          <w:sz w:val="24"/>
          <w:szCs w:val="24"/>
        </w:rPr>
        <w:t>专职档案员应具有高速公路项目</w:t>
      </w:r>
      <w:r>
        <w:rPr>
          <w:rFonts w:ascii="宋体" w:hAnsi="宋体" w:eastAsia="宋体" w:cs="宋体"/>
          <w:spacing w:val="-2"/>
          <w:sz w:val="24"/>
          <w:szCs w:val="24"/>
        </w:rPr>
        <w:t>的竣工资</w:t>
      </w:r>
      <w:r>
        <w:rPr>
          <w:rFonts w:ascii="宋体" w:hAnsi="宋体" w:eastAsia="宋体" w:cs="宋体"/>
          <w:sz w:val="24"/>
          <w:szCs w:val="24"/>
        </w:rPr>
        <w:t xml:space="preserve"> </w:t>
      </w:r>
      <w:r>
        <w:rPr>
          <w:rFonts w:ascii="宋体" w:hAnsi="宋体" w:eastAsia="宋体" w:cs="宋体"/>
          <w:spacing w:val="-2"/>
          <w:sz w:val="24"/>
          <w:szCs w:val="24"/>
        </w:rPr>
        <w:t>料编制经验。承包人应将项目竣工文件材料的收集、整理、立卷、归档，纳入项目的日</w:t>
      </w:r>
      <w:r>
        <w:rPr>
          <w:rFonts w:ascii="宋体" w:hAnsi="宋体" w:eastAsia="宋体" w:cs="宋体"/>
          <w:spacing w:val="12"/>
          <w:sz w:val="24"/>
          <w:szCs w:val="24"/>
        </w:rPr>
        <w:t xml:space="preserve"> </w:t>
      </w:r>
      <w:r>
        <w:rPr>
          <w:rFonts w:ascii="宋体" w:hAnsi="宋体" w:eastAsia="宋体" w:cs="宋体"/>
          <w:spacing w:val="-6"/>
          <w:sz w:val="24"/>
          <w:szCs w:val="24"/>
        </w:rPr>
        <w:t>常管理工作中，落实档案材料管理领导责任人制，专人负责竣工文件材</w:t>
      </w:r>
      <w:r>
        <w:rPr>
          <w:rFonts w:ascii="宋体" w:hAnsi="宋体" w:eastAsia="宋体" w:cs="宋体"/>
          <w:spacing w:val="-7"/>
          <w:sz w:val="24"/>
          <w:szCs w:val="24"/>
        </w:rPr>
        <w:t>料立卷归档工作，</w:t>
      </w:r>
      <w:r>
        <w:rPr>
          <w:rFonts w:ascii="宋体" w:hAnsi="宋体" w:eastAsia="宋体" w:cs="宋体"/>
          <w:sz w:val="24"/>
          <w:szCs w:val="24"/>
        </w:rPr>
        <w:t xml:space="preserve"> </w:t>
      </w:r>
      <w:r>
        <w:rPr>
          <w:rFonts w:ascii="宋体" w:hAnsi="宋体" w:eastAsia="宋体" w:cs="宋体"/>
          <w:spacing w:val="-2"/>
          <w:sz w:val="24"/>
          <w:szCs w:val="24"/>
        </w:rPr>
        <w:t>确保项目竣工文件材料的完整、准确与系统。工程结束后需按时、按质、按量提交符合</w:t>
      </w:r>
    </w:p>
    <w:p>
      <w:pPr>
        <w:spacing w:before="1" w:line="219" w:lineRule="auto"/>
        <w:ind w:left="13"/>
        <w:rPr>
          <w:rFonts w:ascii="宋体" w:hAnsi="宋体" w:eastAsia="宋体" w:cs="宋体"/>
          <w:sz w:val="24"/>
          <w:szCs w:val="24"/>
        </w:rPr>
      </w:pPr>
      <w:r>
        <w:rPr>
          <w:rFonts w:ascii="宋体" w:hAnsi="宋体" w:eastAsia="宋体" w:cs="宋体"/>
          <w:spacing w:val="-1"/>
          <w:sz w:val="24"/>
          <w:szCs w:val="24"/>
        </w:rPr>
        <w:t>发包人要求的竣工文件纸质档案及电子档案。</w:t>
      </w:r>
    </w:p>
    <w:p>
      <w:pPr>
        <w:spacing w:before="180" w:line="217" w:lineRule="auto"/>
        <w:ind w:left="488"/>
        <w:rPr>
          <w:rFonts w:ascii="宋体" w:hAnsi="宋体" w:eastAsia="宋体" w:cs="宋体"/>
          <w:sz w:val="24"/>
          <w:szCs w:val="24"/>
        </w:rPr>
      </w:pPr>
      <w:r>
        <w:rPr>
          <w:rFonts w:ascii="宋体" w:hAnsi="宋体" w:eastAsia="宋体" w:cs="宋体"/>
          <w:spacing w:val="-2"/>
          <w:sz w:val="24"/>
          <w:szCs w:val="24"/>
        </w:rPr>
        <w:t>⑦施工补勘</w:t>
      </w:r>
    </w:p>
    <w:p>
      <w:pPr>
        <w:spacing w:before="186" w:line="466" w:lineRule="exact"/>
        <w:ind w:left="489"/>
        <w:rPr>
          <w:rFonts w:ascii="宋体" w:hAnsi="宋体" w:eastAsia="宋体" w:cs="宋体"/>
          <w:sz w:val="24"/>
          <w:szCs w:val="24"/>
        </w:rPr>
      </w:pPr>
      <w:r>
        <w:rPr>
          <w:rFonts w:ascii="宋体" w:hAnsi="宋体" w:eastAsia="宋体" w:cs="宋体"/>
          <w:spacing w:val="-2"/>
          <w:position w:val="17"/>
          <w:sz w:val="24"/>
          <w:szCs w:val="24"/>
        </w:rPr>
        <w:t>在工程施工期间，如果监理人要求承包人进行补钻孔或勘探性的开挖工作，须事先</w:t>
      </w:r>
    </w:p>
    <w:p>
      <w:pPr>
        <w:spacing w:line="219" w:lineRule="auto"/>
        <w:ind w:left="12"/>
        <w:rPr>
          <w:rFonts w:ascii="宋体" w:hAnsi="宋体" w:eastAsia="宋体" w:cs="宋体"/>
          <w:sz w:val="24"/>
          <w:szCs w:val="24"/>
        </w:rPr>
      </w:pPr>
      <w:r>
        <w:rPr>
          <w:rFonts w:ascii="宋体" w:hAnsi="宋体" w:eastAsia="宋体" w:cs="宋体"/>
          <w:sz w:val="24"/>
          <w:szCs w:val="24"/>
        </w:rPr>
        <w:t>征得发包人同意。如果此项费用未包含在工程</w:t>
      </w:r>
      <w:r>
        <w:rPr>
          <w:rFonts w:ascii="宋体" w:hAnsi="宋体" w:eastAsia="宋体" w:cs="宋体"/>
          <w:spacing w:val="-1"/>
          <w:sz w:val="24"/>
          <w:szCs w:val="24"/>
        </w:rPr>
        <w:t>量清单项目中，则按变更处理。</w:t>
      </w:r>
    </w:p>
    <w:p>
      <w:pPr>
        <w:spacing w:before="183" w:line="217" w:lineRule="auto"/>
        <w:ind w:left="488"/>
        <w:rPr>
          <w:rFonts w:ascii="宋体" w:hAnsi="宋体" w:eastAsia="宋体" w:cs="宋体"/>
          <w:sz w:val="24"/>
          <w:szCs w:val="24"/>
        </w:rPr>
      </w:pPr>
      <w:r>
        <w:rPr>
          <w:rFonts w:ascii="宋体" w:hAnsi="宋体" w:eastAsia="宋体" w:cs="宋体"/>
          <w:spacing w:val="-1"/>
          <w:sz w:val="24"/>
          <w:szCs w:val="24"/>
        </w:rPr>
        <w:t>⑧遗留问题的处理</w:t>
      </w:r>
    </w:p>
    <w:p>
      <w:pPr>
        <w:spacing w:before="184" w:line="359" w:lineRule="auto"/>
        <w:ind w:left="9" w:right="291" w:firstLine="480"/>
        <w:rPr>
          <w:rFonts w:ascii="宋体" w:hAnsi="宋体" w:eastAsia="宋体" w:cs="宋体"/>
          <w:sz w:val="24"/>
          <w:szCs w:val="24"/>
        </w:rPr>
      </w:pPr>
      <w:r>
        <w:rPr>
          <w:rFonts w:ascii="宋体" w:hAnsi="宋体" w:eastAsia="宋体" w:cs="宋体"/>
          <w:spacing w:val="-2"/>
          <w:sz w:val="24"/>
          <w:szCs w:val="24"/>
        </w:rPr>
        <w:t>承包人在施工过程中应与相关单位或部门多协调、多沟通，妥善处理因施工引起的</w:t>
      </w:r>
      <w:r>
        <w:rPr>
          <w:rFonts w:ascii="宋体" w:hAnsi="宋体" w:eastAsia="宋体" w:cs="宋体"/>
          <w:spacing w:val="8"/>
          <w:sz w:val="24"/>
          <w:szCs w:val="24"/>
        </w:rPr>
        <w:t xml:space="preserve"> </w:t>
      </w:r>
      <w:r>
        <w:rPr>
          <w:rFonts w:ascii="宋体" w:hAnsi="宋体" w:eastAsia="宋体" w:cs="宋体"/>
          <w:spacing w:val="-2"/>
          <w:sz w:val="24"/>
          <w:szCs w:val="24"/>
        </w:rPr>
        <w:t>对地方所产生的影响。承包人在施工过程中应自觉缴纳地方政府及相关单位要求的各类</w:t>
      </w:r>
      <w:r>
        <w:rPr>
          <w:rFonts w:ascii="宋体" w:hAnsi="宋体" w:eastAsia="宋体" w:cs="宋体"/>
          <w:spacing w:val="13"/>
          <w:sz w:val="24"/>
          <w:szCs w:val="24"/>
        </w:rPr>
        <w:t xml:space="preserve"> </w:t>
      </w:r>
      <w:r>
        <w:rPr>
          <w:rFonts w:ascii="宋体" w:hAnsi="宋体" w:eastAsia="宋体" w:cs="宋体"/>
          <w:spacing w:val="-2"/>
          <w:sz w:val="24"/>
          <w:szCs w:val="24"/>
        </w:rPr>
        <w:t>押金、保证金、租金或补偿及使用费用等。如承包人未能妥善处理与地方政府及相关单</w:t>
      </w:r>
      <w:r>
        <w:rPr>
          <w:rFonts w:ascii="宋体" w:hAnsi="宋体" w:eastAsia="宋体" w:cs="宋体"/>
          <w:spacing w:val="13"/>
          <w:sz w:val="24"/>
          <w:szCs w:val="24"/>
        </w:rPr>
        <w:t xml:space="preserve"> </w:t>
      </w:r>
      <w:r>
        <w:rPr>
          <w:rFonts w:ascii="宋体" w:hAnsi="宋体" w:eastAsia="宋体" w:cs="宋体"/>
          <w:spacing w:val="-2"/>
          <w:sz w:val="24"/>
          <w:szCs w:val="24"/>
        </w:rPr>
        <w:t>位的关系而影响施工的，发包人有权不需经承包人同意，代付上述各类款项，并从承包</w:t>
      </w:r>
    </w:p>
    <w:p>
      <w:pPr>
        <w:spacing w:line="219" w:lineRule="auto"/>
        <w:ind w:left="11"/>
        <w:rPr>
          <w:rFonts w:ascii="宋体" w:hAnsi="宋体" w:eastAsia="宋体" w:cs="宋体"/>
          <w:sz w:val="24"/>
          <w:szCs w:val="24"/>
        </w:rPr>
      </w:pPr>
      <w:r>
        <w:rPr>
          <w:rFonts w:ascii="宋体" w:hAnsi="宋体" w:eastAsia="宋体" w:cs="宋体"/>
          <w:sz w:val="24"/>
          <w:szCs w:val="24"/>
        </w:rPr>
        <w:t>人计量款中扣回，最终从承包人结算款中予以如数</w:t>
      </w:r>
      <w:r>
        <w:rPr>
          <w:rFonts w:ascii="宋体" w:hAnsi="宋体" w:eastAsia="宋体" w:cs="宋体"/>
          <w:spacing w:val="-1"/>
          <w:sz w:val="24"/>
          <w:szCs w:val="24"/>
        </w:rPr>
        <w:t>扣回，承包人应无条件接受。</w:t>
      </w:r>
    </w:p>
    <w:p>
      <w:pPr>
        <w:spacing w:line="343" w:lineRule="auto"/>
        <w:rPr>
          <w:rFonts w:ascii="Arial"/>
          <w:sz w:val="21"/>
        </w:rPr>
      </w:pPr>
    </w:p>
    <w:p>
      <w:pPr>
        <w:spacing w:before="60" w:line="220" w:lineRule="auto"/>
        <w:ind w:left="7"/>
        <w:rPr>
          <w:rFonts w:ascii="宋体" w:hAnsi="宋体" w:eastAsia="宋体" w:cs="宋体"/>
          <w:sz w:val="18"/>
          <w:szCs w:val="18"/>
        </w:rPr>
      </w:pPr>
      <w:r>
        <w:rPr>
          <w:rFonts w:ascii="宋体" w:hAnsi="宋体" w:eastAsia="宋体" w:cs="宋体"/>
          <w:sz w:val="18"/>
          <w:szCs w:val="18"/>
        </w:rPr>
        <w:t>①双标管理所发生的相关费用包含在合同总价中还是发包人另行支付由招标人根据相</w:t>
      </w:r>
      <w:r>
        <w:rPr>
          <w:rFonts w:ascii="宋体" w:hAnsi="宋体" w:eastAsia="宋体" w:cs="宋体"/>
          <w:spacing w:val="-1"/>
          <w:sz w:val="18"/>
          <w:szCs w:val="18"/>
        </w:rPr>
        <w:t>关规定进行约定。</w:t>
      </w:r>
    </w:p>
    <w:p>
      <w:pPr>
        <w:spacing w:line="424" w:lineRule="auto"/>
        <w:rPr>
          <w:rFonts w:ascii="Arial"/>
          <w:sz w:val="21"/>
        </w:rPr>
      </w:pPr>
      <w:r>
        <mc:AlternateContent>
          <mc:Choice Requires="wps">
            <w:drawing>
              <wp:anchor distT="0" distB="0" distL="114300" distR="114300" simplePos="0" relativeHeight="251665408" behindDoc="0" locked="0" layoutInCell="0" allowOverlap="1">
                <wp:simplePos x="0" y="0"/>
                <wp:positionH relativeFrom="page">
                  <wp:posOffset>899795</wp:posOffset>
                </wp:positionH>
                <wp:positionV relativeFrom="page">
                  <wp:posOffset>9566910</wp:posOffset>
                </wp:positionV>
                <wp:extent cx="1828800" cy="0"/>
                <wp:effectExtent l="4445" t="4445" r="5080" b="5080"/>
                <wp:wrapNone/>
                <wp:docPr id="84" name="任意多边形 84"/>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3.3pt;height:0pt;width:144pt;mso-position-horizontal-relative:page;mso-position-vertical-relative:page;z-index:251665408;mso-width-relative:page;mso-height-relative:page;" filled="f" stroked="t" coordsize="2880,1" o:allowincell="f" o:gfxdata="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SM2cJ1wAAAA0BAAAPAAAAAAAAAAEAIAAAACIAAABkcnMvZG93bnJldi54bWxQSwECFAAUAAAA&#10;CACHTuJAT38uZSgCAACJBAAADgAAAAAAAAABACAAAAAmAQAAZHJzL2Uyb0RvYy54bWxQSwUGAAAA&#10;AAYABgBZAQAAwAUAAAAA&#10;" path="m0,0l2880,0e">
                <v:fill on="f" focussize="0,0"/>
                <v:stroke weight="0pt" color="#000000" joinstyle="bevel" endcap="square"/>
                <v:imagedata o:title=""/>
                <o:lock v:ext="edit" aspectratio="f"/>
              </v:shape>
            </w:pict>
          </mc:Fallback>
        </mc:AlternateContent>
      </w:r>
    </w:p>
    <w:p>
      <w:pPr>
        <w:spacing w:before="78" w:line="359" w:lineRule="auto"/>
        <w:ind w:left="10" w:right="291" w:firstLine="480"/>
        <w:jc w:val="both"/>
        <w:rPr>
          <w:rFonts w:ascii="宋体" w:hAnsi="宋体" w:eastAsia="宋体" w:cs="宋体"/>
          <w:sz w:val="24"/>
          <w:szCs w:val="24"/>
        </w:rPr>
      </w:pPr>
      <w:r>
        <w:rPr>
          <w:rFonts w:ascii="宋体" w:hAnsi="宋体" w:eastAsia="宋体" w:cs="宋体"/>
          <w:spacing w:val="-2"/>
          <w:sz w:val="24"/>
          <w:szCs w:val="24"/>
        </w:rPr>
        <w:t>工程交工后竣工验收前，承包人所在合同段遗留的问题，承包人应积极主动地进行</w:t>
      </w:r>
      <w:r>
        <w:rPr>
          <w:rFonts w:ascii="宋体" w:hAnsi="宋体" w:eastAsia="宋体" w:cs="宋体"/>
          <w:spacing w:val="5"/>
          <w:sz w:val="24"/>
          <w:szCs w:val="24"/>
        </w:rPr>
        <w:t xml:space="preserve"> </w:t>
      </w:r>
      <w:r>
        <w:rPr>
          <w:rFonts w:ascii="宋体" w:hAnsi="宋体" w:eastAsia="宋体" w:cs="宋体"/>
          <w:spacing w:val="-2"/>
          <w:sz w:val="24"/>
          <w:szCs w:val="24"/>
        </w:rPr>
        <w:t>处理和解决并承担所有费用。如上述问题特别是与地方有关的遗留问题，承包人在发包</w:t>
      </w:r>
      <w:r>
        <w:rPr>
          <w:rFonts w:ascii="宋体" w:hAnsi="宋体" w:eastAsia="宋体" w:cs="宋体"/>
          <w:spacing w:val="10"/>
          <w:sz w:val="24"/>
          <w:szCs w:val="24"/>
        </w:rPr>
        <w:t xml:space="preserve"> </w:t>
      </w:r>
      <w:r>
        <w:rPr>
          <w:rFonts w:ascii="宋体" w:hAnsi="宋体" w:eastAsia="宋体" w:cs="宋体"/>
          <w:spacing w:val="-2"/>
          <w:sz w:val="24"/>
          <w:szCs w:val="24"/>
        </w:rPr>
        <w:t>人规定的期限内不能妥善处理的，发包人有权另行委托其他单位进行处理，发生的全部</w:t>
      </w:r>
    </w:p>
    <w:p>
      <w:pPr>
        <w:spacing w:line="219" w:lineRule="auto"/>
        <w:ind w:left="21"/>
        <w:rPr>
          <w:rFonts w:ascii="宋体" w:hAnsi="宋体" w:eastAsia="宋体" w:cs="宋体"/>
          <w:sz w:val="24"/>
          <w:szCs w:val="24"/>
        </w:rPr>
      </w:pPr>
      <w:r>
        <w:rPr>
          <w:rFonts w:ascii="宋体" w:hAnsi="宋体" w:eastAsia="宋体" w:cs="宋体"/>
          <w:spacing w:val="-1"/>
          <w:sz w:val="24"/>
          <w:szCs w:val="24"/>
        </w:rPr>
        <w:t>费用从应付给承包人的任何款项中扣回，承包人须无条件接受。</w:t>
      </w:r>
    </w:p>
    <w:p>
      <w:pPr>
        <w:spacing w:before="163" w:line="227" w:lineRule="auto"/>
        <w:ind w:left="486"/>
        <w:rPr>
          <w:rFonts w:ascii="宋体" w:hAnsi="宋体" w:eastAsia="宋体" w:cs="宋体"/>
          <w:sz w:val="12"/>
          <w:szCs w:val="12"/>
        </w:rPr>
      </w:pPr>
      <w:r>
        <w:rPr>
          <w:rFonts w:ascii="宋体" w:hAnsi="宋体" w:eastAsia="宋体" w:cs="宋体"/>
          <w:spacing w:val="-2"/>
          <w:sz w:val="24"/>
          <w:szCs w:val="24"/>
        </w:rPr>
        <w:t>⑨验收及其他</w:t>
      </w:r>
      <w:r>
        <w:fldChar w:fldCharType="begin"/>
      </w:r>
      <w:r>
        <w:instrText xml:space="preserve"> HYPERLINK \l "bookmark152" </w:instrText>
      </w:r>
      <w:r>
        <w:fldChar w:fldCharType="separate"/>
      </w:r>
      <w:r>
        <w:rPr>
          <w:rFonts w:ascii="宋体" w:hAnsi="宋体" w:eastAsia="宋体" w:cs="宋体"/>
          <w:spacing w:val="-2"/>
          <w:position w:val="11"/>
          <w:sz w:val="12"/>
          <w:szCs w:val="12"/>
        </w:rPr>
        <w:t>①</w:t>
      </w:r>
      <w:r>
        <w:rPr>
          <w:rFonts w:ascii="宋体" w:hAnsi="宋体" w:eastAsia="宋体" w:cs="宋体"/>
          <w:spacing w:val="-2"/>
          <w:position w:val="11"/>
          <w:sz w:val="12"/>
          <w:szCs w:val="12"/>
        </w:rPr>
        <w:fldChar w:fldCharType="end"/>
      </w:r>
    </w:p>
    <w:p>
      <w:pPr>
        <w:spacing w:before="191" w:line="359" w:lineRule="auto"/>
        <w:ind w:left="9" w:right="230" w:firstLine="479"/>
        <w:rPr>
          <w:rFonts w:ascii="宋体" w:hAnsi="宋体" w:eastAsia="宋体" w:cs="宋体"/>
          <w:sz w:val="24"/>
          <w:szCs w:val="24"/>
        </w:rPr>
      </w:pPr>
      <w:r>
        <w:rPr>
          <w:rFonts w:ascii="宋体" w:hAnsi="宋体" w:eastAsia="宋体" w:cs="宋体"/>
          <w:spacing w:val="-7"/>
          <w:sz w:val="24"/>
          <w:szCs w:val="24"/>
        </w:rPr>
        <w:t>根据《广东省交通运输厅关于进一步加强公路水路建设工程防雷工作的通知》要求，</w:t>
      </w:r>
      <w:r>
        <w:rPr>
          <w:rFonts w:ascii="宋体" w:hAnsi="宋体" w:eastAsia="宋体" w:cs="宋体"/>
          <w:spacing w:val="17"/>
          <w:sz w:val="24"/>
          <w:szCs w:val="24"/>
        </w:rPr>
        <w:t xml:space="preserve"> </w:t>
      </w:r>
      <w:r>
        <w:rPr>
          <w:rFonts w:ascii="宋体" w:hAnsi="宋体" w:eastAsia="宋体" w:cs="宋体"/>
          <w:spacing w:val="-2"/>
          <w:sz w:val="24"/>
          <w:szCs w:val="24"/>
        </w:rPr>
        <w:t>本项目将防雷减灾工作纳入安全生产日常管理，发包人将根据上级要求及相关技术规范</w:t>
      </w:r>
      <w:r>
        <w:rPr>
          <w:rFonts w:ascii="宋体" w:hAnsi="宋体" w:eastAsia="宋体" w:cs="宋体"/>
          <w:spacing w:val="11"/>
          <w:sz w:val="24"/>
          <w:szCs w:val="24"/>
        </w:rPr>
        <w:t xml:space="preserve"> </w:t>
      </w:r>
      <w:r>
        <w:rPr>
          <w:rFonts w:ascii="宋体" w:hAnsi="宋体" w:eastAsia="宋体" w:cs="宋体"/>
          <w:spacing w:val="-2"/>
          <w:sz w:val="24"/>
          <w:szCs w:val="24"/>
        </w:rPr>
        <w:t>统筹安排，在本项目中落实防雷装置与主体工程同时设计、同时施工、同时验收，承包</w:t>
      </w:r>
      <w:r>
        <w:rPr>
          <w:rFonts w:ascii="宋体" w:hAnsi="宋体" w:eastAsia="宋体" w:cs="宋体"/>
          <w:spacing w:val="11"/>
          <w:sz w:val="24"/>
          <w:szCs w:val="24"/>
        </w:rPr>
        <w:t xml:space="preserve"> </w:t>
      </w:r>
      <w:r>
        <w:rPr>
          <w:rFonts w:ascii="宋体" w:hAnsi="宋体" w:eastAsia="宋体" w:cs="宋体"/>
          <w:spacing w:val="-2"/>
          <w:sz w:val="24"/>
          <w:szCs w:val="24"/>
        </w:rPr>
        <w:t>人必须承担相应防雷工作的主体责任，严格按本项目防雷设计与相关要求组织实施防雷</w:t>
      </w:r>
      <w:r>
        <w:rPr>
          <w:rFonts w:ascii="宋体" w:hAnsi="宋体" w:eastAsia="宋体" w:cs="宋体"/>
          <w:spacing w:val="11"/>
          <w:sz w:val="24"/>
          <w:szCs w:val="24"/>
        </w:rPr>
        <w:t xml:space="preserve"> </w:t>
      </w:r>
      <w:r>
        <w:rPr>
          <w:rFonts w:ascii="宋体" w:hAnsi="宋体" w:eastAsia="宋体" w:cs="宋体"/>
          <w:spacing w:val="-2"/>
          <w:sz w:val="24"/>
          <w:szCs w:val="24"/>
        </w:rPr>
        <w:t>工程施工，必须采购满足设计文件技术指标和功能参数的材料设备，材料设备必须提供</w:t>
      </w:r>
    </w:p>
    <w:p>
      <w:pPr>
        <w:spacing w:before="1" w:line="217" w:lineRule="auto"/>
        <w:ind w:left="9"/>
        <w:rPr>
          <w:rFonts w:ascii="宋体" w:hAnsi="宋体" w:eastAsia="宋体" w:cs="宋体"/>
          <w:sz w:val="24"/>
          <w:szCs w:val="24"/>
        </w:rPr>
      </w:pPr>
      <w:r>
        <w:rPr>
          <w:rFonts w:ascii="宋体" w:hAnsi="宋体" w:eastAsia="宋体" w:cs="宋体"/>
          <w:spacing w:val="-5"/>
          <w:sz w:val="24"/>
          <w:szCs w:val="24"/>
        </w:rPr>
        <w:t>质量检验报告并接受质量监督，相关设备需报监理人批准，确保项目防雷工程验收合格。</w:t>
      </w:r>
    </w:p>
    <w:p>
      <w:pPr>
        <w:spacing w:before="182" w:line="217" w:lineRule="auto"/>
        <w:ind w:left="486"/>
        <w:rPr>
          <w:rFonts w:ascii="宋体" w:hAnsi="宋体" w:eastAsia="宋体" w:cs="宋体"/>
          <w:sz w:val="24"/>
          <w:szCs w:val="24"/>
        </w:rPr>
      </w:pPr>
      <w:r>
        <w:rPr>
          <w:rFonts w:ascii="宋体" w:hAnsi="宋体" w:eastAsia="宋体" w:cs="宋体"/>
          <w:spacing w:val="-1"/>
          <w:sz w:val="24"/>
          <w:szCs w:val="24"/>
        </w:rPr>
        <w:t>⑩应履行的其他义务</w:t>
      </w:r>
    </w:p>
    <w:p>
      <w:pPr>
        <w:spacing w:before="186" w:line="359" w:lineRule="auto"/>
        <w:ind w:left="7" w:right="291" w:firstLine="473"/>
        <w:rPr>
          <w:rFonts w:ascii="宋体" w:hAnsi="宋体" w:eastAsia="宋体" w:cs="宋体"/>
          <w:sz w:val="24"/>
          <w:szCs w:val="24"/>
        </w:rPr>
      </w:pPr>
      <w:r>
        <w:rPr>
          <w:rFonts w:ascii="宋体" w:hAnsi="宋体" w:eastAsia="宋体" w:cs="宋体"/>
          <w:spacing w:val="2"/>
          <w:sz w:val="24"/>
          <w:szCs w:val="24"/>
        </w:rPr>
        <w:t>A、承包人因非本合同项目的诉讼、仲裁或行政处罚，导致法院</w:t>
      </w:r>
      <w:r>
        <w:rPr>
          <w:rFonts w:ascii="宋体" w:hAnsi="宋体" w:eastAsia="宋体" w:cs="宋体"/>
          <w:spacing w:val="1"/>
          <w:sz w:val="24"/>
          <w:szCs w:val="24"/>
        </w:rPr>
        <w:t>或其他有权机关依</w:t>
      </w:r>
      <w:r>
        <w:rPr>
          <w:rFonts w:ascii="宋体" w:hAnsi="宋体" w:eastAsia="宋体" w:cs="宋体"/>
          <w:sz w:val="24"/>
          <w:szCs w:val="24"/>
        </w:rPr>
        <w:t xml:space="preserve"> </w:t>
      </w:r>
      <w:r>
        <w:rPr>
          <w:rFonts w:ascii="宋体" w:hAnsi="宋体" w:eastAsia="宋体" w:cs="宋体"/>
          <w:spacing w:val="-2"/>
          <w:sz w:val="24"/>
          <w:szCs w:val="24"/>
        </w:rPr>
        <w:t>法到发包人或发包人开户银行执行扣除承包人已完成工程量结算款项的，承包人须无条</w:t>
      </w:r>
      <w:r>
        <w:rPr>
          <w:rFonts w:ascii="宋体" w:hAnsi="宋体" w:eastAsia="宋体" w:cs="宋体"/>
          <w:spacing w:val="13"/>
          <w:sz w:val="24"/>
          <w:szCs w:val="24"/>
        </w:rPr>
        <w:t xml:space="preserve"> </w:t>
      </w:r>
      <w:r>
        <w:rPr>
          <w:rFonts w:ascii="宋体" w:hAnsi="宋体" w:eastAsia="宋体" w:cs="宋体"/>
          <w:spacing w:val="-2"/>
          <w:sz w:val="24"/>
          <w:szCs w:val="24"/>
        </w:rPr>
        <w:t>件接受该项执行扣款事实，承认已经收到发包人应付的该项工程进度款。此外，承包人</w:t>
      </w:r>
      <w:r>
        <w:rPr>
          <w:rFonts w:ascii="宋体" w:hAnsi="宋体" w:eastAsia="宋体" w:cs="宋体"/>
          <w:spacing w:val="13"/>
          <w:sz w:val="24"/>
          <w:szCs w:val="24"/>
        </w:rPr>
        <w:t xml:space="preserve"> </w:t>
      </w:r>
      <w:r>
        <w:rPr>
          <w:rFonts w:ascii="宋体" w:hAnsi="宋体" w:eastAsia="宋体" w:cs="宋体"/>
          <w:spacing w:val="-2"/>
          <w:sz w:val="24"/>
          <w:szCs w:val="24"/>
        </w:rPr>
        <w:t>还须对因该事件构成对发包人的负面影响与经济损失承担全额赔偿责任，同时视为承包</w:t>
      </w:r>
    </w:p>
    <w:p>
      <w:pPr>
        <w:spacing w:before="1" w:line="217" w:lineRule="auto"/>
        <w:ind w:left="10"/>
        <w:rPr>
          <w:rFonts w:ascii="宋体" w:hAnsi="宋体" w:eastAsia="宋体" w:cs="宋体"/>
          <w:sz w:val="24"/>
          <w:szCs w:val="24"/>
        </w:rPr>
      </w:pPr>
      <w:r>
        <w:rPr>
          <w:rFonts w:ascii="宋体" w:hAnsi="宋体" w:eastAsia="宋体" w:cs="宋体"/>
          <w:spacing w:val="-1"/>
          <w:sz w:val="24"/>
          <w:szCs w:val="24"/>
        </w:rPr>
        <w:t>人违反工程价款专款专用的约定，按</w:t>
      </w:r>
      <w:r>
        <w:rPr>
          <w:rFonts w:ascii="宋体" w:hAnsi="宋体" w:eastAsia="宋体" w:cs="宋体"/>
          <w:spacing w:val="-52"/>
          <w:sz w:val="24"/>
          <w:szCs w:val="24"/>
        </w:rPr>
        <w:t xml:space="preserve"> </w:t>
      </w:r>
      <w:r>
        <w:rPr>
          <w:rFonts w:ascii="宋体" w:hAnsi="宋体" w:eastAsia="宋体" w:cs="宋体"/>
          <w:spacing w:val="-1"/>
          <w:sz w:val="24"/>
          <w:szCs w:val="24"/>
        </w:rPr>
        <w:t>4.9</w:t>
      </w:r>
      <w:r>
        <w:rPr>
          <w:rFonts w:ascii="宋体" w:hAnsi="宋体" w:eastAsia="宋体" w:cs="宋体"/>
          <w:spacing w:val="-50"/>
          <w:sz w:val="24"/>
          <w:szCs w:val="24"/>
        </w:rPr>
        <w:t xml:space="preserve"> </w:t>
      </w:r>
      <w:r>
        <w:rPr>
          <w:rFonts w:ascii="宋体" w:hAnsi="宋体" w:eastAsia="宋体" w:cs="宋体"/>
          <w:spacing w:val="-1"/>
          <w:sz w:val="24"/>
          <w:szCs w:val="24"/>
        </w:rPr>
        <w:t>款约定进</w:t>
      </w:r>
      <w:r>
        <w:rPr>
          <w:rFonts w:ascii="宋体" w:hAnsi="宋体" w:eastAsia="宋体" w:cs="宋体"/>
          <w:spacing w:val="-2"/>
          <w:sz w:val="24"/>
          <w:szCs w:val="24"/>
        </w:rPr>
        <w:t>行处理。</w:t>
      </w:r>
    </w:p>
    <w:p>
      <w:pPr>
        <w:spacing w:before="183" w:line="468" w:lineRule="exact"/>
        <w:ind w:left="482"/>
        <w:rPr>
          <w:rFonts w:ascii="宋体" w:hAnsi="宋体" w:eastAsia="宋体" w:cs="宋体"/>
          <w:sz w:val="24"/>
          <w:szCs w:val="24"/>
        </w:rPr>
      </w:pPr>
      <w:r>
        <w:rPr>
          <w:rFonts w:ascii="宋体" w:hAnsi="宋体" w:eastAsia="宋体" w:cs="宋体"/>
          <w:spacing w:val="2"/>
          <w:position w:val="17"/>
          <w:sz w:val="24"/>
          <w:szCs w:val="24"/>
        </w:rPr>
        <w:t>B、承包人应根据发包人的要求和施工现场实际情况开展施</w:t>
      </w:r>
      <w:r>
        <w:rPr>
          <w:rFonts w:ascii="宋体" w:hAnsi="宋体" w:eastAsia="宋体" w:cs="宋体"/>
          <w:spacing w:val="1"/>
          <w:position w:val="17"/>
          <w:sz w:val="24"/>
          <w:szCs w:val="24"/>
        </w:rPr>
        <w:t>工作业，必须按发包人</w:t>
      </w:r>
    </w:p>
    <w:p>
      <w:pPr>
        <w:spacing w:before="1" w:line="218" w:lineRule="auto"/>
        <w:ind w:left="28"/>
        <w:rPr>
          <w:rFonts w:ascii="宋体" w:hAnsi="宋体" w:eastAsia="宋体" w:cs="宋体"/>
          <w:sz w:val="24"/>
          <w:szCs w:val="24"/>
        </w:rPr>
      </w:pPr>
      <w:r>
        <w:rPr>
          <w:rFonts w:ascii="宋体" w:hAnsi="宋体" w:eastAsia="宋体" w:cs="宋体"/>
          <w:spacing w:val="-1"/>
          <w:sz w:val="24"/>
          <w:szCs w:val="24"/>
        </w:rPr>
        <w:t>的指令开展施工，必要时必须借助地方道路或收费公路作为运输通道。</w:t>
      </w:r>
    </w:p>
    <w:p>
      <w:pPr>
        <w:spacing w:before="183" w:line="466" w:lineRule="exact"/>
        <w:ind w:left="486"/>
        <w:rPr>
          <w:rFonts w:ascii="宋体" w:hAnsi="宋体" w:eastAsia="宋体" w:cs="宋体"/>
          <w:sz w:val="24"/>
          <w:szCs w:val="24"/>
        </w:rPr>
      </w:pPr>
      <w:r>
        <w:rPr>
          <w:rFonts w:ascii="宋体" w:hAnsi="宋体" w:eastAsia="宋体" w:cs="宋体"/>
          <w:spacing w:val="2"/>
          <w:position w:val="17"/>
          <w:sz w:val="24"/>
          <w:szCs w:val="24"/>
        </w:rPr>
        <w:t>C、海事、海洋、航道、环保、边防、公安、渔政</w:t>
      </w:r>
      <w:r>
        <w:rPr>
          <w:rFonts w:ascii="宋体" w:hAnsi="宋体" w:eastAsia="宋体" w:cs="宋体"/>
          <w:spacing w:val="1"/>
          <w:position w:val="17"/>
          <w:sz w:val="24"/>
          <w:szCs w:val="24"/>
        </w:rPr>
        <w:t>、港口、交通维护、治安协调等</w:t>
      </w:r>
    </w:p>
    <w:p>
      <w:pPr>
        <w:spacing w:line="220" w:lineRule="auto"/>
        <w:ind w:left="9"/>
        <w:rPr>
          <w:rFonts w:ascii="宋体" w:hAnsi="宋体" w:eastAsia="宋体" w:cs="宋体"/>
          <w:sz w:val="24"/>
          <w:szCs w:val="24"/>
        </w:rPr>
      </w:pPr>
      <w:r>
        <w:rPr>
          <w:rFonts w:ascii="宋体" w:hAnsi="宋体" w:eastAsia="宋体" w:cs="宋体"/>
          <w:spacing w:val="-2"/>
          <w:sz w:val="24"/>
          <w:szCs w:val="24"/>
        </w:rPr>
        <w:t>有关事宜费用。</w:t>
      </w:r>
    </w:p>
    <w:p>
      <w:pPr>
        <w:spacing w:before="182" w:line="359" w:lineRule="auto"/>
        <w:ind w:left="8" w:right="232" w:firstLine="479"/>
        <w:rPr>
          <w:rFonts w:ascii="宋体" w:hAnsi="宋体" w:eastAsia="宋体" w:cs="宋体"/>
          <w:sz w:val="24"/>
          <w:szCs w:val="24"/>
        </w:rPr>
      </w:pPr>
      <w:r>
        <w:rPr>
          <w:rFonts w:ascii="宋体" w:hAnsi="宋体" w:eastAsia="宋体" w:cs="宋体"/>
          <w:spacing w:val="-7"/>
          <w:sz w:val="24"/>
          <w:szCs w:val="24"/>
        </w:rPr>
        <w:t>对渔业资源、电力电缆、通信电缆（包括国防电缆等）、供水排水管道等影响补偿：</w:t>
      </w:r>
      <w:r>
        <w:rPr>
          <w:rFonts w:ascii="宋体" w:hAnsi="宋体" w:eastAsia="宋体" w:cs="宋体"/>
          <w:spacing w:val="16"/>
          <w:sz w:val="24"/>
          <w:szCs w:val="24"/>
        </w:rPr>
        <w:t xml:space="preserve"> </w:t>
      </w:r>
      <w:r>
        <w:rPr>
          <w:rFonts w:ascii="宋体" w:hAnsi="宋体" w:eastAsia="宋体" w:cs="宋体"/>
          <w:spacing w:val="-2"/>
          <w:sz w:val="24"/>
          <w:szCs w:val="24"/>
        </w:rPr>
        <w:t>承包人须就施工对渔业资源、电力电缆、通信电缆（包括国防电缆等）、供水排水管道</w:t>
      </w:r>
      <w:r>
        <w:rPr>
          <w:rFonts w:ascii="宋体" w:hAnsi="宋体" w:eastAsia="宋体" w:cs="宋体"/>
          <w:spacing w:val="12"/>
          <w:sz w:val="24"/>
          <w:szCs w:val="24"/>
        </w:rPr>
        <w:t xml:space="preserve"> </w:t>
      </w:r>
      <w:r>
        <w:rPr>
          <w:rFonts w:ascii="宋体" w:hAnsi="宋体" w:eastAsia="宋体" w:cs="宋体"/>
          <w:spacing w:val="-2"/>
          <w:sz w:val="24"/>
          <w:szCs w:val="24"/>
        </w:rPr>
        <w:t>等的影响与相关部门协商，并承担相应的补偿费用。因承包人施工给渔业资源、电力电</w:t>
      </w:r>
      <w:r>
        <w:rPr>
          <w:rFonts w:ascii="宋体" w:hAnsi="宋体" w:eastAsia="宋体" w:cs="宋体"/>
          <w:spacing w:val="12"/>
          <w:sz w:val="24"/>
          <w:szCs w:val="24"/>
        </w:rPr>
        <w:t xml:space="preserve"> </w:t>
      </w:r>
      <w:r>
        <w:rPr>
          <w:rFonts w:ascii="宋体" w:hAnsi="宋体" w:eastAsia="宋体" w:cs="宋体"/>
          <w:spacing w:val="-2"/>
          <w:sz w:val="24"/>
          <w:szCs w:val="24"/>
        </w:rPr>
        <w:t>缆、通信电缆（包括国防电缆等）、供水排水管道等造成损害的，承包人应承担一切责</w:t>
      </w:r>
    </w:p>
    <w:p>
      <w:pPr>
        <w:spacing w:before="1" w:line="219" w:lineRule="auto"/>
        <w:ind w:left="7"/>
        <w:rPr>
          <w:rFonts w:ascii="宋体" w:hAnsi="宋体" w:eastAsia="宋体" w:cs="宋体"/>
          <w:sz w:val="24"/>
          <w:szCs w:val="24"/>
        </w:rPr>
      </w:pPr>
      <w:r>
        <w:rPr>
          <w:rFonts w:ascii="宋体" w:hAnsi="宋体" w:eastAsia="宋体" w:cs="宋体"/>
          <w:spacing w:val="-2"/>
          <w:sz w:val="24"/>
          <w:szCs w:val="24"/>
        </w:rPr>
        <w:t>任和赔偿费用。</w:t>
      </w:r>
    </w:p>
    <w:p>
      <w:pPr>
        <w:spacing w:before="181" w:line="359" w:lineRule="auto"/>
        <w:ind w:left="11" w:right="291" w:firstLine="479"/>
        <w:rPr>
          <w:rFonts w:ascii="宋体" w:hAnsi="宋体" w:eastAsia="宋体" w:cs="宋体"/>
          <w:sz w:val="24"/>
          <w:szCs w:val="24"/>
        </w:rPr>
      </w:pPr>
      <w:r>
        <w:rPr>
          <w:rFonts w:ascii="宋体" w:hAnsi="宋体" w:eastAsia="宋体" w:cs="宋体"/>
          <w:spacing w:val="-2"/>
          <w:sz w:val="24"/>
          <w:szCs w:val="24"/>
        </w:rPr>
        <w:t>现有航道的占用、改移和恢复：如本项目施工对现有航道造成直接影响，为保证施</w:t>
      </w:r>
      <w:r>
        <w:rPr>
          <w:rFonts w:ascii="宋体" w:hAnsi="宋体" w:eastAsia="宋体" w:cs="宋体"/>
          <w:spacing w:val="6"/>
          <w:sz w:val="24"/>
          <w:szCs w:val="24"/>
        </w:rPr>
        <w:t xml:space="preserve"> </w:t>
      </w:r>
      <w:r>
        <w:rPr>
          <w:rFonts w:ascii="宋体" w:hAnsi="宋体" w:eastAsia="宋体" w:cs="宋体"/>
          <w:spacing w:val="-2"/>
          <w:sz w:val="24"/>
          <w:szCs w:val="24"/>
        </w:rPr>
        <w:t>工期间各类船舶的正常通行和行驶安全，承包人须对现有航道进行临时改移和维护，待</w:t>
      </w:r>
    </w:p>
    <w:p>
      <w:pPr>
        <w:spacing w:line="219" w:lineRule="auto"/>
        <w:ind w:left="8"/>
        <w:rPr>
          <w:rFonts w:ascii="宋体" w:hAnsi="宋体" w:eastAsia="宋体" w:cs="宋体"/>
          <w:sz w:val="24"/>
          <w:szCs w:val="24"/>
        </w:rPr>
      </w:pPr>
      <w:r>
        <w:rPr>
          <w:rFonts w:ascii="宋体" w:hAnsi="宋体" w:eastAsia="宋体" w:cs="宋体"/>
          <w:spacing w:val="-2"/>
          <w:sz w:val="24"/>
          <w:szCs w:val="24"/>
        </w:rPr>
        <w:t>相关工程完成施工、现有航道具备恢复通航条件时再按原通航标准及时予以恢复，工作</w:t>
      </w:r>
    </w:p>
    <w:p>
      <w:pPr>
        <w:spacing w:line="343" w:lineRule="auto"/>
        <w:rPr>
          <w:rFonts w:ascii="Arial"/>
          <w:sz w:val="21"/>
        </w:rPr>
      </w:pPr>
    </w:p>
    <w:p>
      <w:pPr>
        <w:spacing w:before="59" w:line="220" w:lineRule="auto"/>
        <w:ind w:left="5"/>
        <w:rPr>
          <w:rFonts w:ascii="宋体" w:hAnsi="宋体" w:eastAsia="宋体" w:cs="宋体"/>
          <w:sz w:val="18"/>
          <w:szCs w:val="18"/>
        </w:rPr>
      </w:pPr>
      <w:r>
        <w:rPr>
          <w:rFonts w:ascii="宋体" w:hAnsi="宋体" w:eastAsia="宋体" w:cs="宋体"/>
          <w:spacing w:val="-1"/>
          <w:sz w:val="18"/>
          <w:szCs w:val="18"/>
        </w:rPr>
        <w:t>① 若项目工程无此项验收规定，可删除该条款。</w:t>
      </w:r>
    </w:p>
    <w:p>
      <w:pPr>
        <w:spacing w:line="425" w:lineRule="auto"/>
        <w:rPr>
          <w:rFonts w:ascii="Arial"/>
          <w:sz w:val="21"/>
        </w:rPr>
      </w:pPr>
    </w:p>
    <w:p>
      <w:pPr>
        <w:spacing w:before="78" w:line="359" w:lineRule="auto"/>
        <w:ind w:left="5" w:right="278" w:firstLine="29"/>
        <w:jc w:val="both"/>
        <w:rPr>
          <w:rFonts w:ascii="宋体" w:hAnsi="宋体" w:eastAsia="宋体" w:cs="宋体"/>
          <w:sz w:val="24"/>
          <w:szCs w:val="24"/>
        </w:rPr>
      </w:pPr>
      <w:r>
        <w:rPr>
          <w:rFonts w:ascii="宋体" w:hAnsi="宋体" w:eastAsia="宋体" w:cs="宋体"/>
          <w:spacing w:val="-2"/>
          <w:sz w:val="24"/>
          <w:szCs w:val="24"/>
        </w:rPr>
        <w:t>内容包括但不限于勘察、设计、办理各种报批、施工许可手续、施工、临时航</w:t>
      </w:r>
      <w:r>
        <w:rPr>
          <w:rFonts w:ascii="宋体" w:hAnsi="宋体" w:eastAsia="宋体" w:cs="宋体"/>
          <w:spacing w:val="-3"/>
          <w:sz w:val="24"/>
          <w:szCs w:val="24"/>
        </w:rPr>
        <w:t>道验收、</w:t>
      </w:r>
      <w:r>
        <w:rPr>
          <w:rFonts w:ascii="宋体" w:hAnsi="宋体" w:eastAsia="宋体" w:cs="宋体"/>
          <w:sz w:val="24"/>
          <w:szCs w:val="24"/>
        </w:rPr>
        <w:t xml:space="preserve"> </w:t>
      </w:r>
      <w:r>
        <w:rPr>
          <w:rFonts w:ascii="宋体" w:hAnsi="宋体" w:eastAsia="宋体" w:cs="宋体"/>
          <w:spacing w:val="-2"/>
          <w:sz w:val="24"/>
          <w:szCs w:val="24"/>
        </w:rPr>
        <w:t>航道维护、既有航道恢复以及验收等，相关费用已包含在合同总价中（除合同另有约定</w:t>
      </w:r>
    </w:p>
    <w:p>
      <w:pPr>
        <w:spacing w:line="220" w:lineRule="auto"/>
        <w:ind w:left="10"/>
        <w:rPr>
          <w:rFonts w:ascii="宋体" w:hAnsi="宋体" w:eastAsia="宋体" w:cs="宋体"/>
          <w:sz w:val="24"/>
          <w:szCs w:val="24"/>
        </w:rPr>
      </w:pPr>
      <w:r>
        <w:rPr>
          <w:rFonts w:ascii="宋体" w:hAnsi="宋体" w:eastAsia="宋体" w:cs="宋体"/>
          <w:spacing w:val="-5"/>
          <w:sz w:val="24"/>
          <w:szCs w:val="24"/>
        </w:rPr>
        <w:t>外）。</w:t>
      </w:r>
    </w:p>
    <w:p>
      <w:pPr>
        <w:spacing w:before="179" w:line="359" w:lineRule="auto"/>
        <w:ind w:left="7" w:right="291" w:firstLine="480"/>
        <w:rPr>
          <w:rFonts w:ascii="宋体" w:hAnsi="宋体" w:eastAsia="宋体" w:cs="宋体"/>
          <w:sz w:val="24"/>
          <w:szCs w:val="24"/>
        </w:rPr>
      </w:pPr>
      <w:r>
        <w:rPr>
          <w:rFonts w:ascii="宋体" w:hAnsi="宋体" w:eastAsia="宋体" w:cs="宋体"/>
          <w:spacing w:val="-2"/>
          <w:sz w:val="24"/>
          <w:szCs w:val="24"/>
        </w:rPr>
        <w:t>现有道路、市政设施及绿化、青苗的占用和恢复：如本项目施工需临时占用现有道</w:t>
      </w:r>
      <w:r>
        <w:rPr>
          <w:rFonts w:ascii="宋体" w:hAnsi="宋体" w:eastAsia="宋体" w:cs="宋体"/>
          <w:spacing w:val="6"/>
          <w:sz w:val="24"/>
          <w:szCs w:val="24"/>
        </w:rPr>
        <w:t xml:space="preserve"> </w:t>
      </w:r>
      <w:r>
        <w:rPr>
          <w:rFonts w:ascii="宋体" w:hAnsi="宋体" w:eastAsia="宋体" w:cs="宋体"/>
          <w:spacing w:val="-2"/>
          <w:sz w:val="24"/>
          <w:szCs w:val="24"/>
        </w:rPr>
        <w:t>路、路灯照明、人行设施、绿化、青苗等，承包人应在施工前编制占用恢复计划，及时</w:t>
      </w:r>
    </w:p>
    <w:p>
      <w:pPr>
        <w:spacing w:line="219" w:lineRule="auto"/>
        <w:ind w:left="29"/>
        <w:rPr>
          <w:rFonts w:ascii="宋体" w:hAnsi="宋体" w:eastAsia="宋体" w:cs="宋体"/>
          <w:sz w:val="24"/>
          <w:szCs w:val="24"/>
        </w:rPr>
      </w:pPr>
      <w:r>
        <w:rPr>
          <w:rFonts w:ascii="宋体" w:hAnsi="宋体" w:eastAsia="宋体" w:cs="宋体"/>
          <w:spacing w:val="-1"/>
          <w:sz w:val="24"/>
          <w:szCs w:val="24"/>
        </w:rPr>
        <w:t>向公路、交警、市政园林等部门办理有关手续，并承担相应的修复和补偿费用。</w:t>
      </w:r>
    </w:p>
    <w:p>
      <w:pPr>
        <w:spacing w:before="183" w:line="219" w:lineRule="auto"/>
        <w:ind w:left="480"/>
        <w:rPr>
          <w:rFonts w:ascii="宋体" w:hAnsi="宋体" w:eastAsia="宋体" w:cs="宋体"/>
          <w:sz w:val="24"/>
          <w:szCs w:val="24"/>
        </w:rPr>
      </w:pPr>
      <w:r>
        <w:rPr>
          <w:rFonts w:ascii="宋体" w:hAnsi="宋体" w:eastAsia="宋体" w:cs="宋体"/>
          <w:spacing w:val="-1"/>
          <w:sz w:val="24"/>
          <w:szCs w:val="24"/>
        </w:rPr>
        <w:t>D、承担因违反有关部门规定造成的损失和违约金</w:t>
      </w:r>
    </w:p>
    <w:p>
      <w:pPr>
        <w:spacing w:before="182" w:line="359" w:lineRule="auto"/>
        <w:ind w:left="6" w:right="230" w:firstLine="479"/>
        <w:rPr>
          <w:rFonts w:ascii="宋体" w:hAnsi="宋体" w:eastAsia="宋体" w:cs="宋体"/>
          <w:sz w:val="24"/>
          <w:szCs w:val="24"/>
        </w:rPr>
      </w:pPr>
      <w:r>
        <w:rPr>
          <w:rFonts w:ascii="宋体" w:hAnsi="宋体" w:eastAsia="宋体" w:cs="宋体"/>
          <w:spacing w:val="-2"/>
          <w:sz w:val="24"/>
          <w:szCs w:val="24"/>
        </w:rPr>
        <w:t>承包人必须严格按照有关部门的规定和要求组织施工，如有违反，应承担相应的损</w:t>
      </w:r>
      <w:r>
        <w:rPr>
          <w:rFonts w:ascii="宋体" w:hAnsi="宋体" w:eastAsia="宋体" w:cs="宋体"/>
          <w:spacing w:val="8"/>
          <w:sz w:val="24"/>
          <w:szCs w:val="24"/>
        </w:rPr>
        <w:t xml:space="preserve"> </w:t>
      </w:r>
      <w:r>
        <w:rPr>
          <w:rFonts w:ascii="宋体" w:hAnsi="宋体" w:eastAsia="宋体" w:cs="宋体"/>
          <w:spacing w:val="-2"/>
          <w:sz w:val="24"/>
          <w:szCs w:val="24"/>
        </w:rPr>
        <w:t>失及违约金。同时，应充分考虑相关行业主管部门的监测保护要求和受影响单位的管制</w:t>
      </w:r>
      <w:r>
        <w:rPr>
          <w:rFonts w:ascii="宋体" w:hAnsi="宋体" w:eastAsia="宋体" w:cs="宋体"/>
          <w:spacing w:val="11"/>
          <w:sz w:val="24"/>
          <w:szCs w:val="24"/>
        </w:rPr>
        <w:t xml:space="preserve"> </w:t>
      </w:r>
      <w:r>
        <w:rPr>
          <w:rFonts w:ascii="宋体" w:hAnsi="宋体" w:eastAsia="宋体" w:cs="宋体"/>
          <w:spacing w:val="-6"/>
          <w:sz w:val="24"/>
          <w:szCs w:val="24"/>
        </w:rPr>
        <w:t>要求，以及可能对作业点的控制或作业强度、作业时间等限制，对合</w:t>
      </w:r>
      <w:r>
        <w:rPr>
          <w:rFonts w:ascii="宋体" w:hAnsi="宋体" w:eastAsia="宋体" w:cs="宋体"/>
          <w:spacing w:val="-7"/>
          <w:sz w:val="24"/>
          <w:szCs w:val="24"/>
        </w:rPr>
        <w:t>同工期产生的影响，</w:t>
      </w:r>
    </w:p>
    <w:p>
      <w:pPr>
        <w:spacing w:line="219" w:lineRule="auto"/>
        <w:ind w:left="9"/>
        <w:rPr>
          <w:rFonts w:ascii="宋体" w:hAnsi="宋体" w:eastAsia="宋体" w:cs="宋体"/>
          <w:sz w:val="24"/>
          <w:szCs w:val="24"/>
        </w:rPr>
      </w:pPr>
      <w:r>
        <w:rPr>
          <w:rFonts w:ascii="宋体" w:hAnsi="宋体" w:eastAsia="宋体" w:cs="宋体"/>
          <w:spacing w:val="-1"/>
          <w:sz w:val="24"/>
          <w:szCs w:val="24"/>
        </w:rPr>
        <w:t>发包人不因此延长工期和增加费用（除合同另有约定外）。</w:t>
      </w:r>
    </w:p>
    <w:p>
      <w:pPr>
        <w:spacing w:before="181" w:line="360" w:lineRule="auto"/>
        <w:ind w:left="5" w:right="291" w:firstLine="477"/>
        <w:rPr>
          <w:rFonts w:ascii="宋体" w:hAnsi="宋体" w:eastAsia="宋体" w:cs="宋体"/>
          <w:sz w:val="24"/>
          <w:szCs w:val="24"/>
        </w:rPr>
      </w:pPr>
      <w:r>
        <w:rPr>
          <w:rFonts w:ascii="宋体" w:hAnsi="宋体" w:eastAsia="宋体" w:cs="宋体"/>
          <w:spacing w:val="2"/>
          <w:sz w:val="24"/>
          <w:szCs w:val="24"/>
        </w:rPr>
        <w:t>E、承包人应根据工程施工情况及监理人的指令，及</w:t>
      </w:r>
      <w:r>
        <w:rPr>
          <w:rFonts w:ascii="宋体" w:hAnsi="宋体" w:eastAsia="宋体" w:cs="宋体"/>
          <w:spacing w:val="1"/>
          <w:sz w:val="24"/>
          <w:szCs w:val="24"/>
        </w:rPr>
        <w:t>时向监理人提交开工报告、测</w:t>
      </w:r>
      <w:r>
        <w:rPr>
          <w:rFonts w:ascii="宋体" w:hAnsi="宋体" w:eastAsia="宋体" w:cs="宋体"/>
          <w:sz w:val="24"/>
          <w:szCs w:val="24"/>
        </w:rPr>
        <w:t xml:space="preserve"> </w:t>
      </w:r>
      <w:r>
        <w:rPr>
          <w:rFonts w:ascii="宋体" w:hAnsi="宋体" w:eastAsia="宋体" w:cs="宋体"/>
          <w:spacing w:val="-2"/>
          <w:sz w:val="24"/>
          <w:szCs w:val="24"/>
        </w:rPr>
        <w:t>量报告、试验检验报告、隐蔽工程验收通知、工程质量自检报告、交工验收申请报告及</w:t>
      </w:r>
    </w:p>
    <w:p>
      <w:pPr>
        <w:spacing w:before="1" w:line="217" w:lineRule="auto"/>
        <w:ind w:left="8"/>
        <w:rPr>
          <w:rFonts w:ascii="宋体" w:hAnsi="宋体" w:eastAsia="宋体" w:cs="宋体"/>
          <w:sz w:val="24"/>
          <w:szCs w:val="24"/>
        </w:rPr>
      </w:pPr>
      <w:r>
        <w:rPr>
          <w:rFonts w:ascii="宋体" w:hAnsi="宋体" w:eastAsia="宋体" w:cs="宋体"/>
          <w:spacing w:val="-2"/>
          <w:sz w:val="24"/>
          <w:szCs w:val="24"/>
        </w:rPr>
        <w:t>工程事故报告等。</w:t>
      </w:r>
    </w:p>
    <w:p>
      <w:pPr>
        <w:spacing w:before="182" w:line="468" w:lineRule="exact"/>
        <w:ind w:left="481"/>
        <w:rPr>
          <w:rFonts w:ascii="宋体" w:hAnsi="宋体" w:eastAsia="宋体" w:cs="宋体"/>
          <w:sz w:val="24"/>
          <w:szCs w:val="24"/>
        </w:rPr>
      </w:pPr>
      <w:r>
        <w:rPr>
          <w:rFonts w:ascii="宋体" w:hAnsi="宋体" w:eastAsia="宋体" w:cs="宋体"/>
          <w:spacing w:val="1"/>
          <w:position w:val="17"/>
          <w:sz w:val="24"/>
          <w:szCs w:val="24"/>
        </w:rPr>
        <w:t>F、承包人在进场后</w:t>
      </w:r>
      <w:r>
        <w:rPr>
          <w:rFonts w:ascii="宋体" w:hAnsi="宋体" w:eastAsia="宋体" w:cs="宋体"/>
          <w:spacing w:val="-31"/>
          <w:position w:val="17"/>
          <w:sz w:val="24"/>
          <w:szCs w:val="24"/>
        </w:rPr>
        <w:t xml:space="preserve"> </w:t>
      </w:r>
      <w:r>
        <w:rPr>
          <w:rFonts w:ascii="宋体" w:hAnsi="宋体" w:eastAsia="宋体" w:cs="宋体"/>
          <w:spacing w:val="1"/>
          <w:position w:val="17"/>
          <w:sz w:val="24"/>
          <w:szCs w:val="24"/>
        </w:rPr>
        <w:t>1</w:t>
      </w:r>
      <w:r>
        <w:rPr>
          <w:rFonts w:ascii="宋体" w:hAnsi="宋体" w:eastAsia="宋体" w:cs="宋体"/>
          <w:spacing w:val="-48"/>
          <w:position w:val="17"/>
          <w:sz w:val="24"/>
          <w:szCs w:val="24"/>
        </w:rPr>
        <w:t xml:space="preserve"> </w:t>
      </w:r>
      <w:r>
        <w:rPr>
          <w:rFonts w:ascii="宋体" w:hAnsi="宋体" w:eastAsia="宋体" w:cs="宋体"/>
          <w:spacing w:val="1"/>
          <w:position w:val="17"/>
          <w:sz w:val="24"/>
          <w:szCs w:val="24"/>
        </w:rPr>
        <w:t>个月内对用地红线进</w:t>
      </w:r>
      <w:r>
        <w:rPr>
          <w:rFonts w:ascii="宋体" w:hAnsi="宋体" w:eastAsia="宋体" w:cs="宋体"/>
          <w:position w:val="17"/>
          <w:sz w:val="24"/>
          <w:szCs w:val="24"/>
        </w:rPr>
        <w:t>行全面复核，如有误，必须立即书面通</w:t>
      </w:r>
    </w:p>
    <w:p>
      <w:pPr>
        <w:spacing w:line="220" w:lineRule="auto"/>
        <w:ind w:left="10"/>
        <w:rPr>
          <w:rFonts w:ascii="宋体" w:hAnsi="宋体" w:eastAsia="宋体" w:cs="宋体"/>
          <w:sz w:val="24"/>
          <w:szCs w:val="24"/>
        </w:rPr>
      </w:pPr>
      <w:r>
        <w:rPr>
          <w:rFonts w:ascii="宋体" w:hAnsi="宋体" w:eastAsia="宋体" w:cs="宋体"/>
          <w:spacing w:val="-3"/>
          <w:sz w:val="24"/>
          <w:szCs w:val="24"/>
        </w:rPr>
        <w:t>知发包人。</w:t>
      </w:r>
    </w:p>
    <w:p>
      <w:pPr>
        <w:spacing w:before="181" w:line="359" w:lineRule="auto"/>
        <w:ind w:left="11" w:right="291" w:firstLine="471"/>
        <w:rPr>
          <w:rFonts w:ascii="宋体" w:hAnsi="宋体" w:eastAsia="宋体" w:cs="宋体"/>
          <w:sz w:val="24"/>
          <w:szCs w:val="24"/>
        </w:rPr>
      </w:pPr>
      <w:r>
        <w:rPr>
          <w:rFonts w:ascii="宋体" w:hAnsi="宋体" w:eastAsia="宋体" w:cs="宋体"/>
          <w:spacing w:val="2"/>
          <w:sz w:val="24"/>
          <w:szCs w:val="24"/>
        </w:rPr>
        <w:t>G、承包人进场后应对施工位置进行复核，对管线（</w:t>
      </w:r>
      <w:r>
        <w:rPr>
          <w:rFonts w:ascii="宋体" w:hAnsi="宋体" w:eastAsia="宋体" w:cs="宋体"/>
          <w:spacing w:val="1"/>
          <w:sz w:val="24"/>
          <w:szCs w:val="24"/>
        </w:rPr>
        <w:t>包括但不限于电力电缆、通信</w:t>
      </w:r>
      <w:r>
        <w:rPr>
          <w:rFonts w:ascii="宋体" w:hAnsi="宋体" w:eastAsia="宋体" w:cs="宋体"/>
          <w:sz w:val="24"/>
          <w:szCs w:val="24"/>
        </w:rPr>
        <w:t xml:space="preserve"> </w:t>
      </w:r>
      <w:r>
        <w:rPr>
          <w:rFonts w:ascii="宋体" w:hAnsi="宋体" w:eastAsia="宋体" w:cs="宋体"/>
          <w:spacing w:val="-2"/>
          <w:sz w:val="24"/>
          <w:szCs w:val="24"/>
        </w:rPr>
        <w:t>电缆、国防电缆、供水排水管道等）进行复核排查，对影响施工的管线等及时摸排清楚</w:t>
      </w:r>
      <w:r>
        <w:rPr>
          <w:rFonts w:ascii="宋体" w:hAnsi="宋体" w:eastAsia="宋体" w:cs="宋体"/>
          <w:spacing w:val="7"/>
          <w:sz w:val="24"/>
          <w:szCs w:val="24"/>
        </w:rPr>
        <w:t xml:space="preserve"> </w:t>
      </w:r>
      <w:r>
        <w:rPr>
          <w:rFonts w:ascii="宋体" w:hAnsi="宋体" w:eastAsia="宋体" w:cs="宋体"/>
          <w:spacing w:val="-2"/>
          <w:sz w:val="24"/>
          <w:szCs w:val="24"/>
        </w:rPr>
        <w:t>并通知监理人及发包人。如承包人未及时复查管线，施工造成管线破坏的，一切责任和</w:t>
      </w:r>
    </w:p>
    <w:p>
      <w:pPr>
        <w:spacing w:before="1" w:line="219" w:lineRule="auto"/>
        <w:ind w:left="5"/>
        <w:rPr>
          <w:rFonts w:ascii="宋体" w:hAnsi="宋体" w:eastAsia="宋体" w:cs="宋体"/>
          <w:sz w:val="24"/>
          <w:szCs w:val="24"/>
        </w:rPr>
      </w:pPr>
      <w:r>
        <w:rPr>
          <w:rFonts w:ascii="宋体" w:hAnsi="宋体" w:eastAsia="宋体" w:cs="宋体"/>
          <w:spacing w:val="-2"/>
          <w:sz w:val="24"/>
          <w:szCs w:val="24"/>
        </w:rPr>
        <w:t>损失由承包人承担。</w:t>
      </w:r>
    </w:p>
    <w:p>
      <w:pPr>
        <w:spacing w:before="180" w:line="220" w:lineRule="auto"/>
        <w:ind w:left="484"/>
        <w:rPr>
          <w:rFonts w:ascii="宋体" w:hAnsi="宋体" w:eastAsia="宋体" w:cs="宋体"/>
          <w:sz w:val="24"/>
          <w:szCs w:val="24"/>
        </w:rPr>
      </w:pPr>
      <w:r>
        <w:rPr>
          <w:rFonts w:ascii="宋体" w:hAnsi="宋体" w:eastAsia="宋体" w:cs="宋体"/>
          <w:spacing w:val="-4"/>
          <w:sz w:val="24"/>
          <w:szCs w:val="24"/>
        </w:rPr>
        <w:t>4.2</w:t>
      </w:r>
      <w:r>
        <w:rPr>
          <w:rFonts w:ascii="宋体" w:hAnsi="宋体" w:eastAsia="宋体" w:cs="宋体"/>
          <w:spacing w:val="18"/>
          <w:sz w:val="24"/>
          <w:szCs w:val="24"/>
        </w:rPr>
        <w:t xml:space="preserve"> </w:t>
      </w:r>
      <w:r>
        <w:rPr>
          <w:rFonts w:ascii="宋体" w:hAnsi="宋体" w:eastAsia="宋体" w:cs="宋体"/>
          <w:spacing w:val="-4"/>
          <w:sz w:val="24"/>
          <w:szCs w:val="24"/>
        </w:rPr>
        <w:t>履约担保</w:t>
      </w:r>
    </w:p>
    <w:p>
      <w:pPr>
        <w:spacing w:before="181" w:line="219" w:lineRule="auto"/>
        <w:ind w:left="486"/>
        <w:rPr>
          <w:rFonts w:ascii="宋体" w:hAnsi="宋体" w:eastAsia="宋体" w:cs="宋体"/>
          <w:sz w:val="24"/>
          <w:szCs w:val="24"/>
        </w:rPr>
      </w:pPr>
      <w:r>
        <w:rPr>
          <w:rFonts w:ascii="宋体" w:hAnsi="宋体" w:eastAsia="宋体" w:cs="宋体"/>
          <w:spacing w:val="-2"/>
          <w:sz w:val="24"/>
          <w:szCs w:val="24"/>
        </w:rPr>
        <w:t>本款细化为：</w:t>
      </w:r>
    </w:p>
    <w:p>
      <w:pPr>
        <w:spacing w:before="183" w:line="359" w:lineRule="auto"/>
        <w:ind w:left="5" w:right="291" w:firstLine="480"/>
        <w:rPr>
          <w:rFonts w:ascii="宋体" w:hAnsi="宋体" w:eastAsia="宋体" w:cs="宋体"/>
          <w:sz w:val="24"/>
          <w:szCs w:val="24"/>
        </w:rPr>
      </w:pPr>
      <w:r>
        <w:rPr>
          <w:rFonts w:ascii="宋体" w:hAnsi="宋体" w:eastAsia="宋体" w:cs="宋体"/>
          <w:spacing w:val="1"/>
          <w:sz w:val="24"/>
          <w:szCs w:val="24"/>
        </w:rPr>
        <w:t>承包人在收到中标通知书后</w:t>
      </w:r>
      <w:r>
        <w:rPr>
          <w:rFonts w:ascii="宋体" w:hAnsi="宋体" w:eastAsia="宋体" w:cs="宋体"/>
          <w:spacing w:val="-45"/>
          <w:sz w:val="24"/>
          <w:szCs w:val="24"/>
        </w:rPr>
        <w:t xml:space="preserve"> </w:t>
      </w:r>
      <w:r>
        <w:rPr>
          <w:rFonts w:ascii="宋体" w:hAnsi="宋体" w:eastAsia="宋体" w:cs="宋体"/>
          <w:spacing w:val="1"/>
          <w:sz w:val="24"/>
          <w:szCs w:val="24"/>
          <w:u w:val="single" w:color="auto"/>
        </w:rPr>
        <w:t>28</w:t>
      </w:r>
      <w:r>
        <w:rPr>
          <w:rFonts w:ascii="宋体" w:hAnsi="宋体" w:eastAsia="宋体" w:cs="宋体"/>
          <w:spacing w:val="-44"/>
          <w:sz w:val="24"/>
          <w:szCs w:val="24"/>
          <w:u w:val="single" w:color="auto"/>
        </w:rPr>
        <w:t xml:space="preserve"> </w:t>
      </w:r>
      <w:r>
        <w:rPr>
          <w:rFonts w:ascii="宋体" w:hAnsi="宋体" w:eastAsia="宋体" w:cs="宋体"/>
          <w:spacing w:val="1"/>
          <w:sz w:val="24"/>
          <w:szCs w:val="24"/>
          <w:u w:val="single" w:color="auto"/>
        </w:rPr>
        <w:t>天之内</w:t>
      </w:r>
      <w:r>
        <w:rPr>
          <w:rFonts w:ascii="宋体" w:hAnsi="宋体" w:eastAsia="宋体" w:cs="宋体"/>
          <w:spacing w:val="1"/>
          <w:sz w:val="24"/>
          <w:szCs w:val="24"/>
        </w:rPr>
        <w:t>并在签订合同协议</w:t>
      </w:r>
      <w:r>
        <w:rPr>
          <w:rFonts w:ascii="宋体" w:hAnsi="宋体" w:eastAsia="宋体" w:cs="宋体"/>
          <w:sz w:val="24"/>
          <w:szCs w:val="24"/>
        </w:rPr>
        <w:t xml:space="preserve">书之前，应按投标人须知 </w:t>
      </w:r>
      <w:r>
        <w:rPr>
          <w:rFonts w:ascii="宋体" w:hAnsi="宋体" w:eastAsia="宋体" w:cs="宋体"/>
          <w:spacing w:val="-2"/>
          <w:sz w:val="24"/>
          <w:szCs w:val="24"/>
        </w:rPr>
        <w:t>第</w:t>
      </w:r>
      <w:r>
        <w:rPr>
          <w:rFonts w:ascii="宋体" w:hAnsi="宋体" w:eastAsia="宋体" w:cs="宋体"/>
          <w:spacing w:val="-45"/>
          <w:sz w:val="24"/>
          <w:szCs w:val="24"/>
        </w:rPr>
        <w:t xml:space="preserve"> </w:t>
      </w:r>
      <w:r>
        <w:rPr>
          <w:rFonts w:ascii="宋体" w:hAnsi="宋体" w:eastAsia="宋体" w:cs="宋体"/>
          <w:spacing w:val="-2"/>
          <w:sz w:val="24"/>
          <w:szCs w:val="24"/>
        </w:rPr>
        <w:t>7.7.1</w:t>
      </w:r>
      <w:r>
        <w:rPr>
          <w:rFonts w:ascii="宋体" w:hAnsi="宋体" w:eastAsia="宋体" w:cs="宋体"/>
          <w:spacing w:val="-50"/>
          <w:sz w:val="24"/>
          <w:szCs w:val="24"/>
        </w:rPr>
        <w:t xml:space="preserve"> </w:t>
      </w:r>
      <w:r>
        <w:rPr>
          <w:rFonts w:ascii="宋体" w:hAnsi="宋体" w:eastAsia="宋体" w:cs="宋体"/>
          <w:spacing w:val="-2"/>
          <w:sz w:val="24"/>
          <w:szCs w:val="24"/>
        </w:rPr>
        <w:t>款规定的金额和形式提交履约担保，由此所发生的费用由</w:t>
      </w:r>
      <w:r>
        <w:rPr>
          <w:rFonts w:ascii="宋体" w:hAnsi="宋体" w:eastAsia="宋体" w:cs="宋体"/>
          <w:spacing w:val="-3"/>
          <w:sz w:val="24"/>
          <w:szCs w:val="24"/>
        </w:rPr>
        <w:t>承包人承担。承包人</w:t>
      </w:r>
      <w:r>
        <w:rPr>
          <w:rFonts w:ascii="宋体" w:hAnsi="宋体" w:eastAsia="宋体" w:cs="宋体"/>
          <w:sz w:val="24"/>
          <w:szCs w:val="24"/>
        </w:rPr>
        <w:t xml:space="preserve"> </w:t>
      </w:r>
      <w:r>
        <w:rPr>
          <w:rFonts w:ascii="宋体" w:hAnsi="宋体" w:eastAsia="宋体" w:cs="宋体"/>
          <w:spacing w:val="-2"/>
          <w:sz w:val="24"/>
          <w:szCs w:val="24"/>
        </w:rPr>
        <w:t>应保证其履约担保在发包人开始扣留质量保证金前一直有效。发包人开始扣留质量保证</w:t>
      </w:r>
    </w:p>
    <w:p>
      <w:pPr>
        <w:spacing w:before="1" w:line="219" w:lineRule="auto"/>
        <w:ind w:left="7"/>
        <w:rPr>
          <w:rFonts w:ascii="宋体" w:hAnsi="宋体" w:eastAsia="宋体" w:cs="宋体"/>
          <w:sz w:val="24"/>
          <w:szCs w:val="24"/>
        </w:rPr>
      </w:pPr>
      <w:r>
        <w:rPr>
          <w:rFonts w:ascii="宋体" w:hAnsi="宋体" w:eastAsia="宋体" w:cs="宋体"/>
          <w:spacing w:val="-1"/>
          <w:sz w:val="24"/>
          <w:szCs w:val="24"/>
        </w:rPr>
        <w:t>金时同步一次性向承包人退还全部履约担保。</w:t>
      </w:r>
    </w:p>
    <w:p>
      <w:pPr>
        <w:spacing w:before="180" w:line="220" w:lineRule="auto"/>
        <w:ind w:left="484"/>
        <w:rPr>
          <w:rFonts w:ascii="宋体" w:hAnsi="宋体" w:eastAsia="宋体" w:cs="宋体"/>
          <w:sz w:val="24"/>
          <w:szCs w:val="24"/>
        </w:rPr>
      </w:pPr>
      <w:r>
        <w:rPr>
          <w:rFonts w:ascii="宋体" w:hAnsi="宋体" w:eastAsia="宋体" w:cs="宋体"/>
          <w:spacing w:val="-5"/>
          <w:sz w:val="24"/>
          <w:szCs w:val="24"/>
        </w:rPr>
        <w:t>4.3</w:t>
      </w:r>
      <w:r>
        <w:rPr>
          <w:rFonts w:ascii="宋体" w:hAnsi="宋体" w:eastAsia="宋体" w:cs="宋体"/>
          <w:spacing w:val="15"/>
          <w:sz w:val="24"/>
          <w:szCs w:val="24"/>
        </w:rPr>
        <w:t xml:space="preserve"> </w:t>
      </w:r>
      <w:r>
        <w:rPr>
          <w:rFonts w:ascii="宋体" w:hAnsi="宋体" w:eastAsia="宋体" w:cs="宋体"/>
          <w:spacing w:val="-5"/>
          <w:sz w:val="24"/>
          <w:szCs w:val="24"/>
        </w:rPr>
        <w:t>分包</w:t>
      </w:r>
    </w:p>
    <w:p>
      <w:pPr>
        <w:spacing w:before="183" w:line="219" w:lineRule="auto"/>
        <w:ind w:left="485"/>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44"/>
          <w:sz w:val="24"/>
          <w:szCs w:val="24"/>
        </w:rPr>
        <w:t xml:space="preserve"> </w:t>
      </w:r>
      <w:r>
        <w:rPr>
          <w:rFonts w:ascii="宋体" w:hAnsi="宋体" w:eastAsia="宋体" w:cs="宋体"/>
          <w:spacing w:val="-4"/>
          <w:sz w:val="24"/>
          <w:szCs w:val="24"/>
        </w:rPr>
        <w:t>4.3.2</w:t>
      </w:r>
      <w:r>
        <w:rPr>
          <w:rFonts w:ascii="宋体" w:hAnsi="宋体" w:eastAsia="宋体" w:cs="宋体"/>
          <w:spacing w:val="-47"/>
          <w:sz w:val="24"/>
          <w:szCs w:val="24"/>
        </w:rPr>
        <w:t xml:space="preserve"> </w:t>
      </w:r>
      <w:r>
        <w:rPr>
          <w:rFonts w:ascii="宋体" w:hAnsi="宋体" w:eastAsia="宋体" w:cs="宋体"/>
          <w:spacing w:val="-4"/>
          <w:sz w:val="24"/>
          <w:szCs w:val="24"/>
        </w:rPr>
        <w:t>项补充：</w:t>
      </w:r>
    </w:p>
    <w:p>
      <w:pPr>
        <w:spacing w:before="180" w:line="468" w:lineRule="exact"/>
        <w:ind w:left="485"/>
        <w:rPr>
          <w:rFonts w:ascii="宋体" w:hAnsi="宋体" w:eastAsia="宋体" w:cs="宋体"/>
          <w:sz w:val="24"/>
          <w:szCs w:val="24"/>
        </w:rPr>
      </w:pPr>
      <w:r>
        <w:rPr>
          <w:rFonts w:ascii="宋体" w:hAnsi="宋体" w:eastAsia="宋体" w:cs="宋体"/>
          <w:spacing w:val="-2"/>
          <w:position w:val="17"/>
          <w:sz w:val="24"/>
          <w:szCs w:val="24"/>
        </w:rPr>
        <w:t>承包人如有分包计划，所有的分包必须符合交通运输部现行《公路工程施工分包管</w:t>
      </w:r>
    </w:p>
    <w:p>
      <w:pPr>
        <w:spacing w:before="1" w:line="219" w:lineRule="auto"/>
        <w:ind w:left="8"/>
        <w:rPr>
          <w:rFonts w:ascii="宋体" w:hAnsi="宋体" w:eastAsia="宋体" w:cs="宋体"/>
          <w:sz w:val="24"/>
          <w:szCs w:val="24"/>
        </w:rPr>
      </w:pPr>
      <w:r>
        <w:rPr>
          <w:rFonts w:ascii="宋体" w:hAnsi="宋体" w:eastAsia="宋体" w:cs="宋体"/>
          <w:spacing w:val="-2"/>
          <w:sz w:val="24"/>
          <w:szCs w:val="24"/>
        </w:rPr>
        <w:t>理办法》及《广东省交通运输厅关于公路工程施工分包管理实施细则》关于施工分包和</w:t>
      </w:r>
    </w:p>
    <w:p>
      <w:pPr>
        <w:spacing w:line="425" w:lineRule="auto"/>
        <w:rPr>
          <w:rFonts w:ascii="Arial"/>
          <w:sz w:val="21"/>
        </w:rPr>
      </w:pPr>
    </w:p>
    <w:p>
      <w:pPr>
        <w:spacing w:before="78" w:line="219" w:lineRule="auto"/>
        <w:ind w:left="11"/>
        <w:rPr>
          <w:rFonts w:ascii="宋体" w:hAnsi="宋体" w:eastAsia="宋体" w:cs="宋体"/>
          <w:sz w:val="24"/>
          <w:szCs w:val="24"/>
        </w:rPr>
      </w:pPr>
      <w:r>
        <w:rPr>
          <w:rFonts w:ascii="宋体" w:hAnsi="宋体" w:eastAsia="宋体" w:cs="宋体"/>
          <w:spacing w:val="-2"/>
          <w:sz w:val="24"/>
          <w:szCs w:val="24"/>
        </w:rPr>
        <w:t>劳务合作的有关规定。</w:t>
      </w:r>
    </w:p>
    <w:p>
      <w:pPr>
        <w:spacing w:before="180" w:line="359" w:lineRule="auto"/>
        <w:ind w:left="6" w:right="291" w:firstLine="482"/>
        <w:rPr>
          <w:rFonts w:ascii="宋体" w:hAnsi="宋体" w:eastAsia="宋体" w:cs="宋体"/>
          <w:sz w:val="24"/>
          <w:szCs w:val="24"/>
        </w:rPr>
      </w:pPr>
      <w:r>
        <w:rPr>
          <w:rFonts w:ascii="宋体" w:hAnsi="宋体" w:eastAsia="宋体" w:cs="宋体"/>
          <w:spacing w:val="-2"/>
          <w:sz w:val="24"/>
          <w:szCs w:val="24"/>
        </w:rPr>
        <w:t>如实际的分包单价（或总额价）超出承包人与发包人签定的承包合同对应的清单单</w:t>
      </w:r>
      <w:r>
        <w:rPr>
          <w:rFonts w:ascii="宋体" w:hAnsi="宋体" w:eastAsia="宋体" w:cs="宋体"/>
          <w:spacing w:val="4"/>
          <w:sz w:val="24"/>
          <w:szCs w:val="24"/>
        </w:rPr>
        <w:t xml:space="preserve"> </w:t>
      </w:r>
      <w:r>
        <w:rPr>
          <w:rFonts w:ascii="宋体" w:hAnsi="宋体" w:eastAsia="宋体" w:cs="宋体"/>
          <w:spacing w:val="-1"/>
          <w:sz w:val="24"/>
          <w:szCs w:val="24"/>
        </w:rPr>
        <w:t>价（或总额价</w:t>
      </w:r>
      <w:r>
        <w:rPr>
          <w:rFonts w:ascii="宋体" w:hAnsi="宋体" w:eastAsia="宋体" w:cs="宋体"/>
          <w:spacing w:val="-7"/>
          <w:sz w:val="24"/>
          <w:szCs w:val="24"/>
        </w:rPr>
        <w:t>），</w:t>
      </w:r>
      <w:r>
        <w:rPr>
          <w:rFonts w:ascii="宋体" w:hAnsi="宋体" w:eastAsia="宋体" w:cs="宋体"/>
          <w:spacing w:val="-1"/>
          <w:sz w:val="24"/>
          <w:szCs w:val="24"/>
        </w:rPr>
        <w:t>视为承包人的风险，承包人应从合</w:t>
      </w:r>
      <w:r>
        <w:rPr>
          <w:rFonts w:ascii="宋体" w:hAnsi="宋体" w:eastAsia="宋体" w:cs="宋体"/>
          <w:spacing w:val="-2"/>
          <w:sz w:val="24"/>
          <w:szCs w:val="24"/>
        </w:rPr>
        <w:t>同总价中进行调配，发包人不因此</w:t>
      </w:r>
    </w:p>
    <w:p>
      <w:pPr>
        <w:spacing w:line="219" w:lineRule="auto"/>
        <w:ind w:left="29"/>
        <w:rPr>
          <w:rFonts w:ascii="宋体" w:hAnsi="宋体" w:eastAsia="宋体" w:cs="宋体"/>
          <w:sz w:val="24"/>
          <w:szCs w:val="24"/>
        </w:rPr>
      </w:pPr>
      <w:r>
        <w:rPr>
          <w:rFonts w:ascii="宋体" w:hAnsi="宋体" w:eastAsia="宋体" w:cs="宋体"/>
          <w:spacing w:val="-3"/>
          <w:sz w:val="24"/>
          <w:szCs w:val="24"/>
        </w:rPr>
        <w:t>向承包人增加支付任何费用。</w:t>
      </w:r>
    </w:p>
    <w:p>
      <w:pPr>
        <w:spacing w:before="182" w:line="466" w:lineRule="exact"/>
        <w:ind w:left="485"/>
        <w:rPr>
          <w:rFonts w:ascii="宋体" w:hAnsi="宋体" w:eastAsia="宋体" w:cs="宋体"/>
          <w:sz w:val="24"/>
          <w:szCs w:val="24"/>
        </w:rPr>
      </w:pPr>
      <w:r>
        <w:rPr>
          <w:rFonts w:ascii="宋体" w:hAnsi="宋体" w:eastAsia="宋体" w:cs="宋体"/>
          <w:spacing w:val="-2"/>
          <w:position w:val="17"/>
          <w:sz w:val="24"/>
          <w:szCs w:val="24"/>
        </w:rPr>
        <w:t>承包人应无条件提供本合同段的临时工程和设施（包括但不限于便道、便桥、电力</w:t>
      </w:r>
    </w:p>
    <w:p>
      <w:pPr>
        <w:spacing w:before="1" w:line="218" w:lineRule="auto"/>
        <w:ind w:left="8"/>
        <w:rPr>
          <w:rFonts w:ascii="宋体" w:hAnsi="宋体" w:eastAsia="宋体" w:cs="宋体"/>
          <w:sz w:val="24"/>
          <w:szCs w:val="24"/>
        </w:rPr>
      </w:pPr>
      <w:r>
        <w:rPr>
          <w:rFonts w:ascii="宋体" w:hAnsi="宋体" w:eastAsia="宋体" w:cs="宋体"/>
          <w:spacing w:val="-1"/>
          <w:sz w:val="24"/>
          <w:szCs w:val="24"/>
        </w:rPr>
        <w:t>线路等）供分包人使用，不得向分包人收取临时工程和设施费用。</w:t>
      </w:r>
    </w:p>
    <w:p>
      <w:pPr>
        <w:spacing w:before="183" w:line="359" w:lineRule="auto"/>
        <w:ind w:left="4" w:right="291" w:firstLine="483"/>
        <w:rPr>
          <w:rFonts w:ascii="宋体" w:hAnsi="宋体" w:eastAsia="宋体" w:cs="宋体"/>
          <w:sz w:val="24"/>
          <w:szCs w:val="24"/>
        </w:rPr>
      </w:pPr>
      <w:r>
        <w:rPr>
          <w:rFonts w:ascii="宋体" w:hAnsi="宋体" w:eastAsia="宋体" w:cs="宋体"/>
          <w:spacing w:val="-2"/>
          <w:sz w:val="24"/>
          <w:szCs w:val="24"/>
        </w:rPr>
        <w:t>工程的计量由承包人负责统一上报，承包人应将发包人支付的属分包人部分的款项</w:t>
      </w:r>
      <w:r>
        <w:rPr>
          <w:rFonts w:ascii="宋体" w:hAnsi="宋体" w:eastAsia="宋体" w:cs="宋体"/>
          <w:spacing w:val="5"/>
          <w:sz w:val="24"/>
          <w:szCs w:val="24"/>
        </w:rPr>
        <w:t xml:space="preserve"> </w:t>
      </w:r>
      <w:r>
        <w:rPr>
          <w:rFonts w:ascii="宋体" w:hAnsi="宋体" w:eastAsia="宋体" w:cs="宋体"/>
          <w:spacing w:val="-2"/>
          <w:sz w:val="24"/>
          <w:szCs w:val="24"/>
        </w:rPr>
        <w:t>及时向分包人支付。发包人有权根据具体情况将相应款项直接向分包人支付，并从应付</w:t>
      </w:r>
      <w:r>
        <w:rPr>
          <w:rFonts w:ascii="宋体" w:hAnsi="宋体" w:eastAsia="宋体" w:cs="宋体"/>
          <w:spacing w:val="13"/>
          <w:sz w:val="24"/>
          <w:szCs w:val="24"/>
        </w:rPr>
        <w:t xml:space="preserve"> </w:t>
      </w:r>
      <w:r>
        <w:rPr>
          <w:rFonts w:ascii="宋体" w:hAnsi="宋体" w:eastAsia="宋体" w:cs="宋体"/>
          <w:spacing w:val="-2"/>
          <w:sz w:val="24"/>
          <w:szCs w:val="24"/>
        </w:rPr>
        <w:t>给承包人款项中相应扣回。承包人须负责分包部分原始资料的存档和竣工资料的统一编</w:t>
      </w:r>
      <w:r>
        <w:rPr>
          <w:rFonts w:ascii="宋体" w:hAnsi="宋体" w:eastAsia="宋体" w:cs="宋体"/>
          <w:spacing w:val="13"/>
          <w:sz w:val="24"/>
          <w:szCs w:val="24"/>
        </w:rPr>
        <w:t xml:space="preserve"> </w:t>
      </w:r>
      <w:r>
        <w:rPr>
          <w:rFonts w:ascii="宋体" w:hAnsi="宋体" w:eastAsia="宋体" w:cs="宋体"/>
          <w:spacing w:val="-2"/>
          <w:sz w:val="24"/>
          <w:szCs w:val="24"/>
        </w:rPr>
        <w:t>制等工作。发包人对承包人分包工程的同意并不免除承包人应承担的责任和义务。承包</w:t>
      </w:r>
      <w:r>
        <w:rPr>
          <w:rFonts w:ascii="宋体" w:hAnsi="宋体" w:eastAsia="宋体" w:cs="宋体"/>
          <w:spacing w:val="13"/>
          <w:sz w:val="24"/>
          <w:szCs w:val="24"/>
        </w:rPr>
        <w:t xml:space="preserve"> </w:t>
      </w:r>
      <w:r>
        <w:rPr>
          <w:rFonts w:ascii="宋体" w:hAnsi="宋体" w:eastAsia="宋体" w:cs="宋体"/>
          <w:spacing w:val="-2"/>
          <w:sz w:val="24"/>
          <w:szCs w:val="24"/>
        </w:rPr>
        <w:t>人应将任何分包人、分包代理人、雇员或工人的行为、违约和疏忽，视为承包人自己的</w:t>
      </w:r>
    </w:p>
    <w:p>
      <w:pPr>
        <w:spacing w:line="219" w:lineRule="auto"/>
        <w:ind w:left="9"/>
        <w:rPr>
          <w:rFonts w:ascii="宋体" w:hAnsi="宋体" w:eastAsia="宋体" w:cs="宋体"/>
          <w:sz w:val="24"/>
          <w:szCs w:val="24"/>
        </w:rPr>
      </w:pPr>
      <w:r>
        <w:rPr>
          <w:rFonts w:ascii="宋体" w:hAnsi="宋体" w:eastAsia="宋体" w:cs="宋体"/>
          <w:spacing w:val="-1"/>
          <w:sz w:val="24"/>
          <w:szCs w:val="24"/>
        </w:rPr>
        <w:t>行为、违约和疏忽，并为之负完全的责任。</w:t>
      </w:r>
    </w:p>
    <w:p>
      <w:pPr>
        <w:spacing w:before="184" w:line="359" w:lineRule="auto"/>
        <w:ind w:left="5" w:right="230" w:firstLine="480"/>
        <w:rPr>
          <w:rFonts w:ascii="宋体" w:hAnsi="宋体" w:eastAsia="宋体" w:cs="宋体"/>
          <w:sz w:val="24"/>
          <w:szCs w:val="24"/>
        </w:rPr>
      </w:pPr>
      <w:r>
        <w:rPr>
          <w:rFonts w:ascii="宋体" w:hAnsi="宋体" w:eastAsia="宋体" w:cs="宋体"/>
          <w:spacing w:val="-2"/>
          <w:sz w:val="24"/>
          <w:szCs w:val="24"/>
        </w:rPr>
        <w:t>承包人拟分包的专项工程的范围和规模，应当在投标文件和承包合同中明确。中标</w:t>
      </w:r>
      <w:r>
        <w:rPr>
          <w:rFonts w:ascii="宋体" w:hAnsi="宋体" w:eastAsia="宋体" w:cs="宋体"/>
          <w:spacing w:val="8"/>
          <w:sz w:val="24"/>
          <w:szCs w:val="24"/>
        </w:rPr>
        <w:t xml:space="preserve"> </w:t>
      </w:r>
      <w:r>
        <w:rPr>
          <w:rFonts w:ascii="宋体" w:hAnsi="宋体" w:eastAsia="宋体" w:cs="宋体"/>
          <w:spacing w:val="-2"/>
          <w:sz w:val="24"/>
          <w:szCs w:val="24"/>
        </w:rPr>
        <w:t>人进场后，如对拟分包项目情况表中的内容进行增减调整，必须报经监理人或发包人的</w:t>
      </w:r>
      <w:r>
        <w:rPr>
          <w:rFonts w:ascii="宋体" w:hAnsi="宋体" w:eastAsia="宋体" w:cs="宋体"/>
          <w:spacing w:val="12"/>
          <w:sz w:val="24"/>
          <w:szCs w:val="24"/>
        </w:rPr>
        <w:t xml:space="preserve"> </w:t>
      </w:r>
      <w:r>
        <w:rPr>
          <w:rFonts w:ascii="宋体" w:hAnsi="宋体" w:eastAsia="宋体" w:cs="宋体"/>
          <w:spacing w:val="-2"/>
          <w:sz w:val="24"/>
          <w:szCs w:val="24"/>
        </w:rPr>
        <w:t>同意。投标文件未列入或承包合同未明确的专项工程，承包人不得分包。但因工程变更</w:t>
      </w:r>
      <w:r>
        <w:rPr>
          <w:rFonts w:ascii="宋体" w:hAnsi="宋体" w:eastAsia="宋体" w:cs="宋体"/>
          <w:spacing w:val="12"/>
          <w:sz w:val="24"/>
          <w:szCs w:val="24"/>
        </w:rPr>
        <w:t xml:space="preserve"> </w:t>
      </w:r>
      <w:r>
        <w:rPr>
          <w:rFonts w:ascii="宋体" w:hAnsi="宋体" w:eastAsia="宋体" w:cs="宋体"/>
          <w:spacing w:val="-2"/>
          <w:sz w:val="24"/>
          <w:szCs w:val="24"/>
        </w:rPr>
        <w:t>等原因，增加有特殊性技术要求、特殊工艺或者涉及专利保护等的专项工程，且按照规</w:t>
      </w:r>
      <w:r>
        <w:rPr>
          <w:rFonts w:ascii="宋体" w:hAnsi="宋体" w:eastAsia="宋体" w:cs="宋体"/>
          <w:spacing w:val="12"/>
          <w:sz w:val="24"/>
          <w:szCs w:val="24"/>
        </w:rPr>
        <w:t xml:space="preserve"> </w:t>
      </w:r>
      <w:r>
        <w:rPr>
          <w:rFonts w:ascii="宋体" w:hAnsi="宋体" w:eastAsia="宋体" w:cs="宋体"/>
          <w:spacing w:val="-2"/>
          <w:sz w:val="24"/>
          <w:szCs w:val="24"/>
        </w:rPr>
        <w:t>定无须再进行招标的，以及工程实施中承包人和发包人一致认为对专项工程实行专项分</w:t>
      </w:r>
      <w:r>
        <w:rPr>
          <w:rFonts w:ascii="宋体" w:hAnsi="宋体" w:eastAsia="宋体" w:cs="宋体"/>
          <w:spacing w:val="12"/>
          <w:sz w:val="24"/>
          <w:szCs w:val="24"/>
        </w:rPr>
        <w:t xml:space="preserve"> </w:t>
      </w:r>
      <w:r>
        <w:rPr>
          <w:rFonts w:ascii="宋体" w:hAnsi="宋体" w:eastAsia="宋体" w:cs="宋体"/>
          <w:spacing w:val="-6"/>
          <w:sz w:val="24"/>
          <w:szCs w:val="24"/>
        </w:rPr>
        <w:t>包，有利于项目工程进度、质量和安全管理的，由承包人提出书面申请</w:t>
      </w:r>
      <w:r>
        <w:rPr>
          <w:rFonts w:ascii="宋体" w:hAnsi="宋体" w:eastAsia="宋体" w:cs="宋体"/>
          <w:spacing w:val="-7"/>
          <w:sz w:val="24"/>
          <w:szCs w:val="24"/>
        </w:rPr>
        <w:t>，报监理人审查，</w:t>
      </w:r>
    </w:p>
    <w:p>
      <w:pPr>
        <w:spacing w:before="1" w:line="218" w:lineRule="auto"/>
        <w:ind w:left="7"/>
        <w:rPr>
          <w:rFonts w:ascii="宋体" w:hAnsi="宋体" w:eastAsia="宋体" w:cs="宋体"/>
          <w:sz w:val="24"/>
          <w:szCs w:val="24"/>
        </w:rPr>
      </w:pPr>
      <w:r>
        <w:rPr>
          <w:rFonts w:ascii="宋体" w:hAnsi="宋体" w:eastAsia="宋体" w:cs="宋体"/>
          <w:spacing w:val="-1"/>
          <w:sz w:val="24"/>
          <w:szCs w:val="24"/>
        </w:rPr>
        <w:t>经发包人书面同意，可以分包。</w:t>
      </w:r>
    </w:p>
    <w:p>
      <w:pPr>
        <w:spacing w:before="183" w:line="219" w:lineRule="auto"/>
        <w:ind w:left="486"/>
        <w:rPr>
          <w:rFonts w:ascii="宋体" w:hAnsi="宋体" w:eastAsia="宋体" w:cs="宋体"/>
          <w:sz w:val="24"/>
          <w:szCs w:val="24"/>
        </w:rPr>
      </w:pPr>
      <w:r>
        <w:rPr>
          <w:rFonts w:ascii="宋体" w:hAnsi="宋体" w:eastAsia="宋体" w:cs="宋体"/>
          <w:spacing w:val="-2"/>
          <w:sz w:val="24"/>
          <w:szCs w:val="24"/>
        </w:rPr>
        <w:t>本款补充第</w:t>
      </w:r>
      <w:r>
        <w:rPr>
          <w:rFonts w:ascii="宋体" w:hAnsi="宋体" w:eastAsia="宋体" w:cs="宋体"/>
          <w:spacing w:val="-49"/>
          <w:sz w:val="24"/>
          <w:szCs w:val="24"/>
        </w:rPr>
        <w:t xml:space="preserve"> </w:t>
      </w:r>
      <w:r>
        <w:rPr>
          <w:rFonts w:ascii="宋体" w:hAnsi="宋体" w:eastAsia="宋体" w:cs="宋体"/>
          <w:spacing w:val="-2"/>
          <w:sz w:val="24"/>
          <w:szCs w:val="24"/>
        </w:rPr>
        <w:t>4.3.8、4.3.9</w:t>
      </w:r>
      <w:r>
        <w:rPr>
          <w:rFonts w:ascii="宋体" w:hAnsi="宋体" w:eastAsia="宋体" w:cs="宋体"/>
          <w:spacing w:val="-47"/>
          <w:sz w:val="24"/>
          <w:szCs w:val="24"/>
        </w:rPr>
        <w:t xml:space="preserve"> </w:t>
      </w:r>
      <w:r>
        <w:rPr>
          <w:rFonts w:ascii="宋体" w:hAnsi="宋体" w:eastAsia="宋体" w:cs="宋体"/>
          <w:spacing w:val="-2"/>
          <w:sz w:val="24"/>
          <w:szCs w:val="24"/>
        </w:rPr>
        <w:t>项：</w:t>
      </w:r>
    </w:p>
    <w:p>
      <w:pPr>
        <w:spacing w:before="181" w:line="219" w:lineRule="auto"/>
        <w:ind w:left="484"/>
        <w:rPr>
          <w:rFonts w:ascii="宋体" w:hAnsi="宋体" w:eastAsia="宋体" w:cs="宋体"/>
          <w:sz w:val="24"/>
          <w:szCs w:val="24"/>
        </w:rPr>
      </w:pPr>
      <w:r>
        <w:rPr>
          <w:rFonts w:ascii="宋体" w:hAnsi="宋体" w:eastAsia="宋体" w:cs="宋体"/>
          <w:spacing w:val="-2"/>
          <w:sz w:val="24"/>
          <w:szCs w:val="24"/>
        </w:rPr>
        <w:t>4.3.8</w:t>
      </w:r>
      <w:r>
        <w:rPr>
          <w:rFonts w:ascii="宋体" w:hAnsi="宋体" w:eastAsia="宋体" w:cs="宋体"/>
          <w:spacing w:val="-40"/>
          <w:sz w:val="24"/>
          <w:szCs w:val="24"/>
        </w:rPr>
        <w:t xml:space="preserve"> </w:t>
      </w:r>
      <w:r>
        <w:rPr>
          <w:rFonts w:ascii="宋体" w:hAnsi="宋体" w:eastAsia="宋体" w:cs="宋体"/>
          <w:spacing w:val="-2"/>
          <w:sz w:val="24"/>
          <w:szCs w:val="24"/>
        </w:rPr>
        <w:t>特殊的分包人或供货人</w:t>
      </w:r>
    </w:p>
    <w:p>
      <w:pPr>
        <w:spacing w:before="185" w:line="359" w:lineRule="auto"/>
        <w:ind w:left="7" w:right="291" w:firstLine="540"/>
        <w:rPr>
          <w:rFonts w:ascii="宋体" w:hAnsi="宋体" w:eastAsia="宋体" w:cs="宋体"/>
          <w:sz w:val="24"/>
          <w:szCs w:val="24"/>
        </w:rPr>
      </w:pPr>
      <w:r>
        <w:rPr>
          <w:rFonts w:ascii="宋体" w:hAnsi="宋体" w:eastAsia="宋体" w:cs="宋体"/>
          <w:spacing w:val="-4"/>
          <w:sz w:val="24"/>
          <w:szCs w:val="24"/>
        </w:rPr>
        <w:t>为了履行合同中某专业化的或特殊工程或关键的、专项的材料、设备、供货，根据</w:t>
      </w:r>
      <w:r>
        <w:rPr>
          <w:rFonts w:ascii="宋体" w:hAnsi="宋体" w:eastAsia="宋体" w:cs="宋体"/>
          <w:spacing w:val="17"/>
          <w:sz w:val="24"/>
          <w:szCs w:val="24"/>
        </w:rPr>
        <w:t xml:space="preserve"> </w:t>
      </w:r>
      <w:r>
        <w:rPr>
          <w:rFonts w:ascii="宋体" w:hAnsi="宋体" w:eastAsia="宋体" w:cs="宋体"/>
          <w:spacing w:val="-2"/>
          <w:sz w:val="24"/>
          <w:szCs w:val="24"/>
        </w:rPr>
        <w:t>金额规模可以通过合法方式选定作为发包人的特殊分包人或供货人，并要求承包人与进</w:t>
      </w:r>
      <w:r>
        <w:rPr>
          <w:rFonts w:ascii="宋体" w:hAnsi="宋体" w:eastAsia="宋体" w:cs="宋体"/>
          <w:spacing w:val="10"/>
          <w:sz w:val="24"/>
          <w:szCs w:val="24"/>
        </w:rPr>
        <w:t xml:space="preserve"> </w:t>
      </w:r>
      <w:r>
        <w:rPr>
          <w:rFonts w:ascii="宋体" w:hAnsi="宋体" w:eastAsia="宋体" w:cs="宋体"/>
          <w:spacing w:val="-2"/>
          <w:sz w:val="24"/>
          <w:szCs w:val="24"/>
        </w:rPr>
        <w:t>行专项或供货分包的特殊分包人或供货人签订分包合同。分包合同须符合《广东省交通</w:t>
      </w:r>
    </w:p>
    <w:p>
      <w:pPr>
        <w:spacing w:line="219" w:lineRule="auto"/>
        <w:ind w:left="5"/>
        <w:rPr>
          <w:rFonts w:ascii="宋体" w:hAnsi="宋体" w:eastAsia="宋体" w:cs="宋体"/>
          <w:sz w:val="24"/>
          <w:szCs w:val="24"/>
        </w:rPr>
      </w:pPr>
      <w:r>
        <w:rPr>
          <w:rFonts w:ascii="宋体" w:hAnsi="宋体" w:eastAsia="宋体" w:cs="宋体"/>
          <w:spacing w:val="-1"/>
          <w:sz w:val="24"/>
          <w:szCs w:val="24"/>
        </w:rPr>
        <w:t>运输厅关于公路工程施工分包管理实施细则》的有关规定。</w:t>
      </w:r>
    </w:p>
    <w:p>
      <w:pPr>
        <w:spacing w:before="181" w:line="359" w:lineRule="auto"/>
        <w:ind w:left="7" w:right="230" w:firstLine="479"/>
        <w:rPr>
          <w:rFonts w:ascii="宋体" w:hAnsi="宋体" w:eastAsia="宋体" w:cs="宋体"/>
          <w:sz w:val="24"/>
          <w:szCs w:val="24"/>
        </w:rPr>
      </w:pPr>
      <w:r>
        <w:rPr>
          <w:rFonts w:ascii="宋体" w:hAnsi="宋体" w:eastAsia="宋体" w:cs="宋体"/>
          <w:spacing w:val="-7"/>
          <w:sz w:val="24"/>
          <w:szCs w:val="24"/>
        </w:rPr>
        <w:t>有关特殊分包的合同中，特殊分包人（或供货人）应独立地承担其合同责任和义务，</w:t>
      </w:r>
      <w:r>
        <w:rPr>
          <w:rFonts w:ascii="宋体" w:hAnsi="宋体" w:eastAsia="宋体" w:cs="宋体"/>
          <w:spacing w:val="16"/>
          <w:sz w:val="24"/>
          <w:szCs w:val="24"/>
        </w:rPr>
        <w:t xml:space="preserve"> </w:t>
      </w:r>
      <w:r>
        <w:rPr>
          <w:rFonts w:ascii="宋体" w:hAnsi="宋体" w:eastAsia="宋体" w:cs="宋体"/>
          <w:spacing w:val="-2"/>
          <w:sz w:val="24"/>
          <w:szCs w:val="24"/>
        </w:rPr>
        <w:t>不使承包人对发包人承担的合同责任和义务受到损害，也不使承包人承担因特殊的分包</w:t>
      </w:r>
      <w:r>
        <w:rPr>
          <w:rFonts w:ascii="宋体" w:hAnsi="宋体" w:eastAsia="宋体" w:cs="宋体"/>
          <w:spacing w:val="10"/>
          <w:sz w:val="24"/>
          <w:szCs w:val="24"/>
        </w:rPr>
        <w:t xml:space="preserve"> </w:t>
      </w:r>
      <w:r>
        <w:rPr>
          <w:rFonts w:ascii="宋体" w:hAnsi="宋体" w:eastAsia="宋体" w:cs="宋体"/>
          <w:spacing w:val="-2"/>
          <w:sz w:val="24"/>
          <w:szCs w:val="24"/>
        </w:rPr>
        <w:t>人（或供货人）未能履行责任、义务而引起的索赔、赔偿、诉讼费用及其他开支。承包</w:t>
      </w:r>
      <w:r>
        <w:rPr>
          <w:rFonts w:ascii="宋体" w:hAnsi="宋体" w:eastAsia="宋体" w:cs="宋体"/>
          <w:spacing w:val="10"/>
          <w:sz w:val="24"/>
          <w:szCs w:val="24"/>
        </w:rPr>
        <w:t xml:space="preserve"> </w:t>
      </w:r>
      <w:r>
        <w:rPr>
          <w:rFonts w:ascii="宋体" w:hAnsi="宋体" w:eastAsia="宋体" w:cs="宋体"/>
          <w:spacing w:val="-2"/>
          <w:sz w:val="24"/>
          <w:szCs w:val="24"/>
        </w:rPr>
        <w:t>人对于特殊分包人（或供货人）及其职工的过失而造成的损失不承担任何责任。如果特</w:t>
      </w:r>
    </w:p>
    <w:p>
      <w:pPr>
        <w:spacing w:before="1" w:line="218" w:lineRule="auto"/>
        <w:ind w:left="5"/>
        <w:rPr>
          <w:rFonts w:ascii="宋体" w:hAnsi="宋体" w:eastAsia="宋体" w:cs="宋体"/>
          <w:sz w:val="24"/>
          <w:szCs w:val="24"/>
        </w:rPr>
      </w:pPr>
      <w:r>
        <w:rPr>
          <w:rFonts w:ascii="宋体" w:hAnsi="宋体" w:eastAsia="宋体" w:cs="宋体"/>
          <w:spacing w:val="-5"/>
          <w:sz w:val="24"/>
          <w:szCs w:val="24"/>
        </w:rPr>
        <w:t>殊分包合同中含有与上述规定有悖的条款，承包人有权拒绝与此特殊分包人（或供货人）</w:t>
      </w:r>
    </w:p>
    <w:p>
      <w:pPr>
        <w:spacing w:line="426" w:lineRule="auto"/>
        <w:rPr>
          <w:rFonts w:ascii="Arial"/>
          <w:sz w:val="21"/>
        </w:rPr>
      </w:pPr>
      <w:r>
        <mc:AlternateContent>
          <mc:Choice Requires="wps">
            <w:drawing>
              <wp:anchor distT="0" distB="0" distL="114300" distR="114300" simplePos="0" relativeHeight="251666432" behindDoc="0" locked="0" layoutInCell="0" allowOverlap="1">
                <wp:simplePos x="0" y="0"/>
                <wp:positionH relativeFrom="page">
                  <wp:posOffset>899795</wp:posOffset>
                </wp:positionH>
                <wp:positionV relativeFrom="page">
                  <wp:posOffset>9566910</wp:posOffset>
                </wp:positionV>
                <wp:extent cx="1828800" cy="0"/>
                <wp:effectExtent l="4445" t="4445" r="5080" b="5080"/>
                <wp:wrapNone/>
                <wp:docPr id="85" name="任意多边形 85"/>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3.3pt;height:0pt;width:144pt;mso-position-horizontal-relative:page;mso-position-vertical-relative:page;z-index:251666432;mso-width-relative:page;mso-height-relative:page;" filled="f" stroked="t" coordsize="2880,1" o:allowincell="f" o:gfxdata="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SM2cJ1wAAAA0BAAAPAAAAAAAAAAEAIAAAACIAAABkcnMvZG93bnJldi54bWxQSwECFAAUAAAA&#10;CACHTuJAMT/doCgCAACJBAAADgAAAAAAAAABACAAAAAmAQAAZHJzL2Uyb0RvYy54bWxQSwUGAAAA&#10;AAYABgBZAQAAwAUAAAAA&#10;" path="m0,0l2880,0e">
                <v:fill on="f" focussize="0,0"/>
                <v:stroke weight="0pt" color="#000000" joinstyle="bevel" endcap="square"/>
                <v:imagedata o:title=""/>
                <o:lock v:ext="edit" aspectratio="f"/>
              </v:shape>
            </w:pict>
          </mc:Fallback>
        </mc:AlternateContent>
      </w:r>
    </w:p>
    <w:p>
      <w:pPr>
        <w:spacing w:before="78" w:line="221" w:lineRule="auto"/>
        <w:ind w:left="8"/>
        <w:rPr>
          <w:rFonts w:ascii="宋体" w:hAnsi="宋体" w:eastAsia="宋体" w:cs="宋体"/>
          <w:sz w:val="24"/>
          <w:szCs w:val="24"/>
        </w:rPr>
      </w:pPr>
      <w:r>
        <w:rPr>
          <w:rFonts w:ascii="宋体" w:hAnsi="宋体" w:eastAsia="宋体" w:cs="宋体"/>
          <w:spacing w:val="-2"/>
          <w:sz w:val="24"/>
          <w:szCs w:val="24"/>
        </w:rPr>
        <w:t>签订合同。</w:t>
      </w:r>
    </w:p>
    <w:p>
      <w:pPr>
        <w:spacing w:before="177" w:line="468" w:lineRule="exact"/>
        <w:ind w:left="548"/>
        <w:rPr>
          <w:rFonts w:ascii="宋体" w:hAnsi="宋体" w:eastAsia="宋体" w:cs="宋体"/>
          <w:sz w:val="24"/>
          <w:szCs w:val="24"/>
        </w:rPr>
      </w:pPr>
      <w:r>
        <w:rPr>
          <w:rFonts w:ascii="宋体" w:hAnsi="宋体" w:eastAsia="宋体" w:cs="宋体"/>
          <w:spacing w:val="-3"/>
          <w:position w:val="17"/>
          <w:sz w:val="24"/>
          <w:szCs w:val="24"/>
        </w:rPr>
        <w:t>特殊分包人（或供货人）承担部分的计量由承</w:t>
      </w:r>
      <w:r>
        <w:rPr>
          <w:rFonts w:ascii="宋体" w:hAnsi="宋体" w:eastAsia="宋体" w:cs="宋体"/>
          <w:spacing w:val="-4"/>
          <w:position w:val="17"/>
          <w:sz w:val="24"/>
          <w:szCs w:val="24"/>
        </w:rPr>
        <w:t>包人负责统一上报，承包人应将属特</w:t>
      </w:r>
    </w:p>
    <w:p>
      <w:pPr>
        <w:spacing w:line="218" w:lineRule="auto"/>
        <w:ind w:left="8"/>
        <w:rPr>
          <w:rFonts w:ascii="宋体" w:hAnsi="宋体" w:eastAsia="宋体" w:cs="宋体"/>
          <w:sz w:val="24"/>
          <w:szCs w:val="24"/>
        </w:rPr>
      </w:pPr>
      <w:r>
        <w:rPr>
          <w:rFonts w:ascii="宋体" w:hAnsi="宋体" w:eastAsia="宋体" w:cs="宋体"/>
          <w:sz w:val="24"/>
          <w:szCs w:val="24"/>
        </w:rPr>
        <w:t>殊分包人（或供货人）的计量支付款项，及时向特殊分</w:t>
      </w:r>
      <w:r>
        <w:rPr>
          <w:rFonts w:ascii="宋体" w:hAnsi="宋体" w:eastAsia="宋体" w:cs="宋体"/>
          <w:spacing w:val="-1"/>
          <w:sz w:val="24"/>
          <w:szCs w:val="24"/>
        </w:rPr>
        <w:t>包人（或供货人）支付。</w:t>
      </w:r>
    </w:p>
    <w:p>
      <w:pPr>
        <w:spacing w:before="181" w:line="468" w:lineRule="exact"/>
        <w:ind w:left="548"/>
        <w:rPr>
          <w:rFonts w:ascii="宋体" w:hAnsi="宋体" w:eastAsia="宋体" w:cs="宋体"/>
          <w:sz w:val="24"/>
          <w:szCs w:val="24"/>
        </w:rPr>
      </w:pPr>
      <w:r>
        <w:rPr>
          <w:rFonts w:ascii="宋体" w:hAnsi="宋体" w:eastAsia="宋体" w:cs="宋体"/>
          <w:spacing w:val="-3"/>
          <w:position w:val="17"/>
          <w:sz w:val="24"/>
          <w:szCs w:val="24"/>
        </w:rPr>
        <w:t>特殊分包人（或供货人）承担部分的原始资料</w:t>
      </w:r>
      <w:r>
        <w:rPr>
          <w:rFonts w:ascii="宋体" w:hAnsi="宋体" w:eastAsia="宋体" w:cs="宋体"/>
          <w:spacing w:val="-4"/>
          <w:position w:val="17"/>
          <w:sz w:val="24"/>
          <w:szCs w:val="24"/>
        </w:rPr>
        <w:t>存档和竣工资料编制等工作，由所在</w:t>
      </w:r>
    </w:p>
    <w:p>
      <w:pPr>
        <w:spacing w:line="219" w:lineRule="auto"/>
        <w:ind w:left="9"/>
        <w:rPr>
          <w:rFonts w:ascii="宋体" w:hAnsi="宋体" w:eastAsia="宋体" w:cs="宋体"/>
          <w:sz w:val="24"/>
          <w:szCs w:val="24"/>
        </w:rPr>
      </w:pPr>
      <w:r>
        <w:rPr>
          <w:rFonts w:ascii="宋体" w:hAnsi="宋体" w:eastAsia="宋体" w:cs="宋体"/>
          <w:spacing w:val="-2"/>
          <w:sz w:val="24"/>
          <w:szCs w:val="24"/>
        </w:rPr>
        <w:t>合同段的承包人负责。</w:t>
      </w:r>
    </w:p>
    <w:p>
      <w:pPr>
        <w:spacing w:before="181" w:line="359" w:lineRule="auto"/>
        <w:ind w:left="10" w:right="291" w:firstLine="538"/>
        <w:rPr>
          <w:rFonts w:ascii="宋体" w:hAnsi="宋体" w:eastAsia="宋体" w:cs="宋体"/>
          <w:sz w:val="24"/>
          <w:szCs w:val="24"/>
        </w:rPr>
      </w:pPr>
      <w:r>
        <w:rPr>
          <w:rFonts w:ascii="宋体" w:hAnsi="宋体" w:eastAsia="宋体" w:cs="宋体"/>
          <w:spacing w:val="-3"/>
          <w:sz w:val="24"/>
          <w:szCs w:val="24"/>
        </w:rPr>
        <w:t>承包人应无偿为特殊供货人的供料运输提供满</w:t>
      </w:r>
      <w:r>
        <w:rPr>
          <w:rFonts w:ascii="宋体" w:hAnsi="宋体" w:eastAsia="宋体" w:cs="宋体"/>
          <w:spacing w:val="-4"/>
          <w:sz w:val="24"/>
          <w:szCs w:val="24"/>
        </w:rPr>
        <w:t>足使用要求的便道便桥和码头，承包</w:t>
      </w:r>
      <w:r>
        <w:rPr>
          <w:rFonts w:ascii="宋体" w:hAnsi="宋体" w:eastAsia="宋体" w:cs="宋体"/>
          <w:sz w:val="24"/>
          <w:szCs w:val="24"/>
        </w:rPr>
        <w:t xml:space="preserve"> </w:t>
      </w:r>
      <w:r>
        <w:rPr>
          <w:rFonts w:ascii="宋体" w:hAnsi="宋体" w:eastAsia="宋体" w:cs="宋体"/>
          <w:spacing w:val="-2"/>
          <w:sz w:val="24"/>
          <w:szCs w:val="24"/>
        </w:rPr>
        <w:t>人负责卸料并负责将卸下的材料搬运至工地仓库或特定地点，由此所需的设备、人力和</w:t>
      </w:r>
    </w:p>
    <w:p>
      <w:pPr>
        <w:spacing w:line="219" w:lineRule="auto"/>
        <w:ind w:left="21"/>
        <w:rPr>
          <w:rFonts w:ascii="宋体" w:hAnsi="宋体" w:eastAsia="宋体" w:cs="宋体"/>
          <w:sz w:val="24"/>
          <w:szCs w:val="24"/>
        </w:rPr>
      </w:pPr>
      <w:r>
        <w:rPr>
          <w:rFonts w:ascii="宋体" w:hAnsi="宋体" w:eastAsia="宋体" w:cs="宋体"/>
          <w:spacing w:val="-1"/>
          <w:sz w:val="24"/>
          <w:szCs w:val="24"/>
        </w:rPr>
        <w:t>费用由承包人自行负责，承包人的仓库容量应满足相关要求。</w:t>
      </w:r>
    </w:p>
    <w:p>
      <w:pPr>
        <w:spacing w:before="183" w:line="465" w:lineRule="exact"/>
        <w:ind w:left="552"/>
        <w:rPr>
          <w:rFonts w:ascii="宋体" w:hAnsi="宋体" w:eastAsia="宋体" w:cs="宋体"/>
          <w:sz w:val="24"/>
          <w:szCs w:val="24"/>
        </w:rPr>
      </w:pPr>
      <w:r>
        <w:rPr>
          <w:rFonts w:ascii="宋体" w:hAnsi="宋体" w:eastAsia="宋体" w:cs="宋体"/>
          <w:spacing w:val="-1"/>
          <w:position w:val="17"/>
          <w:sz w:val="24"/>
          <w:szCs w:val="24"/>
        </w:rPr>
        <w:t>如发生第</w:t>
      </w:r>
      <w:r>
        <w:rPr>
          <w:rFonts w:ascii="宋体" w:hAnsi="宋体" w:eastAsia="宋体" w:cs="宋体"/>
          <w:spacing w:val="-33"/>
          <w:position w:val="17"/>
          <w:sz w:val="24"/>
          <w:szCs w:val="24"/>
        </w:rPr>
        <w:t xml:space="preserve"> </w:t>
      </w:r>
      <w:r>
        <w:rPr>
          <w:rFonts w:ascii="宋体" w:hAnsi="宋体" w:eastAsia="宋体" w:cs="宋体"/>
          <w:spacing w:val="-1"/>
          <w:position w:val="17"/>
          <w:sz w:val="24"/>
          <w:szCs w:val="24"/>
        </w:rPr>
        <w:t>11.5</w:t>
      </w:r>
      <w:r>
        <w:rPr>
          <w:rFonts w:ascii="宋体" w:hAnsi="宋体" w:eastAsia="宋体" w:cs="宋体"/>
          <w:spacing w:val="-50"/>
          <w:position w:val="17"/>
          <w:sz w:val="24"/>
          <w:szCs w:val="24"/>
        </w:rPr>
        <w:t xml:space="preserve"> </w:t>
      </w:r>
      <w:r>
        <w:rPr>
          <w:rFonts w:ascii="宋体" w:hAnsi="宋体" w:eastAsia="宋体" w:cs="宋体"/>
          <w:spacing w:val="-1"/>
          <w:position w:val="17"/>
          <w:sz w:val="24"/>
          <w:szCs w:val="24"/>
        </w:rPr>
        <w:t>款约定的承包人工程进度严重滞后，发包人</w:t>
      </w:r>
      <w:r>
        <w:rPr>
          <w:rFonts w:ascii="宋体" w:hAnsi="宋体" w:eastAsia="宋体" w:cs="宋体"/>
          <w:spacing w:val="-2"/>
          <w:position w:val="17"/>
          <w:sz w:val="24"/>
          <w:szCs w:val="24"/>
        </w:rPr>
        <w:t>有权对承包人部分工程</w:t>
      </w:r>
    </w:p>
    <w:p>
      <w:pPr>
        <w:spacing w:before="1" w:line="219" w:lineRule="auto"/>
        <w:ind w:left="6"/>
        <w:rPr>
          <w:rFonts w:ascii="宋体" w:hAnsi="宋体" w:eastAsia="宋体" w:cs="宋体"/>
          <w:sz w:val="24"/>
          <w:szCs w:val="24"/>
        </w:rPr>
      </w:pPr>
      <w:r>
        <w:rPr>
          <w:rFonts w:ascii="宋体" w:hAnsi="宋体" w:eastAsia="宋体" w:cs="宋体"/>
          <w:spacing w:val="-2"/>
          <w:sz w:val="24"/>
          <w:szCs w:val="24"/>
        </w:rPr>
        <w:t>进行特殊分包，承包人应无条件接受，并按第</w:t>
      </w:r>
      <w:r>
        <w:rPr>
          <w:rFonts w:ascii="宋体" w:hAnsi="宋体" w:eastAsia="宋体" w:cs="宋体"/>
          <w:spacing w:val="-19"/>
          <w:sz w:val="24"/>
          <w:szCs w:val="24"/>
        </w:rPr>
        <w:t xml:space="preserve"> </w:t>
      </w:r>
      <w:r>
        <w:rPr>
          <w:rFonts w:ascii="宋体" w:hAnsi="宋体" w:eastAsia="宋体" w:cs="宋体"/>
          <w:spacing w:val="-2"/>
          <w:sz w:val="24"/>
          <w:szCs w:val="24"/>
        </w:rPr>
        <w:t>11.5</w:t>
      </w:r>
      <w:r>
        <w:rPr>
          <w:rFonts w:ascii="宋体" w:hAnsi="宋体" w:eastAsia="宋体" w:cs="宋体"/>
          <w:spacing w:val="-50"/>
          <w:sz w:val="24"/>
          <w:szCs w:val="24"/>
        </w:rPr>
        <w:t xml:space="preserve"> </w:t>
      </w:r>
      <w:r>
        <w:rPr>
          <w:rFonts w:ascii="宋体" w:hAnsi="宋体" w:eastAsia="宋体" w:cs="宋体"/>
          <w:spacing w:val="-2"/>
          <w:sz w:val="24"/>
          <w:szCs w:val="24"/>
        </w:rPr>
        <w:t>款约定处理。</w:t>
      </w:r>
    </w:p>
    <w:p>
      <w:pPr>
        <w:spacing w:before="183" w:line="220" w:lineRule="auto"/>
        <w:ind w:left="487"/>
        <w:rPr>
          <w:rFonts w:ascii="宋体" w:hAnsi="宋体" w:eastAsia="宋体" w:cs="宋体"/>
          <w:sz w:val="24"/>
          <w:szCs w:val="24"/>
        </w:rPr>
      </w:pPr>
      <w:r>
        <w:rPr>
          <w:rFonts w:ascii="宋体" w:hAnsi="宋体" w:eastAsia="宋体" w:cs="宋体"/>
          <w:spacing w:val="-2"/>
          <w:sz w:val="24"/>
          <w:szCs w:val="24"/>
        </w:rPr>
        <w:t>4.3.9</w:t>
      </w:r>
      <w:r>
        <w:rPr>
          <w:rFonts w:ascii="宋体" w:hAnsi="宋体" w:eastAsia="宋体" w:cs="宋体"/>
          <w:spacing w:val="-44"/>
          <w:sz w:val="24"/>
          <w:szCs w:val="24"/>
        </w:rPr>
        <w:t xml:space="preserve"> </w:t>
      </w:r>
      <w:r>
        <w:rPr>
          <w:rFonts w:ascii="宋体" w:hAnsi="宋体" w:eastAsia="宋体" w:cs="宋体"/>
          <w:spacing w:val="-2"/>
          <w:sz w:val="24"/>
          <w:szCs w:val="24"/>
        </w:rPr>
        <w:t>发包人的强制分包</w:t>
      </w:r>
    </w:p>
    <w:p>
      <w:pPr>
        <w:spacing w:before="179" w:line="360" w:lineRule="auto"/>
        <w:ind w:left="7" w:right="291" w:firstLine="499"/>
        <w:rPr>
          <w:rFonts w:ascii="宋体" w:hAnsi="宋体" w:eastAsia="宋体" w:cs="宋体"/>
          <w:sz w:val="24"/>
          <w:szCs w:val="24"/>
        </w:rPr>
      </w:pPr>
      <w:r>
        <w:rPr>
          <w:rFonts w:ascii="宋体" w:hAnsi="宋体" w:eastAsia="宋体" w:cs="宋体"/>
          <w:spacing w:val="-2"/>
          <w:sz w:val="24"/>
          <w:szCs w:val="24"/>
        </w:rPr>
        <w:t>因承包人违约或发生重大的质量、安全事故以及出现进度严</w:t>
      </w:r>
      <w:r>
        <w:rPr>
          <w:rFonts w:ascii="宋体" w:hAnsi="宋体" w:eastAsia="宋体" w:cs="宋体"/>
          <w:spacing w:val="-3"/>
          <w:sz w:val="24"/>
          <w:szCs w:val="24"/>
        </w:rPr>
        <w:t>重滞后的情况和工程专</w:t>
      </w:r>
      <w:r>
        <w:rPr>
          <w:rFonts w:ascii="宋体" w:hAnsi="宋体" w:eastAsia="宋体" w:cs="宋体"/>
          <w:sz w:val="24"/>
          <w:szCs w:val="24"/>
        </w:rPr>
        <w:t xml:space="preserve"> </w:t>
      </w:r>
      <w:r>
        <w:rPr>
          <w:rFonts w:ascii="宋体" w:hAnsi="宋体" w:eastAsia="宋体" w:cs="宋体"/>
          <w:spacing w:val="-2"/>
          <w:sz w:val="24"/>
          <w:szCs w:val="24"/>
        </w:rPr>
        <w:t>业化施工等的需要，发包人有权对承包人部分工程进行切割，做分包处理，因此而增加</w:t>
      </w:r>
    </w:p>
    <w:p>
      <w:pPr>
        <w:spacing w:before="1" w:line="219" w:lineRule="auto"/>
        <w:ind w:left="28"/>
        <w:rPr>
          <w:rFonts w:ascii="宋体" w:hAnsi="宋体" w:eastAsia="宋体" w:cs="宋体"/>
          <w:sz w:val="24"/>
          <w:szCs w:val="24"/>
        </w:rPr>
      </w:pPr>
      <w:r>
        <w:rPr>
          <w:rFonts w:ascii="宋体" w:hAnsi="宋体" w:eastAsia="宋体" w:cs="宋体"/>
          <w:spacing w:val="-3"/>
          <w:sz w:val="24"/>
          <w:szCs w:val="24"/>
        </w:rPr>
        <w:t>的一切费用由承包人承担。</w:t>
      </w:r>
    </w:p>
    <w:p>
      <w:pPr>
        <w:spacing w:before="179" w:line="359" w:lineRule="auto"/>
        <w:ind w:left="8" w:right="227" w:firstLine="495"/>
        <w:rPr>
          <w:rFonts w:ascii="宋体" w:hAnsi="宋体" w:eastAsia="宋体" w:cs="宋体"/>
          <w:sz w:val="24"/>
          <w:szCs w:val="24"/>
        </w:rPr>
      </w:pPr>
      <w:r>
        <w:rPr>
          <w:rFonts w:ascii="宋体" w:hAnsi="宋体" w:eastAsia="宋体" w:cs="宋体"/>
          <w:sz w:val="24"/>
          <w:szCs w:val="24"/>
        </w:rPr>
        <w:t>当发包人决定采取分包时，承包人应无条件接受</w:t>
      </w:r>
      <w:r>
        <w:rPr>
          <w:rFonts w:ascii="宋体" w:hAnsi="宋体" w:eastAsia="宋体" w:cs="宋体"/>
          <w:spacing w:val="-1"/>
          <w:sz w:val="24"/>
          <w:szCs w:val="24"/>
        </w:rPr>
        <w:t>并全力配合发包人开展相关工作，</w:t>
      </w:r>
      <w:r>
        <w:rPr>
          <w:rFonts w:ascii="宋体" w:hAnsi="宋体" w:eastAsia="宋体" w:cs="宋体"/>
          <w:sz w:val="24"/>
          <w:szCs w:val="24"/>
        </w:rPr>
        <w:t xml:space="preserve"> </w:t>
      </w:r>
      <w:r>
        <w:rPr>
          <w:rFonts w:ascii="宋体" w:hAnsi="宋体" w:eastAsia="宋体" w:cs="宋体"/>
          <w:spacing w:val="-6"/>
          <w:sz w:val="24"/>
          <w:szCs w:val="24"/>
        </w:rPr>
        <w:t>并无条件提供已有的临时设施（包括但不限于便道、便桥、电力线路等）供</w:t>
      </w:r>
      <w:r>
        <w:rPr>
          <w:rFonts w:ascii="宋体" w:hAnsi="宋体" w:eastAsia="宋体" w:cs="宋体"/>
          <w:spacing w:val="-7"/>
          <w:sz w:val="24"/>
          <w:szCs w:val="24"/>
        </w:rPr>
        <w:t>分包人使用，</w:t>
      </w:r>
      <w:r>
        <w:rPr>
          <w:rFonts w:ascii="宋体" w:hAnsi="宋体" w:eastAsia="宋体" w:cs="宋体"/>
          <w:sz w:val="24"/>
          <w:szCs w:val="24"/>
        </w:rPr>
        <w:t xml:space="preserve"> </w:t>
      </w:r>
      <w:r>
        <w:rPr>
          <w:rFonts w:ascii="宋体" w:hAnsi="宋体" w:eastAsia="宋体" w:cs="宋体"/>
          <w:spacing w:val="-2"/>
          <w:sz w:val="24"/>
          <w:szCs w:val="24"/>
        </w:rPr>
        <w:t>且不得为此要求增加或支付任何费用，否则视承包人违约。分包部分的造价按以下原则</w:t>
      </w:r>
    </w:p>
    <w:p>
      <w:pPr>
        <w:spacing w:before="1" w:line="217" w:lineRule="auto"/>
        <w:ind w:left="8"/>
        <w:rPr>
          <w:rFonts w:ascii="宋体" w:hAnsi="宋体" w:eastAsia="宋体" w:cs="宋体"/>
          <w:sz w:val="24"/>
          <w:szCs w:val="24"/>
        </w:rPr>
      </w:pPr>
      <w:r>
        <w:rPr>
          <w:rFonts w:ascii="宋体" w:hAnsi="宋体" w:eastAsia="宋体" w:cs="宋体"/>
          <w:spacing w:val="-1"/>
          <w:sz w:val="24"/>
          <w:szCs w:val="24"/>
        </w:rPr>
        <w:t>计算，并从承包人的合同总价中扣除：</w:t>
      </w:r>
    </w:p>
    <w:p>
      <w:pPr>
        <w:spacing w:before="150" w:line="387" w:lineRule="auto"/>
        <w:ind w:left="480"/>
        <w:rPr>
          <w:rFonts w:ascii="宋体" w:hAnsi="宋体" w:eastAsia="宋体" w:cs="宋体"/>
          <w:sz w:val="12"/>
          <w:szCs w:val="12"/>
        </w:rPr>
      </w:pPr>
      <w:r>
        <w:rPr>
          <w:rFonts w:ascii="宋体" w:hAnsi="宋体" w:eastAsia="宋体" w:cs="宋体"/>
          <w:spacing w:val="-8"/>
          <w:position w:val="-1"/>
          <w:sz w:val="24"/>
          <w:szCs w:val="24"/>
        </w:rPr>
        <w:t>A、</w:t>
      </w:r>
      <w:r>
        <w:rPr>
          <w:rFonts w:ascii="宋体" w:hAnsi="宋体" w:eastAsia="宋体" w:cs="宋体"/>
          <w:position w:val="-1"/>
          <w:sz w:val="24"/>
          <w:szCs w:val="24"/>
          <w:u w:val="single" w:color="auto"/>
        </w:rPr>
        <w:t xml:space="preserve">                                                           </w:t>
      </w:r>
      <w:r>
        <w:rPr>
          <w:rFonts w:ascii="宋体" w:hAnsi="宋体" w:eastAsia="宋体" w:cs="宋体"/>
          <w:spacing w:val="-90"/>
          <w:position w:val="-1"/>
          <w:sz w:val="24"/>
          <w:szCs w:val="24"/>
        </w:rPr>
        <w:t xml:space="preserve"> </w:t>
      </w:r>
      <w:r>
        <w:rPr>
          <w:rFonts w:ascii="宋体" w:hAnsi="宋体" w:eastAsia="宋体" w:cs="宋体"/>
          <w:spacing w:val="-8"/>
          <w:position w:val="-1"/>
          <w:sz w:val="24"/>
          <w:szCs w:val="24"/>
        </w:rPr>
        <w:t>；</w:t>
      </w:r>
      <w:r>
        <w:fldChar w:fldCharType="begin"/>
      </w:r>
      <w:r>
        <w:instrText xml:space="preserve"> HYPERLINK \l "bookmark153" </w:instrText>
      </w:r>
      <w:r>
        <w:fldChar w:fldCharType="separate"/>
      </w:r>
      <w:r>
        <w:rPr>
          <w:rFonts w:ascii="宋体" w:hAnsi="宋体" w:eastAsia="宋体" w:cs="宋体"/>
          <w:spacing w:val="-8"/>
          <w:position w:val="10"/>
          <w:sz w:val="12"/>
          <w:szCs w:val="12"/>
        </w:rPr>
        <w:t>①</w:t>
      </w:r>
      <w:r>
        <w:rPr>
          <w:rFonts w:ascii="宋体" w:hAnsi="宋体" w:eastAsia="宋体" w:cs="宋体"/>
          <w:spacing w:val="-8"/>
          <w:position w:val="10"/>
          <w:sz w:val="12"/>
          <w:szCs w:val="12"/>
        </w:rPr>
        <w:fldChar w:fldCharType="end"/>
      </w:r>
    </w:p>
    <w:p>
      <w:pPr>
        <w:spacing w:line="466" w:lineRule="exact"/>
        <w:ind w:left="482"/>
        <w:rPr>
          <w:rFonts w:ascii="宋体" w:hAnsi="宋体" w:eastAsia="宋体" w:cs="宋体"/>
          <w:sz w:val="24"/>
          <w:szCs w:val="24"/>
        </w:rPr>
      </w:pPr>
      <w:r>
        <w:rPr>
          <w:rFonts w:ascii="宋体" w:hAnsi="宋体" w:eastAsia="宋体" w:cs="宋体"/>
          <w:spacing w:val="-2"/>
          <w:position w:val="17"/>
          <w:sz w:val="24"/>
          <w:szCs w:val="24"/>
        </w:rPr>
        <w:t>B、发包人委托政府主管部门或发包人选取的第</w:t>
      </w:r>
      <w:r>
        <w:rPr>
          <w:rFonts w:ascii="宋体" w:hAnsi="宋体" w:eastAsia="宋体" w:cs="宋体"/>
          <w:spacing w:val="-3"/>
          <w:position w:val="17"/>
          <w:sz w:val="24"/>
          <w:szCs w:val="24"/>
        </w:rPr>
        <w:t>三方机构按</w:t>
      </w:r>
      <w:r>
        <w:rPr>
          <w:rFonts w:ascii="宋体" w:hAnsi="宋体" w:eastAsia="宋体" w:cs="宋体"/>
          <w:spacing w:val="-32"/>
          <w:position w:val="17"/>
          <w:sz w:val="24"/>
          <w:szCs w:val="24"/>
        </w:rPr>
        <w:t xml:space="preserve"> </w:t>
      </w:r>
      <w:r>
        <w:rPr>
          <w:rFonts w:ascii="宋体" w:hAnsi="宋体" w:eastAsia="宋体" w:cs="宋体"/>
          <w:spacing w:val="-3"/>
          <w:position w:val="17"/>
          <w:sz w:val="24"/>
          <w:szCs w:val="24"/>
        </w:rPr>
        <w:t>15.4.4</w:t>
      </w:r>
      <w:r>
        <w:rPr>
          <w:rFonts w:ascii="宋体" w:hAnsi="宋体" w:eastAsia="宋体" w:cs="宋体"/>
          <w:spacing w:val="-50"/>
          <w:position w:val="17"/>
          <w:sz w:val="24"/>
          <w:szCs w:val="24"/>
        </w:rPr>
        <w:t xml:space="preserve"> </w:t>
      </w:r>
      <w:r>
        <w:rPr>
          <w:rFonts w:ascii="宋体" w:hAnsi="宋体" w:eastAsia="宋体" w:cs="宋体"/>
          <w:spacing w:val="-3"/>
          <w:position w:val="17"/>
          <w:sz w:val="24"/>
          <w:szCs w:val="24"/>
        </w:rPr>
        <w:t>款约定的原则重</w:t>
      </w:r>
    </w:p>
    <w:p>
      <w:pPr>
        <w:spacing w:before="1" w:line="217" w:lineRule="auto"/>
        <w:ind w:left="9"/>
        <w:rPr>
          <w:rFonts w:ascii="宋体" w:hAnsi="宋体" w:eastAsia="宋体" w:cs="宋体"/>
          <w:sz w:val="24"/>
          <w:szCs w:val="24"/>
        </w:rPr>
      </w:pPr>
      <w:r>
        <w:rPr>
          <w:rFonts w:ascii="宋体" w:hAnsi="宋体" w:eastAsia="宋体" w:cs="宋体"/>
          <w:sz w:val="24"/>
          <w:szCs w:val="24"/>
        </w:rPr>
        <w:t>新编制切割工程的预算，并按预算金额（不下浮）从</w:t>
      </w:r>
      <w:r>
        <w:rPr>
          <w:rFonts w:ascii="宋体" w:hAnsi="宋体" w:eastAsia="宋体" w:cs="宋体"/>
          <w:spacing w:val="-1"/>
          <w:sz w:val="24"/>
          <w:szCs w:val="24"/>
        </w:rPr>
        <w:t>承包人的合同总价中扣除。</w:t>
      </w:r>
    </w:p>
    <w:p>
      <w:pPr>
        <w:spacing w:before="185" w:line="219" w:lineRule="auto"/>
        <w:ind w:left="492"/>
        <w:rPr>
          <w:rFonts w:ascii="宋体" w:hAnsi="宋体" w:eastAsia="宋体" w:cs="宋体"/>
          <w:sz w:val="24"/>
          <w:szCs w:val="24"/>
        </w:rPr>
      </w:pPr>
      <w:r>
        <w:rPr>
          <w:rFonts w:ascii="宋体" w:hAnsi="宋体" w:eastAsia="宋体" w:cs="宋体"/>
          <w:spacing w:val="-1"/>
          <w:sz w:val="24"/>
          <w:szCs w:val="24"/>
        </w:rPr>
        <w:t>发包人有权从以上两种方式中进行选择，承包人必须无条件服从。</w:t>
      </w:r>
    </w:p>
    <w:p>
      <w:pPr>
        <w:spacing w:before="181" w:line="359" w:lineRule="auto"/>
        <w:ind w:left="7" w:right="211" w:firstLine="484"/>
        <w:rPr>
          <w:rFonts w:ascii="宋体" w:hAnsi="宋体" w:eastAsia="宋体" w:cs="宋体"/>
          <w:sz w:val="24"/>
          <w:szCs w:val="24"/>
        </w:rPr>
      </w:pPr>
      <w:r>
        <w:rPr>
          <w:rFonts w:ascii="宋体" w:hAnsi="宋体" w:eastAsia="宋体" w:cs="宋体"/>
          <w:spacing w:val="1"/>
          <w:sz w:val="24"/>
          <w:szCs w:val="24"/>
        </w:rPr>
        <w:t>发包人有权按上述确定的造价要求承包人、分包人与发包人签订三方分包协议,或</w:t>
      </w:r>
      <w:r>
        <w:rPr>
          <w:rFonts w:ascii="宋体" w:hAnsi="宋体" w:eastAsia="宋体" w:cs="宋体"/>
          <w:spacing w:val="16"/>
          <w:sz w:val="24"/>
          <w:szCs w:val="24"/>
        </w:rPr>
        <w:t xml:space="preserve"> </w:t>
      </w:r>
      <w:r>
        <w:rPr>
          <w:rFonts w:ascii="宋体" w:hAnsi="宋体" w:eastAsia="宋体" w:cs="宋体"/>
          <w:spacing w:val="-3"/>
          <w:sz w:val="24"/>
          <w:szCs w:val="24"/>
        </w:rPr>
        <w:t>由发包人与分包人签订协议。工程款根据签订的协议,由发包人对分包人按时计量支付。</w:t>
      </w:r>
      <w:r>
        <w:rPr>
          <w:rFonts w:ascii="宋体" w:hAnsi="宋体" w:eastAsia="宋体" w:cs="宋体"/>
          <w:spacing w:val="14"/>
          <w:sz w:val="24"/>
          <w:szCs w:val="24"/>
        </w:rPr>
        <w:t xml:space="preserve"> </w:t>
      </w:r>
      <w:r>
        <w:rPr>
          <w:rFonts w:ascii="宋体" w:hAnsi="宋体" w:eastAsia="宋体" w:cs="宋体"/>
          <w:spacing w:val="2"/>
          <w:sz w:val="24"/>
          <w:szCs w:val="24"/>
        </w:rPr>
        <w:t>工程实施后，确定分包工程计量支付金额后</w:t>
      </w:r>
      <w:r>
        <w:rPr>
          <w:rFonts w:ascii="宋体" w:hAnsi="宋体" w:eastAsia="宋体" w:cs="宋体"/>
          <w:spacing w:val="1"/>
          <w:sz w:val="24"/>
          <w:szCs w:val="24"/>
        </w:rPr>
        <w:t>,发包人可直接在承包人任意一期计量中扣</w:t>
      </w:r>
      <w:r>
        <w:rPr>
          <w:rFonts w:ascii="宋体" w:hAnsi="宋体" w:eastAsia="宋体" w:cs="宋体"/>
          <w:sz w:val="24"/>
          <w:szCs w:val="24"/>
        </w:rPr>
        <w:t xml:space="preserve"> </w:t>
      </w:r>
      <w:r>
        <w:rPr>
          <w:rFonts w:ascii="宋体" w:hAnsi="宋体" w:eastAsia="宋体" w:cs="宋体"/>
          <w:spacing w:val="4"/>
          <w:sz w:val="24"/>
          <w:szCs w:val="24"/>
        </w:rPr>
        <w:t xml:space="preserve">减相应分包费用。承包人须负责分包部分原始资料的存档和竣工资料的统一编制等工 </w:t>
      </w:r>
      <w:r>
        <w:rPr>
          <w:rFonts w:ascii="宋体" w:hAnsi="宋体" w:eastAsia="宋体" w:cs="宋体"/>
          <w:spacing w:val="-2"/>
          <w:sz w:val="24"/>
          <w:szCs w:val="24"/>
        </w:rPr>
        <w:t>作。发包人对承包人分包工程的同意并不免除承包人应承担的责任和义务。承</w:t>
      </w:r>
      <w:r>
        <w:rPr>
          <w:rFonts w:ascii="宋体" w:hAnsi="宋体" w:eastAsia="宋体" w:cs="宋体"/>
          <w:spacing w:val="-3"/>
          <w:sz w:val="24"/>
          <w:szCs w:val="24"/>
        </w:rPr>
        <w:t xml:space="preserve">包人应将 </w:t>
      </w:r>
      <w:r>
        <w:rPr>
          <w:rFonts w:ascii="宋体" w:hAnsi="宋体" w:eastAsia="宋体" w:cs="宋体"/>
          <w:spacing w:val="1"/>
          <w:sz w:val="24"/>
          <w:szCs w:val="24"/>
        </w:rPr>
        <w:t>任何分包人、分包代理人、雇员或工人的行为、违约和疏忽,视为承包人自己的行为、</w:t>
      </w:r>
    </w:p>
    <w:p>
      <w:pPr>
        <w:spacing w:before="1" w:line="216" w:lineRule="auto"/>
        <w:ind w:left="8"/>
        <w:rPr>
          <w:rFonts w:ascii="宋体" w:hAnsi="宋体" w:eastAsia="宋体" w:cs="宋体"/>
          <w:sz w:val="24"/>
          <w:szCs w:val="24"/>
        </w:rPr>
      </w:pPr>
      <w:r>
        <w:rPr>
          <w:rFonts w:ascii="宋体" w:hAnsi="宋体" w:eastAsia="宋体" w:cs="宋体"/>
          <w:spacing w:val="-1"/>
          <w:sz w:val="24"/>
          <w:szCs w:val="24"/>
        </w:rPr>
        <w:t>违约和疏忽,并为之负完全的责任。</w:t>
      </w:r>
    </w:p>
    <w:p>
      <w:pPr>
        <w:spacing w:line="347" w:lineRule="auto"/>
        <w:rPr>
          <w:rFonts w:ascii="Arial"/>
          <w:sz w:val="21"/>
        </w:rPr>
      </w:pPr>
    </w:p>
    <w:p>
      <w:pPr>
        <w:spacing w:before="59" w:line="220" w:lineRule="auto"/>
        <w:ind w:left="5"/>
        <w:rPr>
          <w:rFonts w:ascii="宋体" w:hAnsi="宋体" w:eastAsia="宋体" w:cs="宋体"/>
          <w:sz w:val="18"/>
          <w:szCs w:val="18"/>
        </w:rPr>
      </w:pPr>
      <w:r>
        <w:rPr>
          <w:rFonts w:ascii="宋体" w:hAnsi="宋体" w:eastAsia="宋体" w:cs="宋体"/>
          <w:sz w:val="18"/>
          <w:szCs w:val="18"/>
        </w:rPr>
        <w:t>①分包部分的造价计算原则由发包人按项目特点，根据分包的内容约定相应</w:t>
      </w:r>
      <w:r>
        <w:rPr>
          <w:rFonts w:ascii="宋体" w:hAnsi="宋体" w:eastAsia="宋体" w:cs="宋体"/>
          <w:spacing w:val="-1"/>
          <w:sz w:val="18"/>
          <w:szCs w:val="18"/>
        </w:rPr>
        <w:t>费用的扣除方式。</w:t>
      </w:r>
    </w:p>
    <w:p>
      <w:pPr>
        <w:spacing w:line="424" w:lineRule="auto"/>
        <w:rPr>
          <w:rFonts w:ascii="Arial"/>
          <w:sz w:val="21"/>
        </w:rPr>
      </w:pPr>
    </w:p>
    <w:p>
      <w:pPr>
        <w:spacing w:before="78" w:line="359" w:lineRule="auto"/>
        <w:ind w:left="5" w:right="291" w:firstLine="480"/>
        <w:rPr>
          <w:rFonts w:ascii="宋体" w:hAnsi="宋体" w:eastAsia="宋体" w:cs="宋体"/>
          <w:sz w:val="24"/>
          <w:szCs w:val="24"/>
        </w:rPr>
      </w:pPr>
      <w:r>
        <w:rPr>
          <w:rFonts w:ascii="宋体" w:hAnsi="宋体" w:eastAsia="宋体" w:cs="宋体"/>
          <w:spacing w:val="-2"/>
          <w:sz w:val="24"/>
          <w:szCs w:val="24"/>
        </w:rPr>
        <w:t>承包人的分包工程受发包人的监督和管理，发包人有权审查承包人所有分包合同，</w:t>
      </w:r>
      <w:r>
        <w:rPr>
          <w:rFonts w:ascii="宋体" w:hAnsi="宋体" w:eastAsia="宋体" w:cs="宋体"/>
          <w:spacing w:val="8"/>
          <w:sz w:val="24"/>
          <w:szCs w:val="24"/>
        </w:rPr>
        <w:t xml:space="preserve"> </w:t>
      </w:r>
      <w:r>
        <w:rPr>
          <w:rFonts w:ascii="宋体" w:hAnsi="宋体" w:eastAsia="宋体" w:cs="宋体"/>
          <w:spacing w:val="-2"/>
          <w:sz w:val="24"/>
          <w:szCs w:val="24"/>
        </w:rPr>
        <w:t>承包人须严格执行合同（包括分包合同）条款，不得拖欠工人工资及分包商工程款，发</w:t>
      </w:r>
      <w:r>
        <w:rPr>
          <w:rFonts w:ascii="宋体" w:hAnsi="宋体" w:eastAsia="宋体" w:cs="宋体"/>
          <w:spacing w:val="12"/>
          <w:sz w:val="24"/>
          <w:szCs w:val="24"/>
        </w:rPr>
        <w:t xml:space="preserve"> </w:t>
      </w:r>
      <w:r>
        <w:rPr>
          <w:rFonts w:ascii="宋体" w:hAnsi="宋体" w:eastAsia="宋体" w:cs="宋体"/>
          <w:spacing w:val="-2"/>
          <w:sz w:val="24"/>
          <w:szCs w:val="24"/>
        </w:rPr>
        <w:t>包人如有发现或接到投诉，发包人有权直接向工人或分包商支付承包人拖欠款项，该笔</w:t>
      </w:r>
    </w:p>
    <w:p>
      <w:pPr>
        <w:spacing w:line="219" w:lineRule="auto"/>
        <w:ind w:left="6"/>
        <w:rPr>
          <w:rFonts w:ascii="宋体" w:hAnsi="宋体" w:eastAsia="宋体" w:cs="宋体"/>
          <w:sz w:val="24"/>
          <w:szCs w:val="24"/>
        </w:rPr>
      </w:pPr>
      <w:r>
        <w:rPr>
          <w:rFonts w:ascii="宋体" w:hAnsi="宋体" w:eastAsia="宋体" w:cs="宋体"/>
          <w:spacing w:val="-1"/>
          <w:sz w:val="24"/>
          <w:szCs w:val="24"/>
        </w:rPr>
        <w:t>款项由发包人从承包人应收工程款中如数扣回，承包人不得有异议。</w:t>
      </w:r>
    </w:p>
    <w:p>
      <w:pPr>
        <w:spacing w:before="183" w:line="219" w:lineRule="auto"/>
        <w:ind w:left="484"/>
        <w:rPr>
          <w:rFonts w:ascii="宋体" w:hAnsi="宋体" w:eastAsia="宋体" w:cs="宋体"/>
          <w:sz w:val="24"/>
          <w:szCs w:val="24"/>
        </w:rPr>
      </w:pPr>
      <w:r>
        <w:rPr>
          <w:rFonts w:ascii="宋体" w:hAnsi="宋体" w:eastAsia="宋体" w:cs="宋体"/>
          <w:spacing w:val="-1"/>
          <w:sz w:val="24"/>
          <w:szCs w:val="24"/>
        </w:rPr>
        <w:t>4.6 承包人人员的管理</w:t>
      </w:r>
    </w:p>
    <w:p>
      <w:pPr>
        <w:spacing w:before="180" w:line="219" w:lineRule="auto"/>
        <w:ind w:left="485"/>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44"/>
          <w:sz w:val="24"/>
          <w:szCs w:val="24"/>
        </w:rPr>
        <w:t xml:space="preserve"> </w:t>
      </w:r>
      <w:r>
        <w:rPr>
          <w:rFonts w:ascii="宋体" w:hAnsi="宋体" w:eastAsia="宋体" w:cs="宋体"/>
          <w:spacing w:val="-4"/>
          <w:sz w:val="24"/>
          <w:szCs w:val="24"/>
        </w:rPr>
        <w:t>4.6.1</w:t>
      </w:r>
      <w:r>
        <w:rPr>
          <w:rFonts w:ascii="宋体" w:hAnsi="宋体" w:eastAsia="宋体" w:cs="宋体"/>
          <w:spacing w:val="-47"/>
          <w:sz w:val="24"/>
          <w:szCs w:val="24"/>
        </w:rPr>
        <w:t xml:space="preserve"> </w:t>
      </w:r>
      <w:r>
        <w:rPr>
          <w:rFonts w:ascii="宋体" w:hAnsi="宋体" w:eastAsia="宋体" w:cs="宋体"/>
          <w:spacing w:val="-4"/>
          <w:sz w:val="24"/>
          <w:szCs w:val="24"/>
        </w:rPr>
        <w:t>项补充：</w:t>
      </w:r>
    </w:p>
    <w:p>
      <w:pPr>
        <w:spacing w:before="183" w:line="465" w:lineRule="exact"/>
        <w:ind w:left="545"/>
        <w:rPr>
          <w:rFonts w:ascii="宋体" w:hAnsi="宋体" w:eastAsia="宋体" w:cs="宋体"/>
          <w:sz w:val="24"/>
          <w:szCs w:val="24"/>
        </w:rPr>
      </w:pPr>
      <w:r>
        <w:rPr>
          <w:rFonts w:ascii="宋体" w:hAnsi="宋体" w:eastAsia="宋体" w:cs="宋体"/>
          <w:spacing w:val="-3"/>
          <w:position w:val="17"/>
          <w:sz w:val="24"/>
          <w:szCs w:val="24"/>
        </w:rPr>
        <w:t>承包人应按监理人批准的人员安排报告及时安</w:t>
      </w:r>
      <w:r>
        <w:rPr>
          <w:rFonts w:ascii="宋体" w:hAnsi="宋体" w:eastAsia="宋体" w:cs="宋体"/>
          <w:spacing w:val="-4"/>
          <w:position w:val="17"/>
          <w:sz w:val="24"/>
          <w:szCs w:val="24"/>
        </w:rPr>
        <w:t>排相关人员进场，如果承包人在接到</w:t>
      </w:r>
    </w:p>
    <w:p>
      <w:pPr>
        <w:spacing w:before="1" w:line="219" w:lineRule="auto"/>
        <w:ind w:left="6"/>
        <w:rPr>
          <w:rFonts w:ascii="宋体" w:hAnsi="宋体" w:eastAsia="宋体" w:cs="宋体"/>
          <w:sz w:val="24"/>
          <w:szCs w:val="24"/>
        </w:rPr>
      </w:pPr>
      <w:r>
        <w:rPr>
          <w:rFonts w:ascii="宋体" w:hAnsi="宋体" w:eastAsia="宋体" w:cs="宋体"/>
          <w:spacing w:val="-1"/>
          <w:sz w:val="24"/>
          <w:szCs w:val="24"/>
        </w:rPr>
        <w:t>监理人要求人员进场的通知</w:t>
      </w:r>
      <w:r>
        <w:rPr>
          <w:rFonts w:ascii="宋体" w:hAnsi="宋体" w:eastAsia="宋体" w:cs="宋体"/>
          <w:spacing w:val="-46"/>
          <w:sz w:val="24"/>
          <w:szCs w:val="24"/>
        </w:rPr>
        <w:t xml:space="preserve"> </w:t>
      </w:r>
      <w:r>
        <w:rPr>
          <w:rFonts w:ascii="宋体" w:hAnsi="宋体" w:eastAsia="宋体" w:cs="宋体"/>
          <w:spacing w:val="-1"/>
          <w:sz w:val="24"/>
          <w:szCs w:val="24"/>
        </w:rPr>
        <w:t>5</w:t>
      </w:r>
      <w:r>
        <w:rPr>
          <w:rFonts w:ascii="宋体" w:hAnsi="宋体" w:eastAsia="宋体" w:cs="宋体"/>
          <w:spacing w:val="-46"/>
          <w:sz w:val="24"/>
          <w:szCs w:val="24"/>
        </w:rPr>
        <w:t xml:space="preserve"> </w:t>
      </w:r>
      <w:r>
        <w:rPr>
          <w:rFonts w:ascii="宋体" w:hAnsi="宋体" w:eastAsia="宋体" w:cs="宋体"/>
          <w:spacing w:val="-1"/>
          <w:sz w:val="24"/>
          <w:szCs w:val="24"/>
        </w:rPr>
        <w:t>天后仍未安排相关人员进场，视为</w:t>
      </w:r>
      <w:r>
        <w:rPr>
          <w:rFonts w:ascii="宋体" w:hAnsi="宋体" w:eastAsia="宋体" w:cs="宋体"/>
          <w:spacing w:val="-2"/>
          <w:sz w:val="24"/>
          <w:szCs w:val="24"/>
        </w:rPr>
        <w:t>承包人违约。</w:t>
      </w:r>
    </w:p>
    <w:p>
      <w:pPr>
        <w:spacing w:before="183" w:line="219" w:lineRule="auto"/>
        <w:ind w:left="485"/>
        <w:rPr>
          <w:rFonts w:ascii="宋体" w:hAnsi="宋体" w:eastAsia="宋体" w:cs="宋体"/>
          <w:sz w:val="24"/>
          <w:szCs w:val="24"/>
        </w:rPr>
      </w:pPr>
      <w:r>
        <w:rPr>
          <w:rFonts w:ascii="宋体" w:hAnsi="宋体" w:eastAsia="宋体" w:cs="宋体"/>
          <w:spacing w:val="-2"/>
          <w:sz w:val="24"/>
          <w:szCs w:val="24"/>
        </w:rPr>
        <w:t>第 4.6.3</w:t>
      </w:r>
      <w:r>
        <w:rPr>
          <w:rFonts w:ascii="宋体" w:hAnsi="宋体" w:eastAsia="宋体" w:cs="宋体"/>
          <w:spacing w:val="-47"/>
          <w:sz w:val="24"/>
          <w:szCs w:val="24"/>
        </w:rPr>
        <w:t xml:space="preserve"> </w:t>
      </w:r>
      <w:r>
        <w:rPr>
          <w:rFonts w:ascii="宋体" w:hAnsi="宋体" w:eastAsia="宋体" w:cs="宋体"/>
          <w:spacing w:val="-2"/>
          <w:sz w:val="24"/>
          <w:szCs w:val="24"/>
        </w:rPr>
        <w:t>项细化为：</w:t>
      </w:r>
    </w:p>
    <w:p>
      <w:pPr>
        <w:spacing w:before="182" w:line="359" w:lineRule="auto"/>
        <w:ind w:left="7" w:right="291" w:firstLine="478"/>
        <w:rPr>
          <w:rFonts w:ascii="宋体" w:hAnsi="宋体" w:eastAsia="宋体" w:cs="宋体"/>
          <w:sz w:val="24"/>
          <w:szCs w:val="24"/>
        </w:rPr>
      </w:pPr>
      <w:r>
        <w:rPr>
          <w:rFonts w:ascii="宋体" w:hAnsi="宋体" w:eastAsia="宋体" w:cs="宋体"/>
          <w:spacing w:val="-2"/>
          <w:sz w:val="24"/>
          <w:szCs w:val="24"/>
        </w:rPr>
        <w:t>承包人安排在施工场地的项目经理及项目总工（总工程师）应与承包人投标填报名</w:t>
      </w:r>
      <w:r>
        <w:rPr>
          <w:rFonts w:ascii="宋体" w:hAnsi="宋体" w:eastAsia="宋体" w:cs="宋体"/>
          <w:spacing w:val="8"/>
          <w:sz w:val="24"/>
          <w:szCs w:val="24"/>
        </w:rPr>
        <w:t xml:space="preserve"> </w:t>
      </w:r>
      <w:r>
        <w:rPr>
          <w:rFonts w:ascii="宋体" w:hAnsi="宋体" w:eastAsia="宋体" w:cs="宋体"/>
          <w:spacing w:val="-3"/>
          <w:sz w:val="24"/>
          <w:szCs w:val="24"/>
        </w:rPr>
        <w:t>单一致；其他主要管理人员和技术人员的资格和经历应不低于招标文件《附录</w:t>
      </w:r>
      <w:r>
        <w:rPr>
          <w:rFonts w:ascii="宋体" w:hAnsi="宋体" w:eastAsia="宋体" w:cs="宋体"/>
          <w:spacing w:val="-31"/>
          <w:sz w:val="24"/>
          <w:szCs w:val="24"/>
        </w:rPr>
        <w:t xml:space="preserve"> </w:t>
      </w:r>
      <w:r>
        <w:rPr>
          <w:rFonts w:ascii="宋体" w:hAnsi="宋体" w:eastAsia="宋体" w:cs="宋体"/>
          <w:spacing w:val="-3"/>
          <w:sz w:val="24"/>
          <w:szCs w:val="24"/>
        </w:rPr>
        <w:t>6</w:t>
      </w:r>
      <w:r>
        <w:rPr>
          <w:rFonts w:ascii="宋体" w:hAnsi="宋体" w:eastAsia="宋体" w:cs="宋体"/>
          <w:spacing w:val="-41"/>
          <w:sz w:val="24"/>
          <w:szCs w:val="24"/>
        </w:rPr>
        <w:t xml:space="preserve"> </w:t>
      </w:r>
      <w:r>
        <w:rPr>
          <w:rFonts w:ascii="宋体" w:hAnsi="宋体" w:eastAsia="宋体" w:cs="宋体"/>
          <w:spacing w:val="-3"/>
          <w:sz w:val="24"/>
          <w:szCs w:val="24"/>
        </w:rPr>
        <w:t>资格审</w:t>
      </w:r>
      <w:r>
        <w:rPr>
          <w:rFonts w:ascii="宋体" w:hAnsi="宋体" w:eastAsia="宋体" w:cs="宋体"/>
          <w:sz w:val="24"/>
          <w:szCs w:val="24"/>
        </w:rPr>
        <w:t xml:space="preserve"> </w:t>
      </w:r>
      <w:r>
        <w:rPr>
          <w:rFonts w:ascii="宋体" w:hAnsi="宋体" w:eastAsia="宋体" w:cs="宋体"/>
          <w:spacing w:val="-2"/>
          <w:sz w:val="24"/>
          <w:szCs w:val="24"/>
        </w:rPr>
        <w:t>查条件（其他主要管理人员和技术人员最低要求）》的规定，报监理人审核后并报发包</w:t>
      </w:r>
    </w:p>
    <w:p>
      <w:pPr>
        <w:spacing w:line="219" w:lineRule="auto"/>
        <w:ind w:left="7"/>
        <w:rPr>
          <w:rFonts w:ascii="宋体" w:hAnsi="宋体" w:eastAsia="宋体" w:cs="宋体"/>
          <w:sz w:val="24"/>
          <w:szCs w:val="24"/>
        </w:rPr>
      </w:pPr>
      <w:r>
        <w:rPr>
          <w:rFonts w:ascii="宋体" w:hAnsi="宋体" w:eastAsia="宋体" w:cs="宋体"/>
          <w:spacing w:val="-1"/>
          <w:sz w:val="24"/>
          <w:szCs w:val="24"/>
        </w:rPr>
        <w:t>人批准，上述人员经发包人批准后不得随意更换。</w:t>
      </w:r>
    </w:p>
    <w:p>
      <w:pPr>
        <w:spacing w:before="184" w:line="359" w:lineRule="auto"/>
        <w:ind w:left="5" w:right="291" w:firstLine="582"/>
        <w:rPr>
          <w:rFonts w:ascii="宋体" w:hAnsi="宋体" w:eastAsia="宋体" w:cs="宋体"/>
          <w:sz w:val="24"/>
          <w:szCs w:val="24"/>
        </w:rPr>
      </w:pPr>
      <w:r>
        <w:rPr>
          <w:rFonts w:ascii="宋体" w:hAnsi="宋体" w:eastAsia="宋体" w:cs="宋体"/>
          <w:spacing w:val="-4"/>
          <w:sz w:val="24"/>
          <w:szCs w:val="24"/>
        </w:rPr>
        <w:t>(1) 未经监理人批准，上述人员不应无故不到位或</w:t>
      </w:r>
      <w:r>
        <w:rPr>
          <w:rFonts w:ascii="宋体" w:hAnsi="宋体" w:eastAsia="宋体" w:cs="宋体"/>
          <w:spacing w:val="-5"/>
          <w:sz w:val="24"/>
          <w:szCs w:val="24"/>
        </w:rPr>
        <w:t>被替换。若确实无法到位或需替</w:t>
      </w:r>
      <w:r>
        <w:rPr>
          <w:rFonts w:ascii="宋体" w:hAnsi="宋体" w:eastAsia="宋体" w:cs="宋体"/>
          <w:sz w:val="24"/>
          <w:szCs w:val="24"/>
        </w:rPr>
        <w:t xml:space="preserve"> </w:t>
      </w:r>
      <w:r>
        <w:rPr>
          <w:rFonts w:ascii="宋体" w:hAnsi="宋体" w:eastAsia="宋体" w:cs="宋体"/>
          <w:spacing w:val="-2"/>
          <w:sz w:val="24"/>
          <w:szCs w:val="24"/>
        </w:rPr>
        <w:t>换，或监理人认为已委派的项目经理或主要人员</w:t>
      </w:r>
      <w:r>
        <w:rPr>
          <w:rFonts w:ascii="宋体" w:hAnsi="宋体" w:eastAsia="宋体" w:cs="宋体"/>
          <w:spacing w:val="-2"/>
          <w:sz w:val="24"/>
          <w:szCs w:val="24"/>
          <w:u w:val="single" w:color="auto"/>
        </w:rPr>
        <w:t>（或备选人员）</w:t>
      </w:r>
      <w:r>
        <w:rPr>
          <w:rFonts w:ascii="宋体" w:hAnsi="宋体" w:eastAsia="宋体" w:cs="宋体"/>
          <w:spacing w:val="-2"/>
          <w:sz w:val="24"/>
          <w:szCs w:val="24"/>
        </w:rPr>
        <w:t>的工作能力和业务水平</w:t>
      </w:r>
      <w:r>
        <w:rPr>
          <w:rFonts w:ascii="宋体" w:hAnsi="宋体" w:eastAsia="宋体" w:cs="宋体"/>
          <w:spacing w:val="12"/>
          <w:sz w:val="24"/>
          <w:szCs w:val="24"/>
        </w:rPr>
        <w:t xml:space="preserve"> </w:t>
      </w:r>
      <w:r>
        <w:rPr>
          <w:rFonts w:ascii="宋体" w:hAnsi="宋体" w:eastAsia="宋体" w:cs="宋体"/>
          <w:spacing w:val="-2"/>
          <w:sz w:val="24"/>
          <w:szCs w:val="24"/>
        </w:rPr>
        <w:t>不称职，需经监理人审核并报发包人批准后，用同等资质和经历的人员替换，同时须按</w:t>
      </w:r>
      <w:r>
        <w:rPr>
          <w:rFonts w:ascii="宋体" w:hAnsi="宋体" w:eastAsia="宋体" w:cs="宋体"/>
          <w:spacing w:val="12"/>
          <w:sz w:val="24"/>
          <w:szCs w:val="24"/>
        </w:rPr>
        <w:t xml:space="preserve"> </w:t>
      </w:r>
      <w:r>
        <w:rPr>
          <w:rFonts w:ascii="宋体" w:hAnsi="宋体" w:eastAsia="宋体" w:cs="宋体"/>
          <w:spacing w:val="-2"/>
          <w:sz w:val="24"/>
          <w:szCs w:val="24"/>
        </w:rPr>
        <w:t>以下标准向发包人提交违约金：项目经理、总工程师</w:t>
      </w:r>
      <w:r>
        <w:rPr>
          <w:rFonts w:ascii="宋体" w:hAnsi="宋体" w:eastAsia="宋体" w:cs="宋体"/>
          <w:spacing w:val="-2"/>
          <w:sz w:val="24"/>
          <w:szCs w:val="24"/>
          <w:u w:val="single" w:color="auto"/>
        </w:rPr>
        <w:t>（用备选人替换首选人的调整不受</w:t>
      </w:r>
      <w:r>
        <w:rPr>
          <w:rFonts w:ascii="宋体" w:hAnsi="宋体" w:eastAsia="宋体" w:cs="宋体"/>
          <w:spacing w:val="12"/>
          <w:sz w:val="24"/>
          <w:szCs w:val="24"/>
        </w:rPr>
        <w:t xml:space="preserve"> </w:t>
      </w:r>
      <w:r>
        <w:rPr>
          <w:rFonts w:ascii="宋体" w:hAnsi="宋体" w:eastAsia="宋体" w:cs="宋体"/>
          <w:spacing w:val="-2"/>
          <w:sz w:val="24"/>
          <w:szCs w:val="24"/>
          <w:u w:val="single" w:color="auto"/>
        </w:rPr>
        <w:t>此限）</w:t>
      </w:r>
      <w:r>
        <w:rPr>
          <w:rFonts w:ascii="宋体" w:hAnsi="宋体" w:eastAsia="宋体" w:cs="宋体"/>
          <w:spacing w:val="-2"/>
          <w:sz w:val="24"/>
          <w:szCs w:val="24"/>
        </w:rPr>
        <w:t>需缴纳违约金金额详见项目专用合同条款数据表，其他主要管理人员</w:t>
      </w:r>
      <w:r>
        <w:rPr>
          <w:rFonts w:ascii="宋体" w:hAnsi="宋体" w:eastAsia="宋体" w:cs="宋体"/>
          <w:spacing w:val="-2"/>
          <w:sz w:val="24"/>
          <w:szCs w:val="24"/>
          <w:u w:val="single" w:color="auto"/>
        </w:rPr>
        <w:t>（质检工程</w:t>
      </w:r>
      <w:r>
        <w:rPr>
          <w:rFonts w:ascii="宋体" w:hAnsi="宋体" w:eastAsia="宋体" w:cs="宋体"/>
          <w:spacing w:val="12"/>
          <w:sz w:val="24"/>
          <w:szCs w:val="24"/>
        </w:rPr>
        <w:t xml:space="preserve"> </w:t>
      </w:r>
      <w:r>
        <w:rPr>
          <w:rFonts w:ascii="宋体" w:hAnsi="宋体" w:eastAsia="宋体" w:cs="宋体"/>
          <w:spacing w:val="-2"/>
          <w:sz w:val="24"/>
          <w:szCs w:val="24"/>
          <w:u w:val="single" w:color="auto"/>
        </w:rPr>
        <w:t>师、计划工程师、道路工程师、桥梁工程师、隧道工程师、地质工程师、测量工程师、</w:t>
      </w:r>
      <w:r>
        <w:rPr>
          <w:rFonts w:ascii="宋体" w:hAnsi="宋体" w:eastAsia="宋体" w:cs="宋体"/>
          <w:spacing w:val="12"/>
          <w:sz w:val="24"/>
          <w:szCs w:val="24"/>
        </w:rPr>
        <w:t xml:space="preserve"> </w:t>
      </w:r>
      <w:r>
        <w:rPr>
          <w:rFonts w:ascii="宋体" w:hAnsi="宋体" w:eastAsia="宋体" w:cs="宋体"/>
          <w:spacing w:val="-2"/>
          <w:sz w:val="24"/>
          <w:szCs w:val="24"/>
          <w:u w:val="single" w:color="auto"/>
        </w:rPr>
        <w:t>试验工程师、专职安全生产管理人员、财务负责人等）</w:t>
      </w:r>
      <w:r>
        <w:rPr>
          <w:rFonts w:ascii="宋体" w:hAnsi="宋体" w:eastAsia="宋体" w:cs="宋体"/>
          <w:spacing w:val="-2"/>
          <w:sz w:val="24"/>
          <w:szCs w:val="24"/>
        </w:rPr>
        <w:t>的调整部分需缴纳违约金金额详</w:t>
      </w:r>
      <w:r>
        <w:rPr>
          <w:rFonts w:ascii="宋体" w:hAnsi="宋体" w:eastAsia="宋体" w:cs="宋体"/>
          <w:spacing w:val="12"/>
          <w:sz w:val="24"/>
          <w:szCs w:val="24"/>
        </w:rPr>
        <w:t xml:space="preserve"> </w:t>
      </w:r>
      <w:r>
        <w:rPr>
          <w:rFonts w:ascii="宋体" w:hAnsi="宋体" w:eastAsia="宋体" w:cs="宋体"/>
          <w:spacing w:val="-2"/>
          <w:sz w:val="24"/>
          <w:szCs w:val="24"/>
        </w:rPr>
        <w:t>见项目专用合同条款数据表。因不可抗力、退休、职务晋升或离职等（需提供相关证明</w:t>
      </w:r>
      <w:r>
        <w:rPr>
          <w:rFonts w:ascii="宋体" w:hAnsi="宋体" w:eastAsia="宋体" w:cs="宋体"/>
          <w:spacing w:val="12"/>
          <w:sz w:val="24"/>
          <w:szCs w:val="24"/>
        </w:rPr>
        <w:t xml:space="preserve"> </w:t>
      </w:r>
      <w:r>
        <w:rPr>
          <w:rFonts w:ascii="宋体" w:hAnsi="宋体" w:eastAsia="宋体" w:cs="宋体"/>
          <w:spacing w:val="-2"/>
          <w:sz w:val="24"/>
          <w:szCs w:val="24"/>
        </w:rPr>
        <w:t>材料）无法继续履行合同责任和义务，承包人报监理人审核并报发包人批准后可进行替</w:t>
      </w:r>
      <w:r>
        <w:rPr>
          <w:rFonts w:ascii="宋体" w:hAnsi="宋体" w:eastAsia="宋体" w:cs="宋体"/>
          <w:spacing w:val="12"/>
          <w:sz w:val="24"/>
          <w:szCs w:val="24"/>
        </w:rPr>
        <w:t xml:space="preserve"> </w:t>
      </w:r>
      <w:r>
        <w:rPr>
          <w:rFonts w:ascii="宋体" w:hAnsi="宋体" w:eastAsia="宋体" w:cs="宋体"/>
          <w:spacing w:val="-2"/>
          <w:sz w:val="24"/>
          <w:szCs w:val="24"/>
        </w:rPr>
        <w:t>换，替换人员的资质和经历不得低于原批复人员，承包人无须承担违约责任。发包人可</w:t>
      </w:r>
    </w:p>
    <w:p>
      <w:pPr>
        <w:spacing w:before="1" w:line="219" w:lineRule="auto"/>
        <w:ind w:left="18"/>
        <w:rPr>
          <w:rFonts w:ascii="宋体" w:hAnsi="宋体" w:eastAsia="宋体" w:cs="宋体"/>
          <w:sz w:val="24"/>
          <w:szCs w:val="24"/>
        </w:rPr>
      </w:pPr>
      <w:r>
        <w:rPr>
          <w:rFonts w:ascii="宋体" w:hAnsi="宋体" w:eastAsia="宋体" w:cs="宋体"/>
          <w:spacing w:val="-2"/>
          <w:sz w:val="24"/>
          <w:szCs w:val="24"/>
        </w:rPr>
        <w:t>随着工程的进度情况，动态增减管理人员要求。</w:t>
      </w:r>
    </w:p>
    <w:p>
      <w:pPr>
        <w:spacing w:before="182" w:line="466" w:lineRule="exact"/>
        <w:ind w:left="472"/>
        <w:rPr>
          <w:rFonts w:ascii="宋体" w:hAnsi="宋体" w:eastAsia="宋体" w:cs="宋体"/>
          <w:sz w:val="24"/>
          <w:szCs w:val="24"/>
        </w:rPr>
      </w:pPr>
      <w:r>
        <w:rPr>
          <w:rFonts w:ascii="宋体" w:hAnsi="宋体" w:eastAsia="宋体" w:cs="宋体"/>
          <w:spacing w:val="2"/>
          <w:position w:val="17"/>
          <w:sz w:val="24"/>
          <w:szCs w:val="24"/>
        </w:rPr>
        <w:t>（2）为保证承包人的档案资料整理工作具有连续性、稳定性，要求</w:t>
      </w:r>
      <w:r>
        <w:rPr>
          <w:rFonts w:ascii="宋体" w:hAnsi="宋体" w:eastAsia="宋体" w:cs="宋体"/>
          <w:spacing w:val="1"/>
          <w:position w:val="17"/>
          <w:sz w:val="24"/>
          <w:szCs w:val="24"/>
        </w:rPr>
        <w:t>承包人的档案</w:t>
      </w:r>
    </w:p>
    <w:p>
      <w:pPr>
        <w:spacing w:before="1" w:line="218" w:lineRule="auto"/>
        <w:ind w:left="15"/>
        <w:rPr>
          <w:rFonts w:ascii="宋体" w:hAnsi="宋体" w:eastAsia="宋体" w:cs="宋体"/>
          <w:sz w:val="24"/>
          <w:szCs w:val="24"/>
        </w:rPr>
      </w:pPr>
      <w:r>
        <w:rPr>
          <w:rFonts w:ascii="宋体" w:hAnsi="宋体" w:eastAsia="宋体" w:cs="宋体"/>
          <w:spacing w:val="-2"/>
          <w:sz w:val="24"/>
          <w:szCs w:val="24"/>
        </w:rPr>
        <w:t>资料整理负责人在本项目连续工作</w:t>
      </w:r>
      <w:r>
        <w:rPr>
          <w:rFonts w:ascii="宋体" w:hAnsi="宋体" w:eastAsia="宋体" w:cs="宋体"/>
          <w:spacing w:val="-29"/>
          <w:sz w:val="24"/>
          <w:szCs w:val="24"/>
        </w:rPr>
        <w:t xml:space="preserve"> </w:t>
      </w:r>
      <w:r>
        <w:rPr>
          <w:rFonts w:ascii="宋体" w:hAnsi="宋体" w:eastAsia="宋体" w:cs="宋体"/>
          <w:spacing w:val="-2"/>
          <w:sz w:val="24"/>
          <w:szCs w:val="24"/>
        </w:rPr>
        <w:t>1</w:t>
      </w:r>
      <w:r>
        <w:rPr>
          <w:rFonts w:ascii="宋体" w:hAnsi="宋体" w:eastAsia="宋体" w:cs="宋体"/>
          <w:spacing w:val="-50"/>
          <w:sz w:val="24"/>
          <w:szCs w:val="24"/>
        </w:rPr>
        <w:t xml:space="preserve"> </w:t>
      </w:r>
      <w:r>
        <w:rPr>
          <w:rFonts w:ascii="宋体" w:hAnsi="宋体" w:eastAsia="宋体" w:cs="宋体"/>
          <w:spacing w:val="-2"/>
          <w:sz w:val="24"/>
          <w:szCs w:val="24"/>
        </w:rPr>
        <w:t>年及以上，否则视为承包人违约。</w:t>
      </w:r>
    </w:p>
    <w:p>
      <w:pPr>
        <w:spacing w:before="183" w:line="359" w:lineRule="auto"/>
        <w:ind w:left="6" w:right="291" w:firstLine="466"/>
        <w:rPr>
          <w:rFonts w:ascii="宋体" w:hAnsi="宋体" w:eastAsia="宋体" w:cs="宋体"/>
          <w:sz w:val="24"/>
          <w:szCs w:val="24"/>
        </w:rPr>
      </w:pPr>
      <w:r>
        <w:rPr>
          <w:rFonts w:ascii="宋体" w:hAnsi="宋体" w:eastAsia="宋体" w:cs="宋体"/>
          <w:spacing w:val="-2"/>
          <w:sz w:val="24"/>
          <w:szCs w:val="24"/>
        </w:rPr>
        <w:t>（3）项目经理不能在两个或两个以上项目同时任职，且必须保证每月有</w:t>
      </w:r>
      <w:r>
        <w:rPr>
          <w:rFonts w:ascii="宋体" w:hAnsi="宋体" w:eastAsia="宋体" w:cs="宋体"/>
          <w:spacing w:val="-47"/>
          <w:sz w:val="24"/>
          <w:szCs w:val="24"/>
        </w:rPr>
        <w:t xml:space="preserve"> </w:t>
      </w:r>
      <w:r>
        <w:rPr>
          <w:rFonts w:ascii="宋体" w:hAnsi="宋体" w:eastAsia="宋体" w:cs="宋体"/>
          <w:spacing w:val="-2"/>
          <w:sz w:val="24"/>
          <w:szCs w:val="24"/>
        </w:rPr>
        <w:t>2</w:t>
      </w:r>
      <w:r>
        <w:rPr>
          <w:rFonts w:ascii="宋体" w:hAnsi="宋体" w:eastAsia="宋体" w:cs="宋体"/>
          <w:spacing w:val="-3"/>
          <w:sz w:val="24"/>
          <w:szCs w:val="24"/>
        </w:rPr>
        <w:t>2</w:t>
      </w:r>
      <w:r>
        <w:rPr>
          <w:rFonts w:ascii="宋体" w:hAnsi="宋体" w:eastAsia="宋体" w:cs="宋体"/>
          <w:spacing w:val="-46"/>
          <w:sz w:val="24"/>
          <w:szCs w:val="24"/>
        </w:rPr>
        <w:t xml:space="preserve"> </w:t>
      </w:r>
      <w:r>
        <w:rPr>
          <w:rFonts w:ascii="宋体" w:hAnsi="宋体" w:eastAsia="宋体" w:cs="宋体"/>
          <w:spacing w:val="-3"/>
          <w:sz w:val="24"/>
          <w:szCs w:val="24"/>
        </w:rPr>
        <w:t>天以上</w:t>
      </w:r>
      <w:r>
        <w:rPr>
          <w:rFonts w:ascii="宋体" w:hAnsi="宋体" w:eastAsia="宋体" w:cs="宋体"/>
          <w:sz w:val="24"/>
          <w:szCs w:val="24"/>
        </w:rPr>
        <w:t xml:space="preserve"> </w:t>
      </w:r>
      <w:r>
        <w:rPr>
          <w:rFonts w:ascii="宋体" w:hAnsi="宋体" w:eastAsia="宋体" w:cs="宋体"/>
          <w:spacing w:val="1"/>
          <w:sz w:val="24"/>
          <w:szCs w:val="24"/>
        </w:rPr>
        <w:t>驻守现场；项目总工（总工程师）必须保证每月有</w:t>
      </w:r>
      <w:r>
        <w:rPr>
          <w:rFonts w:ascii="宋体" w:hAnsi="宋体" w:eastAsia="宋体" w:cs="宋体"/>
          <w:spacing w:val="-45"/>
          <w:sz w:val="24"/>
          <w:szCs w:val="24"/>
        </w:rPr>
        <w:t xml:space="preserve"> </w:t>
      </w:r>
      <w:r>
        <w:rPr>
          <w:rFonts w:ascii="宋体" w:hAnsi="宋体" w:eastAsia="宋体" w:cs="宋体"/>
          <w:spacing w:val="1"/>
          <w:sz w:val="24"/>
          <w:szCs w:val="24"/>
        </w:rPr>
        <w:t>22</w:t>
      </w:r>
      <w:r>
        <w:rPr>
          <w:rFonts w:ascii="宋体" w:hAnsi="宋体" w:eastAsia="宋体" w:cs="宋体"/>
          <w:spacing w:val="-44"/>
          <w:sz w:val="24"/>
          <w:szCs w:val="24"/>
        </w:rPr>
        <w:t xml:space="preserve"> </w:t>
      </w:r>
      <w:r>
        <w:rPr>
          <w:rFonts w:ascii="宋体" w:hAnsi="宋体" w:eastAsia="宋体" w:cs="宋体"/>
          <w:sz w:val="24"/>
          <w:szCs w:val="24"/>
        </w:rPr>
        <w:t xml:space="preserve">天以上驻守现场，否则视为承包 </w:t>
      </w:r>
      <w:r>
        <w:rPr>
          <w:rFonts w:ascii="宋体" w:hAnsi="宋体" w:eastAsia="宋体" w:cs="宋体"/>
          <w:spacing w:val="-3"/>
          <w:sz w:val="24"/>
          <w:szCs w:val="24"/>
        </w:rPr>
        <w:t>人违约。以上两位主要人员因主管部门或发包人检查，被认定存在“挂名</w:t>
      </w:r>
      <w:r>
        <w:rPr>
          <w:rFonts w:ascii="宋体" w:hAnsi="宋体" w:eastAsia="宋体" w:cs="宋体"/>
          <w:spacing w:val="-71"/>
          <w:sz w:val="24"/>
          <w:szCs w:val="24"/>
        </w:rPr>
        <w:t xml:space="preserve"> </w:t>
      </w:r>
      <w:r>
        <w:rPr>
          <w:rFonts w:ascii="宋体" w:hAnsi="宋体" w:eastAsia="宋体" w:cs="宋体"/>
          <w:spacing w:val="-3"/>
          <w:sz w:val="24"/>
          <w:szCs w:val="24"/>
        </w:rPr>
        <w:t>”现象的，视</w:t>
      </w:r>
    </w:p>
    <w:p>
      <w:pPr>
        <w:spacing w:line="219" w:lineRule="auto"/>
        <w:ind w:left="8"/>
        <w:rPr>
          <w:rFonts w:ascii="宋体" w:hAnsi="宋体" w:eastAsia="宋体" w:cs="宋体"/>
          <w:sz w:val="24"/>
          <w:szCs w:val="24"/>
        </w:rPr>
      </w:pPr>
      <w:r>
        <w:rPr>
          <w:rFonts w:ascii="宋体" w:hAnsi="宋体" w:eastAsia="宋体" w:cs="宋体"/>
          <w:spacing w:val="-2"/>
          <w:sz w:val="24"/>
          <w:szCs w:val="24"/>
        </w:rPr>
        <w:t>为承包人违约。</w:t>
      </w:r>
    </w:p>
    <w:p>
      <w:pPr>
        <w:spacing w:line="425" w:lineRule="auto"/>
        <w:rPr>
          <w:rFonts w:ascii="Arial"/>
          <w:sz w:val="21"/>
        </w:rPr>
      </w:pPr>
    </w:p>
    <w:p>
      <w:pPr>
        <w:spacing w:before="78" w:line="359" w:lineRule="auto"/>
        <w:ind w:left="4" w:right="291" w:firstLine="468"/>
        <w:jc w:val="both"/>
        <w:rPr>
          <w:rFonts w:ascii="宋体" w:hAnsi="宋体" w:eastAsia="宋体" w:cs="宋体"/>
          <w:sz w:val="24"/>
          <w:szCs w:val="24"/>
        </w:rPr>
      </w:pPr>
      <w:r>
        <w:rPr>
          <w:rFonts w:ascii="宋体" w:hAnsi="宋体" w:eastAsia="宋体" w:cs="宋体"/>
          <w:spacing w:val="2"/>
          <w:sz w:val="24"/>
          <w:szCs w:val="24"/>
        </w:rPr>
        <w:t>（4）承包人应按《公路水运工程安全生产监督管理办法》和《广东</w:t>
      </w:r>
      <w:r>
        <w:rPr>
          <w:rFonts w:ascii="宋体" w:hAnsi="宋体" w:eastAsia="宋体" w:cs="宋体"/>
          <w:spacing w:val="1"/>
          <w:sz w:val="24"/>
          <w:szCs w:val="24"/>
        </w:rPr>
        <w:t>省高速公路工</w:t>
      </w:r>
      <w:r>
        <w:rPr>
          <w:rFonts w:ascii="宋体" w:hAnsi="宋体" w:eastAsia="宋体" w:cs="宋体"/>
          <w:sz w:val="24"/>
          <w:szCs w:val="24"/>
        </w:rPr>
        <w:t xml:space="preserve"> </w:t>
      </w:r>
      <w:r>
        <w:rPr>
          <w:rFonts w:ascii="宋体" w:hAnsi="宋体" w:eastAsia="宋体" w:cs="宋体"/>
          <w:spacing w:val="-2"/>
          <w:sz w:val="24"/>
          <w:szCs w:val="24"/>
        </w:rPr>
        <w:t>程施工安全标准化指南》等相关规定，设置独立的安全管理机构，配置专职安全生产管</w:t>
      </w:r>
    </w:p>
    <w:p>
      <w:pPr>
        <w:spacing w:before="1" w:line="220" w:lineRule="auto"/>
        <w:ind w:left="8"/>
        <w:rPr>
          <w:rFonts w:ascii="宋体" w:hAnsi="宋体" w:eastAsia="宋体" w:cs="宋体"/>
          <w:sz w:val="24"/>
          <w:szCs w:val="24"/>
        </w:rPr>
      </w:pPr>
      <w:r>
        <w:rPr>
          <w:rFonts w:ascii="宋体" w:hAnsi="宋体" w:eastAsia="宋体" w:cs="宋体"/>
          <w:spacing w:val="-4"/>
          <w:sz w:val="24"/>
          <w:szCs w:val="24"/>
        </w:rPr>
        <w:t>理人员：</w:t>
      </w:r>
    </w:p>
    <w:p>
      <w:pPr>
        <w:spacing w:before="180" w:line="359" w:lineRule="auto"/>
        <w:ind w:left="5" w:right="211" w:firstLine="456"/>
        <w:rPr>
          <w:rFonts w:ascii="宋体" w:hAnsi="宋体" w:eastAsia="宋体" w:cs="宋体"/>
          <w:sz w:val="24"/>
          <w:szCs w:val="24"/>
        </w:rPr>
      </w:pPr>
      <w:r>
        <w:rPr>
          <w:rFonts w:ascii="宋体" w:hAnsi="宋体" w:eastAsia="宋体" w:cs="宋体"/>
          <w:spacing w:val="-2"/>
          <w:sz w:val="24"/>
          <w:szCs w:val="24"/>
        </w:rPr>
        <w:t xml:space="preserve">a.项目部及专业分包单位按照年度施工产值计划配备专职安全生产管理人员，不足 </w:t>
      </w:r>
      <w:r>
        <w:rPr>
          <w:rFonts w:ascii="宋体" w:hAnsi="宋体" w:eastAsia="宋体" w:cs="宋体"/>
          <w:spacing w:val="-5"/>
          <w:sz w:val="24"/>
          <w:szCs w:val="24"/>
        </w:rPr>
        <w:t>5000</w:t>
      </w:r>
      <w:r>
        <w:rPr>
          <w:rFonts w:ascii="宋体" w:hAnsi="宋体" w:eastAsia="宋体" w:cs="宋体"/>
          <w:spacing w:val="-45"/>
          <w:sz w:val="24"/>
          <w:szCs w:val="24"/>
        </w:rPr>
        <w:t xml:space="preserve"> </w:t>
      </w:r>
      <w:r>
        <w:rPr>
          <w:rFonts w:ascii="宋体" w:hAnsi="宋体" w:eastAsia="宋体" w:cs="宋体"/>
          <w:spacing w:val="-5"/>
          <w:sz w:val="24"/>
          <w:szCs w:val="24"/>
        </w:rPr>
        <w:t>万元的至少配备</w:t>
      </w:r>
      <w:r>
        <w:rPr>
          <w:rFonts w:ascii="宋体" w:hAnsi="宋体" w:eastAsia="宋体" w:cs="宋体"/>
          <w:spacing w:val="-48"/>
          <w:sz w:val="24"/>
          <w:szCs w:val="24"/>
        </w:rPr>
        <w:t xml:space="preserve"> </w:t>
      </w:r>
      <w:r>
        <w:rPr>
          <w:rFonts w:ascii="宋体" w:hAnsi="宋体" w:eastAsia="宋体" w:cs="宋体"/>
          <w:spacing w:val="-5"/>
          <w:sz w:val="24"/>
          <w:szCs w:val="24"/>
        </w:rPr>
        <w:t>2</w:t>
      </w:r>
      <w:r>
        <w:rPr>
          <w:rFonts w:ascii="宋体" w:hAnsi="宋体" w:eastAsia="宋体" w:cs="宋体"/>
          <w:spacing w:val="-48"/>
          <w:sz w:val="24"/>
          <w:szCs w:val="24"/>
        </w:rPr>
        <w:t xml:space="preserve"> </w:t>
      </w:r>
      <w:r>
        <w:rPr>
          <w:rFonts w:ascii="宋体" w:hAnsi="宋体" w:eastAsia="宋体" w:cs="宋体"/>
          <w:spacing w:val="-5"/>
          <w:sz w:val="24"/>
          <w:szCs w:val="24"/>
        </w:rPr>
        <w:t>名；5000</w:t>
      </w:r>
      <w:r>
        <w:rPr>
          <w:rFonts w:ascii="宋体" w:hAnsi="宋体" w:eastAsia="宋体" w:cs="宋体"/>
          <w:spacing w:val="-45"/>
          <w:sz w:val="24"/>
          <w:szCs w:val="24"/>
        </w:rPr>
        <w:t xml:space="preserve"> </w:t>
      </w:r>
      <w:r>
        <w:rPr>
          <w:rFonts w:ascii="宋体" w:hAnsi="宋体" w:eastAsia="宋体" w:cs="宋体"/>
          <w:spacing w:val="-5"/>
          <w:sz w:val="24"/>
          <w:szCs w:val="24"/>
        </w:rPr>
        <w:t>万元以上不足</w:t>
      </w:r>
      <w:r>
        <w:rPr>
          <w:rFonts w:ascii="宋体" w:hAnsi="宋体" w:eastAsia="宋体" w:cs="宋体"/>
          <w:spacing w:val="-47"/>
          <w:sz w:val="24"/>
          <w:szCs w:val="24"/>
        </w:rPr>
        <w:t xml:space="preserve"> </w:t>
      </w:r>
      <w:r>
        <w:rPr>
          <w:rFonts w:ascii="宋体" w:hAnsi="宋体" w:eastAsia="宋体" w:cs="宋体"/>
          <w:spacing w:val="-5"/>
          <w:sz w:val="24"/>
          <w:szCs w:val="24"/>
        </w:rPr>
        <w:t>2</w:t>
      </w:r>
      <w:r>
        <w:rPr>
          <w:rFonts w:ascii="宋体" w:hAnsi="宋体" w:eastAsia="宋体" w:cs="宋体"/>
          <w:spacing w:val="-50"/>
          <w:sz w:val="24"/>
          <w:szCs w:val="24"/>
        </w:rPr>
        <w:t xml:space="preserve"> </w:t>
      </w:r>
      <w:r>
        <w:rPr>
          <w:rFonts w:ascii="宋体" w:hAnsi="宋体" w:eastAsia="宋体" w:cs="宋体"/>
          <w:spacing w:val="-5"/>
          <w:sz w:val="24"/>
          <w:szCs w:val="24"/>
        </w:rPr>
        <w:t>亿元的按每</w:t>
      </w:r>
      <w:r>
        <w:rPr>
          <w:rFonts w:ascii="宋体" w:hAnsi="宋体" w:eastAsia="宋体" w:cs="宋体"/>
          <w:spacing w:val="-46"/>
          <w:sz w:val="24"/>
          <w:szCs w:val="24"/>
        </w:rPr>
        <w:t xml:space="preserve"> </w:t>
      </w:r>
      <w:r>
        <w:rPr>
          <w:rFonts w:ascii="宋体" w:hAnsi="宋体" w:eastAsia="宋体" w:cs="宋体"/>
          <w:spacing w:val="-5"/>
          <w:sz w:val="24"/>
          <w:szCs w:val="24"/>
        </w:rPr>
        <w:t>5000</w:t>
      </w:r>
      <w:r>
        <w:rPr>
          <w:rFonts w:ascii="宋体" w:hAnsi="宋体" w:eastAsia="宋体" w:cs="宋体"/>
          <w:spacing w:val="-45"/>
          <w:sz w:val="24"/>
          <w:szCs w:val="24"/>
        </w:rPr>
        <w:t xml:space="preserve"> </w:t>
      </w:r>
      <w:r>
        <w:rPr>
          <w:rFonts w:ascii="宋体" w:hAnsi="宋体" w:eastAsia="宋体" w:cs="宋体"/>
          <w:spacing w:val="-5"/>
          <w:sz w:val="24"/>
          <w:szCs w:val="24"/>
        </w:rPr>
        <w:t>万</w:t>
      </w:r>
      <w:r>
        <w:rPr>
          <w:rFonts w:ascii="宋体" w:hAnsi="宋体" w:eastAsia="宋体" w:cs="宋体"/>
          <w:spacing w:val="-6"/>
          <w:sz w:val="24"/>
          <w:szCs w:val="24"/>
        </w:rPr>
        <w:t>元不少于</w:t>
      </w:r>
      <w:r>
        <w:rPr>
          <w:rFonts w:ascii="宋体" w:hAnsi="宋体" w:eastAsia="宋体" w:cs="宋体"/>
          <w:spacing w:val="-33"/>
          <w:sz w:val="24"/>
          <w:szCs w:val="24"/>
        </w:rPr>
        <w:t xml:space="preserve"> </w:t>
      </w:r>
      <w:r>
        <w:rPr>
          <w:rFonts w:ascii="宋体" w:hAnsi="宋体" w:eastAsia="宋体" w:cs="宋体"/>
          <w:spacing w:val="-6"/>
          <w:sz w:val="24"/>
          <w:szCs w:val="24"/>
        </w:rPr>
        <w:t>1</w:t>
      </w:r>
      <w:r>
        <w:rPr>
          <w:rFonts w:ascii="宋体" w:hAnsi="宋体" w:eastAsia="宋体" w:cs="宋体"/>
          <w:spacing w:val="-47"/>
          <w:sz w:val="24"/>
          <w:szCs w:val="24"/>
        </w:rPr>
        <w:t xml:space="preserve"> </w:t>
      </w:r>
      <w:r>
        <w:rPr>
          <w:rFonts w:ascii="宋体" w:hAnsi="宋体" w:eastAsia="宋体" w:cs="宋体"/>
          <w:spacing w:val="-6"/>
          <w:sz w:val="24"/>
          <w:szCs w:val="24"/>
        </w:rPr>
        <w:t xml:space="preserve">名的比 </w:t>
      </w:r>
      <w:r>
        <w:rPr>
          <w:rFonts w:ascii="宋体" w:hAnsi="宋体" w:eastAsia="宋体" w:cs="宋体"/>
          <w:spacing w:val="-5"/>
          <w:sz w:val="24"/>
          <w:szCs w:val="24"/>
        </w:rPr>
        <w:t>例配备；2</w:t>
      </w:r>
      <w:r>
        <w:rPr>
          <w:rFonts w:ascii="宋体" w:hAnsi="宋体" w:eastAsia="宋体" w:cs="宋体"/>
          <w:spacing w:val="-50"/>
          <w:sz w:val="24"/>
          <w:szCs w:val="24"/>
        </w:rPr>
        <w:t xml:space="preserve"> </w:t>
      </w:r>
      <w:r>
        <w:rPr>
          <w:rFonts w:ascii="宋体" w:hAnsi="宋体" w:eastAsia="宋体" w:cs="宋体"/>
          <w:spacing w:val="-5"/>
          <w:sz w:val="24"/>
          <w:szCs w:val="24"/>
        </w:rPr>
        <w:t>亿元以上的不少于</w:t>
      </w:r>
      <w:r>
        <w:rPr>
          <w:rFonts w:ascii="宋体" w:hAnsi="宋体" w:eastAsia="宋体" w:cs="宋体"/>
          <w:spacing w:val="-46"/>
          <w:sz w:val="24"/>
          <w:szCs w:val="24"/>
        </w:rPr>
        <w:t xml:space="preserve"> </w:t>
      </w:r>
      <w:r>
        <w:rPr>
          <w:rFonts w:ascii="宋体" w:hAnsi="宋体" w:eastAsia="宋体" w:cs="宋体"/>
          <w:spacing w:val="-5"/>
          <w:sz w:val="24"/>
          <w:szCs w:val="24"/>
        </w:rPr>
        <w:t>5</w:t>
      </w:r>
      <w:r>
        <w:rPr>
          <w:rFonts w:ascii="宋体" w:hAnsi="宋体" w:eastAsia="宋体" w:cs="宋体"/>
          <w:spacing w:val="-47"/>
          <w:sz w:val="24"/>
          <w:szCs w:val="24"/>
        </w:rPr>
        <w:t xml:space="preserve"> </w:t>
      </w:r>
      <w:r>
        <w:rPr>
          <w:rFonts w:ascii="宋体" w:hAnsi="宋体" w:eastAsia="宋体" w:cs="宋体"/>
          <w:spacing w:val="-5"/>
          <w:sz w:val="24"/>
          <w:szCs w:val="24"/>
        </w:rPr>
        <w:t>名；专职安全生产管理人员中安全、路桥、隧</w:t>
      </w:r>
      <w:r>
        <w:rPr>
          <w:rFonts w:ascii="宋体" w:hAnsi="宋体" w:eastAsia="宋体" w:cs="宋体"/>
          <w:spacing w:val="-6"/>
          <w:sz w:val="24"/>
          <w:szCs w:val="24"/>
        </w:rPr>
        <w:t>道、机械、</w:t>
      </w:r>
    </w:p>
    <w:p>
      <w:pPr>
        <w:spacing w:line="218" w:lineRule="auto"/>
        <w:ind w:left="5"/>
        <w:rPr>
          <w:rFonts w:ascii="宋体" w:hAnsi="宋体" w:eastAsia="宋体" w:cs="宋体"/>
          <w:sz w:val="24"/>
          <w:szCs w:val="24"/>
        </w:rPr>
      </w:pPr>
      <w:r>
        <w:rPr>
          <w:rFonts w:ascii="宋体" w:hAnsi="宋体" w:eastAsia="宋体" w:cs="宋体"/>
          <w:spacing w:val="-2"/>
          <w:sz w:val="24"/>
          <w:szCs w:val="24"/>
        </w:rPr>
        <w:t>地质、机电等专业人员比例不少于</w:t>
      </w:r>
      <w:r>
        <w:rPr>
          <w:rFonts w:ascii="宋体" w:hAnsi="宋体" w:eastAsia="宋体" w:cs="宋体"/>
          <w:spacing w:val="-33"/>
          <w:sz w:val="24"/>
          <w:szCs w:val="24"/>
        </w:rPr>
        <w:t xml:space="preserve"> </w:t>
      </w:r>
      <w:r>
        <w:rPr>
          <w:rFonts w:ascii="宋体" w:hAnsi="宋体" w:eastAsia="宋体" w:cs="宋体"/>
          <w:spacing w:val="-2"/>
          <w:sz w:val="24"/>
          <w:szCs w:val="24"/>
        </w:rPr>
        <w:t>80%。</w:t>
      </w:r>
    </w:p>
    <w:p>
      <w:pPr>
        <w:spacing w:before="182" w:line="359" w:lineRule="auto"/>
        <w:ind w:left="7" w:right="291" w:firstLine="450"/>
        <w:rPr>
          <w:rFonts w:ascii="宋体" w:hAnsi="宋体" w:eastAsia="宋体" w:cs="宋体"/>
          <w:sz w:val="24"/>
          <w:szCs w:val="24"/>
        </w:rPr>
      </w:pPr>
      <w:r>
        <w:rPr>
          <w:rFonts w:ascii="宋体" w:hAnsi="宋体" w:eastAsia="宋体" w:cs="宋体"/>
          <w:spacing w:val="-1"/>
          <w:sz w:val="24"/>
          <w:szCs w:val="24"/>
        </w:rPr>
        <w:t>b.施工单位（含专业分包单位）项目经理、项目总工程师、项目副经理和专职安全</w:t>
      </w:r>
      <w:r>
        <w:rPr>
          <w:rFonts w:ascii="宋体" w:hAnsi="宋体" w:eastAsia="宋体" w:cs="宋体"/>
          <w:spacing w:val="1"/>
          <w:sz w:val="24"/>
          <w:szCs w:val="24"/>
        </w:rPr>
        <w:t xml:space="preserve"> </w:t>
      </w:r>
      <w:r>
        <w:rPr>
          <w:rFonts w:ascii="宋体" w:hAnsi="宋体" w:eastAsia="宋体" w:cs="宋体"/>
          <w:spacing w:val="-3"/>
          <w:sz w:val="24"/>
          <w:szCs w:val="24"/>
        </w:rPr>
        <w:t>生产管理人员应持有公路水运工程施工企业安全生产“三类人员</w:t>
      </w:r>
      <w:r>
        <w:rPr>
          <w:rFonts w:ascii="宋体" w:hAnsi="宋体" w:eastAsia="宋体" w:cs="宋体"/>
          <w:spacing w:val="-72"/>
          <w:sz w:val="24"/>
          <w:szCs w:val="24"/>
        </w:rPr>
        <w:t xml:space="preserve"> </w:t>
      </w:r>
      <w:r>
        <w:rPr>
          <w:rFonts w:ascii="宋体" w:hAnsi="宋体" w:eastAsia="宋体" w:cs="宋体"/>
          <w:spacing w:val="-3"/>
          <w:sz w:val="24"/>
          <w:szCs w:val="24"/>
        </w:rPr>
        <w:t>”安全生产考核合格证</w:t>
      </w:r>
      <w:r>
        <w:rPr>
          <w:rFonts w:ascii="宋体" w:hAnsi="宋体" w:eastAsia="宋体" w:cs="宋体"/>
          <w:sz w:val="24"/>
          <w:szCs w:val="24"/>
        </w:rPr>
        <w:t xml:space="preserve"> </w:t>
      </w:r>
      <w:r>
        <w:rPr>
          <w:rFonts w:ascii="宋体" w:hAnsi="宋体" w:eastAsia="宋体" w:cs="宋体"/>
          <w:spacing w:val="-3"/>
          <w:sz w:val="24"/>
          <w:szCs w:val="24"/>
        </w:rPr>
        <w:t>书或注册安全工程师证书，证书有效并与对应岗位人员身份相符，进场“三类人员</w:t>
      </w:r>
      <w:r>
        <w:rPr>
          <w:rFonts w:ascii="宋体" w:hAnsi="宋体" w:eastAsia="宋体" w:cs="宋体"/>
          <w:spacing w:val="-72"/>
          <w:sz w:val="24"/>
          <w:szCs w:val="24"/>
        </w:rPr>
        <w:t xml:space="preserve"> </w:t>
      </w:r>
      <w:r>
        <w:rPr>
          <w:rFonts w:ascii="宋体" w:hAnsi="宋体" w:eastAsia="宋体" w:cs="宋体"/>
          <w:spacing w:val="-3"/>
          <w:sz w:val="24"/>
          <w:szCs w:val="24"/>
        </w:rPr>
        <w:t>”资</w:t>
      </w:r>
    </w:p>
    <w:p>
      <w:pPr>
        <w:spacing w:line="219" w:lineRule="auto"/>
        <w:ind w:left="5"/>
        <w:rPr>
          <w:rFonts w:ascii="宋体" w:hAnsi="宋体" w:eastAsia="宋体" w:cs="宋体"/>
          <w:sz w:val="24"/>
          <w:szCs w:val="24"/>
        </w:rPr>
      </w:pPr>
      <w:r>
        <w:rPr>
          <w:rFonts w:ascii="宋体" w:hAnsi="宋体" w:eastAsia="宋体" w:cs="宋体"/>
          <w:spacing w:val="-1"/>
          <w:sz w:val="24"/>
          <w:szCs w:val="24"/>
        </w:rPr>
        <w:t>格、实际岗位与合同文件或变更文件对应。</w:t>
      </w:r>
    </w:p>
    <w:p>
      <w:pPr>
        <w:spacing w:before="181" w:line="360" w:lineRule="auto"/>
        <w:ind w:left="8" w:right="291" w:firstLine="464"/>
        <w:rPr>
          <w:rFonts w:ascii="宋体" w:hAnsi="宋体" w:eastAsia="宋体" w:cs="宋体"/>
          <w:sz w:val="24"/>
          <w:szCs w:val="24"/>
        </w:rPr>
      </w:pPr>
      <w:r>
        <w:rPr>
          <w:rFonts w:ascii="宋体" w:hAnsi="宋体" w:eastAsia="宋体" w:cs="宋体"/>
          <w:spacing w:val="2"/>
          <w:sz w:val="24"/>
          <w:szCs w:val="24"/>
        </w:rPr>
        <w:t>（5）项目经理和项目总工必须按要求出席发包人组织的各种会议，包括监</w:t>
      </w:r>
      <w:r>
        <w:rPr>
          <w:rFonts w:ascii="宋体" w:hAnsi="宋体" w:eastAsia="宋体" w:cs="宋体"/>
          <w:spacing w:val="1"/>
          <w:sz w:val="24"/>
          <w:szCs w:val="24"/>
        </w:rPr>
        <w:t>理人主</w:t>
      </w:r>
      <w:r>
        <w:rPr>
          <w:rFonts w:ascii="宋体" w:hAnsi="宋体" w:eastAsia="宋体" w:cs="宋体"/>
          <w:sz w:val="24"/>
          <w:szCs w:val="24"/>
        </w:rPr>
        <w:t xml:space="preserve"> </w:t>
      </w:r>
      <w:r>
        <w:rPr>
          <w:rFonts w:ascii="宋体" w:hAnsi="宋体" w:eastAsia="宋体" w:cs="宋体"/>
          <w:spacing w:val="-2"/>
          <w:sz w:val="24"/>
          <w:szCs w:val="24"/>
        </w:rPr>
        <w:t>持的重要会议。特殊情况无法出席的，必须取得发包人或监理人批准，任何迟到或早退</w:t>
      </w:r>
    </w:p>
    <w:p>
      <w:pPr>
        <w:spacing w:line="219" w:lineRule="auto"/>
        <w:ind w:left="7"/>
        <w:rPr>
          <w:rFonts w:ascii="宋体" w:hAnsi="宋体" w:eastAsia="宋体" w:cs="宋体"/>
          <w:sz w:val="24"/>
          <w:szCs w:val="24"/>
        </w:rPr>
      </w:pPr>
      <w:r>
        <w:rPr>
          <w:rFonts w:ascii="宋体" w:hAnsi="宋体" w:eastAsia="宋体" w:cs="宋体"/>
          <w:spacing w:val="-2"/>
          <w:sz w:val="24"/>
          <w:szCs w:val="24"/>
        </w:rPr>
        <w:t>按缺席处理。</w:t>
      </w:r>
    </w:p>
    <w:p>
      <w:pPr>
        <w:spacing w:before="181" w:line="468" w:lineRule="exact"/>
        <w:ind w:left="487"/>
        <w:rPr>
          <w:rFonts w:ascii="宋体" w:hAnsi="宋体" w:eastAsia="宋体" w:cs="宋体"/>
          <w:sz w:val="24"/>
          <w:szCs w:val="24"/>
        </w:rPr>
      </w:pPr>
      <w:r>
        <w:rPr>
          <w:rFonts w:ascii="宋体" w:hAnsi="宋体" w:eastAsia="宋体" w:cs="宋体"/>
          <w:spacing w:val="1"/>
          <w:position w:val="17"/>
          <w:sz w:val="24"/>
          <w:szCs w:val="24"/>
        </w:rPr>
        <w:t>（6）承包人应严格按照环境保护的有关规定，明确环境保护的主要负责人，并按</w:t>
      </w:r>
    </w:p>
    <w:p>
      <w:pPr>
        <w:spacing w:line="219" w:lineRule="auto"/>
        <w:ind w:left="6"/>
        <w:rPr>
          <w:rFonts w:ascii="宋体" w:hAnsi="宋体" w:eastAsia="宋体" w:cs="宋体"/>
          <w:sz w:val="24"/>
          <w:szCs w:val="24"/>
        </w:rPr>
      </w:pPr>
      <w:r>
        <w:rPr>
          <w:rFonts w:ascii="宋体" w:hAnsi="宋体" w:eastAsia="宋体" w:cs="宋体"/>
          <w:spacing w:val="-1"/>
          <w:sz w:val="24"/>
          <w:szCs w:val="24"/>
        </w:rPr>
        <w:t>监理人的要求做好防御措施以及实施记录。</w:t>
      </w:r>
    </w:p>
    <w:p>
      <w:pPr>
        <w:spacing w:before="181" w:line="465" w:lineRule="exact"/>
        <w:ind w:left="496"/>
        <w:rPr>
          <w:rFonts w:ascii="宋体" w:hAnsi="宋体" w:eastAsia="宋体" w:cs="宋体"/>
          <w:sz w:val="24"/>
          <w:szCs w:val="24"/>
        </w:rPr>
      </w:pPr>
      <w:r>
        <w:rPr>
          <w:rFonts w:ascii="宋体" w:hAnsi="宋体" w:eastAsia="宋体" w:cs="宋体"/>
          <w:spacing w:val="1"/>
          <w:position w:val="17"/>
          <w:sz w:val="24"/>
          <w:szCs w:val="24"/>
        </w:rPr>
        <w:t>（7）承包人应严格按照水土保持的有关规定，明确水土保持的主要负责人，并按</w:t>
      </w:r>
    </w:p>
    <w:p>
      <w:pPr>
        <w:spacing w:before="1" w:line="219" w:lineRule="auto"/>
        <w:ind w:left="6"/>
        <w:rPr>
          <w:rFonts w:ascii="宋体" w:hAnsi="宋体" w:eastAsia="宋体" w:cs="宋体"/>
          <w:sz w:val="24"/>
          <w:szCs w:val="24"/>
        </w:rPr>
      </w:pPr>
      <w:r>
        <w:rPr>
          <w:rFonts w:ascii="宋体" w:hAnsi="宋体" w:eastAsia="宋体" w:cs="宋体"/>
          <w:spacing w:val="-1"/>
          <w:sz w:val="24"/>
          <w:szCs w:val="24"/>
        </w:rPr>
        <w:t>监理人的要求做好防御措施以及实施记录。</w:t>
      </w:r>
    </w:p>
    <w:p>
      <w:pPr>
        <w:spacing w:before="183" w:line="468" w:lineRule="exact"/>
        <w:ind w:left="496"/>
        <w:rPr>
          <w:rFonts w:ascii="宋体" w:hAnsi="宋体" w:eastAsia="宋体" w:cs="宋体"/>
          <w:sz w:val="24"/>
          <w:szCs w:val="24"/>
        </w:rPr>
      </w:pPr>
      <w:r>
        <w:rPr>
          <w:rFonts w:ascii="宋体" w:hAnsi="宋体" w:eastAsia="宋体" w:cs="宋体"/>
          <w:spacing w:val="1"/>
          <w:position w:val="17"/>
          <w:sz w:val="24"/>
          <w:szCs w:val="24"/>
        </w:rPr>
        <w:t>（8）承包人应配合发包人采用信息化管理手段对主要施工管理人员进行考核的措</w:t>
      </w:r>
    </w:p>
    <w:p>
      <w:pPr>
        <w:spacing w:line="222" w:lineRule="auto"/>
        <w:ind w:left="4"/>
        <w:rPr>
          <w:rFonts w:ascii="宋体" w:hAnsi="宋体" w:eastAsia="宋体" w:cs="宋体"/>
          <w:sz w:val="24"/>
          <w:szCs w:val="24"/>
        </w:rPr>
      </w:pPr>
      <w:r>
        <w:rPr>
          <w:rFonts w:ascii="宋体" w:hAnsi="宋体" w:eastAsia="宋体" w:cs="宋体"/>
          <w:spacing w:val="-5"/>
          <w:sz w:val="24"/>
          <w:szCs w:val="24"/>
        </w:rPr>
        <w:t>施。</w:t>
      </w:r>
    </w:p>
    <w:p>
      <w:pPr>
        <w:spacing w:before="176" w:line="219" w:lineRule="auto"/>
        <w:ind w:left="484"/>
        <w:rPr>
          <w:rFonts w:ascii="宋体" w:hAnsi="宋体" w:eastAsia="宋体" w:cs="宋体"/>
          <w:sz w:val="24"/>
          <w:szCs w:val="24"/>
        </w:rPr>
      </w:pPr>
      <w:r>
        <w:rPr>
          <w:rFonts w:ascii="宋体" w:hAnsi="宋体" w:eastAsia="宋体" w:cs="宋体"/>
          <w:spacing w:val="-2"/>
          <w:sz w:val="24"/>
          <w:szCs w:val="24"/>
        </w:rPr>
        <w:t>在本款后增加</w:t>
      </w:r>
      <w:r>
        <w:rPr>
          <w:rFonts w:ascii="宋体" w:hAnsi="宋体" w:eastAsia="宋体" w:cs="宋体"/>
          <w:spacing w:val="-41"/>
          <w:sz w:val="24"/>
          <w:szCs w:val="24"/>
        </w:rPr>
        <w:t xml:space="preserve"> </w:t>
      </w:r>
      <w:r>
        <w:rPr>
          <w:rFonts w:ascii="宋体" w:hAnsi="宋体" w:eastAsia="宋体" w:cs="宋体"/>
          <w:spacing w:val="-2"/>
          <w:sz w:val="24"/>
          <w:szCs w:val="24"/>
        </w:rPr>
        <w:t>4.6.6～4.6.7</w:t>
      </w:r>
      <w:r>
        <w:rPr>
          <w:rFonts w:ascii="宋体" w:hAnsi="宋体" w:eastAsia="宋体" w:cs="宋体"/>
          <w:spacing w:val="-47"/>
          <w:sz w:val="24"/>
          <w:szCs w:val="24"/>
        </w:rPr>
        <w:t xml:space="preserve"> </w:t>
      </w:r>
      <w:r>
        <w:rPr>
          <w:rFonts w:ascii="宋体" w:hAnsi="宋体" w:eastAsia="宋体" w:cs="宋体"/>
          <w:spacing w:val="-2"/>
          <w:sz w:val="24"/>
          <w:szCs w:val="24"/>
        </w:rPr>
        <w:t>项如下：</w:t>
      </w:r>
    </w:p>
    <w:p>
      <w:pPr>
        <w:spacing w:before="184" w:line="219" w:lineRule="auto"/>
        <w:ind w:left="484"/>
        <w:rPr>
          <w:rFonts w:ascii="宋体" w:hAnsi="宋体" w:eastAsia="宋体" w:cs="宋体"/>
          <w:sz w:val="24"/>
          <w:szCs w:val="24"/>
        </w:rPr>
      </w:pPr>
      <w:r>
        <w:rPr>
          <w:rFonts w:ascii="宋体" w:hAnsi="宋体" w:eastAsia="宋体" w:cs="宋体"/>
          <w:spacing w:val="-3"/>
          <w:sz w:val="24"/>
          <w:szCs w:val="24"/>
        </w:rPr>
        <w:t>4.6.6</w:t>
      </w:r>
      <w:r>
        <w:rPr>
          <w:rFonts w:ascii="宋体" w:hAnsi="宋体" w:eastAsia="宋体" w:cs="宋体"/>
          <w:spacing w:val="17"/>
          <w:sz w:val="24"/>
          <w:szCs w:val="24"/>
        </w:rPr>
        <w:t xml:space="preserve"> </w:t>
      </w:r>
      <w:r>
        <w:rPr>
          <w:rFonts w:ascii="宋体" w:hAnsi="宋体" w:eastAsia="宋体" w:cs="宋体"/>
          <w:spacing w:val="-3"/>
          <w:sz w:val="24"/>
          <w:szCs w:val="24"/>
        </w:rPr>
        <w:t>劳务聘用</w:t>
      </w:r>
    </w:p>
    <w:p>
      <w:pPr>
        <w:spacing w:before="181" w:line="359" w:lineRule="auto"/>
        <w:ind w:left="4" w:right="291" w:firstLine="449"/>
        <w:rPr>
          <w:rFonts w:ascii="宋体" w:hAnsi="宋体" w:eastAsia="宋体" w:cs="宋体"/>
          <w:sz w:val="24"/>
          <w:szCs w:val="24"/>
        </w:rPr>
      </w:pPr>
      <w:r>
        <w:rPr>
          <w:rFonts w:ascii="宋体" w:hAnsi="宋体" w:eastAsia="宋体" w:cs="宋体"/>
          <w:spacing w:val="2"/>
          <w:sz w:val="24"/>
          <w:szCs w:val="24"/>
        </w:rPr>
        <w:t>（1）承包人可以直接雇用农民工或将劳务作业分包给具有劳务分包资质的劳务分</w:t>
      </w:r>
      <w:r>
        <w:rPr>
          <w:rFonts w:ascii="宋体" w:hAnsi="宋体" w:eastAsia="宋体" w:cs="宋体"/>
          <w:spacing w:val="16"/>
          <w:sz w:val="24"/>
          <w:szCs w:val="24"/>
        </w:rPr>
        <w:t xml:space="preserve"> </w:t>
      </w:r>
      <w:r>
        <w:rPr>
          <w:rFonts w:ascii="宋体" w:hAnsi="宋体" w:eastAsia="宋体" w:cs="宋体"/>
          <w:spacing w:val="-2"/>
          <w:sz w:val="24"/>
          <w:szCs w:val="24"/>
        </w:rPr>
        <w:t>包人，但承包人或分包人必须依法签订劳动合同，并将民工花名册、劳动合同和民工签</w:t>
      </w:r>
      <w:r>
        <w:rPr>
          <w:rFonts w:ascii="宋体" w:hAnsi="宋体" w:eastAsia="宋体" w:cs="宋体"/>
          <w:spacing w:val="13"/>
          <w:sz w:val="24"/>
          <w:szCs w:val="24"/>
        </w:rPr>
        <w:t xml:space="preserve"> </w:t>
      </w:r>
      <w:r>
        <w:rPr>
          <w:rFonts w:ascii="宋体" w:hAnsi="宋体" w:eastAsia="宋体" w:cs="宋体"/>
          <w:spacing w:val="-2"/>
          <w:sz w:val="24"/>
          <w:szCs w:val="24"/>
        </w:rPr>
        <w:t>收的工资支付表报监理人备案。承包人须根据《广东省交通运输厅关于加强交通建设工</w:t>
      </w:r>
      <w:r>
        <w:rPr>
          <w:rFonts w:ascii="宋体" w:hAnsi="宋体" w:eastAsia="宋体" w:cs="宋体"/>
          <w:spacing w:val="13"/>
          <w:sz w:val="24"/>
          <w:szCs w:val="24"/>
        </w:rPr>
        <w:t xml:space="preserve"> </w:t>
      </w:r>
      <w:r>
        <w:rPr>
          <w:rFonts w:ascii="宋体" w:hAnsi="宋体" w:eastAsia="宋体" w:cs="宋体"/>
          <w:spacing w:val="-2"/>
          <w:sz w:val="24"/>
          <w:szCs w:val="24"/>
        </w:rPr>
        <w:t>程从业人员实名制管理和作业工人工资支付管理的通知》和《广东省交通运输厅关于在</w:t>
      </w:r>
      <w:r>
        <w:rPr>
          <w:rFonts w:ascii="宋体" w:hAnsi="宋体" w:eastAsia="宋体" w:cs="宋体"/>
          <w:spacing w:val="13"/>
          <w:sz w:val="24"/>
          <w:szCs w:val="24"/>
        </w:rPr>
        <w:t xml:space="preserve"> </w:t>
      </w:r>
      <w:r>
        <w:rPr>
          <w:rFonts w:ascii="宋体" w:hAnsi="宋体" w:eastAsia="宋体" w:cs="宋体"/>
          <w:spacing w:val="-2"/>
          <w:sz w:val="24"/>
          <w:szCs w:val="24"/>
        </w:rPr>
        <w:t>全省公路水运工程建设项目部署应用从业人员实名制管理系统的通知》等文件要求，规</w:t>
      </w:r>
      <w:r>
        <w:rPr>
          <w:rFonts w:ascii="宋体" w:hAnsi="宋体" w:eastAsia="宋体" w:cs="宋体"/>
          <w:spacing w:val="13"/>
          <w:sz w:val="24"/>
          <w:szCs w:val="24"/>
        </w:rPr>
        <w:t xml:space="preserve"> </w:t>
      </w:r>
      <w:r>
        <w:rPr>
          <w:rFonts w:ascii="宋体" w:hAnsi="宋体" w:eastAsia="宋体" w:cs="宋体"/>
          <w:spacing w:val="-2"/>
          <w:sz w:val="24"/>
          <w:szCs w:val="24"/>
        </w:rPr>
        <w:t>范和加强项目农民工实名制管理及工资支付管理。承包人和劳务分包人必须按照有关法</w:t>
      </w:r>
    </w:p>
    <w:p>
      <w:pPr>
        <w:spacing w:before="1" w:line="219" w:lineRule="auto"/>
        <w:ind w:left="5"/>
        <w:rPr>
          <w:rFonts w:ascii="宋体" w:hAnsi="宋体" w:eastAsia="宋体" w:cs="宋体"/>
          <w:sz w:val="24"/>
          <w:szCs w:val="24"/>
        </w:rPr>
      </w:pPr>
      <w:r>
        <w:rPr>
          <w:rFonts w:ascii="宋体" w:hAnsi="宋体" w:eastAsia="宋体" w:cs="宋体"/>
          <w:sz w:val="24"/>
          <w:szCs w:val="24"/>
        </w:rPr>
        <w:t>律、法规和劳务合同按时支付劳务工资及相关费用，</w:t>
      </w:r>
      <w:r>
        <w:rPr>
          <w:rFonts w:ascii="宋体" w:hAnsi="宋体" w:eastAsia="宋体" w:cs="宋体"/>
          <w:spacing w:val="-1"/>
          <w:sz w:val="24"/>
          <w:szCs w:val="24"/>
        </w:rPr>
        <w:t>落实各项劳动保护措施。</w:t>
      </w:r>
    </w:p>
    <w:p>
      <w:pPr>
        <w:spacing w:before="183" w:line="219" w:lineRule="auto"/>
        <w:ind w:left="496"/>
        <w:rPr>
          <w:rFonts w:ascii="宋体" w:hAnsi="宋体" w:eastAsia="宋体" w:cs="宋体"/>
          <w:sz w:val="24"/>
          <w:szCs w:val="24"/>
        </w:rPr>
      </w:pPr>
      <w:r>
        <w:rPr>
          <w:rFonts w:ascii="宋体" w:hAnsi="宋体" w:eastAsia="宋体" w:cs="宋体"/>
          <w:spacing w:val="1"/>
          <w:sz w:val="24"/>
          <w:szCs w:val="24"/>
        </w:rPr>
        <w:t>（2）承包人必须按时支付其雇用人员、其分包单位雇用人员、实际为承包人或其</w:t>
      </w:r>
    </w:p>
    <w:p>
      <w:pPr>
        <w:spacing w:line="426" w:lineRule="auto"/>
        <w:rPr>
          <w:rFonts w:ascii="Arial"/>
          <w:sz w:val="21"/>
        </w:rPr>
      </w:pPr>
    </w:p>
    <w:p>
      <w:pPr>
        <w:spacing w:before="78" w:line="359" w:lineRule="auto"/>
        <w:ind w:left="4" w:right="230" w:firstLine="3"/>
        <w:jc w:val="both"/>
        <w:rPr>
          <w:rFonts w:ascii="宋体" w:hAnsi="宋体" w:eastAsia="宋体" w:cs="宋体"/>
          <w:sz w:val="24"/>
          <w:szCs w:val="24"/>
        </w:rPr>
      </w:pPr>
      <w:r>
        <w:rPr>
          <w:rFonts w:ascii="宋体" w:hAnsi="宋体" w:eastAsia="宋体" w:cs="宋体"/>
          <w:spacing w:val="-2"/>
          <w:sz w:val="24"/>
          <w:szCs w:val="24"/>
        </w:rPr>
        <w:t>分包单位服务、应从承包人中得到报酬的人员（包括民工）的工资，不得拖欠上述人员</w:t>
      </w:r>
      <w:r>
        <w:rPr>
          <w:rFonts w:ascii="宋体" w:hAnsi="宋体" w:eastAsia="宋体" w:cs="宋体"/>
          <w:spacing w:val="9"/>
          <w:sz w:val="24"/>
          <w:szCs w:val="24"/>
        </w:rPr>
        <w:t xml:space="preserve"> </w:t>
      </w:r>
      <w:r>
        <w:rPr>
          <w:rFonts w:ascii="宋体" w:hAnsi="宋体" w:eastAsia="宋体" w:cs="宋体"/>
          <w:spacing w:val="-2"/>
          <w:sz w:val="24"/>
          <w:szCs w:val="24"/>
        </w:rPr>
        <w:t>的工资。同时，承包人有责任和义务监督其分包单位对属下员工工资的支付。发包人和</w:t>
      </w:r>
      <w:r>
        <w:rPr>
          <w:rFonts w:ascii="宋体" w:hAnsi="宋体" w:eastAsia="宋体" w:cs="宋体"/>
          <w:spacing w:val="13"/>
          <w:sz w:val="24"/>
          <w:szCs w:val="24"/>
        </w:rPr>
        <w:t xml:space="preserve"> </w:t>
      </w:r>
      <w:r>
        <w:rPr>
          <w:rFonts w:ascii="宋体" w:hAnsi="宋体" w:eastAsia="宋体" w:cs="宋体"/>
          <w:spacing w:val="-2"/>
          <w:sz w:val="24"/>
          <w:szCs w:val="24"/>
        </w:rPr>
        <w:t>监理人有权监督承包人使用农民工的管理，对不签订劳动合同、非法使用农民工的，或</w:t>
      </w:r>
      <w:r>
        <w:rPr>
          <w:rFonts w:ascii="宋体" w:hAnsi="宋体" w:eastAsia="宋体" w:cs="宋体"/>
          <w:spacing w:val="13"/>
          <w:sz w:val="24"/>
          <w:szCs w:val="24"/>
        </w:rPr>
        <w:t xml:space="preserve"> </w:t>
      </w:r>
      <w:r>
        <w:rPr>
          <w:rFonts w:ascii="宋体" w:hAnsi="宋体" w:eastAsia="宋体" w:cs="宋体"/>
          <w:spacing w:val="-6"/>
          <w:sz w:val="24"/>
          <w:szCs w:val="24"/>
        </w:rPr>
        <w:t>者拖延和克扣农民工工资的，一经发现，发包人将予以通报并上报上级主</w:t>
      </w:r>
      <w:r>
        <w:rPr>
          <w:rFonts w:ascii="宋体" w:hAnsi="宋体" w:eastAsia="宋体" w:cs="宋体"/>
          <w:spacing w:val="-7"/>
          <w:sz w:val="24"/>
          <w:szCs w:val="24"/>
        </w:rPr>
        <w:t>管单位。同时，</w:t>
      </w:r>
      <w:r>
        <w:rPr>
          <w:rFonts w:ascii="宋体" w:hAnsi="宋体" w:eastAsia="宋体" w:cs="宋体"/>
          <w:sz w:val="24"/>
          <w:szCs w:val="24"/>
        </w:rPr>
        <w:t xml:space="preserve"> </w:t>
      </w:r>
      <w:r>
        <w:rPr>
          <w:rFonts w:ascii="宋体" w:hAnsi="宋体" w:eastAsia="宋体" w:cs="宋体"/>
          <w:spacing w:val="-2"/>
          <w:sz w:val="24"/>
          <w:szCs w:val="24"/>
        </w:rPr>
        <w:t>发包人有权从承包人的工程款中扣留部分款项，直接用于支付上述人员的工资，承包人</w:t>
      </w:r>
      <w:r>
        <w:rPr>
          <w:rFonts w:ascii="宋体" w:hAnsi="宋体" w:eastAsia="宋体" w:cs="宋体"/>
          <w:spacing w:val="13"/>
          <w:sz w:val="24"/>
          <w:szCs w:val="24"/>
        </w:rPr>
        <w:t xml:space="preserve"> </w:t>
      </w:r>
      <w:r>
        <w:rPr>
          <w:rFonts w:ascii="宋体" w:hAnsi="宋体" w:eastAsia="宋体" w:cs="宋体"/>
          <w:spacing w:val="5"/>
          <w:sz w:val="24"/>
          <w:szCs w:val="24"/>
        </w:rPr>
        <w:t>须无条件接受。详细规定见承包人投标文件中提交的《建设工</w:t>
      </w:r>
      <w:r>
        <w:rPr>
          <w:rFonts w:ascii="宋体" w:hAnsi="宋体" w:eastAsia="宋体" w:cs="宋体"/>
          <w:spacing w:val="4"/>
          <w:sz w:val="24"/>
          <w:szCs w:val="24"/>
        </w:rPr>
        <w:t>程农民工工资支付保证</w:t>
      </w:r>
      <w:r>
        <w:rPr>
          <w:rFonts w:ascii="宋体" w:hAnsi="宋体" w:eastAsia="宋体" w:cs="宋体"/>
          <w:sz w:val="24"/>
          <w:szCs w:val="24"/>
        </w:rPr>
        <w:t xml:space="preserve"> </w:t>
      </w:r>
      <w:r>
        <w:rPr>
          <w:rFonts w:ascii="宋体" w:hAnsi="宋体" w:eastAsia="宋体" w:cs="宋体"/>
          <w:spacing w:val="-2"/>
          <w:sz w:val="24"/>
          <w:szCs w:val="24"/>
        </w:rPr>
        <w:t>书》。若因上述原因造成劳务人员上访、纠纷等情况，承包人须承担一切经济和法律责</w:t>
      </w:r>
      <w:r>
        <w:rPr>
          <w:rFonts w:ascii="宋体" w:hAnsi="宋体" w:eastAsia="宋体" w:cs="宋体"/>
          <w:spacing w:val="13"/>
          <w:sz w:val="24"/>
          <w:szCs w:val="24"/>
        </w:rPr>
        <w:t xml:space="preserve"> </w:t>
      </w:r>
      <w:r>
        <w:rPr>
          <w:rFonts w:ascii="宋体" w:hAnsi="宋体" w:eastAsia="宋体" w:cs="宋体"/>
          <w:spacing w:val="-9"/>
          <w:sz w:val="24"/>
          <w:szCs w:val="24"/>
        </w:rPr>
        <w:t>任。除按国家有关法律、法规、规章及上述合同条款的规定进行处理外，同时按</w:t>
      </w:r>
      <w:r>
        <w:rPr>
          <w:rFonts w:ascii="宋体" w:hAnsi="宋体" w:eastAsia="宋体" w:cs="宋体"/>
          <w:spacing w:val="-10"/>
          <w:sz w:val="24"/>
          <w:szCs w:val="24"/>
        </w:rPr>
        <w:t>照第</w:t>
      </w:r>
      <w:r>
        <w:rPr>
          <w:rFonts w:ascii="宋体" w:hAnsi="宋体" w:eastAsia="宋体" w:cs="宋体"/>
          <w:spacing w:val="-48"/>
          <w:sz w:val="24"/>
          <w:szCs w:val="24"/>
        </w:rPr>
        <w:t xml:space="preserve"> </w:t>
      </w:r>
      <w:r>
        <w:rPr>
          <w:rFonts w:ascii="宋体" w:hAnsi="宋体" w:eastAsia="宋体" w:cs="宋体"/>
          <w:spacing w:val="-10"/>
          <w:sz w:val="24"/>
          <w:szCs w:val="24"/>
        </w:rPr>
        <w:t>22.1</w:t>
      </w:r>
    </w:p>
    <w:p>
      <w:pPr>
        <w:spacing w:line="219" w:lineRule="auto"/>
        <w:ind w:left="6"/>
        <w:rPr>
          <w:rFonts w:ascii="宋体" w:hAnsi="宋体" w:eastAsia="宋体" w:cs="宋体"/>
          <w:sz w:val="24"/>
          <w:szCs w:val="24"/>
        </w:rPr>
      </w:pPr>
      <w:r>
        <w:rPr>
          <w:rFonts w:ascii="宋体" w:hAnsi="宋体" w:eastAsia="宋体" w:cs="宋体"/>
          <w:spacing w:val="-1"/>
          <w:sz w:val="24"/>
          <w:szCs w:val="24"/>
        </w:rPr>
        <w:t>款约定对承包人进行处理。</w:t>
      </w:r>
    </w:p>
    <w:p>
      <w:pPr>
        <w:spacing w:before="180" w:line="219" w:lineRule="auto"/>
        <w:ind w:left="496"/>
        <w:rPr>
          <w:rFonts w:ascii="宋体" w:hAnsi="宋体" w:eastAsia="宋体" w:cs="宋体"/>
          <w:sz w:val="24"/>
          <w:szCs w:val="24"/>
        </w:rPr>
      </w:pPr>
      <w:r>
        <w:rPr>
          <w:rFonts w:ascii="宋体" w:hAnsi="宋体" w:eastAsia="宋体" w:cs="宋体"/>
          <w:spacing w:val="-2"/>
          <w:sz w:val="24"/>
          <w:szCs w:val="24"/>
        </w:rPr>
        <w:t>（3）承包人应为农民工办理工伤保险。</w:t>
      </w:r>
    </w:p>
    <w:p>
      <w:pPr>
        <w:spacing w:before="182" w:line="466" w:lineRule="exact"/>
        <w:ind w:left="496"/>
        <w:rPr>
          <w:rFonts w:ascii="宋体" w:hAnsi="宋体" w:eastAsia="宋体" w:cs="宋体"/>
          <w:sz w:val="24"/>
          <w:szCs w:val="24"/>
        </w:rPr>
      </w:pPr>
      <w:r>
        <w:rPr>
          <w:rFonts w:ascii="宋体" w:hAnsi="宋体" w:eastAsia="宋体" w:cs="宋体"/>
          <w:spacing w:val="1"/>
          <w:position w:val="17"/>
          <w:sz w:val="24"/>
          <w:szCs w:val="24"/>
        </w:rPr>
        <w:t>（4）发包人制定的农民工工资监管办法及有关规定，承包人须积极配合并无条件</w:t>
      </w:r>
    </w:p>
    <w:p>
      <w:pPr>
        <w:spacing w:before="1" w:line="220" w:lineRule="auto"/>
        <w:ind w:left="25"/>
        <w:rPr>
          <w:rFonts w:ascii="宋体" w:hAnsi="宋体" w:eastAsia="宋体" w:cs="宋体"/>
          <w:sz w:val="24"/>
          <w:szCs w:val="24"/>
        </w:rPr>
      </w:pPr>
      <w:r>
        <w:rPr>
          <w:rFonts w:ascii="宋体" w:hAnsi="宋体" w:eastAsia="宋体" w:cs="宋体"/>
          <w:spacing w:val="-8"/>
          <w:sz w:val="24"/>
          <w:szCs w:val="24"/>
        </w:rPr>
        <w:t>的接受。</w:t>
      </w:r>
    </w:p>
    <w:p>
      <w:pPr>
        <w:spacing w:before="181" w:line="359" w:lineRule="auto"/>
        <w:ind w:left="7" w:right="186" w:firstLine="489"/>
        <w:rPr>
          <w:rFonts w:ascii="宋体" w:hAnsi="宋体" w:eastAsia="宋体" w:cs="宋体"/>
          <w:sz w:val="24"/>
          <w:szCs w:val="24"/>
        </w:rPr>
      </w:pPr>
      <w:r>
        <w:rPr>
          <w:rFonts w:ascii="宋体" w:hAnsi="宋体" w:eastAsia="宋体" w:cs="宋体"/>
          <w:spacing w:val="-2"/>
          <w:sz w:val="24"/>
          <w:szCs w:val="24"/>
        </w:rPr>
        <w:t>（5）劳务合作须符合《广东省交通运输厅关于</w:t>
      </w:r>
      <w:r>
        <w:rPr>
          <w:rFonts w:ascii="宋体" w:hAnsi="宋体" w:eastAsia="宋体" w:cs="宋体"/>
          <w:spacing w:val="-3"/>
          <w:sz w:val="24"/>
          <w:szCs w:val="24"/>
        </w:rPr>
        <w:t>公路工程施工分包管理的实施细则》</w:t>
      </w:r>
      <w:r>
        <w:rPr>
          <w:rFonts w:ascii="宋体" w:hAnsi="宋体" w:eastAsia="宋体" w:cs="宋体"/>
          <w:sz w:val="24"/>
          <w:szCs w:val="24"/>
        </w:rPr>
        <w:t xml:space="preserve"> </w:t>
      </w:r>
      <w:r>
        <w:rPr>
          <w:rFonts w:ascii="宋体" w:hAnsi="宋体" w:eastAsia="宋体" w:cs="宋体"/>
          <w:spacing w:val="-2"/>
          <w:sz w:val="24"/>
          <w:szCs w:val="24"/>
        </w:rPr>
        <w:t>的通知有关规定；劳务合作单位须按照《广东省高速公路工程施工安全标准化指南》相</w:t>
      </w:r>
      <w:r>
        <w:rPr>
          <w:rFonts w:ascii="宋体" w:hAnsi="宋体" w:eastAsia="宋体" w:cs="宋体"/>
          <w:spacing w:val="5"/>
          <w:sz w:val="24"/>
          <w:szCs w:val="24"/>
        </w:rPr>
        <w:t xml:space="preserve">  </w:t>
      </w:r>
      <w:r>
        <w:rPr>
          <w:rFonts w:ascii="宋体" w:hAnsi="宋体" w:eastAsia="宋体" w:cs="宋体"/>
          <w:spacing w:val="-1"/>
          <w:sz w:val="24"/>
          <w:szCs w:val="24"/>
        </w:rPr>
        <w:t>关要求配备安全生产管理人员：施工作业人员在</w:t>
      </w:r>
      <w:r>
        <w:rPr>
          <w:rFonts w:ascii="宋体" w:hAnsi="宋体" w:eastAsia="宋体" w:cs="宋体"/>
          <w:spacing w:val="-26"/>
          <w:sz w:val="24"/>
          <w:szCs w:val="24"/>
        </w:rPr>
        <w:t xml:space="preserve"> </w:t>
      </w:r>
      <w:r>
        <w:rPr>
          <w:rFonts w:ascii="宋体" w:hAnsi="宋体" w:eastAsia="宋体" w:cs="宋体"/>
          <w:spacing w:val="-1"/>
          <w:sz w:val="24"/>
          <w:szCs w:val="24"/>
        </w:rPr>
        <w:t>30</w:t>
      </w:r>
      <w:r>
        <w:rPr>
          <w:rFonts w:ascii="宋体" w:hAnsi="宋体" w:eastAsia="宋体" w:cs="宋体"/>
          <w:spacing w:val="-46"/>
          <w:sz w:val="24"/>
          <w:szCs w:val="24"/>
        </w:rPr>
        <w:t xml:space="preserve"> </w:t>
      </w:r>
      <w:r>
        <w:rPr>
          <w:rFonts w:ascii="宋体" w:hAnsi="宋体" w:eastAsia="宋体" w:cs="宋体"/>
          <w:spacing w:val="-1"/>
          <w:sz w:val="24"/>
          <w:szCs w:val="24"/>
        </w:rPr>
        <w:t>人及以下时，应配备</w:t>
      </w:r>
      <w:r>
        <w:rPr>
          <w:rFonts w:ascii="宋体" w:hAnsi="宋体" w:eastAsia="宋体" w:cs="宋体"/>
          <w:spacing w:val="-30"/>
          <w:sz w:val="24"/>
          <w:szCs w:val="24"/>
        </w:rPr>
        <w:t xml:space="preserve"> </w:t>
      </w:r>
      <w:r>
        <w:rPr>
          <w:rFonts w:ascii="宋体" w:hAnsi="宋体" w:eastAsia="宋体" w:cs="宋体"/>
          <w:spacing w:val="-1"/>
          <w:sz w:val="24"/>
          <w:szCs w:val="24"/>
        </w:rPr>
        <w:t>1</w:t>
      </w:r>
      <w:r>
        <w:rPr>
          <w:rFonts w:ascii="宋体" w:hAnsi="宋体" w:eastAsia="宋体" w:cs="宋体"/>
          <w:spacing w:val="-46"/>
          <w:sz w:val="24"/>
          <w:szCs w:val="24"/>
        </w:rPr>
        <w:t xml:space="preserve"> </w:t>
      </w:r>
      <w:r>
        <w:rPr>
          <w:rFonts w:ascii="宋体" w:hAnsi="宋体" w:eastAsia="宋体" w:cs="宋体"/>
          <w:spacing w:val="-1"/>
          <w:sz w:val="24"/>
          <w:szCs w:val="24"/>
        </w:rPr>
        <w:t>名兼职安全</w:t>
      </w:r>
      <w:r>
        <w:rPr>
          <w:rFonts w:ascii="宋体" w:hAnsi="宋体" w:eastAsia="宋体" w:cs="宋体"/>
          <w:sz w:val="24"/>
          <w:szCs w:val="24"/>
        </w:rPr>
        <w:t xml:space="preserve">  生产管理人员；施工作业人员在</w:t>
      </w:r>
      <w:r>
        <w:rPr>
          <w:rFonts w:ascii="宋体" w:hAnsi="宋体" w:eastAsia="宋体" w:cs="宋体"/>
          <w:spacing w:val="-44"/>
          <w:sz w:val="24"/>
          <w:szCs w:val="24"/>
        </w:rPr>
        <w:t xml:space="preserve"> </w:t>
      </w:r>
      <w:r>
        <w:rPr>
          <w:rFonts w:ascii="宋体" w:hAnsi="宋体" w:eastAsia="宋体" w:cs="宋体"/>
          <w:sz w:val="24"/>
          <w:szCs w:val="24"/>
        </w:rPr>
        <w:t>31～50</w:t>
      </w:r>
      <w:r>
        <w:rPr>
          <w:rFonts w:ascii="宋体" w:hAnsi="宋体" w:eastAsia="宋体" w:cs="宋体"/>
          <w:spacing w:val="-46"/>
          <w:sz w:val="24"/>
          <w:szCs w:val="24"/>
        </w:rPr>
        <w:t xml:space="preserve"> </w:t>
      </w:r>
      <w:r>
        <w:rPr>
          <w:rFonts w:ascii="宋体" w:hAnsi="宋体" w:eastAsia="宋体" w:cs="宋体"/>
          <w:spacing w:val="-1"/>
          <w:sz w:val="24"/>
          <w:szCs w:val="24"/>
        </w:rPr>
        <w:t>人时，应配备</w:t>
      </w:r>
      <w:r>
        <w:rPr>
          <w:rFonts w:ascii="宋体" w:hAnsi="宋体" w:eastAsia="宋体" w:cs="宋体"/>
          <w:spacing w:val="-30"/>
          <w:sz w:val="24"/>
          <w:szCs w:val="24"/>
        </w:rPr>
        <w:t xml:space="preserve"> </w:t>
      </w:r>
      <w:r>
        <w:rPr>
          <w:rFonts w:ascii="宋体" w:hAnsi="宋体" w:eastAsia="宋体" w:cs="宋体"/>
          <w:spacing w:val="-1"/>
          <w:sz w:val="24"/>
          <w:szCs w:val="24"/>
        </w:rPr>
        <w:t>1</w:t>
      </w:r>
      <w:r>
        <w:rPr>
          <w:rFonts w:ascii="宋体" w:hAnsi="宋体" w:eastAsia="宋体" w:cs="宋体"/>
          <w:spacing w:val="-46"/>
          <w:sz w:val="24"/>
          <w:szCs w:val="24"/>
        </w:rPr>
        <w:t xml:space="preserve"> </w:t>
      </w:r>
      <w:r>
        <w:rPr>
          <w:rFonts w:ascii="宋体" w:hAnsi="宋体" w:eastAsia="宋体" w:cs="宋体"/>
          <w:spacing w:val="-1"/>
          <w:sz w:val="24"/>
          <w:szCs w:val="24"/>
        </w:rPr>
        <w:t>名专职安全生产管理人员；施</w:t>
      </w:r>
      <w:r>
        <w:rPr>
          <w:rFonts w:ascii="宋体" w:hAnsi="宋体" w:eastAsia="宋体" w:cs="宋体"/>
          <w:sz w:val="24"/>
          <w:szCs w:val="24"/>
        </w:rPr>
        <w:t xml:space="preserve">  </w:t>
      </w:r>
      <w:r>
        <w:rPr>
          <w:rFonts w:ascii="宋体" w:hAnsi="宋体" w:eastAsia="宋体" w:cs="宋体"/>
          <w:spacing w:val="1"/>
          <w:sz w:val="24"/>
          <w:szCs w:val="24"/>
        </w:rPr>
        <w:t>工作业人员在</w:t>
      </w:r>
      <w:r>
        <w:rPr>
          <w:rFonts w:ascii="宋体" w:hAnsi="宋体" w:eastAsia="宋体" w:cs="宋体"/>
          <w:spacing w:val="-41"/>
          <w:sz w:val="24"/>
          <w:szCs w:val="24"/>
        </w:rPr>
        <w:t xml:space="preserve"> </w:t>
      </w:r>
      <w:r>
        <w:rPr>
          <w:rFonts w:ascii="宋体" w:hAnsi="宋体" w:eastAsia="宋体" w:cs="宋体"/>
          <w:spacing w:val="1"/>
          <w:sz w:val="24"/>
          <w:szCs w:val="24"/>
        </w:rPr>
        <w:t>51</w:t>
      </w:r>
      <w:r>
        <w:rPr>
          <w:rFonts w:ascii="宋体" w:hAnsi="宋体" w:eastAsia="宋体" w:cs="宋体"/>
          <w:spacing w:val="-44"/>
          <w:sz w:val="24"/>
          <w:szCs w:val="24"/>
        </w:rPr>
        <w:t xml:space="preserve"> </w:t>
      </w:r>
      <w:r>
        <w:rPr>
          <w:rFonts w:ascii="宋体" w:hAnsi="宋体" w:eastAsia="宋体" w:cs="宋体"/>
          <w:spacing w:val="1"/>
          <w:sz w:val="24"/>
          <w:szCs w:val="24"/>
        </w:rPr>
        <w:t>人～200</w:t>
      </w:r>
      <w:r>
        <w:rPr>
          <w:rFonts w:ascii="宋体" w:hAnsi="宋体" w:eastAsia="宋体" w:cs="宋体"/>
          <w:spacing w:val="-46"/>
          <w:sz w:val="24"/>
          <w:szCs w:val="24"/>
        </w:rPr>
        <w:t xml:space="preserve"> </w:t>
      </w:r>
      <w:r>
        <w:rPr>
          <w:rFonts w:ascii="宋体" w:hAnsi="宋体" w:eastAsia="宋体" w:cs="宋体"/>
          <w:spacing w:val="1"/>
          <w:sz w:val="24"/>
          <w:szCs w:val="24"/>
        </w:rPr>
        <w:t>人时，应配备</w:t>
      </w:r>
      <w:r>
        <w:rPr>
          <w:rFonts w:ascii="宋体" w:hAnsi="宋体" w:eastAsia="宋体" w:cs="宋体"/>
          <w:spacing w:val="-43"/>
          <w:sz w:val="24"/>
          <w:szCs w:val="24"/>
        </w:rPr>
        <w:t xml:space="preserve"> </w:t>
      </w:r>
      <w:r>
        <w:rPr>
          <w:rFonts w:ascii="宋体" w:hAnsi="宋体" w:eastAsia="宋体" w:cs="宋体"/>
          <w:spacing w:val="1"/>
          <w:sz w:val="24"/>
          <w:szCs w:val="24"/>
        </w:rPr>
        <w:t>2</w:t>
      </w:r>
      <w:r>
        <w:rPr>
          <w:rFonts w:ascii="宋体" w:hAnsi="宋体" w:eastAsia="宋体" w:cs="宋体"/>
          <w:spacing w:val="-43"/>
          <w:sz w:val="24"/>
          <w:szCs w:val="24"/>
        </w:rPr>
        <w:t xml:space="preserve"> </w:t>
      </w:r>
      <w:r>
        <w:rPr>
          <w:rFonts w:ascii="宋体" w:hAnsi="宋体" w:eastAsia="宋体" w:cs="宋体"/>
          <w:spacing w:val="1"/>
          <w:sz w:val="24"/>
          <w:szCs w:val="24"/>
        </w:rPr>
        <w:t>名专职安全生产管理</w:t>
      </w:r>
      <w:r>
        <w:rPr>
          <w:rFonts w:ascii="宋体" w:hAnsi="宋体" w:eastAsia="宋体" w:cs="宋体"/>
          <w:sz w:val="24"/>
          <w:szCs w:val="24"/>
        </w:rPr>
        <w:t xml:space="preserve">人员；施工作业人员在  </w:t>
      </w:r>
      <w:r>
        <w:rPr>
          <w:rFonts w:ascii="宋体" w:hAnsi="宋体" w:eastAsia="宋体" w:cs="宋体"/>
          <w:spacing w:val="-2"/>
          <w:sz w:val="24"/>
          <w:szCs w:val="24"/>
        </w:rPr>
        <w:t>201</w:t>
      </w:r>
      <w:r>
        <w:rPr>
          <w:rFonts w:ascii="宋体" w:hAnsi="宋体" w:eastAsia="宋体" w:cs="宋体"/>
          <w:spacing w:val="-49"/>
          <w:sz w:val="24"/>
          <w:szCs w:val="24"/>
        </w:rPr>
        <w:t xml:space="preserve"> </w:t>
      </w:r>
      <w:r>
        <w:rPr>
          <w:rFonts w:ascii="宋体" w:hAnsi="宋体" w:eastAsia="宋体" w:cs="宋体"/>
          <w:spacing w:val="-2"/>
          <w:sz w:val="24"/>
          <w:szCs w:val="24"/>
        </w:rPr>
        <w:t>人及以上时，每增加</w:t>
      </w:r>
      <w:r>
        <w:rPr>
          <w:rFonts w:ascii="宋体" w:hAnsi="宋体" w:eastAsia="宋体" w:cs="宋体"/>
          <w:spacing w:val="-33"/>
          <w:sz w:val="24"/>
          <w:szCs w:val="24"/>
        </w:rPr>
        <w:t xml:space="preserve"> </w:t>
      </w:r>
      <w:r>
        <w:rPr>
          <w:rFonts w:ascii="宋体" w:hAnsi="宋体" w:eastAsia="宋体" w:cs="宋体"/>
          <w:spacing w:val="-2"/>
          <w:sz w:val="24"/>
          <w:szCs w:val="24"/>
        </w:rPr>
        <w:t>100</w:t>
      </w:r>
      <w:r>
        <w:rPr>
          <w:rFonts w:ascii="宋体" w:hAnsi="宋体" w:eastAsia="宋体" w:cs="宋体"/>
          <w:spacing w:val="-48"/>
          <w:sz w:val="24"/>
          <w:szCs w:val="24"/>
        </w:rPr>
        <w:t xml:space="preserve"> </w:t>
      </w:r>
      <w:r>
        <w:rPr>
          <w:rFonts w:ascii="宋体" w:hAnsi="宋体" w:eastAsia="宋体" w:cs="宋体"/>
          <w:spacing w:val="-2"/>
          <w:sz w:val="24"/>
          <w:szCs w:val="24"/>
        </w:rPr>
        <w:t>人，应增加</w:t>
      </w:r>
      <w:r>
        <w:rPr>
          <w:rFonts w:ascii="宋体" w:hAnsi="宋体" w:eastAsia="宋体" w:cs="宋体"/>
          <w:spacing w:val="-33"/>
          <w:sz w:val="24"/>
          <w:szCs w:val="24"/>
        </w:rPr>
        <w:t xml:space="preserve"> </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名专</w:t>
      </w:r>
      <w:r>
        <w:rPr>
          <w:rFonts w:ascii="宋体" w:hAnsi="宋体" w:eastAsia="宋体" w:cs="宋体"/>
          <w:spacing w:val="-3"/>
          <w:sz w:val="24"/>
          <w:szCs w:val="24"/>
        </w:rPr>
        <w:t>职安全生产管理人员，并根据所承担工</w:t>
      </w:r>
    </w:p>
    <w:p>
      <w:pPr>
        <w:spacing w:line="220" w:lineRule="auto"/>
        <w:ind w:left="4"/>
        <w:rPr>
          <w:rFonts w:ascii="宋体" w:hAnsi="宋体" w:eastAsia="宋体" w:cs="宋体"/>
          <w:sz w:val="24"/>
          <w:szCs w:val="24"/>
        </w:rPr>
      </w:pPr>
      <w:r>
        <w:rPr>
          <w:rFonts w:ascii="宋体" w:hAnsi="宋体" w:eastAsia="宋体" w:cs="宋体"/>
          <w:spacing w:val="-1"/>
          <w:sz w:val="24"/>
          <w:szCs w:val="24"/>
        </w:rPr>
        <w:t>程的施工危险程度予以增加。</w:t>
      </w:r>
    </w:p>
    <w:p>
      <w:pPr>
        <w:spacing w:before="182" w:line="219" w:lineRule="auto"/>
        <w:ind w:left="496"/>
        <w:rPr>
          <w:rFonts w:ascii="宋体" w:hAnsi="宋体" w:eastAsia="宋体" w:cs="宋体"/>
          <w:sz w:val="24"/>
          <w:szCs w:val="24"/>
        </w:rPr>
      </w:pPr>
      <w:r>
        <w:rPr>
          <w:rFonts w:ascii="宋体" w:hAnsi="宋体" w:eastAsia="宋体" w:cs="宋体"/>
          <w:spacing w:val="-2"/>
          <w:sz w:val="24"/>
          <w:szCs w:val="24"/>
        </w:rPr>
        <w:t>（6）推广以工代赈方式促进沿线群众就业。</w:t>
      </w:r>
    </w:p>
    <w:p>
      <w:pPr>
        <w:spacing w:before="181" w:line="220" w:lineRule="auto"/>
        <w:ind w:left="4"/>
        <w:rPr>
          <w:rFonts w:ascii="宋体" w:hAnsi="宋体" w:eastAsia="宋体" w:cs="宋体"/>
          <w:sz w:val="24"/>
          <w:szCs w:val="24"/>
        </w:rPr>
      </w:pPr>
      <w:r>
        <w:rPr>
          <w:rFonts w:ascii="宋体" w:hAnsi="宋体" w:eastAsia="宋体" w:cs="宋体"/>
          <w:spacing w:val="-1"/>
          <w:sz w:val="24"/>
          <w:szCs w:val="24"/>
        </w:rPr>
        <w:t>4.6.7 施工班组及施工员登记制度</w:t>
      </w:r>
    </w:p>
    <w:p>
      <w:pPr>
        <w:spacing w:before="182" w:line="359" w:lineRule="auto"/>
        <w:ind w:left="6" w:right="211" w:firstLine="479"/>
        <w:jc w:val="both"/>
        <w:rPr>
          <w:rFonts w:ascii="宋体" w:hAnsi="宋体" w:eastAsia="宋体" w:cs="宋体"/>
          <w:sz w:val="24"/>
          <w:szCs w:val="24"/>
        </w:rPr>
      </w:pPr>
      <w:r>
        <w:rPr>
          <w:rFonts w:ascii="宋体" w:hAnsi="宋体" w:eastAsia="宋体" w:cs="宋体"/>
          <w:spacing w:val="-2"/>
          <w:sz w:val="24"/>
          <w:szCs w:val="24"/>
        </w:rPr>
        <w:t>签定合同后，承包人应组建施工班组，施工班组应符合《广东省</w:t>
      </w:r>
      <w:r>
        <w:rPr>
          <w:rFonts w:ascii="宋体" w:hAnsi="宋体" w:eastAsia="宋体" w:cs="宋体"/>
          <w:spacing w:val="-3"/>
          <w:sz w:val="24"/>
          <w:szCs w:val="24"/>
        </w:rPr>
        <w:t xml:space="preserve">公路工程施工标准 </w:t>
      </w:r>
      <w:r>
        <w:rPr>
          <w:rFonts w:ascii="宋体" w:hAnsi="宋体" w:eastAsia="宋体" w:cs="宋体"/>
          <w:spacing w:val="-2"/>
          <w:sz w:val="24"/>
          <w:szCs w:val="24"/>
        </w:rPr>
        <w:t>化指南》及《广东省高速公路施工安全标准化指南（班组建设篇）》的相关</w:t>
      </w:r>
      <w:r>
        <w:rPr>
          <w:rFonts w:ascii="宋体" w:hAnsi="宋体" w:eastAsia="宋体" w:cs="宋体"/>
          <w:spacing w:val="-3"/>
          <w:sz w:val="24"/>
          <w:szCs w:val="24"/>
        </w:rPr>
        <w:t xml:space="preserve">规定。承包 </w:t>
      </w:r>
      <w:r>
        <w:rPr>
          <w:rFonts w:ascii="宋体" w:hAnsi="宋体" w:eastAsia="宋体" w:cs="宋体"/>
          <w:spacing w:val="-2"/>
          <w:sz w:val="24"/>
          <w:szCs w:val="24"/>
        </w:rPr>
        <w:t>人应向监理人提供一份拟在本合同工程进行现场管理的施工员名单，包括监</w:t>
      </w:r>
      <w:r>
        <w:rPr>
          <w:rFonts w:ascii="宋体" w:hAnsi="宋体" w:eastAsia="宋体" w:cs="宋体"/>
          <w:spacing w:val="-3"/>
          <w:sz w:val="24"/>
          <w:szCs w:val="24"/>
        </w:rPr>
        <w:t xml:space="preserve">理人要求的 </w:t>
      </w:r>
      <w:r>
        <w:rPr>
          <w:rFonts w:ascii="宋体" w:hAnsi="宋体" w:eastAsia="宋体" w:cs="宋体"/>
          <w:spacing w:val="-6"/>
          <w:sz w:val="24"/>
          <w:szCs w:val="24"/>
        </w:rPr>
        <w:t>有关证明材料。监理人将对符合资格要求的施工员进行造册登记，并发给项目施工员证。</w:t>
      </w:r>
    </w:p>
    <w:p>
      <w:pPr>
        <w:spacing w:before="1" w:line="218" w:lineRule="auto"/>
        <w:ind w:left="4"/>
        <w:rPr>
          <w:rFonts w:ascii="宋体" w:hAnsi="宋体" w:eastAsia="宋体" w:cs="宋体"/>
          <w:sz w:val="24"/>
          <w:szCs w:val="24"/>
        </w:rPr>
      </w:pPr>
      <w:r>
        <w:rPr>
          <w:rFonts w:ascii="宋体" w:hAnsi="宋体" w:eastAsia="宋体" w:cs="宋体"/>
          <w:spacing w:val="-1"/>
          <w:sz w:val="24"/>
          <w:szCs w:val="24"/>
        </w:rPr>
        <w:t>施工员登记工作是监理人签发开工令的必要条件之一。</w:t>
      </w:r>
    </w:p>
    <w:p>
      <w:pPr>
        <w:spacing w:before="183" w:line="359" w:lineRule="auto"/>
        <w:ind w:left="7" w:right="291" w:firstLine="480"/>
        <w:jc w:val="both"/>
        <w:rPr>
          <w:rFonts w:ascii="宋体" w:hAnsi="宋体" w:eastAsia="宋体" w:cs="宋体"/>
          <w:sz w:val="24"/>
          <w:szCs w:val="24"/>
        </w:rPr>
      </w:pPr>
      <w:r>
        <w:rPr>
          <w:rFonts w:ascii="宋体" w:hAnsi="宋体" w:eastAsia="宋体" w:cs="宋体"/>
          <w:spacing w:val="-2"/>
          <w:sz w:val="24"/>
          <w:szCs w:val="24"/>
        </w:rPr>
        <w:t>分项工程施工现场实行标识牌管理，标识牌必须标明该分项工程作业内容和质量要</w:t>
      </w:r>
      <w:r>
        <w:rPr>
          <w:rFonts w:ascii="宋体" w:hAnsi="宋体" w:eastAsia="宋体" w:cs="宋体"/>
          <w:spacing w:val="5"/>
          <w:sz w:val="24"/>
          <w:szCs w:val="24"/>
        </w:rPr>
        <w:t xml:space="preserve"> </w:t>
      </w:r>
      <w:r>
        <w:rPr>
          <w:rFonts w:ascii="宋体" w:hAnsi="宋体" w:eastAsia="宋体" w:cs="宋体"/>
          <w:spacing w:val="-2"/>
          <w:sz w:val="24"/>
          <w:szCs w:val="24"/>
        </w:rPr>
        <w:t>求，施工单位及质量负责人姓名。工程开工后，承包人必须在每个施工工点派驻一个以</w:t>
      </w:r>
      <w:r>
        <w:rPr>
          <w:rFonts w:ascii="宋体" w:hAnsi="宋体" w:eastAsia="宋体" w:cs="宋体"/>
          <w:spacing w:val="10"/>
          <w:sz w:val="24"/>
          <w:szCs w:val="24"/>
        </w:rPr>
        <w:t xml:space="preserve"> </w:t>
      </w:r>
      <w:r>
        <w:rPr>
          <w:rFonts w:ascii="宋体" w:hAnsi="宋体" w:eastAsia="宋体" w:cs="宋体"/>
          <w:spacing w:val="-2"/>
          <w:sz w:val="24"/>
          <w:szCs w:val="24"/>
        </w:rPr>
        <w:t>上的经登记的施工员进行现场施工管理，做好详细的现场施工记录。施工员必须佩带项</w:t>
      </w:r>
    </w:p>
    <w:p>
      <w:pPr>
        <w:spacing w:before="1" w:line="218" w:lineRule="auto"/>
        <w:ind w:left="51"/>
        <w:rPr>
          <w:rFonts w:ascii="宋体" w:hAnsi="宋体" w:eastAsia="宋体" w:cs="宋体"/>
          <w:sz w:val="24"/>
          <w:szCs w:val="24"/>
        </w:rPr>
      </w:pPr>
      <w:r>
        <w:rPr>
          <w:rFonts w:ascii="宋体" w:hAnsi="宋体" w:eastAsia="宋体" w:cs="宋体"/>
          <w:spacing w:val="-3"/>
          <w:sz w:val="24"/>
          <w:szCs w:val="24"/>
        </w:rPr>
        <w:t>目施工员证上岗。承包人不执行本款规定，视为承包人违约并按</w:t>
      </w:r>
      <w:r>
        <w:rPr>
          <w:rFonts w:ascii="宋体" w:hAnsi="宋体" w:eastAsia="宋体" w:cs="宋体"/>
          <w:spacing w:val="-48"/>
          <w:sz w:val="24"/>
          <w:szCs w:val="24"/>
        </w:rPr>
        <w:t xml:space="preserve"> </w:t>
      </w:r>
      <w:r>
        <w:rPr>
          <w:rFonts w:ascii="宋体" w:hAnsi="宋体" w:eastAsia="宋体" w:cs="宋体"/>
          <w:spacing w:val="-4"/>
          <w:sz w:val="24"/>
          <w:szCs w:val="24"/>
        </w:rPr>
        <w:t>22.1</w:t>
      </w:r>
      <w:r>
        <w:rPr>
          <w:rFonts w:ascii="宋体" w:hAnsi="宋体" w:eastAsia="宋体" w:cs="宋体"/>
          <w:spacing w:val="-50"/>
          <w:sz w:val="24"/>
          <w:szCs w:val="24"/>
        </w:rPr>
        <w:t xml:space="preserve"> </w:t>
      </w:r>
      <w:r>
        <w:rPr>
          <w:rFonts w:ascii="宋体" w:hAnsi="宋体" w:eastAsia="宋体" w:cs="宋体"/>
          <w:spacing w:val="-4"/>
          <w:sz w:val="24"/>
          <w:szCs w:val="24"/>
        </w:rPr>
        <w:t>款约定进行处理。</w:t>
      </w:r>
    </w:p>
    <w:p>
      <w:pPr>
        <w:spacing w:line="425" w:lineRule="auto"/>
        <w:rPr>
          <w:rFonts w:ascii="Arial"/>
          <w:sz w:val="21"/>
        </w:rPr>
      </w:pPr>
      <w:r>
        <mc:AlternateContent>
          <mc:Choice Requires="wps">
            <w:drawing>
              <wp:anchor distT="0" distB="0" distL="114300" distR="114300" simplePos="0" relativeHeight="251667456" behindDoc="0" locked="0" layoutInCell="0" allowOverlap="1">
                <wp:simplePos x="0" y="0"/>
                <wp:positionH relativeFrom="page">
                  <wp:posOffset>898525</wp:posOffset>
                </wp:positionH>
                <wp:positionV relativeFrom="page">
                  <wp:posOffset>9565640</wp:posOffset>
                </wp:positionV>
                <wp:extent cx="1831340" cy="2540"/>
                <wp:effectExtent l="0" t="0" r="0" b="0"/>
                <wp:wrapNone/>
                <wp:docPr id="86" name="任意多边形 86"/>
                <wp:cNvGraphicFramePr/>
                <a:graphic xmlns:a="http://schemas.openxmlformats.org/drawingml/2006/main">
                  <a:graphicData uri="http://schemas.microsoft.com/office/word/2010/wordprocessingShape">
                    <wps:wsp>
                      <wps:cNvSpPr/>
                      <wps:spPr>
                        <a:xfrm>
                          <a:off x="0" y="0"/>
                          <a:ext cx="1831340" cy="2540"/>
                        </a:xfrm>
                        <a:custGeom>
                          <a:avLst/>
                          <a:gdLst/>
                          <a:ahLst/>
                          <a:cxnLst/>
                          <a:pathLst>
                            <a:path w="2883" h="4">
                              <a:moveTo>
                                <a:pt x="1" y="1"/>
                              </a:moveTo>
                              <a:lnTo>
                                <a:pt x="2881" y="1"/>
                              </a:lnTo>
                            </a:path>
                          </a:pathLst>
                        </a:custGeom>
                        <a:noFill/>
                        <a:ln w="2159"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75pt;margin-top:753.2pt;height:0.2pt;width:144.2pt;mso-position-horizontal-relative:page;mso-position-vertical-relative:page;z-index:251667456;mso-width-relative:page;mso-height-relative:page;" filled="f" stroked="t" coordsize="2883,4" o:allowincell="f" o:gfxdata="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MtrJtkAAAANAQAADwAAAAAAAAABACAAAAAiAAAAZHJzL2Rv&#10;d25yZXYueG1sUEsBAhQAFAAAAAgAh07iQEPcBrY5AgAAlQQAAA4AAAAAAAAAAQAgAAAAKAEAAGRy&#10;cy9lMm9Eb2MueG1sUEsFBgAAAAAGAAYAWQEAANMFAAAAAA==&#10;" path="m1,1l2881,1e">
                <v:fill on="f" focussize="0,0"/>
                <v:stroke weight="0.17pt" color="#000000" joinstyle="bevel" endcap="square"/>
                <v:imagedata o:title=""/>
                <o:lock v:ext="edit" aspectratio="f"/>
              </v:shape>
            </w:pict>
          </mc:Fallback>
        </mc:AlternateContent>
      </w:r>
    </w:p>
    <w:p>
      <w:pPr>
        <w:spacing w:before="78" w:line="466" w:lineRule="exact"/>
        <w:ind w:left="489"/>
        <w:rPr>
          <w:rFonts w:ascii="宋体" w:hAnsi="宋体" w:eastAsia="宋体" w:cs="宋体"/>
          <w:sz w:val="24"/>
          <w:szCs w:val="24"/>
        </w:rPr>
      </w:pPr>
      <w:r>
        <w:rPr>
          <w:rFonts w:ascii="宋体" w:hAnsi="宋体" w:eastAsia="宋体" w:cs="宋体"/>
          <w:spacing w:val="-2"/>
          <w:position w:val="17"/>
          <w:sz w:val="24"/>
          <w:szCs w:val="24"/>
        </w:rPr>
        <w:t>在施工过程中，监理人只要有充分的理由，可以随时取消不能令其满意的施工员的</w:t>
      </w:r>
    </w:p>
    <w:p>
      <w:pPr>
        <w:spacing w:line="219" w:lineRule="auto"/>
        <w:ind w:left="20"/>
        <w:rPr>
          <w:rFonts w:ascii="宋体" w:hAnsi="宋体" w:eastAsia="宋体" w:cs="宋体"/>
          <w:sz w:val="24"/>
          <w:szCs w:val="24"/>
        </w:rPr>
      </w:pPr>
      <w:r>
        <w:rPr>
          <w:rFonts w:ascii="宋体" w:hAnsi="宋体" w:eastAsia="宋体" w:cs="宋体"/>
          <w:spacing w:val="-2"/>
          <w:sz w:val="24"/>
          <w:szCs w:val="24"/>
        </w:rPr>
        <w:t>资格，收回项目施工员证。</w:t>
      </w:r>
    </w:p>
    <w:p>
      <w:pPr>
        <w:spacing w:before="182" w:line="466" w:lineRule="exact"/>
        <w:ind w:left="489"/>
        <w:rPr>
          <w:rFonts w:ascii="宋体" w:hAnsi="宋体" w:eastAsia="宋体" w:cs="宋体"/>
          <w:sz w:val="24"/>
          <w:szCs w:val="24"/>
        </w:rPr>
      </w:pPr>
      <w:r>
        <w:rPr>
          <w:rFonts w:ascii="宋体" w:hAnsi="宋体" w:eastAsia="宋体" w:cs="宋体"/>
          <w:spacing w:val="-1"/>
          <w:position w:val="17"/>
          <w:sz w:val="24"/>
          <w:szCs w:val="24"/>
        </w:rPr>
        <w:t>4.7</w:t>
      </w:r>
      <w:r>
        <w:rPr>
          <w:rFonts w:ascii="宋体" w:hAnsi="宋体" w:eastAsia="宋体" w:cs="宋体"/>
          <w:spacing w:val="-52"/>
          <w:position w:val="17"/>
          <w:sz w:val="24"/>
          <w:szCs w:val="24"/>
        </w:rPr>
        <w:t xml:space="preserve"> </w:t>
      </w:r>
      <w:r>
        <w:rPr>
          <w:rFonts w:ascii="宋体" w:hAnsi="宋体" w:eastAsia="宋体" w:cs="宋体"/>
          <w:spacing w:val="-1"/>
          <w:position w:val="17"/>
          <w:sz w:val="24"/>
          <w:szCs w:val="24"/>
        </w:rPr>
        <w:t>撤换承包人项目经理和其他人员</w:t>
      </w:r>
    </w:p>
    <w:p>
      <w:pPr>
        <w:spacing w:line="218" w:lineRule="auto"/>
        <w:ind w:left="491"/>
        <w:rPr>
          <w:rFonts w:ascii="宋体" w:hAnsi="宋体" w:eastAsia="宋体" w:cs="宋体"/>
          <w:sz w:val="24"/>
          <w:szCs w:val="24"/>
        </w:rPr>
      </w:pPr>
      <w:r>
        <w:rPr>
          <w:rFonts w:ascii="宋体" w:hAnsi="宋体" w:eastAsia="宋体" w:cs="宋体"/>
          <w:spacing w:val="-2"/>
          <w:sz w:val="24"/>
          <w:szCs w:val="24"/>
        </w:rPr>
        <w:t>本款细化为：</w:t>
      </w:r>
    </w:p>
    <w:p>
      <w:pPr>
        <w:spacing w:before="182" w:line="359" w:lineRule="auto"/>
        <w:ind w:left="10" w:right="291" w:firstLine="480"/>
        <w:jc w:val="both"/>
        <w:rPr>
          <w:rFonts w:ascii="宋体" w:hAnsi="宋体" w:eastAsia="宋体" w:cs="宋体"/>
          <w:sz w:val="24"/>
          <w:szCs w:val="24"/>
        </w:rPr>
      </w:pPr>
      <w:r>
        <w:rPr>
          <w:rFonts w:ascii="宋体" w:hAnsi="宋体" w:eastAsia="宋体" w:cs="宋体"/>
          <w:spacing w:val="-2"/>
          <w:sz w:val="24"/>
          <w:szCs w:val="24"/>
        </w:rPr>
        <w:t>承包人应对其项目经理和其他人员进行有效管理。发包人或监理人在征得发包人同</w:t>
      </w:r>
      <w:r>
        <w:rPr>
          <w:rFonts w:ascii="宋体" w:hAnsi="宋体" w:eastAsia="宋体" w:cs="宋体"/>
          <w:spacing w:val="8"/>
          <w:sz w:val="24"/>
          <w:szCs w:val="24"/>
        </w:rPr>
        <w:t xml:space="preserve"> </w:t>
      </w:r>
      <w:r>
        <w:rPr>
          <w:rFonts w:ascii="宋体" w:hAnsi="宋体" w:eastAsia="宋体" w:cs="宋体"/>
          <w:spacing w:val="-2"/>
          <w:sz w:val="24"/>
          <w:szCs w:val="24"/>
        </w:rPr>
        <w:t>意后要求撤换不能胜任本职工作、行为不端或玩忽职守的项目经理和其他人员，承包人</w:t>
      </w:r>
      <w:r>
        <w:rPr>
          <w:rFonts w:ascii="宋体" w:hAnsi="宋体" w:eastAsia="宋体" w:cs="宋体"/>
          <w:spacing w:val="12"/>
          <w:sz w:val="24"/>
          <w:szCs w:val="24"/>
        </w:rPr>
        <w:t xml:space="preserve"> </w:t>
      </w:r>
      <w:r>
        <w:rPr>
          <w:rFonts w:ascii="宋体" w:hAnsi="宋体" w:eastAsia="宋体" w:cs="宋体"/>
          <w:sz w:val="24"/>
          <w:szCs w:val="24"/>
        </w:rPr>
        <w:t>应予以撤换，同时委派经发包人与监理人同意的</w:t>
      </w:r>
      <w:r>
        <w:rPr>
          <w:rFonts w:ascii="宋体" w:hAnsi="宋体" w:eastAsia="宋体" w:cs="宋体"/>
          <w:spacing w:val="-1"/>
          <w:sz w:val="24"/>
          <w:szCs w:val="24"/>
        </w:rPr>
        <w:t>新的项目经理和其他人员，并按</w:t>
      </w:r>
      <w:r>
        <w:rPr>
          <w:rFonts w:ascii="宋体" w:hAnsi="宋体" w:eastAsia="宋体" w:cs="宋体"/>
          <w:spacing w:val="-52"/>
          <w:sz w:val="24"/>
          <w:szCs w:val="24"/>
        </w:rPr>
        <w:t xml:space="preserve"> </w:t>
      </w:r>
      <w:r>
        <w:rPr>
          <w:rFonts w:ascii="宋体" w:hAnsi="宋体" w:eastAsia="宋体" w:cs="宋体"/>
          <w:spacing w:val="-1"/>
          <w:sz w:val="24"/>
          <w:szCs w:val="24"/>
        </w:rPr>
        <w:t>4.6.3</w:t>
      </w:r>
    </w:p>
    <w:p>
      <w:pPr>
        <w:spacing w:before="1" w:line="218" w:lineRule="auto"/>
        <w:ind w:left="11"/>
        <w:rPr>
          <w:rFonts w:ascii="宋体" w:hAnsi="宋体" w:eastAsia="宋体" w:cs="宋体"/>
          <w:sz w:val="24"/>
          <w:szCs w:val="24"/>
        </w:rPr>
      </w:pPr>
      <w:r>
        <w:rPr>
          <w:rFonts w:ascii="宋体" w:hAnsi="宋体" w:eastAsia="宋体" w:cs="宋体"/>
          <w:sz w:val="24"/>
          <w:szCs w:val="24"/>
        </w:rPr>
        <w:t>款约定处以违约金。被撤换人员未经发包人同意不</w:t>
      </w:r>
      <w:r>
        <w:rPr>
          <w:rFonts w:ascii="宋体" w:hAnsi="宋体" w:eastAsia="宋体" w:cs="宋体"/>
          <w:spacing w:val="-1"/>
          <w:sz w:val="24"/>
          <w:szCs w:val="24"/>
        </w:rPr>
        <w:t>得重新回到本合同段工作。</w:t>
      </w:r>
    </w:p>
    <w:p>
      <w:pPr>
        <w:spacing w:before="184" w:line="465" w:lineRule="exact"/>
        <w:ind w:left="489"/>
        <w:rPr>
          <w:rFonts w:ascii="宋体" w:hAnsi="宋体" w:eastAsia="宋体" w:cs="宋体"/>
          <w:sz w:val="24"/>
          <w:szCs w:val="24"/>
        </w:rPr>
      </w:pPr>
      <w:r>
        <w:rPr>
          <w:rFonts w:ascii="宋体" w:hAnsi="宋体" w:eastAsia="宋体" w:cs="宋体"/>
          <w:spacing w:val="-1"/>
          <w:position w:val="17"/>
          <w:sz w:val="24"/>
          <w:szCs w:val="24"/>
        </w:rPr>
        <w:t>4.11 不利物质条件</w:t>
      </w:r>
    </w:p>
    <w:p>
      <w:pPr>
        <w:spacing w:before="1" w:line="219" w:lineRule="auto"/>
        <w:ind w:left="490"/>
        <w:rPr>
          <w:rFonts w:ascii="宋体" w:hAnsi="宋体" w:eastAsia="宋体" w:cs="宋体"/>
          <w:sz w:val="24"/>
          <w:szCs w:val="24"/>
        </w:rPr>
      </w:pPr>
      <w:r>
        <w:rPr>
          <w:rFonts w:ascii="宋体" w:hAnsi="宋体" w:eastAsia="宋体" w:cs="宋体"/>
          <w:spacing w:val="-1"/>
          <w:sz w:val="24"/>
          <w:szCs w:val="24"/>
        </w:rPr>
        <w:t>第4.11.2项细化为：</w:t>
      </w:r>
    </w:p>
    <w:p>
      <w:pPr>
        <w:spacing w:before="183" w:line="359" w:lineRule="auto"/>
        <w:ind w:left="9" w:right="291" w:firstLine="480"/>
        <w:jc w:val="both"/>
        <w:rPr>
          <w:rFonts w:ascii="宋体" w:hAnsi="宋体" w:eastAsia="宋体" w:cs="宋体"/>
          <w:sz w:val="24"/>
          <w:szCs w:val="24"/>
        </w:rPr>
      </w:pPr>
      <w:r>
        <w:rPr>
          <w:rFonts w:ascii="宋体" w:hAnsi="宋体" w:eastAsia="宋体" w:cs="宋体"/>
          <w:spacing w:val="-2"/>
          <w:sz w:val="24"/>
          <w:szCs w:val="24"/>
        </w:rPr>
        <w:t>承包人遇到不可预见的不利物质条件时，应采取适应不利物质条件的合理措施继续</w:t>
      </w:r>
      <w:r>
        <w:rPr>
          <w:rFonts w:ascii="宋体" w:hAnsi="宋体" w:eastAsia="宋体" w:cs="宋体"/>
          <w:spacing w:val="8"/>
          <w:sz w:val="24"/>
          <w:szCs w:val="24"/>
        </w:rPr>
        <w:t xml:space="preserve"> </w:t>
      </w:r>
      <w:r>
        <w:rPr>
          <w:rFonts w:ascii="宋体" w:hAnsi="宋体" w:eastAsia="宋体" w:cs="宋体"/>
          <w:spacing w:val="-2"/>
          <w:sz w:val="24"/>
          <w:szCs w:val="24"/>
        </w:rPr>
        <w:t>施工，并及时通知监理人和发包人。监理人应当及时发出指示，指示构成变更的，按第</w:t>
      </w:r>
      <w:r>
        <w:rPr>
          <w:rFonts w:ascii="宋体" w:hAnsi="宋体" w:eastAsia="宋体" w:cs="宋体"/>
          <w:spacing w:val="13"/>
          <w:sz w:val="24"/>
          <w:szCs w:val="24"/>
        </w:rPr>
        <w:t xml:space="preserve"> </w:t>
      </w:r>
      <w:r>
        <w:rPr>
          <w:rFonts w:ascii="宋体" w:hAnsi="宋体" w:eastAsia="宋体" w:cs="宋体"/>
          <w:spacing w:val="1"/>
          <w:sz w:val="24"/>
          <w:szCs w:val="24"/>
        </w:rPr>
        <w:t>15条约定办理。监理人没有发出指示的，承包人应将情况及时上报发包人，如发包人</w:t>
      </w:r>
      <w:r>
        <w:rPr>
          <w:rFonts w:ascii="宋体" w:hAnsi="宋体" w:eastAsia="宋体" w:cs="宋体"/>
          <w:spacing w:val="1"/>
          <w:sz w:val="24"/>
          <w:szCs w:val="24"/>
          <w:u w:val="single" w:color="auto"/>
        </w:rPr>
        <w:t>3</w:t>
      </w:r>
      <w:r>
        <w:rPr>
          <w:rFonts w:ascii="宋体" w:hAnsi="宋体" w:eastAsia="宋体" w:cs="宋体"/>
          <w:spacing w:val="18"/>
          <w:sz w:val="24"/>
          <w:szCs w:val="24"/>
        </w:rPr>
        <w:t xml:space="preserve"> </w:t>
      </w:r>
      <w:r>
        <w:rPr>
          <w:rFonts w:ascii="宋体" w:hAnsi="宋体" w:eastAsia="宋体" w:cs="宋体"/>
          <w:spacing w:val="-2"/>
          <w:sz w:val="24"/>
          <w:szCs w:val="24"/>
          <w:u w:val="single" w:color="auto"/>
        </w:rPr>
        <w:t>天内</w:t>
      </w:r>
      <w:r>
        <w:rPr>
          <w:rFonts w:ascii="宋体" w:hAnsi="宋体" w:eastAsia="宋体" w:cs="宋体"/>
          <w:spacing w:val="-2"/>
          <w:sz w:val="24"/>
          <w:szCs w:val="24"/>
        </w:rPr>
        <w:t>仍未发出指示的，因承包人采取合理措施而增加的费用和(或)工期延误，由发包人</w:t>
      </w:r>
    </w:p>
    <w:p>
      <w:pPr>
        <w:spacing w:line="219" w:lineRule="auto"/>
        <w:ind w:left="10"/>
        <w:rPr>
          <w:rFonts w:ascii="宋体" w:hAnsi="宋体" w:eastAsia="宋体" w:cs="宋体"/>
          <w:sz w:val="24"/>
          <w:szCs w:val="24"/>
        </w:rPr>
      </w:pPr>
      <w:r>
        <w:rPr>
          <w:rFonts w:ascii="宋体" w:hAnsi="宋体" w:eastAsia="宋体" w:cs="宋体"/>
          <w:spacing w:val="-4"/>
          <w:sz w:val="24"/>
          <w:szCs w:val="24"/>
        </w:rPr>
        <w:t>承担。</w:t>
      </w:r>
    </w:p>
    <w:p>
      <w:pPr>
        <w:spacing w:before="183" w:line="466" w:lineRule="exact"/>
        <w:ind w:left="489"/>
        <w:rPr>
          <w:rFonts w:ascii="宋体" w:hAnsi="宋体" w:eastAsia="宋体" w:cs="宋体"/>
          <w:sz w:val="24"/>
          <w:szCs w:val="24"/>
        </w:rPr>
      </w:pPr>
      <w:r>
        <w:rPr>
          <w:rFonts w:ascii="宋体" w:hAnsi="宋体" w:eastAsia="宋体" w:cs="宋体"/>
          <w:spacing w:val="-1"/>
          <w:position w:val="17"/>
          <w:sz w:val="24"/>
          <w:szCs w:val="24"/>
        </w:rPr>
        <w:t>4.11.3可预见的不利物质条件</w:t>
      </w:r>
    </w:p>
    <w:p>
      <w:pPr>
        <w:spacing w:line="219" w:lineRule="auto"/>
        <w:ind w:left="490"/>
        <w:rPr>
          <w:rFonts w:ascii="宋体" w:hAnsi="宋体" w:eastAsia="宋体" w:cs="宋体"/>
          <w:sz w:val="24"/>
          <w:szCs w:val="24"/>
        </w:rPr>
      </w:pPr>
      <w:r>
        <w:rPr>
          <w:rFonts w:ascii="宋体" w:hAnsi="宋体" w:eastAsia="宋体" w:cs="宋体"/>
          <w:spacing w:val="-5"/>
          <w:sz w:val="24"/>
          <w:szCs w:val="24"/>
        </w:rPr>
        <w:t>第4.11.3（1）</w:t>
      </w:r>
      <w:r>
        <w:rPr>
          <w:rFonts w:ascii="宋体" w:hAnsi="宋体" w:eastAsia="宋体" w:cs="宋体"/>
          <w:spacing w:val="-61"/>
          <w:sz w:val="24"/>
          <w:szCs w:val="24"/>
        </w:rPr>
        <w:t xml:space="preserve"> </w:t>
      </w:r>
      <w:r>
        <w:rPr>
          <w:rFonts w:ascii="宋体" w:hAnsi="宋体" w:eastAsia="宋体" w:cs="宋体"/>
          <w:spacing w:val="-5"/>
          <w:sz w:val="24"/>
          <w:szCs w:val="24"/>
        </w:rPr>
        <w:t>目补充：</w:t>
      </w:r>
    </w:p>
    <w:p>
      <w:pPr>
        <w:spacing w:before="181" w:line="360" w:lineRule="auto"/>
        <w:ind w:left="11" w:right="291" w:firstLine="477"/>
        <w:jc w:val="both"/>
        <w:rPr>
          <w:rFonts w:ascii="宋体" w:hAnsi="宋体" w:eastAsia="宋体" w:cs="宋体"/>
          <w:sz w:val="24"/>
          <w:szCs w:val="24"/>
        </w:rPr>
      </w:pPr>
      <w:r>
        <w:rPr>
          <w:rFonts w:ascii="宋体" w:hAnsi="宋体" w:eastAsia="宋体" w:cs="宋体"/>
          <w:spacing w:val="-2"/>
          <w:sz w:val="24"/>
          <w:szCs w:val="24"/>
        </w:rPr>
        <w:t>对于一个有经验的承包人可合理预见的不利物质条件，无论承包人是否有其经历和</w:t>
      </w:r>
      <w:r>
        <w:rPr>
          <w:rFonts w:ascii="宋体" w:hAnsi="宋体" w:eastAsia="宋体" w:cs="宋体"/>
          <w:spacing w:val="9"/>
          <w:sz w:val="24"/>
          <w:szCs w:val="24"/>
        </w:rPr>
        <w:t xml:space="preserve"> </w:t>
      </w:r>
      <w:r>
        <w:rPr>
          <w:rFonts w:ascii="宋体" w:hAnsi="宋体" w:eastAsia="宋体" w:cs="宋体"/>
          <w:spacing w:val="-2"/>
          <w:sz w:val="24"/>
          <w:szCs w:val="24"/>
        </w:rPr>
        <w:t>经验均视为承包人在接受合同时已预见其影响，并已在签约合同价中计入因其影响而可</w:t>
      </w:r>
    </w:p>
    <w:p>
      <w:pPr>
        <w:spacing w:line="219" w:lineRule="auto"/>
        <w:ind w:left="19"/>
        <w:rPr>
          <w:rFonts w:ascii="宋体" w:hAnsi="宋体" w:eastAsia="宋体" w:cs="宋体"/>
          <w:sz w:val="24"/>
          <w:szCs w:val="24"/>
        </w:rPr>
      </w:pPr>
      <w:r>
        <w:rPr>
          <w:rFonts w:ascii="宋体" w:hAnsi="宋体" w:eastAsia="宋体" w:cs="宋体"/>
          <w:spacing w:val="-1"/>
          <w:sz w:val="24"/>
          <w:szCs w:val="24"/>
        </w:rPr>
        <w:t>能发生的一切费用（除合同另有约定外）。</w:t>
      </w:r>
    </w:p>
    <w:p>
      <w:pPr>
        <w:spacing w:line="273" w:lineRule="auto"/>
        <w:rPr>
          <w:rFonts w:ascii="Arial"/>
          <w:sz w:val="21"/>
        </w:rPr>
      </w:pPr>
    </w:p>
    <w:p>
      <w:pPr>
        <w:spacing w:line="274" w:lineRule="auto"/>
        <w:rPr>
          <w:rFonts w:ascii="Arial"/>
          <w:sz w:val="21"/>
        </w:rPr>
      </w:pPr>
    </w:p>
    <w:p>
      <w:pPr>
        <w:spacing w:before="79" w:line="227" w:lineRule="auto"/>
        <w:ind w:left="494"/>
        <w:rPr>
          <w:rFonts w:ascii="宋体" w:hAnsi="宋体" w:eastAsia="宋体" w:cs="宋体"/>
          <w:sz w:val="12"/>
          <w:szCs w:val="12"/>
        </w:rPr>
      </w:pPr>
      <w:r>
        <w:rPr>
          <w:rFonts w:ascii="宋体" w:hAnsi="宋体" w:eastAsia="宋体" w:cs="宋体"/>
          <w:spacing w:val="-1"/>
          <w:sz w:val="24"/>
          <w:szCs w:val="24"/>
          <w14:textOutline w14:w="4358" w14:cap="sq" w14:cmpd="sng">
            <w14:solidFill>
              <w14:srgbClr w14:val="000000"/>
            </w14:solidFill>
            <w14:prstDash w14:val="solid"/>
            <w14:bevel/>
          </w14:textOutline>
        </w:rPr>
        <w:t>5.</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材料和工程设备</w:t>
      </w:r>
      <w:r>
        <w:fldChar w:fldCharType="begin"/>
      </w:r>
      <w:r>
        <w:instrText xml:space="preserve"> HYPERLINK \l "bookmark154" </w:instrText>
      </w:r>
      <w:r>
        <w:fldChar w:fldCharType="separate"/>
      </w:r>
      <w:r>
        <w:rPr>
          <w:rFonts w:ascii="宋体" w:hAnsi="宋体" w:eastAsia="宋体" w:cs="宋体"/>
          <w:spacing w:val="-1"/>
          <w:position w:val="11"/>
          <w:sz w:val="12"/>
          <w:szCs w:val="12"/>
          <w14:textOutline w14:w="2179" w14:cap="sq" w14:cmpd="sng">
            <w14:solidFill>
              <w14:srgbClr w14:val="000000"/>
            </w14:solidFill>
            <w14:prstDash w14:val="solid"/>
            <w14:bevel/>
          </w14:textOutline>
        </w:rPr>
        <w:t>①</w:t>
      </w:r>
      <w:r>
        <w:rPr>
          <w:rFonts w:ascii="宋体" w:hAnsi="宋体" w:eastAsia="宋体" w:cs="宋体"/>
          <w:spacing w:val="-1"/>
          <w:position w:val="11"/>
          <w:sz w:val="12"/>
          <w:szCs w:val="12"/>
          <w14:textOutline w14:w="2179" w14:cap="sq" w14:cmpd="sng">
            <w14:solidFill>
              <w14:srgbClr w14:val="000000"/>
            </w14:solidFill>
            <w14:prstDash w14:val="solid"/>
            <w14:bevel/>
          </w14:textOutline>
        </w:rPr>
        <w:fldChar w:fldCharType="end"/>
      </w:r>
    </w:p>
    <w:p>
      <w:pPr>
        <w:spacing w:before="190" w:line="219" w:lineRule="auto"/>
        <w:ind w:left="490"/>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44"/>
          <w:sz w:val="24"/>
          <w:szCs w:val="24"/>
        </w:rPr>
        <w:t xml:space="preserve"> </w:t>
      </w:r>
      <w:r>
        <w:rPr>
          <w:rFonts w:ascii="宋体" w:hAnsi="宋体" w:eastAsia="宋体" w:cs="宋体"/>
          <w:spacing w:val="-4"/>
          <w:sz w:val="24"/>
          <w:szCs w:val="24"/>
        </w:rPr>
        <w:t>5.1.2</w:t>
      </w:r>
      <w:r>
        <w:rPr>
          <w:rFonts w:ascii="宋体" w:hAnsi="宋体" w:eastAsia="宋体" w:cs="宋体"/>
          <w:spacing w:val="-47"/>
          <w:sz w:val="24"/>
          <w:szCs w:val="24"/>
        </w:rPr>
        <w:t xml:space="preserve"> </w:t>
      </w:r>
      <w:r>
        <w:rPr>
          <w:rFonts w:ascii="宋体" w:hAnsi="宋体" w:eastAsia="宋体" w:cs="宋体"/>
          <w:spacing w:val="-4"/>
          <w:sz w:val="24"/>
          <w:szCs w:val="24"/>
        </w:rPr>
        <w:t>项补充：</w:t>
      </w:r>
    </w:p>
    <w:p>
      <w:pPr>
        <w:spacing w:before="183" w:line="359" w:lineRule="auto"/>
        <w:ind w:left="9" w:right="291" w:firstLine="492"/>
        <w:rPr>
          <w:rFonts w:ascii="宋体" w:hAnsi="宋体" w:eastAsia="宋体" w:cs="宋体"/>
          <w:sz w:val="24"/>
          <w:szCs w:val="24"/>
        </w:rPr>
      </w:pPr>
      <w:r>
        <w:rPr>
          <w:rFonts w:ascii="宋体" w:hAnsi="宋体" w:eastAsia="宋体" w:cs="宋体"/>
          <w:spacing w:val="1"/>
          <w:sz w:val="24"/>
          <w:szCs w:val="24"/>
        </w:rPr>
        <w:t>（1）承包人选定的材料和工程设备必须满足本合同工程要求和《广东省公路工程</w:t>
      </w:r>
      <w:r>
        <w:rPr>
          <w:rFonts w:ascii="宋体" w:hAnsi="宋体" w:eastAsia="宋体" w:cs="宋体"/>
          <w:spacing w:val="9"/>
          <w:sz w:val="24"/>
          <w:szCs w:val="24"/>
        </w:rPr>
        <w:t xml:space="preserve"> </w:t>
      </w:r>
      <w:r>
        <w:rPr>
          <w:rFonts w:ascii="宋体" w:hAnsi="宋体" w:eastAsia="宋体" w:cs="宋体"/>
          <w:spacing w:val="-2"/>
          <w:sz w:val="24"/>
          <w:szCs w:val="24"/>
        </w:rPr>
        <w:t>施工标准化指南》管理规定。凡任何技术指标达不到发包人要求或被发包人禁止进入本</w:t>
      </w:r>
    </w:p>
    <w:p>
      <w:pPr>
        <w:spacing w:before="1" w:line="218" w:lineRule="auto"/>
        <w:ind w:left="11"/>
        <w:rPr>
          <w:rFonts w:ascii="宋体" w:hAnsi="宋体" w:eastAsia="宋体" w:cs="宋体"/>
          <w:sz w:val="24"/>
          <w:szCs w:val="24"/>
        </w:rPr>
      </w:pPr>
      <w:r>
        <w:rPr>
          <w:rFonts w:ascii="宋体" w:hAnsi="宋体" w:eastAsia="宋体" w:cs="宋体"/>
          <w:spacing w:val="-1"/>
          <w:sz w:val="24"/>
          <w:szCs w:val="24"/>
        </w:rPr>
        <w:t>合同工程的材料、设备（或材料供应商</w:t>
      </w:r>
      <w:r>
        <w:rPr>
          <w:rFonts w:ascii="宋体" w:hAnsi="宋体" w:eastAsia="宋体" w:cs="宋体"/>
          <w:spacing w:val="9"/>
          <w:sz w:val="24"/>
          <w:szCs w:val="24"/>
        </w:rPr>
        <w:t>），</w:t>
      </w:r>
      <w:r>
        <w:rPr>
          <w:rFonts w:ascii="宋体" w:hAnsi="宋体" w:eastAsia="宋体" w:cs="宋体"/>
          <w:spacing w:val="-1"/>
          <w:sz w:val="24"/>
          <w:szCs w:val="24"/>
        </w:rPr>
        <w:t>承包人不得采购用于本项目。</w:t>
      </w:r>
    </w:p>
    <w:p>
      <w:pPr>
        <w:spacing w:before="181" w:line="219" w:lineRule="auto"/>
        <w:ind w:left="501"/>
        <w:rPr>
          <w:rFonts w:ascii="宋体" w:hAnsi="宋体" w:eastAsia="宋体" w:cs="宋体"/>
          <w:sz w:val="24"/>
          <w:szCs w:val="24"/>
        </w:rPr>
      </w:pPr>
      <w:r>
        <w:rPr>
          <w:rFonts w:ascii="宋体" w:hAnsi="宋体" w:eastAsia="宋体" w:cs="宋体"/>
          <w:spacing w:val="-2"/>
          <w:sz w:val="24"/>
          <w:szCs w:val="24"/>
        </w:rPr>
        <w:t>（2）统一供应材料的采购</w:t>
      </w:r>
    </w:p>
    <w:p>
      <w:pPr>
        <w:spacing w:before="184" w:line="465" w:lineRule="exact"/>
        <w:ind w:left="495"/>
        <w:rPr>
          <w:rFonts w:ascii="宋体" w:hAnsi="宋体" w:eastAsia="宋体" w:cs="宋体"/>
          <w:sz w:val="24"/>
          <w:szCs w:val="24"/>
        </w:rPr>
      </w:pPr>
      <w:r>
        <w:rPr>
          <w:rFonts w:ascii="宋体" w:hAnsi="宋体" w:eastAsia="宋体" w:cs="宋体"/>
          <w:spacing w:val="-2"/>
          <w:position w:val="17"/>
          <w:sz w:val="24"/>
          <w:szCs w:val="24"/>
        </w:rPr>
        <w:t>统一供应材料的品种详见附件十《统一采购供应材料一览表》，具体采购必须严格</w:t>
      </w:r>
    </w:p>
    <w:p>
      <w:pPr>
        <w:spacing w:before="1" w:line="219" w:lineRule="auto"/>
        <w:ind w:left="10"/>
        <w:rPr>
          <w:rFonts w:ascii="宋体" w:hAnsi="宋体" w:eastAsia="宋体" w:cs="宋体"/>
          <w:sz w:val="24"/>
          <w:szCs w:val="24"/>
        </w:rPr>
      </w:pPr>
      <w:r>
        <w:rPr>
          <w:rFonts w:ascii="宋体" w:hAnsi="宋体" w:eastAsia="宋体" w:cs="宋体"/>
          <w:spacing w:val="-1"/>
          <w:sz w:val="24"/>
          <w:szCs w:val="24"/>
        </w:rPr>
        <w:t>执行发包人的管理要求。</w:t>
      </w:r>
    </w:p>
    <w:p>
      <w:pPr>
        <w:spacing w:line="343" w:lineRule="auto"/>
        <w:rPr>
          <w:rFonts w:ascii="Arial"/>
          <w:sz w:val="21"/>
        </w:rPr>
      </w:pPr>
    </w:p>
    <w:p>
      <w:pPr>
        <w:spacing w:before="59" w:line="220" w:lineRule="auto"/>
        <w:ind w:left="7"/>
        <w:rPr>
          <w:rFonts w:ascii="宋体" w:hAnsi="宋体" w:eastAsia="宋体" w:cs="宋体"/>
          <w:sz w:val="18"/>
          <w:szCs w:val="18"/>
        </w:rPr>
      </w:pPr>
      <w:r>
        <w:rPr>
          <w:rFonts w:ascii="宋体" w:hAnsi="宋体" w:eastAsia="宋体" w:cs="宋体"/>
          <w:sz w:val="18"/>
          <w:szCs w:val="18"/>
        </w:rPr>
        <w:t>① 如采用甲控乙购等其他方式，该条款可由招标人根据项目的实际情况</w:t>
      </w:r>
      <w:r>
        <w:rPr>
          <w:rFonts w:ascii="宋体" w:hAnsi="宋体" w:eastAsia="宋体" w:cs="宋体"/>
          <w:spacing w:val="-1"/>
          <w:sz w:val="18"/>
          <w:szCs w:val="18"/>
        </w:rPr>
        <w:t>制定相应内容。</w:t>
      </w:r>
    </w:p>
    <w:p>
      <w:pPr>
        <w:spacing w:line="424" w:lineRule="auto"/>
        <w:rPr>
          <w:rFonts w:ascii="Arial"/>
          <w:sz w:val="21"/>
        </w:rPr>
      </w:pPr>
    </w:p>
    <w:p>
      <w:pPr>
        <w:spacing w:before="78" w:line="359" w:lineRule="auto"/>
        <w:ind w:left="5" w:right="291" w:firstLine="485"/>
        <w:rPr>
          <w:rFonts w:ascii="宋体" w:hAnsi="宋体" w:eastAsia="宋体" w:cs="宋体"/>
          <w:sz w:val="24"/>
          <w:szCs w:val="24"/>
        </w:rPr>
      </w:pPr>
      <w:r>
        <w:rPr>
          <w:rFonts w:ascii="宋体" w:hAnsi="宋体" w:eastAsia="宋体" w:cs="宋体"/>
          <w:spacing w:val="-2"/>
          <w:sz w:val="24"/>
          <w:szCs w:val="24"/>
        </w:rPr>
        <w:t>统一采购供应的材料，若采用发包人统一招标方式的，在发包人经招标确定统一供</w:t>
      </w:r>
      <w:r>
        <w:rPr>
          <w:rFonts w:ascii="宋体" w:hAnsi="宋体" w:eastAsia="宋体" w:cs="宋体"/>
          <w:spacing w:val="3"/>
          <w:sz w:val="24"/>
          <w:szCs w:val="24"/>
        </w:rPr>
        <w:t xml:space="preserve"> </w:t>
      </w:r>
      <w:r>
        <w:rPr>
          <w:rFonts w:ascii="宋体" w:hAnsi="宋体" w:eastAsia="宋体" w:cs="宋体"/>
          <w:spacing w:val="-2"/>
          <w:sz w:val="24"/>
          <w:szCs w:val="24"/>
        </w:rPr>
        <w:t>货品牌后，由承包人(材料使用方)与发包人、供货人（卖方）共同签订供货合同。承包</w:t>
      </w:r>
      <w:r>
        <w:rPr>
          <w:rFonts w:ascii="宋体" w:hAnsi="宋体" w:eastAsia="宋体" w:cs="宋体"/>
          <w:spacing w:val="14"/>
          <w:sz w:val="24"/>
          <w:szCs w:val="24"/>
        </w:rPr>
        <w:t xml:space="preserve"> </w:t>
      </w:r>
      <w:r>
        <w:rPr>
          <w:rFonts w:ascii="宋体" w:hAnsi="宋体" w:eastAsia="宋体" w:cs="宋体"/>
          <w:spacing w:val="-2"/>
          <w:sz w:val="24"/>
          <w:szCs w:val="24"/>
        </w:rPr>
        <w:t>人与卖方为实际的买卖双方，卖方根据承包人实际需求按计划供应材料并提供发票给承</w:t>
      </w:r>
      <w:r>
        <w:rPr>
          <w:rFonts w:ascii="宋体" w:hAnsi="宋体" w:eastAsia="宋体" w:cs="宋体"/>
          <w:spacing w:val="12"/>
          <w:sz w:val="24"/>
          <w:szCs w:val="24"/>
        </w:rPr>
        <w:t xml:space="preserve"> </w:t>
      </w:r>
      <w:r>
        <w:rPr>
          <w:rFonts w:ascii="宋体" w:hAnsi="宋体" w:eastAsia="宋体" w:cs="宋体"/>
          <w:spacing w:val="-2"/>
          <w:sz w:val="24"/>
          <w:szCs w:val="24"/>
        </w:rPr>
        <w:t>包人；发包人负责监督合同各方严格履行供货合同，由承包人按供货合同规定支付材料</w:t>
      </w:r>
      <w:r>
        <w:rPr>
          <w:rFonts w:ascii="宋体" w:hAnsi="宋体" w:eastAsia="宋体" w:cs="宋体"/>
          <w:spacing w:val="12"/>
          <w:sz w:val="24"/>
          <w:szCs w:val="24"/>
        </w:rPr>
        <w:t xml:space="preserve"> </w:t>
      </w:r>
      <w:r>
        <w:rPr>
          <w:rFonts w:ascii="宋体" w:hAnsi="宋体" w:eastAsia="宋体" w:cs="宋体"/>
          <w:spacing w:val="-2"/>
          <w:sz w:val="24"/>
          <w:szCs w:val="24"/>
        </w:rPr>
        <w:t>款给卖方或由由承包人委托发包人按供货合同规定代承包人支付材料款给卖方，统一采</w:t>
      </w:r>
    </w:p>
    <w:p>
      <w:pPr>
        <w:spacing w:line="218" w:lineRule="auto"/>
        <w:ind w:left="3"/>
        <w:rPr>
          <w:rFonts w:ascii="宋体" w:hAnsi="宋体" w:eastAsia="宋体" w:cs="宋体"/>
          <w:sz w:val="24"/>
          <w:szCs w:val="24"/>
        </w:rPr>
      </w:pPr>
      <w:r>
        <w:rPr>
          <w:rFonts w:ascii="宋体" w:hAnsi="宋体" w:eastAsia="宋体" w:cs="宋体"/>
          <w:spacing w:val="-1"/>
          <w:sz w:val="24"/>
          <w:szCs w:val="24"/>
        </w:rPr>
        <w:t>购供应的材料款由发包人按上述方式与承包人进行结算。</w:t>
      </w:r>
    </w:p>
    <w:p>
      <w:pPr>
        <w:spacing w:before="183" w:line="219" w:lineRule="auto"/>
        <w:ind w:left="484"/>
        <w:rPr>
          <w:rFonts w:ascii="宋体" w:hAnsi="宋体" w:eastAsia="宋体" w:cs="宋体"/>
          <w:sz w:val="24"/>
          <w:szCs w:val="24"/>
        </w:rPr>
      </w:pPr>
      <w:r>
        <w:rPr>
          <w:rFonts w:ascii="宋体" w:hAnsi="宋体" w:eastAsia="宋体" w:cs="宋体"/>
          <w:spacing w:val="-1"/>
          <w:sz w:val="24"/>
          <w:szCs w:val="24"/>
        </w:rPr>
        <w:t>对于此类材料的供货，还应满足以下规定：</w:t>
      </w:r>
    </w:p>
    <w:p>
      <w:pPr>
        <w:spacing w:before="182" w:line="359" w:lineRule="auto"/>
        <w:ind w:left="4" w:right="291" w:firstLine="480"/>
        <w:rPr>
          <w:rFonts w:ascii="宋体" w:hAnsi="宋体" w:eastAsia="宋体" w:cs="宋体"/>
          <w:sz w:val="24"/>
          <w:szCs w:val="24"/>
        </w:rPr>
      </w:pPr>
      <w:r>
        <w:rPr>
          <w:rFonts w:ascii="宋体" w:hAnsi="宋体" w:eastAsia="宋体" w:cs="宋体"/>
          <w:spacing w:val="-2"/>
          <w:sz w:val="24"/>
          <w:szCs w:val="24"/>
        </w:rPr>
        <w:t>①材料使用前，由承包人负责检验或试验，品种、规格、型号或质量与一览表不符</w:t>
      </w:r>
      <w:r>
        <w:rPr>
          <w:rFonts w:ascii="宋体" w:hAnsi="宋体" w:eastAsia="宋体" w:cs="宋体"/>
          <w:spacing w:val="9"/>
          <w:sz w:val="24"/>
          <w:szCs w:val="24"/>
        </w:rPr>
        <w:t xml:space="preserve"> </w:t>
      </w:r>
      <w:r>
        <w:rPr>
          <w:rFonts w:ascii="宋体" w:hAnsi="宋体" w:eastAsia="宋体" w:cs="宋体"/>
          <w:spacing w:val="-2"/>
          <w:sz w:val="24"/>
          <w:szCs w:val="24"/>
        </w:rPr>
        <w:t>的，承包人应及时报监理人及发包人处理；品种、规格或型号与一览表不符但质量经检</w:t>
      </w:r>
      <w:r>
        <w:rPr>
          <w:rFonts w:ascii="宋体" w:hAnsi="宋体" w:eastAsia="宋体" w:cs="宋体"/>
          <w:spacing w:val="13"/>
          <w:sz w:val="24"/>
          <w:szCs w:val="24"/>
        </w:rPr>
        <w:t xml:space="preserve"> </w:t>
      </w:r>
      <w:r>
        <w:rPr>
          <w:rFonts w:ascii="宋体" w:hAnsi="宋体" w:eastAsia="宋体" w:cs="宋体"/>
          <w:spacing w:val="-2"/>
          <w:sz w:val="24"/>
          <w:szCs w:val="24"/>
        </w:rPr>
        <w:t>验合格的，经监理人同意，可调剂串换使用。若上述不符是属于承包人责任造成的，则</w:t>
      </w:r>
    </w:p>
    <w:p>
      <w:pPr>
        <w:spacing w:before="1" w:line="219" w:lineRule="auto"/>
        <w:ind w:left="24"/>
        <w:rPr>
          <w:rFonts w:ascii="宋体" w:hAnsi="宋体" w:eastAsia="宋体" w:cs="宋体"/>
          <w:sz w:val="24"/>
          <w:szCs w:val="24"/>
        </w:rPr>
      </w:pPr>
      <w:r>
        <w:rPr>
          <w:rFonts w:ascii="宋体" w:hAnsi="宋体" w:eastAsia="宋体" w:cs="宋体"/>
          <w:spacing w:val="-2"/>
          <w:sz w:val="24"/>
          <w:szCs w:val="24"/>
        </w:rPr>
        <w:t>因此而增加的相应费用由承包人承担。</w:t>
      </w:r>
    </w:p>
    <w:p>
      <w:pPr>
        <w:spacing w:before="180" w:line="468" w:lineRule="exact"/>
        <w:ind w:left="483"/>
        <w:rPr>
          <w:rFonts w:ascii="宋体" w:hAnsi="宋体" w:eastAsia="宋体" w:cs="宋体"/>
          <w:sz w:val="24"/>
          <w:szCs w:val="24"/>
        </w:rPr>
      </w:pPr>
      <w:r>
        <w:rPr>
          <w:rFonts w:ascii="宋体" w:hAnsi="宋体" w:eastAsia="宋体" w:cs="宋体"/>
          <w:spacing w:val="-2"/>
          <w:position w:val="17"/>
          <w:sz w:val="24"/>
          <w:szCs w:val="24"/>
        </w:rPr>
        <w:t>②为恰当和正确地使用、安装和实施这些材料和工程设备所必需的但一览表中未列</w:t>
      </w:r>
    </w:p>
    <w:p>
      <w:pPr>
        <w:spacing w:before="1" w:line="217" w:lineRule="auto"/>
        <w:ind w:left="27"/>
        <w:rPr>
          <w:rFonts w:ascii="宋体" w:hAnsi="宋体" w:eastAsia="宋体" w:cs="宋体"/>
          <w:sz w:val="24"/>
          <w:szCs w:val="24"/>
        </w:rPr>
      </w:pPr>
      <w:r>
        <w:rPr>
          <w:rFonts w:ascii="宋体" w:hAnsi="宋体" w:eastAsia="宋体" w:cs="宋体"/>
          <w:spacing w:val="-1"/>
          <w:sz w:val="24"/>
          <w:szCs w:val="24"/>
        </w:rPr>
        <w:t>明的其他任何辅助性材料以及人工费均已经包含在承包人的合同价款中。</w:t>
      </w:r>
    </w:p>
    <w:p>
      <w:pPr>
        <w:spacing w:before="185" w:line="359" w:lineRule="auto"/>
        <w:ind w:left="5" w:right="291" w:firstLine="478"/>
        <w:rPr>
          <w:rFonts w:ascii="宋体" w:hAnsi="宋体" w:eastAsia="宋体" w:cs="宋体"/>
          <w:sz w:val="24"/>
          <w:szCs w:val="24"/>
        </w:rPr>
      </w:pPr>
      <w:r>
        <w:rPr>
          <w:rFonts w:ascii="宋体" w:hAnsi="宋体" w:eastAsia="宋体" w:cs="宋体"/>
          <w:spacing w:val="5"/>
          <w:sz w:val="24"/>
          <w:szCs w:val="24"/>
        </w:rPr>
        <w:t>③当月的材料款根据合同附表中的统一采购供应材料单价和承包人与供应商当月</w:t>
      </w:r>
      <w:r>
        <w:rPr>
          <w:rFonts w:ascii="宋体" w:hAnsi="宋体" w:eastAsia="宋体" w:cs="宋体"/>
          <w:spacing w:val="1"/>
          <w:sz w:val="24"/>
          <w:szCs w:val="24"/>
        </w:rPr>
        <w:t xml:space="preserve"> </w:t>
      </w:r>
      <w:r>
        <w:rPr>
          <w:rFonts w:ascii="宋体" w:hAnsi="宋体" w:eastAsia="宋体" w:cs="宋体"/>
          <w:spacing w:val="-2"/>
          <w:sz w:val="24"/>
          <w:szCs w:val="24"/>
        </w:rPr>
        <w:t>签认的材料签收数量进行计算，原则上当月的材料款应在下个月的计量支付中扣除。根</w:t>
      </w:r>
    </w:p>
    <w:p>
      <w:pPr>
        <w:spacing w:before="1" w:line="218" w:lineRule="auto"/>
        <w:ind w:left="4"/>
        <w:rPr>
          <w:rFonts w:ascii="宋体" w:hAnsi="宋体" w:eastAsia="宋体" w:cs="宋体"/>
          <w:sz w:val="24"/>
          <w:szCs w:val="24"/>
        </w:rPr>
      </w:pPr>
      <w:r>
        <w:rPr>
          <w:rFonts w:ascii="宋体" w:hAnsi="宋体" w:eastAsia="宋体" w:cs="宋体"/>
          <w:sz w:val="24"/>
          <w:szCs w:val="24"/>
        </w:rPr>
        <w:t>据实际情况，在确保工程款不超付的情况下允许推迟不超</w:t>
      </w:r>
      <w:r>
        <w:rPr>
          <w:rFonts w:ascii="宋体" w:hAnsi="宋体" w:eastAsia="宋体" w:cs="宋体"/>
          <w:spacing w:val="-1"/>
          <w:sz w:val="24"/>
          <w:szCs w:val="24"/>
        </w:rPr>
        <w:t>过三个月扣回材料款。</w:t>
      </w:r>
    </w:p>
    <w:p>
      <w:pPr>
        <w:spacing w:before="182" w:line="359" w:lineRule="auto"/>
        <w:ind w:left="5" w:right="192" w:firstLine="478"/>
        <w:rPr>
          <w:rFonts w:ascii="宋体" w:hAnsi="宋体" w:eastAsia="宋体" w:cs="宋体"/>
          <w:sz w:val="24"/>
          <w:szCs w:val="24"/>
        </w:rPr>
      </w:pPr>
      <w:r>
        <w:rPr>
          <w:rFonts w:ascii="宋体" w:hAnsi="宋体" w:eastAsia="宋体" w:cs="宋体"/>
          <w:spacing w:val="-5"/>
          <w:sz w:val="24"/>
          <w:szCs w:val="24"/>
        </w:rPr>
        <w:t>④承包人承担工程全部完工后，如统一供应</w:t>
      </w:r>
      <w:r>
        <w:rPr>
          <w:rFonts w:ascii="宋体" w:hAnsi="宋体" w:eastAsia="宋体" w:cs="宋体"/>
          <w:spacing w:val="-6"/>
          <w:sz w:val="24"/>
          <w:szCs w:val="24"/>
        </w:rPr>
        <w:t>材料实际用量与按设计图纸（包括变更）</w:t>
      </w:r>
      <w:r>
        <w:rPr>
          <w:rFonts w:ascii="宋体" w:hAnsi="宋体" w:eastAsia="宋体" w:cs="宋体"/>
          <w:sz w:val="24"/>
          <w:szCs w:val="24"/>
        </w:rPr>
        <w:t xml:space="preserve"> </w:t>
      </w:r>
      <w:r>
        <w:rPr>
          <w:rFonts w:ascii="宋体" w:hAnsi="宋体" w:eastAsia="宋体" w:cs="宋体"/>
          <w:spacing w:val="1"/>
          <w:sz w:val="24"/>
          <w:szCs w:val="24"/>
        </w:rPr>
        <w:t>计算的理论用量（含合理损耗）偏差超过</w:t>
      </w:r>
      <w:r>
        <w:rPr>
          <w:rFonts w:ascii="宋体" w:hAnsi="宋体" w:eastAsia="宋体" w:cs="宋体"/>
          <w:spacing w:val="-43"/>
          <w:sz w:val="24"/>
          <w:szCs w:val="24"/>
        </w:rPr>
        <w:t xml:space="preserve"> </w:t>
      </w:r>
      <w:r>
        <w:rPr>
          <w:rFonts w:ascii="宋体" w:hAnsi="宋体" w:eastAsia="宋体" w:cs="宋体"/>
          <w:spacing w:val="1"/>
          <w:sz w:val="24"/>
          <w:szCs w:val="24"/>
        </w:rPr>
        <w:t>5%（石油沥青、改</w:t>
      </w:r>
      <w:r>
        <w:rPr>
          <w:rFonts w:ascii="宋体" w:hAnsi="宋体" w:eastAsia="宋体" w:cs="宋体"/>
          <w:sz w:val="24"/>
          <w:szCs w:val="24"/>
        </w:rPr>
        <w:t>性沥青为</w:t>
      </w:r>
      <w:r>
        <w:rPr>
          <w:rFonts w:ascii="宋体" w:hAnsi="宋体" w:eastAsia="宋体" w:cs="宋体"/>
          <w:spacing w:val="-48"/>
          <w:sz w:val="24"/>
          <w:szCs w:val="24"/>
        </w:rPr>
        <w:t xml:space="preserve"> </w:t>
      </w:r>
      <w:r>
        <w:rPr>
          <w:rFonts w:ascii="宋体" w:hAnsi="宋体" w:eastAsia="宋体" w:cs="宋体"/>
          <w:sz w:val="24"/>
          <w:szCs w:val="24"/>
        </w:rPr>
        <w:t>2%）而无法提供</w:t>
      </w:r>
    </w:p>
    <w:p>
      <w:pPr>
        <w:spacing w:before="1" w:line="217" w:lineRule="auto"/>
        <w:ind w:left="6"/>
        <w:rPr>
          <w:rFonts w:ascii="宋体" w:hAnsi="宋体" w:eastAsia="宋体" w:cs="宋体"/>
          <w:sz w:val="24"/>
          <w:szCs w:val="24"/>
        </w:rPr>
      </w:pPr>
      <w:r>
        <w:rPr>
          <w:rFonts w:ascii="宋体" w:hAnsi="宋体" w:eastAsia="宋体" w:cs="宋体"/>
          <w:spacing w:val="-1"/>
          <w:sz w:val="24"/>
          <w:szCs w:val="24"/>
        </w:rPr>
        <w:t>合理解释的，发包人有权对承包人处以偏差部分</w:t>
      </w:r>
      <w:r>
        <w:rPr>
          <w:rFonts w:ascii="宋体" w:hAnsi="宋体" w:eastAsia="宋体" w:cs="宋体"/>
          <w:spacing w:val="-33"/>
          <w:sz w:val="24"/>
          <w:szCs w:val="24"/>
        </w:rPr>
        <w:t xml:space="preserve"> </w:t>
      </w:r>
      <w:r>
        <w:rPr>
          <w:rFonts w:ascii="宋体" w:hAnsi="宋体" w:eastAsia="宋体" w:cs="宋体"/>
          <w:spacing w:val="-1"/>
          <w:sz w:val="24"/>
          <w:szCs w:val="24"/>
        </w:rPr>
        <w:t>100％</w:t>
      </w:r>
      <w:r>
        <w:rPr>
          <w:rFonts w:ascii="宋体" w:hAnsi="宋体" w:eastAsia="宋体" w:cs="宋体"/>
          <w:spacing w:val="-2"/>
          <w:sz w:val="24"/>
          <w:szCs w:val="24"/>
        </w:rPr>
        <w:t>价值的违约金。</w:t>
      </w:r>
    </w:p>
    <w:p>
      <w:pPr>
        <w:spacing w:before="184" w:line="219" w:lineRule="auto"/>
        <w:ind w:left="496"/>
        <w:rPr>
          <w:rFonts w:ascii="宋体" w:hAnsi="宋体" w:eastAsia="宋体" w:cs="宋体"/>
          <w:sz w:val="24"/>
          <w:szCs w:val="24"/>
        </w:rPr>
      </w:pPr>
      <w:r>
        <w:rPr>
          <w:rFonts w:ascii="宋体" w:hAnsi="宋体" w:eastAsia="宋体" w:cs="宋体"/>
          <w:spacing w:val="-3"/>
          <w:sz w:val="24"/>
          <w:szCs w:val="24"/>
        </w:rPr>
        <w:t>（3）其他主材的采购</w:t>
      </w:r>
    </w:p>
    <w:p>
      <w:pPr>
        <w:spacing w:before="181" w:line="468" w:lineRule="exact"/>
        <w:ind w:left="499"/>
        <w:rPr>
          <w:rFonts w:ascii="宋体" w:hAnsi="宋体" w:eastAsia="宋体" w:cs="宋体"/>
          <w:sz w:val="24"/>
          <w:szCs w:val="24"/>
        </w:rPr>
      </w:pPr>
      <w:r>
        <w:rPr>
          <w:rFonts w:ascii="宋体" w:hAnsi="宋体" w:eastAsia="宋体" w:cs="宋体"/>
          <w:spacing w:val="2"/>
          <w:position w:val="17"/>
          <w:sz w:val="24"/>
          <w:szCs w:val="24"/>
        </w:rPr>
        <w:t>除统一供应材料以外的主材，承包人可自行决定采购方式。在开始采购前至少</w:t>
      </w:r>
      <w:r>
        <w:rPr>
          <w:rFonts w:ascii="宋体" w:hAnsi="宋体" w:eastAsia="宋体" w:cs="宋体"/>
          <w:spacing w:val="-30"/>
          <w:position w:val="17"/>
          <w:sz w:val="24"/>
          <w:szCs w:val="24"/>
        </w:rPr>
        <w:t xml:space="preserve"> </w:t>
      </w:r>
      <w:r>
        <w:rPr>
          <w:rFonts w:ascii="宋体" w:hAnsi="宋体" w:eastAsia="宋体" w:cs="宋体"/>
          <w:spacing w:val="2"/>
          <w:position w:val="17"/>
          <w:sz w:val="24"/>
          <w:szCs w:val="24"/>
        </w:rPr>
        <w:t>28</w:t>
      </w:r>
    </w:p>
    <w:p>
      <w:pPr>
        <w:spacing w:before="1" w:line="218" w:lineRule="auto"/>
        <w:ind w:left="10"/>
        <w:rPr>
          <w:rFonts w:ascii="宋体" w:hAnsi="宋体" w:eastAsia="宋体" w:cs="宋体"/>
          <w:sz w:val="24"/>
          <w:szCs w:val="24"/>
        </w:rPr>
      </w:pPr>
      <w:r>
        <w:rPr>
          <w:rFonts w:ascii="宋体" w:hAnsi="宋体" w:eastAsia="宋体" w:cs="宋体"/>
          <w:sz w:val="24"/>
          <w:szCs w:val="24"/>
        </w:rPr>
        <w:t>天，承包人应将采购方案报监理人审批，并严格执</w:t>
      </w:r>
      <w:r>
        <w:rPr>
          <w:rFonts w:ascii="宋体" w:hAnsi="宋体" w:eastAsia="宋体" w:cs="宋体"/>
          <w:spacing w:val="-1"/>
          <w:sz w:val="24"/>
          <w:szCs w:val="24"/>
        </w:rPr>
        <w:t>行发包人有关材料管理的各项要求。</w:t>
      </w:r>
    </w:p>
    <w:p>
      <w:pPr>
        <w:spacing w:before="181" w:line="219" w:lineRule="auto"/>
        <w:ind w:left="496"/>
        <w:rPr>
          <w:rFonts w:ascii="宋体" w:hAnsi="宋体" w:eastAsia="宋体" w:cs="宋体"/>
          <w:sz w:val="24"/>
          <w:szCs w:val="24"/>
        </w:rPr>
      </w:pPr>
      <w:r>
        <w:rPr>
          <w:rFonts w:ascii="宋体" w:hAnsi="宋体" w:eastAsia="宋体" w:cs="宋体"/>
          <w:spacing w:val="-3"/>
          <w:sz w:val="24"/>
          <w:szCs w:val="24"/>
        </w:rPr>
        <w:t>（4）工程地材的采购</w:t>
      </w:r>
    </w:p>
    <w:p>
      <w:pPr>
        <w:spacing w:before="184" w:line="359" w:lineRule="auto"/>
        <w:ind w:left="6" w:right="291" w:firstLine="478"/>
        <w:rPr>
          <w:rFonts w:ascii="宋体" w:hAnsi="宋体" w:eastAsia="宋体" w:cs="宋体"/>
          <w:sz w:val="24"/>
          <w:szCs w:val="24"/>
        </w:rPr>
      </w:pPr>
      <w:r>
        <w:rPr>
          <w:rFonts w:ascii="宋体" w:hAnsi="宋体" w:eastAsia="宋体" w:cs="宋体"/>
          <w:spacing w:val="-2"/>
          <w:sz w:val="24"/>
          <w:szCs w:val="24"/>
        </w:rPr>
        <w:t>对于工程施工所需地材（碎石、砂等</w:t>
      </w:r>
      <w:r>
        <w:rPr>
          <w:rFonts w:ascii="宋体" w:hAnsi="宋体" w:eastAsia="宋体" w:cs="宋体"/>
          <w:spacing w:val="2"/>
          <w:sz w:val="24"/>
          <w:szCs w:val="24"/>
        </w:rPr>
        <w:t>），</w:t>
      </w:r>
      <w:r>
        <w:rPr>
          <w:rFonts w:ascii="宋体" w:hAnsi="宋体" w:eastAsia="宋体" w:cs="宋体"/>
          <w:spacing w:val="-2"/>
          <w:sz w:val="24"/>
          <w:szCs w:val="24"/>
        </w:rPr>
        <w:t>承包人可自行决定采购方式。在主要地材</w:t>
      </w:r>
      <w:r>
        <w:rPr>
          <w:rFonts w:ascii="宋体" w:hAnsi="宋体" w:eastAsia="宋体" w:cs="宋体"/>
          <w:spacing w:val="1"/>
          <w:sz w:val="24"/>
          <w:szCs w:val="24"/>
        </w:rPr>
        <w:t xml:space="preserve"> 开始采购前至少</w:t>
      </w:r>
      <w:r>
        <w:rPr>
          <w:rFonts w:ascii="宋体" w:hAnsi="宋体" w:eastAsia="宋体" w:cs="宋体"/>
          <w:spacing w:val="-48"/>
          <w:sz w:val="24"/>
          <w:szCs w:val="24"/>
        </w:rPr>
        <w:t xml:space="preserve"> </w:t>
      </w:r>
      <w:r>
        <w:rPr>
          <w:rFonts w:ascii="宋体" w:hAnsi="宋体" w:eastAsia="宋体" w:cs="宋体"/>
          <w:spacing w:val="1"/>
          <w:sz w:val="24"/>
          <w:szCs w:val="24"/>
        </w:rPr>
        <w:t>28</w:t>
      </w:r>
      <w:r>
        <w:rPr>
          <w:rFonts w:ascii="宋体" w:hAnsi="宋体" w:eastAsia="宋体" w:cs="宋体"/>
          <w:spacing w:val="-43"/>
          <w:sz w:val="24"/>
          <w:szCs w:val="24"/>
        </w:rPr>
        <w:t xml:space="preserve"> </w:t>
      </w:r>
      <w:r>
        <w:rPr>
          <w:rFonts w:ascii="宋体" w:hAnsi="宋体" w:eastAsia="宋体" w:cs="宋体"/>
          <w:spacing w:val="1"/>
          <w:sz w:val="24"/>
          <w:szCs w:val="24"/>
        </w:rPr>
        <w:t>天，承包人应将采购方案（包括采</w:t>
      </w:r>
      <w:r>
        <w:rPr>
          <w:rFonts w:ascii="宋体" w:hAnsi="宋体" w:eastAsia="宋体" w:cs="宋体"/>
          <w:sz w:val="24"/>
          <w:szCs w:val="24"/>
        </w:rPr>
        <w:t>购地材的品种和数量、供应商的</w:t>
      </w:r>
    </w:p>
    <w:p>
      <w:pPr>
        <w:spacing w:before="1" w:line="218" w:lineRule="auto"/>
        <w:ind w:left="8"/>
        <w:rPr>
          <w:rFonts w:ascii="宋体" w:hAnsi="宋体" w:eastAsia="宋体" w:cs="宋体"/>
          <w:sz w:val="24"/>
          <w:szCs w:val="24"/>
        </w:rPr>
      </w:pPr>
      <w:r>
        <w:rPr>
          <w:rFonts w:ascii="宋体" w:hAnsi="宋体" w:eastAsia="宋体" w:cs="宋体"/>
          <w:sz w:val="24"/>
          <w:szCs w:val="24"/>
        </w:rPr>
        <w:t>名单、选择该供应商的理由、质量证明文件</w:t>
      </w:r>
      <w:r>
        <w:rPr>
          <w:rFonts w:ascii="宋体" w:hAnsi="宋体" w:eastAsia="宋体" w:cs="宋体"/>
          <w:spacing w:val="-1"/>
          <w:sz w:val="24"/>
          <w:szCs w:val="24"/>
        </w:rPr>
        <w:t>、供货计划等）报监理人审批。</w:t>
      </w:r>
    </w:p>
    <w:p>
      <w:pPr>
        <w:spacing w:before="181" w:line="468" w:lineRule="exact"/>
        <w:ind w:left="485"/>
        <w:rPr>
          <w:rFonts w:ascii="宋体" w:hAnsi="宋体" w:eastAsia="宋体" w:cs="宋体"/>
          <w:sz w:val="24"/>
          <w:szCs w:val="24"/>
        </w:rPr>
      </w:pPr>
      <w:r>
        <w:rPr>
          <w:rFonts w:ascii="宋体" w:hAnsi="宋体" w:eastAsia="宋体" w:cs="宋体"/>
          <w:position w:val="17"/>
          <w:sz w:val="24"/>
          <w:szCs w:val="24"/>
        </w:rPr>
        <w:t>承包人必须通过合法的方式获取石源和砂源，应确保材料</w:t>
      </w:r>
      <w:r>
        <w:rPr>
          <w:rFonts w:ascii="宋体" w:hAnsi="宋体" w:eastAsia="宋体" w:cs="宋体"/>
          <w:spacing w:val="-1"/>
          <w:position w:val="17"/>
          <w:sz w:val="24"/>
          <w:szCs w:val="24"/>
        </w:rPr>
        <w:t>的合法来源及品质要求，</w:t>
      </w:r>
    </w:p>
    <w:p>
      <w:pPr>
        <w:spacing w:before="1" w:line="218" w:lineRule="auto"/>
        <w:ind w:left="4"/>
        <w:rPr>
          <w:rFonts w:ascii="宋体" w:hAnsi="宋体" w:eastAsia="宋体" w:cs="宋体"/>
          <w:sz w:val="24"/>
          <w:szCs w:val="24"/>
        </w:rPr>
      </w:pPr>
      <w:r>
        <w:rPr>
          <w:rFonts w:ascii="宋体" w:hAnsi="宋体" w:eastAsia="宋体" w:cs="宋体"/>
          <w:spacing w:val="-1"/>
          <w:sz w:val="24"/>
          <w:szCs w:val="24"/>
        </w:rPr>
        <w:t>对材料的运输方式、供应强度及运距等自行测算并承担风险。</w:t>
      </w:r>
    </w:p>
    <w:p>
      <w:pPr>
        <w:spacing w:before="181" w:line="219" w:lineRule="auto"/>
        <w:ind w:left="496"/>
        <w:rPr>
          <w:rFonts w:ascii="宋体" w:hAnsi="宋体" w:eastAsia="宋体" w:cs="宋体"/>
          <w:sz w:val="24"/>
          <w:szCs w:val="24"/>
        </w:rPr>
      </w:pPr>
      <w:r>
        <w:rPr>
          <w:rFonts w:ascii="宋体" w:hAnsi="宋体" w:eastAsia="宋体" w:cs="宋体"/>
          <w:spacing w:val="-2"/>
          <w:sz w:val="24"/>
          <w:szCs w:val="24"/>
        </w:rPr>
        <w:t>（5）其他材料和工程设备的采购</w:t>
      </w:r>
    </w:p>
    <w:p>
      <w:pPr>
        <w:spacing w:before="183" w:line="219" w:lineRule="auto"/>
        <w:ind w:left="499"/>
        <w:rPr>
          <w:rFonts w:ascii="宋体" w:hAnsi="宋体" w:eastAsia="宋体" w:cs="宋体"/>
          <w:sz w:val="24"/>
          <w:szCs w:val="24"/>
        </w:rPr>
      </w:pPr>
      <w:r>
        <w:rPr>
          <w:rFonts w:ascii="宋体" w:hAnsi="宋体" w:eastAsia="宋体" w:cs="宋体"/>
          <w:spacing w:val="-1"/>
          <w:sz w:val="24"/>
          <w:szCs w:val="24"/>
        </w:rPr>
        <w:t>除以上（1</w:t>
      </w:r>
      <w:r>
        <w:rPr>
          <w:rFonts w:ascii="宋体" w:hAnsi="宋体" w:eastAsia="宋体" w:cs="宋体"/>
          <w:spacing w:val="-15"/>
          <w:sz w:val="24"/>
          <w:szCs w:val="24"/>
        </w:rPr>
        <w:t>）～（</w:t>
      </w:r>
      <w:r>
        <w:rPr>
          <w:rFonts w:ascii="宋体" w:hAnsi="宋体" w:eastAsia="宋体" w:cs="宋体"/>
          <w:spacing w:val="-1"/>
          <w:sz w:val="24"/>
          <w:szCs w:val="24"/>
        </w:rPr>
        <w:t>5）条之外的其他材料和工程设备，承包人应将选定的各项材料和</w:t>
      </w:r>
    </w:p>
    <w:p>
      <w:pPr>
        <w:spacing w:line="425" w:lineRule="auto"/>
        <w:rPr>
          <w:rFonts w:ascii="Arial"/>
          <w:sz w:val="21"/>
        </w:rPr>
      </w:pPr>
      <w:r>
        <mc:AlternateContent>
          <mc:Choice Requires="wps">
            <w:drawing>
              <wp:anchor distT="0" distB="0" distL="114300" distR="114300" simplePos="0" relativeHeight="251668480" behindDoc="0" locked="0" layoutInCell="0" allowOverlap="1">
                <wp:simplePos x="0" y="0"/>
                <wp:positionH relativeFrom="page">
                  <wp:posOffset>899795</wp:posOffset>
                </wp:positionH>
                <wp:positionV relativeFrom="page">
                  <wp:posOffset>9566910</wp:posOffset>
                </wp:positionV>
                <wp:extent cx="1828800" cy="0"/>
                <wp:effectExtent l="4445" t="4445" r="5080" b="5080"/>
                <wp:wrapNone/>
                <wp:docPr id="87" name="任意多边形 87"/>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3.3pt;height:0pt;width:144pt;mso-position-horizontal-relative:page;mso-position-vertical-relative:page;z-index:251668480;mso-width-relative:page;mso-height-relative:page;" filled="f" stroked="t" coordsize="2880,1" o:allowincell="f" o:gfxdata="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SM2cJ1wAAAA0BAAAPAAAAAAAAAAEAIAAAACIAAABkcnMvZG93bnJldi54bWxQSwECFAAUAAAA&#10;CACHTuJAjLlK8CgCAACJBAAADgAAAAAAAAABACAAAAAmAQAAZHJzL2Uyb0RvYy54bWxQSwUGAAAA&#10;AAYABgBZAQAAwAUAAAAA&#10;" path="m0,0l2880,0e">
                <v:fill on="f" focussize="0,0"/>
                <v:stroke weight="0pt" color="#000000" joinstyle="bevel" endcap="square"/>
                <v:imagedata o:title=""/>
                <o:lock v:ext="edit" aspectratio="f"/>
              </v:shape>
            </w:pict>
          </mc:Fallback>
        </mc:AlternateContent>
      </w:r>
    </w:p>
    <w:p>
      <w:pPr>
        <w:spacing w:before="78" w:line="466" w:lineRule="exact"/>
        <w:ind w:left="11"/>
        <w:rPr>
          <w:rFonts w:ascii="宋体" w:hAnsi="宋体" w:eastAsia="宋体" w:cs="宋体"/>
          <w:sz w:val="24"/>
          <w:szCs w:val="24"/>
        </w:rPr>
      </w:pPr>
      <w:r>
        <w:rPr>
          <w:rFonts w:ascii="宋体" w:hAnsi="宋体" w:eastAsia="宋体" w:cs="宋体"/>
          <w:spacing w:val="-2"/>
          <w:position w:val="17"/>
          <w:sz w:val="24"/>
          <w:szCs w:val="24"/>
        </w:rPr>
        <w:t>工程设备的供应商及品种、规格、质量证明文件、数量和供货计划等报送监理人和发包</w:t>
      </w:r>
    </w:p>
    <w:p>
      <w:pPr>
        <w:spacing w:line="220" w:lineRule="auto"/>
        <w:ind w:left="10"/>
        <w:rPr>
          <w:rFonts w:ascii="宋体" w:hAnsi="宋体" w:eastAsia="宋体" w:cs="宋体"/>
          <w:sz w:val="24"/>
          <w:szCs w:val="24"/>
        </w:rPr>
      </w:pPr>
      <w:r>
        <w:rPr>
          <w:rFonts w:ascii="宋体" w:hAnsi="宋体" w:eastAsia="宋体" w:cs="宋体"/>
          <w:spacing w:val="-3"/>
          <w:sz w:val="24"/>
          <w:szCs w:val="24"/>
        </w:rPr>
        <w:t>人核备。</w:t>
      </w:r>
    </w:p>
    <w:p>
      <w:pPr>
        <w:spacing w:before="181" w:line="466" w:lineRule="exact"/>
        <w:ind w:left="499"/>
        <w:rPr>
          <w:rFonts w:ascii="宋体" w:hAnsi="宋体" w:eastAsia="宋体" w:cs="宋体"/>
          <w:sz w:val="24"/>
          <w:szCs w:val="24"/>
        </w:rPr>
      </w:pPr>
      <w:r>
        <w:rPr>
          <w:rFonts w:ascii="宋体" w:hAnsi="宋体" w:eastAsia="宋体" w:cs="宋体"/>
          <w:spacing w:val="1"/>
          <w:position w:val="17"/>
          <w:sz w:val="24"/>
          <w:szCs w:val="24"/>
        </w:rPr>
        <w:t>（6）监理人和发包人对承包人采购材料和工程设备的审批、核备、监督等并不免</w:t>
      </w:r>
    </w:p>
    <w:p>
      <w:pPr>
        <w:spacing w:line="219" w:lineRule="auto"/>
        <w:ind w:left="22"/>
        <w:rPr>
          <w:rFonts w:ascii="宋体" w:hAnsi="宋体" w:eastAsia="宋体" w:cs="宋体"/>
          <w:sz w:val="24"/>
          <w:szCs w:val="24"/>
        </w:rPr>
      </w:pPr>
      <w:r>
        <w:rPr>
          <w:rFonts w:ascii="宋体" w:hAnsi="宋体" w:eastAsia="宋体" w:cs="宋体"/>
          <w:spacing w:val="-3"/>
          <w:sz w:val="24"/>
          <w:szCs w:val="24"/>
        </w:rPr>
        <w:t>除承包人的责任。</w:t>
      </w:r>
    </w:p>
    <w:p>
      <w:pPr>
        <w:spacing w:before="183" w:line="359" w:lineRule="auto"/>
        <w:ind w:left="31" w:right="291" w:firstLine="467"/>
        <w:rPr>
          <w:rFonts w:ascii="宋体" w:hAnsi="宋体" w:eastAsia="宋体" w:cs="宋体"/>
          <w:sz w:val="24"/>
          <w:szCs w:val="24"/>
        </w:rPr>
      </w:pPr>
      <w:r>
        <w:rPr>
          <w:rFonts w:ascii="宋体" w:hAnsi="宋体" w:eastAsia="宋体" w:cs="宋体"/>
          <w:spacing w:val="1"/>
          <w:sz w:val="24"/>
          <w:szCs w:val="24"/>
        </w:rPr>
        <w:t>（7）如果承包人采购的材料或设备是进口的，则承包人应向监理人提供由中华人</w:t>
      </w:r>
      <w:r>
        <w:rPr>
          <w:rFonts w:ascii="宋体" w:hAnsi="宋体" w:eastAsia="宋体" w:cs="宋体"/>
          <w:spacing w:val="9"/>
          <w:sz w:val="24"/>
          <w:szCs w:val="24"/>
        </w:rPr>
        <w:t xml:space="preserve"> </w:t>
      </w:r>
      <w:r>
        <w:rPr>
          <w:rFonts w:ascii="宋体" w:hAnsi="宋体" w:eastAsia="宋体" w:cs="宋体"/>
          <w:spacing w:val="-2"/>
          <w:sz w:val="24"/>
          <w:szCs w:val="24"/>
        </w:rPr>
        <w:t>民共和国进出口商品检验检疫部门出具的检验证书，证明该材</w:t>
      </w:r>
      <w:r>
        <w:rPr>
          <w:rFonts w:ascii="宋体" w:hAnsi="宋体" w:eastAsia="宋体" w:cs="宋体"/>
          <w:spacing w:val="-3"/>
          <w:sz w:val="24"/>
          <w:szCs w:val="24"/>
        </w:rPr>
        <w:t>料或设备的质量、规格及</w:t>
      </w:r>
    </w:p>
    <w:p>
      <w:pPr>
        <w:spacing w:line="219" w:lineRule="auto"/>
        <w:ind w:left="9"/>
        <w:rPr>
          <w:rFonts w:ascii="宋体" w:hAnsi="宋体" w:eastAsia="宋体" w:cs="宋体"/>
          <w:sz w:val="24"/>
          <w:szCs w:val="24"/>
        </w:rPr>
      </w:pPr>
      <w:r>
        <w:rPr>
          <w:rFonts w:ascii="宋体" w:hAnsi="宋体" w:eastAsia="宋体" w:cs="宋体"/>
          <w:sz w:val="24"/>
          <w:szCs w:val="24"/>
        </w:rPr>
        <w:t>其他指标符合设计及技术规范要求，否则发包</w:t>
      </w:r>
      <w:r>
        <w:rPr>
          <w:rFonts w:ascii="宋体" w:hAnsi="宋体" w:eastAsia="宋体" w:cs="宋体"/>
          <w:spacing w:val="-1"/>
          <w:sz w:val="24"/>
          <w:szCs w:val="24"/>
        </w:rPr>
        <w:t>人有权向承包人提出索赔。</w:t>
      </w:r>
    </w:p>
    <w:p>
      <w:pPr>
        <w:spacing w:before="181" w:line="359" w:lineRule="auto"/>
        <w:ind w:left="10" w:right="291" w:firstLine="489"/>
        <w:rPr>
          <w:rFonts w:ascii="宋体" w:hAnsi="宋体" w:eastAsia="宋体" w:cs="宋体"/>
          <w:sz w:val="24"/>
          <w:szCs w:val="24"/>
        </w:rPr>
      </w:pPr>
      <w:r>
        <w:rPr>
          <w:rFonts w:ascii="宋体" w:hAnsi="宋体" w:eastAsia="宋体" w:cs="宋体"/>
          <w:sz w:val="24"/>
          <w:szCs w:val="24"/>
        </w:rPr>
        <w:t>（8）为最大限度确保本合同工程的施工质量，满足工程施工机械</w:t>
      </w:r>
      <w:r>
        <w:rPr>
          <w:rFonts w:ascii="宋体" w:hAnsi="宋体" w:eastAsia="宋体" w:cs="宋体"/>
          <w:spacing w:val="-1"/>
          <w:sz w:val="24"/>
          <w:szCs w:val="24"/>
        </w:rPr>
        <w:t>化、</w:t>
      </w:r>
      <w:r>
        <w:rPr>
          <w:rFonts w:ascii="宋体" w:hAnsi="宋体" w:eastAsia="宋体" w:cs="宋体"/>
          <w:spacing w:val="-68"/>
          <w:sz w:val="24"/>
          <w:szCs w:val="24"/>
        </w:rPr>
        <w:t xml:space="preserve"> </w:t>
      </w:r>
      <w:r>
        <w:rPr>
          <w:rFonts w:ascii="宋体" w:hAnsi="宋体" w:eastAsia="宋体" w:cs="宋体"/>
          <w:spacing w:val="-1"/>
          <w:sz w:val="24"/>
          <w:szCs w:val="24"/>
        </w:rPr>
        <w:t>自动化的要</w:t>
      </w:r>
      <w:r>
        <w:rPr>
          <w:rFonts w:ascii="宋体" w:hAnsi="宋体" w:eastAsia="宋体" w:cs="宋体"/>
          <w:sz w:val="24"/>
          <w:szCs w:val="24"/>
        </w:rPr>
        <w:t xml:space="preserve"> </w:t>
      </w:r>
      <w:r>
        <w:rPr>
          <w:rFonts w:ascii="宋体" w:hAnsi="宋体" w:eastAsia="宋体" w:cs="宋体"/>
          <w:spacing w:val="-2"/>
          <w:sz w:val="24"/>
          <w:szCs w:val="24"/>
        </w:rPr>
        <w:t>求，在合同履行过程中，发包人将结合国内桥梁、隧道等工程施工现状，以及工程实际</w:t>
      </w:r>
      <w:r>
        <w:rPr>
          <w:rFonts w:ascii="宋体" w:hAnsi="宋体" w:eastAsia="宋体" w:cs="宋体"/>
          <w:spacing w:val="10"/>
          <w:sz w:val="24"/>
          <w:szCs w:val="24"/>
        </w:rPr>
        <w:t xml:space="preserve"> </w:t>
      </w:r>
      <w:r>
        <w:rPr>
          <w:rFonts w:ascii="宋体" w:hAnsi="宋体" w:eastAsia="宋体" w:cs="宋体"/>
          <w:spacing w:val="-2"/>
          <w:sz w:val="24"/>
          <w:szCs w:val="24"/>
        </w:rPr>
        <w:t>需要，对部分施工流程或工艺等提出特殊的设备要求，由此所增加的设备购置费或租赁</w:t>
      </w:r>
    </w:p>
    <w:p>
      <w:pPr>
        <w:spacing w:before="1" w:line="217" w:lineRule="auto"/>
        <w:ind w:left="21"/>
        <w:rPr>
          <w:rFonts w:ascii="宋体" w:hAnsi="宋体" w:eastAsia="宋体" w:cs="宋体"/>
          <w:sz w:val="24"/>
          <w:szCs w:val="24"/>
        </w:rPr>
      </w:pPr>
      <w:r>
        <w:rPr>
          <w:rFonts w:ascii="宋体" w:hAnsi="宋体" w:eastAsia="宋体" w:cs="宋体"/>
          <w:spacing w:val="-1"/>
          <w:sz w:val="24"/>
          <w:szCs w:val="24"/>
        </w:rPr>
        <w:t>费用已包含在合同总价中，发包人不另行支付（除合同另有约定外）。</w:t>
      </w:r>
    </w:p>
    <w:p>
      <w:pPr>
        <w:spacing w:before="183" w:line="220" w:lineRule="auto"/>
        <w:ind w:left="489"/>
        <w:rPr>
          <w:rFonts w:ascii="宋体" w:hAnsi="宋体" w:eastAsia="宋体" w:cs="宋体"/>
          <w:sz w:val="24"/>
          <w:szCs w:val="24"/>
        </w:rPr>
      </w:pPr>
      <w:r>
        <w:rPr>
          <w:rFonts w:ascii="宋体" w:hAnsi="宋体" w:eastAsia="宋体" w:cs="宋体"/>
          <w:spacing w:val="-4"/>
          <w:sz w:val="24"/>
          <w:szCs w:val="24"/>
        </w:rPr>
        <w:t>增加</w:t>
      </w:r>
      <w:r>
        <w:rPr>
          <w:rFonts w:ascii="宋体" w:hAnsi="宋体" w:eastAsia="宋体" w:cs="宋体"/>
          <w:spacing w:val="20"/>
          <w:sz w:val="24"/>
          <w:szCs w:val="24"/>
        </w:rPr>
        <w:t xml:space="preserve"> </w:t>
      </w:r>
      <w:r>
        <w:rPr>
          <w:rFonts w:ascii="宋体" w:hAnsi="宋体" w:eastAsia="宋体" w:cs="宋体"/>
          <w:spacing w:val="-4"/>
          <w:sz w:val="24"/>
          <w:szCs w:val="24"/>
        </w:rPr>
        <w:t>5.1.3</w:t>
      </w:r>
      <w:r>
        <w:rPr>
          <w:rFonts w:ascii="宋体" w:hAnsi="宋体" w:eastAsia="宋体" w:cs="宋体"/>
          <w:spacing w:val="13"/>
          <w:sz w:val="24"/>
          <w:szCs w:val="24"/>
        </w:rPr>
        <w:t xml:space="preserve"> </w:t>
      </w:r>
      <w:r>
        <w:rPr>
          <w:rFonts w:ascii="宋体" w:hAnsi="宋体" w:eastAsia="宋体" w:cs="宋体"/>
          <w:spacing w:val="-4"/>
          <w:sz w:val="24"/>
          <w:szCs w:val="24"/>
        </w:rPr>
        <w:t>项</w:t>
      </w:r>
    </w:p>
    <w:p>
      <w:pPr>
        <w:spacing w:before="181" w:line="219" w:lineRule="auto"/>
        <w:ind w:left="488"/>
        <w:rPr>
          <w:rFonts w:ascii="宋体" w:hAnsi="宋体" w:eastAsia="宋体" w:cs="宋体"/>
          <w:sz w:val="24"/>
          <w:szCs w:val="24"/>
        </w:rPr>
      </w:pPr>
      <w:r>
        <w:rPr>
          <w:rFonts w:ascii="宋体" w:hAnsi="宋体" w:eastAsia="宋体" w:cs="宋体"/>
          <w:sz w:val="24"/>
          <w:szCs w:val="24"/>
        </w:rPr>
        <w:t>承包人采购的材料应得到发包人和监理人的同意，</w:t>
      </w:r>
      <w:r>
        <w:rPr>
          <w:rFonts w:ascii="宋体" w:hAnsi="宋体" w:eastAsia="宋体" w:cs="宋体"/>
          <w:spacing w:val="-1"/>
          <w:sz w:val="24"/>
          <w:szCs w:val="24"/>
        </w:rPr>
        <w:t>经检验合格后方可使用。</w:t>
      </w:r>
    </w:p>
    <w:p>
      <w:pPr>
        <w:spacing w:before="183" w:line="359" w:lineRule="auto"/>
        <w:ind w:left="10" w:right="291" w:firstLine="479"/>
        <w:rPr>
          <w:rFonts w:ascii="宋体" w:hAnsi="宋体" w:eastAsia="宋体" w:cs="宋体"/>
          <w:sz w:val="24"/>
          <w:szCs w:val="24"/>
        </w:rPr>
      </w:pPr>
      <w:r>
        <w:rPr>
          <w:rFonts w:ascii="宋体" w:hAnsi="宋体" w:eastAsia="宋体" w:cs="宋体"/>
          <w:spacing w:val="-2"/>
          <w:sz w:val="24"/>
          <w:szCs w:val="24"/>
        </w:rPr>
        <w:t>监理人征得发包人同意后，有权要求承包人更换不符合要求的料场，承包人必须无</w:t>
      </w:r>
      <w:r>
        <w:rPr>
          <w:rFonts w:ascii="宋体" w:hAnsi="宋体" w:eastAsia="宋体" w:cs="宋体"/>
          <w:spacing w:val="7"/>
          <w:sz w:val="24"/>
          <w:szCs w:val="24"/>
        </w:rPr>
        <w:t xml:space="preserve"> </w:t>
      </w:r>
      <w:r>
        <w:rPr>
          <w:rFonts w:ascii="宋体" w:hAnsi="宋体" w:eastAsia="宋体" w:cs="宋体"/>
          <w:spacing w:val="-2"/>
          <w:sz w:val="24"/>
          <w:szCs w:val="24"/>
        </w:rPr>
        <w:t>条件接受。承包人采购的材料设备与设计或标准要求不符时，承包人应按监理人要求的</w:t>
      </w:r>
      <w:r>
        <w:rPr>
          <w:rFonts w:ascii="宋体" w:hAnsi="宋体" w:eastAsia="宋体" w:cs="宋体"/>
          <w:spacing w:val="10"/>
          <w:sz w:val="24"/>
          <w:szCs w:val="24"/>
        </w:rPr>
        <w:t xml:space="preserve"> </w:t>
      </w:r>
      <w:r>
        <w:rPr>
          <w:rFonts w:ascii="宋体" w:hAnsi="宋体" w:eastAsia="宋体" w:cs="宋体"/>
          <w:spacing w:val="-2"/>
          <w:sz w:val="24"/>
          <w:szCs w:val="24"/>
        </w:rPr>
        <w:t>时间运出施工场地，重新采购符合要求的产品，由此发生的费用均由承包人承担，引起</w:t>
      </w:r>
    </w:p>
    <w:p>
      <w:pPr>
        <w:spacing w:line="220" w:lineRule="auto"/>
        <w:ind w:left="28"/>
        <w:rPr>
          <w:rFonts w:ascii="宋体" w:hAnsi="宋体" w:eastAsia="宋体" w:cs="宋体"/>
          <w:sz w:val="24"/>
          <w:szCs w:val="24"/>
        </w:rPr>
      </w:pPr>
      <w:r>
        <w:rPr>
          <w:rFonts w:ascii="宋体" w:hAnsi="宋体" w:eastAsia="宋体" w:cs="宋体"/>
          <w:spacing w:val="-3"/>
          <w:sz w:val="24"/>
          <w:szCs w:val="24"/>
        </w:rPr>
        <w:t>的工期延误不予顺延工期。</w:t>
      </w:r>
    </w:p>
    <w:p>
      <w:pPr>
        <w:spacing w:before="179" w:line="219" w:lineRule="auto"/>
        <w:ind w:left="489"/>
        <w:rPr>
          <w:rFonts w:ascii="宋体" w:hAnsi="宋体" w:eastAsia="宋体" w:cs="宋体"/>
          <w:sz w:val="24"/>
          <w:szCs w:val="24"/>
        </w:rPr>
      </w:pPr>
      <w:r>
        <w:rPr>
          <w:rFonts w:ascii="宋体" w:hAnsi="宋体" w:eastAsia="宋体" w:cs="宋体"/>
          <w:spacing w:val="-4"/>
          <w:sz w:val="24"/>
          <w:szCs w:val="24"/>
        </w:rPr>
        <w:t>本款补充第</w:t>
      </w:r>
      <w:r>
        <w:rPr>
          <w:rFonts w:ascii="宋体" w:hAnsi="宋体" w:eastAsia="宋体" w:cs="宋体"/>
          <w:spacing w:val="-32"/>
          <w:sz w:val="24"/>
          <w:szCs w:val="24"/>
        </w:rPr>
        <w:t xml:space="preserve"> </w:t>
      </w:r>
      <w:r>
        <w:rPr>
          <w:rFonts w:ascii="宋体" w:hAnsi="宋体" w:eastAsia="宋体" w:cs="宋体"/>
          <w:spacing w:val="-4"/>
          <w:sz w:val="24"/>
          <w:szCs w:val="24"/>
        </w:rPr>
        <w:t>5.1.4</w:t>
      </w:r>
      <w:r>
        <w:rPr>
          <w:rFonts w:ascii="宋体" w:hAnsi="宋体" w:eastAsia="宋体" w:cs="宋体"/>
          <w:spacing w:val="-47"/>
          <w:sz w:val="24"/>
          <w:szCs w:val="24"/>
        </w:rPr>
        <w:t xml:space="preserve"> </w:t>
      </w:r>
      <w:r>
        <w:rPr>
          <w:rFonts w:ascii="宋体" w:hAnsi="宋体" w:eastAsia="宋体" w:cs="宋体"/>
          <w:spacing w:val="-4"/>
          <w:sz w:val="24"/>
          <w:szCs w:val="24"/>
        </w:rPr>
        <w:t>项、第</w:t>
      </w:r>
      <w:r>
        <w:rPr>
          <w:rFonts w:ascii="宋体" w:hAnsi="宋体" w:eastAsia="宋体" w:cs="宋体"/>
          <w:spacing w:val="-46"/>
          <w:sz w:val="24"/>
          <w:szCs w:val="24"/>
        </w:rPr>
        <w:t xml:space="preserve"> </w:t>
      </w:r>
      <w:r>
        <w:rPr>
          <w:rFonts w:ascii="宋体" w:hAnsi="宋体" w:eastAsia="宋体" w:cs="宋体"/>
          <w:spacing w:val="-4"/>
          <w:sz w:val="24"/>
          <w:szCs w:val="24"/>
        </w:rPr>
        <w:t>5.1.5</w:t>
      </w:r>
      <w:r>
        <w:rPr>
          <w:rFonts w:ascii="宋体" w:hAnsi="宋体" w:eastAsia="宋体" w:cs="宋体"/>
          <w:spacing w:val="-47"/>
          <w:sz w:val="24"/>
          <w:szCs w:val="24"/>
        </w:rPr>
        <w:t xml:space="preserve"> </w:t>
      </w:r>
      <w:r>
        <w:rPr>
          <w:rFonts w:ascii="宋体" w:hAnsi="宋体" w:eastAsia="宋体" w:cs="宋体"/>
          <w:spacing w:val="-4"/>
          <w:sz w:val="24"/>
          <w:szCs w:val="24"/>
        </w:rPr>
        <w:t>项：</w:t>
      </w:r>
    </w:p>
    <w:p>
      <w:pPr>
        <w:spacing w:before="184" w:line="468" w:lineRule="exact"/>
        <w:ind w:left="493"/>
        <w:rPr>
          <w:rFonts w:ascii="宋体" w:hAnsi="宋体" w:eastAsia="宋体" w:cs="宋体"/>
          <w:sz w:val="24"/>
          <w:szCs w:val="24"/>
        </w:rPr>
      </w:pPr>
      <w:r>
        <w:rPr>
          <w:rFonts w:ascii="宋体" w:hAnsi="宋体" w:eastAsia="宋体" w:cs="宋体"/>
          <w:spacing w:val="-2"/>
          <w:position w:val="17"/>
          <w:sz w:val="24"/>
          <w:szCs w:val="24"/>
        </w:rPr>
        <w:t>5.1.4 项目的部分材料或设备如采用甲控乙购方式管理的，承包人应按照发包人明</w:t>
      </w:r>
    </w:p>
    <w:p>
      <w:pPr>
        <w:spacing w:before="1" w:line="218" w:lineRule="auto"/>
        <w:ind w:left="8"/>
        <w:rPr>
          <w:rFonts w:ascii="宋体" w:hAnsi="宋体" w:eastAsia="宋体" w:cs="宋体"/>
          <w:sz w:val="24"/>
          <w:szCs w:val="24"/>
        </w:rPr>
      </w:pPr>
      <w:r>
        <w:rPr>
          <w:rFonts w:ascii="宋体" w:hAnsi="宋体" w:eastAsia="宋体" w:cs="宋体"/>
          <w:spacing w:val="-6"/>
          <w:sz w:val="24"/>
          <w:szCs w:val="24"/>
        </w:rPr>
        <w:t>确的甲控乙购材料或设备品种（详见《甲控乙购材料一览表》）</w:t>
      </w:r>
      <w:r>
        <w:rPr>
          <w:rFonts w:ascii="宋体" w:hAnsi="宋体" w:eastAsia="宋体" w:cs="宋体"/>
          <w:spacing w:val="-63"/>
          <w:sz w:val="24"/>
          <w:szCs w:val="24"/>
        </w:rPr>
        <w:t xml:space="preserve"> </w:t>
      </w:r>
      <w:r>
        <w:rPr>
          <w:rFonts w:ascii="宋体" w:hAnsi="宋体" w:eastAsia="宋体" w:cs="宋体"/>
          <w:spacing w:val="-6"/>
          <w:sz w:val="24"/>
          <w:szCs w:val="24"/>
        </w:rPr>
        <w:t>、技术指</w:t>
      </w:r>
      <w:r>
        <w:rPr>
          <w:rFonts w:ascii="宋体" w:hAnsi="宋体" w:eastAsia="宋体" w:cs="宋体"/>
          <w:spacing w:val="-7"/>
          <w:sz w:val="24"/>
          <w:szCs w:val="24"/>
        </w:rPr>
        <w:t>标及质量要求、</w:t>
      </w:r>
    </w:p>
    <w:p>
      <w:pPr>
        <w:spacing w:before="146" w:line="466" w:lineRule="exact"/>
        <w:ind w:left="7"/>
        <w:rPr>
          <w:rFonts w:ascii="宋体" w:hAnsi="宋体" w:eastAsia="宋体" w:cs="宋体"/>
          <w:sz w:val="12"/>
          <w:szCs w:val="12"/>
        </w:rPr>
      </w:pPr>
      <w:r>
        <w:rPr>
          <w:rFonts w:ascii="宋体" w:hAnsi="宋体" w:eastAsia="宋体" w:cs="宋体"/>
          <w:spacing w:val="-1"/>
          <w:position w:val="4"/>
          <w:sz w:val="24"/>
          <w:szCs w:val="24"/>
        </w:rPr>
        <w:t>采购方式和管理要求进行采购。</w:t>
      </w:r>
      <w:r>
        <w:fldChar w:fldCharType="begin"/>
      </w:r>
      <w:r>
        <w:instrText xml:space="preserve"> HYPERLINK \l "bookmark155" </w:instrText>
      </w:r>
      <w:r>
        <w:fldChar w:fldCharType="separate"/>
      </w:r>
      <w:r>
        <w:rPr>
          <w:rFonts w:ascii="宋体" w:hAnsi="宋体" w:eastAsia="宋体" w:cs="宋体"/>
          <w:spacing w:val="-1"/>
          <w:position w:val="16"/>
          <w:sz w:val="12"/>
          <w:szCs w:val="12"/>
        </w:rPr>
        <w:t>①</w:t>
      </w:r>
      <w:r>
        <w:rPr>
          <w:rFonts w:ascii="宋体" w:hAnsi="宋体" w:eastAsia="宋体" w:cs="宋体"/>
          <w:spacing w:val="-1"/>
          <w:position w:val="16"/>
          <w:sz w:val="12"/>
          <w:szCs w:val="12"/>
        </w:rPr>
        <w:fldChar w:fldCharType="end"/>
      </w:r>
    </w:p>
    <w:p>
      <w:pPr>
        <w:spacing w:before="36" w:line="219" w:lineRule="auto"/>
        <w:ind w:left="493"/>
        <w:rPr>
          <w:rFonts w:ascii="宋体" w:hAnsi="宋体" w:eastAsia="宋体" w:cs="宋体"/>
          <w:sz w:val="24"/>
          <w:szCs w:val="24"/>
        </w:rPr>
      </w:pPr>
      <w:r>
        <w:rPr>
          <w:rFonts w:ascii="宋体" w:hAnsi="宋体" w:eastAsia="宋体" w:cs="宋体"/>
          <w:spacing w:val="-1"/>
          <w:sz w:val="24"/>
          <w:szCs w:val="24"/>
        </w:rPr>
        <w:t>5.1.5 材料的防护、标识和可追溯性</w:t>
      </w:r>
    </w:p>
    <w:p>
      <w:pPr>
        <w:spacing w:before="182" w:line="360" w:lineRule="auto"/>
        <w:ind w:left="8" w:right="278" w:firstLine="480"/>
        <w:rPr>
          <w:rFonts w:ascii="宋体" w:hAnsi="宋体" w:eastAsia="宋体" w:cs="宋体"/>
          <w:sz w:val="24"/>
          <w:szCs w:val="24"/>
        </w:rPr>
      </w:pPr>
      <w:r>
        <w:rPr>
          <w:rFonts w:ascii="宋体" w:hAnsi="宋体" w:eastAsia="宋体" w:cs="宋体"/>
          <w:spacing w:val="-2"/>
          <w:sz w:val="24"/>
          <w:szCs w:val="24"/>
        </w:rPr>
        <w:t>承包人应根据材料特性对材料的运输、储存和保管的方法予以规定和执行，防止材</w:t>
      </w:r>
      <w:r>
        <w:rPr>
          <w:rFonts w:ascii="宋体" w:hAnsi="宋体" w:eastAsia="宋体" w:cs="宋体"/>
          <w:spacing w:val="8"/>
          <w:sz w:val="24"/>
          <w:szCs w:val="24"/>
        </w:rPr>
        <w:t xml:space="preserve"> </w:t>
      </w:r>
      <w:r>
        <w:rPr>
          <w:rFonts w:ascii="宋体" w:hAnsi="宋体" w:eastAsia="宋体" w:cs="宋体"/>
          <w:spacing w:val="-1"/>
          <w:sz w:val="24"/>
          <w:szCs w:val="24"/>
        </w:rPr>
        <w:t>料发生损坏、混淆、变质和受到污染。各种原材料、半成</w:t>
      </w:r>
      <w:r>
        <w:rPr>
          <w:rFonts w:ascii="宋体" w:hAnsi="宋体" w:eastAsia="宋体" w:cs="宋体"/>
          <w:spacing w:val="-2"/>
          <w:sz w:val="24"/>
          <w:szCs w:val="24"/>
        </w:rPr>
        <w:t>品的储存方式及所用的仓库、</w:t>
      </w:r>
    </w:p>
    <w:p>
      <w:pPr>
        <w:spacing w:line="219" w:lineRule="auto"/>
        <w:ind w:left="7"/>
        <w:rPr>
          <w:rFonts w:ascii="宋体" w:hAnsi="宋体" w:eastAsia="宋体" w:cs="宋体"/>
          <w:sz w:val="24"/>
          <w:szCs w:val="24"/>
        </w:rPr>
      </w:pPr>
      <w:r>
        <w:rPr>
          <w:rFonts w:ascii="宋体" w:hAnsi="宋体" w:eastAsia="宋体" w:cs="宋体"/>
          <w:spacing w:val="-1"/>
          <w:sz w:val="24"/>
          <w:szCs w:val="24"/>
        </w:rPr>
        <w:t>储罐、场地等应提前得到监理人的同意和确认。</w:t>
      </w:r>
    </w:p>
    <w:p>
      <w:pPr>
        <w:spacing w:before="181" w:line="465" w:lineRule="exact"/>
        <w:ind w:left="488"/>
        <w:rPr>
          <w:rFonts w:ascii="宋体" w:hAnsi="宋体" w:eastAsia="宋体" w:cs="宋体"/>
          <w:sz w:val="24"/>
          <w:szCs w:val="24"/>
        </w:rPr>
      </w:pPr>
      <w:r>
        <w:rPr>
          <w:rFonts w:ascii="宋体" w:hAnsi="宋体" w:eastAsia="宋体" w:cs="宋体"/>
          <w:spacing w:val="-2"/>
          <w:position w:val="17"/>
          <w:sz w:val="24"/>
          <w:szCs w:val="24"/>
        </w:rPr>
        <w:t>承包人应对材料的种类、特性和检验状态进行标识，确保每批材料保持良好状态并</w:t>
      </w:r>
    </w:p>
    <w:p>
      <w:pPr>
        <w:spacing w:before="1" w:line="218" w:lineRule="auto"/>
        <w:ind w:left="17"/>
        <w:rPr>
          <w:rFonts w:ascii="宋体" w:hAnsi="宋体" w:eastAsia="宋体" w:cs="宋体"/>
          <w:sz w:val="24"/>
          <w:szCs w:val="24"/>
        </w:rPr>
      </w:pPr>
      <w:r>
        <w:rPr>
          <w:rFonts w:ascii="宋体" w:hAnsi="宋体" w:eastAsia="宋体" w:cs="宋体"/>
          <w:spacing w:val="-1"/>
          <w:sz w:val="24"/>
          <w:szCs w:val="24"/>
        </w:rPr>
        <w:t>能追溯到采购日期、供应商和相关的质量证明文件。</w:t>
      </w:r>
    </w:p>
    <w:p>
      <w:pPr>
        <w:spacing w:before="184" w:line="466" w:lineRule="exact"/>
        <w:ind w:left="488"/>
        <w:rPr>
          <w:rFonts w:ascii="宋体" w:hAnsi="宋体" w:eastAsia="宋体" w:cs="宋体"/>
          <w:sz w:val="24"/>
          <w:szCs w:val="24"/>
        </w:rPr>
      </w:pPr>
      <w:r>
        <w:rPr>
          <w:rFonts w:ascii="宋体" w:hAnsi="宋体" w:eastAsia="宋体" w:cs="宋体"/>
          <w:spacing w:val="-2"/>
          <w:position w:val="17"/>
          <w:sz w:val="24"/>
          <w:szCs w:val="24"/>
        </w:rPr>
        <w:t>承包人在施工现场应建立原材料的进出场台帐、质量检验和质量跟踪台帐。其内容</w:t>
      </w:r>
    </w:p>
    <w:p>
      <w:pPr>
        <w:spacing w:line="218" w:lineRule="auto"/>
        <w:ind w:left="8"/>
        <w:rPr>
          <w:rFonts w:ascii="宋体" w:hAnsi="宋体" w:eastAsia="宋体" w:cs="宋体"/>
          <w:sz w:val="24"/>
          <w:szCs w:val="24"/>
        </w:rPr>
      </w:pPr>
      <w:r>
        <w:rPr>
          <w:rFonts w:ascii="宋体" w:hAnsi="宋体" w:eastAsia="宋体" w:cs="宋体"/>
          <w:spacing w:val="-2"/>
          <w:sz w:val="24"/>
          <w:szCs w:val="24"/>
        </w:rPr>
        <w:t>应包括进货日期、材料名称、品种、规格、数量、生产单位、供货单位、质量证明书编</w:t>
      </w:r>
    </w:p>
    <w:p>
      <w:pPr>
        <w:spacing w:line="344" w:lineRule="auto"/>
        <w:rPr>
          <w:rFonts w:ascii="Arial"/>
          <w:sz w:val="21"/>
        </w:rPr>
      </w:pPr>
    </w:p>
    <w:p>
      <w:pPr>
        <w:spacing w:before="60" w:line="220" w:lineRule="auto"/>
        <w:ind w:left="5"/>
        <w:rPr>
          <w:rFonts w:ascii="宋体" w:hAnsi="宋体" w:eastAsia="宋体" w:cs="宋体"/>
          <w:sz w:val="18"/>
          <w:szCs w:val="18"/>
        </w:rPr>
      </w:pPr>
      <w:r>
        <w:rPr>
          <w:rFonts w:ascii="宋体" w:hAnsi="宋体" w:eastAsia="宋体" w:cs="宋体"/>
          <w:sz w:val="18"/>
          <w:szCs w:val="18"/>
        </w:rPr>
        <w:t>① 该条款由招标人细化相关规定；若工程主材采用承包人联合招标方式的，需在该条款中</w:t>
      </w:r>
      <w:r>
        <w:rPr>
          <w:rFonts w:ascii="宋体" w:hAnsi="宋体" w:eastAsia="宋体" w:cs="宋体"/>
          <w:spacing w:val="-1"/>
          <w:sz w:val="18"/>
          <w:szCs w:val="18"/>
        </w:rPr>
        <w:t>明确具体要求。</w:t>
      </w:r>
    </w:p>
    <w:p>
      <w:pPr>
        <w:spacing w:line="425" w:lineRule="auto"/>
        <w:rPr>
          <w:rFonts w:ascii="Arial"/>
          <w:sz w:val="21"/>
        </w:rPr>
      </w:pPr>
    </w:p>
    <w:p>
      <w:pPr>
        <w:spacing w:before="78" w:line="218" w:lineRule="auto"/>
        <w:ind w:left="11"/>
        <w:rPr>
          <w:rFonts w:ascii="宋体" w:hAnsi="宋体" w:eastAsia="宋体" w:cs="宋体"/>
          <w:sz w:val="24"/>
          <w:szCs w:val="24"/>
        </w:rPr>
      </w:pPr>
      <w:r>
        <w:rPr>
          <w:rFonts w:ascii="宋体" w:hAnsi="宋体" w:eastAsia="宋体" w:cs="宋体"/>
          <w:spacing w:val="-1"/>
          <w:sz w:val="24"/>
          <w:szCs w:val="24"/>
        </w:rPr>
        <w:t>号、复试检验报告编号、检验结果和所用的工程部位等。</w:t>
      </w:r>
    </w:p>
    <w:p>
      <w:pPr>
        <w:spacing w:before="181" w:line="219" w:lineRule="auto"/>
        <w:ind w:left="490"/>
        <w:rPr>
          <w:rFonts w:ascii="宋体" w:hAnsi="宋体" w:eastAsia="宋体" w:cs="宋体"/>
          <w:sz w:val="24"/>
          <w:szCs w:val="24"/>
        </w:rPr>
      </w:pPr>
      <w:r>
        <w:rPr>
          <w:rFonts w:ascii="宋体" w:hAnsi="宋体" w:eastAsia="宋体" w:cs="宋体"/>
          <w:spacing w:val="-1"/>
          <w:sz w:val="24"/>
          <w:szCs w:val="24"/>
        </w:rPr>
        <w:t>5.2 发包人提供的材料和工程设备</w:t>
      </w:r>
    </w:p>
    <w:p>
      <w:pPr>
        <w:spacing w:before="183" w:line="220" w:lineRule="auto"/>
        <w:ind w:left="490"/>
        <w:rPr>
          <w:rFonts w:ascii="宋体" w:hAnsi="宋体" w:eastAsia="宋体" w:cs="宋体"/>
          <w:sz w:val="24"/>
          <w:szCs w:val="24"/>
        </w:rPr>
      </w:pPr>
      <w:r>
        <w:rPr>
          <w:rFonts w:ascii="宋体" w:hAnsi="宋体" w:eastAsia="宋体" w:cs="宋体"/>
          <w:spacing w:val="-3"/>
          <w:sz w:val="24"/>
          <w:szCs w:val="24"/>
        </w:rPr>
        <w:t>5.2.1</w:t>
      </w:r>
      <w:r>
        <w:rPr>
          <w:rFonts w:ascii="宋体" w:hAnsi="宋体" w:eastAsia="宋体" w:cs="宋体"/>
          <w:spacing w:val="-46"/>
          <w:sz w:val="24"/>
          <w:szCs w:val="24"/>
        </w:rPr>
        <w:t xml:space="preserve"> </w:t>
      </w:r>
      <w:r>
        <w:rPr>
          <w:rFonts w:ascii="宋体" w:hAnsi="宋体" w:eastAsia="宋体" w:cs="宋体"/>
          <w:spacing w:val="-3"/>
          <w:sz w:val="24"/>
          <w:szCs w:val="24"/>
        </w:rPr>
        <w:t>项细化为：</w:t>
      </w:r>
    </w:p>
    <w:p>
      <w:pPr>
        <w:spacing w:before="181" w:line="359" w:lineRule="auto"/>
        <w:ind w:left="6" w:right="291" w:firstLine="503"/>
        <w:rPr>
          <w:rFonts w:ascii="宋体" w:hAnsi="宋体" w:eastAsia="宋体" w:cs="宋体"/>
          <w:sz w:val="24"/>
          <w:szCs w:val="24"/>
        </w:rPr>
      </w:pPr>
      <w:r>
        <w:rPr>
          <w:rFonts w:ascii="宋体" w:hAnsi="宋体" w:eastAsia="宋体" w:cs="宋体"/>
          <w:spacing w:val="-1"/>
          <w:sz w:val="24"/>
          <w:szCs w:val="24"/>
        </w:rPr>
        <w:t>5.2.1</w:t>
      </w:r>
      <w:r>
        <w:rPr>
          <w:rFonts w:ascii="宋体" w:hAnsi="宋体" w:eastAsia="宋体" w:cs="宋体"/>
          <w:spacing w:val="-47"/>
          <w:sz w:val="24"/>
          <w:szCs w:val="24"/>
        </w:rPr>
        <w:t xml:space="preserve"> </w:t>
      </w:r>
      <w:r>
        <w:rPr>
          <w:rFonts w:ascii="宋体" w:hAnsi="宋体" w:eastAsia="宋体" w:cs="宋体"/>
          <w:spacing w:val="-1"/>
          <w:sz w:val="24"/>
          <w:szCs w:val="24"/>
        </w:rPr>
        <w:t>为确保本项目的建设质量，发包人将</w:t>
      </w:r>
      <w:r>
        <w:rPr>
          <w:rFonts w:ascii="宋体" w:hAnsi="宋体" w:eastAsia="宋体" w:cs="宋体"/>
          <w:spacing w:val="-2"/>
          <w:sz w:val="24"/>
          <w:szCs w:val="24"/>
        </w:rPr>
        <w:t>按</w:t>
      </w:r>
      <w:r>
        <w:rPr>
          <w:rFonts w:ascii="宋体" w:hAnsi="宋体" w:eastAsia="宋体" w:cs="宋体"/>
          <w:spacing w:val="-52"/>
          <w:sz w:val="24"/>
          <w:szCs w:val="24"/>
        </w:rPr>
        <w:t xml:space="preserve"> </w:t>
      </w:r>
      <w:r>
        <w:rPr>
          <w:rFonts w:ascii="宋体" w:hAnsi="宋体" w:eastAsia="宋体" w:cs="宋体"/>
          <w:spacing w:val="-2"/>
          <w:sz w:val="24"/>
          <w:szCs w:val="24"/>
        </w:rPr>
        <w:t>4.3.8</w:t>
      </w:r>
      <w:r>
        <w:rPr>
          <w:rFonts w:ascii="宋体" w:hAnsi="宋体" w:eastAsia="宋体" w:cs="宋体"/>
          <w:spacing w:val="-50"/>
          <w:sz w:val="24"/>
          <w:szCs w:val="24"/>
        </w:rPr>
        <w:t xml:space="preserve"> </w:t>
      </w:r>
      <w:r>
        <w:rPr>
          <w:rFonts w:ascii="宋体" w:hAnsi="宋体" w:eastAsia="宋体" w:cs="宋体"/>
          <w:spacing w:val="-2"/>
          <w:sz w:val="24"/>
          <w:szCs w:val="24"/>
        </w:rPr>
        <w:t>款关于特殊分包人或供货人的</w:t>
      </w:r>
      <w:r>
        <w:rPr>
          <w:rFonts w:ascii="宋体" w:hAnsi="宋体" w:eastAsia="宋体" w:cs="宋体"/>
          <w:sz w:val="24"/>
          <w:szCs w:val="24"/>
        </w:rPr>
        <w:t xml:space="preserve"> </w:t>
      </w:r>
      <w:r>
        <w:rPr>
          <w:rFonts w:ascii="宋体" w:hAnsi="宋体" w:eastAsia="宋体" w:cs="宋体"/>
          <w:spacing w:val="-2"/>
          <w:sz w:val="24"/>
          <w:szCs w:val="24"/>
        </w:rPr>
        <w:t>规定，将本合同附件九《特殊材料设备供应一览表》（下称一览表）规定的材料设备通</w:t>
      </w:r>
      <w:r>
        <w:rPr>
          <w:rFonts w:ascii="宋体" w:hAnsi="宋体" w:eastAsia="宋体" w:cs="宋体"/>
          <w:spacing w:val="11"/>
          <w:sz w:val="24"/>
          <w:szCs w:val="24"/>
        </w:rPr>
        <w:t xml:space="preserve"> </w:t>
      </w:r>
      <w:r>
        <w:rPr>
          <w:rFonts w:ascii="宋体" w:hAnsi="宋体" w:eastAsia="宋体" w:cs="宋体"/>
          <w:spacing w:val="-2"/>
          <w:sz w:val="24"/>
          <w:szCs w:val="24"/>
        </w:rPr>
        <w:t>过招标方式选定材料设备供货人。材料设备供货人将按表列的价格向承包人提供材料设</w:t>
      </w:r>
    </w:p>
    <w:p>
      <w:pPr>
        <w:spacing w:line="218" w:lineRule="auto"/>
        <w:ind w:left="8"/>
        <w:rPr>
          <w:rFonts w:ascii="宋体" w:hAnsi="宋体" w:eastAsia="宋体" w:cs="宋体"/>
          <w:sz w:val="24"/>
          <w:szCs w:val="24"/>
        </w:rPr>
      </w:pPr>
      <w:r>
        <w:rPr>
          <w:rFonts w:ascii="宋体" w:hAnsi="宋体" w:eastAsia="宋体" w:cs="宋体"/>
          <w:spacing w:val="-1"/>
          <w:sz w:val="24"/>
          <w:szCs w:val="24"/>
        </w:rPr>
        <w:t>备。对于此类特殊材料的供货，应满足以下规定：</w:t>
      </w:r>
    </w:p>
    <w:p>
      <w:pPr>
        <w:spacing w:before="182" w:line="468" w:lineRule="exact"/>
        <w:ind w:left="546"/>
        <w:rPr>
          <w:rFonts w:ascii="宋体" w:hAnsi="宋体" w:eastAsia="宋体" w:cs="宋体"/>
          <w:sz w:val="24"/>
          <w:szCs w:val="24"/>
        </w:rPr>
      </w:pPr>
      <w:r>
        <w:rPr>
          <w:rFonts w:ascii="宋体" w:hAnsi="宋体" w:eastAsia="宋体" w:cs="宋体"/>
          <w:spacing w:val="3"/>
          <w:position w:val="17"/>
          <w:sz w:val="24"/>
          <w:szCs w:val="24"/>
        </w:rPr>
        <w:t>(1) 发包人按一览表约定的内容提供材料设备，并负责向承包人提供产品合格证</w:t>
      </w:r>
    </w:p>
    <w:p>
      <w:pPr>
        <w:spacing w:before="1" w:line="218" w:lineRule="auto"/>
        <w:ind w:left="27"/>
        <w:rPr>
          <w:rFonts w:ascii="宋体" w:hAnsi="宋体" w:eastAsia="宋体" w:cs="宋体"/>
          <w:sz w:val="24"/>
          <w:szCs w:val="24"/>
        </w:rPr>
      </w:pPr>
      <w:r>
        <w:rPr>
          <w:rFonts w:ascii="宋体" w:hAnsi="宋体" w:eastAsia="宋体" w:cs="宋体"/>
          <w:spacing w:val="-1"/>
          <w:sz w:val="24"/>
          <w:szCs w:val="24"/>
        </w:rPr>
        <w:t>明，对其真实性负责。但此项规定并不表明免除承包人检验材料设备质量的责任。</w:t>
      </w:r>
    </w:p>
    <w:p>
      <w:pPr>
        <w:spacing w:before="181" w:line="468" w:lineRule="exact"/>
        <w:ind w:left="546"/>
        <w:rPr>
          <w:rFonts w:ascii="宋体" w:hAnsi="宋体" w:eastAsia="宋体" w:cs="宋体"/>
          <w:sz w:val="24"/>
          <w:szCs w:val="24"/>
        </w:rPr>
      </w:pPr>
      <w:r>
        <w:rPr>
          <w:rFonts w:ascii="宋体" w:hAnsi="宋体" w:eastAsia="宋体" w:cs="宋体"/>
          <w:spacing w:val="-3"/>
          <w:position w:val="17"/>
          <w:sz w:val="24"/>
          <w:szCs w:val="24"/>
        </w:rPr>
        <w:t>(2) 工程开工后，承包人应根据进度计划向发包人提出本</w:t>
      </w:r>
      <w:r>
        <w:rPr>
          <w:rFonts w:ascii="宋体" w:hAnsi="宋体" w:eastAsia="宋体" w:cs="宋体"/>
          <w:spacing w:val="-4"/>
          <w:position w:val="17"/>
          <w:sz w:val="24"/>
          <w:szCs w:val="24"/>
        </w:rPr>
        <w:t>款规定的材料设备使用计</w:t>
      </w:r>
    </w:p>
    <w:p>
      <w:pPr>
        <w:spacing w:before="1" w:line="218" w:lineRule="auto"/>
        <w:ind w:left="4"/>
        <w:rPr>
          <w:rFonts w:ascii="宋体" w:hAnsi="宋体" w:eastAsia="宋体" w:cs="宋体"/>
          <w:sz w:val="24"/>
          <w:szCs w:val="24"/>
        </w:rPr>
      </w:pPr>
      <w:r>
        <w:rPr>
          <w:rFonts w:ascii="宋体" w:hAnsi="宋体" w:eastAsia="宋体" w:cs="宋体"/>
          <w:spacing w:val="-1"/>
          <w:sz w:val="24"/>
          <w:szCs w:val="24"/>
        </w:rPr>
        <w:t>划，由发包人按计划提供材料。</w:t>
      </w:r>
    </w:p>
    <w:p>
      <w:pPr>
        <w:spacing w:before="181" w:line="468" w:lineRule="exact"/>
        <w:ind w:left="546"/>
        <w:rPr>
          <w:rFonts w:ascii="宋体" w:hAnsi="宋体" w:eastAsia="宋体" w:cs="宋体"/>
          <w:sz w:val="24"/>
          <w:szCs w:val="24"/>
        </w:rPr>
      </w:pPr>
      <w:r>
        <w:rPr>
          <w:rFonts w:ascii="宋体" w:hAnsi="宋体" w:eastAsia="宋体" w:cs="宋体"/>
          <w:position w:val="17"/>
          <w:sz w:val="24"/>
          <w:szCs w:val="24"/>
        </w:rPr>
        <w:t>(3) 发包人在所供材料设备到货前</w:t>
      </w:r>
      <w:r>
        <w:rPr>
          <w:rFonts w:ascii="宋体" w:hAnsi="宋体" w:eastAsia="宋体" w:cs="宋体"/>
          <w:spacing w:val="-45"/>
          <w:position w:val="17"/>
          <w:sz w:val="24"/>
          <w:szCs w:val="24"/>
        </w:rPr>
        <w:t xml:space="preserve"> </w:t>
      </w:r>
      <w:r>
        <w:rPr>
          <w:rFonts w:ascii="宋体" w:hAnsi="宋体" w:eastAsia="宋体" w:cs="宋体"/>
          <w:position w:val="17"/>
          <w:sz w:val="24"/>
          <w:szCs w:val="24"/>
        </w:rPr>
        <w:t>24</w:t>
      </w:r>
      <w:r>
        <w:rPr>
          <w:rFonts w:ascii="宋体" w:hAnsi="宋体" w:eastAsia="宋体" w:cs="宋体"/>
          <w:spacing w:val="-42"/>
          <w:position w:val="17"/>
          <w:sz w:val="24"/>
          <w:szCs w:val="24"/>
        </w:rPr>
        <w:t xml:space="preserve"> </w:t>
      </w:r>
      <w:r>
        <w:rPr>
          <w:rFonts w:ascii="宋体" w:hAnsi="宋体" w:eastAsia="宋体" w:cs="宋体"/>
          <w:position w:val="17"/>
          <w:sz w:val="24"/>
          <w:szCs w:val="24"/>
        </w:rPr>
        <w:t>小时，以书面形式通知承包人；到货时，由</w:t>
      </w:r>
    </w:p>
    <w:p>
      <w:pPr>
        <w:spacing w:before="1" w:line="219" w:lineRule="auto"/>
        <w:ind w:left="5"/>
        <w:rPr>
          <w:rFonts w:ascii="宋体" w:hAnsi="宋体" w:eastAsia="宋体" w:cs="宋体"/>
          <w:sz w:val="24"/>
          <w:szCs w:val="24"/>
        </w:rPr>
      </w:pPr>
      <w:r>
        <w:rPr>
          <w:rFonts w:ascii="宋体" w:hAnsi="宋体" w:eastAsia="宋体" w:cs="宋体"/>
          <w:spacing w:val="-1"/>
          <w:sz w:val="24"/>
          <w:szCs w:val="24"/>
        </w:rPr>
        <w:t>承包人派人清点，必要时，发包人可派人参加。</w:t>
      </w:r>
    </w:p>
    <w:p>
      <w:pPr>
        <w:spacing w:before="182" w:line="219" w:lineRule="auto"/>
        <w:ind w:left="546"/>
        <w:rPr>
          <w:rFonts w:ascii="宋体" w:hAnsi="宋体" w:eastAsia="宋体" w:cs="宋体"/>
          <w:sz w:val="24"/>
          <w:szCs w:val="24"/>
        </w:rPr>
      </w:pPr>
      <w:r>
        <w:rPr>
          <w:rFonts w:ascii="宋体" w:hAnsi="宋体" w:eastAsia="宋体" w:cs="宋体"/>
          <w:spacing w:val="-2"/>
          <w:sz w:val="24"/>
          <w:szCs w:val="24"/>
        </w:rPr>
        <w:t>(4) 材料设备办理清点交接手续后，承包人承担产品的储存、保管责任。</w:t>
      </w:r>
    </w:p>
    <w:p>
      <w:pPr>
        <w:spacing w:before="181" w:line="468" w:lineRule="exact"/>
        <w:ind w:left="546"/>
        <w:rPr>
          <w:rFonts w:ascii="宋体" w:hAnsi="宋体" w:eastAsia="宋体" w:cs="宋体"/>
          <w:sz w:val="24"/>
          <w:szCs w:val="24"/>
        </w:rPr>
      </w:pPr>
      <w:r>
        <w:rPr>
          <w:rFonts w:ascii="宋体" w:hAnsi="宋体" w:eastAsia="宋体" w:cs="宋体"/>
          <w:spacing w:val="-3"/>
          <w:position w:val="17"/>
          <w:sz w:val="24"/>
          <w:szCs w:val="24"/>
        </w:rPr>
        <w:t>(5) 一览表约定的数量为暂定数量，发包人按承包人实际</w:t>
      </w:r>
      <w:r>
        <w:rPr>
          <w:rFonts w:ascii="宋体" w:hAnsi="宋体" w:eastAsia="宋体" w:cs="宋体"/>
          <w:spacing w:val="-4"/>
          <w:position w:val="17"/>
          <w:sz w:val="24"/>
          <w:szCs w:val="24"/>
        </w:rPr>
        <w:t>接收材料设备数量进行结</w:t>
      </w:r>
    </w:p>
    <w:p>
      <w:pPr>
        <w:spacing w:before="1" w:line="219" w:lineRule="auto"/>
        <w:ind w:left="7"/>
        <w:rPr>
          <w:rFonts w:ascii="宋体" w:hAnsi="宋体" w:eastAsia="宋体" w:cs="宋体"/>
          <w:sz w:val="24"/>
          <w:szCs w:val="24"/>
        </w:rPr>
      </w:pPr>
      <w:r>
        <w:rPr>
          <w:rFonts w:ascii="宋体" w:hAnsi="宋体" w:eastAsia="宋体" w:cs="宋体"/>
          <w:spacing w:val="-6"/>
          <w:sz w:val="24"/>
          <w:szCs w:val="24"/>
        </w:rPr>
        <w:t>算。</w:t>
      </w:r>
    </w:p>
    <w:p>
      <w:pPr>
        <w:spacing w:before="180" w:line="466" w:lineRule="exact"/>
        <w:ind w:left="546"/>
        <w:rPr>
          <w:rFonts w:ascii="宋体" w:hAnsi="宋体" w:eastAsia="宋体" w:cs="宋体"/>
          <w:sz w:val="24"/>
          <w:szCs w:val="24"/>
        </w:rPr>
      </w:pPr>
      <w:r>
        <w:rPr>
          <w:rFonts w:ascii="宋体" w:hAnsi="宋体" w:eastAsia="宋体" w:cs="宋体"/>
          <w:spacing w:val="-3"/>
          <w:position w:val="17"/>
          <w:sz w:val="24"/>
          <w:szCs w:val="24"/>
        </w:rPr>
        <w:t>(6) 一览表约定的到货地点不一致时，发包人负责运达一</w:t>
      </w:r>
      <w:r>
        <w:rPr>
          <w:rFonts w:ascii="宋体" w:hAnsi="宋体" w:eastAsia="宋体" w:cs="宋体"/>
          <w:spacing w:val="-4"/>
          <w:position w:val="17"/>
          <w:sz w:val="24"/>
          <w:szCs w:val="24"/>
        </w:rPr>
        <w:t>览表指定地点；发包人采</w:t>
      </w:r>
    </w:p>
    <w:p>
      <w:pPr>
        <w:spacing w:before="1" w:line="217" w:lineRule="auto"/>
        <w:ind w:left="3"/>
        <w:rPr>
          <w:rFonts w:ascii="宋体" w:hAnsi="宋体" w:eastAsia="宋体" w:cs="宋体"/>
          <w:sz w:val="24"/>
          <w:szCs w:val="24"/>
        </w:rPr>
      </w:pPr>
      <w:r>
        <w:rPr>
          <w:rFonts w:ascii="宋体" w:hAnsi="宋体" w:eastAsia="宋体" w:cs="宋体"/>
          <w:sz w:val="24"/>
          <w:szCs w:val="24"/>
        </w:rPr>
        <w:t>购单价与一览表材料设备单价不符，发包人仅</w:t>
      </w:r>
      <w:r>
        <w:rPr>
          <w:rFonts w:ascii="宋体" w:hAnsi="宋体" w:eastAsia="宋体" w:cs="宋体"/>
          <w:spacing w:val="-1"/>
          <w:sz w:val="24"/>
          <w:szCs w:val="24"/>
        </w:rPr>
        <w:t>承担价差（含税）。</w:t>
      </w:r>
    </w:p>
    <w:p>
      <w:pPr>
        <w:spacing w:before="186" w:line="359" w:lineRule="auto"/>
        <w:ind w:left="6" w:right="211" w:firstLine="540"/>
        <w:rPr>
          <w:rFonts w:ascii="宋体" w:hAnsi="宋体" w:eastAsia="宋体" w:cs="宋体"/>
          <w:sz w:val="24"/>
          <w:szCs w:val="24"/>
        </w:rPr>
      </w:pPr>
      <w:r>
        <w:rPr>
          <w:rFonts w:ascii="宋体" w:hAnsi="宋体" w:eastAsia="宋体" w:cs="宋体"/>
          <w:spacing w:val="-3"/>
          <w:sz w:val="24"/>
          <w:szCs w:val="24"/>
        </w:rPr>
        <w:t>(7) 发包人供应的材料设备使用前，由承包人负责检验或试验</w:t>
      </w:r>
      <w:r>
        <w:rPr>
          <w:rFonts w:ascii="宋体" w:hAnsi="宋体" w:eastAsia="宋体" w:cs="宋体"/>
          <w:spacing w:val="-4"/>
          <w:sz w:val="24"/>
          <w:szCs w:val="24"/>
        </w:rPr>
        <w:t>，品种、规格、型号</w:t>
      </w:r>
      <w:r>
        <w:rPr>
          <w:rFonts w:ascii="宋体" w:hAnsi="宋体" w:eastAsia="宋体" w:cs="宋体"/>
          <w:sz w:val="24"/>
          <w:szCs w:val="24"/>
        </w:rPr>
        <w:t xml:space="preserve"> 或质量与一览表不符的，承包人可拒绝接收，发包人应负责</w:t>
      </w:r>
      <w:r>
        <w:rPr>
          <w:rFonts w:ascii="宋体" w:hAnsi="宋体" w:eastAsia="宋体" w:cs="宋体"/>
          <w:spacing w:val="-1"/>
          <w:sz w:val="24"/>
          <w:szCs w:val="24"/>
        </w:rPr>
        <w:t>运出施工场地并重新采购；</w:t>
      </w:r>
      <w:r>
        <w:rPr>
          <w:rFonts w:ascii="宋体" w:hAnsi="宋体" w:eastAsia="宋体" w:cs="宋体"/>
          <w:sz w:val="24"/>
          <w:szCs w:val="24"/>
        </w:rPr>
        <w:t xml:space="preserve"> </w:t>
      </w:r>
      <w:r>
        <w:rPr>
          <w:rFonts w:ascii="宋体" w:hAnsi="宋体" w:eastAsia="宋体" w:cs="宋体"/>
          <w:spacing w:val="-6"/>
          <w:sz w:val="24"/>
          <w:szCs w:val="24"/>
        </w:rPr>
        <w:t>品种、规格或型号与一览表不符但质量经检验合格的，经监理人同意，可调剂串换使用。</w:t>
      </w:r>
      <w:r>
        <w:rPr>
          <w:rFonts w:ascii="宋体" w:hAnsi="宋体" w:eastAsia="宋体" w:cs="宋体"/>
          <w:spacing w:val="10"/>
          <w:sz w:val="24"/>
          <w:szCs w:val="24"/>
        </w:rPr>
        <w:t xml:space="preserve"> </w:t>
      </w:r>
      <w:r>
        <w:rPr>
          <w:rFonts w:ascii="宋体" w:hAnsi="宋体" w:eastAsia="宋体" w:cs="宋体"/>
          <w:spacing w:val="-2"/>
          <w:sz w:val="24"/>
          <w:szCs w:val="24"/>
        </w:rPr>
        <w:t>若上述不符是属于承包人责任造成的，则因此而增加的相应费用由承包人承</w:t>
      </w:r>
      <w:r>
        <w:rPr>
          <w:rFonts w:ascii="宋体" w:hAnsi="宋体" w:eastAsia="宋体" w:cs="宋体"/>
          <w:spacing w:val="-3"/>
          <w:sz w:val="24"/>
          <w:szCs w:val="24"/>
        </w:rPr>
        <w:t xml:space="preserve">担。若上述 </w:t>
      </w:r>
      <w:r>
        <w:rPr>
          <w:rFonts w:ascii="宋体" w:hAnsi="宋体" w:eastAsia="宋体" w:cs="宋体"/>
          <w:spacing w:val="-2"/>
          <w:sz w:val="24"/>
          <w:szCs w:val="24"/>
        </w:rPr>
        <w:t>不符是属于非承包人责任造成的，并因此引起承包人工期延误或费用增加，则由发包人</w:t>
      </w:r>
    </w:p>
    <w:p>
      <w:pPr>
        <w:spacing w:before="1" w:line="219" w:lineRule="auto"/>
        <w:ind w:left="14"/>
        <w:rPr>
          <w:rFonts w:ascii="宋体" w:hAnsi="宋体" w:eastAsia="宋体" w:cs="宋体"/>
          <w:sz w:val="24"/>
          <w:szCs w:val="24"/>
        </w:rPr>
      </w:pPr>
      <w:r>
        <w:rPr>
          <w:rFonts w:ascii="宋体" w:hAnsi="宋体" w:eastAsia="宋体" w:cs="宋体"/>
          <w:spacing w:val="-4"/>
          <w:sz w:val="24"/>
          <w:szCs w:val="24"/>
        </w:rPr>
        <w:t>负责赔偿。</w:t>
      </w:r>
    </w:p>
    <w:p>
      <w:pPr>
        <w:spacing w:before="183" w:line="465" w:lineRule="exact"/>
        <w:ind w:left="546"/>
        <w:rPr>
          <w:rFonts w:ascii="宋体" w:hAnsi="宋体" w:eastAsia="宋体" w:cs="宋体"/>
          <w:sz w:val="24"/>
          <w:szCs w:val="24"/>
        </w:rPr>
      </w:pPr>
      <w:r>
        <w:rPr>
          <w:rFonts w:ascii="宋体" w:hAnsi="宋体" w:eastAsia="宋体" w:cs="宋体"/>
          <w:spacing w:val="-3"/>
          <w:position w:val="17"/>
          <w:sz w:val="24"/>
          <w:szCs w:val="24"/>
        </w:rPr>
        <w:t>(8) 为恰当和正确地使用、安装和实施这些材料和工程设</w:t>
      </w:r>
      <w:r>
        <w:rPr>
          <w:rFonts w:ascii="宋体" w:hAnsi="宋体" w:eastAsia="宋体" w:cs="宋体"/>
          <w:spacing w:val="-4"/>
          <w:position w:val="17"/>
          <w:sz w:val="24"/>
          <w:szCs w:val="24"/>
        </w:rPr>
        <w:t>备所必需的但一览表中未</w:t>
      </w:r>
    </w:p>
    <w:p>
      <w:pPr>
        <w:spacing w:before="1" w:line="217" w:lineRule="auto"/>
        <w:ind w:left="10"/>
        <w:rPr>
          <w:rFonts w:ascii="宋体" w:hAnsi="宋体" w:eastAsia="宋体" w:cs="宋体"/>
          <w:sz w:val="24"/>
          <w:szCs w:val="24"/>
        </w:rPr>
      </w:pPr>
      <w:r>
        <w:rPr>
          <w:rFonts w:ascii="宋体" w:hAnsi="宋体" w:eastAsia="宋体" w:cs="宋体"/>
          <w:spacing w:val="-1"/>
          <w:sz w:val="24"/>
          <w:szCs w:val="24"/>
        </w:rPr>
        <w:t>列明的其他任何辅助性材料以及人工费应已经包含在承包人的合同总价中。</w:t>
      </w:r>
    </w:p>
    <w:p>
      <w:pPr>
        <w:spacing w:before="183" w:line="359" w:lineRule="auto"/>
        <w:ind w:left="4" w:right="291" w:firstLine="583"/>
        <w:rPr>
          <w:rFonts w:ascii="宋体" w:hAnsi="宋体" w:eastAsia="宋体" w:cs="宋体"/>
          <w:sz w:val="24"/>
          <w:szCs w:val="24"/>
        </w:rPr>
      </w:pPr>
      <w:r>
        <w:rPr>
          <w:rFonts w:ascii="宋体" w:hAnsi="宋体" w:eastAsia="宋体" w:cs="宋体"/>
          <w:spacing w:val="-4"/>
          <w:sz w:val="24"/>
          <w:szCs w:val="24"/>
        </w:rPr>
        <w:t>(9) 发包人供应的材料设备款，发包人将在供应后</w:t>
      </w:r>
      <w:r>
        <w:rPr>
          <w:rFonts w:ascii="宋体" w:hAnsi="宋体" w:eastAsia="宋体" w:cs="宋体"/>
          <w:spacing w:val="-5"/>
          <w:sz w:val="24"/>
          <w:szCs w:val="24"/>
        </w:rPr>
        <w:t>一个至两个月内从承包人工程进</w:t>
      </w:r>
      <w:r>
        <w:rPr>
          <w:rFonts w:ascii="宋体" w:hAnsi="宋体" w:eastAsia="宋体" w:cs="宋体"/>
          <w:sz w:val="24"/>
          <w:szCs w:val="24"/>
        </w:rPr>
        <w:t xml:space="preserve"> </w:t>
      </w:r>
      <w:r>
        <w:rPr>
          <w:rFonts w:ascii="宋体" w:hAnsi="宋体" w:eastAsia="宋体" w:cs="宋体"/>
          <w:spacing w:val="-2"/>
          <w:sz w:val="24"/>
          <w:szCs w:val="24"/>
        </w:rPr>
        <w:t>度款中扣回。但为保证材料设备款在交工验收时得到全额扣回，发包人有权调整扣回时</w:t>
      </w:r>
    </w:p>
    <w:p>
      <w:pPr>
        <w:spacing w:before="1" w:line="220" w:lineRule="auto"/>
        <w:ind w:left="24"/>
        <w:rPr>
          <w:rFonts w:ascii="宋体" w:hAnsi="宋体" w:eastAsia="宋体" w:cs="宋体"/>
          <w:sz w:val="24"/>
          <w:szCs w:val="24"/>
        </w:rPr>
      </w:pPr>
      <w:r>
        <w:rPr>
          <w:rFonts w:ascii="宋体" w:hAnsi="宋体" w:eastAsia="宋体" w:cs="宋体"/>
          <w:spacing w:val="-6"/>
          <w:sz w:val="24"/>
          <w:szCs w:val="24"/>
        </w:rPr>
        <w:t>间及比例。</w:t>
      </w:r>
    </w:p>
    <w:p>
      <w:pPr>
        <w:spacing w:before="181" w:line="219" w:lineRule="auto"/>
        <w:ind w:left="527"/>
        <w:rPr>
          <w:rFonts w:ascii="宋体" w:hAnsi="宋体" w:eastAsia="宋体" w:cs="宋体"/>
          <w:sz w:val="24"/>
          <w:szCs w:val="24"/>
        </w:rPr>
      </w:pPr>
      <w:r>
        <w:rPr>
          <w:rFonts w:ascii="宋体" w:hAnsi="宋体" w:eastAsia="宋体" w:cs="宋体"/>
          <w:sz w:val="24"/>
          <w:szCs w:val="24"/>
        </w:rPr>
        <w:t>(10) 如发包人需采用任何从国（境）外进口材料和工程设备，且这些进口的材料</w:t>
      </w:r>
    </w:p>
    <w:p>
      <w:pPr>
        <w:spacing w:line="424" w:lineRule="auto"/>
        <w:rPr>
          <w:rFonts w:ascii="Arial"/>
          <w:sz w:val="21"/>
        </w:rPr>
      </w:pPr>
    </w:p>
    <w:p>
      <w:pPr>
        <w:spacing w:before="78" w:line="359" w:lineRule="auto"/>
        <w:ind w:left="6" w:right="232"/>
        <w:jc w:val="both"/>
        <w:rPr>
          <w:rFonts w:ascii="宋体" w:hAnsi="宋体" w:eastAsia="宋体" w:cs="宋体"/>
          <w:sz w:val="24"/>
          <w:szCs w:val="24"/>
        </w:rPr>
      </w:pPr>
      <w:r>
        <w:rPr>
          <w:rFonts w:ascii="宋体" w:hAnsi="宋体" w:eastAsia="宋体" w:cs="宋体"/>
          <w:spacing w:val="-2"/>
          <w:sz w:val="24"/>
          <w:szCs w:val="24"/>
        </w:rPr>
        <w:t>和工程设备直接由发包人负责采购和办理进口，则由发包人承担进口材料和工程设备的</w:t>
      </w:r>
      <w:r>
        <w:rPr>
          <w:rFonts w:ascii="宋体" w:hAnsi="宋体" w:eastAsia="宋体" w:cs="宋体"/>
          <w:spacing w:val="11"/>
          <w:sz w:val="24"/>
          <w:szCs w:val="24"/>
        </w:rPr>
        <w:t xml:space="preserve"> </w:t>
      </w:r>
      <w:r>
        <w:rPr>
          <w:rFonts w:ascii="宋体" w:hAnsi="宋体" w:eastAsia="宋体" w:cs="宋体"/>
          <w:spacing w:val="-2"/>
          <w:sz w:val="24"/>
          <w:szCs w:val="24"/>
        </w:rPr>
        <w:t>一切开支，负责办理与此类进口有关的申请、许可、证书、外汇使用等手续并承担相应</w:t>
      </w:r>
      <w:r>
        <w:rPr>
          <w:rFonts w:ascii="宋体" w:hAnsi="宋体" w:eastAsia="宋体" w:cs="宋体"/>
          <w:spacing w:val="10"/>
          <w:sz w:val="24"/>
          <w:szCs w:val="24"/>
        </w:rPr>
        <w:t xml:space="preserve"> </w:t>
      </w:r>
      <w:r>
        <w:rPr>
          <w:rFonts w:ascii="宋体" w:hAnsi="宋体" w:eastAsia="宋体" w:cs="宋体"/>
          <w:spacing w:val="-2"/>
          <w:sz w:val="24"/>
          <w:szCs w:val="24"/>
        </w:rPr>
        <w:t>的费用。如果由于发包人原因导致进口材料和工程设备不能按计划运抵现场致使工程延</w:t>
      </w:r>
      <w:r>
        <w:rPr>
          <w:rFonts w:ascii="宋体" w:hAnsi="宋体" w:eastAsia="宋体" w:cs="宋体"/>
          <w:spacing w:val="10"/>
          <w:sz w:val="24"/>
          <w:szCs w:val="24"/>
        </w:rPr>
        <w:t xml:space="preserve"> </w:t>
      </w:r>
      <w:r>
        <w:rPr>
          <w:rFonts w:ascii="宋体" w:hAnsi="宋体" w:eastAsia="宋体" w:cs="宋体"/>
          <w:spacing w:val="-6"/>
          <w:sz w:val="24"/>
          <w:szCs w:val="24"/>
        </w:rPr>
        <w:t>误，承包人应就此通知监理人，监理人在收到此类通知并与承</w:t>
      </w:r>
      <w:r>
        <w:rPr>
          <w:rFonts w:ascii="宋体" w:hAnsi="宋体" w:eastAsia="宋体" w:cs="宋体"/>
          <w:spacing w:val="-7"/>
          <w:sz w:val="24"/>
          <w:szCs w:val="24"/>
        </w:rPr>
        <w:t>包人适当协商之后应决定：</w:t>
      </w:r>
      <w:r>
        <w:rPr>
          <w:rFonts w:ascii="宋体" w:hAnsi="宋体" w:eastAsia="宋体" w:cs="宋体"/>
          <w:sz w:val="24"/>
          <w:szCs w:val="24"/>
        </w:rPr>
        <w:t xml:space="preserve"> 依据第</w:t>
      </w:r>
      <w:r>
        <w:rPr>
          <w:rFonts w:ascii="宋体" w:hAnsi="宋体" w:eastAsia="宋体" w:cs="宋体"/>
          <w:spacing w:val="-21"/>
          <w:sz w:val="24"/>
          <w:szCs w:val="24"/>
        </w:rPr>
        <w:t xml:space="preserve"> </w:t>
      </w:r>
      <w:r>
        <w:rPr>
          <w:rFonts w:ascii="宋体" w:hAnsi="宋体" w:eastAsia="宋体" w:cs="宋体"/>
          <w:sz w:val="24"/>
          <w:szCs w:val="24"/>
        </w:rPr>
        <w:t>11.3</w:t>
      </w:r>
      <w:r>
        <w:rPr>
          <w:rFonts w:ascii="宋体" w:hAnsi="宋体" w:eastAsia="宋体" w:cs="宋体"/>
          <w:spacing w:val="-47"/>
          <w:sz w:val="24"/>
          <w:szCs w:val="24"/>
        </w:rPr>
        <w:t xml:space="preserve"> </w:t>
      </w:r>
      <w:r>
        <w:rPr>
          <w:rFonts w:ascii="宋体" w:hAnsi="宋体" w:eastAsia="宋体" w:cs="宋体"/>
          <w:sz w:val="24"/>
          <w:szCs w:val="24"/>
        </w:rPr>
        <w:t>款规定承包人是否可以延长工期，承包人由此而发生的额外费用是否增加</w:t>
      </w:r>
    </w:p>
    <w:p>
      <w:pPr>
        <w:spacing w:before="1" w:line="217" w:lineRule="auto"/>
        <w:ind w:left="11"/>
        <w:rPr>
          <w:rFonts w:ascii="宋体" w:hAnsi="宋体" w:eastAsia="宋体" w:cs="宋体"/>
          <w:sz w:val="24"/>
          <w:szCs w:val="24"/>
        </w:rPr>
      </w:pPr>
      <w:r>
        <w:rPr>
          <w:rFonts w:ascii="宋体" w:hAnsi="宋体" w:eastAsia="宋体" w:cs="宋体"/>
          <w:spacing w:val="-3"/>
          <w:sz w:val="24"/>
          <w:szCs w:val="24"/>
        </w:rPr>
        <w:t>到合同价中。</w:t>
      </w:r>
    </w:p>
    <w:p>
      <w:pPr>
        <w:spacing w:before="183" w:line="359" w:lineRule="auto"/>
        <w:ind w:left="7" w:right="211" w:firstLine="481"/>
        <w:rPr>
          <w:rFonts w:ascii="宋体" w:hAnsi="宋体" w:eastAsia="宋体" w:cs="宋体"/>
          <w:sz w:val="24"/>
          <w:szCs w:val="24"/>
        </w:rPr>
      </w:pPr>
      <w:r>
        <w:rPr>
          <w:rFonts w:ascii="宋体" w:hAnsi="宋体" w:eastAsia="宋体" w:cs="宋体"/>
          <w:spacing w:val="-3"/>
          <w:sz w:val="24"/>
          <w:szCs w:val="24"/>
        </w:rPr>
        <w:t>没有发包人的书面同意，承包人不得自行采购</w:t>
      </w:r>
      <w:r>
        <w:rPr>
          <w:rFonts w:ascii="宋体" w:hAnsi="宋体" w:eastAsia="宋体" w:cs="宋体"/>
          <w:spacing w:val="-41"/>
          <w:sz w:val="24"/>
          <w:szCs w:val="24"/>
        </w:rPr>
        <w:t xml:space="preserve"> </w:t>
      </w:r>
      <w:r>
        <w:rPr>
          <w:rFonts w:ascii="宋体" w:hAnsi="宋体" w:eastAsia="宋体" w:cs="宋体"/>
          <w:spacing w:val="-3"/>
          <w:sz w:val="24"/>
          <w:szCs w:val="24"/>
        </w:rPr>
        <w:t>5.2.1</w:t>
      </w:r>
      <w:r>
        <w:rPr>
          <w:rFonts w:ascii="宋体" w:hAnsi="宋体" w:eastAsia="宋体" w:cs="宋体"/>
          <w:spacing w:val="-49"/>
          <w:sz w:val="24"/>
          <w:szCs w:val="24"/>
        </w:rPr>
        <w:t xml:space="preserve"> </w:t>
      </w:r>
      <w:r>
        <w:rPr>
          <w:rFonts w:ascii="宋体" w:hAnsi="宋体" w:eastAsia="宋体" w:cs="宋体"/>
          <w:spacing w:val="-3"/>
          <w:sz w:val="24"/>
          <w:szCs w:val="24"/>
        </w:rPr>
        <w:t xml:space="preserve">款规定的材料和工程设备，否 </w:t>
      </w:r>
      <w:r>
        <w:rPr>
          <w:rFonts w:ascii="宋体" w:hAnsi="宋体" w:eastAsia="宋体" w:cs="宋体"/>
          <w:spacing w:val="-6"/>
          <w:sz w:val="24"/>
          <w:szCs w:val="24"/>
        </w:rPr>
        <w:t>则监理人、发包人将拒绝使用这些材料和工程设备，承包人应赔偿由此带来的一切损失。</w:t>
      </w:r>
      <w:r>
        <w:rPr>
          <w:rFonts w:ascii="宋体" w:hAnsi="宋体" w:eastAsia="宋体" w:cs="宋体"/>
          <w:spacing w:val="9"/>
          <w:sz w:val="24"/>
          <w:szCs w:val="24"/>
        </w:rPr>
        <w:t xml:space="preserve"> </w:t>
      </w:r>
      <w:r>
        <w:rPr>
          <w:rFonts w:ascii="宋体" w:hAnsi="宋体" w:eastAsia="宋体" w:cs="宋体"/>
          <w:sz w:val="24"/>
          <w:szCs w:val="24"/>
        </w:rPr>
        <w:t>无论出现任何情况，承包人均不得售卖发包人供应的材料</w:t>
      </w:r>
      <w:r>
        <w:rPr>
          <w:rFonts w:ascii="宋体" w:hAnsi="宋体" w:eastAsia="宋体" w:cs="宋体"/>
          <w:spacing w:val="-1"/>
          <w:sz w:val="24"/>
          <w:szCs w:val="24"/>
        </w:rPr>
        <w:t>和工程设备，否则一经查实，</w:t>
      </w:r>
    </w:p>
    <w:p>
      <w:pPr>
        <w:spacing w:line="218" w:lineRule="auto"/>
        <w:ind w:left="9"/>
        <w:rPr>
          <w:rFonts w:ascii="宋体" w:hAnsi="宋体" w:eastAsia="宋体" w:cs="宋体"/>
          <w:sz w:val="24"/>
          <w:szCs w:val="24"/>
        </w:rPr>
      </w:pPr>
      <w:r>
        <w:rPr>
          <w:rFonts w:ascii="宋体" w:hAnsi="宋体" w:eastAsia="宋体" w:cs="宋体"/>
          <w:spacing w:val="-1"/>
          <w:sz w:val="24"/>
          <w:szCs w:val="24"/>
        </w:rPr>
        <w:t>发包人有权对承包人处以售卖材料或工程设备金额两倍的违约金。</w:t>
      </w:r>
    </w:p>
    <w:p>
      <w:pPr>
        <w:spacing w:before="183" w:line="219" w:lineRule="auto"/>
        <w:ind w:left="490"/>
        <w:rPr>
          <w:rFonts w:ascii="宋体" w:hAnsi="宋体" w:eastAsia="宋体" w:cs="宋体"/>
          <w:sz w:val="24"/>
          <w:szCs w:val="24"/>
        </w:rPr>
      </w:pPr>
      <w:r>
        <w:rPr>
          <w:rFonts w:ascii="宋体" w:hAnsi="宋体" w:eastAsia="宋体" w:cs="宋体"/>
          <w:spacing w:val="-1"/>
          <w:sz w:val="24"/>
          <w:szCs w:val="24"/>
        </w:rPr>
        <w:t>5.4 禁止使用不合格的材料和工程设备</w:t>
      </w:r>
    </w:p>
    <w:p>
      <w:pPr>
        <w:spacing w:before="182" w:line="468" w:lineRule="exact"/>
        <w:ind w:left="4"/>
        <w:rPr>
          <w:rFonts w:ascii="宋体" w:hAnsi="宋体" w:eastAsia="宋体" w:cs="宋体"/>
          <w:sz w:val="24"/>
          <w:szCs w:val="24"/>
        </w:rPr>
      </w:pPr>
      <w:r>
        <w:rPr>
          <w:rFonts w:ascii="宋体" w:hAnsi="宋体" w:eastAsia="宋体" w:cs="宋体"/>
          <w:spacing w:val="-1"/>
          <w:position w:val="17"/>
          <w:sz w:val="24"/>
          <w:szCs w:val="24"/>
        </w:rPr>
        <w:t>在</w:t>
      </w:r>
      <w:r>
        <w:rPr>
          <w:rFonts w:ascii="宋体" w:hAnsi="宋体" w:eastAsia="宋体" w:cs="宋体"/>
          <w:spacing w:val="-46"/>
          <w:position w:val="17"/>
          <w:sz w:val="24"/>
          <w:szCs w:val="24"/>
        </w:rPr>
        <w:t xml:space="preserve"> </w:t>
      </w:r>
      <w:r>
        <w:rPr>
          <w:rFonts w:ascii="宋体" w:hAnsi="宋体" w:eastAsia="宋体" w:cs="宋体"/>
          <w:spacing w:val="-1"/>
          <w:position w:val="17"/>
          <w:sz w:val="24"/>
          <w:szCs w:val="24"/>
        </w:rPr>
        <w:t>5.4.2</w:t>
      </w:r>
      <w:r>
        <w:rPr>
          <w:rFonts w:ascii="宋体" w:hAnsi="宋体" w:eastAsia="宋体" w:cs="宋体"/>
          <w:spacing w:val="-47"/>
          <w:position w:val="17"/>
          <w:sz w:val="24"/>
          <w:szCs w:val="24"/>
        </w:rPr>
        <w:t xml:space="preserve"> </w:t>
      </w:r>
      <w:r>
        <w:rPr>
          <w:rFonts w:ascii="宋体" w:hAnsi="宋体" w:eastAsia="宋体" w:cs="宋体"/>
          <w:spacing w:val="-1"/>
          <w:position w:val="17"/>
          <w:sz w:val="24"/>
          <w:szCs w:val="24"/>
        </w:rPr>
        <w:t>项末尾增加：承包人还应承担由此</w:t>
      </w:r>
      <w:r>
        <w:rPr>
          <w:rFonts w:ascii="宋体" w:hAnsi="宋体" w:eastAsia="宋体" w:cs="宋体"/>
          <w:spacing w:val="-2"/>
          <w:position w:val="17"/>
          <w:sz w:val="24"/>
          <w:szCs w:val="24"/>
        </w:rPr>
        <w:t>带来的一切损失。</w:t>
      </w:r>
    </w:p>
    <w:p>
      <w:pPr>
        <w:spacing w:before="1" w:line="218" w:lineRule="auto"/>
        <w:ind w:left="6"/>
        <w:rPr>
          <w:rFonts w:ascii="宋体" w:hAnsi="宋体" w:eastAsia="宋体" w:cs="宋体"/>
          <w:sz w:val="24"/>
          <w:szCs w:val="24"/>
        </w:rPr>
      </w:pPr>
      <w:r>
        <w:rPr>
          <w:rFonts w:ascii="宋体" w:hAnsi="宋体" w:eastAsia="宋体" w:cs="宋体"/>
          <w:spacing w:val="-2"/>
          <w:sz w:val="24"/>
          <w:szCs w:val="24"/>
        </w:rPr>
        <w:t>本条补充第 5.5 款、第 5.6</w:t>
      </w:r>
      <w:r>
        <w:rPr>
          <w:rFonts w:ascii="宋体" w:hAnsi="宋体" w:eastAsia="宋体" w:cs="宋体"/>
          <w:spacing w:val="10"/>
          <w:sz w:val="24"/>
          <w:szCs w:val="24"/>
        </w:rPr>
        <w:t xml:space="preserve"> </w:t>
      </w:r>
      <w:r>
        <w:rPr>
          <w:rFonts w:ascii="宋体" w:hAnsi="宋体" w:eastAsia="宋体" w:cs="宋体"/>
          <w:spacing w:val="-2"/>
          <w:sz w:val="24"/>
          <w:szCs w:val="24"/>
        </w:rPr>
        <w:t>款、第</w:t>
      </w:r>
      <w:r>
        <w:rPr>
          <w:rFonts w:ascii="宋体" w:hAnsi="宋体" w:eastAsia="宋体" w:cs="宋体"/>
          <w:spacing w:val="14"/>
          <w:sz w:val="24"/>
          <w:szCs w:val="24"/>
        </w:rPr>
        <w:t xml:space="preserve"> </w:t>
      </w:r>
      <w:r>
        <w:rPr>
          <w:rFonts w:ascii="宋体" w:hAnsi="宋体" w:eastAsia="宋体" w:cs="宋体"/>
          <w:spacing w:val="-2"/>
          <w:sz w:val="24"/>
          <w:szCs w:val="24"/>
        </w:rPr>
        <w:t>5.</w:t>
      </w:r>
      <w:r>
        <w:rPr>
          <w:rFonts w:ascii="宋体" w:hAnsi="宋体" w:eastAsia="宋体" w:cs="宋体"/>
          <w:spacing w:val="-3"/>
          <w:sz w:val="24"/>
          <w:szCs w:val="24"/>
        </w:rPr>
        <w:t>7</w:t>
      </w:r>
      <w:r>
        <w:rPr>
          <w:rFonts w:ascii="宋体" w:hAnsi="宋体" w:eastAsia="宋体" w:cs="宋体"/>
          <w:spacing w:val="11"/>
          <w:sz w:val="24"/>
          <w:szCs w:val="24"/>
        </w:rPr>
        <w:t xml:space="preserve"> </w:t>
      </w:r>
      <w:r>
        <w:rPr>
          <w:rFonts w:ascii="宋体" w:hAnsi="宋体" w:eastAsia="宋体" w:cs="宋体"/>
          <w:spacing w:val="-3"/>
          <w:sz w:val="24"/>
          <w:szCs w:val="24"/>
        </w:rPr>
        <w:t>款、第</w:t>
      </w:r>
      <w:r>
        <w:rPr>
          <w:rFonts w:ascii="宋体" w:hAnsi="宋体" w:eastAsia="宋体" w:cs="宋体"/>
          <w:spacing w:val="14"/>
          <w:sz w:val="24"/>
          <w:szCs w:val="24"/>
        </w:rPr>
        <w:t xml:space="preserve"> </w:t>
      </w:r>
      <w:r>
        <w:rPr>
          <w:rFonts w:ascii="宋体" w:hAnsi="宋体" w:eastAsia="宋体" w:cs="宋体"/>
          <w:spacing w:val="-3"/>
          <w:sz w:val="24"/>
          <w:szCs w:val="24"/>
        </w:rPr>
        <w:t>5.8</w:t>
      </w:r>
      <w:r>
        <w:rPr>
          <w:rFonts w:ascii="宋体" w:hAnsi="宋体" w:eastAsia="宋体" w:cs="宋体"/>
          <w:spacing w:val="10"/>
          <w:sz w:val="24"/>
          <w:szCs w:val="24"/>
        </w:rPr>
        <w:t xml:space="preserve"> </w:t>
      </w:r>
      <w:r>
        <w:rPr>
          <w:rFonts w:ascii="宋体" w:hAnsi="宋体" w:eastAsia="宋体" w:cs="宋体"/>
          <w:spacing w:val="-3"/>
          <w:sz w:val="24"/>
          <w:szCs w:val="24"/>
        </w:rPr>
        <w:t>款：</w:t>
      </w:r>
    </w:p>
    <w:p>
      <w:pPr>
        <w:spacing w:before="183" w:line="219" w:lineRule="auto"/>
        <w:ind w:left="490"/>
        <w:rPr>
          <w:rFonts w:ascii="宋体" w:hAnsi="宋体" w:eastAsia="宋体" w:cs="宋体"/>
          <w:sz w:val="24"/>
          <w:szCs w:val="24"/>
        </w:rPr>
      </w:pPr>
      <w:r>
        <w:rPr>
          <w:rFonts w:ascii="宋体" w:hAnsi="宋体" w:eastAsia="宋体" w:cs="宋体"/>
          <w:spacing w:val="-3"/>
          <w:sz w:val="24"/>
          <w:szCs w:val="24"/>
        </w:rPr>
        <w:t>5.5</w:t>
      </w:r>
      <w:r>
        <w:rPr>
          <w:rFonts w:ascii="宋体" w:hAnsi="宋体" w:eastAsia="宋体" w:cs="宋体"/>
          <w:spacing w:val="-46"/>
          <w:sz w:val="24"/>
          <w:szCs w:val="24"/>
        </w:rPr>
        <w:t xml:space="preserve"> </w:t>
      </w:r>
      <w:r>
        <w:rPr>
          <w:rFonts w:ascii="宋体" w:hAnsi="宋体" w:eastAsia="宋体" w:cs="宋体"/>
          <w:spacing w:val="-3"/>
          <w:sz w:val="24"/>
          <w:szCs w:val="24"/>
        </w:rPr>
        <w:t>代用材料的使用</w:t>
      </w:r>
    </w:p>
    <w:p>
      <w:pPr>
        <w:spacing w:before="181" w:line="359" w:lineRule="auto"/>
        <w:ind w:left="34" w:right="291" w:firstLine="443"/>
        <w:rPr>
          <w:rFonts w:ascii="宋体" w:hAnsi="宋体" w:eastAsia="宋体" w:cs="宋体"/>
          <w:sz w:val="24"/>
          <w:szCs w:val="24"/>
        </w:rPr>
      </w:pPr>
      <w:r>
        <w:rPr>
          <w:rFonts w:ascii="宋体" w:hAnsi="宋体" w:eastAsia="宋体" w:cs="宋体"/>
          <w:sz w:val="24"/>
          <w:szCs w:val="24"/>
        </w:rPr>
        <w:t>5.5.1</w:t>
      </w:r>
      <w:r>
        <w:rPr>
          <w:rFonts w:ascii="宋体" w:hAnsi="宋体" w:eastAsia="宋体" w:cs="宋体"/>
          <w:spacing w:val="-50"/>
          <w:sz w:val="24"/>
          <w:szCs w:val="24"/>
        </w:rPr>
        <w:t xml:space="preserve"> </w:t>
      </w:r>
      <w:r>
        <w:rPr>
          <w:rFonts w:ascii="宋体" w:hAnsi="宋体" w:eastAsia="宋体" w:cs="宋体"/>
          <w:sz w:val="24"/>
          <w:szCs w:val="24"/>
        </w:rPr>
        <w:t>承包人需要使用代用材料时，应经监理人认可并由发包人同意</w:t>
      </w:r>
      <w:r>
        <w:rPr>
          <w:rFonts w:ascii="宋体" w:hAnsi="宋体" w:eastAsia="宋体" w:cs="宋体"/>
          <w:spacing w:val="-1"/>
          <w:sz w:val="24"/>
          <w:szCs w:val="24"/>
        </w:rPr>
        <w:t>后才能使用，</w:t>
      </w:r>
      <w:r>
        <w:rPr>
          <w:rFonts w:ascii="宋体" w:hAnsi="宋体" w:eastAsia="宋体" w:cs="宋体"/>
          <w:sz w:val="24"/>
          <w:szCs w:val="24"/>
        </w:rPr>
        <w:t xml:space="preserve"> </w:t>
      </w:r>
      <w:r>
        <w:rPr>
          <w:rFonts w:ascii="宋体" w:hAnsi="宋体" w:eastAsia="宋体" w:cs="宋体"/>
          <w:spacing w:val="-2"/>
          <w:sz w:val="24"/>
          <w:szCs w:val="24"/>
        </w:rPr>
        <w:t>由此增减的合同价款双方以书面形式议定。承包</w:t>
      </w:r>
      <w:r>
        <w:rPr>
          <w:rFonts w:ascii="宋体" w:hAnsi="宋体" w:eastAsia="宋体" w:cs="宋体"/>
          <w:spacing w:val="-3"/>
          <w:sz w:val="24"/>
          <w:szCs w:val="24"/>
        </w:rPr>
        <w:t>人申请使用代用材料，仅限于出现下列</w:t>
      </w:r>
    </w:p>
    <w:p>
      <w:pPr>
        <w:spacing w:line="220" w:lineRule="auto"/>
        <w:ind w:left="6"/>
        <w:rPr>
          <w:rFonts w:ascii="宋体" w:hAnsi="宋体" w:eastAsia="宋体" w:cs="宋体"/>
          <w:sz w:val="24"/>
          <w:szCs w:val="24"/>
        </w:rPr>
      </w:pPr>
      <w:r>
        <w:rPr>
          <w:rFonts w:ascii="宋体" w:hAnsi="宋体" w:eastAsia="宋体" w:cs="宋体"/>
          <w:spacing w:val="-3"/>
          <w:sz w:val="24"/>
          <w:szCs w:val="24"/>
        </w:rPr>
        <w:t>情况时：</w:t>
      </w:r>
    </w:p>
    <w:p>
      <w:pPr>
        <w:spacing w:before="180" w:line="219" w:lineRule="auto"/>
        <w:ind w:left="515"/>
        <w:rPr>
          <w:rFonts w:ascii="宋体" w:hAnsi="宋体" w:eastAsia="宋体" w:cs="宋体"/>
          <w:sz w:val="24"/>
          <w:szCs w:val="24"/>
        </w:rPr>
      </w:pPr>
      <w:r>
        <w:rPr>
          <w:rFonts w:ascii="宋体" w:hAnsi="宋体" w:eastAsia="宋体" w:cs="宋体"/>
          <w:spacing w:val="-3"/>
          <w:sz w:val="24"/>
          <w:szCs w:val="24"/>
        </w:rPr>
        <w:t>(1)市场上无供应或在一定时间内突然供应短缺；</w:t>
      </w:r>
    </w:p>
    <w:p>
      <w:pPr>
        <w:spacing w:before="183" w:line="219" w:lineRule="auto"/>
        <w:ind w:left="515"/>
        <w:rPr>
          <w:rFonts w:ascii="宋体" w:hAnsi="宋体" w:eastAsia="宋体" w:cs="宋体"/>
          <w:sz w:val="24"/>
          <w:szCs w:val="24"/>
        </w:rPr>
      </w:pPr>
      <w:r>
        <w:rPr>
          <w:rFonts w:ascii="宋体" w:hAnsi="宋体" w:eastAsia="宋体" w:cs="宋体"/>
          <w:spacing w:val="-2"/>
          <w:sz w:val="24"/>
          <w:szCs w:val="24"/>
        </w:rPr>
        <w:t>(2)政府或有关管理机构的后继规章、规定禁止</w:t>
      </w:r>
      <w:r>
        <w:rPr>
          <w:rFonts w:ascii="宋体" w:hAnsi="宋体" w:eastAsia="宋体" w:cs="宋体"/>
          <w:spacing w:val="-3"/>
          <w:sz w:val="24"/>
          <w:szCs w:val="24"/>
        </w:rPr>
        <w:t>使用；</w:t>
      </w:r>
    </w:p>
    <w:p>
      <w:pPr>
        <w:spacing w:before="184" w:line="465" w:lineRule="exact"/>
        <w:ind w:left="515"/>
        <w:rPr>
          <w:rFonts w:ascii="宋体" w:hAnsi="宋体" w:eastAsia="宋体" w:cs="宋体"/>
          <w:sz w:val="24"/>
          <w:szCs w:val="24"/>
        </w:rPr>
      </w:pPr>
      <w:r>
        <w:rPr>
          <w:rFonts w:ascii="宋体" w:hAnsi="宋体" w:eastAsia="宋体" w:cs="宋体"/>
          <w:spacing w:val="1"/>
          <w:position w:val="17"/>
          <w:sz w:val="24"/>
          <w:szCs w:val="24"/>
        </w:rPr>
        <w:t>(3)发包人或监理人要求使用其他替代品；或者承</w:t>
      </w:r>
      <w:r>
        <w:rPr>
          <w:rFonts w:ascii="宋体" w:hAnsi="宋体" w:eastAsia="宋体" w:cs="宋体"/>
          <w:position w:val="17"/>
          <w:sz w:val="24"/>
          <w:szCs w:val="24"/>
        </w:rPr>
        <w:t>包人提出，发包人和监理人批准</w:t>
      </w:r>
    </w:p>
    <w:p>
      <w:pPr>
        <w:spacing w:before="1" w:line="219" w:lineRule="auto"/>
        <w:ind w:left="6"/>
        <w:rPr>
          <w:rFonts w:ascii="宋体" w:hAnsi="宋体" w:eastAsia="宋体" w:cs="宋体"/>
          <w:sz w:val="24"/>
          <w:szCs w:val="24"/>
        </w:rPr>
      </w:pPr>
      <w:r>
        <w:rPr>
          <w:rFonts w:ascii="宋体" w:hAnsi="宋体" w:eastAsia="宋体" w:cs="宋体"/>
          <w:spacing w:val="-2"/>
          <w:sz w:val="24"/>
          <w:szCs w:val="24"/>
        </w:rPr>
        <w:t>使用其他替代品；</w:t>
      </w:r>
    </w:p>
    <w:p>
      <w:pPr>
        <w:spacing w:before="183" w:line="219" w:lineRule="auto"/>
        <w:ind w:left="515"/>
        <w:rPr>
          <w:rFonts w:ascii="宋体" w:hAnsi="宋体" w:eastAsia="宋体" w:cs="宋体"/>
          <w:sz w:val="24"/>
          <w:szCs w:val="24"/>
        </w:rPr>
      </w:pPr>
      <w:r>
        <w:rPr>
          <w:rFonts w:ascii="宋体" w:hAnsi="宋体" w:eastAsia="宋体" w:cs="宋体"/>
          <w:spacing w:val="-3"/>
          <w:sz w:val="24"/>
          <w:szCs w:val="24"/>
        </w:rPr>
        <w:t>(4)其他原因导致使用替代品成为必要的。</w:t>
      </w:r>
    </w:p>
    <w:p>
      <w:pPr>
        <w:spacing w:before="180" w:line="468" w:lineRule="exact"/>
        <w:ind w:left="477"/>
        <w:rPr>
          <w:rFonts w:ascii="宋体" w:hAnsi="宋体" w:eastAsia="宋体" w:cs="宋体"/>
          <w:sz w:val="24"/>
          <w:szCs w:val="24"/>
        </w:rPr>
      </w:pPr>
      <w:r>
        <w:rPr>
          <w:rFonts w:ascii="宋体" w:hAnsi="宋体" w:eastAsia="宋体" w:cs="宋体"/>
          <w:spacing w:val="1"/>
          <w:position w:val="17"/>
          <w:sz w:val="24"/>
          <w:szCs w:val="24"/>
        </w:rPr>
        <w:t>如果使用代用材料，承包人应在使用前至少</w:t>
      </w:r>
      <w:r>
        <w:rPr>
          <w:rFonts w:ascii="宋体" w:hAnsi="宋体" w:eastAsia="宋体" w:cs="宋体"/>
          <w:spacing w:val="-33"/>
          <w:position w:val="17"/>
          <w:sz w:val="24"/>
          <w:szCs w:val="24"/>
        </w:rPr>
        <w:t xml:space="preserve"> </w:t>
      </w:r>
      <w:r>
        <w:rPr>
          <w:rFonts w:ascii="宋体" w:hAnsi="宋体" w:eastAsia="宋体" w:cs="宋体"/>
          <w:spacing w:val="1"/>
          <w:position w:val="17"/>
          <w:sz w:val="24"/>
          <w:szCs w:val="24"/>
        </w:rPr>
        <w:t>14</w:t>
      </w:r>
      <w:r>
        <w:rPr>
          <w:rFonts w:ascii="宋体" w:hAnsi="宋体" w:eastAsia="宋体" w:cs="宋体"/>
          <w:spacing w:val="-44"/>
          <w:position w:val="17"/>
          <w:sz w:val="24"/>
          <w:szCs w:val="24"/>
        </w:rPr>
        <w:t xml:space="preserve"> </w:t>
      </w:r>
      <w:r>
        <w:rPr>
          <w:rFonts w:ascii="宋体" w:hAnsi="宋体" w:eastAsia="宋体" w:cs="宋体"/>
          <w:position w:val="17"/>
          <w:sz w:val="24"/>
          <w:szCs w:val="24"/>
        </w:rPr>
        <w:t>天，以书面形式通知监理人并提交</w:t>
      </w:r>
    </w:p>
    <w:p>
      <w:pPr>
        <w:spacing w:before="1" w:line="219" w:lineRule="auto"/>
        <w:ind w:left="12"/>
        <w:rPr>
          <w:rFonts w:ascii="宋体" w:hAnsi="宋体" w:eastAsia="宋体" w:cs="宋体"/>
          <w:sz w:val="24"/>
          <w:szCs w:val="24"/>
        </w:rPr>
      </w:pPr>
      <w:r>
        <w:rPr>
          <w:rFonts w:ascii="宋体" w:hAnsi="宋体" w:eastAsia="宋体" w:cs="宋体"/>
          <w:spacing w:val="-4"/>
          <w:sz w:val="24"/>
          <w:szCs w:val="24"/>
        </w:rPr>
        <w:t>下列文件：</w:t>
      </w:r>
    </w:p>
    <w:p>
      <w:pPr>
        <w:spacing w:before="183" w:line="465" w:lineRule="exact"/>
        <w:ind w:left="515"/>
        <w:rPr>
          <w:rFonts w:ascii="宋体" w:hAnsi="宋体" w:eastAsia="宋体" w:cs="宋体"/>
          <w:sz w:val="24"/>
          <w:szCs w:val="24"/>
        </w:rPr>
      </w:pPr>
      <w:r>
        <w:rPr>
          <w:rFonts w:ascii="宋体" w:hAnsi="宋体" w:eastAsia="宋体" w:cs="宋体"/>
          <w:spacing w:val="1"/>
          <w:position w:val="17"/>
          <w:sz w:val="24"/>
          <w:szCs w:val="24"/>
        </w:rPr>
        <w:t>(1)拟采用的替代品的名称、数量、规格、型号、</w:t>
      </w:r>
      <w:r>
        <w:rPr>
          <w:rFonts w:ascii="宋体" w:hAnsi="宋体" w:eastAsia="宋体" w:cs="宋体"/>
          <w:position w:val="17"/>
          <w:sz w:val="24"/>
          <w:szCs w:val="24"/>
        </w:rPr>
        <w:t>品牌、性能、价格及其他必要的</w:t>
      </w:r>
    </w:p>
    <w:p>
      <w:pPr>
        <w:spacing w:line="220" w:lineRule="auto"/>
        <w:ind w:left="8"/>
        <w:rPr>
          <w:rFonts w:ascii="宋体" w:hAnsi="宋体" w:eastAsia="宋体" w:cs="宋体"/>
          <w:sz w:val="24"/>
          <w:szCs w:val="24"/>
        </w:rPr>
      </w:pPr>
      <w:r>
        <w:rPr>
          <w:rFonts w:ascii="宋体" w:hAnsi="宋体" w:eastAsia="宋体" w:cs="宋体"/>
          <w:spacing w:val="-3"/>
          <w:sz w:val="24"/>
          <w:szCs w:val="24"/>
        </w:rPr>
        <w:t>详细资料；</w:t>
      </w:r>
    </w:p>
    <w:p>
      <w:pPr>
        <w:spacing w:before="180" w:line="219" w:lineRule="auto"/>
        <w:ind w:left="515"/>
        <w:rPr>
          <w:rFonts w:ascii="宋体" w:hAnsi="宋体" w:eastAsia="宋体" w:cs="宋体"/>
          <w:sz w:val="24"/>
          <w:szCs w:val="24"/>
        </w:rPr>
      </w:pPr>
      <w:r>
        <w:rPr>
          <w:rFonts w:ascii="宋体" w:hAnsi="宋体" w:eastAsia="宋体" w:cs="宋体"/>
          <w:spacing w:val="-4"/>
          <w:sz w:val="24"/>
          <w:szCs w:val="24"/>
        </w:rPr>
        <w:t>(2)替代品使用的工程部位；</w:t>
      </w:r>
    </w:p>
    <w:p>
      <w:pPr>
        <w:spacing w:before="183" w:line="219" w:lineRule="auto"/>
        <w:ind w:left="515"/>
        <w:rPr>
          <w:rFonts w:ascii="宋体" w:hAnsi="宋体" w:eastAsia="宋体" w:cs="宋体"/>
          <w:sz w:val="24"/>
          <w:szCs w:val="24"/>
        </w:rPr>
      </w:pPr>
      <w:r>
        <w:rPr>
          <w:rFonts w:ascii="宋体" w:hAnsi="宋体" w:eastAsia="宋体" w:cs="宋体"/>
          <w:spacing w:val="-4"/>
          <w:sz w:val="24"/>
          <w:szCs w:val="24"/>
        </w:rPr>
        <w:t>(3)采用替代品的理由和原因申述；</w:t>
      </w:r>
    </w:p>
    <w:p>
      <w:pPr>
        <w:spacing w:before="181" w:line="468" w:lineRule="exact"/>
        <w:ind w:left="515"/>
        <w:rPr>
          <w:rFonts w:ascii="宋体" w:hAnsi="宋体" w:eastAsia="宋体" w:cs="宋体"/>
          <w:sz w:val="24"/>
          <w:szCs w:val="24"/>
        </w:rPr>
      </w:pPr>
      <w:r>
        <w:rPr>
          <w:rFonts w:ascii="宋体" w:hAnsi="宋体" w:eastAsia="宋体" w:cs="宋体"/>
          <w:spacing w:val="1"/>
          <w:position w:val="17"/>
          <w:sz w:val="24"/>
          <w:szCs w:val="24"/>
        </w:rPr>
        <w:t>(4)替代品与合同中约定的产品之间的差异以及使用替代品后</w:t>
      </w:r>
      <w:r>
        <w:rPr>
          <w:rFonts w:ascii="宋体" w:hAnsi="宋体" w:eastAsia="宋体" w:cs="宋体"/>
          <w:position w:val="17"/>
          <w:sz w:val="24"/>
          <w:szCs w:val="24"/>
        </w:rPr>
        <w:t>可能对工程产生任何</w:t>
      </w:r>
    </w:p>
    <w:p>
      <w:pPr>
        <w:spacing w:before="1" w:line="220" w:lineRule="auto"/>
        <w:ind w:left="6"/>
        <w:rPr>
          <w:rFonts w:ascii="宋体" w:hAnsi="宋体" w:eastAsia="宋体" w:cs="宋体"/>
          <w:sz w:val="24"/>
          <w:szCs w:val="24"/>
        </w:rPr>
      </w:pPr>
      <w:r>
        <w:rPr>
          <w:rFonts w:ascii="宋体" w:hAnsi="宋体" w:eastAsia="宋体" w:cs="宋体"/>
          <w:spacing w:val="-5"/>
          <w:sz w:val="24"/>
          <w:szCs w:val="24"/>
        </w:rPr>
        <w:t>方面的影响；</w:t>
      </w:r>
    </w:p>
    <w:p>
      <w:pPr>
        <w:spacing w:line="425" w:lineRule="auto"/>
        <w:rPr>
          <w:rFonts w:ascii="Arial"/>
          <w:sz w:val="21"/>
        </w:rPr>
      </w:pPr>
    </w:p>
    <w:p>
      <w:pPr>
        <w:spacing w:before="78" w:line="218" w:lineRule="auto"/>
        <w:ind w:left="527"/>
        <w:rPr>
          <w:rFonts w:ascii="宋体" w:hAnsi="宋体" w:eastAsia="宋体" w:cs="宋体"/>
          <w:sz w:val="24"/>
          <w:szCs w:val="24"/>
        </w:rPr>
      </w:pPr>
      <w:r>
        <w:rPr>
          <w:rFonts w:ascii="宋体" w:hAnsi="宋体" w:eastAsia="宋体" w:cs="宋体"/>
          <w:spacing w:val="-6"/>
          <w:sz w:val="24"/>
          <w:szCs w:val="24"/>
        </w:rPr>
        <w:t>(5)价格上的差异；</w:t>
      </w:r>
    </w:p>
    <w:p>
      <w:pPr>
        <w:spacing w:before="181" w:line="219" w:lineRule="auto"/>
        <w:ind w:left="527"/>
        <w:rPr>
          <w:rFonts w:ascii="宋体" w:hAnsi="宋体" w:eastAsia="宋体" w:cs="宋体"/>
          <w:sz w:val="24"/>
          <w:szCs w:val="24"/>
        </w:rPr>
      </w:pPr>
      <w:r>
        <w:rPr>
          <w:rFonts w:ascii="宋体" w:hAnsi="宋体" w:eastAsia="宋体" w:cs="宋体"/>
          <w:spacing w:val="-2"/>
          <w:sz w:val="24"/>
          <w:szCs w:val="24"/>
        </w:rPr>
        <w:t>(6)监理人为作出适当的决定而随时要求承包人提供的任何其他文件。</w:t>
      </w:r>
    </w:p>
    <w:p>
      <w:pPr>
        <w:spacing w:before="182" w:line="359" w:lineRule="auto"/>
        <w:ind w:left="4" w:right="291" w:firstLine="438"/>
        <w:rPr>
          <w:rFonts w:ascii="宋体" w:hAnsi="宋体" w:eastAsia="宋体" w:cs="宋体"/>
          <w:sz w:val="24"/>
          <w:szCs w:val="24"/>
        </w:rPr>
      </w:pPr>
      <w:r>
        <w:rPr>
          <w:rFonts w:ascii="宋体" w:hAnsi="宋体" w:eastAsia="宋体" w:cs="宋体"/>
          <w:spacing w:val="1"/>
          <w:sz w:val="24"/>
          <w:szCs w:val="24"/>
        </w:rPr>
        <w:t>监理人在收到此类通知及上述文件后，应在</w:t>
      </w:r>
      <w:r>
        <w:rPr>
          <w:rFonts w:ascii="宋体" w:hAnsi="宋体" w:eastAsia="宋体" w:cs="宋体"/>
          <w:spacing w:val="-16"/>
          <w:sz w:val="24"/>
          <w:szCs w:val="24"/>
        </w:rPr>
        <w:t xml:space="preserve"> </w:t>
      </w:r>
      <w:r>
        <w:rPr>
          <w:rFonts w:ascii="宋体" w:hAnsi="宋体" w:eastAsia="宋体" w:cs="宋体"/>
          <w:spacing w:val="1"/>
          <w:sz w:val="24"/>
          <w:szCs w:val="24"/>
        </w:rPr>
        <w:t>14</w:t>
      </w:r>
      <w:r>
        <w:rPr>
          <w:rFonts w:ascii="宋体" w:hAnsi="宋体" w:eastAsia="宋体" w:cs="宋体"/>
          <w:spacing w:val="-42"/>
          <w:sz w:val="24"/>
          <w:szCs w:val="24"/>
        </w:rPr>
        <w:t xml:space="preserve"> </w:t>
      </w:r>
      <w:r>
        <w:rPr>
          <w:rFonts w:ascii="宋体" w:hAnsi="宋体" w:eastAsia="宋体" w:cs="宋体"/>
          <w:spacing w:val="1"/>
          <w:sz w:val="24"/>
          <w:szCs w:val="24"/>
        </w:rPr>
        <w:t>天内作出审查意见，并报发包人批</w:t>
      </w:r>
      <w:r>
        <w:rPr>
          <w:rFonts w:ascii="宋体" w:hAnsi="宋体" w:eastAsia="宋体" w:cs="宋体"/>
          <w:sz w:val="24"/>
          <w:szCs w:val="24"/>
        </w:rPr>
        <w:t xml:space="preserve"> </w:t>
      </w:r>
      <w:r>
        <w:rPr>
          <w:rFonts w:ascii="宋体" w:hAnsi="宋体" w:eastAsia="宋体" w:cs="宋体"/>
          <w:spacing w:val="-2"/>
          <w:sz w:val="24"/>
          <w:szCs w:val="24"/>
        </w:rPr>
        <w:t>准。发包人对使用替代品的批准以及承包人据此使用替代品不应解除承包人合同约定的</w:t>
      </w:r>
      <w:r>
        <w:rPr>
          <w:rFonts w:ascii="宋体" w:hAnsi="宋体" w:eastAsia="宋体" w:cs="宋体"/>
          <w:spacing w:val="13"/>
          <w:sz w:val="24"/>
          <w:szCs w:val="24"/>
        </w:rPr>
        <w:t xml:space="preserve"> </w:t>
      </w:r>
      <w:r>
        <w:rPr>
          <w:rFonts w:ascii="宋体" w:hAnsi="宋体" w:eastAsia="宋体" w:cs="宋体"/>
          <w:spacing w:val="-2"/>
          <w:sz w:val="24"/>
          <w:szCs w:val="24"/>
        </w:rPr>
        <w:t>任何职责和义务。任何情况下，使用替代品都应遵守本合同中其他对材料和工程设备的</w:t>
      </w:r>
    </w:p>
    <w:p>
      <w:pPr>
        <w:spacing w:line="219" w:lineRule="auto"/>
        <w:ind w:left="4"/>
        <w:rPr>
          <w:rFonts w:ascii="宋体" w:hAnsi="宋体" w:eastAsia="宋体" w:cs="宋体"/>
          <w:sz w:val="24"/>
          <w:szCs w:val="24"/>
        </w:rPr>
      </w:pPr>
      <w:r>
        <w:rPr>
          <w:rFonts w:ascii="宋体" w:hAnsi="宋体" w:eastAsia="宋体" w:cs="宋体"/>
          <w:spacing w:val="-2"/>
          <w:sz w:val="24"/>
          <w:szCs w:val="24"/>
        </w:rPr>
        <w:t>任何约定。</w:t>
      </w:r>
    </w:p>
    <w:p>
      <w:pPr>
        <w:spacing w:before="182" w:line="219" w:lineRule="auto"/>
        <w:ind w:left="370"/>
        <w:rPr>
          <w:rFonts w:ascii="宋体" w:hAnsi="宋体" w:eastAsia="宋体" w:cs="宋体"/>
          <w:sz w:val="24"/>
          <w:szCs w:val="24"/>
        </w:rPr>
      </w:pPr>
      <w:r>
        <w:rPr>
          <w:rFonts w:ascii="宋体" w:hAnsi="宋体" w:eastAsia="宋体" w:cs="宋体"/>
          <w:spacing w:val="-2"/>
          <w:sz w:val="24"/>
          <w:szCs w:val="24"/>
        </w:rPr>
        <w:t>5.5.2  机制砂的使用</w:t>
      </w:r>
    </w:p>
    <w:p>
      <w:pPr>
        <w:spacing w:before="181" w:line="219" w:lineRule="auto"/>
        <w:ind w:left="484"/>
        <w:rPr>
          <w:rFonts w:ascii="宋体" w:hAnsi="宋体" w:eastAsia="宋体" w:cs="宋体"/>
          <w:sz w:val="24"/>
          <w:szCs w:val="24"/>
        </w:rPr>
      </w:pPr>
      <w:r>
        <w:rPr>
          <w:rFonts w:ascii="宋体" w:hAnsi="宋体" w:eastAsia="宋体" w:cs="宋体"/>
          <w:sz w:val="24"/>
          <w:szCs w:val="24"/>
        </w:rPr>
        <w:t>机制砂应满足设计文件和技术规范的要求，并按照国家、省</w:t>
      </w:r>
      <w:r>
        <w:rPr>
          <w:rFonts w:ascii="宋体" w:hAnsi="宋体" w:eastAsia="宋体" w:cs="宋体"/>
          <w:spacing w:val="-1"/>
          <w:sz w:val="24"/>
          <w:szCs w:val="24"/>
        </w:rPr>
        <w:t>有关文件的规定使用。</w:t>
      </w:r>
    </w:p>
    <w:p>
      <w:pPr>
        <w:spacing w:before="184" w:line="219" w:lineRule="auto"/>
        <w:ind w:left="490"/>
        <w:rPr>
          <w:rFonts w:ascii="宋体" w:hAnsi="宋体" w:eastAsia="宋体" w:cs="宋体"/>
          <w:sz w:val="24"/>
          <w:szCs w:val="24"/>
        </w:rPr>
      </w:pPr>
      <w:r>
        <w:rPr>
          <w:rFonts w:ascii="宋体" w:hAnsi="宋体" w:eastAsia="宋体" w:cs="宋体"/>
          <w:spacing w:val="-1"/>
          <w:sz w:val="24"/>
          <w:szCs w:val="24"/>
        </w:rPr>
        <w:t>5.6 材料、工程设备和工程的试验和检验</w:t>
      </w:r>
    </w:p>
    <w:p>
      <w:pPr>
        <w:spacing w:before="182" w:line="359" w:lineRule="auto"/>
        <w:ind w:left="5" w:right="230" w:firstLine="484"/>
        <w:rPr>
          <w:rFonts w:ascii="宋体" w:hAnsi="宋体" w:eastAsia="宋体" w:cs="宋体"/>
          <w:sz w:val="24"/>
          <w:szCs w:val="24"/>
        </w:rPr>
      </w:pPr>
      <w:r>
        <w:rPr>
          <w:rFonts w:ascii="宋体" w:hAnsi="宋体" w:eastAsia="宋体" w:cs="宋体"/>
          <w:spacing w:val="-3"/>
          <w:sz w:val="24"/>
          <w:szCs w:val="24"/>
        </w:rPr>
        <w:t>5.6.1承包人应按合同约定和技术标准，以及试验人的相关要</w:t>
      </w:r>
      <w:r>
        <w:rPr>
          <w:rFonts w:ascii="宋体" w:hAnsi="宋体" w:eastAsia="宋体" w:cs="宋体"/>
          <w:spacing w:val="-4"/>
          <w:sz w:val="24"/>
          <w:szCs w:val="24"/>
        </w:rPr>
        <w:t>求，建立工地试验室，</w:t>
      </w:r>
      <w:r>
        <w:rPr>
          <w:rFonts w:ascii="宋体" w:hAnsi="宋体" w:eastAsia="宋体" w:cs="宋体"/>
          <w:sz w:val="24"/>
          <w:szCs w:val="24"/>
        </w:rPr>
        <w:t xml:space="preserve"> </w:t>
      </w:r>
      <w:r>
        <w:rPr>
          <w:rFonts w:ascii="宋体" w:hAnsi="宋体" w:eastAsia="宋体" w:cs="宋体"/>
          <w:spacing w:val="-2"/>
          <w:sz w:val="24"/>
          <w:szCs w:val="24"/>
        </w:rPr>
        <w:t>完善试验和检验体系，对材料、工程设备和工程的质量进行试验和检验，向监理履行报</w:t>
      </w:r>
      <w:r>
        <w:rPr>
          <w:rFonts w:ascii="宋体" w:hAnsi="宋体" w:eastAsia="宋体" w:cs="宋体"/>
          <w:spacing w:val="12"/>
          <w:sz w:val="24"/>
          <w:szCs w:val="24"/>
        </w:rPr>
        <w:t xml:space="preserve"> </w:t>
      </w:r>
      <w:r>
        <w:rPr>
          <w:rFonts w:ascii="宋体" w:hAnsi="宋体" w:eastAsia="宋体" w:cs="宋体"/>
          <w:spacing w:val="-2"/>
          <w:sz w:val="24"/>
          <w:szCs w:val="24"/>
        </w:rPr>
        <w:t>检程序，并为监理人、试验人对上述材料、工程设备和工程的质量检查，提供必要的试</w:t>
      </w:r>
    </w:p>
    <w:p>
      <w:pPr>
        <w:spacing w:line="220" w:lineRule="auto"/>
        <w:ind w:left="4"/>
        <w:rPr>
          <w:rFonts w:ascii="宋体" w:hAnsi="宋体" w:eastAsia="宋体" w:cs="宋体"/>
          <w:sz w:val="24"/>
          <w:szCs w:val="24"/>
        </w:rPr>
      </w:pPr>
      <w:r>
        <w:rPr>
          <w:rFonts w:ascii="宋体" w:hAnsi="宋体" w:eastAsia="宋体" w:cs="宋体"/>
          <w:spacing w:val="-1"/>
          <w:sz w:val="24"/>
          <w:szCs w:val="24"/>
        </w:rPr>
        <w:t>验资料和原始记录。</w:t>
      </w:r>
    </w:p>
    <w:p>
      <w:pPr>
        <w:spacing w:before="182" w:line="466" w:lineRule="exact"/>
        <w:ind w:left="490"/>
        <w:rPr>
          <w:rFonts w:ascii="宋体" w:hAnsi="宋体" w:eastAsia="宋体" w:cs="宋体"/>
          <w:sz w:val="24"/>
          <w:szCs w:val="24"/>
        </w:rPr>
      </w:pPr>
      <w:r>
        <w:rPr>
          <w:rFonts w:ascii="宋体" w:hAnsi="宋体" w:eastAsia="宋体" w:cs="宋体"/>
          <w:spacing w:val="1"/>
          <w:position w:val="17"/>
          <w:sz w:val="24"/>
          <w:szCs w:val="24"/>
        </w:rPr>
        <w:t>5.6.2承包人应于工程开工前完成工地试验室建设和资质认证工作，工地试验室建</w:t>
      </w:r>
    </w:p>
    <w:p>
      <w:pPr>
        <w:spacing w:before="1" w:line="218" w:lineRule="auto"/>
        <w:ind w:left="9"/>
        <w:rPr>
          <w:rFonts w:ascii="宋体" w:hAnsi="宋体" w:eastAsia="宋体" w:cs="宋体"/>
          <w:sz w:val="24"/>
          <w:szCs w:val="24"/>
        </w:rPr>
      </w:pPr>
      <w:r>
        <w:rPr>
          <w:rFonts w:ascii="宋体" w:hAnsi="宋体" w:eastAsia="宋体" w:cs="宋体"/>
          <w:sz w:val="24"/>
          <w:szCs w:val="24"/>
        </w:rPr>
        <w:t>设、相关配置及管理应满足标准化要求，并按</w:t>
      </w:r>
      <w:r>
        <w:rPr>
          <w:rFonts w:ascii="宋体" w:hAnsi="宋体" w:eastAsia="宋体" w:cs="宋体"/>
          <w:spacing w:val="-1"/>
          <w:sz w:val="24"/>
          <w:szCs w:val="24"/>
        </w:rPr>
        <w:t>发包人发布的项目管理制度执行。</w:t>
      </w:r>
    </w:p>
    <w:p>
      <w:pPr>
        <w:spacing w:before="184" w:line="358" w:lineRule="auto"/>
        <w:ind w:left="7" w:right="291" w:firstLine="482"/>
        <w:rPr>
          <w:rFonts w:ascii="宋体" w:hAnsi="宋体" w:eastAsia="宋体" w:cs="宋体"/>
          <w:sz w:val="24"/>
          <w:szCs w:val="24"/>
        </w:rPr>
      </w:pPr>
      <w:r>
        <w:rPr>
          <w:rFonts w:ascii="宋体" w:hAnsi="宋体" w:eastAsia="宋体" w:cs="宋体"/>
          <w:spacing w:val="1"/>
          <w:sz w:val="24"/>
          <w:szCs w:val="24"/>
        </w:rPr>
        <w:t>5.6.3承包人工地试验室资质范围以外的试验和检验项目，经监理人和发包人同意</w:t>
      </w:r>
      <w:r>
        <w:rPr>
          <w:rFonts w:ascii="宋体" w:hAnsi="宋体" w:eastAsia="宋体" w:cs="宋体"/>
          <w:spacing w:val="13"/>
          <w:sz w:val="24"/>
          <w:szCs w:val="24"/>
        </w:rPr>
        <w:t xml:space="preserve"> </w:t>
      </w:r>
      <w:r>
        <w:rPr>
          <w:rFonts w:ascii="宋体" w:hAnsi="宋体" w:eastAsia="宋体" w:cs="宋体"/>
          <w:spacing w:val="-2"/>
          <w:sz w:val="24"/>
          <w:szCs w:val="24"/>
        </w:rPr>
        <w:t>可对外委托具有相应资质的检测试验机构进行试验，但承包人应将检测试验机构有关资</w:t>
      </w:r>
    </w:p>
    <w:p>
      <w:pPr>
        <w:spacing w:line="219" w:lineRule="auto"/>
        <w:ind w:left="5"/>
        <w:rPr>
          <w:rFonts w:ascii="宋体" w:hAnsi="宋体" w:eastAsia="宋体" w:cs="宋体"/>
          <w:sz w:val="24"/>
          <w:szCs w:val="24"/>
        </w:rPr>
      </w:pPr>
      <w:r>
        <w:rPr>
          <w:rFonts w:ascii="宋体" w:hAnsi="宋体" w:eastAsia="宋体" w:cs="宋体"/>
          <w:spacing w:val="-1"/>
          <w:sz w:val="24"/>
          <w:szCs w:val="24"/>
        </w:rPr>
        <w:t>料报备监理人和试验人。</w:t>
      </w:r>
    </w:p>
    <w:p>
      <w:pPr>
        <w:spacing w:before="183" w:line="468" w:lineRule="exact"/>
        <w:ind w:left="490"/>
        <w:rPr>
          <w:rFonts w:ascii="宋体" w:hAnsi="宋体" w:eastAsia="宋体" w:cs="宋体"/>
          <w:sz w:val="24"/>
          <w:szCs w:val="24"/>
        </w:rPr>
      </w:pPr>
      <w:r>
        <w:rPr>
          <w:rFonts w:ascii="宋体" w:hAnsi="宋体" w:eastAsia="宋体" w:cs="宋体"/>
          <w:spacing w:val="-2"/>
          <w:position w:val="17"/>
          <w:sz w:val="24"/>
          <w:szCs w:val="24"/>
        </w:rPr>
        <w:t>5.6.4 承包人根据合同约定或监理人指示进行的现场材料试验，应由承包人提供试</w:t>
      </w:r>
    </w:p>
    <w:p>
      <w:pPr>
        <w:spacing w:before="1" w:line="218" w:lineRule="auto"/>
        <w:ind w:left="4"/>
        <w:rPr>
          <w:rFonts w:ascii="宋体" w:hAnsi="宋体" w:eastAsia="宋体" w:cs="宋体"/>
          <w:sz w:val="24"/>
          <w:szCs w:val="24"/>
        </w:rPr>
      </w:pPr>
      <w:r>
        <w:rPr>
          <w:rFonts w:ascii="宋体" w:hAnsi="宋体" w:eastAsia="宋体" w:cs="宋体"/>
          <w:spacing w:val="-1"/>
          <w:sz w:val="24"/>
          <w:szCs w:val="24"/>
        </w:rPr>
        <w:t>验场所、试验人员、试验设备器材以及其他必要的试验条件。</w:t>
      </w:r>
    </w:p>
    <w:p>
      <w:pPr>
        <w:spacing w:before="182" w:line="359" w:lineRule="auto"/>
        <w:ind w:left="9" w:right="291" w:firstLine="480"/>
        <w:rPr>
          <w:rFonts w:ascii="宋体" w:hAnsi="宋体" w:eastAsia="宋体" w:cs="宋体"/>
          <w:sz w:val="24"/>
          <w:szCs w:val="24"/>
        </w:rPr>
      </w:pPr>
      <w:r>
        <w:rPr>
          <w:rFonts w:ascii="宋体" w:hAnsi="宋体" w:eastAsia="宋体" w:cs="宋体"/>
          <w:spacing w:val="-2"/>
          <w:sz w:val="24"/>
          <w:szCs w:val="24"/>
        </w:rPr>
        <w:t>5.6.5 如有必要，发包人、监理人、试验人可以免费使用承包人的试验场所、试验</w:t>
      </w:r>
      <w:r>
        <w:rPr>
          <w:rFonts w:ascii="宋体" w:hAnsi="宋体" w:eastAsia="宋体" w:cs="宋体"/>
          <w:spacing w:val="10"/>
          <w:sz w:val="24"/>
          <w:szCs w:val="24"/>
        </w:rPr>
        <w:t xml:space="preserve"> </w:t>
      </w:r>
      <w:r>
        <w:rPr>
          <w:rFonts w:ascii="宋体" w:hAnsi="宋体" w:eastAsia="宋体" w:cs="宋体"/>
          <w:spacing w:val="-2"/>
          <w:sz w:val="24"/>
          <w:szCs w:val="24"/>
        </w:rPr>
        <w:t>设备器材以及其他试验条件，进行以工程质量检查为目的的复核性材料试验，承包人应</w:t>
      </w:r>
    </w:p>
    <w:p>
      <w:pPr>
        <w:spacing w:line="220" w:lineRule="auto"/>
        <w:ind w:left="12"/>
        <w:rPr>
          <w:rFonts w:ascii="宋体" w:hAnsi="宋体" w:eastAsia="宋体" w:cs="宋体"/>
          <w:sz w:val="24"/>
          <w:szCs w:val="24"/>
        </w:rPr>
      </w:pPr>
      <w:r>
        <w:rPr>
          <w:rFonts w:ascii="宋体" w:hAnsi="宋体" w:eastAsia="宋体" w:cs="宋体"/>
          <w:spacing w:val="-4"/>
          <w:sz w:val="24"/>
          <w:szCs w:val="24"/>
        </w:rPr>
        <w:t>予以协助。</w:t>
      </w:r>
    </w:p>
    <w:p>
      <w:pPr>
        <w:spacing w:before="182" w:line="359" w:lineRule="auto"/>
        <w:ind w:left="6" w:right="292" w:firstLine="483"/>
        <w:rPr>
          <w:rFonts w:ascii="宋体" w:hAnsi="宋体" w:eastAsia="宋体" w:cs="宋体"/>
          <w:sz w:val="24"/>
          <w:szCs w:val="24"/>
        </w:rPr>
      </w:pPr>
      <w:r>
        <w:rPr>
          <w:rFonts w:ascii="宋体" w:hAnsi="宋体" w:eastAsia="宋体" w:cs="宋体"/>
          <w:spacing w:val="4"/>
          <w:sz w:val="24"/>
          <w:szCs w:val="24"/>
        </w:rPr>
        <w:t>5.6.6 承包人的试验和检验和外委试验应严格执行专用项目管理制度的相关规定</w:t>
      </w:r>
      <w:r>
        <w:rPr>
          <w:rFonts w:ascii="宋体" w:hAnsi="宋体" w:eastAsia="宋体" w:cs="宋体"/>
          <w:spacing w:val="17"/>
          <w:sz w:val="24"/>
          <w:szCs w:val="24"/>
        </w:rPr>
        <w:t xml:space="preserve"> </w:t>
      </w:r>
      <w:r>
        <w:rPr>
          <w:rFonts w:ascii="宋体" w:hAnsi="宋体" w:eastAsia="宋体" w:cs="宋体"/>
          <w:sz w:val="24"/>
          <w:szCs w:val="24"/>
        </w:rPr>
        <w:t>和要求。</w:t>
      </w:r>
      <w:r>
        <w:rPr>
          <w:rFonts w:ascii="宋体" w:hAnsi="宋体" w:eastAsia="宋体" w:cs="宋体"/>
          <w:spacing w:val="55"/>
          <w:sz w:val="24"/>
          <w:szCs w:val="24"/>
        </w:rPr>
        <w:t xml:space="preserve"> </w:t>
      </w:r>
      <w:r>
        <w:rPr>
          <w:rFonts w:ascii="宋体" w:hAnsi="宋体" w:eastAsia="宋体" w:cs="宋体"/>
          <w:sz w:val="24"/>
          <w:szCs w:val="24"/>
        </w:rPr>
        <w:t>由承包人、监理人、试验人三方共同委外的检查项目的检测费用由承包人承</w:t>
      </w:r>
    </w:p>
    <w:p>
      <w:pPr>
        <w:spacing w:line="220" w:lineRule="auto"/>
        <w:ind w:left="6"/>
        <w:rPr>
          <w:rFonts w:ascii="宋体" w:hAnsi="宋体" w:eastAsia="宋体" w:cs="宋体"/>
          <w:sz w:val="24"/>
          <w:szCs w:val="24"/>
        </w:rPr>
      </w:pPr>
      <w:r>
        <w:rPr>
          <w:rFonts w:ascii="宋体" w:hAnsi="宋体" w:eastAsia="宋体" w:cs="宋体"/>
          <w:spacing w:val="-6"/>
          <w:sz w:val="24"/>
          <w:szCs w:val="24"/>
        </w:rPr>
        <w:t>担。</w:t>
      </w:r>
    </w:p>
    <w:p>
      <w:pPr>
        <w:spacing w:before="180" w:line="468" w:lineRule="exact"/>
        <w:ind w:left="490"/>
        <w:rPr>
          <w:rFonts w:ascii="宋体" w:hAnsi="宋体" w:eastAsia="宋体" w:cs="宋体"/>
          <w:sz w:val="24"/>
          <w:szCs w:val="24"/>
        </w:rPr>
      </w:pPr>
      <w:r>
        <w:rPr>
          <w:rFonts w:ascii="宋体" w:hAnsi="宋体" w:eastAsia="宋体" w:cs="宋体"/>
          <w:spacing w:val="-2"/>
          <w:position w:val="17"/>
          <w:sz w:val="24"/>
          <w:szCs w:val="24"/>
        </w:rPr>
        <w:t>5.6.7 承包人应根据材料、工程设备进场计划和工程施工计划，制订相应试验和检</w:t>
      </w:r>
    </w:p>
    <w:p>
      <w:pPr>
        <w:spacing w:line="219" w:lineRule="auto"/>
        <w:ind w:left="4"/>
        <w:rPr>
          <w:rFonts w:ascii="宋体" w:hAnsi="宋体" w:eastAsia="宋体" w:cs="宋体"/>
          <w:sz w:val="24"/>
          <w:szCs w:val="24"/>
        </w:rPr>
      </w:pPr>
      <w:r>
        <w:rPr>
          <w:rFonts w:ascii="宋体" w:hAnsi="宋体" w:eastAsia="宋体" w:cs="宋体"/>
          <w:sz w:val="24"/>
          <w:szCs w:val="24"/>
        </w:rPr>
        <w:t>验计划，按计划开展试验检测工作，并将上述计划报</w:t>
      </w:r>
      <w:r>
        <w:rPr>
          <w:rFonts w:ascii="宋体" w:hAnsi="宋体" w:eastAsia="宋体" w:cs="宋体"/>
          <w:spacing w:val="-1"/>
          <w:sz w:val="24"/>
          <w:szCs w:val="24"/>
        </w:rPr>
        <w:t>送监理人和和试验人。</w:t>
      </w:r>
    </w:p>
    <w:p>
      <w:pPr>
        <w:spacing w:before="180" w:line="468" w:lineRule="exact"/>
        <w:ind w:left="490"/>
        <w:rPr>
          <w:rFonts w:ascii="宋体" w:hAnsi="宋体" w:eastAsia="宋体" w:cs="宋体"/>
          <w:sz w:val="24"/>
          <w:szCs w:val="24"/>
        </w:rPr>
      </w:pPr>
      <w:r>
        <w:rPr>
          <w:rFonts w:ascii="宋体" w:hAnsi="宋体" w:eastAsia="宋体" w:cs="宋体"/>
          <w:spacing w:val="-2"/>
          <w:position w:val="17"/>
          <w:sz w:val="24"/>
          <w:szCs w:val="24"/>
        </w:rPr>
        <w:t>5.6.8 承包人的试验和检验过程须接受监理人的旁站监督；承包人应接受试验检测</w:t>
      </w:r>
    </w:p>
    <w:p>
      <w:pPr>
        <w:spacing w:before="1" w:line="219" w:lineRule="auto"/>
        <w:ind w:left="27"/>
        <w:rPr>
          <w:rFonts w:ascii="宋体" w:hAnsi="宋体" w:eastAsia="宋体" w:cs="宋体"/>
          <w:sz w:val="24"/>
          <w:szCs w:val="24"/>
        </w:rPr>
      </w:pPr>
      <w:r>
        <w:rPr>
          <w:rFonts w:ascii="宋体" w:hAnsi="宋体" w:eastAsia="宋体" w:cs="宋体"/>
          <w:spacing w:val="-1"/>
          <w:sz w:val="24"/>
          <w:szCs w:val="24"/>
        </w:rPr>
        <w:t>中心的监督指导，并按试验检测中心制定的管理制度开展试验检测工作。</w:t>
      </w:r>
    </w:p>
    <w:p>
      <w:pPr>
        <w:spacing w:line="424" w:lineRule="auto"/>
        <w:rPr>
          <w:rFonts w:ascii="Arial"/>
          <w:sz w:val="21"/>
        </w:rPr>
      </w:pPr>
    </w:p>
    <w:p>
      <w:pPr>
        <w:spacing w:before="78" w:line="359" w:lineRule="auto"/>
        <w:ind w:left="6" w:right="291" w:firstLine="483"/>
        <w:jc w:val="both"/>
        <w:rPr>
          <w:rFonts w:ascii="宋体" w:hAnsi="宋体" w:eastAsia="宋体" w:cs="宋体"/>
          <w:sz w:val="24"/>
          <w:szCs w:val="24"/>
        </w:rPr>
      </w:pPr>
      <w:r>
        <w:rPr>
          <w:rFonts w:ascii="宋体" w:hAnsi="宋体" w:eastAsia="宋体" w:cs="宋体"/>
          <w:spacing w:val="-2"/>
          <w:sz w:val="24"/>
          <w:szCs w:val="24"/>
        </w:rPr>
        <w:t>5.6.9 监理人对承包人的试验和检验结果有疑问，或为查清承包人试验和检验成果</w:t>
      </w:r>
      <w:r>
        <w:rPr>
          <w:rFonts w:ascii="宋体" w:hAnsi="宋体" w:eastAsia="宋体" w:cs="宋体"/>
          <w:spacing w:val="10"/>
          <w:sz w:val="24"/>
          <w:szCs w:val="24"/>
        </w:rPr>
        <w:t xml:space="preserve"> </w:t>
      </w:r>
      <w:r>
        <w:rPr>
          <w:rFonts w:ascii="宋体" w:hAnsi="宋体" w:eastAsia="宋体" w:cs="宋体"/>
          <w:spacing w:val="-2"/>
          <w:sz w:val="24"/>
          <w:szCs w:val="24"/>
        </w:rPr>
        <w:t>的可靠性，要求承包人重新试验和检验时，可由监理人、试验人与承包人共同进行。重</w:t>
      </w:r>
      <w:r>
        <w:rPr>
          <w:rFonts w:ascii="宋体" w:hAnsi="宋体" w:eastAsia="宋体" w:cs="宋体"/>
          <w:spacing w:val="11"/>
          <w:sz w:val="24"/>
          <w:szCs w:val="24"/>
        </w:rPr>
        <w:t xml:space="preserve"> </w:t>
      </w:r>
      <w:r>
        <w:rPr>
          <w:rFonts w:ascii="宋体" w:hAnsi="宋体" w:eastAsia="宋体" w:cs="宋体"/>
          <w:spacing w:val="-2"/>
          <w:sz w:val="24"/>
          <w:szCs w:val="24"/>
        </w:rPr>
        <w:t>新试验和检验的结果证明该项材料、工程设备或工程的质量不符合合同要求的，由此增</w:t>
      </w:r>
    </w:p>
    <w:p>
      <w:pPr>
        <w:spacing w:line="219" w:lineRule="auto"/>
        <w:ind w:left="5"/>
        <w:rPr>
          <w:rFonts w:ascii="宋体" w:hAnsi="宋体" w:eastAsia="宋体" w:cs="宋体"/>
          <w:sz w:val="24"/>
          <w:szCs w:val="24"/>
        </w:rPr>
      </w:pPr>
      <w:r>
        <w:rPr>
          <w:rFonts w:ascii="宋体" w:hAnsi="宋体" w:eastAsia="宋体" w:cs="宋体"/>
          <w:spacing w:val="-1"/>
          <w:sz w:val="24"/>
          <w:szCs w:val="24"/>
        </w:rPr>
        <w:t>加的费用和（或）工期延误由承包人承担。</w:t>
      </w:r>
    </w:p>
    <w:p>
      <w:pPr>
        <w:spacing w:before="182" w:line="359" w:lineRule="auto"/>
        <w:ind w:left="4" w:right="291" w:firstLine="485"/>
        <w:jc w:val="both"/>
        <w:rPr>
          <w:rFonts w:ascii="宋体" w:hAnsi="宋体" w:eastAsia="宋体" w:cs="宋体"/>
          <w:sz w:val="24"/>
          <w:szCs w:val="24"/>
        </w:rPr>
      </w:pPr>
      <w:r>
        <w:rPr>
          <w:rFonts w:ascii="宋体" w:hAnsi="宋体" w:eastAsia="宋体" w:cs="宋体"/>
          <w:spacing w:val="1"/>
          <w:sz w:val="24"/>
          <w:szCs w:val="24"/>
        </w:rPr>
        <w:t>5.6.10 发包人、监理人和相关政府部门或发包人认可的其他第三方机构有权对工</w:t>
      </w:r>
      <w:r>
        <w:rPr>
          <w:rFonts w:ascii="宋体" w:hAnsi="宋体" w:eastAsia="宋体" w:cs="宋体"/>
          <w:spacing w:val="12"/>
          <w:sz w:val="24"/>
          <w:szCs w:val="24"/>
        </w:rPr>
        <w:t xml:space="preserve"> </w:t>
      </w:r>
      <w:r>
        <w:rPr>
          <w:rFonts w:ascii="宋体" w:hAnsi="宋体" w:eastAsia="宋体" w:cs="宋体"/>
          <w:spacing w:val="-2"/>
          <w:sz w:val="24"/>
          <w:szCs w:val="24"/>
        </w:rPr>
        <w:t>程的所有部位及其施工工艺、工程设备和材料进行检查和检验。承包人应为上述人员的</w:t>
      </w:r>
      <w:r>
        <w:rPr>
          <w:rFonts w:ascii="宋体" w:hAnsi="宋体" w:eastAsia="宋体" w:cs="宋体"/>
          <w:spacing w:val="13"/>
          <w:sz w:val="24"/>
          <w:szCs w:val="24"/>
        </w:rPr>
        <w:t xml:space="preserve"> </w:t>
      </w:r>
      <w:r>
        <w:rPr>
          <w:rFonts w:ascii="宋体" w:hAnsi="宋体" w:eastAsia="宋体" w:cs="宋体"/>
          <w:spacing w:val="-2"/>
          <w:sz w:val="24"/>
          <w:szCs w:val="24"/>
        </w:rPr>
        <w:t>检查和检验提供方便，包括到施工现场，或制造、加工地点，或其他地方进行察看和查</w:t>
      </w:r>
      <w:r>
        <w:rPr>
          <w:rFonts w:ascii="宋体" w:hAnsi="宋体" w:eastAsia="宋体" w:cs="宋体"/>
          <w:spacing w:val="13"/>
          <w:sz w:val="24"/>
          <w:szCs w:val="24"/>
        </w:rPr>
        <w:t xml:space="preserve"> </w:t>
      </w:r>
      <w:r>
        <w:rPr>
          <w:rFonts w:ascii="宋体" w:hAnsi="宋体" w:eastAsia="宋体" w:cs="宋体"/>
          <w:spacing w:val="-2"/>
          <w:sz w:val="24"/>
          <w:szCs w:val="24"/>
        </w:rPr>
        <w:t>阅施工原始记录。承包人还应按发包人、监理人、试验人和发包人认可的人员指示，进</w:t>
      </w:r>
      <w:r>
        <w:rPr>
          <w:rFonts w:ascii="宋体" w:hAnsi="宋体" w:eastAsia="宋体" w:cs="宋体"/>
          <w:spacing w:val="13"/>
          <w:sz w:val="24"/>
          <w:szCs w:val="24"/>
        </w:rPr>
        <w:t xml:space="preserve"> </w:t>
      </w:r>
      <w:r>
        <w:rPr>
          <w:rFonts w:ascii="宋体" w:hAnsi="宋体" w:eastAsia="宋体" w:cs="宋体"/>
          <w:spacing w:val="-2"/>
          <w:sz w:val="24"/>
          <w:szCs w:val="24"/>
        </w:rPr>
        <w:t>行施工现场取样试验、工程复核测量和设备性能检测，提供试验样品，提交试验报告和</w:t>
      </w:r>
    </w:p>
    <w:p>
      <w:pPr>
        <w:spacing w:line="219" w:lineRule="auto"/>
        <w:ind w:left="6"/>
        <w:rPr>
          <w:rFonts w:ascii="宋体" w:hAnsi="宋体" w:eastAsia="宋体" w:cs="宋体"/>
          <w:sz w:val="24"/>
          <w:szCs w:val="24"/>
        </w:rPr>
      </w:pPr>
      <w:r>
        <w:rPr>
          <w:rFonts w:ascii="宋体" w:hAnsi="宋体" w:eastAsia="宋体" w:cs="宋体"/>
          <w:spacing w:val="-1"/>
          <w:sz w:val="24"/>
          <w:szCs w:val="24"/>
        </w:rPr>
        <w:t>测量成果，完成上述人员要求进行的其他检查和检验工作。</w:t>
      </w:r>
    </w:p>
    <w:p>
      <w:pPr>
        <w:spacing w:before="182" w:line="466" w:lineRule="exact"/>
        <w:ind w:left="489"/>
        <w:rPr>
          <w:rFonts w:ascii="宋体" w:hAnsi="宋体" w:eastAsia="宋体" w:cs="宋体"/>
          <w:sz w:val="24"/>
          <w:szCs w:val="24"/>
        </w:rPr>
      </w:pPr>
      <w:r>
        <w:rPr>
          <w:rFonts w:ascii="宋体" w:hAnsi="宋体" w:eastAsia="宋体" w:cs="宋体"/>
          <w:spacing w:val="-2"/>
          <w:position w:val="17"/>
          <w:sz w:val="24"/>
          <w:szCs w:val="24"/>
        </w:rPr>
        <w:t>发包人、监理人、试验人和发包人认可的相关政府部门或其他第三方机构的检查和</w:t>
      </w:r>
    </w:p>
    <w:p>
      <w:pPr>
        <w:spacing w:line="219" w:lineRule="auto"/>
        <w:ind w:left="5"/>
        <w:rPr>
          <w:rFonts w:ascii="宋体" w:hAnsi="宋体" w:eastAsia="宋体" w:cs="宋体"/>
          <w:sz w:val="24"/>
          <w:szCs w:val="24"/>
        </w:rPr>
      </w:pPr>
      <w:r>
        <w:rPr>
          <w:rFonts w:ascii="宋体" w:hAnsi="宋体" w:eastAsia="宋体" w:cs="宋体"/>
          <w:spacing w:val="-1"/>
          <w:sz w:val="24"/>
          <w:szCs w:val="24"/>
        </w:rPr>
        <w:t>检验，不免除承包人合同约定的责任。</w:t>
      </w:r>
    </w:p>
    <w:p>
      <w:pPr>
        <w:spacing w:before="183" w:line="220" w:lineRule="auto"/>
        <w:ind w:left="490"/>
        <w:rPr>
          <w:rFonts w:ascii="宋体" w:hAnsi="宋体" w:eastAsia="宋体" w:cs="宋体"/>
          <w:sz w:val="24"/>
          <w:szCs w:val="24"/>
        </w:rPr>
      </w:pPr>
      <w:r>
        <w:rPr>
          <w:rFonts w:ascii="宋体" w:hAnsi="宋体" w:eastAsia="宋体" w:cs="宋体"/>
          <w:spacing w:val="-2"/>
          <w:sz w:val="24"/>
          <w:szCs w:val="24"/>
        </w:rPr>
        <w:t>5.7 标准试验</w:t>
      </w:r>
    </w:p>
    <w:p>
      <w:pPr>
        <w:spacing w:before="182" w:line="359" w:lineRule="auto"/>
        <w:ind w:left="9" w:right="291" w:firstLine="480"/>
        <w:jc w:val="both"/>
        <w:rPr>
          <w:rFonts w:ascii="宋体" w:hAnsi="宋体" w:eastAsia="宋体" w:cs="宋体"/>
          <w:sz w:val="24"/>
          <w:szCs w:val="24"/>
        </w:rPr>
      </w:pPr>
      <w:r>
        <w:rPr>
          <w:rFonts w:ascii="宋体" w:hAnsi="宋体" w:eastAsia="宋体" w:cs="宋体"/>
          <w:spacing w:val="-2"/>
          <w:sz w:val="24"/>
          <w:szCs w:val="24"/>
        </w:rPr>
        <w:t>5.7.1 对于混凝土配合比、标准干密度等标准试验，承包人应于相应分项工程开工</w:t>
      </w:r>
      <w:r>
        <w:rPr>
          <w:rFonts w:ascii="宋体" w:hAnsi="宋体" w:eastAsia="宋体" w:cs="宋体"/>
          <w:spacing w:val="10"/>
          <w:sz w:val="24"/>
          <w:szCs w:val="24"/>
        </w:rPr>
        <w:t xml:space="preserve"> </w:t>
      </w:r>
      <w:r>
        <w:rPr>
          <w:rFonts w:ascii="宋体" w:hAnsi="宋体" w:eastAsia="宋体" w:cs="宋体"/>
          <w:spacing w:val="-2"/>
          <w:sz w:val="24"/>
          <w:szCs w:val="24"/>
        </w:rPr>
        <w:t>前完成上述试验，并将试验结果报监理人，同时由试验检测中心进行相应的平行试验检</w:t>
      </w:r>
    </w:p>
    <w:p>
      <w:pPr>
        <w:spacing w:line="220" w:lineRule="auto"/>
        <w:ind w:left="4"/>
        <w:rPr>
          <w:rFonts w:ascii="宋体" w:hAnsi="宋体" w:eastAsia="宋体" w:cs="宋体"/>
          <w:sz w:val="24"/>
          <w:szCs w:val="24"/>
        </w:rPr>
      </w:pPr>
      <w:r>
        <w:rPr>
          <w:rFonts w:ascii="宋体" w:hAnsi="宋体" w:eastAsia="宋体" w:cs="宋体"/>
          <w:spacing w:val="-1"/>
          <w:sz w:val="24"/>
          <w:szCs w:val="24"/>
        </w:rPr>
        <w:t>验，履行审批程序后方可用于工程施工控制。</w:t>
      </w:r>
    </w:p>
    <w:p>
      <w:pPr>
        <w:spacing w:before="180" w:line="465" w:lineRule="exact"/>
        <w:ind w:left="490"/>
        <w:rPr>
          <w:rFonts w:ascii="宋体" w:hAnsi="宋体" w:eastAsia="宋体" w:cs="宋体"/>
          <w:sz w:val="24"/>
          <w:szCs w:val="24"/>
        </w:rPr>
      </w:pPr>
      <w:r>
        <w:rPr>
          <w:rFonts w:ascii="宋体" w:hAnsi="宋体" w:eastAsia="宋体" w:cs="宋体"/>
          <w:spacing w:val="-1"/>
          <w:position w:val="17"/>
          <w:sz w:val="24"/>
          <w:szCs w:val="24"/>
        </w:rPr>
        <w:t>5.7.2 当用于工程施工的原材料发生变化时，承包</w:t>
      </w:r>
      <w:r>
        <w:rPr>
          <w:rFonts w:ascii="宋体" w:hAnsi="宋体" w:eastAsia="宋体" w:cs="宋体"/>
          <w:spacing w:val="-2"/>
          <w:position w:val="17"/>
          <w:sz w:val="24"/>
          <w:szCs w:val="24"/>
        </w:rPr>
        <w:t>人应重新进行上述标准试验，并</w:t>
      </w:r>
    </w:p>
    <w:p>
      <w:pPr>
        <w:spacing w:line="220" w:lineRule="auto"/>
        <w:ind w:left="9"/>
        <w:rPr>
          <w:rFonts w:ascii="宋体" w:hAnsi="宋体" w:eastAsia="宋体" w:cs="宋体"/>
          <w:sz w:val="24"/>
          <w:szCs w:val="24"/>
        </w:rPr>
      </w:pPr>
      <w:r>
        <w:rPr>
          <w:rFonts w:ascii="宋体" w:hAnsi="宋体" w:eastAsia="宋体" w:cs="宋体"/>
          <w:spacing w:val="-2"/>
          <w:sz w:val="24"/>
          <w:szCs w:val="24"/>
        </w:rPr>
        <w:t>履行平行试验和审批程序。</w:t>
      </w:r>
    </w:p>
    <w:p>
      <w:pPr>
        <w:spacing w:before="182" w:line="221" w:lineRule="auto"/>
        <w:ind w:left="490"/>
        <w:rPr>
          <w:rFonts w:ascii="宋体" w:hAnsi="宋体" w:eastAsia="宋体" w:cs="宋体"/>
          <w:sz w:val="24"/>
          <w:szCs w:val="24"/>
        </w:rPr>
      </w:pPr>
      <w:r>
        <w:rPr>
          <w:rFonts w:ascii="宋体" w:hAnsi="宋体" w:eastAsia="宋体" w:cs="宋体"/>
          <w:spacing w:val="-4"/>
          <w:sz w:val="24"/>
          <w:szCs w:val="24"/>
        </w:rPr>
        <w:t>5.8</w:t>
      </w:r>
      <w:r>
        <w:rPr>
          <w:rFonts w:ascii="宋体" w:hAnsi="宋体" w:eastAsia="宋体" w:cs="宋体"/>
          <w:spacing w:val="12"/>
          <w:sz w:val="24"/>
          <w:szCs w:val="24"/>
        </w:rPr>
        <w:t xml:space="preserve"> </w:t>
      </w:r>
      <w:r>
        <w:rPr>
          <w:rFonts w:ascii="宋体" w:hAnsi="宋体" w:eastAsia="宋体" w:cs="宋体"/>
          <w:spacing w:val="-4"/>
          <w:sz w:val="24"/>
          <w:szCs w:val="24"/>
        </w:rPr>
        <w:t>工艺试验</w:t>
      </w:r>
    </w:p>
    <w:p>
      <w:pPr>
        <w:spacing w:before="181" w:line="219" w:lineRule="auto"/>
        <w:ind w:left="490"/>
        <w:rPr>
          <w:rFonts w:ascii="宋体" w:hAnsi="宋体" w:eastAsia="宋体" w:cs="宋体"/>
          <w:sz w:val="24"/>
          <w:szCs w:val="24"/>
        </w:rPr>
      </w:pPr>
      <w:r>
        <w:rPr>
          <w:rFonts w:ascii="宋体" w:hAnsi="宋体" w:eastAsia="宋体" w:cs="宋体"/>
          <w:spacing w:val="-2"/>
          <w:sz w:val="24"/>
          <w:szCs w:val="24"/>
        </w:rPr>
        <w:t>5.8.1 承包人应按合同约定或监理人指示进行现场工艺试验。对大型的现场工艺试</w:t>
      </w:r>
    </w:p>
    <w:p>
      <w:pPr>
        <w:spacing w:before="181" w:line="219" w:lineRule="auto"/>
        <w:ind w:left="4"/>
        <w:rPr>
          <w:rFonts w:ascii="宋体" w:hAnsi="宋体" w:eastAsia="宋体" w:cs="宋体"/>
          <w:sz w:val="24"/>
          <w:szCs w:val="24"/>
        </w:rPr>
      </w:pPr>
      <w:r>
        <w:rPr>
          <w:rFonts w:ascii="宋体" w:hAnsi="宋体" w:eastAsia="宋体" w:cs="宋体"/>
          <w:spacing w:val="-1"/>
          <w:sz w:val="24"/>
          <w:szCs w:val="24"/>
        </w:rPr>
        <w:t>验，应编制工艺试验方案和计划，报送监理人审批后实施。</w:t>
      </w:r>
    </w:p>
    <w:p>
      <w:pPr>
        <w:spacing w:before="183" w:line="466" w:lineRule="exact"/>
        <w:ind w:left="490"/>
        <w:rPr>
          <w:rFonts w:ascii="宋体" w:hAnsi="宋体" w:eastAsia="宋体" w:cs="宋体"/>
          <w:sz w:val="24"/>
          <w:szCs w:val="24"/>
        </w:rPr>
      </w:pPr>
      <w:r>
        <w:rPr>
          <w:rFonts w:ascii="宋体" w:hAnsi="宋体" w:eastAsia="宋体" w:cs="宋体"/>
          <w:spacing w:val="-2"/>
          <w:position w:val="17"/>
          <w:sz w:val="24"/>
          <w:szCs w:val="24"/>
        </w:rPr>
        <w:t>5.8.2 对于特殊工艺质量检验，承包人应制定相应的检验方案和工艺，经评委评审</w:t>
      </w:r>
    </w:p>
    <w:p>
      <w:pPr>
        <w:spacing w:line="219" w:lineRule="auto"/>
        <w:ind w:left="6"/>
        <w:rPr>
          <w:rFonts w:ascii="宋体" w:hAnsi="宋体" w:eastAsia="宋体" w:cs="宋体"/>
          <w:sz w:val="24"/>
          <w:szCs w:val="24"/>
        </w:rPr>
      </w:pPr>
      <w:r>
        <w:rPr>
          <w:rFonts w:ascii="宋体" w:hAnsi="宋体" w:eastAsia="宋体" w:cs="宋体"/>
          <w:spacing w:val="-1"/>
          <w:sz w:val="24"/>
          <w:szCs w:val="24"/>
        </w:rPr>
        <w:t>和发包人审核确认后应用于现场工程质量控制和检验。</w:t>
      </w:r>
    </w:p>
    <w:p>
      <w:pPr>
        <w:spacing w:before="183" w:line="219" w:lineRule="auto"/>
        <w:ind w:left="487"/>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6.</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施工设备和临时设施</w:t>
      </w:r>
    </w:p>
    <w:p>
      <w:pPr>
        <w:spacing w:before="183" w:line="466" w:lineRule="exact"/>
        <w:ind w:left="487"/>
        <w:rPr>
          <w:rFonts w:ascii="宋体" w:hAnsi="宋体" w:eastAsia="宋体" w:cs="宋体"/>
          <w:sz w:val="24"/>
          <w:szCs w:val="24"/>
        </w:rPr>
      </w:pPr>
      <w:r>
        <w:rPr>
          <w:rFonts w:ascii="宋体" w:hAnsi="宋体" w:eastAsia="宋体" w:cs="宋体"/>
          <w:spacing w:val="-2"/>
          <w:position w:val="17"/>
          <w:sz w:val="24"/>
          <w:szCs w:val="24"/>
        </w:rPr>
        <w:t>6.1</w:t>
      </w:r>
      <w:r>
        <w:rPr>
          <w:rFonts w:ascii="宋体" w:hAnsi="宋体" w:eastAsia="宋体" w:cs="宋体"/>
          <w:spacing w:val="-37"/>
          <w:position w:val="17"/>
          <w:sz w:val="24"/>
          <w:szCs w:val="24"/>
        </w:rPr>
        <w:t xml:space="preserve"> </w:t>
      </w:r>
      <w:r>
        <w:rPr>
          <w:rFonts w:ascii="宋体" w:hAnsi="宋体" w:eastAsia="宋体" w:cs="宋体"/>
          <w:spacing w:val="-2"/>
          <w:position w:val="17"/>
          <w:sz w:val="24"/>
          <w:szCs w:val="24"/>
        </w:rPr>
        <w:t>承包人提供的施工设备和临时设施</w:t>
      </w:r>
    </w:p>
    <w:p>
      <w:pPr>
        <w:spacing w:line="219" w:lineRule="auto"/>
        <w:ind w:left="485"/>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44"/>
          <w:sz w:val="24"/>
          <w:szCs w:val="24"/>
        </w:rPr>
        <w:t xml:space="preserve"> </w:t>
      </w:r>
      <w:r>
        <w:rPr>
          <w:rFonts w:ascii="宋体" w:hAnsi="宋体" w:eastAsia="宋体" w:cs="宋体"/>
          <w:spacing w:val="-4"/>
          <w:sz w:val="24"/>
          <w:szCs w:val="24"/>
        </w:rPr>
        <w:t>6.1.1</w:t>
      </w:r>
      <w:r>
        <w:rPr>
          <w:rFonts w:ascii="宋体" w:hAnsi="宋体" w:eastAsia="宋体" w:cs="宋体"/>
          <w:spacing w:val="-47"/>
          <w:sz w:val="24"/>
          <w:szCs w:val="24"/>
        </w:rPr>
        <w:t xml:space="preserve"> </w:t>
      </w:r>
      <w:r>
        <w:rPr>
          <w:rFonts w:ascii="宋体" w:hAnsi="宋体" w:eastAsia="宋体" w:cs="宋体"/>
          <w:spacing w:val="-4"/>
          <w:sz w:val="24"/>
          <w:szCs w:val="24"/>
        </w:rPr>
        <w:t>项补充：</w:t>
      </w:r>
    </w:p>
    <w:p>
      <w:pPr>
        <w:spacing w:before="182" w:line="359" w:lineRule="auto"/>
        <w:ind w:left="5" w:right="291" w:firstLine="480"/>
        <w:jc w:val="both"/>
        <w:rPr>
          <w:rFonts w:ascii="宋体" w:hAnsi="宋体" w:eastAsia="宋体" w:cs="宋体"/>
          <w:sz w:val="24"/>
          <w:szCs w:val="24"/>
        </w:rPr>
      </w:pPr>
      <w:r>
        <w:rPr>
          <w:rFonts w:ascii="宋体" w:hAnsi="宋体" w:eastAsia="宋体" w:cs="宋体"/>
          <w:spacing w:val="-2"/>
          <w:sz w:val="24"/>
          <w:szCs w:val="24"/>
        </w:rPr>
        <w:t>承包人在投标文件承诺的主要机械设备（含检验、试验设备）必须按现场施工需要</w:t>
      </w:r>
      <w:r>
        <w:rPr>
          <w:rFonts w:ascii="宋体" w:hAnsi="宋体" w:eastAsia="宋体" w:cs="宋体"/>
          <w:spacing w:val="8"/>
          <w:sz w:val="24"/>
          <w:szCs w:val="24"/>
        </w:rPr>
        <w:t xml:space="preserve"> </w:t>
      </w:r>
      <w:r>
        <w:rPr>
          <w:rFonts w:ascii="宋体" w:hAnsi="宋体" w:eastAsia="宋体" w:cs="宋体"/>
          <w:spacing w:val="-2"/>
          <w:sz w:val="24"/>
          <w:szCs w:val="24"/>
        </w:rPr>
        <w:t>到位；承包人不管何种原因需推迟设备到位时间或改变到位设备的数量、型号等，均须</w:t>
      </w:r>
      <w:r>
        <w:rPr>
          <w:rFonts w:ascii="宋体" w:hAnsi="宋体" w:eastAsia="宋体" w:cs="宋体"/>
          <w:spacing w:val="12"/>
          <w:sz w:val="24"/>
          <w:szCs w:val="24"/>
        </w:rPr>
        <w:t xml:space="preserve"> </w:t>
      </w:r>
      <w:r>
        <w:rPr>
          <w:rFonts w:ascii="宋体" w:hAnsi="宋体" w:eastAsia="宋体" w:cs="宋体"/>
          <w:spacing w:val="-2"/>
          <w:sz w:val="24"/>
          <w:szCs w:val="24"/>
        </w:rPr>
        <w:t>事先经发包人和监理人的同意并将变更情况书面报监理人备案，违反上述规定视为承包</w:t>
      </w:r>
    </w:p>
    <w:p>
      <w:pPr>
        <w:spacing w:before="1" w:line="219" w:lineRule="auto"/>
        <w:ind w:left="7"/>
        <w:rPr>
          <w:rFonts w:ascii="宋体" w:hAnsi="宋体" w:eastAsia="宋体" w:cs="宋体"/>
          <w:sz w:val="24"/>
          <w:szCs w:val="24"/>
        </w:rPr>
      </w:pPr>
      <w:r>
        <w:rPr>
          <w:rFonts w:ascii="宋体" w:hAnsi="宋体" w:eastAsia="宋体" w:cs="宋体"/>
          <w:spacing w:val="-3"/>
          <w:sz w:val="24"/>
          <w:szCs w:val="24"/>
        </w:rPr>
        <w:t>人违约并按</w:t>
      </w:r>
      <w:r>
        <w:rPr>
          <w:rFonts w:ascii="宋体" w:hAnsi="宋体" w:eastAsia="宋体" w:cs="宋体"/>
          <w:spacing w:val="-38"/>
          <w:sz w:val="24"/>
          <w:szCs w:val="24"/>
        </w:rPr>
        <w:t xml:space="preserve"> </w:t>
      </w:r>
      <w:r>
        <w:rPr>
          <w:rFonts w:ascii="宋体" w:hAnsi="宋体" w:eastAsia="宋体" w:cs="宋体"/>
          <w:spacing w:val="-3"/>
          <w:sz w:val="24"/>
          <w:szCs w:val="24"/>
        </w:rPr>
        <w:t>22.1</w:t>
      </w:r>
      <w:r>
        <w:rPr>
          <w:rFonts w:ascii="宋体" w:hAnsi="宋体" w:eastAsia="宋体" w:cs="宋体"/>
          <w:spacing w:val="-50"/>
          <w:sz w:val="24"/>
          <w:szCs w:val="24"/>
        </w:rPr>
        <w:t xml:space="preserve"> </w:t>
      </w:r>
      <w:r>
        <w:rPr>
          <w:rFonts w:ascii="宋体" w:hAnsi="宋体" w:eastAsia="宋体" w:cs="宋体"/>
          <w:spacing w:val="-3"/>
          <w:sz w:val="24"/>
          <w:szCs w:val="24"/>
        </w:rPr>
        <w:t>款约定处理。</w:t>
      </w:r>
    </w:p>
    <w:p>
      <w:pPr>
        <w:spacing w:line="424" w:lineRule="auto"/>
        <w:rPr>
          <w:rFonts w:ascii="Arial"/>
          <w:sz w:val="21"/>
        </w:rPr>
      </w:pPr>
    </w:p>
    <w:p>
      <w:pPr>
        <w:spacing w:before="78" w:line="219" w:lineRule="auto"/>
        <w:ind w:left="486"/>
        <w:rPr>
          <w:rFonts w:ascii="宋体" w:hAnsi="宋体" w:eastAsia="宋体" w:cs="宋体"/>
          <w:sz w:val="24"/>
          <w:szCs w:val="24"/>
        </w:rPr>
      </w:pPr>
      <w:r>
        <w:rPr>
          <w:rFonts w:ascii="宋体" w:hAnsi="宋体" w:eastAsia="宋体" w:cs="宋体"/>
          <w:spacing w:val="-3"/>
          <w:sz w:val="24"/>
          <w:szCs w:val="24"/>
        </w:rPr>
        <w:t>本款补充第</w:t>
      </w:r>
      <w:r>
        <w:rPr>
          <w:rFonts w:ascii="宋体" w:hAnsi="宋体" w:eastAsia="宋体" w:cs="宋体"/>
          <w:spacing w:val="-49"/>
          <w:sz w:val="24"/>
          <w:szCs w:val="24"/>
        </w:rPr>
        <w:t xml:space="preserve"> </w:t>
      </w:r>
      <w:r>
        <w:rPr>
          <w:rFonts w:ascii="宋体" w:hAnsi="宋体" w:eastAsia="宋体" w:cs="宋体"/>
          <w:spacing w:val="-3"/>
          <w:sz w:val="24"/>
          <w:szCs w:val="24"/>
        </w:rPr>
        <w:t>6.1.3</w:t>
      </w:r>
      <w:r>
        <w:rPr>
          <w:rFonts w:ascii="宋体" w:hAnsi="宋体" w:eastAsia="宋体" w:cs="宋体"/>
          <w:spacing w:val="-47"/>
          <w:sz w:val="24"/>
          <w:szCs w:val="24"/>
        </w:rPr>
        <w:t xml:space="preserve"> </w:t>
      </w:r>
      <w:r>
        <w:rPr>
          <w:rFonts w:ascii="宋体" w:hAnsi="宋体" w:eastAsia="宋体" w:cs="宋体"/>
          <w:spacing w:val="-3"/>
          <w:sz w:val="24"/>
          <w:szCs w:val="24"/>
        </w:rPr>
        <w:t>项：</w:t>
      </w:r>
    </w:p>
    <w:p>
      <w:pPr>
        <w:spacing w:before="183" w:line="359" w:lineRule="auto"/>
        <w:ind w:left="4" w:right="227" w:firstLine="480"/>
        <w:rPr>
          <w:rFonts w:ascii="宋体" w:hAnsi="宋体" w:eastAsia="宋体" w:cs="宋体"/>
          <w:sz w:val="24"/>
          <w:szCs w:val="24"/>
        </w:rPr>
      </w:pPr>
      <w:r>
        <w:rPr>
          <w:rFonts w:ascii="宋体" w:hAnsi="宋体" w:eastAsia="宋体" w:cs="宋体"/>
          <w:spacing w:val="-2"/>
          <w:sz w:val="24"/>
          <w:szCs w:val="24"/>
        </w:rPr>
        <w:t>承包人进场后，根据施工需要配备龙门吊、塔吊、架桥机等特种设备的，须提供厂</w:t>
      </w:r>
      <w:r>
        <w:rPr>
          <w:rFonts w:ascii="宋体" w:hAnsi="宋体" w:eastAsia="宋体" w:cs="宋体"/>
          <w:spacing w:val="8"/>
          <w:sz w:val="24"/>
          <w:szCs w:val="24"/>
        </w:rPr>
        <w:t xml:space="preserve"> </w:t>
      </w:r>
      <w:r>
        <w:rPr>
          <w:rFonts w:ascii="宋体" w:hAnsi="宋体" w:eastAsia="宋体" w:cs="宋体"/>
          <w:spacing w:val="-2"/>
          <w:sz w:val="24"/>
          <w:szCs w:val="24"/>
        </w:rPr>
        <w:t>家生产许可证、产品出厂合格证、设计计算书、使用说明书及图纸等资料；对于架桥机</w:t>
      </w:r>
      <w:r>
        <w:rPr>
          <w:rFonts w:ascii="宋体" w:hAnsi="宋体" w:eastAsia="宋体" w:cs="宋体"/>
          <w:spacing w:val="13"/>
          <w:sz w:val="24"/>
          <w:szCs w:val="24"/>
        </w:rPr>
        <w:t xml:space="preserve"> </w:t>
      </w:r>
      <w:r>
        <w:rPr>
          <w:rFonts w:ascii="宋体" w:hAnsi="宋体" w:eastAsia="宋体" w:cs="宋体"/>
          <w:spacing w:val="-2"/>
          <w:sz w:val="24"/>
          <w:szCs w:val="24"/>
        </w:rPr>
        <w:t>还应提供设备出厂到拟投入使用前的使用履历，包括有无发生过设备事故、有无改装以</w:t>
      </w:r>
      <w:r>
        <w:rPr>
          <w:rFonts w:ascii="宋体" w:hAnsi="宋体" w:eastAsia="宋体" w:cs="宋体"/>
          <w:spacing w:val="13"/>
          <w:sz w:val="24"/>
          <w:szCs w:val="24"/>
        </w:rPr>
        <w:t xml:space="preserve"> </w:t>
      </w:r>
      <w:r>
        <w:rPr>
          <w:rFonts w:ascii="宋体" w:hAnsi="宋体" w:eastAsia="宋体" w:cs="宋体"/>
          <w:spacing w:val="-2"/>
          <w:sz w:val="24"/>
          <w:szCs w:val="24"/>
        </w:rPr>
        <w:t>及有无经过大修；架桥机应明确其使用人及权属人。承包人在特种设备使用前应制定安</w:t>
      </w:r>
      <w:r>
        <w:rPr>
          <w:rFonts w:ascii="宋体" w:hAnsi="宋体" w:eastAsia="宋体" w:cs="宋体"/>
          <w:spacing w:val="13"/>
          <w:sz w:val="24"/>
          <w:szCs w:val="24"/>
        </w:rPr>
        <w:t xml:space="preserve"> </w:t>
      </w:r>
      <w:r>
        <w:rPr>
          <w:rFonts w:ascii="宋体" w:hAnsi="宋体" w:eastAsia="宋体" w:cs="宋体"/>
          <w:spacing w:val="-8"/>
          <w:sz w:val="24"/>
          <w:szCs w:val="24"/>
        </w:rPr>
        <w:t>装拆除方案及生产安全事故应急预案，由具有安装（拆除）资质的单位进行安装（拆除</w:t>
      </w:r>
      <w:r>
        <w:rPr>
          <w:rFonts w:ascii="宋体" w:hAnsi="宋体" w:eastAsia="宋体" w:cs="宋体"/>
          <w:spacing w:val="-54"/>
          <w:w w:val="86"/>
          <w:sz w:val="24"/>
          <w:szCs w:val="24"/>
        </w:rPr>
        <w:t>），</w:t>
      </w:r>
      <w:r>
        <w:rPr>
          <w:rFonts w:ascii="宋体" w:hAnsi="宋体" w:eastAsia="宋体" w:cs="宋体"/>
          <w:sz w:val="24"/>
          <w:szCs w:val="24"/>
        </w:rPr>
        <w:t xml:space="preserve"> </w:t>
      </w:r>
      <w:r>
        <w:rPr>
          <w:rFonts w:ascii="宋体" w:hAnsi="宋体" w:eastAsia="宋体" w:cs="宋体"/>
          <w:spacing w:val="-2"/>
          <w:sz w:val="24"/>
          <w:szCs w:val="24"/>
        </w:rPr>
        <w:t>并向特种设备所在地质量技术监督部门办理告知等一系列手续，提供验收合格证、当地</w:t>
      </w:r>
      <w:r>
        <w:rPr>
          <w:rFonts w:ascii="宋体" w:hAnsi="宋体" w:eastAsia="宋体" w:cs="宋体"/>
          <w:spacing w:val="13"/>
          <w:sz w:val="24"/>
          <w:szCs w:val="24"/>
        </w:rPr>
        <w:t xml:space="preserve"> </w:t>
      </w:r>
      <w:r>
        <w:rPr>
          <w:rFonts w:ascii="宋体" w:hAnsi="宋体" w:eastAsia="宋体" w:cs="宋体"/>
          <w:spacing w:val="-2"/>
          <w:sz w:val="24"/>
          <w:szCs w:val="24"/>
        </w:rPr>
        <w:t>使用登记证等资料。加强特种设备日常维护保养和自行检查制度，对作业人员进行相应</w:t>
      </w:r>
    </w:p>
    <w:p>
      <w:pPr>
        <w:spacing w:line="219" w:lineRule="auto"/>
        <w:ind w:left="25"/>
        <w:rPr>
          <w:rFonts w:ascii="宋体" w:hAnsi="宋体" w:eastAsia="宋体" w:cs="宋体"/>
          <w:sz w:val="24"/>
          <w:szCs w:val="24"/>
        </w:rPr>
      </w:pPr>
      <w:r>
        <w:rPr>
          <w:rFonts w:ascii="宋体" w:hAnsi="宋体" w:eastAsia="宋体" w:cs="宋体"/>
          <w:spacing w:val="-1"/>
          <w:sz w:val="24"/>
          <w:szCs w:val="24"/>
        </w:rPr>
        <w:t>的教育培训、安全技术交底。特种作业人员必须</w:t>
      </w:r>
      <w:r>
        <w:rPr>
          <w:rFonts w:ascii="宋体" w:hAnsi="宋体" w:eastAsia="宋体" w:cs="宋体"/>
          <w:spacing w:val="-2"/>
          <w:sz w:val="24"/>
          <w:szCs w:val="24"/>
        </w:rPr>
        <w:t>持证上岗。</w:t>
      </w:r>
    </w:p>
    <w:p>
      <w:pPr>
        <w:spacing w:before="180" w:line="219" w:lineRule="auto"/>
        <w:ind w:left="487"/>
        <w:rPr>
          <w:rFonts w:ascii="宋体" w:hAnsi="宋体" w:eastAsia="宋体" w:cs="宋体"/>
          <w:sz w:val="24"/>
          <w:szCs w:val="24"/>
        </w:rPr>
      </w:pPr>
      <w:r>
        <w:rPr>
          <w:rFonts w:ascii="宋体" w:hAnsi="宋体" w:eastAsia="宋体" w:cs="宋体"/>
          <w:spacing w:val="-1"/>
          <w:sz w:val="24"/>
          <w:szCs w:val="24"/>
        </w:rPr>
        <w:t>6.3 要求承包人增加或更换施工设备</w:t>
      </w:r>
    </w:p>
    <w:p>
      <w:pPr>
        <w:spacing w:before="182" w:line="219" w:lineRule="auto"/>
        <w:ind w:left="484"/>
        <w:rPr>
          <w:rFonts w:ascii="宋体" w:hAnsi="宋体" w:eastAsia="宋体" w:cs="宋体"/>
          <w:sz w:val="24"/>
          <w:szCs w:val="24"/>
        </w:rPr>
      </w:pPr>
      <w:r>
        <w:rPr>
          <w:rFonts w:ascii="宋体" w:hAnsi="宋体" w:eastAsia="宋体" w:cs="宋体"/>
          <w:spacing w:val="-2"/>
          <w:sz w:val="24"/>
          <w:szCs w:val="24"/>
        </w:rPr>
        <w:t>在本款后补充：</w:t>
      </w:r>
    </w:p>
    <w:p>
      <w:pPr>
        <w:spacing w:before="181" w:line="219" w:lineRule="auto"/>
        <w:ind w:left="485"/>
        <w:rPr>
          <w:rFonts w:ascii="宋体" w:hAnsi="宋体" w:eastAsia="宋体" w:cs="宋体"/>
          <w:sz w:val="24"/>
          <w:szCs w:val="24"/>
        </w:rPr>
      </w:pPr>
      <w:r>
        <w:rPr>
          <w:rFonts w:ascii="宋体" w:hAnsi="宋体" w:eastAsia="宋体" w:cs="宋体"/>
          <w:spacing w:val="-2"/>
          <w:sz w:val="24"/>
          <w:szCs w:val="24"/>
        </w:rPr>
        <w:t>承包人在接到上述指令</w:t>
      </w:r>
      <w:r>
        <w:rPr>
          <w:rFonts w:ascii="宋体" w:hAnsi="宋体" w:eastAsia="宋体" w:cs="宋体"/>
          <w:spacing w:val="-33"/>
          <w:sz w:val="24"/>
          <w:szCs w:val="24"/>
        </w:rPr>
        <w:t xml:space="preserve"> </w:t>
      </w:r>
      <w:r>
        <w:rPr>
          <w:rFonts w:ascii="宋体" w:hAnsi="宋体" w:eastAsia="宋体" w:cs="宋体"/>
          <w:spacing w:val="-2"/>
          <w:sz w:val="24"/>
          <w:szCs w:val="24"/>
        </w:rPr>
        <w:t>14</w:t>
      </w:r>
      <w:r>
        <w:rPr>
          <w:rFonts w:ascii="宋体" w:hAnsi="宋体" w:eastAsia="宋体" w:cs="宋体"/>
          <w:spacing w:val="-46"/>
          <w:sz w:val="24"/>
          <w:szCs w:val="24"/>
        </w:rPr>
        <w:t xml:space="preserve"> </w:t>
      </w:r>
      <w:r>
        <w:rPr>
          <w:rFonts w:ascii="宋体" w:hAnsi="宋体" w:eastAsia="宋体" w:cs="宋体"/>
          <w:spacing w:val="-2"/>
          <w:sz w:val="24"/>
          <w:szCs w:val="24"/>
        </w:rPr>
        <w:t>天内未按要求执行，将按第</w:t>
      </w:r>
      <w:r>
        <w:rPr>
          <w:rFonts w:ascii="宋体" w:hAnsi="宋体" w:eastAsia="宋体" w:cs="宋体"/>
          <w:spacing w:val="-48"/>
          <w:sz w:val="24"/>
          <w:szCs w:val="24"/>
        </w:rPr>
        <w:t xml:space="preserve"> </w:t>
      </w:r>
      <w:r>
        <w:rPr>
          <w:rFonts w:ascii="宋体" w:hAnsi="宋体" w:eastAsia="宋体" w:cs="宋体"/>
          <w:spacing w:val="-2"/>
          <w:sz w:val="24"/>
          <w:szCs w:val="24"/>
        </w:rPr>
        <w:t>22.1</w:t>
      </w:r>
      <w:r>
        <w:rPr>
          <w:rFonts w:ascii="宋体" w:hAnsi="宋体" w:eastAsia="宋体" w:cs="宋体"/>
          <w:spacing w:val="-50"/>
          <w:sz w:val="24"/>
          <w:szCs w:val="24"/>
        </w:rPr>
        <w:t xml:space="preserve"> </w:t>
      </w:r>
      <w:r>
        <w:rPr>
          <w:rFonts w:ascii="宋体" w:hAnsi="宋体" w:eastAsia="宋体" w:cs="宋体"/>
          <w:spacing w:val="-2"/>
          <w:sz w:val="24"/>
          <w:szCs w:val="24"/>
        </w:rPr>
        <w:t>款视为承包人违约。</w:t>
      </w:r>
    </w:p>
    <w:p>
      <w:pPr>
        <w:spacing w:before="184" w:line="219" w:lineRule="auto"/>
        <w:ind w:left="486"/>
        <w:rPr>
          <w:rFonts w:ascii="宋体" w:hAnsi="宋体" w:eastAsia="宋体" w:cs="宋体"/>
          <w:sz w:val="24"/>
          <w:szCs w:val="24"/>
        </w:rPr>
      </w:pPr>
      <w:r>
        <w:rPr>
          <w:rFonts w:ascii="宋体" w:hAnsi="宋体" w:eastAsia="宋体" w:cs="宋体"/>
          <w:spacing w:val="-2"/>
          <w:sz w:val="24"/>
          <w:szCs w:val="24"/>
        </w:rPr>
        <w:t>本条补充第 6.5</w:t>
      </w:r>
      <w:r>
        <w:rPr>
          <w:rFonts w:ascii="宋体" w:hAnsi="宋体" w:eastAsia="宋体" w:cs="宋体"/>
          <w:spacing w:val="10"/>
          <w:sz w:val="24"/>
          <w:szCs w:val="24"/>
        </w:rPr>
        <w:t xml:space="preserve"> </w:t>
      </w:r>
      <w:r>
        <w:rPr>
          <w:rFonts w:ascii="宋体" w:hAnsi="宋体" w:eastAsia="宋体" w:cs="宋体"/>
          <w:spacing w:val="-2"/>
          <w:sz w:val="24"/>
          <w:szCs w:val="24"/>
        </w:rPr>
        <w:t>款：</w:t>
      </w:r>
    </w:p>
    <w:p>
      <w:pPr>
        <w:spacing w:before="184" w:line="219" w:lineRule="auto"/>
        <w:ind w:left="487"/>
        <w:rPr>
          <w:rFonts w:ascii="宋体" w:hAnsi="宋体" w:eastAsia="宋体" w:cs="宋体"/>
          <w:sz w:val="24"/>
          <w:szCs w:val="24"/>
        </w:rPr>
      </w:pPr>
      <w:r>
        <w:rPr>
          <w:rFonts w:ascii="宋体" w:hAnsi="宋体" w:eastAsia="宋体" w:cs="宋体"/>
          <w:spacing w:val="-2"/>
          <w:sz w:val="24"/>
          <w:szCs w:val="24"/>
        </w:rPr>
        <w:t>6.5 信息化管理</w:t>
      </w:r>
    </w:p>
    <w:p>
      <w:pPr>
        <w:spacing w:before="180" w:line="219" w:lineRule="auto"/>
        <w:ind w:left="472"/>
        <w:rPr>
          <w:rFonts w:ascii="宋体" w:hAnsi="宋体" w:eastAsia="宋体" w:cs="宋体"/>
          <w:sz w:val="24"/>
          <w:szCs w:val="24"/>
        </w:rPr>
      </w:pPr>
      <w:r>
        <w:rPr>
          <w:rFonts w:ascii="宋体" w:hAnsi="宋体" w:eastAsia="宋体" w:cs="宋体"/>
          <w:spacing w:val="-1"/>
          <w:sz w:val="24"/>
          <w:szCs w:val="24"/>
        </w:rPr>
        <w:t>6.5.1 计算机系统配置</w:t>
      </w:r>
    </w:p>
    <w:p>
      <w:pPr>
        <w:spacing w:before="184" w:line="465" w:lineRule="exact"/>
        <w:ind w:left="474"/>
        <w:rPr>
          <w:rFonts w:ascii="宋体" w:hAnsi="宋体" w:eastAsia="宋体" w:cs="宋体"/>
          <w:sz w:val="24"/>
          <w:szCs w:val="24"/>
        </w:rPr>
      </w:pPr>
      <w:r>
        <w:rPr>
          <w:rFonts w:ascii="宋体" w:hAnsi="宋体" w:eastAsia="宋体" w:cs="宋体"/>
          <w:spacing w:val="-1"/>
          <w:position w:val="17"/>
          <w:sz w:val="24"/>
          <w:szCs w:val="24"/>
        </w:rPr>
        <w:t>发包人采用信息化手段对本项目进行管理。</w:t>
      </w:r>
      <w:r>
        <w:rPr>
          <w:rFonts w:ascii="宋体" w:hAnsi="宋体" w:eastAsia="宋体" w:cs="宋体"/>
          <w:spacing w:val="-2"/>
          <w:position w:val="17"/>
          <w:sz w:val="24"/>
          <w:szCs w:val="24"/>
        </w:rPr>
        <w:t>承包人的计算机及网络配置应满足项目</w:t>
      </w:r>
    </w:p>
    <w:p>
      <w:pPr>
        <w:spacing w:before="1" w:line="219" w:lineRule="auto"/>
        <w:ind w:left="5"/>
        <w:rPr>
          <w:rFonts w:ascii="宋体" w:hAnsi="宋体" w:eastAsia="宋体" w:cs="宋体"/>
          <w:sz w:val="24"/>
          <w:szCs w:val="24"/>
        </w:rPr>
      </w:pPr>
      <w:r>
        <w:rPr>
          <w:rFonts w:ascii="宋体" w:hAnsi="宋体" w:eastAsia="宋体" w:cs="宋体"/>
          <w:spacing w:val="-1"/>
          <w:sz w:val="24"/>
          <w:szCs w:val="24"/>
        </w:rPr>
        <w:t>信息化管理和发包人的有关要求。</w:t>
      </w:r>
    </w:p>
    <w:p>
      <w:pPr>
        <w:spacing w:before="180" w:line="468" w:lineRule="exact"/>
        <w:ind w:left="470"/>
        <w:rPr>
          <w:rFonts w:ascii="宋体" w:hAnsi="宋体" w:eastAsia="宋体" w:cs="宋体"/>
          <w:sz w:val="24"/>
          <w:szCs w:val="24"/>
        </w:rPr>
      </w:pPr>
      <w:r>
        <w:rPr>
          <w:rFonts w:ascii="宋体" w:hAnsi="宋体" w:eastAsia="宋体" w:cs="宋体"/>
          <w:spacing w:val="-1"/>
          <w:position w:val="17"/>
          <w:sz w:val="24"/>
          <w:szCs w:val="24"/>
        </w:rPr>
        <w:t>承包人应确保有专用计算机和一条专用网络连接线，</w:t>
      </w:r>
      <w:r>
        <w:rPr>
          <w:rFonts w:ascii="宋体" w:hAnsi="宋体" w:eastAsia="宋体" w:cs="宋体"/>
          <w:spacing w:val="-2"/>
          <w:position w:val="17"/>
          <w:sz w:val="24"/>
          <w:szCs w:val="24"/>
        </w:rPr>
        <w:t>同时应充分考虑可视化管理的</w:t>
      </w:r>
    </w:p>
    <w:p>
      <w:pPr>
        <w:spacing w:before="1" w:line="214" w:lineRule="auto"/>
        <w:ind w:left="5"/>
        <w:rPr>
          <w:rFonts w:ascii="宋体" w:hAnsi="宋体" w:eastAsia="宋体" w:cs="宋体"/>
          <w:sz w:val="24"/>
          <w:szCs w:val="24"/>
        </w:rPr>
      </w:pPr>
      <w:r>
        <w:rPr>
          <w:rFonts w:ascii="宋体" w:hAnsi="宋体" w:eastAsia="宋体" w:cs="宋体"/>
          <w:spacing w:val="-3"/>
          <w:sz w:val="24"/>
          <w:szCs w:val="24"/>
        </w:rPr>
        <w:t>手段，网络速度不小于</w:t>
      </w:r>
      <w:r>
        <w:rPr>
          <w:rFonts w:ascii="宋体" w:hAnsi="宋体" w:eastAsia="宋体" w:cs="宋体"/>
          <w:spacing w:val="-17"/>
          <w:sz w:val="24"/>
          <w:szCs w:val="24"/>
        </w:rPr>
        <w:t xml:space="preserve"> </w:t>
      </w:r>
      <w:r>
        <w:rPr>
          <w:rFonts w:ascii="宋体" w:hAnsi="宋体" w:eastAsia="宋体" w:cs="宋体"/>
          <w:spacing w:val="-3"/>
          <w:sz w:val="24"/>
          <w:szCs w:val="24"/>
        </w:rPr>
        <w:t>100Mbps。</w:t>
      </w:r>
    </w:p>
    <w:p>
      <w:pPr>
        <w:spacing w:before="188" w:line="219" w:lineRule="auto"/>
        <w:ind w:left="474"/>
        <w:rPr>
          <w:rFonts w:ascii="宋体" w:hAnsi="宋体" w:eastAsia="宋体" w:cs="宋体"/>
          <w:sz w:val="24"/>
          <w:szCs w:val="24"/>
        </w:rPr>
      </w:pPr>
      <w:r>
        <w:rPr>
          <w:rFonts w:ascii="宋体" w:hAnsi="宋体" w:eastAsia="宋体" w:cs="宋体"/>
          <w:spacing w:val="-1"/>
          <w:sz w:val="24"/>
          <w:szCs w:val="24"/>
        </w:rPr>
        <w:t>项目管理系统专用计算机的管理要求：</w:t>
      </w:r>
    </w:p>
    <w:p>
      <w:pPr>
        <w:spacing w:before="182" w:line="468" w:lineRule="exact"/>
        <w:ind w:left="513"/>
        <w:rPr>
          <w:rFonts w:ascii="宋体" w:hAnsi="宋体" w:eastAsia="宋体" w:cs="宋体"/>
          <w:sz w:val="24"/>
          <w:szCs w:val="24"/>
        </w:rPr>
      </w:pPr>
      <w:r>
        <w:rPr>
          <w:rFonts w:ascii="宋体" w:hAnsi="宋体" w:eastAsia="宋体" w:cs="宋体"/>
          <w:spacing w:val="1"/>
          <w:position w:val="17"/>
          <w:sz w:val="24"/>
          <w:szCs w:val="24"/>
        </w:rPr>
        <w:t>(1)项目管理系统专用的计算机应由熟悉计算机操作的管理人</w:t>
      </w:r>
      <w:r>
        <w:rPr>
          <w:rFonts w:ascii="宋体" w:hAnsi="宋体" w:eastAsia="宋体" w:cs="宋体"/>
          <w:position w:val="17"/>
          <w:sz w:val="24"/>
          <w:szCs w:val="24"/>
        </w:rPr>
        <w:t>员专人管理，管理人</w:t>
      </w:r>
    </w:p>
    <w:p>
      <w:pPr>
        <w:spacing w:before="1" w:line="218" w:lineRule="auto"/>
        <w:ind w:left="14"/>
        <w:rPr>
          <w:rFonts w:ascii="宋体" w:hAnsi="宋体" w:eastAsia="宋体" w:cs="宋体"/>
          <w:sz w:val="24"/>
          <w:szCs w:val="24"/>
        </w:rPr>
      </w:pPr>
      <w:r>
        <w:rPr>
          <w:rFonts w:ascii="宋体" w:hAnsi="宋体" w:eastAsia="宋体" w:cs="宋体"/>
          <w:spacing w:val="-2"/>
          <w:sz w:val="24"/>
          <w:szCs w:val="24"/>
        </w:rPr>
        <w:t>员必须参加发包人举办的培训班。</w:t>
      </w:r>
    </w:p>
    <w:p>
      <w:pPr>
        <w:spacing w:before="181" w:line="468" w:lineRule="exact"/>
        <w:ind w:left="513"/>
        <w:rPr>
          <w:rFonts w:ascii="宋体" w:hAnsi="宋体" w:eastAsia="宋体" w:cs="宋体"/>
          <w:sz w:val="24"/>
          <w:szCs w:val="24"/>
        </w:rPr>
      </w:pPr>
      <w:r>
        <w:rPr>
          <w:rFonts w:ascii="宋体" w:hAnsi="宋体" w:eastAsia="宋体" w:cs="宋体"/>
          <w:spacing w:val="-3"/>
          <w:position w:val="17"/>
          <w:sz w:val="24"/>
          <w:szCs w:val="24"/>
        </w:rPr>
        <w:t>(2)严禁在专用的计算机上安装软驱、光驱或进</w:t>
      </w:r>
      <w:r>
        <w:rPr>
          <w:rFonts w:ascii="宋体" w:hAnsi="宋体" w:eastAsia="宋体" w:cs="宋体"/>
          <w:spacing w:val="-4"/>
          <w:position w:val="17"/>
          <w:sz w:val="24"/>
          <w:szCs w:val="24"/>
        </w:rPr>
        <w:t>行登录</w:t>
      </w:r>
      <w:r>
        <w:rPr>
          <w:rFonts w:ascii="宋体" w:hAnsi="宋体" w:eastAsia="宋体" w:cs="宋体"/>
          <w:spacing w:val="-38"/>
          <w:position w:val="17"/>
          <w:sz w:val="24"/>
          <w:szCs w:val="24"/>
        </w:rPr>
        <w:t xml:space="preserve"> </w:t>
      </w:r>
      <w:r>
        <w:rPr>
          <w:rFonts w:ascii="宋体" w:hAnsi="宋体" w:eastAsia="宋体" w:cs="宋体"/>
          <w:spacing w:val="-4"/>
          <w:position w:val="17"/>
          <w:sz w:val="24"/>
          <w:szCs w:val="24"/>
        </w:rPr>
        <w:t>Internet</w:t>
      </w:r>
      <w:r>
        <w:rPr>
          <w:rFonts w:ascii="宋体" w:hAnsi="宋体" w:eastAsia="宋体" w:cs="宋体"/>
          <w:spacing w:val="-32"/>
          <w:position w:val="17"/>
          <w:sz w:val="24"/>
          <w:szCs w:val="24"/>
        </w:rPr>
        <w:t xml:space="preserve"> </w:t>
      </w:r>
      <w:r>
        <w:rPr>
          <w:rFonts w:ascii="宋体" w:hAnsi="宋体" w:eastAsia="宋体" w:cs="宋体"/>
          <w:spacing w:val="-4"/>
          <w:position w:val="17"/>
          <w:sz w:val="24"/>
          <w:szCs w:val="24"/>
        </w:rPr>
        <w:t>网及其局域网的操</w:t>
      </w:r>
    </w:p>
    <w:p>
      <w:pPr>
        <w:spacing w:line="220" w:lineRule="auto"/>
        <w:ind w:left="6"/>
        <w:rPr>
          <w:rFonts w:ascii="宋体" w:hAnsi="宋体" w:eastAsia="宋体" w:cs="宋体"/>
          <w:sz w:val="24"/>
          <w:szCs w:val="24"/>
        </w:rPr>
      </w:pPr>
      <w:r>
        <w:rPr>
          <w:rFonts w:ascii="宋体" w:hAnsi="宋体" w:eastAsia="宋体" w:cs="宋体"/>
          <w:spacing w:val="-6"/>
          <w:sz w:val="24"/>
          <w:szCs w:val="24"/>
        </w:rPr>
        <w:t>作。</w:t>
      </w:r>
    </w:p>
    <w:p>
      <w:pPr>
        <w:spacing w:before="182" w:line="219" w:lineRule="auto"/>
        <w:ind w:left="513"/>
        <w:rPr>
          <w:rFonts w:ascii="宋体" w:hAnsi="宋体" w:eastAsia="宋体" w:cs="宋体"/>
          <w:sz w:val="24"/>
          <w:szCs w:val="24"/>
        </w:rPr>
      </w:pPr>
      <w:r>
        <w:rPr>
          <w:rFonts w:ascii="宋体" w:hAnsi="宋体" w:eastAsia="宋体" w:cs="宋体"/>
          <w:spacing w:val="-3"/>
          <w:sz w:val="24"/>
          <w:szCs w:val="24"/>
        </w:rPr>
        <w:t>(3)严禁在专用计算机上安装或卸载软件。</w:t>
      </w:r>
    </w:p>
    <w:p>
      <w:pPr>
        <w:spacing w:before="181" w:line="466" w:lineRule="exact"/>
        <w:ind w:left="513"/>
        <w:rPr>
          <w:rFonts w:ascii="宋体" w:hAnsi="宋体" w:eastAsia="宋体" w:cs="宋体"/>
          <w:sz w:val="24"/>
          <w:szCs w:val="24"/>
        </w:rPr>
      </w:pPr>
      <w:r>
        <w:rPr>
          <w:rFonts w:ascii="宋体" w:hAnsi="宋体" w:eastAsia="宋体" w:cs="宋体"/>
          <w:spacing w:val="1"/>
          <w:position w:val="17"/>
          <w:sz w:val="24"/>
          <w:szCs w:val="24"/>
        </w:rPr>
        <w:t>(4)本网络系统对操作者进行了权限设置，任何操作员的违规</w:t>
      </w:r>
      <w:r>
        <w:rPr>
          <w:rFonts w:ascii="宋体" w:hAnsi="宋体" w:eastAsia="宋体" w:cs="宋体"/>
          <w:position w:val="17"/>
          <w:sz w:val="24"/>
          <w:szCs w:val="24"/>
        </w:rPr>
        <w:t>操作将按照有关规定</w:t>
      </w:r>
    </w:p>
    <w:p>
      <w:pPr>
        <w:spacing w:line="223" w:lineRule="auto"/>
        <w:ind w:left="10"/>
        <w:rPr>
          <w:rFonts w:ascii="宋体" w:hAnsi="宋体" w:eastAsia="宋体" w:cs="宋体"/>
          <w:sz w:val="24"/>
          <w:szCs w:val="24"/>
        </w:rPr>
      </w:pPr>
      <w:r>
        <w:rPr>
          <w:rFonts w:ascii="宋体" w:hAnsi="宋体" w:eastAsia="宋体" w:cs="宋体"/>
          <w:spacing w:val="-5"/>
          <w:sz w:val="24"/>
          <w:szCs w:val="24"/>
        </w:rPr>
        <w:t>处理。</w:t>
      </w:r>
    </w:p>
    <w:p>
      <w:pPr>
        <w:spacing w:before="178" w:line="359" w:lineRule="auto"/>
        <w:ind w:left="5" w:right="291" w:firstLine="507"/>
        <w:rPr>
          <w:rFonts w:ascii="宋体" w:hAnsi="宋体" w:eastAsia="宋体" w:cs="宋体"/>
          <w:sz w:val="24"/>
          <w:szCs w:val="24"/>
        </w:rPr>
      </w:pPr>
      <w:r>
        <w:rPr>
          <w:rFonts w:ascii="宋体" w:hAnsi="宋体" w:eastAsia="宋体" w:cs="宋体"/>
          <w:spacing w:val="1"/>
          <w:sz w:val="24"/>
          <w:szCs w:val="24"/>
        </w:rPr>
        <w:t>(5)专用计算机访问登录服务器前，操作员应准备好所有要传</w:t>
      </w:r>
      <w:r>
        <w:rPr>
          <w:rFonts w:ascii="宋体" w:hAnsi="宋体" w:eastAsia="宋体" w:cs="宋体"/>
          <w:sz w:val="24"/>
          <w:szCs w:val="24"/>
        </w:rPr>
        <w:t xml:space="preserve">送的资料，登录后， </w:t>
      </w:r>
      <w:r>
        <w:rPr>
          <w:rFonts w:ascii="宋体" w:hAnsi="宋体" w:eastAsia="宋体" w:cs="宋体"/>
          <w:spacing w:val="-2"/>
          <w:sz w:val="24"/>
          <w:szCs w:val="24"/>
        </w:rPr>
        <w:t>应立即进行传送的操作，以避免长时间占用通讯通道。严禁登录占用通讯通道后才开始</w:t>
      </w:r>
    </w:p>
    <w:p>
      <w:pPr>
        <w:spacing w:before="1" w:line="218" w:lineRule="auto"/>
        <w:ind w:left="6"/>
        <w:rPr>
          <w:rFonts w:ascii="宋体" w:hAnsi="宋体" w:eastAsia="宋体" w:cs="宋体"/>
          <w:sz w:val="24"/>
          <w:szCs w:val="24"/>
        </w:rPr>
      </w:pPr>
      <w:r>
        <w:rPr>
          <w:rFonts w:ascii="宋体" w:hAnsi="宋体" w:eastAsia="宋体" w:cs="宋体"/>
          <w:sz w:val="24"/>
          <w:szCs w:val="24"/>
        </w:rPr>
        <w:t>整理资料或编制文档，若有此情况将视作霸</w:t>
      </w:r>
      <w:r>
        <w:rPr>
          <w:rFonts w:ascii="宋体" w:hAnsi="宋体" w:eastAsia="宋体" w:cs="宋体"/>
          <w:spacing w:val="-1"/>
          <w:sz w:val="24"/>
          <w:szCs w:val="24"/>
        </w:rPr>
        <w:t>用通讯通道处以经济惩罚。</w:t>
      </w:r>
    </w:p>
    <w:p>
      <w:pPr>
        <w:spacing w:line="425" w:lineRule="auto"/>
        <w:rPr>
          <w:rFonts w:ascii="Arial"/>
          <w:sz w:val="21"/>
        </w:rPr>
      </w:pPr>
    </w:p>
    <w:p>
      <w:pPr>
        <w:spacing w:before="78" w:line="466" w:lineRule="exact"/>
        <w:ind w:left="513"/>
        <w:rPr>
          <w:rFonts w:ascii="宋体" w:hAnsi="宋体" w:eastAsia="宋体" w:cs="宋体"/>
          <w:sz w:val="24"/>
          <w:szCs w:val="24"/>
        </w:rPr>
      </w:pPr>
      <w:r>
        <w:rPr>
          <w:rFonts w:ascii="宋体" w:hAnsi="宋体" w:eastAsia="宋体" w:cs="宋体"/>
          <w:spacing w:val="-1"/>
          <w:position w:val="17"/>
          <w:sz w:val="24"/>
          <w:szCs w:val="24"/>
        </w:rPr>
        <w:t>(6)承包人应安排专人配合发包人将项目信息</w:t>
      </w:r>
      <w:r>
        <w:rPr>
          <w:rFonts w:ascii="宋体" w:hAnsi="宋体" w:eastAsia="宋体" w:cs="宋体"/>
          <w:spacing w:val="-2"/>
          <w:position w:val="17"/>
          <w:sz w:val="24"/>
          <w:szCs w:val="24"/>
        </w:rPr>
        <w:t>管理系统与广东省交通运输厅建设管</w:t>
      </w:r>
    </w:p>
    <w:p>
      <w:pPr>
        <w:spacing w:line="219" w:lineRule="auto"/>
        <w:ind w:left="6"/>
        <w:rPr>
          <w:rFonts w:ascii="宋体" w:hAnsi="宋体" w:eastAsia="宋体" w:cs="宋体"/>
          <w:sz w:val="24"/>
          <w:szCs w:val="24"/>
        </w:rPr>
      </w:pPr>
      <w:r>
        <w:rPr>
          <w:rFonts w:ascii="宋体" w:hAnsi="宋体" w:eastAsia="宋体" w:cs="宋体"/>
          <w:spacing w:val="-1"/>
          <w:sz w:val="24"/>
          <w:szCs w:val="24"/>
        </w:rPr>
        <w:t>养平台进行对接，保证网络畅通。</w:t>
      </w:r>
    </w:p>
    <w:p>
      <w:pPr>
        <w:spacing w:before="183" w:line="219" w:lineRule="auto"/>
        <w:ind w:left="491"/>
        <w:rPr>
          <w:rFonts w:ascii="宋体" w:hAnsi="宋体" w:eastAsia="宋体" w:cs="宋体"/>
          <w:sz w:val="24"/>
          <w:szCs w:val="24"/>
        </w:rPr>
      </w:pPr>
      <w:r>
        <w:rPr>
          <w:rFonts w:ascii="宋体" w:hAnsi="宋体" w:eastAsia="宋体" w:cs="宋体"/>
          <w:spacing w:val="-3"/>
          <w:sz w:val="24"/>
          <w:szCs w:val="24"/>
        </w:rPr>
        <w:t>7.交通运输</w:t>
      </w:r>
    </w:p>
    <w:p>
      <w:pPr>
        <w:spacing w:before="180" w:line="219" w:lineRule="auto"/>
        <w:ind w:left="491"/>
        <w:rPr>
          <w:rFonts w:ascii="宋体" w:hAnsi="宋体" w:eastAsia="宋体" w:cs="宋体"/>
          <w:sz w:val="24"/>
          <w:szCs w:val="24"/>
        </w:rPr>
      </w:pPr>
      <w:r>
        <w:rPr>
          <w:rFonts w:ascii="宋体" w:hAnsi="宋体" w:eastAsia="宋体" w:cs="宋体"/>
          <w:spacing w:val="-3"/>
          <w:sz w:val="24"/>
          <w:szCs w:val="24"/>
        </w:rPr>
        <w:t>7.2</w:t>
      </w:r>
      <w:r>
        <w:rPr>
          <w:rFonts w:ascii="宋体" w:hAnsi="宋体" w:eastAsia="宋体" w:cs="宋体"/>
          <w:spacing w:val="-50"/>
          <w:sz w:val="24"/>
          <w:szCs w:val="24"/>
        </w:rPr>
        <w:t xml:space="preserve"> </w:t>
      </w:r>
      <w:r>
        <w:rPr>
          <w:rFonts w:ascii="宋体" w:hAnsi="宋体" w:eastAsia="宋体" w:cs="宋体"/>
          <w:spacing w:val="-3"/>
          <w:sz w:val="24"/>
          <w:szCs w:val="24"/>
        </w:rPr>
        <w:t>场内施工道路</w:t>
      </w:r>
    </w:p>
    <w:p>
      <w:pPr>
        <w:spacing w:before="182" w:line="219" w:lineRule="auto"/>
        <w:ind w:left="486"/>
        <w:rPr>
          <w:rFonts w:ascii="宋体" w:hAnsi="宋体" w:eastAsia="宋体" w:cs="宋体"/>
          <w:sz w:val="24"/>
          <w:szCs w:val="24"/>
        </w:rPr>
      </w:pPr>
      <w:r>
        <w:rPr>
          <w:rFonts w:ascii="宋体" w:hAnsi="宋体" w:eastAsia="宋体" w:cs="宋体"/>
          <w:spacing w:val="-4"/>
          <w:sz w:val="24"/>
          <w:szCs w:val="24"/>
        </w:rPr>
        <w:t>本款补充第</w:t>
      </w:r>
      <w:r>
        <w:rPr>
          <w:rFonts w:ascii="宋体" w:hAnsi="宋体" w:eastAsia="宋体" w:cs="宋体"/>
          <w:spacing w:val="-37"/>
          <w:sz w:val="24"/>
          <w:szCs w:val="24"/>
        </w:rPr>
        <w:t xml:space="preserve"> </w:t>
      </w:r>
      <w:r>
        <w:rPr>
          <w:rFonts w:ascii="宋体" w:hAnsi="宋体" w:eastAsia="宋体" w:cs="宋体"/>
          <w:spacing w:val="-4"/>
          <w:sz w:val="24"/>
          <w:szCs w:val="24"/>
        </w:rPr>
        <w:t>7.2.3</w:t>
      </w:r>
      <w:r>
        <w:rPr>
          <w:rFonts w:ascii="宋体" w:hAnsi="宋体" w:eastAsia="宋体" w:cs="宋体"/>
          <w:spacing w:val="-47"/>
          <w:sz w:val="24"/>
          <w:szCs w:val="24"/>
        </w:rPr>
        <w:t xml:space="preserve"> </w:t>
      </w:r>
      <w:r>
        <w:rPr>
          <w:rFonts w:ascii="宋体" w:hAnsi="宋体" w:eastAsia="宋体" w:cs="宋体"/>
          <w:spacing w:val="-4"/>
          <w:sz w:val="24"/>
          <w:szCs w:val="24"/>
        </w:rPr>
        <w:t>项：</w:t>
      </w:r>
    </w:p>
    <w:p>
      <w:pPr>
        <w:spacing w:before="182" w:line="359" w:lineRule="auto"/>
        <w:ind w:left="8" w:right="291" w:firstLine="477"/>
        <w:rPr>
          <w:rFonts w:ascii="宋体" w:hAnsi="宋体" w:eastAsia="宋体" w:cs="宋体"/>
          <w:sz w:val="24"/>
          <w:szCs w:val="24"/>
        </w:rPr>
      </w:pPr>
      <w:r>
        <w:rPr>
          <w:rFonts w:ascii="宋体" w:hAnsi="宋体" w:eastAsia="宋体" w:cs="宋体"/>
          <w:spacing w:val="-2"/>
          <w:sz w:val="24"/>
          <w:szCs w:val="24"/>
        </w:rPr>
        <w:t>承包人应负责对本标段内施工便道进行建设和维护，包括便道硬化及便桥加固等，</w:t>
      </w:r>
      <w:r>
        <w:rPr>
          <w:rFonts w:ascii="宋体" w:hAnsi="宋体" w:eastAsia="宋体" w:cs="宋体"/>
          <w:spacing w:val="8"/>
          <w:sz w:val="24"/>
          <w:szCs w:val="24"/>
        </w:rPr>
        <w:t xml:space="preserve"> </w:t>
      </w:r>
      <w:r>
        <w:rPr>
          <w:rFonts w:ascii="宋体" w:hAnsi="宋体" w:eastAsia="宋体" w:cs="宋体"/>
          <w:spacing w:val="-2"/>
          <w:sz w:val="24"/>
          <w:szCs w:val="24"/>
        </w:rPr>
        <w:t>并无条件允许发包人、监理人、试验人、本工程其他承包人及供应商使用。如该便道因</w:t>
      </w:r>
      <w:r>
        <w:rPr>
          <w:rFonts w:ascii="宋体" w:hAnsi="宋体" w:eastAsia="宋体" w:cs="宋体"/>
          <w:spacing w:val="9"/>
          <w:sz w:val="24"/>
          <w:szCs w:val="24"/>
        </w:rPr>
        <w:t xml:space="preserve"> </w:t>
      </w:r>
      <w:r>
        <w:rPr>
          <w:rFonts w:ascii="宋体" w:hAnsi="宋体" w:eastAsia="宋体" w:cs="宋体"/>
          <w:spacing w:val="-2"/>
          <w:sz w:val="24"/>
          <w:szCs w:val="24"/>
        </w:rPr>
        <w:t>各种原因损坏而未能及时修复，影响使用的，若发包人与承包人协调无果时，发包人有</w:t>
      </w:r>
    </w:p>
    <w:p>
      <w:pPr>
        <w:spacing w:before="1" w:line="219" w:lineRule="auto"/>
        <w:ind w:left="4"/>
        <w:rPr>
          <w:rFonts w:ascii="宋体" w:hAnsi="宋体" w:eastAsia="宋体" w:cs="宋体"/>
          <w:sz w:val="24"/>
          <w:szCs w:val="24"/>
        </w:rPr>
      </w:pPr>
      <w:r>
        <w:rPr>
          <w:rFonts w:ascii="宋体" w:hAnsi="宋体" w:eastAsia="宋体" w:cs="宋体"/>
          <w:sz w:val="24"/>
          <w:szCs w:val="24"/>
        </w:rPr>
        <w:t>权委托第三方进行修复，所发生的费用从承包人工程款中扣回，</w:t>
      </w:r>
      <w:r>
        <w:rPr>
          <w:rFonts w:ascii="宋体" w:hAnsi="宋体" w:eastAsia="宋体" w:cs="宋体"/>
          <w:spacing w:val="-1"/>
          <w:sz w:val="24"/>
          <w:szCs w:val="24"/>
        </w:rPr>
        <w:t>承包人应无条件接受。</w:t>
      </w:r>
    </w:p>
    <w:p>
      <w:pPr>
        <w:spacing w:before="180" w:line="219" w:lineRule="auto"/>
        <w:ind w:left="486"/>
        <w:rPr>
          <w:rFonts w:ascii="宋体" w:hAnsi="宋体" w:eastAsia="宋体" w:cs="宋体"/>
          <w:sz w:val="24"/>
          <w:szCs w:val="24"/>
        </w:rPr>
      </w:pPr>
      <w:r>
        <w:rPr>
          <w:rFonts w:ascii="宋体" w:hAnsi="宋体" w:eastAsia="宋体" w:cs="宋体"/>
          <w:spacing w:val="-4"/>
          <w:sz w:val="24"/>
          <w:szCs w:val="24"/>
        </w:rPr>
        <w:t>本款补充第</w:t>
      </w:r>
      <w:r>
        <w:rPr>
          <w:rFonts w:ascii="宋体" w:hAnsi="宋体" w:eastAsia="宋体" w:cs="宋体"/>
          <w:spacing w:val="-37"/>
          <w:sz w:val="24"/>
          <w:szCs w:val="24"/>
        </w:rPr>
        <w:t xml:space="preserve"> </w:t>
      </w:r>
      <w:r>
        <w:rPr>
          <w:rFonts w:ascii="宋体" w:hAnsi="宋体" w:eastAsia="宋体" w:cs="宋体"/>
          <w:spacing w:val="-4"/>
          <w:sz w:val="24"/>
          <w:szCs w:val="24"/>
        </w:rPr>
        <w:t>7.2.4</w:t>
      </w:r>
      <w:r>
        <w:rPr>
          <w:rFonts w:ascii="宋体" w:hAnsi="宋体" w:eastAsia="宋体" w:cs="宋体"/>
          <w:spacing w:val="-47"/>
          <w:sz w:val="24"/>
          <w:szCs w:val="24"/>
        </w:rPr>
        <w:t xml:space="preserve"> </w:t>
      </w:r>
      <w:r>
        <w:rPr>
          <w:rFonts w:ascii="宋体" w:hAnsi="宋体" w:eastAsia="宋体" w:cs="宋体"/>
          <w:spacing w:val="-4"/>
          <w:sz w:val="24"/>
          <w:szCs w:val="24"/>
        </w:rPr>
        <w:t>项：</w:t>
      </w:r>
    </w:p>
    <w:p>
      <w:pPr>
        <w:spacing w:before="184" w:line="219" w:lineRule="auto"/>
        <w:ind w:left="491"/>
        <w:rPr>
          <w:rFonts w:ascii="宋体" w:hAnsi="宋体" w:eastAsia="宋体" w:cs="宋体"/>
          <w:sz w:val="24"/>
          <w:szCs w:val="24"/>
        </w:rPr>
      </w:pPr>
      <w:r>
        <w:rPr>
          <w:rFonts w:ascii="宋体" w:hAnsi="宋体" w:eastAsia="宋体" w:cs="宋体"/>
          <w:spacing w:val="-2"/>
          <w:sz w:val="24"/>
          <w:szCs w:val="24"/>
        </w:rPr>
        <w:t>7.2.4</w:t>
      </w:r>
      <w:r>
        <w:rPr>
          <w:rFonts w:ascii="宋体" w:hAnsi="宋体" w:eastAsia="宋体" w:cs="宋体"/>
          <w:spacing w:val="-52"/>
          <w:sz w:val="24"/>
          <w:szCs w:val="24"/>
        </w:rPr>
        <w:t xml:space="preserve"> </w:t>
      </w:r>
      <w:r>
        <w:rPr>
          <w:rFonts w:ascii="宋体" w:hAnsi="宋体" w:eastAsia="宋体" w:cs="宋体"/>
          <w:spacing w:val="-2"/>
          <w:sz w:val="24"/>
          <w:szCs w:val="24"/>
        </w:rPr>
        <w:t>施工便道要求：</w:t>
      </w:r>
    </w:p>
    <w:p>
      <w:pPr>
        <w:spacing w:before="182" w:line="359" w:lineRule="auto"/>
        <w:ind w:left="4" w:right="158" w:firstLine="480"/>
        <w:rPr>
          <w:rFonts w:ascii="宋体" w:hAnsi="宋体" w:eastAsia="宋体" w:cs="宋体"/>
          <w:sz w:val="24"/>
          <w:szCs w:val="24"/>
        </w:rPr>
      </w:pPr>
      <w:r>
        <w:rPr>
          <w:rFonts w:ascii="宋体" w:hAnsi="宋体" w:eastAsia="宋体" w:cs="宋体"/>
          <w:spacing w:val="-2"/>
          <w:sz w:val="24"/>
          <w:szCs w:val="24"/>
        </w:rPr>
        <w:t>承包人应无条件按发包人要求的时间节点拉通施工便道，在实施便道工程前，应做</w:t>
      </w:r>
      <w:r>
        <w:rPr>
          <w:rFonts w:ascii="宋体" w:hAnsi="宋体" w:eastAsia="宋体" w:cs="宋体"/>
          <w:spacing w:val="4"/>
          <w:sz w:val="24"/>
          <w:szCs w:val="24"/>
        </w:rPr>
        <w:t xml:space="preserve">  </w:t>
      </w:r>
      <w:r>
        <w:rPr>
          <w:rFonts w:ascii="宋体" w:hAnsi="宋体" w:eastAsia="宋体" w:cs="宋体"/>
          <w:spacing w:val="-2"/>
          <w:sz w:val="24"/>
          <w:szCs w:val="24"/>
        </w:rPr>
        <w:t>好现场调查，结合工点施工组织方案，编制施工便道专项方案。承包人在取弃土前，应</w:t>
      </w:r>
      <w:r>
        <w:rPr>
          <w:rFonts w:ascii="宋体" w:hAnsi="宋体" w:eastAsia="宋体" w:cs="宋体"/>
          <w:spacing w:val="6"/>
          <w:sz w:val="24"/>
          <w:szCs w:val="24"/>
        </w:rPr>
        <w:t xml:space="preserve">  </w:t>
      </w:r>
      <w:r>
        <w:rPr>
          <w:rFonts w:ascii="宋体" w:hAnsi="宋体" w:eastAsia="宋体" w:cs="宋体"/>
          <w:spacing w:val="-8"/>
          <w:sz w:val="24"/>
          <w:szCs w:val="24"/>
        </w:rPr>
        <w:t>对取弃土场的位置、容量等进行勘测复查，编制取弃土场专项方案。具体方案需符合《广</w:t>
      </w:r>
      <w:r>
        <w:rPr>
          <w:rFonts w:ascii="宋体" w:hAnsi="宋体" w:eastAsia="宋体" w:cs="宋体"/>
          <w:spacing w:val="6"/>
          <w:sz w:val="24"/>
          <w:szCs w:val="24"/>
        </w:rPr>
        <w:t xml:space="preserve">  </w:t>
      </w:r>
      <w:r>
        <w:rPr>
          <w:rFonts w:ascii="宋体" w:hAnsi="宋体" w:eastAsia="宋体" w:cs="宋体"/>
          <w:spacing w:val="-4"/>
          <w:sz w:val="24"/>
          <w:szCs w:val="24"/>
        </w:rPr>
        <w:t>东省交通运输厅关于进一步加强公路施工便道取弃土场的</w:t>
      </w:r>
      <w:r>
        <w:rPr>
          <w:rFonts w:ascii="宋体" w:hAnsi="宋体" w:eastAsia="宋体" w:cs="宋体"/>
          <w:spacing w:val="-5"/>
          <w:sz w:val="24"/>
          <w:szCs w:val="24"/>
        </w:rPr>
        <w:t>设计和施工管理工作的通知》、</w:t>
      </w:r>
      <w:r>
        <w:rPr>
          <w:rFonts w:ascii="宋体" w:hAnsi="宋体" w:eastAsia="宋体" w:cs="宋体"/>
          <w:sz w:val="24"/>
          <w:szCs w:val="24"/>
        </w:rPr>
        <w:t xml:space="preserve"> </w:t>
      </w:r>
      <w:r>
        <w:rPr>
          <w:rFonts w:ascii="宋体" w:hAnsi="宋体" w:eastAsia="宋体" w:cs="宋体"/>
          <w:spacing w:val="-2"/>
          <w:sz w:val="24"/>
          <w:szCs w:val="24"/>
        </w:rPr>
        <w:t>《广东省高速公路工程施工安全标准化指南》和《广东省公路工程施工标准化指南》的</w:t>
      </w:r>
    </w:p>
    <w:p>
      <w:pPr>
        <w:spacing w:before="1" w:line="220" w:lineRule="auto"/>
        <w:ind w:left="6"/>
        <w:rPr>
          <w:rFonts w:ascii="宋体" w:hAnsi="宋体" w:eastAsia="宋体" w:cs="宋体"/>
          <w:sz w:val="24"/>
          <w:szCs w:val="24"/>
        </w:rPr>
      </w:pPr>
      <w:r>
        <w:rPr>
          <w:rFonts w:ascii="宋体" w:hAnsi="宋体" w:eastAsia="宋体" w:cs="宋体"/>
          <w:spacing w:val="-4"/>
          <w:sz w:val="24"/>
          <w:szCs w:val="24"/>
        </w:rPr>
        <w:t>要求。</w:t>
      </w:r>
    </w:p>
    <w:p>
      <w:pPr>
        <w:spacing w:before="179" w:line="220" w:lineRule="auto"/>
        <w:ind w:left="491"/>
        <w:rPr>
          <w:rFonts w:ascii="宋体" w:hAnsi="宋体" w:eastAsia="宋体" w:cs="宋体"/>
          <w:sz w:val="24"/>
          <w:szCs w:val="24"/>
        </w:rPr>
      </w:pPr>
      <w:r>
        <w:rPr>
          <w:rFonts w:ascii="宋体" w:hAnsi="宋体" w:eastAsia="宋体" w:cs="宋体"/>
          <w:spacing w:val="-4"/>
          <w:sz w:val="24"/>
          <w:szCs w:val="24"/>
        </w:rPr>
        <w:t>7.3</w:t>
      </w:r>
      <w:r>
        <w:rPr>
          <w:rFonts w:ascii="宋体" w:hAnsi="宋体" w:eastAsia="宋体" w:cs="宋体"/>
          <w:spacing w:val="-49"/>
          <w:sz w:val="24"/>
          <w:szCs w:val="24"/>
        </w:rPr>
        <w:t xml:space="preserve"> </w:t>
      </w:r>
      <w:r>
        <w:rPr>
          <w:rFonts w:ascii="宋体" w:hAnsi="宋体" w:eastAsia="宋体" w:cs="宋体"/>
          <w:spacing w:val="-4"/>
          <w:sz w:val="24"/>
          <w:szCs w:val="24"/>
        </w:rPr>
        <w:t>场外交通</w:t>
      </w:r>
    </w:p>
    <w:p>
      <w:pPr>
        <w:spacing w:before="181" w:line="219" w:lineRule="auto"/>
        <w:ind w:left="486"/>
        <w:rPr>
          <w:rFonts w:ascii="宋体" w:hAnsi="宋体" w:eastAsia="宋体" w:cs="宋体"/>
          <w:sz w:val="24"/>
          <w:szCs w:val="24"/>
        </w:rPr>
      </w:pPr>
      <w:r>
        <w:rPr>
          <w:rFonts w:ascii="宋体" w:hAnsi="宋体" w:eastAsia="宋体" w:cs="宋体"/>
          <w:spacing w:val="-4"/>
          <w:sz w:val="24"/>
          <w:szCs w:val="24"/>
        </w:rPr>
        <w:t>本款补充第</w:t>
      </w:r>
      <w:r>
        <w:rPr>
          <w:rFonts w:ascii="宋体" w:hAnsi="宋体" w:eastAsia="宋体" w:cs="宋体"/>
          <w:spacing w:val="-37"/>
          <w:sz w:val="24"/>
          <w:szCs w:val="24"/>
        </w:rPr>
        <w:t xml:space="preserve"> </w:t>
      </w:r>
      <w:r>
        <w:rPr>
          <w:rFonts w:ascii="宋体" w:hAnsi="宋体" w:eastAsia="宋体" w:cs="宋体"/>
          <w:spacing w:val="-4"/>
          <w:sz w:val="24"/>
          <w:szCs w:val="24"/>
        </w:rPr>
        <w:t>7.3.3</w:t>
      </w:r>
      <w:r>
        <w:rPr>
          <w:rFonts w:ascii="宋体" w:hAnsi="宋体" w:eastAsia="宋体" w:cs="宋体"/>
          <w:spacing w:val="-47"/>
          <w:sz w:val="24"/>
          <w:szCs w:val="24"/>
        </w:rPr>
        <w:t xml:space="preserve"> </w:t>
      </w:r>
      <w:r>
        <w:rPr>
          <w:rFonts w:ascii="宋体" w:hAnsi="宋体" w:eastAsia="宋体" w:cs="宋体"/>
          <w:spacing w:val="-4"/>
          <w:sz w:val="24"/>
          <w:szCs w:val="24"/>
        </w:rPr>
        <w:t>项：</w:t>
      </w:r>
    </w:p>
    <w:p>
      <w:pPr>
        <w:spacing w:before="184" w:line="219" w:lineRule="auto"/>
        <w:ind w:left="488"/>
        <w:rPr>
          <w:rFonts w:ascii="宋体" w:hAnsi="宋体" w:eastAsia="宋体" w:cs="宋体"/>
          <w:sz w:val="24"/>
          <w:szCs w:val="24"/>
        </w:rPr>
      </w:pPr>
      <w:r>
        <w:rPr>
          <w:rFonts w:ascii="宋体" w:hAnsi="宋体" w:eastAsia="宋体" w:cs="宋体"/>
          <w:spacing w:val="-1"/>
          <w:sz w:val="24"/>
          <w:szCs w:val="24"/>
        </w:rPr>
        <w:t>为保证道路交通安全及运输畅通，承包人应采取以下措施：</w:t>
      </w:r>
    </w:p>
    <w:p>
      <w:pPr>
        <w:spacing w:before="181" w:line="468" w:lineRule="exact"/>
        <w:ind w:left="496"/>
        <w:rPr>
          <w:rFonts w:ascii="宋体" w:hAnsi="宋体" w:eastAsia="宋体" w:cs="宋体"/>
          <w:sz w:val="24"/>
          <w:szCs w:val="24"/>
        </w:rPr>
      </w:pPr>
      <w:r>
        <w:rPr>
          <w:rFonts w:ascii="宋体" w:hAnsi="宋体" w:eastAsia="宋体" w:cs="宋体"/>
          <w:spacing w:val="-2"/>
          <w:position w:val="17"/>
          <w:sz w:val="24"/>
          <w:szCs w:val="24"/>
        </w:rPr>
        <w:t>（a）承包人必须在与市政、交通和交警等部门的协商下采取足够的交通引导措施，</w:t>
      </w:r>
    </w:p>
    <w:p>
      <w:pPr>
        <w:spacing w:line="219" w:lineRule="auto"/>
        <w:ind w:left="32"/>
        <w:rPr>
          <w:rFonts w:ascii="宋体" w:hAnsi="宋体" w:eastAsia="宋体" w:cs="宋体"/>
          <w:sz w:val="24"/>
          <w:szCs w:val="24"/>
        </w:rPr>
      </w:pPr>
      <w:r>
        <w:rPr>
          <w:rFonts w:ascii="宋体" w:hAnsi="宋体" w:eastAsia="宋体" w:cs="宋体"/>
          <w:spacing w:val="-3"/>
          <w:sz w:val="24"/>
          <w:szCs w:val="24"/>
        </w:rPr>
        <w:t>以防止施工期间出现道路堵塞；</w:t>
      </w:r>
    </w:p>
    <w:p>
      <w:pPr>
        <w:spacing w:before="181" w:line="468" w:lineRule="exact"/>
        <w:ind w:left="496"/>
        <w:rPr>
          <w:rFonts w:ascii="宋体" w:hAnsi="宋体" w:eastAsia="宋体" w:cs="宋体"/>
          <w:sz w:val="24"/>
          <w:szCs w:val="24"/>
        </w:rPr>
      </w:pPr>
      <w:r>
        <w:rPr>
          <w:rFonts w:ascii="宋体" w:hAnsi="宋体" w:eastAsia="宋体" w:cs="宋体"/>
          <w:spacing w:val="1"/>
          <w:position w:val="17"/>
          <w:sz w:val="24"/>
          <w:szCs w:val="24"/>
        </w:rPr>
        <w:t>（b）承包人制定施工材料运输计划时，应尽量避开现有道路交通高峰时的运输活</w:t>
      </w:r>
    </w:p>
    <w:p>
      <w:pPr>
        <w:spacing w:line="220" w:lineRule="auto"/>
        <w:ind w:left="6"/>
        <w:rPr>
          <w:rFonts w:ascii="宋体" w:hAnsi="宋体" w:eastAsia="宋体" w:cs="宋体"/>
          <w:sz w:val="24"/>
          <w:szCs w:val="24"/>
        </w:rPr>
      </w:pPr>
      <w:r>
        <w:rPr>
          <w:rFonts w:ascii="宋体" w:hAnsi="宋体" w:eastAsia="宋体" w:cs="宋体"/>
          <w:spacing w:val="-6"/>
          <w:sz w:val="24"/>
          <w:szCs w:val="24"/>
        </w:rPr>
        <w:t>动。</w:t>
      </w:r>
    </w:p>
    <w:p>
      <w:pPr>
        <w:spacing w:before="182" w:line="466" w:lineRule="exact"/>
        <w:ind w:left="496"/>
        <w:rPr>
          <w:rFonts w:ascii="宋体" w:hAnsi="宋体" w:eastAsia="宋体" w:cs="宋体"/>
          <w:sz w:val="24"/>
          <w:szCs w:val="24"/>
        </w:rPr>
      </w:pPr>
      <w:r>
        <w:rPr>
          <w:rFonts w:ascii="宋体" w:hAnsi="宋体" w:eastAsia="宋体" w:cs="宋体"/>
          <w:spacing w:val="1"/>
          <w:position w:val="17"/>
          <w:sz w:val="24"/>
          <w:szCs w:val="24"/>
        </w:rPr>
        <w:t>（c）承包人须编制交通组织方案，报相关部门审查批复，必要时组织评审，费用</w:t>
      </w:r>
    </w:p>
    <w:p>
      <w:pPr>
        <w:spacing w:line="219" w:lineRule="auto"/>
        <w:ind w:left="34"/>
        <w:rPr>
          <w:rFonts w:ascii="宋体" w:hAnsi="宋体" w:eastAsia="宋体" w:cs="宋体"/>
          <w:sz w:val="24"/>
          <w:szCs w:val="24"/>
        </w:rPr>
      </w:pPr>
      <w:r>
        <w:rPr>
          <w:rFonts w:ascii="宋体" w:hAnsi="宋体" w:eastAsia="宋体" w:cs="宋体"/>
          <w:spacing w:val="-3"/>
          <w:sz w:val="24"/>
          <w:szCs w:val="24"/>
        </w:rPr>
        <w:t>由承包人负责（合同另有约定除外）。</w:t>
      </w:r>
    </w:p>
    <w:p>
      <w:pPr>
        <w:spacing w:before="180" w:line="220" w:lineRule="auto"/>
        <w:ind w:left="486"/>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8．测量放线</w:t>
      </w:r>
    </w:p>
    <w:p>
      <w:pPr>
        <w:spacing w:before="182" w:line="221" w:lineRule="auto"/>
        <w:ind w:left="486"/>
        <w:rPr>
          <w:rFonts w:ascii="宋体" w:hAnsi="宋体" w:eastAsia="宋体" w:cs="宋体"/>
          <w:sz w:val="24"/>
          <w:szCs w:val="24"/>
        </w:rPr>
      </w:pPr>
      <w:r>
        <w:rPr>
          <w:rFonts w:ascii="宋体" w:hAnsi="宋体" w:eastAsia="宋体" w:cs="宋体"/>
          <w:spacing w:val="-2"/>
          <w:sz w:val="24"/>
          <w:szCs w:val="24"/>
        </w:rPr>
        <w:t>8.2 施工测量</w:t>
      </w:r>
    </w:p>
    <w:p>
      <w:pPr>
        <w:spacing w:before="178" w:line="219" w:lineRule="auto"/>
        <w:ind w:left="486"/>
        <w:rPr>
          <w:rFonts w:ascii="宋体" w:hAnsi="宋体" w:eastAsia="宋体" w:cs="宋体"/>
          <w:sz w:val="24"/>
          <w:szCs w:val="24"/>
        </w:rPr>
      </w:pPr>
      <w:r>
        <w:rPr>
          <w:rFonts w:ascii="宋体" w:hAnsi="宋体" w:eastAsia="宋体" w:cs="宋体"/>
          <w:spacing w:val="-3"/>
          <w:sz w:val="24"/>
          <w:szCs w:val="24"/>
        </w:rPr>
        <w:t>本款补充第</w:t>
      </w:r>
      <w:r>
        <w:rPr>
          <w:rFonts w:ascii="宋体" w:hAnsi="宋体" w:eastAsia="宋体" w:cs="宋体"/>
          <w:spacing w:val="-49"/>
          <w:sz w:val="24"/>
          <w:szCs w:val="24"/>
        </w:rPr>
        <w:t xml:space="preserve"> </w:t>
      </w:r>
      <w:r>
        <w:rPr>
          <w:rFonts w:ascii="宋体" w:hAnsi="宋体" w:eastAsia="宋体" w:cs="宋体"/>
          <w:spacing w:val="-3"/>
          <w:sz w:val="24"/>
          <w:szCs w:val="24"/>
        </w:rPr>
        <w:t>8.2.3</w:t>
      </w:r>
      <w:r>
        <w:rPr>
          <w:rFonts w:ascii="宋体" w:hAnsi="宋体" w:eastAsia="宋体" w:cs="宋体"/>
          <w:spacing w:val="-47"/>
          <w:sz w:val="24"/>
          <w:szCs w:val="24"/>
        </w:rPr>
        <w:t xml:space="preserve"> </w:t>
      </w:r>
      <w:r>
        <w:rPr>
          <w:rFonts w:ascii="宋体" w:hAnsi="宋体" w:eastAsia="宋体" w:cs="宋体"/>
          <w:spacing w:val="-3"/>
          <w:sz w:val="24"/>
          <w:szCs w:val="24"/>
        </w:rPr>
        <w:t>项：</w:t>
      </w:r>
    </w:p>
    <w:p>
      <w:pPr>
        <w:spacing w:before="184" w:line="219" w:lineRule="auto"/>
        <w:ind w:left="485"/>
        <w:rPr>
          <w:rFonts w:ascii="宋体" w:hAnsi="宋体" w:eastAsia="宋体" w:cs="宋体"/>
          <w:sz w:val="24"/>
          <w:szCs w:val="24"/>
        </w:rPr>
      </w:pPr>
      <w:r>
        <w:rPr>
          <w:rFonts w:ascii="宋体" w:hAnsi="宋体" w:eastAsia="宋体" w:cs="宋体"/>
          <w:spacing w:val="-1"/>
          <w:sz w:val="24"/>
          <w:szCs w:val="24"/>
        </w:rPr>
        <w:t>地面线定测误差引起土石方数量变化原则上不予调整。</w:t>
      </w:r>
    </w:p>
    <w:p>
      <w:pPr>
        <w:spacing w:line="425" w:lineRule="auto"/>
        <w:rPr>
          <w:rFonts w:ascii="Arial"/>
          <w:sz w:val="21"/>
        </w:rPr>
      </w:pPr>
    </w:p>
    <w:p>
      <w:pPr>
        <w:spacing w:before="78" w:line="220" w:lineRule="auto"/>
        <w:ind w:left="486"/>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9.</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施工安全、治安保卫和环境保护</w:t>
      </w:r>
    </w:p>
    <w:p>
      <w:pPr>
        <w:spacing w:before="179" w:line="219" w:lineRule="auto"/>
        <w:ind w:left="486"/>
        <w:rPr>
          <w:rFonts w:ascii="宋体" w:hAnsi="宋体" w:eastAsia="宋体" w:cs="宋体"/>
          <w:sz w:val="24"/>
          <w:szCs w:val="24"/>
        </w:rPr>
      </w:pPr>
      <w:r>
        <w:rPr>
          <w:rFonts w:ascii="宋体" w:hAnsi="宋体" w:eastAsia="宋体" w:cs="宋体"/>
          <w:spacing w:val="-1"/>
          <w:sz w:val="24"/>
          <w:szCs w:val="24"/>
        </w:rPr>
        <w:t>9.2 承包人的施工安全责任</w:t>
      </w:r>
    </w:p>
    <w:p>
      <w:pPr>
        <w:spacing w:before="183" w:line="219" w:lineRule="auto"/>
        <w:ind w:left="485"/>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44"/>
          <w:sz w:val="24"/>
          <w:szCs w:val="24"/>
        </w:rPr>
        <w:t xml:space="preserve"> </w:t>
      </w:r>
      <w:r>
        <w:rPr>
          <w:rFonts w:ascii="宋体" w:hAnsi="宋体" w:eastAsia="宋体" w:cs="宋体"/>
          <w:spacing w:val="-4"/>
          <w:sz w:val="24"/>
          <w:szCs w:val="24"/>
        </w:rPr>
        <w:t>9.2.1</w:t>
      </w:r>
      <w:r>
        <w:rPr>
          <w:rFonts w:ascii="宋体" w:hAnsi="宋体" w:eastAsia="宋体" w:cs="宋体"/>
          <w:spacing w:val="-47"/>
          <w:sz w:val="24"/>
          <w:szCs w:val="24"/>
        </w:rPr>
        <w:t xml:space="preserve"> </w:t>
      </w:r>
      <w:r>
        <w:rPr>
          <w:rFonts w:ascii="宋体" w:hAnsi="宋体" w:eastAsia="宋体" w:cs="宋体"/>
          <w:spacing w:val="-4"/>
          <w:sz w:val="24"/>
          <w:szCs w:val="24"/>
        </w:rPr>
        <w:t>项补充：</w:t>
      </w:r>
    </w:p>
    <w:p>
      <w:pPr>
        <w:spacing w:before="180" w:line="219" w:lineRule="auto"/>
        <w:ind w:left="485"/>
        <w:rPr>
          <w:rFonts w:ascii="宋体" w:hAnsi="宋体" w:eastAsia="宋体" w:cs="宋体"/>
          <w:sz w:val="24"/>
          <w:szCs w:val="24"/>
        </w:rPr>
      </w:pPr>
      <w:r>
        <w:rPr>
          <w:rFonts w:ascii="宋体" w:hAnsi="宋体" w:eastAsia="宋体" w:cs="宋体"/>
          <w:sz w:val="24"/>
          <w:szCs w:val="24"/>
        </w:rPr>
        <w:t>承包人应按《广东省高速公路工程施工安全标准化指南</w:t>
      </w:r>
      <w:r>
        <w:rPr>
          <w:rFonts w:ascii="宋体" w:hAnsi="宋体" w:eastAsia="宋体" w:cs="宋体"/>
          <w:spacing w:val="-1"/>
          <w:sz w:val="24"/>
          <w:szCs w:val="24"/>
        </w:rPr>
        <w:t>》的规定履行安全职责。</w:t>
      </w:r>
    </w:p>
    <w:p>
      <w:pPr>
        <w:spacing w:before="183" w:line="466" w:lineRule="exact"/>
        <w:ind w:left="486"/>
        <w:rPr>
          <w:rFonts w:ascii="宋体" w:hAnsi="宋体" w:eastAsia="宋体" w:cs="宋体"/>
          <w:sz w:val="24"/>
          <w:szCs w:val="24"/>
        </w:rPr>
      </w:pPr>
      <w:r>
        <w:rPr>
          <w:rFonts w:ascii="宋体" w:hAnsi="宋体" w:eastAsia="宋体" w:cs="宋体"/>
          <w:spacing w:val="1"/>
          <w:position w:val="16"/>
          <w:sz w:val="24"/>
          <w:szCs w:val="24"/>
        </w:rPr>
        <w:t>本项目需要编制专项施工方案的工程包括但不限于以下内容补充第（11）~（14）</w:t>
      </w:r>
    </w:p>
    <w:p>
      <w:pPr>
        <w:spacing w:line="222" w:lineRule="auto"/>
        <w:ind w:left="51"/>
        <w:rPr>
          <w:rFonts w:ascii="宋体" w:hAnsi="宋体" w:eastAsia="宋体" w:cs="宋体"/>
          <w:sz w:val="24"/>
          <w:szCs w:val="24"/>
        </w:rPr>
      </w:pPr>
      <w:r>
        <w:rPr>
          <w:rFonts w:ascii="宋体" w:hAnsi="宋体" w:eastAsia="宋体" w:cs="宋体"/>
          <w:spacing w:val="-28"/>
          <w:sz w:val="24"/>
          <w:szCs w:val="24"/>
        </w:rPr>
        <w:t>目：</w:t>
      </w:r>
    </w:p>
    <w:p>
      <w:pPr>
        <w:spacing w:before="179" w:line="219" w:lineRule="auto"/>
        <w:ind w:left="496"/>
        <w:rPr>
          <w:rFonts w:ascii="宋体" w:hAnsi="宋体" w:eastAsia="宋体" w:cs="宋体"/>
          <w:sz w:val="24"/>
          <w:szCs w:val="24"/>
        </w:rPr>
      </w:pPr>
      <w:r>
        <w:rPr>
          <w:rFonts w:ascii="宋体" w:hAnsi="宋体" w:eastAsia="宋体" w:cs="宋体"/>
          <w:spacing w:val="-1"/>
          <w:sz w:val="24"/>
          <w:szCs w:val="24"/>
        </w:rPr>
        <w:t>（11）旧桥涵（含分离立交、匝道桥、现浇、连续梁）的拆除与加固；</w:t>
      </w:r>
    </w:p>
    <w:p>
      <w:pPr>
        <w:spacing w:before="181" w:line="219" w:lineRule="auto"/>
        <w:ind w:left="496"/>
        <w:rPr>
          <w:rFonts w:ascii="宋体" w:hAnsi="宋体" w:eastAsia="宋体" w:cs="宋体"/>
          <w:sz w:val="24"/>
          <w:szCs w:val="24"/>
        </w:rPr>
      </w:pPr>
      <w:r>
        <w:rPr>
          <w:rFonts w:ascii="宋体" w:hAnsi="宋体" w:eastAsia="宋体" w:cs="宋体"/>
          <w:spacing w:val="-2"/>
          <w:sz w:val="24"/>
          <w:szCs w:val="24"/>
        </w:rPr>
        <w:t>（12）纵断面调整路段的路基路面施工；</w:t>
      </w:r>
    </w:p>
    <w:p>
      <w:pPr>
        <w:spacing w:before="184" w:line="219" w:lineRule="auto"/>
        <w:ind w:left="496"/>
        <w:rPr>
          <w:rFonts w:ascii="宋体" w:hAnsi="宋体" w:eastAsia="宋体" w:cs="宋体"/>
          <w:sz w:val="24"/>
          <w:szCs w:val="24"/>
        </w:rPr>
      </w:pPr>
      <w:r>
        <w:rPr>
          <w:rFonts w:ascii="宋体" w:hAnsi="宋体" w:eastAsia="宋体" w:cs="宋体"/>
          <w:spacing w:val="-1"/>
          <w:sz w:val="24"/>
          <w:szCs w:val="24"/>
        </w:rPr>
        <w:t>（13）旧收费雨棚及收费岛拆除，旧门架式监控或标志设施拆除；</w:t>
      </w:r>
    </w:p>
    <w:p>
      <w:pPr>
        <w:spacing w:before="180" w:line="220" w:lineRule="auto"/>
        <w:ind w:left="496"/>
        <w:rPr>
          <w:rFonts w:ascii="宋体" w:hAnsi="宋体" w:eastAsia="宋体" w:cs="宋体"/>
          <w:sz w:val="24"/>
          <w:szCs w:val="24"/>
        </w:rPr>
      </w:pPr>
      <w:r>
        <w:rPr>
          <w:rFonts w:ascii="宋体" w:hAnsi="宋体" w:eastAsia="宋体" w:cs="宋体"/>
          <w:spacing w:val="-2"/>
          <w:sz w:val="24"/>
          <w:szCs w:val="24"/>
        </w:rPr>
        <w:t>（14）其他危险性较大的工程。</w:t>
      </w:r>
    </w:p>
    <w:p>
      <w:pPr>
        <w:spacing w:before="183" w:line="219" w:lineRule="auto"/>
        <w:ind w:left="485"/>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44"/>
          <w:sz w:val="24"/>
          <w:szCs w:val="24"/>
        </w:rPr>
        <w:t xml:space="preserve"> </w:t>
      </w:r>
      <w:r>
        <w:rPr>
          <w:rFonts w:ascii="宋体" w:hAnsi="宋体" w:eastAsia="宋体" w:cs="宋体"/>
          <w:spacing w:val="-4"/>
          <w:sz w:val="24"/>
          <w:szCs w:val="24"/>
        </w:rPr>
        <w:t>9.2.2</w:t>
      </w:r>
      <w:r>
        <w:rPr>
          <w:rFonts w:ascii="宋体" w:hAnsi="宋体" w:eastAsia="宋体" w:cs="宋体"/>
          <w:spacing w:val="-47"/>
          <w:sz w:val="24"/>
          <w:szCs w:val="24"/>
        </w:rPr>
        <w:t xml:space="preserve"> </w:t>
      </w:r>
      <w:r>
        <w:rPr>
          <w:rFonts w:ascii="宋体" w:hAnsi="宋体" w:eastAsia="宋体" w:cs="宋体"/>
          <w:spacing w:val="-4"/>
          <w:sz w:val="24"/>
          <w:szCs w:val="24"/>
        </w:rPr>
        <w:t>项补充：</w:t>
      </w:r>
    </w:p>
    <w:p>
      <w:pPr>
        <w:spacing w:before="182" w:line="359" w:lineRule="auto"/>
        <w:ind w:left="8" w:right="291" w:firstLine="477"/>
        <w:rPr>
          <w:rFonts w:ascii="宋体" w:hAnsi="宋体" w:eastAsia="宋体" w:cs="宋体"/>
          <w:sz w:val="24"/>
          <w:szCs w:val="24"/>
        </w:rPr>
      </w:pPr>
      <w:r>
        <w:rPr>
          <w:rFonts w:ascii="宋体" w:hAnsi="宋体" w:eastAsia="宋体" w:cs="宋体"/>
          <w:spacing w:val="-2"/>
          <w:sz w:val="24"/>
          <w:szCs w:val="24"/>
        </w:rPr>
        <w:t>承包人应按国家和有关部门的规定，对施工现场人员和作业船舶、机械、设备的防</w:t>
      </w:r>
      <w:r>
        <w:rPr>
          <w:rFonts w:ascii="宋体" w:hAnsi="宋体" w:eastAsia="宋体" w:cs="宋体"/>
          <w:spacing w:val="8"/>
          <w:sz w:val="24"/>
          <w:szCs w:val="24"/>
        </w:rPr>
        <w:t xml:space="preserve"> </w:t>
      </w:r>
      <w:r>
        <w:rPr>
          <w:rFonts w:ascii="宋体" w:hAnsi="宋体" w:eastAsia="宋体" w:cs="宋体"/>
          <w:spacing w:val="-2"/>
          <w:sz w:val="24"/>
          <w:szCs w:val="24"/>
        </w:rPr>
        <w:t>台风、防突风、防风暴潮、防汛、防火、防雾、防坠落、防雷击等进行安全管理，对施</w:t>
      </w:r>
      <w:r>
        <w:rPr>
          <w:rFonts w:ascii="宋体" w:hAnsi="宋体" w:eastAsia="宋体" w:cs="宋体"/>
          <w:spacing w:val="9"/>
          <w:sz w:val="24"/>
          <w:szCs w:val="24"/>
        </w:rPr>
        <w:t xml:space="preserve"> </w:t>
      </w:r>
      <w:r>
        <w:rPr>
          <w:rFonts w:ascii="宋体" w:hAnsi="宋体" w:eastAsia="宋体" w:cs="宋体"/>
          <w:spacing w:val="-2"/>
          <w:sz w:val="24"/>
          <w:szCs w:val="24"/>
        </w:rPr>
        <w:t>工现场加强水陆交通安全管理、治安防范和消防安全防护措施，并承担由于措施不力造</w:t>
      </w:r>
    </w:p>
    <w:p>
      <w:pPr>
        <w:spacing w:line="219" w:lineRule="auto"/>
        <w:ind w:left="7"/>
        <w:rPr>
          <w:rFonts w:ascii="宋体" w:hAnsi="宋体" w:eastAsia="宋体" w:cs="宋体"/>
          <w:sz w:val="24"/>
          <w:szCs w:val="24"/>
        </w:rPr>
      </w:pPr>
      <w:r>
        <w:rPr>
          <w:rFonts w:ascii="宋体" w:hAnsi="宋体" w:eastAsia="宋体" w:cs="宋体"/>
          <w:spacing w:val="-1"/>
          <w:sz w:val="24"/>
          <w:szCs w:val="24"/>
        </w:rPr>
        <w:t>成的事故责任和由此发生的费用。</w:t>
      </w:r>
    </w:p>
    <w:p>
      <w:pPr>
        <w:spacing w:before="183" w:line="219" w:lineRule="auto"/>
        <w:ind w:left="485"/>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44"/>
          <w:sz w:val="24"/>
          <w:szCs w:val="24"/>
        </w:rPr>
        <w:t xml:space="preserve"> </w:t>
      </w:r>
      <w:r>
        <w:rPr>
          <w:rFonts w:ascii="宋体" w:hAnsi="宋体" w:eastAsia="宋体" w:cs="宋体"/>
          <w:spacing w:val="-4"/>
          <w:sz w:val="24"/>
          <w:szCs w:val="24"/>
        </w:rPr>
        <w:t>9.2.3</w:t>
      </w:r>
      <w:r>
        <w:rPr>
          <w:rFonts w:ascii="宋体" w:hAnsi="宋体" w:eastAsia="宋体" w:cs="宋体"/>
          <w:spacing w:val="-47"/>
          <w:sz w:val="24"/>
          <w:szCs w:val="24"/>
        </w:rPr>
        <w:t xml:space="preserve"> </w:t>
      </w:r>
      <w:r>
        <w:rPr>
          <w:rFonts w:ascii="宋体" w:hAnsi="宋体" w:eastAsia="宋体" w:cs="宋体"/>
          <w:spacing w:val="-4"/>
          <w:sz w:val="24"/>
          <w:szCs w:val="24"/>
        </w:rPr>
        <w:t>项补充：</w:t>
      </w:r>
    </w:p>
    <w:p>
      <w:pPr>
        <w:spacing w:before="182" w:line="359" w:lineRule="auto"/>
        <w:ind w:left="8" w:right="211" w:firstLine="478"/>
        <w:rPr>
          <w:rFonts w:ascii="宋体" w:hAnsi="宋体" w:eastAsia="宋体" w:cs="宋体"/>
          <w:sz w:val="24"/>
          <w:szCs w:val="24"/>
        </w:rPr>
      </w:pPr>
      <w:r>
        <w:fldChar w:fldCharType="begin"/>
      </w:r>
      <w:r>
        <w:instrText xml:space="preserve"> HYPERLINK "9.2.3.1" </w:instrText>
      </w:r>
      <w:r>
        <w:fldChar w:fldCharType="separate"/>
      </w:r>
      <w:r>
        <w:rPr>
          <w:rFonts w:ascii="宋体" w:hAnsi="宋体" w:eastAsia="宋体" w:cs="宋体"/>
          <w:spacing w:val="-4"/>
          <w:sz w:val="24"/>
          <w:szCs w:val="24"/>
        </w:rPr>
        <w:t>9.2.3.1</w:t>
      </w:r>
      <w:r>
        <w:rPr>
          <w:rFonts w:ascii="宋体" w:hAnsi="宋体" w:eastAsia="宋体" w:cs="宋体"/>
          <w:spacing w:val="-4"/>
          <w:sz w:val="24"/>
          <w:szCs w:val="24"/>
        </w:rPr>
        <w:fldChar w:fldCharType="end"/>
      </w:r>
      <w:r>
        <w:rPr>
          <w:rFonts w:ascii="宋体" w:hAnsi="宋体" w:eastAsia="宋体" w:cs="宋体"/>
          <w:spacing w:val="-50"/>
          <w:sz w:val="24"/>
          <w:szCs w:val="24"/>
        </w:rPr>
        <w:t xml:space="preserve"> </w:t>
      </w:r>
      <w:r>
        <w:rPr>
          <w:rFonts w:ascii="宋体" w:hAnsi="宋体" w:eastAsia="宋体" w:cs="宋体"/>
          <w:spacing w:val="-4"/>
          <w:sz w:val="24"/>
          <w:szCs w:val="24"/>
        </w:rPr>
        <w:t>承包人应贯彻执行国家有关安全生产、职业</w:t>
      </w:r>
      <w:r>
        <w:rPr>
          <w:rFonts w:ascii="宋体" w:hAnsi="宋体" w:eastAsia="宋体" w:cs="宋体"/>
          <w:spacing w:val="-5"/>
          <w:sz w:val="24"/>
          <w:szCs w:val="24"/>
        </w:rPr>
        <w:t>健康与环境保护的法律、法规、</w:t>
      </w:r>
      <w:r>
        <w:rPr>
          <w:rFonts w:ascii="宋体" w:hAnsi="宋体" w:eastAsia="宋体" w:cs="宋体"/>
          <w:sz w:val="24"/>
          <w:szCs w:val="24"/>
        </w:rPr>
        <w:t xml:space="preserve"> </w:t>
      </w:r>
      <w:r>
        <w:rPr>
          <w:rFonts w:ascii="宋体" w:hAnsi="宋体" w:eastAsia="宋体" w:cs="宋体"/>
          <w:spacing w:val="-2"/>
          <w:sz w:val="24"/>
          <w:szCs w:val="24"/>
        </w:rPr>
        <w:t>工程建设强制性标准及项目所在地的有关规定，以及发包人制定的管理</w:t>
      </w:r>
      <w:r>
        <w:rPr>
          <w:rFonts w:ascii="宋体" w:hAnsi="宋体" w:eastAsia="宋体" w:cs="宋体"/>
          <w:spacing w:val="-3"/>
          <w:sz w:val="24"/>
          <w:szCs w:val="24"/>
        </w:rPr>
        <w:t xml:space="preserve">制度，建立有效 </w:t>
      </w:r>
      <w:r>
        <w:rPr>
          <w:rFonts w:ascii="宋体" w:hAnsi="宋体" w:eastAsia="宋体" w:cs="宋体"/>
          <w:spacing w:val="-2"/>
          <w:sz w:val="24"/>
          <w:szCs w:val="24"/>
        </w:rPr>
        <w:t>的安全生产、职业健康、环境保护管理体系，用于规范项目的安全生产、职业健康和环</w:t>
      </w:r>
    </w:p>
    <w:p>
      <w:pPr>
        <w:spacing w:before="1" w:line="219" w:lineRule="auto"/>
        <w:ind w:left="6"/>
        <w:rPr>
          <w:rFonts w:ascii="宋体" w:hAnsi="宋体" w:eastAsia="宋体" w:cs="宋体"/>
          <w:sz w:val="24"/>
          <w:szCs w:val="24"/>
        </w:rPr>
      </w:pPr>
      <w:r>
        <w:rPr>
          <w:rFonts w:ascii="宋体" w:hAnsi="宋体" w:eastAsia="宋体" w:cs="宋体"/>
          <w:spacing w:val="-2"/>
          <w:sz w:val="24"/>
          <w:szCs w:val="24"/>
        </w:rPr>
        <w:t>境保护管理工作。</w:t>
      </w:r>
    </w:p>
    <w:p>
      <w:pPr>
        <w:spacing w:before="180" w:line="468" w:lineRule="exact"/>
        <w:ind w:left="486"/>
        <w:rPr>
          <w:rFonts w:ascii="宋体" w:hAnsi="宋体" w:eastAsia="宋体" w:cs="宋体"/>
          <w:sz w:val="24"/>
          <w:szCs w:val="24"/>
        </w:rPr>
      </w:pPr>
      <w:r>
        <w:fldChar w:fldCharType="begin"/>
      </w:r>
      <w:r>
        <w:instrText xml:space="preserve"> HYPERLINK "9.2.3.2" </w:instrText>
      </w:r>
      <w:r>
        <w:fldChar w:fldCharType="separate"/>
      </w:r>
      <w:r>
        <w:rPr>
          <w:rFonts w:ascii="宋体" w:hAnsi="宋体" w:eastAsia="宋体" w:cs="宋体"/>
          <w:position w:val="17"/>
          <w:sz w:val="24"/>
          <w:szCs w:val="24"/>
        </w:rPr>
        <w:t>9.2.3.2</w:t>
      </w:r>
      <w:r>
        <w:rPr>
          <w:rFonts w:ascii="宋体" w:hAnsi="宋体" w:eastAsia="宋体" w:cs="宋体"/>
          <w:position w:val="17"/>
          <w:sz w:val="24"/>
          <w:szCs w:val="24"/>
        </w:rPr>
        <w:fldChar w:fldCharType="end"/>
      </w:r>
      <w:r>
        <w:rPr>
          <w:rFonts w:ascii="宋体" w:hAnsi="宋体" w:eastAsia="宋体" w:cs="宋体"/>
          <w:spacing w:val="-47"/>
          <w:position w:val="17"/>
          <w:sz w:val="24"/>
          <w:szCs w:val="24"/>
        </w:rPr>
        <w:t xml:space="preserve"> </w:t>
      </w:r>
      <w:r>
        <w:rPr>
          <w:rFonts w:ascii="宋体" w:hAnsi="宋体" w:eastAsia="宋体" w:cs="宋体"/>
          <w:position w:val="17"/>
          <w:sz w:val="24"/>
          <w:szCs w:val="24"/>
        </w:rPr>
        <w:t>项目的安全生产、职业健康</w:t>
      </w:r>
      <w:r>
        <w:rPr>
          <w:rFonts w:ascii="宋体" w:hAnsi="宋体" w:eastAsia="宋体" w:cs="宋体"/>
          <w:spacing w:val="-1"/>
          <w:position w:val="17"/>
          <w:sz w:val="24"/>
          <w:szCs w:val="24"/>
        </w:rPr>
        <w:t>和环境保护管理，应接受政府主管部门及其授</w:t>
      </w:r>
    </w:p>
    <w:p>
      <w:pPr>
        <w:spacing w:before="1" w:line="218" w:lineRule="auto"/>
        <w:ind w:left="4"/>
        <w:rPr>
          <w:rFonts w:ascii="宋体" w:hAnsi="宋体" w:eastAsia="宋体" w:cs="宋体"/>
          <w:sz w:val="24"/>
          <w:szCs w:val="24"/>
        </w:rPr>
      </w:pPr>
      <w:r>
        <w:rPr>
          <w:rFonts w:ascii="宋体" w:hAnsi="宋体" w:eastAsia="宋体" w:cs="宋体"/>
          <w:sz w:val="24"/>
          <w:szCs w:val="24"/>
        </w:rPr>
        <w:t>权委托机构、发包人及其所委托的监理机构的监督</w:t>
      </w:r>
      <w:r>
        <w:rPr>
          <w:rFonts w:ascii="宋体" w:hAnsi="宋体" w:eastAsia="宋体" w:cs="宋体"/>
          <w:spacing w:val="-1"/>
          <w:sz w:val="24"/>
          <w:szCs w:val="24"/>
        </w:rPr>
        <w:t>、检查、协调与指导。</w:t>
      </w:r>
    </w:p>
    <w:p>
      <w:pPr>
        <w:spacing w:before="181" w:line="468" w:lineRule="exact"/>
        <w:ind w:left="486"/>
        <w:rPr>
          <w:rFonts w:ascii="宋体" w:hAnsi="宋体" w:eastAsia="宋体" w:cs="宋体"/>
          <w:sz w:val="24"/>
          <w:szCs w:val="24"/>
        </w:rPr>
      </w:pPr>
      <w:r>
        <w:fldChar w:fldCharType="begin"/>
      </w:r>
      <w:r>
        <w:instrText xml:space="preserve"> HYPERLINK "9.2.3.3" </w:instrText>
      </w:r>
      <w:r>
        <w:fldChar w:fldCharType="separate"/>
      </w:r>
      <w:r>
        <w:rPr>
          <w:rFonts w:ascii="宋体" w:hAnsi="宋体" w:eastAsia="宋体" w:cs="宋体"/>
          <w:spacing w:val="-1"/>
          <w:position w:val="17"/>
          <w:sz w:val="24"/>
          <w:szCs w:val="24"/>
        </w:rPr>
        <w:t>9.2.3.3</w:t>
      </w:r>
      <w:r>
        <w:rPr>
          <w:rFonts w:ascii="宋体" w:hAnsi="宋体" w:eastAsia="宋体" w:cs="宋体"/>
          <w:spacing w:val="-1"/>
          <w:position w:val="17"/>
          <w:sz w:val="24"/>
          <w:szCs w:val="24"/>
        </w:rPr>
        <w:fldChar w:fldCharType="end"/>
      </w:r>
      <w:r>
        <w:rPr>
          <w:rFonts w:ascii="宋体" w:hAnsi="宋体" w:eastAsia="宋体" w:cs="宋体"/>
          <w:spacing w:val="-51"/>
          <w:position w:val="17"/>
          <w:sz w:val="24"/>
          <w:szCs w:val="24"/>
        </w:rPr>
        <w:t xml:space="preserve"> </w:t>
      </w:r>
      <w:r>
        <w:rPr>
          <w:rFonts w:ascii="宋体" w:hAnsi="宋体" w:eastAsia="宋体" w:cs="宋体"/>
          <w:spacing w:val="-1"/>
          <w:position w:val="17"/>
          <w:sz w:val="24"/>
          <w:szCs w:val="24"/>
        </w:rPr>
        <w:t>承包人应建立健全并落实安全生产“一岗双责</w:t>
      </w:r>
      <w:r>
        <w:rPr>
          <w:rFonts w:ascii="宋体" w:hAnsi="宋体" w:eastAsia="宋体" w:cs="宋体"/>
          <w:spacing w:val="-88"/>
          <w:position w:val="17"/>
          <w:sz w:val="24"/>
          <w:szCs w:val="24"/>
        </w:rPr>
        <w:t xml:space="preserve"> </w:t>
      </w:r>
      <w:r>
        <w:rPr>
          <w:rFonts w:ascii="宋体" w:hAnsi="宋体" w:eastAsia="宋体" w:cs="宋体"/>
          <w:spacing w:val="-1"/>
          <w:position w:val="17"/>
          <w:sz w:val="24"/>
          <w:szCs w:val="24"/>
        </w:rPr>
        <w:t>”责任制和</w:t>
      </w:r>
      <w:r>
        <w:rPr>
          <w:rFonts w:ascii="宋体" w:hAnsi="宋体" w:eastAsia="宋体" w:cs="宋体"/>
          <w:spacing w:val="-2"/>
          <w:position w:val="17"/>
          <w:sz w:val="24"/>
          <w:szCs w:val="24"/>
        </w:rPr>
        <w:t>全员安全生产责</w:t>
      </w:r>
    </w:p>
    <w:p>
      <w:pPr>
        <w:spacing w:before="1" w:line="219" w:lineRule="auto"/>
        <w:ind w:left="4"/>
        <w:rPr>
          <w:rFonts w:ascii="宋体" w:hAnsi="宋体" w:eastAsia="宋体" w:cs="宋体"/>
          <w:sz w:val="24"/>
          <w:szCs w:val="24"/>
        </w:rPr>
      </w:pPr>
      <w:r>
        <w:rPr>
          <w:rFonts w:ascii="宋体" w:hAnsi="宋体" w:eastAsia="宋体" w:cs="宋体"/>
          <w:spacing w:val="-1"/>
          <w:sz w:val="24"/>
          <w:szCs w:val="24"/>
        </w:rPr>
        <w:t>任制，确保管生产同时管安全，实现全员全过程安全管理。</w:t>
      </w:r>
    </w:p>
    <w:p>
      <w:pPr>
        <w:spacing w:before="181" w:line="359" w:lineRule="auto"/>
        <w:ind w:left="5" w:right="291" w:firstLine="480"/>
        <w:rPr>
          <w:rFonts w:ascii="宋体" w:hAnsi="宋体" w:eastAsia="宋体" w:cs="宋体"/>
          <w:sz w:val="24"/>
          <w:szCs w:val="24"/>
        </w:rPr>
      </w:pPr>
      <w:r>
        <w:fldChar w:fldCharType="begin"/>
      </w:r>
      <w:r>
        <w:instrText xml:space="preserve"> HYPERLINK "9.2.3.4" </w:instrText>
      </w:r>
      <w:r>
        <w:fldChar w:fldCharType="separate"/>
      </w:r>
      <w:r>
        <w:rPr>
          <w:rFonts w:ascii="宋体" w:hAnsi="宋体" w:eastAsia="宋体" w:cs="宋体"/>
          <w:sz w:val="24"/>
          <w:szCs w:val="24"/>
        </w:rPr>
        <w:t>9.2.3.4</w:t>
      </w:r>
      <w:r>
        <w:rPr>
          <w:rFonts w:ascii="宋体" w:hAnsi="宋体" w:eastAsia="宋体" w:cs="宋体"/>
          <w:sz w:val="24"/>
          <w:szCs w:val="24"/>
        </w:rPr>
        <w:fldChar w:fldCharType="end"/>
      </w:r>
      <w:r>
        <w:rPr>
          <w:rFonts w:ascii="宋体" w:hAnsi="宋体" w:eastAsia="宋体" w:cs="宋体"/>
          <w:spacing w:val="-51"/>
          <w:sz w:val="24"/>
          <w:szCs w:val="24"/>
        </w:rPr>
        <w:t xml:space="preserve"> </w:t>
      </w:r>
      <w:r>
        <w:rPr>
          <w:rFonts w:ascii="宋体" w:hAnsi="宋体" w:eastAsia="宋体" w:cs="宋体"/>
          <w:sz w:val="24"/>
          <w:szCs w:val="24"/>
        </w:rPr>
        <w:t>承包人应深入开展以岗位达标、专业</w:t>
      </w:r>
      <w:r>
        <w:rPr>
          <w:rFonts w:ascii="宋体" w:hAnsi="宋体" w:eastAsia="宋体" w:cs="宋体"/>
          <w:spacing w:val="-1"/>
          <w:sz w:val="24"/>
          <w:szCs w:val="24"/>
        </w:rPr>
        <w:t>达标和项目达标为内容的安全生产标</w:t>
      </w:r>
      <w:r>
        <w:rPr>
          <w:rFonts w:ascii="宋体" w:hAnsi="宋体" w:eastAsia="宋体" w:cs="宋体"/>
          <w:sz w:val="24"/>
          <w:szCs w:val="24"/>
        </w:rPr>
        <w:t xml:space="preserve"> </w:t>
      </w:r>
      <w:r>
        <w:rPr>
          <w:rFonts w:ascii="宋体" w:hAnsi="宋体" w:eastAsia="宋体" w:cs="宋体"/>
          <w:spacing w:val="-3"/>
          <w:sz w:val="24"/>
          <w:szCs w:val="24"/>
        </w:rPr>
        <w:t>准化建设。重点开展公路水运工程“平安工地</w:t>
      </w:r>
      <w:r>
        <w:rPr>
          <w:rFonts w:ascii="宋体" w:hAnsi="宋体" w:eastAsia="宋体" w:cs="宋体"/>
          <w:spacing w:val="-70"/>
          <w:sz w:val="24"/>
          <w:szCs w:val="24"/>
        </w:rPr>
        <w:t xml:space="preserve"> </w:t>
      </w:r>
      <w:r>
        <w:rPr>
          <w:rFonts w:ascii="宋体" w:hAnsi="宋体" w:eastAsia="宋体" w:cs="宋体"/>
          <w:spacing w:val="-3"/>
          <w:sz w:val="24"/>
          <w:szCs w:val="24"/>
        </w:rPr>
        <w:t>”建设管理活动，按照《广东省交通运输</w:t>
      </w:r>
      <w:r>
        <w:rPr>
          <w:rFonts w:ascii="宋体" w:hAnsi="宋体" w:eastAsia="宋体" w:cs="宋体"/>
          <w:sz w:val="24"/>
          <w:szCs w:val="24"/>
        </w:rPr>
        <w:t xml:space="preserve"> </w:t>
      </w:r>
      <w:r>
        <w:rPr>
          <w:rFonts w:ascii="宋体" w:hAnsi="宋体" w:eastAsia="宋体" w:cs="宋体"/>
          <w:spacing w:val="-2"/>
          <w:sz w:val="24"/>
          <w:szCs w:val="24"/>
        </w:rPr>
        <w:t>厅关于公路水运工程平安工地建设的管理办法》，开展平安工地建设，经常性的开展安</w:t>
      </w:r>
      <w:r>
        <w:rPr>
          <w:rFonts w:ascii="宋体" w:hAnsi="宋体" w:eastAsia="宋体" w:cs="宋体"/>
          <w:spacing w:val="12"/>
          <w:sz w:val="24"/>
          <w:szCs w:val="24"/>
        </w:rPr>
        <w:t xml:space="preserve"> </w:t>
      </w:r>
      <w:r>
        <w:rPr>
          <w:rFonts w:ascii="宋体" w:hAnsi="宋体" w:eastAsia="宋体" w:cs="宋体"/>
          <w:spacing w:val="-2"/>
          <w:sz w:val="24"/>
          <w:szCs w:val="24"/>
        </w:rPr>
        <w:t>全生产自查和安全隐患排查，每月至少组织一次全面的自我考核评价，并将考核评价结</w:t>
      </w:r>
    </w:p>
    <w:p>
      <w:pPr>
        <w:spacing w:line="220" w:lineRule="auto"/>
        <w:ind w:left="10"/>
        <w:rPr>
          <w:rFonts w:ascii="宋体" w:hAnsi="宋体" w:eastAsia="宋体" w:cs="宋体"/>
          <w:sz w:val="24"/>
          <w:szCs w:val="24"/>
        </w:rPr>
      </w:pPr>
      <w:r>
        <w:rPr>
          <w:rFonts w:ascii="宋体" w:hAnsi="宋体" w:eastAsia="宋体" w:cs="宋体"/>
          <w:spacing w:val="-2"/>
          <w:sz w:val="24"/>
          <w:szCs w:val="24"/>
        </w:rPr>
        <w:t>果向监理人和发包人备案。</w:t>
      </w:r>
    </w:p>
    <w:p>
      <w:pPr>
        <w:spacing w:before="182" w:line="219" w:lineRule="auto"/>
        <w:ind w:left="485"/>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44"/>
          <w:sz w:val="24"/>
          <w:szCs w:val="24"/>
        </w:rPr>
        <w:t xml:space="preserve"> </w:t>
      </w:r>
      <w:r>
        <w:rPr>
          <w:rFonts w:ascii="宋体" w:hAnsi="宋体" w:eastAsia="宋体" w:cs="宋体"/>
          <w:spacing w:val="-4"/>
          <w:sz w:val="24"/>
          <w:szCs w:val="24"/>
        </w:rPr>
        <w:t>9.2.4</w:t>
      </w:r>
      <w:r>
        <w:rPr>
          <w:rFonts w:ascii="宋体" w:hAnsi="宋体" w:eastAsia="宋体" w:cs="宋体"/>
          <w:spacing w:val="-47"/>
          <w:sz w:val="24"/>
          <w:szCs w:val="24"/>
        </w:rPr>
        <w:t xml:space="preserve"> </w:t>
      </w:r>
      <w:r>
        <w:rPr>
          <w:rFonts w:ascii="宋体" w:hAnsi="宋体" w:eastAsia="宋体" w:cs="宋体"/>
          <w:spacing w:val="-4"/>
          <w:sz w:val="24"/>
          <w:szCs w:val="24"/>
        </w:rPr>
        <w:t>项补充：</w:t>
      </w:r>
    </w:p>
    <w:p>
      <w:pPr>
        <w:spacing w:line="425" w:lineRule="auto"/>
        <w:rPr>
          <w:rFonts w:ascii="Arial"/>
          <w:sz w:val="21"/>
        </w:rPr>
      </w:pPr>
      <w:r>
        <mc:AlternateContent>
          <mc:Choice Requires="wps">
            <w:drawing>
              <wp:anchor distT="0" distB="0" distL="114300" distR="114300" simplePos="0" relativeHeight="251669504" behindDoc="0" locked="0" layoutInCell="0" allowOverlap="1">
                <wp:simplePos x="0" y="0"/>
                <wp:positionH relativeFrom="page">
                  <wp:posOffset>899795</wp:posOffset>
                </wp:positionH>
                <wp:positionV relativeFrom="page">
                  <wp:posOffset>9270365</wp:posOffset>
                </wp:positionV>
                <wp:extent cx="1828800" cy="0"/>
                <wp:effectExtent l="4445" t="4445" r="5080" b="5080"/>
                <wp:wrapNone/>
                <wp:docPr id="88" name="任意多边形 88"/>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29.95pt;height:0pt;width:144pt;mso-position-horizontal-relative:page;mso-position-vertical-relative:page;z-index:251669504;mso-width-relative:page;mso-height-relative:page;" filled="f" stroked="t" coordsize="2880,1" o:allowincell="f" o:gfxdata="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OE5Kx1wAAAA0BAAAPAAAAAAAAAAEAIAAAACIAAABkcnMvZG93bnJldi54bWxQSwECFAAUAAAA&#10;CACHTuJAgG4uXSgCAACJBAAADgAAAAAAAAABACAAAAAmAQAAZHJzL2Uyb0RvYy54bWxQSwUGAAAA&#10;AAYABgBZAQAAwAUAAAAA&#10;" path="m0,0l2880,0e">
                <v:fill on="f" focussize="0,0"/>
                <v:stroke weight="0pt" color="#000000" joinstyle="bevel" endcap="square"/>
                <v:imagedata o:title=""/>
                <o:lock v:ext="edit" aspectratio="f"/>
              </v:shape>
            </w:pict>
          </mc:Fallback>
        </mc:AlternateContent>
      </w:r>
    </w:p>
    <w:p>
      <w:pPr>
        <w:spacing w:before="78" w:line="219" w:lineRule="auto"/>
        <w:ind w:left="531"/>
        <w:rPr>
          <w:rFonts w:ascii="宋体" w:hAnsi="宋体" w:eastAsia="宋体" w:cs="宋体"/>
          <w:sz w:val="24"/>
          <w:szCs w:val="24"/>
        </w:rPr>
      </w:pPr>
      <w:r>
        <w:rPr>
          <w:rFonts w:ascii="宋体" w:hAnsi="宋体" w:eastAsia="宋体" w:cs="宋体"/>
          <w:sz w:val="24"/>
          <w:szCs w:val="24"/>
        </w:rPr>
        <w:t>承包人必须重视应急管理，在应急管理方面要</w:t>
      </w:r>
      <w:r>
        <w:rPr>
          <w:rFonts w:ascii="宋体" w:hAnsi="宋体" w:eastAsia="宋体" w:cs="宋体"/>
          <w:spacing w:val="-1"/>
          <w:sz w:val="24"/>
          <w:szCs w:val="24"/>
        </w:rPr>
        <w:t>做好但不限于以下工作：</w:t>
      </w:r>
    </w:p>
    <w:p>
      <w:pPr>
        <w:spacing w:before="180" w:line="219" w:lineRule="auto"/>
        <w:ind w:left="543"/>
        <w:rPr>
          <w:rFonts w:ascii="宋体" w:hAnsi="宋体" w:eastAsia="宋体" w:cs="宋体"/>
          <w:sz w:val="24"/>
          <w:szCs w:val="24"/>
        </w:rPr>
      </w:pPr>
      <w:r>
        <w:rPr>
          <w:rFonts w:ascii="宋体" w:hAnsi="宋体" w:eastAsia="宋体" w:cs="宋体"/>
          <w:spacing w:val="-2"/>
          <w:sz w:val="24"/>
          <w:szCs w:val="24"/>
        </w:rPr>
        <w:t>（1）建立和完善应急组织体系。</w:t>
      </w:r>
    </w:p>
    <w:p>
      <w:pPr>
        <w:spacing w:before="181" w:line="359" w:lineRule="auto"/>
        <w:ind w:left="10" w:right="230" w:firstLine="532"/>
        <w:rPr>
          <w:rFonts w:ascii="宋体" w:hAnsi="宋体" w:eastAsia="宋体" w:cs="宋体"/>
          <w:sz w:val="24"/>
          <w:szCs w:val="24"/>
        </w:rPr>
      </w:pPr>
      <w:r>
        <w:rPr>
          <w:rFonts w:ascii="宋体" w:hAnsi="宋体" w:eastAsia="宋体" w:cs="宋体"/>
          <w:sz w:val="24"/>
          <w:szCs w:val="24"/>
        </w:rPr>
        <w:t>（2）结合工程特点建立完善的应急预案体系，承包人编制的应急预案必须和项目</w:t>
      </w:r>
      <w:r>
        <w:rPr>
          <w:rFonts w:ascii="宋体" w:hAnsi="宋体" w:eastAsia="宋体" w:cs="宋体"/>
          <w:spacing w:val="2"/>
          <w:sz w:val="24"/>
          <w:szCs w:val="24"/>
        </w:rPr>
        <w:t xml:space="preserve"> </w:t>
      </w:r>
      <w:r>
        <w:rPr>
          <w:rFonts w:ascii="宋体" w:hAnsi="宋体" w:eastAsia="宋体" w:cs="宋体"/>
          <w:spacing w:val="-6"/>
          <w:sz w:val="24"/>
          <w:szCs w:val="24"/>
        </w:rPr>
        <w:t>参建各方、项目所在地相关的应急预案体系相互衔接，互为呼应。</w:t>
      </w:r>
      <w:r>
        <w:rPr>
          <w:rFonts w:ascii="宋体" w:hAnsi="宋体" w:eastAsia="宋体" w:cs="宋体"/>
          <w:spacing w:val="-7"/>
          <w:sz w:val="24"/>
          <w:szCs w:val="24"/>
        </w:rPr>
        <w:t>按照应急预案的要求，</w:t>
      </w:r>
      <w:r>
        <w:rPr>
          <w:rFonts w:ascii="宋体" w:hAnsi="宋体" w:eastAsia="宋体" w:cs="宋体"/>
          <w:sz w:val="24"/>
          <w:szCs w:val="24"/>
        </w:rPr>
        <w:t xml:space="preserve"> </w:t>
      </w:r>
      <w:r>
        <w:rPr>
          <w:rFonts w:ascii="宋体" w:hAnsi="宋体" w:eastAsia="宋体" w:cs="宋体"/>
          <w:spacing w:val="-2"/>
          <w:sz w:val="24"/>
          <w:szCs w:val="24"/>
        </w:rPr>
        <w:t>组建和完善专兼职应急救援队伍、配备应急救援设施和装备，保证应急救援物资处于良</w:t>
      </w:r>
    </w:p>
    <w:p>
      <w:pPr>
        <w:spacing w:before="1" w:line="219" w:lineRule="auto"/>
        <w:ind w:left="8"/>
        <w:rPr>
          <w:rFonts w:ascii="宋体" w:hAnsi="宋体" w:eastAsia="宋体" w:cs="宋体"/>
          <w:sz w:val="24"/>
          <w:szCs w:val="24"/>
        </w:rPr>
      </w:pPr>
      <w:r>
        <w:rPr>
          <w:rFonts w:ascii="宋体" w:hAnsi="宋体" w:eastAsia="宋体" w:cs="宋体"/>
          <w:spacing w:val="-1"/>
          <w:sz w:val="24"/>
          <w:szCs w:val="24"/>
        </w:rPr>
        <w:t>好状态，确保正常使用。</w:t>
      </w:r>
    </w:p>
    <w:p>
      <w:pPr>
        <w:spacing w:before="183" w:line="465" w:lineRule="exact"/>
        <w:ind w:left="543"/>
        <w:rPr>
          <w:rFonts w:ascii="宋体" w:hAnsi="宋体" w:eastAsia="宋体" w:cs="宋体"/>
          <w:sz w:val="24"/>
          <w:szCs w:val="24"/>
        </w:rPr>
      </w:pPr>
      <w:r>
        <w:rPr>
          <w:rFonts w:ascii="宋体" w:hAnsi="宋体" w:eastAsia="宋体" w:cs="宋体"/>
          <w:position w:val="17"/>
          <w:sz w:val="24"/>
          <w:szCs w:val="24"/>
        </w:rPr>
        <w:t>（3）承包人应经常组织应急预案演练，不断完善应急预案，提升应急管理水平。</w:t>
      </w:r>
    </w:p>
    <w:p>
      <w:pPr>
        <w:spacing w:before="1" w:line="219" w:lineRule="auto"/>
        <w:ind w:left="12"/>
        <w:rPr>
          <w:rFonts w:ascii="宋体" w:hAnsi="宋体" w:eastAsia="宋体" w:cs="宋体"/>
          <w:sz w:val="24"/>
          <w:szCs w:val="24"/>
        </w:rPr>
      </w:pPr>
      <w:r>
        <w:rPr>
          <w:rFonts w:ascii="宋体" w:hAnsi="宋体" w:eastAsia="宋体" w:cs="宋体"/>
          <w:spacing w:val="-1"/>
          <w:sz w:val="24"/>
          <w:szCs w:val="24"/>
        </w:rPr>
        <w:t>发生突发事件时，迅速启动应急预案，开展各项应急处置工作。</w:t>
      </w:r>
    </w:p>
    <w:p>
      <w:pPr>
        <w:spacing w:before="183" w:line="359" w:lineRule="auto"/>
        <w:ind w:left="8" w:right="291" w:firstLine="534"/>
        <w:rPr>
          <w:rFonts w:ascii="宋体" w:hAnsi="宋体" w:eastAsia="宋体" w:cs="宋体"/>
          <w:sz w:val="24"/>
          <w:szCs w:val="24"/>
        </w:rPr>
      </w:pPr>
      <w:r>
        <w:rPr>
          <w:rFonts w:ascii="宋体" w:hAnsi="宋体" w:eastAsia="宋体" w:cs="宋体"/>
          <w:sz w:val="24"/>
          <w:szCs w:val="24"/>
        </w:rPr>
        <w:t>（4）承包人应主动接受所在地人民政府安全生产监督管理部门和有关主管部门安</w:t>
      </w:r>
      <w:r>
        <w:rPr>
          <w:rFonts w:ascii="宋体" w:hAnsi="宋体" w:eastAsia="宋体" w:cs="宋体"/>
          <w:spacing w:val="2"/>
          <w:sz w:val="24"/>
          <w:szCs w:val="24"/>
        </w:rPr>
        <w:t xml:space="preserve"> </w:t>
      </w:r>
      <w:r>
        <w:rPr>
          <w:rFonts w:ascii="宋体" w:hAnsi="宋体" w:eastAsia="宋体" w:cs="宋体"/>
          <w:spacing w:val="-2"/>
          <w:sz w:val="24"/>
          <w:szCs w:val="24"/>
        </w:rPr>
        <w:t>全监督指导，并积极配合相关单位做好应急管理工作，因上述单位要求而增加的安全设</w:t>
      </w:r>
    </w:p>
    <w:p>
      <w:pPr>
        <w:spacing w:line="219" w:lineRule="auto"/>
        <w:ind w:left="11"/>
        <w:rPr>
          <w:rFonts w:ascii="宋体" w:hAnsi="宋体" w:eastAsia="宋体" w:cs="宋体"/>
          <w:sz w:val="24"/>
          <w:szCs w:val="24"/>
        </w:rPr>
      </w:pPr>
      <w:r>
        <w:rPr>
          <w:rFonts w:ascii="宋体" w:hAnsi="宋体" w:eastAsia="宋体" w:cs="宋体"/>
          <w:sz w:val="24"/>
          <w:szCs w:val="24"/>
        </w:rPr>
        <w:t>备、措施、防护等费用，原则上由承包人从安全生产费</w:t>
      </w:r>
      <w:r>
        <w:rPr>
          <w:rFonts w:ascii="宋体" w:hAnsi="宋体" w:eastAsia="宋体" w:cs="宋体"/>
          <w:spacing w:val="-1"/>
          <w:sz w:val="24"/>
          <w:szCs w:val="24"/>
        </w:rPr>
        <w:t>用中列支，发包人不另行支付。</w:t>
      </w:r>
    </w:p>
    <w:p>
      <w:pPr>
        <w:spacing w:before="181" w:line="219" w:lineRule="auto"/>
        <w:ind w:left="531"/>
        <w:rPr>
          <w:rFonts w:ascii="宋体" w:hAnsi="宋体" w:eastAsia="宋体" w:cs="宋体"/>
          <w:sz w:val="24"/>
          <w:szCs w:val="24"/>
        </w:rPr>
      </w:pPr>
      <w:r>
        <w:rPr>
          <w:rFonts w:ascii="宋体" w:hAnsi="宋体" w:eastAsia="宋体" w:cs="宋体"/>
          <w:spacing w:val="-1"/>
          <w:sz w:val="24"/>
          <w:szCs w:val="24"/>
        </w:rPr>
        <w:t>第9.2.5项细化为：</w:t>
      </w:r>
    </w:p>
    <w:p>
      <w:pPr>
        <w:spacing w:before="182" w:line="359" w:lineRule="auto"/>
        <w:ind w:left="7" w:right="291" w:firstLine="524"/>
        <w:rPr>
          <w:rFonts w:ascii="宋体" w:hAnsi="宋体" w:eastAsia="宋体" w:cs="宋体"/>
          <w:sz w:val="24"/>
          <w:szCs w:val="24"/>
        </w:rPr>
      </w:pPr>
      <w:r>
        <w:rPr>
          <w:rFonts w:ascii="宋体" w:hAnsi="宋体" w:eastAsia="宋体" w:cs="宋体"/>
          <w:spacing w:val="-3"/>
          <w:sz w:val="24"/>
          <w:szCs w:val="24"/>
        </w:rPr>
        <w:t>根据国家、省和广东省交通运输厅关于印发《广东省交通运输厅关于公路水运建设</w:t>
      </w:r>
      <w:r>
        <w:rPr>
          <w:rFonts w:ascii="宋体" w:hAnsi="宋体" w:eastAsia="宋体" w:cs="宋体"/>
          <w:spacing w:val="1"/>
          <w:sz w:val="24"/>
          <w:szCs w:val="24"/>
        </w:rPr>
        <w:t xml:space="preserve"> </w:t>
      </w:r>
      <w:r>
        <w:rPr>
          <w:rFonts w:ascii="宋体" w:hAnsi="宋体" w:eastAsia="宋体" w:cs="宋体"/>
          <w:spacing w:val="-2"/>
          <w:sz w:val="24"/>
          <w:szCs w:val="24"/>
        </w:rPr>
        <w:t>工程安全生产费用的管理办法》的通知等相关规定要求，本合同设立安全生产费。安全</w:t>
      </w:r>
      <w:r>
        <w:rPr>
          <w:rFonts w:ascii="宋体" w:hAnsi="宋体" w:eastAsia="宋体" w:cs="宋体"/>
          <w:spacing w:val="13"/>
          <w:sz w:val="24"/>
          <w:szCs w:val="24"/>
        </w:rPr>
        <w:t xml:space="preserve"> </w:t>
      </w:r>
      <w:r>
        <w:rPr>
          <w:rFonts w:ascii="宋体" w:hAnsi="宋体" w:eastAsia="宋体" w:cs="宋体"/>
          <w:spacing w:val="-1"/>
          <w:sz w:val="24"/>
          <w:szCs w:val="24"/>
        </w:rPr>
        <w:t>生产费按计费基数（</w:t>
      </w:r>
      <w:r>
        <w:rPr>
          <w:rFonts w:ascii="宋体" w:hAnsi="宋体" w:eastAsia="宋体" w:cs="宋体"/>
          <w:spacing w:val="-1"/>
          <w:sz w:val="24"/>
          <w:szCs w:val="24"/>
          <w:u w:val="single" w:color="auto"/>
        </w:rPr>
        <w:t>工程量清单第100章</w:t>
      </w:r>
      <w:r>
        <w:rPr>
          <w:rFonts w:ascii="宋体" w:hAnsi="宋体" w:eastAsia="宋体" w:cs="宋体"/>
          <w:spacing w:val="-2"/>
          <w:sz w:val="24"/>
          <w:szCs w:val="24"/>
          <w:u w:val="single" w:color="auto"/>
        </w:rPr>
        <w:t>至第900章费用之和，并扣除安全生产费本身和</w:t>
      </w:r>
      <w:r>
        <w:rPr>
          <w:rFonts w:ascii="宋体" w:hAnsi="宋体" w:eastAsia="宋体" w:cs="宋体"/>
          <w:sz w:val="24"/>
          <w:szCs w:val="24"/>
        </w:rPr>
        <w:t xml:space="preserve"> </w:t>
      </w:r>
      <w:r>
        <w:rPr>
          <w:rFonts w:ascii="宋体" w:hAnsi="宋体" w:eastAsia="宋体" w:cs="宋体"/>
          <w:spacing w:val="-2"/>
          <w:sz w:val="24"/>
          <w:szCs w:val="24"/>
          <w:u w:val="single" w:color="auto"/>
        </w:rPr>
        <w:t>机电工程设备购置费）</w:t>
      </w:r>
      <w:r>
        <w:rPr>
          <w:rFonts w:ascii="宋体" w:hAnsi="宋体" w:eastAsia="宋体" w:cs="宋体"/>
          <w:spacing w:val="-2"/>
          <w:sz w:val="24"/>
          <w:szCs w:val="24"/>
        </w:rPr>
        <w:t>的1.5%（不含新建、改建、扩建以及拆除、加固等建设工程专项</w:t>
      </w:r>
      <w:r>
        <w:rPr>
          <w:rFonts w:ascii="宋体" w:hAnsi="宋体" w:eastAsia="宋体" w:cs="宋体"/>
          <w:spacing w:val="17"/>
          <w:sz w:val="24"/>
          <w:szCs w:val="24"/>
        </w:rPr>
        <w:t xml:space="preserve"> </w:t>
      </w:r>
      <w:r>
        <w:rPr>
          <w:rFonts w:ascii="宋体" w:hAnsi="宋体" w:eastAsia="宋体" w:cs="宋体"/>
          <w:spacing w:val="-1"/>
          <w:sz w:val="24"/>
          <w:szCs w:val="24"/>
        </w:rPr>
        <w:t>交通安全维护费</w:t>
      </w:r>
      <w:r>
        <w:rPr>
          <w:rFonts w:ascii="宋体" w:hAnsi="宋体" w:eastAsia="宋体" w:cs="宋体"/>
          <w:spacing w:val="-67"/>
          <w:w w:val="97"/>
          <w:sz w:val="24"/>
          <w:szCs w:val="24"/>
        </w:rPr>
        <w:t>）（</w:t>
      </w:r>
      <w:r>
        <w:rPr>
          <w:rFonts w:ascii="宋体" w:hAnsi="宋体" w:eastAsia="宋体" w:cs="宋体"/>
          <w:spacing w:val="-1"/>
          <w:sz w:val="24"/>
          <w:szCs w:val="24"/>
        </w:rPr>
        <w:t>房建工程按</w:t>
      </w:r>
      <w:r>
        <w:rPr>
          <w:rFonts w:ascii="宋体" w:hAnsi="宋体" w:eastAsia="宋体" w:cs="宋体"/>
          <w:spacing w:val="-1"/>
          <w:sz w:val="24"/>
          <w:szCs w:val="24"/>
          <w:u w:val="single" w:color="auto"/>
        </w:rPr>
        <w:t xml:space="preserve">   </w:t>
      </w:r>
      <w:r>
        <w:rPr>
          <w:rFonts w:ascii="宋体" w:hAnsi="宋体" w:eastAsia="宋体" w:cs="宋体"/>
          <w:spacing w:val="-113"/>
          <w:sz w:val="24"/>
          <w:szCs w:val="24"/>
        </w:rPr>
        <w:t xml:space="preserve"> </w:t>
      </w:r>
      <w:r>
        <w:rPr>
          <w:rFonts w:ascii="宋体" w:hAnsi="宋体" w:eastAsia="宋体" w:cs="宋体"/>
          <w:spacing w:val="-1"/>
          <w:sz w:val="24"/>
          <w:szCs w:val="24"/>
        </w:rPr>
        <w:t>%）以固定金额的形式计入工程量清单支付子目102-3</w:t>
      </w:r>
    </w:p>
    <w:p>
      <w:pPr>
        <w:spacing w:line="220" w:lineRule="auto"/>
        <w:ind w:left="30"/>
        <w:rPr>
          <w:rFonts w:ascii="宋体" w:hAnsi="宋体" w:eastAsia="宋体" w:cs="宋体"/>
          <w:sz w:val="24"/>
          <w:szCs w:val="24"/>
        </w:rPr>
      </w:pPr>
      <w:r>
        <w:rPr>
          <w:rFonts w:ascii="宋体" w:hAnsi="宋体" w:eastAsia="宋体" w:cs="宋体"/>
          <w:spacing w:val="-16"/>
          <w:sz w:val="24"/>
          <w:szCs w:val="24"/>
        </w:rPr>
        <w:t>中。</w:t>
      </w:r>
    </w:p>
    <w:p>
      <w:pPr>
        <w:spacing w:before="147" w:line="387" w:lineRule="auto"/>
        <w:ind w:left="499"/>
        <w:rPr>
          <w:rFonts w:ascii="宋体" w:hAnsi="宋体" w:eastAsia="宋体" w:cs="宋体"/>
          <w:sz w:val="12"/>
          <w:szCs w:val="12"/>
        </w:rPr>
      </w:pPr>
      <w:r>
        <w:rPr>
          <w:rFonts w:ascii="宋体" w:hAnsi="宋体" w:eastAsia="宋体" w:cs="宋体"/>
          <w:spacing w:val="-1"/>
          <w:sz w:val="24"/>
          <w:szCs w:val="24"/>
        </w:rPr>
        <w:t>（1）安全生产费用预付款比例及扣回方式：</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2"/>
          <w:sz w:val="24"/>
          <w:szCs w:val="24"/>
        </w:rPr>
        <w:t>。</w:t>
      </w:r>
      <w:r>
        <w:fldChar w:fldCharType="begin"/>
      </w:r>
      <w:r>
        <w:instrText xml:space="preserve"> HYPERLINK \l "bookmark156" </w:instrText>
      </w:r>
      <w:r>
        <w:fldChar w:fldCharType="separate"/>
      </w:r>
      <w:r>
        <w:rPr>
          <w:rFonts w:ascii="宋体" w:hAnsi="宋体" w:eastAsia="宋体" w:cs="宋体"/>
          <w:spacing w:val="-2"/>
          <w:position w:val="12"/>
          <w:sz w:val="12"/>
          <w:szCs w:val="12"/>
        </w:rPr>
        <w:t>①</w:t>
      </w:r>
      <w:r>
        <w:rPr>
          <w:rFonts w:ascii="宋体" w:hAnsi="宋体" w:eastAsia="宋体" w:cs="宋体"/>
          <w:spacing w:val="-2"/>
          <w:position w:val="12"/>
          <w:sz w:val="12"/>
          <w:szCs w:val="12"/>
        </w:rPr>
        <w:fldChar w:fldCharType="end"/>
      </w:r>
    </w:p>
    <w:p>
      <w:pPr>
        <w:spacing w:before="3" w:line="349" w:lineRule="auto"/>
        <w:ind w:left="8" w:right="291" w:firstLine="491"/>
        <w:jc w:val="both"/>
        <w:rPr>
          <w:rFonts w:ascii="宋体" w:hAnsi="宋体" w:eastAsia="宋体" w:cs="宋体"/>
          <w:sz w:val="24"/>
          <w:szCs w:val="24"/>
        </w:rPr>
      </w:pPr>
      <w:r>
        <w:rPr>
          <w:rFonts w:ascii="宋体" w:hAnsi="宋体" w:eastAsia="宋体" w:cs="宋体"/>
          <w:spacing w:val="1"/>
          <w:sz w:val="24"/>
          <w:szCs w:val="24"/>
        </w:rPr>
        <w:t>（2）施工准备阶段，承包人应根据安全生产费总额及广东省交通运输厅关于印发</w:t>
      </w:r>
      <w:r>
        <w:rPr>
          <w:rFonts w:ascii="宋体" w:hAnsi="宋体" w:eastAsia="宋体" w:cs="宋体"/>
          <w:spacing w:val="9"/>
          <w:sz w:val="24"/>
          <w:szCs w:val="24"/>
        </w:rPr>
        <w:t xml:space="preserve"> </w:t>
      </w:r>
      <w:r>
        <w:rPr>
          <w:rFonts w:ascii="宋体" w:hAnsi="宋体" w:eastAsia="宋体" w:cs="宋体"/>
          <w:spacing w:val="-2"/>
          <w:sz w:val="24"/>
          <w:szCs w:val="24"/>
        </w:rPr>
        <w:t>《广东省交通运输厅关于公路水运建设工程安全生产费用的管理办法》的通知规定的安</w:t>
      </w:r>
      <w:r>
        <w:rPr>
          <w:rFonts w:ascii="宋体" w:hAnsi="宋体" w:eastAsia="宋体" w:cs="宋体"/>
          <w:spacing w:val="12"/>
          <w:sz w:val="24"/>
          <w:szCs w:val="24"/>
        </w:rPr>
        <w:t xml:space="preserve"> </w:t>
      </w:r>
      <w:r>
        <w:rPr>
          <w:rFonts w:ascii="宋体" w:hAnsi="宋体" w:eastAsia="宋体" w:cs="宋体"/>
          <w:spacing w:val="-2"/>
          <w:sz w:val="24"/>
          <w:szCs w:val="24"/>
        </w:rPr>
        <w:t>全生产费用清单附录申报子目、价格及数量（包括购买安全生产责任保险</w:t>
      </w:r>
      <w:r>
        <w:rPr>
          <w:rFonts w:ascii="宋体" w:hAnsi="宋体" w:eastAsia="宋体" w:cs="宋体"/>
          <w:spacing w:val="4"/>
          <w:sz w:val="24"/>
          <w:szCs w:val="24"/>
        </w:rPr>
        <w:t>），</w:t>
      </w:r>
      <w:r>
        <w:rPr>
          <w:rFonts w:ascii="宋体" w:hAnsi="宋体" w:eastAsia="宋体" w:cs="宋体"/>
          <w:spacing w:val="-2"/>
          <w:sz w:val="24"/>
          <w:szCs w:val="24"/>
        </w:rPr>
        <w:t>由监理单</w:t>
      </w:r>
    </w:p>
    <w:p>
      <w:pPr>
        <w:spacing w:line="466" w:lineRule="exact"/>
        <w:ind w:left="8"/>
        <w:rPr>
          <w:rFonts w:ascii="宋体" w:hAnsi="宋体" w:eastAsia="宋体" w:cs="宋体"/>
          <w:sz w:val="12"/>
          <w:szCs w:val="12"/>
        </w:rPr>
      </w:pPr>
      <w:r>
        <w:rPr>
          <w:rFonts w:ascii="宋体" w:hAnsi="宋体" w:eastAsia="宋体" w:cs="宋体"/>
          <w:spacing w:val="-1"/>
          <w:position w:val="5"/>
          <w:sz w:val="24"/>
          <w:szCs w:val="24"/>
        </w:rPr>
        <w:t>位审核后报发包人批准（或备案）。</w:t>
      </w:r>
      <w:r>
        <w:fldChar w:fldCharType="begin"/>
      </w:r>
      <w:r>
        <w:instrText xml:space="preserve"> HYPERLINK \l "bookmark157" </w:instrText>
      </w:r>
      <w:r>
        <w:fldChar w:fldCharType="separate"/>
      </w:r>
      <w:r>
        <w:rPr>
          <w:rFonts w:ascii="宋体" w:hAnsi="宋体" w:eastAsia="宋体" w:cs="宋体"/>
          <w:spacing w:val="-1"/>
          <w:position w:val="16"/>
          <w:sz w:val="12"/>
          <w:szCs w:val="12"/>
        </w:rPr>
        <w:t>②</w:t>
      </w:r>
      <w:r>
        <w:rPr>
          <w:rFonts w:ascii="宋体" w:hAnsi="宋体" w:eastAsia="宋体" w:cs="宋体"/>
          <w:spacing w:val="-1"/>
          <w:position w:val="16"/>
          <w:sz w:val="12"/>
          <w:szCs w:val="12"/>
        </w:rPr>
        <w:fldChar w:fldCharType="end"/>
      </w:r>
    </w:p>
    <w:p>
      <w:pPr>
        <w:spacing w:before="37" w:line="359" w:lineRule="auto"/>
        <w:ind w:left="9" w:right="291" w:firstLine="533"/>
        <w:jc w:val="both"/>
        <w:rPr>
          <w:rFonts w:ascii="宋体" w:hAnsi="宋体" w:eastAsia="宋体" w:cs="宋体"/>
          <w:sz w:val="24"/>
          <w:szCs w:val="24"/>
        </w:rPr>
      </w:pPr>
      <w:r>
        <w:rPr>
          <w:rFonts w:ascii="宋体" w:hAnsi="宋体" w:eastAsia="宋体" w:cs="宋体"/>
          <w:sz w:val="24"/>
          <w:szCs w:val="24"/>
        </w:rPr>
        <w:t>（3）承包人应根据每一计量周期安全生产投入情况及安全生产费用清单按实计量</w:t>
      </w:r>
      <w:r>
        <w:rPr>
          <w:rFonts w:ascii="宋体" w:hAnsi="宋体" w:eastAsia="宋体" w:cs="宋体"/>
          <w:spacing w:val="2"/>
          <w:sz w:val="24"/>
          <w:szCs w:val="24"/>
        </w:rPr>
        <w:t xml:space="preserve"> </w:t>
      </w:r>
      <w:r>
        <w:rPr>
          <w:rFonts w:ascii="宋体" w:hAnsi="宋体" w:eastAsia="宋体" w:cs="宋体"/>
          <w:spacing w:val="1"/>
          <w:sz w:val="24"/>
          <w:szCs w:val="24"/>
        </w:rPr>
        <w:t>支付， 经发包人同意， 安全生产经费各子项经费可相互调剂使用， 但最终支付总额</w:t>
      </w:r>
    </w:p>
    <w:p>
      <w:pPr>
        <w:spacing w:before="1" w:line="219" w:lineRule="auto"/>
        <w:ind w:left="12"/>
        <w:rPr>
          <w:rFonts w:ascii="宋体" w:hAnsi="宋体" w:eastAsia="宋体" w:cs="宋体"/>
          <w:sz w:val="24"/>
          <w:szCs w:val="24"/>
        </w:rPr>
      </w:pPr>
      <w:r>
        <w:rPr>
          <w:rFonts w:ascii="宋体" w:hAnsi="宋体" w:eastAsia="宋体" w:cs="宋体"/>
          <w:sz w:val="24"/>
          <w:szCs w:val="24"/>
        </w:rPr>
        <w:t>不超过安全生产费总额（发生设计变更的，以</w:t>
      </w:r>
      <w:r>
        <w:rPr>
          <w:rFonts w:ascii="宋体" w:hAnsi="宋体" w:eastAsia="宋体" w:cs="宋体"/>
          <w:spacing w:val="-1"/>
          <w:sz w:val="24"/>
          <w:szCs w:val="24"/>
        </w:rPr>
        <w:t>按合同约定调整后的总额为准）。</w:t>
      </w:r>
    </w:p>
    <w:p>
      <w:pPr>
        <w:spacing w:before="180" w:line="468" w:lineRule="exact"/>
        <w:ind w:left="543"/>
        <w:rPr>
          <w:rFonts w:ascii="宋体" w:hAnsi="宋体" w:eastAsia="宋体" w:cs="宋体"/>
          <w:sz w:val="24"/>
          <w:szCs w:val="24"/>
        </w:rPr>
      </w:pPr>
      <w:r>
        <w:rPr>
          <w:rFonts w:ascii="宋体" w:hAnsi="宋体" w:eastAsia="宋体" w:cs="宋体"/>
          <w:position w:val="17"/>
          <w:sz w:val="24"/>
          <w:szCs w:val="24"/>
        </w:rPr>
        <w:t>（4）安全生产费用应专门用于完善和改进工程项目安全作业环境、安全施工措施</w:t>
      </w:r>
    </w:p>
    <w:p>
      <w:pPr>
        <w:spacing w:before="1" w:line="219" w:lineRule="auto"/>
        <w:ind w:left="9"/>
        <w:rPr>
          <w:rFonts w:ascii="宋体" w:hAnsi="宋体" w:eastAsia="宋体" w:cs="宋体"/>
          <w:sz w:val="24"/>
          <w:szCs w:val="24"/>
        </w:rPr>
      </w:pPr>
      <w:r>
        <w:rPr>
          <w:rFonts w:ascii="宋体" w:hAnsi="宋体" w:eastAsia="宋体" w:cs="宋体"/>
          <w:spacing w:val="-2"/>
          <w:sz w:val="24"/>
          <w:szCs w:val="24"/>
        </w:rPr>
        <w:t>和条件，严禁挪用。</w:t>
      </w:r>
    </w:p>
    <w:p>
      <w:pPr>
        <w:spacing w:line="344" w:lineRule="auto"/>
        <w:rPr>
          <w:rFonts w:ascii="Arial"/>
          <w:sz w:val="21"/>
        </w:rPr>
      </w:pPr>
    </w:p>
    <w:p>
      <w:pPr>
        <w:spacing w:before="59" w:line="229" w:lineRule="auto"/>
        <w:ind w:left="6" w:right="438" w:hanging="1"/>
        <w:rPr>
          <w:rFonts w:ascii="宋体" w:hAnsi="宋体" w:eastAsia="宋体" w:cs="宋体"/>
          <w:sz w:val="18"/>
          <w:szCs w:val="18"/>
        </w:rPr>
      </w:pPr>
      <w:r>
        <w:rPr>
          <w:rFonts w:ascii="宋体" w:hAnsi="宋体" w:eastAsia="宋体" w:cs="宋体"/>
          <w:sz w:val="18"/>
          <w:szCs w:val="18"/>
        </w:rPr>
        <w:t>①安全生产费用预付款比例及扣回方式由招标人进行约定并满足《关于印发</w:t>
      </w:r>
      <w:r>
        <w:rPr>
          <w:rFonts w:ascii="Times New Roman" w:hAnsi="Times New Roman" w:eastAsia="Times New Roman" w:cs="Times New Roman"/>
          <w:sz w:val="18"/>
          <w:szCs w:val="18"/>
        </w:rPr>
        <w:t>&lt;</w:t>
      </w:r>
      <w:r>
        <w:rPr>
          <w:rFonts w:ascii="宋体" w:hAnsi="宋体" w:eastAsia="宋体" w:cs="宋体"/>
          <w:sz w:val="18"/>
          <w:szCs w:val="18"/>
        </w:rPr>
        <w:t>企业安全生产费</w:t>
      </w:r>
      <w:r>
        <w:rPr>
          <w:rFonts w:ascii="宋体" w:hAnsi="宋体" w:eastAsia="宋体" w:cs="宋体"/>
          <w:spacing w:val="-1"/>
          <w:sz w:val="18"/>
          <w:szCs w:val="18"/>
        </w:rPr>
        <w:t>用提取和使用管理办</w:t>
      </w:r>
      <w:r>
        <w:rPr>
          <w:rFonts w:ascii="宋体" w:hAnsi="宋体" w:eastAsia="宋体" w:cs="宋体"/>
          <w:sz w:val="18"/>
          <w:szCs w:val="18"/>
        </w:rPr>
        <w:t xml:space="preserve"> </w:t>
      </w:r>
      <w:r>
        <w:rPr>
          <w:rFonts w:ascii="宋体" w:hAnsi="宋体" w:eastAsia="宋体" w:cs="宋体"/>
          <w:spacing w:val="-3"/>
          <w:sz w:val="18"/>
          <w:szCs w:val="18"/>
        </w:rPr>
        <w:t>法</w:t>
      </w:r>
      <w:r>
        <w:rPr>
          <w:rFonts w:ascii="Times New Roman" w:hAnsi="Times New Roman" w:eastAsia="Times New Roman" w:cs="Times New Roman"/>
          <w:spacing w:val="-3"/>
          <w:sz w:val="18"/>
          <w:szCs w:val="18"/>
        </w:rPr>
        <w:t>&gt;</w:t>
      </w:r>
      <w:r>
        <w:rPr>
          <w:rFonts w:ascii="Times New Roman" w:hAnsi="Times New Roman" w:eastAsia="Times New Roman" w:cs="Times New Roman"/>
          <w:spacing w:val="-24"/>
          <w:sz w:val="18"/>
          <w:szCs w:val="18"/>
        </w:rPr>
        <w:t xml:space="preserve"> </w:t>
      </w:r>
      <w:r>
        <w:rPr>
          <w:rFonts w:ascii="宋体" w:hAnsi="宋体" w:eastAsia="宋体" w:cs="宋体"/>
          <w:spacing w:val="-3"/>
          <w:sz w:val="18"/>
          <w:szCs w:val="18"/>
        </w:rPr>
        <w:t>的通知》的规定。</w:t>
      </w:r>
    </w:p>
    <w:p>
      <w:pPr>
        <w:spacing w:before="18" w:line="220" w:lineRule="auto"/>
        <w:ind w:left="4"/>
        <w:rPr>
          <w:rFonts w:ascii="宋体" w:hAnsi="宋体" w:eastAsia="宋体" w:cs="宋体"/>
          <w:sz w:val="18"/>
          <w:szCs w:val="18"/>
        </w:rPr>
      </w:pPr>
      <w:r>
        <w:rPr>
          <w:rFonts w:ascii="宋体" w:hAnsi="宋体" w:eastAsia="宋体" w:cs="宋体"/>
          <w:sz w:val="18"/>
          <w:szCs w:val="18"/>
        </w:rPr>
        <w:t>②安全生产责任险的要求和费用列支方招标人可在计量规</w:t>
      </w:r>
      <w:r>
        <w:rPr>
          <w:rFonts w:ascii="宋体" w:hAnsi="宋体" w:eastAsia="宋体" w:cs="宋体"/>
          <w:spacing w:val="-1"/>
          <w:sz w:val="18"/>
          <w:szCs w:val="18"/>
        </w:rPr>
        <w:t>则中进行约定。</w:t>
      </w:r>
    </w:p>
    <w:p>
      <w:pPr>
        <w:spacing w:line="425" w:lineRule="auto"/>
        <w:rPr>
          <w:rFonts w:ascii="Arial"/>
          <w:sz w:val="21"/>
        </w:rPr>
      </w:pPr>
    </w:p>
    <w:p>
      <w:pPr>
        <w:spacing w:before="78" w:line="359" w:lineRule="auto"/>
        <w:ind w:left="18" w:right="291" w:firstLine="521"/>
        <w:jc w:val="both"/>
        <w:rPr>
          <w:rFonts w:ascii="宋体" w:hAnsi="宋体" w:eastAsia="宋体" w:cs="宋体"/>
          <w:sz w:val="24"/>
          <w:szCs w:val="24"/>
        </w:rPr>
      </w:pPr>
      <w:r>
        <w:rPr>
          <w:rFonts w:ascii="宋体" w:hAnsi="宋体" w:eastAsia="宋体" w:cs="宋体"/>
          <w:sz w:val="24"/>
          <w:szCs w:val="24"/>
        </w:rPr>
        <w:t>（5）承包人应根据实际需要使用安全生产费用，因设计变更造成承包人安全生产</w:t>
      </w:r>
      <w:r>
        <w:rPr>
          <w:rFonts w:ascii="宋体" w:hAnsi="宋体" w:eastAsia="宋体" w:cs="宋体"/>
          <w:spacing w:val="2"/>
          <w:sz w:val="24"/>
          <w:szCs w:val="24"/>
        </w:rPr>
        <w:t xml:space="preserve"> </w:t>
      </w:r>
      <w:r>
        <w:rPr>
          <w:rFonts w:ascii="宋体" w:hAnsi="宋体" w:eastAsia="宋体" w:cs="宋体"/>
          <w:spacing w:val="-2"/>
          <w:sz w:val="24"/>
          <w:szCs w:val="24"/>
        </w:rPr>
        <w:t>费用实际投入总额与合同约定不一致的，差额部分的安全生产费用按照批复变更金额和</w:t>
      </w:r>
    </w:p>
    <w:p>
      <w:pPr>
        <w:spacing w:line="220" w:lineRule="auto"/>
        <w:ind w:left="6"/>
        <w:rPr>
          <w:rFonts w:ascii="宋体" w:hAnsi="宋体" w:eastAsia="宋体" w:cs="宋体"/>
          <w:sz w:val="24"/>
          <w:szCs w:val="24"/>
        </w:rPr>
      </w:pPr>
      <w:r>
        <w:rPr>
          <w:rFonts w:ascii="宋体" w:hAnsi="宋体" w:eastAsia="宋体" w:cs="宋体"/>
          <w:spacing w:val="-1"/>
          <w:sz w:val="24"/>
          <w:szCs w:val="24"/>
        </w:rPr>
        <w:t>规定提取比例同时调整。</w:t>
      </w:r>
    </w:p>
    <w:p>
      <w:pPr>
        <w:spacing w:before="179" w:line="359" w:lineRule="auto"/>
        <w:ind w:left="5" w:right="294" w:firstLine="534"/>
        <w:jc w:val="both"/>
        <w:rPr>
          <w:rFonts w:ascii="宋体" w:hAnsi="宋体" w:eastAsia="宋体" w:cs="宋体"/>
          <w:sz w:val="24"/>
          <w:szCs w:val="24"/>
        </w:rPr>
      </w:pPr>
      <w:r>
        <w:rPr>
          <w:rFonts w:ascii="宋体" w:hAnsi="宋体" w:eastAsia="宋体" w:cs="宋体"/>
          <w:sz w:val="24"/>
          <w:szCs w:val="24"/>
        </w:rPr>
        <w:t xml:space="preserve">（6）非因设计变更造成承包人安全生产费用实际投入总额与合同约定不一致的， </w:t>
      </w:r>
      <w:r>
        <w:rPr>
          <w:rFonts w:ascii="宋体" w:hAnsi="宋体" w:eastAsia="宋体" w:cs="宋体"/>
          <w:spacing w:val="5"/>
          <w:sz w:val="24"/>
          <w:szCs w:val="24"/>
        </w:rPr>
        <w:t>承包人安全生产费用实际支出超过合同约定安全生产费用总</w:t>
      </w:r>
      <w:r>
        <w:rPr>
          <w:rFonts w:ascii="宋体" w:hAnsi="宋体" w:eastAsia="宋体" w:cs="宋体"/>
          <w:spacing w:val="4"/>
          <w:sz w:val="24"/>
          <w:szCs w:val="24"/>
        </w:rPr>
        <w:t>额的，发包人不再另行支</w:t>
      </w:r>
    </w:p>
    <w:p>
      <w:pPr>
        <w:spacing w:line="219" w:lineRule="auto"/>
        <w:ind w:left="5"/>
        <w:rPr>
          <w:rFonts w:ascii="宋体" w:hAnsi="宋体" w:eastAsia="宋体" w:cs="宋体"/>
          <w:sz w:val="24"/>
          <w:szCs w:val="24"/>
        </w:rPr>
      </w:pPr>
      <w:r>
        <w:rPr>
          <w:rFonts w:ascii="宋体" w:hAnsi="宋体" w:eastAsia="宋体" w:cs="宋体"/>
          <w:spacing w:val="-1"/>
          <w:sz w:val="24"/>
          <w:szCs w:val="24"/>
        </w:rPr>
        <w:t>付，超出部分由承包人自行承担。</w:t>
      </w:r>
    </w:p>
    <w:p>
      <w:pPr>
        <w:spacing w:before="181" w:line="359" w:lineRule="auto"/>
        <w:ind w:left="4" w:right="291" w:firstLine="535"/>
        <w:jc w:val="both"/>
        <w:rPr>
          <w:rFonts w:ascii="宋体" w:hAnsi="宋体" w:eastAsia="宋体" w:cs="宋体"/>
          <w:sz w:val="24"/>
          <w:szCs w:val="24"/>
        </w:rPr>
      </w:pPr>
      <w:r>
        <w:rPr>
          <w:rFonts w:ascii="宋体" w:hAnsi="宋体" w:eastAsia="宋体" w:cs="宋体"/>
          <w:sz w:val="24"/>
          <w:szCs w:val="24"/>
        </w:rPr>
        <w:t>（7）承包人未按照合同约定落实安全生产措施的，发包人可以责令其暂停施工或</w:t>
      </w:r>
      <w:r>
        <w:rPr>
          <w:rFonts w:ascii="宋体" w:hAnsi="宋体" w:eastAsia="宋体" w:cs="宋体"/>
          <w:spacing w:val="2"/>
          <w:sz w:val="24"/>
          <w:szCs w:val="24"/>
        </w:rPr>
        <w:t xml:space="preserve"> </w:t>
      </w:r>
      <w:r>
        <w:rPr>
          <w:rFonts w:ascii="宋体" w:hAnsi="宋体" w:eastAsia="宋体" w:cs="宋体"/>
          <w:spacing w:val="-2"/>
          <w:sz w:val="24"/>
          <w:szCs w:val="24"/>
        </w:rPr>
        <w:t>暂停支付安全生产费用，并要求监理人督促整改，直至承包人完成整改。若承包人未能</w:t>
      </w:r>
      <w:r>
        <w:rPr>
          <w:rFonts w:ascii="宋体" w:hAnsi="宋体" w:eastAsia="宋体" w:cs="宋体"/>
          <w:spacing w:val="13"/>
          <w:sz w:val="24"/>
          <w:szCs w:val="24"/>
        </w:rPr>
        <w:t xml:space="preserve"> </w:t>
      </w:r>
      <w:r>
        <w:rPr>
          <w:rFonts w:ascii="宋体" w:hAnsi="宋体" w:eastAsia="宋体" w:cs="宋体"/>
          <w:spacing w:val="5"/>
          <w:sz w:val="24"/>
          <w:szCs w:val="24"/>
        </w:rPr>
        <w:t>在规定期限内完成对施工现场事故隐患整改的，发包人可以直</w:t>
      </w:r>
      <w:r>
        <w:rPr>
          <w:rFonts w:ascii="宋体" w:hAnsi="宋体" w:eastAsia="宋体" w:cs="宋体"/>
          <w:spacing w:val="4"/>
          <w:sz w:val="24"/>
          <w:szCs w:val="24"/>
        </w:rPr>
        <w:t>接委托其他单位代为整</w:t>
      </w:r>
    </w:p>
    <w:p>
      <w:pPr>
        <w:spacing w:before="1" w:line="219" w:lineRule="auto"/>
        <w:ind w:left="13"/>
        <w:rPr>
          <w:rFonts w:ascii="宋体" w:hAnsi="宋体" w:eastAsia="宋体" w:cs="宋体"/>
          <w:sz w:val="24"/>
          <w:szCs w:val="24"/>
        </w:rPr>
      </w:pPr>
      <w:r>
        <w:rPr>
          <w:rFonts w:ascii="宋体" w:hAnsi="宋体" w:eastAsia="宋体" w:cs="宋体"/>
          <w:spacing w:val="-1"/>
          <w:sz w:val="24"/>
          <w:szCs w:val="24"/>
        </w:rPr>
        <w:t>改，相关费用在支付给承包人的费用中扣除，并由发包人直接支付给受委托单位。</w:t>
      </w:r>
    </w:p>
    <w:p>
      <w:pPr>
        <w:spacing w:before="183" w:line="465" w:lineRule="exact"/>
        <w:ind w:left="496"/>
        <w:rPr>
          <w:rFonts w:ascii="宋体" w:hAnsi="宋体" w:eastAsia="宋体" w:cs="宋体"/>
          <w:sz w:val="24"/>
          <w:szCs w:val="24"/>
        </w:rPr>
      </w:pPr>
      <w:r>
        <w:rPr>
          <w:rFonts w:ascii="宋体" w:hAnsi="宋体" w:eastAsia="宋体" w:cs="宋体"/>
          <w:spacing w:val="-1"/>
          <w:position w:val="17"/>
          <w:sz w:val="24"/>
          <w:szCs w:val="24"/>
        </w:rPr>
        <w:t>（8）工程交工验收后，安全生产费用实际投入总额少于工程量清单中安全生产费</w:t>
      </w:r>
    </w:p>
    <w:p>
      <w:pPr>
        <w:spacing w:before="1" w:line="219" w:lineRule="auto"/>
        <w:ind w:left="7"/>
        <w:rPr>
          <w:rFonts w:ascii="宋体" w:hAnsi="宋体" w:eastAsia="宋体" w:cs="宋体"/>
          <w:sz w:val="24"/>
          <w:szCs w:val="24"/>
        </w:rPr>
      </w:pPr>
      <w:r>
        <w:rPr>
          <w:rFonts w:ascii="宋体" w:hAnsi="宋体" w:eastAsia="宋体" w:cs="宋体"/>
          <w:sz w:val="24"/>
          <w:szCs w:val="24"/>
        </w:rPr>
        <w:t>用总额的，经监理人核实后，未计量部分（除变</w:t>
      </w:r>
      <w:r>
        <w:rPr>
          <w:rFonts w:ascii="宋体" w:hAnsi="宋体" w:eastAsia="宋体" w:cs="宋体"/>
          <w:spacing w:val="-1"/>
          <w:sz w:val="24"/>
          <w:szCs w:val="24"/>
        </w:rPr>
        <w:t>更费用外）原则上不再支付。</w:t>
      </w:r>
    </w:p>
    <w:p>
      <w:pPr>
        <w:spacing w:before="183" w:line="219" w:lineRule="auto"/>
        <w:ind w:left="485"/>
        <w:rPr>
          <w:rFonts w:ascii="宋体" w:hAnsi="宋体" w:eastAsia="宋体" w:cs="宋体"/>
          <w:sz w:val="24"/>
          <w:szCs w:val="24"/>
        </w:rPr>
      </w:pPr>
      <w:r>
        <w:rPr>
          <w:rFonts w:ascii="宋体" w:hAnsi="宋体" w:eastAsia="宋体" w:cs="宋体"/>
          <w:spacing w:val="1"/>
          <w:sz w:val="24"/>
          <w:szCs w:val="24"/>
        </w:rPr>
        <w:t>第</w:t>
      </w:r>
      <w:r>
        <w:rPr>
          <w:rFonts w:ascii="宋体" w:hAnsi="宋体" w:eastAsia="宋体" w:cs="宋体"/>
          <w:spacing w:val="-50"/>
          <w:sz w:val="24"/>
          <w:szCs w:val="24"/>
        </w:rPr>
        <w:t xml:space="preserve"> </w:t>
      </w:r>
      <w:r>
        <w:rPr>
          <w:rFonts w:ascii="宋体" w:hAnsi="宋体" w:eastAsia="宋体" w:cs="宋体"/>
          <w:spacing w:val="1"/>
          <w:sz w:val="24"/>
          <w:szCs w:val="24"/>
        </w:rPr>
        <w:t>9.2.6</w:t>
      </w:r>
      <w:r>
        <w:rPr>
          <w:rFonts w:ascii="宋体" w:hAnsi="宋体" w:eastAsia="宋体" w:cs="宋体"/>
          <w:spacing w:val="-47"/>
          <w:sz w:val="24"/>
          <w:szCs w:val="24"/>
        </w:rPr>
        <w:t xml:space="preserve"> </w:t>
      </w:r>
      <w:r>
        <w:rPr>
          <w:rFonts w:ascii="宋体" w:hAnsi="宋体" w:eastAsia="宋体" w:cs="宋体"/>
          <w:spacing w:val="1"/>
          <w:sz w:val="24"/>
          <w:szCs w:val="24"/>
        </w:rPr>
        <w:t>项细化为:</w:t>
      </w:r>
    </w:p>
    <w:p>
      <w:pPr>
        <w:spacing w:before="183" w:line="359" w:lineRule="auto"/>
        <w:ind w:left="6" w:right="291" w:firstLine="479"/>
        <w:rPr>
          <w:rFonts w:ascii="宋体" w:hAnsi="宋体" w:eastAsia="宋体" w:cs="宋体"/>
          <w:sz w:val="24"/>
          <w:szCs w:val="24"/>
        </w:rPr>
      </w:pPr>
      <w:r>
        <w:rPr>
          <w:rFonts w:ascii="宋体" w:hAnsi="宋体" w:eastAsia="宋体" w:cs="宋体"/>
          <w:spacing w:val="-2"/>
          <w:sz w:val="24"/>
          <w:szCs w:val="24"/>
        </w:rPr>
        <w:t>承包人对其分包施工现场的安全生产负总责。分包合同中应当明确各自的安全生产</w:t>
      </w:r>
      <w:r>
        <w:rPr>
          <w:rFonts w:ascii="宋体" w:hAnsi="宋体" w:eastAsia="宋体" w:cs="宋体"/>
          <w:spacing w:val="8"/>
          <w:sz w:val="24"/>
          <w:szCs w:val="24"/>
        </w:rPr>
        <w:t xml:space="preserve"> </w:t>
      </w:r>
      <w:r>
        <w:rPr>
          <w:rFonts w:ascii="宋体" w:hAnsi="宋体" w:eastAsia="宋体" w:cs="宋体"/>
          <w:spacing w:val="-2"/>
          <w:sz w:val="24"/>
          <w:szCs w:val="24"/>
        </w:rPr>
        <w:t>方面的权利、义务，承包人和分包人对分包工程的安全生产承担连带责任。分包单位安</w:t>
      </w:r>
    </w:p>
    <w:p>
      <w:pPr>
        <w:spacing w:line="219" w:lineRule="auto"/>
        <w:ind w:left="5"/>
        <w:rPr>
          <w:rFonts w:ascii="宋体" w:hAnsi="宋体" w:eastAsia="宋体" w:cs="宋体"/>
          <w:sz w:val="24"/>
          <w:szCs w:val="24"/>
        </w:rPr>
      </w:pPr>
      <w:r>
        <w:rPr>
          <w:rFonts w:ascii="宋体" w:hAnsi="宋体" w:eastAsia="宋体" w:cs="宋体"/>
          <w:sz w:val="24"/>
          <w:szCs w:val="24"/>
        </w:rPr>
        <w:t>全生产条件和措施投入不足的应当由承包人负责配足</w:t>
      </w:r>
      <w:r>
        <w:rPr>
          <w:rFonts w:ascii="宋体" w:hAnsi="宋体" w:eastAsia="宋体" w:cs="宋体"/>
          <w:spacing w:val="-1"/>
          <w:sz w:val="24"/>
          <w:szCs w:val="24"/>
        </w:rPr>
        <w:t>，其费用由承包人承担。</w:t>
      </w:r>
    </w:p>
    <w:p>
      <w:pPr>
        <w:spacing w:before="181" w:line="219" w:lineRule="auto"/>
        <w:ind w:left="485"/>
        <w:rPr>
          <w:rFonts w:ascii="宋体" w:hAnsi="宋体" w:eastAsia="宋体" w:cs="宋体"/>
          <w:sz w:val="24"/>
          <w:szCs w:val="24"/>
        </w:rPr>
      </w:pPr>
      <w:r>
        <w:rPr>
          <w:rFonts w:ascii="宋体" w:hAnsi="宋体" w:eastAsia="宋体" w:cs="宋体"/>
          <w:spacing w:val="-6"/>
          <w:sz w:val="24"/>
          <w:szCs w:val="24"/>
        </w:rPr>
        <w:t>第</w:t>
      </w:r>
      <w:r>
        <w:rPr>
          <w:rFonts w:ascii="宋体" w:hAnsi="宋体" w:eastAsia="宋体" w:cs="宋体"/>
          <w:spacing w:val="-42"/>
          <w:sz w:val="24"/>
          <w:szCs w:val="24"/>
        </w:rPr>
        <w:t xml:space="preserve"> </w:t>
      </w:r>
      <w:r>
        <w:rPr>
          <w:rFonts w:ascii="宋体" w:hAnsi="宋体" w:eastAsia="宋体" w:cs="宋体"/>
          <w:spacing w:val="-6"/>
          <w:sz w:val="24"/>
          <w:szCs w:val="24"/>
        </w:rPr>
        <w:t>9.2.8（4）</w:t>
      </w:r>
      <w:r>
        <w:rPr>
          <w:rFonts w:ascii="宋体" w:hAnsi="宋体" w:eastAsia="宋体" w:cs="宋体"/>
          <w:spacing w:val="-65"/>
          <w:sz w:val="24"/>
          <w:szCs w:val="24"/>
        </w:rPr>
        <w:t xml:space="preserve"> </w:t>
      </w:r>
      <w:r>
        <w:rPr>
          <w:rFonts w:ascii="宋体" w:hAnsi="宋体" w:eastAsia="宋体" w:cs="宋体"/>
          <w:spacing w:val="-6"/>
          <w:sz w:val="24"/>
          <w:szCs w:val="24"/>
        </w:rPr>
        <w:t>目细化为：</w:t>
      </w:r>
    </w:p>
    <w:p>
      <w:pPr>
        <w:spacing w:before="178" w:line="360" w:lineRule="auto"/>
        <w:ind w:left="5" w:right="291" w:firstLine="523"/>
        <w:rPr>
          <w:rFonts w:ascii="宋体" w:hAnsi="宋体" w:eastAsia="宋体" w:cs="宋体"/>
          <w:sz w:val="24"/>
          <w:szCs w:val="24"/>
        </w:rPr>
      </w:pPr>
      <w:r>
        <w:rPr>
          <w:rFonts w:ascii="宋体" w:hAnsi="宋体" w:eastAsia="宋体" w:cs="宋体"/>
          <w:spacing w:val="-3"/>
          <w:sz w:val="24"/>
          <w:szCs w:val="24"/>
        </w:rPr>
        <w:t>根据本合同各单位工程的施工特点，严格执行《公路水运工程安全生产监督管理办</w:t>
      </w:r>
      <w:r>
        <w:rPr>
          <w:rFonts w:ascii="宋体" w:hAnsi="宋体" w:eastAsia="宋体" w:cs="宋体"/>
          <w:spacing w:val="1"/>
          <w:sz w:val="24"/>
          <w:szCs w:val="24"/>
        </w:rPr>
        <w:t xml:space="preserve"> </w:t>
      </w:r>
      <w:r>
        <w:rPr>
          <w:rFonts w:ascii="宋体" w:hAnsi="宋体" w:eastAsia="宋体" w:cs="宋体"/>
          <w:spacing w:val="-2"/>
          <w:sz w:val="24"/>
          <w:szCs w:val="24"/>
        </w:rPr>
        <w:t>法》、《公路工程施工安全技术规范》等有关规定。承包人须成立安全生产组织机构和</w:t>
      </w:r>
      <w:r>
        <w:rPr>
          <w:rFonts w:ascii="宋体" w:hAnsi="宋体" w:eastAsia="宋体" w:cs="宋体"/>
          <w:spacing w:val="12"/>
          <w:sz w:val="24"/>
          <w:szCs w:val="24"/>
        </w:rPr>
        <w:t xml:space="preserve"> </w:t>
      </w:r>
      <w:r>
        <w:rPr>
          <w:rFonts w:ascii="宋体" w:hAnsi="宋体" w:eastAsia="宋体" w:cs="宋体"/>
          <w:spacing w:val="-2"/>
          <w:sz w:val="24"/>
          <w:szCs w:val="24"/>
        </w:rPr>
        <w:t>独立的安全生产管理部门，配备安全专职副经理和专职安全生产管理人员，明确安全生</w:t>
      </w:r>
      <w:r>
        <w:rPr>
          <w:rFonts w:ascii="宋体" w:hAnsi="宋体" w:eastAsia="宋体" w:cs="宋体"/>
          <w:spacing w:val="12"/>
          <w:sz w:val="24"/>
          <w:szCs w:val="24"/>
        </w:rPr>
        <w:t xml:space="preserve"> </w:t>
      </w:r>
      <w:r>
        <w:rPr>
          <w:rFonts w:ascii="宋体" w:hAnsi="宋体" w:eastAsia="宋体" w:cs="宋体"/>
          <w:spacing w:val="-2"/>
          <w:sz w:val="24"/>
          <w:szCs w:val="24"/>
        </w:rPr>
        <w:t>产第一责任人、直接责任人及其职责，如责任人和专职安全管理人员发生变动，必须立</w:t>
      </w:r>
    </w:p>
    <w:p>
      <w:pPr>
        <w:spacing w:before="1" w:line="218" w:lineRule="auto"/>
        <w:ind w:left="23"/>
        <w:rPr>
          <w:rFonts w:ascii="宋体" w:hAnsi="宋体" w:eastAsia="宋体" w:cs="宋体"/>
          <w:sz w:val="24"/>
          <w:szCs w:val="24"/>
        </w:rPr>
      </w:pPr>
      <w:r>
        <w:rPr>
          <w:rFonts w:ascii="宋体" w:hAnsi="宋体" w:eastAsia="宋体" w:cs="宋体"/>
          <w:spacing w:val="-3"/>
          <w:sz w:val="24"/>
          <w:szCs w:val="24"/>
        </w:rPr>
        <w:t>即书面通知监理人和发包人。</w:t>
      </w:r>
    </w:p>
    <w:p>
      <w:pPr>
        <w:spacing w:before="181" w:line="219" w:lineRule="auto"/>
        <w:ind w:left="484"/>
        <w:rPr>
          <w:rFonts w:ascii="宋体" w:hAnsi="宋体" w:eastAsia="宋体" w:cs="宋体"/>
          <w:sz w:val="24"/>
          <w:szCs w:val="24"/>
        </w:rPr>
      </w:pPr>
      <w:r>
        <w:rPr>
          <w:rFonts w:ascii="宋体" w:hAnsi="宋体" w:eastAsia="宋体" w:cs="宋体"/>
          <w:spacing w:val="-3"/>
          <w:sz w:val="24"/>
          <w:szCs w:val="24"/>
        </w:rPr>
        <w:t>在本款补充第</w:t>
      </w:r>
      <w:r>
        <w:rPr>
          <w:rFonts w:ascii="宋体" w:hAnsi="宋体" w:eastAsia="宋体" w:cs="宋体"/>
          <w:spacing w:val="-38"/>
          <w:sz w:val="24"/>
          <w:szCs w:val="24"/>
        </w:rPr>
        <w:t xml:space="preserve"> </w:t>
      </w:r>
      <w:r>
        <w:rPr>
          <w:rFonts w:ascii="宋体" w:hAnsi="宋体" w:eastAsia="宋体" w:cs="宋体"/>
          <w:spacing w:val="-3"/>
          <w:sz w:val="24"/>
          <w:szCs w:val="24"/>
        </w:rPr>
        <w:t>9.2.12</w:t>
      </w:r>
      <w:r>
        <w:rPr>
          <w:rFonts w:ascii="宋体" w:hAnsi="宋体" w:eastAsia="宋体" w:cs="宋体"/>
          <w:spacing w:val="-46"/>
          <w:sz w:val="24"/>
          <w:szCs w:val="24"/>
        </w:rPr>
        <w:t xml:space="preserve"> </w:t>
      </w:r>
      <w:r>
        <w:rPr>
          <w:rFonts w:ascii="宋体" w:hAnsi="宋体" w:eastAsia="宋体" w:cs="宋体"/>
          <w:spacing w:val="-3"/>
          <w:sz w:val="24"/>
          <w:szCs w:val="24"/>
        </w:rPr>
        <w:t>项～第</w:t>
      </w:r>
      <w:r>
        <w:rPr>
          <w:rFonts w:ascii="宋体" w:hAnsi="宋体" w:eastAsia="宋体" w:cs="宋体"/>
          <w:spacing w:val="-50"/>
          <w:sz w:val="24"/>
          <w:szCs w:val="24"/>
        </w:rPr>
        <w:t xml:space="preserve"> </w:t>
      </w:r>
      <w:r>
        <w:rPr>
          <w:rFonts w:ascii="宋体" w:hAnsi="宋体" w:eastAsia="宋体" w:cs="宋体"/>
          <w:spacing w:val="-3"/>
          <w:sz w:val="24"/>
          <w:szCs w:val="24"/>
        </w:rPr>
        <w:t>9.2.16</w:t>
      </w:r>
      <w:r>
        <w:rPr>
          <w:rFonts w:ascii="宋体" w:hAnsi="宋体" w:eastAsia="宋体" w:cs="宋体"/>
          <w:spacing w:val="-47"/>
          <w:sz w:val="24"/>
          <w:szCs w:val="24"/>
        </w:rPr>
        <w:t xml:space="preserve"> </w:t>
      </w:r>
      <w:r>
        <w:rPr>
          <w:rFonts w:ascii="宋体" w:hAnsi="宋体" w:eastAsia="宋体" w:cs="宋体"/>
          <w:spacing w:val="-3"/>
          <w:sz w:val="24"/>
          <w:szCs w:val="24"/>
        </w:rPr>
        <w:t>项：</w:t>
      </w:r>
    </w:p>
    <w:p>
      <w:pPr>
        <w:spacing w:before="184" w:line="219" w:lineRule="auto"/>
        <w:ind w:left="486"/>
        <w:rPr>
          <w:rFonts w:ascii="宋体" w:hAnsi="宋体" w:eastAsia="宋体" w:cs="宋体"/>
          <w:sz w:val="24"/>
          <w:szCs w:val="24"/>
        </w:rPr>
      </w:pPr>
      <w:r>
        <w:rPr>
          <w:rFonts w:ascii="宋体" w:hAnsi="宋体" w:eastAsia="宋体" w:cs="宋体"/>
          <w:spacing w:val="-2"/>
          <w:sz w:val="24"/>
          <w:szCs w:val="24"/>
        </w:rPr>
        <w:t>9.2.12</w:t>
      </w:r>
      <w:r>
        <w:rPr>
          <w:rFonts w:ascii="宋体" w:hAnsi="宋体" w:eastAsia="宋体" w:cs="宋体"/>
          <w:spacing w:val="-42"/>
          <w:sz w:val="24"/>
          <w:szCs w:val="24"/>
        </w:rPr>
        <w:t xml:space="preserve"> </w:t>
      </w:r>
      <w:r>
        <w:rPr>
          <w:rFonts w:ascii="宋体" w:hAnsi="宋体" w:eastAsia="宋体" w:cs="宋体"/>
          <w:spacing w:val="-2"/>
          <w:sz w:val="24"/>
          <w:szCs w:val="24"/>
        </w:rPr>
        <w:t>涉水及船舶安全管理</w:t>
      </w:r>
    </w:p>
    <w:p>
      <w:pPr>
        <w:spacing w:before="184" w:line="358" w:lineRule="auto"/>
        <w:ind w:left="6" w:right="291" w:firstLine="490"/>
        <w:rPr>
          <w:rFonts w:ascii="宋体" w:hAnsi="宋体" w:eastAsia="宋体" w:cs="宋体"/>
          <w:sz w:val="24"/>
          <w:szCs w:val="24"/>
        </w:rPr>
      </w:pPr>
      <w:r>
        <w:rPr>
          <w:rFonts w:ascii="宋体" w:hAnsi="宋体" w:eastAsia="宋体" w:cs="宋体"/>
          <w:spacing w:val="1"/>
          <w:sz w:val="24"/>
          <w:szCs w:val="24"/>
        </w:rPr>
        <w:t>（1）承包人应根据《中华人民共和国水上水下作业和活动通航安全管理规定》的</w:t>
      </w:r>
      <w:r>
        <w:rPr>
          <w:rFonts w:ascii="宋体" w:hAnsi="宋体" w:eastAsia="宋体" w:cs="宋体"/>
          <w:spacing w:val="9"/>
          <w:sz w:val="24"/>
          <w:szCs w:val="24"/>
        </w:rPr>
        <w:t xml:space="preserve"> </w:t>
      </w:r>
      <w:r>
        <w:rPr>
          <w:rFonts w:ascii="宋体" w:hAnsi="宋体" w:eastAsia="宋体" w:cs="宋体"/>
          <w:spacing w:val="-2"/>
          <w:sz w:val="24"/>
          <w:szCs w:val="24"/>
        </w:rPr>
        <w:t>规定及《中华人民共和国安全生产法》的要求，建立健全涉水工程水上交通安全制度和</w:t>
      </w:r>
    </w:p>
    <w:p>
      <w:pPr>
        <w:spacing w:line="219" w:lineRule="auto"/>
        <w:ind w:left="11"/>
        <w:rPr>
          <w:rFonts w:ascii="宋体" w:hAnsi="宋体" w:eastAsia="宋体" w:cs="宋体"/>
          <w:sz w:val="24"/>
          <w:szCs w:val="24"/>
        </w:rPr>
      </w:pPr>
      <w:r>
        <w:rPr>
          <w:rFonts w:ascii="宋体" w:hAnsi="宋体" w:eastAsia="宋体" w:cs="宋体"/>
          <w:spacing w:val="-1"/>
          <w:sz w:val="24"/>
          <w:szCs w:val="24"/>
        </w:rPr>
        <w:t>管理体系，严格履行工程建设期水上交通安全有关职责。</w:t>
      </w:r>
    </w:p>
    <w:p>
      <w:pPr>
        <w:spacing w:before="183" w:line="359" w:lineRule="auto"/>
        <w:ind w:left="6" w:right="291" w:firstLine="490"/>
        <w:rPr>
          <w:rFonts w:ascii="宋体" w:hAnsi="宋体" w:eastAsia="宋体" w:cs="宋体"/>
          <w:sz w:val="24"/>
          <w:szCs w:val="24"/>
        </w:rPr>
      </w:pPr>
      <w:r>
        <w:rPr>
          <w:rFonts w:ascii="宋体" w:hAnsi="宋体" w:eastAsia="宋体" w:cs="宋体"/>
          <w:spacing w:val="1"/>
          <w:sz w:val="24"/>
          <w:szCs w:val="24"/>
        </w:rPr>
        <w:t>（2）承包人应遵守属地政府和行业主管部门对作业船舶、作业噪音以及环境保护</w:t>
      </w:r>
      <w:r>
        <w:rPr>
          <w:rFonts w:ascii="宋体" w:hAnsi="宋体" w:eastAsia="宋体" w:cs="宋体"/>
          <w:spacing w:val="9"/>
          <w:sz w:val="24"/>
          <w:szCs w:val="24"/>
        </w:rPr>
        <w:t xml:space="preserve"> </w:t>
      </w:r>
      <w:r>
        <w:rPr>
          <w:rFonts w:ascii="宋体" w:hAnsi="宋体" w:eastAsia="宋体" w:cs="宋体"/>
          <w:spacing w:val="-2"/>
          <w:sz w:val="24"/>
          <w:szCs w:val="24"/>
        </w:rPr>
        <w:t>和安全生产文明施工等的管理规定，所有进入作业区域的船只必须满足航区要求，并按</w:t>
      </w:r>
    </w:p>
    <w:p>
      <w:pPr>
        <w:spacing w:before="1" w:line="219" w:lineRule="auto"/>
        <w:ind w:left="6"/>
        <w:rPr>
          <w:rFonts w:ascii="宋体" w:hAnsi="宋体" w:eastAsia="宋体" w:cs="宋体"/>
          <w:sz w:val="24"/>
          <w:szCs w:val="24"/>
        </w:rPr>
      </w:pPr>
      <w:r>
        <w:rPr>
          <w:rFonts w:ascii="宋体" w:hAnsi="宋体" w:eastAsia="宋体" w:cs="宋体"/>
          <w:spacing w:val="-2"/>
          <w:sz w:val="24"/>
          <w:szCs w:val="24"/>
        </w:rPr>
        <w:t>规定办理有关手续，因手续不全引起的一切责任均由承包人负责。有关要求包括但不限</w:t>
      </w:r>
    </w:p>
    <w:p>
      <w:pPr>
        <w:spacing w:line="425" w:lineRule="auto"/>
        <w:rPr>
          <w:rFonts w:ascii="Arial"/>
          <w:sz w:val="21"/>
        </w:rPr>
      </w:pPr>
    </w:p>
    <w:p>
      <w:pPr>
        <w:spacing w:before="78" w:line="223" w:lineRule="auto"/>
        <w:ind w:left="9"/>
        <w:rPr>
          <w:rFonts w:ascii="宋体" w:hAnsi="宋体" w:eastAsia="宋体" w:cs="宋体"/>
          <w:sz w:val="24"/>
          <w:szCs w:val="24"/>
        </w:rPr>
      </w:pPr>
      <w:r>
        <w:rPr>
          <w:rFonts w:ascii="宋体" w:hAnsi="宋体" w:eastAsia="宋体" w:cs="宋体"/>
          <w:spacing w:val="-7"/>
          <w:sz w:val="24"/>
          <w:szCs w:val="24"/>
        </w:rPr>
        <w:t>于：</w:t>
      </w:r>
    </w:p>
    <w:p>
      <w:pPr>
        <w:spacing w:before="175" w:line="468" w:lineRule="exact"/>
        <w:ind w:left="484"/>
        <w:rPr>
          <w:rFonts w:ascii="宋体" w:hAnsi="宋体" w:eastAsia="宋体" w:cs="宋体"/>
          <w:sz w:val="24"/>
          <w:szCs w:val="24"/>
        </w:rPr>
      </w:pPr>
      <w:r>
        <w:rPr>
          <w:rFonts w:ascii="宋体" w:hAnsi="宋体" w:eastAsia="宋体" w:cs="宋体"/>
          <w:spacing w:val="5"/>
          <w:position w:val="17"/>
          <w:sz w:val="24"/>
          <w:szCs w:val="24"/>
        </w:rPr>
        <w:t>①船舶必须持有效的船舶检验证书（包括但不限于船舶国籍证书、船舶登记证书</w:t>
      </w:r>
    </w:p>
    <w:p>
      <w:pPr>
        <w:spacing w:line="219" w:lineRule="auto"/>
        <w:ind w:left="7"/>
        <w:rPr>
          <w:rFonts w:ascii="宋体" w:hAnsi="宋体" w:eastAsia="宋体" w:cs="宋体"/>
          <w:sz w:val="24"/>
          <w:szCs w:val="24"/>
        </w:rPr>
      </w:pPr>
      <w:r>
        <w:rPr>
          <w:rFonts w:ascii="宋体" w:hAnsi="宋体" w:eastAsia="宋体" w:cs="宋体"/>
          <w:spacing w:val="-12"/>
          <w:sz w:val="24"/>
          <w:szCs w:val="24"/>
        </w:rPr>
        <w:t>等</w:t>
      </w:r>
      <w:r>
        <w:rPr>
          <w:rFonts w:ascii="宋体" w:hAnsi="宋体" w:eastAsia="宋体" w:cs="宋体"/>
          <w:sz w:val="24"/>
          <w:szCs w:val="24"/>
        </w:rPr>
        <w:t>）；</w:t>
      </w:r>
    </w:p>
    <w:p>
      <w:pPr>
        <w:spacing w:before="180" w:line="468" w:lineRule="exact"/>
        <w:ind w:left="483"/>
        <w:rPr>
          <w:rFonts w:ascii="宋体" w:hAnsi="宋体" w:eastAsia="宋体" w:cs="宋体"/>
          <w:sz w:val="24"/>
          <w:szCs w:val="24"/>
        </w:rPr>
      </w:pPr>
      <w:r>
        <w:rPr>
          <w:rFonts w:ascii="宋体" w:hAnsi="宋体" w:eastAsia="宋体" w:cs="宋体"/>
          <w:position w:val="17"/>
          <w:sz w:val="24"/>
          <w:szCs w:val="24"/>
        </w:rPr>
        <w:t>②船舶配备的有关航行安全设施设备必须具有船舶检验部门签</w:t>
      </w:r>
      <w:r>
        <w:rPr>
          <w:rFonts w:ascii="宋体" w:hAnsi="宋体" w:eastAsia="宋体" w:cs="宋体"/>
          <w:spacing w:val="-1"/>
          <w:position w:val="17"/>
          <w:sz w:val="24"/>
          <w:szCs w:val="24"/>
        </w:rPr>
        <w:t>发的有效技术证书，</w:t>
      </w:r>
    </w:p>
    <w:p>
      <w:pPr>
        <w:spacing w:line="219" w:lineRule="auto"/>
        <w:ind w:left="11"/>
        <w:rPr>
          <w:rFonts w:ascii="宋体" w:hAnsi="宋体" w:eastAsia="宋体" w:cs="宋体"/>
          <w:sz w:val="24"/>
          <w:szCs w:val="24"/>
        </w:rPr>
      </w:pPr>
      <w:r>
        <w:rPr>
          <w:rFonts w:ascii="宋体" w:hAnsi="宋体" w:eastAsia="宋体" w:cs="宋体"/>
          <w:spacing w:val="-3"/>
          <w:sz w:val="24"/>
          <w:szCs w:val="24"/>
        </w:rPr>
        <w:t>并在有效期内；</w:t>
      </w:r>
    </w:p>
    <w:p>
      <w:pPr>
        <w:spacing w:before="181" w:line="217" w:lineRule="auto"/>
        <w:ind w:left="483"/>
        <w:rPr>
          <w:rFonts w:ascii="宋体" w:hAnsi="宋体" w:eastAsia="宋体" w:cs="宋体"/>
          <w:sz w:val="24"/>
          <w:szCs w:val="24"/>
        </w:rPr>
      </w:pPr>
      <w:r>
        <w:rPr>
          <w:rFonts w:ascii="宋体" w:hAnsi="宋体" w:eastAsia="宋体" w:cs="宋体"/>
          <w:sz w:val="24"/>
          <w:szCs w:val="24"/>
        </w:rPr>
        <w:t>③船舶应配备不低于船舶证书上要求的最低配</w:t>
      </w:r>
      <w:r>
        <w:rPr>
          <w:rFonts w:ascii="宋体" w:hAnsi="宋体" w:eastAsia="宋体" w:cs="宋体"/>
          <w:spacing w:val="-1"/>
          <w:sz w:val="24"/>
          <w:szCs w:val="24"/>
        </w:rPr>
        <w:t>员数量的合格船员；</w:t>
      </w:r>
    </w:p>
    <w:p>
      <w:pPr>
        <w:spacing w:before="186" w:line="217" w:lineRule="auto"/>
        <w:ind w:left="483"/>
        <w:rPr>
          <w:rFonts w:ascii="宋体" w:hAnsi="宋体" w:eastAsia="宋体" w:cs="宋体"/>
          <w:sz w:val="24"/>
          <w:szCs w:val="24"/>
        </w:rPr>
      </w:pPr>
      <w:r>
        <w:rPr>
          <w:rFonts w:ascii="宋体" w:hAnsi="宋体" w:eastAsia="宋体" w:cs="宋体"/>
          <w:spacing w:val="-1"/>
          <w:sz w:val="24"/>
          <w:szCs w:val="24"/>
        </w:rPr>
        <w:t>④交通船应具有载客证书或临时载客证书；</w:t>
      </w:r>
    </w:p>
    <w:p>
      <w:pPr>
        <w:spacing w:before="183" w:line="217" w:lineRule="auto"/>
        <w:ind w:left="483"/>
        <w:rPr>
          <w:rFonts w:ascii="宋体" w:hAnsi="宋体" w:eastAsia="宋体" w:cs="宋体"/>
          <w:sz w:val="24"/>
          <w:szCs w:val="24"/>
        </w:rPr>
      </w:pPr>
      <w:r>
        <w:rPr>
          <w:rFonts w:ascii="宋体" w:hAnsi="宋体" w:eastAsia="宋体" w:cs="宋体"/>
          <w:spacing w:val="-2"/>
          <w:sz w:val="24"/>
          <w:szCs w:val="24"/>
        </w:rPr>
        <w:t>⑤所有船舶必须配备</w:t>
      </w:r>
      <w:r>
        <w:rPr>
          <w:rFonts w:ascii="宋体" w:hAnsi="宋体" w:eastAsia="宋体" w:cs="宋体"/>
          <w:spacing w:val="-40"/>
          <w:sz w:val="24"/>
          <w:szCs w:val="24"/>
        </w:rPr>
        <w:t xml:space="preserve"> </w:t>
      </w:r>
      <w:r>
        <w:rPr>
          <w:rFonts w:ascii="宋体" w:hAnsi="宋体" w:eastAsia="宋体" w:cs="宋体"/>
          <w:spacing w:val="-2"/>
          <w:sz w:val="24"/>
          <w:szCs w:val="24"/>
        </w:rPr>
        <w:t>AIS、VHF</w:t>
      </w:r>
      <w:r>
        <w:rPr>
          <w:rFonts w:ascii="宋体" w:hAnsi="宋体" w:eastAsia="宋体" w:cs="宋体"/>
          <w:spacing w:val="-49"/>
          <w:sz w:val="24"/>
          <w:szCs w:val="24"/>
        </w:rPr>
        <w:t xml:space="preserve"> </w:t>
      </w:r>
      <w:r>
        <w:rPr>
          <w:rFonts w:ascii="宋体" w:hAnsi="宋体" w:eastAsia="宋体" w:cs="宋体"/>
          <w:spacing w:val="-2"/>
          <w:sz w:val="24"/>
          <w:szCs w:val="24"/>
        </w:rPr>
        <w:t>等设备；</w:t>
      </w:r>
    </w:p>
    <w:p>
      <w:pPr>
        <w:spacing w:before="186" w:line="217" w:lineRule="auto"/>
        <w:ind w:left="483"/>
        <w:rPr>
          <w:rFonts w:ascii="宋体" w:hAnsi="宋体" w:eastAsia="宋体" w:cs="宋体"/>
          <w:sz w:val="24"/>
          <w:szCs w:val="24"/>
        </w:rPr>
      </w:pPr>
      <w:r>
        <w:rPr>
          <w:rFonts w:ascii="宋体" w:hAnsi="宋体" w:eastAsia="宋体" w:cs="宋体"/>
          <w:sz w:val="24"/>
          <w:szCs w:val="24"/>
        </w:rPr>
        <w:t>⑥承包人应采取有效措施维护施工现场通航安全及现</w:t>
      </w:r>
      <w:r>
        <w:rPr>
          <w:rFonts w:ascii="宋体" w:hAnsi="宋体" w:eastAsia="宋体" w:cs="宋体"/>
          <w:spacing w:val="-1"/>
          <w:sz w:val="24"/>
          <w:szCs w:val="24"/>
        </w:rPr>
        <w:t>有航道的航行安全；</w:t>
      </w:r>
    </w:p>
    <w:p>
      <w:pPr>
        <w:spacing w:before="183" w:line="468" w:lineRule="exact"/>
        <w:ind w:left="483"/>
        <w:rPr>
          <w:rFonts w:ascii="宋体" w:hAnsi="宋体" w:eastAsia="宋体" w:cs="宋体"/>
          <w:sz w:val="24"/>
          <w:szCs w:val="24"/>
        </w:rPr>
      </w:pPr>
      <w:r>
        <w:rPr>
          <w:rFonts w:ascii="宋体" w:hAnsi="宋体" w:eastAsia="宋体" w:cs="宋体"/>
          <w:spacing w:val="5"/>
          <w:position w:val="17"/>
          <w:sz w:val="24"/>
          <w:szCs w:val="24"/>
        </w:rPr>
        <w:t>⑦为钢结构及大型预制构件运输而设置的临时航道的设计必须取得有关行业主管</w:t>
      </w:r>
    </w:p>
    <w:p>
      <w:pPr>
        <w:spacing w:before="1" w:line="219" w:lineRule="auto"/>
        <w:ind w:left="8"/>
        <w:rPr>
          <w:rFonts w:ascii="宋体" w:hAnsi="宋体" w:eastAsia="宋体" w:cs="宋体"/>
          <w:sz w:val="24"/>
          <w:szCs w:val="24"/>
        </w:rPr>
      </w:pPr>
      <w:r>
        <w:rPr>
          <w:rFonts w:ascii="宋体" w:hAnsi="宋体" w:eastAsia="宋体" w:cs="宋体"/>
          <w:spacing w:val="-1"/>
          <w:sz w:val="24"/>
          <w:szCs w:val="24"/>
        </w:rPr>
        <w:t>部门的批准，并在完善相关许可手续后，方可实施；</w:t>
      </w:r>
    </w:p>
    <w:p>
      <w:pPr>
        <w:spacing w:before="180" w:line="217" w:lineRule="auto"/>
        <w:ind w:left="483"/>
        <w:rPr>
          <w:rFonts w:ascii="宋体" w:hAnsi="宋体" w:eastAsia="宋体" w:cs="宋体"/>
          <w:sz w:val="24"/>
          <w:szCs w:val="24"/>
        </w:rPr>
      </w:pPr>
      <w:r>
        <w:rPr>
          <w:rFonts w:ascii="宋体" w:hAnsi="宋体" w:eastAsia="宋体" w:cs="宋体"/>
          <w:spacing w:val="-1"/>
          <w:sz w:val="24"/>
          <w:szCs w:val="24"/>
        </w:rPr>
        <w:t>⑧承包人须与船舶所有人签订安全协议；</w:t>
      </w:r>
    </w:p>
    <w:p>
      <w:pPr>
        <w:spacing w:before="186" w:line="219" w:lineRule="auto"/>
        <w:ind w:left="485"/>
        <w:rPr>
          <w:rFonts w:ascii="宋体" w:hAnsi="宋体" w:eastAsia="宋体" w:cs="宋体"/>
          <w:sz w:val="24"/>
          <w:szCs w:val="24"/>
        </w:rPr>
      </w:pPr>
      <w:r>
        <w:rPr>
          <w:rFonts w:ascii="宋体" w:hAnsi="宋体" w:eastAsia="宋体" w:cs="宋体"/>
          <w:sz w:val="24"/>
          <w:szCs w:val="24"/>
        </w:rPr>
        <w:t>承包人应承担因此产生的一切费用，并保障发</w:t>
      </w:r>
      <w:r>
        <w:rPr>
          <w:rFonts w:ascii="宋体" w:hAnsi="宋体" w:eastAsia="宋体" w:cs="宋体"/>
          <w:spacing w:val="-1"/>
          <w:sz w:val="24"/>
          <w:szCs w:val="24"/>
        </w:rPr>
        <w:t>包人免于承担相关责任。</w:t>
      </w:r>
    </w:p>
    <w:p>
      <w:pPr>
        <w:spacing w:before="183" w:line="218" w:lineRule="auto"/>
        <w:ind w:left="529"/>
        <w:rPr>
          <w:rFonts w:ascii="宋体" w:hAnsi="宋体" w:eastAsia="宋体" w:cs="宋体"/>
          <w:sz w:val="24"/>
          <w:szCs w:val="24"/>
        </w:rPr>
      </w:pPr>
      <w:r>
        <w:rPr>
          <w:rFonts w:ascii="宋体" w:hAnsi="宋体" w:eastAsia="宋体" w:cs="宋体"/>
          <w:spacing w:val="-1"/>
          <w:sz w:val="24"/>
          <w:szCs w:val="24"/>
        </w:rPr>
        <w:t>9.2.13 施工安全风险评估</w:t>
      </w:r>
    </w:p>
    <w:p>
      <w:pPr>
        <w:spacing w:before="183" w:line="359" w:lineRule="auto"/>
        <w:ind w:left="7" w:right="291" w:firstLine="532"/>
        <w:rPr>
          <w:rFonts w:ascii="宋体" w:hAnsi="宋体" w:eastAsia="宋体" w:cs="宋体"/>
          <w:sz w:val="24"/>
          <w:szCs w:val="24"/>
        </w:rPr>
      </w:pPr>
      <w:r>
        <w:rPr>
          <w:rFonts w:ascii="宋体" w:hAnsi="宋体" w:eastAsia="宋体" w:cs="宋体"/>
          <w:sz w:val="24"/>
          <w:szCs w:val="24"/>
        </w:rPr>
        <w:t>（1）承包人必须加强对重大危险源的管理，施工阶段风险源辨识与评价依据《公</w:t>
      </w:r>
      <w:r>
        <w:rPr>
          <w:rFonts w:ascii="宋体" w:hAnsi="宋体" w:eastAsia="宋体" w:cs="宋体"/>
          <w:spacing w:val="2"/>
          <w:sz w:val="24"/>
          <w:szCs w:val="24"/>
        </w:rPr>
        <w:t xml:space="preserve"> </w:t>
      </w:r>
      <w:r>
        <w:rPr>
          <w:rFonts w:ascii="宋体" w:hAnsi="宋体" w:eastAsia="宋体" w:cs="宋体"/>
          <w:spacing w:val="-2"/>
          <w:sz w:val="24"/>
          <w:szCs w:val="24"/>
        </w:rPr>
        <w:t>路桥梁和隧道工程施工安全风险评估指南》（试行）及《交通运输部关于发布高速公路</w:t>
      </w:r>
      <w:r>
        <w:rPr>
          <w:rFonts w:ascii="宋体" w:hAnsi="宋体" w:eastAsia="宋体" w:cs="宋体"/>
          <w:spacing w:val="10"/>
          <w:sz w:val="24"/>
          <w:szCs w:val="24"/>
        </w:rPr>
        <w:t xml:space="preserve"> </w:t>
      </w:r>
      <w:r>
        <w:rPr>
          <w:rFonts w:ascii="宋体" w:hAnsi="宋体" w:eastAsia="宋体" w:cs="宋体"/>
          <w:spacing w:val="-2"/>
          <w:sz w:val="24"/>
          <w:szCs w:val="24"/>
        </w:rPr>
        <w:t>路堑高边坡工程施工安全风险评估指南（试行）的通知》操作。承包人在工程开工前，</w:t>
      </w:r>
      <w:r>
        <w:rPr>
          <w:rFonts w:ascii="宋体" w:hAnsi="宋体" w:eastAsia="宋体" w:cs="宋体"/>
          <w:spacing w:val="10"/>
          <w:sz w:val="24"/>
          <w:szCs w:val="24"/>
        </w:rPr>
        <w:t xml:space="preserve"> </w:t>
      </w:r>
      <w:r>
        <w:rPr>
          <w:rFonts w:ascii="宋体" w:hAnsi="宋体" w:eastAsia="宋体" w:cs="宋体"/>
          <w:spacing w:val="-2"/>
          <w:sz w:val="24"/>
          <w:szCs w:val="24"/>
        </w:rPr>
        <w:t>必须进行重大危险源识别，建立危险源清单，对重大危险源建立管理方案和档案，过程</w:t>
      </w:r>
    </w:p>
    <w:p>
      <w:pPr>
        <w:spacing w:line="219" w:lineRule="auto"/>
        <w:ind w:left="27"/>
        <w:rPr>
          <w:rFonts w:ascii="宋体" w:hAnsi="宋体" w:eastAsia="宋体" w:cs="宋体"/>
          <w:sz w:val="24"/>
          <w:szCs w:val="24"/>
        </w:rPr>
      </w:pPr>
      <w:r>
        <w:rPr>
          <w:rFonts w:ascii="宋体" w:hAnsi="宋体" w:eastAsia="宋体" w:cs="宋体"/>
          <w:spacing w:val="-3"/>
          <w:sz w:val="24"/>
          <w:szCs w:val="24"/>
        </w:rPr>
        <w:t>中对危险源实行动态管理。</w:t>
      </w:r>
    </w:p>
    <w:p>
      <w:pPr>
        <w:spacing w:before="185" w:line="359" w:lineRule="auto"/>
        <w:ind w:left="4" w:right="291" w:firstLine="535"/>
        <w:rPr>
          <w:rFonts w:ascii="宋体" w:hAnsi="宋体" w:eastAsia="宋体" w:cs="宋体"/>
          <w:sz w:val="24"/>
          <w:szCs w:val="24"/>
        </w:rPr>
      </w:pPr>
      <w:r>
        <w:rPr>
          <w:rFonts w:ascii="宋体" w:hAnsi="宋体" w:eastAsia="宋体" w:cs="宋体"/>
          <w:sz w:val="24"/>
          <w:szCs w:val="24"/>
        </w:rPr>
        <w:t>（2）承包人应严格按照交通运输部《关于开展公路桥梁和隧道工程施工安全风险</w:t>
      </w:r>
      <w:r>
        <w:rPr>
          <w:rFonts w:ascii="宋体" w:hAnsi="宋体" w:eastAsia="宋体" w:cs="宋体"/>
          <w:spacing w:val="2"/>
          <w:sz w:val="24"/>
          <w:szCs w:val="24"/>
        </w:rPr>
        <w:t xml:space="preserve"> </w:t>
      </w:r>
      <w:r>
        <w:rPr>
          <w:rFonts w:ascii="宋体" w:hAnsi="宋体" w:eastAsia="宋体" w:cs="宋体"/>
          <w:spacing w:val="-2"/>
          <w:sz w:val="24"/>
          <w:szCs w:val="24"/>
        </w:rPr>
        <w:t>评估试行工作的通知》及《交通运输部关于发布高速公路路堑高边坡工程施工安全风险</w:t>
      </w:r>
      <w:r>
        <w:rPr>
          <w:rFonts w:ascii="宋体" w:hAnsi="宋体" w:eastAsia="宋体" w:cs="宋体"/>
          <w:spacing w:val="13"/>
          <w:sz w:val="24"/>
          <w:szCs w:val="24"/>
        </w:rPr>
        <w:t xml:space="preserve"> </w:t>
      </w:r>
      <w:r>
        <w:rPr>
          <w:rFonts w:ascii="宋体" w:hAnsi="宋体" w:eastAsia="宋体" w:cs="宋体"/>
          <w:spacing w:val="-2"/>
          <w:sz w:val="24"/>
          <w:szCs w:val="24"/>
        </w:rPr>
        <w:t>评估指南（试行）的通知》的要求，在施工期间开展安全风险评估工作，相关费用按照</w:t>
      </w:r>
      <w:r>
        <w:rPr>
          <w:rFonts w:ascii="宋体" w:hAnsi="宋体" w:eastAsia="宋体" w:cs="宋体"/>
          <w:spacing w:val="13"/>
          <w:sz w:val="24"/>
          <w:szCs w:val="24"/>
        </w:rPr>
        <w:t xml:space="preserve"> </w:t>
      </w:r>
      <w:r>
        <w:rPr>
          <w:rFonts w:ascii="宋体" w:hAnsi="宋体" w:eastAsia="宋体" w:cs="宋体"/>
          <w:spacing w:val="-2"/>
          <w:sz w:val="24"/>
          <w:szCs w:val="24"/>
        </w:rPr>
        <w:t>《广东省交通运输厅关于公路水运建设工程安全生产费用的管理办法》中安全生产费用</w:t>
      </w:r>
      <w:r>
        <w:rPr>
          <w:rFonts w:ascii="宋体" w:hAnsi="宋体" w:eastAsia="宋体" w:cs="宋体"/>
          <w:spacing w:val="13"/>
          <w:sz w:val="24"/>
          <w:szCs w:val="24"/>
        </w:rPr>
        <w:t xml:space="preserve"> </w:t>
      </w:r>
      <w:r>
        <w:rPr>
          <w:rFonts w:ascii="宋体" w:hAnsi="宋体" w:eastAsia="宋体" w:cs="宋体"/>
          <w:spacing w:val="-2"/>
          <w:sz w:val="24"/>
          <w:szCs w:val="24"/>
        </w:rPr>
        <w:t>使用范围的规定，公路桥梁和隧道工程、高速公路路堑高边坡施工安全风险评估工作费</w:t>
      </w:r>
    </w:p>
    <w:p>
      <w:pPr>
        <w:spacing w:line="219" w:lineRule="auto"/>
        <w:ind w:left="7"/>
        <w:rPr>
          <w:rFonts w:ascii="宋体" w:hAnsi="宋体" w:eastAsia="宋体" w:cs="宋体"/>
          <w:sz w:val="24"/>
          <w:szCs w:val="24"/>
        </w:rPr>
      </w:pPr>
      <w:r>
        <w:rPr>
          <w:rFonts w:ascii="宋体" w:hAnsi="宋体" w:eastAsia="宋体" w:cs="宋体"/>
          <w:spacing w:val="-1"/>
          <w:sz w:val="24"/>
          <w:szCs w:val="24"/>
        </w:rPr>
        <w:t>用在项目安全生产费用中列支，发包人不另行支付。</w:t>
      </w:r>
    </w:p>
    <w:p>
      <w:pPr>
        <w:spacing w:before="180" w:line="359" w:lineRule="auto"/>
        <w:ind w:left="5" w:right="291" w:firstLine="491"/>
        <w:rPr>
          <w:rFonts w:ascii="宋体" w:hAnsi="宋体" w:eastAsia="宋体" w:cs="宋体"/>
          <w:sz w:val="24"/>
          <w:szCs w:val="24"/>
        </w:rPr>
      </w:pPr>
      <w:r>
        <w:rPr>
          <w:rFonts w:ascii="宋体" w:hAnsi="宋体" w:eastAsia="宋体" w:cs="宋体"/>
          <w:spacing w:val="1"/>
          <w:sz w:val="24"/>
          <w:szCs w:val="24"/>
        </w:rPr>
        <w:t>（3）根据《中华人民共和国水上水下作业和活动通航安全管理规定》的规定及按</w:t>
      </w:r>
      <w:r>
        <w:rPr>
          <w:rFonts w:ascii="宋体" w:hAnsi="宋体" w:eastAsia="宋体" w:cs="宋体"/>
          <w:spacing w:val="9"/>
          <w:sz w:val="24"/>
          <w:szCs w:val="24"/>
        </w:rPr>
        <w:t xml:space="preserve"> </w:t>
      </w:r>
      <w:r>
        <w:rPr>
          <w:rFonts w:ascii="宋体" w:hAnsi="宋体" w:eastAsia="宋体" w:cs="宋体"/>
          <w:spacing w:val="-2"/>
          <w:sz w:val="24"/>
          <w:szCs w:val="24"/>
        </w:rPr>
        <w:t>照中华人民共和国海事局《中华人民共和国海事局水上水下活动通航安全影响论证与评</w:t>
      </w:r>
      <w:r>
        <w:rPr>
          <w:rFonts w:ascii="宋体" w:hAnsi="宋体" w:eastAsia="宋体" w:cs="宋体"/>
          <w:spacing w:val="12"/>
          <w:sz w:val="24"/>
          <w:szCs w:val="24"/>
        </w:rPr>
        <w:t xml:space="preserve"> </w:t>
      </w:r>
      <w:r>
        <w:rPr>
          <w:rFonts w:ascii="宋体" w:hAnsi="宋体" w:eastAsia="宋体" w:cs="宋体"/>
          <w:spacing w:val="-2"/>
          <w:sz w:val="24"/>
          <w:szCs w:val="24"/>
        </w:rPr>
        <w:t>估管理办法》的规定，在申请海事管理机构水上水下活动许可之前，开展涉水工程通航</w:t>
      </w:r>
    </w:p>
    <w:p>
      <w:pPr>
        <w:spacing w:before="1" w:line="217" w:lineRule="auto"/>
        <w:ind w:left="10"/>
        <w:rPr>
          <w:rFonts w:ascii="宋体" w:hAnsi="宋体" w:eastAsia="宋体" w:cs="宋体"/>
          <w:sz w:val="24"/>
          <w:szCs w:val="24"/>
        </w:rPr>
      </w:pPr>
      <w:r>
        <w:rPr>
          <w:rFonts w:ascii="宋体" w:hAnsi="宋体" w:eastAsia="宋体" w:cs="宋体"/>
          <w:spacing w:val="-1"/>
          <w:sz w:val="24"/>
          <w:szCs w:val="24"/>
        </w:rPr>
        <w:t>安全评估，并通过海事管理机构的审核。</w:t>
      </w:r>
    </w:p>
    <w:p>
      <w:pPr>
        <w:spacing w:before="305" w:line="219" w:lineRule="auto"/>
        <w:ind w:left="486"/>
        <w:rPr>
          <w:rFonts w:ascii="宋体" w:hAnsi="宋体" w:eastAsia="宋体" w:cs="宋体"/>
          <w:sz w:val="24"/>
          <w:szCs w:val="24"/>
        </w:rPr>
      </w:pPr>
      <w:r>
        <w:rPr>
          <w:rFonts w:ascii="宋体" w:hAnsi="宋体" w:eastAsia="宋体" w:cs="宋体"/>
          <w:spacing w:val="-1"/>
          <w:sz w:val="24"/>
          <w:szCs w:val="24"/>
        </w:rPr>
        <w:t>9.2.14 施工作业人员的安全教育培训</w:t>
      </w:r>
    </w:p>
    <w:p>
      <w:pPr>
        <w:spacing w:line="425" w:lineRule="auto"/>
        <w:rPr>
          <w:rFonts w:ascii="Arial"/>
          <w:sz w:val="21"/>
        </w:rPr>
      </w:pPr>
    </w:p>
    <w:p>
      <w:pPr>
        <w:spacing w:before="78" w:line="359" w:lineRule="auto"/>
        <w:ind w:left="4" w:right="291" w:firstLine="524"/>
        <w:rPr>
          <w:rFonts w:ascii="宋体" w:hAnsi="宋体" w:eastAsia="宋体" w:cs="宋体"/>
          <w:sz w:val="24"/>
          <w:szCs w:val="24"/>
        </w:rPr>
      </w:pPr>
      <w:r>
        <w:rPr>
          <w:rFonts w:ascii="宋体" w:hAnsi="宋体" w:eastAsia="宋体" w:cs="宋体"/>
          <w:spacing w:val="-3"/>
          <w:sz w:val="24"/>
          <w:szCs w:val="24"/>
        </w:rPr>
        <w:t>承包人应切实加强作业工人安全培训教育和安全技术交底。运用《公路施工安全视</w:t>
      </w:r>
      <w:r>
        <w:rPr>
          <w:rFonts w:ascii="宋体" w:hAnsi="宋体" w:eastAsia="宋体" w:cs="宋体"/>
          <w:spacing w:val="1"/>
          <w:sz w:val="24"/>
          <w:szCs w:val="24"/>
        </w:rPr>
        <w:t xml:space="preserve"> </w:t>
      </w:r>
      <w:r>
        <w:rPr>
          <w:rFonts w:ascii="宋体" w:hAnsi="宋体" w:eastAsia="宋体" w:cs="宋体"/>
          <w:spacing w:val="-2"/>
          <w:sz w:val="24"/>
          <w:szCs w:val="24"/>
        </w:rPr>
        <w:t>频教程》及配套口袋书、配套测试题集，建立工人学校或安全教育体验馆，开展岗前安</w:t>
      </w:r>
      <w:r>
        <w:rPr>
          <w:rFonts w:ascii="宋体" w:hAnsi="宋体" w:eastAsia="宋体" w:cs="宋体"/>
          <w:spacing w:val="13"/>
          <w:sz w:val="24"/>
          <w:szCs w:val="24"/>
        </w:rPr>
        <w:t xml:space="preserve"> </w:t>
      </w:r>
      <w:r>
        <w:rPr>
          <w:rFonts w:ascii="宋体" w:hAnsi="宋体" w:eastAsia="宋体" w:cs="宋体"/>
          <w:spacing w:val="-2"/>
          <w:sz w:val="24"/>
          <w:szCs w:val="24"/>
        </w:rPr>
        <w:t>全教育培训和经常性安全再教育，提高全员安全意识和安全技能。认真细致做好工人作</w:t>
      </w:r>
      <w:r>
        <w:rPr>
          <w:rFonts w:ascii="宋体" w:hAnsi="宋体" w:eastAsia="宋体" w:cs="宋体"/>
          <w:spacing w:val="13"/>
          <w:sz w:val="24"/>
          <w:szCs w:val="24"/>
        </w:rPr>
        <w:t xml:space="preserve"> </w:t>
      </w:r>
      <w:r>
        <w:rPr>
          <w:rFonts w:ascii="宋体" w:hAnsi="宋体" w:eastAsia="宋体" w:cs="宋体"/>
          <w:spacing w:val="-2"/>
          <w:sz w:val="24"/>
          <w:szCs w:val="24"/>
        </w:rPr>
        <w:t>业前安全技术交底，落实基层班组班前会制度，确保作业工人熟知作业的安全要求和班</w:t>
      </w:r>
    </w:p>
    <w:p>
      <w:pPr>
        <w:spacing w:line="219" w:lineRule="auto"/>
        <w:ind w:left="9"/>
        <w:rPr>
          <w:rFonts w:ascii="宋体" w:hAnsi="宋体" w:eastAsia="宋体" w:cs="宋体"/>
          <w:sz w:val="24"/>
          <w:szCs w:val="24"/>
        </w:rPr>
      </w:pPr>
      <w:r>
        <w:rPr>
          <w:rFonts w:ascii="宋体" w:hAnsi="宋体" w:eastAsia="宋体" w:cs="宋体"/>
          <w:spacing w:val="-2"/>
          <w:sz w:val="24"/>
          <w:szCs w:val="24"/>
        </w:rPr>
        <w:t>前危险预知内容。</w:t>
      </w:r>
    </w:p>
    <w:p>
      <w:pPr>
        <w:spacing w:before="180" w:line="220" w:lineRule="auto"/>
        <w:ind w:left="529"/>
        <w:rPr>
          <w:rFonts w:ascii="宋体" w:hAnsi="宋体" w:eastAsia="宋体" w:cs="宋体"/>
          <w:sz w:val="24"/>
          <w:szCs w:val="24"/>
        </w:rPr>
      </w:pPr>
      <w:r>
        <w:rPr>
          <w:rFonts w:ascii="宋体" w:hAnsi="宋体" w:eastAsia="宋体" w:cs="宋体"/>
          <w:spacing w:val="-1"/>
          <w:sz w:val="24"/>
          <w:szCs w:val="24"/>
        </w:rPr>
        <w:t>9.2.15施工防护标准化</w:t>
      </w:r>
    </w:p>
    <w:p>
      <w:pPr>
        <w:spacing w:before="181" w:line="359" w:lineRule="auto"/>
        <w:ind w:left="6" w:right="291" w:firstLine="522"/>
        <w:rPr>
          <w:rFonts w:ascii="宋体" w:hAnsi="宋体" w:eastAsia="宋体" w:cs="宋体"/>
          <w:sz w:val="24"/>
          <w:szCs w:val="24"/>
        </w:rPr>
      </w:pPr>
      <w:r>
        <w:rPr>
          <w:rFonts w:ascii="宋体" w:hAnsi="宋体" w:eastAsia="宋体" w:cs="宋体"/>
          <w:spacing w:val="-3"/>
          <w:sz w:val="24"/>
          <w:szCs w:val="24"/>
        </w:rPr>
        <w:t>承包人应按照《公路工程施工安全防护设施技术指南》要求推进施工防护设施标准</w:t>
      </w:r>
      <w:r>
        <w:rPr>
          <w:rFonts w:ascii="宋体" w:hAnsi="宋体" w:eastAsia="宋体" w:cs="宋体"/>
          <w:spacing w:val="1"/>
          <w:sz w:val="24"/>
          <w:szCs w:val="24"/>
        </w:rPr>
        <w:t xml:space="preserve"> </w:t>
      </w:r>
      <w:r>
        <w:rPr>
          <w:rFonts w:ascii="宋体" w:hAnsi="宋体" w:eastAsia="宋体" w:cs="宋体"/>
          <w:spacing w:val="-2"/>
          <w:sz w:val="24"/>
          <w:szCs w:val="24"/>
        </w:rPr>
        <w:t>化管理，积极运用模块化、装配化、专业化的防护设施，着力提升防护设施的本质安全</w:t>
      </w:r>
      <w:r>
        <w:rPr>
          <w:rFonts w:ascii="宋体" w:hAnsi="宋体" w:eastAsia="宋体" w:cs="宋体"/>
          <w:spacing w:val="11"/>
          <w:sz w:val="24"/>
          <w:szCs w:val="24"/>
        </w:rPr>
        <w:t xml:space="preserve"> </w:t>
      </w:r>
      <w:r>
        <w:rPr>
          <w:rFonts w:ascii="宋体" w:hAnsi="宋体" w:eastAsia="宋体" w:cs="宋体"/>
          <w:spacing w:val="-2"/>
          <w:sz w:val="24"/>
          <w:szCs w:val="24"/>
        </w:rPr>
        <w:t>水平和使用效能，加强安全防护设施的验收、使用、维护等管理，提升现场施工安全防</w:t>
      </w:r>
    </w:p>
    <w:p>
      <w:pPr>
        <w:spacing w:line="219" w:lineRule="auto"/>
        <w:ind w:left="6"/>
        <w:rPr>
          <w:rFonts w:ascii="宋体" w:hAnsi="宋体" w:eastAsia="宋体" w:cs="宋体"/>
          <w:sz w:val="24"/>
          <w:szCs w:val="24"/>
        </w:rPr>
      </w:pPr>
      <w:r>
        <w:rPr>
          <w:rFonts w:ascii="宋体" w:hAnsi="宋体" w:eastAsia="宋体" w:cs="宋体"/>
          <w:spacing w:val="-2"/>
          <w:sz w:val="24"/>
          <w:szCs w:val="24"/>
        </w:rPr>
        <w:t>护保障能力。</w:t>
      </w:r>
    </w:p>
    <w:p>
      <w:pPr>
        <w:spacing w:before="183" w:line="219" w:lineRule="auto"/>
        <w:ind w:left="486"/>
        <w:rPr>
          <w:rFonts w:ascii="宋体" w:hAnsi="宋体" w:eastAsia="宋体" w:cs="宋体"/>
          <w:sz w:val="24"/>
          <w:szCs w:val="24"/>
        </w:rPr>
      </w:pPr>
      <w:r>
        <w:rPr>
          <w:rFonts w:ascii="宋体" w:hAnsi="宋体" w:eastAsia="宋体" w:cs="宋体"/>
          <w:spacing w:val="-2"/>
          <w:sz w:val="24"/>
          <w:szCs w:val="24"/>
        </w:rPr>
        <w:t>9.2.16</w:t>
      </w:r>
      <w:r>
        <w:rPr>
          <w:rFonts w:ascii="宋体" w:hAnsi="宋体" w:eastAsia="宋体" w:cs="宋体"/>
          <w:spacing w:val="-44"/>
          <w:sz w:val="24"/>
          <w:szCs w:val="24"/>
        </w:rPr>
        <w:t xml:space="preserve"> </w:t>
      </w:r>
      <w:r>
        <w:rPr>
          <w:rFonts w:ascii="宋体" w:hAnsi="宋体" w:eastAsia="宋体" w:cs="宋体"/>
          <w:spacing w:val="-2"/>
          <w:sz w:val="24"/>
          <w:szCs w:val="24"/>
        </w:rPr>
        <w:t>加强路堑边坡管理</w:t>
      </w:r>
    </w:p>
    <w:p>
      <w:pPr>
        <w:spacing w:before="182" w:line="359" w:lineRule="auto"/>
        <w:ind w:left="6" w:right="291" w:firstLine="533"/>
        <w:rPr>
          <w:rFonts w:ascii="宋体" w:hAnsi="宋体" w:eastAsia="宋体" w:cs="宋体"/>
          <w:sz w:val="24"/>
          <w:szCs w:val="24"/>
        </w:rPr>
      </w:pPr>
      <w:r>
        <w:rPr>
          <w:rFonts w:ascii="宋体" w:hAnsi="宋体" w:eastAsia="宋体" w:cs="宋体"/>
          <w:spacing w:val="-1"/>
          <w:sz w:val="24"/>
          <w:szCs w:val="24"/>
        </w:rPr>
        <w:t>（1）严格执行路堑边坡开工报告审查制度。对纳入项目重点管理的路堑边坡，应</w:t>
      </w:r>
      <w:r>
        <w:rPr>
          <w:rFonts w:ascii="宋体" w:hAnsi="宋体" w:eastAsia="宋体" w:cs="宋体"/>
          <w:spacing w:val="14"/>
          <w:sz w:val="24"/>
          <w:szCs w:val="24"/>
        </w:rPr>
        <w:t xml:space="preserve"> </w:t>
      </w:r>
      <w:r>
        <w:rPr>
          <w:rFonts w:ascii="宋体" w:hAnsi="宋体" w:eastAsia="宋体" w:cs="宋体"/>
          <w:spacing w:val="-2"/>
          <w:sz w:val="24"/>
          <w:szCs w:val="24"/>
        </w:rPr>
        <w:t>严格执行开工报告审查制度，重点审查地质资料是否满足相关规范和设计要求、设计方</w:t>
      </w:r>
      <w:r>
        <w:rPr>
          <w:rFonts w:ascii="宋体" w:hAnsi="宋体" w:eastAsia="宋体" w:cs="宋体"/>
          <w:spacing w:val="11"/>
          <w:sz w:val="24"/>
          <w:szCs w:val="24"/>
        </w:rPr>
        <w:t xml:space="preserve"> </w:t>
      </w:r>
      <w:r>
        <w:rPr>
          <w:rFonts w:ascii="宋体" w:hAnsi="宋体" w:eastAsia="宋体" w:cs="宋体"/>
          <w:spacing w:val="-2"/>
          <w:sz w:val="24"/>
          <w:szCs w:val="24"/>
        </w:rPr>
        <w:t>案是否合理可行、施工准备工作（施工机械、材料、队伍等）是否到位等。对具备开工</w:t>
      </w:r>
    </w:p>
    <w:p>
      <w:pPr>
        <w:spacing w:before="1" w:line="217" w:lineRule="auto"/>
        <w:ind w:left="7"/>
        <w:rPr>
          <w:rFonts w:ascii="宋体" w:hAnsi="宋体" w:eastAsia="宋体" w:cs="宋体"/>
          <w:sz w:val="24"/>
          <w:szCs w:val="24"/>
        </w:rPr>
      </w:pPr>
      <w:r>
        <w:rPr>
          <w:rFonts w:ascii="宋体" w:hAnsi="宋体" w:eastAsia="宋体" w:cs="宋体"/>
          <w:sz w:val="24"/>
          <w:szCs w:val="24"/>
        </w:rPr>
        <w:t>条件的边坡，施工单位应上报开工报告，经监</w:t>
      </w:r>
      <w:r>
        <w:rPr>
          <w:rFonts w:ascii="宋体" w:hAnsi="宋体" w:eastAsia="宋体" w:cs="宋体"/>
          <w:spacing w:val="-1"/>
          <w:sz w:val="24"/>
          <w:szCs w:val="24"/>
        </w:rPr>
        <w:t>理单位审查同意后方可施工。</w:t>
      </w:r>
    </w:p>
    <w:p>
      <w:pPr>
        <w:spacing w:before="185" w:line="358" w:lineRule="auto"/>
        <w:ind w:left="4" w:right="291" w:firstLine="492"/>
        <w:rPr>
          <w:rFonts w:ascii="宋体" w:hAnsi="宋体" w:eastAsia="宋体" w:cs="宋体"/>
          <w:sz w:val="24"/>
          <w:szCs w:val="24"/>
        </w:rPr>
      </w:pPr>
      <w:r>
        <w:rPr>
          <w:rFonts w:ascii="宋体" w:hAnsi="宋体" w:eastAsia="宋体" w:cs="宋体"/>
          <w:spacing w:val="1"/>
          <w:sz w:val="24"/>
          <w:szCs w:val="24"/>
        </w:rPr>
        <w:t>（2）强化施工技术交底与质量控制。边坡施工前必须开展各工序施工工艺与质量</w:t>
      </w:r>
      <w:r>
        <w:rPr>
          <w:rFonts w:ascii="宋体" w:hAnsi="宋体" w:eastAsia="宋体" w:cs="宋体"/>
          <w:spacing w:val="9"/>
          <w:sz w:val="24"/>
          <w:szCs w:val="24"/>
        </w:rPr>
        <w:t xml:space="preserve"> </w:t>
      </w:r>
      <w:r>
        <w:rPr>
          <w:rFonts w:ascii="宋体" w:hAnsi="宋体" w:eastAsia="宋体" w:cs="宋体"/>
          <w:spacing w:val="-2"/>
          <w:sz w:val="24"/>
          <w:szCs w:val="24"/>
        </w:rPr>
        <w:t>控制的技术交底；严格按照设计的坡形、坡率开挖边坡，杜绝坡面超挖或欠挖现象；严</w:t>
      </w:r>
    </w:p>
    <w:p>
      <w:pPr>
        <w:spacing w:before="1" w:line="219" w:lineRule="auto"/>
        <w:ind w:left="4"/>
        <w:rPr>
          <w:rFonts w:ascii="宋体" w:hAnsi="宋体" w:eastAsia="宋体" w:cs="宋体"/>
          <w:sz w:val="24"/>
          <w:szCs w:val="24"/>
        </w:rPr>
      </w:pPr>
      <w:r>
        <w:rPr>
          <w:rFonts w:ascii="宋体" w:hAnsi="宋体" w:eastAsia="宋体" w:cs="宋体"/>
          <w:spacing w:val="-1"/>
          <w:sz w:val="24"/>
          <w:szCs w:val="24"/>
        </w:rPr>
        <w:t>控锚杆、锚索等工程的压浆工艺，确保压浆质量和锚固力。</w:t>
      </w:r>
    </w:p>
    <w:p>
      <w:pPr>
        <w:spacing w:before="183" w:line="359" w:lineRule="auto"/>
        <w:ind w:left="4" w:right="211" w:firstLine="492"/>
        <w:rPr>
          <w:rFonts w:ascii="宋体" w:hAnsi="宋体" w:eastAsia="宋体" w:cs="宋体"/>
          <w:sz w:val="24"/>
          <w:szCs w:val="24"/>
        </w:rPr>
      </w:pPr>
      <w:r>
        <w:rPr>
          <w:rFonts w:ascii="宋体" w:hAnsi="宋体" w:eastAsia="宋体" w:cs="宋体"/>
          <w:spacing w:val="2"/>
          <w:sz w:val="24"/>
          <w:szCs w:val="24"/>
        </w:rPr>
        <w:t>（3）实行边坡首件验收制。路堑边坡首件验收由项目监理单位组织，业主参与，</w:t>
      </w:r>
      <w:r>
        <w:rPr>
          <w:rFonts w:ascii="宋体" w:hAnsi="宋体" w:eastAsia="宋体" w:cs="宋体"/>
          <w:sz w:val="24"/>
          <w:szCs w:val="24"/>
        </w:rPr>
        <w:t xml:space="preserve"> </w:t>
      </w:r>
      <w:r>
        <w:rPr>
          <w:rFonts w:ascii="宋体" w:hAnsi="宋体" w:eastAsia="宋体" w:cs="宋体"/>
          <w:spacing w:val="-6"/>
          <w:sz w:val="24"/>
          <w:szCs w:val="24"/>
        </w:rPr>
        <w:t>选取先行施工、有代表性的土质和石质两类边坡分别进行首件验收，明确有关管理程序、</w:t>
      </w:r>
    </w:p>
    <w:p>
      <w:pPr>
        <w:spacing w:line="219" w:lineRule="auto"/>
        <w:ind w:left="6"/>
        <w:rPr>
          <w:rFonts w:ascii="宋体" w:hAnsi="宋体" w:eastAsia="宋体" w:cs="宋体"/>
          <w:sz w:val="24"/>
          <w:szCs w:val="24"/>
        </w:rPr>
      </w:pPr>
      <w:r>
        <w:rPr>
          <w:rFonts w:ascii="宋体" w:hAnsi="宋体" w:eastAsia="宋体" w:cs="宋体"/>
          <w:spacing w:val="-1"/>
          <w:sz w:val="24"/>
          <w:szCs w:val="24"/>
        </w:rPr>
        <w:t>质量标准、监管措施等，经验收合格后方可开展大面积施工。</w:t>
      </w:r>
    </w:p>
    <w:p>
      <w:pPr>
        <w:spacing w:before="183" w:line="466" w:lineRule="exact"/>
        <w:ind w:left="496"/>
        <w:rPr>
          <w:rFonts w:ascii="宋体" w:hAnsi="宋体" w:eastAsia="宋体" w:cs="宋体"/>
          <w:sz w:val="24"/>
          <w:szCs w:val="24"/>
        </w:rPr>
      </w:pPr>
      <w:r>
        <w:rPr>
          <w:rFonts w:ascii="宋体" w:hAnsi="宋体" w:eastAsia="宋体" w:cs="宋体"/>
          <w:spacing w:val="1"/>
          <w:position w:val="17"/>
          <w:sz w:val="24"/>
          <w:szCs w:val="24"/>
        </w:rPr>
        <w:t>（4）加强边坡施工过程管理及其他具体要求按《广东省交通运输厅关于切实加强</w:t>
      </w:r>
    </w:p>
    <w:p>
      <w:pPr>
        <w:spacing w:line="219" w:lineRule="auto"/>
        <w:ind w:left="7"/>
        <w:rPr>
          <w:rFonts w:ascii="宋体" w:hAnsi="宋体" w:eastAsia="宋体" w:cs="宋体"/>
          <w:sz w:val="24"/>
          <w:szCs w:val="24"/>
        </w:rPr>
      </w:pPr>
      <w:r>
        <w:rPr>
          <w:rFonts w:ascii="宋体" w:hAnsi="宋体" w:eastAsia="宋体" w:cs="宋体"/>
          <w:spacing w:val="-1"/>
          <w:sz w:val="24"/>
          <w:szCs w:val="24"/>
        </w:rPr>
        <w:t>我省高速公路路堑边坡管理的通知》执行。</w:t>
      </w:r>
    </w:p>
    <w:p>
      <w:pPr>
        <w:spacing w:before="183" w:line="220" w:lineRule="auto"/>
        <w:ind w:left="486"/>
        <w:rPr>
          <w:rFonts w:ascii="宋体" w:hAnsi="宋体" w:eastAsia="宋体" w:cs="宋体"/>
          <w:sz w:val="24"/>
          <w:szCs w:val="24"/>
        </w:rPr>
      </w:pPr>
      <w:r>
        <w:rPr>
          <w:rFonts w:ascii="宋体" w:hAnsi="宋体" w:eastAsia="宋体" w:cs="宋体"/>
          <w:spacing w:val="-2"/>
          <w:sz w:val="24"/>
          <w:szCs w:val="24"/>
        </w:rPr>
        <w:t>9.4 环境保护</w:t>
      </w:r>
    </w:p>
    <w:p>
      <w:pPr>
        <w:spacing w:before="182" w:line="219" w:lineRule="auto"/>
        <w:ind w:left="485"/>
        <w:rPr>
          <w:rFonts w:ascii="宋体" w:hAnsi="宋体" w:eastAsia="宋体" w:cs="宋体"/>
          <w:sz w:val="24"/>
          <w:szCs w:val="24"/>
        </w:rPr>
      </w:pPr>
      <w:r>
        <w:rPr>
          <w:rFonts w:ascii="宋体" w:hAnsi="宋体" w:eastAsia="宋体" w:cs="宋体"/>
          <w:spacing w:val="-6"/>
          <w:sz w:val="24"/>
          <w:szCs w:val="24"/>
        </w:rPr>
        <w:t>第</w:t>
      </w:r>
      <w:r>
        <w:rPr>
          <w:rFonts w:ascii="宋体" w:hAnsi="宋体" w:eastAsia="宋体" w:cs="宋体"/>
          <w:spacing w:val="-48"/>
          <w:sz w:val="24"/>
          <w:szCs w:val="24"/>
        </w:rPr>
        <w:t xml:space="preserve"> </w:t>
      </w:r>
      <w:r>
        <w:rPr>
          <w:rFonts w:ascii="宋体" w:hAnsi="宋体" w:eastAsia="宋体" w:cs="宋体"/>
          <w:spacing w:val="-6"/>
          <w:sz w:val="24"/>
          <w:szCs w:val="24"/>
        </w:rPr>
        <w:t>9.4.7（1）</w:t>
      </w:r>
      <w:r>
        <w:rPr>
          <w:rFonts w:ascii="宋体" w:hAnsi="宋体" w:eastAsia="宋体" w:cs="宋体"/>
          <w:spacing w:val="-65"/>
          <w:sz w:val="24"/>
          <w:szCs w:val="24"/>
        </w:rPr>
        <w:t xml:space="preserve"> </w:t>
      </w:r>
      <w:r>
        <w:rPr>
          <w:rFonts w:ascii="宋体" w:hAnsi="宋体" w:eastAsia="宋体" w:cs="宋体"/>
          <w:spacing w:val="-6"/>
          <w:sz w:val="24"/>
          <w:szCs w:val="24"/>
        </w:rPr>
        <w:t>目补充：</w:t>
      </w:r>
    </w:p>
    <w:p>
      <w:pPr>
        <w:spacing w:before="181" w:line="359" w:lineRule="auto"/>
        <w:ind w:left="6" w:right="291" w:firstLine="478"/>
        <w:rPr>
          <w:rFonts w:ascii="宋体" w:hAnsi="宋体" w:eastAsia="宋体" w:cs="宋体"/>
          <w:sz w:val="24"/>
          <w:szCs w:val="24"/>
        </w:rPr>
      </w:pPr>
      <w:r>
        <w:rPr>
          <w:rFonts w:ascii="宋体" w:hAnsi="宋体" w:eastAsia="宋体" w:cs="宋体"/>
          <w:spacing w:val="-2"/>
          <w:sz w:val="24"/>
          <w:szCs w:val="24"/>
        </w:rPr>
        <w:t>施工噪声和施工时间应满足国家及地方环境保护法律法规的规定和要求，不得影响</w:t>
      </w:r>
      <w:r>
        <w:rPr>
          <w:rFonts w:ascii="宋体" w:hAnsi="宋体" w:eastAsia="宋体" w:cs="宋体"/>
          <w:spacing w:val="9"/>
          <w:sz w:val="24"/>
          <w:szCs w:val="24"/>
        </w:rPr>
        <w:t xml:space="preserve"> </w:t>
      </w:r>
      <w:r>
        <w:rPr>
          <w:rFonts w:ascii="宋体" w:hAnsi="宋体" w:eastAsia="宋体" w:cs="宋体"/>
          <w:spacing w:val="-2"/>
          <w:sz w:val="24"/>
          <w:szCs w:val="24"/>
        </w:rPr>
        <w:t>周边单位和居民正常的生产生活。施工单位应使用经环保主管部门信息编码登记且符合</w:t>
      </w:r>
    </w:p>
    <w:p>
      <w:pPr>
        <w:spacing w:before="1" w:line="218" w:lineRule="auto"/>
        <w:ind w:left="5"/>
        <w:rPr>
          <w:rFonts w:ascii="宋体" w:hAnsi="宋体" w:eastAsia="宋体" w:cs="宋体"/>
          <w:sz w:val="24"/>
          <w:szCs w:val="24"/>
        </w:rPr>
      </w:pPr>
      <w:r>
        <w:rPr>
          <w:rFonts w:ascii="宋体" w:hAnsi="宋体" w:eastAsia="宋体" w:cs="宋体"/>
          <w:spacing w:val="-1"/>
          <w:sz w:val="24"/>
          <w:szCs w:val="24"/>
        </w:rPr>
        <w:t>排放标准的非道路移动机械。</w:t>
      </w:r>
    </w:p>
    <w:p>
      <w:pPr>
        <w:spacing w:before="182" w:line="219" w:lineRule="auto"/>
        <w:ind w:left="485"/>
        <w:rPr>
          <w:rFonts w:ascii="宋体" w:hAnsi="宋体" w:eastAsia="宋体" w:cs="宋体"/>
          <w:sz w:val="24"/>
          <w:szCs w:val="24"/>
        </w:rPr>
      </w:pPr>
      <w:r>
        <w:rPr>
          <w:rFonts w:ascii="宋体" w:hAnsi="宋体" w:eastAsia="宋体" w:cs="宋体"/>
          <w:spacing w:val="-6"/>
          <w:sz w:val="24"/>
          <w:szCs w:val="24"/>
        </w:rPr>
        <w:t>第</w:t>
      </w:r>
      <w:r>
        <w:rPr>
          <w:rFonts w:ascii="宋体" w:hAnsi="宋体" w:eastAsia="宋体" w:cs="宋体"/>
          <w:spacing w:val="-48"/>
          <w:sz w:val="24"/>
          <w:szCs w:val="24"/>
        </w:rPr>
        <w:t xml:space="preserve"> </w:t>
      </w:r>
      <w:r>
        <w:rPr>
          <w:rFonts w:ascii="宋体" w:hAnsi="宋体" w:eastAsia="宋体" w:cs="宋体"/>
          <w:spacing w:val="-6"/>
          <w:sz w:val="24"/>
          <w:szCs w:val="24"/>
        </w:rPr>
        <w:t>9.4.7（2）</w:t>
      </w:r>
      <w:r>
        <w:rPr>
          <w:rFonts w:ascii="宋体" w:hAnsi="宋体" w:eastAsia="宋体" w:cs="宋体"/>
          <w:spacing w:val="-65"/>
          <w:sz w:val="24"/>
          <w:szCs w:val="24"/>
        </w:rPr>
        <w:t xml:space="preserve"> </w:t>
      </w:r>
      <w:r>
        <w:rPr>
          <w:rFonts w:ascii="宋体" w:hAnsi="宋体" w:eastAsia="宋体" w:cs="宋体"/>
          <w:spacing w:val="-6"/>
          <w:sz w:val="24"/>
          <w:szCs w:val="24"/>
        </w:rPr>
        <w:t>目补充：</w:t>
      </w:r>
    </w:p>
    <w:p>
      <w:pPr>
        <w:spacing w:before="183" w:line="219" w:lineRule="auto"/>
        <w:ind w:left="491"/>
        <w:rPr>
          <w:rFonts w:ascii="宋体" w:hAnsi="宋体" w:eastAsia="宋体" w:cs="宋体"/>
          <w:sz w:val="24"/>
          <w:szCs w:val="24"/>
        </w:rPr>
      </w:pPr>
      <w:r>
        <w:rPr>
          <w:rFonts w:ascii="宋体" w:hAnsi="宋体" w:eastAsia="宋体" w:cs="宋体"/>
          <w:spacing w:val="-2"/>
          <w:sz w:val="24"/>
          <w:szCs w:val="24"/>
        </w:rPr>
        <w:t>e.隧道出渣、钻孔灌注桩施工时排出的泥浆等施工废弃物要妥善处理，弃置形式及</w:t>
      </w:r>
    </w:p>
    <w:p>
      <w:pPr>
        <w:spacing w:line="425" w:lineRule="auto"/>
        <w:rPr>
          <w:rFonts w:ascii="Arial"/>
          <w:sz w:val="21"/>
        </w:rPr>
      </w:pPr>
    </w:p>
    <w:p>
      <w:pPr>
        <w:spacing w:before="78" w:line="219" w:lineRule="auto"/>
        <w:ind w:left="5"/>
        <w:rPr>
          <w:rFonts w:ascii="宋体" w:hAnsi="宋体" w:eastAsia="宋体" w:cs="宋体"/>
          <w:sz w:val="24"/>
          <w:szCs w:val="24"/>
        </w:rPr>
      </w:pPr>
      <w:r>
        <w:rPr>
          <w:rFonts w:ascii="宋体" w:hAnsi="宋体" w:eastAsia="宋体" w:cs="宋体"/>
          <w:sz w:val="24"/>
          <w:szCs w:val="24"/>
        </w:rPr>
        <w:t>地点须经相关主管部门的批准，严禁向海洋、河流、</w:t>
      </w:r>
      <w:r>
        <w:rPr>
          <w:rFonts w:ascii="宋体" w:hAnsi="宋体" w:eastAsia="宋体" w:cs="宋体"/>
          <w:spacing w:val="-1"/>
          <w:sz w:val="24"/>
          <w:szCs w:val="24"/>
        </w:rPr>
        <w:t>荒地或市政管道等排放。</w:t>
      </w:r>
    </w:p>
    <w:p>
      <w:pPr>
        <w:spacing w:before="180" w:line="359" w:lineRule="auto"/>
        <w:ind w:left="8" w:right="291" w:firstLine="480"/>
        <w:rPr>
          <w:rFonts w:ascii="宋体" w:hAnsi="宋体" w:eastAsia="宋体" w:cs="宋体"/>
          <w:sz w:val="24"/>
          <w:szCs w:val="24"/>
        </w:rPr>
      </w:pPr>
      <w:r>
        <w:rPr>
          <w:rFonts w:ascii="宋体" w:hAnsi="宋体" w:eastAsia="宋体" w:cs="宋体"/>
          <w:spacing w:val="-2"/>
          <w:sz w:val="24"/>
          <w:szCs w:val="24"/>
        </w:rPr>
        <w:t>f.承包人必须依照《广东省交通运输厅关于加强公路水运建设项目施工现场扬尘管</w:t>
      </w:r>
      <w:r>
        <w:rPr>
          <w:rFonts w:ascii="宋体" w:hAnsi="宋体" w:eastAsia="宋体" w:cs="宋体"/>
          <w:spacing w:val="6"/>
          <w:sz w:val="24"/>
          <w:szCs w:val="24"/>
        </w:rPr>
        <w:t xml:space="preserve"> </w:t>
      </w:r>
      <w:r>
        <w:rPr>
          <w:rFonts w:ascii="宋体" w:hAnsi="宋体" w:eastAsia="宋体" w:cs="宋体"/>
          <w:spacing w:val="-2"/>
          <w:sz w:val="24"/>
          <w:szCs w:val="24"/>
        </w:rPr>
        <w:t>理的通知》，加强施工现场管理，防止工程周边扬尘污染，运输车辆经冲洗干净后方可</w:t>
      </w:r>
    </w:p>
    <w:p>
      <w:pPr>
        <w:spacing w:line="219" w:lineRule="auto"/>
        <w:ind w:left="5"/>
        <w:rPr>
          <w:rFonts w:ascii="宋体" w:hAnsi="宋体" w:eastAsia="宋体" w:cs="宋体"/>
          <w:sz w:val="24"/>
          <w:szCs w:val="24"/>
        </w:rPr>
      </w:pPr>
      <w:r>
        <w:rPr>
          <w:rFonts w:ascii="宋体" w:hAnsi="宋体" w:eastAsia="宋体" w:cs="宋体"/>
          <w:spacing w:val="-2"/>
          <w:sz w:val="24"/>
          <w:szCs w:val="24"/>
        </w:rPr>
        <w:t>驶出建设工地。</w:t>
      </w:r>
    </w:p>
    <w:p>
      <w:pPr>
        <w:spacing w:before="181" w:line="359" w:lineRule="auto"/>
        <w:ind w:left="7" w:right="291" w:firstLine="481"/>
        <w:rPr>
          <w:rFonts w:ascii="宋体" w:hAnsi="宋体" w:eastAsia="宋体" w:cs="宋体"/>
          <w:sz w:val="24"/>
          <w:szCs w:val="24"/>
        </w:rPr>
      </w:pPr>
      <w:r>
        <w:rPr>
          <w:rFonts w:ascii="宋体" w:hAnsi="宋体" w:eastAsia="宋体" w:cs="宋体"/>
          <w:spacing w:val="5"/>
          <w:sz w:val="24"/>
          <w:szCs w:val="24"/>
        </w:rPr>
        <w:t>g.承包人应严格执行《广东省重污染天气交通建设工程施</w:t>
      </w:r>
      <w:r>
        <w:rPr>
          <w:rFonts w:ascii="宋体" w:hAnsi="宋体" w:eastAsia="宋体" w:cs="宋体"/>
          <w:spacing w:val="4"/>
          <w:sz w:val="24"/>
          <w:szCs w:val="24"/>
        </w:rPr>
        <w:t>工扬尘控制应急工作方</w:t>
      </w:r>
      <w:r>
        <w:rPr>
          <w:rFonts w:ascii="宋体" w:hAnsi="宋体" w:eastAsia="宋体" w:cs="宋体"/>
          <w:sz w:val="24"/>
          <w:szCs w:val="24"/>
        </w:rPr>
        <w:t xml:space="preserve"> </w:t>
      </w:r>
      <w:r>
        <w:rPr>
          <w:rFonts w:ascii="宋体" w:hAnsi="宋体" w:eastAsia="宋体" w:cs="宋体"/>
          <w:spacing w:val="-1"/>
          <w:sz w:val="24"/>
          <w:szCs w:val="24"/>
        </w:rPr>
        <w:t>案》有关规定，城市区域内交通建设工程要切实做到“六个</w:t>
      </w:r>
      <w:r>
        <w:rPr>
          <w:rFonts w:ascii="宋体" w:hAnsi="宋体" w:eastAsia="宋体" w:cs="宋体"/>
          <w:spacing w:val="-28"/>
          <w:sz w:val="24"/>
          <w:szCs w:val="24"/>
        </w:rPr>
        <w:t xml:space="preserve"> </w:t>
      </w:r>
      <w:r>
        <w:rPr>
          <w:rFonts w:ascii="宋体" w:hAnsi="宋体" w:eastAsia="宋体" w:cs="宋体"/>
          <w:spacing w:val="-1"/>
          <w:sz w:val="24"/>
          <w:szCs w:val="24"/>
        </w:rPr>
        <w:t>100%</w:t>
      </w:r>
      <w:r>
        <w:rPr>
          <w:rFonts w:ascii="宋体" w:hAnsi="宋体" w:eastAsia="宋体" w:cs="宋体"/>
          <w:spacing w:val="-86"/>
          <w:sz w:val="24"/>
          <w:szCs w:val="24"/>
        </w:rPr>
        <w:t xml:space="preserve"> </w:t>
      </w:r>
      <w:r>
        <w:rPr>
          <w:rFonts w:ascii="宋体" w:hAnsi="宋体" w:eastAsia="宋体" w:cs="宋体"/>
          <w:spacing w:val="-1"/>
          <w:sz w:val="24"/>
          <w:szCs w:val="24"/>
        </w:rPr>
        <w:t>”：施工现场</w:t>
      </w:r>
      <w:r>
        <w:rPr>
          <w:rFonts w:ascii="宋体" w:hAnsi="宋体" w:eastAsia="宋体" w:cs="宋体"/>
          <w:spacing w:val="-31"/>
          <w:sz w:val="24"/>
          <w:szCs w:val="24"/>
        </w:rPr>
        <w:t xml:space="preserve"> </w:t>
      </w:r>
      <w:r>
        <w:rPr>
          <w:rFonts w:ascii="宋体" w:hAnsi="宋体" w:eastAsia="宋体" w:cs="宋体"/>
          <w:spacing w:val="-1"/>
          <w:sz w:val="24"/>
          <w:szCs w:val="24"/>
        </w:rPr>
        <w:t>100%围</w:t>
      </w:r>
      <w:r>
        <w:rPr>
          <w:rFonts w:ascii="宋体" w:hAnsi="宋体" w:eastAsia="宋体" w:cs="宋体"/>
          <w:sz w:val="24"/>
          <w:szCs w:val="24"/>
        </w:rPr>
        <w:t xml:space="preserve"> </w:t>
      </w:r>
      <w:r>
        <w:rPr>
          <w:rFonts w:ascii="宋体" w:hAnsi="宋体" w:eastAsia="宋体" w:cs="宋体"/>
          <w:spacing w:val="-2"/>
          <w:sz w:val="24"/>
          <w:szCs w:val="24"/>
        </w:rPr>
        <w:t>蔽，工地砂土</w:t>
      </w:r>
      <w:r>
        <w:rPr>
          <w:rFonts w:ascii="宋体" w:hAnsi="宋体" w:eastAsia="宋体" w:cs="宋体"/>
          <w:spacing w:val="-33"/>
          <w:sz w:val="24"/>
          <w:szCs w:val="24"/>
        </w:rPr>
        <w:t xml:space="preserve"> </w:t>
      </w:r>
      <w:r>
        <w:rPr>
          <w:rFonts w:ascii="宋体" w:hAnsi="宋体" w:eastAsia="宋体" w:cs="宋体"/>
          <w:spacing w:val="-2"/>
          <w:sz w:val="24"/>
          <w:szCs w:val="24"/>
        </w:rPr>
        <w:t>100%覆盖，工地路面</w:t>
      </w:r>
      <w:r>
        <w:rPr>
          <w:rFonts w:ascii="宋体" w:hAnsi="宋体" w:eastAsia="宋体" w:cs="宋体"/>
          <w:spacing w:val="-33"/>
          <w:sz w:val="24"/>
          <w:szCs w:val="24"/>
        </w:rPr>
        <w:t xml:space="preserve"> </w:t>
      </w:r>
      <w:r>
        <w:rPr>
          <w:rFonts w:ascii="宋体" w:hAnsi="宋体" w:eastAsia="宋体" w:cs="宋体"/>
          <w:spacing w:val="-2"/>
          <w:sz w:val="24"/>
          <w:szCs w:val="24"/>
        </w:rPr>
        <w:t>100%硬地化，拆除工程</w:t>
      </w:r>
      <w:r>
        <w:rPr>
          <w:rFonts w:ascii="宋体" w:hAnsi="宋体" w:eastAsia="宋体" w:cs="宋体"/>
          <w:spacing w:val="-33"/>
          <w:sz w:val="24"/>
          <w:szCs w:val="24"/>
        </w:rPr>
        <w:t xml:space="preserve"> </w:t>
      </w:r>
      <w:r>
        <w:rPr>
          <w:rFonts w:ascii="宋体" w:hAnsi="宋体" w:eastAsia="宋体" w:cs="宋体"/>
          <w:spacing w:val="-2"/>
          <w:sz w:val="24"/>
          <w:szCs w:val="24"/>
        </w:rPr>
        <w:t>100%洒水</w:t>
      </w:r>
      <w:r>
        <w:rPr>
          <w:rFonts w:ascii="宋体" w:hAnsi="宋体" w:eastAsia="宋体" w:cs="宋体"/>
          <w:spacing w:val="-3"/>
          <w:sz w:val="24"/>
          <w:szCs w:val="24"/>
        </w:rPr>
        <w:t>压尘，出工地车辆</w:t>
      </w:r>
    </w:p>
    <w:p>
      <w:pPr>
        <w:spacing w:before="1" w:line="219" w:lineRule="auto"/>
        <w:ind w:left="23"/>
        <w:rPr>
          <w:rFonts w:ascii="宋体" w:hAnsi="宋体" w:eastAsia="宋体" w:cs="宋体"/>
          <w:sz w:val="24"/>
          <w:szCs w:val="24"/>
        </w:rPr>
      </w:pPr>
      <w:r>
        <w:rPr>
          <w:rFonts w:ascii="宋体" w:hAnsi="宋体" w:eastAsia="宋体" w:cs="宋体"/>
          <w:spacing w:val="-2"/>
          <w:sz w:val="24"/>
          <w:szCs w:val="24"/>
        </w:rPr>
        <w:t>100%冲净车轮车身，暂不开发的场地</w:t>
      </w:r>
      <w:r>
        <w:rPr>
          <w:rFonts w:ascii="宋体" w:hAnsi="宋体" w:eastAsia="宋体" w:cs="宋体"/>
          <w:spacing w:val="-33"/>
          <w:sz w:val="24"/>
          <w:szCs w:val="24"/>
        </w:rPr>
        <w:t xml:space="preserve"> </w:t>
      </w:r>
      <w:r>
        <w:rPr>
          <w:rFonts w:ascii="宋体" w:hAnsi="宋体" w:eastAsia="宋体" w:cs="宋体"/>
          <w:spacing w:val="-2"/>
          <w:sz w:val="24"/>
          <w:szCs w:val="24"/>
        </w:rPr>
        <w:t>1</w:t>
      </w:r>
      <w:r>
        <w:rPr>
          <w:rFonts w:ascii="宋体" w:hAnsi="宋体" w:eastAsia="宋体" w:cs="宋体"/>
          <w:spacing w:val="-3"/>
          <w:sz w:val="24"/>
          <w:szCs w:val="24"/>
        </w:rPr>
        <w:t>00%绿化。</w:t>
      </w:r>
    </w:p>
    <w:p>
      <w:pPr>
        <w:spacing w:before="183" w:line="219" w:lineRule="auto"/>
        <w:ind w:left="485"/>
        <w:rPr>
          <w:rFonts w:ascii="宋体" w:hAnsi="宋体" w:eastAsia="宋体" w:cs="宋体"/>
          <w:sz w:val="24"/>
          <w:szCs w:val="24"/>
        </w:rPr>
      </w:pPr>
      <w:r>
        <w:rPr>
          <w:rFonts w:ascii="宋体" w:hAnsi="宋体" w:eastAsia="宋体" w:cs="宋体"/>
          <w:spacing w:val="-2"/>
          <w:sz w:val="24"/>
          <w:szCs w:val="24"/>
        </w:rPr>
        <w:t>第 9.4.10</w:t>
      </w:r>
      <w:r>
        <w:rPr>
          <w:rFonts w:ascii="宋体" w:hAnsi="宋体" w:eastAsia="宋体" w:cs="宋体"/>
          <w:spacing w:val="15"/>
          <w:sz w:val="24"/>
          <w:szCs w:val="24"/>
        </w:rPr>
        <w:t xml:space="preserve"> </w:t>
      </w:r>
      <w:r>
        <w:rPr>
          <w:rFonts w:ascii="宋体" w:hAnsi="宋体" w:eastAsia="宋体" w:cs="宋体"/>
          <w:spacing w:val="-2"/>
          <w:sz w:val="24"/>
          <w:szCs w:val="24"/>
        </w:rPr>
        <w:t>项末补充：</w:t>
      </w:r>
    </w:p>
    <w:p>
      <w:pPr>
        <w:spacing w:before="182" w:line="359" w:lineRule="auto"/>
        <w:ind w:left="25" w:right="186" w:firstLine="580"/>
        <w:rPr>
          <w:rFonts w:ascii="宋体" w:hAnsi="宋体" w:eastAsia="宋体" w:cs="宋体"/>
          <w:sz w:val="24"/>
          <w:szCs w:val="24"/>
        </w:rPr>
      </w:pPr>
      <w:r>
        <w:rPr>
          <w:rFonts w:ascii="宋体" w:hAnsi="宋体" w:eastAsia="宋体" w:cs="宋体"/>
          <w:spacing w:val="-2"/>
          <w:sz w:val="24"/>
          <w:szCs w:val="24"/>
        </w:rPr>
        <w:t>根据广东省国土资源厅关于印发《非农建设占用水田耕作层剥离再利</w:t>
      </w:r>
      <w:r>
        <w:rPr>
          <w:rFonts w:ascii="宋体" w:hAnsi="宋体" w:eastAsia="宋体" w:cs="宋体"/>
          <w:spacing w:val="-3"/>
          <w:sz w:val="24"/>
          <w:szCs w:val="24"/>
        </w:rPr>
        <w:t>用工作指引》</w:t>
      </w:r>
      <w:r>
        <w:rPr>
          <w:rFonts w:ascii="宋体" w:hAnsi="宋体" w:eastAsia="宋体" w:cs="宋体"/>
          <w:sz w:val="24"/>
          <w:szCs w:val="24"/>
        </w:rPr>
        <w:t xml:space="preserve"> </w:t>
      </w:r>
      <w:r>
        <w:rPr>
          <w:rFonts w:ascii="宋体" w:hAnsi="宋体" w:eastAsia="宋体" w:cs="宋体"/>
          <w:spacing w:val="1"/>
          <w:sz w:val="24"/>
          <w:szCs w:val="24"/>
        </w:rPr>
        <w:t>的通知的要求，本项目按照《耕作层土壤剥离利用技术规范》（</w:t>
      </w:r>
      <w:r>
        <w:rPr>
          <w:rFonts w:ascii="宋体" w:hAnsi="宋体" w:eastAsia="宋体" w:cs="宋体"/>
          <w:sz w:val="24"/>
          <w:szCs w:val="24"/>
        </w:rPr>
        <w:t>TD</w:t>
      </w:r>
      <w:r>
        <w:rPr>
          <w:rFonts w:ascii="宋体" w:hAnsi="宋体" w:eastAsia="宋体" w:cs="宋体"/>
          <w:spacing w:val="1"/>
          <w:sz w:val="24"/>
          <w:szCs w:val="24"/>
        </w:rPr>
        <w:t>/T1048---</w:t>
      </w:r>
      <w:r>
        <w:rPr>
          <w:rFonts w:ascii="宋体" w:hAnsi="宋体" w:eastAsia="宋体" w:cs="宋体"/>
          <w:sz w:val="24"/>
          <w:szCs w:val="24"/>
        </w:rPr>
        <w:t xml:space="preserve">2016）对  </w:t>
      </w:r>
      <w:r>
        <w:rPr>
          <w:rFonts w:ascii="宋体" w:hAnsi="宋体" w:eastAsia="宋体" w:cs="宋体"/>
          <w:spacing w:val="-2"/>
          <w:sz w:val="24"/>
          <w:szCs w:val="24"/>
        </w:rPr>
        <w:t>占用水田耕作层进行剥离再利用，承包人应积极配合。发包人将根据相</w:t>
      </w:r>
      <w:r>
        <w:rPr>
          <w:rFonts w:ascii="宋体" w:hAnsi="宋体" w:eastAsia="宋体" w:cs="宋体"/>
          <w:spacing w:val="-3"/>
          <w:sz w:val="24"/>
          <w:szCs w:val="24"/>
        </w:rPr>
        <w:t>关政策及地方政</w:t>
      </w:r>
    </w:p>
    <w:p>
      <w:pPr>
        <w:spacing w:before="1" w:line="218" w:lineRule="auto"/>
        <w:ind w:left="4"/>
        <w:rPr>
          <w:rFonts w:ascii="宋体" w:hAnsi="宋体" w:eastAsia="宋体" w:cs="宋体"/>
          <w:sz w:val="24"/>
          <w:szCs w:val="24"/>
        </w:rPr>
      </w:pPr>
      <w:r>
        <w:rPr>
          <w:rFonts w:ascii="宋体" w:hAnsi="宋体" w:eastAsia="宋体" w:cs="宋体"/>
          <w:sz w:val="24"/>
          <w:szCs w:val="24"/>
        </w:rPr>
        <w:t>府制定的实施方案，推进本项目占用水田耕作层剥离工作，相</w:t>
      </w:r>
      <w:r>
        <w:rPr>
          <w:rFonts w:ascii="宋体" w:hAnsi="宋体" w:eastAsia="宋体" w:cs="宋体"/>
          <w:spacing w:val="-1"/>
          <w:sz w:val="24"/>
          <w:szCs w:val="24"/>
        </w:rPr>
        <w:t>关费用由发包人承担。</w:t>
      </w:r>
    </w:p>
    <w:p>
      <w:pPr>
        <w:spacing w:before="184" w:line="220" w:lineRule="auto"/>
        <w:ind w:left="484"/>
        <w:rPr>
          <w:rFonts w:ascii="宋体" w:hAnsi="宋体" w:eastAsia="宋体" w:cs="宋体"/>
          <w:sz w:val="24"/>
          <w:szCs w:val="24"/>
        </w:rPr>
      </w:pPr>
      <w:r>
        <w:rPr>
          <w:rFonts w:ascii="宋体" w:hAnsi="宋体" w:eastAsia="宋体" w:cs="宋体"/>
          <w:spacing w:val="-3"/>
          <w:sz w:val="24"/>
          <w:szCs w:val="24"/>
        </w:rPr>
        <w:t>在</w:t>
      </w:r>
      <w:r>
        <w:rPr>
          <w:rFonts w:ascii="宋体" w:hAnsi="宋体" w:eastAsia="宋体" w:cs="宋体"/>
          <w:spacing w:val="-35"/>
          <w:sz w:val="24"/>
          <w:szCs w:val="24"/>
        </w:rPr>
        <w:t xml:space="preserve"> </w:t>
      </w:r>
      <w:r>
        <w:rPr>
          <w:rFonts w:ascii="宋体" w:hAnsi="宋体" w:eastAsia="宋体" w:cs="宋体"/>
          <w:spacing w:val="-3"/>
          <w:sz w:val="24"/>
          <w:szCs w:val="24"/>
        </w:rPr>
        <w:t>9.4</w:t>
      </w:r>
      <w:r>
        <w:rPr>
          <w:rFonts w:ascii="宋体" w:hAnsi="宋体" w:eastAsia="宋体" w:cs="宋体"/>
          <w:spacing w:val="-49"/>
          <w:sz w:val="24"/>
          <w:szCs w:val="24"/>
        </w:rPr>
        <w:t xml:space="preserve"> </w:t>
      </w:r>
      <w:r>
        <w:rPr>
          <w:rFonts w:ascii="宋体" w:hAnsi="宋体" w:eastAsia="宋体" w:cs="宋体"/>
          <w:spacing w:val="-3"/>
          <w:sz w:val="24"/>
          <w:szCs w:val="24"/>
        </w:rPr>
        <w:t>款下增加</w:t>
      </w:r>
      <w:r>
        <w:rPr>
          <w:rFonts w:ascii="宋体" w:hAnsi="宋体" w:eastAsia="宋体" w:cs="宋体"/>
          <w:spacing w:val="-50"/>
          <w:sz w:val="24"/>
          <w:szCs w:val="24"/>
        </w:rPr>
        <w:t xml:space="preserve"> </w:t>
      </w:r>
      <w:r>
        <w:rPr>
          <w:rFonts w:ascii="宋体" w:hAnsi="宋体" w:eastAsia="宋体" w:cs="宋体"/>
          <w:spacing w:val="-3"/>
          <w:sz w:val="24"/>
          <w:szCs w:val="24"/>
        </w:rPr>
        <w:t>9.4.12～9.4.17</w:t>
      </w:r>
      <w:r>
        <w:rPr>
          <w:rFonts w:ascii="宋体" w:hAnsi="宋体" w:eastAsia="宋体" w:cs="宋体"/>
          <w:spacing w:val="-47"/>
          <w:sz w:val="24"/>
          <w:szCs w:val="24"/>
        </w:rPr>
        <w:t xml:space="preserve"> </w:t>
      </w:r>
      <w:r>
        <w:rPr>
          <w:rFonts w:ascii="宋体" w:hAnsi="宋体" w:eastAsia="宋体" w:cs="宋体"/>
          <w:spacing w:val="-3"/>
          <w:sz w:val="24"/>
          <w:szCs w:val="24"/>
        </w:rPr>
        <w:t>项：</w:t>
      </w:r>
    </w:p>
    <w:p>
      <w:pPr>
        <w:spacing w:before="181" w:line="359" w:lineRule="auto"/>
        <w:ind w:left="5" w:right="291" w:firstLine="480"/>
        <w:rPr>
          <w:rFonts w:ascii="宋体" w:hAnsi="宋体" w:eastAsia="宋体" w:cs="宋体"/>
          <w:sz w:val="24"/>
          <w:szCs w:val="24"/>
        </w:rPr>
      </w:pPr>
      <w:r>
        <w:rPr>
          <w:rFonts w:ascii="宋体" w:hAnsi="宋体" w:eastAsia="宋体" w:cs="宋体"/>
          <w:spacing w:val="-2"/>
          <w:sz w:val="24"/>
          <w:szCs w:val="24"/>
        </w:rPr>
        <w:t>9.4.12 承包人应落实环境保护及水土保持的责任人，严格按照《广东省水利厅 广</w:t>
      </w:r>
      <w:r>
        <w:rPr>
          <w:rFonts w:ascii="宋体" w:hAnsi="宋体" w:eastAsia="宋体" w:cs="宋体"/>
          <w:spacing w:val="15"/>
          <w:sz w:val="24"/>
          <w:szCs w:val="24"/>
        </w:rPr>
        <w:t xml:space="preserve"> </w:t>
      </w:r>
      <w:r>
        <w:rPr>
          <w:rFonts w:ascii="宋体" w:hAnsi="宋体" w:eastAsia="宋体" w:cs="宋体"/>
          <w:spacing w:val="-2"/>
          <w:sz w:val="24"/>
          <w:szCs w:val="24"/>
        </w:rPr>
        <w:t>东省交通运输厅关于进一步加强交通建设项目水土保持工作的通知》的要求开展水土保</w:t>
      </w:r>
      <w:r>
        <w:rPr>
          <w:rFonts w:ascii="宋体" w:hAnsi="宋体" w:eastAsia="宋体" w:cs="宋体"/>
          <w:spacing w:val="12"/>
          <w:sz w:val="24"/>
          <w:szCs w:val="24"/>
        </w:rPr>
        <w:t xml:space="preserve"> </w:t>
      </w:r>
      <w:r>
        <w:rPr>
          <w:rFonts w:ascii="宋体" w:hAnsi="宋体" w:eastAsia="宋体" w:cs="宋体"/>
          <w:spacing w:val="-2"/>
          <w:sz w:val="24"/>
          <w:szCs w:val="24"/>
        </w:rPr>
        <w:t>持工作。自觉接受监理人的环保及水土保持教育，落实实施施工场地符合相关环保要求</w:t>
      </w:r>
      <w:r>
        <w:rPr>
          <w:rFonts w:ascii="宋体" w:hAnsi="宋体" w:eastAsia="宋体" w:cs="宋体"/>
          <w:spacing w:val="12"/>
          <w:sz w:val="24"/>
          <w:szCs w:val="24"/>
        </w:rPr>
        <w:t xml:space="preserve"> </w:t>
      </w:r>
      <w:r>
        <w:rPr>
          <w:rFonts w:ascii="宋体" w:hAnsi="宋体" w:eastAsia="宋体" w:cs="宋体"/>
          <w:spacing w:val="-3"/>
          <w:sz w:val="24"/>
          <w:szCs w:val="24"/>
        </w:rPr>
        <w:t>布设；施工组织设计应按“水土保持方案报告书</w:t>
      </w:r>
      <w:r>
        <w:rPr>
          <w:rFonts w:ascii="宋体" w:hAnsi="宋体" w:eastAsia="宋体" w:cs="宋体"/>
          <w:spacing w:val="-70"/>
          <w:sz w:val="24"/>
          <w:szCs w:val="24"/>
        </w:rPr>
        <w:t xml:space="preserve"> </w:t>
      </w:r>
      <w:r>
        <w:rPr>
          <w:rFonts w:ascii="宋体" w:hAnsi="宋体" w:eastAsia="宋体" w:cs="宋体"/>
          <w:spacing w:val="-3"/>
          <w:sz w:val="24"/>
          <w:szCs w:val="24"/>
        </w:rPr>
        <w:t>”有关要求制定施工中的水保措施，认</w:t>
      </w:r>
      <w:r>
        <w:rPr>
          <w:rFonts w:ascii="宋体" w:hAnsi="宋体" w:eastAsia="宋体" w:cs="宋体"/>
          <w:sz w:val="24"/>
          <w:szCs w:val="24"/>
        </w:rPr>
        <w:t xml:space="preserve"> </w:t>
      </w:r>
      <w:r>
        <w:rPr>
          <w:rFonts w:ascii="宋体" w:hAnsi="宋体" w:eastAsia="宋体" w:cs="宋体"/>
          <w:spacing w:val="-2"/>
          <w:sz w:val="24"/>
          <w:szCs w:val="24"/>
        </w:rPr>
        <w:t>真做好项目实施过程及工程结束后的水土保持的防御措施，做好有关水土保持的资料的</w:t>
      </w:r>
    </w:p>
    <w:p>
      <w:pPr>
        <w:spacing w:line="219" w:lineRule="auto"/>
        <w:ind w:left="4"/>
        <w:rPr>
          <w:rFonts w:ascii="宋体" w:hAnsi="宋体" w:eastAsia="宋体" w:cs="宋体"/>
          <w:sz w:val="24"/>
          <w:szCs w:val="24"/>
        </w:rPr>
      </w:pPr>
      <w:r>
        <w:rPr>
          <w:rFonts w:ascii="宋体" w:hAnsi="宋体" w:eastAsia="宋体" w:cs="宋体"/>
          <w:sz w:val="24"/>
          <w:szCs w:val="24"/>
        </w:rPr>
        <w:t>记录。各类废弃物统一收集处理，施工临时弃渣堆放</w:t>
      </w:r>
      <w:r>
        <w:rPr>
          <w:rFonts w:ascii="宋体" w:hAnsi="宋体" w:eastAsia="宋体" w:cs="宋体"/>
          <w:spacing w:val="-1"/>
          <w:sz w:val="24"/>
          <w:szCs w:val="24"/>
        </w:rPr>
        <w:t>应做好水土保持措施。</w:t>
      </w:r>
    </w:p>
    <w:p>
      <w:pPr>
        <w:spacing w:before="179" w:line="360" w:lineRule="auto"/>
        <w:ind w:left="2" w:right="278" w:firstLine="483"/>
        <w:rPr>
          <w:rFonts w:ascii="宋体" w:hAnsi="宋体" w:eastAsia="宋体" w:cs="宋体"/>
          <w:sz w:val="24"/>
          <w:szCs w:val="24"/>
        </w:rPr>
      </w:pPr>
      <w:r>
        <w:rPr>
          <w:rFonts w:ascii="宋体" w:hAnsi="宋体" w:eastAsia="宋体" w:cs="宋体"/>
          <w:spacing w:val="1"/>
          <w:sz w:val="24"/>
          <w:szCs w:val="24"/>
        </w:rPr>
        <w:t>9.4.13 承包人依法取得砍伐许可后方可按照砍伐许可的面积、株数、树种进行砍</w:t>
      </w:r>
      <w:r>
        <w:rPr>
          <w:rFonts w:ascii="宋体" w:hAnsi="宋体" w:eastAsia="宋体" w:cs="宋体"/>
          <w:spacing w:val="16"/>
          <w:sz w:val="24"/>
          <w:szCs w:val="24"/>
        </w:rPr>
        <w:t xml:space="preserve"> </w:t>
      </w:r>
      <w:r>
        <w:rPr>
          <w:rFonts w:ascii="宋体" w:hAnsi="宋体" w:eastAsia="宋体" w:cs="宋体"/>
          <w:spacing w:val="-2"/>
          <w:sz w:val="24"/>
          <w:szCs w:val="24"/>
        </w:rPr>
        <w:t>伐，并注意保护野生动植物；施工结束后，对施工期占用的施工便道、料场、拌和场及</w:t>
      </w:r>
      <w:r>
        <w:rPr>
          <w:rFonts w:ascii="宋体" w:hAnsi="宋体" w:eastAsia="宋体" w:cs="宋体"/>
          <w:spacing w:val="15"/>
          <w:sz w:val="24"/>
          <w:szCs w:val="24"/>
        </w:rPr>
        <w:t xml:space="preserve"> </w:t>
      </w:r>
      <w:r>
        <w:rPr>
          <w:rFonts w:ascii="宋体" w:hAnsi="宋体" w:eastAsia="宋体" w:cs="宋体"/>
          <w:spacing w:val="-2"/>
          <w:sz w:val="24"/>
          <w:szCs w:val="24"/>
        </w:rPr>
        <w:t>施工场地等临时用地，按“破坏一处，恢复一处</w:t>
      </w:r>
      <w:r>
        <w:rPr>
          <w:rFonts w:ascii="宋体" w:hAnsi="宋体" w:eastAsia="宋体" w:cs="宋体"/>
          <w:spacing w:val="-88"/>
          <w:sz w:val="24"/>
          <w:szCs w:val="24"/>
        </w:rPr>
        <w:t xml:space="preserve"> </w:t>
      </w:r>
      <w:r>
        <w:rPr>
          <w:rFonts w:ascii="宋体" w:hAnsi="宋体" w:eastAsia="宋体" w:cs="宋体"/>
          <w:spacing w:val="-2"/>
          <w:sz w:val="24"/>
          <w:szCs w:val="24"/>
        </w:rPr>
        <w:t>”的原则，进行全面恢复。施</w:t>
      </w:r>
      <w:r>
        <w:rPr>
          <w:rFonts w:ascii="宋体" w:hAnsi="宋体" w:eastAsia="宋体" w:cs="宋体"/>
          <w:spacing w:val="-3"/>
          <w:sz w:val="24"/>
          <w:szCs w:val="24"/>
        </w:rPr>
        <w:t>工便道、</w:t>
      </w:r>
      <w:r>
        <w:rPr>
          <w:rFonts w:ascii="宋体" w:hAnsi="宋体" w:eastAsia="宋体" w:cs="宋体"/>
          <w:sz w:val="24"/>
          <w:szCs w:val="24"/>
        </w:rPr>
        <w:t xml:space="preserve"> </w:t>
      </w:r>
      <w:r>
        <w:rPr>
          <w:rFonts w:ascii="宋体" w:hAnsi="宋体" w:eastAsia="宋体" w:cs="宋体"/>
          <w:spacing w:val="-2"/>
          <w:sz w:val="24"/>
          <w:szCs w:val="24"/>
        </w:rPr>
        <w:t>各种料场、预制场等的临时占地应充分利用荒地、废弃地、低覆盖草地和裸地，不应占</w:t>
      </w:r>
    </w:p>
    <w:p>
      <w:pPr>
        <w:spacing w:line="218" w:lineRule="auto"/>
        <w:ind w:left="6"/>
        <w:rPr>
          <w:rFonts w:ascii="宋体" w:hAnsi="宋体" w:eastAsia="宋体" w:cs="宋体"/>
          <w:sz w:val="24"/>
          <w:szCs w:val="24"/>
        </w:rPr>
      </w:pPr>
      <w:r>
        <w:rPr>
          <w:rFonts w:ascii="宋体" w:hAnsi="宋体" w:eastAsia="宋体" w:cs="宋体"/>
          <w:spacing w:val="-1"/>
          <w:sz w:val="24"/>
          <w:szCs w:val="24"/>
        </w:rPr>
        <w:t>压高覆盖草地、林地、基本农田，并采取有效措施防止污染。</w:t>
      </w:r>
    </w:p>
    <w:p>
      <w:pPr>
        <w:spacing w:before="182" w:line="359" w:lineRule="auto"/>
        <w:ind w:left="5" w:right="211" w:firstLine="480"/>
        <w:rPr>
          <w:rFonts w:ascii="宋体" w:hAnsi="宋体" w:eastAsia="宋体" w:cs="宋体"/>
          <w:sz w:val="24"/>
          <w:szCs w:val="24"/>
        </w:rPr>
      </w:pPr>
      <w:r>
        <w:rPr>
          <w:rFonts w:ascii="宋体" w:hAnsi="宋体" w:eastAsia="宋体" w:cs="宋体"/>
          <w:spacing w:val="1"/>
          <w:sz w:val="24"/>
          <w:szCs w:val="24"/>
        </w:rPr>
        <w:t>9.4.14 承包人必须采取有效预防措施，防止雨水对施工场所占有的土地、临时用</w:t>
      </w:r>
      <w:r>
        <w:rPr>
          <w:rFonts w:ascii="宋体" w:hAnsi="宋体" w:eastAsia="宋体" w:cs="宋体"/>
          <w:spacing w:val="16"/>
          <w:sz w:val="24"/>
          <w:szCs w:val="24"/>
        </w:rPr>
        <w:t xml:space="preserve"> </w:t>
      </w:r>
      <w:r>
        <w:rPr>
          <w:rFonts w:ascii="宋体" w:hAnsi="宋体" w:eastAsia="宋体" w:cs="宋体"/>
          <w:sz w:val="24"/>
          <w:szCs w:val="24"/>
        </w:rPr>
        <w:t>地、路基土石方、取弃土场等冲刷而造成对河流、水道、灌溉渠、排水系统产生淤积、</w:t>
      </w:r>
      <w:r>
        <w:rPr>
          <w:rFonts w:ascii="宋体" w:hAnsi="宋体" w:eastAsia="宋体" w:cs="宋体"/>
          <w:spacing w:val="15"/>
          <w:sz w:val="24"/>
          <w:szCs w:val="24"/>
        </w:rPr>
        <w:t xml:space="preserve"> </w:t>
      </w:r>
      <w:r>
        <w:rPr>
          <w:rFonts w:ascii="宋体" w:hAnsi="宋体" w:eastAsia="宋体" w:cs="宋体"/>
          <w:spacing w:val="-2"/>
          <w:sz w:val="24"/>
          <w:szCs w:val="24"/>
        </w:rPr>
        <w:t>堵塞，对农田造成污染、淹没。同时也应采取措施防止在施工过程中因材料运</w:t>
      </w:r>
      <w:r>
        <w:rPr>
          <w:rFonts w:ascii="宋体" w:hAnsi="宋体" w:eastAsia="宋体" w:cs="宋体"/>
          <w:spacing w:val="-3"/>
          <w:sz w:val="24"/>
          <w:szCs w:val="24"/>
        </w:rPr>
        <w:t xml:space="preserve">输、混合 </w:t>
      </w:r>
      <w:r>
        <w:rPr>
          <w:rFonts w:ascii="宋体" w:hAnsi="宋体" w:eastAsia="宋体" w:cs="宋体"/>
          <w:spacing w:val="-6"/>
          <w:sz w:val="24"/>
          <w:szCs w:val="24"/>
        </w:rPr>
        <w:t>料拌和、现场施工而对项目沿线的建筑、既有道路、农田、林地、河流、水道、灌溉渠、</w:t>
      </w:r>
    </w:p>
    <w:p>
      <w:pPr>
        <w:spacing w:before="1" w:line="218" w:lineRule="auto"/>
        <w:ind w:left="5"/>
        <w:rPr>
          <w:rFonts w:ascii="宋体" w:hAnsi="宋体" w:eastAsia="宋体" w:cs="宋体"/>
          <w:sz w:val="24"/>
          <w:szCs w:val="24"/>
        </w:rPr>
      </w:pPr>
      <w:r>
        <w:rPr>
          <w:rFonts w:ascii="宋体" w:hAnsi="宋体" w:eastAsia="宋体" w:cs="宋体"/>
          <w:spacing w:val="-2"/>
          <w:sz w:val="24"/>
          <w:szCs w:val="24"/>
        </w:rPr>
        <w:t>排水系统等产生破坏，从而造成索赔、施工停工或工程质量隐患。如承包人未采取有效</w:t>
      </w:r>
    </w:p>
    <w:p>
      <w:pPr>
        <w:spacing w:line="425" w:lineRule="auto"/>
        <w:rPr>
          <w:rFonts w:ascii="Arial"/>
          <w:sz w:val="21"/>
        </w:rPr>
      </w:pPr>
    </w:p>
    <w:p>
      <w:pPr>
        <w:spacing w:before="78" w:line="219" w:lineRule="auto"/>
        <w:ind w:left="5"/>
        <w:rPr>
          <w:rFonts w:ascii="宋体" w:hAnsi="宋体" w:eastAsia="宋体" w:cs="宋体"/>
          <w:sz w:val="24"/>
          <w:szCs w:val="24"/>
        </w:rPr>
      </w:pPr>
      <w:r>
        <w:rPr>
          <w:rFonts w:ascii="宋体" w:hAnsi="宋体" w:eastAsia="宋体" w:cs="宋体"/>
          <w:spacing w:val="-1"/>
          <w:sz w:val="24"/>
          <w:szCs w:val="24"/>
        </w:rPr>
        <w:t>措施，由此产生的一切损失由承包人自行负责。</w:t>
      </w:r>
    </w:p>
    <w:p>
      <w:pPr>
        <w:spacing w:before="181" w:line="359" w:lineRule="auto"/>
        <w:ind w:left="5" w:right="291" w:firstLine="485"/>
        <w:rPr>
          <w:rFonts w:ascii="宋体" w:hAnsi="宋体" w:eastAsia="宋体" w:cs="宋体"/>
          <w:sz w:val="24"/>
          <w:szCs w:val="24"/>
        </w:rPr>
      </w:pPr>
      <w:r>
        <w:rPr>
          <w:rFonts w:ascii="宋体" w:hAnsi="宋体" w:eastAsia="宋体" w:cs="宋体"/>
          <w:spacing w:val="1"/>
          <w:sz w:val="24"/>
          <w:szCs w:val="24"/>
        </w:rPr>
        <w:t>9.4.15 除合同有另外规定外，以上工作均视为承包人已经在合同报价中计入其影</w:t>
      </w:r>
      <w:r>
        <w:rPr>
          <w:rFonts w:ascii="宋体" w:hAnsi="宋体" w:eastAsia="宋体" w:cs="宋体"/>
          <w:spacing w:val="11"/>
          <w:sz w:val="24"/>
          <w:szCs w:val="24"/>
        </w:rPr>
        <w:t xml:space="preserve"> </w:t>
      </w:r>
      <w:r>
        <w:rPr>
          <w:rFonts w:ascii="宋体" w:hAnsi="宋体" w:eastAsia="宋体" w:cs="宋体"/>
          <w:spacing w:val="-2"/>
          <w:sz w:val="24"/>
          <w:szCs w:val="24"/>
        </w:rPr>
        <w:t>响而可能发生的一切费用，对承包人采取的一切措施，发包人和监理人有权监督，如果</w:t>
      </w:r>
      <w:r>
        <w:rPr>
          <w:rFonts w:ascii="宋体" w:hAnsi="宋体" w:eastAsia="宋体" w:cs="宋体"/>
          <w:spacing w:val="12"/>
          <w:sz w:val="24"/>
          <w:szCs w:val="24"/>
        </w:rPr>
        <w:t xml:space="preserve"> </w:t>
      </w:r>
      <w:r>
        <w:rPr>
          <w:rFonts w:ascii="宋体" w:hAnsi="宋体" w:eastAsia="宋体" w:cs="宋体"/>
          <w:spacing w:val="-2"/>
          <w:sz w:val="24"/>
          <w:szCs w:val="24"/>
        </w:rPr>
        <w:t>承包人未能对上述事项采取各种必要的措施而导致或发生与此有关的违约金、索赔、损</w:t>
      </w:r>
    </w:p>
    <w:p>
      <w:pPr>
        <w:spacing w:line="219" w:lineRule="auto"/>
        <w:ind w:left="11"/>
        <w:rPr>
          <w:rFonts w:ascii="宋体" w:hAnsi="宋体" w:eastAsia="宋体" w:cs="宋体"/>
          <w:sz w:val="24"/>
          <w:szCs w:val="24"/>
        </w:rPr>
      </w:pPr>
      <w:r>
        <w:rPr>
          <w:rFonts w:ascii="宋体" w:hAnsi="宋体" w:eastAsia="宋体" w:cs="宋体"/>
          <w:spacing w:val="-1"/>
          <w:sz w:val="24"/>
          <w:szCs w:val="24"/>
        </w:rPr>
        <w:t>失赔偿、诉讼费用以及其他一切责任均由承包人负责。</w:t>
      </w:r>
    </w:p>
    <w:p>
      <w:pPr>
        <w:spacing w:before="180" w:line="468" w:lineRule="exact"/>
        <w:ind w:left="491"/>
        <w:rPr>
          <w:rFonts w:ascii="宋体" w:hAnsi="宋体" w:eastAsia="宋体" w:cs="宋体"/>
          <w:sz w:val="24"/>
          <w:szCs w:val="24"/>
        </w:rPr>
      </w:pPr>
      <w:r>
        <w:rPr>
          <w:rFonts w:ascii="宋体" w:hAnsi="宋体" w:eastAsia="宋体" w:cs="宋体"/>
          <w:spacing w:val="-4"/>
          <w:position w:val="17"/>
          <w:sz w:val="24"/>
          <w:szCs w:val="24"/>
        </w:rPr>
        <w:t>9.4.16</w:t>
      </w:r>
      <w:r>
        <w:rPr>
          <w:rFonts w:ascii="宋体" w:hAnsi="宋体" w:eastAsia="宋体" w:cs="宋体"/>
          <w:spacing w:val="-33"/>
          <w:position w:val="17"/>
          <w:sz w:val="24"/>
          <w:szCs w:val="24"/>
        </w:rPr>
        <w:t xml:space="preserve"> </w:t>
      </w:r>
      <w:r>
        <w:rPr>
          <w:rFonts w:ascii="宋体" w:hAnsi="宋体" w:eastAsia="宋体" w:cs="宋体"/>
          <w:spacing w:val="-4"/>
          <w:position w:val="17"/>
          <w:sz w:val="24"/>
          <w:szCs w:val="24"/>
        </w:rPr>
        <w:t>承包人应严格执行《广东省公路工程施工标准化指南》关于环境保护的相关</w:t>
      </w:r>
    </w:p>
    <w:p>
      <w:pPr>
        <w:spacing w:before="1" w:line="220" w:lineRule="auto"/>
        <w:ind w:left="6"/>
        <w:rPr>
          <w:rFonts w:ascii="宋体" w:hAnsi="宋体" w:eastAsia="宋体" w:cs="宋体"/>
          <w:sz w:val="24"/>
          <w:szCs w:val="24"/>
        </w:rPr>
      </w:pPr>
      <w:r>
        <w:rPr>
          <w:rFonts w:ascii="宋体" w:hAnsi="宋体" w:eastAsia="宋体" w:cs="宋体"/>
          <w:spacing w:val="-4"/>
          <w:sz w:val="24"/>
          <w:szCs w:val="24"/>
        </w:rPr>
        <w:t>要求。</w:t>
      </w:r>
    </w:p>
    <w:p>
      <w:pPr>
        <w:spacing w:before="179" w:line="218" w:lineRule="auto"/>
        <w:ind w:left="486"/>
        <w:rPr>
          <w:rFonts w:ascii="宋体" w:hAnsi="宋体" w:eastAsia="宋体" w:cs="宋体"/>
          <w:sz w:val="24"/>
          <w:szCs w:val="24"/>
        </w:rPr>
      </w:pPr>
      <w:r>
        <w:rPr>
          <w:rFonts w:ascii="宋体" w:hAnsi="宋体" w:eastAsia="宋体" w:cs="宋体"/>
          <w:spacing w:val="-1"/>
          <w:sz w:val="24"/>
          <w:szCs w:val="24"/>
        </w:rPr>
        <w:t>9.4.17 文明环保施工价款</w:t>
      </w:r>
    </w:p>
    <w:p>
      <w:pPr>
        <w:spacing w:before="184" w:line="359" w:lineRule="auto"/>
        <w:ind w:left="6" w:right="291" w:firstLine="486"/>
        <w:rPr>
          <w:rFonts w:ascii="宋体" w:hAnsi="宋体" w:eastAsia="宋体" w:cs="宋体"/>
          <w:sz w:val="24"/>
          <w:szCs w:val="24"/>
        </w:rPr>
      </w:pPr>
      <w:r>
        <w:rPr>
          <w:rFonts w:ascii="宋体" w:hAnsi="宋体" w:eastAsia="宋体" w:cs="宋体"/>
          <w:spacing w:val="-2"/>
          <w:sz w:val="24"/>
          <w:szCs w:val="24"/>
        </w:rPr>
        <w:t>为督促承包人在施工过程中，做到文明施工，加强环境保护、水土保持等工作，本</w:t>
      </w:r>
      <w:r>
        <w:rPr>
          <w:rFonts w:ascii="宋体" w:hAnsi="宋体" w:eastAsia="宋体" w:cs="宋体"/>
          <w:spacing w:val="1"/>
          <w:sz w:val="24"/>
          <w:szCs w:val="24"/>
        </w:rPr>
        <w:t xml:space="preserve"> </w:t>
      </w:r>
      <w:r>
        <w:rPr>
          <w:rFonts w:ascii="宋体" w:hAnsi="宋体" w:eastAsia="宋体" w:cs="宋体"/>
          <w:spacing w:val="-3"/>
          <w:sz w:val="24"/>
          <w:szCs w:val="24"/>
        </w:rPr>
        <w:t>合同设立文明、环保施工价款。该金额按技术规范</w:t>
      </w:r>
      <w:r>
        <w:rPr>
          <w:rFonts w:ascii="宋体" w:hAnsi="宋体" w:eastAsia="宋体" w:cs="宋体"/>
          <w:spacing w:val="-25"/>
          <w:sz w:val="24"/>
          <w:szCs w:val="24"/>
        </w:rPr>
        <w:t xml:space="preserve"> </w:t>
      </w:r>
      <w:r>
        <w:rPr>
          <w:rFonts w:ascii="宋体" w:hAnsi="宋体" w:eastAsia="宋体" w:cs="宋体"/>
          <w:spacing w:val="-3"/>
          <w:sz w:val="24"/>
          <w:szCs w:val="24"/>
        </w:rPr>
        <w:t>100</w:t>
      </w:r>
      <w:r>
        <w:rPr>
          <w:rFonts w:ascii="宋体" w:hAnsi="宋体" w:eastAsia="宋体" w:cs="宋体"/>
          <w:spacing w:val="-43"/>
          <w:sz w:val="24"/>
          <w:szCs w:val="24"/>
        </w:rPr>
        <w:t xml:space="preserve"> </w:t>
      </w:r>
      <w:r>
        <w:rPr>
          <w:rFonts w:ascii="宋体" w:hAnsi="宋体" w:eastAsia="宋体" w:cs="宋体"/>
          <w:spacing w:val="-3"/>
          <w:sz w:val="24"/>
          <w:szCs w:val="24"/>
        </w:rPr>
        <w:t>章规定的方式在工程量清单中单</w:t>
      </w:r>
      <w:r>
        <w:rPr>
          <w:rFonts w:ascii="宋体" w:hAnsi="宋体" w:eastAsia="宋体" w:cs="宋体"/>
          <w:sz w:val="24"/>
          <w:szCs w:val="24"/>
        </w:rPr>
        <w:t xml:space="preserve"> </w:t>
      </w:r>
      <w:r>
        <w:rPr>
          <w:rFonts w:ascii="宋体" w:hAnsi="宋体" w:eastAsia="宋体" w:cs="宋体"/>
          <w:spacing w:val="-2"/>
          <w:sz w:val="24"/>
          <w:szCs w:val="24"/>
        </w:rPr>
        <w:t>列。承包人获得支付的额度取决于其施工环保情况及相关检查评比中的名次。有关评比</w:t>
      </w:r>
    </w:p>
    <w:p>
      <w:pPr>
        <w:spacing w:line="219" w:lineRule="auto"/>
        <w:ind w:left="6"/>
        <w:rPr>
          <w:rFonts w:ascii="宋体" w:hAnsi="宋体" w:eastAsia="宋体" w:cs="宋体"/>
          <w:sz w:val="24"/>
          <w:szCs w:val="24"/>
        </w:rPr>
      </w:pPr>
      <w:r>
        <w:rPr>
          <w:rFonts w:ascii="宋体" w:hAnsi="宋体" w:eastAsia="宋体" w:cs="宋体"/>
          <w:spacing w:val="-1"/>
          <w:sz w:val="24"/>
          <w:szCs w:val="24"/>
        </w:rPr>
        <w:t>方案发包人将在承包人进场后予以制定。</w:t>
      </w:r>
    </w:p>
    <w:p>
      <w:pPr>
        <w:spacing w:before="183" w:line="220" w:lineRule="auto"/>
        <w:ind w:left="503"/>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10.</w:t>
      </w:r>
      <w:r>
        <w:rPr>
          <w:rFonts w:ascii="宋体" w:hAnsi="宋体" w:eastAsia="宋体" w:cs="宋体"/>
          <w:spacing w:val="-3"/>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进度计划</w:t>
      </w:r>
    </w:p>
    <w:p>
      <w:pPr>
        <w:spacing w:before="182" w:line="220" w:lineRule="auto"/>
        <w:ind w:left="503"/>
        <w:rPr>
          <w:rFonts w:ascii="宋体" w:hAnsi="宋体" w:eastAsia="宋体" w:cs="宋体"/>
          <w:sz w:val="24"/>
          <w:szCs w:val="24"/>
        </w:rPr>
      </w:pPr>
      <w:r>
        <w:rPr>
          <w:rFonts w:ascii="宋体" w:hAnsi="宋体" w:eastAsia="宋体" w:cs="宋体"/>
          <w:spacing w:val="-3"/>
          <w:sz w:val="24"/>
          <w:szCs w:val="24"/>
        </w:rPr>
        <w:t>10.1 合同进度计划</w:t>
      </w:r>
    </w:p>
    <w:p>
      <w:pPr>
        <w:spacing w:before="179" w:line="359" w:lineRule="auto"/>
        <w:ind w:left="5" w:right="291" w:firstLine="480"/>
        <w:rPr>
          <w:rFonts w:ascii="宋体" w:hAnsi="宋体" w:eastAsia="宋体" w:cs="宋体"/>
          <w:sz w:val="24"/>
          <w:szCs w:val="24"/>
        </w:rPr>
      </w:pPr>
      <w:r>
        <w:rPr>
          <w:rFonts w:ascii="宋体" w:hAnsi="宋体" w:eastAsia="宋体" w:cs="宋体"/>
          <w:spacing w:val="-2"/>
          <w:sz w:val="24"/>
          <w:szCs w:val="24"/>
        </w:rPr>
        <w:t>承包人编制施工方案说明的内容包括：按照关键线路网络图和主要工作横道图两种</w:t>
      </w:r>
      <w:r>
        <w:rPr>
          <w:rFonts w:ascii="宋体" w:hAnsi="宋体" w:eastAsia="宋体" w:cs="宋体"/>
          <w:spacing w:val="8"/>
          <w:sz w:val="24"/>
          <w:szCs w:val="24"/>
        </w:rPr>
        <w:t xml:space="preserve"> </w:t>
      </w:r>
      <w:r>
        <w:rPr>
          <w:rFonts w:ascii="宋体" w:hAnsi="宋体" w:eastAsia="宋体" w:cs="宋体"/>
          <w:spacing w:val="-2"/>
          <w:sz w:val="24"/>
          <w:szCs w:val="24"/>
        </w:rPr>
        <w:t>形式分别编绘合同进度计划，列出各主要工程项目的计划开工、完工时间，并应包括每</w:t>
      </w:r>
      <w:r>
        <w:rPr>
          <w:rFonts w:ascii="宋体" w:hAnsi="宋体" w:eastAsia="宋体" w:cs="宋体"/>
          <w:spacing w:val="12"/>
          <w:sz w:val="24"/>
          <w:szCs w:val="24"/>
        </w:rPr>
        <w:t xml:space="preserve"> </w:t>
      </w:r>
      <w:r>
        <w:rPr>
          <w:rFonts w:ascii="宋体" w:hAnsi="宋体" w:eastAsia="宋体" w:cs="宋体"/>
          <w:spacing w:val="-2"/>
          <w:sz w:val="24"/>
          <w:szCs w:val="24"/>
        </w:rPr>
        <w:t>个阶段预计完成的工作量和形象进度。计划中应包括工程的施工时间、方法和顺序，资</w:t>
      </w:r>
    </w:p>
    <w:p>
      <w:pPr>
        <w:spacing w:line="218" w:lineRule="auto"/>
        <w:ind w:left="4"/>
        <w:rPr>
          <w:rFonts w:ascii="宋体" w:hAnsi="宋体" w:eastAsia="宋体" w:cs="宋体"/>
          <w:sz w:val="24"/>
          <w:szCs w:val="24"/>
        </w:rPr>
      </w:pPr>
      <w:r>
        <w:rPr>
          <w:rFonts w:ascii="宋体" w:hAnsi="宋体" w:eastAsia="宋体" w:cs="宋体"/>
          <w:spacing w:val="-1"/>
          <w:sz w:val="24"/>
          <w:szCs w:val="24"/>
        </w:rPr>
        <w:t>源的安排，材料、设备及人员的获得和运输等。</w:t>
      </w:r>
    </w:p>
    <w:p>
      <w:pPr>
        <w:spacing w:before="184" w:line="468" w:lineRule="exact"/>
        <w:ind w:left="503"/>
        <w:rPr>
          <w:rFonts w:ascii="宋体" w:hAnsi="宋体" w:eastAsia="宋体" w:cs="宋体"/>
          <w:sz w:val="24"/>
          <w:szCs w:val="24"/>
        </w:rPr>
      </w:pPr>
      <w:r>
        <w:rPr>
          <w:rFonts w:ascii="宋体" w:hAnsi="宋体" w:eastAsia="宋体" w:cs="宋体"/>
          <w:spacing w:val="-3"/>
          <w:position w:val="17"/>
          <w:sz w:val="24"/>
          <w:szCs w:val="24"/>
        </w:rPr>
        <w:t>10.3 年度施工计划</w:t>
      </w:r>
    </w:p>
    <w:p>
      <w:pPr>
        <w:spacing w:before="1" w:line="218" w:lineRule="auto"/>
        <w:ind w:left="4"/>
        <w:rPr>
          <w:rFonts w:ascii="宋体" w:hAnsi="宋体" w:eastAsia="宋体" w:cs="宋体"/>
          <w:sz w:val="24"/>
          <w:szCs w:val="24"/>
        </w:rPr>
      </w:pPr>
      <w:r>
        <w:rPr>
          <w:rFonts w:ascii="宋体" w:hAnsi="宋体" w:eastAsia="宋体" w:cs="宋体"/>
          <w:spacing w:val="-1"/>
          <w:sz w:val="24"/>
          <w:szCs w:val="24"/>
        </w:rPr>
        <w:t>在本款末增加以下内容：</w:t>
      </w:r>
    </w:p>
    <w:p>
      <w:pPr>
        <w:spacing w:before="181" w:line="468" w:lineRule="exact"/>
        <w:ind w:left="484"/>
        <w:rPr>
          <w:rFonts w:ascii="宋体" w:hAnsi="宋体" w:eastAsia="宋体" w:cs="宋体"/>
          <w:sz w:val="24"/>
          <w:szCs w:val="24"/>
        </w:rPr>
      </w:pPr>
      <w:r>
        <w:rPr>
          <w:rFonts w:ascii="宋体" w:hAnsi="宋体" w:eastAsia="宋体" w:cs="宋体"/>
          <w:spacing w:val="12"/>
          <w:position w:val="17"/>
          <w:sz w:val="24"/>
          <w:szCs w:val="24"/>
        </w:rPr>
        <w:t>在年度施工计划的基础上，承包人应根据发包人及监理</w:t>
      </w:r>
      <w:r>
        <w:rPr>
          <w:rFonts w:ascii="宋体" w:hAnsi="宋体" w:eastAsia="宋体" w:cs="宋体"/>
          <w:spacing w:val="11"/>
          <w:position w:val="17"/>
          <w:sz w:val="24"/>
          <w:szCs w:val="24"/>
        </w:rPr>
        <w:t>人的具体安排编制和落</w:t>
      </w:r>
    </w:p>
    <w:p>
      <w:pPr>
        <w:spacing w:line="220" w:lineRule="auto"/>
        <w:ind w:left="11"/>
        <w:rPr>
          <w:rFonts w:ascii="宋体" w:hAnsi="宋体" w:eastAsia="宋体" w:cs="宋体"/>
          <w:sz w:val="24"/>
          <w:szCs w:val="24"/>
        </w:rPr>
      </w:pPr>
      <w:r>
        <w:rPr>
          <w:rFonts w:ascii="宋体" w:hAnsi="宋体" w:eastAsia="宋体" w:cs="宋体"/>
          <w:spacing w:val="14"/>
          <w:sz w:val="24"/>
          <w:szCs w:val="24"/>
        </w:rPr>
        <w:t>实其他阶段性施工计划。</w:t>
      </w:r>
    </w:p>
    <w:p>
      <w:pPr>
        <w:spacing w:before="179" w:line="219" w:lineRule="auto"/>
        <w:ind w:left="486"/>
        <w:rPr>
          <w:rFonts w:ascii="宋体" w:hAnsi="宋体" w:eastAsia="宋体" w:cs="宋体"/>
          <w:sz w:val="24"/>
          <w:szCs w:val="24"/>
        </w:rPr>
      </w:pPr>
      <w:r>
        <w:rPr>
          <w:rFonts w:ascii="宋体" w:hAnsi="宋体" w:eastAsia="宋体" w:cs="宋体"/>
          <w:spacing w:val="-5"/>
          <w:sz w:val="24"/>
          <w:szCs w:val="24"/>
        </w:rPr>
        <w:t>本条补充第</w:t>
      </w:r>
      <w:r>
        <w:rPr>
          <w:rFonts w:ascii="宋体" w:hAnsi="宋体" w:eastAsia="宋体" w:cs="宋体"/>
          <w:spacing w:val="-32"/>
          <w:sz w:val="24"/>
          <w:szCs w:val="24"/>
        </w:rPr>
        <w:t xml:space="preserve"> </w:t>
      </w:r>
      <w:r>
        <w:rPr>
          <w:rFonts w:ascii="宋体" w:hAnsi="宋体" w:eastAsia="宋体" w:cs="宋体"/>
          <w:spacing w:val="-5"/>
          <w:sz w:val="24"/>
          <w:szCs w:val="24"/>
        </w:rPr>
        <w:t>10.5</w:t>
      </w:r>
      <w:r>
        <w:rPr>
          <w:rFonts w:ascii="宋体" w:hAnsi="宋体" w:eastAsia="宋体" w:cs="宋体"/>
          <w:spacing w:val="-50"/>
          <w:sz w:val="24"/>
          <w:szCs w:val="24"/>
        </w:rPr>
        <w:t xml:space="preserve"> </w:t>
      </w:r>
      <w:r>
        <w:rPr>
          <w:rFonts w:ascii="宋体" w:hAnsi="宋体" w:eastAsia="宋体" w:cs="宋体"/>
          <w:spacing w:val="-5"/>
          <w:sz w:val="24"/>
          <w:szCs w:val="24"/>
        </w:rPr>
        <w:t>款、第</w:t>
      </w:r>
      <w:r>
        <w:rPr>
          <w:rFonts w:ascii="宋体" w:hAnsi="宋体" w:eastAsia="宋体" w:cs="宋体"/>
          <w:spacing w:val="-33"/>
          <w:sz w:val="24"/>
          <w:szCs w:val="24"/>
        </w:rPr>
        <w:t xml:space="preserve"> </w:t>
      </w:r>
      <w:r>
        <w:rPr>
          <w:rFonts w:ascii="宋体" w:hAnsi="宋体" w:eastAsia="宋体" w:cs="宋体"/>
          <w:spacing w:val="-5"/>
          <w:sz w:val="24"/>
          <w:szCs w:val="24"/>
        </w:rPr>
        <w:t>10.6</w:t>
      </w:r>
      <w:r>
        <w:rPr>
          <w:rFonts w:ascii="宋体" w:hAnsi="宋体" w:eastAsia="宋体" w:cs="宋体"/>
          <w:spacing w:val="-49"/>
          <w:sz w:val="24"/>
          <w:szCs w:val="24"/>
        </w:rPr>
        <w:t xml:space="preserve"> </w:t>
      </w:r>
      <w:r>
        <w:rPr>
          <w:rFonts w:ascii="宋体" w:hAnsi="宋体" w:eastAsia="宋体" w:cs="宋体"/>
          <w:spacing w:val="-5"/>
          <w:sz w:val="24"/>
          <w:szCs w:val="24"/>
        </w:rPr>
        <w:t>款、第</w:t>
      </w:r>
      <w:r>
        <w:rPr>
          <w:rFonts w:ascii="宋体" w:hAnsi="宋体" w:eastAsia="宋体" w:cs="宋体"/>
          <w:spacing w:val="-33"/>
          <w:sz w:val="24"/>
          <w:szCs w:val="24"/>
        </w:rPr>
        <w:t xml:space="preserve"> </w:t>
      </w:r>
      <w:r>
        <w:rPr>
          <w:rFonts w:ascii="宋体" w:hAnsi="宋体" w:eastAsia="宋体" w:cs="宋体"/>
          <w:spacing w:val="-5"/>
          <w:sz w:val="24"/>
          <w:szCs w:val="24"/>
        </w:rPr>
        <w:t>10.7</w:t>
      </w:r>
      <w:r>
        <w:rPr>
          <w:rFonts w:ascii="宋体" w:hAnsi="宋体" w:eastAsia="宋体" w:cs="宋体"/>
          <w:spacing w:val="-50"/>
          <w:sz w:val="24"/>
          <w:szCs w:val="24"/>
        </w:rPr>
        <w:t xml:space="preserve"> </w:t>
      </w:r>
      <w:r>
        <w:rPr>
          <w:rFonts w:ascii="宋体" w:hAnsi="宋体" w:eastAsia="宋体" w:cs="宋体"/>
          <w:spacing w:val="-5"/>
          <w:sz w:val="24"/>
          <w:szCs w:val="24"/>
        </w:rPr>
        <w:t>款：</w:t>
      </w:r>
    </w:p>
    <w:p>
      <w:pPr>
        <w:spacing w:before="184" w:line="220" w:lineRule="auto"/>
        <w:ind w:left="503"/>
        <w:rPr>
          <w:rFonts w:ascii="宋体" w:hAnsi="宋体" w:eastAsia="宋体" w:cs="宋体"/>
          <w:sz w:val="24"/>
          <w:szCs w:val="24"/>
        </w:rPr>
      </w:pPr>
      <w:r>
        <w:rPr>
          <w:rFonts w:ascii="宋体" w:hAnsi="宋体" w:eastAsia="宋体" w:cs="宋体"/>
          <w:spacing w:val="-4"/>
          <w:sz w:val="24"/>
          <w:szCs w:val="24"/>
        </w:rPr>
        <w:t>10.5</w:t>
      </w:r>
      <w:r>
        <w:rPr>
          <w:rFonts w:ascii="宋体" w:hAnsi="宋体" w:eastAsia="宋体" w:cs="宋体"/>
          <w:spacing w:val="-48"/>
          <w:sz w:val="24"/>
          <w:szCs w:val="24"/>
        </w:rPr>
        <w:t xml:space="preserve"> </w:t>
      </w:r>
      <w:r>
        <w:rPr>
          <w:rFonts w:ascii="宋体" w:hAnsi="宋体" w:eastAsia="宋体" w:cs="宋体"/>
          <w:spacing w:val="-4"/>
          <w:sz w:val="24"/>
          <w:szCs w:val="24"/>
        </w:rPr>
        <w:t>工程进度记录</w:t>
      </w:r>
    </w:p>
    <w:p>
      <w:pPr>
        <w:spacing w:before="182" w:line="466" w:lineRule="exact"/>
        <w:ind w:left="509"/>
        <w:rPr>
          <w:rFonts w:ascii="宋体" w:hAnsi="宋体" w:eastAsia="宋体" w:cs="宋体"/>
          <w:sz w:val="24"/>
          <w:szCs w:val="24"/>
        </w:rPr>
      </w:pPr>
      <w:r>
        <w:rPr>
          <w:rFonts w:ascii="宋体" w:hAnsi="宋体" w:eastAsia="宋体" w:cs="宋体"/>
          <w:spacing w:val="-2"/>
          <w:position w:val="17"/>
          <w:sz w:val="24"/>
          <w:szCs w:val="24"/>
        </w:rPr>
        <w:t>承包人应保持每日、每月和其他定期的工程进</w:t>
      </w:r>
      <w:r>
        <w:rPr>
          <w:rFonts w:ascii="宋体" w:hAnsi="宋体" w:eastAsia="宋体" w:cs="宋体"/>
          <w:spacing w:val="-3"/>
          <w:position w:val="17"/>
          <w:sz w:val="24"/>
          <w:szCs w:val="24"/>
        </w:rPr>
        <w:t>度记录和报告，这些记录和报告包括</w:t>
      </w:r>
    </w:p>
    <w:p>
      <w:pPr>
        <w:spacing w:line="220" w:lineRule="auto"/>
        <w:ind w:left="12"/>
        <w:rPr>
          <w:rFonts w:ascii="宋体" w:hAnsi="宋体" w:eastAsia="宋体" w:cs="宋体"/>
          <w:sz w:val="24"/>
          <w:szCs w:val="24"/>
        </w:rPr>
      </w:pPr>
      <w:r>
        <w:rPr>
          <w:rFonts w:ascii="宋体" w:hAnsi="宋体" w:eastAsia="宋体" w:cs="宋体"/>
          <w:spacing w:val="-3"/>
          <w:sz w:val="24"/>
          <w:szCs w:val="24"/>
        </w:rPr>
        <w:t>下列有关资料：</w:t>
      </w:r>
    </w:p>
    <w:p>
      <w:pPr>
        <w:spacing w:before="179" w:line="468" w:lineRule="exact"/>
        <w:ind w:left="551"/>
        <w:rPr>
          <w:rFonts w:ascii="宋体" w:hAnsi="宋体" w:eastAsia="宋体" w:cs="宋体"/>
          <w:sz w:val="24"/>
          <w:szCs w:val="24"/>
        </w:rPr>
      </w:pPr>
      <w:r>
        <w:rPr>
          <w:rFonts w:ascii="宋体" w:hAnsi="宋体" w:eastAsia="宋体" w:cs="宋体"/>
          <w:spacing w:val="-7"/>
          <w:position w:val="17"/>
          <w:sz w:val="24"/>
          <w:szCs w:val="24"/>
        </w:rPr>
        <w:t>(a)气象条件；</w:t>
      </w:r>
    </w:p>
    <w:p>
      <w:pPr>
        <w:spacing w:before="1" w:line="221" w:lineRule="auto"/>
        <w:ind w:left="546"/>
        <w:rPr>
          <w:rFonts w:ascii="宋体" w:hAnsi="宋体" w:eastAsia="宋体" w:cs="宋体"/>
          <w:sz w:val="24"/>
          <w:szCs w:val="24"/>
        </w:rPr>
      </w:pPr>
      <w:r>
        <w:rPr>
          <w:rFonts w:ascii="宋体" w:hAnsi="宋体" w:eastAsia="宋体" w:cs="宋体"/>
          <w:spacing w:val="-7"/>
          <w:sz w:val="24"/>
          <w:szCs w:val="24"/>
        </w:rPr>
        <w:t>(b)施工记录；</w:t>
      </w:r>
    </w:p>
    <w:p>
      <w:pPr>
        <w:spacing w:before="178" w:line="468" w:lineRule="exact"/>
        <w:ind w:left="546"/>
        <w:rPr>
          <w:rFonts w:ascii="宋体" w:hAnsi="宋体" w:eastAsia="宋体" w:cs="宋体"/>
          <w:sz w:val="24"/>
          <w:szCs w:val="24"/>
        </w:rPr>
      </w:pPr>
      <w:r>
        <w:rPr>
          <w:rFonts w:ascii="宋体" w:hAnsi="宋体" w:eastAsia="宋体" w:cs="宋体"/>
          <w:spacing w:val="-4"/>
          <w:position w:val="17"/>
          <w:sz w:val="24"/>
          <w:szCs w:val="24"/>
        </w:rPr>
        <w:t>(c)施工设施和设备状况；</w:t>
      </w:r>
    </w:p>
    <w:p>
      <w:pPr>
        <w:spacing w:line="219" w:lineRule="auto"/>
        <w:ind w:left="546"/>
        <w:rPr>
          <w:rFonts w:ascii="宋体" w:hAnsi="宋体" w:eastAsia="宋体" w:cs="宋体"/>
          <w:sz w:val="24"/>
          <w:szCs w:val="24"/>
        </w:rPr>
      </w:pPr>
      <w:r>
        <w:rPr>
          <w:rFonts w:ascii="宋体" w:hAnsi="宋体" w:eastAsia="宋体" w:cs="宋体"/>
          <w:spacing w:val="-5"/>
          <w:sz w:val="24"/>
          <w:szCs w:val="24"/>
        </w:rPr>
        <w:t>(d)承包人人员统计；</w:t>
      </w:r>
    </w:p>
    <w:p>
      <w:pPr>
        <w:spacing w:line="425" w:lineRule="auto"/>
        <w:rPr>
          <w:rFonts w:ascii="Arial"/>
          <w:sz w:val="21"/>
        </w:rPr>
      </w:pPr>
    </w:p>
    <w:p>
      <w:pPr>
        <w:spacing w:before="78" w:line="466" w:lineRule="exact"/>
        <w:ind w:left="563"/>
        <w:rPr>
          <w:rFonts w:ascii="宋体" w:hAnsi="宋体" w:eastAsia="宋体" w:cs="宋体"/>
          <w:sz w:val="24"/>
          <w:szCs w:val="24"/>
        </w:rPr>
      </w:pPr>
      <w:r>
        <w:rPr>
          <w:rFonts w:ascii="宋体" w:hAnsi="宋体" w:eastAsia="宋体" w:cs="宋体"/>
          <w:spacing w:val="-2"/>
          <w:position w:val="17"/>
          <w:sz w:val="24"/>
          <w:szCs w:val="24"/>
        </w:rPr>
        <w:t>(e)现场材料，材料搬移记录、交货期、发票及有关资料；</w:t>
      </w:r>
    </w:p>
    <w:p>
      <w:pPr>
        <w:spacing w:line="219" w:lineRule="auto"/>
        <w:ind w:left="563"/>
        <w:rPr>
          <w:rFonts w:ascii="宋体" w:hAnsi="宋体" w:eastAsia="宋体" w:cs="宋体"/>
          <w:sz w:val="24"/>
          <w:szCs w:val="24"/>
        </w:rPr>
      </w:pPr>
      <w:r>
        <w:rPr>
          <w:rFonts w:ascii="宋体" w:hAnsi="宋体" w:eastAsia="宋体" w:cs="宋体"/>
          <w:spacing w:val="-4"/>
          <w:sz w:val="24"/>
          <w:szCs w:val="24"/>
        </w:rPr>
        <w:t>(f)环境保护、水土保持实施记录；</w:t>
      </w:r>
    </w:p>
    <w:p>
      <w:pPr>
        <w:spacing w:before="182" w:line="214" w:lineRule="auto"/>
        <w:ind w:left="563"/>
        <w:rPr>
          <w:rFonts w:ascii="宋体" w:hAnsi="宋体" w:eastAsia="宋体" w:cs="宋体"/>
          <w:sz w:val="24"/>
          <w:szCs w:val="24"/>
        </w:rPr>
      </w:pPr>
      <w:r>
        <w:rPr>
          <w:rFonts w:ascii="宋体" w:hAnsi="宋体" w:eastAsia="宋体" w:cs="宋体"/>
          <w:spacing w:val="-5"/>
          <w:sz w:val="24"/>
          <w:szCs w:val="24"/>
        </w:rPr>
        <w:t>(g)安全生产实施记录；</w:t>
      </w:r>
    </w:p>
    <w:p>
      <w:pPr>
        <w:spacing w:before="188" w:line="220" w:lineRule="auto"/>
        <w:ind w:left="527"/>
        <w:rPr>
          <w:rFonts w:ascii="宋体" w:hAnsi="宋体" w:eastAsia="宋体" w:cs="宋体"/>
          <w:sz w:val="24"/>
          <w:szCs w:val="24"/>
        </w:rPr>
      </w:pPr>
      <w:r>
        <w:rPr>
          <w:rFonts w:ascii="宋体" w:hAnsi="宋体" w:eastAsia="宋体" w:cs="宋体"/>
          <w:spacing w:val="-3"/>
          <w:sz w:val="24"/>
          <w:szCs w:val="24"/>
        </w:rPr>
        <w:t>(h)所有在施工过程中发生的其他事项。</w:t>
      </w:r>
    </w:p>
    <w:p>
      <w:pPr>
        <w:spacing w:before="182" w:line="220" w:lineRule="auto"/>
        <w:ind w:left="503"/>
        <w:rPr>
          <w:rFonts w:ascii="宋体" w:hAnsi="宋体" w:eastAsia="宋体" w:cs="宋体"/>
          <w:sz w:val="24"/>
          <w:szCs w:val="24"/>
        </w:rPr>
      </w:pPr>
      <w:r>
        <w:rPr>
          <w:rFonts w:ascii="宋体" w:hAnsi="宋体" w:eastAsia="宋体" w:cs="宋体"/>
          <w:spacing w:val="-3"/>
          <w:sz w:val="24"/>
          <w:szCs w:val="24"/>
        </w:rPr>
        <w:t>10.6 工程的进度奖罚</w:t>
      </w:r>
    </w:p>
    <w:p>
      <w:pPr>
        <w:spacing w:before="181" w:line="359" w:lineRule="auto"/>
        <w:ind w:left="7" w:right="291" w:firstLine="480"/>
        <w:rPr>
          <w:rFonts w:ascii="宋体" w:hAnsi="宋体" w:eastAsia="宋体" w:cs="宋体"/>
          <w:sz w:val="24"/>
          <w:szCs w:val="24"/>
        </w:rPr>
      </w:pPr>
      <w:r>
        <w:rPr>
          <w:rFonts w:ascii="宋体" w:hAnsi="宋体" w:eastAsia="宋体" w:cs="宋体"/>
          <w:spacing w:val="-2"/>
          <w:sz w:val="24"/>
          <w:szCs w:val="24"/>
        </w:rPr>
        <w:t>为激励承包人加快工程进度，确保合同工期，本合同设立工程进度奖金，用于承包</w:t>
      </w:r>
      <w:r>
        <w:rPr>
          <w:rFonts w:ascii="宋体" w:hAnsi="宋体" w:eastAsia="宋体" w:cs="宋体"/>
          <w:spacing w:val="5"/>
          <w:sz w:val="24"/>
          <w:szCs w:val="24"/>
        </w:rPr>
        <w:t xml:space="preserve"> </w:t>
      </w:r>
      <w:r>
        <w:rPr>
          <w:rFonts w:ascii="宋体" w:hAnsi="宋体" w:eastAsia="宋体" w:cs="宋体"/>
          <w:spacing w:val="-2"/>
          <w:sz w:val="24"/>
          <w:szCs w:val="24"/>
        </w:rPr>
        <w:t>人提前或确保进度的奖励。该金额由发包人统一掌握使用。承包人获得支付的额度取决</w:t>
      </w:r>
      <w:r>
        <w:rPr>
          <w:rFonts w:ascii="宋体" w:hAnsi="宋体" w:eastAsia="宋体" w:cs="宋体"/>
          <w:spacing w:val="10"/>
          <w:sz w:val="24"/>
          <w:szCs w:val="24"/>
        </w:rPr>
        <w:t xml:space="preserve"> </w:t>
      </w:r>
      <w:r>
        <w:rPr>
          <w:rFonts w:ascii="宋体" w:hAnsi="宋体" w:eastAsia="宋体" w:cs="宋体"/>
          <w:spacing w:val="-2"/>
          <w:sz w:val="24"/>
          <w:szCs w:val="24"/>
        </w:rPr>
        <w:t>于其完成进度的情况及在评比中的名次。有关评比方案发包人将在承包人进场后予以制</w:t>
      </w:r>
    </w:p>
    <w:p>
      <w:pPr>
        <w:spacing w:line="220" w:lineRule="auto"/>
        <w:ind w:left="11"/>
        <w:rPr>
          <w:rFonts w:ascii="宋体" w:hAnsi="宋体" w:eastAsia="宋体" w:cs="宋体"/>
          <w:sz w:val="24"/>
          <w:szCs w:val="24"/>
        </w:rPr>
      </w:pPr>
      <w:r>
        <w:rPr>
          <w:rFonts w:ascii="宋体" w:hAnsi="宋体" w:eastAsia="宋体" w:cs="宋体"/>
          <w:spacing w:val="-8"/>
          <w:sz w:val="24"/>
          <w:szCs w:val="24"/>
        </w:rPr>
        <w:t>定。</w:t>
      </w:r>
    </w:p>
    <w:p>
      <w:pPr>
        <w:spacing w:before="179" w:line="219" w:lineRule="auto"/>
        <w:ind w:left="503"/>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11.开工和竣工</w:t>
      </w:r>
    </w:p>
    <w:p>
      <w:pPr>
        <w:spacing w:before="182" w:line="466" w:lineRule="exact"/>
        <w:ind w:left="503"/>
        <w:rPr>
          <w:rFonts w:ascii="宋体" w:hAnsi="宋体" w:eastAsia="宋体" w:cs="宋体"/>
          <w:sz w:val="24"/>
          <w:szCs w:val="24"/>
        </w:rPr>
      </w:pPr>
      <w:r>
        <w:rPr>
          <w:rFonts w:ascii="宋体" w:hAnsi="宋体" w:eastAsia="宋体" w:cs="宋体"/>
          <w:spacing w:val="-4"/>
          <w:position w:val="17"/>
          <w:sz w:val="24"/>
          <w:szCs w:val="24"/>
        </w:rPr>
        <w:t>11.3</w:t>
      </w:r>
      <w:r>
        <w:rPr>
          <w:rFonts w:ascii="宋体" w:hAnsi="宋体" w:eastAsia="宋体" w:cs="宋体"/>
          <w:spacing w:val="-41"/>
          <w:position w:val="17"/>
          <w:sz w:val="24"/>
          <w:szCs w:val="24"/>
        </w:rPr>
        <w:t xml:space="preserve"> </w:t>
      </w:r>
      <w:r>
        <w:rPr>
          <w:rFonts w:ascii="宋体" w:hAnsi="宋体" w:eastAsia="宋体" w:cs="宋体"/>
          <w:spacing w:val="-4"/>
          <w:position w:val="17"/>
          <w:sz w:val="24"/>
          <w:szCs w:val="24"/>
        </w:rPr>
        <w:t>发包人的工期延误</w:t>
      </w:r>
    </w:p>
    <w:p>
      <w:pPr>
        <w:spacing w:before="1" w:line="218" w:lineRule="auto"/>
        <w:ind w:left="486"/>
        <w:rPr>
          <w:rFonts w:ascii="宋体" w:hAnsi="宋体" w:eastAsia="宋体" w:cs="宋体"/>
          <w:sz w:val="24"/>
          <w:szCs w:val="24"/>
        </w:rPr>
      </w:pPr>
      <w:r>
        <w:rPr>
          <w:rFonts w:ascii="宋体" w:hAnsi="宋体" w:eastAsia="宋体" w:cs="宋体"/>
          <w:spacing w:val="-2"/>
          <w:sz w:val="24"/>
          <w:szCs w:val="24"/>
        </w:rPr>
        <w:t>本款细化为：</w:t>
      </w:r>
    </w:p>
    <w:p>
      <w:pPr>
        <w:spacing w:before="184" w:line="359" w:lineRule="auto"/>
        <w:ind w:left="25" w:right="291" w:firstLine="459"/>
        <w:rPr>
          <w:rFonts w:ascii="宋体" w:hAnsi="宋体" w:eastAsia="宋体" w:cs="宋体"/>
          <w:sz w:val="24"/>
          <w:szCs w:val="24"/>
        </w:rPr>
      </w:pPr>
      <w:r>
        <w:rPr>
          <w:rFonts w:ascii="宋体" w:hAnsi="宋体" w:eastAsia="宋体" w:cs="宋体"/>
          <w:spacing w:val="-2"/>
          <w:sz w:val="24"/>
          <w:szCs w:val="24"/>
        </w:rPr>
        <w:t>在履行合同过程中，由于发包人的下列原因造成工期延误的，承包人在满足发包人</w:t>
      </w:r>
      <w:r>
        <w:rPr>
          <w:rFonts w:ascii="宋体" w:hAnsi="宋体" w:eastAsia="宋体" w:cs="宋体"/>
          <w:spacing w:val="9"/>
          <w:sz w:val="24"/>
          <w:szCs w:val="24"/>
        </w:rPr>
        <w:t xml:space="preserve"> </w:t>
      </w:r>
      <w:r>
        <w:rPr>
          <w:rFonts w:ascii="宋体" w:hAnsi="宋体" w:eastAsia="宋体" w:cs="宋体"/>
          <w:spacing w:val="-2"/>
          <w:sz w:val="24"/>
          <w:szCs w:val="24"/>
        </w:rPr>
        <w:t>的项目总体工期目标前提下，有权要求发包人顺延工期，需要修订合同</w:t>
      </w:r>
      <w:r>
        <w:rPr>
          <w:rFonts w:ascii="宋体" w:hAnsi="宋体" w:eastAsia="宋体" w:cs="宋体"/>
          <w:spacing w:val="-3"/>
          <w:sz w:val="24"/>
          <w:szCs w:val="24"/>
        </w:rPr>
        <w:t>进度计划的，按</w:t>
      </w:r>
    </w:p>
    <w:p>
      <w:pPr>
        <w:spacing w:line="219" w:lineRule="auto"/>
        <w:ind w:left="12"/>
        <w:rPr>
          <w:rFonts w:ascii="宋体" w:hAnsi="宋体" w:eastAsia="宋体" w:cs="宋体"/>
          <w:sz w:val="24"/>
          <w:szCs w:val="24"/>
        </w:rPr>
      </w:pPr>
      <w:r>
        <w:rPr>
          <w:rFonts w:ascii="宋体" w:hAnsi="宋体" w:eastAsia="宋体" w:cs="宋体"/>
          <w:spacing w:val="-5"/>
          <w:sz w:val="24"/>
          <w:szCs w:val="24"/>
        </w:rPr>
        <w:t>照第</w:t>
      </w:r>
      <w:r>
        <w:rPr>
          <w:rFonts w:ascii="宋体" w:hAnsi="宋体" w:eastAsia="宋体" w:cs="宋体"/>
          <w:spacing w:val="-24"/>
          <w:sz w:val="24"/>
          <w:szCs w:val="24"/>
        </w:rPr>
        <w:t xml:space="preserve"> </w:t>
      </w:r>
      <w:r>
        <w:rPr>
          <w:rFonts w:ascii="宋体" w:hAnsi="宋体" w:eastAsia="宋体" w:cs="宋体"/>
          <w:spacing w:val="-5"/>
          <w:sz w:val="24"/>
          <w:szCs w:val="24"/>
        </w:rPr>
        <w:t>10.2</w:t>
      </w:r>
      <w:r>
        <w:rPr>
          <w:rFonts w:ascii="宋体" w:hAnsi="宋体" w:eastAsia="宋体" w:cs="宋体"/>
          <w:spacing w:val="-49"/>
          <w:sz w:val="24"/>
          <w:szCs w:val="24"/>
        </w:rPr>
        <w:t xml:space="preserve"> </w:t>
      </w:r>
      <w:r>
        <w:rPr>
          <w:rFonts w:ascii="宋体" w:hAnsi="宋体" w:eastAsia="宋体" w:cs="宋体"/>
          <w:spacing w:val="-5"/>
          <w:sz w:val="24"/>
          <w:szCs w:val="24"/>
        </w:rPr>
        <w:t>款的约定办理。</w:t>
      </w:r>
    </w:p>
    <w:p>
      <w:pPr>
        <w:spacing w:before="183" w:line="219" w:lineRule="auto"/>
        <w:ind w:left="527"/>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55"/>
          <w:sz w:val="24"/>
          <w:szCs w:val="24"/>
        </w:rPr>
        <w:t xml:space="preserve"> </w:t>
      </w:r>
      <w:r>
        <w:rPr>
          <w:rFonts w:ascii="宋体" w:hAnsi="宋体" w:eastAsia="宋体" w:cs="宋体"/>
          <w:spacing w:val="-4"/>
          <w:sz w:val="24"/>
          <w:szCs w:val="24"/>
        </w:rPr>
        <w:t>由于征地拆迁的原因造成关键线路上的工程暂停施工；</w:t>
      </w:r>
    </w:p>
    <w:p>
      <w:pPr>
        <w:spacing w:before="181" w:line="219" w:lineRule="auto"/>
        <w:ind w:left="527"/>
        <w:rPr>
          <w:rFonts w:ascii="宋体" w:hAnsi="宋体" w:eastAsia="宋体" w:cs="宋体"/>
          <w:sz w:val="24"/>
          <w:szCs w:val="24"/>
        </w:rPr>
      </w:pPr>
      <w:r>
        <w:rPr>
          <w:rFonts w:ascii="宋体" w:hAnsi="宋体" w:eastAsia="宋体" w:cs="宋体"/>
          <w:spacing w:val="-3"/>
          <w:sz w:val="24"/>
          <w:szCs w:val="24"/>
        </w:rPr>
        <w:t>(2) 未按合同约定及时支付预付款、进度款；</w:t>
      </w:r>
    </w:p>
    <w:p>
      <w:pPr>
        <w:spacing w:before="181" w:line="468" w:lineRule="exact"/>
        <w:ind w:left="489"/>
        <w:rPr>
          <w:rFonts w:ascii="宋体" w:hAnsi="宋体" w:eastAsia="宋体" w:cs="宋体"/>
          <w:sz w:val="24"/>
          <w:szCs w:val="24"/>
        </w:rPr>
      </w:pPr>
      <w:r>
        <w:rPr>
          <w:rFonts w:ascii="宋体" w:hAnsi="宋体" w:eastAsia="宋体" w:cs="宋体"/>
          <w:spacing w:val="5"/>
          <w:position w:val="17"/>
          <w:sz w:val="24"/>
          <w:szCs w:val="24"/>
        </w:rPr>
        <w:t>如顺延合同工期在项目专用合同条款数据表的时间以内的，发包人将</w:t>
      </w:r>
      <w:r>
        <w:rPr>
          <w:rFonts w:ascii="宋体" w:hAnsi="宋体" w:eastAsia="宋体" w:cs="宋体"/>
          <w:spacing w:val="4"/>
          <w:position w:val="17"/>
          <w:sz w:val="24"/>
          <w:szCs w:val="24"/>
        </w:rPr>
        <w:t>不予增加费</w:t>
      </w:r>
    </w:p>
    <w:p>
      <w:pPr>
        <w:spacing w:before="1" w:line="220" w:lineRule="auto"/>
        <w:ind w:left="7"/>
        <w:rPr>
          <w:rFonts w:ascii="宋体" w:hAnsi="宋体" w:eastAsia="宋体" w:cs="宋体"/>
          <w:sz w:val="24"/>
          <w:szCs w:val="24"/>
        </w:rPr>
      </w:pPr>
      <w:r>
        <w:rPr>
          <w:rFonts w:ascii="宋体" w:hAnsi="宋体" w:eastAsia="宋体" w:cs="宋体"/>
          <w:spacing w:val="-6"/>
          <w:sz w:val="24"/>
          <w:szCs w:val="24"/>
        </w:rPr>
        <w:t>用；</w:t>
      </w:r>
    </w:p>
    <w:p>
      <w:pPr>
        <w:spacing w:before="181" w:line="465" w:lineRule="exact"/>
        <w:ind w:left="489"/>
        <w:rPr>
          <w:rFonts w:ascii="宋体" w:hAnsi="宋体" w:eastAsia="宋体" w:cs="宋体"/>
          <w:sz w:val="24"/>
          <w:szCs w:val="24"/>
        </w:rPr>
      </w:pPr>
      <w:r>
        <w:rPr>
          <w:rFonts w:ascii="宋体" w:hAnsi="宋体" w:eastAsia="宋体" w:cs="宋体"/>
          <w:spacing w:val="-2"/>
          <w:position w:val="17"/>
          <w:sz w:val="24"/>
          <w:szCs w:val="24"/>
        </w:rPr>
        <w:t>如顺延合同工期在项目专用合同条款数据表的时间以上的，发包人将按如下原则给</w:t>
      </w:r>
    </w:p>
    <w:p>
      <w:pPr>
        <w:spacing w:line="220" w:lineRule="auto"/>
        <w:ind w:left="12"/>
        <w:rPr>
          <w:rFonts w:ascii="宋体" w:hAnsi="宋体" w:eastAsia="宋体" w:cs="宋体"/>
          <w:sz w:val="24"/>
          <w:szCs w:val="24"/>
        </w:rPr>
      </w:pPr>
      <w:r>
        <w:rPr>
          <w:rFonts w:ascii="宋体" w:hAnsi="宋体" w:eastAsia="宋体" w:cs="宋体"/>
          <w:spacing w:val="-5"/>
          <w:sz w:val="24"/>
          <w:szCs w:val="24"/>
        </w:rPr>
        <w:t>予补偿：</w:t>
      </w:r>
    </w:p>
    <w:p>
      <w:pPr>
        <w:spacing w:before="182" w:line="220" w:lineRule="auto"/>
        <w:ind w:left="503"/>
        <w:rPr>
          <w:rFonts w:ascii="宋体" w:hAnsi="宋体" w:eastAsia="宋体" w:cs="宋体"/>
          <w:sz w:val="24"/>
          <w:szCs w:val="24"/>
        </w:rPr>
      </w:pPr>
      <w:r>
        <w:rPr>
          <w:rFonts w:ascii="宋体" w:hAnsi="宋体" w:eastAsia="宋体" w:cs="宋体"/>
          <w:spacing w:val="-3"/>
          <w:sz w:val="24"/>
          <w:szCs w:val="24"/>
        </w:rPr>
        <w:t>1） 驻地建设场地租金；</w:t>
      </w:r>
    </w:p>
    <w:p>
      <w:pPr>
        <w:spacing w:before="179" w:line="219" w:lineRule="auto"/>
        <w:ind w:left="488"/>
        <w:rPr>
          <w:rFonts w:ascii="宋体" w:hAnsi="宋体" w:eastAsia="宋体" w:cs="宋体"/>
          <w:sz w:val="24"/>
          <w:szCs w:val="24"/>
        </w:rPr>
      </w:pPr>
      <w:r>
        <w:rPr>
          <w:rFonts w:ascii="宋体" w:hAnsi="宋体" w:eastAsia="宋体" w:cs="宋体"/>
          <w:sz w:val="24"/>
          <w:szCs w:val="24"/>
        </w:rPr>
        <w:t>2）合同承诺投入且已进场的机械设备停置费</w:t>
      </w:r>
      <w:r>
        <w:rPr>
          <w:rFonts w:ascii="宋体" w:hAnsi="宋体" w:eastAsia="宋体" w:cs="宋体"/>
          <w:spacing w:val="-1"/>
          <w:sz w:val="24"/>
          <w:szCs w:val="24"/>
        </w:rPr>
        <w:t>，停置费按以下两种情况计算：</w:t>
      </w:r>
    </w:p>
    <w:p>
      <w:pPr>
        <w:spacing w:before="184" w:line="219" w:lineRule="auto"/>
        <w:ind w:left="486"/>
        <w:rPr>
          <w:rFonts w:ascii="宋体" w:hAnsi="宋体" w:eastAsia="宋体" w:cs="宋体"/>
          <w:sz w:val="24"/>
          <w:szCs w:val="24"/>
        </w:rPr>
      </w:pPr>
      <w:r>
        <w:rPr>
          <w:rFonts w:ascii="宋体" w:hAnsi="宋体" w:eastAsia="宋体" w:cs="宋体"/>
          <w:sz w:val="24"/>
          <w:szCs w:val="24"/>
        </w:rPr>
        <w:t>a.《公路工程机械台班费用定额》包含的机械设</w:t>
      </w:r>
      <w:r>
        <w:rPr>
          <w:rFonts w:ascii="宋体" w:hAnsi="宋体" w:eastAsia="宋体" w:cs="宋体"/>
          <w:spacing w:val="-1"/>
          <w:sz w:val="24"/>
          <w:szCs w:val="24"/>
        </w:rPr>
        <w:t>备停置费按如下公式计算：</w:t>
      </w:r>
    </w:p>
    <w:p>
      <w:pPr>
        <w:spacing w:before="184" w:line="465" w:lineRule="exact"/>
        <w:ind w:left="486"/>
        <w:rPr>
          <w:rFonts w:ascii="宋体" w:hAnsi="宋体" w:eastAsia="宋体" w:cs="宋体"/>
          <w:sz w:val="24"/>
          <w:szCs w:val="24"/>
        </w:rPr>
      </w:pPr>
      <w:r>
        <w:rPr>
          <w:rFonts w:ascii="宋体" w:hAnsi="宋体" w:eastAsia="宋体" w:cs="宋体"/>
          <w:spacing w:val="-2"/>
          <w:position w:val="17"/>
          <w:sz w:val="24"/>
          <w:szCs w:val="24"/>
        </w:rPr>
        <w:t>停置费=（折旧费+检修费+维护费）*50%+人工费+机上人员管理费+养路费及车船使</w:t>
      </w:r>
    </w:p>
    <w:p>
      <w:pPr>
        <w:spacing w:line="220" w:lineRule="auto"/>
        <w:ind w:left="7"/>
        <w:rPr>
          <w:rFonts w:ascii="宋体" w:hAnsi="宋体" w:eastAsia="宋体" w:cs="宋体"/>
          <w:sz w:val="24"/>
          <w:szCs w:val="24"/>
        </w:rPr>
      </w:pPr>
      <w:r>
        <w:rPr>
          <w:rFonts w:ascii="宋体" w:hAnsi="宋体" w:eastAsia="宋体" w:cs="宋体"/>
          <w:spacing w:val="-6"/>
          <w:sz w:val="24"/>
          <w:szCs w:val="24"/>
        </w:rPr>
        <w:t>用税</w:t>
      </w:r>
    </w:p>
    <w:p>
      <w:pPr>
        <w:spacing w:before="180" w:line="468" w:lineRule="exact"/>
        <w:ind w:left="486"/>
        <w:rPr>
          <w:rFonts w:ascii="宋体" w:hAnsi="宋体" w:eastAsia="宋体" w:cs="宋体"/>
          <w:sz w:val="24"/>
          <w:szCs w:val="24"/>
        </w:rPr>
      </w:pPr>
      <w:r>
        <w:rPr>
          <w:rFonts w:ascii="宋体" w:hAnsi="宋体" w:eastAsia="宋体" w:cs="宋体"/>
          <w:spacing w:val="-1"/>
          <w:position w:val="17"/>
          <w:sz w:val="24"/>
          <w:szCs w:val="24"/>
        </w:rPr>
        <w:t>其中：机上人员管理费按人工费的</w:t>
      </w:r>
      <w:r>
        <w:rPr>
          <w:rFonts w:ascii="宋体" w:hAnsi="宋体" w:eastAsia="宋体" w:cs="宋体"/>
          <w:spacing w:val="-30"/>
          <w:position w:val="17"/>
          <w:sz w:val="24"/>
          <w:szCs w:val="24"/>
        </w:rPr>
        <w:t xml:space="preserve"> </w:t>
      </w:r>
      <w:r>
        <w:rPr>
          <w:rFonts w:ascii="宋体" w:hAnsi="宋体" w:eastAsia="宋体" w:cs="宋体"/>
          <w:spacing w:val="-1"/>
          <w:position w:val="17"/>
          <w:sz w:val="24"/>
          <w:szCs w:val="24"/>
        </w:rPr>
        <w:t>10%计算；车船使用税按规定的广东省车船使用</w:t>
      </w:r>
    </w:p>
    <w:p>
      <w:pPr>
        <w:spacing w:line="219" w:lineRule="auto"/>
        <w:ind w:left="4"/>
        <w:rPr>
          <w:rFonts w:ascii="宋体" w:hAnsi="宋体" w:eastAsia="宋体" w:cs="宋体"/>
          <w:sz w:val="24"/>
          <w:szCs w:val="24"/>
        </w:rPr>
      </w:pPr>
      <w:r>
        <w:rPr>
          <w:rFonts w:ascii="宋体" w:hAnsi="宋体" w:eastAsia="宋体" w:cs="宋体"/>
          <w:spacing w:val="-2"/>
          <w:sz w:val="24"/>
          <w:szCs w:val="24"/>
        </w:rPr>
        <w:t>税标准计算。</w:t>
      </w:r>
    </w:p>
    <w:p>
      <w:pPr>
        <w:spacing w:before="180" w:line="219" w:lineRule="auto"/>
        <w:ind w:left="481"/>
        <w:rPr>
          <w:rFonts w:ascii="宋体" w:hAnsi="宋体" w:eastAsia="宋体" w:cs="宋体"/>
          <w:sz w:val="24"/>
          <w:szCs w:val="24"/>
        </w:rPr>
      </w:pPr>
      <w:r>
        <w:rPr>
          <w:rFonts w:ascii="宋体" w:hAnsi="宋体" w:eastAsia="宋体" w:cs="宋体"/>
          <w:sz w:val="24"/>
          <w:szCs w:val="24"/>
        </w:rPr>
        <w:t>b. 《公路工程机械台班费用定额》未包含的机械设备停置费按</w:t>
      </w:r>
      <w:r>
        <w:rPr>
          <w:rFonts w:ascii="宋体" w:hAnsi="宋体" w:eastAsia="宋体" w:cs="宋体"/>
          <w:spacing w:val="-1"/>
          <w:sz w:val="24"/>
          <w:szCs w:val="24"/>
        </w:rPr>
        <w:t>如下公式计算：</w:t>
      </w:r>
    </w:p>
    <w:p>
      <w:pPr>
        <w:spacing w:before="184" w:line="219" w:lineRule="auto"/>
        <w:ind w:left="487"/>
        <w:rPr>
          <w:rFonts w:ascii="宋体" w:hAnsi="宋体" w:eastAsia="宋体" w:cs="宋体"/>
          <w:sz w:val="24"/>
          <w:szCs w:val="24"/>
        </w:rPr>
      </w:pPr>
      <w:r>
        <w:rPr>
          <w:rFonts w:ascii="宋体" w:hAnsi="宋体" w:eastAsia="宋体" w:cs="宋体"/>
          <w:spacing w:val="-3"/>
          <w:sz w:val="24"/>
          <w:szCs w:val="24"/>
        </w:rPr>
        <w:t>按照年限平均法直线计提折旧，折旧年限为</w:t>
      </w:r>
      <w:r>
        <w:rPr>
          <w:rFonts w:ascii="宋体" w:hAnsi="宋体" w:eastAsia="宋体" w:cs="宋体"/>
          <w:spacing w:val="-14"/>
          <w:sz w:val="24"/>
          <w:szCs w:val="24"/>
        </w:rPr>
        <w:t xml:space="preserve"> </w:t>
      </w:r>
      <w:r>
        <w:rPr>
          <w:rFonts w:ascii="宋体" w:hAnsi="宋体" w:eastAsia="宋体" w:cs="宋体"/>
          <w:spacing w:val="-3"/>
          <w:sz w:val="24"/>
          <w:szCs w:val="24"/>
        </w:rPr>
        <w:t>10</w:t>
      </w:r>
      <w:r>
        <w:rPr>
          <w:rFonts w:ascii="宋体" w:hAnsi="宋体" w:eastAsia="宋体" w:cs="宋体"/>
          <w:spacing w:val="-50"/>
          <w:sz w:val="24"/>
          <w:szCs w:val="24"/>
        </w:rPr>
        <w:t xml:space="preserve"> </w:t>
      </w:r>
      <w:r>
        <w:rPr>
          <w:rFonts w:ascii="宋体" w:hAnsi="宋体" w:eastAsia="宋体" w:cs="宋体"/>
          <w:spacing w:val="-3"/>
          <w:sz w:val="24"/>
          <w:szCs w:val="24"/>
        </w:rPr>
        <w:t>年，年折旧额=固定资产原值×（1-</w:t>
      </w:r>
    </w:p>
    <w:p>
      <w:pPr>
        <w:spacing w:line="425" w:lineRule="auto"/>
        <w:rPr>
          <w:rFonts w:ascii="Arial"/>
          <w:sz w:val="21"/>
        </w:rPr>
      </w:pPr>
      <w:r>
        <mc:AlternateContent>
          <mc:Choice Requires="wps">
            <w:drawing>
              <wp:anchor distT="0" distB="0" distL="114300" distR="114300" simplePos="0" relativeHeight="251670528" behindDoc="0" locked="0" layoutInCell="0" allowOverlap="1">
                <wp:simplePos x="0" y="0"/>
                <wp:positionH relativeFrom="page">
                  <wp:posOffset>897255</wp:posOffset>
                </wp:positionH>
                <wp:positionV relativeFrom="page">
                  <wp:posOffset>9564370</wp:posOffset>
                </wp:positionV>
                <wp:extent cx="1833245" cy="4445"/>
                <wp:effectExtent l="0" t="0" r="0" b="0"/>
                <wp:wrapNone/>
                <wp:docPr id="89" name="任意多边形 89"/>
                <wp:cNvGraphicFramePr/>
                <a:graphic xmlns:a="http://schemas.openxmlformats.org/drawingml/2006/main">
                  <a:graphicData uri="http://schemas.microsoft.com/office/word/2010/wordprocessingShape">
                    <wps:wsp>
                      <wps:cNvSpPr/>
                      <wps:spPr>
                        <a:xfrm>
                          <a:off x="0" y="0"/>
                          <a:ext cx="1833245" cy="4445"/>
                        </a:xfrm>
                        <a:custGeom>
                          <a:avLst/>
                          <a:gdLst/>
                          <a:ahLst/>
                          <a:cxnLst/>
                          <a:pathLst>
                            <a:path w="2887" h="6">
                              <a:moveTo>
                                <a:pt x="3" y="3"/>
                              </a:moveTo>
                              <a:lnTo>
                                <a:pt x="2883" y="3"/>
                              </a:lnTo>
                            </a:path>
                          </a:pathLst>
                        </a:custGeom>
                        <a:noFill/>
                        <a:ln w="4318"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65pt;margin-top:753.1pt;height:0.35pt;width:144.35pt;mso-position-horizontal-relative:page;mso-position-vertical-relative:page;z-index:251670528;mso-width-relative:page;mso-height-relative:page;" filled="f" stroked="t" coordsize="2887,6" o:allowincell="f" o:gfxdata="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vPlnzYAAAADQEAAA8AAAAAAAAAAQAgAAAAIgAAAGRycy9k&#10;b3ducmV2LnhtbFBLAQIUABQAAAAIAIdO4kAJEjo0OwIAAJUEAAAOAAAAAAAAAAEAIAAAACcBAABk&#10;cnMvZTJvRG9jLnhtbFBLBQYAAAAABgAGAFkBAADUBQAAAAA=&#10;" path="m3,3l2883,3e">
                <v:fill on="f" focussize="0,0"/>
                <v:stroke weight="0.34pt" color="#000000" joinstyle="bevel" endcap="square"/>
                <v:imagedata o:title=""/>
                <o:lock v:ext="edit" aspectratio="f"/>
              </v:shape>
            </w:pict>
          </mc:Fallback>
        </mc:AlternateContent>
      </w:r>
    </w:p>
    <w:p>
      <w:pPr>
        <w:spacing w:before="78" w:line="466" w:lineRule="exact"/>
        <w:ind w:left="11"/>
        <w:rPr>
          <w:rFonts w:ascii="宋体" w:hAnsi="宋体" w:eastAsia="宋体" w:cs="宋体"/>
          <w:sz w:val="24"/>
          <w:szCs w:val="24"/>
        </w:rPr>
      </w:pPr>
      <w:r>
        <w:rPr>
          <w:rFonts w:ascii="宋体" w:hAnsi="宋体" w:eastAsia="宋体" w:cs="宋体"/>
          <w:spacing w:val="-1"/>
          <w:position w:val="17"/>
          <w:sz w:val="24"/>
          <w:szCs w:val="24"/>
        </w:rPr>
        <w:t>残值率）/折旧年限，残值率为</w:t>
      </w:r>
      <w:r>
        <w:rPr>
          <w:rFonts w:ascii="宋体" w:hAnsi="宋体" w:eastAsia="宋体" w:cs="宋体"/>
          <w:spacing w:val="-50"/>
          <w:position w:val="17"/>
          <w:sz w:val="24"/>
          <w:szCs w:val="24"/>
        </w:rPr>
        <w:t xml:space="preserve"> </w:t>
      </w:r>
      <w:r>
        <w:rPr>
          <w:rFonts w:ascii="宋体" w:hAnsi="宋体" w:eastAsia="宋体" w:cs="宋体"/>
          <w:spacing w:val="-1"/>
          <w:position w:val="17"/>
          <w:sz w:val="24"/>
          <w:szCs w:val="24"/>
        </w:rPr>
        <w:t>4%；月折旧额=年折旧额/12，末月的天数≥16</w:t>
      </w:r>
      <w:r>
        <w:rPr>
          <w:rFonts w:ascii="宋体" w:hAnsi="宋体" w:eastAsia="宋体" w:cs="宋体"/>
          <w:spacing w:val="-39"/>
          <w:position w:val="17"/>
          <w:sz w:val="24"/>
          <w:szCs w:val="24"/>
        </w:rPr>
        <w:t xml:space="preserve"> </w:t>
      </w:r>
      <w:r>
        <w:rPr>
          <w:rFonts w:ascii="宋体" w:hAnsi="宋体" w:eastAsia="宋体" w:cs="宋体"/>
          <w:spacing w:val="-1"/>
          <w:position w:val="17"/>
          <w:sz w:val="24"/>
          <w:szCs w:val="24"/>
        </w:rPr>
        <w:t>时，按</w:t>
      </w:r>
      <w:r>
        <w:rPr>
          <w:rFonts w:ascii="宋体" w:hAnsi="宋体" w:eastAsia="宋体" w:cs="宋体"/>
          <w:spacing w:val="-33"/>
          <w:position w:val="17"/>
          <w:sz w:val="24"/>
          <w:szCs w:val="24"/>
        </w:rPr>
        <w:t xml:space="preserve"> </w:t>
      </w:r>
      <w:r>
        <w:rPr>
          <w:rFonts w:ascii="宋体" w:hAnsi="宋体" w:eastAsia="宋体" w:cs="宋体"/>
          <w:spacing w:val="-1"/>
          <w:position w:val="17"/>
          <w:sz w:val="24"/>
          <w:szCs w:val="24"/>
        </w:rPr>
        <w:t>1</w:t>
      </w:r>
    </w:p>
    <w:p>
      <w:pPr>
        <w:spacing w:line="219" w:lineRule="auto"/>
        <w:ind w:left="11"/>
        <w:rPr>
          <w:rFonts w:ascii="宋体" w:hAnsi="宋体" w:eastAsia="宋体" w:cs="宋体"/>
          <w:sz w:val="24"/>
          <w:szCs w:val="24"/>
        </w:rPr>
      </w:pPr>
      <w:r>
        <w:rPr>
          <w:rFonts w:ascii="宋体" w:hAnsi="宋体" w:eastAsia="宋体" w:cs="宋体"/>
          <w:spacing w:val="-1"/>
          <w:sz w:val="24"/>
          <w:szCs w:val="24"/>
        </w:rPr>
        <w:t>个月计算，否则末月不计。</w:t>
      </w:r>
    </w:p>
    <w:p>
      <w:pPr>
        <w:spacing w:before="181" w:line="359" w:lineRule="auto"/>
        <w:ind w:left="11" w:right="291" w:firstLine="484"/>
        <w:jc w:val="both"/>
        <w:rPr>
          <w:rFonts w:ascii="宋体" w:hAnsi="宋体" w:eastAsia="宋体" w:cs="宋体"/>
          <w:sz w:val="24"/>
          <w:szCs w:val="24"/>
        </w:rPr>
      </w:pPr>
      <w:r>
        <w:rPr>
          <w:rFonts w:ascii="宋体" w:hAnsi="宋体" w:eastAsia="宋体" w:cs="宋体"/>
          <w:spacing w:val="1"/>
          <w:sz w:val="24"/>
          <w:szCs w:val="24"/>
        </w:rPr>
        <w:t>3）已进场的主要管理人员的工资费用。补偿的人员数量不得超过合同承诺投入的</w:t>
      </w:r>
      <w:r>
        <w:rPr>
          <w:rFonts w:ascii="宋体" w:hAnsi="宋体" w:eastAsia="宋体" w:cs="宋体"/>
          <w:spacing w:val="15"/>
          <w:sz w:val="24"/>
          <w:szCs w:val="24"/>
        </w:rPr>
        <w:t xml:space="preserve"> </w:t>
      </w:r>
      <w:r>
        <w:rPr>
          <w:rFonts w:ascii="宋体" w:hAnsi="宋体" w:eastAsia="宋体" w:cs="宋体"/>
          <w:spacing w:val="-2"/>
          <w:sz w:val="24"/>
          <w:szCs w:val="24"/>
        </w:rPr>
        <w:t>相应数量；补偿单价以统计局公布的项目所在地上一年度平均月收入为基数，具有高级</w:t>
      </w:r>
      <w:r>
        <w:rPr>
          <w:rFonts w:ascii="宋体" w:hAnsi="宋体" w:eastAsia="宋体" w:cs="宋体"/>
          <w:spacing w:val="12"/>
          <w:sz w:val="24"/>
          <w:szCs w:val="24"/>
        </w:rPr>
        <w:t xml:space="preserve"> </w:t>
      </w:r>
      <w:r>
        <w:rPr>
          <w:rFonts w:ascii="宋体" w:hAnsi="宋体" w:eastAsia="宋体" w:cs="宋体"/>
          <w:spacing w:val="-3"/>
          <w:sz w:val="24"/>
          <w:szCs w:val="24"/>
        </w:rPr>
        <w:t>职称的人员工资按</w:t>
      </w:r>
      <w:r>
        <w:rPr>
          <w:rFonts w:ascii="宋体" w:hAnsi="宋体" w:eastAsia="宋体" w:cs="宋体"/>
          <w:spacing w:val="-41"/>
          <w:sz w:val="24"/>
          <w:szCs w:val="24"/>
        </w:rPr>
        <w:t xml:space="preserve"> </w:t>
      </w:r>
      <w:r>
        <w:rPr>
          <w:rFonts w:ascii="宋体" w:hAnsi="宋体" w:eastAsia="宋体" w:cs="宋体"/>
          <w:spacing w:val="-3"/>
          <w:sz w:val="24"/>
          <w:szCs w:val="24"/>
        </w:rPr>
        <w:t>3</w:t>
      </w:r>
      <w:r>
        <w:rPr>
          <w:rFonts w:ascii="宋体" w:hAnsi="宋体" w:eastAsia="宋体" w:cs="宋体"/>
          <w:spacing w:val="-50"/>
          <w:sz w:val="24"/>
          <w:szCs w:val="24"/>
        </w:rPr>
        <w:t xml:space="preserve"> </w:t>
      </w:r>
      <w:r>
        <w:rPr>
          <w:rFonts w:ascii="宋体" w:hAnsi="宋体" w:eastAsia="宋体" w:cs="宋体"/>
          <w:spacing w:val="-3"/>
          <w:sz w:val="24"/>
          <w:szCs w:val="24"/>
        </w:rPr>
        <w:t>倍计算，具有中级职称的人员工资按</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51"/>
          <w:sz w:val="24"/>
          <w:szCs w:val="24"/>
        </w:rPr>
        <w:t xml:space="preserve"> </w:t>
      </w:r>
      <w:r>
        <w:rPr>
          <w:rFonts w:ascii="宋体" w:hAnsi="宋体" w:eastAsia="宋体" w:cs="宋体"/>
          <w:spacing w:val="-3"/>
          <w:sz w:val="24"/>
          <w:szCs w:val="24"/>
        </w:rPr>
        <w:t>倍计算，其他管理人员工资</w:t>
      </w:r>
    </w:p>
    <w:p>
      <w:pPr>
        <w:spacing w:line="219" w:lineRule="auto"/>
        <w:ind w:left="13"/>
        <w:rPr>
          <w:rFonts w:ascii="宋体" w:hAnsi="宋体" w:eastAsia="宋体" w:cs="宋体"/>
          <w:sz w:val="24"/>
          <w:szCs w:val="24"/>
        </w:rPr>
      </w:pPr>
      <w:r>
        <w:rPr>
          <w:rFonts w:ascii="宋体" w:hAnsi="宋体" w:eastAsia="宋体" w:cs="宋体"/>
          <w:spacing w:val="-8"/>
          <w:sz w:val="24"/>
          <w:szCs w:val="24"/>
        </w:rPr>
        <w:t>按</w:t>
      </w:r>
      <w:r>
        <w:rPr>
          <w:rFonts w:ascii="宋体" w:hAnsi="宋体" w:eastAsia="宋体" w:cs="宋体"/>
          <w:spacing w:val="-33"/>
          <w:sz w:val="24"/>
          <w:szCs w:val="24"/>
        </w:rPr>
        <w:t xml:space="preserve"> </w:t>
      </w:r>
      <w:r>
        <w:rPr>
          <w:rFonts w:ascii="宋体" w:hAnsi="宋体" w:eastAsia="宋体" w:cs="宋体"/>
          <w:spacing w:val="-8"/>
          <w:sz w:val="24"/>
          <w:szCs w:val="24"/>
        </w:rPr>
        <w:t>1</w:t>
      </w:r>
      <w:r>
        <w:rPr>
          <w:rFonts w:ascii="宋体" w:hAnsi="宋体" w:eastAsia="宋体" w:cs="宋体"/>
          <w:spacing w:val="-51"/>
          <w:sz w:val="24"/>
          <w:szCs w:val="24"/>
        </w:rPr>
        <w:t xml:space="preserve"> </w:t>
      </w:r>
      <w:r>
        <w:rPr>
          <w:rFonts w:ascii="宋体" w:hAnsi="宋体" w:eastAsia="宋体" w:cs="宋体"/>
          <w:spacing w:val="-8"/>
          <w:sz w:val="24"/>
          <w:szCs w:val="24"/>
        </w:rPr>
        <w:t>倍计算；</w:t>
      </w:r>
    </w:p>
    <w:p>
      <w:pPr>
        <w:spacing w:before="146" w:line="386" w:lineRule="auto"/>
        <w:ind w:left="490"/>
        <w:rPr>
          <w:rFonts w:ascii="宋体" w:hAnsi="宋体" w:eastAsia="宋体" w:cs="宋体"/>
          <w:sz w:val="24"/>
          <w:szCs w:val="24"/>
        </w:rPr>
      </w:pPr>
      <w:r>
        <w:rPr>
          <w:rFonts w:ascii="宋体" w:hAnsi="宋体" w:eastAsia="宋体" w:cs="宋体"/>
          <w:spacing w:val="-1"/>
          <w:sz w:val="24"/>
          <w:szCs w:val="24"/>
        </w:rPr>
        <w:t>4) 仅对超出</w:t>
      </w:r>
      <w:r>
        <w:rPr>
          <w:rFonts w:hint="eastAsia" w:ascii="宋体" w:hAnsi="宋体" w:eastAsia="宋体" w:cs="宋体"/>
          <w:spacing w:val="-1"/>
          <w:sz w:val="24"/>
          <w:szCs w:val="24"/>
          <w:u w:val="single" w:color="auto"/>
          <w:lang w:val="en-US" w:eastAsia="zh-CN"/>
        </w:rPr>
        <w:t>6</w:t>
      </w:r>
      <w:r>
        <w:fldChar w:fldCharType="begin"/>
      </w:r>
      <w:r>
        <w:instrText xml:space="preserve"> HYPERLINK \l "bookmark158" </w:instrText>
      </w:r>
      <w:r>
        <w:fldChar w:fldCharType="separate"/>
      </w:r>
      <w:r>
        <w:rPr>
          <w:rFonts w:ascii="宋体" w:hAnsi="宋体" w:eastAsia="宋体" w:cs="宋体"/>
          <w:spacing w:val="-1"/>
          <w:position w:val="12"/>
          <w:sz w:val="12"/>
          <w:szCs w:val="12"/>
        </w:rPr>
        <w:t>①</w:t>
      </w:r>
      <w:r>
        <w:rPr>
          <w:rFonts w:ascii="宋体" w:hAnsi="宋体" w:eastAsia="宋体" w:cs="宋体"/>
          <w:spacing w:val="-1"/>
          <w:position w:val="12"/>
          <w:sz w:val="12"/>
          <w:szCs w:val="12"/>
        </w:rPr>
        <w:fldChar w:fldCharType="end"/>
      </w:r>
      <w:r>
        <w:rPr>
          <w:rFonts w:ascii="宋体" w:hAnsi="宋体" w:eastAsia="宋体" w:cs="宋体"/>
          <w:spacing w:val="-1"/>
          <w:sz w:val="24"/>
          <w:szCs w:val="24"/>
        </w:rPr>
        <w:t>个月以上部分进行补偿；</w:t>
      </w:r>
    </w:p>
    <w:p>
      <w:pPr>
        <w:spacing w:line="468" w:lineRule="exact"/>
        <w:ind w:left="496"/>
        <w:rPr>
          <w:rFonts w:ascii="宋体" w:hAnsi="宋体" w:eastAsia="宋体" w:cs="宋体"/>
          <w:sz w:val="24"/>
          <w:szCs w:val="24"/>
        </w:rPr>
      </w:pPr>
      <w:r>
        <w:rPr>
          <w:rFonts w:ascii="宋体" w:hAnsi="宋体" w:eastAsia="宋体" w:cs="宋体"/>
          <w:position w:val="17"/>
          <w:sz w:val="24"/>
          <w:szCs w:val="24"/>
        </w:rPr>
        <w:t>5）除上述规定的补偿项目之外，其余由于</w:t>
      </w:r>
      <w:r>
        <w:rPr>
          <w:rFonts w:ascii="宋体" w:hAnsi="宋体" w:eastAsia="宋体" w:cs="宋体"/>
          <w:spacing w:val="-1"/>
          <w:position w:val="17"/>
          <w:sz w:val="24"/>
          <w:szCs w:val="24"/>
        </w:rPr>
        <w:t>工期顺延增加的费用由承包人承担。</w:t>
      </w:r>
    </w:p>
    <w:p>
      <w:pPr>
        <w:spacing w:line="219" w:lineRule="auto"/>
        <w:ind w:left="299"/>
        <w:rPr>
          <w:rFonts w:ascii="宋体" w:hAnsi="宋体" w:eastAsia="宋体" w:cs="宋体"/>
          <w:sz w:val="24"/>
          <w:szCs w:val="24"/>
        </w:rPr>
      </w:pPr>
      <w:r>
        <w:rPr>
          <w:rFonts w:ascii="宋体" w:hAnsi="宋体" w:eastAsia="宋体" w:cs="宋体"/>
          <w:spacing w:val="-1"/>
          <w:sz w:val="24"/>
          <w:szCs w:val="24"/>
        </w:rPr>
        <w:t>（3）由于重大设计方案调整造成关键线路上的工程暂停施工；</w:t>
      </w:r>
    </w:p>
    <w:p>
      <w:pPr>
        <w:spacing w:before="180" w:line="219" w:lineRule="auto"/>
        <w:ind w:left="299"/>
        <w:rPr>
          <w:rFonts w:ascii="宋体" w:hAnsi="宋体" w:eastAsia="宋体" w:cs="宋体"/>
          <w:sz w:val="24"/>
          <w:szCs w:val="24"/>
        </w:rPr>
      </w:pPr>
      <w:r>
        <w:rPr>
          <w:rFonts w:ascii="宋体" w:hAnsi="宋体" w:eastAsia="宋体" w:cs="宋体"/>
          <w:spacing w:val="-2"/>
          <w:sz w:val="24"/>
          <w:szCs w:val="24"/>
        </w:rPr>
        <w:t>（4）甲供材料断供或供应不及时。</w:t>
      </w:r>
    </w:p>
    <w:p>
      <w:pPr>
        <w:spacing w:before="185" w:line="219" w:lineRule="auto"/>
        <w:ind w:left="509"/>
        <w:rPr>
          <w:rFonts w:ascii="宋体" w:hAnsi="宋体" w:eastAsia="宋体" w:cs="宋体"/>
          <w:sz w:val="24"/>
          <w:szCs w:val="24"/>
        </w:rPr>
      </w:pPr>
      <w:r>
        <w:rPr>
          <w:rFonts w:ascii="宋体" w:hAnsi="宋体" w:eastAsia="宋体" w:cs="宋体"/>
          <w:spacing w:val="-4"/>
          <w:sz w:val="24"/>
          <w:szCs w:val="24"/>
        </w:rPr>
        <w:t>11.4</w:t>
      </w:r>
      <w:r>
        <w:rPr>
          <w:rFonts w:ascii="宋体" w:hAnsi="宋体" w:eastAsia="宋体" w:cs="宋体"/>
          <w:spacing w:val="-37"/>
          <w:sz w:val="24"/>
          <w:szCs w:val="24"/>
        </w:rPr>
        <w:t xml:space="preserve"> </w:t>
      </w:r>
      <w:r>
        <w:rPr>
          <w:rFonts w:ascii="宋体" w:hAnsi="宋体" w:eastAsia="宋体" w:cs="宋体"/>
          <w:spacing w:val="-4"/>
          <w:sz w:val="24"/>
          <w:szCs w:val="24"/>
        </w:rPr>
        <w:t>异常恶劣的气候条件</w:t>
      </w:r>
    </w:p>
    <w:p>
      <w:pPr>
        <w:spacing w:before="180" w:line="468" w:lineRule="exact"/>
        <w:ind w:left="494"/>
        <w:rPr>
          <w:rFonts w:ascii="宋体" w:hAnsi="宋体" w:eastAsia="宋体" w:cs="宋体"/>
          <w:sz w:val="24"/>
          <w:szCs w:val="24"/>
        </w:rPr>
      </w:pPr>
      <w:r>
        <w:rPr>
          <w:rFonts w:ascii="宋体" w:hAnsi="宋体" w:eastAsia="宋体" w:cs="宋体"/>
          <w:spacing w:val="-2"/>
          <w:position w:val="17"/>
          <w:sz w:val="24"/>
          <w:szCs w:val="24"/>
        </w:rPr>
        <w:t>异常恶劣的气候条件是指十级以上强风暴、龙卷风或五十年一遇以上洪水造成重大</w:t>
      </w:r>
    </w:p>
    <w:p>
      <w:pPr>
        <w:spacing w:before="1" w:line="219" w:lineRule="auto"/>
        <w:ind w:left="10"/>
        <w:rPr>
          <w:rFonts w:ascii="宋体" w:hAnsi="宋体" w:eastAsia="宋体" w:cs="宋体"/>
          <w:sz w:val="24"/>
          <w:szCs w:val="24"/>
        </w:rPr>
      </w:pPr>
      <w:r>
        <w:rPr>
          <w:rFonts w:ascii="宋体" w:hAnsi="宋体" w:eastAsia="宋体" w:cs="宋体"/>
          <w:spacing w:val="-3"/>
          <w:sz w:val="24"/>
          <w:szCs w:val="24"/>
        </w:rPr>
        <w:t>破坏等情况无法施工持续</w:t>
      </w:r>
      <w:r>
        <w:rPr>
          <w:rFonts w:ascii="宋体" w:hAnsi="宋体" w:eastAsia="宋体" w:cs="宋体"/>
          <w:spacing w:val="-30"/>
          <w:sz w:val="24"/>
          <w:szCs w:val="24"/>
        </w:rPr>
        <w:t xml:space="preserve"> </w:t>
      </w:r>
      <w:r>
        <w:rPr>
          <w:rFonts w:ascii="宋体" w:hAnsi="宋体" w:eastAsia="宋体" w:cs="宋体"/>
          <w:spacing w:val="-3"/>
          <w:sz w:val="24"/>
          <w:szCs w:val="24"/>
        </w:rPr>
        <w:t>30</w:t>
      </w:r>
      <w:r>
        <w:rPr>
          <w:rFonts w:ascii="宋体" w:hAnsi="宋体" w:eastAsia="宋体" w:cs="宋体"/>
          <w:spacing w:val="-46"/>
          <w:sz w:val="24"/>
          <w:szCs w:val="24"/>
        </w:rPr>
        <w:t xml:space="preserve"> </w:t>
      </w:r>
      <w:r>
        <w:rPr>
          <w:rFonts w:ascii="宋体" w:hAnsi="宋体" w:eastAsia="宋体" w:cs="宋体"/>
          <w:spacing w:val="-3"/>
          <w:sz w:val="24"/>
          <w:szCs w:val="24"/>
        </w:rPr>
        <w:t>天以上者。</w:t>
      </w:r>
    </w:p>
    <w:p>
      <w:pPr>
        <w:spacing w:before="182" w:line="466" w:lineRule="exact"/>
        <w:ind w:left="509"/>
        <w:rPr>
          <w:rFonts w:ascii="宋体" w:hAnsi="宋体" w:eastAsia="宋体" w:cs="宋体"/>
          <w:sz w:val="24"/>
          <w:szCs w:val="24"/>
        </w:rPr>
      </w:pPr>
      <w:r>
        <w:rPr>
          <w:rFonts w:ascii="宋体" w:hAnsi="宋体" w:eastAsia="宋体" w:cs="宋体"/>
          <w:spacing w:val="-3"/>
          <w:position w:val="17"/>
          <w:sz w:val="24"/>
          <w:szCs w:val="24"/>
        </w:rPr>
        <w:t>11.5 承包人的工期延误</w:t>
      </w:r>
    </w:p>
    <w:p>
      <w:pPr>
        <w:spacing w:before="1" w:line="218" w:lineRule="auto"/>
        <w:ind w:left="490"/>
        <w:rPr>
          <w:rFonts w:ascii="宋体" w:hAnsi="宋体" w:eastAsia="宋体" w:cs="宋体"/>
          <w:sz w:val="24"/>
          <w:szCs w:val="24"/>
        </w:rPr>
      </w:pPr>
      <w:r>
        <w:rPr>
          <w:rFonts w:ascii="宋体" w:hAnsi="宋体" w:eastAsia="宋体" w:cs="宋体"/>
          <w:spacing w:val="-1"/>
          <w:sz w:val="24"/>
          <w:szCs w:val="24"/>
        </w:rPr>
        <w:t>在本款后增加第(6)项：</w:t>
      </w:r>
    </w:p>
    <w:p>
      <w:pPr>
        <w:spacing w:before="184" w:line="358" w:lineRule="auto"/>
        <w:ind w:left="21" w:right="291" w:firstLine="482"/>
        <w:jc w:val="both"/>
        <w:rPr>
          <w:rFonts w:ascii="宋体" w:hAnsi="宋体" w:eastAsia="宋体" w:cs="宋体"/>
          <w:sz w:val="24"/>
          <w:szCs w:val="24"/>
        </w:rPr>
      </w:pPr>
      <w:r>
        <w:rPr>
          <w:rFonts w:ascii="宋体" w:hAnsi="宋体" w:eastAsia="宋体" w:cs="宋体"/>
          <w:spacing w:val="-4"/>
          <w:sz w:val="24"/>
          <w:szCs w:val="24"/>
        </w:rPr>
        <w:t>（6）承包人连续三个月未能完成发包人下发（批复）的月计划任务的</w:t>
      </w:r>
      <w:r>
        <w:rPr>
          <w:rFonts w:ascii="宋体" w:hAnsi="宋体" w:eastAsia="宋体" w:cs="宋体"/>
          <w:spacing w:val="-43"/>
          <w:sz w:val="24"/>
          <w:szCs w:val="24"/>
        </w:rPr>
        <w:t xml:space="preserve"> </w:t>
      </w:r>
      <w:r>
        <w:rPr>
          <w:rFonts w:ascii="宋体" w:hAnsi="宋体" w:eastAsia="宋体" w:cs="宋体"/>
          <w:spacing w:val="-4"/>
          <w:sz w:val="24"/>
          <w:szCs w:val="24"/>
        </w:rPr>
        <w:t>80%或累计未</w:t>
      </w:r>
      <w:r>
        <w:rPr>
          <w:rFonts w:ascii="宋体" w:hAnsi="宋体" w:eastAsia="宋体" w:cs="宋体"/>
          <w:sz w:val="24"/>
          <w:szCs w:val="24"/>
        </w:rPr>
        <w:t xml:space="preserve"> </w:t>
      </w:r>
      <w:r>
        <w:rPr>
          <w:rFonts w:ascii="宋体" w:hAnsi="宋体" w:eastAsia="宋体" w:cs="宋体"/>
          <w:spacing w:val="-1"/>
          <w:sz w:val="24"/>
          <w:szCs w:val="24"/>
        </w:rPr>
        <w:t>能完成发包人下发（批复）的季度计划任务的</w:t>
      </w:r>
      <w:r>
        <w:rPr>
          <w:rFonts w:ascii="宋体" w:hAnsi="宋体" w:eastAsia="宋体" w:cs="宋体"/>
          <w:spacing w:val="-34"/>
          <w:sz w:val="24"/>
          <w:szCs w:val="24"/>
        </w:rPr>
        <w:t xml:space="preserve"> </w:t>
      </w:r>
      <w:r>
        <w:rPr>
          <w:rFonts w:ascii="宋体" w:hAnsi="宋体" w:eastAsia="宋体" w:cs="宋体"/>
          <w:spacing w:val="-1"/>
          <w:sz w:val="24"/>
          <w:szCs w:val="24"/>
        </w:rPr>
        <w:t>80%，发包人和监理人认为承包人无法在</w:t>
      </w:r>
    </w:p>
    <w:p>
      <w:pPr>
        <w:spacing w:line="219" w:lineRule="auto"/>
        <w:ind w:left="12"/>
        <w:rPr>
          <w:rFonts w:ascii="宋体" w:hAnsi="宋体" w:eastAsia="宋体" w:cs="宋体"/>
          <w:sz w:val="24"/>
          <w:szCs w:val="24"/>
        </w:rPr>
      </w:pPr>
      <w:r>
        <w:rPr>
          <w:rFonts w:ascii="宋体" w:hAnsi="宋体" w:eastAsia="宋体" w:cs="宋体"/>
          <w:spacing w:val="-1"/>
          <w:sz w:val="24"/>
          <w:szCs w:val="24"/>
        </w:rPr>
        <w:t>合同工期内完成任务的，发包人有权按第</w:t>
      </w:r>
      <w:r>
        <w:rPr>
          <w:rFonts w:ascii="宋体" w:hAnsi="宋体" w:eastAsia="宋体" w:cs="宋体"/>
          <w:spacing w:val="-52"/>
          <w:sz w:val="24"/>
          <w:szCs w:val="24"/>
        </w:rPr>
        <w:t xml:space="preserve"> </w:t>
      </w:r>
      <w:r>
        <w:rPr>
          <w:rFonts w:ascii="宋体" w:hAnsi="宋体" w:eastAsia="宋体" w:cs="宋体"/>
          <w:spacing w:val="-1"/>
          <w:sz w:val="24"/>
          <w:szCs w:val="24"/>
        </w:rPr>
        <w:t>4.3.8</w:t>
      </w:r>
      <w:r>
        <w:rPr>
          <w:rFonts w:ascii="宋体" w:hAnsi="宋体" w:eastAsia="宋体" w:cs="宋体"/>
          <w:spacing w:val="-50"/>
          <w:sz w:val="24"/>
          <w:szCs w:val="24"/>
        </w:rPr>
        <w:t xml:space="preserve"> </w:t>
      </w:r>
      <w:r>
        <w:rPr>
          <w:rFonts w:ascii="宋体" w:hAnsi="宋体" w:eastAsia="宋体" w:cs="宋体"/>
          <w:spacing w:val="-1"/>
          <w:sz w:val="24"/>
          <w:szCs w:val="24"/>
        </w:rPr>
        <w:t>款、</w:t>
      </w:r>
      <w:r>
        <w:rPr>
          <w:rFonts w:ascii="宋体" w:hAnsi="宋体" w:eastAsia="宋体" w:cs="宋体"/>
          <w:spacing w:val="-2"/>
          <w:sz w:val="24"/>
          <w:szCs w:val="24"/>
        </w:rPr>
        <w:t>第</w:t>
      </w:r>
      <w:r>
        <w:rPr>
          <w:rFonts w:ascii="宋体" w:hAnsi="宋体" w:eastAsia="宋体" w:cs="宋体"/>
          <w:spacing w:val="-51"/>
          <w:sz w:val="24"/>
          <w:szCs w:val="24"/>
        </w:rPr>
        <w:t xml:space="preserve"> </w:t>
      </w:r>
      <w:r>
        <w:rPr>
          <w:rFonts w:ascii="宋体" w:hAnsi="宋体" w:eastAsia="宋体" w:cs="宋体"/>
          <w:spacing w:val="-2"/>
          <w:sz w:val="24"/>
          <w:szCs w:val="24"/>
        </w:rPr>
        <w:t>4.3.9</w:t>
      </w:r>
      <w:r>
        <w:rPr>
          <w:rFonts w:ascii="宋体" w:hAnsi="宋体" w:eastAsia="宋体" w:cs="宋体"/>
          <w:spacing w:val="-50"/>
          <w:sz w:val="24"/>
          <w:szCs w:val="24"/>
        </w:rPr>
        <w:t xml:space="preserve"> </w:t>
      </w:r>
      <w:r>
        <w:rPr>
          <w:rFonts w:ascii="宋体" w:hAnsi="宋体" w:eastAsia="宋体" w:cs="宋体"/>
          <w:spacing w:val="-2"/>
          <w:sz w:val="24"/>
          <w:szCs w:val="24"/>
        </w:rPr>
        <w:t>款进行处理。</w:t>
      </w:r>
    </w:p>
    <w:p>
      <w:pPr>
        <w:spacing w:before="183" w:line="220" w:lineRule="auto"/>
        <w:ind w:left="509"/>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12.</w:t>
      </w:r>
      <w:r>
        <w:rPr>
          <w:rFonts w:ascii="宋体" w:hAnsi="宋体" w:eastAsia="宋体" w:cs="宋体"/>
          <w:spacing w:val="21"/>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暂停施工</w:t>
      </w:r>
    </w:p>
    <w:p>
      <w:pPr>
        <w:spacing w:before="183" w:line="219" w:lineRule="auto"/>
        <w:ind w:left="509"/>
        <w:rPr>
          <w:rFonts w:ascii="宋体" w:hAnsi="宋体" w:eastAsia="宋体" w:cs="宋体"/>
          <w:sz w:val="24"/>
          <w:szCs w:val="24"/>
        </w:rPr>
      </w:pPr>
      <w:r>
        <w:rPr>
          <w:rFonts w:ascii="宋体" w:hAnsi="宋体" w:eastAsia="宋体" w:cs="宋体"/>
          <w:spacing w:val="-2"/>
          <w:sz w:val="24"/>
          <w:szCs w:val="24"/>
        </w:rPr>
        <w:t>12.1 承包人暂停施工的责任</w:t>
      </w:r>
    </w:p>
    <w:p>
      <w:pPr>
        <w:spacing w:before="181" w:line="219" w:lineRule="auto"/>
        <w:ind w:left="509"/>
        <w:rPr>
          <w:rFonts w:ascii="宋体" w:hAnsi="宋体" w:eastAsia="宋体" w:cs="宋体"/>
          <w:sz w:val="24"/>
          <w:szCs w:val="24"/>
        </w:rPr>
      </w:pPr>
      <w:r>
        <w:rPr>
          <w:rFonts w:ascii="宋体" w:hAnsi="宋体" w:eastAsia="宋体" w:cs="宋体"/>
          <w:spacing w:val="-4"/>
          <w:sz w:val="24"/>
          <w:szCs w:val="24"/>
        </w:rPr>
        <w:t>12.1</w:t>
      </w:r>
      <w:r>
        <w:rPr>
          <w:rFonts w:ascii="宋体" w:hAnsi="宋体" w:eastAsia="宋体" w:cs="宋体"/>
          <w:spacing w:val="55"/>
          <w:sz w:val="24"/>
          <w:szCs w:val="24"/>
        </w:rPr>
        <w:t xml:space="preserve"> </w:t>
      </w:r>
      <w:r>
        <w:rPr>
          <w:rFonts w:ascii="宋体" w:hAnsi="宋体" w:eastAsia="宋体" w:cs="宋体"/>
          <w:spacing w:val="-4"/>
          <w:sz w:val="24"/>
          <w:szCs w:val="24"/>
        </w:rPr>
        <w:t>(6)由承包人承担的其他暂停施工：</w:t>
      </w:r>
      <w:r>
        <w:rPr>
          <w:rFonts w:ascii="宋体" w:hAnsi="宋体" w:eastAsia="宋体" w:cs="宋体"/>
          <w:sz w:val="24"/>
          <w:szCs w:val="24"/>
          <w:u w:val="single" w:color="auto"/>
        </w:rPr>
        <w:t xml:space="preserve">                       </w:t>
      </w:r>
    </w:p>
    <w:p>
      <w:pPr>
        <w:spacing w:before="184" w:line="288" w:lineRule="auto"/>
        <w:ind w:left="492" w:right="5999" w:hanging="103"/>
        <w:rPr>
          <w:rFonts w:ascii="宋体" w:hAnsi="宋体" w:eastAsia="宋体" w:cs="宋体"/>
          <w:sz w:val="24"/>
          <w:szCs w:val="24"/>
        </w:rPr>
      </w:pPr>
      <w:r>
        <w:rPr>
          <w:rFonts w:ascii="宋体" w:hAnsi="宋体" w:eastAsia="宋体" w:cs="宋体"/>
          <w:spacing w:val="-2"/>
          <w:sz w:val="24"/>
          <w:szCs w:val="24"/>
        </w:rPr>
        <w:t>12.2 发包人暂停施工的责任</w:t>
      </w:r>
      <w:r>
        <w:rPr>
          <w:rFonts w:ascii="宋体" w:hAnsi="宋体" w:eastAsia="宋体" w:cs="宋体"/>
          <w:spacing w:val="1"/>
          <w:sz w:val="24"/>
          <w:szCs w:val="24"/>
        </w:rPr>
        <w:t xml:space="preserve"> </w:t>
      </w:r>
      <w:r>
        <w:rPr>
          <w:rFonts w:ascii="宋体" w:hAnsi="宋体" w:eastAsia="宋体" w:cs="宋体"/>
          <w:spacing w:val="-2"/>
          <w:sz w:val="24"/>
          <w:szCs w:val="24"/>
        </w:rPr>
        <w:t>本款细化为：</w:t>
      </w:r>
    </w:p>
    <w:p>
      <w:pPr>
        <w:spacing w:before="184" w:line="219" w:lineRule="auto"/>
        <w:ind w:left="520"/>
        <w:rPr>
          <w:rFonts w:ascii="宋体" w:hAnsi="宋体" w:eastAsia="宋体" w:cs="宋体"/>
          <w:sz w:val="24"/>
          <w:szCs w:val="24"/>
        </w:rPr>
      </w:pPr>
      <w:r>
        <w:rPr>
          <w:rFonts w:ascii="宋体" w:hAnsi="宋体" w:eastAsia="宋体" w:cs="宋体"/>
          <w:spacing w:val="-2"/>
          <w:sz w:val="24"/>
          <w:szCs w:val="24"/>
        </w:rPr>
        <w:t>由于发包人原因引起的暂停施工造成工期延误的，按第</w:t>
      </w:r>
      <w:r>
        <w:rPr>
          <w:rFonts w:ascii="宋体" w:hAnsi="宋体" w:eastAsia="宋体" w:cs="宋体"/>
          <w:spacing w:val="-33"/>
          <w:sz w:val="24"/>
          <w:szCs w:val="24"/>
        </w:rPr>
        <w:t xml:space="preserve"> </w:t>
      </w:r>
      <w:r>
        <w:rPr>
          <w:rFonts w:ascii="宋体" w:hAnsi="宋体" w:eastAsia="宋体" w:cs="宋体"/>
          <w:spacing w:val="-2"/>
          <w:sz w:val="24"/>
          <w:szCs w:val="24"/>
        </w:rPr>
        <w:t>11.3</w:t>
      </w:r>
      <w:r>
        <w:rPr>
          <w:rFonts w:ascii="宋体" w:hAnsi="宋体" w:eastAsia="宋体" w:cs="宋体"/>
          <w:spacing w:val="-50"/>
          <w:sz w:val="24"/>
          <w:szCs w:val="24"/>
        </w:rPr>
        <w:t xml:space="preserve"> </w:t>
      </w:r>
      <w:r>
        <w:rPr>
          <w:rFonts w:ascii="宋体" w:hAnsi="宋体" w:eastAsia="宋体" w:cs="宋体"/>
          <w:spacing w:val="-3"/>
          <w:sz w:val="24"/>
          <w:szCs w:val="24"/>
        </w:rPr>
        <w:t>款的约定执行。</w:t>
      </w:r>
    </w:p>
    <w:p>
      <w:pPr>
        <w:spacing w:before="183" w:line="220" w:lineRule="auto"/>
        <w:ind w:left="509"/>
        <w:rPr>
          <w:rFonts w:ascii="宋体" w:hAnsi="宋体" w:eastAsia="宋体" w:cs="宋体"/>
          <w:sz w:val="24"/>
          <w:szCs w:val="24"/>
        </w:rPr>
      </w:pPr>
      <w:r>
        <w:rPr>
          <w:rFonts w:ascii="宋体" w:hAnsi="宋体" w:eastAsia="宋体" w:cs="宋体"/>
          <w:spacing w:val="-5"/>
          <w:sz w:val="24"/>
          <w:szCs w:val="24"/>
          <w14:textOutline w14:w="4358" w14:cap="sq" w14:cmpd="sng">
            <w14:solidFill>
              <w14:srgbClr w14:val="000000"/>
            </w14:solidFill>
            <w14:prstDash w14:val="solid"/>
            <w14:bevel/>
          </w14:textOutline>
        </w:rPr>
        <w:t>13.</w:t>
      </w:r>
      <w:r>
        <w:rPr>
          <w:rFonts w:ascii="宋体" w:hAnsi="宋体" w:eastAsia="宋体" w:cs="宋体"/>
          <w:spacing w:val="14"/>
          <w:sz w:val="24"/>
          <w:szCs w:val="24"/>
        </w:rPr>
        <w:t xml:space="preserve"> </w:t>
      </w:r>
      <w:r>
        <w:rPr>
          <w:rFonts w:ascii="宋体" w:hAnsi="宋体" w:eastAsia="宋体" w:cs="宋体"/>
          <w:spacing w:val="-5"/>
          <w:sz w:val="24"/>
          <w:szCs w:val="24"/>
          <w14:textOutline w14:w="4358" w14:cap="sq" w14:cmpd="sng">
            <w14:solidFill>
              <w14:srgbClr w14:val="000000"/>
            </w14:solidFill>
            <w14:prstDash w14:val="solid"/>
            <w14:bevel/>
          </w14:textOutline>
        </w:rPr>
        <w:t>工程质量</w:t>
      </w:r>
    </w:p>
    <w:p>
      <w:pPr>
        <w:spacing w:before="179" w:line="220" w:lineRule="auto"/>
        <w:ind w:left="509"/>
        <w:rPr>
          <w:rFonts w:ascii="宋体" w:hAnsi="宋体" w:eastAsia="宋体" w:cs="宋体"/>
          <w:sz w:val="24"/>
          <w:szCs w:val="24"/>
        </w:rPr>
      </w:pPr>
      <w:r>
        <w:rPr>
          <w:rFonts w:ascii="宋体" w:hAnsi="宋体" w:eastAsia="宋体" w:cs="宋体"/>
          <w:spacing w:val="-3"/>
          <w:sz w:val="24"/>
          <w:szCs w:val="24"/>
        </w:rPr>
        <w:t>13.1 工程质量要求</w:t>
      </w:r>
    </w:p>
    <w:p>
      <w:pPr>
        <w:spacing w:before="179" w:line="219" w:lineRule="auto"/>
        <w:ind w:left="490"/>
        <w:rPr>
          <w:rFonts w:ascii="宋体" w:hAnsi="宋体" w:eastAsia="宋体" w:cs="宋体"/>
          <w:sz w:val="24"/>
          <w:szCs w:val="24"/>
        </w:rPr>
      </w:pPr>
      <w:r>
        <w:rPr>
          <w:rFonts w:ascii="宋体" w:hAnsi="宋体" w:eastAsia="宋体" w:cs="宋体"/>
          <w:spacing w:val="-3"/>
          <w:sz w:val="24"/>
          <w:szCs w:val="24"/>
        </w:rPr>
        <w:t>在本款第</w:t>
      </w:r>
      <w:r>
        <w:rPr>
          <w:rFonts w:ascii="宋体" w:hAnsi="宋体" w:eastAsia="宋体" w:cs="宋体"/>
          <w:spacing w:val="-26"/>
          <w:sz w:val="24"/>
          <w:szCs w:val="24"/>
        </w:rPr>
        <w:t xml:space="preserve"> </w:t>
      </w:r>
      <w:r>
        <w:rPr>
          <w:rFonts w:ascii="宋体" w:hAnsi="宋体" w:eastAsia="宋体" w:cs="宋体"/>
          <w:spacing w:val="-3"/>
          <w:sz w:val="24"/>
          <w:szCs w:val="24"/>
        </w:rPr>
        <w:t>13.1.2</w:t>
      </w:r>
      <w:r>
        <w:rPr>
          <w:rFonts w:ascii="宋体" w:hAnsi="宋体" w:eastAsia="宋体" w:cs="宋体"/>
          <w:spacing w:val="-47"/>
          <w:sz w:val="24"/>
          <w:szCs w:val="24"/>
        </w:rPr>
        <w:t xml:space="preserve"> </w:t>
      </w:r>
      <w:r>
        <w:rPr>
          <w:rFonts w:ascii="宋体" w:hAnsi="宋体" w:eastAsia="宋体" w:cs="宋体"/>
          <w:spacing w:val="-3"/>
          <w:sz w:val="24"/>
          <w:szCs w:val="24"/>
        </w:rPr>
        <w:t>项后增加以下内容：</w:t>
      </w:r>
    </w:p>
    <w:p>
      <w:pPr>
        <w:spacing w:before="184" w:line="466" w:lineRule="exact"/>
        <w:ind w:left="490"/>
        <w:rPr>
          <w:rFonts w:ascii="宋体" w:hAnsi="宋体" w:eastAsia="宋体" w:cs="宋体"/>
          <w:sz w:val="24"/>
          <w:szCs w:val="24"/>
        </w:rPr>
      </w:pPr>
      <w:r>
        <w:rPr>
          <w:rFonts w:ascii="宋体" w:hAnsi="宋体" w:eastAsia="宋体" w:cs="宋体"/>
          <w:spacing w:val="-1"/>
          <w:position w:val="17"/>
          <w:sz w:val="24"/>
          <w:szCs w:val="24"/>
        </w:rPr>
        <w:t>在工程经过验收并计量之后的任何时候，因任何方</w:t>
      </w:r>
      <w:r>
        <w:rPr>
          <w:rFonts w:ascii="宋体" w:hAnsi="宋体" w:eastAsia="宋体" w:cs="宋体"/>
          <w:spacing w:val="-2"/>
          <w:position w:val="17"/>
          <w:sz w:val="24"/>
          <w:szCs w:val="24"/>
        </w:rPr>
        <w:t>式（包括政府质量监督部门、发</w:t>
      </w:r>
    </w:p>
    <w:p>
      <w:pPr>
        <w:spacing w:line="219" w:lineRule="auto"/>
        <w:ind w:left="11"/>
        <w:rPr>
          <w:rFonts w:ascii="宋体" w:hAnsi="宋体" w:eastAsia="宋体" w:cs="宋体"/>
          <w:sz w:val="24"/>
          <w:szCs w:val="24"/>
        </w:rPr>
      </w:pPr>
      <w:r>
        <w:rPr>
          <w:rFonts w:ascii="宋体" w:hAnsi="宋体" w:eastAsia="宋体" w:cs="宋体"/>
          <w:spacing w:val="-5"/>
          <w:sz w:val="24"/>
          <w:szCs w:val="24"/>
        </w:rPr>
        <w:t>包人或监理人组织的各类检查）发现的关键工程质量不合格、工序不规范造成质量隐患，</w:t>
      </w:r>
    </w:p>
    <w:p>
      <w:pPr>
        <w:spacing w:line="343" w:lineRule="auto"/>
        <w:rPr>
          <w:rFonts w:ascii="Arial"/>
          <w:sz w:val="21"/>
        </w:rPr>
      </w:pPr>
    </w:p>
    <w:p>
      <w:pPr>
        <w:spacing w:before="59" w:line="220" w:lineRule="auto"/>
        <w:ind w:left="8"/>
        <w:rPr>
          <w:rFonts w:ascii="宋体" w:hAnsi="宋体" w:eastAsia="宋体" w:cs="宋体"/>
          <w:sz w:val="18"/>
          <w:szCs w:val="18"/>
        </w:rPr>
      </w:pPr>
      <w:r>
        <w:rPr>
          <w:rFonts w:ascii="宋体" w:hAnsi="宋体" w:eastAsia="宋体" w:cs="宋体"/>
          <w:spacing w:val="-1"/>
          <w:sz w:val="18"/>
          <w:szCs w:val="18"/>
        </w:rPr>
        <w:t>① 数字与</w:t>
      </w:r>
      <w:r>
        <w:rPr>
          <w:rFonts w:ascii="Times New Roman" w:hAnsi="Times New Roman" w:eastAsia="Times New Roman" w:cs="Times New Roman"/>
          <w:spacing w:val="-1"/>
          <w:sz w:val="18"/>
          <w:szCs w:val="18"/>
        </w:rPr>
        <w:t>11.3</w:t>
      </w:r>
      <w:r>
        <w:rPr>
          <w:rFonts w:ascii="宋体" w:hAnsi="宋体" w:eastAsia="宋体" w:cs="宋体"/>
          <w:spacing w:val="-1"/>
          <w:sz w:val="18"/>
          <w:szCs w:val="18"/>
        </w:rPr>
        <w:t>（</w:t>
      </w:r>
      <w:r>
        <w:rPr>
          <w:rFonts w:ascii="Times New Roman" w:hAnsi="Times New Roman" w:eastAsia="Times New Roman" w:cs="Times New Roman"/>
          <w:spacing w:val="-1"/>
          <w:sz w:val="18"/>
          <w:szCs w:val="18"/>
        </w:rPr>
        <w:t>2</w:t>
      </w:r>
      <w:r>
        <w:rPr>
          <w:rFonts w:ascii="宋体" w:hAnsi="宋体" w:eastAsia="宋体" w:cs="宋体"/>
          <w:spacing w:val="-1"/>
          <w:sz w:val="18"/>
          <w:szCs w:val="18"/>
        </w:rPr>
        <w:t>）中填写数字相同。</w:t>
      </w:r>
    </w:p>
    <w:p>
      <w:pPr>
        <w:spacing w:line="425" w:lineRule="auto"/>
        <w:rPr>
          <w:rFonts w:ascii="Arial"/>
          <w:sz w:val="21"/>
        </w:rPr>
      </w:pPr>
    </w:p>
    <w:p>
      <w:pPr>
        <w:spacing w:before="78" w:line="466" w:lineRule="exact"/>
        <w:ind w:left="5"/>
        <w:rPr>
          <w:rFonts w:ascii="宋体" w:hAnsi="宋体" w:eastAsia="宋体" w:cs="宋体"/>
          <w:sz w:val="24"/>
          <w:szCs w:val="24"/>
        </w:rPr>
      </w:pPr>
      <w:r>
        <w:rPr>
          <w:rFonts w:ascii="宋体" w:hAnsi="宋体" w:eastAsia="宋体" w:cs="宋体"/>
          <w:spacing w:val="-1"/>
          <w:position w:val="17"/>
          <w:sz w:val="24"/>
          <w:szCs w:val="24"/>
        </w:rPr>
        <w:t>承包人应负责自费返工。发包人将根据本合同《工程质量、</w:t>
      </w:r>
      <w:r>
        <w:rPr>
          <w:rFonts w:ascii="宋体" w:hAnsi="宋体" w:eastAsia="宋体" w:cs="宋体"/>
          <w:spacing w:val="-2"/>
          <w:position w:val="17"/>
          <w:sz w:val="24"/>
          <w:szCs w:val="24"/>
        </w:rPr>
        <w:t>安全及文明施工违约项目一</w:t>
      </w:r>
    </w:p>
    <w:p>
      <w:pPr>
        <w:spacing w:line="219" w:lineRule="auto"/>
        <w:ind w:left="10"/>
        <w:rPr>
          <w:rFonts w:ascii="宋体" w:hAnsi="宋体" w:eastAsia="宋体" w:cs="宋体"/>
          <w:sz w:val="24"/>
          <w:szCs w:val="24"/>
        </w:rPr>
      </w:pPr>
      <w:r>
        <w:rPr>
          <w:rFonts w:ascii="宋体" w:hAnsi="宋体" w:eastAsia="宋体" w:cs="宋体"/>
          <w:spacing w:val="-1"/>
          <w:sz w:val="24"/>
          <w:szCs w:val="24"/>
        </w:rPr>
        <w:t>览表》对承包人进行处理。该处理不免除承包人自费进行返工或修复的责任。</w:t>
      </w:r>
    </w:p>
    <w:p>
      <w:pPr>
        <w:spacing w:before="183" w:line="219" w:lineRule="auto"/>
        <w:ind w:left="486"/>
        <w:rPr>
          <w:rFonts w:ascii="宋体" w:hAnsi="宋体" w:eastAsia="宋体" w:cs="宋体"/>
          <w:sz w:val="24"/>
          <w:szCs w:val="24"/>
        </w:rPr>
      </w:pPr>
      <w:r>
        <w:rPr>
          <w:rFonts w:ascii="宋体" w:hAnsi="宋体" w:eastAsia="宋体" w:cs="宋体"/>
          <w:spacing w:val="-4"/>
          <w:sz w:val="24"/>
          <w:szCs w:val="24"/>
        </w:rPr>
        <w:t>增加第</w:t>
      </w:r>
      <w:r>
        <w:rPr>
          <w:rFonts w:ascii="宋体" w:hAnsi="宋体" w:eastAsia="宋体" w:cs="宋体"/>
          <w:spacing w:val="-22"/>
          <w:sz w:val="24"/>
          <w:szCs w:val="24"/>
        </w:rPr>
        <w:t xml:space="preserve"> </w:t>
      </w:r>
      <w:r>
        <w:rPr>
          <w:rFonts w:ascii="宋体" w:hAnsi="宋体" w:eastAsia="宋体" w:cs="宋体"/>
          <w:spacing w:val="-4"/>
          <w:sz w:val="24"/>
          <w:szCs w:val="24"/>
        </w:rPr>
        <w:t>13.7～13.12</w:t>
      </w:r>
      <w:r>
        <w:rPr>
          <w:rFonts w:ascii="宋体" w:hAnsi="宋体" w:eastAsia="宋体" w:cs="宋体"/>
          <w:spacing w:val="-50"/>
          <w:sz w:val="24"/>
          <w:szCs w:val="24"/>
        </w:rPr>
        <w:t xml:space="preserve"> </w:t>
      </w:r>
      <w:r>
        <w:rPr>
          <w:rFonts w:ascii="宋体" w:hAnsi="宋体" w:eastAsia="宋体" w:cs="宋体"/>
          <w:spacing w:val="-4"/>
          <w:sz w:val="24"/>
          <w:szCs w:val="24"/>
        </w:rPr>
        <w:t>款：</w:t>
      </w:r>
    </w:p>
    <w:p>
      <w:pPr>
        <w:spacing w:before="180" w:line="219" w:lineRule="auto"/>
        <w:ind w:left="503"/>
        <w:rPr>
          <w:rFonts w:ascii="宋体" w:hAnsi="宋体" w:eastAsia="宋体" w:cs="宋体"/>
          <w:sz w:val="24"/>
          <w:szCs w:val="24"/>
        </w:rPr>
      </w:pPr>
      <w:r>
        <w:rPr>
          <w:rFonts w:ascii="宋体" w:hAnsi="宋体" w:eastAsia="宋体" w:cs="宋体"/>
          <w:spacing w:val="-4"/>
          <w:sz w:val="24"/>
          <w:szCs w:val="24"/>
        </w:rPr>
        <w:t>13.7</w:t>
      </w:r>
      <w:r>
        <w:rPr>
          <w:rFonts w:ascii="宋体" w:hAnsi="宋体" w:eastAsia="宋体" w:cs="宋体"/>
          <w:spacing w:val="-45"/>
          <w:sz w:val="24"/>
          <w:szCs w:val="24"/>
        </w:rPr>
        <w:t xml:space="preserve"> </w:t>
      </w:r>
      <w:r>
        <w:rPr>
          <w:rFonts w:ascii="宋体" w:hAnsi="宋体" w:eastAsia="宋体" w:cs="宋体"/>
          <w:spacing w:val="-4"/>
          <w:sz w:val="24"/>
          <w:szCs w:val="24"/>
        </w:rPr>
        <w:t>承包人偷工减料</w:t>
      </w:r>
    </w:p>
    <w:p>
      <w:pPr>
        <w:spacing w:before="182" w:line="359" w:lineRule="auto"/>
        <w:ind w:left="4" w:right="230" w:firstLine="480"/>
        <w:rPr>
          <w:rFonts w:ascii="宋体" w:hAnsi="宋体" w:eastAsia="宋体" w:cs="宋体"/>
          <w:sz w:val="24"/>
          <w:szCs w:val="24"/>
        </w:rPr>
      </w:pPr>
      <w:r>
        <w:rPr>
          <w:rFonts w:ascii="宋体" w:hAnsi="宋体" w:eastAsia="宋体" w:cs="宋体"/>
          <w:spacing w:val="-7"/>
          <w:sz w:val="24"/>
          <w:szCs w:val="24"/>
        </w:rPr>
        <w:t>承包人施工过程中存在偷工减料，有意降低工程质量，企图蒙骗发包人、监理人的，</w:t>
      </w:r>
      <w:r>
        <w:rPr>
          <w:rFonts w:ascii="宋体" w:hAnsi="宋体" w:eastAsia="宋体" w:cs="宋体"/>
          <w:spacing w:val="17"/>
          <w:sz w:val="24"/>
          <w:szCs w:val="24"/>
        </w:rPr>
        <w:t xml:space="preserve"> </w:t>
      </w:r>
      <w:r>
        <w:rPr>
          <w:rFonts w:ascii="宋体" w:hAnsi="宋体" w:eastAsia="宋体" w:cs="宋体"/>
          <w:spacing w:val="-2"/>
          <w:sz w:val="24"/>
          <w:szCs w:val="24"/>
        </w:rPr>
        <w:t>属于承包人违约，经发包人发现确认，情节严重的，发包人有权单方终止合同，另选承</w:t>
      </w:r>
      <w:r>
        <w:rPr>
          <w:rFonts w:ascii="宋体" w:hAnsi="宋体" w:eastAsia="宋体" w:cs="宋体"/>
          <w:spacing w:val="13"/>
          <w:sz w:val="24"/>
          <w:szCs w:val="24"/>
        </w:rPr>
        <w:t xml:space="preserve"> </w:t>
      </w:r>
      <w:r>
        <w:rPr>
          <w:rFonts w:ascii="宋体" w:hAnsi="宋体" w:eastAsia="宋体" w:cs="宋体"/>
          <w:spacing w:val="-2"/>
          <w:sz w:val="24"/>
          <w:szCs w:val="24"/>
        </w:rPr>
        <w:t>包人进行剩余工程的施工。发包人按照承包人自开工以来，至发包人发出终止合同的函</w:t>
      </w:r>
      <w:r>
        <w:rPr>
          <w:rFonts w:ascii="宋体" w:hAnsi="宋体" w:eastAsia="宋体" w:cs="宋体"/>
          <w:spacing w:val="13"/>
          <w:sz w:val="24"/>
          <w:szCs w:val="24"/>
        </w:rPr>
        <w:t xml:space="preserve"> </w:t>
      </w:r>
      <w:r>
        <w:rPr>
          <w:rFonts w:ascii="宋体" w:hAnsi="宋体" w:eastAsia="宋体" w:cs="宋体"/>
          <w:sz w:val="24"/>
          <w:szCs w:val="24"/>
        </w:rPr>
        <w:t xml:space="preserve">件止所完成的工程量与承包人清算，因承包人退场产生的所有费用由承包人自行负责， </w:t>
      </w:r>
      <w:r>
        <w:rPr>
          <w:rFonts w:ascii="宋体" w:hAnsi="宋体" w:eastAsia="宋体" w:cs="宋体"/>
          <w:spacing w:val="-2"/>
          <w:sz w:val="24"/>
          <w:szCs w:val="24"/>
        </w:rPr>
        <w:t>发包人不因此额外补偿任何费用。同时，发包人单方终止合同并不免除承包人修复已施</w:t>
      </w:r>
    </w:p>
    <w:p>
      <w:pPr>
        <w:spacing w:line="219" w:lineRule="auto"/>
        <w:ind w:left="8"/>
        <w:rPr>
          <w:rFonts w:ascii="宋体" w:hAnsi="宋体" w:eastAsia="宋体" w:cs="宋体"/>
          <w:sz w:val="24"/>
          <w:szCs w:val="24"/>
        </w:rPr>
      </w:pPr>
      <w:r>
        <w:rPr>
          <w:rFonts w:ascii="宋体" w:hAnsi="宋体" w:eastAsia="宋体" w:cs="宋体"/>
          <w:spacing w:val="-2"/>
          <w:sz w:val="24"/>
          <w:szCs w:val="24"/>
        </w:rPr>
        <w:t>工的不合格工程的责任。</w:t>
      </w:r>
    </w:p>
    <w:p>
      <w:pPr>
        <w:spacing w:before="183" w:line="219" w:lineRule="auto"/>
        <w:ind w:left="503"/>
        <w:rPr>
          <w:rFonts w:ascii="宋体" w:hAnsi="宋体" w:eastAsia="宋体" w:cs="宋体"/>
          <w:sz w:val="24"/>
          <w:szCs w:val="24"/>
        </w:rPr>
      </w:pPr>
      <w:r>
        <w:rPr>
          <w:rFonts w:ascii="宋体" w:hAnsi="宋体" w:eastAsia="宋体" w:cs="宋体"/>
          <w:spacing w:val="-4"/>
          <w:sz w:val="24"/>
          <w:szCs w:val="24"/>
        </w:rPr>
        <w:t>13.8</w:t>
      </w:r>
      <w:r>
        <w:rPr>
          <w:rFonts w:ascii="宋体" w:hAnsi="宋体" w:eastAsia="宋体" w:cs="宋体"/>
          <w:spacing w:val="-45"/>
          <w:sz w:val="24"/>
          <w:szCs w:val="24"/>
        </w:rPr>
        <w:t xml:space="preserve"> </w:t>
      </w:r>
      <w:r>
        <w:rPr>
          <w:rFonts w:ascii="宋体" w:hAnsi="宋体" w:eastAsia="宋体" w:cs="宋体"/>
          <w:spacing w:val="-4"/>
          <w:sz w:val="24"/>
          <w:szCs w:val="24"/>
        </w:rPr>
        <w:t>承包人质量自检</w:t>
      </w:r>
    </w:p>
    <w:p>
      <w:pPr>
        <w:spacing w:before="181" w:line="360" w:lineRule="auto"/>
        <w:ind w:left="6" w:right="291" w:firstLine="479"/>
        <w:rPr>
          <w:rFonts w:ascii="宋体" w:hAnsi="宋体" w:eastAsia="宋体" w:cs="宋体"/>
          <w:sz w:val="24"/>
          <w:szCs w:val="24"/>
        </w:rPr>
      </w:pPr>
      <w:r>
        <w:rPr>
          <w:rFonts w:ascii="宋体" w:hAnsi="宋体" w:eastAsia="宋体" w:cs="宋体"/>
          <w:spacing w:val="-2"/>
          <w:sz w:val="24"/>
          <w:szCs w:val="24"/>
        </w:rPr>
        <w:t>承包人必须建立完善的质量自检体系，对已完工程进行严格的质量自检，只有自检</w:t>
      </w:r>
      <w:r>
        <w:rPr>
          <w:rFonts w:ascii="宋体" w:hAnsi="宋体" w:eastAsia="宋体" w:cs="宋体"/>
          <w:spacing w:val="8"/>
          <w:sz w:val="24"/>
          <w:szCs w:val="24"/>
        </w:rPr>
        <w:t xml:space="preserve"> </w:t>
      </w:r>
      <w:r>
        <w:rPr>
          <w:rFonts w:ascii="宋体" w:hAnsi="宋体" w:eastAsia="宋体" w:cs="宋体"/>
          <w:spacing w:val="-2"/>
          <w:sz w:val="24"/>
          <w:szCs w:val="24"/>
        </w:rPr>
        <w:t>合格的工程才能向监理人、发包人提出验收和计量的申请。监理人在收到验收申请后的</w:t>
      </w:r>
    </w:p>
    <w:p>
      <w:pPr>
        <w:spacing w:line="219" w:lineRule="auto"/>
        <w:ind w:left="4"/>
        <w:rPr>
          <w:rFonts w:ascii="宋体" w:hAnsi="宋体" w:eastAsia="宋体" w:cs="宋体"/>
          <w:sz w:val="24"/>
          <w:szCs w:val="24"/>
        </w:rPr>
      </w:pPr>
      <w:r>
        <w:rPr>
          <w:rFonts w:ascii="宋体" w:hAnsi="宋体" w:eastAsia="宋体" w:cs="宋体"/>
          <w:spacing w:val="-1"/>
          <w:sz w:val="24"/>
          <w:szCs w:val="24"/>
        </w:rPr>
        <w:t>48</w:t>
      </w:r>
      <w:r>
        <w:rPr>
          <w:rFonts w:ascii="宋体" w:hAnsi="宋体" w:eastAsia="宋体" w:cs="宋体"/>
          <w:spacing w:val="-33"/>
          <w:sz w:val="24"/>
          <w:szCs w:val="24"/>
        </w:rPr>
        <w:t xml:space="preserve"> </w:t>
      </w:r>
      <w:r>
        <w:rPr>
          <w:rFonts w:ascii="宋体" w:hAnsi="宋体" w:eastAsia="宋体" w:cs="宋体"/>
          <w:spacing w:val="-1"/>
          <w:sz w:val="24"/>
          <w:szCs w:val="24"/>
        </w:rPr>
        <w:t>小时内对工程进行抽检和验收，对抽检不合格的工程由承包人自费修复或返工。</w:t>
      </w:r>
    </w:p>
    <w:p>
      <w:pPr>
        <w:spacing w:before="181" w:line="219" w:lineRule="auto"/>
        <w:ind w:left="503"/>
        <w:rPr>
          <w:rFonts w:ascii="宋体" w:hAnsi="宋体" w:eastAsia="宋体" w:cs="宋体"/>
          <w:sz w:val="24"/>
          <w:szCs w:val="24"/>
        </w:rPr>
      </w:pPr>
      <w:r>
        <w:rPr>
          <w:rFonts w:ascii="宋体" w:hAnsi="宋体" w:eastAsia="宋体" w:cs="宋体"/>
          <w:spacing w:val="-4"/>
          <w:sz w:val="24"/>
          <w:szCs w:val="24"/>
        </w:rPr>
        <w:t>13.9</w:t>
      </w:r>
      <w:r>
        <w:rPr>
          <w:rFonts w:ascii="宋体" w:hAnsi="宋体" w:eastAsia="宋体" w:cs="宋体"/>
          <w:spacing w:val="-45"/>
          <w:sz w:val="24"/>
          <w:szCs w:val="24"/>
        </w:rPr>
        <w:t xml:space="preserve"> </w:t>
      </w:r>
      <w:r>
        <w:rPr>
          <w:rFonts w:ascii="宋体" w:hAnsi="宋体" w:eastAsia="宋体" w:cs="宋体"/>
          <w:spacing w:val="-4"/>
          <w:sz w:val="24"/>
          <w:szCs w:val="24"/>
        </w:rPr>
        <w:t>不定期现场检查</w:t>
      </w:r>
    </w:p>
    <w:p>
      <w:pPr>
        <w:spacing w:before="183" w:line="465" w:lineRule="exact"/>
        <w:ind w:left="489"/>
        <w:rPr>
          <w:rFonts w:ascii="宋体" w:hAnsi="宋体" w:eastAsia="宋体" w:cs="宋体"/>
          <w:sz w:val="24"/>
          <w:szCs w:val="24"/>
        </w:rPr>
      </w:pPr>
      <w:r>
        <w:rPr>
          <w:rFonts w:ascii="宋体" w:hAnsi="宋体" w:eastAsia="宋体" w:cs="宋体"/>
          <w:spacing w:val="-2"/>
          <w:position w:val="17"/>
          <w:sz w:val="24"/>
          <w:szCs w:val="24"/>
        </w:rPr>
        <w:t>发包人和监理人将不定期进行现场检查，对检查结果按本合同《工程质量、安全及</w:t>
      </w:r>
    </w:p>
    <w:p>
      <w:pPr>
        <w:spacing w:before="1" w:line="219" w:lineRule="auto"/>
        <w:ind w:left="7"/>
        <w:rPr>
          <w:rFonts w:ascii="宋体" w:hAnsi="宋体" w:eastAsia="宋体" w:cs="宋体"/>
          <w:sz w:val="24"/>
          <w:szCs w:val="24"/>
        </w:rPr>
      </w:pPr>
      <w:r>
        <w:rPr>
          <w:rFonts w:ascii="宋体" w:hAnsi="宋体" w:eastAsia="宋体" w:cs="宋体"/>
          <w:spacing w:val="-1"/>
          <w:sz w:val="24"/>
          <w:szCs w:val="24"/>
        </w:rPr>
        <w:t>文明施工违约项目一览表》进行处理，承包人必须接受。</w:t>
      </w:r>
    </w:p>
    <w:p>
      <w:pPr>
        <w:spacing w:before="180" w:line="221" w:lineRule="auto"/>
        <w:ind w:left="503"/>
        <w:rPr>
          <w:rFonts w:ascii="宋体" w:hAnsi="宋体" w:eastAsia="宋体" w:cs="宋体"/>
          <w:sz w:val="24"/>
          <w:szCs w:val="24"/>
        </w:rPr>
      </w:pPr>
      <w:r>
        <w:rPr>
          <w:rFonts w:ascii="宋体" w:hAnsi="宋体" w:eastAsia="宋体" w:cs="宋体"/>
          <w:spacing w:val="-4"/>
          <w:sz w:val="24"/>
          <w:szCs w:val="24"/>
        </w:rPr>
        <w:t>13.10</w:t>
      </w:r>
      <w:r>
        <w:rPr>
          <w:rFonts w:ascii="宋体" w:hAnsi="宋体" w:eastAsia="宋体" w:cs="宋体"/>
          <w:spacing w:val="-52"/>
          <w:sz w:val="24"/>
          <w:szCs w:val="24"/>
        </w:rPr>
        <w:t xml:space="preserve"> </w:t>
      </w:r>
      <w:r>
        <w:rPr>
          <w:rFonts w:ascii="宋体" w:hAnsi="宋体" w:eastAsia="宋体" w:cs="宋体"/>
          <w:spacing w:val="-4"/>
          <w:sz w:val="24"/>
          <w:szCs w:val="24"/>
        </w:rPr>
        <w:t>施工误差</w:t>
      </w:r>
    </w:p>
    <w:p>
      <w:pPr>
        <w:spacing w:before="181" w:line="219" w:lineRule="auto"/>
        <w:ind w:left="484"/>
        <w:rPr>
          <w:rFonts w:ascii="宋体" w:hAnsi="宋体" w:eastAsia="宋体" w:cs="宋体"/>
          <w:sz w:val="24"/>
          <w:szCs w:val="24"/>
        </w:rPr>
      </w:pPr>
      <w:r>
        <w:rPr>
          <w:rFonts w:ascii="宋体" w:hAnsi="宋体" w:eastAsia="宋体" w:cs="宋体"/>
          <w:spacing w:val="-1"/>
          <w:sz w:val="24"/>
          <w:szCs w:val="24"/>
        </w:rPr>
        <w:t>施工质量不满足要求的，承包人须承担一切返工费用。其中：</w:t>
      </w:r>
    </w:p>
    <w:p>
      <w:pPr>
        <w:spacing w:before="182" w:line="359" w:lineRule="auto"/>
        <w:ind w:left="6" w:right="291" w:firstLine="490"/>
        <w:rPr>
          <w:rFonts w:ascii="宋体" w:hAnsi="宋体" w:eastAsia="宋体" w:cs="宋体"/>
          <w:sz w:val="24"/>
          <w:szCs w:val="24"/>
        </w:rPr>
      </w:pPr>
      <w:r>
        <w:rPr>
          <w:rFonts w:ascii="宋体" w:hAnsi="宋体" w:eastAsia="宋体" w:cs="宋体"/>
          <w:spacing w:val="-4"/>
          <w:sz w:val="24"/>
          <w:szCs w:val="24"/>
        </w:rPr>
        <w:t>（1）路基交工时，如有部分路基高出设计</w:t>
      </w:r>
      <w:r>
        <w:rPr>
          <w:rFonts w:ascii="宋体" w:hAnsi="宋体" w:eastAsia="宋体" w:cs="宋体"/>
          <w:spacing w:val="-33"/>
          <w:sz w:val="24"/>
          <w:szCs w:val="24"/>
        </w:rPr>
        <w:t xml:space="preserve"> </w:t>
      </w:r>
      <w:r>
        <w:rPr>
          <w:rFonts w:ascii="宋体" w:hAnsi="宋体" w:eastAsia="宋体" w:cs="宋体"/>
          <w:spacing w:val="-4"/>
          <w:sz w:val="24"/>
          <w:szCs w:val="24"/>
        </w:rPr>
        <w:t>1cm，则由路基桥</w:t>
      </w:r>
      <w:r>
        <w:rPr>
          <w:rFonts w:ascii="宋体" w:hAnsi="宋体" w:eastAsia="宋体" w:cs="宋体"/>
          <w:spacing w:val="-5"/>
          <w:sz w:val="24"/>
          <w:szCs w:val="24"/>
        </w:rPr>
        <w:t>涵承包人修整。如有部</w:t>
      </w:r>
      <w:r>
        <w:rPr>
          <w:rFonts w:ascii="宋体" w:hAnsi="宋体" w:eastAsia="宋体" w:cs="宋体"/>
          <w:sz w:val="24"/>
          <w:szCs w:val="24"/>
        </w:rPr>
        <w:t xml:space="preserve"> </w:t>
      </w:r>
      <w:r>
        <w:rPr>
          <w:rFonts w:ascii="宋体" w:hAnsi="宋体" w:eastAsia="宋体" w:cs="宋体"/>
          <w:spacing w:val="-1"/>
          <w:sz w:val="24"/>
          <w:szCs w:val="24"/>
        </w:rPr>
        <w:t>分路基低于设计</w:t>
      </w:r>
      <w:r>
        <w:rPr>
          <w:rFonts w:ascii="宋体" w:hAnsi="宋体" w:eastAsia="宋体" w:cs="宋体"/>
          <w:spacing w:val="-33"/>
          <w:sz w:val="24"/>
          <w:szCs w:val="24"/>
        </w:rPr>
        <w:t xml:space="preserve"> </w:t>
      </w:r>
      <w:r>
        <w:rPr>
          <w:rFonts w:ascii="宋体" w:hAnsi="宋体" w:eastAsia="宋体" w:cs="宋体"/>
          <w:spacing w:val="-1"/>
          <w:sz w:val="24"/>
          <w:szCs w:val="24"/>
        </w:rPr>
        <w:t>1.5cm(土质)或</w:t>
      </w:r>
      <w:r>
        <w:rPr>
          <w:rFonts w:ascii="宋体" w:hAnsi="宋体" w:eastAsia="宋体" w:cs="宋体"/>
          <w:spacing w:val="-48"/>
          <w:sz w:val="24"/>
          <w:szCs w:val="24"/>
        </w:rPr>
        <w:t xml:space="preserve"> </w:t>
      </w:r>
      <w:r>
        <w:rPr>
          <w:rFonts w:ascii="宋体" w:hAnsi="宋体" w:eastAsia="宋体" w:cs="宋体"/>
          <w:spacing w:val="-1"/>
          <w:sz w:val="24"/>
          <w:szCs w:val="24"/>
        </w:rPr>
        <w:t>2.0</w:t>
      </w:r>
      <w:r>
        <w:rPr>
          <w:rFonts w:ascii="宋体" w:hAnsi="宋体" w:eastAsia="宋体" w:cs="宋体"/>
          <w:spacing w:val="-39"/>
          <w:sz w:val="24"/>
          <w:szCs w:val="24"/>
        </w:rPr>
        <w:t xml:space="preserve"> </w:t>
      </w:r>
      <w:r>
        <w:rPr>
          <w:rFonts w:ascii="宋体" w:hAnsi="宋体" w:eastAsia="宋体" w:cs="宋体"/>
          <w:spacing w:val="-1"/>
          <w:sz w:val="24"/>
          <w:szCs w:val="24"/>
        </w:rPr>
        <w:t>cm(</w:t>
      </w:r>
      <w:r>
        <w:rPr>
          <w:rFonts w:ascii="宋体" w:hAnsi="宋体" w:eastAsia="宋体" w:cs="宋体"/>
          <w:spacing w:val="-2"/>
          <w:sz w:val="24"/>
          <w:szCs w:val="24"/>
        </w:rPr>
        <w:t>石质)，则由路面承包人用规定的填料回填，超</w:t>
      </w:r>
      <w:r>
        <w:rPr>
          <w:rFonts w:ascii="宋体" w:hAnsi="宋体" w:eastAsia="宋体" w:cs="宋体"/>
          <w:sz w:val="24"/>
          <w:szCs w:val="24"/>
        </w:rPr>
        <w:t xml:space="preserve"> </w:t>
      </w:r>
      <w:r>
        <w:rPr>
          <w:rFonts w:ascii="宋体" w:hAnsi="宋体" w:eastAsia="宋体" w:cs="宋体"/>
          <w:spacing w:val="-2"/>
          <w:sz w:val="24"/>
          <w:szCs w:val="24"/>
        </w:rPr>
        <w:t>过偏差的处理费用由路基桥涵承包人负责。如路槽开挖由路面承包人负责施工的，则超</w:t>
      </w:r>
    </w:p>
    <w:p>
      <w:pPr>
        <w:spacing w:before="1" w:line="219" w:lineRule="auto"/>
        <w:ind w:left="6"/>
        <w:rPr>
          <w:rFonts w:ascii="宋体" w:hAnsi="宋体" w:eastAsia="宋体" w:cs="宋体"/>
          <w:sz w:val="24"/>
          <w:szCs w:val="24"/>
        </w:rPr>
      </w:pPr>
      <w:r>
        <w:rPr>
          <w:rFonts w:ascii="宋体" w:hAnsi="宋体" w:eastAsia="宋体" w:cs="宋体"/>
          <w:spacing w:val="-1"/>
          <w:sz w:val="24"/>
          <w:szCs w:val="24"/>
        </w:rPr>
        <w:t>过偏差的处理由路面承包人负责并承担费用。</w:t>
      </w:r>
    </w:p>
    <w:p>
      <w:pPr>
        <w:spacing w:before="182" w:line="359" w:lineRule="auto"/>
        <w:ind w:left="6" w:right="291" w:firstLine="490"/>
        <w:rPr>
          <w:rFonts w:ascii="宋体" w:hAnsi="宋体" w:eastAsia="宋体" w:cs="宋体"/>
          <w:sz w:val="24"/>
          <w:szCs w:val="24"/>
        </w:rPr>
      </w:pPr>
      <w:r>
        <w:rPr>
          <w:rFonts w:ascii="宋体" w:hAnsi="宋体" w:eastAsia="宋体" w:cs="宋体"/>
          <w:spacing w:val="1"/>
          <w:sz w:val="24"/>
          <w:szCs w:val="24"/>
        </w:rPr>
        <w:t>（2）由现浇或预制梁板的上拱度造成的桥面铺装（调平层、沥青面层）工程量变</w:t>
      </w:r>
      <w:r>
        <w:rPr>
          <w:rFonts w:ascii="宋体" w:hAnsi="宋体" w:eastAsia="宋体" w:cs="宋体"/>
          <w:spacing w:val="9"/>
          <w:sz w:val="24"/>
          <w:szCs w:val="24"/>
        </w:rPr>
        <w:t xml:space="preserve"> </w:t>
      </w:r>
      <w:r>
        <w:rPr>
          <w:rFonts w:ascii="宋体" w:hAnsi="宋体" w:eastAsia="宋体" w:cs="宋体"/>
          <w:spacing w:val="-2"/>
          <w:sz w:val="24"/>
          <w:szCs w:val="24"/>
        </w:rPr>
        <w:t>化，当引起的调坡所增加的费用，由梁板预制承包人和该合同段路基桥涵承包人各承担</w:t>
      </w:r>
      <w:r>
        <w:rPr>
          <w:rFonts w:ascii="宋体" w:hAnsi="宋体" w:eastAsia="宋体" w:cs="宋体"/>
          <w:spacing w:val="11"/>
          <w:sz w:val="24"/>
          <w:szCs w:val="24"/>
        </w:rPr>
        <w:t xml:space="preserve"> </w:t>
      </w:r>
      <w:r>
        <w:rPr>
          <w:rFonts w:ascii="宋体" w:hAnsi="宋体" w:eastAsia="宋体" w:cs="宋体"/>
          <w:spacing w:val="1"/>
          <w:sz w:val="24"/>
          <w:szCs w:val="24"/>
        </w:rPr>
        <w:t>50%；不需调坡时，桥面铺装（调平层、沥青面层）工程量的偏差的风险由该合同段路</w:t>
      </w:r>
    </w:p>
    <w:p>
      <w:pPr>
        <w:spacing w:line="219" w:lineRule="auto"/>
        <w:ind w:left="5"/>
        <w:rPr>
          <w:rFonts w:ascii="宋体" w:hAnsi="宋体" w:eastAsia="宋体" w:cs="宋体"/>
          <w:sz w:val="24"/>
          <w:szCs w:val="24"/>
        </w:rPr>
      </w:pPr>
      <w:r>
        <w:rPr>
          <w:rFonts w:ascii="宋体" w:hAnsi="宋体" w:eastAsia="宋体" w:cs="宋体"/>
          <w:spacing w:val="-2"/>
          <w:sz w:val="24"/>
          <w:szCs w:val="24"/>
        </w:rPr>
        <w:t>基桥涵承包人承担。</w:t>
      </w:r>
    </w:p>
    <w:p>
      <w:pPr>
        <w:spacing w:before="183" w:line="218" w:lineRule="auto"/>
        <w:ind w:left="503"/>
        <w:rPr>
          <w:rFonts w:ascii="宋体" w:hAnsi="宋体" w:eastAsia="宋体" w:cs="宋体"/>
          <w:sz w:val="24"/>
          <w:szCs w:val="24"/>
        </w:rPr>
      </w:pPr>
      <w:r>
        <w:rPr>
          <w:rFonts w:ascii="宋体" w:hAnsi="宋体" w:eastAsia="宋体" w:cs="宋体"/>
          <w:spacing w:val="-4"/>
          <w:sz w:val="24"/>
          <w:szCs w:val="24"/>
        </w:rPr>
        <w:t>13.11</w:t>
      </w:r>
      <w:r>
        <w:rPr>
          <w:rFonts w:ascii="宋体" w:hAnsi="宋体" w:eastAsia="宋体" w:cs="宋体"/>
          <w:spacing w:val="-45"/>
          <w:sz w:val="24"/>
          <w:szCs w:val="24"/>
        </w:rPr>
        <w:t xml:space="preserve"> </w:t>
      </w:r>
      <w:r>
        <w:rPr>
          <w:rFonts w:ascii="宋体" w:hAnsi="宋体" w:eastAsia="宋体" w:cs="宋体"/>
          <w:spacing w:val="-4"/>
          <w:sz w:val="24"/>
          <w:szCs w:val="24"/>
        </w:rPr>
        <w:t>优质优价价款</w:t>
      </w:r>
    </w:p>
    <w:p>
      <w:pPr>
        <w:spacing w:before="182" w:line="468" w:lineRule="exact"/>
        <w:ind w:left="544"/>
        <w:rPr>
          <w:rFonts w:ascii="宋体" w:hAnsi="宋体" w:eastAsia="宋体" w:cs="宋体"/>
          <w:sz w:val="24"/>
          <w:szCs w:val="24"/>
        </w:rPr>
      </w:pPr>
      <w:r>
        <w:rPr>
          <w:rFonts w:ascii="宋体" w:hAnsi="宋体" w:eastAsia="宋体" w:cs="宋体"/>
          <w:spacing w:val="-4"/>
          <w:position w:val="17"/>
          <w:sz w:val="24"/>
          <w:szCs w:val="24"/>
        </w:rPr>
        <w:t>在本项目建设全过程中，全面推行“双标管理</w:t>
      </w:r>
      <w:r>
        <w:rPr>
          <w:rFonts w:ascii="宋体" w:hAnsi="宋体" w:eastAsia="宋体" w:cs="宋体"/>
          <w:spacing w:val="-86"/>
          <w:position w:val="17"/>
          <w:sz w:val="24"/>
          <w:szCs w:val="24"/>
        </w:rPr>
        <w:t xml:space="preserve"> </w:t>
      </w:r>
      <w:r>
        <w:rPr>
          <w:rFonts w:ascii="宋体" w:hAnsi="宋体" w:eastAsia="宋体" w:cs="宋体"/>
          <w:spacing w:val="-4"/>
          <w:position w:val="17"/>
          <w:sz w:val="24"/>
          <w:szCs w:val="24"/>
        </w:rPr>
        <w:t>”（标准化管理、标杆管理</w:t>
      </w:r>
      <w:r>
        <w:rPr>
          <w:rFonts w:ascii="宋体" w:hAnsi="宋体" w:eastAsia="宋体" w:cs="宋体"/>
          <w:spacing w:val="-8"/>
          <w:position w:val="17"/>
          <w:sz w:val="24"/>
          <w:szCs w:val="24"/>
        </w:rPr>
        <w:t>），</w:t>
      </w:r>
      <w:r>
        <w:rPr>
          <w:rFonts w:ascii="宋体" w:hAnsi="宋体" w:eastAsia="宋体" w:cs="宋体"/>
          <w:spacing w:val="-4"/>
          <w:position w:val="17"/>
          <w:sz w:val="24"/>
          <w:szCs w:val="24"/>
        </w:rPr>
        <w:t>建立</w:t>
      </w:r>
    </w:p>
    <w:p>
      <w:pPr>
        <w:spacing w:before="1" w:line="217" w:lineRule="auto"/>
        <w:ind w:left="8"/>
        <w:rPr>
          <w:rFonts w:ascii="宋体" w:hAnsi="宋体" w:eastAsia="宋体" w:cs="宋体"/>
          <w:sz w:val="24"/>
          <w:szCs w:val="24"/>
        </w:rPr>
      </w:pPr>
      <w:r>
        <w:rPr>
          <w:rFonts w:ascii="宋体" w:hAnsi="宋体" w:eastAsia="宋体" w:cs="宋体"/>
          <w:spacing w:val="-2"/>
          <w:sz w:val="24"/>
          <w:szCs w:val="24"/>
        </w:rPr>
        <w:t>工程质量优质优价奖罚制度，激励承包人提高工程质量和管理水平，具体按发包人根据</w:t>
      </w:r>
    </w:p>
    <w:p>
      <w:pPr>
        <w:spacing w:line="425" w:lineRule="auto"/>
        <w:rPr>
          <w:rFonts w:ascii="Arial"/>
          <w:sz w:val="21"/>
        </w:rPr>
      </w:pPr>
    </w:p>
    <w:p>
      <w:pPr>
        <w:spacing w:before="78" w:line="466" w:lineRule="exact"/>
        <w:ind w:left="5"/>
        <w:rPr>
          <w:rFonts w:ascii="宋体" w:hAnsi="宋体" w:eastAsia="宋体" w:cs="宋体"/>
          <w:sz w:val="24"/>
          <w:szCs w:val="24"/>
        </w:rPr>
      </w:pPr>
      <w:r>
        <w:rPr>
          <w:rFonts w:ascii="宋体" w:hAnsi="宋体" w:eastAsia="宋体" w:cs="宋体"/>
          <w:spacing w:val="-2"/>
          <w:position w:val="17"/>
          <w:sz w:val="24"/>
          <w:szCs w:val="24"/>
        </w:rPr>
        <w:t>广东省交通运输厅《关于印发广东省高速公路工程优质优价和施工监理优监优酬实施意</w:t>
      </w:r>
    </w:p>
    <w:p>
      <w:pPr>
        <w:spacing w:line="219" w:lineRule="auto"/>
        <w:ind w:left="9"/>
        <w:rPr>
          <w:rFonts w:ascii="宋体" w:hAnsi="宋体" w:eastAsia="宋体" w:cs="宋体"/>
          <w:sz w:val="24"/>
          <w:szCs w:val="24"/>
        </w:rPr>
      </w:pPr>
      <w:r>
        <w:rPr>
          <w:rFonts w:ascii="宋体" w:hAnsi="宋体" w:eastAsia="宋体" w:cs="宋体"/>
          <w:spacing w:val="-1"/>
          <w:sz w:val="24"/>
          <w:szCs w:val="24"/>
        </w:rPr>
        <w:t>见的通知》等文件制订的实施细则执行。</w:t>
      </w:r>
    </w:p>
    <w:p>
      <w:pPr>
        <w:spacing w:before="183" w:line="359" w:lineRule="auto"/>
        <w:ind w:left="8" w:right="291" w:firstLine="540"/>
        <w:rPr>
          <w:rFonts w:ascii="宋体" w:hAnsi="宋体" w:eastAsia="宋体" w:cs="宋体"/>
          <w:sz w:val="24"/>
          <w:szCs w:val="24"/>
        </w:rPr>
      </w:pPr>
      <w:r>
        <w:rPr>
          <w:rFonts w:ascii="宋体" w:hAnsi="宋体" w:eastAsia="宋体" w:cs="宋体"/>
          <w:spacing w:val="-4"/>
          <w:sz w:val="24"/>
          <w:szCs w:val="24"/>
        </w:rPr>
        <w:t>发包人将根据工程实际开展各项工程的质量评比和奖罚，项目（如项目采用分段管</w:t>
      </w:r>
      <w:r>
        <w:rPr>
          <w:rFonts w:ascii="宋体" w:hAnsi="宋体" w:eastAsia="宋体" w:cs="宋体"/>
          <w:spacing w:val="16"/>
          <w:sz w:val="24"/>
          <w:szCs w:val="24"/>
        </w:rPr>
        <w:t xml:space="preserve"> </w:t>
      </w:r>
      <w:r>
        <w:rPr>
          <w:rFonts w:ascii="宋体" w:hAnsi="宋体" w:eastAsia="宋体" w:cs="宋体"/>
          <w:spacing w:val="-2"/>
          <w:sz w:val="24"/>
          <w:szCs w:val="24"/>
        </w:rPr>
        <w:t>理，则按项目段计列）用于奖励的金额比例详见项目专用合同条款数据表的约定，由项</w:t>
      </w:r>
    </w:p>
    <w:p>
      <w:pPr>
        <w:spacing w:line="219" w:lineRule="auto"/>
        <w:ind w:left="51"/>
        <w:rPr>
          <w:rFonts w:ascii="宋体" w:hAnsi="宋体" w:eastAsia="宋体" w:cs="宋体"/>
          <w:sz w:val="24"/>
          <w:szCs w:val="24"/>
        </w:rPr>
      </w:pPr>
      <w:r>
        <w:rPr>
          <w:rFonts w:ascii="宋体" w:hAnsi="宋体" w:eastAsia="宋体" w:cs="宋体"/>
          <w:spacing w:val="-10"/>
          <w:sz w:val="24"/>
          <w:szCs w:val="24"/>
        </w:rPr>
        <w:t>目统筹使用。</w:t>
      </w:r>
    </w:p>
    <w:p>
      <w:pPr>
        <w:spacing w:before="180" w:line="219" w:lineRule="auto"/>
        <w:ind w:left="503"/>
        <w:rPr>
          <w:rFonts w:ascii="宋体" w:hAnsi="宋体" w:eastAsia="宋体" w:cs="宋体"/>
          <w:sz w:val="24"/>
          <w:szCs w:val="24"/>
        </w:rPr>
      </w:pPr>
      <w:r>
        <w:rPr>
          <w:rFonts w:ascii="宋体" w:hAnsi="宋体" w:eastAsia="宋体" w:cs="宋体"/>
          <w:spacing w:val="-3"/>
          <w:sz w:val="24"/>
          <w:szCs w:val="24"/>
        </w:rPr>
        <w:t>13.12</w:t>
      </w:r>
      <w:r>
        <w:rPr>
          <w:rFonts w:ascii="宋体" w:hAnsi="宋体" w:eastAsia="宋体" w:cs="宋体"/>
          <w:spacing w:val="-38"/>
          <w:sz w:val="24"/>
          <w:szCs w:val="24"/>
        </w:rPr>
        <w:t xml:space="preserve"> </w:t>
      </w:r>
      <w:r>
        <w:rPr>
          <w:rFonts w:ascii="宋体" w:hAnsi="宋体" w:eastAsia="宋体" w:cs="宋体"/>
          <w:spacing w:val="-3"/>
          <w:sz w:val="24"/>
          <w:szCs w:val="24"/>
        </w:rPr>
        <w:t>未解除承包人的义务和责任</w:t>
      </w:r>
    </w:p>
    <w:p>
      <w:pPr>
        <w:spacing w:before="183" w:line="359" w:lineRule="auto"/>
        <w:ind w:left="6" w:right="291" w:firstLine="479"/>
        <w:rPr>
          <w:rFonts w:ascii="宋体" w:hAnsi="宋体" w:eastAsia="宋体" w:cs="宋体"/>
          <w:sz w:val="24"/>
          <w:szCs w:val="24"/>
        </w:rPr>
      </w:pPr>
      <w:r>
        <w:rPr>
          <w:rFonts w:ascii="宋体" w:hAnsi="宋体" w:eastAsia="宋体" w:cs="宋体"/>
          <w:spacing w:val="-2"/>
          <w:sz w:val="24"/>
          <w:szCs w:val="24"/>
        </w:rPr>
        <w:t>承包人是工程质量的直接责任人，监理人对工程材料和施工工艺的认可或对工程进</w:t>
      </w:r>
      <w:r>
        <w:rPr>
          <w:rFonts w:ascii="宋体" w:hAnsi="宋体" w:eastAsia="宋体" w:cs="宋体"/>
          <w:spacing w:val="8"/>
          <w:sz w:val="24"/>
          <w:szCs w:val="24"/>
        </w:rPr>
        <w:t xml:space="preserve"> </w:t>
      </w:r>
      <w:r>
        <w:rPr>
          <w:rFonts w:ascii="宋体" w:hAnsi="宋体" w:eastAsia="宋体" w:cs="宋体"/>
          <w:spacing w:val="-2"/>
          <w:sz w:val="24"/>
          <w:szCs w:val="24"/>
        </w:rPr>
        <w:t>行验收和计量支付，并不免除承包人对这些工程的合同责任。承包人不但应对质量缺陷</w:t>
      </w:r>
      <w:r>
        <w:rPr>
          <w:rFonts w:ascii="宋体" w:hAnsi="宋体" w:eastAsia="宋体" w:cs="宋体"/>
          <w:spacing w:val="11"/>
          <w:sz w:val="24"/>
          <w:szCs w:val="24"/>
        </w:rPr>
        <w:t xml:space="preserve"> </w:t>
      </w:r>
      <w:r>
        <w:rPr>
          <w:rFonts w:ascii="宋体" w:hAnsi="宋体" w:eastAsia="宋体" w:cs="宋体"/>
          <w:spacing w:val="-2"/>
          <w:sz w:val="24"/>
          <w:szCs w:val="24"/>
        </w:rPr>
        <w:t>或质量事故进行自费修复或返工，还应承担由此带来的一切损失。如承包人出现严重的</w:t>
      </w:r>
      <w:r>
        <w:rPr>
          <w:rFonts w:ascii="宋体" w:hAnsi="宋体" w:eastAsia="宋体" w:cs="宋体"/>
          <w:spacing w:val="11"/>
          <w:sz w:val="24"/>
          <w:szCs w:val="24"/>
        </w:rPr>
        <w:t xml:space="preserve"> </w:t>
      </w:r>
      <w:r>
        <w:rPr>
          <w:rFonts w:ascii="宋体" w:hAnsi="宋体" w:eastAsia="宋体" w:cs="宋体"/>
          <w:spacing w:val="-2"/>
          <w:sz w:val="24"/>
          <w:szCs w:val="24"/>
        </w:rPr>
        <w:t>质量缺陷或质量事故，除应承担上述责任和处罚外，视为承包人违约，发包人有权单方</w:t>
      </w:r>
    </w:p>
    <w:p>
      <w:pPr>
        <w:spacing w:line="221" w:lineRule="auto"/>
        <w:ind w:left="9"/>
        <w:rPr>
          <w:rFonts w:ascii="宋体" w:hAnsi="宋体" w:eastAsia="宋体" w:cs="宋体"/>
          <w:sz w:val="24"/>
          <w:szCs w:val="24"/>
        </w:rPr>
      </w:pPr>
      <w:r>
        <w:rPr>
          <w:rFonts w:ascii="宋体" w:hAnsi="宋体" w:eastAsia="宋体" w:cs="宋体"/>
          <w:spacing w:val="-3"/>
          <w:sz w:val="24"/>
          <w:szCs w:val="24"/>
        </w:rPr>
        <w:t>终止合同。</w:t>
      </w:r>
    </w:p>
    <w:p>
      <w:pPr>
        <w:spacing w:before="178" w:line="221" w:lineRule="auto"/>
        <w:ind w:left="503"/>
        <w:rPr>
          <w:rFonts w:ascii="宋体" w:hAnsi="宋体" w:eastAsia="宋体" w:cs="宋体"/>
          <w:sz w:val="24"/>
          <w:szCs w:val="24"/>
        </w:rPr>
      </w:pPr>
      <w:r>
        <w:rPr>
          <w:rFonts w:ascii="宋体" w:hAnsi="宋体" w:eastAsia="宋体" w:cs="宋体"/>
          <w:spacing w:val="-7"/>
          <w:sz w:val="24"/>
          <w:szCs w:val="24"/>
          <w14:textOutline w14:w="4358" w14:cap="sq" w14:cmpd="sng">
            <w14:solidFill>
              <w14:srgbClr w14:val="000000"/>
            </w14:solidFill>
            <w14:prstDash w14:val="solid"/>
            <w14:bevel/>
          </w14:textOutline>
        </w:rPr>
        <w:t>15.</w:t>
      </w:r>
      <w:r>
        <w:rPr>
          <w:rFonts w:ascii="宋体" w:hAnsi="宋体" w:eastAsia="宋体" w:cs="宋体"/>
          <w:spacing w:val="11"/>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变更</w:t>
      </w:r>
    </w:p>
    <w:p>
      <w:pPr>
        <w:spacing w:before="181" w:line="220" w:lineRule="auto"/>
        <w:ind w:left="503"/>
        <w:rPr>
          <w:rFonts w:ascii="宋体" w:hAnsi="宋体" w:eastAsia="宋体" w:cs="宋体"/>
          <w:sz w:val="24"/>
          <w:szCs w:val="24"/>
        </w:rPr>
      </w:pPr>
      <w:r>
        <w:rPr>
          <w:rFonts w:ascii="宋体" w:hAnsi="宋体" w:eastAsia="宋体" w:cs="宋体"/>
          <w:spacing w:val="-4"/>
          <w:sz w:val="24"/>
          <w:szCs w:val="24"/>
        </w:rPr>
        <w:t>15.3 变更程序</w:t>
      </w:r>
    </w:p>
    <w:p>
      <w:pPr>
        <w:spacing w:before="181" w:line="219" w:lineRule="auto"/>
        <w:ind w:left="484"/>
        <w:rPr>
          <w:rFonts w:ascii="宋体" w:hAnsi="宋体" w:eastAsia="宋体" w:cs="宋体"/>
          <w:sz w:val="24"/>
          <w:szCs w:val="24"/>
        </w:rPr>
      </w:pPr>
      <w:r>
        <w:rPr>
          <w:rFonts w:ascii="宋体" w:hAnsi="宋体" w:eastAsia="宋体" w:cs="宋体"/>
          <w:spacing w:val="-3"/>
          <w:sz w:val="24"/>
          <w:szCs w:val="24"/>
        </w:rPr>
        <w:t>在本款第</w:t>
      </w:r>
      <w:r>
        <w:rPr>
          <w:rFonts w:ascii="宋体" w:hAnsi="宋体" w:eastAsia="宋体" w:cs="宋体"/>
          <w:spacing w:val="-26"/>
          <w:sz w:val="24"/>
          <w:szCs w:val="24"/>
        </w:rPr>
        <w:t xml:space="preserve"> </w:t>
      </w:r>
      <w:r>
        <w:rPr>
          <w:rFonts w:ascii="宋体" w:hAnsi="宋体" w:eastAsia="宋体" w:cs="宋体"/>
          <w:spacing w:val="-3"/>
          <w:sz w:val="24"/>
          <w:szCs w:val="24"/>
        </w:rPr>
        <w:t>15.3.4</w:t>
      </w:r>
      <w:r>
        <w:rPr>
          <w:rFonts w:ascii="宋体" w:hAnsi="宋体" w:eastAsia="宋体" w:cs="宋体"/>
          <w:spacing w:val="-47"/>
          <w:sz w:val="24"/>
          <w:szCs w:val="24"/>
        </w:rPr>
        <w:t xml:space="preserve"> </w:t>
      </w:r>
      <w:r>
        <w:rPr>
          <w:rFonts w:ascii="宋体" w:hAnsi="宋体" w:eastAsia="宋体" w:cs="宋体"/>
          <w:spacing w:val="-3"/>
          <w:sz w:val="24"/>
          <w:szCs w:val="24"/>
        </w:rPr>
        <w:t>项后增加以下内容：</w:t>
      </w:r>
    </w:p>
    <w:p>
      <w:pPr>
        <w:spacing w:before="181" w:line="219" w:lineRule="auto"/>
        <w:ind w:left="508"/>
        <w:rPr>
          <w:rFonts w:ascii="宋体" w:hAnsi="宋体" w:eastAsia="宋体" w:cs="宋体"/>
          <w:sz w:val="24"/>
          <w:szCs w:val="24"/>
        </w:rPr>
      </w:pPr>
      <w:r>
        <w:rPr>
          <w:rFonts w:ascii="宋体" w:hAnsi="宋体" w:eastAsia="宋体" w:cs="宋体"/>
          <w:spacing w:val="-1"/>
          <w:sz w:val="24"/>
          <w:szCs w:val="24"/>
        </w:rPr>
        <w:t>同时工程变更还应执行广东省交通运输厅及发包人颁布的相关变更管理办法规定。</w:t>
      </w:r>
    </w:p>
    <w:p>
      <w:pPr>
        <w:spacing w:before="184" w:line="218" w:lineRule="auto"/>
        <w:ind w:left="503"/>
        <w:rPr>
          <w:rFonts w:ascii="宋体" w:hAnsi="宋体" w:eastAsia="宋体" w:cs="宋体"/>
          <w:sz w:val="24"/>
          <w:szCs w:val="24"/>
        </w:rPr>
      </w:pPr>
      <w:r>
        <w:rPr>
          <w:rFonts w:ascii="宋体" w:hAnsi="宋体" w:eastAsia="宋体" w:cs="宋体"/>
          <w:spacing w:val="-3"/>
          <w:sz w:val="24"/>
          <w:szCs w:val="24"/>
        </w:rPr>
        <w:t>15.4 变更的估价原则</w:t>
      </w:r>
    </w:p>
    <w:p>
      <w:pPr>
        <w:spacing w:before="182" w:line="219" w:lineRule="auto"/>
        <w:ind w:left="483"/>
        <w:rPr>
          <w:rFonts w:ascii="宋体" w:hAnsi="宋体" w:eastAsia="宋体" w:cs="宋体"/>
          <w:sz w:val="24"/>
          <w:szCs w:val="24"/>
        </w:rPr>
      </w:pPr>
      <w:r>
        <w:rPr>
          <w:rFonts w:ascii="宋体" w:hAnsi="宋体" w:eastAsia="宋体" w:cs="宋体"/>
          <w:spacing w:val="-2"/>
          <w:sz w:val="24"/>
          <w:szCs w:val="24"/>
        </w:rPr>
        <w:t>将本款第</w:t>
      </w:r>
      <w:r>
        <w:rPr>
          <w:rFonts w:ascii="宋体" w:hAnsi="宋体" w:eastAsia="宋体" w:cs="宋体"/>
          <w:spacing w:val="-22"/>
          <w:sz w:val="24"/>
          <w:szCs w:val="24"/>
        </w:rPr>
        <w:t xml:space="preserve"> </w:t>
      </w:r>
      <w:r>
        <w:rPr>
          <w:rFonts w:ascii="宋体" w:hAnsi="宋体" w:eastAsia="宋体" w:cs="宋体"/>
          <w:spacing w:val="-2"/>
          <w:sz w:val="24"/>
          <w:szCs w:val="24"/>
        </w:rPr>
        <w:t>15.4.1～15.4.5</w:t>
      </w:r>
      <w:r>
        <w:rPr>
          <w:rFonts w:ascii="宋体" w:hAnsi="宋体" w:eastAsia="宋体" w:cs="宋体"/>
          <w:spacing w:val="-47"/>
          <w:sz w:val="24"/>
          <w:szCs w:val="24"/>
        </w:rPr>
        <w:t xml:space="preserve"> </w:t>
      </w:r>
      <w:r>
        <w:rPr>
          <w:rFonts w:ascii="宋体" w:hAnsi="宋体" w:eastAsia="宋体" w:cs="宋体"/>
          <w:spacing w:val="-2"/>
          <w:sz w:val="24"/>
          <w:szCs w:val="24"/>
        </w:rPr>
        <w:t>项删除，并用以下内容代替：</w:t>
      </w:r>
    </w:p>
    <w:p>
      <w:pPr>
        <w:spacing w:before="181" w:line="218" w:lineRule="auto"/>
        <w:ind w:left="504"/>
        <w:rPr>
          <w:rFonts w:ascii="宋体" w:hAnsi="宋体" w:eastAsia="宋体" w:cs="宋体"/>
          <w:sz w:val="24"/>
          <w:szCs w:val="24"/>
        </w:rPr>
      </w:pPr>
      <w:r>
        <w:rPr>
          <w:rFonts w:ascii="宋体" w:hAnsi="宋体" w:eastAsia="宋体" w:cs="宋体"/>
          <w:spacing w:val="-1"/>
          <w:sz w:val="24"/>
          <w:szCs w:val="24"/>
        </w:rPr>
        <w:t>因变更引起的价格调整，应按以下优先顺序所列原则进行处</w:t>
      </w:r>
      <w:r>
        <w:rPr>
          <w:rFonts w:ascii="宋体" w:hAnsi="宋体" w:eastAsia="宋体" w:cs="宋体"/>
          <w:spacing w:val="-2"/>
          <w:sz w:val="24"/>
          <w:szCs w:val="24"/>
        </w:rPr>
        <w:t>理：</w:t>
      </w:r>
    </w:p>
    <w:p>
      <w:pPr>
        <w:spacing w:before="184" w:line="218" w:lineRule="auto"/>
        <w:ind w:left="503"/>
        <w:rPr>
          <w:rFonts w:ascii="宋体" w:hAnsi="宋体" w:eastAsia="宋体" w:cs="宋体"/>
          <w:sz w:val="24"/>
          <w:szCs w:val="24"/>
        </w:rPr>
      </w:pPr>
      <w:r>
        <w:rPr>
          <w:rFonts w:ascii="宋体" w:hAnsi="宋体" w:eastAsia="宋体" w:cs="宋体"/>
          <w:spacing w:val="-1"/>
          <w:sz w:val="24"/>
          <w:szCs w:val="24"/>
        </w:rPr>
        <w:t>15.4.1 如果取消某项工作，则该项工作的总额价不予支付；</w:t>
      </w:r>
    </w:p>
    <w:p>
      <w:pPr>
        <w:spacing w:before="184" w:line="359" w:lineRule="auto"/>
        <w:ind w:left="6" w:right="291" w:firstLine="515"/>
        <w:rPr>
          <w:rFonts w:ascii="宋体" w:hAnsi="宋体" w:eastAsia="宋体" w:cs="宋体"/>
          <w:sz w:val="24"/>
          <w:szCs w:val="24"/>
        </w:rPr>
      </w:pPr>
      <w:r>
        <w:rPr>
          <w:rFonts w:ascii="宋体" w:hAnsi="宋体" w:eastAsia="宋体" w:cs="宋体"/>
          <w:spacing w:val="2"/>
          <w:sz w:val="24"/>
          <w:szCs w:val="24"/>
        </w:rPr>
        <w:t>15.4.2</w:t>
      </w:r>
      <w:r>
        <w:rPr>
          <w:rFonts w:ascii="宋体" w:hAnsi="宋体" w:eastAsia="宋体" w:cs="宋体"/>
          <w:spacing w:val="-45"/>
          <w:sz w:val="24"/>
          <w:szCs w:val="24"/>
        </w:rPr>
        <w:t xml:space="preserve"> </w:t>
      </w:r>
      <w:r>
        <w:rPr>
          <w:rFonts w:ascii="宋体" w:hAnsi="宋体" w:eastAsia="宋体" w:cs="宋体"/>
          <w:spacing w:val="2"/>
          <w:sz w:val="24"/>
          <w:szCs w:val="24"/>
        </w:rPr>
        <w:t>本合同段工程量清单中有相同或相似工程细目</w:t>
      </w:r>
      <w:r>
        <w:rPr>
          <w:rFonts w:ascii="宋体" w:hAnsi="宋体" w:eastAsia="宋体" w:cs="宋体"/>
          <w:spacing w:val="1"/>
          <w:sz w:val="24"/>
          <w:szCs w:val="24"/>
        </w:rPr>
        <w:t>单价的，经发包人与承包人</w:t>
      </w:r>
      <w:r>
        <w:rPr>
          <w:rFonts w:ascii="宋体" w:hAnsi="宋体" w:eastAsia="宋体" w:cs="宋体"/>
          <w:sz w:val="24"/>
          <w:szCs w:val="24"/>
        </w:rPr>
        <w:t xml:space="preserve"> </w:t>
      </w:r>
      <w:r>
        <w:rPr>
          <w:rFonts w:ascii="宋体" w:hAnsi="宋体" w:eastAsia="宋体" w:cs="宋体"/>
          <w:spacing w:val="-2"/>
          <w:sz w:val="24"/>
          <w:szCs w:val="24"/>
        </w:rPr>
        <w:t>协商一致同意可直接套用该单价。本合同段内没有相同或适用合同单价的，原则上应套</w:t>
      </w:r>
      <w:r>
        <w:rPr>
          <w:rFonts w:ascii="宋体" w:hAnsi="宋体" w:eastAsia="宋体" w:cs="宋体"/>
          <w:spacing w:val="11"/>
          <w:sz w:val="24"/>
          <w:szCs w:val="24"/>
        </w:rPr>
        <w:t xml:space="preserve"> </w:t>
      </w:r>
      <w:r>
        <w:rPr>
          <w:rFonts w:ascii="宋体" w:hAnsi="宋体" w:eastAsia="宋体" w:cs="宋体"/>
          <w:spacing w:val="1"/>
          <w:sz w:val="24"/>
          <w:szCs w:val="24"/>
        </w:rPr>
        <w:t>用同类合同段相应单价的</w:t>
      </w:r>
      <w:r>
        <w:rPr>
          <w:rFonts w:ascii="宋体" w:hAnsi="宋体" w:eastAsia="宋体" w:cs="宋体"/>
          <w:spacing w:val="1"/>
          <w:sz w:val="24"/>
          <w:szCs w:val="24"/>
          <w:u w:val="single" w:color="auto"/>
        </w:rPr>
        <w:t>算术平均值/加权平均值；</w:t>
      </w:r>
      <w:r>
        <w:rPr>
          <w:rFonts w:ascii="宋体" w:hAnsi="宋体" w:eastAsia="宋体" w:cs="宋体"/>
          <w:spacing w:val="1"/>
          <w:sz w:val="24"/>
          <w:szCs w:val="24"/>
        </w:rPr>
        <w:t>但监理人认为受施工现场自然环境</w:t>
      </w:r>
    </w:p>
    <w:p>
      <w:pPr>
        <w:spacing w:before="1" w:line="217" w:lineRule="auto"/>
        <w:ind w:left="5"/>
        <w:rPr>
          <w:rFonts w:ascii="宋体" w:hAnsi="宋体" w:eastAsia="宋体" w:cs="宋体"/>
          <w:sz w:val="24"/>
          <w:szCs w:val="24"/>
        </w:rPr>
      </w:pPr>
      <w:r>
        <w:rPr>
          <w:rFonts w:ascii="宋体" w:hAnsi="宋体" w:eastAsia="宋体" w:cs="宋体"/>
          <w:sz w:val="24"/>
          <w:szCs w:val="24"/>
        </w:rPr>
        <w:t>影响大的工程项目单价，报发包人同意后可套用自然环境相</w:t>
      </w:r>
      <w:r>
        <w:rPr>
          <w:rFonts w:ascii="宋体" w:hAnsi="宋体" w:eastAsia="宋体" w:cs="宋体"/>
          <w:spacing w:val="-1"/>
          <w:sz w:val="24"/>
          <w:szCs w:val="24"/>
        </w:rPr>
        <w:t>近似的合同段相应细目；</w:t>
      </w:r>
    </w:p>
    <w:p>
      <w:pPr>
        <w:spacing w:before="184" w:line="359" w:lineRule="auto"/>
        <w:ind w:left="7" w:right="291" w:firstLine="515"/>
        <w:rPr>
          <w:rFonts w:ascii="宋体" w:hAnsi="宋体" w:eastAsia="宋体" w:cs="宋体"/>
          <w:sz w:val="24"/>
          <w:szCs w:val="24"/>
        </w:rPr>
      </w:pPr>
      <w:r>
        <w:rPr>
          <w:rFonts w:ascii="宋体" w:hAnsi="宋体" w:eastAsia="宋体" w:cs="宋体"/>
          <w:spacing w:val="1"/>
          <w:sz w:val="24"/>
          <w:szCs w:val="24"/>
        </w:rPr>
        <w:t>15.4.3 以综合单价报价的计量项目</w:t>
      </w:r>
      <w:r>
        <w:rPr>
          <w:rFonts w:ascii="宋体" w:hAnsi="宋体" w:eastAsia="宋体" w:cs="宋体"/>
          <w:sz w:val="24"/>
          <w:szCs w:val="24"/>
        </w:rPr>
        <w:t xml:space="preserve">，如果只是由于使用材料或局部尺寸调整，则 </w:t>
      </w:r>
      <w:r>
        <w:rPr>
          <w:rFonts w:ascii="宋体" w:hAnsi="宋体" w:eastAsia="宋体" w:cs="宋体"/>
          <w:spacing w:val="-2"/>
          <w:sz w:val="24"/>
          <w:szCs w:val="24"/>
        </w:rPr>
        <w:t>原支付单价不变，而只在原合同单价基础上，调整相应的材料价差和合理的工效增减费</w:t>
      </w:r>
      <w:r>
        <w:rPr>
          <w:rFonts w:ascii="宋体" w:hAnsi="宋体" w:eastAsia="宋体" w:cs="宋体"/>
          <w:spacing w:val="10"/>
          <w:sz w:val="24"/>
          <w:szCs w:val="24"/>
        </w:rPr>
        <w:t xml:space="preserve"> </w:t>
      </w:r>
      <w:r>
        <w:rPr>
          <w:rFonts w:ascii="宋体" w:hAnsi="宋体" w:eastAsia="宋体" w:cs="宋体"/>
          <w:spacing w:val="-2"/>
          <w:sz w:val="24"/>
          <w:szCs w:val="24"/>
        </w:rPr>
        <w:t>用。对于机电设备，如发包人未提高技术标准或参数指标，任何品牌或型号的调整，其</w:t>
      </w:r>
    </w:p>
    <w:p>
      <w:pPr>
        <w:spacing w:before="1" w:line="217" w:lineRule="auto"/>
        <w:ind w:left="8"/>
        <w:rPr>
          <w:rFonts w:ascii="宋体" w:hAnsi="宋体" w:eastAsia="宋体" w:cs="宋体"/>
          <w:sz w:val="24"/>
          <w:szCs w:val="24"/>
        </w:rPr>
      </w:pPr>
      <w:r>
        <w:rPr>
          <w:rFonts w:ascii="宋体" w:hAnsi="宋体" w:eastAsia="宋体" w:cs="宋体"/>
          <w:spacing w:val="-1"/>
          <w:sz w:val="24"/>
          <w:szCs w:val="24"/>
        </w:rPr>
        <w:t>性能指标不得低于技术规范及设计文件要求，且发包人不予价格调整。</w:t>
      </w:r>
    </w:p>
    <w:p>
      <w:pPr>
        <w:spacing w:before="185" w:line="218" w:lineRule="auto"/>
        <w:ind w:left="522"/>
        <w:rPr>
          <w:rFonts w:ascii="宋体" w:hAnsi="宋体" w:eastAsia="宋体" w:cs="宋体"/>
          <w:sz w:val="24"/>
          <w:szCs w:val="24"/>
        </w:rPr>
      </w:pPr>
      <w:r>
        <w:rPr>
          <w:rFonts w:ascii="宋体" w:hAnsi="宋体" w:eastAsia="宋体" w:cs="宋体"/>
          <w:spacing w:val="2"/>
          <w:sz w:val="24"/>
          <w:szCs w:val="24"/>
        </w:rPr>
        <w:t>15.4.4</w:t>
      </w:r>
      <w:r>
        <w:rPr>
          <w:rFonts w:ascii="宋体" w:hAnsi="宋体" w:eastAsia="宋体" w:cs="宋体"/>
          <w:spacing w:val="-42"/>
          <w:sz w:val="24"/>
          <w:szCs w:val="24"/>
        </w:rPr>
        <w:t xml:space="preserve"> </w:t>
      </w:r>
      <w:r>
        <w:rPr>
          <w:rFonts w:ascii="宋体" w:hAnsi="宋体" w:eastAsia="宋体" w:cs="宋体"/>
          <w:spacing w:val="2"/>
          <w:sz w:val="24"/>
          <w:szCs w:val="24"/>
        </w:rPr>
        <w:t>如上述价格调整原则不适用或按上述原</w:t>
      </w:r>
      <w:r>
        <w:rPr>
          <w:rFonts w:ascii="宋体" w:hAnsi="宋体" w:eastAsia="宋体" w:cs="宋体"/>
          <w:spacing w:val="1"/>
          <w:sz w:val="24"/>
          <w:szCs w:val="24"/>
        </w:rPr>
        <w:t>则计算的单价不合理，经发包人同</w:t>
      </w:r>
    </w:p>
    <w:p>
      <w:pPr>
        <w:spacing w:before="183" w:line="219" w:lineRule="auto"/>
        <w:ind w:left="11"/>
        <w:rPr>
          <w:rFonts w:ascii="宋体" w:hAnsi="宋体" w:eastAsia="宋体" w:cs="宋体"/>
          <w:sz w:val="24"/>
          <w:szCs w:val="24"/>
        </w:rPr>
      </w:pPr>
      <w:r>
        <w:rPr>
          <w:rFonts w:ascii="宋体" w:hAnsi="宋体" w:eastAsia="宋体" w:cs="宋体"/>
          <w:spacing w:val="-2"/>
          <w:sz w:val="24"/>
          <w:szCs w:val="24"/>
        </w:rPr>
        <w:t>意，按以下原则执行。</w:t>
      </w:r>
    </w:p>
    <w:p>
      <w:pPr>
        <w:spacing w:before="182" w:line="218" w:lineRule="auto"/>
        <w:ind w:left="522"/>
        <w:rPr>
          <w:rFonts w:ascii="宋体" w:hAnsi="宋体" w:eastAsia="宋体" w:cs="宋体"/>
          <w:sz w:val="24"/>
          <w:szCs w:val="24"/>
        </w:rPr>
      </w:pPr>
      <w:r>
        <w:fldChar w:fldCharType="begin"/>
      </w:r>
      <w:r>
        <w:instrText xml:space="preserve"> HYPERLINK "15.4.4.1" </w:instrText>
      </w:r>
      <w:r>
        <w:fldChar w:fldCharType="separate"/>
      </w:r>
      <w:r>
        <w:rPr>
          <w:rFonts w:ascii="宋体" w:hAnsi="宋体" w:eastAsia="宋体" w:cs="宋体"/>
          <w:spacing w:val="2"/>
          <w:sz w:val="24"/>
          <w:szCs w:val="24"/>
        </w:rPr>
        <w:t>15.4.4.1</w:t>
      </w:r>
      <w:r>
        <w:rPr>
          <w:rFonts w:ascii="宋体" w:hAnsi="宋体" w:eastAsia="宋体" w:cs="宋体"/>
          <w:spacing w:val="2"/>
          <w:sz w:val="24"/>
          <w:szCs w:val="24"/>
        </w:rPr>
        <w:fldChar w:fldCharType="end"/>
      </w:r>
      <w:r>
        <w:rPr>
          <w:rFonts w:ascii="宋体" w:hAnsi="宋体" w:eastAsia="宋体" w:cs="宋体"/>
          <w:spacing w:val="-44"/>
          <w:sz w:val="24"/>
          <w:szCs w:val="24"/>
        </w:rPr>
        <w:t xml:space="preserve"> </w:t>
      </w:r>
      <w:r>
        <w:rPr>
          <w:rFonts w:ascii="宋体" w:hAnsi="宋体" w:eastAsia="宋体" w:cs="宋体"/>
          <w:spacing w:val="2"/>
          <w:sz w:val="24"/>
          <w:szCs w:val="24"/>
        </w:rPr>
        <w:t>参照招标人公布的最高投标限价</w:t>
      </w:r>
      <w:r>
        <w:rPr>
          <w:rFonts w:ascii="宋体" w:hAnsi="宋体" w:eastAsia="宋体" w:cs="宋体"/>
          <w:spacing w:val="1"/>
          <w:sz w:val="24"/>
          <w:szCs w:val="24"/>
        </w:rPr>
        <w:t>编制时选用的有关定额及补充的定额，</w:t>
      </w:r>
    </w:p>
    <w:p>
      <w:pPr>
        <w:spacing w:line="425" w:lineRule="auto"/>
        <w:rPr>
          <w:rFonts w:ascii="Arial"/>
          <w:sz w:val="21"/>
        </w:rPr>
      </w:pPr>
    </w:p>
    <w:p>
      <w:pPr>
        <w:spacing w:before="78" w:line="359" w:lineRule="auto"/>
        <w:ind w:left="5" w:right="291" w:firstLine="1"/>
        <w:jc w:val="both"/>
        <w:rPr>
          <w:rFonts w:ascii="宋体" w:hAnsi="宋体" w:eastAsia="宋体" w:cs="宋体"/>
          <w:sz w:val="24"/>
          <w:szCs w:val="24"/>
        </w:rPr>
      </w:pPr>
      <w:r>
        <w:rPr>
          <w:rFonts w:ascii="宋体" w:hAnsi="宋体" w:eastAsia="宋体" w:cs="宋体"/>
          <w:spacing w:val="-2"/>
          <w:sz w:val="24"/>
          <w:szCs w:val="24"/>
        </w:rPr>
        <w:t>人工、材料、机械单价按最高投标限价采用的月份（**年**月）信息价编制预算，并在</w:t>
      </w:r>
      <w:r>
        <w:rPr>
          <w:rFonts w:ascii="宋体" w:hAnsi="宋体" w:eastAsia="宋体" w:cs="宋体"/>
          <w:spacing w:val="14"/>
          <w:sz w:val="24"/>
          <w:szCs w:val="24"/>
        </w:rPr>
        <w:t xml:space="preserve"> </w:t>
      </w:r>
      <w:r>
        <w:rPr>
          <w:rFonts w:ascii="宋体" w:hAnsi="宋体" w:eastAsia="宋体" w:cs="宋体"/>
          <w:spacing w:val="5"/>
          <w:sz w:val="24"/>
          <w:szCs w:val="24"/>
        </w:rPr>
        <w:t>上述预算价的基础上按本合同段投标人中标总价较最高投标</w:t>
      </w:r>
      <w:r>
        <w:rPr>
          <w:rFonts w:ascii="宋体" w:hAnsi="宋体" w:eastAsia="宋体" w:cs="宋体"/>
          <w:spacing w:val="4"/>
          <w:sz w:val="24"/>
          <w:szCs w:val="24"/>
        </w:rPr>
        <w:t>限价之下浮比例下浮确定</w:t>
      </w:r>
      <w:r>
        <w:rPr>
          <w:rFonts w:ascii="宋体" w:hAnsi="宋体" w:eastAsia="宋体" w:cs="宋体"/>
          <w:sz w:val="24"/>
          <w:szCs w:val="24"/>
        </w:rPr>
        <w:t xml:space="preserve"> </w:t>
      </w:r>
      <w:r>
        <w:rPr>
          <w:rFonts w:ascii="宋体" w:hAnsi="宋体" w:eastAsia="宋体" w:cs="宋体"/>
          <w:spacing w:val="-3"/>
          <w:sz w:val="24"/>
          <w:szCs w:val="24"/>
        </w:rPr>
        <w:t>变更工程价格。上述“信息价</w:t>
      </w:r>
      <w:r>
        <w:rPr>
          <w:rFonts w:ascii="宋体" w:hAnsi="宋体" w:eastAsia="宋体" w:cs="宋体"/>
          <w:spacing w:val="-70"/>
          <w:sz w:val="24"/>
          <w:szCs w:val="24"/>
        </w:rPr>
        <w:t xml:space="preserve"> </w:t>
      </w:r>
      <w:r>
        <w:rPr>
          <w:rFonts w:ascii="宋体" w:hAnsi="宋体" w:eastAsia="宋体" w:cs="宋体"/>
          <w:spacing w:val="-3"/>
          <w:sz w:val="24"/>
          <w:szCs w:val="24"/>
        </w:rPr>
        <w:t>”指由广东省交通运输工程造价事务中心发布的“广东省</w:t>
      </w:r>
      <w:r>
        <w:rPr>
          <w:rFonts w:ascii="宋体" w:hAnsi="宋体" w:eastAsia="宋体" w:cs="宋体"/>
          <w:sz w:val="24"/>
          <w:szCs w:val="24"/>
        </w:rPr>
        <w:t xml:space="preserve"> </w:t>
      </w:r>
      <w:r>
        <w:rPr>
          <w:rFonts w:ascii="宋体" w:hAnsi="宋体" w:eastAsia="宋体" w:cs="宋体"/>
          <w:spacing w:val="-3"/>
          <w:sz w:val="24"/>
          <w:szCs w:val="24"/>
        </w:rPr>
        <w:t>交通建设工程主要外购材料信息价</w:t>
      </w:r>
      <w:r>
        <w:rPr>
          <w:rFonts w:ascii="宋体" w:hAnsi="宋体" w:eastAsia="宋体" w:cs="宋体"/>
          <w:spacing w:val="-70"/>
          <w:sz w:val="24"/>
          <w:szCs w:val="24"/>
        </w:rPr>
        <w:t xml:space="preserve"> </w:t>
      </w:r>
      <w:r>
        <w:rPr>
          <w:rFonts w:ascii="宋体" w:hAnsi="宋体" w:eastAsia="宋体" w:cs="宋体"/>
          <w:spacing w:val="-3"/>
          <w:sz w:val="24"/>
          <w:szCs w:val="24"/>
        </w:rPr>
        <w:t>”中的项目施工所在地区材料信息价（如无相应信息</w:t>
      </w:r>
    </w:p>
    <w:p>
      <w:pPr>
        <w:spacing w:before="1" w:line="217" w:lineRule="auto"/>
        <w:ind w:left="6"/>
        <w:rPr>
          <w:rFonts w:ascii="宋体" w:hAnsi="宋体" w:eastAsia="宋体" w:cs="宋体"/>
          <w:sz w:val="24"/>
          <w:szCs w:val="24"/>
        </w:rPr>
      </w:pPr>
      <w:r>
        <w:rPr>
          <w:rFonts w:ascii="宋体" w:hAnsi="宋体" w:eastAsia="宋体" w:cs="宋体"/>
          <w:spacing w:val="-1"/>
          <w:sz w:val="24"/>
          <w:szCs w:val="24"/>
        </w:rPr>
        <w:t>价，由发包人另行确定）。</w:t>
      </w:r>
    </w:p>
    <w:p>
      <w:pPr>
        <w:spacing w:before="182" w:line="218" w:lineRule="auto"/>
        <w:ind w:left="511"/>
        <w:rPr>
          <w:rFonts w:ascii="宋体" w:hAnsi="宋体" w:eastAsia="宋体" w:cs="宋体"/>
          <w:sz w:val="24"/>
          <w:szCs w:val="24"/>
        </w:rPr>
      </w:pPr>
      <w:r>
        <w:rPr>
          <w:rFonts w:ascii="宋体" w:hAnsi="宋体" w:eastAsia="宋体" w:cs="宋体"/>
          <w:sz w:val="24"/>
          <w:szCs w:val="24"/>
        </w:rPr>
        <w:t>下浮率=（本合同段最高投标限价-中标总</w:t>
      </w:r>
      <w:r>
        <w:rPr>
          <w:rFonts w:ascii="宋体" w:hAnsi="宋体" w:eastAsia="宋体" w:cs="宋体"/>
          <w:spacing w:val="-1"/>
          <w:sz w:val="24"/>
          <w:szCs w:val="24"/>
        </w:rPr>
        <w:t>价）/本合同段最高投标限价*100%</w:t>
      </w:r>
    </w:p>
    <w:p>
      <w:pPr>
        <w:spacing w:before="184" w:line="466" w:lineRule="exact"/>
        <w:ind w:left="522"/>
        <w:rPr>
          <w:rFonts w:ascii="宋体" w:hAnsi="宋体" w:eastAsia="宋体" w:cs="宋体"/>
          <w:sz w:val="24"/>
          <w:szCs w:val="24"/>
        </w:rPr>
      </w:pPr>
      <w:r>
        <w:fldChar w:fldCharType="begin"/>
      </w:r>
      <w:r>
        <w:instrText xml:space="preserve"> HYPERLINK "15.4.4.2" </w:instrText>
      </w:r>
      <w:r>
        <w:fldChar w:fldCharType="separate"/>
      </w:r>
      <w:r>
        <w:rPr>
          <w:rFonts w:ascii="宋体" w:hAnsi="宋体" w:eastAsia="宋体" w:cs="宋体"/>
          <w:spacing w:val="-1"/>
          <w:position w:val="17"/>
          <w:sz w:val="24"/>
          <w:szCs w:val="24"/>
        </w:rPr>
        <w:t>15.4.4.2</w:t>
      </w:r>
      <w:r>
        <w:rPr>
          <w:rFonts w:ascii="宋体" w:hAnsi="宋体" w:eastAsia="宋体" w:cs="宋体"/>
          <w:spacing w:val="-1"/>
          <w:position w:val="17"/>
          <w:sz w:val="24"/>
          <w:szCs w:val="24"/>
        </w:rPr>
        <w:fldChar w:fldCharType="end"/>
      </w:r>
      <w:r>
        <w:rPr>
          <w:rFonts w:ascii="宋体" w:hAnsi="宋体" w:eastAsia="宋体" w:cs="宋体"/>
          <w:spacing w:val="-49"/>
          <w:position w:val="17"/>
          <w:sz w:val="24"/>
          <w:szCs w:val="24"/>
        </w:rPr>
        <w:t xml:space="preserve"> </w:t>
      </w:r>
      <w:r>
        <w:rPr>
          <w:rFonts w:ascii="宋体" w:hAnsi="宋体" w:eastAsia="宋体" w:cs="宋体"/>
          <w:spacing w:val="-1"/>
          <w:position w:val="17"/>
          <w:sz w:val="24"/>
          <w:szCs w:val="24"/>
        </w:rPr>
        <w:t>按变更程序办理的应急抢险工程，经变更预算</w:t>
      </w:r>
      <w:r>
        <w:rPr>
          <w:rFonts w:ascii="宋体" w:hAnsi="宋体" w:eastAsia="宋体" w:cs="宋体"/>
          <w:spacing w:val="-2"/>
          <w:position w:val="17"/>
          <w:sz w:val="24"/>
          <w:szCs w:val="24"/>
        </w:rPr>
        <w:t>对应审批权限单位同意后，</w:t>
      </w:r>
    </w:p>
    <w:p>
      <w:pPr>
        <w:spacing w:line="219" w:lineRule="auto"/>
        <w:ind w:left="7"/>
        <w:rPr>
          <w:rFonts w:ascii="宋体" w:hAnsi="宋体" w:eastAsia="宋体" w:cs="宋体"/>
          <w:sz w:val="24"/>
          <w:szCs w:val="24"/>
        </w:rPr>
      </w:pPr>
      <w:r>
        <w:rPr>
          <w:rFonts w:ascii="宋体" w:hAnsi="宋体" w:eastAsia="宋体" w:cs="宋体"/>
          <w:sz w:val="24"/>
          <w:szCs w:val="24"/>
        </w:rPr>
        <w:t>可根据实际情况编制预算，变更金额确定原则在项目</w:t>
      </w:r>
      <w:r>
        <w:rPr>
          <w:rFonts w:ascii="宋体" w:hAnsi="宋体" w:eastAsia="宋体" w:cs="宋体"/>
          <w:spacing w:val="-1"/>
          <w:sz w:val="24"/>
          <w:szCs w:val="24"/>
        </w:rPr>
        <w:t>专用合同条款数据表中约定。</w:t>
      </w:r>
    </w:p>
    <w:p>
      <w:pPr>
        <w:spacing w:before="182" w:line="218" w:lineRule="auto"/>
        <w:ind w:left="522"/>
        <w:rPr>
          <w:rFonts w:ascii="宋体" w:hAnsi="宋体" w:eastAsia="宋体" w:cs="宋体"/>
          <w:sz w:val="24"/>
          <w:szCs w:val="24"/>
        </w:rPr>
      </w:pPr>
      <w:r>
        <w:fldChar w:fldCharType="begin"/>
      </w:r>
      <w:r>
        <w:instrText xml:space="preserve"> HYPERLINK "15.4.4.3" </w:instrText>
      </w:r>
      <w:r>
        <w:fldChar w:fldCharType="separate"/>
      </w:r>
      <w:r>
        <w:rPr>
          <w:rFonts w:ascii="宋体" w:hAnsi="宋体" w:eastAsia="宋体" w:cs="宋体"/>
          <w:spacing w:val="-1"/>
          <w:sz w:val="24"/>
          <w:szCs w:val="24"/>
        </w:rPr>
        <w:t>15.4.4.3</w:t>
      </w:r>
      <w:r>
        <w:rPr>
          <w:rFonts w:ascii="宋体" w:hAnsi="宋体" w:eastAsia="宋体" w:cs="宋体"/>
          <w:spacing w:val="-1"/>
          <w:sz w:val="24"/>
          <w:szCs w:val="24"/>
        </w:rPr>
        <w:fldChar w:fldCharType="end"/>
      </w:r>
      <w:r>
        <w:rPr>
          <w:rFonts w:ascii="宋体" w:hAnsi="宋体" w:eastAsia="宋体" w:cs="宋体"/>
          <w:spacing w:val="-50"/>
          <w:sz w:val="24"/>
          <w:szCs w:val="24"/>
        </w:rPr>
        <w:t xml:space="preserve"> </w:t>
      </w:r>
      <w:r>
        <w:rPr>
          <w:rFonts w:ascii="宋体" w:hAnsi="宋体" w:eastAsia="宋体" w:cs="宋体"/>
          <w:spacing w:val="-1"/>
          <w:sz w:val="24"/>
          <w:szCs w:val="24"/>
        </w:rPr>
        <w:t>新增机电设备的变更作价，按以下优先顺序所列原则进行</w:t>
      </w:r>
      <w:r>
        <w:rPr>
          <w:rFonts w:ascii="宋体" w:hAnsi="宋体" w:eastAsia="宋体" w:cs="宋体"/>
          <w:spacing w:val="-2"/>
          <w:sz w:val="24"/>
          <w:szCs w:val="24"/>
        </w:rPr>
        <w:t>处理：</w:t>
      </w:r>
    </w:p>
    <w:p>
      <w:pPr>
        <w:spacing w:before="182" w:line="218" w:lineRule="auto"/>
        <w:ind w:left="516"/>
        <w:rPr>
          <w:rFonts w:ascii="宋体" w:hAnsi="宋体" w:eastAsia="宋体" w:cs="宋体"/>
          <w:sz w:val="24"/>
          <w:szCs w:val="24"/>
        </w:rPr>
      </w:pPr>
      <w:r>
        <w:rPr>
          <w:rFonts w:ascii="宋体" w:hAnsi="宋体" w:eastAsia="宋体" w:cs="宋体"/>
          <w:spacing w:val="-2"/>
          <w:sz w:val="24"/>
          <w:szCs w:val="24"/>
        </w:rPr>
        <w:t>（1）参考省内近</w:t>
      </w:r>
      <w:r>
        <w:rPr>
          <w:rFonts w:ascii="宋体" w:hAnsi="宋体" w:eastAsia="宋体" w:cs="宋体"/>
          <w:spacing w:val="-23"/>
          <w:sz w:val="24"/>
          <w:szCs w:val="24"/>
        </w:rPr>
        <w:t xml:space="preserve"> </w:t>
      </w:r>
      <w:r>
        <w:rPr>
          <w:rFonts w:ascii="宋体" w:hAnsi="宋体" w:eastAsia="宋体" w:cs="宋体"/>
          <w:spacing w:val="-2"/>
          <w:sz w:val="24"/>
          <w:szCs w:val="24"/>
        </w:rPr>
        <w:t>1</w:t>
      </w:r>
      <w:r>
        <w:rPr>
          <w:rFonts w:ascii="宋体" w:hAnsi="宋体" w:eastAsia="宋体" w:cs="宋体"/>
          <w:spacing w:val="-49"/>
          <w:sz w:val="24"/>
          <w:szCs w:val="24"/>
        </w:rPr>
        <w:t xml:space="preserve"> </w:t>
      </w:r>
      <w:r>
        <w:rPr>
          <w:rFonts w:ascii="宋体" w:hAnsi="宋体" w:eastAsia="宋体" w:cs="宋体"/>
          <w:spacing w:val="-2"/>
          <w:sz w:val="24"/>
          <w:szCs w:val="24"/>
        </w:rPr>
        <w:t>年内通车的高速公路项目合同单价（或总额价）进行确定；</w:t>
      </w:r>
    </w:p>
    <w:p>
      <w:pPr>
        <w:spacing w:before="185" w:line="466" w:lineRule="exact"/>
        <w:ind w:left="516"/>
        <w:rPr>
          <w:rFonts w:ascii="宋体" w:hAnsi="宋体" w:eastAsia="宋体" w:cs="宋体"/>
          <w:sz w:val="24"/>
          <w:szCs w:val="24"/>
        </w:rPr>
      </w:pPr>
      <w:r>
        <w:rPr>
          <w:rFonts w:ascii="宋体" w:hAnsi="宋体" w:eastAsia="宋体" w:cs="宋体"/>
          <w:spacing w:val="1"/>
          <w:position w:val="17"/>
          <w:sz w:val="24"/>
          <w:szCs w:val="24"/>
        </w:rPr>
        <w:t>（2）变更预算按发包人核定的市场价格加上采保费</w:t>
      </w:r>
      <w:r>
        <w:rPr>
          <w:rFonts w:ascii="宋体" w:hAnsi="宋体" w:eastAsia="宋体" w:cs="宋体"/>
          <w:position w:val="17"/>
          <w:sz w:val="24"/>
          <w:szCs w:val="24"/>
        </w:rPr>
        <w:t>、税金及合理利润进行计算，</w:t>
      </w:r>
    </w:p>
    <w:p>
      <w:pPr>
        <w:spacing w:before="1" w:line="217" w:lineRule="auto"/>
        <w:ind w:left="5"/>
        <w:rPr>
          <w:rFonts w:ascii="宋体" w:hAnsi="宋体" w:eastAsia="宋体" w:cs="宋体"/>
          <w:sz w:val="24"/>
          <w:szCs w:val="24"/>
        </w:rPr>
      </w:pPr>
      <w:r>
        <w:rPr>
          <w:rFonts w:ascii="宋体" w:hAnsi="宋体" w:eastAsia="宋体" w:cs="宋体"/>
          <w:spacing w:val="-1"/>
          <w:sz w:val="24"/>
          <w:szCs w:val="24"/>
        </w:rPr>
        <w:t>变更单价或费用=变更预算×（1-中标下浮率）</w:t>
      </w:r>
    </w:p>
    <w:p>
      <w:pPr>
        <w:spacing w:before="186" w:line="359" w:lineRule="auto"/>
        <w:ind w:left="6" w:right="291" w:firstLine="515"/>
        <w:rPr>
          <w:rFonts w:ascii="宋体" w:hAnsi="宋体" w:eastAsia="宋体" w:cs="宋体"/>
          <w:sz w:val="24"/>
          <w:szCs w:val="24"/>
        </w:rPr>
      </w:pPr>
      <w:r>
        <w:rPr>
          <w:rFonts w:ascii="宋体" w:hAnsi="宋体" w:eastAsia="宋体" w:cs="宋体"/>
          <w:spacing w:val="1"/>
          <w:sz w:val="24"/>
          <w:szCs w:val="24"/>
        </w:rPr>
        <w:t>15.4.5 如果双方对变更工程价款有</w:t>
      </w:r>
      <w:r>
        <w:rPr>
          <w:rFonts w:ascii="宋体" w:hAnsi="宋体" w:eastAsia="宋体" w:cs="宋体"/>
          <w:sz w:val="24"/>
          <w:szCs w:val="24"/>
        </w:rPr>
        <w:t>争议，则请政府主管部门或发包人和承包人双 方认可的机构按</w:t>
      </w:r>
      <w:r>
        <w:rPr>
          <w:rFonts w:ascii="宋体" w:hAnsi="宋体" w:eastAsia="宋体" w:cs="宋体"/>
          <w:spacing w:val="-18"/>
          <w:sz w:val="24"/>
          <w:szCs w:val="24"/>
        </w:rPr>
        <w:t xml:space="preserve"> </w:t>
      </w:r>
      <w:r>
        <w:rPr>
          <w:rFonts w:ascii="宋体" w:hAnsi="宋体" w:eastAsia="宋体" w:cs="宋体"/>
          <w:sz w:val="24"/>
          <w:szCs w:val="24"/>
        </w:rPr>
        <w:t>15.4.4</w:t>
      </w:r>
      <w:r>
        <w:rPr>
          <w:rFonts w:ascii="宋体" w:hAnsi="宋体" w:eastAsia="宋体" w:cs="宋体"/>
          <w:spacing w:val="-47"/>
          <w:sz w:val="24"/>
          <w:szCs w:val="24"/>
        </w:rPr>
        <w:t xml:space="preserve"> </w:t>
      </w:r>
      <w:r>
        <w:rPr>
          <w:rFonts w:ascii="宋体" w:hAnsi="宋体" w:eastAsia="宋体" w:cs="宋体"/>
          <w:sz w:val="24"/>
          <w:szCs w:val="24"/>
        </w:rPr>
        <w:t xml:space="preserve">款要求编制预算，由发包人委托，委托费用由发包人和承包人 </w:t>
      </w:r>
      <w:r>
        <w:rPr>
          <w:rFonts w:ascii="宋体" w:hAnsi="宋体" w:eastAsia="宋体" w:cs="宋体"/>
          <w:spacing w:val="-2"/>
          <w:sz w:val="24"/>
          <w:szCs w:val="24"/>
        </w:rPr>
        <w:t>各负责一半，变更工程造价或单价按本合同段投标人中标价较招标时最高投标限价之下</w:t>
      </w:r>
    </w:p>
    <w:p>
      <w:pPr>
        <w:spacing w:line="220" w:lineRule="auto"/>
        <w:ind w:left="7"/>
        <w:rPr>
          <w:rFonts w:ascii="宋体" w:hAnsi="宋体" w:eastAsia="宋体" w:cs="宋体"/>
          <w:sz w:val="24"/>
          <w:szCs w:val="24"/>
        </w:rPr>
      </w:pPr>
      <w:r>
        <w:rPr>
          <w:rFonts w:ascii="宋体" w:hAnsi="宋体" w:eastAsia="宋体" w:cs="宋体"/>
          <w:spacing w:val="-2"/>
          <w:sz w:val="24"/>
          <w:szCs w:val="24"/>
        </w:rPr>
        <w:t>浮比例下浮确定。</w:t>
      </w:r>
    </w:p>
    <w:p>
      <w:pPr>
        <w:spacing w:before="180" w:line="465" w:lineRule="exact"/>
        <w:ind w:left="508"/>
        <w:rPr>
          <w:rFonts w:ascii="宋体" w:hAnsi="宋体" w:eastAsia="宋体" w:cs="宋体"/>
          <w:sz w:val="24"/>
          <w:szCs w:val="24"/>
        </w:rPr>
      </w:pPr>
      <w:r>
        <w:rPr>
          <w:rFonts w:ascii="宋体" w:hAnsi="宋体" w:eastAsia="宋体" w:cs="宋体"/>
          <w:spacing w:val="-2"/>
          <w:position w:val="17"/>
          <w:sz w:val="24"/>
          <w:szCs w:val="24"/>
        </w:rPr>
        <w:t>发包人与承包人如按上述原则协商未果，发包人</w:t>
      </w:r>
      <w:r>
        <w:rPr>
          <w:rFonts w:ascii="宋体" w:hAnsi="宋体" w:eastAsia="宋体" w:cs="宋体"/>
          <w:spacing w:val="-3"/>
          <w:position w:val="17"/>
          <w:sz w:val="24"/>
          <w:szCs w:val="24"/>
        </w:rPr>
        <w:t>有权根据实际情况按上述某一原则</w:t>
      </w:r>
    </w:p>
    <w:p>
      <w:pPr>
        <w:spacing w:before="1" w:line="219" w:lineRule="auto"/>
        <w:ind w:left="3"/>
        <w:rPr>
          <w:rFonts w:ascii="宋体" w:hAnsi="宋体" w:eastAsia="宋体" w:cs="宋体"/>
          <w:sz w:val="24"/>
          <w:szCs w:val="24"/>
        </w:rPr>
      </w:pPr>
      <w:r>
        <w:rPr>
          <w:rFonts w:ascii="宋体" w:hAnsi="宋体" w:eastAsia="宋体" w:cs="宋体"/>
          <w:spacing w:val="-1"/>
          <w:sz w:val="24"/>
          <w:szCs w:val="24"/>
        </w:rPr>
        <w:t>进行处理，承包人必须无条件接受。</w:t>
      </w:r>
    </w:p>
    <w:p>
      <w:pPr>
        <w:spacing w:before="183" w:line="468" w:lineRule="exact"/>
        <w:ind w:left="552"/>
        <w:rPr>
          <w:rFonts w:ascii="宋体" w:hAnsi="宋体" w:eastAsia="宋体" w:cs="宋体"/>
          <w:sz w:val="24"/>
          <w:szCs w:val="24"/>
        </w:rPr>
      </w:pPr>
      <w:r>
        <w:rPr>
          <w:rFonts w:ascii="宋体" w:hAnsi="宋体" w:eastAsia="宋体" w:cs="宋体"/>
          <w:spacing w:val="3"/>
          <w:position w:val="17"/>
          <w:sz w:val="24"/>
          <w:szCs w:val="24"/>
        </w:rPr>
        <w:t>所有的变更设计都必须按发包人及其上级主管部门颁布的变更设计管理办法进行</w:t>
      </w:r>
    </w:p>
    <w:p>
      <w:pPr>
        <w:spacing w:line="220" w:lineRule="auto"/>
        <w:ind w:left="17"/>
        <w:rPr>
          <w:rFonts w:ascii="宋体" w:hAnsi="宋体" w:eastAsia="宋体" w:cs="宋体"/>
          <w:sz w:val="24"/>
          <w:szCs w:val="24"/>
        </w:rPr>
      </w:pPr>
      <w:r>
        <w:rPr>
          <w:rFonts w:ascii="宋体" w:hAnsi="宋体" w:eastAsia="宋体" w:cs="宋体"/>
          <w:spacing w:val="-8"/>
          <w:sz w:val="24"/>
          <w:szCs w:val="24"/>
        </w:rPr>
        <w:t>审批。</w:t>
      </w:r>
    </w:p>
    <w:p>
      <w:pPr>
        <w:spacing w:before="179" w:line="218" w:lineRule="auto"/>
        <w:ind w:left="503"/>
        <w:rPr>
          <w:rFonts w:ascii="宋体" w:hAnsi="宋体" w:eastAsia="宋体" w:cs="宋体"/>
          <w:sz w:val="24"/>
          <w:szCs w:val="24"/>
        </w:rPr>
      </w:pPr>
      <w:r>
        <w:rPr>
          <w:rFonts w:ascii="宋体" w:hAnsi="宋体" w:eastAsia="宋体" w:cs="宋体"/>
          <w:spacing w:val="-5"/>
          <w:sz w:val="24"/>
          <w:szCs w:val="24"/>
          <w14:textOutline w14:w="4358" w14:cap="sq" w14:cmpd="sng">
            <w14:solidFill>
              <w14:srgbClr w14:val="000000"/>
            </w14:solidFill>
            <w14:prstDash w14:val="solid"/>
            <w14:bevel/>
          </w14:textOutline>
        </w:rPr>
        <w:t>16.</w:t>
      </w:r>
      <w:r>
        <w:rPr>
          <w:rFonts w:ascii="宋体" w:hAnsi="宋体" w:eastAsia="宋体" w:cs="宋体"/>
          <w:spacing w:val="14"/>
          <w:sz w:val="24"/>
          <w:szCs w:val="24"/>
        </w:rPr>
        <w:t xml:space="preserve"> </w:t>
      </w:r>
      <w:r>
        <w:rPr>
          <w:rFonts w:ascii="宋体" w:hAnsi="宋体" w:eastAsia="宋体" w:cs="宋体"/>
          <w:spacing w:val="-5"/>
          <w:sz w:val="24"/>
          <w:szCs w:val="24"/>
          <w14:textOutline w14:w="4358" w14:cap="sq" w14:cmpd="sng">
            <w14:solidFill>
              <w14:srgbClr w14:val="000000"/>
            </w14:solidFill>
            <w14:prstDash w14:val="solid"/>
            <w14:bevel/>
          </w14:textOutline>
        </w:rPr>
        <w:t>价格调整</w:t>
      </w:r>
    </w:p>
    <w:p>
      <w:pPr>
        <w:spacing w:before="185" w:line="218" w:lineRule="auto"/>
        <w:ind w:left="503"/>
        <w:rPr>
          <w:rFonts w:ascii="宋体" w:hAnsi="宋体" w:eastAsia="宋体" w:cs="宋体"/>
          <w:sz w:val="24"/>
          <w:szCs w:val="24"/>
        </w:rPr>
      </w:pPr>
      <w:r>
        <w:rPr>
          <w:rFonts w:ascii="宋体" w:hAnsi="宋体" w:eastAsia="宋体" w:cs="宋体"/>
          <w:spacing w:val="-2"/>
          <w:sz w:val="24"/>
          <w:szCs w:val="24"/>
        </w:rPr>
        <w:t>16.1 物价波动引起的价格调整</w:t>
      </w:r>
    </w:p>
    <w:p>
      <w:pPr>
        <w:spacing w:before="183" w:line="289" w:lineRule="auto"/>
        <w:ind w:left="486" w:right="5159" w:firstLine="16"/>
        <w:rPr>
          <w:rFonts w:ascii="宋体" w:hAnsi="宋体" w:eastAsia="宋体" w:cs="宋体"/>
          <w:sz w:val="24"/>
          <w:szCs w:val="24"/>
        </w:rPr>
      </w:pPr>
      <w:r>
        <w:rPr>
          <w:rFonts w:ascii="宋体" w:hAnsi="宋体" w:eastAsia="宋体" w:cs="宋体"/>
          <w:spacing w:val="-2"/>
          <w:sz w:val="24"/>
          <w:szCs w:val="24"/>
        </w:rPr>
        <w:t>16.1.2 采用造价信息调整价格差额</w:t>
      </w:r>
      <w:r>
        <w:rPr>
          <w:rFonts w:ascii="宋体" w:hAnsi="宋体" w:eastAsia="宋体" w:cs="宋体"/>
          <w:spacing w:val="9"/>
          <w:sz w:val="24"/>
          <w:szCs w:val="24"/>
        </w:rPr>
        <w:t xml:space="preserve"> </w:t>
      </w:r>
      <w:r>
        <w:rPr>
          <w:rFonts w:ascii="宋体" w:hAnsi="宋体" w:eastAsia="宋体" w:cs="宋体"/>
          <w:spacing w:val="-2"/>
          <w:sz w:val="24"/>
          <w:szCs w:val="24"/>
        </w:rPr>
        <w:t>本项细化为：</w:t>
      </w:r>
    </w:p>
    <w:p>
      <w:pPr>
        <w:spacing w:before="182" w:line="359" w:lineRule="auto"/>
        <w:ind w:left="5" w:right="291" w:firstLine="480"/>
        <w:jc w:val="both"/>
        <w:rPr>
          <w:rFonts w:ascii="宋体" w:hAnsi="宋体" w:eastAsia="宋体" w:cs="宋体"/>
          <w:sz w:val="24"/>
          <w:szCs w:val="24"/>
        </w:rPr>
      </w:pPr>
      <w:r>
        <w:rPr>
          <w:rFonts w:ascii="宋体" w:hAnsi="宋体" w:eastAsia="宋体" w:cs="宋体"/>
          <w:spacing w:val="-2"/>
          <w:sz w:val="24"/>
          <w:szCs w:val="24"/>
        </w:rPr>
        <w:t>合同履行期间，发包人参照《广东省交通运输厅关于于印发我省交通建设项目材料</w:t>
      </w:r>
      <w:r>
        <w:rPr>
          <w:rFonts w:ascii="宋体" w:hAnsi="宋体" w:eastAsia="宋体" w:cs="宋体"/>
          <w:spacing w:val="7"/>
          <w:sz w:val="24"/>
          <w:szCs w:val="24"/>
        </w:rPr>
        <w:t xml:space="preserve"> </w:t>
      </w:r>
      <w:r>
        <w:rPr>
          <w:rFonts w:ascii="宋体" w:hAnsi="宋体" w:eastAsia="宋体" w:cs="宋体"/>
          <w:spacing w:val="-2"/>
          <w:sz w:val="24"/>
          <w:szCs w:val="24"/>
        </w:rPr>
        <w:t>价差调整指导性意见的通知》，对项目允许调整价格差额的材料进行价差调整。材料价</w:t>
      </w:r>
      <w:r>
        <w:rPr>
          <w:rFonts w:ascii="宋体" w:hAnsi="宋体" w:eastAsia="宋体" w:cs="宋体"/>
          <w:spacing w:val="12"/>
          <w:sz w:val="24"/>
          <w:szCs w:val="24"/>
        </w:rPr>
        <w:t xml:space="preserve"> </w:t>
      </w:r>
      <w:r>
        <w:rPr>
          <w:rFonts w:ascii="宋体" w:hAnsi="宋体" w:eastAsia="宋体" w:cs="宋体"/>
          <w:spacing w:val="-2"/>
          <w:sz w:val="24"/>
          <w:szCs w:val="24"/>
        </w:rPr>
        <w:t>差调整费用系指材料价格（包含材料采购增值税）变化产生的综合调整费用，不再计算</w:t>
      </w:r>
      <w:r>
        <w:rPr>
          <w:rFonts w:ascii="宋体" w:hAnsi="宋体" w:eastAsia="宋体" w:cs="宋体"/>
          <w:spacing w:val="12"/>
          <w:sz w:val="24"/>
          <w:szCs w:val="24"/>
        </w:rPr>
        <w:t xml:space="preserve"> </w:t>
      </w:r>
      <w:r>
        <w:rPr>
          <w:rFonts w:ascii="宋体" w:hAnsi="宋体" w:eastAsia="宋体" w:cs="宋体"/>
          <w:spacing w:val="-2"/>
          <w:sz w:val="24"/>
          <w:szCs w:val="24"/>
        </w:rPr>
        <w:t>材料采购及保管费、管理费等费用。除本款约定允许调整价格差额的材料以外，其他材</w:t>
      </w:r>
    </w:p>
    <w:p>
      <w:pPr>
        <w:spacing w:before="1" w:line="217" w:lineRule="auto"/>
        <w:ind w:left="5"/>
        <w:rPr>
          <w:rFonts w:ascii="宋体" w:hAnsi="宋体" w:eastAsia="宋体" w:cs="宋体"/>
          <w:sz w:val="24"/>
          <w:szCs w:val="24"/>
        </w:rPr>
      </w:pPr>
      <w:r>
        <w:rPr>
          <w:rFonts w:ascii="宋体" w:hAnsi="宋体" w:eastAsia="宋体" w:cs="宋体"/>
          <w:sz w:val="24"/>
          <w:szCs w:val="24"/>
        </w:rPr>
        <w:t>料、设备等不进行价差调整，承包人应将上述</w:t>
      </w:r>
      <w:r>
        <w:rPr>
          <w:rFonts w:ascii="宋体" w:hAnsi="宋体" w:eastAsia="宋体" w:cs="宋体"/>
          <w:spacing w:val="-1"/>
          <w:sz w:val="24"/>
          <w:szCs w:val="24"/>
        </w:rPr>
        <w:t>风险考虑在投标报价中。</w:t>
      </w:r>
    </w:p>
    <w:p>
      <w:pPr>
        <w:spacing w:before="184" w:line="218" w:lineRule="auto"/>
        <w:ind w:left="503"/>
        <w:rPr>
          <w:rFonts w:ascii="宋体" w:hAnsi="宋体" w:eastAsia="宋体" w:cs="宋体"/>
          <w:sz w:val="24"/>
          <w:szCs w:val="24"/>
        </w:rPr>
      </w:pPr>
      <w:r>
        <w:fldChar w:fldCharType="begin"/>
      </w:r>
      <w:r>
        <w:instrText xml:space="preserve"> HYPERLINK "16.1.2.1" </w:instrText>
      </w:r>
      <w:r>
        <w:fldChar w:fldCharType="separate"/>
      </w:r>
      <w:r>
        <w:rPr>
          <w:rFonts w:ascii="宋体" w:hAnsi="宋体" w:eastAsia="宋体" w:cs="宋体"/>
          <w:spacing w:val="-2"/>
          <w:sz w:val="24"/>
          <w:szCs w:val="24"/>
        </w:rPr>
        <w:t>16.1.2.1</w:t>
      </w:r>
      <w:r>
        <w:rPr>
          <w:rFonts w:ascii="宋体" w:hAnsi="宋体" w:eastAsia="宋体" w:cs="宋体"/>
          <w:spacing w:val="-2"/>
          <w:sz w:val="24"/>
          <w:szCs w:val="24"/>
        </w:rPr>
        <w:fldChar w:fldCharType="end"/>
      </w:r>
      <w:r>
        <w:rPr>
          <w:rFonts w:ascii="宋体" w:hAnsi="宋体" w:eastAsia="宋体" w:cs="宋体"/>
          <w:spacing w:val="-35"/>
          <w:sz w:val="24"/>
          <w:szCs w:val="24"/>
        </w:rPr>
        <w:t xml:space="preserve"> </w:t>
      </w:r>
      <w:r>
        <w:rPr>
          <w:rFonts w:ascii="宋体" w:hAnsi="宋体" w:eastAsia="宋体" w:cs="宋体"/>
          <w:spacing w:val="-2"/>
          <w:sz w:val="24"/>
          <w:szCs w:val="24"/>
        </w:rPr>
        <w:t>统一采购供应材料、甲控乙购材料价差调整</w:t>
      </w:r>
    </w:p>
    <w:p>
      <w:pPr>
        <w:spacing w:line="425" w:lineRule="auto"/>
        <w:rPr>
          <w:rFonts w:ascii="Arial"/>
          <w:sz w:val="21"/>
        </w:rPr>
      </w:pPr>
    </w:p>
    <w:p>
      <w:pPr>
        <w:spacing w:before="78" w:line="466" w:lineRule="exact"/>
        <w:ind w:left="489"/>
        <w:rPr>
          <w:rFonts w:ascii="宋体" w:hAnsi="宋体" w:eastAsia="宋体" w:cs="宋体"/>
          <w:sz w:val="24"/>
          <w:szCs w:val="24"/>
        </w:rPr>
      </w:pPr>
      <w:r>
        <w:rPr>
          <w:rFonts w:ascii="宋体" w:hAnsi="宋体" w:eastAsia="宋体" w:cs="宋体"/>
          <w:spacing w:val="5"/>
          <w:position w:val="17"/>
          <w:sz w:val="24"/>
          <w:szCs w:val="24"/>
        </w:rPr>
        <w:t>发包人招标文件规定的统一采购供应材料、甲控乙购材料按以下办法</w:t>
      </w:r>
      <w:r>
        <w:rPr>
          <w:rFonts w:ascii="宋体" w:hAnsi="宋体" w:eastAsia="宋体" w:cs="宋体"/>
          <w:spacing w:val="4"/>
          <w:position w:val="17"/>
          <w:sz w:val="24"/>
          <w:szCs w:val="24"/>
        </w:rPr>
        <w:t>进行价差调</w:t>
      </w:r>
    </w:p>
    <w:p>
      <w:pPr>
        <w:spacing w:line="226" w:lineRule="auto"/>
        <w:ind w:left="6"/>
        <w:rPr>
          <w:rFonts w:ascii="宋体" w:hAnsi="宋体" w:eastAsia="宋体" w:cs="宋体"/>
          <w:sz w:val="24"/>
          <w:szCs w:val="24"/>
        </w:rPr>
      </w:pPr>
      <w:r>
        <w:rPr>
          <w:rFonts w:ascii="宋体" w:hAnsi="宋体" w:eastAsia="宋体" w:cs="宋体"/>
          <w:spacing w:val="-6"/>
          <w:sz w:val="24"/>
          <w:szCs w:val="24"/>
        </w:rPr>
        <w:t>整：</w:t>
      </w:r>
    </w:p>
    <w:p>
      <w:pPr>
        <w:spacing w:before="173" w:line="466" w:lineRule="exact"/>
        <w:ind w:left="496"/>
        <w:rPr>
          <w:rFonts w:ascii="宋体" w:hAnsi="宋体" w:eastAsia="宋体" w:cs="宋体"/>
          <w:sz w:val="24"/>
          <w:szCs w:val="24"/>
        </w:rPr>
      </w:pPr>
      <w:r>
        <w:rPr>
          <w:rFonts w:ascii="宋体" w:hAnsi="宋体" w:eastAsia="宋体" w:cs="宋体"/>
          <w:spacing w:val="1"/>
          <w:position w:val="17"/>
          <w:sz w:val="24"/>
          <w:szCs w:val="24"/>
        </w:rPr>
        <w:t>（1）材料范围：详见招标文件中《统一采购供应材料一览表》、《甲控乙购材料</w:t>
      </w:r>
    </w:p>
    <w:p>
      <w:pPr>
        <w:spacing w:line="220" w:lineRule="auto"/>
        <w:ind w:left="9"/>
        <w:rPr>
          <w:rFonts w:ascii="宋体" w:hAnsi="宋体" w:eastAsia="宋体" w:cs="宋体"/>
          <w:sz w:val="24"/>
          <w:szCs w:val="24"/>
        </w:rPr>
      </w:pPr>
      <w:r>
        <w:rPr>
          <w:rFonts w:ascii="宋体" w:hAnsi="宋体" w:eastAsia="宋体" w:cs="宋体"/>
          <w:spacing w:val="-4"/>
          <w:sz w:val="24"/>
          <w:szCs w:val="24"/>
        </w:rPr>
        <w:t>一览表》</w:t>
      </w:r>
    </w:p>
    <w:p>
      <w:pPr>
        <w:spacing w:before="181" w:line="218" w:lineRule="auto"/>
        <w:ind w:left="496"/>
        <w:rPr>
          <w:rFonts w:ascii="宋体" w:hAnsi="宋体" w:eastAsia="宋体" w:cs="宋体"/>
          <w:sz w:val="24"/>
          <w:szCs w:val="24"/>
        </w:rPr>
      </w:pPr>
      <w:r>
        <w:rPr>
          <w:rFonts w:ascii="宋体" w:hAnsi="宋体" w:eastAsia="宋体" w:cs="宋体"/>
          <w:spacing w:val="-2"/>
          <w:sz w:val="24"/>
          <w:szCs w:val="24"/>
        </w:rPr>
        <w:t>（2）材料价差计算方法：</w:t>
      </w:r>
    </w:p>
    <w:p>
      <w:pPr>
        <w:spacing w:before="182" w:line="218" w:lineRule="auto"/>
        <w:ind w:left="487"/>
        <w:rPr>
          <w:rFonts w:ascii="宋体" w:hAnsi="宋体" w:eastAsia="宋体" w:cs="宋体"/>
          <w:sz w:val="24"/>
          <w:szCs w:val="24"/>
        </w:rPr>
      </w:pPr>
      <w:r>
        <w:rPr>
          <w:rFonts w:ascii="宋体" w:hAnsi="宋体" w:eastAsia="宋体" w:cs="宋体"/>
          <w:spacing w:val="-1"/>
          <w:sz w:val="24"/>
          <w:szCs w:val="24"/>
        </w:rPr>
        <w:t>按月调整材料价差，具体如下：</w:t>
      </w:r>
    </w:p>
    <w:p>
      <w:pPr>
        <w:spacing w:before="184" w:line="466" w:lineRule="exact"/>
        <w:ind w:left="512"/>
        <w:rPr>
          <w:rFonts w:ascii="宋体" w:hAnsi="宋体" w:eastAsia="宋体" w:cs="宋体"/>
          <w:sz w:val="24"/>
          <w:szCs w:val="24"/>
        </w:rPr>
      </w:pPr>
      <w:r>
        <w:rPr>
          <w:rFonts w:ascii="宋体" w:hAnsi="宋体" w:eastAsia="宋体" w:cs="宋体"/>
          <w:spacing w:val="4"/>
          <w:position w:val="17"/>
          <w:sz w:val="24"/>
          <w:szCs w:val="24"/>
        </w:rPr>
        <w:t>以广东省交通运输工程造价事务中心每月公布的广东省交通建设工程主要外购材</w:t>
      </w:r>
    </w:p>
    <w:p>
      <w:pPr>
        <w:spacing w:before="1" w:line="217" w:lineRule="auto"/>
        <w:ind w:left="5"/>
        <w:rPr>
          <w:rFonts w:ascii="宋体" w:hAnsi="宋体" w:eastAsia="宋体" w:cs="宋体"/>
          <w:sz w:val="24"/>
          <w:szCs w:val="24"/>
        </w:rPr>
      </w:pPr>
      <w:r>
        <w:rPr>
          <w:rFonts w:ascii="宋体" w:hAnsi="宋体" w:eastAsia="宋体" w:cs="宋体"/>
          <w:spacing w:val="-2"/>
          <w:sz w:val="24"/>
          <w:szCs w:val="24"/>
        </w:rPr>
        <w:t>料信息价为依据，每个月</w:t>
      </w:r>
      <w:r>
        <w:rPr>
          <w:rFonts w:ascii="宋体" w:hAnsi="宋体" w:eastAsia="宋体" w:cs="宋体"/>
          <w:spacing w:val="-33"/>
          <w:sz w:val="24"/>
          <w:szCs w:val="24"/>
        </w:rPr>
        <w:t xml:space="preserve"> </w:t>
      </w:r>
      <w:r>
        <w:rPr>
          <w:rFonts w:ascii="宋体" w:hAnsi="宋体" w:eastAsia="宋体" w:cs="宋体"/>
          <w:spacing w:val="-2"/>
          <w:sz w:val="24"/>
          <w:szCs w:val="24"/>
        </w:rPr>
        <w:t>15 日（不含当</w:t>
      </w:r>
      <w:r>
        <w:rPr>
          <w:rFonts w:ascii="宋体" w:hAnsi="宋体" w:eastAsia="宋体" w:cs="宋体"/>
          <w:spacing w:val="-3"/>
          <w:sz w:val="24"/>
          <w:szCs w:val="24"/>
        </w:rPr>
        <w:t>天）后供应的货物纳入下个月进行价格调整。</w:t>
      </w:r>
    </w:p>
    <w:p>
      <w:pPr>
        <w:spacing w:before="185" w:line="222" w:lineRule="auto"/>
        <w:ind w:left="477"/>
        <w:rPr>
          <w:rFonts w:ascii="宋体" w:hAnsi="宋体" w:eastAsia="宋体" w:cs="宋体"/>
          <w:sz w:val="24"/>
          <w:szCs w:val="24"/>
        </w:rPr>
      </w:pPr>
      <w:r>
        <w:rPr>
          <w:rFonts w:ascii="宋体" w:hAnsi="宋体" w:eastAsia="宋体" w:cs="宋体"/>
          <w:spacing w:val="-5"/>
          <w:sz w:val="24"/>
          <w:szCs w:val="24"/>
        </w:rPr>
        <w:t>A=</w:t>
      </w:r>
      <w:r>
        <w:rPr>
          <w:rFonts w:ascii="宋体" w:hAnsi="宋体" w:eastAsia="宋体" w:cs="宋体"/>
          <w:spacing w:val="-63"/>
          <w:sz w:val="24"/>
          <w:szCs w:val="24"/>
        </w:rPr>
        <w:t xml:space="preserve"> </w:t>
      </w:r>
      <w:r>
        <w:rPr>
          <w:rFonts w:ascii="宋体" w:hAnsi="宋体" w:eastAsia="宋体" w:cs="宋体"/>
          <w:spacing w:val="-5"/>
          <w:sz w:val="24"/>
          <w:szCs w:val="24"/>
        </w:rPr>
        <w:t>(B-C)(1+D)</w:t>
      </w:r>
    </w:p>
    <w:p>
      <w:pPr>
        <w:spacing w:before="177" w:line="468" w:lineRule="exact"/>
        <w:ind w:left="477"/>
        <w:rPr>
          <w:rFonts w:ascii="宋体" w:hAnsi="宋体" w:eastAsia="宋体" w:cs="宋体"/>
          <w:sz w:val="24"/>
          <w:szCs w:val="24"/>
        </w:rPr>
      </w:pPr>
      <w:r>
        <w:rPr>
          <w:rFonts w:ascii="宋体" w:hAnsi="宋体" w:eastAsia="宋体" w:cs="宋体"/>
          <w:spacing w:val="1"/>
          <w:position w:val="17"/>
          <w:sz w:val="24"/>
          <w:szCs w:val="24"/>
        </w:rPr>
        <w:t>A:实际调整价差，A</w:t>
      </w:r>
      <w:r>
        <w:rPr>
          <w:rFonts w:ascii="宋体" w:hAnsi="宋体" w:eastAsia="宋体" w:cs="宋体"/>
          <w:spacing w:val="-47"/>
          <w:position w:val="17"/>
          <w:sz w:val="24"/>
          <w:szCs w:val="24"/>
        </w:rPr>
        <w:t xml:space="preserve"> </w:t>
      </w:r>
      <w:r>
        <w:rPr>
          <w:rFonts w:ascii="宋体" w:hAnsi="宋体" w:eastAsia="宋体" w:cs="宋体"/>
          <w:spacing w:val="1"/>
          <w:position w:val="17"/>
          <w:sz w:val="24"/>
          <w:szCs w:val="24"/>
        </w:rPr>
        <w:t>为正值时，由发包人补给承包人该价差，A</w:t>
      </w:r>
      <w:r>
        <w:rPr>
          <w:rFonts w:ascii="宋体" w:hAnsi="宋体" w:eastAsia="宋体" w:cs="宋体"/>
          <w:spacing w:val="-46"/>
          <w:position w:val="17"/>
          <w:sz w:val="24"/>
          <w:szCs w:val="24"/>
        </w:rPr>
        <w:t xml:space="preserve"> </w:t>
      </w:r>
      <w:r>
        <w:rPr>
          <w:rFonts w:ascii="宋体" w:hAnsi="宋体" w:eastAsia="宋体" w:cs="宋体"/>
          <w:spacing w:val="1"/>
          <w:position w:val="17"/>
          <w:sz w:val="24"/>
          <w:szCs w:val="24"/>
        </w:rPr>
        <w:t>为负值时，</w:t>
      </w:r>
      <w:r>
        <w:rPr>
          <w:rFonts w:ascii="宋体" w:hAnsi="宋体" w:eastAsia="宋体" w:cs="宋体"/>
          <w:position w:val="17"/>
          <w:sz w:val="24"/>
          <w:szCs w:val="24"/>
        </w:rPr>
        <w:t>由发包</w:t>
      </w:r>
    </w:p>
    <w:p>
      <w:pPr>
        <w:spacing w:before="1" w:line="217" w:lineRule="auto"/>
        <w:ind w:left="7"/>
        <w:rPr>
          <w:rFonts w:ascii="宋体" w:hAnsi="宋体" w:eastAsia="宋体" w:cs="宋体"/>
          <w:sz w:val="24"/>
          <w:szCs w:val="24"/>
        </w:rPr>
      </w:pPr>
      <w:r>
        <w:rPr>
          <w:rFonts w:ascii="宋体" w:hAnsi="宋体" w:eastAsia="宋体" w:cs="宋体"/>
          <w:spacing w:val="-1"/>
          <w:sz w:val="24"/>
          <w:szCs w:val="24"/>
        </w:rPr>
        <w:t>人从承包人承包价中扣回该价差。</w:t>
      </w:r>
    </w:p>
    <w:p>
      <w:pPr>
        <w:spacing w:before="182" w:line="468" w:lineRule="exact"/>
        <w:ind w:left="479"/>
        <w:rPr>
          <w:rFonts w:ascii="宋体" w:hAnsi="宋体" w:eastAsia="宋体" w:cs="宋体"/>
          <w:sz w:val="24"/>
          <w:szCs w:val="24"/>
        </w:rPr>
      </w:pPr>
      <w:r>
        <w:rPr>
          <w:rFonts w:ascii="宋体" w:hAnsi="宋体" w:eastAsia="宋体" w:cs="宋体"/>
          <w:spacing w:val="-2"/>
          <w:position w:val="17"/>
          <w:sz w:val="24"/>
          <w:szCs w:val="24"/>
        </w:rPr>
        <w:t>B:实际采购供应价，该价格为实际支付给供应商（卖方）的价格，该价格按与供应</w:t>
      </w:r>
    </w:p>
    <w:p>
      <w:pPr>
        <w:spacing w:before="1" w:line="218" w:lineRule="auto"/>
        <w:ind w:left="10"/>
        <w:rPr>
          <w:rFonts w:ascii="宋体" w:hAnsi="宋体" w:eastAsia="宋体" w:cs="宋体"/>
          <w:sz w:val="24"/>
          <w:szCs w:val="24"/>
        </w:rPr>
      </w:pPr>
      <w:r>
        <w:rPr>
          <w:rFonts w:ascii="宋体" w:hAnsi="宋体" w:eastAsia="宋体" w:cs="宋体"/>
          <w:spacing w:val="-1"/>
          <w:sz w:val="24"/>
          <w:szCs w:val="24"/>
        </w:rPr>
        <w:t>商签定的采购供应合同（含补充合同/协议）确定。</w:t>
      </w:r>
    </w:p>
    <w:p>
      <w:pPr>
        <w:spacing w:before="184" w:line="218" w:lineRule="auto"/>
        <w:ind w:left="483"/>
        <w:rPr>
          <w:rFonts w:ascii="宋体" w:hAnsi="宋体" w:eastAsia="宋体" w:cs="宋体"/>
          <w:sz w:val="24"/>
          <w:szCs w:val="24"/>
        </w:rPr>
      </w:pPr>
      <w:r>
        <w:rPr>
          <w:rFonts w:ascii="宋体" w:hAnsi="宋体" w:eastAsia="宋体" w:cs="宋体"/>
          <w:sz w:val="24"/>
          <w:szCs w:val="24"/>
        </w:rPr>
        <w:t>C:材料基准价格，由招标人在招标文件（或补</w:t>
      </w:r>
      <w:r>
        <w:rPr>
          <w:rFonts w:ascii="宋体" w:hAnsi="宋体" w:eastAsia="宋体" w:cs="宋体"/>
          <w:spacing w:val="-1"/>
          <w:sz w:val="24"/>
          <w:szCs w:val="24"/>
        </w:rPr>
        <w:t>遗书）中统一规定。</w:t>
      </w:r>
    </w:p>
    <w:p>
      <w:pPr>
        <w:spacing w:before="182" w:line="468" w:lineRule="exact"/>
        <w:ind w:left="480"/>
        <w:rPr>
          <w:rFonts w:ascii="宋体" w:hAnsi="宋体" w:eastAsia="宋体" w:cs="宋体"/>
          <w:sz w:val="24"/>
          <w:szCs w:val="24"/>
        </w:rPr>
      </w:pPr>
      <w:r>
        <w:rPr>
          <w:rFonts w:ascii="宋体" w:hAnsi="宋体" w:eastAsia="宋体" w:cs="宋体"/>
          <w:spacing w:val="-2"/>
          <w:position w:val="17"/>
          <w:sz w:val="24"/>
          <w:szCs w:val="24"/>
        </w:rPr>
        <w:t>D:销售货物增值税税率。增值税税率应采用材料发票开具的税率。材料供应商根据</w:t>
      </w:r>
    </w:p>
    <w:p>
      <w:pPr>
        <w:spacing w:before="1" w:line="217" w:lineRule="auto"/>
        <w:ind w:left="11"/>
        <w:rPr>
          <w:rFonts w:ascii="宋体" w:hAnsi="宋体" w:eastAsia="宋体" w:cs="宋体"/>
          <w:sz w:val="24"/>
          <w:szCs w:val="24"/>
        </w:rPr>
      </w:pPr>
      <w:r>
        <w:rPr>
          <w:rFonts w:ascii="宋体" w:hAnsi="宋体" w:eastAsia="宋体" w:cs="宋体"/>
          <w:spacing w:val="-1"/>
          <w:sz w:val="24"/>
          <w:szCs w:val="24"/>
        </w:rPr>
        <w:t>结算价格提交增值税发票给承包人。</w:t>
      </w:r>
    </w:p>
    <w:p>
      <w:pPr>
        <w:spacing w:before="182" w:line="218" w:lineRule="auto"/>
        <w:ind w:left="503"/>
        <w:rPr>
          <w:rFonts w:ascii="宋体" w:hAnsi="宋体" w:eastAsia="宋体" w:cs="宋体"/>
          <w:sz w:val="24"/>
          <w:szCs w:val="24"/>
        </w:rPr>
      </w:pPr>
      <w:r>
        <w:fldChar w:fldCharType="begin"/>
      </w:r>
      <w:r>
        <w:instrText xml:space="preserve"> HYPERLINK "16.1.2.2" </w:instrText>
      </w:r>
      <w:r>
        <w:fldChar w:fldCharType="separate"/>
      </w:r>
      <w:r>
        <w:rPr>
          <w:rFonts w:ascii="宋体" w:hAnsi="宋体" w:eastAsia="宋体" w:cs="宋体"/>
          <w:spacing w:val="-2"/>
          <w:sz w:val="24"/>
          <w:szCs w:val="24"/>
        </w:rPr>
        <w:t>16.1.2.2</w:t>
      </w:r>
      <w:r>
        <w:rPr>
          <w:rFonts w:ascii="宋体" w:hAnsi="宋体" w:eastAsia="宋体" w:cs="宋体"/>
          <w:spacing w:val="-2"/>
          <w:sz w:val="24"/>
          <w:szCs w:val="24"/>
        </w:rPr>
        <w:fldChar w:fldCharType="end"/>
      </w:r>
      <w:r>
        <w:rPr>
          <w:rFonts w:ascii="宋体" w:hAnsi="宋体" w:eastAsia="宋体" w:cs="宋体"/>
          <w:spacing w:val="-47"/>
          <w:sz w:val="24"/>
          <w:szCs w:val="24"/>
        </w:rPr>
        <w:t xml:space="preserve"> </w:t>
      </w:r>
      <w:r>
        <w:rPr>
          <w:rFonts w:ascii="宋体" w:hAnsi="宋体" w:eastAsia="宋体" w:cs="宋体"/>
          <w:spacing w:val="-2"/>
          <w:sz w:val="24"/>
          <w:szCs w:val="24"/>
        </w:rPr>
        <w:t>承包人自行采购材料价差调整</w:t>
      </w:r>
    </w:p>
    <w:p>
      <w:pPr>
        <w:spacing w:before="183" w:line="220" w:lineRule="auto"/>
        <w:ind w:left="503"/>
        <w:rPr>
          <w:rFonts w:ascii="宋体" w:hAnsi="宋体" w:eastAsia="宋体" w:cs="宋体"/>
          <w:sz w:val="24"/>
          <w:szCs w:val="24"/>
        </w:rPr>
      </w:pPr>
      <w:r>
        <w:rPr>
          <w:rFonts w:ascii="宋体" w:hAnsi="宋体" w:eastAsia="宋体" w:cs="宋体"/>
          <w:spacing w:val="-3"/>
          <w:sz w:val="24"/>
          <w:szCs w:val="24"/>
        </w:rPr>
        <w:t>16.1.2.2.1</w:t>
      </w:r>
      <w:r>
        <w:rPr>
          <w:rFonts w:ascii="宋体" w:hAnsi="宋体" w:eastAsia="宋体" w:cs="宋体"/>
          <w:spacing w:val="-47"/>
          <w:sz w:val="24"/>
          <w:szCs w:val="24"/>
        </w:rPr>
        <w:t xml:space="preserve"> </w:t>
      </w:r>
      <w:r>
        <w:rPr>
          <w:rFonts w:ascii="宋体" w:hAnsi="宋体" w:eastAsia="宋体" w:cs="宋体"/>
          <w:spacing w:val="-3"/>
          <w:sz w:val="24"/>
          <w:szCs w:val="24"/>
        </w:rPr>
        <w:t>工程范围</w:t>
      </w:r>
    </w:p>
    <w:p>
      <w:pPr>
        <w:spacing w:before="183" w:line="359" w:lineRule="auto"/>
        <w:ind w:left="10" w:right="291" w:firstLine="478"/>
        <w:rPr>
          <w:rFonts w:ascii="宋体" w:hAnsi="宋体" w:eastAsia="宋体" w:cs="宋体"/>
          <w:sz w:val="24"/>
          <w:szCs w:val="24"/>
        </w:rPr>
      </w:pPr>
      <w:r>
        <w:rPr>
          <w:rFonts w:ascii="宋体" w:hAnsi="宋体" w:eastAsia="宋体" w:cs="宋体"/>
          <w:spacing w:val="-2"/>
          <w:sz w:val="24"/>
          <w:szCs w:val="24"/>
        </w:rPr>
        <w:t>指建设项目的实体工程所消耗的主要材料（含构成永久性结构的水中钢护筒、溶洞</w:t>
      </w:r>
      <w:r>
        <w:rPr>
          <w:rFonts w:ascii="宋体" w:hAnsi="宋体" w:eastAsia="宋体" w:cs="宋体"/>
          <w:spacing w:val="5"/>
          <w:sz w:val="24"/>
          <w:szCs w:val="24"/>
        </w:rPr>
        <w:t xml:space="preserve"> </w:t>
      </w:r>
      <w:r>
        <w:rPr>
          <w:rFonts w:ascii="宋体" w:hAnsi="宋体" w:eastAsia="宋体" w:cs="宋体"/>
          <w:spacing w:val="-2"/>
          <w:sz w:val="24"/>
          <w:szCs w:val="24"/>
        </w:rPr>
        <w:t>处理钢护筒等</w:t>
      </w:r>
      <w:r>
        <w:rPr>
          <w:rFonts w:ascii="宋体" w:hAnsi="宋体" w:eastAsia="宋体" w:cs="宋体"/>
          <w:spacing w:val="5"/>
          <w:sz w:val="24"/>
          <w:szCs w:val="24"/>
        </w:rPr>
        <w:t>），</w:t>
      </w:r>
      <w:r>
        <w:rPr>
          <w:rFonts w:ascii="宋体" w:hAnsi="宋体" w:eastAsia="宋体" w:cs="宋体"/>
          <w:spacing w:val="-2"/>
          <w:sz w:val="24"/>
          <w:szCs w:val="24"/>
        </w:rPr>
        <w:t>以及特大桥梁、特长隧道、大型船闸等有专项设计的</w:t>
      </w:r>
      <w:r>
        <w:rPr>
          <w:rFonts w:ascii="宋体" w:hAnsi="宋体" w:eastAsia="宋体" w:cs="宋体"/>
          <w:spacing w:val="-3"/>
          <w:sz w:val="24"/>
          <w:szCs w:val="24"/>
        </w:rPr>
        <w:t>大型临时工程所</w:t>
      </w:r>
      <w:r>
        <w:rPr>
          <w:rFonts w:ascii="宋体" w:hAnsi="宋体" w:eastAsia="宋体" w:cs="宋体"/>
          <w:spacing w:val="1"/>
          <w:sz w:val="24"/>
          <w:szCs w:val="24"/>
        </w:rPr>
        <w:t xml:space="preserve"> </w:t>
      </w:r>
      <w:r>
        <w:rPr>
          <w:rFonts w:ascii="宋体" w:hAnsi="宋体" w:eastAsia="宋体" w:cs="宋体"/>
          <w:spacing w:val="-2"/>
          <w:sz w:val="24"/>
          <w:szCs w:val="24"/>
        </w:rPr>
        <w:t>消耗的主要材料纳入材料调差调整范围。一般性临时工程、临时设施所消耗的材料以及</w:t>
      </w:r>
    </w:p>
    <w:p>
      <w:pPr>
        <w:spacing w:before="1" w:line="218" w:lineRule="auto"/>
        <w:ind w:left="7"/>
        <w:rPr>
          <w:rFonts w:ascii="宋体" w:hAnsi="宋体" w:eastAsia="宋体" w:cs="宋体"/>
          <w:sz w:val="24"/>
          <w:szCs w:val="24"/>
        </w:rPr>
      </w:pPr>
      <w:r>
        <w:rPr>
          <w:rFonts w:ascii="宋体" w:hAnsi="宋体" w:eastAsia="宋体" w:cs="宋体"/>
          <w:spacing w:val="-1"/>
          <w:sz w:val="24"/>
          <w:szCs w:val="24"/>
        </w:rPr>
        <w:t>属于水运工程范围的材料均不纳入材料调差调整范围。</w:t>
      </w:r>
    </w:p>
    <w:p>
      <w:pPr>
        <w:spacing w:before="181" w:line="219" w:lineRule="auto"/>
        <w:ind w:left="503"/>
        <w:rPr>
          <w:rFonts w:ascii="宋体" w:hAnsi="宋体" w:eastAsia="宋体" w:cs="宋体"/>
          <w:sz w:val="24"/>
          <w:szCs w:val="24"/>
        </w:rPr>
      </w:pPr>
      <w:r>
        <w:rPr>
          <w:rFonts w:ascii="宋体" w:hAnsi="宋体" w:eastAsia="宋体" w:cs="宋体"/>
          <w:spacing w:val="-3"/>
          <w:sz w:val="24"/>
          <w:szCs w:val="24"/>
        </w:rPr>
        <w:t>16.1.2.1.2</w:t>
      </w:r>
      <w:r>
        <w:rPr>
          <w:rFonts w:ascii="宋体" w:hAnsi="宋体" w:eastAsia="宋体" w:cs="宋体"/>
          <w:spacing w:val="-47"/>
          <w:sz w:val="24"/>
          <w:szCs w:val="24"/>
        </w:rPr>
        <w:t xml:space="preserve"> </w:t>
      </w:r>
      <w:r>
        <w:rPr>
          <w:rFonts w:ascii="宋体" w:hAnsi="宋体" w:eastAsia="宋体" w:cs="宋体"/>
          <w:spacing w:val="-3"/>
          <w:sz w:val="24"/>
          <w:szCs w:val="24"/>
        </w:rPr>
        <w:t>材料范围</w:t>
      </w:r>
    </w:p>
    <w:p>
      <w:pPr>
        <w:spacing w:before="183" w:line="219" w:lineRule="auto"/>
        <w:ind w:left="487"/>
        <w:rPr>
          <w:rFonts w:ascii="宋体" w:hAnsi="宋体" w:eastAsia="宋体" w:cs="宋体"/>
          <w:spacing w:val="-1"/>
          <w:sz w:val="24"/>
          <w:szCs w:val="24"/>
        </w:rPr>
      </w:pPr>
      <w:r>
        <w:rPr>
          <w:rFonts w:ascii="宋体" w:hAnsi="宋体" w:eastAsia="宋体" w:cs="宋体"/>
          <w:spacing w:val="-1"/>
          <w:sz w:val="24"/>
          <w:szCs w:val="24"/>
        </w:rPr>
        <w:t>可调差主要材料范围如下：</w:t>
      </w: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pStyle w:val="2"/>
        <w:rPr>
          <w:rFonts w:ascii="宋体" w:hAnsi="宋体" w:eastAsia="宋体" w:cs="宋体"/>
          <w:spacing w:val="-1"/>
          <w:sz w:val="24"/>
          <w:szCs w:val="24"/>
        </w:rPr>
      </w:pPr>
    </w:p>
    <w:p>
      <w:pPr>
        <w:spacing w:line="389" w:lineRule="auto"/>
        <w:rPr>
          <w:rFonts w:ascii="Arial"/>
          <w:sz w:val="21"/>
        </w:rPr>
      </w:pPr>
    </w:p>
    <w:p>
      <w:pPr>
        <w:spacing w:before="78" w:line="355" w:lineRule="exact"/>
        <w:ind w:left="3521"/>
        <w:rPr>
          <w:rFonts w:ascii="宋体" w:hAnsi="宋体" w:eastAsia="宋体" w:cs="宋体"/>
          <w:sz w:val="12"/>
          <w:szCs w:val="12"/>
        </w:rPr>
      </w:pPr>
      <w:r>
        <w:rPr>
          <w:rFonts w:ascii="宋体" w:hAnsi="宋体" w:eastAsia="宋体" w:cs="宋体"/>
          <w:spacing w:val="-2"/>
          <w:position w:val="2"/>
          <w:sz w:val="24"/>
          <w:szCs w:val="24"/>
        </w:rPr>
        <w:t>可调差材料一</w:t>
      </w:r>
      <w:r>
        <w:fldChar w:fldCharType="begin"/>
      </w:r>
      <w:r>
        <w:instrText xml:space="preserve"> HYPERLINK \l "bookmark159" </w:instrText>
      </w:r>
      <w:r>
        <w:fldChar w:fldCharType="separate"/>
      </w:r>
      <w:r>
        <w:rPr>
          <w:rFonts w:ascii="宋体" w:hAnsi="宋体" w:eastAsia="宋体" w:cs="宋体"/>
          <w:spacing w:val="-2"/>
          <w:position w:val="2"/>
          <w:sz w:val="24"/>
          <w:szCs w:val="24"/>
        </w:rPr>
        <w:t>览表</w:t>
      </w:r>
      <w:r>
        <w:rPr>
          <w:rFonts w:ascii="宋体" w:hAnsi="宋体" w:eastAsia="宋体" w:cs="宋体"/>
          <w:spacing w:val="-2"/>
          <w:position w:val="2"/>
          <w:sz w:val="12"/>
          <w:szCs w:val="12"/>
        </w:rPr>
        <w:t>①</w:t>
      </w:r>
      <w:r>
        <w:rPr>
          <w:rFonts w:ascii="宋体" w:hAnsi="宋体" w:eastAsia="宋体" w:cs="宋体"/>
          <w:spacing w:val="-2"/>
          <w:position w:val="2"/>
          <w:sz w:val="12"/>
          <w:szCs w:val="12"/>
        </w:rPr>
        <w:fldChar w:fldCharType="end"/>
      </w:r>
    </w:p>
    <w:p>
      <w:pPr>
        <w:spacing w:before="196"/>
      </w:pPr>
    </w:p>
    <w:tbl>
      <w:tblPr>
        <w:tblStyle w:val="16"/>
        <w:tblW w:w="8814"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139"/>
        <w:gridCol w:w="1199"/>
        <w:gridCol w:w="975"/>
        <w:gridCol w:w="804"/>
        <w:gridCol w:w="2008"/>
        <w:gridCol w:w="1049"/>
        <w:gridCol w:w="9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29" w:type="dxa"/>
            <w:vAlign w:val="top"/>
          </w:tcPr>
          <w:p>
            <w:pPr>
              <w:pStyle w:val="17"/>
              <w:spacing w:before="104" w:line="229" w:lineRule="auto"/>
              <w:ind w:left="140"/>
              <w:rPr>
                <w:sz w:val="20"/>
                <w:szCs w:val="20"/>
              </w:rPr>
            </w:pPr>
            <w:r>
              <w:rPr>
                <w:spacing w:val="26"/>
                <w:sz w:val="20"/>
                <w:szCs w:val="20"/>
              </w:rPr>
              <w:t>序号</w:t>
            </w:r>
          </w:p>
        </w:tc>
        <w:tc>
          <w:tcPr>
            <w:tcW w:w="1139" w:type="dxa"/>
            <w:vAlign w:val="top"/>
          </w:tcPr>
          <w:p>
            <w:pPr>
              <w:pStyle w:val="17"/>
              <w:spacing w:before="104" w:line="227" w:lineRule="auto"/>
              <w:ind w:left="115"/>
              <w:rPr>
                <w:sz w:val="20"/>
                <w:szCs w:val="20"/>
              </w:rPr>
            </w:pPr>
            <w:r>
              <w:rPr>
                <w:spacing w:val="27"/>
                <w:sz w:val="20"/>
                <w:szCs w:val="20"/>
              </w:rPr>
              <w:t>材料名称</w:t>
            </w:r>
          </w:p>
        </w:tc>
        <w:tc>
          <w:tcPr>
            <w:tcW w:w="1199" w:type="dxa"/>
            <w:vAlign w:val="top"/>
          </w:tcPr>
          <w:p>
            <w:pPr>
              <w:pStyle w:val="17"/>
              <w:spacing w:before="104" w:line="228" w:lineRule="auto"/>
              <w:ind w:left="336"/>
              <w:rPr>
                <w:sz w:val="20"/>
                <w:szCs w:val="20"/>
              </w:rPr>
            </w:pPr>
            <w:r>
              <w:rPr>
                <w:spacing w:val="5"/>
                <w:sz w:val="20"/>
                <w:szCs w:val="20"/>
              </w:rPr>
              <w:t>代号</w:t>
            </w:r>
          </w:p>
        </w:tc>
        <w:tc>
          <w:tcPr>
            <w:tcW w:w="975" w:type="dxa"/>
            <w:vAlign w:val="top"/>
          </w:tcPr>
          <w:p>
            <w:pPr>
              <w:pStyle w:val="17"/>
              <w:spacing w:before="105" w:line="228" w:lineRule="auto"/>
              <w:ind w:left="226"/>
              <w:rPr>
                <w:sz w:val="20"/>
                <w:szCs w:val="20"/>
              </w:rPr>
            </w:pPr>
            <w:r>
              <w:rPr>
                <w:spacing w:val="3"/>
                <w:sz w:val="20"/>
                <w:szCs w:val="20"/>
              </w:rPr>
              <w:t>单位</w:t>
            </w:r>
          </w:p>
        </w:tc>
        <w:tc>
          <w:tcPr>
            <w:tcW w:w="804" w:type="dxa"/>
            <w:vAlign w:val="top"/>
          </w:tcPr>
          <w:p>
            <w:pPr>
              <w:pStyle w:val="17"/>
              <w:spacing w:before="104" w:line="229" w:lineRule="auto"/>
              <w:ind w:left="178"/>
              <w:rPr>
                <w:sz w:val="20"/>
                <w:szCs w:val="20"/>
              </w:rPr>
            </w:pPr>
            <w:r>
              <w:rPr>
                <w:spacing w:val="26"/>
                <w:sz w:val="20"/>
                <w:szCs w:val="20"/>
              </w:rPr>
              <w:t>序号</w:t>
            </w:r>
          </w:p>
        </w:tc>
        <w:tc>
          <w:tcPr>
            <w:tcW w:w="2008" w:type="dxa"/>
            <w:vAlign w:val="top"/>
          </w:tcPr>
          <w:p>
            <w:pPr>
              <w:pStyle w:val="17"/>
              <w:spacing w:before="104" w:line="227" w:lineRule="auto"/>
              <w:ind w:left="551"/>
              <w:rPr>
                <w:sz w:val="20"/>
                <w:szCs w:val="20"/>
              </w:rPr>
            </w:pPr>
            <w:r>
              <w:rPr>
                <w:spacing w:val="27"/>
                <w:sz w:val="20"/>
                <w:szCs w:val="20"/>
              </w:rPr>
              <w:t>材料名称</w:t>
            </w:r>
          </w:p>
        </w:tc>
        <w:tc>
          <w:tcPr>
            <w:tcW w:w="1049" w:type="dxa"/>
            <w:vAlign w:val="top"/>
          </w:tcPr>
          <w:p>
            <w:pPr>
              <w:pStyle w:val="17"/>
              <w:spacing w:before="104" w:line="228" w:lineRule="auto"/>
              <w:ind w:left="302"/>
              <w:rPr>
                <w:sz w:val="20"/>
                <w:szCs w:val="20"/>
              </w:rPr>
            </w:pPr>
            <w:r>
              <w:rPr>
                <w:spacing w:val="26"/>
                <w:sz w:val="20"/>
                <w:szCs w:val="20"/>
              </w:rPr>
              <w:t>代号</w:t>
            </w:r>
          </w:p>
        </w:tc>
        <w:tc>
          <w:tcPr>
            <w:tcW w:w="911" w:type="dxa"/>
            <w:vAlign w:val="top"/>
          </w:tcPr>
          <w:p>
            <w:pPr>
              <w:pStyle w:val="17"/>
              <w:spacing w:before="105" w:line="228" w:lineRule="auto"/>
              <w:ind w:left="235"/>
              <w:rPr>
                <w:sz w:val="20"/>
                <w:szCs w:val="20"/>
              </w:rPr>
            </w:pPr>
            <w:r>
              <w:rPr>
                <w:spacing w:val="24"/>
                <w:sz w:val="20"/>
                <w:szCs w:val="20"/>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29" w:type="dxa"/>
            <w:vAlign w:val="top"/>
          </w:tcPr>
          <w:p>
            <w:pPr>
              <w:pStyle w:val="17"/>
              <w:spacing w:before="86" w:line="189" w:lineRule="auto"/>
              <w:ind w:left="331"/>
              <w:rPr>
                <w:sz w:val="20"/>
                <w:szCs w:val="20"/>
              </w:rPr>
            </w:pPr>
            <w:r>
              <w:rPr>
                <w:sz w:val="20"/>
                <w:szCs w:val="20"/>
              </w:rPr>
              <w:t>1</w:t>
            </w:r>
          </w:p>
        </w:tc>
        <w:tc>
          <w:tcPr>
            <w:tcW w:w="1139" w:type="dxa"/>
            <w:vAlign w:val="top"/>
          </w:tcPr>
          <w:p>
            <w:pPr>
              <w:pStyle w:val="17"/>
              <w:spacing w:before="86" w:line="189" w:lineRule="auto"/>
              <w:ind w:left="519"/>
              <w:rPr>
                <w:sz w:val="20"/>
                <w:szCs w:val="20"/>
              </w:rPr>
            </w:pPr>
            <w:r>
              <w:rPr>
                <w:spacing w:val="3"/>
                <w:sz w:val="20"/>
                <w:szCs w:val="20"/>
              </w:rPr>
              <w:t>2</w:t>
            </w:r>
          </w:p>
        </w:tc>
        <w:tc>
          <w:tcPr>
            <w:tcW w:w="1199" w:type="dxa"/>
            <w:vAlign w:val="top"/>
          </w:tcPr>
          <w:p>
            <w:pPr>
              <w:pStyle w:val="17"/>
              <w:spacing w:before="109" w:line="187" w:lineRule="auto"/>
              <w:ind w:left="606"/>
              <w:rPr>
                <w:sz w:val="20"/>
                <w:szCs w:val="20"/>
              </w:rPr>
            </w:pPr>
            <w:r>
              <w:rPr>
                <w:spacing w:val="1"/>
                <w:sz w:val="20"/>
                <w:szCs w:val="20"/>
              </w:rPr>
              <w:t>3</w:t>
            </w:r>
          </w:p>
        </w:tc>
        <w:tc>
          <w:tcPr>
            <w:tcW w:w="975" w:type="dxa"/>
            <w:vAlign w:val="top"/>
          </w:tcPr>
          <w:p>
            <w:pPr>
              <w:pStyle w:val="17"/>
              <w:spacing w:before="86" w:line="189" w:lineRule="auto"/>
              <w:ind w:left="436"/>
              <w:rPr>
                <w:sz w:val="20"/>
                <w:szCs w:val="20"/>
              </w:rPr>
            </w:pPr>
            <w:r>
              <w:rPr>
                <w:spacing w:val="6"/>
                <w:sz w:val="20"/>
                <w:szCs w:val="20"/>
              </w:rPr>
              <w:t>4</w:t>
            </w:r>
          </w:p>
        </w:tc>
        <w:tc>
          <w:tcPr>
            <w:tcW w:w="804" w:type="dxa"/>
            <w:vAlign w:val="top"/>
          </w:tcPr>
          <w:p>
            <w:pPr>
              <w:pStyle w:val="17"/>
              <w:spacing w:before="86" w:line="189" w:lineRule="auto"/>
              <w:ind w:left="367"/>
              <w:rPr>
                <w:sz w:val="20"/>
                <w:szCs w:val="20"/>
              </w:rPr>
            </w:pPr>
            <w:r>
              <w:rPr>
                <w:sz w:val="20"/>
                <w:szCs w:val="20"/>
              </w:rPr>
              <w:t>1</w:t>
            </w:r>
          </w:p>
        </w:tc>
        <w:tc>
          <w:tcPr>
            <w:tcW w:w="2008" w:type="dxa"/>
            <w:vAlign w:val="top"/>
          </w:tcPr>
          <w:p>
            <w:pPr>
              <w:pStyle w:val="17"/>
              <w:spacing w:before="86" w:line="189" w:lineRule="auto"/>
              <w:ind w:left="955"/>
              <w:rPr>
                <w:sz w:val="20"/>
                <w:szCs w:val="20"/>
              </w:rPr>
            </w:pPr>
            <w:r>
              <w:rPr>
                <w:spacing w:val="3"/>
                <w:sz w:val="20"/>
                <w:szCs w:val="20"/>
              </w:rPr>
              <w:t>2</w:t>
            </w:r>
          </w:p>
        </w:tc>
        <w:tc>
          <w:tcPr>
            <w:tcW w:w="1049" w:type="dxa"/>
            <w:vAlign w:val="top"/>
          </w:tcPr>
          <w:p>
            <w:pPr>
              <w:pStyle w:val="17"/>
              <w:spacing w:before="87" w:line="189" w:lineRule="auto"/>
              <w:ind w:left="480"/>
              <w:rPr>
                <w:sz w:val="20"/>
                <w:szCs w:val="20"/>
              </w:rPr>
            </w:pPr>
            <w:r>
              <w:rPr>
                <w:spacing w:val="1"/>
                <w:sz w:val="20"/>
                <w:szCs w:val="20"/>
              </w:rPr>
              <w:t>3</w:t>
            </w:r>
          </w:p>
        </w:tc>
        <w:tc>
          <w:tcPr>
            <w:tcW w:w="911" w:type="dxa"/>
            <w:vAlign w:val="top"/>
          </w:tcPr>
          <w:p>
            <w:pPr>
              <w:pStyle w:val="17"/>
              <w:spacing w:before="86" w:line="189" w:lineRule="auto"/>
              <w:ind w:left="402"/>
              <w:rPr>
                <w:sz w:val="20"/>
                <w:szCs w:val="20"/>
              </w:rPr>
            </w:pPr>
            <w:r>
              <w:rPr>
                <w:spacing w:val="6"/>
                <w:sz w:val="20"/>
                <w:szCs w:val="20"/>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29" w:type="dxa"/>
            <w:vAlign w:val="top"/>
          </w:tcPr>
          <w:p>
            <w:pPr>
              <w:pStyle w:val="17"/>
              <w:spacing w:before="132" w:line="155" w:lineRule="exact"/>
              <w:ind w:left="260"/>
              <w:rPr>
                <w:sz w:val="20"/>
                <w:szCs w:val="20"/>
              </w:rPr>
            </w:pPr>
            <w:r>
              <w:rPr>
                <w:spacing w:val="17"/>
                <w:position w:val="-4"/>
                <w:sz w:val="20"/>
                <w:szCs w:val="20"/>
              </w:rPr>
              <w:t>一</w:t>
            </w:r>
          </w:p>
        </w:tc>
        <w:tc>
          <w:tcPr>
            <w:tcW w:w="1139" w:type="dxa"/>
            <w:vAlign w:val="top"/>
          </w:tcPr>
          <w:p>
            <w:pPr>
              <w:pStyle w:val="17"/>
              <w:spacing w:before="53" w:line="227" w:lineRule="auto"/>
              <w:ind w:left="344"/>
              <w:rPr>
                <w:sz w:val="20"/>
                <w:szCs w:val="20"/>
              </w:rPr>
            </w:pPr>
            <w:r>
              <w:rPr>
                <w:spacing w:val="26"/>
                <w:sz w:val="20"/>
                <w:szCs w:val="20"/>
              </w:rPr>
              <w:t>钢材</w:t>
            </w:r>
          </w:p>
        </w:tc>
        <w:tc>
          <w:tcPr>
            <w:tcW w:w="1199" w:type="dxa"/>
            <w:vAlign w:val="top"/>
          </w:tcPr>
          <w:p>
            <w:pPr>
              <w:rPr>
                <w:rFonts w:ascii="Arial"/>
                <w:sz w:val="21"/>
              </w:rPr>
            </w:pPr>
          </w:p>
        </w:tc>
        <w:tc>
          <w:tcPr>
            <w:tcW w:w="975" w:type="dxa"/>
            <w:vAlign w:val="top"/>
          </w:tcPr>
          <w:p>
            <w:pPr>
              <w:rPr>
                <w:rFonts w:ascii="Arial"/>
                <w:sz w:val="21"/>
              </w:rPr>
            </w:pPr>
          </w:p>
        </w:tc>
        <w:tc>
          <w:tcPr>
            <w:tcW w:w="804" w:type="dxa"/>
            <w:vAlign w:val="top"/>
          </w:tcPr>
          <w:p>
            <w:pPr>
              <w:pStyle w:val="17"/>
              <w:spacing w:before="92" w:line="183" w:lineRule="auto"/>
              <w:ind w:left="296"/>
              <w:rPr>
                <w:sz w:val="20"/>
                <w:szCs w:val="20"/>
              </w:rPr>
            </w:pPr>
            <w:r>
              <w:rPr>
                <w:spacing w:val="17"/>
                <w:sz w:val="20"/>
                <w:szCs w:val="20"/>
              </w:rPr>
              <w:t>二</w:t>
            </w:r>
          </w:p>
        </w:tc>
        <w:tc>
          <w:tcPr>
            <w:tcW w:w="2008" w:type="dxa"/>
            <w:vAlign w:val="top"/>
          </w:tcPr>
          <w:p>
            <w:pPr>
              <w:pStyle w:val="17"/>
              <w:spacing w:before="53" w:line="228" w:lineRule="auto"/>
              <w:ind w:left="784"/>
              <w:rPr>
                <w:sz w:val="20"/>
                <w:szCs w:val="20"/>
              </w:rPr>
            </w:pPr>
            <w:r>
              <w:rPr>
                <w:spacing w:val="24"/>
                <w:sz w:val="20"/>
                <w:szCs w:val="20"/>
              </w:rPr>
              <w:t>水泥</w:t>
            </w:r>
          </w:p>
        </w:tc>
        <w:tc>
          <w:tcPr>
            <w:tcW w:w="1049" w:type="dxa"/>
            <w:vAlign w:val="top"/>
          </w:tcPr>
          <w:p>
            <w:pPr>
              <w:rPr>
                <w:rFonts w:ascii="Arial"/>
                <w:sz w:val="21"/>
              </w:rPr>
            </w:pPr>
          </w:p>
        </w:tc>
        <w:tc>
          <w:tcPr>
            <w:tcW w:w="9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29" w:type="dxa"/>
            <w:vAlign w:val="top"/>
          </w:tcPr>
          <w:p>
            <w:pPr>
              <w:rPr>
                <w:rFonts w:ascii="Arial"/>
                <w:sz w:val="21"/>
              </w:rPr>
            </w:pPr>
          </w:p>
        </w:tc>
        <w:tc>
          <w:tcPr>
            <w:tcW w:w="1139" w:type="dxa"/>
            <w:vAlign w:val="top"/>
          </w:tcPr>
          <w:p>
            <w:pPr>
              <w:rPr>
                <w:rFonts w:ascii="Arial"/>
                <w:sz w:val="21"/>
              </w:rPr>
            </w:pPr>
          </w:p>
        </w:tc>
        <w:tc>
          <w:tcPr>
            <w:tcW w:w="1199" w:type="dxa"/>
            <w:vAlign w:val="top"/>
          </w:tcPr>
          <w:p>
            <w:pPr>
              <w:rPr>
                <w:rFonts w:ascii="Arial"/>
                <w:sz w:val="21"/>
              </w:rPr>
            </w:pPr>
          </w:p>
        </w:tc>
        <w:tc>
          <w:tcPr>
            <w:tcW w:w="975" w:type="dxa"/>
            <w:vAlign w:val="top"/>
          </w:tcPr>
          <w:p>
            <w:pPr>
              <w:rPr>
                <w:rFonts w:ascii="Arial"/>
                <w:sz w:val="21"/>
              </w:rPr>
            </w:pPr>
          </w:p>
        </w:tc>
        <w:tc>
          <w:tcPr>
            <w:tcW w:w="804" w:type="dxa"/>
            <w:vAlign w:val="top"/>
          </w:tcPr>
          <w:p>
            <w:pPr>
              <w:rPr>
                <w:rFonts w:ascii="Arial"/>
                <w:sz w:val="21"/>
              </w:rPr>
            </w:pPr>
          </w:p>
        </w:tc>
        <w:tc>
          <w:tcPr>
            <w:tcW w:w="2008" w:type="dxa"/>
            <w:vAlign w:val="top"/>
          </w:tcPr>
          <w:p>
            <w:pPr>
              <w:rPr>
                <w:rFonts w:ascii="Arial"/>
                <w:sz w:val="21"/>
              </w:rPr>
            </w:pPr>
          </w:p>
        </w:tc>
        <w:tc>
          <w:tcPr>
            <w:tcW w:w="1049" w:type="dxa"/>
            <w:vAlign w:val="top"/>
          </w:tcPr>
          <w:p>
            <w:pPr>
              <w:rPr>
                <w:rFonts w:ascii="Arial"/>
                <w:sz w:val="21"/>
              </w:rPr>
            </w:pPr>
          </w:p>
        </w:tc>
        <w:tc>
          <w:tcPr>
            <w:tcW w:w="9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29" w:type="dxa"/>
            <w:vAlign w:val="top"/>
          </w:tcPr>
          <w:p>
            <w:pPr>
              <w:rPr>
                <w:rFonts w:ascii="Arial"/>
                <w:sz w:val="21"/>
              </w:rPr>
            </w:pPr>
          </w:p>
        </w:tc>
        <w:tc>
          <w:tcPr>
            <w:tcW w:w="1139" w:type="dxa"/>
            <w:vAlign w:val="top"/>
          </w:tcPr>
          <w:p>
            <w:pPr>
              <w:rPr>
                <w:rFonts w:ascii="Arial"/>
                <w:sz w:val="21"/>
              </w:rPr>
            </w:pPr>
          </w:p>
        </w:tc>
        <w:tc>
          <w:tcPr>
            <w:tcW w:w="1199" w:type="dxa"/>
            <w:vAlign w:val="top"/>
          </w:tcPr>
          <w:p>
            <w:pPr>
              <w:rPr>
                <w:rFonts w:ascii="Arial"/>
                <w:sz w:val="21"/>
              </w:rPr>
            </w:pPr>
          </w:p>
        </w:tc>
        <w:tc>
          <w:tcPr>
            <w:tcW w:w="975" w:type="dxa"/>
            <w:vAlign w:val="top"/>
          </w:tcPr>
          <w:p>
            <w:pPr>
              <w:rPr>
                <w:rFonts w:ascii="Arial"/>
                <w:sz w:val="21"/>
              </w:rPr>
            </w:pPr>
          </w:p>
        </w:tc>
        <w:tc>
          <w:tcPr>
            <w:tcW w:w="804" w:type="dxa"/>
            <w:vAlign w:val="top"/>
          </w:tcPr>
          <w:p>
            <w:pPr>
              <w:rPr>
                <w:rFonts w:ascii="Arial"/>
                <w:sz w:val="21"/>
              </w:rPr>
            </w:pPr>
          </w:p>
        </w:tc>
        <w:tc>
          <w:tcPr>
            <w:tcW w:w="2008" w:type="dxa"/>
            <w:vAlign w:val="top"/>
          </w:tcPr>
          <w:p>
            <w:pPr>
              <w:rPr>
                <w:rFonts w:ascii="Arial"/>
                <w:sz w:val="21"/>
              </w:rPr>
            </w:pPr>
          </w:p>
        </w:tc>
        <w:tc>
          <w:tcPr>
            <w:tcW w:w="1049" w:type="dxa"/>
            <w:vAlign w:val="top"/>
          </w:tcPr>
          <w:p>
            <w:pPr>
              <w:rPr>
                <w:rFonts w:ascii="Arial"/>
                <w:sz w:val="21"/>
              </w:rPr>
            </w:pPr>
          </w:p>
        </w:tc>
        <w:tc>
          <w:tcPr>
            <w:tcW w:w="9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29" w:type="dxa"/>
            <w:vAlign w:val="top"/>
          </w:tcPr>
          <w:p>
            <w:pPr>
              <w:rPr>
                <w:rFonts w:ascii="Arial"/>
                <w:sz w:val="21"/>
              </w:rPr>
            </w:pPr>
          </w:p>
        </w:tc>
        <w:tc>
          <w:tcPr>
            <w:tcW w:w="1139" w:type="dxa"/>
            <w:vAlign w:val="top"/>
          </w:tcPr>
          <w:p>
            <w:pPr>
              <w:rPr>
                <w:rFonts w:ascii="Arial"/>
                <w:sz w:val="21"/>
              </w:rPr>
            </w:pPr>
          </w:p>
        </w:tc>
        <w:tc>
          <w:tcPr>
            <w:tcW w:w="1199" w:type="dxa"/>
            <w:vAlign w:val="top"/>
          </w:tcPr>
          <w:p>
            <w:pPr>
              <w:rPr>
                <w:rFonts w:ascii="Arial"/>
                <w:sz w:val="21"/>
              </w:rPr>
            </w:pPr>
          </w:p>
        </w:tc>
        <w:tc>
          <w:tcPr>
            <w:tcW w:w="975" w:type="dxa"/>
            <w:vAlign w:val="top"/>
          </w:tcPr>
          <w:p>
            <w:pPr>
              <w:rPr>
                <w:rFonts w:ascii="Arial"/>
                <w:sz w:val="21"/>
              </w:rPr>
            </w:pPr>
          </w:p>
        </w:tc>
        <w:tc>
          <w:tcPr>
            <w:tcW w:w="804" w:type="dxa"/>
            <w:vAlign w:val="top"/>
          </w:tcPr>
          <w:p>
            <w:pPr>
              <w:rPr>
                <w:rFonts w:ascii="Arial"/>
                <w:sz w:val="21"/>
              </w:rPr>
            </w:pPr>
          </w:p>
        </w:tc>
        <w:tc>
          <w:tcPr>
            <w:tcW w:w="2008" w:type="dxa"/>
            <w:vAlign w:val="top"/>
          </w:tcPr>
          <w:p>
            <w:pPr>
              <w:rPr>
                <w:rFonts w:ascii="Arial"/>
                <w:sz w:val="21"/>
              </w:rPr>
            </w:pPr>
          </w:p>
        </w:tc>
        <w:tc>
          <w:tcPr>
            <w:tcW w:w="1049" w:type="dxa"/>
            <w:vAlign w:val="top"/>
          </w:tcPr>
          <w:p>
            <w:pPr>
              <w:rPr>
                <w:rFonts w:ascii="Arial"/>
                <w:sz w:val="21"/>
              </w:rPr>
            </w:pPr>
          </w:p>
        </w:tc>
        <w:tc>
          <w:tcPr>
            <w:tcW w:w="9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729" w:type="dxa"/>
            <w:vAlign w:val="top"/>
          </w:tcPr>
          <w:p>
            <w:pPr>
              <w:rPr>
                <w:rFonts w:ascii="Arial"/>
                <w:sz w:val="21"/>
              </w:rPr>
            </w:pPr>
          </w:p>
        </w:tc>
        <w:tc>
          <w:tcPr>
            <w:tcW w:w="1139" w:type="dxa"/>
            <w:vAlign w:val="top"/>
          </w:tcPr>
          <w:p>
            <w:pPr>
              <w:rPr>
                <w:rFonts w:ascii="Arial"/>
                <w:sz w:val="21"/>
              </w:rPr>
            </w:pPr>
          </w:p>
        </w:tc>
        <w:tc>
          <w:tcPr>
            <w:tcW w:w="1199" w:type="dxa"/>
            <w:vAlign w:val="top"/>
          </w:tcPr>
          <w:p>
            <w:pPr>
              <w:rPr>
                <w:rFonts w:ascii="Arial"/>
                <w:sz w:val="21"/>
              </w:rPr>
            </w:pPr>
          </w:p>
        </w:tc>
        <w:tc>
          <w:tcPr>
            <w:tcW w:w="975" w:type="dxa"/>
            <w:vAlign w:val="top"/>
          </w:tcPr>
          <w:p>
            <w:pPr>
              <w:rPr>
                <w:rFonts w:ascii="Arial"/>
                <w:sz w:val="21"/>
              </w:rPr>
            </w:pPr>
          </w:p>
        </w:tc>
        <w:tc>
          <w:tcPr>
            <w:tcW w:w="804" w:type="dxa"/>
            <w:vAlign w:val="top"/>
          </w:tcPr>
          <w:p>
            <w:pPr>
              <w:rPr>
                <w:rFonts w:ascii="Arial"/>
                <w:sz w:val="21"/>
              </w:rPr>
            </w:pPr>
          </w:p>
        </w:tc>
        <w:tc>
          <w:tcPr>
            <w:tcW w:w="2008" w:type="dxa"/>
            <w:vAlign w:val="top"/>
          </w:tcPr>
          <w:p>
            <w:pPr>
              <w:rPr>
                <w:rFonts w:ascii="Arial"/>
                <w:sz w:val="21"/>
              </w:rPr>
            </w:pPr>
          </w:p>
        </w:tc>
        <w:tc>
          <w:tcPr>
            <w:tcW w:w="1049" w:type="dxa"/>
            <w:vAlign w:val="top"/>
          </w:tcPr>
          <w:p>
            <w:pPr>
              <w:rPr>
                <w:rFonts w:ascii="Arial"/>
                <w:sz w:val="21"/>
              </w:rPr>
            </w:pPr>
          </w:p>
        </w:tc>
        <w:tc>
          <w:tcPr>
            <w:tcW w:w="9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29" w:type="dxa"/>
            <w:vAlign w:val="top"/>
          </w:tcPr>
          <w:p>
            <w:pPr>
              <w:pStyle w:val="17"/>
              <w:spacing w:before="63" w:line="241" w:lineRule="auto"/>
              <w:ind w:left="256"/>
              <w:rPr>
                <w:sz w:val="20"/>
                <w:szCs w:val="20"/>
              </w:rPr>
            </w:pPr>
            <w:r>
              <w:rPr>
                <w:spacing w:val="20"/>
                <w:sz w:val="20"/>
                <w:szCs w:val="20"/>
              </w:rPr>
              <w:t>三</w:t>
            </w:r>
          </w:p>
        </w:tc>
        <w:tc>
          <w:tcPr>
            <w:tcW w:w="1139" w:type="dxa"/>
            <w:vAlign w:val="top"/>
          </w:tcPr>
          <w:p>
            <w:pPr>
              <w:pStyle w:val="17"/>
              <w:spacing w:before="64" w:line="228" w:lineRule="auto"/>
              <w:ind w:left="230"/>
              <w:rPr>
                <w:sz w:val="20"/>
                <w:szCs w:val="20"/>
              </w:rPr>
            </w:pPr>
            <w:r>
              <w:rPr>
                <w:spacing w:val="26"/>
                <w:sz w:val="20"/>
                <w:szCs w:val="20"/>
              </w:rPr>
              <w:t>砂石料</w:t>
            </w:r>
          </w:p>
        </w:tc>
        <w:tc>
          <w:tcPr>
            <w:tcW w:w="1199" w:type="dxa"/>
            <w:vAlign w:val="top"/>
          </w:tcPr>
          <w:p>
            <w:pPr>
              <w:rPr>
                <w:rFonts w:ascii="Arial"/>
                <w:sz w:val="21"/>
              </w:rPr>
            </w:pPr>
          </w:p>
        </w:tc>
        <w:tc>
          <w:tcPr>
            <w:tcW w:w="975" w:type="dxa"/>
            <w:vAlign w:val="top"/>
          </w:tcPr>
          <w:p>
            <w:pPr>
              <w:rPr>
                <w:rFonts w:ascii="Arial"/>
                <w:sz w:val="21"/>
              </w:rPr>
            </w:pPr>
          </w:p>
        </w:tc>
        <w:tc>
          <w:tcPr>
            <w:tcW w:w="804" w:type="dxa"/>
            <w:vAlign w:val="top"/>
          </w:tcPr>
          <w:p>
            <w:pPr>
              <w:pStyle w:val="17"/>
              <w:spacing w:before="63" w:line="231" w:lineRule="auto"/>
              <w:ind w:left="314"/>
              <w:rPr>
                <w:sz w:val="20"/>
                <w:szCs w:val="20"/>
              </w:rPr>
            </w:pPr>
            <w:r>
              <w:rPr>
                <w:sz w:val="20"/>
                <w:szCs w:val="20"/>
              </w:rPr>
              <w:t>四</w:t>
            </w:r>
          </w:p>
        </w:tc>
        <w:tc>
          <w:tcPr>
            <w:tcW w:w="2008" w:type="dxa"/>
            <w:vAlign w:val="top"/>
          </w:tcPr>
          <w:p>
            <w:pPr>
              <w:pStyle w:val="17"/>
              <w:spacing w:before="64" w:line="228" w:lineRule="auto"/>
              <w:ind w:left="785"/>
              <w:rPr>
                <w:sz w:val="20"/>
                <w:szCs w:val="20"/>
              </w:rPr>
            </w:pPr>
            <w:r>
              <w:rPr>
                <w:spacing w:val="23"/>
                <w:sz w:val="20"/>
                <w:szCs w:val="20"/>
              </w:rPr>
              <w:t>油料</w:t>
            </w:r>
          </w:p>
        </w:tc>
        <w:tc>
          <w:tcPr>
            <w:tcW w:w="1049" w:type="dxa"/>
            <w:vAlign w:val="top"/>
          </w:tcPr>
          <w:p>
            <w:pPr>
              <w:rPr>
                <w:rFonts w:ascii="Arial"/>
                <w:sz w:val="21"/>
              </w:rPr>
            </w:pPr>
          </w:p>
        </w:tc>
        <w:tc>
          <w:tcPr>
            <w:tcW w:w="9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29" w:type="dxa"/>
            <w:vAlign w:val="top"/>
          </w:tcPr>
          <w:p>
            <w:pPr>
              <w:rPr>
                <w:rFonts w:ascii="Arial"/>
                <w:sz w:val="21"/>
              </w:rPr>
            </w:pPr>
          </w:p>
        </w:tc>
        <w:tc>
          <w:tcPr>
            <w:tcW w:w="1139" w:type="dxa"/>
            <w:vAlign w:val="top"/>
          </w:tcPr>
          <w:p>
            <w:pPr>
              <w:rPr>
                <w:rFonts w:ascii="Arial"/>
                <w:sz w:val="21"/>
              </w:rPr>
            </w:pPr>
          </w:p>
        </w:tc>
        <w:tc>
          <w:tcPr>
            <w:tcW w:w="1199" w:type="dxa"/>
            <w:vAlign w:val="top"/>
          </w:tcPr>
          <w:p>
            <w:pPr>
              <w:rPr>
                <w:rFonts w:ascii="Arial"/>
                <w:sz w:val="21"/>
              </w:rPr>
            </w:pPr>
          </w:p>
        </w:tc>
        <w:tc>
          <w:tcPr>
            <w:tcW w:w="975" w:type="dxa"/>
            <w:vAlign w:val="top"/>
          </w:tcPr>
          <w:p>
            <w:pPr>
              <w:rPr>
                <w:rFonts w:ascii="Arial"/>
                <w:sz w:val="21"/>
              </w:rPr>
            </w:pPr>
          </w:p>
        </w:tc>
        <w:tc>
          <w:tcPr>
            <w:tcW w:w="804" w:type="dxa"/>
            <w:vAlign w:val="top"/>
          </w:tcPr>
          <w:p>
            <w:pPr>
              <w:rPr>
                <w:rFonts w:ascii="Arial"/>
                <w:sz w:val="21"/>
              </w:rPr>
            </w:pPr>
          </w:p>
        </w:tc>
        <w:tc>
          <w:tcPr>
            <w:tcW w:w="2008" w:type="dxa"/>
            <w:vAlign w:val="top"/>
          </w:tcPr>
          <w:p>
            <w:pPr>
              <w:rPr>
                <w:rFonts w:ascii="Arial"/>
                <w:sz w:val="21"/>
              </w:rPr>
            </w:pPr>
          </w:p>
        </w:tc>
        <w:tc>
          <w:tcPr>
            <w:tcW w:w="1049" w:type="dxa"/>
            <w:vAlign w:val="top"/>
          </w:tcPr>
          <w:p>
            <w:pPr>
              <w:rPr>
                <w:rFonts w:ascii="Arial"/>
                <w:sz w:val="21"/>
              </w:rPr>
            </w:pPr>
          </w:p>
        </w:tc>
        <w:tc>
          <w:tcPr>
            <w:tcW w:w="9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29" w:type="dxa"/>
            <w:vAlign w:val="top"/>
          </w:tcPr>
          <w:p>
            <w:pPr>
              <w:rPr>
                <w:rFonts w:ascii="Arial"/>
                <w:sz w:val="21"/>
              </w:rPr>
            </w:pPr>
          </w:p>
        </w:tc>
        <w:tc>
          <w:tcPr>
            <w:tcW w:w="1139" w:type="dxa"/>
            <w:vAlign w:val="top"/>
          </w:tcPr>
          <w:p>
            <w:pPr>
              <w:rPr>
                <w:rFonts w:ascii="Arial"/>
                <w:sz w:val="21"/>
              </w:rPr>
            </w:pPr>
          </w:p>
        </w:tc>
        <w:tc>
          <w:tcPr>
            <w:tcW w:w="1199" w:type="dxa"/>
            <w:vAlign w:val="top"/>
          </w:tcPr>
          <w:p>
            <w:pPr>
              <w:rPr>
                <w:rFonts w:ascii="Arial"/>
                <w:sz w:val="21"/>
              </w:rPr>
            </w:pPr>
          </w:p>
        </w:tc>
        <w:tc>
          <w:tcPr>
            <w:tcW w:w="975" w:type="dxa"/>
            <w:vAlign w:val="top"/>
          </w:tcPr>
          <w:p>
            <w:pPr>
              <w:rPr>
                <w:rFonts w:ascii="Arial"/>
                <w:sz w:val="21"/>
              </w:rPr>
            </w:pPr>
          </w:p>
        </w:tc>
        <w:tc>
          <w:tcPr>
            <w:tcW w:w="804" w:type="dxa"/>
            <w:vAlign w:val="top"/>
          </w:tcPr>
          <w:p>
            <w:pPr>
              <w:rPr>
                <w:rFonts w:ascii="Arial"/>
                <w:sz w:val="21"/>
              </w:rPr>
            </w:pPr>
          </w:p>
        </w:tc>
        <w:tc>
          <w:tcPr>
            <w:tcW w:w="2008" w:type="dxa"/>
            <w:vAlign w:val="top"/>
          </w:tcPr>
          <w:p>
            <w:pPr>
              <w:rPr>
                <w:rFonts w:ascii="Arial"/>
                <w:sz w:val="21"/>
              </w:rPr>
            </w:pPr>
          </w:p>
        </w:tc>
        <w:tc>
          <w:tcPr>
            <w:tcW w:w="1049" w:type="dxa"/>
            <w:vAlign w:val="top"/>
          </w:tcPr>
          <w:p>
            <w:pPr>
              <w:rPr>
                <w:rFonts w:ascii="Arial"/>
                <w:sz w:val="21"/>
              </w:rPr>
            </w:pPr>
          </w:p>
        </w:tc>
        <w:tc>
          <w:tcPr>
            <w:tcW w:w="9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729" w:type="dxa"/>
            <w:vAlign w:val="top"/>
          </w:tcPr>
          <w:p>
            <w:pPr>
              <w:rPr>
                <w:rFonts w:ascii="Arial"/>
                <w:sz w:val="21"/>
              </w:rPr>
            </w:pPr>
          </w:p>
        </w:tc>
        <w:tc>
          <w:tcPr>
            <w:tcW w:w="1139" w:type="dxa"/>
            <w:vAlign w:val="top"/>
          </w:tcPr>
          <w:p>
            <w:pPr>
              <w:rPr>
                <w:rFonts w:ascii="Arial"/>
                <w:sz w:val="21"/>
              </w:rPr>
            </w:pPr>
          </w:p>
        </w:tc>
        <w:tc>
          <w:tcPr>
            <w:tcW w:w="1199" w:type="dxa"/>
            <w:vAlign w:val="top"/>
          </w:tcPr>
          <w:p>
            <w:pPr>
              <w:rPr>
                <w:rFonts w:ascii="Arial"/>
                <w:sz w:val="21"/>
              </w:rPr>
            </w:pPr>
          </w:p>
        </w:tc>
        <w:tc>
          <w:tcPr>
            <w:tcW w:w="975" w:type="dxa"/>
            <w:vAlign w:val="top"/>
          </w:tcPr>
          <w:p>
            <w:pPr>
              <w:rPr>
                <w:rFonts w:ascii="Arial"/>
                <w:sz w:val="21"/>
              </w:rPr>
            </w:pPr>
          </w:p>
        </w:tc>
        <w:tc>
          <w:tcPr>
            <w:tcW w:w="804" w:type="dxa"/>
            <w:vAlign w:val="top"/>
          </w:tcPr>
          <w:p>
            <w:pPr>
              <w:rPr>
                <w:rFonts w:ascii="Arial"/>
                <w:sz w:val="21"/>
              </w:rPr>
            </w:pPr>
          </w:p>
        </w:tc>
        <w:tc>
          <w:tcPr>
            <w:tcW w:w="2008" w:type="dxa"/>
            <w:vAlign w:val="top"/>
          </w:tcPr>
          <w:p>
            <w:pPr>
              <w:rPr>
                <w:rFonts w:ascii="Arial"/>
                <w:sz w:val="21"/>
              </w:rPr>
            </w:pPr>
          </w:p>
        </w:tc>
        <w:tc>
          <w:tcPr>
            <w:tcW w:w="1049" w:type="dxa"/>
            <w:vAlign w:val="top"/>
          </w:tcPr>
          <w:p>
            <w:pPr>
              <w:rPr>
                <w:rFonts w:ascii="Arial"/>
                <w:sz w:val="21"/>
              </w:rPr>
            </w:pPr>
          </w:p>
        </w:tc>
        <w:tc>
          <w:tcPr>
            <w:tcW w:w="9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729" w:type="dxa"/>
            <w:vAlign w:val="top"/>
          </w:tcPr>
          <w:p>
            <w:pPr>
              <w:pStyle w:val="17"/>
              <w:spacing w:before="60" w:line="238" w:lineRule="auto"/>
              <w:ind w:left="260"/>
              <w:rPr>
                <w:sz w:val="20"/>
                <w:szCs w:val="20"/>
              </w:rPr>
            </w:pPr>
            <w:r>
              <w:rPr>
                <w:spacing w:val="17"/>
                <w:sz w:val="20"/>
                <w:szCs w:val="20"/>
              </w:rPr>
              <w:t>五</w:t>
            </w:r>
          </w:p>
        </w:tc>
        <w:tc>
          <w:tcPr>
            <w:tcW w:w="1139" w:type="dxa"/>
            <w:vAlign w:val="top"/>
          </w:tcPr>
          <w:p>
            <w:pPr>
              <w:pStyle w:val="17"/>
              <w:spacing w:before="61" w:line="228" w:lineRule="auto"/>
              <w:ind w:left="347"/>
              <w:rPr>
                <w:sz w:val="20"/>
                <w:szCs w:val="20"/>
              </w:rPr>
            </w:pPr>
            <w:r>
              <w:rPr>
                <w:spacing w:val="25"/>
                <w:sz w:val="20"/>
                <w:szCs w:val="20"/>
              </w:rPr>
              <w:t>其他</w:t>
            </w:r>
          </w:p>
        </w:tc>
        <w:tc>
          <w:tcPr>
            <w:tcW w:w="1199" w:type="dxa"/>
            <w:vAlign w:val="top"/>
          </w:tcPr>
          <w:p>
            <w:pPr>
              <w:rPr>
                <w:rFonts w:ascii="Arial"/>
                <w:sz w:val="21"/>
              </w:rPr>
            </w:pPr>
          </w:p>
        </w:tc>
        <w:tc>
          <w:tcPr>
            <w:tcW w:w="975" w:type="dxa"/>
            <w:vAlign w:val="top"/>
          </w:tcPr>
          <w:p>
            <w:pPr>
              <w:rPr>
                <w:rFonts w:ascii="Arial"/>
                <w:sz w:val="21"/>
              </w:rPr>
            </w:pPr>
          </w:p>
        </w:tc>
        <w:tc>
          <w:tcPr>
            <w:tcW w:w="804" w:type="dxa"/>
            <w:vAlign w:val="top"/>
          </w:tcPr>
          <w:p>
            <w:pPr>
              <w:rPr>
                <w:rFonts w:ascii="Arial"/>
                <w:sz w:val="21"/>
              </w:rPr>
            </w:pPr>
          </w:p>
        </w:tc>
        <w:tc>
          <w:tcPr>
            <w:tcW w:w="2008" w:type="dxa"/>
            <w:vAlign w:val="top"/>
          </w:tcPr>
          <w:p>
            <w:pPr>
              <w:rPr>
                <w:rFonts w:ascii="Arial"/>
                <w:sz w:val="21"/>
              </w:rPr>
            </w:pPr>
          </w:p>
        </w:tc>
        <w:tc>
          <w:tcPr>
            <w:tcW w:w="1049" w:type="dxa"/>
            <w:vAlign w:val="top"/>
          </w:tcPr>
          <w:p>
            <w:pPr>
              <w:rPr>
                <w:rFonts w:ascii="Arial"/>
                <w:sz w:val="21"/>
              </w:rPr>
            </w:pPr>
          </w:p>
        </w:tc>
        <w:tc>
          <w:tcPr>
            <w:tcW w:w="9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29" w:type="dxa"/>
            <w:vAlign w:val="top"/>
          </w:tcPr>
          <w:p>
            <w:pPr>
              <w:rPr>
                <w:rFonts w:ascii="Arial"/>
                <w:sz w:val="21"/>
              </w:rPr>
            </w:pPr>
          </w:p>
        </w:tc>
        <w:tc>
          <w:tcPr>
            <w:tcW w:w="1139" w:type="dxa"/>
            <w:vAlign w:val="top"/>
          </w:tcPr>
          <w:p>
            <w:pPr>
              <w:rPr>
                <w:rFonts w:ascii="Arial"/>
                <w:sz w:val="21"/>
              </w:rPr>
            </w:pPr>
          </w:p>
        </w:tc>
        <w:tc>
          <w:tcPr>
            <w:tcW w:w="1199" w:type="dxa"/>
            <w:vAlign w:val="top"/>
          </w:tcPr>
          <w:p>
            <w:pPr>
              <w:rPr>
                <w:rFonts w:ascii="Arial"/>
                <w:sz w:val="21"/>
              </w:rPr>
            </w:pPr>
          </w:p>
        </w:tc>
        <w:tc>
          <w:tcPr>
            <w:tcW w:w="975" w:type="dxa"/>
            <w:vAlign w:val="top"/>
          </w:tcPr>
          <w:p>
            <w:pPr>
              <w:rPr>
                <w:rFonts w:ascii="Arial"/>
                <w:sz w:val="21"/>
              </w:rPr>
            </w:pPr>
          </w:p>
        </w:tc>
        <w:tc>
          <w:tcPr>
            <w:tcW w:w="804" w:type="dxa"/>
            <w:vAlign w:val="top"/>
          </w:tcPr>
          <w:p>
            <w:pPr>
              <w:rPr>
                <w:rFonts w:ascii="Arial"/>
                <w:sz w:val="21"/>
              </w:rPr>
            </w:pPr>
          </w:p>
        </w:tc>
        <w:tc>
          <w:tcPr>
            <w:tcW w:w="2008" w:type="dxa"/>
            <w:vAlign w:val="top"/>
          </w:tcPr>
          <w:p>
            <w:pPr>
              <w:rPr>
                <w:rFonts w:ascii="Arial"/>
                <w:sz w:val="21"/>
              </w:rPr>
            </w:pPr>
          </w:p>
        </w:tc>
        <w:tc>
          <w:tcPr>
            <w:tcW w:w="1049" w:type="dxa"/>
            <w:vAlign w:val="top"/>
          </w:tcPr>
          <w:p>
            <w:pPr>
              <w:rPr>
                <w:rFonts w:ascii="Arial"/>
                <w:sz w:val="21"/>
              </w:rPr>
            </w:pPr>
          </w:p>
        </w:tc>
        <w:tc>
          <w:tcPr>
            <w:tcW w:w="91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8814" w:type="dxa"/>
            <w:gridSpan w:val="8"/>
            <w:vAlign w:val="top"/>
          </w:tcPr>
          <w:p>
            <w:pPr>
              <w:pStyle w:val="17"/>
              <w:spacing w:before="67" w:line="298" w:lineRule="auto"/>
              <w:ind w:left="970" w:right="181" w:hanging="745"/>
              <w:rPr>
                <w:sz w:val="20"/>
                <w:szCs w:val="20"/>
              </w:rPr>
            </w:pPr>
            <w:r>
              <w:rPr>
                <w:spacing w:val="10"/>
                <w:sz w:val="20"/>
                <w:szCs w:val="20"/>
              </w:rPr>
              <w:t>说明：1.当采用商品水泥混凝土、商品沥</w:t>
            </w:r>
            <w:r>
              <w:rPr>
                <w:spacing w:val="9"/>
                <w:sz w:val="20"/>
                <w:szCs w:val="20"/>
              </w:rPr>
              <w:t>青混凝土、混凝土构件、钢筋混凝土构件、钢构件</w:t>
            </w:r>
            <w:r>
              <w:rPr>
                <w:sz w:val="20"/>
                <w:szCs w:val="20"/>
              </w:rPr>
              <w:t xml:space="preserve"> </w:t>
            </w:r>
            <w:r>
              <w:rPr>
                <w:spacing w:val="12"/>
                <w:sz w:val="20"/>
                <w:szCs w:val="20"/>
              </w:rPr>
              <w:t>等半成品时：若有对应的地区发布的半成品信息价，则按信息价调差；若没有该信</w:t>
            </w:r>
            <w:r>
              <w:rPr>
                <w:spacing w:val="8"/>
                <w:sz w:val="20"/>
                <w:szCs w:val="20"/>
              </w:rPr>
              <w:t xml:space="preserve"> </w:t>
            </w:r>
            <w:r>
              <w:rPr>
                <w:spacing w:val="13"/>
                <w:sz w:val="20"/>
                <w:szCs w:val="20"/>
              </w:rPr>
              <w:t>息价，则按照交通运输部颁布的《公路工程预算定额》</w:t>
            </w:r>
            <w:r>
              <w:rPr>
                <w:spacing w:val="12"/>
                <w:sz w:val="20"/>
                <w:szCs w:val="20"/>
              </w:rPr>
              <w:t>附录中的配合比表，将半成</w:t>
            </w:r>
            <w:r>
              <w:rPr>
                <w:sz w:val="20"/>
                <w:szCs w:val="20"/>
              </w:rPr>
              <w:t xml:space="preserve"> </w:t>
            </w:r>
            <w:r>
              <w:rPr>
                <w:spacing w:val="17"/>
                <w:sz w:val="20"/>
                <w:szCs w:val="20"/>
              </w:rPr>
              <w:t>品换算成对应的组成材料后进行调差。</w:t>
            </w:r>
          </w:p>
          <w:p>
            <w:pPr>
              <w:pStyle w:val="17"/>
              <w:spacing w:before="104" w:line="226" w:lineRule="auto"/>
              <w:ind w:left="789"/>
              <w:rPr>
                <w:sz w:val="20"/>
                <w:szCs w:val="20"/>
              </w:rPr>
            </w:pPr>
            <w:r>
              <w:rPr>
                <w:spacing w:val="8"/>
                <w:sz w:val="20"/>
                <w:szCs w:val="20"/>
              </w:rPr>
              <w:t>2.表中材料代号按交通运输部颁布的《公路工程预算定额》（</w:t>
            </w:r>
            <w:r>
              <w:rPr>
                <w:sz w:val="20"/>
                <w:szCs w:val="20"/>
              </w:rPr>
              <w:t>JTG</w:t>
            </w:r>
            <w:r>
              <w:rPr>
                <w:spacing w:val="8"/>
                <w:sz w:val="20"/>
                <w:szCs w:val="20"/>
              </w:rPr>
              <w:t>/T3832-2018）编制。</w:t>
            </w:r>
          </w:p>
        </w:tc>
      </w:tr>
    </w:tbl>
    <w:p>
      <w:pPr>
        <w:spacing w:line="364" w:lineRule="auto"/>
        <w:rPr>
          <w:rFonts w:ascii="Arial"/>
          <w:sz w:val="21"/>
        </w:rPr>
      </w:pPr>
    </w:p>
    <w:p>
      <w:pPr>
        <w:spacing w:before="78" w:line="218" w:lineRule="auto"/>
        <w:ind w:left="506"/>
        <w:rPr>
          <w:rFonts w:ascii="宋体" w:hAnsi="宋体" w:eastAsia="宋体" w:cs="宋体"/>
          <w:sz w:val="24"/>
          <w:szCs w:val="24"/>
        </w:rPr>
      </w:pPr>
      <w:r>
        <w:rPr>
          <w:rFonts w:ascii="宋体" w:hAnsi="宋体" w:eastAsia="宋体" w:cs="宋体"/>
          <w:spacing w:val="-2"/>
          <w:sz w:val="24"/>
          <w:szCs w:val="24"/>
        </w:rPr>
        <w:t>16.1.2.2.3风险幅度（r）</w:t>
      </w:r>
    </w:p>
    <w:p>
      <w:pPr>
        <w:spacing w:before="182" w:line="468" w:lineRule="exact"/>
        <w:ind w:left="489"/>
        <w:rPr>
          <w:rFonts w:ascii="宋体" w:hAnsi="宋体" w:eastAsia="宋体" w:cs="宋体"/>
          <w:sz w:val="24"/>
          <w:szCs w:val="24"/>
        </w:rPr>
      </w:pPr>
      <w:r>
        <w:rPr>
          <w:rFonts w:ascii="宋体" w:hAnsi="宋体" w:eastAsia="宋体" w:cs="宋体"/>
          <w:spacing w:val="-2"/>
          <w:position w:val="17"/>
          <w:sz w:val="24"/>
          <w:szCs w:val="24"/>
        </w:rPr>
        <w:t>风险幅度是指交通建设项目合同双方各自应承担的材料价格涨跌风险比例大小。风</w:t>
      </w:r>
    </w:p>
    <w:p>
      <w:pPr>
        <w:spacing w:before="1" w:line="217" w:lineRule="auto"/>
        <w:ind w:left="21"/>
        <w:rPr>
          <w:rFonts w:ascii="宋体" w:hAnsi="宋体" w:eastAsia="宋体" w:cs="宋体"/>
          <w:sz w:val="24"/>
          <w:szCs w:val="24"/>
        </w:rPr>
      </w:pPr>
      <w:r>
        <w:rPr>
          <w:rFonts w:ascii="宋体" w:hAnsi="宋体" w:eastAsia="宋体" w:cs="宋体"/>
          <w:spacing w:val="-2"/>
          <w:sz w:val="24"/>
          <w:szCs w:val="24"/>
        </w:rPr>
        <w:t>险幅度范围内的价差应作为建设单位（项目法人）、承包人的风险，不予调差。各类材</w:t>
      </w:r>
    </w:p>
    <w:p>
      <w:pPr>
        <w:spacing w:before="162" w:line="228" w:lineRule="auto"/>
        <w:ind w:left="8"/>
        <w:rPr>
          <w:rFonts w:ascii="宋体" w:hAnsi="宋体" w:eastAsia="宋体" w:cs="宋体"/>
          <w:sz w:val="24"/>
          <w:szCs w:val="24"/>
        </w:rPr>
      </w:pPr>
      <w:r>
        <w:rPr>
          <w:rFonts w:ascii="宋体" w:hAnsi="宋体" w:eastAsia="宋体" w:cs="宋体"/>
          <w:spacing w:val="-2"/>
          <w:sz w:val="24"/>
          <w:szCs w:val="24"/>
        </w:rPr>
        <w:t>料幅度系数如下</w:t>
      </w:r>
      <w:r>
        <w:fldChar w:fldCharType="begin"/>
      </w:r>
      <w:r>
        <w:instrText xml:space="preserve"> HYPERLINK \l "bookmark160" </w:instrText>
      </w:r>
      <w:r>
        <w:fldChar w:fldCharType="separate"/>
      </w:r>
      <w:r>
        <w:rPr>
          <w:rFonts w:ascii="宋体" w:hAnsi="宋体" w:eastAsia="宋体" w:cs="宋体"/>
          <w:spacing w:val="-2"/>
          <w:position w:val="11"/>
          <w:sz w:val="12"/>
          <w:szCs w:val="12"/>
        </w:rPr>
        <w:t>②</w:t>
      </w:r>
      <w:r>
        <w:rPr>
          <w:rFonts w:ascii="宋体" w:hAnsi="宋体" w:eastAsia="宋体" w:cs="宋体"/>
          <w:spacing w:val="-2"/>
          <w:position w:val="11"/>
          <w:sz w:val="12"/>
          <w:szCs w:val="12"/>
        </w:rPr>
        <w:fldChar w:fldCharType="end"/>
      </w:r>
      <w:r>
        <w:rPr>
          <w:rFonts w:ascii="宋体" w:hAnsi="宋体" w:eastAsia="宋体" w:cs="宋体"/>
          <w:spacing w:val="-2"/>
          <w:sz w:val="24"/>
          <w:szCs w:val="24"/>
        </w:rPr>
        <w:t>:</w:t>
      </w:r>
    </w:p>
    <w:p>
      <w:pPr>
        <w:spacing w:before="191" w:line="218" w:lineRule="auto"/>
        <w:ind w:left="487"/>
        <w:rPr>
          <w:rFonts w:ascii="宋体" w:hAnsi="宋体" w:eastAsia="宋体" w:cs="宋体"/>
          <w:sz w:val="24"/>
          <w:szCs w:val="24"/>
        </w:rPr>
      </w:pPr>
      <w:r>
        <w:rPr>
          <w:rFonts w:ascii="宋体" w:hAnsi="宋体" w:eastAsia="宋体" w:cs="宋体"/>
          <w:spacing w:val="-2"/>
          <w:sz w:val="24"/>
          <w:szCs w:val="24"/>
        </w:rPr>
        <w:t>砂石料，r＝</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62"/>
          <w:sz w:val="24"/>
          <w:szCs w:val="24"/>
        </w:rPr>
        <w:t xml:space="preserve"> </w:t>
      </w:r>
      <w:r>
        <w:rPr>
          <w:rFonts w:ascii="宋体" w:hAnsi="宋体" w:eastAsia="宋体" w:cs="宋体"/>
          <w:spacing w:val="-2"/>
          <w:sz w:val="24"/>
          <w:szCs w:val="24"/>
        </w:rPr>
        <w:t>(幅度系数范围为（-5～+5）%)</w:t>
      </w:r>
    </w:p>
    <w:p>
      <w:pPr>
        <w:spacing w:before="182" w:line="360" w:lineRule="auto"/>
        <w:ind w:left="491"/>
        <w:rPr>
          <w:rFonts w:ascii="宋体" w:hAnsi="宋体" w:eastAsia="宋体" w:cs="宋体"/>
          <w:sz w:val="24"/>
          <w:szCs w:val="24"/>
        </w:rPr>
      </w:pPr>
      <w:r>
        <w:rPr>
          <w:rFonts w:ascii="宋体" w:hAnsi="宋体" w:eastAsia="宋体" w:cs="宋体"/>
          <w:spacing w:val="-2"/>
          <w:sz w:val="24"/>
          <w:szCs w:val="24"/>
        </w:rPr>
        <w:t>水泥、半成品，r＝</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58"/>
          <w:sz w:val="24"/>
          <w:szCs w:val="24"/>
        </w:rPr>
        <w:t xml:space="preserve"> </w:t>
      </w:r>
      <w:r>
        <w:rPr>
          <w:rFonts w:ascii="宋体" w:hAnsi="宋体" w:eastAsia="宋体" w:cs="宋体"/>
          <w:spacing w:val="-2"/>
          <w:sz w:val="24"/>
          <w:szCs w:val="24"/>
        </w:rPr>
        <w:t>(幅度系数范围为（-4～+4）%)</w:t>
      </w:r>
    </w:p>
    <w:p>
      <w:pPr>
        <w:spacing w:before="1" w:line="217" w:lineRule="auto"/>
        <w:ind w:left="486"/>
        <w:rPr>
          <w:rFonts w:ascii="宋体" w:hAnsi="宋体" w:eastAsia="宋体" w:cs="宋体"/>
          <w:sz w:val="24"/>
          <w:szCs w:val="24"/>
        </w:rPr>
      </w:pPr>
      <w:r>
        <w:rPr>
          <w:rFonts w:ascii="宋体" w:hAnsi="宋体" w:eastAsia="宋体" w:cs="宋体"/>
          <w:spacing w:val="-2"/>
          <w:sz w:val="24"/>
          <w:szCs w:val="24"/>
        </w:rPr>
        <w:t>钢材、油料及其他，r＝</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55"/>
          <w:sz w:val="24"/>
          <w:szCs w:val="24"/>
        </w:rPr>
        <w:t xml:space="preserve"> </w:t>
      </w:r>
      <w:r>
        <w:rPr>
          <w:rFonts w:ascii="宋体" w:hAnsi="宋体" w:eastAsia="宋体" w:cs="宋体"/>
          <w:spacing w:val="-2"/>
          <w:sz w:val="24"/>
          <w:szCs w:val="24"/>
        </w:rPr>
        <w:t>(幅度系数范围为（-3～+3）%)</w:t>
      </w:r>
    </w:p>
    <w:p>
      <w:pPr>
        <w:spacing w:before="185" w:line="219" w:lineRule="auto"/>
        <w:ind w:left="506"/>
        <w:rPr>
          <w:rFonts w:ascii="宋体" w:hAnsi="宋体" w:eastAsia="宋体" w:cs="宋体"/>
          <w:sz w:val="24"/>
          <w:szCs w:val="24"/>
        </w:rPr>
      </w:pPr>
      <w:r>
        <w:rPr>
          <w:rFonts w:ascii="宋体" w:hAnsi="宋体" w:eastAsia="宋体" w:cs="宋体"/>
          <w:spacing w:val="-2"/>
          <w:sz w:val="24"/>
          <w:szCs w:val="24"/>
        </w:rPr>
        <w:t>16.1.2.2.4计算方法</w:t>
      </w:r>
    </w:p>
    <w:p>
      <w:pPr>
        <w:spacing w:before="181" w:line="220" w:lineRule="auto"/>
        <w:ind w:left="536"/>
        <w:rPr>
          <w:rFonts w:ascii="宋体" w:hAnsi="宋体" w:eastAsia="宋体" w:cs="宋体"/>
          <w:sz w:val="24"/>
          <w:szCs w:val="24"/>
        </w:rPr>
      </w:pPr>
      <w:r>
        <w:rPr>
          <w:rFonts w:ascii="宋体" w:hAnsi="宋体" w:eastAsia="宋体" w:cs="宋体"/>
          <w:spacing w:val="-9"/>
          <w:sz w:val="24"/>
          <w:szCs w:val="24"/>
        </w:rPr>
        <w:t>ΔC= (</w:t>
      </w:r>
      <w:r>
        <w:rPr>
          <w:rFonts w:ascii="宋体" w:hAnsi="宋体" w:eastAsia="宋体" w:cs="宋体"/>
          <w:spacing w:val="-27"/>
          <w:sz w:val="24"/>
          <w:szCs w:val="24"/>
        </w:rPr>
        <w:t xml:space="preserve"> </w:t>
      </w:r>
      <w:r>
        <w:rPr>
          <w:rFonts w:ascii="宋体" w:hAnsi="宋体" w:eastAsia="宋体" w:cs="宋体"/>
          <w:spacing w:val="-9"/>
          <w:sz w:val="24"/>
          <w:szCs w:val="24"/>
        </w:rPr>
        <w:t>ΔP-Po×r）</w:t>
      </w:r>
      <w:r>
        <w:rPr>
          <w:rFonts w:ascii="宋体" w:hAnsi="宋体" w:eastAsia="宋体" w:cs="宋体"/>
          <w:spacing w:val="-77"/>
          <w:sz w:val="24"/>
          <w:szCs w:val="24"/>
        </w:rPr>
        <w:t xml:space="preserve"> </w:t>
      </w:r>
      <w:r>
        <w:rPr>
          <w:rFonts w:ascii="宋体" w:hAnsi="宋体" w:eastAsia="宋体" w:cs="宋体"/>
          <w:spacing w:val="-9"/>
          <w:sz w:val="24"/>
          <w:szCs w:val="24"/>
        </w:rPr>
        <w:t>×Q×（1+D</w:t>
      </w:r>
      <w:r>
        <w:rPr>
          <w:rFonts w:ascii="宋体" w:hAnsi="宋体" w:eastAsia="宋体" w:cs="宋体"/>
          <w:spacing w:val="6"/>
          <w:sz w:val="24"/>
          <w:szCs w:val="24"/>
        </w:rPr>
        <w:t>），</w:t>
      </w:r>
      <w:r>
        <w:rPr>
          <w:rFonts w:ascii="宋体" w:hAnsi="宋体" w:eastAsia="宋体" w:cs="宋体"/>
          <w:spacing w:val="-9"/>
          <w:sz w:val="24"/>
          <w:szCs w:val="24"/>
        </w:rPr>
        <w:t>其中：</w:t>
      </w:r>
    </w:p>
    <w:p>
      <w:pPr>
        <w:spacing w:before="182" w:line="213" w:lineRule="auto"/>
        <w:ind w:left="592"/>
        <w:rPr>
          <w:rFonts w:ascii="宋体" w:hAnsi="宋体" w:eastAsia="宋体" w:cs="宋体"/>
          <w:sz w:val="24"/>
          <w:szCs w:val="24"/>
        </w:rPr>
      </w:pPr>
      <w:r>
        <w:rPr>
          <w:rFonts w:ascii="宋体" w:hAnsi="宋体" w:eastAsia="宋体" w:cs="宋体"/>
          <w:spacing w:val="-3"/>
          <w:sz w:val="24"/>
          <w:szCs w:val="24"/>
        </w:rPr>
        <w:t>|</w:t>
      </w:r>
      <w:r>
        <w:rPr>
          <w:rFonts w:ascii="宋体" w:hAnsi="宋体" w:eastAsia="宋体" w:cs="宋体"/>
          <w:spacing w:val="53"/>
          <w:sz w:val="24"/>
          <w:szCs w:val="24"/>
        </w:rPr>
        <w:t xml:space="preserve"> </w:t>
      </w:r>
      <w:r>
        <w:rPr>
          <w:rFonts w:ascii="宋体" w:hAnsi="宋体" w:eastAsia="宋体" w:cs="宋体"/>
          <w:spacing w:val="-3"/>
          <w:sz w:val="24"/>
          <w:szCs w:val="24"/>
        </w:rPr>
        <w:t>ΔP</w:t>
      </w:r>
      <w:r>
        <w:rPr>
          <w:rFonts w:ascii="宋体" w:hAnsi="宋体" w:eastAsia="宋体" w:cs="宋体"/>
          <w:spacing w:val="-36"/>
          <w:sz w:val="24"/>
          <w:szCs w:val="24"/>
        </w:rPr>
        <w:t>｜＞｜</w:t>
      </w:r>
      <w:r>
        <w:rPr>
          <w:rFonts w:ascii="宋体" w:hAnsi="宋体" w:eastAsia="宋体" w:cs="宋体"/>
          <w:spacing w:val="-3"/>
          <w:sz w:val="24"/>
          <w:szCs w:val="24"/>
        </w:rPr>
        <w:t>Po×r |  ΔP＝Pi（i=1,…,n</w:t>
      </w:r>
      <w:r>
        <w:rPr>
          <w:rFonts w:ascii="宋体" w:hAnsi="宋体" w:eastAsia="宋体" w:cs="宋体"/>
          <w:spacing w:val="-36"/>
          <w:sz w:val="24"/>
          <w:szCs w:val="24"/>
        </w:rPr>
        <w:t>）－</w:t>
      </w:r>
      <w:r>
        <w:rPr>
          <w:rFonts w:ascii="宋体" w:hAnsi="宋体" w:eastAsia="宋体" w:cs="宋体"/>
          <w:spacing w:val="-3"/>
          <w:sz w:val="24"/>
          <w:szCs w:val="24"/>
        </w:rPr>
        <w:t>Po，i指计量申报时间。</w:t>
      </w:r>
    </w:p>
    <w:p>
      <w:pPr>
        <w:spacing w:before="189" w:line="220" w:lineRule="auto"/>
        <w:ind w:left="493"/>
        <w:rPr>
          <w:rFonts w:ascii="宋体" w:hAnsi="宋体" w:eastAsia="宋体" w:cs="宋体"/>
          <w:sz w:val="24"/>
          <w:szCs w:val="24"/>
        </w:rPr>
      </w:pPr>
      <w:r>
        <w:rPr>
          <w:rFonts w:ascii="宋体" w:hAnsi="宋体" w:eastAsia="宋体" w:cs="宋体"/>
          <w:spacing w:val="-5"/>
          <w:sz w:val="24"/>
          <w:szCs w:val="24"/>
        </w:rPr>
        <w:t>式中：</w:t>
      </w:r>
    </w:p>
    <w:p>
      <w:pPr>
        <w:tabs>
          <w:tab w:val="left" w:pos="2880"/>
        </w:tabs>
        <w:spacing w:before="172" w:line="241" w:lineRule="exact"/>
        <w:rPr>
          <w:rFonts w:ascii="Arial"/>
          <w:sz w:val="21"/>
        </w:rPr>
      </w:pPr>
      <w:r>
        <w:rPr>
          <w:rFonts w:ascii="Arial" w:hAnsi="Arial" w:eastAsia="Arial" w:cs="Arial"/>
          <w:sz w:val="21"/>
          <w:szCs w:val="21"/>
          <w:u w:val="single" w:color="auto"/>
        </w:rPr>
        <w:tab/>
      </w:r>
    </w:p>
    <w:p>
      <w:pPr>
        <w:spacing w:before="103" w:line="230" w:lineRule="auto"/>
        <w:ind w:left="10" w:right="291" w:hanging="5"/>
        <w:rPr>
          <w:rFonts w:ascii="宋体" w:hAnsi="宋体" w:eastAsia="宋体" w:cs="宋体"/>
          <w:sz w:val="18"/>
          <w:szCs w:val="18"/>
        </w:rPr>
      </w:pPr>
      <w:r>
        <w:rPr>
          <w:rFonts w:ascii="宋体" w:hAnsi="宋体" w:eastAsia="宋体" w:cs="宋体"/>
          <w:sz w:val="18"/>
          <w:szCs w:val="18"/>
        </w:rPr>
        <w:t>① 招标人参照《广东省交通运输厅关于印发</w:t>
      </w:r>
      <w:r>
        <w:rPr>
          <w:rFonts w:ascii="宋体" w:hAnsi="宋体" w:eastAsia="宋体" w:cs="宋体"/>
          <w:spacing w:val="-1"/>
          <w:sz w:val="18"/>
          <w:szCs w:val="18"/>
        </w:rPr>
        <w:t>我省交通建设项目材料价差调整指导性意见的通知》并根据实际情况填</w:t>
      </w:r>
      <w:r>
        <w:rPr>
          <w:rFonts w:ascii="宋体" w:hAnsi="宋体" w:eastAsia="宋体" w:cs="宋体"/>
          <w:sz w:val="18"/>
          <w:szCs w:val="18"/>
        </w:rPr>
        <w:t xml:space="preserve"> </w:t>
      </w:r>
      <w:r>
        <w:rPr>
          <w:rFonts w:ascii="宋体" w:hAnsi="宋体" w:eastAsia="宋体" w:cs="宋体"/>
          <w:spacing w:val="-2"/>
          <w:sz w:val="18"/>
          <w:szCs w:val="18"/>
        </w:rPr>
        <w:t>写可调差的材料名称。</w:t>
      </w:r>
    </w:p>
    <w:p>
      <w:pPr>
        <w:spacing w:before="20" w:line="229" w:lineRule="auto"/>
        <w:ind w:left="6" w:right="219" w:hanging="2"/>
        <w:rPr>
          <w:rFonts w:ascii="宋体" w:hAnsi="宋体" w:eastAsia="宋体" w:cs="宋体"/>
          <w:sz w:val="18"/>
          <w:szCs w:val="18"/>
        </w:rPr>
      </w:pPr>
      <w:r>
        <w:rPr>
          <w:rFonts w:ascii="宋体" w:hAnsi="宋体" w:eastAsia="宋体" w:cs="宋体"/>
          <w:spacing w:val="-1"/>
          <w:sz w:val="18"/>
          <w:szCs w:val="18"/>
        </w:rPr>
        <w:t>② 建设单位（项目法人）应 在招标文件中明确基准价（</w:t>
      </w:r>
      <w:r>
        <w:rPr>
          <w:rFonts w:ascii="Times New Roman" w:hAnsi="Times New Roman" w:eastAsia="Times New Roman" w:cs="Times New Roman"/>
          <w:spacing w:val="-1"/>
          <w:sz w:val="18"/>
          <w:szCs w:val="18"/>
        </w:rPr>
        <w:t>Po</w:t>
      </w:r>
      <w:r>
        <w:rPr>
          <w:rFonts w:ascii="宋体" w:hAnsi="宋体" w:eastAsia="宋体" w:cs="宋体"/>
          <w:spacing w:val="-1"/>
          <w:sz w:val="18"/>
          <w:szCs w:val="18"/>
        </w:rPr>
        <w:t>）采用的价格、发布机构和具体</w:t>
      </w:r>
      <w:r>
        <w:rPr>
          <w:rFonts w:ascii="宋体" w:hAnsi="宋体" w:eastAsia="宋体" w:cs="宋体"/>
          <w:spacing w:val="-30"/>
          <w:sz w:val="18"/>
          <w:szCs w:val="18"/>
        </w:rPr>
        <w:t xml:space="preserve"> </w:t>
      </w:r>
      <w:r>
        <w:rPr>
          <w:rFonts w:ascii="Times New Roman" w:hAnsi="Times New Roman" w:eastAsia="Times New Roman" w:cs="Times New Roman"/>
          <w:spacing w:val="-1"/>
          <w:sz w:val="18"/>
          <w:szCs w:val="18"/>
        </w:rPr>
        <w:t xml:space="preserve">XX </w:t>
      </w:r>
      <w:r>
        <w:rPr>
          <w:rFonts w:ascii="宋体" w:hAnsi="宋体" w:eastAsia="宋体" w:cs="宋体"/>
          <w:spacing w:val="-1"/>
          <w:sz w:val="18"/>
          <w:szCs w:val="18"/>
        </w:rPr>
        <w:t>年</w:t>
      </w:r>
      <w:r>
        <w:rPr>
          <w:rFonts w:ascii="宋体" w:hAnsi="宋体" w:eastAsia="宋体" w:cs="宋体"/>
          <w:spacing w:val="-43"/>
          <w:sz w:val="18"/>
          <w:szCs w:val="18"/>
        </w:rPr>
        <w:t xml:space="preserve"> </w:t>
      </w:r>
      <w:r>
        <w:rPr>
          <w:rFonts w:ascii="Times New Roman" w:hAnsi="Times New Roman" w:eastAsia="Times New Roman" w:cs="Times New Roman"/>
          <w:spacing w:val="-1"/>
          <w:sz w:val="18"/>
          <w:szCs w:val="18"/>
        </w:rPr>
        <w:t xml:space="preserve">XX </w:t>
      </w:r>
      <w:r>
        <w:rPr>
          <w:rFonts w:ascii="宋体" w:hAnsi="宋体" w:eastAsia="宋体" w:cs="宋体"/>
          <w:spacing w:val="-1"/>
          <w:sz w:val="18"/>
          <w:szCs w:val="18"/>
        </w:rPr>
        <w:t>月（或季度）</w:t>
      </w:r>
      <w:r>
        <w:rPr>
          <w:rFonts w:ascii="宋体" w:hAnsi="宋体" w:eastAsia="宋体" w:cs="宋体"/>
          <w:sz w:val="18"/>
          <w:szCs w:val="18"/>
        </w:rPr>
        <w:t xml:space="preserve"> </w:t>
      </w:r>
      <w:r>
        <w:rPr>
          <w:rFonts w:ascii="宋体" w:hAnsi="宋体" w:eastAsia="宋体" w:cs="宋体"/>
          <w:spacing w:val="-3"/>
          <w:sz w:val="18"/>
          <w:szCs w:val="18"/>
        </w:rPr>
        <w:t>等信息。</w:t>
      </w:r>
    </w:p>
    <w:p>
      <w:pPr>
        <w:spacing w:line="425" w:lineRule="auto"/>
        <w:rPr>
          <w:rFonts w:ascii="Arial"/>
          <w:sz w:val="21"/>
        </w:rPr>
      </w:pPr>
      <w:r>
        <mc:AlternateContent>
          <mc:Choice Requires="wps">
            <w:drawing>
              <wp:anchor distT="0" distB="0" distL="114300" distR="114300" simplePos="0" relativeHeight="251671552" behindDoc="0" locked="0" layoutInCell="0" allowOverlap="1">
                <wp:simplePos x="0" y="0"/>
                <wp:positionH relativeFrom="page">
                  <wp:posOffset>899795</wp:posOffset>
                </wp:positionH>
                <wp:positionV relativeFrom="page">
                  <wp:posOffset>9566910</wp:posOffset>
                </wp:positionV>
                <wp:extent cx="1828800" cy="0"/>
                <wp:effectExtent l="4445" t="4445" r="5080" b="5080"/>
                <wp:wrapNone/>
                <wp:docPr id="90" name="任意多边形 90"/>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3.3pt;height:0pt;width:144pt;mso-position-horizontal-relative:page;mso-position-vertical-relative:page;z-index:251671552;mso-width-relative:page;mso-height-relative:page;" filled="f" stroked="t" coordsize="2880,1" o:allowincell="f" o:gfxdata="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IzZwnXAAAADQEAAA8AAAAAAAAAAQAgAAAAIgAAAGRycy9kb3ducmV2LnhtbFBLAQIUABQAAAAI&#10;AIdO4kBO3XlzJwIAAIkEAAAOAAAAAAAAAAEAIAAAACYBAABkcnMvZTJvRG9jLnhtbFBLBQYAAAAA&#10;BgAGAFkBAAC/BQAAAAA=&#10;" path="m0,0l2880,0e">
                <v:fill on="f" focussize="0,0"/>
                <v:stroke weight="0pt" color="#000000" joinstyle="bevel" endcap="square"/>
                <v:imagedata o:title=""/>
                <o:lock v:ext="edit" aspectratio="f"/>
              </v:shape>
            </w:pict>
          </mc:Fallback>
        </mc:AlternateContent>
      </w:r>
    </w:p>
    <w:p>
      <w:pPr>
        <w:spacing w:before="78" w:line="218" w:lineRule="auto"/>
        <w:ind w:left="648"/>
        <w:rPr>
          <w:rFonts w:ascii="宋体" w:hAnsi="宋体" w:eastAsia="宋体" w:cs="宋体"/>
          <w:sz w:val="24"/>
          <w:szCs w:val="24"/>
        </w:rPr>
      </w:pPr>
      <w:r>
        <w:rPr>
          <w:rFonts w:ascii="宋体" w:hAnsi="宋体" w:eastAsia="宋体" w:cs="宋体"/>
          <w:spacing w:val="-3"/>
          <w:sz w:val="24"/>
          <w:szCs w:val="24"/>
        </w:rPr>
        <w:t>ΔC—价差调整费用，系按调价周期计算的当次费用。</w:t>
      </w:r>
    </w:p>
    <w:p>
      <w:pPr>
        <w:spacing w:before="182" w:line="218" w:lineRule="auto"/>
        <w:ind w:left="648"/>
        <w:rPr>
          <w:rFonts w:ascii="宋体" w:hAnsi="宋体" w:eastAsia="宋体" w:cs="宋体"/>
          <w:sz w:val="24"/>
          <w:szCs w:val="24"/>
        </w:rPr>
      </w:pPr>
      <w:r>
        <w:rPr>
          <w:rFonts w:ascii="宋体" w:hAnsi="宋体" w:eastAsia="宋体" w:cs="宋体"/>
          <w:spacing w:val="-7"/>
          <w:sz w:val="24"/>
          <w:szCs w:val="24"/>
        </w:rPr>
        <w:t>ΔP—材料价格差。</w:t>
      </w:r>
    </w:p>
    <w:p>
      <w:pPr>
        <w:spacing w:before="184" w:line="359" w:lineRule="auto"/>
        <w:ind w:left="121" w:right="230" w:firstLine="524"/>
        <w:rPr>
          <w:rFonts w:ascii="宋体" w:hAnsi="宋体" w:eastAsia="宋体" w:cs="宋体"/>
          <w:sz w:val="24"/>
          <w:szCs w:val="24"/>
        </w:rPr>
      </w:pPr>
      <w:r>
        <w:rPr>
          <w:rFonts w:ascii="宋体" w:hAnsi="宋体" w:eastAsia="宋体" w:cs="宋体"/>
          <w:spacing w:val="-2"/>
          <w:sz w:val="24"/>
          <w:szCs w:val="24"/>
        </w:rPr>
        <w:t>Po—基准价（不含税</w:t>
      </w:r>
      <w:r>
        <w:rPr>
          <w:rFonts w:ascii="宋体" w:hAnsi="宋体" w:eastAsia="宋体" w:cs="宋体"/>
          <w:spacing w:val="-15"/>
          <w:sz w:val="24"/>
          <w:szCs w:val="24"/>
        </w:rPr>
        <w:t>），</w:t>
      </w:r>
      <w:r>
        <w:rPr>
          <w:rFonts w:ascii="宋体" w:hAnsi="宋体" w:eastAsia="宋体" w:cs="宋体"/>
          <w:spacing w:val="-2"/>
          <w:sz w:val="24"/>
          <w:szCs w:val="24"/>
        </w:rPr>
        <w:t>指建设单位（项目法人）确定最高投</w:t>
      </w:r>
      <w:r>
        <w:rPr>
          <w:rFonts w:ascii="宋体" w:hAnsi="宋体" w:eastAsia="宋体" w:cs="宋体"/>
          <w:spacing w:val="-3"/>
          <w:sz w:val="24"/>
          <w:szCs w:val="24"/>
        </w:rPr>
        <w:t>标限价时所采用的交</w:t>
      </w:r>
      <w:r>
        <w:rPr>
          <w:rFonts w:ascii="宋体" w:hAnsi="宋体" w:eastAsia="宋体" w:cs="宋体"/>
          <w:spacing w:val="1"/>
          <w:sz w:val="24"/>
          <w:szCs w:val="24"/>
        </w:rPr>
        <w:t xml:space="preserve"> </w:t>
      </w:r>
      <w:r>
        <w:rPr>
          <w:rFonts w:ascii="宋体" w:hAnsi="宋体" w:eastAsia="宋体" w:cs="宋体"/>
          <w:spacing w:val="-6"/>
          <w:sz w:val="24"/>
          <w:szCs w:val="24"/>
        </w:rPr>
        <w:t>通建设项目所在地地级市及以上工程造价专业机构发布的</w:t>
      </w:r>
      <w:r>
        <w:rPr>
          <w:rFonts w:ascii="宋体" w:hAnsi="宋体" w:eastAsia="宋体" w:cs="宋体"/>
          <w:spacing w:val="-6"/>
          <w:sz w:val="24"/>
          <w:szCs w:val="24"/>
          <w:u w:val="single" w:color="auto"/>
        </w:rPr>
        <w:t xml:space="preserve"> </w:t>
      </w:r>
      <w:r>
        <w:rPr>
          <w:rFonts w:ascii="宋体" w:hAnsi="宋体" w:eastAsia="宋体" w:cs="宋体"/>
          <w:spacing w:val="-7"/>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月（或季度）信息价，</w:t>
      </w:r>
    </w:p>
    <w:p>
      <w:pPr>
        <w:spacing w:line="219" w:lineRule="auto"/>
        <w:ind w:left="125"/>
        <w:rPr>
          <w:rFonts w:ascii="宋体" w:hAnsi="宋体" w:eastAsia="宋体" w:cs="宋体"/>
          <w:sz w:val="24"/>
          <w:szCs w:val="24"/>
        </w:rPr>
      </w:pPr>
      <w:r>
        <w:rPr>
          <w:rFonts w:ascii="宋体" w:hAnsi="宋体" w:eastAsia="宋体" w:cs="宋体"/>
          <w:spacing w:val="-1"/>
          <w:sz w:val="24"/>
          <w:szCs w:val="24"/>
        </w:rPr>
        <w:t>如项目或合同段跨两个以上地级市的，按权重取平均值计算。</w:t>
      </w:r>
    </w:p>
    <w:p>
      <w:pPr>
        <w:spacing w:before="180" w:line="359" w:lineRule="auto"/>
        <w:ind w:left="120" w:right="291" w:firstLine="477"/>
        <w:rPr>
          <w:rFonts w:ascii="宋体" w:hAnsi="宋体" w:eastAsia="宋体" w:cs="宋体"/>
          <w:sz w:val="24"/>
          <w:szCs w:val="24"/>
        </w:rPr>
      </w:pPr>
      <w:r>
        <w:rPr>
          <w:rFonts w:ascii="宋体" w:hAnsi="宋体" w:eastAsia="宋体" w:cs="宋体"/>
          <w:spacing w:val="-1"/>
          <w:sz w:val="24"/>
          <w:szCs w:val="24"/>
        </w:rPr>
        <w:t>Pi—信息价（不含税</w:t>
      </w:r>
      <w:r>
        <w:rPr>
          <w:rFonts w:ascii="宋体" w:hAnsi="宋体" w:eastAsia="宋体" w:cs="宋体"/>
          <w:spacing w:val="-12"/>
          <w:sz w:val="24"/>
          <w:szCs w:val="24"/>
        </w:rPr>
        <w:t>），</w:t>
      </w:r>
      <w:r>
        <w:rPr>
          <w:rFonts w:ascii="宋体" w:hAnsi="宋体" w:eastAsia="宋体" w:cs="宋体"/>
          <w:spacing w:val="-1"/>
          <w:sz w:val="24"/>
          <w:szCs w:val="24"/>
        </w:rPr>
        <w:t>指采购材料时交通建设项目所在地级市及以上工程造价专</w:t>
      </w:r>
      <w:r>
        <w:rPr>
          <w:rFonts w:ascii="宋体" w:hAnsi="宋体" w:eastAsia="宋体" w:cs="宋体"/>
          <w:sz w:val="24"/>
          <w:szCs w:val="24"/>
        </w:rPr>
        <w:t xml:space="preserve"> </w:t>
      </w:r>
      <w:r>
        <w:rPr>
          <w:rFonts w:ascii="宋体" w:hAnsi="宋体" w:eastAsia="宋体" w:cs="宋体"/>
          <w:spacing w:val="-2"/>
          <w:sz w:val="24"/>
          <w:szCs w:val="24"/>
        </w:rPr>
        <w:t>业机构发布的上季（月）度信息价，如项目或合同段跨两个以上地级市的，按权重取平</w:t>
      </w:r>
    </w:p>
    <w:p>
      <w:pPr>
        <w:spacing w:line="219" w:lineRule="auto"/>
        <w:ind w:left="122"/>
        <w:rPr>
          <w:rFonts w:ascii="宋体" w:hAnsi="宋体" w:eastAsia="宋体" w:cs="宋体"/>
          <w:sz w:val="24"/>
          <w:szCs w:val="24"/>
        </w:rPr>
      </w:pPr>
      <w:r>
        <w:rPr>
          <w:rFonts w:ascii="宋体" w:hAnsi="宋体" w:eastAsia="宋体" w:cs="宋体"/>
          <w:spacing w:val="-3"/>
          <w:sz w:val="24"/>
          <w:szCs w:val="24"/>
        </w:rPr>
        <w:t>均值计算。</w:t>
      </w:r>
    </w:p>
    <w:p>
      <w:pPr>
        <w:spacing w:before="184" w:line="359" w:lineRule="auto"/>
        <w:ind w:left="122" w:right="291" w:firstLine="477"/>
        <w:rPr>
          <w:rFonts w:ascii="宋体" w:hAnsi="宋体" w:eastAsia="宋体" w:cs="宋体"/>
          <w:sz w:val="24"/>
          <w:szCs w:val="24"/>
        </w:rPr>
      </w:pPr>
      <w:r>
        <w:rPr>
          <w:rFonts w:ascii="宋体" w:hAnsi="宋体" w:eastAsia="宋体" w:cs="宋体"/>
          <w:sz w:val="24"/>
          <w:szCs w:val="24"/>
        </w:rPr>
        <w:t>Q—调整材料数量，指工程实际使用的可调差的材料数量。《</w:t>
      </w:r>
      <w:r>
        <w:rPr>
          <w:rFonts w:ascii="宋体" w:hAnsi="宋体" w:eastAsia="宋体" w:cs="宋体"/>
          <w:spacing w:val="-1"/>
          <w:sz w:val="24"/>
          <w:szCs w:val="24"/>
        </w:rPr>
        <w:t>调价材料单位用量指</w:t>
      </w:r>
      <w:r>
        <w:rPr>
          <w:rFonts w:ascii="宋体" w:hAnsi="宋体" w:eastAsia="宋体" w:cs="宋体"/>
          <w:sz w:val="24"/>
          <w:szCs w:val="24"/>
        </w:rPr>
        <w:t xml:space="preserve"> </w:t>
      </w:r>
      <w:r>
        <w:rPr>
          <w:rFonts w:ascii="宋体" w:hAnsi="宋体" w:eastAsia="宋体" w:cs="宋体"/>
          <w:spacing w:val="-2"/>
          <w:sz w:val="24"/>
          <w:szCs w:val="24"/>
        </w:rPr>
        <w:t>标表》中所列材料以承包人当月计量的实体工程量为基础，按照表中的单位用量指标计</w:t>
      </w:r>
    </w:p>
    <w:p>
      <w:pPr>
        <w:spacing w:line="218" w:lineRule="auto"/>
        <w:ind w:left="123"/>
        <w:rPr>
          <w:rFonts w:ascii="宋体" w:hAnsi="宋体" w:eastAsia="宋体" w:cs="宋体"/>
          <w:sz w:val="24"/>
          <w:szCs w:val="24"/>
        </w:rPr>
      </w:pPr>
      <w:r>
        <w:rPr>
          <w:rFonts w:ascii="宋体" w:hAnsi="宋体" w:eastAsia="宋体" w:cs="宋体"/>
          <w:spacing w:val="-1"/>
          <w:sz w:val="24"/>
          <w:szCs w:val="24"/>
        </w:rPr>
        <w:t>算调整材料数量。通车后计量部分统一按通车时点计算工程量。</w:t>
      </w:r>
    </w:p>
    <w:p>
      <w:pPr>
        <w:spacing w:before="182" w:line="218" w:lineRule="auto"/>
        <w:ind w:left="599"/>
        <w:rPr>
          <w:rFonts w:ascii="宋体" w:hAnsi="宋体" w:eastAsia="宋体" w:cs="宋体"/>
          <w:spacing w:val="-1"/>
          <w:sz w:val="24"/>
          <w:szCs w:val="24"/>
          <w14:textOutline w14:w="4358" w14:cap="sq" w14:cmpd="sng">
            <w14:solidFill>
              <w14:srgbClr w14:val="000000"/>
            </w14:solidFill>
            <w14:prstDash w14:val="solid"/>
            <w14:bevel/>
          </w14:textOutline>
        </w:rPr>
      </w:pPr>
      <w:r>
        <w:rPr>
          <w:rFonts w:ascii="宋体" w:hAnsi="宋体" w:eastAsia="宋体" w:cs="宋体"/>
          <w:spacing w:val="-4"/>
          <w:sz w:val="24"/>
          <w:szCs w:val="24"/>
        </w:rPr>
        <w:t>r—风险幅度系数。当</w:t>
      </w:r>
      <w:r>
        <w:rPr>
          <w:rFonts w:ascii="宋体" w:hAnsi="宋体" w:eastAsia="宋体" w:cs="宋体"/>
          <w:spacing w:val="-50"/>
          <w:sz w:val="24"/>
          <w:szCs w:val="24"/>
        </w:rPr>
        <w:t xml:space="preserve"> </w:t>
      </w:r>
      <w:r>
        <w:rPr>
          <w:rFonts w:ascii="宋体" w:hAnsi="宋体" w:eastAsia="宋体" w:cs="宋体"/>
          <w:spacing w:val="-4"/>
          <w:sz w:val="24"/>
          <w:szCs w:val="24"/>
        </w:rPr>
        <w:t>ΔP&gt;0时，r为正值，当</w:t>
      </w:r>
      <w:r>
        <w:rPr>
          <w:rFonts w:ascii="宋体" w:hAnsi="宋体" w:eastAsia="宋体" w:cs="宋体"/>
          <w:spacing w:val="-63"/>
          <w:sz w:val="24"/>
          <w:szCs w:val="24"/>
        </w:rPr>
        <w:t xml:space="preserve"> </w:t>
      </w:r>
      <w:r>
        <w:rPr>
          <w:rFonts w:ascii="宋体" w:hAnsi="宋体" w:eastAsia="宋体" w:cs="宋体"/>
          <w:spacing w:val="-4"/>
          <w:sz w:val="24"/>
          <w:szCs w:val="24"/>
        </w:rPr>
        <w:t>ΔP&lt;0 时，r为负值。</w:t>
      </w:r>
    </w:p>
    <w:p>
      <w:pPr>
        <w:spacing w:before="184" w:line="218" w:lineRule="auto"/>
        <w:ind w:left="3336"/>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调价材料单位用量指标表</w:t>
      </w:r>
    </w:p>
    <w:p>
      <w:pPr>
        <w:spacing w:line="148" w:lineRule="exact"/>
      </w:pPr>
    </w:p>
    <w:tbl>
      <w:tblPr>
        <w:tblStyle w:val="16"/>
        <w:tblW w:w="93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5"/>
        <w:gridCol w:w="2452"/>
        <w:gridCol w:w="1906"/>
        <w:gridCol w:w="35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435" w:type="dxa"/>
            <w:vAlign w:val="top"/>
          </w:tcPr>
          <w:p>
            <w:pPr>
              <w:pStyle w:val="17"/>
              <w:spacing w:before="36" w:line="408" w:lineRule="exact"/>
              <w:ind w:left="409"/>
              <w:rPr>
                <w:sz w:val="20"/>
                <w:szCs w:val="20"/>
              </w:rPr>
            </w:pPr>
            <w:r>
              <w:rPr>
                <w:spacing w:val="6"/>
                <w:position w:val="15"/>
                <w:sz w:val="20"/>
                <w:szCs w:val="20"/>
              </w:rPr>
              <w:t>调价的</w:t>
            </w:r>
          </w:p>
          <w:p>
            <w:pPr>
              <w:pStyle w:val="17"/>
              <w:spacing w:line="226" w:lineRule="auto"/>
              <w:ind w:left="302"/>
              <w:rPr>
                <w:sz w:val="20"/>
                <w:szCs w:val="20"/>
              </w:rPr>
            </w:pPr>
            <w:r>
              <w:rPr>
                <w:spacing w:val="7"/>
                <w:sz w:val="20"/>
                <w:szCs w:val="20"/>
              </w:rPr>
              <w:t>材料名称</w:t>
            </w:r>
          </w:p>
        </w:tc>
        <w:tc>
          <w:tcPr>
            <w:tcW w:w="2452" w:type="dxa"/>
            <w:vAlign w:val="top"/>
          </w:tcPr>
          <w:p>
            <w:pPr>
              <w:pStyle w:val="17"/>
              <w:spacing w:before="241" w:line="226" w:lineRule="auto"/>
              <w:ind w:left="287"/>
              <w:rPr>
                <w:sz w:val="20"/>
                <w:szCs w:val="20"/>
              </w:rPr>
            </w:pPr>
            <w:r>
              <w:rPr>
                <w:spacing w:val="8"/>
                <w:sz w:val="20"/>
                <w:szCs w:val="20"/>
              </w:rPr>
              <w:t>调价的清单子目编号</w:t>
            </w:r>
          </w:p>
        </w:tc>
        <w:tc>
          <w:tcPr>
            <w:tcW w:w="1906" w:type="dxa"/>
            <w:vAlign w:val="top"/>
          </w:tcPr>
          <w:p>
            <w:pPr>
              <w:pStyle w:val="17"/>
              <w:spacing w:before="241" w:line="226" w:lineRule="auto"/>
              <w:ind w:left="225"/>
              <w:rPr>
                <w:sz w:val="20"/>
                <w:szCs w:val="20"/>
              </w:rPr>
            </w:pPr>
            <w:r>
              <w:rPr>
                <w:spacing w:val="8"/>
                <w:sz w:val="20"/>
                <w:szCs w:val="20"/>
              </w:rPr>
              <w:t>调价的项目名称</w:t>
            </w:r>
          </w:p>
        </w:tc>
        <w:tc>
          <w:tcPr>
            <w:tcW w:w="3517" w:type="dxa"/>
            <w:vAlign w:val="top"/>
          </w:tcPr>
          <w:p>
            <w:pPr>
              <w:pStyle w:val="17"/>
              <w:spacing w:before="36" w:line="391" w:lineRule="exact"/>
              <w:ind w:left="818"/>
              <w:rPr>
                <w:sz w:val="20"/>
                <w:szCs w:val="20"/>
              </w:rPr>
            </w:pPr>
            <w:r>
              <w:rPr>
                <w:spacing w:val="8"/>
                <w:position w:val="14"/>
                <w:sz w:val="20"/>
                <w:szCs w:val="20"/>
              </w:rPr>
              <w:t>计算调价材料数量的</w:t>
            </w:r>
          </w:p>
          <w:p>
            <w:pPr>
              <w:pStyle w:val="17"/>
              <w:spacing w:line="264" w:lineRule="exact"/>
              <w:ind w:left="1082"/>
              <w:rPr>
                <w:sz w:val="10"/>
                <w:szCs w:val="10"/>
              </w:rPr>
            </w:pPr>
            <w:r>
              <w:rPr>
                <w:spacing w:val="8"/>
                <w:sz w:val="20"/>
                <w:szCs w:val="20"/>
              </w:rPr>
              <w:t>单位用量指标</w:t>
            </w:r>
            <w:r>
              <w:fldChar w:fldCharType="begin"/>
            </w:r>
            <w:r>
              <w:instrText xml:space="preserve"> HYPERLINK \l "bookmark161" </w:instrText>
            </w:r>
            <w:r>
              <w:fldChar w:fldCharType="separate"/>
            </w:r>
            <w:r>
              <w:rPr>
                <w:spacing w:val="8"/>
                <w:position w:val="10"/>
                <w:sz w:val="10"/>
                <w:szCs w:val="10"/>
              </w:rPr>
              <w:t>①</w:t>
            </w:r>
            <w:r>
              <w:rPr>
                <w:spacing w:val="8"/>
                <w:position w:val="10"/>
                <w:sz w:val="10"/>
                <w:szCs w:val="10"/>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35" w:type="dxa"/>
            <w:tcBorders>
              <w:bottom w:val="single" w:color="000000" w:sz="4" w:space="0"/>
            </w:tcBorders>
            <w:vAlign w:val="top"/>
          </w:tcPr>
          <w:p>
            <w:pPr>
              <w:pStyle w:val="17"/>
              <w:spacing w:before="110" w:line="228" w:lineRule="auto"/>
              <w:ind w:left="512"/>
              <w:rPr>
                <w:sz w:val="20"/>
                <w:szCs w:val="20"/>
              </w:rPr>
            </w:pPr>
            <w:r>
              <w:rPr>
                <w:spacing w:val="5"/>
                <w:sz w:val="20"/>
                <w:szCs w:val="20"/>
              </w:rPr>
              <w:t>碎石</w:t>
            </w:r>
          </w:p>
        </w:tc>
        <w:tc>
          <w:tcPr>
            <w:tcW w:w="2452" w:type="dxa"/>
            <w:vAlign w:val="top"/>
          </w:tcPr>
          <w:p>
            <w:pPr>
              <w:pStyle w:val="17"/>
              <w:spacing w:before="110" w:line="228" w:lineRule="auto"/>
              <w:ind w:left="395"/>
              <w:rPr>
                <w:sz w:val="20"/>
                <w:szCs w:val="20"/>
              </w:rPr>
            </w:pPr>
            <w:r>
              <w:rPr>
                <w:spacing w:val="8"/>
                <w:sz w:val="20"/>
                <w:szCs w:val="20"/>
                <w:u w:val="single" w:color="auto"/>
              </w:rPr>
              <w:t>具体清单子目编号</w:t>
            </w:r>
          </w:p>
        </w:tc>
        <w:tc>
          <w:tcPr>
            <w:tcW w:w="1906" w:type="dxa"/>
            <w:vAlign w:val="top"/>
          </w:tcPr>
          <w:p>
            <w:pPr>
              <w:pStyle w:val="17"/>
              <w:spacing w:before="111" w:line="228" w:lineRule="auto"/>
              <w:ind w:left="122"/>
              <w:rPr>
                <w:sz w:val="20"/>
                <w:szCs w:val="20"/>
              </w:rPr>
            </w:pPr>
            <w:r>
              <w:rPr>
                <w:spacing w:val="8"/>
                <w:sz w:val="20"/>
                <w:szCs w:val="20"/>
                <w:u w:val="single" w:color="auto"/>
              </w:rPr>
              <w:t>具体清单项目名称</w:t>
            </w:r>
          </w:p>
        </w:tc>
        <w:tc>
          <w:tcPr>
            <w:tcW w:w="3517" w:type="dxa"/>
            <w:vAlign w:val="top"/>
          </w:tcPr>
          <w:p>
            <w:pPr>
              <w:pStyle w:val="17"/>
              <w:tabs>
                <w:tab w:val="left" w:pos="1755"/>
              </w:tabs>
              <w:spacing w:before="110" w:line="233" w:lineRule="auto"/>
              <w:ind w:left="1335"/>
              <w:rPr>
                <w:sz w:val="10"/>
                <w:szCs w:val="10"/>
              </w:rPr>
            </w:pPr>
            <w:r>
              <w:rPr>
                <w:sz w:val="20"/>
                <w:szCs w:val="20"/>
                <w:u w:val="single" w:color="auto"/>
              </w:rPr>
              <w:tab/>
            </w:r>
            <w:r>
              <w:rPr>
                <w:spacing w:val="-95"/>
                <w:sz w:val="20"/>
                <w:szCs w:val="20"/>
              </w:rPr>
              <w:t xml:space="preserve"> </w:t>
            </w:r>
            <w:r>
              <w:rPr>
                <w:spacing w:val="3"/>
                <w:sz w:val="20"/>
                <w:szCs w:val="20"/>
              </w:rPr>
              <w:t>m</w:t>
            </w:r>
            <w:r>
              <w:rPr>
                <w:spacing w:val="3"/>
                <w:position w:val="9"/>
                <w:sz w:val="10"/>
                <w:szCs w:val="10"/>
              </w:rPr>
              <w:t>3</w:t>
            </w:r>
            <w:r>
              <w:rPr>
                <w:spacing w:val="3"/>
                <w:sz w:val="20"/>
                <w:szCs w:val="20"/>
              </w:rPr>
              <w:t>/m</w:t>
            </w:r>
            <w:r>
              <w:rPr>
                <w:spacing w:val="3"/>
                <w:position w:val="9"/>
                <w:sz w:val="10"/>
                <w:szCs w:val="10"/>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35" w:type="dxa"/>
            <w:tcBorders>
              <w:top w:val="single" w:color="000000" w:sz="4" w:space="0"/>
            </w:tcBorders>
            <w:vAlign w:val="top"/>
          </w:tcPr>
          <w:p>
            <w:pPr>
              <w:pStyle w:val="17"/>
              <w:spacing w:before="111" w:line="231" w:lineRule="auto"/>
              <w:ind w:left="618"/>
              <w:rPr>
                <w:sz w:val="20"/>
                <w:szCs w:val="20"/>
              </w:rPr>
            </w:pPr>
            <w:r>
              <w:rPr>
                <w:spacing w:val="1"/>
                <w:sz w:val="20"/>
                <w:szCs w:val="20"/>
              </w:rPr>
              <w:t>砂</w:t>
            </w:r>
          </w:p>
        </w:tc>
        <w:tc>
          <w:tcPr>
            <w:tcW w:w="2452" w:type="dxa"/>
            <w:vAlign w:val="top"/>
          </w:tcPr>
          <w:p>
            <w:pPr>
              <w:pStyle w:val="17"/>
              <w:spacing w:before="111" w:line="228" w:lineRule="auto"/>
              <w:ind w:left="395"/>
              <w:rPr>
                <w:sz w:val="20"/>
                <w:szCs w:val="20"/>
              </w:rPr>
            </w:pPr>
            <w:r>
              <w:rPr>
                <w:spacing w:val="8"/>
                <w:sz w:val="20"/>
                <w:szCs w:val="20"/>
                <w:u w:val="single" w:color="auto"/>
              </w:rPr>
              <w:t>具体清单子目编号</w:t>
            </w:r>
          </w:p>
        </w:tc>
        <w:tc>
          <w:tcPr>
            <w:tcW w:w="1906" w:type="dxa"/>
            <w:vAlign w:val="top"/>
          </w:tcPr>
          <w:p>
            <w:pPr>
              <w:pStyle w:val="17"/>
              <w:spacing w:before="112" w:line="228" w:lineRule="auto"/>
              <w:ind w:left="122"/>
              <w:rPr>
                <w:sz w:val="20"/>
                <w:szCs w:val="20"/>
              </w:rPr>
            </w:pPr>
            <w:r>
              <w:rPr>
                <w:spacing w:val="8"/>
                <w:sz w:val="20"/>
                <w:szCs w:val="20"/>
                <w:u w:val="single" w:color="auto"/>
              </w:rPr>
              <w:t>具体清单项目名称</w:t>
            </w:r>
          </w:p>
        </w:tc>
        <w:tc>
          <w:tcPr>
            <w:tcW w:w="3517" w:type="dxa"/>
            <w:vAlign w:val="top"/>
          </w:tcPr>
          <w:p>
            <w:pPr>
              <w:pStyle w:val="17"/>
              <w:tabs>
                <w:tab w:val="left" w:pos="1755"/>
              </w:tabs>
              <w:spacing w:before="111" w:line="233" w:lineRule="auto"/>
              <w:ind w:left="1335"/>
              <w:rPr>
                <w:sz w:val="10"/>
                <w:szCs w:val="10"/>
              </w:rPr>
            </w:pPr>
            <w:r>
              <w:rPr>
                <w:sz w:val="20"/>
                <w:szCs w:val="20"/>
                <w:u w:val="single" w:color="auto"/>
              </w:rPr>
              <w:tab/>
            </w:r>
            <w:r>
              <w:rPr>
                <w:spacing w:val="-95"/>
                <w:sz w:val="20"/>
                <w:szCs w:val="20"/>
              </w:rPr>
              <w:t xml:space="preserve"> </w:t>
            </w:r>
            <w:r>
              <w:rPr>
                <w:spacing w:val="3"/>
                <w:sz w:val="20"/>
                <w:szCs w:val="20"/>
              </w:rPr>
              <w:t>m</w:t>
            </w:r>
            <w:r>
              <w:rPr>
                <w:spacing w:val="3"/>
                <w:position w:val="9"/>
                <w:sz w:val="10"/>
                <w:szCs w:val="10"/>
              </w:rPr>
              <w:t>3</w:t>
            </w:r>
            <w:r>
              <w:rPr>
                <w:spacing w:val="3"/>
                <w:sz w:val="20"/>
                <w:szCs w:val="20"/>
              </w:rPr>
              <w:t>/m</w:t>
            </w:r>
            <w:r>
              <w:rPr>
                <w:spacing w:val="3"/>
                <w:position w:val="9"/>
                <w:sz w:val="10"/>
                <w:szCs w:val="10"/>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7" w:hRule="atLeast"/>
        </w:trPr>
        <w:tc>
          <w:tcPr>
            <w:tcW w:w="1435"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7"/>
              <w:spacing w:before="65" w:line="228" w:lineRule="auto"/>
              <w:ind w:left="515"/>
              <w:rPr>
                <w:sz w:val="20"/>
                <w:szCs w:val="20"/>
              </w:rPr>
            </w:pPr>
            <w:r>
              <w:rPr>
                <w:spacing w:val="3"/>
                <w:sz w:val="20"/>
                <w:szCs w:val="20"/>
              </w:rPr>
              <w:t>水泥</w:t>
            </w:r>
          </w:p>
        </w:tc>
        <w:tc>
          <w:tcPr>
            <w:tcW w:w="2452"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17"/>
              <w:spacing w:before="65" w:line="378" w:lineRule="auto"/>
              <w:ind w:left="112" w:right="68" w:firstLine="14"/>
              <w:jc w:val="both"/>
              <w:rPr>
                <w:sz w:val="20"/>
                <w:szCs w:val="20"/>
              </w:rPr>
            </w:pPr>
            <w:r>
              <w:rPr>
                <w:spacing w:val="6"/>
                <w:sz w:val="20"/>
                <w:szCs w:val="20"/>
              </w:rPr>
              <w:t>清单的200-900章中所有</w:t>
            </w:r>
            <w:r>
              <w:rPr>
                <w:spacing w:val="10"/>
                <w:sz w:val="20"/>
                <w:szCs w:val="20"/>
              </w:rPr>
              <w:t xml:space="preserve"> </w:t>
            </w:r>
            <w:r>
              <w:rPr>
                <w:spacing w:val="6"/>
                <w:sz w:val="20"/>
                <w:szCs w:val="20"/>
              </w:rPr>
              <w:t>含轻质土、水泥稳定层、</w:t>
            </w:r>
          </w:p>
          <w:p>
            <w:pPr>
              <w:pStyle w:val="17"/>
              <w:spacing w:line="227" w:lineRule="auto"/>
              <w:ind w:left="182"/>
              <w:rPr>
                <w:sz w:val="20"/>
                <w:szCs w:val="20"/>
              </w:rPr>
            </w:pPr>
            <w:r>
              <w:rPr>
                <w:spacing w:val="8"/>
                <w:sz w:val="20"/>
                <w:szCs w:val="20"/>
              </w:rPr>
              <w:t>水泥混凝土的清单子目</w:t>
            </w:r>
          </w:p>
        </w:tc>
        <w:tc>
          <w:tcPr>
            <w:tcW w:w="1906"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17"/>
              <w:spacing w:before="65" w:line="228" w:lineRule="auto"/>
              <w:ind w:left="119"/>
              <w:rPr>
                <w:sz w:val="20"/>
                <w:szCs w:val="20"/>
              </w:rPr>
            </w:pPr>
            <w:r>
              <w:rPr>
                <w:spacing w:val="8"/>
                <w:sz w:val="20"/>
                <w:szCs w:val="20"/>
              </w:rPr>
              <w:t>轻质土、水泥稳定</w:t>
            </w:r>
          </w:p>
          <w:p>
            <w:pPr>
              <w:pStyle w:val="17"/>
              <w:spacing w:before="161" w:line="228" w:lineRule="auto"/>
              <w:ind w:left="118"/>
              <w:rPr>
                <w:sz w:val="20"/>
                <w:szCs w:val="20"/>
              </w:rPr>
            </w:pPr>
            <w:r>
              <w:rPr>
                <w:spacing w:val="8"/>
                <w:sz w:val="20"/>
                <w:szCs w:val="20"/>
              </w:rPr>
              <w:t>层、水泥混凝土中</w:t>
            </w:r>
          </w:p>
          <w:p>
            <w:pPr>
              <w:pStyle w:val="17"/>
              <w:spacing w:before="163" w:line="228" w:lineRule="auto"/>
              <w:ind w:left="661"/>
              <w:rPr>
                <w:sz w:val="20"/>
                <w:szCs w:val="20"/>
              </w:rPr>
            </w:pPr>
            <w:r>
              <w:rPr>
                <w:spacing w:val="1"/>
                <w:sz w:val="20"/>
                <w:szCs w:val="20"/>
              </w:rPr>
              <w:t>的水泥</w:t>
            </w:r>
          </w:p>
        </w:tc>
        <w:tc>
          <w:tcPr>
            <w:tcW w:w="3517" w:type="dxa"/>
            <w:vAlign w:val="top"/>
          </w:tcPr>
          <w:p>
            <w:pPr>
              <w:pStyle w:val="17"/>
              <w:spacing w:before="32" w:line="408" w:lineRule="exact"/>
              <w:ind w:left="131"/>
              <w:rPr>
                <w:sz w:val="20"/>
                <w:szCs w:val="20"/>
              </w:rPr>
            </w:pPr>
            <w:r>
              <w:rPr>
                <w:spacing w:val="8"/>
                <w:position w:val="15"/>
                <w:sz w:val="20"/>
                <w:szCs w:val="20"/>
              </w:rPr>
              <w:t>1、轻质土：按批准的施工配合比计</w:t>
            </w:r>
          </w:p>
          <w:p>
            <w:pPr>
              <w:pStyle w:val="17"/>
              <w:spacing w:line="227" w:lineRule="auto"/>
              <w:ind w:left="117"/>
              <w:rPr>
                <w:sz w:val="20"/>
                <w:szCs w:val="20"/>
              </w:rPr>
            </w:pPr>
            <w:r>
              <w:rPr>
                <w:spacing w:val="6"/>
                <w:sz w:val="20"/>
                <w:szCs w:val="20"/>
              </w:rPr>
              <w:t>算水泥用量。</w:t>
            </w:r>
          </w:p>
          <w:p>
            <w:pPr>
              <w:pStyle w:val="17"/>
              <w:spacing w:before="163" w:line="408" w:lineRule="exact"/>
              <w:ind w:left="118"/>
              <w:rPr>
                <w:sz w:val="20"/>
                <w:szCs w:val="20"/>
              </w:rPr>
            </w:pPr>
            <w:r>
              <w:rPr>
                <w:spacing w:val="8"/>
                <w:position w:val="15"/>
                <w:sz w:val="20"/>
                <w:szCs w:val="20"/>
              </w:rPr>
              <w:t>2、水泥稳定层：按批准的施工配合</w:t>
            </w:r>
          </w:p>
          <w:p>
            <w:pPr>
              <w:pStyle w:val="17"/>
              <w:spacing w:line="227" w:lineRule="auto"/>
              <w:ind w:left="138"/>
              <w:rPr>
                <w:sz w:val="20"/>
                <w:szCs w:val="20"/>
              </w:rPr>
            </w:pPr>
            <w:r>
              <w:rPr>
                <w:spacing w:val="4"/>
                <w:sz w:val="20"/>
                <w:szCs w:val="20"/>
              </w:rPr>
              <w:t>比计算水泥用量。</w:t>
            </w:r>
          </w:p>
          <w:p>
            <w:pPr>
              <w:pStyle w:val="17"/>
              <w:spacing w:before="162" w:line="407" w:lineRule="exact"/>
              <w:ind w:left="119"/>
              <w:rPr>
                <w:sz w:val="20"/>
                <w:szCs w:val="20"/>
              </w:rPr>
            </w:pPr>
            <w:r>
              <w:rPr>
                <w:spacing w:val="4"/>
                <w:position w:val="15"/>
                <w:sz w:val="20"/>
                <w:szCs w:val="20"/>
              </w:rPr>
              <w:t>3、桥梁桩基础混凝土（按m计量的须</w:t>
            </w:r>
          </w:p>
          <w:p>
            <w:pPr>
              <w:pStyle w:val="17"/>
              <w:spacing w:before="1" w:line="227" w:lineRule="auto"/>
              <w:ind w:left="117"/>
              <w:rPr>
                <w:sz w:val="20"/>
                <w:szCs w:val="20"/>
              </w:rPr>
            </w:pPr>
            <w:r>
              <w:rPr>
                <w:spacing w:val="5"/>
                <w:sz w:val="20"/>
                <w:szCs w:val="20"/>
              </w:rPr>
              <w:t>换算为m</w:t>
            </w:r>
            <w:r>
              <w:rPr>
                <w:spacing w:val="5"/>
                <w:position w:val="10"/>
                <w:sz w:val="10"/>
                <w:szCs w:val="10"/>
              </w:rPr>
              <w:t>3</w:t>
            </w:r>
            <w:r>
              <w:rPr>
                <w:spacing w:val="-19"/>
                <w:position w:val="10"/>
                <w:sz w:val="10"/>
                <w:szCs w:val="10"/>
              </w:rPr>
              <w:t xml:space="preserve"> </w:t>
            </w:r>
            <w:r>
              <w:rPr>
                <w:spacing w:val="-13"/>
                <w:sz w:val="20"/>
                <w:szCs w:val="20"/>
              </w:rPr>
              <w:t>）：</w:t>
            </w:r>
          </w:p>
          <w:p>
            <w:pPr>
              <w:pStyle w:val="17"/>
              <w:tabs>
                <w:tab w:val="left" w:pos="629"/>
              </w:tabs>
              <w:spacing w:before="164" w:line="377" w:lineRule="auto"/>
              <w:ind w:left="106"/>
              <w:rPr>
                <w:sz w:val="20"/>
                <w:szCs w:val="20"/>
              </w:rPr>
            </w:pPr>
            <w:r>
              <w:rPr>
                <w:sz w:val="20"/>
                <w:szCs w:val="20"/>
                <w:u w:val="single" w:color="auto"/>
              </w:rPr>
              <w:tab/>
            </w:r>
            <w:r>
              <w:rPr>
                <w:spacing w:val="-76"/>
                <w:sz w:val="20"/>
                <w:szCs w:val="20"/>
              </w:rPr>
              <w:t xml:space="preserve"> </w:t>
            </w:r>
            <w:r>
              <w:rPr>
                <w:spacing w:val="6"/>
                <w:sz w:val="20"/>
                <w:szCs w:val="20"/>
              </w:rPr>
              <w:t>t/m</w:t>
            </w:r>
            <w:r>
              <w:rPr>
                <w:spacing w:val="6"/>
                <w:position w:val="10"/>
                <w:sz w:val="10"/>
                <w:szCs w:val="10"/>
              </w:rPr>
              <w:t>3</w:t>
            </w:r>
            <w:r>
              <w:rPr>
                <w:spacing w:val="6"/>
                <w:sz w:val="20"/>
                <w:szCs w:val="20"/>
              </w:rPr>
              <w:t>（不分混凝土标号)</w:t>
            </w:r>
          </w:p>
          <w:p>
            <w:pPr>
              <w:pStyle w:val="17"/>
              <w:spacing w:line="228" w:lineRule="auto"/>
              <w:ind w:left="114"/>
              <w:rPr>
                <w:sz w:val="20"/>
                <w:szCs w:val="20"/>
              </w:rPr>
            </w:pPr>
            <w:r>
              <w:rPr>
                <w:spacing w:val="7"/>
                <w:sz w:val="20"/>
                <w:szCs w:val="20"/>
              </w:rPr>
              <w:t>4、其他实体工程混凝土：</w:t>
            </w:r>
          </w:p>
          <w:p>
            <w:pPr>
              <w:pStyle w:val="17"/>
              <w:tabs>
                <w:tab w:val="left" w:pos="629"/>
              </w:tabs>
              <w:spacing w:before="161" w:line="229" w:lineRule="auto"/>
              <w:ind w:left="106"/>
              <w:rPr>
                <w:sz w:val="20"/>
                <w:szCs w:val="20"/>
              </w:rPr>
            </w:pPr>
            <w:r>
              <w:rPr>
                <w:sz w:val="20"/>
                <w:szCs w:val="20"/>
                <w:u w:val="single" w:color="auto"/>
              </w:rPr>
              <w:tab/>
            </w:r>
            <w:r>
              <w:rPr>
                <w:spacing w:val="-76"/>
                <w:sz w:val="20"/>
                <w:szCs w:val="20"/>
              </w:rPr>
              <w:t xml:space="preserve"> </w:t>
            </w:r>
            <w:r>
              <w:rPr>
                <w:spacing w:val="4"/>
                <w:sz w:val="20"/>
                <w:szCs w:val="20"/>
              </w:rPr>
              <w:t>t/m</w:t>
            </w:r>
            <w:r>
              <w:rPr>
                <w:spacing w:val="4"/>
                <w:position w:val="10"/>
                <w:sz w:val="10"/>
                <w:szCs w:val="10"/>
              </w:rPr>
              <w:t>3</w:t>
            </w:r>
            <w:r>
              <w:rPr>
                <w:spacing w:val="4"/>
                <w:sz w:val="20"/>
                <w:szCs w:val="20"/>
              </w:rPr>
              <w:t>（C20及以下）</w:t>
            </w:r>
          </w:p>
          <w:p>
            <w:pPr>
              <w:pStyle w:val="17"/>
              <w:tabs>
                <w:tab w:val="left" w:pos="629"/>
              </w:tabs>
              <w:spacing w:before="159" w:line="377" w:lineRule="auto"/>
              <w:ind w:left="106"/>
              <w:rPr>
                <w:sz w:val="20"/>
                <w:szCs w:val="20"/>
              </w:rPr>
            </w:pPr>
            <w:r>
              <w:rPr>
                <w:sz w:val="20"/>
                <w:szCs w:val="20"/>
                <w:u w:val="single" w:color="auto"/>
              </w:rPr>
              <w:tab/>
            </w:r>
            <w:r>
              <w:rPr>
                <w:spacing w:val="-75"/>
                <w:sz w:val="20"/>
                <w:szCs w:val="20"/>
              </w:rPr>
              <w:t xml:space="preserve"> </w:t>
            </w:r>
            <w:r>
              <w:rPr>
                <w:spacing w:val="4"/>
                <w:sz w:val="20"/>
                <w:szCs w:val="20"/>
              </w:rPr>
              <w:t>t/m</w:t>
            </w:r>
            <w:r>
              <w:rPr>
                <w:spacing w:val="4"/>
                <w:position w:val="10"/>
                <w:sz w:val="10"/>
                <w:szCs w:val="10"/>
              </w:rPr>
              <w:t>3</w:t>
            </w:r>
            <w:r>
              <w:rPr>
                <w:spacing w:val="4"/>
                <w:sz w:val="20"/>
                <w:szCs w:val="20"/>
              </w:rPr>
              <w:t>（C25、C30、C35）</w:t>
            </w:r>
          </w:p>
          <w:p>
            <w:pPr>
              <w:pStyle w:val="17"/>
              <w:tabs>
                <w:tab w:val="left" w:pos="629"/>
              </w:tabs>
              <w:spacing w:before="1" w:line="232" w:lineRule="auto"/>
              <w:ind w:left="106"/>
              <w:rPr>
                <w:sz w:val="20"/>
                <w:szCs w:val="20"/>
              </w:rPr>
            </w:pPr>
            <w:r>
              <w:rPr>
                <w:sz w:val="20"/>
                <w:szCs w:val="20"/>
                <w:u w:val="single" w:color="auto"/>
              </w:rPr>
              <w:tab/>
            </w:r>
            <w:r>
              <w:rPr>
                <w:spacing w:val="-83"/>
                <w:sz w:val="20"/>
                <w:szCs w:val="20"/>
              </w:rPr>
              <w:t xml:space="preserve"> </w:t>
            </w:r>
            <w:r>
              <w:rPr>
                <w:spacing w:val="3"/>
                <w:sz w:val="20"/>
                <w:szCs w:val="20"/>
              </w:rPr>
              <w:t>t/m</w:t>
            </w:r>
            <w:r>
              <w:rPr>
                <w:spacing w:val="3"/>
                <w:position w:val="10"/>
                <w:sz w:val="10"/>
                <w:szCs w:val="10"/>
              </w:rPr>
              <w:t>3</w:t>
            </w:r>
            <w:r>
              <w:rPr>
                <w:spacing w:val="3"/>
                <w:sz w:val="20"/>
                <w:szCs w:val="20"/>
              </w:rPr>
              <w:t>（C40）</w:t>
            </w:r>
          </w:p>
          <w:p>
            <w:pPr>
              <w:pStyle w:val="17"/>
              <w:tabs>
                <w:tab w:val="left" w:pos="629"/>
              </w:tabs>
              <w:spacing w:before="155" w:line="231" w:lineRule="auto"/>
              <w:ind w:left="106"/>
              <w:rPr>
                <w:sz w:val="20"/>
                <w:szCs w:val="20"/>
              </w:rPr>
            </w:pPr>
            <w:r>
              <w:rPr>
                <w:sz w:val="20"/>
                <w:szCs w:val="20"/>
                <w:u w:val="single" w:color="auto"/>
              </w:rPr>
              <w:tab/>
            </w:r>
            <w:r>
              <w:rPr>
                <w:spacing w:val="-76"/>
                <w:sz w:val="20"/>
                <w:szCs w:val="20"/>
              </w:rPr>
              <w:t xml:space="preserve"> </w:t>
            </w:r>
            <w:r>
              <w:rPr>
                <w:spacing w:val="4"/>
                <w:sz w:val="20"/>
                <w:szCs w:val="20"/>
              </w:rPr>
              <w:t>t/m</w:t>
            </w:r>
            <w:r>
              <w:rPr>
                <w:spacing w:val="4"/>
                <w:position w:val="10"/>
                <w:sz w:val="10"/>
                <w:szCs w:val="10"/>
              </w:rPr>
              <w:t>3</w:t>
            </w:r>
            <w:r>
              <w:rPr>
                <w:spacing w:val="4"/>
                <w:sz w:val="20"/>
                <w:szCs w:val="20"/>
              </w:rPr>
              <w:t>（C50及以上）</w:t>
            </w:r>
          </w:p>
        </w:tc>
      </w:tr>
    </w:tbl>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59" w:line="220" w:lineRule="auto"/>
        <w:ind w:left="118"/>
        <w:rPr>
          <w:rFonts w:ascii="宋体" w:hAnsi="宋体" w:eastAsia="宋体" w:cs="宋体"/>
          <w:sz w:val="18"/>
          <w:szCs w:val="18"/>
        </w:rPr>
      </w:pPr>
      <w:r>
        <w:rPr>
          <w:rFonts w:ascii="宋体" w:hAnsi="宋体" w:eastAsia="宋体" w:cs="宋体"/>
          <w:spacing w:val="-1"/>
          <w:sz w:val="18"/>
          <w:szCs w:val="18"/>
        </w:rPr>
        <w:t>①用量指标由招标人根据预算测算确定。</w:t>
      </w:r>
    </w:p>
    <w:p>
      <w:pPr>
        <w:spacing w:before="228"/>
      </w:pPr>
    </w:p>
    <w:tbl>
      <w:tblPr>
        <w:tblStyle w:val="16"/>
        <w:tblW w:w="93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5"/>
        <w:gridCol w:w="2452"/>
        <w:gridCol w:w="1906"/>
        <w:gridCol w:w="35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435" w:type="dxa"/>
            <w:vAlign w:val="top"/>
          </w:tcPr>
          <w:p>
            <w:pPr>
              <w:pStyle w:val="17"/>
              <w:spacing w:before="239" w:line="228" w:lineRule="auto"/>
              <w:ind w:left="511"/>
              <w:rPr>
                <w:sz w:val="20"/>
                <w:szCs w:val="20"/>
              </w:rPr>
            </w:pPr>
            <w:r>
              <w:rPr>
                <w:spacing w:val="5"/>
                <w:sz w:val="20"/>
                <w:szCs w:val="20"/>
              </w:rPr>
              <w:t>钢筋</w:t>
            </w:r>
          </w:p>
        </w:tc>
        <w:tc>
          <w:tcPr>
            <w:tcW w:w="2452" w:type="dxa"/>
            <w:vAlign w:val="top"/>
          </w:tcPr>
          <w:p>
            <w:pPr>
              <w:pStyle w:val="17"/>
              <w:spacing w:before="36" w:line="408" w:lineRule="exact"/>
              <w:ind w:left="184"/>
              <w:rPr>
                <w:sz w:val="20"/>
                <w:szCs w:val="20"/>
              </w:rPr>
            </w:pPr>
            <w:r>
              <w:rPr>
                <w:spacing w:val="8"/>
                <w:position w:val="15"/>
                <w:sz w:val="20"/>
                <w:szCs w:val="20"/>
              </w:rPr>
              <w:t>实体工程中所有钢筋的</w:t>
            </w:r>
          </w:p>
          <w:p>
            <w:pPr>
              <w:pStyle w:val="17"/>
              <w:spacing w:line="228" w:lineRule="auto"/>
              <w:ind w:left="811"/>
              <w:rPr>
                <w:sz w:val="20"/>
                <w:szCs w:val="20"/>
              </w:rPr>
            </w:pPr>
            <w:r>
              <w:rPr>
                <w:spacing w:val="7"/>
                <w:sz w:val="20"/>
                <w:szCs w:val="20"/>
              </w:rPr>
              <w:t>清单子目</w:t>
            </w:r>
          </w:p>
        </w:tc>
        <w:tc>
          <w:tcPr>
            <w:tcW w:w="1906" w:type="dxa"/>
            <w:vAlign w:val="top"/>
          </w:tcPr>
          <w:p>
            <w:pPr>
              <w:pStyle w:val="17"/>
              <w:spacing w:before="239" w:line="228" w:lineRule="auto"/>
              <w:ind w:left="747"/>
              <w:rPr>
                <w:sz w:val="20"/>
                <w:szCs w:val="20"/>
              </w:rPr>
            </w:pPr>
            <w:r>
              <w:rPr>
                <w:spacing w:val="5"/>
                <w:sz w:val="20"/>
                <w:szCs w:val="20"/>
              </w:rPr>
              <w:t>钢筋</w:t>
            </w:r>
          </w:p>
        </w:tc>
        <w:tc>
          <w:tcPr>
            <w:tcW w:w="3517" w:type="dxa"/>
            <w:vAlign w:val="top"/>
          </w:tcPr>
          <w:p>
            <w:pPr>
              <w:pStyle w:val="17"/>
              <w:tabs>
                <w:tab w:val="left" w:pos="545"/>
              </w:tabs>
              <w:spacing w:before="35" w:line="377" w:lineRule="auto"/>
              <w:ind w:left="125"/>
              <w:rPr>
                <w:sz w:val="20"/>
                <w:szCs w:val="20"/>
              </w:rPr>
            </w:pPr>
            <w:r>
              <w:rPr>
                <w:sz w:val="20"/>
                <w:szCs w:val="20"/>
                <w:u w:val="single" w:color="auto"/>
              </w:rPr>
              <w:tab/>
            </w:r>
            <w:r>
              <w:rPr>
                <w:spacing w:val="-83"/>
                <w:sz w:val="20"/>
                <w:szCs w:val="20"/>
              </w:rPr>
              <w:t xml:space="preserve"> </w:t>
            </w:r>
            <w:r>
              <w:rPr>
                <w:spacing w:val="8"/>
                <w:sz w:val="20"/>
                <w:szCs w:val="20"/>
              </w:rPr>
              <w:t>t/t（各钢筋清单子目取此同一</w:t>
            </w:r>
          </w:p>
          <w:p>
            <w:pPr>
              <w:pStyle w:val="17"/>
              <w:spacing w:line="228" w:lineRule="auto"/>
              <w:ind w:left="1240"/>
              <w:rPr>
                <w:sz w:val="20"/>
                <w:szCs w:val="20"/>
              </w:rPr>
            </w:pPr>
            <w:r>
              <w:rPr>
                <w:spacing w:val="5"/>
                <w:sz w:val="20"/>
                <w:szCs w:val="20"/>
              </w:rPr>
              <w:t>单位用量）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435" w:type="dxa"/>
            <w:vAlign w:val="top"/>
          </w:tcPr>
          <w:p>
            <w:pPr>
              <w:pStyle w:val="17"/>
              <w:spacing w:before="237" w:line="228" w:lineRule="auto"/>
              <w:ind w:left="406"/>
              <w:rPr>
                <w:sz w:val="20"/>
                <w:szCs w:val="20"/>
              </w:rPr>
            </w:pPr>
            <w:r>
              <w:rPr>
                <w:spacing w:val="7"/>
                <w:sz w:val="20"/>
                <w:szCs w:val="20"/>
              </w:rPr>
              <w:t>钢绞线</w:t>
            </w:r>
          </w:p>
        </w:tc>
        <w:tc>
          <w:tcPr>
            <w:tcW w:w="2452" w:type="dxa"/>
            <w:vAlign w:val="top"/>
          </w:tcPr>
          <w:p>
            <w:pPr>
              <w:pStyle w:val="17"/>
              <w:spacing w:before="33" w:line="408" w:lineRule="exact"/>
              <w:ind w:left="184"/>
              <w:rPr>
                <w:sz w:val="20"/>
                <w:szCs w:val="20"/>
              </w:rPr>
            </w:pPr>
            <w:r>
              <w:rPr>
                <w:spacing w:val="8"/>
                <w:position w:val="15"/>
                <w:sz w:val="20"/>
                <w:szCs w:val="20"/>
              </w:rPr>
              <w:t>实体工程中所有钢绞线</w:t>
            </w:r>
          </w:p>
          <w:p>
            <w:pPr>
              <w:pStyle w:val="17"/>
              <w:spacing w:line="228" w:lineRule="auto"/>
              <w:ind w:left="722"/>
              <w:rPr>
                <w:sz w:val="20"/>
                <w:szCs w:val="20"/>
              </w:rPr>
            </w:pPr>
            <w:r>
              <w:rPr>
                <w:spacing w:val="4"/>
                <w:sz w:val="20"/>
                <w:szCs w:val="20"/>
              </w:rPr>
              <w:t>的清单子目</w:t>
            </w:r>
          </w:p>
        </w:tc>
        <w:tc>
          <w:tcPr>
            <w:tcW w:w="1906" w:type="dxa"/>
            <w:vAlign w:val="top"/>
          </w:tcPr>
          <w:p>
            <w:pPr>
              <w:pStyle w:val="17"/>
              <w:spacing w:before="237" w:line="228" w:lineRule="auto"/>
              <w:ind w:left="642"/>
              <w:rPr>
                <w:sz w:val="20"/>
                <w:szCs w:val="20"/>
              </w:rPr>
            </w:pPr>
            <w:r>
              <w:rPr>
                <w:spacing w:val="7"/>
                <w:sz w:val="20"/>
                <w:szCs w:val="20"/>
              </w:rPr>
              <w:t>钢绞线</w:t>
            </w:r>
          </w:p>
        </w:tc>
        <w:tc>
          <w:tcPr>
            <w:tcW w:w="3517" w:type="dxa"/>
            <w:vAlign w:val="top"/>
          </w:tcPr>
          <w:p>
            <w:pPr>
              <w:pStyle w:val="17"/>
              <w:tabs>
                <w:tab w:val="left" w:pos="629"/>
              </w:tabs>
              <w:spacing w:before="32" w:line="377" w:lineRule="auto"/>
              <w:ind w:left="106"/>
              <w:rPr>
                <w:sz w:val="20"/>
                <w:szCs w:val="20"/>
              </w:rPr>
            </w:pPr>
            <w:r>
              <w:rPr>
                <w:sz w:val="20"/>
                <w:szCs w:val="20"/>
                <w:u w:val="single" w:color="auto"/>
              </w:rPr>
              <w:tab/>
            </w:r>
            <w:r>
              <w:rPr>
                <w:spacing w:val="-73"/>
                <w:sz w:val="20"/>
                <w:szCs w:val="20"/>
              </w:rPr>
              <w:t xml:space="preserve"> </w:t>
            </w:r>
            <w:r>
              <w:rPr>
                <w:spacing w:val="3"/>
                <w:sz w:val="20"/>
                <w:szCs w:val="20"/>
              </w:rPr>
              <w:t>t/t（各钢绞线清单子目取此同</w:t>
            </w:r>
          </w:p>
          <w:p>
            <w:pPr>
              <w:pStyle w:val="17"/>
              <w:spacing w:line="228" w:lineRule="auto"/>
              <w:ind w:left="1136"/>
              <w:rPr>
                <w:sz w:val="20"/>
                <w:szCs w:val="20"/>
              </w:rPr>
            </w:pPr>
            <w:r>
              <w:rPr>
                <w:spacing w:val="6"/>
                <w:sz w:val="20"/>
                <w:szCs w:val="20"/>
              </w:rPr>
              <w:t>一单位用量）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435" w:type="dxa"/>
            <w:vAlign w:val="top"/>
          </w:tcPr>
          <w:p>
            <w:pPr>
              <w:pStyle w:val="17"/>
              <w:spacing w:before="236" w:line="227" w:lineRule="auto"/>
              <w:ind w:left="513"/>
              <w:rPr>
                <w:sz w:val="20"/>
                <w:szCs w:val="20"/>
              </w:rPr>
            </w:pPr>
            <w:r>
              <w:rPr>
                <w:spacing w:val="4"/>
                <w:sz w:val="20"/>
                <w:szCs w:val="20"/>
              </w:rPr>
              <w:t>沥青</w:t>
            </w:r>
          </w:p>
        </w:tc>
        <w:tc>
          <w:tcPr>
            <w:tcW w:w="2452" w:type="dxa"/>
            <w:vAlign w:val="top"/>
          </w:tcPr>
          <w:p>
            <w:pPr>
              <w:pStyle w:val="17"/>
              <w:spacing w:before="32" w:line="408" w:lineRule="exact"/>
              <w:ind w:left="184"/>
              <w:rPr>
                <w:sz w:val="20"/>
                <w:szCs w:val="20"/>
              </w:rPr>
            </w:pPr>
            <w:r>
              <w:rPr>
                <w:spacing w:val="8"/>
                <w:position w:val="15"/>
                <w:sz w:val="20"/>
                <w:szCs w:val="20"/>
              </w:rPr>
              <w:t>实体工程中所有含沥青</w:t>
            </w:r>
          </w:p>
          <w:p>
            <w:pPr>
              <w:pStyle w:val="17"/>
              <w:spacing w:line="228" w:lineRule="auto"/>
              <w:ind w:left="722"/>
              <w:rPr>
                <w:sz w:val="20"/>
                <w:szCs w:val="20"/>
              </w:rPr>
            </w:pPr>
            <w:r>
              <w:rPr>
                <w:spacing w:val="4"/>
                <w:sz w:val="20"/>
                <w:szCs w:val="20"/>
              </w:rPr>
              <w:t>的清单子目</w:t>
            </w:r>
          </w:p>
        </w:tc>
        <w:tc>
          <w:tcPr>
            <w:tcW w:w="1906" w:type="dxa"/>
            <w:vAlign w:val="top"/>
          </w:tcPr>
          <w:p>
            <w:pPr>
              <w:pStyle w:val="17"/>
              <w:spacing w:before="236" w:line="227" w:lineRule="auto"/>
              <w:ind w:left="749"/>
              <w:rPr>
                <w:sz w:val="20"/>
                <w:szCs w:val="20"/>
              </w:rPr>
            </w:pPr>
            <w:r>
              <w:rPr>
                <w:spacing w:val="4"/>
                <w:sz w:val="20"/>
                <w:szCs w:val="20"/>
              </w:rPr>
              <w:t>沥青</w:t>
            </w:r>
          </w:p>
        </w:tc>
        <w:tc>
          <w:tcPr>
            <w:tcW w:w="3517" w:type="dxa"/>
            <w:vAlign w:val="top"/>
          </w:tcPr>
          <w:p>
            <w:pPr>
              <w:pStyle w:val="17"/>
              <w:spacing w:before="236" w:line="227" w:lineRule="auto"/>
              <w:ind w:left="191"/>
              <w:rPr>
                <w:sz w:val="20"/>
                <w:szCs w:val="20"/>
              </w:rPr>
            </w:pPr>
            <w:r>
              <w:rPr>
                <w:spacing w:val="9"/>
                <w:sz w:val="20"/>
                <w:szCs w:val="20"/>
              </w:rPr>
              <w:t>按批准的施工配合比计算沥青用量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35" w:type="dxa"/>
            <w:vAlign w:val="top"/>
          </w:tcPr>
          <w:p>
            <w:pPr>
              <w:pStyle w:val="17"/>
              <w:spacing w:before="114" w:line="228" w:lineRule="auto"/>
              <w:ind w:left="513"/>
              <w:rPr>
                <w:sz w:val="20"/>
                <w:szCs w:val="20"/>
              </w:rPr>
            </w:pPr>
            <w:r>
              <w:rPr>
                <w:spacing w:val="4"/>
                <w:sz w:val="20"/>
                <w:szCs w:val="20"/>
              </w:rPr>
              <w:t>柴油</w:t>
            </w:r>
          </w:p>
        </w:tc>
        <w:tc>
          <w:tcPr>
            <w:tcW w:w="2452" w:type="dxa"/>
            <w:vAlign w:val="top"/>
          </w:tcPr>
          <w:p>
            <w:pPr>
              <w:pStyle w:val="17"/>
              <w:spacing w:before="113" w:line="228" w:lineRule="auto"/>
              <w:ind w:left="395"/>
              <w:rPr>
                <w:sz w:val="20"/>
                <w:szCs w:val="20"/>
              </w:rPr>
            </w:pPr>
            <w:r>
              <w:rPr>
                <w:spacing w:val="8"/>
                <w:sz w:val="20"/>
                <w:szCs w:val="20"/>
                <w:u w:val="single" w:color="auto"/>
              </w:rPr>
              <w:t>具体清单子目编号</w:t>
            </w:r>
          </w:p>
        </w:tc>
        <w:tc>
          <w:tcPr>
            <w:tcW w:w="1906" w:type="dxa"/>
            <w:vAlign w:val="top"/>
          </w:tcPr>
          <w:p>
            <w:pPr>
              <w:pStyle w:val="17"/>
              <w:spacing w:before="114" w:line="228" w:lineRule="auto"/>
              <w:ind w:left="122"/>
              <w:rPr>
                <w:sz w:val="20"/>
                <w:szCs w:val="20"/>
              </w:rPr>
            </w:pPr>
            <w:r>
              <w:rPr>
                <w:spacing w:val="8"/>
                <w:sz w:val="20"/>
                <w:szCs w:val="20"/>
                <w:u w:val="single" w:color="auto"/>
              </w:rPr>
              <w:t>具体清单项目名称</w:t>
            </w:r>
          </w:p>
        </w:tc>
        <w:tc>
          <w:tcPr>
            <w:tcW w:w="3517" w:type="dxa"/>
            <w:vAlign w:val="top"/>
          </w:tcPr>
          <w:p>
            <w:pPr>
              <w:pStyle w:val="17"/>
              <w:tabs>
                <w:tab w:val="left" w:pos="1728"/>
              </w:tabs>
              <w:spacing w:before="113" w:line="222" w:lineRule="auto"/>
              <w:ind w:left="1309"/>
              <w:rPr>
                <w:sz w:val="10"/>
                <w:szCs w:val="10"/>
              </w:rPr>
            </w:pPr>
            <w:r>
              <w:rPr>
                <w:sz w:val="20"/>
                <w:szCs w:val="20"/>
                <w:u w:val="single" w:color="auto"/>
              </w:rPr>
              <w:tab/>
            </w:r>
            <w:r>
              <w:rPr>
                <w:spacing w:val="-93"/>
                <w:sz w:val="20"/>
                <w:szCs w:val="20"/>
              </w:rPr>
              <w:t xml:space="preserve"> </w:t>
            </w:r>
            <w:r>
              <w:rPr>
                <w:sz w:val="20"/>
                <w:szCs w:val="20"/>
              </w:rPr>
              <w:t>kg</w:t>
            </w:r>
            <w:r>
              <w:rPr>
                <w:spacing w:val="5"/>
                <w:sz w:val="20"/>
                <w:szCs w:val="20"/>
              </w:rPr>
              <w:t>/m</w:t>
            </w:r>
            <w:r>
              <w:rPr>
                <w:spacing w:val="5"/>
                <w:position w:val="10"/>
                <w:sz w:val="10"/>
                <w:szCs w:val="10"/>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435" w:type="dxa"/>
            <w:vAlign w:val="top"/>
          </w:tcPr>
          <w:p>
            <w:pPr>
              <w:pStyle w:val="17"/>
              <w:spacing w:before="238" w:line="228" w:lineRule="auto"/>
              <w:ind w:left="201"/>
              <w:rPr>
                <w:sz w:val="20"/>
                <w:szCs w:val="20"/>
              </w:rPr>
            </w:pPr>
            <w:r>
              <w:rPr>
                <w:spacing w:val="7"/>
                <w:sz w:val="20"/>
                <w:szCs w:val="20"/>
              </w:rPr>
              <w:t>混凝土管桩</w:t>
            </w:r>
          </w:p>
        </w:tc>
        <w:tc>
          <w:tcPr>
            <w:tcW w:w="2452" w:type="dxa"/>
            <w:vAlign w:val="top"/>
          </w:tcPr>
          <w:p>
            <w:pPr>
              <w:pStyle w:val="17"/>
              <w:spacing w:before="34" w:line="408" w:lineRule="exact"/>
              <w:ind w:left="184"/>
              <w:rPr>
                <w:sz w:val="20"/>
                <w:szCs w:val="20"/>
              </w:rPr>
            </w:pPr>
            <w:r>
              <w:rPr>
                <w:spacing w:val="8"/>
                <w:position w:val="15"/>
                <w:sz w:val="20"/>
                <w:szCs w:val="20"/>
              </w:rPr>
              <w:t>实体工程中所有混凝土</w:t>
            </w:r>
          </w:p>
          <w:p>
            <w:pPr>
              <w:pStyle w:val="17"/>
              <w:spacing w:line="227" w:lineRule="auto"/>
              <w:ind w:left="501"/>
              <w:rPr>
                <w:sz w:val="20"/>
                <w:szCs w:val="20"/>
              </w:rPr>
            </w:pPr>
            <w:r>
              <w:rPr>
                <w:spacing w:val="7"/>
                <w:sz w:val="20"/>
                <w:szCs w:val="20"/>
              </w:rPr>
              <w:t>管桩的清单子目</w:t>
            </w:r>
          </w:p>
        </w:tc>
        <w:tc>
          <w:tcPr>
            <w:tcW w:w="1906" w:type="dxa"/>
            <w:vAlign w:val="top"/>
          </w:tcPr>
          <w:p>
            <w:pPr>
              <w:pStyle w:val="17"/>
              <w:spacing w:before="238" w:line="228" w:lineRule="auto"/>
              <w:ind w:left="435"/>
              <w:rPr>
                <w:sz w:val="20"/>
                <w:szCs w:val="20"/>
              </w:rPr>
            </w:pPr>
            <w:r>
              <w:rPr>
                <w:spacing w:val="7"/>
                <w:sz w:val="20"/>
                <w:szCs w:val="20"/>
              </w:rPr>
              <w:t>混凝土管桩</w:t>
            </w:r>
          </w:p>
        </w:tc>
        <w:tc>
          <w:tcPr>
            <w:tcW w:w="3517" w:type="dxa"/>
            <w:vAlign w:val="top"/>
          </w:tcPr>
          <w:p>
            <w:pPr>
              <w:pStyle w:val="17"/>
              <w:tabs>
                <w:tab w:val="left" w:pos="1863"/>
              </w:tabs>
              <w:spacing w:before="238" w:line="233" w:lineRule="auto"/>
              <w:ind w:left="1335"/>
              <w:rPr>
                <w:sz w:val="20"/>
                <w:szCs w:val="20"/>
              </w:rPr>
            </w:pPr>
            <w:r>
              <w:rPr>
                <w:sz w:val="20"/>
                <w:szCs w:val="20"/>
                <w:u w:val="single" w:color="auto"/>
              </w:rPr>
              <w:tab/>
            </w:r>
            <w:r>
              <w:rPr>
                <w:spacing w:val="4"/>
                <w:sz w:val="20"/>
                <w:szCs w:val="20"/>
                <w:u w:val="single" w:color="auto"/>
              </w:rPr>
              <w:t>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35" w:type="dxa"/>
            <w:vAlign w:val="top"/>
          </w:tcPr>
          <w:p>
            <w:pPr>
              <w:pStyle w:val="17"/>
              <w:spacing w:before="116" w:line="324" w:lineRule="exact"/>
              <w:ind w:left="632"/>
              <w:rPr>
                <w:sz w:val="20"/>
                <w:szCs w:val="20"/>
              </w:rPr>
            </w:pPr>
            <w:r>
              <w:rPr>
                <w:position w:val="2"/>
                <w:sz w:val="20"/>
                <w:szCs w:val="20"/>
              </w:rPr>
              <w:t>…</w:t>
            </w:r>
          </w:p>
        </w:tc>
        <w:tc>
          <w:tcPr>
            <w:tcW w:w="2452" w:type="dxa"/>
            <w:vAlign w:val="top"/>
          </w:tcPr>
          <w:p>
            <w:pPr>
              <w:rPr>
                <w:rFonts w:ascii="Arial"/>
                <w:sz w:val="21"/>
              </w:rPr>
            </w:pPr>
          </w:p>
        </w:tc>
        <w:tc>
          <w:tcPr>
            <w:tcW w:w="1906" w:type="dxa"/>
            <w:vAlign w:val="top"/>
          </w:tcPr>
          <w:p>
            <w:pPr>
              <w:rPr>
                <w:rFonts w:ascii="Arial"/>
                <w:sz w:val="21"/>
              </w:rPr>
            </w:pPr>
          </w:p>
        </w:tc>
        <w:tc>
          <w:tcPr>
            <w:tcW w:w="3517" w:type="dxa"/>
            <w:vAlign w:val="top"/>
          </w:tcPr>
          <w:p>
            <w:pPr>
              <w:rPr>
                <w:rFonts w:ascii="Arial"/>
                <w:sz w:val="21"/>
              </w:rPr>
            </w:pPr>
          </w:p>
        </w:tc>
      </w:tr>
    </w:tbl>
    <w:p>
      <w:pPr>
        <w:spacing w:before="150" w:line="377" w:lineRule="auto"/>
        <w:ind w:left="119"/>
        <w:rPr>
          <w:rFonts w:ascii="宋体" w:hAnsi="宋体" w:eastAsia="宋体" w:cs="宋体"/>
          <w:sz w:val="20"/>
          <w:szCs w:val="20"/>
        </w:rPr>
      </w:pPr>
      <w:r>
        <w:rPr>
          <w:rFonts w:ascii="宋体" w:hAnsi="宋体" w:eastAsia="宋体" w:cs="宋体"/>
          <w:spacing w:val="7"/>
          <w:sz w:val="20"/>
          <w:szCs w:val="20"/>
        </w:rPr>
        <w:t>注</w:t>
      </w:r>
      <w:r>
        <w:rPr>
          <w:rFonts w:ascii="宋体" w:hAnsi="宋体" w:eastAsia="宋体" w:cs="宋体"/>
          <w:spacing w:val="-58"/>
          <w:sz w:val="20"/>
          <w:szCs w:val="20"/>
        </w:rPr>
        <w:t xml:space="preserve"> </w:t>
      </w:r>
      <w:r>
        <w:rPr>
          <w:rFonts w:ascii="宋体" w:hAnsi="宋体" w:eastAsia="宋体" w:cs="宋体"/>
          <w:spacing w:val="7"/>
          <w:sz w:val="20"/>
          <w:szCs w:val="20"/>
        </w:rPr>
        <w:t>: 1.石料单位用量指标中单位</w:t>
      </w:r>
      <w:r>
        <w:rPr>
          <w:rFonts w:ascii="宋体" w:hAnsi="宋体" w:eastAsia="宋体" w:cs="宋体"/>
          <w:spacing w:val="7"/>
          <w:sz w:val="20"/>
          <w:szCs w:val="20"/>
          <w:u w:val="single" w:color="auto"/>
        </w:rPr>
        <w:t xml:space="preserve">    </w:t>
      </w:r>
      <w:r>
        <w:rPr>
          <w:rFonts w:ascii="宋体" w:hAnsi="宋体" w:eastAsia="宋体" w:cs="宋体"/>
          <w:spacing w:val="-98"/>
          <w:sz w:val="20"/>
          <w:szCs w:val="20"/>
        </w:rPr>
        <w:t xml:space="preserve"> </w:t>
      </w:r>
      <w:r>
        <w:rPr>
          <w:rFonts w:ascii="宋体" w:hAnsi="宋体" w:eastAsia="宋体" w:cs="宋体"/>
          <w:spacing w:val="7"/>
          <w:sz w:val="20"/>
          <w:szCs w:val="20"/>
        </w:rPr>
        <w:t>m3</w:t>
      </w:r>
      <w:r>
        <w:rPr>
          <w:rFonts w:ascii="宋体" w:hAnsi="宋体" w:eastAsia="宋体" w:cs="宋体"/>
          <w:spacing w:val="6"/>
          <w:sz w:val="20"/>
          <w:szCs w:val="20"/>
        </w:rPr>
        <w:t>/m3代表每计量1立方米实体工程消耗的石料堆方数量为</w:t>
      </w:r>
      <w:r>
        <w:rPr>
          <w:rFonts w:ascii="宋体" w:hAnsi="宋体" w:eastAsia="宋体" w:cs="宋体"/>
          <w:spacing w:val="6"/>
          <w:sz w:val="20"/>
          <w:szCs w:val="20"/>
          <w:u w:val="single" w:color="auto"/>
        </w:rPr>
        <w:t xml:space="preserve">   </w:t>
      </w:r>
    </w:p>
    <w:p>
      <w:pPr>
        <w:spacing w:line="221" w:lineRule="auto"/>
        <w:ind w:left="119"/>
        <w:rPr>
          <w:rFonts w:ascii="宋体" w:hAnsi="宋体" w:eastAsia="宋体" w:cs="宋体"/>
          <w:sz w:val="20"/>
          <w:szCs w:val="20"/>
        </w:rPr>
      </w:pPr>
      <w:r>
        <w:rPr>
          <w:rFonts w:ascii="宋体" w:hAnsi="宋体" w:eastAsia="宋体" w:cs="宋体"/>
          <w:spacing w:val="8"/>
          <w:sz w:val="20"/>
          <w:szCs w:val="20"/>
        </w:rPr>
        <w:t>立方米；</w:t>
      </w:r>
      <w:r>
        <w:rPr>
          <w:rFonts w:ascii="宋体" w:hAnsi="宋体" w:eastAsia="宋体" w:cs="宋体"/>
          <w:spacing w:val="8"/>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z w:val="20"/>
          <w:szCs w:val="20"/>
        </w:rPr>
        <w:t>kg</w:t>
      </w:r>
      <w:r>
        <w:rPr>
          <w:rFonts w:ascii="宋体" w:hAnsi="宋体" w:eastAsia="宋体" w:cs="宋体"/>
          <w:spacing w:val="8"/>
          <w:sz w:val="20"/>
          <w:szCs w:val="20"/>
        </w:rPr>
        <w:t>/m3代表每计量1立方米实体工程消耗的重量为</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8"/>
          <w:sz w:val="20"/>
          <w:szCs w:val="20"/>
        </w:rPr>
        <w:t>公斤。其余以此类推。</w:t>
      </w:r>
    </w:p>
    <w:p>
      <w:pPr>
        <w:spacing w:before="169" w:line="377" w:lineRule="auto"/>
        <w:ind w:left="124" w:right="475" w:hanging="2"/>
        <w:jc w:val="both"/>
        <w:rPr>
          <w:rFonts w:ascii="宋体" w:hAnsi="宋体" w:eastAsia="宋体" w:cs="宋体"/>
          <w:sz w:val="20"/>
          <w:szCs w:val="20"/>
        </w:rPr>
      </w:pPr>
      <w:r>
        <w:rPr>
          <w:rFonts w:ascii="宋体" w:hAnsi="宋体" w:eastAsia="宋体" w:cs="宋体"/>
          <w:spacing w:val="5"/>
          <w:sz w:val="20"/>
          <w:szCs w:val="20"/>
        </w:rPr>
        <w:t>2.碎石统一按照定额材料代号5505016号“碎石</w:t>
      </w:r>
      <w:r>
        <w:rPr>
          <w:rFonts w:ascii="宋体" w:hAnsi="宋体" w:eastAsia="宋体" w:cs="宋体"/>
          <w:spacing w:val="-70"/>
          <w:sz w:val="20"/>
          <w:szCs w:val="20"/>
        </w:rPr>
        <w:t xml:space="preserve"> </w:t>
      </w:r>
      <w:r>
        <w:rPr>
          <w:rFonts w:ascii="宋体" w:hAnsi="宋体" w:eastAsia="宋体" w:cs="宋体"/>
          <w:spacing w:val="5"/>
          <w:sz w:val="20"/>
          <w:szCs w:val="20"/>
        </w:rPr>
        <w:t>”价格进行调整；砂统一按</w:t>
      </w:r>
      <w:r>
        <w:rPr>
          <w:rFonts w:ascii="宋体" w:hAnsi="宋体" w:eastAsia="宋体" w:cs="宋体"/>
          <w:spacing w:val="4"/>
          <w:sz w:val="20"/>
          <w:szCs w:val="20"/>
        </w:rPr>
        <w:t>照定额材料代号5503005</w:t>
      </w:r>
      <w:r>
        <w:rPr>
          <w:rFonts w:ascii="宋体" w:hAnsi="宋体" w:eastAsia="宋体" w:cs="宋体"/>
          <w:sz w:val="20"/>
          <w:szCs w:val="20"/>
        </w:rPr>
        <w:t xml:space="preserve"> </w:t>
      </w:r>
      <w:r>
        <w:rPr>
          <w:rFonts w:ascii="宋体" w:hAnsi="宋体" w:eastAsia="宋体" w:cs="宋体"/>
          <w:spacing w:val="6"/>
          <w:sz w:val="20"/>
          <w:szCs w:val="20"/>
        </w:rPr>
        <w:t>号“</w:t>
      </w:r>
      <w:r>
        <w:rPr>
          <w:rFonts w:ascii="宋体" w:hAnsi="宋体" w:eastAsia="宋体" w:cs="宋体"/>
          <w:spacing w:val="-68"/>
          <w:sz w:val="20"/>
          <w:szCs w:val="20"/>
        </w:rPr>
        <w:t xml:space="preserve"> </w:t>
      </w:r>
      <w:r>
        <w:rPr>
          <w:rFonts w:ascii="宋体" w:hAnsi="宋体" w:eastAsia="宋体" w:cs="宋体"/>
          <w:spacing w:val="6"/>
          <w:sz w:val="20"/>
          <w:szCs w:val="20"/>
        </w:rPr>
        <w:t>中（粗）砂</w:t>
      </w:r>
      <w:r>
        <w:rPr>
          <w:rFonts w:ascii="宋体" w:hAnsi="宋体" w:eastAsia="宋体" w:cs="宋体"/>
          <w:spacing w:val="-70"/>
          <w:sz w:val="20"/>
          <w:szCs w:val="20"/>
        </w:rPr>
        <w:t xml:space="preserve"> </w:t>
      </w:r>
      <w:r>
        <w:rPr>
          <w:rFonts w:ascii="宋体" w:hAnsi="宋体" w:eastAsia="宋体" w:cs="宋体"/>
          <w:spacing w:val="6"/>
          <w:sz w:val="20"/>
          <w:szCs w:val="20"/>
        </w:rPr>
        <w:t>”价格进行调整；机制砂统一按照定额材料代号5503002号“机制砂</w:t>
      </w:r>
      <w:r>
        <w:rPr>
          <w:rFonts w:ascii="宋体" w:hAnsi="宋体" w:eastAsia="宋体" w:cs="宋体"/>
          <w:spacing w:val="-73"/>
          <w:sz w:val="20"/>
          <w:szCs w:val="20"/>
        </w:rPr>
        <w:t xml:space="preserve"> </w:t>
      </w:r>
      <w:r>
        <w:rPr>
          <w:rFonts w:ascii="宋体" w:hAnsi="宋体" w:eastAsia="宋体" w:cs="宋体"/>
          <w:spacing w:val="6"/>
          <w:sz w:val="20"/>
          <w:szCs w:val="20"/>
        </w:rPr>
        <w:t>”价格进行调</w:t>
      </w:r>
    </w:p>
    <w:p>
      <w:pPr>
        <w:spacing w:line="226" w:lineRule="auto"/>
        <w:ind w:left="120"/>
        <w:rPr>
          <w:rFonts w:ascii="宋体" w:hAnsi="宋体" w:eastAsia="宋体" w:cs="宋体"/>
          <w:sz w:val="20"/>
          <w:szCs w:val="20"/>
        </w:rPr>
      </w:pPr>
      <w:r>
        <w:rPr>
          <w:rFonts w:ascii="宋体" w:hAnsi="宋体" w:eastAsia="宋体" w:cs="宋体"/>
          <w:spacing w:val="9"/>
          <w:sz w:val="20"/>
          <w:szCs w:val="20"/>
        </w:rPr>
        <w:t>整。若采用机制砂，计算调价材料数量的单位用量指标按砂用量。</w:t>
      </w:r>
    </w:p>
    <w:p>
      <w:pPr>
        <w:spacing w:before="164" w:line="377" w:lineRule="auto"/>
        <w:ind w:left="120" w:right="538" w:firstLine="3"/>
        <w:rPr>
          <w:rFonts w:ascii="宋体" w:hAnsi="宋体" w:eastAsia="宋体" w:cs="宋体"/>
          <w:sz w:val="20"/>
          <w:szCs w:val="20"/>
        </w:rPr>
      </w:pPr>
      <w:r>
        <w:rPr>
          <w:rFonts w:ascii="宋体" w:hAnsi="宋体" w:eastAsia="宋体" w:cs="宋体"/>
          <w:spacing w:val="8"/>
          <w:sz w:val="20"/>
          <w:szCs w:val="20"/>
        </w:rPr>
        <w:t>3. 桥梁桩基础混凝土中的水泥统一按照定额材料代</w:t>
      </w:r>
      <w:r>
        <w:rPr>
          <w:rFonts w:ascii="宋体" w:hAnsi="宋体" w:eastAsia="宋体" w:cs="宋体"/>
          <w:spacing w:val="7"/>
          <w:sz w:val="20"/>
          <w:szCs w:val="20"/>
        </w:rPr>
        <w:t>号5509002号“42.5级水泥</w:t>
      </w:r>
      <w:r>
        <w:rPr>
          <w:rFonts w:ascii="宋体" w:hAnsi="宋体" w:eastAsia="宋体" w:cs="宋体"/>
          <w:spacing w:val="-72"/>
          <w:sz w:val="20"/>
          <w:szCs w:val="20"/>
        </w:rPr>
        <w:t xml:space="preserve"> </w:t>
      </w:r>
      <w:r>
        <w:rPr>
          <w:rFonts w:ascii="宋体" w:hAnsi="宋体" w:eastAsia="宋体" w:cs="宋体"/>
          <w:spacing w:val="7"/>
          <w:sz w:val="20"/>
          <w:szCs w:val="20"/>
        </w:rPr>
        <w:t>”价格进行调整；</w:t>
      </w:r>
      <w:r>
        <w:rPr>
          <w:rFonts w:ascii="宋体" w:hAnsi="宋体" w:eastAsia="宋体" w:cs="宋体"/>
          <w:sz w:val="20"/>
          <w:szCs w:val="20"/>
        </w:rPr>
        <w:t xml:space="preserve"> </w:t>
      </w:r>
      <w:r>
        <w:rPr>
          <w:rFonts w:ascii="宋体" w:hAnsi="宋体" w:eastAsia="宋体" w:cs="宋体"/>
          <w:spacing w:val="8"/>
          <w:sz w:val="20"/>
          <w:szCs w:val="20"/>
        </w:rPr>
        <w:t>其他实体工程混凝土中的水泥，标号小于等于C40的统一按照定额材料代号5509002号“42.5级水</w:t>
      </w:r>
      <w:r>
        <w:rPr>
          <w:rFonts w:ascii="宋体" w:hAnsi="宋体" w:eastAsia="宋体" w:cs="宋体"/>
          <w:spacing w:val="15"/>
          <w:sz w:val="20"/>
          <w:szCs w:val="20"/>
        </w:rPr>
        <w:t xml:space="preserve"> </w:t>
      </w:r>
      <w:r>
        <w:rPr>
          <w:rFonts w:ascii="宋体" w:hAnsi="宋体" w:eastAsia="宋体" w:cs="宋体"/>
          <w:spacing w:val="7"/>
          <w:sz w:val="20"/>
          <w:szCs w:val="20"/>
        </w:rPr>
        <w:t>泥</w:t>
      </w:r>
      <w:r>
        <w:rPr>
          <w:rFonts w:ascii="宋体" w:hAnsi="宋体" w:eastAsia="宋体" w:cs="宋体"/>
          <w:spacing w:val="-61"/>
          <w:sz w:val="20"/>
          <w:szCs w:val="20"/>
        </w:rPr>
        <w:t xml:space="preserve"> </w:t>
      </w:r>
      <w:r>
        <w:rPr>
          <w:rFonts w:ascii="宋体" w:hAnsi="宋体" w:eastAsia="宋体" w:cs="宋体"/>
          <w:spacing w:val="7"/>
          <w:sz w:val="20"/>
          <w:szCs w:val="20"/>
        </w:rPr>
        <w:t>”价格进行调整，标号大于等于C50的统一按照定额材料代号5509003号“52.5级水泥</w:t>
      </w:r>
      <w:r>
        <w:rPr>
          <w:rFonts w:ascii="宋体" w:hAnsi="宋体" w:eastAsia="宋体" w:cs="宋体"/>
          <w:spacing w:val="-72"/>
          <w:sz w:val="20"/>
          <w:szCs w:val="20"/>
        </w:rPr>
        <w:t xml:space="preserve"> </w:t>
      </w:r>
      <w:r>
        <w:rPr>
          <w:rFonts w:ascii="宋体" w:hAnsi="宋体" w:eastAsia="宋体" w:cs="宋体"/>
          <w:spacing w:val="7"/>
          <w:sz w:val="20"/>
          <w:szCs w:val="20"/>
        </w:rPr>
        <w:t>”价格进</w:t>
      </w:r>
      <w:r>
        <w:rPr>
          <w:rFonts w:ascii="宋体" w:hAnsi="宋体" w:eastAsia="宋体" w:cs="宋体"/>
          <w:sz w:val="20"/>
          <w:szCs w:val="20"/>
        </w:rPr>
        <w:t xml:space="preserve"> </w:t>
      </w:r>
      <w:r>
        <w:rPr>
          <w:rFonts w:ascii="宋体" w:hAnsi="宋体" w:eastAsia="宋体" w:cs="宋体"/>
          <w:spacing w:val="10"/>
          <w:sz w:val="20"/>
          <w:szCs w:val="20"/>
        </w:rPr>
        <w:t>行调整；桥梁桩基础根据设计桩径按计量长度换算为混凝土体积，</w:t>
      </w:r>
      <w:r>
        <w:rPr>
          <w:rFonts w:ascii="宋体" w:hAnsi="宋体" w:eastAsia="宋体" w:cs="宋体"/>
          <w:spacing w:val="9"/>
          <w:sz w:val="20"/>
          <w:szCs w:val="20"/>
        </w:rPr>
        <w:t>相关成孔损耗已在上表中水泥</w:t>
      </w:r>
    </w:p>
    <w:p>
      <w:pPr>
        <w:spacing w:before="1" w:line="226" w:lineRule="auto"/>
        <w:ind w:left="121"/>
        <w:rPr>
          <w:rFonts w:ascii="宋体" w:hAnsi="宋体" w:eastAsia="宋体" w:cs="宋体"/>
          <w:sz w:val="20"/>
          <w:szCs w:val="20"/>
        </w:rPr>
      </w:pPr>
      <w:r>
        <w:rPr>
          <w:rFonts w:ascii="宋体" w:hAnsi="宋体" w:eastAsia="宋体" w:cs="宋体"/>
          <w:spacing w:val="7"/>
          <w:sz w:val="20"/>
          <w:szCs w:val="20"/>
        </w:rPr>
        <w:t>用量指标综合考虑。</w:t>
      </w:r>
    </w:p>
    <w:p>
      <w:pPr>
        <w:spacing w:before="162" w:line="408" w:lineRule="exact"/>
        <w:ind w:left="119"/>
        <w:rPr>
          <w:rFonts w:ascii="宋体" w:hAnsi="宋体" w:eastAsia="宋体" w:cs="宋体"/>
          <w:sz w:val="20"/>
          <w:szCs w:val="20"/>
        </w:rPr>
      </w:pPr>
      <w:r>
        <w:rPr>
          <w:rFonts w:ascii="宋体" w:hAnsi="宋体" w:eastAsia="宋体" w:cs="宋体"/>
          <w:spacing w:val="7"/>
          <w:position w:val="15"/>
          <w:sz w:val="20"/>
          <w:szCs w:val="20"/>
        </w:rPr>
        <w:t>4.沥青视采用的品种，按照定额材料代号3001001020号</w:t>
      </w:r>
      <w:r>
        <w:rPr>
          <w:rFonts w:ascii="宋体" w:hAnsi="宋体" w:eastAsia="宋体" w:cs="宋体"/>
          <w:spacing w:val="6"/>
          <w:position w:val="15"/>
          <w:sz w:val="20"/>
          <w:szCs w:val="20"/>
        </w:rPr>
        <w:t>“</w:t>
      </w:r>
      <w:r>
        <w:rPr>
          <w:rFonts w:ascii="宋体" w:hAnsi="宋体" w:eastAsia="宋体" w:cs="宋体"/>
          <w:spacing w:val="-69"/>
          <w:position w:val="15"/>
          <w:sz w:val="20"/>
          <w:szCs w:val="20"/>
        </w:rPr>
        <w:t xml:space="preserve"> </w:t>
      </w:r>
      <w:r>
        <w:rPr>
          <w:rFonts w:ascii="宋体" w:hAnsi="宋体" w:eastAsia="宋体" w:cs="宋体"/>
          <w:spacing w:val="6"/>
          <w:position w:val="15"/>
          <w:sz w:val="20"/>
          <w:szCs w:val="20"/>
        </w:rPr>
        <w:t>国产沥青</w:t>
      </w:r>
      <w:r>
        <w:rPr>
          <w:rFonts w:ascii="宋体" w:hAnsi="宋体" w:eastAsia="宋体" w:cs="宋体"/>
          <w:spacing w:val="-70"/>
          <w:position w:val="15"/>
          <w:sz w:val="20"/>
          <w:szCs w:val="20"/>
        </w:rPr>
        <w:t xml:space="preserve"> </w:t>
      </w:r>
      <w:r>
        <w:rPr>
          <w:rFonts w:ascii="宋体" w:hAnsi="宋体" w:eastAsia="宋体" w:cs="宋体"/>
          <w:spacing w:val="6"/>
          <w:position w:val="15"/>
          <w:sz w:val="20"/>
          <w:szCs w:val="20"/>
        </w:rPr>
        <w:t>”或3001001021号“进口石油</w:t>
      </w:r>
    </w:p>
    <w:p>
      <w:pPr>
        <w:spacing w:line="226" w:lineRule="auto"/>
        <w:ind w:left="119"/>
        <w:rPr>
          <w:rFonts w:ascii="宋体" w:hAnsi="宋体" w:eastAsia="宋体" w:cs="宋体"/>
          <w:sz w:val="20"/>
          <w:szCs w:val="20"/>
        </w:rPr>
      </w:pPr>
      <w:r>
        <w:rPr>
          <w:rFonts w:ascii="宋体" w:hAnsi="宋体" w:eastAsia="宋体" w:cs="宋体"/>
          <w:spacing w:val="5"/>
          <w:sz w:val="20"/>
          <w:szCs w:val="20"/>
        </w:rPr>
        <w:t>沥青</w:t>
      </w:r>
      <w:r>
        <w:rPr>
          <w:rFonts w:ascii="宋体" w:hAnsi="宋体" w:eastAsia="宋体" w:cs="宋体"/>
          <w:spacing w:val="-55"/>
          <w:sz w:val="20"/>
          <w:szCs w:val="20"/>
        </w:rPr>
        <w:t xml:space="preserve"> </w:t>
      </w:r>
      <w:r>
        <w:rPr>
          <w:rFonts w:ascii="宋体" w:hAnsi="宋体" w:eastAsia="宋体" w:cs="宋体"/>
          <w:spacing w:val="5"/>
          <w:sz w:val="20"/>
          <w:szCs w:val="20"/>
        </w:rPr>
        <w:t>”、3001002010号“</w:t>
      </w:r>
      <w:r>
        <w:rPr>
          <w:rFonts w:ascii="宋体" w:hAnsi="宋体" w:eastAsia="宋体" w:cs="宋体"/>
          <w:spacing w:val="-70"/>
          <w:sz w:val="20"/>
          <w:szCs w:val="20"/>
        </w:rPr>
        <w:t xml:space="preserve"> </w:t>
      </w:r>
      <w:r>
        <w:rPr>
          <w:rFonts w:ascii="宋体" w:hAnsi="宋体" w:eastAsia="宋体" w:cs="宋体"/>
          <w:spacing w:val="5"/>
          <w:sz w:val="20"/>
          <w:szCs w:val="20"/>
        </w:rPr>
        <w:t>国产改性沥青</w:t>
      </w:r>
      <w:r>
        <w:rPr>
          <w:rFonts w:ascii="宋体" w:hAnsi="宋体" w:eastAsia="宋体" w:cs="宋体"/>
          <w:spacing w:val="-70"/>
          <w:sz w:val="20"/>
          <w:szCs w:val="20"/>
        </w:rPr>
        <w:t xml:space="preserve"> </w:t>
      </w:r>
      <w:r>
        <w:rPr>
          <w:rFonts w:ascii="宋体" w:hAnsi="宋体" w:eastAsia="宋体" w:cs="宋体"/>
          <w:spacing w:val="5"/>
          <w:sz w:val="20"/>
          <w:szCs w:val="20"/>
        </w:rPr>
        <w:t>”或3001002011号“进口改性沥青</w:t>
      </w:r>
      <w:r>
        <w:rPr>
          <w:rFonts w:ascii="宋体" w:hAnsi="宋体" w:eastAsia="宋体" w:cs="宋体"/>
          <w:spacing w:val="-70"/>
          <w:sz w:val="20"/>
          <w:szCs w:val="20"/>
        </w:rPr>
        <w:t xml:space="preserve"> </w:t>
      </w:r>
      <w:r>
        <w:rPr>
          <w:rFonts w:ascii="宋体" w:hAnsi="宋体" w:eastAsia="宋体" w:cs="宋体"/>
          <w:spacing w:val="5"/>
          <w:sz w:val="20"/>
          <w:szCs w:val="20"/>
        </w:rPr>
        <w:t>”的价格进行调整。</w:t>
      </w:r>
    </w:p>
    <w:p>
      <w:pPr>
        <w:spacing w:before="165" w:line="408" w:lineRule="exact"/>
        <w:ind w:left="124"/>
        <w:rPr>
          <w:rFonts w:ascii="宋体" w:hAnsi="宋体" w:eastAsia="宋体" w:cs="宋体"/>
          <w:sz w:val="20"/>
          <w:szCs w:val="20"/>
        </w:rPr>
      </w:pPr>
      <w:r>
        <w:rPr>
          <w:rFonts w:ascii="宋体" w:hAnsi="宋体" w:eastAsia="宋体" w:cs="宋体"/>
          <w:spacing w:val="9"/>
          <w:position w:val="15"/>
          <w:sz w:val="20"/>
          <w:szCs w:val="20"/>
        </w:rPr>
        <w:t>5.沥青混合料及改性沥青混合料拌合消耗的燃油、天然气统一按定额材料代号3003001 号“重油</w:t>
      </w:r>
      <w:r>
        <w:rPr>
          <w:rFonts w:ascii="宋体" w:hAnsi="宋体" w:eastAsia="宋体" w:cs="宋体"/>
          <w:spacing w:val="-60"/>
          <w:position w:val="15"/>
          <w:sz w:val="20"/>
          <w:szCs w:val="20"/>
        </w:rPr>
        <w:t xml:space="preserve"> </w:t>
      </w:r>
      <w:r>
        <w:rPr>
          <w:rFonts w:ascii="宋体" w:hAnsi="宋体" w:eastAsia="宋体" w:cs="宋体"/>
          <w:spacing w:val="9"/>
          <w:position w:val="15"/>
          <w:sz w:val="20"/>
          <w:szCs w:val="20"/>
        </w:rPr>
        <w:t>”</w:t>
      </w:r>
    </w:p>
    <w:p>
      <w:pPr>
        <w:spacing w:before="1" w:line="226" w:lineRule="auto"/>
        <w:ind w:left="120"/>
        <w:rPr>
          <w:rFonts w:ascii="宋体" w:hAnsi="宋体" w:eastAsia="宋体" w:cs="宋体"/>
          <w:sz w:val="20"/>
          <w:szCs w:val="20"/>
        </w:rPr>
      </w:pPr>
      <w:r>
        <w:rPr>
          <w:rFonts w:ascii="宋体" w:hAnsi="宋体" w:eastAsia="宋体" w:cs="宋体"/>
          <w:spacing w:val="6"/>
          <w:sz w:val="20"/>
          <w:szCs w:val="20"/>
        </w:rPr>
        <w:t>价格进行调整。</w:t>
      </w:r>
    </w:p>
    <w:p>
      <w:pPr>
        <w:spacing w:before="163" w:line="226" w:lineRule="auto"/>
        <w:ind w:left="121"/>
        <w:rPr>
          <w:rFonts w:ascii="宋体" w:hAnsi="宋体" w:eastAsia="宋体" w:cs="宋体"/>
          <w:sz w:val="20"/>
          <w:szCs w:val="20"/>
        </w:rPr>
      </w:pPr>
      <w:r>
        <w:rPr>
          <w:rFonts w:ascii="宋体" w:hAnsi="宋体" w:eastAsia="宋体" w:cs="宋体"/>
          <w:spacing w:val="8"/>
          <w:sz w:val="20"/>
          <w:szCs w:val="20"/>
        </w:rPr>
        <w:t>6.混凝土管桩仅按成品信息价格进行调差。</w:t>
      </w:r>
    </w:p>
    <w:p>
      <w:pPr>
        <w:spacing w:before="162" w:line="228" w:lineRule="auto"/>
        <w:ind w:left="124"/>
        <w:rPr>
          <w:rFonts w:ascii="宋体" w:hAnsi="宋体" w:eastAsia="宋体" w:cs="宋体"/>
          <w:sz w:val="20"/>
          <w:szCs w:val="20"/>
        </w:rPr>
      </w:pPr>
      <w:r>
        <w:rPr>
          <w:rFonts w:ascii="宋体" w:hAnsi="宋体" w:eastAsia="宋体" w:cs="宋体"/>
          <w:spacing w:val="9"/>
          <w:sz w:val="20"/>
          <w:szCs w:val="20"/>
        </w:rPr>
        <w:t>7.表中的单位用量指标，发包人应参照《公路工程预算定额》的定额消耗量确定。</w:t>
      </w:r>
    </w:p>
    <w:p>
      <w:pPr>
        <w:spacing w:before="166" w:line="218" w:lineRule="auto"/>
        <w:ind w:left="618"/>
        <w:rPr>
          <w:rFonts w:ascii="宋体" w:hAnsi="宋体" w:eastAsia="宋体" w:cs="宋体"/>
          <w:sz w:val="24"/>
          <w:szCs w:val="24"/>
        </w:rPr>
      </w:pPr>
      <w:r>
        <w:rPr>
          <w:rFonts w:ascii="宋体" w:hAnsi="宋体" w:eastAsia="宋体" w:cs="宋体"/>
          <w:spacing w:val="-2"/>
          <w:sz w:val="24"/>
          <w:szCs w:val="24"/>
        </w:rPr>
        <w:t>16.1.3 实际采购价格法</w:t>
      </w:r>
    </w:p>
    <w:p>
      <w:pPr>
        <w:spacing w:before="185" w:line="468" w:lineRule="exact"/>
        <w:ind w:left="648"/>
        <w:rPr>
          <w:rFonts w:ascii="宋体" w:hAnsi="宋体" w:eastAsia="宋体" w:cs="宋体"/>
          <w:sz w:val="24"/>
          <w:szCs w:val="24"/>
        </w:rPr>
      </w:pPr>
      <w:r>
        <w:rPr>
          <w:rFonts w:ascii="宋体" w:hAnsi="宋体" w:eastAsia="宋体" w:cs="宋体"/>
          <w:spacing w:val="-11"/>
          <w:position w:val="17"/>
          <w:sz w:val="24"/>
          <w:szCs w:val="24"/>
        </w:rPr>
        <w:t>ΔC= (</w:t>
      </w:r>
      <w:r>
        <w:rPr>
          <w:rFonts w:ascii="宋体" w:hAnsi="宋体" w:eastAsia="宋体" w:cs="宋体"/>
          <w:spacing w:val="-28"/>
          <w:position w:val="17"/>
          <w:sz w:val="24"/>
          <w:szCs w:val="24"/>
        </w:rPr>
        <w:t xml:space="preserve"> </w:t>
      </w:r>
      <w:r>
        <w:rPr>
          <w:rFonts w:ascii="宋体" w:hAnsi="宋体" w:eastAsia="宋体" w:cs="宋体"/>
          <w:spacing w:val="-11"/>
          <w:position w:val="17"/>
          <w:sz w:val="24"/>
          <w:szCs w:val="24"/>
        </w:rPr>
        <w:t>ΔP-Po×r）×Q，其中|</w:t>
      </w:r>
      <w:r>
        <w:rPr>
          <w:rFonts w:ascii="宋体" w:hAnsi="宋体" w:eastAsia="宋体" w:cs="宋体"/>
          <w:spacing w:val="51"/>
          <w:position w:val="17"/>
          <w:sz w:val="24"/>
          <w:szCs w:val="24"/>
        </w:rPr>
        <w:t xml:space="preserve"> </w:t>
      </w:r>
      <w:r>
        <w:rPr>
          <w:rFonts w:ascii="宋体" w:hAnsi="宋体" w:eastAsia="宋体" w:cs="宋体"/>
          <w:spacing w:val="-11"/>
          <w:position w:val="17"/>
          <w:sz w:val="24"/>
          <w:szCs w:val="24"/>
        </w:rPr>
        <w:t>ΔP</w:t>
      </w:r>
      <w:r>
        <w:rPr>
          <w:rFonts w:ascii="宋体" w:hAnsi="宋体" w:eastAsia="宋体" w:cs="宋体"/>
          <w:spacing w:val="-36"/>
          <w:position w:val="17"/>
          <w:sz w:val="24"/>
          <w:szCs w:val="24"/>
        </w:rPr>
        <w:t>｜＞｜</w:t>
      </w:r>
      <w:r>
        <w:rPr>
          <w:rFonts w:ascii="宋体" w:hAnsi="宋体" w:eastAsia="宋体" w:cs="宋体"/>
          <w:spacing w:val="-11"/>
          <w:position w:val="17"/>
          <w:sz w:val="24"/>
          <w:szCs w:val="24"/>
        </w:rPr>
        <w:t>Po×r |</w:t>
      </w:r>
      <w:r>
        <w:rPr>
          <w:rFonts w:ascii="宋体" w:hAnsi="宋体" w:eastAsia="宋体" w:cs="宋体"/>
          <w:spacing w:val="26"/>
          <w:position w:val="17"/>
          <w:sz w:val="24"/>
          <w:szCs w:val="24"/>
        </w:rPr>
        <w:t xml:space="preserve">  </w:t>
      </w:r>
      <w:r>
        <w:rPr>
          <w:rFonts w:ascii="宋体" w:hAnsi="宋体" w:eastAsia="宋体" w:cs="宋体"/>
          <w:spacing w:val="-11"/>
          <w:position w:val="17"/>
          <w:sz w:val="24"/>
          <w:szCs w:val="24"/>
        </w:rPr>
        <w:t>ΔP＝Pa－Po，式中：</w:t>
      </w:r>
      <w:r>
        <w:rPr>
          <w:rFonts w:ascii="宋体" w:hAnsi="宋体" w:eastAsia="宋体" w:cs="宋体"/>
          <w:spacing w:val="-92"/>
          <w:position w:val="17"/>
          <w:sz w:val="24"/>
          <w:szCs w:val="24"/>
        </w:rPr>
        <w:t xml:space="preserve"> </w:t>
      </w:r>
      <w:r>
        <w:rPr>
          <w:rFonts w:ascii="宋体" w:hAnsi="宋体" w:eastAsia="宋体" w:cs="宋体"/>
          <w:spacing w:val="-11"/>
          <w:position w:val="17"/>
          <w:sz w:val="24"/>
          <w:szCs w:val="24"/>
        </w:rPr>
        <w:t>ΔC、</w:t>
      </w:r>
      <w:r>
        <w:rPr>
          <w:rFonts w:ascii="宋体" w:hAnsi="宋体" w:eastAsia="宋体" w:cs="宋体"/>
          <w:spacing w:val="-91"/>
          <w:position w:val="17"/>
          <w:sz w:val="24"/>
          <w:szCs w:val="24"/>
        </w:rPr>
        <w:t xml:space="preserve"> </w:t>
      </w:r>
      <w:r>
        <w:rPr>
          <w:rFonts w:ascii="宋体" w:hAnsi="宋体" w:eastAsia="宋体" w:cs="宋体"/>
          <w:spacing w:val="-11"/>
          <w:position w:val="17"/>
          <w:sz w:val="24"/>
          <w:szCs w:val="24"/>
        </w:rPr>
        <w:t>ΔP、</w:t>
      </w:r>
    </w:p>
    <w:p>
      <w:pPr>
        <w:spacing w:before="1" w:line="220" w:lineRule="auto"/>
        <w:ind w:left="119"/>
        <w:rPr>
          <w:rFonts w:ascii="宋体" w:hAnsi="宋体" w:eastAsia="宋体" w:cs="宋体"/>
          <w:sz w:val="24"/>
          <w:szCs w:val="24"/>
        </w:rPr>
      </w:pPr>
      <w:r>
        <w:rPr>
          <w:rFonts w:ascii="宋体" w:hAnsi="宋体" w:eastAsia="宋体" w:cs="宋体"/>
          <w:spacing w:val="-1"/>
          <w:sz w:val="24"/>
          <w:szCs w:val="24"/>
        </w:rPr>
        <w:t>Q、r同16.1.2款。</w:t>
      </w:r>
    </w:p>
    <w:p>
      <w:pPr>
        <w:spacing w:before="179" w:line="465" w:lineRule="exact"/>
        <w:ind w:left="597"/>
        <w:rPr>
          <w:rFonts w:ascii="宋体" w:hAnsi="宋体" w:eastAsia="宋体" w:cs="宋体"/>
          <w:sz w:val="24"/>
          <w:szCs w:val="24"/>
        </w:rPr>
      </w:pPr>
      <w:r>
        <w:rPr>
          <w:rFonts w:ascii="宋体" w:hAnsi="宋体" w:eastAsia="宋体" w:cs="宋体"/>
          <w:spacing w:val="-2"/>
          <w:position w:val="17"/>
          <w:sz w:val="24"/>
          <w:szCs w:val="24"/>
        </w:rPr>
        <w:t>Po—基准价，指项目招标时，建设单位（项目法人）确定最高投标限价时采用的材</w:t>
      </w:r>
    </w:p>
    <w:p>
      <w:pPr>
        <w:spacing w:before="1" w:line="217" w:lineRule="auto"/>
        <w:ind w:left="121"/>
        <w:rPr>
          <w:rFonts w:ascii="宋体" w:hAnsi="宋体" w:eastAsia="宋体" w:cs="宋体"/>
          <w:sz w:val="24"/>
          <w:szCs w:val="24"/>
        </w:rPr>
      </w:pPr>
      <w:r>
        <w:rPr>
          <w:rFonts w:ascii="宋体" w:hAnsi="宋体" w:eastAsia="宋体" w:cs="宋体"/>
          <w:sz w:val="24"/>
          <w:szCs w:val="24"/>
        </w:rPr>
        <w:t>料单价。建设单位（项目法人）应在招标文件中明确</w:t>
      </w:r>
      <w:r>
        <w:rPr>
          <w:rFonts w:ascii="宋体" w:hAnsi="宋体" w:eastAsia="宋体" w:cs="宋体"/>
          <w:spacing w:val="-1"/>
          <w:sz w:val="24"/>
          <w:szCs w:val="24"/>
        </w:rPr>
        <w:t>基准价（Po）的价格。</w:t>
      </w:r>
    </w:p>
    <w:p>
      <w:pPr>
        <w:spacing w:before="185" w:line="218" w:lineRule="auto"/>
        <w:ind w:left="573"/>
        <w:rPr>
          <w:rFonts w:ascii="宋体" w:hAnsi="宋体" w:eastAsia="宋体" w:cs="宋体"/>
          <w:sz w:val="24"/>
          <w:szCs w:val="24"/>
        </w:rPr>
      </w:pPr>
      <w:r>
        <w:rPr>
          <w:rFonts w:ascii="宋体" w:hAnsi="宋体" w:eastAsia="宋体" w:cs="宋体"/>
          <w:sz w:val="24"/>
          <w:szCs w:val="24"/>
        </w:rPr>
        <w:t>Pa—采购价，经建设单位（项目法人）、监理核实的， 有相</w:t>
      </w:r>
      <w:r>
        <w:rPr>
          <w:rFonts w:ascii="宋体" w:hAnsi="宋体" w:eastAsia="宋体" w:cs="宋体"/>
          <w:spacing w:val="-1"/>
          <w:sz w:val="24"/>
          <w:szCs w:val="24"/>
        </w:rPr>
        <w:t>应的合法支撑依</w:t>
      </w:r>
    </w:p>
    <w:p>
      <w:pPr>
        <w:spacing w:line="389" w:lineRule="auto"/>
        <w:rPr>
          <w:rFonts w:ascii="Arial"/>
          <w:sz w:val="21"/>
        </w:rPr>
      </w:pPr>
    </w:p>
    <w:p>
      <w:pPr>
        <w:spacing w:before="78" w:line="502" w:lineRule="exact"/>
        <w:ind w:left="7"/>
        <w:rPr>
          <w:rFonts w:ascii="宋体" w:hAnsi="宋体" w:eastAsia="宋体" w:cs="宋体"/>
          <w:sz w:val="24"/>
          <w:szCs w:val="24"/>
        </w:rPr>
      </w:pPr>
      <w:r>
        <w:rPr>
          <w:rFonts w:ascii="宋体" w:hAnsi="宋体" w:eastAsia="宋体" w:cs="宋体"/>
          <w:spacing w:val="-4"/>
          <w:position w:val="7"/>
          <w:sz w:val="24"/>
          <w:szCs w:val="24"/>
        </w:rPr>
        <w:t>据的实际采购材料价格</w:t>
      </w:r>
      <w:r>
        <w:fldChar w:fldCharType="begin"/>
      </w:r>
      <w:r>
        <w:instrText xml:space="preserve"> HYPERLINK \l "bookmark162" </w:instrText>
      </w:r>
      <w:r>
        <w:fldChar w:fldCharType="separate"/>
      </w:r>
      <w:r>
        <w:rPr>
          <w:rFonts w:ascii="宋体" w:hAnsi="宋体" w:eastAsia="宋体" w:cs="宋体"/>
          <w:spacing w:val="-4"/>
          <w:position w:val="19"/>
          <w:sz w:val="12"/>
          <w:szCs w:val="12"/>
        </w:rPr>
        <w:t>①</w:t>
      </w:r>
      <w:r>
        <w:rPr>
          <w:rFonts w:ascii="宋体" w:hAnsi="宋体" w:eastAsia="宋体" w:cs="宋体"/>
          <w:spacing w:val="-4"/>
          <w:position w:val="19"/>
          <w:sz w:val="12"/>
          <w:szCs w:val="12"/>
        </w:rPr>
        <w:fldChar w:fldCharType="end"/>
      </w:r>
      <w:r>
        <w:rPr>
          <w:rFonts w:ascii="宋体" w:hAnsi="宋体" w:eastAsia="宋体" w:cs="宋体"/>
          <w:spacing w:val="-28"/>
          <w:position w:val="19"/>
          <w:sz w:val="12"/>
          <w:szCs w:val="12"/>
        </w:rPr>
        <w:t xml:space="preserve"> </w:t>
      </w:r>
      <w:r>
        <w:rPr>
          <w:rFonts w:ascii="宋体" w:hAnsi="宋体" w:eastAsia="宋体" w:cs="宋体"/>
          <w:spacing w:val="-4"/>
          <w:position w:val="7"/>
          <w:sz w:val="24"/>
          <w:szCs w:val="24"/>
        </w:rPr>
        <w:t>,</w:t>
      </w:r>
      <w:r>
        <w:rPr>
          <w:rFonts w:ascii="宋体" w:hAnsi="宋体" w:eastAsia="宋体" w:cs="宋体"/>
          <w:spacing w:val="66"/>
          <w:position w:val="7"/>
          <w:sz w:val="24"/>
          <w:szCs w:val="24"/>
        </w:rPr>
        <w:t xml:space="preserve"> </w:t>
      </w:r>
      <w:r>
        <w:rPr>
          <w:rFonts w:ascii="宋体" w:hAnsi="宋体" w:eastAsia="宋体" w:cs="宋体"/>
          <w:spacing w:val="-4"/>
          <w:position w:val="7"/>
          <w:sz w:val="24"/>
          <w:szCs w:val="24"/>
        </w:rPr>
        <w:t>分批采购时按权重取平均值计算。</w:t>
      </w:r>
    </w:p>
    <w:p>
      <w:pPr>
        <w:spacing w:before="1" w:line="217" w:lineRule="auto"/>
        <w:ind w:left="7"/>
        <w:rPr>
          <w:rFonts w:ascii="宋体" w:hAnsi="宋体" w:eastAsia="宋体" w:cs="宋体"/>
          <w:sz w:val="24"/>
          <w:szCs w:val="24"/>
        </w:rPr>
      </w:pPr>
      <w:r>
        <w:rPr>
          <w:rFonts w:ascii="宋体" w:hAnsi="宋体" w:eastAsia="宋体" w:cs="宋体"/>
          <w:sz w:val="24"/>
          <w:szCs w:val="24"/>
        </w:rPr>
        <w:t>采用实际采购价格法调整材料价差的其他约定，同</w:t>
      </w:r>
      <w:r>
        <w:rPr>
          <w:rFonts w:ascii="宋体" w:hAnsi="宋体" w:eastAsia="宋体" w:cs="宋体"/>
          <w:spacing w:val="-1"/>
          <w:sz w:val="24"/>
          <w:szCs w:val="24"/>
        </w:rPr>
        <w:t>16.1.2.2目。</w:t>
      </w:r>
    </w:p>
    <w:p>
      <w:pPr>
        <w:spacing w:before="185" w:line="219" w:lineRule="auto"/>
        <w:ind w:left="506"/>
        <w:rPr>
          <w:rFonts w:ascii="宋体" w:hAnsi="宋体" w:eastAsia="宋体" w:cs="宋体"/>
          <w:sz w:val="24"/>
          <w:szCs w:val="24"/>
        </w:rPr>
      </w:pPr>
      <w:r>
        <w:rPr>
          <w:rFonts w:ascii="宋体" w:hAnsi="宋体" w:eastAsia="宋体" w:cs="宋体"/>
          <w:spacing w:val="-2"/>
          <w:sz w:val="24"/>
          <w:szCs w:val="24"/>
        </w:rPr>
        <w:t>16.1.4砂石料运输费用调整</w:t>
      </w:r>
    </w:p>
    <w:p>
      <w:pPr>
        <w:spacing w:before="180" w:line="359" w:lineRule="auto"/>
        <w:ind w:left="7" w:right="291" w:firstLine="481"/>
        <w:rPr>
          <w:rFonts w:ascii="宋体" w:hAnsi="宋体" w:eastAsia="宋体" w:cs="宋体"/>
          <w:sz w:val="24"/>
          <w:szCs w:val="24"/>
        </w:rPr>
      </w:pPr>
      <w:r>
        <w:rPr>
          <w:rFonts w:ascii="宋体" w:hAnsi="宋体" w:eastAsia="宋体" w:cs="宋体"/>
          <w:spacing w:val="-2"/>
          <w:sz w:val="24"/>
          <w:szCs w:val="24"/>
        </w:rPr>
        <w:t>合同工程量清单中的沥青混凝土路面上面层用的砂石料（砂石料指碎石及同母材的</w:t>
      </w:r>
      <w:r>
        <w:rPr>
          <w:rFonts w:ascii="宋体" w:hAnsi="宋体" w:eastAsia="宋体" w:cs="宋体"/>
          <w:spacing w:val="7"/>
          <w:sz w:val="24"/>
          <w:szCs w:val="24"/>
        </w:rPr>
        <w:t xml:space="preserve"> </w:t>
      </w:r>
      <w:r>
        <w:rPr>
          <w:rFonts w:ascii="宋体" w:hAnsi="宋体" w:eastAsia="宋体" w:cs="宋体"/>
          <w:spacing w:val="1"/>
          <w:sz w:val="24"/>
          <w:szCs w:val="24"/>
        </w:rPr>
        <w:t>机制砂）材料单价包含了</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
          <w:sz w:val="24"/>
          <w:szCs w:val="24"/>
        </w:rPr>
        <w:t>公里运输费用（其中：水路运输 Y 公里，公路</w:t>
      </w:r>
      <w:r>
        <w:rPr>
          <w:rFonts w:ascii="宋体" w:hAnsi="宋体" w:eastAsia="宋体" w:cs="宋体"/>
          <w:sz w:val="24"/>
          <w:szCs w:val="24"/>
        </w:rPr>
        <w:t>运输 Z 公</w:t>
      </w:r>
    </w:p>
    <w:p>
      <w:pPr>
        <w:spacing w:line="219" w:lineRule="auto"/>
        <w:ind w:left="11"/>
        <w:rPr>
          <w:rFonts w:ascii="宋体" w:hAnsi="宋体" w:eastAsia="宋体" w:cs="宋体"/>
          <w:sz w:val="24"/>
          <w:szCs w:val="24"/>
        </w:rPr>
      </w:pPr>
      <w:r>
        <w:rPr>
          <w:rFonts w:ascii="宋体" w:hAnsi="宋体" w:eastAsia="宋体" w:cs="宋体"/>
          <w:spacing w:val="-2"/>
          <w:sz w:val="24"/>
          <w:szCs w:val="24"/>
        </w:rPr>
        <w:t>里</w:t>
      </w:r>
      <w:r>
        <w:rPr>
          <w:rFonts w:ascii="宋体" w:hAnsi="宋体" w:eastAsia="宋体" w:cs="宋体"/>
          <w:spacing w:val="-51"/>
          <w:sz w:val="24"/>
          <w:szCs w:val="24"/>
        </w:rPr>
        <w:t>），</w:t>
      </w:r>
      <w:r>
        <w:rPr>
          <w:rFonts w:ascii="宋体" w:hAnsi="宋体" w:eastAsia="宋体" w:cs="宋体"/>
          <w:spacing w:val="-2"/>
          <w:sz w:val="24"/>
          <w:szCs w:val="24"/>
        </w:rPr>
        <w:t>如实际运输方式和运输距离与清单预算不一致时，运输费</w:t>
      </w:r>
      <w:r>
        <w:rPr>
          <w:rFonts w:ascii="宋体" w:hAnsi="宋体" w:eastAsia="宋体" w:cs="宋体"/>
          <w:spacing w:val="-3"/>
          <w:sz w:val="24"/>
          <w:szCs w:val="24"/>
        </w:rPr>
        <w:t>用按如下原则进行调整：</w:t>
      </w:r>
    </w:p>
    <w:p>
      <w:pPr>
        <w:spacing w:before="182" w:line="466" w:lineRule="exact"/>
        <w:ind w:left="506"/>
        <w:rPr>
          <w:rFonts w:ascii="宋体" w:hAnsi="宋体" w:eastAsia="宋体" w:cs="宋体"/>
          <w:sz w:val="24"/>
          <w:szCs w:val="24"/>
        </w:rPr>
      </w:pPr>
      <w:r>
        <w:rPr>
          <w:rFonts w:ascii="宋体" w:hAnsi="宋体" w:eastAsia="宋体" w:cs="宋体"/>
          <w:spacing w:val="1"/>
          <w:position w:val="17"/>
          <w:sz w:val="24"/>
          <w:szCs w:val="24"/>
        </w:rPr>
        <w:t>1、本项目实际运距指单个沥青拌和场至单个石场的运输距离，运输距离及砂石料</w:t>
      </w:r>
    </w:p>
    <w:p>
      <w:pPr>
        <w:spacing w:line="219" w:lineRule="auto"/>
        <w:ind w:left="10"/>
        <w:rPr>
          <w:rFonts w:ascii="宋体" w:hAnsi="宋体" w:eastAsia="宋体" w:cs="宋体"/>
          <w:sz w:val="24"/>
          <w:szCs w:val="24"/>
        </w:rPr>
      </w:pPr>
      <w:r>
        <w:rPr>
          <w:rFonts w:ascii="宋体" w:hAnsi="宋体" w:eastAsia="宋体" w:cs="宋体"/>
          <w:spacing w:val="-1"/>
          <w:sz w:val="24"/>
          <w:szCs w:val="24"/>
        </w:rPr>
        <w:t>用量以承包人、监理人、发包人三方确定为准；</w:t>
      </w:r>
    </w:p>
    <w:p>
      <w:pPr>
        <w:spacing w:before="183" w:line="358" w:lineRule="auto"/>
        <w:ind w:left="491"/>
        <w:rPr>
          <w:rFonts w:ascii="宋体" w:hAnsi="宋体" w:eastAsia="宋体" w:cs="宋体"/>
          <w:sz w:val="24"/>
          <w:szCs w:val="24"/>
        </w:rPr>
      </w:pPr>
      <w:r>
        <w:rPr>
          <w:rFonts w:ascii="宋体" w:hAnsi="宋体" w:eastAsia="宋体" w:cs="宋体"/>
          <w:spacing w:val="1"/>
          <w:sz w:val="24"/>
          <w:szCs w:val="24"/>
        </w:rPr>
        <w:t>2、从不同石场采购的砂石料按各自的实际运距计算调整费用，公路运输单价</w:t>
      </w:r>
      <w:r>
        <w:rPr>
          <w:rFonts w:ascii="宋体" w:hAnsi="宋体" w:eastAsia="宋体" w:cs="宋体"/>
          <w:spacing w:val="-10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元</w:t>
      </w:r>
    </w:p>
    <w:p>
      <w:pPr>
        <w:spacing w:before="1" w:line="224" w:lineRule="auto"/>
        <w:ind w:left="7"/>
        <w:rPr>
          <w:rFonts w:ascii="宋体" w:hAnsi="宋体" w:eastAsia="宋体" w:cs="宋体"/>
          <w:sz w:val="24"/>
          <w:szCs w:val="24"/>
        </w:rPr>
      </w:pPr>
      <w:r>
        <w:rPr>
          <w:rFonts w:ascii="宋体" w:hAnsi="宋体" w:eastAsia="宋体" w:cs="宋体"/>
          <w:spacing w:val="-2"/>
          <w:sz w:val="24"/>
          <w:szCs w:val="24"/>
        </w:rPr>
        <w:t>/m3·km，</w:t>
      </w:r>
    </w:p>
    <w:p>
      <w:pPr>
        <w:spacing w:before="138" w:line="369" w:lineRule="auto"/>
        <w:ind w:left="8" w:right="291" w:firstLine="482"/>
        <w:rPr>
          <w:rFonts w:ascii="宋体" w:hAnsi="宋体" w:eastAsia="宋体" w:cs="宋体"/>
          <w:sz w:val="24"/>
          <w:szCs w:val="24"/>
        </w:rPr>
      </w:pPr>
      <w:r>
        <w:rPr>
          <w:rFonts w:ascii="宋体" w:hAnsi="宋体" w:eastAsia="宋体" w:cs="宋体"/>
          <w:spacing w:val="-4"/>
          <w:sz w:val="24"/>
          <w:szCs w:val="24"/>
        </w:rPr>
        <w:t>水运单价</w:t>
      </w:r>
      <w:r>
        <w:rPr>
          <w:rFonts w:ascii="宋体" w:hAnsi="宋体" w:eastAsia="宋体" w:cs="宋体"/>
          <w:spacing w:val="-4"/>
          <w:sz w:val="24"/>
          <w:szCs w:val="24"/>
          <w:u w:val="single" w:color="auto"/>
        </w:rPr>
        <w:t xml:space="preserve">  </w:t>
      </w:r>
      <w:r>
        <w:rPr>
          <w:rFonts w:ascii="宋体" w:hAnsi="宋体" w:eastAsia="宋体" w:cs="宋体"/>
          <w:spacing w:val="-108"/>
          <w:sz w:val="24"/>
          <w:szCs w:val="24"/>
        </w:rPr>
        <w:t xml:space="preserve"> </w:t>
      </w:r>
      <w:r>
        <w:fldChar w:fldCharType="begin"/>
      </w:r>
      <w:r>
        <w:instrText xml:space="preserve"> HYPERLINK \l "bookmark163" </w:instrText>
      </w:r>
      <w:r>
        <w:fldChar w:fldCharType="separate"/>
      </w:r>
      <w:r>
        <w:rPr>
          <w:rFonts w:ascii="宋体" w:hAnsi="宋体" w:eastAsia="宋体" w:cs="宋体"/>
          <w:spacing w:val="-4"/>
          <w:sz w:val="24"/>
          <w:szCs w:val="24"/>
        </w:rPr>
        <w:t>元/m3·km</w:t>
      </w:r>
      <w:r>
        <w:rPr>
          <w:rFonts w:ascii="宋体" w:hAnsi="宋体" w:eastAsia="宋体" w:cs="宋体"/>
          <w:spacing w:val="-4"/>
          <w:sz w:val="12"/>
          <w:szCs w:val="12"/>
        </w:rPr>
        <w:t>②</w:t>
      </w:r>
      <w:r>
        <w:rPr>
          <w:rFonts w:ascii="宋体" w:hAnsi="宋体" w:eastAsia="宋体" w:cs="宋体"/>
          <w:spacing w:val="-4"/>
          <w:sz w:val="12"/>
          <w:szCs w:val="12"/>
        </w:rPr>
        <w:fldChar w:fldCharType="end"/>
      </w:r>
      <w:r>
        <w:rPr>
          <w:rFonts w:ascii="宋体" w:hAnsi="宋体" w:eastAsia="宋体" w:cs="宋体"/>
          <w:spacing w:val="-31"/>
          <w:sz w:val="12"/>
          <w:szCs w:val="12"/>
        </w:rPr>
        <w:t xml:space="preserve"> </w:t>
      </w:r>
      <w:r>
        <w:rPr>
          <w:rFonts w:ascii="宋体" w:hAnsi="宋体" w:eastAsia="宋体" w:cs="宋体"/>
          <w:spacing w:val="-4"/>
          <w:sz w:val="24"/>
          <w:szCs w:val="24"/>
        </w:rPr>
        <w:t>,</w:t>
      </w:r>
      <w:r>
        <w:rPr>
          <w:rFonts w:ascii="宋体" w:hAnsi="宋体" w:eastAsia="宋体" w:cs="宋体"/>
          <w:spacing w:val="55"/>
          <w:sz w:val="24"/>
          <w:szCs w:val="24"/>
        </w:rPr>
        <w:t xml:space="preserve"> </w:t>
      </w:r>
      <w:r>
        <w:rPr>
          <w:rFonts w:ascii="宋体" w:hAnsi="宋体" w:eastAsia="宋体" w:cs="宋体"/>
          <w:spacing w:val="-4"/>
          <w:sz w:val="24"/>
          <w:szCs w:val="24"/>
        </w:rPr>
        <w:t>调整运输费用=</w:t>
      </w:r>
      <w:r>
        <w:rPr>
          <w:rFonts w:ascii="宋体" w:hAnsi="宋体" w:eastAsia="宋体" w:cs="宋体"/>
          <w:spacing w:val="-21"/>
          <w:sz w:val="24"/>
          <w:szCs w:val="24"/>
        </w:rPr>
        <w:t>（（</w:t>
      </w:r>
      <w:r>
        <w:rPr>
          <w:rFonts w:ascii="宋体" w:hAnsi="宋体" w:eastAsia="宋体" w:cs="宋体"/>
          <w:spacing w:val="-4"/>
          <w:sz w:val="24"/>
          <w:szCs w:val="24"/>
        </w:rPr>
        <w:t>水路运输实际运距-Y-A）</w:t>
      </w:r>
      <w:r>
        <w:rPr>
          <w:rFonts w:ascii="宋体" w:hAnsi="宋体" w:eastAsia="宋体" w:cs="宋体"/>
          <w:spacing w:val="-84"/>
          <w:sz w:val="24"/>
          <w:szCs w:val="24"/>
        </w:rPr>
        <w:t xml:space="preserve"> </w:t>
      </w:r>
      <w:r>
        <w:rPr>
          <w:rFonts w:ascii="宋体" w:hAnsi="宋体" w:eastAsia="宋体" w:cs="宋体"/>
          <w:spacing w:val="-4"/>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+（公路</w:t>
      </w:r>
      <w:r>
        <w:rPr>
          <w:rFonts w:ascii="宋体" w:hAnsi="宋体" w:eastAsia="宋体" w:cs="宋体"/>
          <w:sz w:val="24"/>
          <w:szCs w:val="24"/>
        </w:rPr>
        <w:t xml:space="preserve"> </w:t>
      </w:r>
      <w:r>
        <w:rPr>
          <w:rFonts w:ascii="宋体" w:hAnsi="宋体" w:eastAsia="宋体" w:cs="宋体"/>
          <w:spacing w:val="-4"/>
          <w:sz w:val="24"/>
          <w:szCs w:val="24"/>
        </w:rPr>
        <w:t>运输实际运距-Z-B）</w:t>
      </w:r>
      <w:r>
        <w:rPr>
          <w:rFonts w:ascii="宋体" w:hAnsi="宋体" w:eastAsia="宋体" w:cs="宋体"/>
          <w:spacing w:val="-89"/>
          <w:sz w:val="24"/>
          <w:szCs w:val="24"/>
        </w:rPr>
        <w:t xml:space="preserve"> </w:t>
      </w:r>
      <w:r>
        <w:rPr>
          <w:rFonts w:ascii="宋体" w:hAnsi="宋体" w:eastAsia="宋体" w:cs="宋体"/>
          <w:spacing w:val="-4"/>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4"/>
          <w:sz w:val="24"/>
          <w:szCs w:val="24"/>
        </w:rPr>
        <w:t>)</w:t>
      </w:r>
      <w:r>
        <w:rPr>
          <w:rFonts w:ascii="宋体" w:hAnsi="宋体" w:eastAsia="宋体" w:cs="宋体"/>
          <w:spacing w:val="44"/>
          <w:sz w:val="24"/>
          <w:szCs w:val="24"/>
        </w:rPr>
        <w:t xml:space="preserve"> </w:t>
      </w:r>
      <w:r>
        <w:rPr>
          <w:rFonts w:ascii="宋体" w:hAnsi="宋体" w:eastAsia="宋体" w:cs="宋体"/>
          <w:spacing w:val="-4"/>
          <w:sz w:val="24"/>
          <w:szCs w:val="24"/>
        </w:rPr>
        <w:t>×砂石料运输数量，正数为发包人向</w:t>
      </w:r>
      <w:r>
        <w:rPr>
          <w:rFonts w:ascii="宋体" w:hAnsi="宋体" w:eastAsia="宋体" w:cs="宋体"/>
          <w:spacing w:val="-5"/>
          <w:sz w:val="24"/>
          <w:szCs w:val="24"/>
        </w:rPr>
        <w:t>承包人支付调差（承包</w:t>
      </w:r>
      <w:r>
        <w:rPr>
          <w:rFonts w:ascii="宋体" w:hAnsi="宋体" w:eastAsia="宋体" w:cs="宋体"/>
          <w:sz w:val="24"/>
          <w:szCs w:val="24"/>
        </w:rPr>
        <w:t xml:space="preserve"> </w:t>
      </w:r>
      <w:r>
        <w:rPr>
          <w:rFonts w:ascii="宋体" w:hAnsi="宋体" w:eastAsia="宋体" w:cs="宋体"/>
          <w:spacing w:val="-1"/>
          <w:sz w:val="24"/>
          <w:szCs w:val="24"/>
        </w:rPr>
        <w:t>人应向发包人提供等额的完税发票</w:t>
      </w:r>
      <w:r>
        <w:rPr>
          <w:rFonts w:ascii="宋体" w:hAnsi="宋体" w:eastAsia="宋体" w:cs="宋体"/>
          <w:spacing w:val="-9"/>
          <w:sz w:val="24"/>
          <w:szCs w:val="24"/>
        </w:rPr>
        <w:t>），</w:t>
      </w:r>
      <w:r>
        <w:rPr>
          <w:rFonts w:ascii="宋体" w:hAnsi="宋体" w:eastAsia="宋体" w:cs="宋体"/>
          <w:spacing w:val="-1"/>
          <w:sz w:val="24"/>
          <w:szCs w:val="24"/>
        </w:rPr>
        <w:t>负数为发包人向承包人扣</w:t>
      </w:r>
      <w:r>
        <w:rPr>
          <w:rFonts w:ascii="宋体" w:hAnsi="宋体" w:eastAsia="宋体" w:cs="宋体"/>
          <w:spacing w:val="-2"/>
          <w:sz w:val="24"/>
          <w:szCs w:val="24"/>
        </w:rPr>
        <w:t>回调差（从应付工程款</w:t>
      </w:r>
    </w:p>
    <w:p>
      <w:pPr>
        <w:spacing w:before="1" w:line="219" w:lineRule="auto"/>
        <w:ind w:left="30"/>
        <w:rPr>
          <w:rFonts w:ascii="宋体" w:hAnsi="宋体" w:eastAsia="宋体" w:cs="宋体"/>
          <w:sz w:val="24"/>
          <w:szCs w:val="24"/>
        </w:rPr>
      </w:pPr>
      <w:r>
        <w:rPr>
          <w:rFonts w:ascii="宋体" w:hAnsi="宋体" w:eastAsia="宋体" w:cs="宋体"/>
          <w:spacing w:val="-4"/>
          <w:sz w:val="24"/>
          <w:szCs w:val="24"/>
        </w:rPr>
        <w:t>中扣除）。其中：</w:t>
      </w:r>
    </w:p>
    <w:p>
      <w:pPr>
        <w:spacing w:before="180" w:line="360" w:lineRule="auto"/>
        <w:ind w:left="530"/>
        <w:rPr>
          <w:rFonts w:ascii="宋体" w:hAnsi="宋体" w:eastAsia="宋体" w:cs="宋体"/>
          <w:sz w:val="24"/>
          <w:szCs w:val="24"/>
        </w:rPr>
      </w:pPr>
      <w:r>
        <w:rPr>
          <w:rFonts w:ascii="宋体" w:hAnsi="宋体" w:eastAsia="宋体" w:cs="宋体"/>
          <w:spacing w:val="2"/>
          <w:sz w:val="24"/>
          <w:szCs w:val="24"/>
        </w:rPr>
        <w:t>(1)当水路运输实际运距在（Y-</w:t>
      </w:r>
      <w:r>
        <w:rPr>
          <w:rFonts w:ascii="宋体" w:hAnsi="宋体" w:eastAsia="宋体" w:cs="宋体"/>
          <w:spacing w:val="2"/>
          <w:sz w:val="24"/>
          <w:szCs w:val="24"/>
          <w:u w:val="single" w:color="auto"/>
        </w:rPr>
        <w:t>k</w:t>
      </w:r>
      <w:r>
        <w:rPr>
          <w:rFonts w:ascii="宋体" w:hAnsi="宋体" w:eastAsia="宋体" w:cs="宋体"/>
          <w:spacing w:val="-20"/>
          <w:sz w:val="24"/>
          <w:szCs w:val="24"/>
        </w:rPr>
        <w:t>）～（</w:t>
      </w:r>
      <w:r>
        <w:rPr>
          <w:rFonts w:ascii="宋体" w:hAnsi="宋体" w:eastAsia="宋体" w:cs="宋体"/>
          <w:spacing w:val="2"/>
          <w:sz w:val="24"/>
          <w:szCs w:val="24"/>
        </w:rPr>
        <w:t>Y+</w:t>
      </w:r>
      <w:r>
        <w:rPr>
          <w:rFonts w:ascii="宋体" w:hAnsi="宋体" w:eastAsia="宋体" w:cs="宋体"/>
          <w:spacing w:val="2"/>
          <w:sz w:val="24"/>
          <w:szCs w:val="24"/>
          <w:u w:val="single" w:color="auto"/>
        </w:rPr>
        <w:t>k</w:t>
      </w:r>
      <w:r>
        <w:rPr>
          <w:rFonts w:ascii="宋体" w:hAnsi="宋体" w:eastAsia="宋体" w:cs="宋体"/>
          <w:spacing w:val="2"/>
          <w:sz w:val="24"/>
          <w:szCs w:val="24"/>
        </w:rPr>
        <w:t>）公里之间（含界值）时，水路运输费</w:t>
      </w:r>
    </w:p>
    <w:p>
      <w:pPr>
        <w:spacing w:line="220" w:lineRule="auto"/>
        <w:ind w:left="10"/>
        <w:rPr>
          <w:rFonts w:ascii="宋体" w:hAnsi="宋体" w:eastAsia="宋体" w:cs="宋体"/>
          <w:sz w:val="24"/>
          <w:szCs w:val="24"/>
        </w:rPr>
      </w:pPr>
      <w:r>
        <w:rPr>
          <w:rFonts w:ascii="宋体" w:hAnsi="宋体" w:eastAsia="宋体" w:cs="宋体"/>
          <w:sz w:val="24"/>
          <w:szCs w:val="24"/>
        </w:rPr>
        <w:t>用不作调整；小于（Y-</w:t>
      </w:r>
      <w:r>
        <w:rPr>
          <w:rFonts w:ascii="宋体" w:hAnsi="宋体" w:eastAsia="宋体" w:cs="宋体"/>
          <w:sz w:val="24"/>
          <w:szCs w:val="24"/>
          <w:u w:val="single" w:color="auto"/>
        </w:rPr>
        <w:t>k</w:t>
      </w:r>
      <w:r>
        <w:rPr>
          <w:rFonts w:ascii="宋体" w:hAnsi="宋体" w:eastAsia="宋体" w:cs="宋体"/>
          <w:sz w:val="24"/>
          <w:szCs w:val="24"/>
        </w:rPr>
        <w:t>）公里时，A=-</w:t>
      </w:r>
      <w:r>
        <w:rPr>
          <w:rFonts w:ascii="宋体" w:hAnsi="宋体" w:eastAsia="宋体" w:cs="宋体"/>
          <w:sz w:val="24"/>
          <w:szCs w:val="24"/>
          <w:u w:val="single" w:color="auto"/>
        </w:rPr>
        <w:t>k</w:t>
      </w:r>
      <w:r>
        <w:rPr>
          <w:rFonts w:ascii="宋体" w:hAnsi="宋体" w:eastAsia="宋体" w:cs="宋体"/>
          <w:sz w:val="24"/>
          <w:szCs w:val="24"/>
        </w:rPr>
        <w:t>；大于</w:t>
      </w:r>
      <w:r>
        <w:rPr>
          <w:rFonts w:ascii="宋体" w:hAnsi="宋体" w:eastAsia="宋体" w:cs="宋体"/>
          <w:spacing w:val="-1"/>
          <w:sz w:val="24"/>
          <w:szCs w:val="24"/>
        </w:rPr>
        <w:t>（Y+</w:t>
      </w:r>
      <w:r>
        <w:rPr>
          <w:rFonts w:ascii="宋体" w:hAnsi="宋体" w:eastAsia="宋体" w:cs="宋体"/>
          <w:spacing w:val="-1"/>
          <w:sz w:val="24"/>
          <w:szCs w:val="24"/>
          <w:u w:val="single" w:color="auto"/>
        </w:rPr>
        <w:t>k</w:t>
      </w:r>
      <w:r>
        <w:rPr>
          <w:rFonts w:ascii="宋体" w:hAnsi="宋体" w:eastAsia="宋体" w:cs="宋体"/>
          <w:spacing w:val="-1"/>
          <w:sz w:val="24"/>
          <w:szCs w:val="24"/>
        </w:rPr>
        <w:t>）公里时，A=</w:t>
      </w:r>
      <w:r>
        <w:rPr>
          <w:rFonts w:ascii="宋体" w:hAnsi="宋体" w:eastAsia="宋体" w:cs="宋体"/>
          <w:spacing w:val="-1"/>
          <w:sz w:val="24"/>
          <w:szCs w:val="24"/>
          <w:u w:val="single" w:color="auto"/>
        </w:rPr>
        <w:t>k</w:t>
      </w:r>
      <w:r>
        <w:rPr>
          <w:rFonts w:ascii="宋体" w:hAnsi="宋体" w:eastAsia="宋体" w:cs="宋体"/>
          <w:spacing w:val="-1"/>
          <w:sz w:val="24"/>
          <w:szCs w:val="24"/>
        </w:rPr>
        <w:t>；</w:t>
      </w:r>
    </w:p>
    <w:p>
      <w:pPr>
        <w:spacing w:before="180" w:line="358" w:lineRule="auto"/>
        <w:ind w:left="530"/>
        <w:rPr>
          <w:rFonts w:ascii="宋体" w:hAnsi="宋体" w:eastAsia="宋体" w:cs="宋体"/>
          <w:sz w:val="24"/>
          <w:szCs w:val="24"/>
        </w:rPr>
      </w:pPr>
      <w:r>
        <w:rPr>
          <w:rFonts w:ascii="宋体" w:hAnsi="宋体" w:eastAsia="宋体" w:cs="宋体"/>
          <w:spacing w:val="2"/>
          <w:sz w:val="24"/>
          <w:szCs w:val="24"/>
        </w:rPr>
        <w:t>(2)当公路运输实际运距在（Z-</w:t>
      </w:r>
      <w:r>
        <w:rPr>
          <w:rFonts w:ascii="宋体" w:hAnsi="宋体" w:eastAsia="宋体" w:cs="宋体"/>
          <w:spacing w:val="2"/>
          <w:sz w:val="24"/>
          <w:szCs w:val="24"/>
          <w:u w:val="single" w:color="auto"/>
        </w:rPr>
        <w:t>k</w:t>
      </w:r>
      <w:r>
        <w:rPr>
          <w:rFonts w:ascii="宋体" w:hAnsi="宋体" w:eastAsia="宋体" w:cs="宋体"/>
          <w:spacing w:val="-20"/>
          <w:sz w:val="24"/>
          <w:szCs w:val="24"/>
        </w:rPr>
        <w:t>）～（</w:t>
      </w:r>
      <w:r>
        <w:rPr>
          <w:rFonts w:ascii="宋体" w:hAnsi="宋体" w:eastAsia="宋体" w:cs="宋体"/>
          <w:spacing w:val="2"/>
          <w:sz w:val="24"/>
          <w:szCs w:val="24"/>
        </w:rPr>
        <w:t>Z+</w:t>
      </w:r>
      <w:r>
        <w:rPr>
          <w:rFonts w:ascii="宋体" w:hAnsi="宋体" w:eastAsia="宋体" w:cs="宋体"/>
          <w:spacing w:val="2"/>
          <w:sz w:val="24"/>
          <w:szCs w:val="24"/>
          <w:u w:val="single" w:color="auto"/>
        </w:rPr>
        <w:t>k</w:t>
      </w:r>
      <w:r>
        <w:rPr>
          <w:rFonts w:ascii="宋体" w:hAnsi="宋体" w:eastAsia="宋体" w:cs="宋体"/>
          <w:spacing w:val="2"/>
          <w:sz w:val="24"/>
          <w:szCs w:val="24"/>
        </w:rPr>
        <w:t>）公里之间（含界值）时，公路运输费</w:t>
      </w:r>
    </w:p>
    <w:p>
      <w:pPr>
        <w:spacing w:line="220" w:lineRule="auto"/>
        <w:ind w:left="10"/>
        <w:rPr>
          <w:rFonts w:ascii="宋体" w:hAnsi="宋体" w:eastAsia="宋体" w:cs="宋体"/>
          <w:sz w:val="24"/>
          <w:szCs w:val="24"/>
        </w:rPr>
      </w:pPr>
      <w:r>
        <w:rPr>
          <w:rFonts w:ascii="宋体" w:hAnsi="宋体" w:eastAsia="宋体" w:cs="宋体"/>
          <w:sz w:val="24"/>
          <w:szCs w:val="24"/>
        </w:rPr>
        <w:t>用不作调整；小于（Z-</w:t>
      </w:r>
      <w:r>
        <w:rPr>
          <w:rFonts w:ascii="宋体" w:hAnsi="宋体" w:eastAsia="宋体" w:cs="宋体"/>
          <w:sz w:val="24"/>
          <w:szCs w:val="24"/>
          <w:u w:val="single" w:color="auto"/>
        </w:rPr>
        <w:t>k</w:t>
      </w:r>
      <w:r>
        <w:rPr>
          <w:rFonts w:ascii="宋体" w:hAnsi="宋体" w:eastAsia="宋体" w:cs="宋体"/>
          <w:sz w:val="24"/>
          <w:szCs w:val="24"/>
        </w:rPr>
        <w:t>）公里时，B=</w:t>
      </w:r>
      <w:r>
        <w:rPr>
          <w:rFonts w:ascii="宋体" w:hAnsi="宋体" w:eastAsia="宋体" w:cs="宋体"/>
          <w:sz w:val="24"/>
          <w:szCs w:val="24"/>
          <w:u w:val="single" w:color="auto"/>
        </w:rPr>
        <w:t>-k</w:t>
      </w:r>
      <w:r>
        <w:rPr>
          <w:rFonts w:ascii="宋体" w:hAnsi="宋体" w:eastAsia="宋体" w:cs="宋体"/>
          <w:sz w:val="24"/>
          <w:szCs w:val="24"/>
        </w:rPr>
        <w:t>；大于</w:t>
      </w:r>
      <w:r>
        <w:rPr>
          <w:rFonts w:ascii="宋体" w:hAnsi="宋体" w:eastAsia="宋体" w:cs="宋体"/>
          <w:spacing w:val="-1"/>
          <w:sz w:val="24"/>
          <w:szCs w:val="24"/>
        </w:rPr>
        <w:t>（Z+</w:t>
      </w:r>
      <w:r>
        <w:rPr>
          <w:rFonts w:ascii="宋体" w:hAnsi="宋体" w:eastAsia="宋体" w:cs="宋体"/>
          <w:spacing w:val="-1"/>
          <w:sz w:val="24"/>
          <w:szCs w:val="24"/>
          <w:u w:val="single" w:color="auto"/>
        </w:rPr>
        <w:t>k</w:t>
      </w:r>
      <w:r>
        <w:rPr>
          <w:rFonts w:ascii="宋体" w:hAnsi="宋体" w:eastAsia="宋体" w:cs="宋体"/>
          <w:spacing w:val="-1"/>
          <w:sz w:val="24"/>
          <w:szCs w:val="24"/>
        </w:rPr>
        <w:t>）公里时，B=</w:t>
      </w:r>
      <w:r>
        <w:rPr>
          <w:rFonts w:ascii="宋体" w:hAnsi="宋体" w:eastAsia="宋体" w:cs="宋体"/>
          <w:spacing w:val="-1"/>
          <w:sz w:val="24"/>
          <w:szCs w:val="24"/>
          <w:u w:val="single" w:color="auto"/>
        </w:rPr>
        <w:t>k</w:t>
      </w:r>
      <w:r>
        <w:rPr>
          <w:rFonts w:ascii="宋体" w:hAnsi="宋体" w:eastAsia="宋体" w:cs="宋体"/>
          <w:spacing w:val="-1"/>
          <w:sz w:val="24"/>
          <w:szCs w:val="24"/>
        </w:rPr>
        <w:t>；</w:t>
      </w:r>
    </w:p>
    <w:p>
      <w:pPr>
        <w:spacing w:before="183" w:line="219" w:lineRule="auto"/>
        <w:ind w:left="530"/>
        <w:rPr>
          <w:rFonts w:ascii="宋体" w:hAnsi="宋体" w:eastAsia="宋体" w:cs="宋体"/>
          <w:sz w:val="24"/>
          <w:szCs w:val="24"/>
        </w:rPr>
      </w:pPr>
      <w:r>
        <w:rPr>
          <w:rFonts w:ascii="宋体" w:hAnsi="宋体" w:eastAsia="宋体" w:cs="宋体"/>
          <w:spacing w:val="-2"/>
          <w:sz w:val="24"/>
          <w:szCs w:val="24"/>
        </w:rPr>
        <w:t>(3)运输运距以公里为单位，运输数量以m</w:t>
      </w:r>
      <w:r>
        <w:rPr>
          <w:rFonts w:ascii="宋体" w:hAnsi="宋体" w:eastAsia="宋体" w:cs="宋体"/>
          <w:spacing w:val="-2"/>
          <w:position w:val="11"/>
          <w:sz w:val="12"/>
          <w:szCs w:val="12"/>
        </w:rPr>
        <w:t>3</w:t>
      </w:r>
      <w:r>
        <w:rPr>
          <w:rFonts w:ascii="宋体" w:hAnsi="宋体" w:eastAsia="宋体" w:cs="宋体"/>
          <w:spacing w:val="-2"/>
          <w:sz w:val="24"/>
          <w:szCs w:val="24"/>
        </w:rPr>
        <w:t>为单位；k一般取值30。</w:t>
      </w:r>
    </w:p>
    <w:p>
      <w:pPr>
        <w:spacing w:before="182" w:line="218" w:lineRule="auto"/>
        <w:ind w:left="530"/>
        <w:rPr>
          <w:rFonts w:ascii="宋体" w:hAnsi="宋体" w:eastAsia="宋体" w:cs="宋体"/>
          <w:sz w:val="24"/>
          <w:szCs w:val="24"/>
        </w:rPr>
      </w:pPr>
      <w:r>
        <w:rPr>
          <w:rFonts w:ascii="宋体" w:hAnsi="宋体" w:eastAsia="宋体" w:cs="宋体"/>
          <w:spacing w:val="-2"/>
          <w:sz w:val="24"/>
          <w:szCs w:val="24"/>
        </w:rPr>
        <w:t>(4)采用铁路运输，铁路运输单价及运输费用调整同水路运输；</w:t>
      </w:r>
    </w:p>
    <w:p>
      <w:pPr>
        <w:spacing w:before="183" w:line="219" w:lineRule="auto"/>
        <w:ind w:left="530"/>
        <w:rPr>
          <w:rFonts w:ascii="宋体" w:hAnsi="宋体" w:eastAsia="宋体" w:cs="宋体"/>
          <w:sz w:val="24"/>
          <w:szCs w:val="24"/>
        </w:rPr>
      </w:pPr>
      <w:r>
        <w:rPr>
          <w:rFonts w:ascii="宋体" w:hAnsi="宋体" w:eastAsia="宋体" w:cs="宋体"/>
          <w:spacing w:val="-2"/>
          <w:sz w:val="24"/>
          <w:szCs w:val="24"/>
        </w:rPr>
        <w:t>(5)可补偿的实际运距费用按其对应数量计算最多不超过</w:t>
      </w:r>
      <w:r>
        <w:rPr>
          <w:rFonts w:ascii="宋体" w:hAnsi="宋体" w:eastAsia="宋体" w:cs="宋体"/>
          <w:spacing w:val="-2"/>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2"/>
          <w:sz w:val="24"/>
          <w:szCs w:val="24"/>
        </w:rPr>
        <w:t>元/m</w:t>
      </w:r>
      <w:r>
        <w:rPr>
          <w:rFonts w:ascii="宋体" w:hAnsi="宋体" w:eastAsia="宋体" w:cs="宋体"/>
          <w:spacing w:val="-2"/>
          <w:position w:val="11"/>
          <w:sz w:val="12"/>
          <w:szCs w:val="12"/>
        </w:rPr>
        <w:t>3</w:t>
      </w:r>
      <w:r>
        <w:rPr>
          <w:rFonts w:ascii="宋体" w:hAnsi="宋体" w:eastAsia="宋体" w:cs="宋体"/>
          <w:spacing w:val="-2"/>
          <w:sz w:val="24"/>
          <w:szCs w:val="24"/>
        </w:rPr>
        <w:t>。</w:t>
      </w:r>
    </w:p>
    <w:p>
      <w:pPr>
        <w:spacing w:before="183" w:line="466" w:lineRule="exact"/>
        <w:ind w:left="493"/>
        <w:rPr>
          <w:rFonts w:ascii="宋体" w:hAnsi="宋体" w:eastAsia="宋体" w:cs="宋体"/>
          <w:sz w:val="24"/>
          <w:szCs w:val="24"/>
        </w:rPr>
      </w:pPr>
      <w:r>
        <w:rPr>
          <w:rFonts w:ascii="宋体" w:hAnsi="宋体" w:eastAsia="宋体" w:cs="宋体"/>
          <w:spacing w:val="2"/>
          <w:position w:val="17"/>
          <w:sz w:val="24"/>
          <w:szCs w:val="24"/>
        </w:rPr>
        <w:t>3、按以上原则计算的调整费用为包干费用，不再考虑</w:t>
      </w:r>
      <w:r>
        <w:rPr>
          <w:rFonts w:ascii="宋体" w:hAnsi="宋体" w:eastAsia="宋体" w:cs="宋体"/>
          <w:spacing w:val="1"/>
          <w:position w:val="17"/>
          <w:sz w:val="24"/>
          <w:szCs w:val="24"/>
        </w:rPr>
        <w:t>路桥费、装卸费、转运、仓</w:t>
      </w:r>
    </w:p>
    <w:p>
      <w:pPr>
        <w:spacing w:line="219" w:lineRule="auto"/>
        <w:ind w:left="7"/>
        <w:rPr>
          <w:rFonts w:ascii="宋体" w:hAnsi="宋体" w:eastAsia="宋体" w:cs="宋体"/>
          <w:sz w:val="24"/>
          <w:szCs w:val="24"/>
        </w:rPr>
      </w:pPr>
      <w:r>
        <w:rPr>
          <w:rFonts w:ascii="宋体" w:hAnsi="宋体" w:eastAsia="宋体" w:cs="宋体"/>
          <w:spacing w:val="-2"/>
          <w:sz w:val="24"/>
          <w:szCs w:val="24"/>
        </w:rPr>
        <w:t>储、管理费。</w:t>
      </w:r>
    </w:p>
    <w:p>
      <w:pPr>
        <w:spacing w:before="183" w:line="220" w:lineRule="auto"/>
        <w:ind w:left="506"/>
        <w:rPr>
          <w:rFonts w:ascii="宋体" w:hAnsi="宋体" w:eastAsia="宋体" w:cs="宋体"/>
          <w:sz w:val="24"/>
          <w:szCs w:val="24"/>
        </w:rPr>
      </w:pPr>
      <w:r>
        <w:rPr>
          <w:rFonts w:ascii="宋体" w:hAnsi="宋体" w:eastAsia="宋体" w:cs="宋体"/>
          <w:spacing w:val="-4"/>
          <w:sz w:val="24"/>
          <w:szCs w:val="24"/>
        </w:rPr>
        <w:t>16.1.5</w:t>
      </w:r>
      <w:r>
        <w:rPr>
          <w:rFonts w:ascii="宋体" w:hAnsi="宋体" w:eastAsia="宋体" w:cs="宋体"/>
          <w:spacing w:val="-49"/>
          <w:sz w:val="24"/>
          <w:szCs w:val="24"/>
        </w:rPr>
        <w:t xml:space="preserve"> </w:t>
      </w:r>
      <w:r>
        <w:rPr>
          <w:rFonts w:ascii="宋体" w:hAnsi="宋体" w:eastAsia="宋体" w:cs="宋体"/>
          <w:spacing w:val="-4"/>
          <w:sz w:val="24"/>
          <w:szCs w:val="24"/>
        </w:rPr>
        <w:t>税费增减</w:t>
      </w:r>
    </w:p>
    <w:p>
      <w:pPr>
        <w:spacing w:before="182" w:line="465" w:lineRule="exact"/>
        <w:ind w:left="517"/>
        <w:rPr>
          <w:rFonts w:ascii="宋体" w:hAnsi="宋体" w:eastAsia="宋体" w:cs="宋体"/>
          <w:sz w:val="24"/>
          <w:szCs w:val="24"/>
        </w:rPr>
      </w:pPr>
      <w:r>
        <w:rPr>
          <w:rFonts w:ascii="宋体" w:hAnsi="宋体" w:eastAsia="宋体" w:cs="宋体"/>
          <w:spacing w:val="-3"/>
          <w:position w:val="17"/>
          <w:sz w:val="24"/>
          <w:szCs w:val="24"/>
        </w:rPr>
        <w:t>由材料价差调整所产生的材料采购增值税增减额由发包人承担，其他税费由承包人</w:t>
      </w:r>
    </w:p>
    <w:p>
      <w:pPr>
        <w:spacing w:before="1" w:line="219" w:lineRule="auto"/>
        <w:ind w:left="8"/>
        <w:rPr>
          <w:rFonts w:ascii="宋体" w:hAnsi="宋体" w:eastAsia="宋体" w:cs="宋体"/>
          <w:sz w:val="24"/>
          <w:szCs w:val="24"/>
        </w:rPr>
      </w:pPr>
      <w:r>
        <w:rPr>
          <w:rFonts w:ascii="宋体" w:hAnsi="宋体" w:eastAsia="宋体" w:cs="宋体"/>
          <w:spacing w:val="-4"/>
          <w:sz w:val="24"/>
          <w:szCs w:val="24"/>
        </w:rPr>
        <w:t>承担。</w:t>
      </w:r>
    </w:p>
    <w:p>
      <w:pPr>
        <w:spacing w:before="180" w:line="468" w:lineRule="exact"/>
        <w:ind w:left="506"/>
        <w:rPr>
          <w:rFonts w:ascii="宋体" w:hAnsi="宋体" w:eastAsia="宋体" w:cs="宋体"/>
          <w:sz w:val="24"/>
          <w:szCs w:val="24"/>
        </w:rPr>
      </w:pPr>
      <w:r>
        <w:rPr>
          <w:rFonts w:ascii="宋体" w:hAnsi="宋体" w:eastAsia="宋体" w:cs="宋体"/>
          <w:spacing w:val="-2"/>
          <w:position w:val="17"/>
          <w:sz w:val="24"/>
          <w:szCs w:val="24"/>
        </w:rPr>
        <w:t>16.2 法律变化引起的价格调整</w:t>
      </w:r>
    </w:p>
    <w:p>
      <w:pPr>
        <w:spacing w:before="1" w:line="218" w:lineRule="auto"/>
        <w:ind w:left="489"/>
        <w:rPr>
          <w:rFonts w:ascii="宋体" w:hAnsi="宋体" w:eastAsia="宋体" w:cs="宋体"/>
          <w:sz w:val="24"/>
          <w:szCs w:val="24"/>
        </w:rPr>
      </w:pPr>
      <w:r>
        <w:rPr>
          <w:rFonts w:ascii="宋体" w:hAnsi="宋体" w:eastAsia="宋体" w:cs="宋体"/>
          <w:spacing w:val="-2"/>
          <w:sz w:val="24"/>
          <w:szCs w:val="24"/>
        </w:rPr>
        <w:t>本款细化为：</w:t>
      </w:r>
    </w:p>
    <w:p>
      <w:pPr>
        <w:tabs>
          <w:tab w:val="left" w:pos="2880"/>
        </w:tabs>
        <w:spacing w:before="177" w:line="241" w:lineRule="exact"/>
        <w:rPr>
          <w:rFonts w:ascii="Arial"/>
          <w:sz w:val="21"/>
        </w:rPr>
      </w:pPr>
      <w:r>
        <w:rPr>
          <w:rFonts w:ascii="Arial" w:hAnsi="Arial" w:eastAsia="Arial" w:cs="Arial"/>
          <w:sz w:val="21"/>
          <w:szCs w:val="21"/>
          <w:u w:val="single" w:color="auto"/>
        </w:rPr>
        <w:tab/>
      </w:r>
    </w:p>
    <w:p>
      <w:pPr>
        <w:spacing w:before="103" w:line="229" w:lineRule="auto"/>
        <w:ind w:left="4" w:right="1470"/>
        <w:rPr>
          <w:rFonts w:ascii="宋体" w:hAnsi="宋体" w:eastAsia="宋体" w:cs="宋体"/>
          <w:sz w:val="18"/>
          <w:szCs w:val="18"/>
        </w:rPr>
      </w:pPr>
      <w:r>
        <w:rPr>
          <w:rFonts w:ascii="宋体" w:hAnsi="宋体" w:eastAsia="宋体" w:cs="宋体"/>
          <w:spacing w:val="-2"/>
          <w:sz w:val="18"/>
          <w:szCs w:val="18"/>
        </w:rPr>
        <w:t>①如采用实际采购价格法，调价的工程范围、材料范围及价差计算方法等应参照</w:t>
      </w:r>
      <w:r>
        <w:rPr>
          <w:rFonts w:ascii="宋体" w:hAnsi="宋体" w:eastAsia="宋体" w:cs="宋体"/>
          <w:spacing w:val="-10"/>
          <w:sz w:val="18"/>
          <w:szCs w:val="18"/>
        </w:rPr>
        <w:t xml:space="preserve"> </w:t>
      </w:r>
      <w:r>
        <w:rPr>
          <w:rFonts w:ascii="Times New Roman" w:hAnsi="Times New Roman" w:eastAsia="Times New Roman" w:cs="Times New Roman"/>
          <w:spacing w:val="-2"/>
          <w:sz w:val="18"/>
          <w:szCs w:val="18"/>
        </w:rPr>
        <w:t>16.</w:t>
      </w:r>
      <w:r>
        <w:rPr>
          <w:rFonts w:ascii="Times New Roman" w:hAnsi="Times New Roman" w:eastAsia="Times New Roman" w:cs="Times New Roman"/>
          <w:spacing w:val="-23"/>
          <w:sz w:val="18"/>
          <w:szCs w:val="18"/>
        </w:rPr>
        <w:t xml:space="preserve"> </w:t>
      </w:r>
      <w:r>
        <w:rPr>
          <w:rFonts w:ascii="Times New Roman" w:hAnsi="Times New Roman" w:eastAsia="Times New Roman" w:cs="Times New Roman"/>
          <w:spacing w:val="-2"/>
          <w:sz w:val="18"/>
          <w:szCs w:val="18"/>
        </w:rPr>
        <w:t xml:space="preserve">1.2 </w:t>
      </w:r>
      <w:r>
        <w:rPr>
          <w:rFonts w:ascii="宋体" w:hAnsi="宋体" w:eastAsia="宋体" w:cs="宋体"/>
          <w:spacing w:val="-2"/>
          <w:sz w:val="18"/>
          <w:szCs w:val="18"/>
        </w:rPr>
        <w:t>款进行细化。</w:t>
      </w:r>
      <w:r>
        <w:rPr>
          <w:rFonts w:ascii="宋体" w:hAnsi="宋体" w:eastAsia="宋体" w:cs="宋体"/>
          <w:sz w:val="18"/>
          <w:szCs w:val="18"/>
        </w:rPr>
        <w:t xml:space="preserve"> </w:t>
      </w:r>
      <w:r>
        <w:rPr>
          <w:rFonts w:ascii="宋体" w:hAnsi="宋体" w:eastAsia="宋体" w:cs="宋体"/>
          <w:spacing w:val="-1"/>
          <w:sz w:val="18"/>
          <w:szCs w:val="18"/>
        </w:rPr>
        <w:t>②公路运输单价一般为</w:t>
      </w:r>
      <w:r>
        <w:rPr>
          <w:rFonts w:ascii="宋体" w:hAnsi="宋体" w:eastAsia="宋体" w:cs="宋体"/>
          <w:spacing w:val="-36"/>
          <w:sz w:val="18"/>
          <w:szCs w:val="18"/>
        </w:rPr>
        <w:t xml:space="preserve"> </w:t>
      </w:r>
      <w:r>
        <w:rPr>
          <w:rFonts w:ascii="宋体" w:hAnsi="宋体" w:eastAsia="宋体" w:cs="宋体"/>
          <w:spacing w:val="-1"/>
          <w:sz w:val="18"/>
          <w:szCs w:val="18"/>
        </w:rPr>
        <w:t>0.8</w:t>
      </w:r>
      <w:r>
        <w:rPr>
          <w:rFonts w:ascii="宋体" w:hAnsi="宋体" w:eastAsia="宋体" w:cs="宋体"/>
          <w:spacing w:val="-38"/>
          <w:sz w:val="18"/>
          <w:szCs w:val="18"/>
        </w:rPr>
        <w:t xml:space="preserve"> </w:t>
      </w:r>
      <w:r>
        <w:rPr>
          <w:rFonts w:ascii="宋体" w:hAnsi="宋体" w:eastAsia="宋体" w:cs="宋体"/>
          <w:spacing w:val="-1"/>
          <w:sz w:val="18"/>
          <w:szCs w:val="18"/>
        </w:rPr>
        <w:t>元/m3·km，水运单价一般为</w:t>
      </w:r>
      <w:r>
        <w:rPr>
          <w:rFonts w:ascii="宋体" w:hAnsi="宋体" w:eastAsia="宋体" w:cs="宋体"/>
          <w:spacing w:val="-36"/>
          <w:sz w:val="18"/>
          <w:szCs w:val="18"/>
        </w:rPr>
        <w:t xml:space="preserve"> </w:t>
      </w:r>
      <w:r>
        <w:rPr>
          <w:rFonts w:ascii="宋体" w:hAnsi="宋体" w:eastAsia="宋体" w:cs="宋体"/>
          <w:spacing w:val="-1"/>
          <w:sz w:val="18"/>
          <w:szCs w:val="18"/>
        </w:rPr>
        <w:t>0.3</w:t>
      </w:r>
      <w:r>
        <w:rPr>
          <w:rFonts w:ascii="宋体" w:hAnsi="宋体" w:eastAsia="宋体" w:cs="宋体"/>
          <w:spacing w:val="-37"/>
          <w:sz w:val="18"/>
          <w:szCs w:val="18"/>
        </w:rPr>
        <w:t xml:space="preserve"> </w:t>
      </w:r>
      <w:r>
        <w:rPr>
          <w:rFonts w:ascii="宋体" w:hAnsi="宋体" w:eastAsia="宋体" w:cs="宋体"/>
          <w:spacing w:val="-1"/>
          <w:sz w:val="18"/>
          <w:szCs w:val="18"/>
        </w:rPr>
        <w:t>元/m3·km。</w:t>
      </w:r>
    </w:p>
    <w:p>
      <w:pPr>
        <w:spacing w:line="424" w:lineRule="auto"/>
        <w:rPr>
          <w:rFonts w:ascii="Arial"/>
          <w:sz w:val="21"/>
        </w:rPr>
      </w:pPr>
      <w:r>
        <mc:AlternateContent>
          <mc:Choice Requires="wps">
            <w:drawing>
              <wp:anchor distT="0" distB="0" distL="114300" distR="114300" simplePos="0" relativeHeight="251672576" behindDoc="0" locked="0" layoutInCell="0" allowOverlap="1">
                <wp:simplePos x="0" y="0"/>
                <wp:positionH relativeFrom="page">
                  <wp:posOffset>897255</wp:posOffset>
                </wp:positionH>
                <wp:positionV relativeFrom="page">
                  <wp:posOffset>9564370</wp:posOffset>
                </wp:positionV>
                <wp:extent cx="1833245" cy="4445"/>
                <wp:effectExtent l="0" t="0" r="0" b="0"/>
                <wp:wrapNone/>
                <wp:docPr id="91" name="任意多边形 91"/>
                <wp:cNvGraphicFramePr/>
                <a:graphic xmlns:a="http://schemas.openxmlformats.org/drawingml/2006/main">
                  <a:graphicData uri="http://schemas.microsoft.com/office/word/2010/wordprocessingShape">
                    <wps:wsp>
                      <wps:cNvSpPr/>
                      <wps:spPr>
                        <a:xfrm>
                          <a:off x="0" y="0"/>
                          <a:ext cx="1833245" cy="4445"/>
                        </a:xfrm>
                        <a:custGeom>
                          <a:avLst/>
                          <a:gdLst/>
                          <a:ahLst/>
                          <a:cxnLst/>
                          <a:pathLst>
                            <a:path w="2887" h="6">
                              <a:moveTo>
                                <a:pt x="3" y="3"/>
                              </a:moveTo>
                              <a:lnTo>
                                <a:pt x="2883" y="3"/>
                              </a:lnTo>
                            </a:path>
                          </a:pathLst>
                        </a:custGeom>
                        <a:noFill/>
                        <a:ln w="4318"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65pt;margin-top:753.1pt;height:0.35pt;width:144.35pt;mso-position-horizontal-relative:page;mso-position-vertical-relative:page;z-index:251672576;mso-width-relative:page;mso-height-relative:page;" filled="f" stroked="t" coordsize="2887,6" o:allowincell="f" o:gfxdata="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vPlnzYAAAADQEAAA8AAAAAAAAAAQAgAAAAIgAAAGRycy9k&#10;b3ducmV2LnhtbFBLAQIUABQAAAAIAIdO4kCFxT1aOwIAAJUEAAAOAAAAAAAAAAEAIAAAACcBAABk&#10;cnMvZTJvRG9jLnhtbFBLBQYAAAAABgAGAFkBAADUBQAAAAA=&#10;" path="m3,3l2883,3e">
                <v:fill on="f" focussize="0,0"/>
                <v:stroke weight="0.34pt" color="#000000" joinstyle="bevel" endcap="square"/>
                <v:imagedata o:title=""/>
                <o:lock v:ext="edit" aspectratio="f"/>
              </v:shape>
            </w:pict>
          </mc:Fallback>
        </mc:AlternateContent>
      </w:r>
    </w:p>
    <w:p>
      <w:pPr>
        <w:spacing w:before="78" w:line="359" w:lineRule="auto"/>
        <w:ind w:left="12" w:right="291" w:firstLine="490"/>
        <w:rPr>
          <w:rFonts w:ascii="宋体" w:hAnsi="宋体" w:eastAsia="宋体" w:cs="宋体"/>
          <w:sz w:val="24"/>
          <w:szCs w:val="24"/>
        </w:rPr>
      </w:pPr>
      <w:r>
        <w:rPr>
          <w:rFonts w:ascii="宋体" w:hAnsi="宋体" w:eastAsia="宋体" w:cs="宋体"/>
          <w:spacing w:val="-3"/>
          <w:sz w:val="24"/>
          <w:szCs w:val="24"/>
        </w:rPr>
        <w:t>（1）除合同另有约定外，如果在投标文件递交截止日</w:t>
      </w:r>
      <w:r>
        <w:rPr>
          <w:rFonts w:ascii="宋体" w:hAnsi="宋体" w:eastAsia="宋体" w:cs="宋体"/>
          <w:spacing w:val="-38"/>
          <w:sz w:val="24"/>
          <w:szCs w:val="24"/>
        </w:rPr>
        <w:t xml:space="preserve"> </w:t>
      </w:r>
      <w:r>
        <w:rPr>
          <w:rFonts w:ascii="宋体" w:hAnsi="宋体" w:eastAsia="宋体" w:cs="宋体"/>
          <w:spacing w:val="-3"/>
          <w:sz w:val="24"/>
          <w:szCs w:val="24"/>
        </w:rPr>
        <w:t>28</w:t>
      </w:r>
      <w:r>
        <w:rPr>
          <w:rFonts w:ascii="宋体" w:hAnsi="宋体" w:eastAsia="宋体" w:cs="宋体"/>
          <w:spacing w:val="-46"/>
          <w:sz w:val="24"/>
          <w:szCs w:val="24"/>
        </w:rPr>
        <w:t xml:space="preserve"> </w:t>
      </w:r>
      <w:r>
        <w:rPr>
          <w:rFonts w:ascii="宋体" w:hAnsi="宋体" w:eastAsia="宋体" w:cs="宋体"/>
          <w:spacing w:val="-3"/>
          <w:sz w:val="24"/>
          <w:szCs w:val="24"/>
        </w:rPr>
        <w:t>天之后，国家或省颁布的</w:t>
      </w:r>
      <w:r>
        <w:rPr>
          <w:rFonts w:ascii="宋体" w:hAnsi="宋体" w:eastAsia="宋体" w:cs="宋体"/>
          <w:sz w:val="24"/>
          <w:szCs w:val="24"/>
        </w:rPr>
        <w:t xml:space="preserve"> </w:t>
      </w:r>
      <w:r>
        <w:rPr>
          <w:rFonts w:ascii="宋体" w:hAnsi="宋体" w:eastAsia="宋体" w:cs="宋体"/>
          <w:spacing w:val="-4"/>
          <w:sz w:val="24"/>
          <w:szCs w:val="24"/>
        </w:rPr>
        <w:t>法律、法规出现修改或变更，因采用上述法律、法规使承包人在履行合同中发生第</w:t>
      </w:r>
      <w:r>
        <w:rPr>
          <w:rFonts w:ascii="宋体" w:hAnsi="宋体" w:eastAsia="宋体" w:cs="宋体"/>
          <w:spacing w:val="-25"/>
          <w:sz w:val="24"/>
          <w:szCs w:val="24"/>
        </w:rPr>
        <w:t xml:space="preserve"> </w:t>
      </w:r>
      <w:r>
        <w:rPr>
          <w:rFonts w:ascii="宋体" w:hAnsi="宋体" w:eastAsia="宋体" w:cs="宋体"/>
          <w:spacing w:val="-4"/>
          <w:sz w:val="24"/>
          <w:szCs w:val="24"/>
        </w:rPr>
        <w:t>16.1</w:t>
      </w:r>
      <w:r>
        <w:rPr>
          <w:rFonts w:ascii="宋体" w:hAnsi="宋体" w:eastAsia="宋体" w:cs="宋体"/>
          <w:sz w:val="24"/>
          <w:szCs w:val="24"/>
        </w:rPr>
        <w:t xml:space="preserve"> </w:t>
      </w:r>
      <w:r>
        <w:rPr>
          <w:rFonts w:ascii="宋体" w:hAnsi="宋体" w:eastAsia="宋体" w:cs="宋体"/>
          <w:spacing w:val="-2"/>
          <w:sz w:val="24"/>
          <w:szCs w:val="24"/>
        </w:rPr>
        <w:t>款规定的价格调整以外的费用增加或减少的，相关增减费用由监理人与承包人协商后，</w:t>
      </w:r>
    </w:p>
    <w:p>
      <w:pPr>
        <w:spacing w:line="219" w:lineRule="auto"/>
        <w:ind w:left="9"/>
        <w:rPr>
          <w:rFonts w:ascii="宋体" w:hAnsi="宋体" w:eastAsia="宋体" w:cs="宋体"/>
          <w:sz w:val="24"/>
          <w:szCs w:val="24"/>
        </w:rPr>
      </w:pPr>
      <w:r>
        <w:rPr>
          <w:rFonts w:ascii="宋体" w:hAnsi="宋体" w:eastAsia="宋体" w:cs="宋体"/>
          <w:spacing w:val="-1"/>
          <w:sz w:val="24"/>
          <w:szCs w:val="24"/>
        </w:rPr>
        <w:t>报发包人审核审批。</w:t>
      </w:r>
    </w:p>
    <w:p>
      <w:pPr>
        <w:spacing w:before="183" w:line="359" w:lineRule="auto"/>
        <w:ind w:left="13" w:right="291" w:firstLine="489"/>
        <w:rPr>
          <w:rFonts w:ascii="宋体" w:hAnsi="宋体" w:eastAsia="宋体" w:cs="宋体"/>
          <w:sz w:val="24"/>
          <w:szCs w:val="24"/>
        </w:rPr>
      </w:pPr>
      <w:r>
        <w:rPr>
          <w:rFonts w:ascii="宋体" w:hAnsi="宋体" w:eastAsia="宋体" w:cs="宋体"/>
          <w:spacing w:val="1"/>
          <w:sz w:val="24"/>
          <w:szCs w:val="24"/>
        </w:rPr>
        <w:t>（2）在工程实施过程中，所引用的国家标准和规范如果有修改或新颁，应由发包</w:t>
      </w:r>
      <w:r>
        <w:rPr>
          <w:rFonts w:ascii="宋体" w:hAnsi="宋体" w:eastAsia="宋体" w:cs="宋体"/>
          <w:spacing w:val="9"/>
          <w:sz w:val="24"/>
          <w:szCs w:val="24"/>
        </w:rPr>
        <w:t xml:space="preserve"> </w:t>
      </w:r>
      <w:r>
        <w:rPr>
          <w:rFonts w:ascii="宋体" w:hAnsi="宋体" w:eastAsia="宋体" w:cs="宋体"/>
          <w:spacing w:val="-2"/>
          <w:sz w:val="24"/>
          <w:szCs w:val="24"/>
        </w:rPr>
        <w:t>人决定是否采用新标准或新规范，承包人应在监理人的监督下按发包人的决定执行。采</w:t>
      </w:r>
    </w:p>
    <w:p>
      <w:pPr>
        <w:spacing w:line="219" w:lineRule="auto"/>
        <w:ind w:left="13"/>
        <w:rPr>
          <w:rFonts w:ascii="宋体" w:hAnsi="宋体" w:eastAsia="宋体" w:cs="宋体"/>
          <w:sz w:val="24"/>
          <w:szCs w:val="24"/>
        </w:rPr>
      </w:pPr>
      <w:r>
        <w:rPr>
          <w:rFonts w:ascii="宋体" w:hAnsi="宋体" w:eastAsia="宋体" w:cs="宋体"/>
          <w:sz w:val="24"/>
          <w:szCs w:val="24"/>
        </w:rPr>
        <w:t>用新标准、新规范（相对于招标文件）所增</w:t>
      </w:r>
      <w:r>
        <w:rPr>
          <w:rFonts w:ascii="宋体" w:hAnsi="宋体" w:eastAsia="宋体" w:cs="宋体"/>
          <w:spacing w:val="-1"/>
          <w:sz w:val="24"/>
          <w:szCs w:val="24"/>
        </w:rPr>
        <w:t>加的相应费用由发包人承担。</w:t>
      </w:r>
    </w:p>
    <w:p>
      <w:pPr>
        <w:spacing w:before="180" w:line="359" w:lineRule="auto"/>
        <w:ind w:left="12" w:right="227" w:firstLine="490"/>
        <w:rPr>
          <w:rFonts w:ascii="宋体" w:hAnsi="宋体" w:eastAsia="宋体" w:cs="宋体"/>
          <w:sz w:val="24"/>
          <w:szCs w:val="24"/>
        </w:rPr>
      </w:pPr>
      <w:r>
        <w:rPr>
          <w:rFonts w:ascii="宋体" w:hAnsi="宋体" w:eastAsia="宋体" w:cs="宋体"/>
          <w:spacing w:val="1"/>
          <w:sz w:val="24"/>
          <w:szCs w:val="24"/>
        </w:rPr>
        <w:t>（3）合同执行期间，如发生税务政策调整，则执行新的税务政策，按以下公式调</w:t>
      </w:r>
      <w:r>
        <w:rPr>
          <w:rFonts w:ascii="宋体" w:hAnsi="宋体" w:eastAsia="宋体" w:cs="宋体"/>
          <w:spacing w:val="9"/>
          <w:sz w:val="24"/>
          <w:szCs w:val="24"/>
        </w:rPr>
        <w:t xml:space="preserve"> </w:t>
      </w:r>
      <w:r>
        <w:rPr>
          <w:rFonts w:ascii="宋体" w:hAnsi="宋体" w:eastAsia="宋体" w:cs="宋体"/>
          <w:spacing w:val="-7"/>
          <w:sz w:val="24"/>
          <w:szCs w:val="24"/>
        </w:rPr>
        <w:t>整剩余合同价款，并签订补充协议。调整后合同价=原合同价/(1+</w:t>
      </w:r>
      <w:r>
        <w:rPr>
          <w:rFonts w:ascii="宋体" w:hAnsi="宋体" w:eastAsia="宋体" w:cs="宋体"/>
          <w:spacing w:val="-8"/>
          <w:sz w:val="24"/>
          <w:szCs w:val="24"/>
        </w:rPr>
        <w:t>原税率）*（1+新税率</w:t>
      </w:r>
      <w:r>
        <w:rPr>
          <w:rFonts w:ascii="宋体" w:hAnsi="宋体" w:eastAsia="宋体" w:cs="宋体"/>
          <w:spacing w:val="-54"/>
          <w:w w:val="85"/>
          <w:sz w:val="24"/>
          <w:szCs w:val="24"/>
        </w:rPr>
        <w:t>），</w:t>
      </w:r>
    </w:p>
    <w:p>
      <w:pPr>
        <w:spacing w:line="218" w:lineRule="auto"/>
        <w:ind w:left="30"/>
        <w:rPr>
          <w:rFonts w:ascii="宋体" w:hAnsi="宋体" w:eastAsia="宋体" w:cs="宋体"/>
          <w:sz w:val="24"/>
          <w:szCs w:val="24"/>
        </w:rPr>
      </w:pPr>
      <w:r>
        <w:rPr>
          <w:rFonts w:ascii="宋体" w:hAnsi="宋体" w:eastAsia="宋体" w:cs="宋体"/>
          <w:spacing w:val="-1"/>
          <w:sz w:val="24"/>
          <w:szCs w:val="24"/>
        </w:rPr>
        <w:t>因承包人提供发票不及时或有误导致工程款不能支付的责任由承包人承担。</w:t>
      </w:r>
    </w:p>
    <w:p>
      <w:pPr>
        <w:spacing w:before="184" w:line="219" w:lineRule="auto"/>
        <w:ind w:left="492"/>
        <w:rPr>
          <w:rFonts w:ascii="宋体" w:hAnsi="宋体" w:eastAsia="宋体" w:cs="宋体"/>
          <w:sz w:val="24"/>
          <w:szCs w:val="24"/>
        </w:rPr>
      </w:pPr>
      <w:r>
        <w:rPr>
          <w:rFonts w:ascii="宋体" w:hAnsi="宋体" w:eastAsia="宋体" w:cs="宋体"/>
          <w:spacing w:val="-5"/>
          <w:sz w:val="24"/>
          <w:szCs w:val="24"/>
        </w:rPr>
        <w:t>本条补充第</w:t>
      </w:r>
      <w:r>
        <w:rPr>
          <w:rFonts w:ascii="宋体" w:hAnsi="宋体" w:eastAsia="宋体" w:cs="宋体"/>
          <w:spacing w:val="-32"/>
          <w:sz w:val="24"/>
          <w:szCs w:val="24"/>
        </w:rPr>
        <w:t xml:space="preserve"> </w:t>
      </w:r>
      <w:r>
        <w:rPr>
          <w:rFonts w:ascii="宋体" w:hAnsi="宋体" w:eastAsia="宋体" w:cs="宋体"/>
          <w:spacing w:val="-5"/>
          <w:sz w:val="24"/>
          <w:szCs w:val="24"/>
        </w:rPr>
        <w:t>16.3</w:t>
      </w:r>
      <w:r>
        <w:rPr>
          <w:rFonts w:ascii="宋体" w:hAnsi="宋体" w:eastAsia="宋体" w:cs="宋体"/>
          <w:spacing w:val="-50"/>
          <w:sz w:val="24"/>
          <w:szCs w:val="24"/>
        </w:rPr>
        <w:t xml:space="preserve"> </w:t>
      </w:r>
      <w:r>
        <w:rPr>
          <w:rFonts w:ascii="宋体" w:hAnsi="宋体" w:eastAsia="宋体" w:cs="宋体"/>
          <w:spacing w:val="-5"/>
          <w:sz w:val="24"/>
          <w:szCs w:val="24"/>
        </w:rPr>
        <w:t>款、第</w:t>
      </w:r>
      <w:r>
        <w:rPr>
          <w:rFonts w:ascii="宋体" w:hAnsi="宋体" w:eastAsia="宋体" w:cs="宋体"/>
          <w:spacing w:val="-33"/>
          <w:sz w:val="24"/>
          <w:szCs w:val="24"/>
        </w:rPr>
        <w:t xml:space="preserve"> </w:t>
      </w:r>
      <w:r>
        <w:rPr>
          <w:rFonts w:ascii="宋体" w:hAnsi="宋体" w:eastAsia="宋体" w:cs="宋体"/>
          <w:spacing w:val="-5"/>
          <w:sz w:val="24"/>
          <w:szCs w:val="24"/>
        </w:rPr>
        <w:t>16.4</w:t>
      </w:r>
      <w:r>
        <w:rPr>
          <w:rFonts w:ascii="宋体" w:hAnsi="宋体" w:eastAsia="宋体" w:cs="宋体"/>
          <w:spacing w:val="-49"/>
          <w:sz w:val="24"/>
          <w:szCs w:val="24"/>
        </w:rPr>
        <w:t xml:space="preserve"> </w:t>
      </w:r>
      <w:r>
        <w:rPr>
          <w:rFonts w:ascii="宋体" w:hAnsi="宋体" w:eastAsia="宋体" w:cs="宋体"/>
          <w:spacing w:val="-5"/>
          <w:sz w:val="24"/>
          <w:szCs w:val="24"/>
        </w:rPr>
        <w:t>款、第</w:t>
      </w:r>
      <w:r>
        <w:rPr>
          <w:rFonts w:ascii="宋体" w:hAnsi="宋体" w:eastAsia="宋体" w:cs="宋体"/>
          <w:spacing w:val="-33"/>
          <w:sz w:val="24"/>
          <w:szCs w:val="24"/>
        </w:rPr>
        <w:t xml:space="preserve"> </w:t>
      </w:r>
      <w:r>
        <w:rPr>
          <w:rFonts w:ascii="宋体" w:hAnsi="宋体" w:eastAsia="宋体" w:cs="宋体"/>
          <w:spacing w:val="-5"/>
          <w:sz w:val="24"/>
          <w:szCs w:val="24"/>
        </w:rPr>
        <w:t>16.5</w:t>
      </w:r>
      <w:r>
        <w:rPr>
          <w:rFonts w:ascii="宋体" w:hAnsi="宋体" w:eastAsia="宋体" w:cs="宋体"/>
          <w:spacing w:val="-50"/>
          <w:sz w:val="24"/>
          <w:szCs w:val="24"/>
        </w:rPr>
        <w:t xml:space="preserve"> </w:t>
      </w:r>
      <w:r>
        <w:rPr>
          <w:rFonts w:ascii="宋体" w:hAnsi="宋体" w:eastAsia="宋体" w:cs="宋体"/>
          <w:spacing w:val="-5"/>
          <w:sz w:val="24"/>
          <w:szCs w:val="24"/>
        </w:rPr>
        <w:t>款：</w:t>
      </w:r>
    </w:p>
    <w:p>
      <w:pPr>
        <w:spacing w:before="182" w:line="219" w:lineRule="auto"/>
        <w:ind w:left="509"/>
        <w:rPr>
          <w:rFonts w:ascii="宋体" w:hAnsi="宋体" w:eastAsia="宋体" w:cs="宋体"/>
          <w:sz w:val="24"/>
          <w:szCs w:val="24"/>
        </w:rPr>
      </w:pPr>
      <w:r>
        <w:rPr>
          <w:rFonts w:ascii="宋体" w:hAnsi="宋体" w:eastAsia="宋体" w:cs="宋体"/>
          <w:spacing w:val="-2"/>
          <w:sz w:val="24"/>
          <w:szCs w:val="24"/>
        </w:rPr>
        <w:t>16.3 执行国家和行业标准</w:t>
      </w:r>
    </w:p>
    <w:p>
      <w:pPr>
        <w:spacing w:before="182" w:line="468" w:lineRule="exact"/>
        <w:ind w:left="505"/>
        <w:rPr>
          <w:rFonts w:ascii="宋体" w:hAnsi="宋体" w:eastAsia="宋体" w:cs="宋体"/>
          <w:sz w:val="24"/>
          <w:szCs w:val="24"/>
        </w:rPr>
      </w:pPr>
      <w:r>
        <w:rPr>
          <w:rFonts w:ascii="宋体" w:hAnsi="宋体" w:eastAsia="宋体" w:cs="宋体"/>
          <w:spacing w:val="-2"/>
          <w:position w:val="17"/>
          <w:sz w:val="24"/>
          <w:szCs w:val="24"/>
        </w:rPr>
        <w:t>除非发包人和监理人专门批准，如果本工程技术规范和图纸标准低于</w:t>
      </w:r>
      <w:r>
        <w:rPr>
          <w:rFonts w:ascii="宋体" w:hAnsi="宋体" w:eastAsia="宋体" w:cs="宋体"/>
          <w:spacing w:val="-3"/>
          <w:position w:val="17"/>
          <w:sz w:val="24"/>
          <w:szCs w:val="24"/>
        </w:rPr>
        <w:t>国家和行业标</w:t>
      </w:r>
    </w:p>
    <w:p>
      <w:pPr>
        <w:spacing w:before="1" w:line="219" w:lineRule="auto"/>
        <w:ind w:left="13"/>
        <w:rPr>
          <w:rFonts w:ascii="宋体" w:hAnsi="宋体" w:eastAsia="宋体" w:cs="宋体"/>
          <w:sz w:val="24"/>
          <w:szCs w:val="24"/>
        </w:rPr>
      </w:pPr>
      <w:r>
        <w:rPr>
          <w:rFonts w:ascii="宋体" w:hAnsi="宋体" w:eastAsia="宋体" w:cs="宋体"/>
          <w:sz w:val="24"/>
          <w:szCs w:val="24"/>
        </w:rPr>
        <w:t>准，则应按国家和行业标准执行，承包人不能因此</w:t>
      </w:r>
      <w:r>
        <w:rPr>
          <w:rFonts w:ascii="宋体" w:hAnsi="宋体" w:eastAsia="宋体" w:cs="宋体"/>
          <w:spacing w:val="-1"/>
          <w:sz w:val="24"/>
          <w:szCs w:val="24"/>
        </w:rPr>
        <w:t>提出增加费用的要求和索赔。</w:t>
      </w:r>
    </w:p>
    <w:p>
      <w:pPr>
        <w:spacing w:before="180" w:line="218" w:lineRule="auto"/>
        <w:ind w:left="509"/>
        <w:rPr>
          <w:rFonts w:ascii="宋体" w:hAnsi="宋体" w:eastAsia="宋体" w:cs="宋体"/>
          <w:sz w:val="24"/>
          <w:szCs w:val="24"/>
        </w:rPr>
      </w:pPr>
      <w:r>
        <w:rPr>
          <w:rFonts w:ascii="宋体" w:hAnsi="宋体" w:eastAsia="宋体" w:cs="宋体"/>
          <w:spacing w:val="-2"/>
          <w:sz w:val="24"/>
          <w:szCs w:val="24"/>
        </w:rPr>
        <w:t>16.4 工期拖期的价格调整</w:t>
      </w:r>
    </w:p>
    <w:p>
      <w:pPr>
        <w:spacing w:before="184" w:line="359" w:lineRule="auto"/>
        <w:ind w:left="13" w:right="291" w:firstLine="507"/>
        <w:rPr>
          <w:rFonts w:ascii="宋体" w:hAnsi="宋体" w:eastAsia="宋体" w:cs="宋体"/>
          <w:sz w:val="24"/>
          <w:szCs w:val="24"/>
        </w:rPr>
      </w:pPr>
      <w:r>
        <w:rPr>
          <w:rFonts w:ascii="宋体" w:hAnsi="宋体" w:eastAsia="宋体" w:cs="宋体"/>
          <w:spacing w:val="-3"/>
          <w:sz w:val="24"/>
          <w:szCs w:val="24"/>
        </w:rPr>
        <w:t>由于承包人原因未能在投标书附录中写明的工期内完成本合同工程，在超出合同工</w:t>
      </w:r>
      <w:r>
        <w:rPr>
          <w:rFonts w:ascii="宋体" w:hAnsi="宋体" w:eastAsia="宋体" w:cs="宋体"/>
          <w:spacing w:val="15"/>
          <w:sz w:val="24"/>
          <w:szCs w:val="24"/>
        </w:rPr>
        <w:t xml:space="preserve"> </w:t>
      </w:r>
      <w:r>
        <w:rPr>
          <w:rFonts w:ascii="宋体" w:hAnsi="宋体" w:eastAsia="宋体" w:cs="宋体"/>
          <w:spacing w:val="-2"/>
          <w:sz w:val="24"/>
          <w:szCs w:val="24"/>
        </w:rPr>
        <w:t>期以后施工的工程，承包人不能因此提出调整合同单价（总额价）要求。即使某种延期</w:t>
      </w:r>
      <w:r>
        <w:rPr>
          <w:rFonts w:ascii="宋体" w:hAnsi="宋体" w:eastAsia="宋体" w:cs="宋体"/>
          <w:spacing w:val="10"/>
          <w:sz w:val="24"/>
          <w:szCs w:val="24"/>
        </w:rPr>
        <w:t xml:space="preserve"> </w:t>
      </w:r>
      <w:r>
        <w:rPr>
          <w:rFonts w:ascii="宋体" w:hAnsi="宋体" w:eastAsia="宋体" w:cs="宋体"/>
          <w:sz w:val="24"/>
          <w:szCs w:val="24"/>
        </w:rPr>
        <w:t>符合第</w:t>
      </w:r>
      <w:r>
        <w:rPr>
          <w:rFonts w:ascii="宋体" w:hAnsi="宋体" w:eastAsia="宋体" w:cs="宋体"/>
          <w:spacing w:val="-22"/>
          <w:sz w:val="24"/>
          <w:szCs w:val="24"/>
        </w:rPr>
        <w:t xml:space="preserve"> </w:t>
      </w:r>
      <w:r>
        <w:rPr>
          <w:rFonts w:ascii="宋体" w:hAnsi="宋体" w:eastAsia="宋体" w:cs="宋体"/>
          <w:sz w:val="24"/>
          <w:szCs w:val="24"/>
        </w:rPr>
        <w:t>11.4</w:t>
      </w:r>
      <w:r>
        <w:rPr>
          <w:rFonts w:ascii="宋体" w:hAnsi="宋体" w:eastAsia="宋体" w:cs="宋体"/>
          <w:spacing w:val="-46"/>
          <w:sz w:val="24"/>
          <w:szCs w:val="24"/>
        </w:rPr>
        <w:t xml:space="preserve"> </w:t>
      </w:r>
      <w:r>
        <w:rPr>
          <w:rFonts w:ascii="宋体" w:hAnsi="宋体" w:eastAsia="宋体" w:cs="宋体"/>
          <w:sz w:val="24"/>
          <w:szCs w:val="24"/>
        </w:rPr>
        <w:t>条及本合同条款相关规定，在该延长的合同工期到期以后施工的工程，承</w:t>
      </w:r>
    </w:p>
    <w:p>
      <w:pPr>
        <w:spacing w:before="1" w:line="217" w:lineRule="auto"/>
        <w:ind w:left="11"/>
        <w:rPr>
          <w:rFonts w:ascii="宋体" w:hAnsi="宋体" w:eastAsia="宋体" w:cs="宋体"/>
          <w:sz w:val="24"/>
          <w:szCs w:val="24"/>
        </w:rPr>
      </w:pPr>
      <w:r>
        <w:rPr>
          <w:rFonts w:ascii="宋体" w:hAnsi="宋体" w:eastAsia="宋体" w:cs="宋体"/>
          <w:spacing w:val="-1"/>
          <w:sz w:val="24"/>
          <w:szCs w:val="24"/>
        </w:rPr>
        <w:t>包人也不能因此提出调整合同单价（总额价）要求。</w:t>
      </w:r>
    </w:p>
    <w:p>
      <w:pPr>
        <w:spacing w:before="166" w:line="485" w:lineRule="exact"/>
        <w:ind w:left="509"/>
        <w:rPr>
          <w:rFonts w:ascii="宋体" w:hAnsi="宋体" w:eastAsia="宋体" w:cs="宋体"/>
          <w:sz w:val="12"/>
          <w:szCs w:val="12"/>
        </w:rPr>
      </w:pPr>
      <w:r>
        <w:rPr>
          <w:rFonts w:ascii="宋体" w:hAnsi="宋体" w:eastAsia="宋体" w:cs="宋体"/>
          <w:spacing w:val="-2"/>
          <w:position w:val="17"/>
          <w:sz w:val="24"/>
          <w:szCs w:val="24"/>
        </w:rPr>
        <w:t>16.5其他原因引起的价格调整</w:t>
      </w:r>
      <w:r>
        <w:fldChar w:fldCharType="begin"/>
      </w:r>
      <w:r>
        <w:instrText xml:space="preserve"> HYPERLINK \l "bookmark164" </w:instrText>
      </w:r>
      <w:r>
        <w:fldChar w:fldCharType="separate"/>
      </w:r>
      <w:r>
        <w:rPr>
          <w:rFonts w:ascii="宋体" w:hAnsi="宋体" w:eastAsia="宋体" w:cs="宋体"/>
          <w:spacing w:val="-2"/>
          <w:position w:val="28"/>
          <w:sz w:val="12"/>
          <w:szCs w:val="12"/>
        </w:rPr>
        <w:t>①</w:t>
      </w:r>
      <w:r>
        <w:rPr>
          <w:rFonts w:ascii="宋体" w:hAnsi="宋体" w:eastAsia="宋体" w:cs="宋体"/>
          <w:spacing w:val="-2"/>
          <w:position w:val="28"/>
          <w:sz w:val="12"/>
          <w:szCs w:val="12"/>
        </w:rPr>
        <w:fldChar w:fldCharType="end"/>
      </w:r>
    </w:p>
    <w:p>
      <w:pPr>
        <w:spacing w:line="220" w:lineRule="auto"/>
        <w:ind w:left="509"/>
        <w:rPr>
          <w:rFonts w:ascii="宋体" w:hAnsi="宋体" w:eastAsia="宋体" w:cs="宋体"/>
          <w:sz w:val="24"/>
          <w:szCs w:val="24"/>
        </w:rPr>
      </w:pPr>
      <w:r>
        <w:rPr>
          <w:rFonts w:ascii="宋体" w:hAnsi="宋体" w:eastAsia="宋体" w:cs="宋体"/>
          <w:spacing w:val="-3"/>
          <w:sz w:val="24"/>
          <w:szCs w:val="24"/>
        </w:rPr>
        <w:t>16.5.1应急抢险工程</w:t>
      </w:r>
    </w:p>
    <w:p>
      <w:pPr>
        <w:spacing w:before="183" w:line="359" w:lineRule="auto"/>
        <w:ind w:left="10" w:right="291" w:firstLine="499"/>
        <w:jc w:val="both"/>
        <w:rPr>
          <w:rFonts w:ascii="宋体" w:hAnsi="宋体" w:eastAsia="宋体" w:cs="宋体"/>
          <w:sz w:val="24"/>
          <w:szCs w:val="24"/>
        </w:rPr>
      </w:pPr>
      <w:r>
        <w:rPr>
          <w:rFonts w:ascii="宋体" w:hAnsi="宋体" w:eastAsia="宋体" w:cs="宋体"/>
          <w:spacing w:val="-2"/>
          <w:sz w:val="24"/>
          <w:szCs w:val="24"/>
        </w:rPr>
        <w:t>因自然灾害、地质灾害以及其他突发事件引发，导致高速公</w:t>
      </w:r>
      <w:r>
        <w:rPr>
          <w:rFonts w:ascii="宋体" w:hAnsi="宋体" w:eastAsia="宋体" w:cs="宋体"/>
          <w:spacing w:val="-3"/>
          <w:sz w:val="24"/>
          <w:szCs w:val="24"/>
        </w:rPr>
        <w:t>路及沿线设施受损，正</w:t>
      </w:r>
      <w:r>
        <w:rPr>
          <w:rFonts w:ascii="宋体" w:hAnsi="宋体" w:eastAsia="宋体" w:cs="宋体"/>
          <w:sz w:val="24"/>
          <w:szCs w:val="24"/>
        </w:rPr>
        <w:t xml:space="preserve"> </w:t>
      </w:r>
      <w:r>
        <w:rPr>
          <w:rFonts w:ascii="宋体" w:hAnsi="宋体" w:eastAsia="宋体" w:cs="宋体"/>
          <w:spacing w:val="-2"/>
          <w:sz w:val="24"/>
          <w:szCs w:val="24"/>
        </w:rPr>
        <w:t>在发生严重危害或即将产生严重危害，必须迅速采取措施的工程或因应对突发事件需要</w:t>
      </w:r>
      <w:r>
        <w:rPr>
          <w:rFonts w:ascii="宋体" w:hAnsi="宋体" w:eastAsia="宋体" w:cs="宋体"/>
          <w:spacing w:val="13"/>
          <w:sz w:val="24"/>
          <w:szCs w:val="24"/>
        </w:rPr>
        <w:t xml:space="preserve"> </w:t>
      </w:r>
      <w:r>
        <w:rPr>
          <w:rFonts w:ascii="宋体" w:hAnsi="宋体" w:eastAsia="宋体" w:cs="宋体"/>
          <w:spacing w:val="-2"/>
          <w:sz w:val="24"/>
          <w:szCs w:val="24"/>
        </w:rPr>
        <w:t>在短期内启动并尽快完成的抢险修复工程，经发包人和监理人确认后，按应急抢险工程</w:t>
      </w:r>
    </w:p>
    <w:p>
      <w:pPr>
        <w:spacing w:before="1" w:line="217" w:lineRule="auto"/>
        <w:ind w:left="9"/>
        <w:rPr>
          <w:rFonts w:ascii="宋体" w:hAnsi="宋体" w:eastAsia="宋体" w:cs="宋体"/>
          <w:sz w:val="24"/>
          <w:szCs w:val="24"/>
        </w:rPr>
      </w:pPr>
      <w:r>
        <w:rPr>
          <w:rFonts w:ascii="宋体" w:hAnsi="宋体" w:eastAsia="宋体" w:cs="宋体"/>
          <w:spacing w:val="-2"/>
          <w:sz w:val="24"/>
          <w:szCs w:val="24"/>
        </w:rPr>
        <w:t>进行处理。应急抢险工程的变更作价按</w:t>
      </w:r>
      <w:r>
        <w:rPr>
          <w:rFonts w:ascii="宋体" w:hAnsi="宋体" w:eastAsia="宋体" w:cs="宋体"/>
          <w:spacing w:val="-21"/>
          <w:sz w:val="24"/>
          <w:szCs w:val="24"/>
        </w:rPr>
        <w:t xml:space="preserve"> </w:t>
      </w:r>
      <w:r>
        <w:rPr>
          <w:rFonts w:ascii="宋体" w:hAnsi="宋体" w:eastAsia="宋体" w:cs="宋体"/>
          <w:spacing w:val="-2"/>
          <w:sz w:val="24"/>
          <w:szCs w:val="24"/>
        </w:rPr>
        <w:t>15.4.4</w:t>
      </w:r>
      <w:r>
        <w:rPr>
          <w:rFonts w:ascii="宋体" w:hAnsi="宋体" w:eastAsia="宋体" w:cs="宋体"/>
          <w:spacing w:val="-50"/>
          <w:sz w:val="24"/>
          <w:szCs w:val="24"/>
        </w:rPr>
        <w:t xml:space="preserve"> </w:t>
      </w:r>
      <w:r>
        <w:rPr>
          <w:rFonts w:ascii="宋体" w:hAnsi="宋体" w:eastAsia="宋体" w:cs="宋体"/>
          <w:spacing w:val="-2"/>
          <w:sz w:val="24"/>
          <w:szCs w:val="24"/>
        </w:rPr>
        <w:t>款约定执行。</w:t>
      </w:r>
    </w:p>
    <w:p>
      <w:pPr>
        <w:spacing w:before="183" w:line="465" w:lineRule="exact"/>
        <w:ind w:left="509"/>
        <w:rPr>
          <w:rFonts w:ascii="宋体" w:hAnsi="宋体" w:eastAsia="宋体" w:cs="宋体"/>
          <w:sz w:val="24"/>
          <w:szCs w:val="24"/>
        </w:rPr>
      </w:pPr>
      <w:r>
        <w:rPr>
          <w:rFonts w:ascii="宋体" w:hAnsi="宋体" w:eastAsia="宋体" w:cs="宋体"/>
          <w:spacing w:val="-6"/>
          <w:position w:val="17"/>
          <w:sz w:val="24"/>
          <w:szCs w:val="24"/>
        </w:rPr>
        <w:t>16.5.2施工图设计和合同清单工程数量出现“差、错、漏、碰</w:t>
      </w:r>
      <w:r>
        <w:rPr>
          <w:rFonts w:ascii="宋体" w:hAnsi="宋体" w:eastAsia="宋体" w:cs="宋体"/>
          <w:spacing w:val="-81"/>
          <w:position w:val="17"/>
          <w:sz w:val="24"/>
          <w:szCs w:val="24"/>
        </w:rPr>
        <w:t xml:space="preserve"> </w:t>
      </w:r>
      <w:r>
        <w:rPr>
          <w:rFonts w:ascii="宋体" w:hAnsi="宋体" w:eastAsia="宋体" w:cs="宋体"/>
          <w:spacing w:val="-6"/>
          <w:position w:val="17"/>
          <w:sz w:val="24"/>
          <w:szCs w:val="24"/>
        </w:rPr>
        <w:t>”的，经勘误后，</w:t>
      </w:r>
    </w:p>
    <w:p>
      <w:pPr>
        <w:spacing w:before="1" w:line="219" w:lineRule="auto"/>
        <w:ind w:left="13"/>
        <w:rPr>
          <w:rFonts w:ascii="宋体" w:hAnsi="宋体" w:eastAsia="宋体" w:cs="宋体"/>
          <w:sz w:val="24"/>
          <w:szCs w:val="24"/>
        </w:rPr>
      </w:pPr>
      <w:r>
        <w:rPr>
          <w:rFonts w:ascii="宋体" w:hAnsi="宋体" w:eastAsia="宋体" w:cs="宋体"/>
          <w:spacing w:val="-1"/>
          <w:sz w:val="24"/>
          <w:szCs w:val="24"/>
        </w:rPr>
        <w:t>按合同条款及计量支付规则约定的计量原则，作变更处理。</w:t>
      </w:r>
    </w:p>
    <w:p>
      <w:pPr>
        <w:spacing w:before="182" w:line="218" w:lineRule="auto"/>
        <w:ind w:left="509"/>
        <w:rPr>
          <w:rFonts w:ascii="宋体" w:hAnsi="宋体" w:eastAsia="宋体" w:cs="宋体"/>
          <w:sz w:val="24"/>
          <w:szCs w:val="24"/>
        </w:rPr>
      </w:pPr>
      <w:r>
        <w:rPr>
          <w:rFonts w:ascii="宋体" w:hAnsi="宋体" w:eastAsia="宋体" w:cs="宋体"/>
          <w:spacing w:val="-1"/>
          <w:sz w:val="24"/>
          <w:szCs w:val="24"/>
        </w:rPr>
        <w:t xml:space="preserve">16.5.3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（其他可调整价格的情形）。</w:t>
      </w:r>
    </w:p>
    <w:p>
      <w:pPr>
        <w:spacing w:before="183" w:line="219" w:lineRule="auto"/>
        <w:ind w:left="509"/>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17.</w:t>
      </w:r>
      <w:r>
        <w:rPr>
          <w:rFonts w:ascii="宋体" w:hAnsi="宋体" w:eastAsia="宋体" w:cs="宋体"/>
          <w:spacing w:val="-2"/>
          <w:sz w:val="24"/>
          <w:szCs w:val="24"/>
        </w:rPr>
        <w:t xml:space="preserve"> </w:t>
      </w:r>
      <w:r>
        <w:rPr>
          <w:rFonts w:ascii="宋体" w:hAnsi="宋体" w:eastAsia="宋体" w:cs="宋体"/>
          <w:spacing w:val="-2"/>
          <w:sz w:val="24"/>
          <w:szCs w:val="24"/>
          <w14:textOutline w14:w="4358" w14:cap="sq" w14:cmpd="sng">
            <w14:solidFill>
              <w14:srgbClr w14:val="000000"/>
            </w14:solidFill>
            <w14:prstDash w14:val="solid"/>
            <w14:bevel/>
          </w14:textOutline>
        </w:rPr>
        <w:t>计量与支付</w:t>
      </w:r>
    </w:p>
    <w:p>
      <w:pPr>
        <w:spacing w:line="331" w:lineRule="auto"/>
        <w:rPr>
          <w:rFonts w:ascii="Arial"/>
          <w:sz w:val="21"/>
        </w:rPr>
      </w:pPr>
    </w:p>
    <w:p>
      <w:pPr>
        <w:spacing w:before="59" w:line="235" w:lineRule="auto"/>
        <w:ind w:left="5"/>
        <w:rPr>
          <w:rFonts w:ascii="宋体" w:hAnsi="宋体" w:eastAsia="宋体" w:cs="宋体"/>
          <w:sz w:val="18"/>
          <w:szCs w:val="18"/>
        </w:rPr>
      </w:pPr>
      <w:r>
        <w:rPr>
          <w:rFonts w:ascii="宋体" w:hAnsi="宋体" w:eastAsia="宋体" w:cs="宋体"/>
          <w:spacing w:val="-1"/>
          <w:position w:val="9"/>
          <w:sz w:val="8"/>
          <w:szCs w:val="8"/>
        </w:rPr>
        <w:t>①</w:t>
      </w:r>
      <w:r>
        <w:rPr>
          <w:rFonts w:ascii="宋体" w:hAnsi="宋体" w:eastAsia="宋体" w:cs="宋体"/>
          <w:spacing w:val="35"/>
          <w:position w:val="9"/>
          <w:sz w:val="8"/>
          <w:szCs w:val="8"/>
        </w:rPr>
        <w:t xml:space="preserve"> </w:t>
      </w:r>
      <w:r>
        <w:rPr>
          <w:rFonts w:ascii="宋体" w:hAnsi="宋体" w:eastAsia="宋体" w:cs="宋体"/>
          <w:spacing w:val="-1"/>
          <w:sz w:val="18"/>
          <w:szCs w:val="18"/>
        </w:rPr>
        <w:t>发包人根据项目实际情况决定是否增设</w:t>
      </w:r>
      <w:r>
        <w:rPr>
          <w:rFonts w:ascii="宋体" w:hAnsi="宋体" w:eastAsia="宋体" w:cs="宋体"/>
          <w:spacing w:val="-23"/>
          <w:sz w:val="18"/>
          <w:szCs w:val="18"/>
        </w:rPr>
        <w:t xml:space="preserve"> </w:t>
      </w:r>
      <w:r>
        <w:rPr>
          <w:rFonts w:ascii="Times New Roman" w:hAnsi="Times New Roman" w:eastAsia="Times New Roman" w:cs="Times New Roman"/>
          <w:spacing w:val="-1"/>
          <w:sz w:val="18"/>
          <w:szCs w:val="18"/>
        </w:rPr>
        <w:t xml:space="preserve">16.5 </w:t>
      </w:r>
      <w:r>
        <w:rPr>
          <w:rFonts w:ascii="宋体" w:hAnsi="宋体" w:eastAsia="宋体" w:cs="宋体"/>
          <w:spacing w:val="-1"/>
          <w:sz w:val="18"/>
          <w:szCs w:val="18"/>
        </w:rPr>
        <w:t>款</w:t>
      </w:r>
    </w:p>
    <w:p>
      <w:pPr>
        <w:spacing w:line="425" w:lineRule="auto"/>
        <w:rPr>
          <w:rFonts w:ascii="Arial"/>
          <w:sz w:val="21"/>
        </w:rPr>
      </w:pPr>
    </w:p>
    <w:p>
      <w:pPr>
        <w:spacing w:before="78" w:line="221" w:lineRule="auto"/>
        <w:ind w:left="503"/>
        <w:rPr>
          <w:rFonts w:ascii="宋体" w:hAnsi="宋体" w:eastAsia="宋体" w:cs="宋体"/>
          <w:sz w:val="24"/>
          <w:szCs w:val="24"/>
        </w:rPr>
      </w:pPr>
      <w:r>
        <w:rPr>
          <w:rFonts w:ascii="宋体" w:hAnsi="宋体" w:eastAsia="宋体" w:cs="宋体"/>
          <w:spacing w:val="-7"/>
          <w:sz w:val="24"/>
          <w:szCs w:val="24"/>
        </w:rPr>
        <w:t>17.1</w:t>
      </w:r>
      <w:r>
        <w:rPr>
          <w:rFonts w:ascii="宋体" w:hAnsi="宋体" w:eastAsia="宋体" w:cs="宋体"/>
          <w:spacing w:val="13"/>
          <w:sz w:val="24"/>
          <w:szCs w:val="24"/>
        </w:rPr>
        <w:t xml:space="preserve"> </w:t>
      </w:r>
      <w:r>
        <w:rPr>
          <w:rFonts w:ascii="宋体" w:hAnsi="宋体" w:eastAsia="宋体" w:cs="宋体"/>
          <w:spacing w:val="-7"/>
          <w:sz w:val="24"/>
          <w:szCs w:val="24"/>
        </w:rPr>
        <w:t>计量</w:t>
      </w:r>
    </w:p>
    <w:p>
      <w:pPr>
        <w:spacing w:before="178" w:line="218" w:lineRule="auto"/>
        <w:ind w:left="503"/>
        <w:rPr>
          <w:rFonts w:ascii="宋体" w:hAnsi="宋体" w:eastAsia="宋体" w:cs="宋体"/>
          <w:sz w:val="24"/>
          <w:szCs w:val="24"/>
        </w:rPr>
      </w:pPr>
      <w:r>
        <w:rPr>
          <w:rFonts w:ascii="宋体" w:hAnsi="宋体" w:eastAsia="宋体" w:cs="宋体"/>
          <w:spacing w:val="-4"/>
          <w:sz w:val="24"/>
          <w:szCs w:val="24"/>
        </w:rPr>
        <w:t>17.1.5</w:t>
      </w:r>
      <w:r>
        <w:rPr>
          <w:rFonts w:ascii="宋体" w:hAnsi="宋体" w:eastAsia="宋体" w:cs="宋体"/>
          <w:spacing w:val="-37"/>
          <w:sz w:val="24"/>
          <w:szCs w:val="24"/>
        </w:rPr>
        <w:t xml:space="preserve"> </w:t>
      </w:r>
      <w:r>
        <w:rPr>
          <w:rFonts w:ascii="宋体" w:hAnsi="宋体" w:eastAsia="宋体" w:cs="宋体"/>
          <w:spacing w:val="-4"/>
          <w:sz w:val="24"/>
          <w:szCs w:val="24"/>
        </w:rPr>
        <w:t>总价子目的计量</w:t>
      </w:r>
    </w:p>
    <w:p>
      <w:pPr>
        <w:spacing w:before="184" w:line="218" w:lineRule="auto"/>
        <w:ind w:left="486"/>
        <w:rPr>
          <w:rFonts w:ascii="宋体" w:hAnsi="宋体" w:eastAsia="宋体" w:cs="宋体"/>
          <w:sz w:val="24"/>
          <w:szCs w:val="24"/>
        </w:rPr>
      </w:pPr>
      <w:r>
        <w:rPr>
          <w:rFonts w:ascii="宋体" w:hAnsi="宋体" w:eastAsia="宋体" w:cs="宋体"/>
          <w:spacing w:val="-3"/>
          <w:sz w:val="24"/>
          <w:szCs w:val="24"/>
        </w:rPr>
        <w:t>本项目工程量清单中要求承包人以“总额</w:t>
      </w:r>
      <w:r>
        <w:rPr>
          <w:rFonts w:ascii="宋体" w:hAnsi="宋体" w:eastAsia="宋体" w:cs="宋体"/>
          <w:spacing w:val="-77"/>
          <w:sz w:val="24"/>
          <w:szCs w:val="24"/>
        </w:rPr>
        <w:t xml:space="preserve"> </w:t>
      </w:r>
      <w:r>
        <w:rPr>
          <w:rFonts w:ascii="宋体" w:hAnsi="宋体" w:eastAsia="宋体" w:cs="宋体"/>
          <w:spacing w:val="-3"/>
          <w:sz w:val="24"/>
          <w:szCs w:val="24"/>
        </w:rPr>
        <w:t>”方式报价的子目，各子目的支付原则和</w:t>
      </w:r>
    </w:p>
    <w:p>
      <w:pPr>
        <w:spacing w:before="182" w:line="468" w:lineRule="exact"/>
        <w:ind w:left="6"/>
        <w:rPr>
          <w:rFonts w:ascii="宋体" w:hAnsi="宋体" w:eastAsia="宋体" w:cs="宋体"/>
          <w:sz w:val="24"/>
          <w:szCs w:val="24"/>
        </w:rPr>
      </w:pPr>
      <w:r>
        <w:rPr>
          <w:rFonts w:ascii="宋体" w:hAnsi="宋体" w:eastAsia="宋体" w:cs="宋体"/>
          <w:spacing w:val="-1"/>
          <w:position w:val="17"/>
          <w:sz w:val="24"/>
          <w:szCs w:val="24"/>
        </w:rPr>
        <w:t>支付进度按本合同文件工程量清单计量规则中的规定执行。</w:t>
      </w:r>
    </w:p>
    <w:p>
      <w:pPr>
        <w:spacing w:line="218" w:lineRule="auto"/>
        <w:ind w:left="6"/>
        <w:rPr>
          <w:rFonts w:ascii="宋体" w:hAnsi="宋体" w:eastAsia="宋体" w:cs="宋体"/>
          <w:sz w:val="24"/>
          <w:szCs w:val="24"/>
        </w:rPr>
      </w:pPr>
      <w:r>
        <w:rPr>
          <w:rFonts w:ascii="宋体" w:hAnsi="宋体" w:eastAsia="宋体" w:cs="宋体"/>
          <w:spacing w:val="-3"/>
          <w:sz w:val="24"/>
          <w:szCs w:val="24"/>
        </w:rPr>
        <w:t>本款补充第</w:t>
      </w:r>
      <w:r>
        <w:rPr>
          <w:rFonts w:ascii="宋体" w:hAnsi="宋体" w:eastAsia="宋体" w:cs="宋体"/>
          <w:spacing w:val="-25"/>
          <w:sz w:val="24"/>
          <w:szCs w:val="24"/>
        </w:rPr>
        <w:t xml:space="preserve"> </w:t>
      </w:r>
      <w:r>
        <w:rPr>
          <w:rFonts w:ascii="宋体" w:hAnsi="宋体" w:eastAsia="宋体" w:cs="宋体"/>
          <w:spacing w:val="-3"/>
          <w:sz w:val="24"/>
          <w:szCs w:val="24"/>
        </w:rPr>
        <w:t>17.1.6-17.1.8</w:t>
      </w:r>
      <w:r>
        <w:rPr>
          <w:rFonts w:ascii="宋体" w:hAnsi="宋体" w:eastAsia="宋体" w:cs="宋体"/>
          <w:spacing w:val="-47"/>
          <w:sz w:val="24"/>
          <w:szCs w:val="24"/>
        </w:rPr>
        <w:t xml:space="preserve"> </w:t>
      </w:r>
      <w:r>
        <w:rPr>
          <w:rFonts w:ascii="宋体" w:hAnsi="宋体" w:eastAsia="宋体" w:cs="宋体"/>
          <w:spacing w:val="-3"/>
          <w:sz w:val="24"/>
          <w:szCs w:val="24"/>
        </w:rPr>
        <w:t>项：</w:t>
      </w:r>
    </w:p>
    <w:p>
      <w:pPr>
        <w:spacing w:before="182" w:line="219" w:lineRule="auto"/>
        <w:ind w:left="503"/>
        <w:rPr>
          <w:rFonts w:ascii="宋体" w:hAnsi="宋体" w:eastAsia="宋体" w:cs="宋体"/>
          <w:sz w:val="24"/>
          <w:szCs w:val="24"/>
        </w:rPr>
      </w:pPr>
      <w:r>
        <w:rPr>
          <w:rFonts w:ascii="宋体" w:hAnsi="宋体" w:eastAsia="宋体" w:cs="宋体"/>
          <w:spacing w:val="-3"/>
          <w:sz w:val="24"/>
          <w:szCs w:val="24"/>
        </w:rPr>
        <w:t>17.1.6</w:t>
      </w:r>
      <w:r>
        <w:rPr>
          <w:rFonts w:ascii="宋体" w:hAnsi="宋体" w:eastAsia="宋体" w:cs="宋体"/>
          <w:spacing w:val="-35"/>
          <w:sz w:val="24"/>
          <w:szCs w:val="24"/>
        </w:rPr>
        <w:t xml:space="preserve"> </w:t>
      </w:r>
      <w:r>
        <w:rPr>
          <w:rFonts w:ascii="宋体" w:hAnsi="宋体" w:eastAsia="宋体" w:cs="宋体"/>
          <w:spacing w:val="-3"/>
          <w:sz w:val="24"/>
          <w:szCs w:val="24"/>
        </w:rPr>
        <w:t>变更工程的暂定计量和支付</w:t>
      </w:r>
    </w:p>
    <w:p>
      <w:pPr>
        <w:spacing w:before="183" w:line="359" w:lineRule="auto"/>
        <w:ind w:left="7" w:right="291" w:firstLine="551"/>
        <w:rPr>
          <w:rFonts w:ascii="宋体" w:hAnsi="宋体" w:eastAsia="宋体" w:cs="宋体"/>
          <w:sz w:val="24"/>
          <w:szCs w:val="24"/>
        </w:rPr>
      </w:pPr>
      <w:r>
        <w:rPr>
          <w:rFonts w:ascii="宋体" w:hAnsi="宋体" w:eastAsia="宋体" w:cs="宋体"/>
          <w:spacing w:val="-4"/>
          <w:sz w:val="24"/>
          <w:szCs w:val="24"/>
        </w:rPr>
        <w:t>需报发包人上级主管部门审批的变更工程项目，在发包人审核完成而尚未获得上级</w:t>
      </w:r>
      <w:r>
        <w:rPr>
          <w:rFonts w:ascii="宋体" w:hAnsi="宋体" w:eastAsia="宋体" w:cs="宋体"/>
          <w:spacing w:val="7"/>
          <w:sz w:val="24"/>
          <w:szCs w:val="24"/>
        </w:rPr>
        <w:t xml:space="preserve"> </w:t>
      </w:r>
      <w:r>
        <w:rPr>
          <w:rFonts w:ascii="宋体" w:hAnsi="宋体" w:eastAsia="宋体" w:cs="宋体"/>
          <w:spacing w:val="-2"/>
          <w:sz w:val="24"/>
          <w:szCs w:val="24"/>
        </w:rPr>
        <w:t>主管部门审批时，可采用暂定计量，暂定计量金额不超过发包人审核后的合同变更金额</w:t>
      </w:r>
    </w:p>
    <w:p>
      <w:pPr>
        <w:spacing w:line="219" w:lineRule="auto"/>
        <w:ind w:left="25"/>
        <w:rPr>
          <w:rFonts w:ascii="宋体" w:hAnsi="宋体" w:eastAsia="宋体" w:cs="宋体"/>
          <w:sz w:val="24"/>
          <w:szCs w:val="24"/>
        </w:rPr>
      </w:pPr>
      <w:r>
        <w:rPr>
          <w:rFonts w:ascii="宋体" w:hAnsi="宋体" w:eastAsia="宋体" w:cs="宋体"/>
          <w:spacing w:val="-1"/>
          <w:sz w:val="24"/>
          <w:szCs w:val="24"/>
        </w:rPr>
        <w:t>的</w:t>
      </w:r>
      <w:r>
        <w:rPr>
          <w:rFonts w:ascii="宋体" w:hAnsi="宋体" w:eastAsia="宋体" w:cs="宋体"/>
          <w:spacing w:val="-50"/>
          <w:sz w:val="24"/>
          <w:szCs w:val="24"/>
        </w:rPr>
        <w:t xml:space="preserve"> </w:t>
      </w:r>
      <w:r>
        <w:rPr>
          <w:rFonts w:ascii="宋体" w:hAnsi="宋体" w:eastAsia="宋体" w:cs="宋体"/>
          <w:spacing w:val="-1"/>
          <w:sz w:val="24"/>
          <w:szCs w:val="24"/>
        </w:rPr>
        <w:t>85%。待上级主管部门审批后按审批结果进行实际计量，并扣回已暂计量的</w:t>
      </w:r>
      <w:r>
        <w:rPr>
          <w:rFonts w:ascii="宋体" w:hAnsi="宋体" w:eastAsia="宋体" w:cs="宋体"/>
          <w:spacing w:val="-2"/>
          <w:sz w:val="24"/>
          <w:szCs w:val="24"/>
        </w:rPr>
        <w:t>金额。</w:t>
      </w:r>
    </w:p>
    <w:p>
      <w:pPr>
        <w:spacing w:before="181" w:line="219" w:lineRule="auto"/>
        <w:ind w:left="503"/>
        <w:rPr>
          <w:rFonts w:ascii="宋体" w:hAnsi="宋体" w:eastAsia="宋体" w:cs="宋体"/>
          <w:sz w:val="24"/>
          <w:szCs w:val="24"/>
        </w:rPr>
      </w:pPr>
      <w:r>
        <w:rPr>
          <w:rFonts w:ascii="宋体" w:hAnsi="宋体" w:eastAsia="宋体" w:cs="宋体"/>
          <w:spacing w:val="-3"/>
          <w:sz w:val="24"/>
          <w:szCs w:val="24"/>
        </w:rPr>
        <w:t>17.1.7</w:t>
      </w:r>
      <w:r>
        <w:rPr>
          <w:rFonts w:ascii="宋体" w:hAnsi="宋体" w:eastAsia="宋体" w:cs="宋体"/>
          <w:spacing w:val="-38"/>
          <w:sz w:val="24"/>
          <w:szCs w:val="24"/>
        </w:rPr>
        <w:t xml:space="preserve"> </w:t>
      </w:r>
      <w:r>
        <w:rPr>
          <w:rFonts w:ascii="宋体" w:hAnsi="宋体" w:eastAsia="宋体" w:cs="宋体"/>
          <w:spacing w:val="-3"/>
          <w:sz w:val="24"/>
          <w:szCs w:val="24"/>
        </w:rPr>
        <w:t>路面备料款的计量和支付</w:t>
      </w:r>
    </w:p>
    <w:p>
      <w:pPr>
        <w:spacing w:before="182" w:line="219" w:lineRule="auto"/>
        <w:ind w:left="549"/>
        <w:rPr>
          <w:rFonts w:ascii="宋体" w:hAnsi="宋体" w:eastAsia="宋体" w:cs="宋体"/>
          <w:sz w:val="24"/>
          <w:szCs w:val="24"/>
        </w:rPr>
      </w:pPr>
      <w:r>
        <w:rPr>
          <w:rFonts w:ascii="宋体" w:hAnsi="宋体" w:eastAsia="宋体" w:cs="宋体"/>
          <w:sz w:val="24"/>
          <w:szCs w:val="24"/>
        </w:rPr>
        <w:t>发包人将对承包人的路面碎石、机制砂备料款进</w:t>
      </w:r>
      <w:r>
        <w:rPr>
          <w:rFonts w:ascii="宋体" w:hAnsi="宋体" w:eastAsia="宋体" w:cs="宋体"/>
          <w:spacing w:val="-1"/>
          <w:sz w:val="24"/>
          <w:szCs w:val="24"/>
        </w:rPr>
        <w:t>行暂定计量，具体操作办法如下：</w:t>
      </w:r>
    </w:p>
    <w:p>
      <w:pPr>
        <w:spacing w:before="182" w:line="468" w:lineRule="exact"/>
        <w:ind w:left="556"/>
        <w:rPr>
          <w:rFonts w:ascii="宋体" w:hAnsi="宋体" w:eastAsia="宋体" w:cs="宋体"/>
          <w:sz w:val="24"/>
          <w:szCs w:val="24"/>
        </w:rPr>
      </w:pPr>
      <w:r>
        <w:rPr>
          <w:rFonts w:ascii="宋体" w:hAnsi="宋体" w:eastAsia="宋体" w:cs="宋体"/>
          <w:spacing w:val="-1"/>
          <w:position w:val="17"/>
          <w:sz w:val="24"/>
          <w:szCs w:val="24"/>
        </w:rPr>
        <w:t>（1）计量数量：以承包人实际进场并经监理人和发包人代表验收确认数量的项目</w:t>
      </w:r>
    </w:p>
    <w:p>
      <w:pPr>
        <w:spacing w:line="219" w:lineRule="auto"/>
        <w:ind w:left="6"/>
        <w:rPr>
          <w:rFonts w:ascii="宋体" w:hAnsi="宋体" w:eastAsia="宋体" w:cs="宋体"/>
          <w:sz w:val="24"/>
          <w:szCs w:val="24"/>
        </w:rPr>
      </w:pPr>
      <w:r>
        <w:rPr>
          <w:rFonts w:ascii="宋体" w:hAnsi="宋体" w:eastAsia="宋体" w:cs="宋体"/>
          <w:spacing w:val="-1"/>
          <w:sz w:val="24"/>
          <w:szCs w:val="24"/>
        </w:rPr>
        <w:t>专用合同条款数据表约定的比例计；</w:t>
      </w:r>
    </w:p>
    <w:p>
      <w:pPr>
        <w:spacing w:before="183" w:line="466" w:lineRule="exact"/>
        <w:ind w:left="556"/>
        <w:rPr>
          <w:rFonts w:ascii="宋体" w:hAnsi="宋体" w:eastAsia="宋体" w:cs="宋体"/>
          <w:sz w:val="24"/>
          <w:szCs w:val="24"/>
        </w:rPr>
      </w:pPr>
      <w:r>
        <w:rPr>
          <w:rFonts w:ascii="宋体" w:hAnsi="宋体" w:eastAsia="宋体" w:cs="宋体"/>
          <w:spacing w:val="-1"/>
          <w:position w:val="17"/>
          <w:sz w:val="24"/>
          <w:szCs w:val="24"/>
        </w:rPr>
        <w:t>（2）计量单价：本合同段招标最高投标限价清单预算采用的相应规格材料预算价</w:t>
      </w:r>
    </w:p>
    <w:p>
      <w:pPr>
        <w:spacing w:line="219" w:lineRule="auto"/>
        <w:ind w:left="16"/>
        <w:rPr>
          <w:rFonts w:ascii="宋体" w:hAnsi="宋体" w:eastAsia="宋体" w:cs="宋体"/>
          <w:sz w:val="24"/>
          <w:szCs w:val="24"/>
        </w:rPr>
      </w:pPr>
      <w:r>
        <w:rPr>
          <w:rFonts w:ascii="宋体" w:hAnsi="宋体" w:eastAsia="宋体" w:cs="宋体"/>
          <w:spacing w:val="-3"/>
          <w:sz w:val="24"/>
          <w:szCs w:val="24"/>
        </w:rPr>
        <w:t>（</w:t>
      </w:r>
      <w:r>
        <w:rPr>
          <w:rFonts w:ascii="宋体" w:hAnsi="宋体" w:eastAsia="宋体" w:cs="宋体"/>
          <w:spacing w:val="-3"/>
          <w:sz w:val="24"/>
          <w:szCs w:val="24"/>
          <w:u w:val="single" w:color="auto"/>
        </w:rPr>
        <w:t>含税/不含税</w:t>
      </w:r>
      <w:r>
        <w:rPr>
          <w:rFonts w:ascii="宋体" w:hAnsi="宋体" w:eastAsia="宋体" w:cs="宋体"/>
          <w:sz w:val="24"/>
          <w:szCs w:val="24"/>
        </w:rPr>
        <w:t>）；</w:t>
      </w:r>
    </w:p>
    <w:p>
      <w:pPr>
        <w:spacing w:before="183" w:line="219" w:lineRule="auto"/>
        <w:ind w:left="556"/>
        <w:rPr>
          <w:rFonts w:ascii="宋体" w:hAnsi="宋体" w:eastAsia="宋体" w:cs="宋体"/>
          <w:sz w:val="24"/>
          <w:szCs w:val="24"/>
        </w:rPr>
      </w:pPr>
      <w:r>
        <w:rPr>
          <w:rFonts w:ascii="宋体" w:hAnsi="宋体" w:eastAsia="宋体" w:cs="宋体"/>
          <w:spacing w:val="-2"/>
          <w:sz w:val="24"/>
          <w:szCs w:val="24"/>
        </w:rPr>
        <w:t>（3）计量方式：每月计量一次；</w:t>
      </w:r>
    </w:p>
    <w:p>
      <w:pPr>
        <w:spacing w:before="181" w:line="466" w:lineRule="exact"/>
        <w:ind w:left="556"/>
        <w:rPr>
          <w:rFonts w:ascii="宋体" w:hAnsi="宋体" w:eastAsia="宋体" w:cs="宋体"/>
          <w:sz w:val="24"/>
          <w:szCs w:val="24"/>
        </w:rPr>
      </w:pPr>
      <w:r>
        <w:rPr>
          <w:rFonts w:ascii="宋体" w:hAnsi="宋体" w:eastAsia="宋体" w:cs="宋体"/>
          <w:spacing w:val="-1"/>
          <w:position w:val="17"/>
          <w:sz w:val="24"/>
          <w:szCs w:val="24"/>
        </w:rPr>
        <w:t>（4）暂定计量备料款的扣回：承包人所备的碎石、机制砂材料已用于路面施工并</w:t>
      </w:r>
    </w:p>
    <w:p>
      <w:pPr>
        <w:spacing w:line="219" w:lineRule="auto"/>
        <w:ind w:left="6"/>
        <w:rPr>
          <w:rFonts w:ascii="宋体" w:hAnsi="宋体" w:eastAsia="宋体" w:cs="宋体"/>
          <w:sz w:val="24"/>
          <w:szCs w:val="24"/>
        </w:rPr>
      </w:pPr>
      <w:r>
        <w:rPr>
          <w:rFonts w:ascii="宋体" w:hAnsi="宋体" w:eastAsia="宋体" w:cs="宋体"/>
          <w:spacing w:val="-1"/>
          <w:sz w:val="24"/>
          <w:szCs w:val="24"/>
        </w:rPr>
        <w:t>得到正常计量后，发包人将在计量当期扣回对应的暂定计量备料款。</w:t>
      </w:r>
    </w:p>
    <w:p>
      <w:pPr>
        <w:spacing w:before="183" w:line="219" w:lineRule="auto"/>
        <w:ind w:left="503"/>
        <w:rPr>
          <w:rFonts w:ascii="宋体" w:hAnsi="宋体" w:eastAsia="宋体" w:cs="宋体"/>
          <w:sz w:val="24"/>
          <w:szCs w:val="24"/>
        </w:rPr>
      </w:pPr>
      <w:r>
        <w:rPr>
          <w:rFonts w:ascii="宋体" w:hAnsi="宋体" w:eastAsia="宋体" w:cs="宋体"/>
          <w:spacing w:val="-3"/>
          <w:sz w:val="24"/>
          <w:szCs w:val="24"/>
        </w:rPr>
        <w:t>17.1.8</w:t>
      </w:r>
      <w:r>
        <w:rPr>
          <w:rFonts w:ascii="宋体" w:hAnsi="宋体" w:eastAsia="宋体" w:cs="宋体"/>
          <w:spacing w:val="-41"/>
          <w:sz w:val="24"/>
          <w:szCs w:val="24"/>
        </w:rPr>
        <w:t xml:space="preserve"> </w:t>
      </w:r>
      <w:r>
        <w:rPr>
          <w:rFonts w:ascii="宋体" w:hAnsi="宋体" w:eastAsia="宋体" w:cs="宋体"/>
          <w:spacing w:val="-3"/>
          <w:sz w:val="24"/>
          <w:szCs w:val="24"/>
        </w:rPr>
        <w:t>过程结算的计量和支付</w:t>
      </w:r>
    </w:p>
    <w:p>
      <w:pPr>
        <w:spacing w:before="182" w:line="359" w:lineRule="auto"/>
        <w:ind w:left="6" w:right="230" w:firstLine="542"/>
        <w:rPr>
          <w:rFonts w:ascii="宋体" w:hAnsi="宋体" w:eastAsia="宋体" w:cs="宋体"/>
          <w:sz w:val="24"/>
          <w:szCs w:val="24"/>
        </w:rPr>
      </w:pPr>
      <w:r>
        <w:rPr>
          <w:rFonts w:ascii="宋体" w:hAnsi="宋体" w:eastAsia="宋体" w:cs="宋体"/>
          <w:spacing w:val="-4"/>
          <w:sz w:val="24"/>
          <w:szCs w:val="24"/>
        </w:rPr>
        <w:t>发包人制定过程结算制度并明确有关过程结算的计量支付规则，未按要求完成过程</w:t>
      </w:r>
      <w:r>
        <w:rPr>
          <w:rFonts w:ascii="宋体" w:hAnsi="宋体" w:eastAsia="宋体" w:cs="宋体"/>
          <w:spacing w:val="16"/>
          <w:sz w:val="24"/>
          <w:szCs w:val="24"/>
        </w:rPr>
        <w:t xml:space="preserve"> </w:t>
      </w:r>
      <w:r>
        <w:rPr>
          <w:rFonts w:ascii="宋体" w:hAnsi="宋体" w:eastAsia="宋体" w:cs="宋体"/>
          <w:spacing w:val="-2"/>
          <w:sz w:val="24"/>
          <w:szCs w:val="24"/>
        </w:rPr>
        <w:t>结算的费用项，最高支付金额不宜超过建设单位审核确认的 97%，过程结算完成后方可</w:t>
      </w:r>
      <w:r>
        <w:rPr>
          <w:rFonts w:ascii="宋体" w:hAnsi="宋体" w:eastAsia="宋体" w:cs="宋体"/>
          <w:spacing w:val="15"/>
          <w:sz w:val="24"/>
          <w:szCs w:val="24"/>
        </w:rPr>
        <w:t xml:space="preserve"> </w:t>
      </w:r>
      <w:r>
        <w:rPr>
          <w:rFonts w:ascii="宋体" w:hAnsi="宋体" w:eastAsia="宋体" w:cs="宋体"/>
          <w:spacing w:val="-5"/>
          <w:sz w:val="24"/>
          <w:szCs w:val="24"/>
        </w:rPr>
        <w:t>支付余下金额。完工结算率低于</w:t>
      </w:r>
      <w:r>
        <w:rPr>
          <w:rFonts w:ascii="宋体" w:hAnsi="宋体" w:eastAsia="宋体" w:cs="宋体"/>
          <w:spacing w:val="-43"/>
          <w:sz w:val="24"/>
          <w:szCs w:val="24"/>
        </w:rPr>
        <w:t xml:space="preserve"> </w:t>
      </w:r>
      <w:r>
        <w:rPr>
          <w:rFonts w:ascii="宋体" w:hAnsi="宋体" w:eastAsia="宋体" w:cs="宋体"/>
          <w:spacing w:val="-5"/>
          <w:sz w:val="24"/>
          <w:szCs w:val="24"/>
        </w:rPr>
        <w:t>30%的，在后续计量支付中可暂扣工程进度款一定比例，</w:t>
      </w:r>
    </w:p>
    <w:p>
      <w:pPr>
        <w:spacing w:before="1" w:line="219" w:lineRule="auto"/>
        <w:ind w:left="10"/>
        <w:rPr>
          <w:rFonts w:ascii="宋体" w:hAnsi="宋体" w:eastAsia="宋体" w:cs="宋体"/>
          <w:sz w:val="24"/>
          <w:szCs w:val="24"/>
        </w:rPr>
      </w:pPr>
      <w:r>
        <w:rPr>
          <w:rFonts w:ascii="宋体" w:hAnsi="宋体" w:eastAsia="宋体" w:cs="宋体"/>
          <w:spacing w:val="-2"/>
          <w:sz w:val="24"/>
          <w:szCs w:val="24"/>
        </w:rPr>
        <w:t>具体在过程结算条款中明确。</w:t>
      </w:r>
    </w:p>
    <w:p>
      <w:pPr>
        <w:spacing w:before="183" w:line="219" w:lineRule="auto"/>
        <w:ind w:left="503"/>
        <w:rPr>
          <w:rFonts w:ascii="宋体" w:hAnsi="宋体" w:eastAsia="宋体" w:cs="宋体"/>
          <w:sz w:val="24"/>
          <w:szCs w:val="24"/>
        </w:rPr>
      </w:pPr>
      <w:r>
        <w:rPr>
          <w:rFonts w:ascii="宋体" w:hAnsi="宋体" w:eastAsia="宋体" w:cs="宋体"/>
          <w:spacing w:val="-6"/>
          <w:sz w:val="24"/>
          <w:szCs w:val="24"/>
        </w:rPr>
        <w:t>17.2</w:t>
      </w:r>
      <w:r>
        <w:rPr>
          <w:rFonts w:ascii="宋体" w:hAnsi="宋体" w:eastAsia="宋体" w:cs="宋体"/>
          <w:spacing w:val="13"/>
          <w:sz w:val="24"/>
          <w:szCs w:val="24"/>
        </w:rPr>
        <w:t xml:space="preserve"> </w:t>
      </w:r>
      <w:r>
        <w:rPr>
          <w:rFonts w:ascii="宋体" w:hAnsi="宋体" w:eastAsia="宋体" w:cs="宋体"/>
          <w:spacing w:val="-6"/>
          <w:sz w:val="24"/>
          <w:szCs w:val="24"/>
        </w:rPr>
        <w:t>预付款</w:t>
      </w:r>
    </w:p>
    <w:p>
      <w:pPr>
        <w:spacing w:before="184" w:line="288" w:lineRule="auto"/>
        <w:ind w:left="486" w:right="5879" w:firstLine="16"/>
        <w:rPr>
          <w:rFonts w:ascii="宋体" w:hAnsi="宋体" w:eastAsia="宋体" w:cs="宋体"/>
          <w:sz w:val="24"/>
          <w:szCs w:val="24"/>
        </w:rPr>
      </w:pPr>
      <w:r>
        <w:rPr>
          <w:rFonts w:ascii="宋体" w:hAnsi="宋体" w:eastAsia="宋体" w:cs="宋体"/>
          <w:spacing w:val="-2"/>
          <w:sz w:val="24"/>
          <w:szCs w:val="24"/>
        </w:rPr>
        <w:t>17.2.3 预付款的扣回与还清</w:t>
      </w:r>
      <w:r>
        <w:rPr>
          <w:rFonts w:ascii="宋体" w:hAnsi="宋体" w:eastAsia="宋体" w:cs="宋体"/>
          <w:spacing w:val="3"/>
          <w:sz w:val="24"/>
          <w:szCs w:val="24"/>
        </w:rPr>
        <w:t xml:space="preserve"> </w:t>
      </w:r>
      <w:r>
        <w:rPr>
          <w:rFonts w:ascii="宋体" w:hAnsi="宋体" w:eastAsia="宋体" w:cs="宋体"/>
          <w:spacing w:val="-1"/>
          <w:sz w:val="24"/>
          <w:szCs w:val="24"/>
        </w:rPr>
        <w:t>本款补充第(3)目如下：</w:t>
      </w:r>
    </w:p>
    <w:p>
      <w:pPr>
        <w:spacing w:before="182" w:line="219" w:lineRule="auto"/>
        <w:ind w:left="587"/>
        <w:rPr>
          <w:rFonts w:ascii="宋体" w:hAnsi="宋体" w:eastAsia="宋体" w:cs="宋体"/>
          <w:sz w:val="24"/>
          <w:szCs w:val="24"/>
        </w:rPr>
      </w:pPr>
      <w:r>
        <w:rPr>
          <w:rFonts w:ascii="宋体" w:hAnsi="宋体" w:eastAsia="宋体" w:cs="宋体"/>
          <w:spacing w:val="-1"/>
          <w:sz w:val="24"/>
          <w:szCs w:val="24"/>
        </w:rPr>
        <w:t>(3) 如有需要，发包人可根据实际情况制定更符</w:t>
      </w:r>
      <w:r>
        <w:rPr>
          <w:rFonts w:ascii="宋体" w:hAnsi="宋体" w:eastAsia="宋体" w:cs="宋体"/>
          <w:spacing w:val="-2"/>
          <w:sz w:val="24"/>
          <w:szCs w:val="24"/>
        </w:rPr>
        <w:t>合工程需要的预付款月扣款比例。</w:t>
      </w:r>
    </w:p>
    <w:p>
      <w:pPr>
        <w:spacing w:before="183" w:line="219" w:lineRule="auto"/>
        <w:ind w:left="503"/>
        <w:rPr>
          <w:rFonts w:ascii="宋体" w:hAnsi="宋体" w:eastAsia="宋体" w:cs="宋体"/>
          <w:sz w:val="24"/>
          <w:szCs w:val="24"/>
        </w:rPr>
      </w:pPr>
      <w:r>
        <w:rPr>
          <w:rFonts w:ascii="宋体" w:hAnsi="宋体" w:eastAsia="宋体" w:cs="宋体"/>
          <w:spacing w:val="-3"/>
          <w:sz w:val="24"/>
          <w:szCs w:val="24"/>
        </w:rPr>
        <w:t>17.3 工程进度付款</w:t>
      </w:r>
    </w:p>
    <w:p>
      <w:pPr>
        <w:spacing w:line="406" w:lineRule="auto"/>
        <w:rPr>
          <w:rFonts w:ascii="Arial"/>
          <w:sz w:val="21"/>
        </w:rPr>
      </w:pPr>
      <w:r>
        <mc:AlternateContent>
          <mc:Choice Requires="wps">
            <w:drawing>
              <wp:anchor distT="0" distB="0" distL="114300" distR="114300" simplePos="0" relativeHeight="251673600" behindDoc="0" locked="0" layoutInCell="0" allowOverlap="1">
                <wp:simplePos x="0" y="0"/>
                <wp:positionH relativeFrom="page">
                  <wp:posOffset>899795</wp:posOffset>
                </wp:positionH>
                <wp:positionV relativeFrom="page">
                  <wp:posOffset>9418955</wp:posOffset>
                </wp:positionV>
                <wp:extent cx="1828800" cy="0"/>
                <wp:effectExtent l="4445" t="4445" r="5080" b="5080"/>
                <wp:wrapNone/>
                <wp:docPr id="92" name="任意多边形 92"/>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41.65pt;height:0pt;width:144pt;mso-position-horizontal-relative:page;mso-position-vertical-relative:page;z-index:251673600;mso-width-relative:page;mso-height-relative:page;" filled="f" stroked="t" coordsize="2880,1" o:allowincell="f" o:gfxdata="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oxPcXWAAAADQEAAA8AAAAAAAAAAQAgAAAAIgAAAGRycy9kb3ducmV2LnhtbFBLAQIUABQAAAAI&#10;AIdO4kDzW+4jKAIAAIkEAAAOAAAAAAAAAAEAIAAAACUBAABkcnMvZTJvRG9jLnhtbFBLBQYAAAAA&#10;BgAGAFkBAAC/BQAAAAA=&#10;" path="m0,0l2880,0e">
                <v:fill on="f" focussize="0,0"/>
                <v:stroke weight="0pt" color="#000000" joinstyle="bevel" endcap="square"/>
                <v:imagedata o:title=""/>
                <o:lock v:ext="edit" aspectratio="f"/>
              </v:shape>
            </w:pict>
          </mc:Fallback>
        </mc:AlternateContent>
      </w:r>
    </w:p>
    <w:p>
      <w:pPr>
        <w:spacing w:before="78" w:line="485" w:lineRule="exact"/>
        <w:ind w:left="506"/>
        <w:rPr>
          <w:rFonts w:ascii="宋体" w:hAnsi="宋体" w:eastAsia="宋体" w:cs="宋体"/>
          <w:sz w:val="12"/>
          <w:szCs w:val="12"/>
        </w:rPr>
      </w:pPr>
      <w:r>
        <w:rPr>
          <w:rFonts w:ascii="宋体" w:hAnsi="宋体" w:eastAsia="宋体" w:cs="宋体"/>
          <w:spacing w:val="-4"/>
          <w:position w:val="17"/>
          <w:sz w:val="24"/>
          <w:szCs w:val="24"/>
        </w:rPr>
        <w:t>17.3.1</w:t>
      </w:r>
      <w:r>
        <w:rPr>
          <w:rFonts w:ascii="宋体" w:hAnsi="宋体" w:eastAsia="宋体" w:cs="宋体"/>
          <w:spacing w:val="-45"/>
          <w:position w:val="17"/>
          <w:sz w:val="24"/>
          <w:szCs w:val="24"/>
        </w:rPr>
        <w:t xml:space="preserve"> </w:t>
      </w:r>
      <w:r>
        <w:rPr>
          <w:rFonts w:ascii="宋体" w:hAnsi="宋体" w:eastAsia="宋体" w:cs="宋体"/>
          <w:spacing w:val="-4"/>
          <w:position w:val="17"/>
          <w:sz w:val="24"/>
          <w:szCs w:val="24"/>
        </w:rPr>
        <w:t>付款周期</w:t>
      </w:r>
      <w:r>
        <w:fldChar w:fldCharType="begin"/>
      </w:r>
      <w:r>
        <w:instrText xml:space="preserve"> HYPERLINK \l "bookmark165" </w:instrText>
      </w:r>
      <w:r>
        <w:fldChar w:fldCharType="separate"/>
      </w:r>
      <w:r>
        <w:rPr>
          <w:rFonts w:ascii="宋体" w:hAnsi="宋体" w:eastAsia="宋体" w:cs="宋体"/>
          <w:spacing w:val="-4"/>
          <w:position w:val="28"/>
          <w:sz w:val="12"/>
          <w:szCs w:val="12"/>
        </w:rPr>
        <w:t>①</w:t>
      </w:r>
      <w:r>
        <w:rPr>
          <w:rFonts w:ascii="宋体" w:hAnsi="宋体" w:eastAsia="宋体" w:cs="宋体"/>
          <w:spacing w:val="-4"/>
          <w:position w:val="28"/>
          <w:sz w:val="12"/>
          <w:szCs w:val="12"/>
        </w:rPr>
        <w:fldChar w:fldCharType="end"/>
      </w:r>
    </w:p>
    <w:p>
      <w:pPr>
        <w:spacing w:line="218" w:lineRule="auto"/>
        <w:ind w:left="530"/>
        <w:rPr>
          <w:rFonts w:ascii="宋体" w:hAnsi="宋体" w:eastAsia="宋体" w:cs="宋体"/>
          <w:sz w:val="24"/>
          <w:szCs w:val="24"/>
        </w:rPr>
      </w:pPr>
      <w:r>
        <w:rPr>
          <w:rFonts w:ascii="宋体" w:hAnsi="宋体" w:eastAsia="宋体" w:cs="宋体"/>
          <w:spacing w:val="9"/>
          <w:sz w:val="24"/>
          <w:szCs w:val="24"/>
        </w:rPr>
        <w:t>本项补充：</w:t>
      </w:r>
    </w:p>
    <w:p>
      <w:pPr>
        <w:spacing w:before="182" w:line="359" w:lineRule="auto"/>
        <w:ind w:left="28" w:right="66" w:firstLine="504"/>
        <w:rPr>
          <w:rFonts w:ascii="宋体" w:hAnsi="宋体" w:eastAsia="宋体" w:cs="宋体"/>
          <w:sz w:val="24"/>
          <w:szCs w:val="24"/>
        </w:rPr>
      </w:pPr>
      <w:r>
        <w:rPr>
          <w:rFonts w:ascii="宋体" w:hAnsi="宋体" w:eastAsia="宋体" w:cs="宋体"/>
          <w:spacing w:val="15"/>
          <w:sz w:val="24"/>
          <w:szCs w:val="24"/>
        </w:rPr>
        <w:t>发包人根据工程进度需要，可在一个计量周期内实行“</w:t>
      </w:r>
      <w:r>
        <w:rPr>
          <w:rFonts w:ascii="宋体" w:hAnsi="宋体" w:eastAsia="宋体" w:cs="宋体"/>
          <w:spacing w:val="-86"/>
          <w:sz w:val="24"/>
          <w:szCs w:val="24"/>
        </w:rPr>
        <w:t xml:space="preserve"> </w:t>
      </w:r>
      <w:r>
        <w:rPr>
          <w:rFonts w:ascii="宋体" w:hAnsi="宋体" w:eastAsia="宋体" w:cs="宋体"/>
          <w:spacing w:val="15"/>
          <w:sz w:val="24"/>
          <w:szCs w:val="24"/>
        </w:rPr>
        <w:t>一次计量、两次支付</w:t>
      </w:r>
      <w:r>
        <w:rPr>
          <w:rFonts w:ascii="宋体" w:hAnsi="宋体" w:eastAsia="宋体" w:cs="宋体"/>
          <w:spacing w:val="-67"/>
          <w:sz w:val="24"/>
          <w:szCs w:val="24"/>
        </w:rPr>
        <w:t xml:space="preserve"> </w:t>
      </w:r>
      <w:r>
        <w:rPr>
          <w:rFonts w:ascii="宋体" w:hAnsi="宋体" w:eastAsia="宋体" w:cs="宋体"/>
          <w:spacing w:val="15"/>
          <w:sz w:val="24"/>
          <w:szCs w:val="24"/>
        </w:rPr>
        <w:t>”</w:t>
      </w:r>
      <w:r>
        <w:rPr>
          <w:rFonts w:ascii="宋体" w:hAnsi="宋体" w:eastAsia="宋体" w:cs="宋体"/>
          <w:sz w:val="24"/>
          <w:szCs w:val="24"/>
        </w:rPr>
        <w:t xml:space="preserve"> </w:t>
      </w:r>
      <w:r>
        <w:rPr>
          <w:rFonts w:ascii="宋体" w:hAnsi="宋体" w:eastAsia="宋体" w:cs="宋体"/>
          <w:spacing w:val="15"/>
          <w:sz w:val="24"/>
          <w:szCs w:val="24"/>
        </w:rPr>
        <w:t>的方式</w:t>
      </w:r>
      <w:r>
        <w:rPr>
          <w:rFonts w:ascii="宋体" w:hAnsi="宋体" w:eastAsia="宋体" w:cs="宋体"/>
          <w:spacing w:val="-72"/>
          <w:sz w:val="24"/>
          <w:szCs w:val="24"/>
        </w:rPr>
        <w:t xml:space="preserve"> </w:t>
      </w:r>
      <w:r>
        <w:rPr>
          <w:rFonts w:ascii="宋体" w:hAnsi="宋体" w:eastAsia="宋体" w:cs="宋体"/>
          <w:spacing w:val="15"/>
          <w:sz w:val="24"/>
          <w:szCs w:val="24"/>
        </w:rPr>
        <w:t>，即在承包人上报月计量报表经监理人审核后</w:t>
      </w:r>
      <w:r>
        <w:rPr>
          <w:rFonts w:ascii="宋体" w:hAnsi="宋体" w:eastAsia="宋体" w:cs="宋体"/>
          <w:spacing w:val="-69"/>
          <w:sz w:val="24"/>
          <w:szCs w:val="24"/>
        </w:rPr>
        <w:t xml:space="preserve"> </w:t>
      </w:r>
      <w:r>
        <w:rPr>
          <w:rFonts w:ascii="宋体" w:hAnsi="宋体" w:eastAsia="宋体" w:cs="宋体"/>
          <w:spacing w:val="15"/>
          <w:sz w:val="24"/>
          <w:szCs w:val="24"/>
        </w:rPr>
        <w:t>，发包</w:t>
      </w:r>
      <w:r>
        <w:rPr>
          <w:rFonts w:ascii="宋体" w:hAnsi="宋体" w:eastAsia="宋体" w:cs="宋体"/>
          <w:spacing w:val="14"/>
          <w:sz w:val="24"/>
          <w:szCs w:val="24"/>
        </w:rPr>
        <w:t>人暂按当期计量金额</w:t>
      </w:r>
      <w:r>
        <w:rPr>
          <w:rFonts w:ascii="宋体" w:hAnsi="宋体" w:eastAsia="宋体" w:cs="宋体"/>
          <w:sz w:val="24"/>
          <w:szCs w:val="24"/>
        </w:rPr>
        <w:t xml:space="preserve">   </w:t>
      </w:r>
      <w:r>
        <w:rPr>
          <w:rFonts w:ascii="宋体" w:hAnsi="宋体" w:eastAsia="宋体" w:cs="宋体"/>
          <w:spacing w:val="15"/>
          <w:sz w:val="24"/>
          <w:szCs w:val="24"/>
        </w:rPr>
        <w:t>的</w:t>
      </w:r>
      <w:r>
        <w:rPr>
          <w:rFonts w:ascii="宋体" w:hAnsi="宋体" w:eastAsia="宋体" w:cs="宋体"/>
          <w:spacing w:val="-19"/>
          <w:sz w:val="24"/>
          <w:szCs w:val="24"/>
        </w:rPr>
        <w:t xml:space="preserve"> </w:t>
      </w:r>
      <w:r>
        <w:rPr>
          <w:rFonts w:ascii="宋体" w:hAnsi="宋体" w:eastAsia="宋体" w:cs="宋体"/>
          <w:spacing w:val="15"/>
          <w:sz w:val="24"/>
          <w:szCs w:val="24"/>
        </w:rPr>
        <w:t>50%进行第一次支付</w:t>
      </w:r>
      <w:r>
        <w:rPr>
          <w:rFonts w:ascii="宋体" w:hAnsi="宋体" w:eastAsia="宋体" w:cs="宋体"/>
          <w:spacing w:val="-70"/>
          <w:sz w:val="24"/>
          <w:szCs w:val="24"/>
        </w:rPr>
        <w:t xml:space="preserve"> </w:t>
      </w:r>
      <w:r>
        <w:rPr>
          <w:rFonts w:ascii="宋体" w:hAnsi="宋体" w:eastAsia="宋体" w:cs="宋体"/>
          <w:spacing w:val="15"/>
          <w:sz w:val="24"/>
          <w:szCs w:val="24"/>
        </w:rPr>
        <w:t>，待月计量报表审核流程结束后</w:t>
      </w:r>
      <w:r>
        <w:rPr>
          <w:rFonts w:ascii="宋体" w:hAnsi="宋体" w:eastAsia="宋体" w:cs="宋体"/>
          <w:spacing w:val="-69"/>
          <w:sz w:val="24"/>
          <w:szCs w:val="24"/>
        </w:rPr>
        <w:t xml:space="preserve"> </w:t>
      </w:r>
      <w:r>
        <w:rPr>
          <w:rFonts w:ascii="宋体" w:hAnsi="宋体" w:eastAsia="宋体" w:cs="宋体"/>
          <w:spacing w:val="15"/>
          <w:sz w:val="24"/>
          <w:szCs w:val="24"/>
        </w:rPr>
        <w:t>，发包人</w:t>
      </w:r>
      <w:r>
        <w:rPr>
          <w:rFonts w:ascii="宋体" w:hAnsi="宋体" w:eastAsia="宋体" w:cs="宋体"/>
          <w:spacing w:val="14"/>
          <w:sz w:val="24"/>
          <w:szCs w:val="24"/>
        </w:rPr>
        <w:t>根据审批的付款</w:t>
      </w:r>
    </w:p>
    <w:p>
      <w:pPr>
        <w:spacing w:line="218" w:lineRule="auto"/>
        <w:ind w:left="8"/>
        <w:rPr>
          <w:rFonts w:ascii="宋体" w:hAnsi="宋体" w:eastAsia="宋体" w:cs="宋体"/>
          <w:sz w:val="24"/>
          <w:szCs w:val="24"/>
        </w:rPr>
      </w:pPr>
      <w:r>
        <w:rPr>
          <w:rFonts w:ascii="宋体" w:hAnsi="宋体" w:eastAsia="宋体" w:cs="宋体"/>
          <w:spacing w:val="17"/>
          <w:sz w:val="24"/>
          <w:szCs w:val="24"/>
        </w:rPr>
        <w:t>证书进行第二次支付</w:t>
      </w:r>
      <w:r>
        <w:rPr>
          <w:rFonts w:ascii="宋体" w:hAnsi="宋体" w:eastAsia="宋体" w:cs="宋体"/>
          <w:spacing w:val="-67"/>
          <w:sz w:val="24"/>
          <w:szCs w:val="24"/>
        </w:rPr>
        <w:t xml:space="preserve"> </w:t>
      </w:r>
      <w:r>
        <w:rPr>
          <w:rFonts w:ascii="宋体" w:hAnsi="宋体" w:eastAsia="宋体" w:cs="宋体"/>
          <w:spacing w:val="17"/>
          <w:sz w:val="24"/>
          <w:szCs w:val="24"/>
        </w:rPr>
        <w:t>，并扣回第一次的暂定支付金额</w:t>
      </w:r>
      <w:r>
        <w:rPr>
          <w:rFonts w:ascii="宋体" w:hAnsi="宋体" w:eastAsia="宋体" w:cs="宋体"/>
          <w:spacing w:val="-65"/>
          <w:sz w:val="24"/>
          <w:szCs w:val="24"/>
        </w:rPr>
        <w:t xml:space="preserve"> </w:t>
      </w:r>
      <w:r>
        <w:rPr>
          <w:rFonts w:ascii="宋体" w:hAnsi="宋体" w:eastAsia="宋体" w:cs="宋体"/>
          <w:spacing w:val="17"/>
          <w:sz w:val="24"/>
          <w:szCs w:val="24"/>
        </w:rPr>
        <w:t>。</w:t>
      </w:r>
      <w:r>
        <w:rPr>
          <w:rFonts w:ascii="宋体" w:hAnsi="宋体" w:eastAsia="宋体" w:cs="宋体"/>
          <w:spacing w:val="-69"/>
          <w:sz w:val="24"/>
          <w:szCs w:val="24"/>
        </w:rPr>
        <w:t xml:space="preserve"> </w:t>
      </w:r>
      <w:r>
        <w:rPr>
          <w:rFonts w:ascii="宋体" w:hAnsi="宋体" w:eastAsia="宋体" w:cs="宋体"/>
          <w:spacing w:val="17"/>
          <w:sz w:val="24"/>
          <w:szCs w:val="24"/>
        </w:rPr>
        <w:t>”</w:t>
      </w:r>
    </w:p>
    <w:p>
      <w:pPr>
        <w:spacing w:before="183" w:line="219" w:lineRule="auto"/>
        <w:ind w:left="527"/>
        <w:rPr>
          <w:rFonts w:ascii="宋体" w:hAnsi="宋体" w:eastAsia="宋体" w:cs="宋体"/>
          <w:sz w:val="24"/>
          <w:szCs w:val="24"/>
        </w:rPr>
      </w:pPr>
      <w:r>
        <w:rPr>
          <w:rFonts w:ascii="宋体" w:hAnsi="宋体" w:eastAsia="宋体" w:cs="宋体"/>
          <w:spacing w:val="7"/>
          <w:sz w:val="24"/>
          <w:szCs w:val="24"/>
        </w:rPr>
        <w:t>将本款第 17.3.5</w:t>
      </w:r>
      <w:r>
        <w:rPr>
          <w:rFonts w:ascii="宋体" w:hAnsi="宋体" w:eastAsia="宋体" w:cs="宋体"/>
          <w:spacing w:val="-18"/>
          <w:sz w:val="24"/>
          <w:szCs w:val="24"/>
        </w:rPr>
        <w:t xml:space="preserve"> </w:t>
      </w:r>
      <w:r>
        <w:rPr>
          <w:rFonts w:ascii="宋体" w:hAnsi="宋体" w:eastAsia="宋体" w:cs="宋体"/>
          <w:spacing w:val="7"/>
          <w:sz w:val="24"/>
          <w:szCs w:val="24"/>
        </w:rPr>
        <w:t>项细化如下</w:t>
      </w:r>
      <w:r>
        <w:rPr>
          <w:rFonts w:ascii="宋体" w:hAnsi="宋体" w:eastAsia="宋体" w:cs="宋体"/>
          <w:spacing w:val="-55"/>
          <w:sz w:val="24"/>
          <w:szCs w:val="24"/>
        </w:rPr>
        <w:t xml:space="preserve"> </w:t>
      </w:r>
      <w:r>
        <w:rPr>
          <w:rFonts w:ascii="宋体" w:hAnsi="宋体" w:eastAsia="宋体" w:cs="宋体"/>
          <w:spacing w:val="7"/>
          <w:sz w:val="24"/>
          <w:szCs w:val="24"/>
        </w:rPr>
        <w:t>:</w:t>
      </w:r>
    </w:p>
    <w:p>
      <w:pPr>
        <w:spacing w:before="182" w:line="220" w:lineRule="auto"/>
        <w:ind w:left="546"/>
        <w:rPr>
          <w:rFonts w:ascii="宋体" w:hAnsi="宋体" w:eastAsia="宋体" w:cs="宋体"/>
          <w:sz w:val="24"/>
          <w:szCs w:val="24"/>
        </w:rPr>
      </w:pPr>
      <w:r>
        <w:rPr>
          <w:rFonts w:ascii="宋体" w:hAnsi="宋体" w:eastAsia="宋体" w:cs="宋体"/>
          <w:spacing w:val="10"/>
          <w:sz w:val="24"/>
          <w:szCs w:val="24"/>
        </w:rPr>
        <w:t>17.3.5</w:t>
      </w:r>
      <w:r>
        <w:rPr>
          <w:rFonts w:ascii="宋体" w:hAnsi="宋体" w:eastAsia="宋体" w:cs="宋体"/>
          <w:spacing w:val="-25"/>
          <w:sz w:val="24"/>
          <w:szCs w:val="24"/>
        </w:rPr>
        <w:t xml:space="preserve"> </w:t>
      </w:r>
      <w:r>
        <w:rPr>
          <w:rFonts w:ascii="宋体" w:hAnsi="宋体" w:eastAsia="宋体" w:cs="宋体"/>
          <w:spacing w:val="10"/>
          <w:sz w:val="24"/>
          <w:szCs w:val="24"/>
        </w:rPr>
        <w:t>农民工工资保证金</w:t>
      </w:r>
    </w:p>
    <w:p>
      <w:pPr>
        <w:spacing w:before="182" w:line="465" w:lineRule="exact"/>
        <w:ind w:left="531"/>
        <w:rPr>
          <w:rFonts w:ascii="宋体" w:hAnsi="宋体" w:eastAsia="宋体" w:cs="宋体"/>
          <w:sz w:val="24"/>
          <w:szCs w:val="24"/>
        </w:rPr>
      </w:pPr>
      <w:r>
        <w:rPr>
          <w:rFonts w:ascii="宋体" w:hAnsi="宋体" w:eastAsia="宋体" w:cs="宋体"/>
          <w:spacing w:val="18"/>
          <w:position w:val="17"/>
          <w:sz w:val="24"/>
          <w:szCs w:val="24"/>
        </w:rPr>
        <w:t>按广东省交通运输厅转发人力资源社会保障部等部门《工程建设领域农民工</w:t>
      </w:r>
    </w:p>
    <w:p>
      <w:pPr>
        <w:spacing w:before="1" w:line="219" w:lineRule="auto"/>
        <w:ind w:left="11"/>
        <w:rPr>
          <w:rFonts w:ascii="宋体" w:hAnsi="宋体" w:eastAsia="宋体" w:cs="宋体"/>
          <w:sz w:val="24"/>
          <w:szCs w:val="24"/>
        </w:rPr>
      </w:pPr>
      <w:r>
        <w:rPr>
          <w:rFonts w:ascii="宋体" w:hAnsi="宋体" w:eastAsia="宋体" w:cs="宋体"/>
          <w:spacing w:val="11"/>
          <w:sz w:val="24"/>
          <w:szCs w:val="24"/>
        </w:rPr>
        <w:t>工资保证金规定》</w:t>
      </w:r>
      <w:r>
        <w:rPr>
          <w:rFonts w:ascii="宋体" w:hAnsi="宋体" w:eastAsia="宋体" w:cs="宋体"/>
          <w:spacing w:val="-48"/>
          <w:sz w:val="24"/>
          <w:szCs w:val="24"/>
        </w:rPr>
        <w:t xml:space="preserve"> </w:t>
      </w:r>
      <w:r>
        <w:rPr>
          <w:rFonts w:ascii="宋体" w:hAnsi="宋体" w:eastAsia="宋体" w:cs="宋体"/>
          <w:spacing w:val="11"/>
          <w:sz w:val="24"/>
          <w:szCs w:val="24"/>
        </w:rPr>
        <w:t>的通知执行。</w:t>
      </w:r>
    </w:p>
    <w:p>
      <w:pPr>
        <w:spacing w:before="163" w:line="235" w:lineRule="auto"/>
        <w:ind w:left="26"/>
        <w:rPr>
          <w:rFonts w:ascii="宋体" w:hAnsi="宋体" w:eastAsia="宋体" w:cs="宋体"/>
          <w:sz w:val="12"/>
          <w:szCs w:val="12"/>
        </w:rPr>
      </w:pPr>
      <w:r>
        <w:rPr>
          <w:rFonts w:ascii="宋体" w:hAnsi="宋体" w:eastAsia="宋体" w:cs="宋体"/>
          <w:spacing w:val="-3"/>
          <w:sz w:val="24"/>
          <w:szCs w:val="24"/>
        </w:rPr>
        <w:t>17.4 质量保证金</w:t>
      </w:r>
      <w:r>
        <w:fldChar w:fldCharType="begin"/>
      </w:r>
      <w:r>
        <w:instrText xml:space="preserve"> HYPERLINK \l "bookmark166" </w:instrText>
      </w:r>
      <w:r>
        <w:fldChar w:fldCharType="separate"/>
      </w:r>
      <w:r>
        <w:rPr>
          <w:rFonts w:ascii="宋体" w:hAnsi="宋体" w:eastAsia="宋体" w:cs="宋体"/>
          <w:spacing w:val="-3"/>
          <w:position w:val="11"/>
          <w:sz w:val="12"/>
          <w:szCs w:val="12"/>
        </w:rPr>
        <w:t>②</w:t>
      </w:r>
      <w:r>
        <w:rPr>
          <w:rFonts w:ascii="宋体" w:hAnsi="宋体" w:eastAsia="宋体" w:cs="宋体"/>
          <w:spacing w:val="-3"/>
          <w:position w:val="11"/>
          <w:sz w:val="12"/>
          <w:szCs w:val="12"/>
        </w:rPr>
        <w:fldChar w:fldCharType="end"/>
      </w:r>
    </w:p>
    <w:p>
      <w:pPr>
        <w:spacing w:before="180" w:line="220" w:lineRule="auto"/>
        <w:ind w:left="566"/>
        <w:rPr>
          <w:rFonts w:ascii="宋体" w:hAnsi="宋体" w:eastAsia="宋体" w:cs="宋体"/>
          <w:sz w:val="24"/>
          <w:szCs w:val="24"/>
        </w:rPr>
      </w:pPr>
      <w:r>
        <w:rPr>
          <w:rFonts w:ascii="宋体" w:hAnsi="宋体" w:eastAsia="宋体" w:cs="宋体"/>
          <w:spacing w:val="-5"/>
          <w:sz w:val="24"/>
          <w:szCs w:val="24"/>
        </w:rPr>
        <w:t>17.4</w:t>
      </w:r>
      <w:r>
        <w:rPr>
          <w:rFonts w:ascii="宋体" w:hAnsi="宋体" w:eastAsia="宋体" w:cs="宋体"/>
          <w:spacing w:val="-44"/>
          <w:sz w:val="24"/>
          <w:szCs w:val="24"/>
        </w:rPr>
        <w:t xml:space="preserve"> </w:t>
      </w:r>
      <w:r>
        <w:rPr>
          <w:rFonts w:ascii="宋体" w:hAnsi="宋体" w:eastAsia="宋体" w:cs="宋体"/>
          <w:spacing w:val="-5"/>
          <w:sz w:val="24"/>
          <w:szCs w:val="24"/>
        </w:rPr>
        <w:t>质量保证金</w:t>
      </w:r>
    </w:p>
    <w:p>
      <w:pPr>
        <w:spacing w:before="182" w:line="219" w:lineRule="auto"/>
        <w:ind w:left="548"/>
        <w:rPr>
          <w:rFonts w:ascii="宋体" w:hAnsi="宋体" w:eastAsia="宋体" w:cs="宋体"/>
          <w:sz w:val="24"/>
          <w:szCs w:val="24"/>
        </w:rPr>
      </w:pPr>
      <w:r>
        <w:rPr>
          <w:rFonts w:ascii="宋体" w:hAnsi="宋体" w:eastAsia="宋体" w:cs="宋体"/>
          <w:spacing w:val="-5"/>
          <w:sz w:val="24"/>
          <w:szCs w:val="24"/>
        </w:rPr>
        <w:t>第</w:t>
      </w:r>
      <w:r>
        <w:rPr>
          <w:rFonts w:ascii="宋体" w:hAnsi="宋体" w:eastAsia="宋体" w:cs="宋体"/>
          <w:spacing w:val="-24"/>
          <w:sz w:val="24"/>
          <w:szCs w:val="24"/>
        </w:rPr>
        <w:t xml:space="preserve"> </w:t>
      </w:r>
      <w:r>
        <w:rPr>
          <w:rFonts w:ascii="宋体" w:hAnsi="宋体" w:eastAsia="宋体" w:cs="宋体"/>
          <w:spacing w:val="-5"/>
          <w:sz w:val="24"/>
          <w:szCs w:val="24"/>
        </w:rPr>
        <w:t>17.4.2</w:t>
      </w:r>
      <w:r>
        <w:rPr>
          <w:rFonts w:ascii="宋体" w:hAnsi="宋体" w:eastAsia="宋体" w:cs="宋体"/>
          <w:spacing w:val="-47"/>
          <w:sz w:val="24"/>
          <w:szCs w:val="24"/>
        </w:rPr>
        <w:t xml:space="preserve"> </w:t>
      </w:r>
      <w:r>
        <w:rPr>
          <w:rFonts w:ascii="宋体" w:hAnsi="宋体" w:eastAsia="宋体" w:cs="宋体"/>
          <w:spacing w:val="-5"/>
          <w:sz w:val="24"/>
          <w:szCs w:val="24"/>
        </w:rPr>
        <w:t>项细化为：</w:t>
      </w:r>
    </w:p>
    <w:p>
      <w:pPr>
        <w:spacing w:before="182" w:line="359" w:lineRule="auto"/>
        <w:ind w:left="8" w:right="291" w:firstLine="543"/>
        <w:jc w:val="both"/>
        <w:rPr>
          <w:rFonts w:ascii="宋体" w:hAnsi="宋体" w:eastAsia="宋体" w:cs="宋体"/>
          <w:sz w:val="24"/>
          <w:szCs w:val="24"/>
        </w:rPr>
      </w:pPr>
      <w:r>
        <w:rPr>
          <w:rFonts w:ascii="宋体" w:hAnsi="宋体" w:eastAsia="宋体" w:cs="宋体"/>
          <w:spacing w:val="-4"/>
          <w:sz w:val="24"/>
          <w:szCs w:val="24"/>
        </w:rPr>
        <w:t>项目完成竣工决算审查备案和竣工决算审计，且发包人和承包人最终确定结算金额</w:t>
      </w:r>
      <w:r>
        <w:rPr>
          <w:rFonts w:ascii="宋体" w:hAnsi="宋体" w:eastAsia="宋体" w:cs="宋体"/>
          <w:spacing w:val="16"/>
          <w:sz w:val="24"/>
          <w:szCs w:val="24"/>
        </w:rPr>
        <w:t xml:space="preserve"> </w:t>
      </w:r>
      <w:r>
        <w:rPr>
          <w:rFonts w:ascii="宋体" w:hAnsi="宋体" w:eastAsia="宋体" w:cs="宋体"/>
          <w:spacing w:val="-2"/>
          <w:sz w:val="24"/>
          <w:szCs w:val="24"/>
        </w:rPr>
        <w:t>后</w:t>
      </w:r>
      <w:r>
        <w:rPr>
          <w:rFonts w:ascii="宋体" w:hAnsi="宋体" w:eastAsia="宋体" w:cs="宋体"/>
          <w:spacing w:val="-39"/>
          <w:sz w:val="24"/>
          <w:szCs w:val="24"/>
        </w:rPr>
        <w:t xml:space="preserve"> </w:t>
      </w:r>
      <w:r>
        <w:rPr>
          <w:rFonts w:ascii="宋体" w:hAnsi="宋体" w:eastAsia="宋体" w:cs="宋体"/>
          <w:spacing w:val="-2"/>
          <w:sz w:val="24"/>
          <w:szCs w:val="24"/>
        </w:rPr>
        <w:t>30</w:t>
      </w:r>
      <w:r>
        <w:rPr>
          <w:rFonts w:ascii="宋体" w:hAnsi="宋体" w:eastAsia="宋体" w:cs="宋体"/>
          <w:spacing w:val="-46"/>
          <w:sz w:val="24"/>
          <w:szCs w:val="24"/>
        </w:rPr>
        <w:t xml:space="preserve"> </w:t>
      </w:r>
      <w:r>
        <w:rPr>
          <w:rFonts w:ascii="宋体" w:hAnsi="宋体" w:eastAsia="宋体" w:cs="宋体"/>
          <w:spacing w:val="-2"/>
          <w:sz w:val="24"/>
          <w:szCs w:val="24"/>
        </w:rPr>
        <w:t>天内，发包人退还剩余质量保证金的</w:t>
      </w:r>
      <w:r>
        <w:rPr>
          <w:rFonts w:ascii="宋体" w:hAnsi="宋体" w:eastAsia="宋体" w:cs="宋体"/>
          <w:spacing w:val="-47"/>
          <w:sz w:val="24"/>
          <w:szCs w:val="24"/>
        </w:rPr>
        <w:t xml:space="preserve"> </w:t>
      </w:r>
      <w:r>
        <w:rPr>
          <w:rFonts w:ascii="宋体" w:hAnsi="宋体" w:eastAsia="宋体" w:cs="宋体"/>
          <w:spacing w:val="-2"/>
          <w:sz w:val="24"/>
          <w:szCs w:val="24"/>
        </w:rPr>
        <w:t>80%给承包人。通过竣工验收后</w:t>
      </w:r>
      <w:r>
        <w:rPr>
          <w:rFonts w:ascii="宋体" w:hAnsi="宋体" w:eastAsia="宋体" w:cs="宋体"/>
          <w:spacing w:val="-48"/>
          <w:sz w:val="24"/>
          <w:szCs w:val="24"/>
        </w:rPr>
        <w:t xml:space="preserve"> </w:t>
      </w:r>
      <w:r>
        <w:rPr>
          <w:rFonts w:ascii="宋体" w:hAnsi="宋体" w:eastAsia="宋体" w:cs="宋体"/>
          <w:spacing w:val="-2"/>
          <w:sz w:val="24"/>
          <w:szCs w:val="24"/>
        </w:rPr>
        <w:t>30</w:t>
      </w:r>
      <w:r>
        <w:rPr>
          <w:rFonts w:ascii="宋体" w:hAnsi="宋体" w:eastAsia="宋体" w:cs="宋体"/>
          <w:spacing w:val="-46"/>
          <w:sz w:val="24"/>
          <w:szCs w:val="24"/>
        </w:rPr>
        <w:t xml:space="preserve"> </w:t>
      </w:r>
      <w:r>
        <w:rPr>
          <w:rFonts w:ascii="宋体" w:hAnsi="宋体" w:eastAsia="宋体" w:cs="宋体"/>
          <w:spacing w:val="-2"/>
          <w:sz w:val="24"/>
          <w:szCs w:val="24"/>
        </w:rPr>
        <w:t>天内，发</w:t>
      </w:r>
      <w:r>
        <w:rPr>
          <w:rFonts w:ascii="宋体" w:hAnsi="宋体" w:eastAsia="宋体" w:cs="宋体"/>
          <w:sz w:val="24"/>
          <w:szCs w:val="24"/>
        </w:rPr>
        <w:t xml:space="preserve"> </w:t>
      </w:r>
      <w:r>
        <w:rPr>
          <w:rFonts w:ascii="宋体" w:hAnsi="宋体" w:eastAsia="宋体" w:cs="宋体"/>
          <w:spacing w:val="-2"/>
          <w:sz w:val="24"/>
          <w:szCs w:val="24"/>
        </w:rPr>
        <w:t>包人将质量保证金的余额一次性退还给承包人。若承包人在项目竣工验收时工程质量评</w:t>
      </w:r>
    </w:p>
    <w:p>
      <w:pPr>
        <w:spacing w:before="1" w:line="217" w:lineRule="auto"/>
        <w:ind w:left="11"/>
        <w:rPr>
          <w:rFonts w:ascii="宋体" w:hAnsi="宋体" w:eastAsia="宋体" w:cs="宋体"/>
          <w:sz w:val="24"/>
          <w:szCs w:val="24"/>
        </w:rPr>
      </w:pPr>
      <w:r>
        <w:rPr>
          <w:rFonts w:ascii="宋体" w:hAnsi="宋体" w:eastAsia="宋体" w:cs="宋体"/>
          <w:sz w:val="24"/>
          <w:szCs w:val="24"/>
        </w:rPr>
        <w:t>分未达优良等级，发包人全额扣回承包人在施工过程</w:t>
      </w:r>
      <w:r>
        <w:rPr>
          <w:rFonts w:ascii="宋体" w:hAnsi="宋体" w:eastAsia="宋体" w:cs="宋体"/>
          <w:spacing w:val="-1"/>
          <w:sz w:val="24"/>
          <w:szCs w:val="24"/>
        </w:rPr>
        <w:t>中所获得的全部优质优价价款。</w:t>
      </w:r>
    </w:p>
    <w:p>
      <w:pPr>
        <w:spacing w:before="183" w:line="219" w:lineRule="auto"/>
        <w:ind w:left="506"/>
        <w:rPr>
          <w:rFonts w:ascii="宋体" w:hAnsi="宋体" w:eastAsia="宋体" w:cs="宋体"/>
          <w:sz w:val="24"/>
          <w:szCs w:val="24"/>
        </w:rPr>
      </w:pPr>
      <w:r>
        <w:rPr>
          <w:rFonts w:ascii="宋体" w:hAnsi="宋体" w:eastAsia="宋体" w:cs="宋体"/>
          <w:spacing w:val="-5"/>
          <w:sz w:val="24"/>
          <w:szCs w:val="24"/>
        </w:rPr>
        <w:t>17.6</w:t>
      </w:r>
      <w:r>
        <w:rPr>
          <w:rFonts w:ascii="宋体" w:hAnsi="宋体" w:eastAsia="宋体" w:cs="宋体"/>
          <w:spacing w:val="12"/>
          <w:sz w:val="24"/>
          <w:szCs w:val="24"/>
        </w:rPr>
        <w:t xml:space="preserve"> </w:t>
      </w:r>
      <w:r>
        <w:rPr>
          <w:rFonts w:ascii="宋体" w:hAnsi="宋体" w:eastAsia="宋体" w:cs="宋体"/>
          <w:spacing w:val="-5"/>
          <w:sz w:val="24"/>
          <w:szCs w:val="24"/>
        </w:rPr>
        <w:t>最终结清</w:t>
      </w:r>
    </w:p>
    <w:p>
      <w:pPr>
        <w:spacing w:before="184" w:line="289" w:lineRule="auto"/>
        <w:ind w:left="489" w:right="6368" w:firstLine="7"/>
        <w:rPr>
          <w:rFonts w:ascii="宋体" w:hAnsi="宋体" w:eastAsia="宋体" w:cs="宋体"/>
          <w:sz w:val="24"/>
          <w:szCs w:val="24"/>
        </w:rPr>
      </w:pPr>
      <w:r>
        <w:rPr>
          <w:rFonts w:ascii="宋体" w:hAnsi="宋体" w:eastAsia="宋体" w:cs="宋体"/>
          <w:spacing w:val="-2"/>
          <w:sz w:val="24"/>
          <w:szCs w:val="24"/>
        </w:rPr>
        <w:t>17.6.1 最终结清申请单</w:t>
      </w:r>
      <w:r>
        <w:rPr>
          <w:rFonts w:ascii="宋体" w:hAnsi="宋体" w:eastAsia="宋体" w:cs="宋体"/>
          <w:sz w:val="24"/>
          <w:szCs w:val="24"/>
        </w:rPr>
        <w:t xml:space="preserve"> </w:t>
      </w:r>
      <w:r>
        <w:rPr>
          <w:rFonts w:ascii="宋体" w:hAnsi="宋体" w:eastAsia="宋体" w:cs="宋体"/>
          <w:spacing w:val="-2"/>
          <w:sz w:val="24"/>
          <w:szCs w:val="24"/>
        </w:rPr>
        <w:t>本项(1)目约定为：</w:t>
      </w:r>
    </w:p>
    <w:p>
      <w:pPr>
        <w:spacing w:before="183" w:line="359" w:lineRule="auto"/>
        <w:ind w:left="8" w:right="291" w:firstLine="480"/>
        <w:rPr>
          <w:rFonts w:ascii="宋体" w:hAnsi="宋体" w:eastAsia="宋体" w:cs="宋体"/>
          <w:sz w:val="24"/>
          <w:szCs w:val="24"/>
        </w:rPr>
      </w:pPr>
      <w:r>
        <w:rPr>
          <w:rFonts w:ascii="宋体" w:hAnsi="宋体" w:eastAsia="宋体" w:cs="宋体"/>
          <w:spacing w:val="5"/>
          <w:sz w:val="24"/>
          <w:szCs w:val="24"/>
        </w:rPr>
        <w:t>承包人应按交通运输部及广东省交通运输厅关于交通基本建设项目竣工决算编制</w:t>
      </w:r>
      <w:r>
        <w:rPr>
          <w:rFonts w:ascii="宋体" w:hAnsi="宋体" w:eastAsia="宋体" w:cs="宋体"/>
          <w:sz w:val="24"/>
          <w:szCs w:val="24"/>
        </w:rPr>
        <w:t xml:space="preserve"> </w:t>
      </w:r>
      <w:r>
        <w:rPr>
          <w:rFonts w:ascii="宋体" w:hAnsi="宋体" w:eastAsia="宋体" w:cs="宋体"/>
          <w:spacing w:val="-2"/>
          <w:sz w:val="24"/>
          <w:szCs w:val="24"/>
        </w:rPr>
        <w:t>和省级造价信息化平台的有关规定，及时编制相应的工程结算文件，报监理人审核，发</w:t>
      </w:r>
      <w:r>
        <w:rPr>
          <w:rFonts w:ascii="宋体" w:hAnsi="宋体" w:eastAsia="宋体" w:cs="宋体"/>
          <w:spacing w:val="12"/>
          <w:sz w:val="24"/>
          <w:szCs w:val="24"/>
        </w:rPr>
        <w:t xml:space="preserve"> </w:t>
      </w:r>
      <w:r>
        <w:rPr>
          <w:rFonts w:ascii="宋体" w:hAnsi="宋体" w:eastAsia="宋体" w:cs="宋体"/>
          <w:spacing w:val="-2"/>
          <w:sz w:val="24"/>
          <w:szCs w:val="24"/>
        </w:rPr>
        <w:t>包人确认。承包人向监理人提交最终结清申请单(包括相关证明材料)的份数在项目专用</w:t>
      </w:r>
    </w:p>
    <w:p>
      <w:pPr>
        <w:spacing w:before="1" w:line="218" w:lineRule="auto"/>
        <w:ind w:left="9"/>
        <w:rPr>
          <w:rFonts w:ascii="宋体" w:hAnsi="宋体" w:eastAsia="宋体" w:cs="宋体"/>
          <w:sz w:val="24"/>
          <w:szCs w:val="24"/>
        </w:rPr>
      </w:pPr>
      <w:r>
        <w:rPr>
          <w:rFonts w:ascii="宋体" w:hAnsi="宋体" w:eastAsia="宋体" w:cs="宋体"/>
          <w:spacing w:val="-1"/>
          <w:sz w:val="24"/>
          <w:szCs w:val="24"/>
        </w:rPr>
        <w:t>合同条款数据表中约定；期限：缺陷责任期终止证书签</w:t>
      </w:r>
      <w:r>
        <w:rPr>
          <w:rFonts w:ascii="宋体" w:hAnsi="宋体" w:eastAsia="宋体" w:cs="宋体"/>
          <w:spacing w:val="-2"/>
          <w:sz w:val="24"/>
          <w:szCs w:val="24"/>
        </w:rPr>
        <w:t>发后</w:t>
      </w:r>
      <w:r>
        <w:rPr>
          <w:rFonts w:ascii="宋体" w:hAnsi="宋体" w:eastAsia="宋体" w:cs="宋体"/>
          <w:spacing w:val="-48"/>
          <w:sz w:val="24"/>
          <w:szCs w:val="24"/>
        </w:rPr>
        <w:t xml:space="preserve"> </w:t>
      </w:r>
      <w:r>
        <w:rPr>
          <w:rFonts w:ascii="宋体" w:hAnsi="宋体" w:eastAsia="宋体" w:cs="宋体"/>
          <w:spacing w:val="-2"/>
          <w:sz w:val="24"/>
          <w:szCs w:val="24"/>
        </w:rPr>
        <w:t>28</w:t>
      </w:r>
      <w:r>
        <w:rPr>
          <w:rFonts w:ascii="宋体" w:hAnsi="宋体" w:eastAsia="宋体" w:cs="宋体"/>
          <w:spacing w:val="-46"/>
          <w:sz w:val="24"/>
          <w:szCs w:val="24"/>
        </w:rPr>
        <w:t xml:space="preserve"> </w:t>
      </w:r>
      <w:r>
        <w:rPr>
          <w:rFonts w:ascii="宋体" w:hAnsi="宋体" w:eastAsia="宋体" w:cs="宋体"/>
          <w:spacing w:val="-2"/>
          <w:sz w:val="24"/>
          <w:szCs w:val="24"/>
        </w:rPr>
        <w:t>天内。</w:t>
      </w:r>
    </w:p>
    <w:p>
      <w:pPr>
        <w:spacing w:before="183" w:line="466" w:lineRule="exact"/>
        <w:ind w:left="491"/>
        <w:rPr>
          <w:rFonts w:ascii="宋体" w:hAnsi="宋体" w:eastAsia="宋体" w:cs="宋体"/>
          <w:sz w:val="24"/>
          <w:szCs w:val="24"/>
        </w:rPr>
      </w:pPr>
      <w:r>
        <w:rPr>
          <w:rFonts w:ascii="宋体" w:hAnsi="宋体" w:eastAsia="宋体" w:cs="宋体"/>
          <w:spacing w:val="5"/>
          <w:position w:val="17"/>
          <w:sz w:val="24"/>
          <w:szCs w:val="24"/>
        </w:rPr>
        <w:t>最终结清申请单中的总金额应认为是代表了根据合同规定应付给承包人</w:t>
      </w:r>
      <w:r>
        <w:rPr>
          <w:rFonts w:ascii="宋体" w:hAnsi="宋体" w:eastAsia="宋体" w:cs="宋体"/>
          <w:spacing w:val="4"/>
          <w:position w:val="17"/>
          <w:sz w:val="24"/>
          <w:szCs w:val="24"/>
        </w:rPr>
        <w:t>的全部款</w:t>
      </w:r>
    </w:p>
    <w:p>
      <w:pPr>
        <w:spacing w:line="219" w:lineRule="auto"/>
        <w:ind w:left="12"/>
        <w:rPr>
          <w:rFonts w:ascii="宋体" w:hAnsi="宋体" w:eastAsia="宋体" w:cs="宋体"/>
          <w:sz w:val="24"/>
          <w:szCs w:val="24"/>
        </w:rPr>
      </w:pPr>
      <w:r>
        <w:rPr>
          <w:rFonts w:ascii="宋体" w:hAnsi="宋体" w:eastAsia="宋体" w:cs="宋体"/>
          <w:spacing w:val="-2"/>
          <w:sz w:val="24"/>
          <w:szCs w:val="24"/>
        </w:rPr>
        <w:t>项的最后结算。</w:t>
      </w:r>
    </w:p>
    <w:p>
      <w:pPr>
        <w:spacing w:before="181" w:line="468" w:lineRule="exact"/>
        <w:ind w:left="487"/>
        <w:rPr>
          <w:rFonts w:ascii="宋体" w:hAnsi="宋体" w:eastAsia="宋体" w:cs="宋体"/>
          <w:sz w:val="24"/>
          <w:szCs w:val="24"/>
        </w:rPr>
      </w:pPr>
      <w:r>
        <w:rPr>
          <w:rFonts w:ascii="宋体" w:hAnsi="宋体" w:eastAsia="宋体" w:cs="宋体"/>
          <w:spacing w:val="-2"/>
          <w:position w:val="17"/>
          <w:sz w:val="24"/>
          <w:szCs w:val="24"/>
        </w:rPr>
        <w:t>在竣工决算报告经政府审计部门审计、交通行业主管部门审查后，发包人将按以下</w:t>
      </w:r>
    </w:p>
    <w:p>
      <w:pPr>
        <w:spacing w:before="1" w:line="218" w:lineRule="auto"/>
        <w:ind w:left="14"/>
        <w:rPr>
          <w:rFonts w:ascii="宋体" w:hAnsi="宋体" w:eastAsia="宋体" w:cs="宋体"/>
          <w:sz w:val="24"/>
          <w:szCs w:val="24"/>
        </w:rPr>
      </w:pPr>
      <w:r>
        <w:rPr>
          <w:rFonts w:ascii="宋体" w:hAnsi="宋体" w:eastAsia="宋体" w:cs="宋体"/>
          <w:spacing w:val="-2"/>
          <w:sz w:val="24"/>
          <w:szCs w:val="24"/>
        </w:rPr>
        <w:t>原则作为调整承包人最终合同费用的依据，承包人需无条件接受：行业主管部门和审计</w:t>
      </w:r>
    </w:p>
    <w:p>
      <w:pPr>
        <w:spacing w:line="288" w:lineRule="auto"/>
        <w:rPr>
          <w:rFonts w:ascii="Arial"/>
          <w:sz w:val="21"/>
        </w:rPr>
      </w:pPr>
    </w:p>
    <w:p>
      <w:pPr>
        <w:spacing w:line="288" w:lineRule="auto"/>
        <w:rPr>
          <w:rFonts w:ascii="Arial"/>
          <w:sz w:val="21"/>
        </w:rPr>
      </w:pPr>
    </w:p>
    <w:p>
      <w:pPr>
        <w:spacing w:before="58" w:line="220" w:lineRule="auto"/>
        <w:ind w:left="5"/>
        <w:rPr>
          <w:rFonts w:ascii="宋体" w:hAnsi="宋体" w:eastAsia="宋体" w:cs="宋体"/>
          <w:sz w:val="18"/>
          <w:szCs w:val="18"/>
        </w:rPr>
      </w:pPr>
      <w:r>
        <w:rPr>
          <w:rFonts w:ascii="宋体" w:hAnsi="宋体" w:eastAsia="宋体" w:cs="宋体"/>
          <w:spacing w:val="-1"/>
          <w:sz w:val="18"/>
          <w:szCs w:val="18"/>
        </w:rPr>
        <w:t>①招标人可根据项目实际情况选择使用或修改本项内容。</w:t>
      </w:r>
    </w:p>
    <w:p>
      <w:pPr>
        <w:spacing w:before="19" w:line="220" w:lineRule="auto"/>
        <w:ind w:left="4"/>
        <w:rPr>
          <w:rFonts w:ascii="宋体" w:hAnsi="宋体" w:eastAsia="宋体" w:cs="宋体"/>
          <w:sz w:val="18"/>
          <w:szCs w:val="18"/>
        </w:rPr>
      </w:pPr>
      <w:r>
        <w:rPr>
          <w:rFonts w:ascii="宋体" w:hAnsi="宋体" w:eastAsia="宋体" w:cs="宋体"/>
          <w:sz w:val="18"/>
          <w:szCs w:val="18"/>
        </w:rPr>
        <w:t>②招标人可根据项目实际情况选择使用或修改本项内容，但应符</w:t>
      </w:r>
      <w:r>
        <w:rPr>
          <w:rFonts w:ascii="宋体" w:hAnsi="宋体" w:eastAsia="宋体" w:cs="宋体"/>
          <w:spacing w:val="-1"/>
          <w:sz w:val="18"/>
          <w:szCs w:val="18"/>
        </w:rPr>
        <w:t>合相关的规定。</w:t>
      </w:r>
    </w:p>
    <w:p>
      <w:pPr>
        <w:spacing w:line="425" w:lineRule="auto"/>
        <w:rPr>
          <w:rFonts w:ascii="Arial"/>
          <w:sz w:val="21"/>
        </w:rPr>
      </w:pPr>
    </w:p>
    <w:p>
      <w:pPr>
        <w:spacing w:before="78" w:line="219" w:lineRule="auto"/>
        <w:ind w:left="8"/>
        <w:rPr>
          <w:rFonts w:ascii="宋体" w:hAnsi="宋体" w:eastAsia="宋体" w:cs="宋体"/>
          <w:sz w:val="24"/>
          <w:szCs w:val="24"/>
        </w:rPr>
      </w:pPr>
      <w:r>
        <w:rPr>
          <w:rFonts w:ascii="宋体" w:hAnsi="宋体" w:eastAsia="宋体" w:cs="宋体"/>
          <w:sz w:val="24"/>
          <w:szCs w:val="24"/>
        </w:rPr>
        <w:t>部门对不同内容进行核减的，综合行业主管部</w:t>
      </w:r>
      <w:r>
        <w:rPr>
          <w:rFonts w:ascii="宋体" w:hAnsi="宋体" w:eastAsia="宋体" w:cs="宋体"/>
          <w:spacing w:val="-1"/>
          <w:sz w:val="24"/>
          <w:szCs w:val="24"/>
        </w:rPr>
        <w:t>门和审计部门的意见进行调整。</w:t>
      </w:r>
    </w:p>
    <w:p>
      <w:pPr>
        <w:spacing w:before="180" w:line="219" w:lineRule="auto"/>
        <w:ind w:left="503"/>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18.</w:t>
      </w:r>
      <w:r>
        <w:rPr>
          <w:rFonts w:ascii="宋体" w:hAnsi="宋体" w:eastAsia="宋体" w:cs="宋体"/>
          <w:spacing w:val="21"/>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交工验收</w:t>
      </w:r>
    </w:p>
    <w:p>
      <w:pPr>
        <w:spacing w:before="183" w:line="219" w:lineRule="auto"/>
        <w:ind w:left="555"/>
        <w:rPr>
          <w:rFonts w:ascii="宋体" w:hAnsi="宋体" w:eastAsia="宋体" w:cs="宋体"/>
          <w:sz w:val="24"/>
          <w:szCs w:val="24"/>
        </w:rPr>
      </w:pPr>
      <w:r>
        <w:rPr>
          <w:rFonts w:ascii="宋体" w:hAnsi="宋体" w:eastAsia="宋体" w:cs="宋体"/>
          <w:spacing w:val="-6"/>
          <w:sz w:val="24"/>
          <w:szCs w:val="24"/>
        </w:rPr>
        <w:t>18.3</w:t>
      </w:r>
      <w:r>
        <w:rPr>
          <w:rFonts w:ascii="宋体" w:hAnsi="宋体" w:eastAsia="宋体" w:cs="宋体"/>
          <w:spacing w:val="-52"/>
          <w:sz w:val="24"/>
          <w:szCs w:val="24"/>
        </w:rPr>
        <w:t xml:space="preserve"> </w:t>
      </w:r>
      <w:r>
        <w:rPr>
          <w:rFonts w:ascii="宋体" w:hAnsi="宋体" w:eastAsia="宋体" w:cs="宋体"/>
          <w:spacing w:val="-6"/>
          <w:sz w:val="24"/>
          <w:szCs w:val="24"/>
        </w:rPr>
        <w:t>验收</w:t>
      </w:r>
    </w:p>
    <w:p>
      <w:pPr>
        <w:spacing w:before="180" w:line="219" w:lineRule="auto"/>
        <w:ind w:left="538"/>
        <w:rPr>
          <w:rFonts w:ascii="宋体" w:hAnsi="宋体" w:eastAsia="宋体" w:cs="宋体"/>
          <w:sz w:val="24"/>
          <w:szCs w:val="24"/>
        </w:rPr>
      </w:pPr>
      <w:r>
        <w:rPr>
          <w:rFonts w:ascii="宋体" w:hAnsi="宋体" w:eastAsia="宋体" w:cs="宋体"/>
          <w:spacing w:val="-5"/>
          <w:sz w:val="24"/>
          <w:szCs w:val="24"/>
        </w:rPr>
        <w:t>第</w:t>
      </w:r>
      <w:r>
        <w:rPr>
          <w:rFonts w:ascii="宋体" w:hAnsi="宋体" w:eastAsia="宋体" w:cs="宋体"/>
          <w:spacing w:val="-29"/>
          <w:sz w:val="24"/>
          <w:szCs w:val="24"/>
        </w:rPr>
        <w:t xml:space="preserve"> </w:t>
      </w:r>
      <w:r>
        <w:rPr>
          <w:rFonts w:ascii="宋体" w:hAnsi="宋体" w:eastAsia="宋体" w:cs="宋体"/>
          <w:spacing w:val="-5"/>
          <w:sz w:val="24"/>
          <w:szCs w:val="24"/>
        </w:rPr>
        <w:t>18.3.2</w:t>
      </w:r>
      <w:r>
        <w:rPr>
          <w:rFonts w:ascii="宋体" w:hAnsi="宋体" w:eastAsia="宋体" w:cs="宋体"/>
          <w:spacing w:val="-47"/>
          <w:sz w:val="24"/>
          <w:szCs w:val="24"/>
        </w:rPr>
        <w:t xml:space="preserve"> </w:t>
      </w:r>
      <w:r>
        <w:rPr>
          <w:rFonts w:ascii="宋体" w:hAnsi="宋体" w:eastAsia="宋体" w:cs="宋体"/>
          <w:spacing w:val="-5"/>
          <w:sz w:val="24"/>
          <w:szCs w:val="24"/>
        </w:rPr>
        <w:t>项补充：</w:t>
      </w:r>
    </w:p>
    <w:p>
      <w:pPr>
        <w:spacing w:before="184" w:line="359" w:lineRule="auto"/>
        <w:ind w:left="7" w:right="291" w:firstLine="482"/>
        <w:rPr>
          <w:rFonts w:ascii="宋体" w:hAnsi="宋体" w:eastAsia="宋体" w:cs="宋体"/>
          <w:sz w:val="24"/>
          <w:szCs w:val="24"/>
        </w:rPr>
      </w:pPr>
      <w:r>
        <w:rPr>
          <w:rFonts w:ascii="宋体" w:hAnsi="宋体" w:eastAsia="宋体" w:cs="宋体"/>
          <w:spacing w:val="-2"/>
          <w:sz w:val="24"/>
          <w:szCs w:val="24"/>
        </w:rPr>
        <w:t>交工验收由发包人主持，由发包人、监理人、质监、设计、施工、运营、管理养护</w:t>
      </w:r>
      <w:r>
        <w:rPr>
          <w:rFonts w:ascii="宋体" w:hAnsi="宋体" w:eastAsia="宋体" w:cs="宋体"/>
          <w:spacing w:val="4"/>
          <w:sz w:val="24"/>
          <w:szCs w:val="24"/>
        </w:rPr>
        <w:t xml:space="preserve"> </w:t>
      </w:r>
      <w:r>
        <w:rPr>
          <w:rFonts w:ascii="宋体" w:hAnsi="宋体" w:eastAsia="宋体" w:cs="宋体"/>
          <w:spacing w:val="-2"/>
          <w:sz w:val="24"/>
          <w:szCs w:val="24"/>
        </w:rPr>
        <w:t>等有关部门代表组成交工验收小组，对本项目的工程质量进行评定，并写出交工验收报</w:t>
      </w:r>
      <w:r>
        <w:rPr>
          <w:rFonts w:ascii="宋体" w:hAnsi="宋体" w:eastAsia="宋体" w:cs="宋体"/>
          <w:spacing w:val="10"/>
          <w:sz w:val="24"/>
          <w:szCs w:val="24"/>
        </w:rPr>
        <w:t xml:space="preserve"> </w:t>
      </w:r>
      <w:r>
        <w:rPr>
          <w:rFonts w:ascii="宋体" w:hAnsi="宋体" w:eastAsia="宋体" w:cs="宋体"/>
          <w:spacing w:val="-2"/>
          <w:sz w:val="24"/>
          <w:szCs w:val="24"/>
        </w:rPr>
        <w:t>告报交通主管部门备案。项目交工验收报告上报备案前 14 天，项目必须依法依规提供</w:t>
      </w:r>
      <w:r>
        <w:rPr>
          <w:rFonts w:ascii="宋体" w:hAnsi="宋体" w:eastAsia="宋体" w:cs="宋体"/>
          <w:spacing w:val="14"/>
          <w:sz w:val="24"/>
          <w:szCs w:val="24"/>
        </w:rPr>
        <w:t xml:space="preserve"> </w:t>
      </w:r>
      <w:r>
        <w:rPr>
          <w:rFonts w:ascii="宋体" w:hAnsi="宋体" w:eastAsia="宋体" w:cs="宋体"/>
          <w:spacing w:val="-2"/>
          <w:sz w:val="24"/>
          <w:szCs w:val="24"/>
        </w:rPr>
        <w:t>完整的专项验收工作报告，包括但不限于：涉航、防雷、消防、安全性评价、工程质量</w:t>
      </w:r>
    </w:p>
    <w:p>
      <w:pPr>
        <w:spacing w:before="1" w:line="217" w:lineRule="auto"/>
        <w:ind w:left="5"/>
        <w:rPr>
          <w:rFonts w:ascii="宋体" w:hAnsi="宋体" w:eastAsia="宋体" w:cs="宋体"/>
          <w:sz w:val="20"/>
          <w:szCs w:val="20"/>
        </w:rPr>
      </w:pPr>
      <w:r>
        <w:rPr>
          <w:rFonts w:ascii="宋体" w:hAnsi="宋体" w:eastAsia="宋体" w:cs="宋体"/>
          <w:sz w:val="24"/>
          <w:szCs w:val="24"/>
        </w:rPr>
        <w:t>检测报告等。承包人应按发包人的要求提交竣工资料，完成交工验收准备</w:t>
      </w:r>
      <w:r>
        <w:rPr>
          <w:rFonts w:ascii="宋体" w:hAnsi="宋体" w:eastAsia="宋体" w:cs="宋体"/>
          <w:sz w:val="20"/>
          <w:szCs w:val="20"/>
        </w:rPr>
        <w:t>工作。</w:t>
      </w:r>
    </w:p>
    <w:p>
      <w:pPr>
        <w:spacing w:before="180" w:line="360" w:lineRule="auto"/>
        <w:ind w:left="5" w:right="230" w:firstLine="484"/>
        <w:rPr>
          <w:rFonts w:ascii="宋体" w:hAnsi="宋体" w:eastAsia="宋体" w:cs="宋体"/>
          <w:sz w:val="24"/>
          <w:szCs w:val="24"/>
        </w:rPr>
      </w:pPr>
      <w:r>
        <w:rPr>
          <w:rFonts w:ascii="宋体" w:hAnsi="宋体" w:eastAsia="宋体" w:cs="宋体"/>
          <w:spacing w:val="-2"/>
          <w:sz w:val="24"/>
          <w:szCs w:val="24"/>
        </w:rPr>
        <w:t>交工验收是建设项目投产使用前的重要的、关键的工作，建设项目各参建单位要切</w:t>
      </w:r>
      <w:r>
        <w:rPr>
          <w:rFonts w:ascii="宋体" w:hAnsi="宋体" w:eastAsia="宋体" w:cs="宋体"/>
          <w:spacing w:val="4"/>
          <w:sz w:val="24"/>
          <w:szCs w:val="24"/>
        </w:rPr>
        <w:t xml:space="preserve"> </w:t>
      </w:r>
      <w:r>
        <w:rPr>
          <w:rFonts w:ascii="宋体" w:hAnsi="宋体" w:eastAsia="宋体" w:cs="宋体"/>
          <w:spacing w:val="-2"/>
          <w:sz w:val="24"/>
          <w:szCs w:val="24"/>
        </w:rPr>
        <w:t>实提高站位，压实主体责任，坚决扭转项目交工验收工作总结流于形式、质量差等突出</w:t>
      </w:r>
      <w:r>
        <w:rPr>
          <w:rFonts w:ascii="宋体" w:hAnsi="宋体" w:eastAsia="宋体" w:cs="宋体"/>
          <w:spacing w:val="12"/>
          <w:sz w:val="24"/>
          <w:szCs w:val="24"/>
        </w:rPr>
        <w:t xml:space="preserve"> </w:t>
      </w:r>
      <w:r>
        <w:rPr>
          <w:rFonts w:ascii="宋体" w:hAnsi="宋体" w:eastAsia="宋体" w:cs="宋体"/>
          <w:spacing w:val="-2"/>
          <w:sz w:val="24"/>
          <w:szCs w:val="24"/>
        </w:rPr>
        <w:t>问题，严格按照《广东省交通运输厅关于进一步加强公路建设项目交工验收工作管理的</w:t>
      </w:r>
      <w:r>
        <w:rPr>
          <w:rFonts w:ascii="宋体" w:hAnsi="宋体" w:eastAsia="宋体" w:cs="宋体"/>
          <w:spacing w:val="12"/>
          <w:sz w:val="24"/>
          <w:szCs w:val="24"/>
        </w:rPr>
        <w:t xml:space="preserve"> </w:t>
      </w:r>
      <w:r>
        <w:rPr>
          <w:rFonts w:ascii="宋体" w:hAnsi="宋体" w:eastAsia="宋体" w:cs="宋体"/>
          <w:spacing w:val="-6"/>
          <w:sz w:val="24"/>
          <w:szCs w:val="24"/>
        </w:rPr>
        <w:t>通知》的规定执行，要结合本项目实际认真扎实做好总结工作，总结材</w:t>
      </w:r>
      <w:r>
        <w:rPr>
          <w:rFonts w:ascii="宋体" w:hAnsi="宋体" w:eastAsia="宋体" w:cs="宋体"/>
          <w:spacing w:val="-7"/>
          <w:sz w:val="24"/>
          <w:szCs w:val="24"/>
        </w:rPr>
        <w:t>料力求简明扼要，</w:t>
      </w:r>
    </w:p>
    <w:p>
      <w:pPr>
        <w:spacing w:before="1" w:line="218" w:lineRule="auto"/>
        <w:ind w:left="7"/>
        <w:rPr>
          <w:rFonts w:ascii="宋体" w:hAnsi="宋体" w:eastAsia="宋体" w:cs="宋体"/>
          <w:sz w:val="24"/>
          <w:szCs w:val="24"/>
        </w:rPr>
      </w:pPr>
      <w:r>
        <w:rPr>
          <w:rFonts w:ascii="宋体" w:hAnsi="宋体" w:eastAsia="宋体" w:cs="宋体"/>
          <w:spacing w:val="-1"/>
          <w:sz w:val="24"/>
          <w:szCs w:val="24"/>
        </w:rPr>
        <w:t>文字精炼，重点突出，必要时辅以图表等辅助材料。</w:t>
      </w:r>
    </w:p>
    <w:p>
      <w:pPr>
        <w:spacing w:before="181" w:line="219" w:lineRule="auto"/>
        <w:ind w:left="503"/>
        <w:rPr>
          <w:rFonts w:ascii="宋体" w:hAnsi="宋体" w:eastAsia="宋体" w:cs="宋体"/>
          <w:sz w:val="24"/>
          <w:szCs w:val="24"/>
        </w:rPr>
      </w:pPr>
      <w:r>
        <w:rPr>
          <w:rFonts w:ascii="宋体" w:hAnsi="宋体" w:eastAsia="宋体" w:cs="宋体"/>
          <w:spacing w:val="-4"/>
          <w:sz w:val="24"/>
          <w:szCs w:val="24"/>
        </w:rPr>
        <w:t>18.9 竣工文件</w:t>
      </w:r>
    </w:p>
    <w:p>
      <w:pPr>
        <w:spacing w:before="183" w:line="219" w:lineRule="auto"/>
        <w:ind w:left="484"/>
        <w:rPr>
          <w:rFonts w:ascii="宋体" w:hAnsi="宋体" w:eastAsia="宋体" w:cs="宋体"/>
          <w:sz w:val="24"/>
          <w:szCs w:val="24"/>
        </w:rPr>
      </w:pPr>
      <w:r>
        <w:rPr>
          <w:rFonts w:ascii="宋体" w:hAnsi="宋体" w:eastAsia="宋体" w:cs="宋体"/>
          <w:spacing w:val="-1"/>
          <w:sz w:val="24"/>
          <w:szCs w:val="24"/>
        </w:rPr>
        <w:t>在本款后增加以下内容：</w:t>
      </w:r>
    </w:p>
    <w:p>
      <w:pPr>
        <w:spacing w:before="183" w:line="359" w:lineRule="auto"/>
        <w:ind w:left="4" w:right="289" w:firstLine="532"/>
        <w:rPr>
          <w:rFonts w:ascii="宋体" w:hAnsi="宋体" w:eastAsia="宋体" w:cs="宋体"/>
          <w:sz w:val="24"/>
          <w:szCs w:val="24"/>
        </w:rPr>
      </w:pPr>
      <w:r>
        <w:rPr>
          <w:rFonts w:ascii="宋体" w:hAnsi="宋体" w:eastAsia="宋体" w:cs="宋体"/>
          <w:spacing w:val="-3"/>
          <w:sz w:val="24"/>
          <w:szCs w:val="24"/>
        </w:rPr>
        <w:t>在工程实施过程中及在项目完工后，承包人应按照《广东省交通</w:t>
      </w:r>
      <w:r>
        <w:rPr>
          <w:rFonts w:ascii="宋体" w:hAnsi="宋体" w:eastAsia="宋体" w:cs="宋体"/>
          <w:spacing w:val="-4"/>
          <w:sz w:val="24"/>
          <w:szCs w:val="24"/>
        </w:rPr>
        <w:t>运输厅关于公路建</w:t>
      </w:r>
      <w:r>
        <w:rPr>
          <w:rFonts w:ascii="宋体" w:hAnsi="宋体" w:eastAsia="宋体" w:cs="宋体"/>
          <w:sz w:val="24"/>
          <w:szCs w:val="24"/>
        </w:rPr>
        <w:t xml:space="preserve"> </w:t>
      </w:r>
      <w:r>
        <w:rPr>
          <w:rFonts w:ascii="宋体" w:hAnsi="宋体" w:eastAsia="宋体" w:cs="宋体"/>
          <w:spacing w:val="-2"/>
          <w:sz w:val="24"/>
          <w:szCs w:val="24"/>
        </w:rPr>
        <w:t>设项目档案的管理办法》和发包人制定的竣工文件资料管理办法的规定开展竣工文件材</w:t>
      </w:r>
      <w:r>
        <w:rPr>
          <w:rFonts w:ascii="宋体" w:hAnsi="宋体" w:eastAsia="宋体" w:cs="宋体"/>
          <w:spacing w:val="13"/>
          <w:sz w:val="24"/>
          <w:szCs w:val="24"/>
        </w:rPr>
        <w:t xml:space="preserve"> </w:t>
      </w:r>
      <w:r>
        <w:rPr>
          <w:rFonts w:ascii="宋体" w:hAnsi="宋体" w:eastAsia="宋体" w:cs="宋体"/>
          <w:spacing w:val="-2"/>
          <w:sz w:val="24"/>
          <w:szCs w:val="24"/>
        </w:rPr>
        <w:t>料的编制、收集、整理、立卷、归档及信息化平台上传等工作，相应的竣工档案编制费</w:t>
      </w:r>
      <w:r>
        <w:rPr>
          <w:rFonts w:ascii="宋体" w:hAnsi="宋体" w:eastAsia="宋体" w:cs="宋体"/>
          <w:spacing w:val="13"/>
          <w:sz w:val="24"/>
          <w:szCs w:val="24"/>
        </w:rPr>
        <w:t xml:space="preserve"> </w:t>
      </w:r>
      <w:r>
        <w:rPr>
          <w:rFonts w:ascii="宋体" w:hAnsi="宋体" w:eastAsia="宋体" w:cs="宋体"/>
          <w:spacing w:val="-3"/>
          <w:sz w:val="24"/>
          <w:szCs w:val="24"/>
        </w:rPr>
        <w:t>按指定金额在工程量清单第</w:t>
      </w:r>
      <w:r>
        <w:rPr>
          <w:rFonts w:ascii="宋体" w:hAnsi="宋体" w:eastAsia="宋体" w:cs="宋体"/>
          <w:spacing w:val="-23"/>
          <w:sz w:val="24"/>
          <w:szCs w:val="24"/>
        </w:rPr>
        <w:t xml:space="preserve"> </w:t>
      </w:r>
      <w:r>
        <w:rPr>
          <w:rFonts w:ascii="宋体" w:hAnsi="宋体" w:eastAsia="宋体" w:cs="宋体"/>
          <w:spacing w:val="-3"/>
          <w:sz w:val="24"/>
          <w:szCs w:val="24"/>
        </w:rPr>
        <w:t>100</w:t>
      </w:r>
      <w:r>
        <w:rPr>
          <w:rFonts w:ascii="宋体" w:hAnsi="宋体" w:eastAsia="宋体" w:cs="宋体"/>
          <w:spacing w:val="-43"/>
          <w:sz w:val="24"/>
          <w:szCs w:val="24"/>
        </w:rPr>
        <w:t xml:space="preserve"> </w:t>
      </w:r>
      <w:r>
        <w:rPr>
          <w:rFonts w:ascii="宋体" w:hAnsi="宋体" w:eastAsia="宋体" w:cs="宋体"/>
          <w:spacing w:val="-3"/>
          <w:sz w:val="24"/>
          <w:szCs w:val="24"/>
        </w:rPr>
        <w:t>章中以总额报价。承包人向发包人提交的合格的竣工文</w:t>
      </w:r>
      <w:r>
        <w:rPr>
          <w:rFonts w:ascii="宋体" w:hAnsi="宋体" w:eastAsia="宋体" w:cs="宋体"/>
          <w:sz w:val="24"/>
          <w:szCs w:val="24"/>
        </w:rPr>
        <w:t xml:space="preserve"> </w:t>
      </w:r>
      <w:r>
        <w:rPr>
          <w:rFonts w:ascii="宋体" w:hAnsi="宋体" w:eastAsia="宋体" w:cs="宋体"/>
          <w:spacing w:val="-2"/>
          <w:sz w:val="24"/>
          <w:szCs w:val="24"/>
        </w:rPr>
        <w:t>件中必须包括有整套竣工图的电子档案。承包人在完成施工图表等竣工文件的同时，还</w:t>
      </w:r>
      <w:r>
        <w:rPr>
          <w:rFonts w:ascii="宋体" w:hAnsi="宋体" w:eastAsia="宋体" w:cs="宋体"/>
          <w:spacing w:val="13"/>
          <w:sz w:val="24"/>
          <w:szCs w:val="24"/>
        </w:rPr>
        <w:t xml:space="preserve"> </w:t>
      </w:r>
      <w:r>
        <w:rPr>
          <w:rFonts w:ascii="宋体" w:hAnsi="宋体" w:eastAsia="宋体" w:cs="宋体"/>
          <w:spacing w:val="-8"/>
          <w:sz w:val="24"/>
          <w:szCs w:val="24"/>
        </w:rPr>
        <w:t>应按《广东省交通运输厅关于印发广东省公路工程竣工决算文件编制指南的通知》、《交</w:t>
      </w:r>
      <w:r>
        <w:rPr>
          <w:rFonts w:ascii="宋体" w:hAnsi="宋体" w:eastAsia="宋体" w:cs="宋体"/>
          <w:spacing w:val="12"/>
          <w:sz w:val="24"/>
          <w:szCs w:val="24"/>
        </w:rPr>
        <w:t xml:space="preserve"> </w:t>
      </w:r>
      <w:r>
        <w:rPr>
          <w:rFonts w:ascii="宋体" w:hAnsi="宋体" w:eastAsia="宋体" w:cs="宋体"/>
          <w:spacing w:val="-2"/>
          <w:sz w:val="24"/>
          <w:szCs w:val="24"/>
        </w:rPr>
        <w:t>通运输部基本建设项目竣工财务决算编审规定》的规定，编制由承包人实施的工程结算</w:t>
      </w:r>
    </w:p>
    <w:p>
      <w:pPr>
        <w:spacing w:before="1" w:line="219" w:lineRule="auto"/>
        <w:ind w:left="7"/>
        <w:rPr>
          <w:rFonts w:ascii="宋体" w:hAnsi="宋体" w:eastAsia="宋体" w:cs="宋体"/>
          <w:sz w:val="24"/>
          <w:szCs w:val="24"/>
        </w:rPr>
      </w:pPr>
      <w:r>
        <w:rPr>
          <w:rFonts w:ascii="宋体" w:hAnsi="宋体" w:eastAsia="宋体" w:cs="宋体"/>
          <w:spacing w:val="-1"/>
          <w:sz w:val="24"/>
          <w:szCs w:val="24"/>
        </w:rPr>
        <w:t>文件，报监理人审核，作为竣工文件的一部分。</w:t>
      </w:r>
    </w:p>
    <w:p>
      <w:pPr>
        <w:spacing w:before="182" w:line="466" w:lineRule="exact"/>
        <w:ind w:left="542"/>
        <w:rPr>
          <w:rFonts w:ascii="宋体" w:hAnsi="宋体" w:eastAsia="宋体" w:cs="宋体"/>
          <w:sz w:val="24"/>
          <w:szCs w:val="24"/>
        </w:rPr>
      </w:pPr>
      <w:r>
        <w:rPr>
          <w:rFonts w:ascii="宋体" w:hAnsi="宋体" w:eastAsia="宋体" w:cs="宋体"/>
          <w:spacing w:val="-3"/>
          <w:position w:val="17"/>
          <w:sz w:val="24"/>
          <w:szCs w:val="24"/>
        </w:rPr>
        <w:t>如有需要发包人有权指定单位或相关部门进行整个项目</w:t>
      </w:r>
      <w:r>
        <w:rPr>
          <w:rFonts w:ascii="宋体" w:hAnsi="宋体" w:eastAsia="宋体" w:cs="宋体"/>
          <w:spacing w:val="-4"/>
          <w:position w:val="17"/>
          <w:sz w:val="24"/>
          <w:szCs w:val="24"/>
        </w:rPr>
        <w:t>的竣工资料统一编制，承包</w:t>
      </w:r>
    </w:p>
    <w:p>
      <w:pPr>
        <w:spacing w:line="219" w:lineRule="auto"/>
        <w:ind w:left="7"/>
        <w:rPr>
          <w:rFonts w:ascii="宋体" w:hAnsi="宋体" w:eastAsia="宋体" w:cs="宋体"/>
          <w:sz w:val="24"/>
          <w:szCs w:val="24"/>
        </w:rPr>
      </w:pPr>
      <w:r>
        <w:rPr>
          <w:rFonts w:ascii="宋体" w:hAnsi="宋体" w:eastAsia="宋体" w:cs="宋体"/>
          <w:spacing w:val="-1"/>
          <w:sz w:val="24"/>
          <w:szCs w:val="24"/>
        </w:rPr>
        <w:t>人应予以积极配合，所发生费用由承包人承担。</w:t>
      </w:r>
    </w:p>
    <w:p>
      <w:pPr>
        <w:spacing w:before="181" w:line="219" w:lineRule="auto"/>
        <w:ind w:left="23"/>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19.</w:t>
      </w:r>
      <w:r>
        <w:rPr>
          <w:rFonts w:ascii="宋体" w:hAnsi="宋体" w:eastAsia="宋体" w:cs="宋体"/>
          <w:spacing w:val="-2"/>
          <w:sz w:val="24"/>
          <w:szCs w:val="24"/>
        </w:rPr>
        <w:t xml:space="preserve"> </w:t>
      </w:r>
      <w:r>
        <w:rPr>
          <w:rFonts w:ascii="宋体" w:hAnsi="宋体" w:eastAsia="宋体" w:cs="宋体"/>
          <w:spacing w:val="-2"/>
          <w:sz w:val="24"/>
          <w:szCs w:val="24"/>
          <w14:textOutline w14:w="4358" w14:cap="sq" w14:cmpd="sng">
            <w14:solidFill>
              <w14:srgbClr w14:val="000000"/>
            </w14:solidFill>
            <w14:prstDash w14:val="solid"/>
            <w14:bevel/>
          </w14:textOutline>
        </w:rPr>
        <w:t>缺陷责任与保修责任</w:t>
      </w:r>
    </w:p>
    <w:p>
      <w:pPr>
        <w:spacing w:before="184" w:line="219" w:lineRule="auto"/>
        <w:ind w:left="503"/>
        <w:rPr>
          <w:rFonts w:ascii="宋体" w:hAnsi="宋体" w:eastAsia="宋体" w:cs="宋体"/>
          <w:sz w:val="24"/>
          <w:szCs w:val="24"/>
        </w:rPr>
      </w:pPr>
      <w:r>
        <w:rPr>
          <w:rFonts w:ascii="宋体" w:hAnsi="宋体" w:eastAsia="宋体" w:cs="宋体"/>
          <w:spacing w:val="-4"/>
          <w:sz w:val="24"/>
          <w:szCs w:val="24"/>
        </w:rPr>
        <w:t>19.2 缺陷责任</w:t>
      </w:r>
    </w:p>
    <w:p>
      <w:pPr>
        <w:spacing w:before="181" w:line="219" w:lineRule="auto"/>
        <w:ind w:left="484"/>
        <w:rPr>
          <w:rFonts w:ascii="宋体" w:hAnsi="宋体" w:eastAsia="宋体" w:cs="宋体"/>
          <w:sz w:val="24"/>
          <w:szCs w:val="24"/>
        </w:rPr>
      </w:pPr>
      <w:r>
        <w:rPr>
          <w:rFonts w:ascii="宋体" w:hAnsi="宋体" w:eastAsia="宋体" w:cs="宋体"/>
          <w:spacing w:val="-4"/>
          <w:sz w:val="24"/>
          <w:szCs w:val="24"/>
        </w:rPr>
        <w:t>在</w:t>
      </w:r>
      <w:r>
        <w:rPr>
          <w:rFonts w:ascii="宋体" w:hAnsi="宋体" w:eastAsia="宋体" w:cs="宋体"/>
          <w:spacing w:val="-19"/>
          <w:sz w:val="24"/>
          <w:szCs w:val="24"/>
        </w:rPr>
        <w:t xml:space="preserve"> </w:t>
      </w:r>
      <w:r>
        <w:rPr>
          <w:rFonts w:ascii="宋体" w:hAnsi="宋体" w:eastAsia="宋体" w:cs="宋体"/>
          <w:spacing w:val="-4"/>
          <w:sz w:val="24"/>
          <w:szCs w:val="24"/>
        </w:rPr>
        <w:t>19.2.2</w:t>
      </w:r>
      <w:r>
        <w:rPr>
          <w:rFonts w:ascii="宋体" w:hAnsi="宋体" w:eastAsia="宋体" w:cs="宋体"/>
          <w:spacing w:val="-47"/>
          <w:sz w:val="24"/>
          <w:szCs w:val="24"/>
        </w:rPr>
        <w:t xml:space="preserve"> </w:t>
      </w:r>
      <w:r>
        <w:rPr>
          <w:rFonts w:ascii="宋体" w:hAnsi="宋体" w:eastAsia="宋体" w:cs="宋体"/>
          <w:spacing w:val="-4"/>
          <w:sz w:val="24"/>
          <w:szCs w:val="24"/>
        </w:rPr>
        <w:t>项后增加以下内容：</w:t>
      </w:r>
    </w:p>
    <w:p>
      <w:pPr>
        <w:spacing w:before="183" w:line="219" w:lineRule="auto"/>
        <w:ind w:left="538"/>
        <w:rPr>
          <w:rFonts w:ascii="宋体" w:hAnsi="宋体" w:eastAsia="宋体" w:cs="宋体"/>
          <w:sz w:val="24"/>
          <w:szCs w:val="24"/>
        </w:rPr>
      </w:pPr>
      <w:r>
        <w:rPr>
          <w:rFonts w:ascii="宋体" w:hAnsi="宋体" w:eastAsia="宋体" w:cs="宋体"/>
          <w:spacing w:val="-3"/>
          <w:sz w:val="24"/>
          <w:szCs w:val="24"/>
        </w:rPr>
        <w:t>承包人应在缺陷责任期内安排专人负责缺陷责任期的管理工作，</w:t>
      </w:r>
      <w:r>
        <w:rPr>
          <w:rFonts w:ascii="宋体" w:hAnsi="宋体" w:eastAsia="宋体" w:cs="宋体"/>
          <w:spacing w:val="-4"/>
          <w:sz w:val="24"/>
          <w:szCs w:val="24"/>
        </w:rPr>
        <w:t>并确保在接到发包</w:t>
      </w:r>
    </w:p>
    <w:p>
      <w:pPr>
        <w:spacing w:line="425" w:lineRule="auto"/>
        <w:rPr>
          <w:rFonts w:ascii="Arial"/>
          <w:sz w:val="21"/>
        </w:rPr>
      </w:pPr>
    </w:p>
    <w:p>
      <w:pPr>
        <w:spacing w:before="78" w:line="359" w:lineRule="auto"/>
        <w:ind w:left="4" w:right="291" w:firstLine="2"/>
        <w:jc w:val="both"/>
        <w:rPr>
          <w:rFonts w:ascii="宋体" w:hAnsi="宋体" w:eastAsia="宋体" w:cs="宋体"/>
          <w:sz w:val="24"/>
          <w:szCs w:val="24"/>
        </w:rPr>
      </w:pPr>
      <w:r>
        <w:rPr>
          <w:rFonts w:ascii="宋体" w:hAnsi="宋体" w:eastAsia="宋体" w:cs="宋体"/>
          <w:spacing w:val="1"/>
          <w:sz w:val="24"/>
          <w:szCs w:val="24"/>
        </w:rPr>
        <w:t>人要求处理有关缺陷事项的通知后</w:t>
      </w:r>
      <w:r>
        <w:rPr>
          <w:rFonts w:ascii="宋体" w:hAnsi="宋体" w:eastAsia="宋体" w:cs="宋体"/>
          <w:spacing w:val="-45"/>
          <w:sz w:val="24"/>
          <w:szCs w:val="24"/>
        </w:rPr>
        <w:t xml:space="preserve"> </w:t>
      </w:r>
      <w:r>
        <w:rPr>
          <w:rFonts w:ascii="宋体" w:hAnsi="宋体" w:eastAsia="宋体" w:cs="宋体"/>
          <w:spacing w:val="1"/>
          <w:sz w:val="24"/>
          <w:szCs w:val="24"/>
        </w:rPr>
        <w:t>24</w:t>
      </w:r>
      <w:r>
        <w:rPr>
          <w:rFonts w:ascii="宋体" w:hAnsi="宋体" w:eastAsia="宋体" w:cs="宋体"/>
          <w:spacing w:val="-44"/>
          <w:sz w:val="24"/>
          <w:szCs w:val="24"/>
        </w:rPr>
        <w:t xml:space="preserve"> </w:t>
      </w:r>
      <w:r>
        <w:rPr>
          <w:rFonts w:ascii="宋体" w:hAnsi="宋体" w:eastAsia="宋体" w:cs="宋体"/>
          <w:spacing w:val="1"/>
          <w:sz w:val="24"/>
          <w:szCs w:val="24"/>
        </w:rPr>
        <w:t>小时内到</w:t>
      </w:r>
      <w:r>
        <w:rPr>
          <w:rFonts w:ascii="宋体" w:hAnsi="宋体" w:eastAsia="宋体" w:cs="宋体"/>
          <w:sz w:val="24"/>
          <w:szCs w:val="24"/>
        </w:rPr>
        <w:t xml:space="preserve">达现场，到达现场后随即采取有效措施 </w:t>
      </w:r>
      <w:r>
        <w:rPr>
          <w:rFonts w:ascii="宋体" w:hAnsi="宋体" w:eastAsia="宋体" w:cs="宋体"/>
          <w:spacing w:val="-2"/>
          <w:sz w:val="24"/>
          <w:szCs w:val="24"/>
        </w:rPr>
        <w:t>解决工程遗留的缺陷或其他问题。承包人未履行本款规定的缺陷处治责任义务，视为承</w:t>
      </w:r>
    </w:p>
    <w:p>
      <w:pPr>
        <w:spacing w:line="219" w:lineRule="auto"/>
        <w:ind w:left="5"/>
        <w:rPr>
          <w:rFonts w:ascii="宋体" w:hAnsi="宋体" w:eastAsia="宋体" w:cs="宋体"/>
          <w:sz w:val="24"/>
          <w:szCs w:val="24"/>
        </w:rPr>
      </w:pPr>
      <w:r>
        <w:rPr>
          <w:rFonts w:ascii="宋体" w:hAnsi="宋体" w:eastAsia="宋体" w:cs="宋体"/>
          <w:spacing w:val="-2"/>
          <w:sz w:val="24"/>
          <w:szCs w:val="24"/>
        </w:rPr>
        <w:t>包人违约并按</w:t>
      </w:r>
      <w:r>
        <w:rPr>
          <w:rFonts w:ascii="宋体" w:hAnsi="宋体" w:eastAsia="宋体" w:cs="宋体"/>
          <w:spacing w:val="-48"/>
          <w:sz w:val="24"/>
          <w:szCs w:val="24"/>
        </w:rPr>
        <w:t xml:space="preserve"> </w:t>
      </w:r>
      <w:r>
        <w:rPr>
          <w:rFonts w:ascii="宋体" w:hAnsi="宋体" w:eastAsia="宋体" w:cs="宋体"/>
          <w:spacing w:val="-2"/>
          <w:sz w:val="24"/>
          <w:szCs w:val="24"/>
        </w:rPr>
        <w:t>22.1</w:t>
      </w:r>
      <w:r>
        <w:rPr>
          <w:rFonts w:ascii="宋体" w:hAnsi="宋体" w:eastAsia="宋体" w:cs="宋体"/>
          <w:spacing w:val="-50"/>
          <w:sz w:val="24"/>
          <w:szCs w:val="24"/>
        </w:rPr>
        <w:t xml:space="preserve"> </w:t>
      </w:r>
      <w:r>
        <w:rPr>
          <w:rFonts w:ascii="宋体" w:hAnsi="宋体" w:eastAsia="宋体" w:cs="宋体"/>
          <w:spacing w:val="-2"/>
          <w:sz w:val="24"/>
          <w:szCs w:val="24"/>
        </w:rPr>
        <w:t>款约定处理。</w:t>
      </w:r>
    </w:p>
    <w:p>
      <w:pPr>
        <w:spacing w:before="180" w:line="219" w:lineRule="auto"/>
        <w:ind w:left="443"/>
        <w:rPr>
          <w:rFonts w:ascii="宋体" w:hAnsi="宋体" w:eastAsia="宋体" w:cs="宋体"/>
          <w:sz w:val="24"/>
          <w:szCs w:val="24"/>
        </w:rPr>
      </w:pPr>
      <w:r>
        <w:rPr>
          <w:rFonts w:ascii="宋体" w:hAnsi="宋体" w:eastAsia="宋体" w:cs="宋体"/>
          <w:spacing w:val="-4"/>
          <w:sz w:val="24"/>
          <w:szCs w:val="24"/>
        </w:rPr>
        <w:t>19.7 保修责任</w:t>
      </w:r>
    </w:p>
    <w:p>
      <w:pPr>
        <w:spacing w:before="182" w:line="220" w:lineRule="auto"/>
        <w:ind w:left="503"/>
        <w:rPr>
          <w:rFonts w:ascii="宋体" w:hAnsi="宋体" w:eastAsia="宋体" w:cs="宋体"/>
          <w:sz w:val="24"/>
          <w:szCs w:val="24"/>
        </w:rPr>
      </w:pPr>
      <w:r>
        <w:rPr>
          <w:rFonts w:ascii="宋体" w:hAnsi="宋体" w:eastAsia="宋体" w:cs="宋体"/>
          <w:spacing w:val="-8"/>
          <w:sz w:val="24"/>
          <w:szCs w:val="24"/>
        </w:rPr>
        <w:t>19.7（1）</w:t>
      </w:r>
      <w:r>
        <w:rPr>
          <w:rFonts w:ascii="宋体" w:hAnsi="宋体" w:eastAsia="宋体" w:cs="宋体"/>
          <w:spacing w:val="-61"/>
          <w:sz w:val="24"/>
          <w:szCs w:val="24"/>
        </w:rPr>
        <w:t xml:space="preserve"> </w:t>
      </w:r>
      <w:r>
        <w:rPr>
          <w:rFonts w:ascii="宋体" w:hAnsi="宋体" w:eastAsia="宋体" w:cs="宋体"/>
          <w:spacing w:val="-8"/>
          <w:sz w:val="24"/>
          <w:szCs w:val="24"/>
        </w:rPr>
        <w:t>目补充：</w:t>
      </w:r>
    </w:p>
    <w:p>
      <w:pPr>
        <w:spacing w:before="180" w:line="219" w:lineRule="auto"/>
        <w:ind w:left="481"/>
        <w:rPr>
          <w:rFonts w:ascii="宋体" w:hAnsi="宋体" w:eastAsia="宋体" w:cs="宋体"/>
          <w:sz w:val="24"/>
          <w:szCs w:val="24"/>
        </w:rPr>
      </w:pPr>
      <w:r>
        <w:rPr>
          <w:rFonts w:ascii="宋体" w:hAnsi="宋体" w:eastAsia="宋体" w:cs="宋体"/>
          <w:spacing w:val="-1"/>
          <w:sz w:val="24"/>
          <w:szCs w:val="24"/>
        </w:rPr>
        <w:t>详见项目专用合同条款数据表中约定。</w:t>
      </w:r>
    </w:p>
    <w:p>
      <w:pPr>
        <w:spacing w:before="183" w:line="220" w:lineRule="auto"/>
        <w:ind w:left="488"/>
        <w:rPr>
          <w:rFonts w:ascii="宋体" w:hAnsi="宋体" w:eastAsia="宋体" w:cs="宋体"/>
          <w:sz w:val="24"/>
          <w:szCs w:val="24"/>
        </w:rPr>
      </w:pPr>
      <w:r>
        <w:rPr>
          <w:rFonts w:ascii="宋体" w:hAnsi="宋体" w:eastAsia="宋体" w:cs="宋体"/>
          <w:spacing w:val="-5"/>
          <w:sz w:val="24"/>
          <w:szCs w:val="24"/>
          <w14:textOutline w14:w="4358" w14:cap="sq" w14:cmpd="sng">
            <w14:solidFill>
              <w14:srgbClr w14:val="000000"/>
            </w14:solidFill>
            <w14:prstDash w14:val="solid"/>
            <w14:bevel/>
          </w14:textOutline>
        </w:rPr>
        <w:t>20.</w:t>
      </w:r>
      <w:r>
        <w:rPr>
          <w:rFonts w:ascii="宋体" w:hAnsi="宋体" w:eastAsia="宋体" w:cs="宋体"/>
          <w:spacing w:val="16"/>
          <w:sz w:val="24"/>
          <w:szCs w:val="24"/>
        </w:rPr>
        <w:t xml:space="preserve"> </w:t>
      </w:r>
      <w:r>
        <w:rPr>
          <w:rFonts w:ascii="宋体" w:hAnsi="宋体" w:eastAsia="宋体" w:cs="宋体"/>
          <w:spacing w:val="-5"/>
          <w:sz w:val="24"/>
          <w:szCs w:val="24"/>
          <w14:textOutline w14:w="4358" w14:cap="sq" w14:cmpd="sng">
            <w14:solidFill>
              <w14:srgbClr w14:val="000000"/>
            </w14:solidFill>
            <w14:prstDash w14:val="solid"/>
            <w14:bevel/>
          </w14:textOutline>
        </w:rPr>
        <w:t>保险</w:t>
      </w:r>
    </w:p>
    <w:p>
      <w:pPr>
        <w:spacing w:before="180" w:line="220" w:lineRule="auto"/>
        <w:ind w:left="488"/>
        <w:rPr>
          <w:rFonts w:ascii="宋体" w:hAnsi="宋体" w:eastAsia="宋体" w:cs="宋体"/>
          <w:sz w:val="24"/>
          <w:szCs w:val="24"/>
        </w:rPr>
      </w:pPr>
      <w:r>
        <w:rPr>
          <w:rFonts w:ascii="宋体" w:hAnsi="宋体" w:eastAsia="宋体" w:cs="宋体"/>
          <w:spacing w:val="-4"/>
          <w:sz w:val="24"/>
          <w:szCs w:val="24"/>
        </w:rPr>
        <w:t>20.1</w:t>
      </w:r>
      <w:r>
        <w:rPr>
          <w:rFonts w:ascii="宋体" w:hAnsi="宋体" w:eastAsia="宋体" w:cs="宋体"/>
          <w:spacing w:val="-42"/>
          <w:sz w:val="24"/>
          <w:szCs w:val="24"/>
        </w:rPr>
        <w:t xml:space="preserve"> </w:t>
      </w:r>
      <w:r>
        <w:rPr>
          <w:rFonts w:ascii="宋体" w:hAnsi="宋体" w:eastAsia="宋体" w:cs="宋体"/>
          <w:spacing w:val="-4"/>
          <w:sz w:val="24"/>
          <w:szCs w:val="24"/>
        </w:rPr>
        <w:t>工程保险</w:t>
      </w:r>
    </w:p>
    <w:p>
      <w:pPr>
        <w:spacing w:before="182" w:line="219" w:lineRule="auto"/>
        <w:ind w:left="485"/>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41"/>
          <w:sz w:val="24"/>
          <w:szCs w:val="24"/>
        </w:rPr>
        <w:t xml:space="preserve"> </w:t>
      </w:r>
      <w:r>
        <w:rPr>
          <w:rFonts w:ascii="宋体" w:hAnsi="宋体" w:eastAsia="宋体" w:cs="宋体"/>
          <w:spacing w:val="-4"/>
          <w:sz w:val="24"/>
          <w:szCs w:val="24"/>
        </w:rPr>
        <w:t>20.1</w:t>
      </w:r>
      <w:r>
        <w:rPr>
          <w:rFonts w:ascii="宋体" w:hAnsi="宋体" w:eastAsia="宋体" w:cs="宋体"/>
          <w:spacing w:val="-50"/>
          <w:sz w:val="24"/>
          <w:szCs w:val="24"/>
        </w:rPr>
        <w:t xml:space="preserve"> </w:t>
      </w:r>
      <w:r>
        <w:rPr>
          <w:rFonts w:ascii="宋体" w:hAnsi="宋体" w:eastAsia="宋体" w:cs="宋体"/>
          <w:spacing w:val="-4"/>
          <w:sz w:val="24"/>
          <w:szCs w:val="24"/>
        </w:rPr>
        <w:t>款修改为：</w:t>
      </w:r>
    </w:p>
    <w:p>
      <w:pPr>
        <w:spacing w:before="181" w:line="219" w:lineRule="auto"/>
        <w:ind w:left="488"/>
        <w:rPr>
          <w:rFonts w:ascii="宋体" w:hAnsi="宋体" w:eastAsia="宋体" w:cs="宋体"/>
          <w:sz w:val="24"/>
          <w:szCs w:val="24"/>
        </w:rPr>
      </w:pPr>
      <w:r>
        <w:rPr>
          <w:rFonts w:ascii="宋体" w:hAnsi="宋体" w:eastAsia="宋体" w:cs="宋体"/>
          <w:spacing w:val="-2"/>
          <w:sz w:val="24"/>
          <w:szCs w:val="24"/>
        </w:rPr>
        <w:t>20.1</w:t>
      </w:r>
      <w:r>
        <w:rPr>
          <w:rFonts w:ascii="宋体" w:hAnsi="宋体" w:eastAsia="宋体" w:cs="宋体"/>
          <w:spacing w:val="-38"/>
          <w:sz w:val="24"/>
          <w:szCs w:val="24"/>
        </w:rPr>
        <w:t xml:space="preserve"> </w:t>
      </w:r>
      <w:r>
        <w:rPr>
          <w:rFonts w:ascii="宋体" w:hAnsi="宋体" w:eastAsia="宋体" w:cs="宋体"/>
          <w:spacing w:val="-2"/>
          <w:sz w:val="24"/>
          <w:szCs w:val="24"/>
        </w:rPr>
        <w:t>建筑工程一切险及第三者责任险</w:t>
      </w:r>
    </w:p>
    <w:p>
      <w:pPr>
        <w:spacing w:before="183" w:line="359" w:lineRule="auto"/>
        <w:ind w:left="4" w:right="291" w:firstLine="536"/>
        <w:rPr>
          <w:rFonts w:ascii="宋体" w:hAnsi="宋体" w:eastAsia="宋体" w:cs="宋体"/>
          <w:sz w:val="24"/>
          <w:szCs w:val="24"/>
        </w:rPr>
      </w:pPr>
      <w:r>
        <w:rPr>
          <w:rFonts w:ascii="宋体" w:hAnsi="宋体" w:eastAsia="宋体" w:cs="宋体"/>
          <w:sz w:val="24"/>
          <w:szCs w:val="24"/>
        </w:rPr>
        <w:t>20.1.1 建筑工程一切险的投保内容：为本合同工程的永久工程、临时工程和</w:t>
      </w:r>
      <w:r>
        <w:rPr>
          <w:rFonts w:ascii="宋体" w:hAnsi="宋体" w:eastAsia="宋体" w:cs="宋体"/>
          <w:spacing w:val="-1"/>
          <w:sz w:val="24"/>
          <w:szCs w:val="24"/>
        </w:rPr>
        <w:t>设备</w:t>
      </w:r>
      <w:r>
        <w:rPr>
          <w:rFonts w:ascii="宋体" w:hAnsi="宋体" w:eastAsia="宋体" w:cs="宋体"/>
          <w:sz w:val="24"/>
          <w:szCs w:val="24"/>
        </w:rPr>
        <w:t xml:space="preserve"> </w:t>
      </w:r>
      <w:r>
        <w:rPr>
          <w:rFonts w:ascii="宋体" w:hAnsi="宋体" w:eastAsia="宋体" w:cs="宋体"/>
          <w:spacing w:val="5"/>
          <w:sz w:val="24"/>
          <w:szCs w:val="24"/>
        </w:rPr>
        <w:t>及已运至施工工地用于永久工程的材料和设备所投的保险。第</w:t>
      </w:r>
      <w:r>
        <w:rPr>
          <w:rFonts w:ascii="宋体" w:hAnsi="宋体" w:eastAsia="宋体" w:cs="宋体"/>
          <w:spacing w:val="4"/>
          <w:sz w:val="24"/>
          <w:szCs w:val="24"/>
        </w:rPr>
        <w:t>三者责任系指在保险期</w:t>
      </w:r>
      <w:r>
        <w:rPr>
          <w:rFonts w:ascii="宋体" w:hAnsi="宋体" w:eastAsia="宋体" w:cs="宋体"/>
          <w:sz w:val="24"/>
          <w:szCs w:val="24"/>
        </w:rPr>
        <w:t xml:space="preserve"> </w:t>
      </w:r>
      <w:r>
        <w:rPr>
          <w:rFonts w:ascii="宋体" w:hAnsi="宋体" w:eastAsia="宋体" w:cs="宋体"/>
          <w:spacing w:val="-2"/>
          <w:sz w:val="24"/>
          <w:szCs w:val="24"/>
        </w:rPr>
        <w:t>内，对因工程意外事故造成的、依法应由被保险人负责的工地上及毗邻地区的第三者人</w:t>
      </w:r>
      <w:r>
        <w:rPr>
          <w:rFonts w:ascii="宋体" w:hAnsi="宋体" w:eastAsia="宋体" w:cs="宋体"/>
          <w:spacing w:val="13"/>
          <w:sz w:val="24"/>
          <w:szCs w:val="24"/>
        </w:rPr>
        <w:t xml:space="preserve"> </w:t>
      </w:r>
      <w:r>
        <w:rPr>
          <w:rFonts w:ascii="宋体" w:hAnsi="宋体" w:eastAsia="宋体" w:cs="宋体"/>
          <w:spacing w:val="-2"/>
          <w:sz w:val="24"/>
          <w:szCs w:val="24"/>
        </w:rPr>
        <w:t>身伤亡、疾病或财产损失（本工程除外</w:t>
      </w:r>
      <w:r>
        <w:rPr>
          <w:rFonts w:ascii="宋体" w:hAnsi="宋体" w:eastAsia="宋体" w:cs="宋体"/>
          <w:spacing w:val="5"/>
          <w:sz w:val="24"/>
          <w:szCs w:val="24"/>
        </w:rPr>
        <w:t>），</w:t>
      </w:r>
      <w:r>
        <w:rPr>
          <w:rFonts w:ascii="宋体" w:hAnsi="宋体" w:eastAsia="宋体" w:cs="宋体"/>
          <w:spacing w:val="-2"/>
          <w:sz w:val="24"/>
          <w:szCs w:val="24"/>
        </w:rPr>
        <w:t>以及被保险人因此而支付的诉讼费用和事先</w:t>
      </w:r>
    </w:p>
    <w:p>
      <w:pPr>
        <w:spacing w:before="1" w:line="218" w:lineRule="auto"/>
        <w:ind w:left="7"/>
        <w:rPr>
          <w:rFonts w:ascii="宋体" w:hAnsi="宋体" w:eastAsia="宋体" w:cs="宋体"/>
          <w:sz w:val="24"/>
          <w:szCs w:val="24"/>
        </w:rPr>
      </w:pPr>
      <w:r>
        <w:rPr>
          <w:rFonts w:ascii="宋体" w:hAnsi="宋体" w:eastAsia="宋体" w:cs="宋体"/>
          <w:spacing w:val="-1"/>
          <w:sz w:val="24"/>
          <w:szCs w:val="24"/>
        </w:rPr>
        <w:t>经保险人书面同意支付的其他费用等赔偿责任。</w:t>
      </w:r>
    </w:p>
    <w:p>
      <w:pPr>
        <w:spacing w:before="184" w:line="358" w:lineRule="auto"/>
        <w:ind w:left="486"/>
        <w:rPr>
          <w:rFonts w:ascii="宋体" w:hAnsi="宋体" w:eastAsia="宋体" w:cs="宋体"/>
          <w:sz w:val="24"/>
          <w:szCs w:val="24"/>
        </w:rPr>
      </w:pPr>
      <w:r>
        <w:rPr>
          <w:rFonts w:ascii="宋体" w:hAnsi="宋体" w:eastAsia="宋体" w:cs="宋体"/>
          <w:spacing w:val="-4"/>
          <w:sz w:val="24"/>
          <w:szCs w:val="24"/>
        </w:rPr>
        <w:t>保险金额：</w:t>
      </w:r>
      <w:r>
        <w:rPr>
          <w:rFonts w:ascii="宋体" w:hAnsi="宋体" w:eastAsia="宋体" w:cs="宋体"/>
          <w:spacing w:val="-4"/>
          <w:sz w:val="24"/>
          <w:szCs w:val="24"/>
          <w:u w:val="single" w:color="auto"/>
        </w:rPr>
        <w:t>工程量清单第</w:t>
      </w:r>
      <w:r>
        <w:rPr>
          <w:rFonts w:ascii="宋体" w:hAnsi="宋体" w:eastAsia="宋体" w:cs="宋体"/>
          <w:spacing w:val="-18"/>
          <w:sz w:val="24"/>
          <w:szCs w:val="24"/>
          <w:u w:val="single" w:color="auto"/>
        </w:rPr>
        <w:t xml:space="preserve"> </w:t>
      </w:r>
      <w:r>
        <w:rPr>
          <w:rFonts w:ascii="宋体" w:hAnsi="宋体" w:eastAsia="宋体" w:cs="宋体"/>
          <w:spacing w:val="-4"/>
          <w:sz w:val="24"/>
          <w:szCs w:val="24"/>
          <w:u w:val="single" w:color="auto"/>
        </w:rPr>
        <w:t>100</w:t>
      </w:r>
      <w:r>
        <w:rPr>
          <w:rFonts w:ascii="宋体" w:hAnsi="宋体" w:eastAsia="宋体" w:cs="宋体"/>
          <w:spacing w:val="-43"/>
          <w:sz w:val="24"/>
          <w:szCs w:val="24"/>
          <w:u w:val="single" w:color="auto"/>
        </w:rPr>
        <w:t xml:space="preserve"> </w:t>
      </w:r>
      <w:r>
        <w:rPr>
          <w:rFonts w:ascii="宋体" w:hAnsi="宋体" w:eastAsia="宋体" w:cs="宋体"/>
          <w:spacing w:val="-4"/>
          <w:sz w:val="24"/>
          <w:szCs w:val="24"/>
          <w:u w:val="single" w:color="auto"/>
        </w:rPr>
        <w:t>章至</w:t>
      </w:r>
      <w:r>
        <w:rPr>
          <w:rFonts w:ascii="宋体" w:hAnsi="宋体" w:eastAsia="宋体" w:cs="宋体"/>
          <w:spacing w:val="-49"/>
          <w:sz w:val="24"/>
          <w:szCs w:val="24"/>
          <w:u w:val="single" w:color="auto"/>
        </w:rPr>
        <w:t xml:space="preserve"> </w:t>
      </w:r>
      <w:r>
        <w:rPr>
          <w:rFonts w:ascii="宋体" w:hAnsi="宋体" w:eastAsia="宋体" w:cs="宋体"/>
          <w:spacing w:val="-4"/>
          <w:sz w:val="24"/>
          <w:szCs w:val="24"/>
          <w:u w:val="single" w:color="auto"/>
        </w:rPr>
        <w:t>900</w:t>
      </w:r>
      <w:r>
        <w:rPr>
          <w:rFonts w:ascii="宋体" w:hAnsi="宋体" w:eastAsia="宋体" w:cs="宋体"/>
          <w:spacing w:val="-43"/>
          <w:sz w:val="24"/>
          <w:szCs w:val="24"/>
          <w:u w:val="single" w:color="auto"/>
        </w:rPr>
        <w:t xml:space="preserve"> </w:t>
      </w:r>
      <w:r>
        <w:rPr>
          <w:rFonts w:ascii="宋体" w:hAnsi="宋体" w:eastAsia="宋体" w:cs="宋体"/>
          <w:spacing w:val="-4"/>
          <w:sz w:val="24"/>
          <w:szCs w:val="24"/>
          <w:u w:val="single" w:color="auto"/>
        </w:rPr>
        <w:t>章费用之和，扣除建筑工程一切险及第三者</w:t>
      </w:r>
    </w:p>
    <w:p>
      <w:pPr>
        <w:spacing w:before="1" w:line="218" w:lineRule="auto"/>
        <w:ind w:left="13"/>
        <w:rPr>
          <w:rFonts w:ascii="宋体" w:hAnsi="宋体" w:eastAsia="宋体" w:cs="宋体"/>
          <w:sz w:val="24"/>
          <w:szCs w:val="24"/>
        </w:rPr>
      </w:pPr>
      <w:r>
        <w:rPr>
          <w:rFonts w:ascii="宋体" w:hAnsi="宋体" w:eastAsia="宋体" w:cs="宋体"/>
          <w:sz w:val="24"/>
          <w:szCs w:val="24"/>
          <w:u w:val="single" w:color="auto"/>
        </w:rPr>
        <w:t>责任险的保险费、机电工程设备购置费。</w:t>
      </w:r>
    </w:p>
    <w:p>
      <w:pPr>
        <w:spacing w:before="182" w:line="219" w:lineRule="auto"/>
        <w:ind w:left="539"/>
        <w:rPr>
          <w:rFonts w:ascii="宋体" w:hAnsi="宋体" w:eastAsia="宋体" w:cs="宋体"/>
          <w:sz w:val="24"/>
          <w:szCs w:val="24"/>
        </w:rPr>
      </w:pPr>
      <w:r>
        <w:rPr>
          <w:rFonts w:ascii="宋体" w:hAnsi="宋体" w:eastAsia="宋体" w:cs="宋体"/>
          <w:spacing w:val="-1"/>
          <w:sz w:val="24"/>
          <w:szCs w:val="24"/>
        </w:rPr>
        <w:t>保险费率：在项目专用合同条款数据表中约定。</w:t>
      </w:r>
    </w:p>
    <w:p>
      <w:pPr>
        <w:spacing w:before="183" w:line="468" w:lineRule="exact"/>
        <w:ind w:left="539"/>
        <w:rPr>
          <w:rFonts w:ascii="宋体" w:hAnsi="宋体" w:eastAsia="宋体" w:cs="宋体"/>
          <w:sz w:val="24"/>
          <w:szCs w:val="24"/>
        </w:rPr>
      </w:pPr>
      <w:r>
        <w:rPr>
          <w:rFonts w:ascii="宋体" w:hAnsi="宋体" w:eastAsia="宋体" w:cs="宋体"/>
          <w:spacing w:val="-3"/>
          <w:position w:val="17"/>
          <w:sz w:val="24"/>
          <w:szCs w:val="24"/>
        </w:rPr>
        <w:t>保险期限：开工日起直至本合同工程签发缺陷责任期终止证书</w:t>
      </w:r>
      <w:r>
        <w:rPr>
          <w:rFonts w:ascii="宋体" w:hAnsi="宋体" w:eastAsia="宋体" w:cs="宋体"/>
          <w:spacing w:val="-4"/>
          <w:position w:val="17"/>
          <w:sz w:val="24"/>
          <w:szCs w:val="24"/>
        </w:rPr>
        <w:t>止（即合同工期＋缺</w:t>
      </w:r>
    </w:p>
    <w:p>
      <w:pPr>
        <w:spacing w:line="219" w:lineRule="auto"/>
        <w:ind w:left="20"/>
        <w:rPr>
          <w:rFonts w:ascii="宋体" w:hAnsi="宋体" w:eastAsia="宋体" w:cs="宋体"/>
          <w:sz w:val="24"/>
          <w:szCs w:val="24"/>
        </w:rPr>
      </w:pPr>
      <w:r>
        <w:rPr>
          <w:rFonts w:ascii="宋体" w:hAnsi="宋体" w:eastAsia="宋体" w:cs="宋体"/>
          <w:spacing w:val="-5"/>
          <w:sz w:val="24"/>
          <w:szCs w:val="24"/>
        </w:rPr>
        <w:t>陷责任期）。</w:t>
      </w:r>
    </w:p>
    <w:p>
      <w:pPr>
        <w:spacing w:before="181" w:line="359" w:lineRule="auto"/>
        <w:ind w:left="4" w:right="291" w:firstLine="537"/>
        <w:rPr>
          <w:rFonts w:ascii="宋体" w:hAnsi="宋体" w:eastAsia="宋体" w:cs="宋体"/>
          <w:sz w:val="24"/>
          <w:szCs w:val="24"/>
        </w:rPr>
      </w:pPr>
      <w:r>
        <w:rPr>
          <w:rFonts w:ascii="宋体" w:hAnsi="宋体" w:eastAsia="宋体" w:cs="宋体"/>
          <w:spacing w:val="3"/>
          <w:sz w:val="24"/>
          <w:szCs w:val="24"/>
        </w:rPr>
        <w:t>发包人或承包人应以发包人和承包人的共同名义投保建筑工程一切险及第三者责</w:t>
      </w:r>
      <w:r>
        <w:rPr>
          <w:rFonts w:ascii="宋体" w:hAnsi="宋体" w:eastAsia="宋体" w:cs="宋体"/>
          <w:spacing w:val="12"/>
          <w:sz w:val="24"/>
          <w:szCs w:val="24"/>
        </w:rPr>
        <w:t xml:space="preserve"> </w:t>
      </w:r>
      <w:r>
        <w:rPr>
          <w:rFonts w:ascii="宋体" w:hAnsi="宋体" w:eastAsia="宋体" w:cs="宋体"/>
          <w:spacing w:val="-2"/>
          <w:sz w:val="24"/>
          <w:szCs w:val="24"/>
        </w:rPr>
        <w:t>任险。建筑工程一切险及第三者责任险的保险费由承包人报价时按项目专用合同条款数</w:t>
      </w:r>
      <w:r>
        <w:rPr>
          <w:rFonts w:ascii="宋体" w:hAnsi="宋体" w:eastAsia="宋体" w:cs="宋体"/>
          <w:spacing w:val="13"/>
          <w:sz w:val="24"/>
          <w:szCs w:val="24"/>
        </w:rPr>
        <w:t xml:space="preserve"> </w:t>
      </w:r>
      <w:r>
        <w:rPr>
          <w:rFonts w:ascii="宋体" w:hAnsi="宋体" w:eastAsia="宋体" w:cs="宋体"/>
          <w:spacing w:val="-3"/>
          <w:sz w:val="24"/>
          <w:szCs w:val="24"/>
        </w:rPr>
        <w:t>据表规定的费率计算并列入工程量清单</w:t>
      </w:r>
      <w:r>
        <w:rPr>
          <w:rFonts w:ascii="宋体" w:hAnsi="宋体" w:eastAsia="宋体" w:cs="宋体"/>
          <w:spacing w:val="-23"/>
          <w:sz w:val="24"/>
          <w:szCs w:val="24"/>
        </w:rPr>
        <w:t xml:space="preserve"> </w:t>
      </w:r>
      <w:r>
        <w:rPr>
          <w:rFonts w:ascii="宋体" w:hAnsi="宋体" w:eastAsia="宋体" w:cs="宋体"/>
          <w:spacing w:val="-3"/>
          <w:sz w:val="24"/>
          <w:szCs w:val="24"/>
        </w:rPr>
        <w:t>100</w:t>
      </w:r>
      <w:r>
        <w:rPr>
          <w:rFonts w:ascii="宋体" w:hAnsi="宋体" w:eastAsia="宋体" w:cs="宋体"/>
          <w:spacing w:val="-43"/>
          <w:sz w:val="24"/>
          <w:szCs w:val="24"/>
        </w:rPr>
        <w:t xml:space="preserve"> </w:t>
      </w:r>
      <w:r>
        <w:rPr>
          <w:rFonts w:ascii="宋体" w:hAnsi="宋体" w:eastAsia="宋体" w:cs="宋体"/>
          <w:spacing w:val="-3"/>
          <w:sz w:val="24"/>
          <w:szCs w:val="24"/>
        </w:rPr>
        <w:t>章内。不论实际投保费用是高于或低于按上</w:t>
      </w:r>
      <w:r>
        <w:rPr>
          <w:rFonts w:ascii="宋体" w:hAnsi="宋体" w:eastAsia="宋体" w:cs="宋体"/>
          <w:sz w:val="24"/>
          <w:szCs w:val="24"/>
        </w:rPr>
        <w:t xml:space="preserve"> </w:t>
      </w:r>
      <w:r>
        <w:rPr>
          <w:rFonts w:ascii="宋体" w:hAnsi="宋体" w:eastAsia="宋体" w:cs="宋体"/>
          <w:spacing w:val="-2"/>
          <w:sz w:val="24"/>
          <w:szCs w:val="24"/>
        </w:rPr>
        <w:t>述办法计算的保费，发包人都不作调整。上述保险费，将由发包人从承包人的应付款中</w:t>
      </w:r>
      <w:r>
        <w:rPr>
          <w:rFonts w:ascii="宋体" w:hAnsi="宋体" w:eastAsia="宋体" w:cs="宋体"/>
          <w:spacing w:val="13"/>
          <w:sz w:val="24"/>
          <w:szCs w:val="24"/>
        </w:rPr>
        <w:t xml:space="preserve"> </w:t>
      </w:r>
      <w:r>
        <w:rPr>
          <w:rFonts w:ascii="宋体" w:hAnsi="宋体" w:eastAsia="宋体" w:cs="宋体"/>
          <w:spacing w:val="-2"/>
          <w:sz w:val="24"/>
          <w:szCs w:val="24"/>
        </w:rPr>
        <w:t>代扣，统一向保险公司支付；或先由承包人支付，在接到保险公司的保险单并经监理人</w:t>
      </w:r>
      <w:r>
        <w:rPr>
          <w:rFonts w:ascii="宋体" w:hAnsi="宋体" w:eastAsia="宋体" w:cs="宋体"/>
          <w:spacing w:val="13"/>
          <w:sz w:val="24"/>
          <w:szCs w:val="24"/>
        </w:rPr>
        <w:t xml:space="preserve"> </w:t>
      </w:r>
      <w:r>
        <w:rPr>
          <w:rFonts w:ascii="宋体" w:hAnsi="宋体" w:eastAsia="宋体" w:cs="宋体"/>
          <w:spacing w:val="-2"/>
          <w:sz w:val="24"/>
          <w:szCs w:val="24"/>
        </w:rPr>
        <w:t>签证后，发包人将按照保险单的费用直接向承包人支付，但不得高于投标文件该项所报</w:t>
      </w:r>
    </w:p>
    <w:p>
      <w:pPr>
        <w:spacing w:before="1" w:line="217" w:lineRule="auto"/>
        <w:ind w:left="11"/>
        <w:rPr>
          <w:rFonts w:ascii="宋体" w:hAnsi="宋体" w:eastAsia="宋体" w:cs="宋体"/>
          <w:sz w:val="24"/>
          <w:szCs w:val="24"/>
        </w:rPr>
      </w:pPr>
      <w:r>
        <w:rPr>
          <w:rFonts w:ascii="宋体" w:hAnsi="宋体" w:eastAsia="宋体" w:cs="宋体"/>
          <w:spacing w:val="-4"/>
          <w:sz w:val="24"/>
          <w:szCs w:val="24"/>
        </w:rPr>
        <w:t>总额价。</w:t>
      </w:r>
    </w:p>
    <w:p>
      <w:pPr>
        <w:spacing w:before="185" w:line="466" w:lineRule="exact"/>
        <w:ind w:left="541"/>
        <w:rPr>
          <w:rFonts w:ascii="宋体" w:hAnsi="宋体" w:eastAsia="宋体" w:cs="宋体"/>
          <w:sz w:val="24"/>
          <w:szCs w:val="24"/>
        </w:rPr>
      </w:pPr>
      <w:r>
        <w:rPr>
          <w:rFonts w:ascii="宋体" w:hAnsi="宋体" w:eastAsia="宋体" w:cs="宋体"/>
          <w:spacing w:val="-3"/>
          <w:position w:val="17"/>
          <w:sz w:val="24"/>
          <w:szCs w:val="24"/>
        </w:rPr>
        <w:t>20.1.2 保险标的出险后，承包人应自行向保险人报案、登记、索赔并报告发包人，</w:t>
      </w:r>
    </w:p>
    <w:p>
      <w:pPr>
        <w:spacing w:line="219" w:lineRule="auto"/>
        <w:ind w:left="11"/>
        <w:rPr>
          <w:rFonts w:ascii="宋体" w:hAnsi="宋体" w:eastAsia="宋体" w:cs="宋体"/>
          <w:sz w:val="24"/>
          <w:szCs w:val="24"/>
        </w:rPr>
      </w:pPr>
      <w:r>
        <w:rPr>
          <w:rFonts w:ascii="宋体" w:hAnsi="宋体" w:eastAsia="宋体" w:cs="宋体"/>
          <w:spacing w:val="-1"/>
          <w:sz w:val="24"/>
          <w:szCs w:val="24"/>
        </w:rPr>
        <w:t>并做好资料整理、工程损失计算等。上述工作所产生的费用由承包人承担。</w:t>
      </w:r>
    </w:p>
    <w:p>
      <w:pPr>
        <w:spacing w:before="183" w:line="219" w:lineRule="auto"/>
        <w:ind w:left="541"/>
        <w:rPr>
          <w:rFonts w:ascii="宋体" w:hAnsi="宋体" w:eastAsia="宋体" w:cs="宋体"/>
          <w:sz w:val="24"/>
          <w:szCs w:val="24"/>
        </w:rPr>
      </w:pPr>
      <w:r>
        <w:rPr>
          <w:rFonts w:ascii="宋体" w:hAnsi="宋体" w:eastAsia="宋体" w:cs="宋体"/>
          <w:sz w:val="24"/>
          <w:szCs w:val="24"/>
        </w:rPr>
        <w:t>20.1.3 因保险事故产生的修复、索赔等责任由承包人承担。若承包人放弃索</w:t>
      </w:r>
      <w:r>
        <w:rPr>
          <w:rFonts w:ascii="宋体" w:hAnsi="宋体" w:eastAsia="宋体" w:cs="宋体"/>
          <w:spacing w:val="-1"/>
          <w:sz w:val="24"/>
          <w:szCs w:val="24"/>
        </w:rPr>
        <w:t>赔或</w:t>
      </w:r>
    </w:p>
    <w:p>
      <w:pPr>
        <w:spacing w:line="425" w:lineRule="auto"/>
        <w:rPr>
          <w:rFonts w:ascii="Arial"/>
          <w:sz w:val="21"/>
        </w:rPr>
      </w:pPr>
    </w:p>
    <w:p>
      <w:pPr>
        <w:spacing w:before="78" w:line="219" w:lineRule="auto"/>
        <w:ind w:left="24"/>
        <w:rPr>
          <w:rFonts w:ascii="宋体" w:hAnsi="宋体" w:eastAsia="宋体" w:cs="宋体"/>
          <w:sz w:val="24"/>
          <w:szCs w:val="24"/>
        </w:rPr>
      </w:pPr>
      <w:r>
        <w:rPr>
          <w:rFonts w:ascii="宋体" w:hAnsi="宋体" w:eastAsia="宋体" w:cs="宋体"/>
          <w:spacing w:val="-1"/>
          <w:sz w:val="24"/>
          <w:szCs w:val="24"/>
        </w:rPr>
        <w:t>因自身原因延误索赔，发包人保留索赔的权利，保险索赔所得费用归发包人所有。</w:t>
      </w:r>
    </w:p>
    <w:p>
      <w:pPr>
        <w:spacing w:before="180" w:line="468" w:lineRule="exact"/>
        <w:ind w:left="488"/>
        <w:rPr>
          <w:rFonts w:ascii="宋体" w:hAnsi="宋体" w:eastAsia="宋体" w:cs="宋体"/>
          <w:sz w:val="24"/>
          <w:szCs w:val="24"/>
        </w:rPr>
      </w:pPr>
      <w:r>
        <w:rPr>
          <w:rFonts w:ascii="宋体" w:hAnsi="宋体" w:eastAsia="宋体" w:cs="宋体"/>
          <w:spacing w:val="-1"/>
          <w:position w:val="17"/>
          <w:sz w:val="24"/>
          <w:szCs w:val="24"/>
        </w:rPr>
        <w:t>20.2.1 承包人员工伤事故的保险</w:t>
      </w:r>
    </w:p>
    <w:p>
      <w:pPr>
        <w:spacing w:line="218" w:lineRule="auto"/>
        <w:ind w:left="486"/>
        <w:rPr>
          <w:rFonts w:ascii="宋体" w:hAnsi="宋体" w:eastAsia="宋体" w:cs="宋体"/>
          <w:sz w:val="24"/>
          <w:szCs w:val="24"/>
        </w:rPr>
      </w:pPr>
      <w:r>
        <w:rPr>
          <w:rFonts w:ascii="宋体" w:hAnsi="宋体" w:eastAsia="宋体" w:cs="宋体"/>
          <w:spacing w:val="-3"/>
          <w:sz w:val="24"/>
          <w:szCs w:val="24"/>
        </w:rPr>
        <w:t>本项补充：</w:t>
      </w:r>
    </w:p>
    <w:p>
      <w:pPr>
        <w:spacing w:before="183" w:line="359" w:lineRule="auto"/>
        <w:ind w:left="6" w:right="291" w:firstLine="481"/>
        <w:jc w:val="both"/>
        <w:rPr>
          <w:rFonts w:ascii="宋体" w:hAnsi="宋体" w:eastAsia="宋体" w:cs="宋体"/>
          <w:sz w:val="24"/>
          <w:szCs w:val="24"/>
        </w:rPr>
      </w:pPr>
      <w:r>
        <w:rPr>
          <w:rFonts w:ascii="宋体" w:hAnsi="宋体" w:eastAsia="宋体" w:cs="宋体"/>
          <w:spacing w:val="-2"/>
          <w:sz w:val="24"/>
          <w:szCs w:val="24"/>
        </w:rPr>
        <w:t>为促进承包人加强安全生产，预防和减少工伤事故，承包人应按《关于做好我省铁</w:t>
      </w:r>
      <w:r>
        <w:rPr>
          <w:rFonts w:ascii="宋体" w:hAnsi="宋体" w:eastAsia="宋体" w:cs="宋体"/>
          <w:spacing w:val="5"/>
          <w:sz w:val="24"/>
          <w:szCs w:val="24"/>
        </w:rPr>
        <w:t xml:space="preserve"> </w:t>
      </w:r>
      <w:r>
        <w:rPr>
          <w:rFonts w:ascii="宋体" w:hAnsi="宋体" w:eastAsia="宋体" w:cs="宋体"/>
          <w:spacing w:val="-2"/>
          <w:sz w:val="24"/>
          <w:szCs w:val="24"/>
        </w:rPr>
        <w:t>路、公路、水运、水利、能源、机场工程建设项目参加工伤保险工作的通知》（粤人社</w:t>
      </w:r>
      <w:r>
        <w:rPr>
          <w:rFonts w:ascii="宋体" w:hAnsi="宋体" w:eastAsia="宋体" w:cs="宋体"/>
          <w:spacing w:val="11"/>
          <w:sz w:val="24"/>
          <w:szCs w:val="24"/>
        </w:rPr>
        <w:t xml:space="preserve"> </w:t>
      </w:r>
      <w:r>
        <w:rPr>
          <w:rFonts w:ascii="宋体" w:hAnsi="宋体" w:eastAsia="宋体" w:cs="宋体"/>
          <w:spacing w:val="-3"/>
          <w:sz w:val="24"/>
          <w:szCs w:val="24"/>
        </w:rPr>
        <w:t>规[2018]15</w:t>
      </w:r>
      <w:r>
        <w:rPr>
          <w:rFonts w:ascii="宋体" w:hAnsi="宋体" w:eastAsia="宋体" w:cs="宋体"/>
          <w:spacing w:val="-45"/>
          <w:sz w:val="24"/>
          <w:szCs w:val="24"/>
        </w:rPr>
        <w:t xml:space="preserve"> </w:t>
      </w:r>
      <w:r>
        <w:rPr>
          <w:rFonts w:ascii="宋体" w:hAnsi="宋体" w:eastAsia="宋体" w:cs="宋体"/>
          <w:spacing w:val="-3"/>
          <w:sz w:val="24"/>
          <w:szCs w:val="24"/>
        </w:rPr>
        <w:t>号）等相关规定参加工伤保险，为其履行合</w:t>
      </w:r>
      <w:r>
        <w:rPr>
          <w:rFonts w:ascii="宋体" w:hAnsi="宋体" w:eastAsia="宋体" w:cs="宋体"/>
          <w:spacing w:val="-4"/>
          <w:sz w:val="24"/>
          <w:szCs w:val="24"/>
        </w:rPr>
        <w:t>同所雇用的全部人员缴纳工伤保</w:t>
      </w:r>
    </w:p>
    <w:p>
      <w:pPr>
        <w:spacing w:line="219" w:lineRule="auto"/>
        <w:ind w:left="18"/>
        <w:rPr>
          <w:rFonts w:ascii="宋体" w:hAnsi="宋体" w:eastAsia="宋体" w:cs="宋体"/>
          <w:sz w:val="24"/>
          <w:szCs w:val="24"/>
        </w:rPr>
      </w:pPr>
      <w:r>
        <w:rPr>
          <w:rFonts w:ascii="宋体" w:hAnsi="宋体" w:eastAsia="宋体" w:cs="宋体"/>
          <w:spacing w:val="-2"/>
          <w:sz w:val="24"/>
          <w:szCs w:val="24"/>
        </w:rPr>
        <w:t>险费，并要求其分包人也进行此项保险。</w:t>
      </w:r>
    </w:p>
    <w:p>
      <w:pPr>
        <w:spacing w:before="180" w:line="468" w:lineRule="exact"/>
        <w:ind w:left="488"/>
        <w:rPr>
          <w:rFonts w:ascii="宋体" w:hAnsi="宋体" w:eastAsia="宋体" w:cs="宋体"/>
          <w:sz w:val="24"/>
          <w:szCs w:val="24"/>
        </w:rPr>
      </w:pPr>
      <w:r>
        <w:rPr>
          <w:rFonts w:ascii="宋体" w:hAnsi="宋体" w:eastAsia="宋体" w:cs="宋体"/>
          <w:spacing w:val="-2"/>
          <w:position w:val="17"/>
          <w:sz w:val="24"/>
          <w:szCs w:val="24"/>
        </w:rPr>
        <w:t>20.4 第三者责任险</w:t>
      </w:r>
    </w:p>
    <w:p>
      <w:pPr>
        <w:spacing w:before="1" w:line="219" w:lineRule="auto"/>
        <w:ind w:left="485"/>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40"/>
          <w:sz w:val="24"/>
          <w:szCs w:val="24"/>
        </w:rPr>
        <w:t xml:space="preserve"> </w:t>
      </w:r>
      <w:r>
        <w:rPr>
          <w:rFonts w:ascii="宋体" w:hAnsi="宋体" w:eastAsia="宋体" w:cs="宋体"/>
          <w:spacing w:val="-4"/>
          <w:sz w:val="24"/>
          <w:szCs w:val="24"/>
        </w:rPr>
        <w:t>20.4.2</w:t>
      </w:r>
      <w:r>
        <w:rPr>
          <w:rFonts w:ascii="宋体" w:hAnsi="宋体" w:eastAsia="宋体" w:cs="宋体"/>
          <w:spacing w:val="-47"/>
          <w:sz w:val="24"/>
          <w:szCs w:val="24"/>
        </w:rPr>
        <w:t xml:space="preserve"> </w:t>
      </w:r>
      <w:r>
        <w:rPr>
          <w:rFonts w:ascii="宋体" w:hAnsi="宋体" w:eastAsia="宋体" w:cs="宋体"/>
          <w:spacing w:val="-4"/>
          <w:sz w:val="24"/>
          <w:szCs w:val="24"/>
        </w:rPr>
        <w:t>项补充：</w:t>
      </w:r>
    </w:p>
    <w:p>
      <w:pPr>
        <w:spacing w:before="181" w:line="219" w:lineRule="auto"/>
        <w:ind w:left="485"/>
        <w:rPr>
          <w:rFonts w:ascii="宋体" w:hAnsi="宋体" w:eastAsia="宋体" w:cs="宋体"/>
          <w:sz w:val="24"/>
          <w:szCs w:val="24"/>
        </w:rPr>
      </w:pPr>
      <w:r>
        <w:rPr>
          <w:rFonts w:ascii="宋体" w:hAnsi="宋体" w:eastAsia="宋体" w:cs="宋体"/>
          <w:spacing w:val="-1"/>
          <w:sz w:val="24"/>
          <w:szCs w:val="24"/>
        </w:rPr>
        <w:t>第三者责任险的购买、报险、索赔等，参照第</w:t>
      </w:r>
      <w:r>
        <w:rPr>
          <w:rFonts w:ascii="宋体" w:hAnsi="宋体" w:eastAsia="宋体" w:cs="宋体"/>
          <w:spacing w:val="-48"/>
          <w:sz w:val="24"/>
          <w:szCs w:val="24"/>
        </w:rPr>
        <w:t xml:space="preserve"> </w:t>
      </w:r>
      <w:r>
        <w:rPr>
          <w:rFonts w:ascii="宋体" w:hAnsi="宋体" w:eastAsia="宋体" w:cs="宋体"/>
          <w:spacing w:val="-1"/>
          <w:sz w:val="24"/>
          <w:szCs w:val="24"/>
        </w:rPr>
        <w:t>20.1</w:t>
      </w:r>
      <w:r>
        <w:rPr>
          <w:rFonts w:ascii="宋体" w:hAnsi="宋体" w:eastAsia="宋体" w:cs="宋体"/>
          <w:spacing w:val="-50"/>
          <w:sz w:val="24"/>
          <w:szCs w:val="24"/>
        </w:rPr>
        <w:t xml:space="preserve"> </w:t>
      </w:r>
      <w:r>
        <w:rPr>
          <w:rFonts w:ascii="宋体" w:hAnsi="宋体" w:eastAsia="宋体" w:cs="宋体"/>
          <w:spacing w:val="-1"/>
          <w:sz w:val="24"/>
          <w:szCs w:val="24"/>
        </w:rPr>
        <w:t>款约定</w:t>
      </w:r>
      <w:r>
        <w:rPr>
          <w:rFonts w:ascii="宋体" w:hAnsi="宋体" w:eastAsia="宋体" w:cs="宋体"/>
          <w:spacing w:val="-2"/>
          <w:sz w:val="24"/>
          <w:szCs w:val="24"/>
        </w:rPr>
        <w:t>执行。</w:t>
      </w:r>
    </w:p>
    <w:p>
      <w:pPr>
        <w:spacing w:before="184" w:line="359" w:lineRule="auto"/>
        <w:ind w:left="8" w:right="232" w:firstLine="477"/>
        <w:rPr>
          <w:rFonts w:ascii="宋体" w:hAnsi="宋体" w:eastAsia="宋体" w:cs="宋体"/>
          <w:sz w:val="24"/>
          <w:szCs w:val="24"/>
        </w:rPr>
      </w:pPr>
      <w:r>
        <w:rPr>
          <w:rFonts w:ascii="宋体" w:hAnsi="宋体" w:eastAsia="宋体" w:cs="宋体"/>
          <w:spacing w:val="-7"/>
          <w:sz w:val="24"/>
          <w:szCs w:val="24"/>
        </w:rPr>
        <w:t>第三者责任险保险费，将由发包人从承包人的应付款中代扣，统一向保险公司支付；</w:t>
      </w:r>
      <w:r>
        <w:rPr>
          <w:rFonts w:ascii="宋体" w:hAnsi="宋体" w:eastAsia="宋体" w:cs="宋体"/>
          <w:spacing w:val="14"/>
          <w:sz w:val="24"/>
          <w:szCs w:val="24"/>
        </w:rPr>
        <w:t xml:space="preserve"> </w:t>
      </w:r>
      <w:r>
        <w:rPr>
          <w:rFonts w:ascii="宋体" w:hAnsi="宋体" w:eastAsia="宋体" w:cs="宋体"/>
          <w:spacing w:val="-2"/>
          <w:sz w:val="24"/>
          <w:szCs w:val="24"/>
        </w:rPr>
        <w:t>或先由承包人支付，在接到保险公司的保险单并经监理人签证后，发包人将按照保险单</w:t>
      </w:r>
      <w:r>
        <w:rPr>
          <w:rFonts w:ascii="宋体" w:hAnsi="宋体" w:eastAsia="宋体" w:cs="宋体"/>
          <w:spacing w:val="9"/>
          <w:sz w:val="24"/>
          <w:szCs w:val="24"/>
        </w:rPr>
        <w:t xml:space="preserve"> </w:t>
      </w:r>
      <w:r>
        <w:rPr>
          <w:rFonts w:ascii="宋体" w:hAnsi="宋体" w:eastAsia="宋体" w:cs="宋体"/>
          <w:spacing w:val="-2"/>
          <w:sz w:val="24"/>
          <w:szCs w:val="24"/>
        </w:rPr>
        <w:t>的费用直接向承包人支付，但不得高于对应的承包人投标报价。具体在项目专用合同条</w:t>
      </w:r>
    </w:p>
    <w:p>
      <w:pPr>
        <w:spacing w:before="1" w:line="219" w:lineRule="auto"/>
        <w:ind w:left="6"/>
        <w:rPr>
          <w:rFonts w:ascii="宋体" w:hAnsi="宋体" w:eastAsia="宋体" w:cs="宋体"/>
          <w:sz w:val="24"/>
          <w:szCs w:val="24"/>
        </w:rPr>
      </w:pPr>
      <w:r>
        <w:rPr>
          <w:rFonts w:ascii="宋体" w:hAnsi="宋体" w:eastAsia="宋体" w:cs="宋体"/>
          <w:spacing w:val="-2"/>
          <w:sz w:val="24"/>
          <w:szCs w:val="24"/>
        </w:rPr>
        <w:t>款数据表中约定。</w:t>
      </w:r>
    </w:p>
    <w:p>
      <w:pPr>
        <w:spacing w:before="180" w:line="219" w:lineRule="auto"/>
        <w:ind w:left="488"/>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21.不可抗力</w:t>
      </w:r>
    </w:p>
    <w:p>
      <w:pPr>
        <w:spacing w:before="184" w:line="219" w:lineRule="auto"/>
        <w:ind w:left="488"/>
        <w:rPr>
          <w:rFonts w:ascii="宋体" w:hAnsi="宋体" w:eastAsia="宋体" w:cs="宋体"/>
          <w:sz w:val="24"/>
          <w:szCs w:val="24"/>
        </w:rPr>
      </w:pPr>
      <w:r>
        <w:rPr>
          <w:rFonts w:ascii="宋体" w:hAnsi="宋体" w:eastAsia="宋体" w:cs="宋体"/>
          <w:spacing w:val="-2"/>
          <w:sz w:val="24"/>
          <w:szCs w:val="24"/>
        </w:rPr>
        <w:t>21.1 不可抗力的确认</w:t>
      </w:r>
    </w:p>
    <w:p>
      <w:pPr>
        <w:spacing w:before="181" w:line="219" w:lineRule="auto"/>
        <w:ind w:left="488"/>
        <w:rPr>
          <w:rFonts w:ascii="宋体" w:hAnsi="宋体" w:eastAsia="宋体" w:cs="宋体"/>
          <w:sz w:val="24"/>
          <w:szCs w:val="24"/>
        </w:rPr>
      </w:pPr>
      <w:r>
        <w:rPr>
          <w:rFonts w:ascii="宋体" w:hAnsi="宋体" w:eastAsia="宋体" w:cs="宋体"/>
          <w:spacing w:val="-2"/>
          <w:sz w:val="24"/>
          <w:szCs w:val="24"/>
        </w:rPr>
        <w:t>21.1.1</w:t>
      </w:r>
      <w:r>
        <w:rPr>
          <w:rFonts w:ascii="宋体" w:hAnsi="宋体" w:eastAsia="宋体" w:cs="宋体"/>
          <w:spacing w:val="56"/>
          <w:sz w:val="24"/>
          <w:szCs w:val="24"/>
        </w:rPr>
        <w:t xml:space="preserve"> </w:t>
      </w:r>
      <w:r>
        <w:rPr>
          <w:rFonts w:ascii="宋体" w:hAnsi="宋体" w:eastAsia="宋体" w:cs="宋体"/>
          <w:spacing w:val="-2"/>
          <w:sz w:val="24"/>
          <w:szCs w:val="24"/>
        </w:rPr>
        <w:t>(6)不可抗力的其他情形</w:t>
      </w:r>
    </w:p>
    <w:p>
      <w:pPr>
        <w:spacing w:before="181" w:line="219" w:lineRule="auto"/>
        <w:ind w:left="8"/>
        <w:rPr>
          <w:rFonts w:ascii="宋体" w:hAnsi="宋体" w:eastAsia="宋体" w:cs="宋体"/>
          <w:sz w:val="24"/>
          <w:szCs w:val="24"/>
        </w:rPr>
      </w:pPr>
      <w:r>
        <w:rPr>
          <w:rFonts w:ascii="宋体" w:hAnsi="宋体" w:eastAsia="宋体" w:cs="宋体"/>
          <w:spacing w:val="-2"/>
          <w:sz w:val="24"/>
          <w:szCs w:val="24"/>
        </w:rPr>
        <w:t>21.3</w:t>
      </w:r>
      <w:r>
        <w:rPr>
          <w:rFonts w:ascii="宋体" w:hAnsi="宋体" w:eastAsia="宋体" w:cs="宋体"/>
          <w:spacing w:val="-46"/>
          <w:sz w:val="24"/>
          <w:szCs w:val="24"/>
        </w:rPr>
        <w:t xml:space="preserve"> </w:t>
      </w:r>
      <w:r>
        <w:rPr>
          <w:rFonts w:ascii="宋体" w:hAnsi="宋体" w:eastAsia="宋体" w:cs="宋体"/>
          <w:spacing w:val="-2"/>
          <w:sz w:val="24"/>
          <w:szCs w:val="24"/>
        </w:rPr>
        <w:t>不可抗力后果及其处理</w:t>
      </w:r>
    </w:p>
    <w:p>
      <w:pPr>
        <w:spacing w:before="183" w:line="219" w:lineRule="auto"/>
        <w:ind w:left="507"/>
        <w:rPr>
          <w:rFonts w:ascii="宋体" w:hAnsi="宋体" w:eastAsia="宋体" w:cs="宋体"/>
          <w:sz w:val="24"/>
          <w:szCs w:val="24"/>
        </w:rPr>
      </w:pPr>
      <w:r>
        <w:rPr>
          <w:rFonts w:ascii="宋体" w:hAnsi="宋体" w:eastAsia="宋体" w:cs="宋体"/>
          <w:spacing w:val="-1"/>
          <w:sz w:val="24"/>
          <w:szCs w:val="24"/>
        </w:rPr>
        <w:t>21.3.1 不可抗力造成损害的责任</w:t>
      </w:r>
    </w:p>
    <w:p>
      <w:pPr>
        <w:spacing w:before="182" w:line="359" w:lineRule="auto"/>
        <w:ind w:left="5" w:right="291" w:firstLine="500"/>
        <w:jc w:val="both"/>
        <w:rPr>
          <w:rFonts w:ascii="宋体" w:hAnsi="宋体" w:eastAsia="宋体" w:cs="宋体"/>
          <w:sz w:val="24"/>
          <w:szCs w:val="24"/>
        </w:rPr>
      </w:pPr>
      <w:r>
        <w:rPr>
          <w:rFonts w:ascii="宋体" w:hAnsi="宋体" w:eastAsia="宋体" w:cs="宋体"/>
          <w:spacing w:val="4"/>
          <w:sz w:val="24"/>
          <w:szCs w:val="24"/>
        </w:rPr>
        <w:t>本款补充如下内容：本款中凡是约定由发包人承担损失和赔偿责任的，均按照第</w:t>
      </w:r>
      <w:r>
        <w:rPr>
          <w:rFonts w:ascii="宋体" w:hAnsi="宋体" w:eastAsia="宋体" w:cs="宋体"/>
          <w:spacing w:val="16"/>
          <w:sz w:val="24"/>
          <w:szCs w:val="24"/>
        </w:rPr>
        <w:t xml:space="preserve"> </w:t>
      </w:r>
      <w:r>
        <w:rPr>
          <w:rFonts w:ascii="宋体" w:hAnsi="宋体" w:eastAsia="宋体" w:cs="宋体"/>
          <w:spacing w:val="-3"/>
          <w:sz w:val="24"/>
          <w:szCs w:val="24"/>
        </w:rPr>
        <w:t>20</w:t>
      </w:r>
      <w:r>
        <w:rPr>
          <w:rFonts w:ascii="宋体" w:hAnsi="宋体" w:eastAsia="宋体" w:cs="宋体"/>
          <w:spacing w:val="-49"/>
          <w:sz w:val="24"/>
          <w:szCs w:val="24"/>
        </w:rPr>
        <w:t xml:space="preserve"> </w:t>
      </w:r>
      <w:r>
        <w:rPr>
          <w:rFonts w:ascii="宋体" w:hAnsi="宋体" w:eastAsia="宋体" w:cs="宋体"/>
          <w:spacing w:val="-3"/>
          <w:sz w:val="24"/>
          <w:szCs w:val="24"/>
        </w:rPr>
        <w:t>条的约定，属保险范围内的均由承保人承担</w:t>
      </w:r>
      <w:r>
        <w:rPr>
          <w:rFonts w:ascii="宋体" w:hAnsi="宋体" w:eastAsia="宋体" w:cs="宋体"/>
          <w:spacing w:val="-4"/>
          <w:sz w:val="24"/>
          <w:szCs w:val="24"/>
        </w:rPr>
        <w:t>。如保险金不足以补偿上述损失（包括免</w:t>
      </w:r>
      <w:r>
        <w:rPr>
          <w:rFonts w:ascii="宋体" w:hAnsi="宋体" w:eastAsia="宋体" w:cs="宋体"/>
          <w:sz w:val="24"/>
          <w:szCs w:val="24"/>
        </w:rPr>
        <w:t xml:space="preserve"> </w:t>
      </w:r>
      <w:r>
        <w:rPr>
          <w:rFonts w:ascii="宋体" w:hAnsi="宋体" w:eastAsia="宋体" w:cs="宋体"/>
          <w:spacing w:val="-1"/>
          <w:sz w:val="24"/>
          <w:szCs w:val="24"/>
        </w:rPr>
        <w:t>赔额和超过赔偿限额的部分</w:t>
      </w:r>
      <w:r>
        <w:rPr>
          <w:rFonts w:ascii="宋体" w:hAnsi="宋体" w:eastAsia="宋体" w:cs="宋体"/>
          <w:spacing w:val="10"/>
          <w:sz w:val="24"/>
          <w:szCs w:val="24"/>
        </w:rPr>
        <w:t>），</w:t>
      </w:r>
      <w:r>
        <w:rPr>
          <w:rFonts w:ascii="宋体" w:hAnsi="宋体" w:eastAsia="宋体" w:cs="宋体"/>
          <w:spacing w:val="-1"/>
          <w:sz w:val="24"/>
          <w:szCs w:val="24"/>
        </w:rPr>
        <w:t>则按照第</w:t>
      </w:r>
      <w:r>
        <w:rPr>
          <w:rFonts w:ascii="宋体" w:hAnsi="宋体" w:eastAsia="宋体" w:cs="宋体"/>
          <w:spacing w:val="-45"/>
          <w:sz w:val="24"/>
          <w:szCs w:val="24"/>
        </w:rPr>
        <w:t xml:space="preserve"> </w:t>
      </w:r>
      <w:r>
        <w:rPr>
          <w:rFonts w:ascii="宋体" w:hAnsi="宋体" w:eastAsia="宋体" w:cs="宋体"/>
          <w:spacing w:val="-1"/>
          <w:sz w:val="24"/>
          <w:szCs w:val="24"/>
        </w:rPr>
        <w:t>21.3.1 不可抗力造成损害的责任的分摊原则</w:t>
      </w:r>
    </w:p>
    <w:p>
      <w:pPr>
        <w:spacing w:line="219" w:lineRule="auto"/>
        <w:ind w:left="5"/>
        <w:rPr>
          <w:rFonts w:ascii="宋体" w:hAnsi="宋体" w:eastAsia="宋体" w:cs="宋体"/>
          <w:sz w:val="24"/>
          <w:szCs w:val="24"/>
        </w:rPr>
      </w:pPr>
      <w:r>
        <w:rPr>
          <w:rFonts w:ascii="宋体" w:hAnsi="宋体" w:eastAsia="宋体" w:cs="宋体"/>
          <w:spacing w:val="-4"/>
          <w:sz w:val="24"/>
          <w:szCs w:val="24"/>
        </w:rPr>
        <w:t>执行。</w:t>
      </w:r>
    </w:p>
    <w:p>
      <w:pPr>
        <w:spacing w:before="184" w:line="224" w:lineRule="auto"/>
        <w:ind w:left="488"/>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22.</w:t>
      </w:r>
      <w:r>
        <w:rPr>
          <w:rFonts w:ascii="宋体" w:hAnsi="宋体" w:eastAsia="宋体" w:cs="宋体"/>
          <w:spacing w:val="11"/>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违约</w:t>
      </w:r>
    </w:p>
    <w:p>
      <w:pPr>
        <w:spacing w:before="176" w:line="219" w:lineRule="auto"/>
        <w:ind w:left="488"/>
        <w:rPr>
          <w:rFonts w:ascii="宋体" w:hAnsi="宋体" w:eastAsia="宋体" w:cs="宋体"/>
          <w:sz w:val="24"/>
          <w:szCs w:val="24"/>
        </w:rPr>
      </w:pPr>
      <w:r>
        <w:rPr>
          <w:rFonts w:ascii="宋体" w:hAnsi="宋体" w:eastAsia="宋体" w:cs="宋体"/>
          <w:spacing w:val="-2"/>
          <w:sz w:val="24"/>
          <w:szCs w:val="24"/>
        </w:rPr>
        <w:t>22.1 承包人违约</w:t>
      </w:r>
    </w:p>
    <w:p>
      <w:pPr>
        <w:spacing w:before="181" w:line="465" w:lineRule="exact"/>
        <w:ind w:left="485"/>
        <w:rPr>
          <w:rFonts w:ascii="宋体" w:hAnsi="宋体" w:eastAsia="宋体" w:cs="宋体"/>
          <w:sz w:val="24"/>
          <w:szCs w:val="24"/>
        </w:rPr>
      </w:pPr>
      <w:r>
        <w:rPr>
          <w:rFonts w:ascii="宋体" w:hAnsi="宋体" w:eastAsia="宋体" w:cs="宋体"/>
          <w:position w:val="17"/>
          <w:sz w:val="24"/>
          <w:szCs w:val="24"/>
        </w:rPr>
        <w:t>第</w:t>
      </w:r>
      <w:r>
        <w:rPr>
          <w:rFonts w:ascii="宋体" w:hAnsi="宋体" w:eastAsia="宋体" w:cs="宋体"/>
          <w:spacing w:val="-48"/>
          <w:position w:val="17"/>
          <w:sz w:val="24"/>
          <w:szCs w:val="24"/>
        </w:rPr>
        <w:t xml:space="preserve"> </w:t>
      </w:r>
      <w:r>
        <w:rPr>
          <w:rFonts w:ascii="宋体" w:hAnsi="宋体" w:eastAsia="宋体" w:cs="宋体"/>
          <w:position w:val="17"/>
          <w:sz w:val="24"/>
          <w:szCs w:val="24"/>
        </w:rPr>
        <w:t>22.1.1(4)目补充为：承包人未能按合同进度计划及时完成合同约</w:t>
      </w:r>
      <w:r>
        <w:rPr>
          <w:rFonts w:ascii="宋体" w:hAnsi="宋体" w:eastAsia="宋体" w:cs="宋体"/>
          <w:spacing w:val="-1"/>
          <w:position w:val="17"/>
          <w:sz w:val="24"/>
          <w:szCs w:val="24"/>
        </w:rPr>
        <w:t>定的工作，或</w:t>
      </w:r>
    </w:p>
    <w:p>
      <w:pPr>
        <w:spacing w:before="1" w:line="219" w:lineRule="auto"/>
        <w:ind w:left="9"/>
        <w:rPr>
          <w:rFonts w:ascii="宋体" w:hAnsi="宋体" w:eastAsia="宋体" w:cs="宋体"/>
          <w:sz w:val="24"/>
          <w:szCs w:val="24"/>
        </w:rPr>
      </w:pPr>
      <w:r>
        <w:rPr>
          <w:rFonts w:ascii="宋体" w:hAnsi="宋体" w:eastAsia="宋体" w:cs="宋体"/>
          <w:spacing w:val="-5"/>
          <w:sz w:val="24"/>
          <w:szCs w:val="24"/>
        </w:rPr>
        <w:t>未切实履行第</w:t>
      </w:r>
      <w:r>
        <w:rPr>
          <w:rFonts w:ascii="宋体" w:hAnsi="宋体" w:eastAsia="宋体" w:cs="宋体"/>
          <w:spacing w:val="-52"/>
          <w:sz w:val="24"/>
          <w:szCs w:val="24"/>
        </w:rPr>
        <w:t xml:space="preserve"> </w:t>
      </w:r>
      <w:r>
        <w:rPr>
          <w:rFonts w:ascii="宋体" w:hAnsi="宋体" w:eastAsia="宋体" w:cs="宋体"/>
          <w:spacing w:val="-5"/>
          <w:sz w:val="24"/>
          <w:szCs w:val="24"/>
        </w:rPr>
        <w:t>4.1.7</w:t>
      </w:r>
      <w:r>
        <w:rPr>
          <w:rFonts w:ascii="宋体" w:hAnsi="宋体" w:eastAsia="宋体" w:cs="宋体"/>
          <w:spacing w:val="-50"/>
          <w:sz w:val="24"/>
          <w:szCs w:val="24"/>
        </w:rPr>
        <w:t xml:space="preserve"> </w:t>
      </w:r>
      <w:r>
        <w:rPr>
          <w:rFonts w:ascii="宋体" w:hAnsi="宋体" w:eastAsia="宋体" w:cs="宋体"/>
          <w:spacing w:val="-5"/>
          <w:sz w:val="24"/>
          <w:szCs w:val="24"/>
        </w:rPr>
        <w:t>款的约定，导致发生工程阻工、停工，已造成或预期造成工期延误；</w:t>
      </w:r>
    </w:p>
    <w:p>
      <w:pPr>
        <w:spacing w:before="183" w:line="465" w:lineRule="exact"/>
        <w:ind w:left="488"/>
        <w:rPr>
          <w:rFonts w:ascii="宋体" w:hAnsi="宋体" w:eastAsia="宋体" w:cs="宋体"/>
          <w:sz w:val="24"/>
          <w:szCs w:val="24"/>
        </w:rPr>
      </w:pPr>
      <w:r>
        <w:rPr>
          <w:rFonts w:ascii="宋体" w:hAnsi="宋体" w:eastAsia="宋体" w:cs="宋体"/>
          <w:spacing w:val="-1"/>
          <w:position w:val="17"/>
          <w:sz w:val="24"/>
          <w:szCs w:val="24"/>
        </w:rPr>
        <w:t>22.1.2 对承包人违约的处理</w:t>
      </w:r>
    </w:p>
    <w:p>
      <w:pPr>
        <w:spacing w:before="1" w:line="218" w:lineRule="auto"/>
        <w:ind w:left="483"/>
        <w:rPr>
          <w:rFonts w:ascii="宋体" w:hAnsi="宋体" w:eastAsia="宋体" w:cs="宋体"/>
          <w:sz w:val="24"/>
          <w:szCs w:val="24"/>
        </w:rPr>
      </w:pPr>
      <w:r>
        <w:rPr>
          <w:rFonts w:ascii="宋体" w:hAnsi="宋体" w:eastAsia="宋体" w:cs="宋体"/>
          <w:spacing w:val="-1"/>
          <w:sz w:val="24"/>
          <w:szCs w:val="24"/>
        </w:rPr>
        <w:t>将本款第(4)目修改如下：</w:t>
      </w:r>
    </w:p>
    <w:p>
      <w:pPr>
        <w:spacing w:before="184" w:line="219" w:lineRule="auto"/>
        <w:ind w:left="587"/>
        <w:rPr>
          <w:rFonts w:ascii="宋体" w:hAnsi="宋体" w:eastAsia="宋体" w:cs="宋体"/>
          <w:sz w:val="24"/>
          <w:szCs w:val="24"/>
        </w:rPr>
      </w:pPr>
      <w:r>
        <w:rPr>
          <w:rFonts w:ascii="宋体" w:hAnsi="宋体" w:eastAsia="宋体" w:cs="宋体"/>
          <w:spacing w:val="-2"/>
          <w:sz w:val="24"/>
          <w:szCs w:val="24"/>
        </w:rPr>
        <w:t>(4) 承包人发生第</w:t>
      </w:r>
      <w:r>
        <w:rPr>
          <w:rFonts w:ascii="宋体" w:hAnsi="宋体" w:eastAsia="宋体" w:cs="宋体"/>
          <w:spacing w:val="-39"/>
          <w:sz w:val="24"/>
          <w:szCs w:val="24"/>
        </w:rPr>
        <w:t xml:space="preserve"> </w:t>
      </w:r>
      <w:r>
        <w:rPr>
          <w:rFonts w:ascii="宋体" w:hAnsi="宋体" w:eastAsia="宋体" w:cs="宋体"/>
          <w:spacing w:val="-2"/>
          <w:sz w:val="24"/>
          <w:szCs w:val="24"/>
        </w:rPr>
        <w:t>22.1.1</w:t>
      </w:r>
      <w:r>
        <w:rPr>
          <w:rFonts w:ascii="宋体" w:hAnsi="宋体" w:eastAsia="宋体" w:cs="宋体"/>
          <w:spacing w:val="-47"/>
          <w:sz w:val="24"/>
          <w:szCs w:val="24"/>
        </w:rPr>
        <w:t xml:space="preserve"> </w:t>
      </w:r>
      <w:r>
        <w:rPr>
          <w:rFonts w:ascii="宋体" w:hAnsi="宋体" w:eastAsia="宋体" w:cs="宋体"/>
          <w:spacing w:val="-2"/>
          <w:sz w:val="24"/>
          <w:szCs w:val="24"/>
        </w:rPr>
        <w:t>项约定的违约情况时，无论发包人是否解除合同，发包</w:t>
      </w:r>
    </w:p>
    <w:p>
      <w:pPr>
        <w:spacing w:line="425" w:lineRule="auto"/>
        <w:rPr>
          <w:rFonts w:ascii="Arial"/>
          <w:sz w:val="21"/>
        </w:rPr>
      </w:pPr>
    </w:p>
    <w:p>
      <w:pPr>
        <w:spacing w:before="78" w:line="466" w:lineRule="exact"/>
        <w:ind w:left="7"/>
        <w:rPr>
          <w:rFonts w:ascii="宋体" w:hAnsi="宋体" w:eastAsia="宋体" w:cs="宋体"/>
          <w:sz w:val="24"/>
          <w:szCs w:val="24"/>
        </w:rPr>
      </w:pPr>
      <w:r>
        <w:rPr>
          <w:rFonts w:ascii="宋体" w:hAnsi="宋体" w:eastAsia="宋体" w:cs="宋体"/>
          <w:spacing w:val="-2"/>
          <w:position w:val="17"/>
          <w:sz w:val="24"/>
          <w:szCs w:val="24"/>
        </w:rPr>
        <w:t>人均有权按本合同附件的规定向承包人课以违约金，并由发包人将其违约行为上报上级</w:t>
      </w:r>
    </w:p>
    <w:p>
      <w:pPr>
        <w:spacing w:line="219" w:lineRule="auto"/>
        <w:ind w:left="10"/>
        <w:rPr>
          <w:rFonts w:ascii="宋体" w:hAnsi="宋体" w:eastAsia="宋体" w:cs="宋体"/>
          <w:sz w:val="24"/>
          <w:szCs w:val="24"/>
        </w:rPr>
      </w:pPr>
      <w:r>
        <w:rPr>
          <w:rFonts w:ascii="宋体" w:hAnsi="宋体" w:eastAsia="宋体" w:cs="宋体"/>
          <w:spacing w:val="-1"/>
          <w:sz w:val="24"/>
          <w:szCs w:val="24"/>
        </w:rPr>
        <w:t>交通运输主管部门，作为不良记录纳入公路建设市场信用信息管理系统。</w:t>
      </w:r>
    </w:p>
    <w:p>
      <w:pPr>
        <w:spacing w:before="182" w:line="219" w:lineRule="auto"/>
        <w:ind w:left="4"/>
        <w:rPr>
          <w:rFonts w:ascii="宋体" w:hAnsi="宋体" w:eastAsia="宋体" w:cs="宋体"/>
          <w:sz w:val="24"/>
          <w:szCs w:val="24"/>
        </w:rPr>
      </w:pPr>
      <w:r>
        <w:rPr>
          <w:rFonts w:ascii="宋体" w:hAnsi="宋体" w:eastAsia="宋体" w:cs="宋体"/>
          <w:spacing w:val="-1"/>
          <w:sz w:val="24"/>
          <w:szCs w:val="24"/>
        </w:rPr>
        <w:t>在本款下增加第(5)～第(7)目如下：</w:t>
      </w:r>
    </w:p>
    <w:p>
      <w:pPr>
        <w:spacing w:before="182" w:line="359" w:lineRule="auto"/>
        <w:ind w:left="4" w:right="291" w:firstLine="449"/>
        <w:jc w:val="both"/>
        <w:rPr>
          <w:rFonts w:ascii="宋体" w:hAnsi="宋体" w:eastAsia="宋体" w:cs="宋体"/>
          <w:sz w:val="24"/>
          <w:szCs w:val="24"/>
        </w:rPr>
      </w:pPr>
      <w:r>
        <w:rPr>
          <w:rFonts w:ascii="宋体" w:hAnsi="宋体" w:eastAsia="宋体" w:cs="宋体"/>
          <w:spacing w:val="2"/>
          <w:sz w:val="24"/>
          <w:szCs w:val="24"/>
        </w:rPr>
        <w:t>（5）发包人按合同规定向承包人开出的任何违约金，除合同另有规定外，均从发</w:t>
      </w:r>
      <w:r>
        <w:rPr>
          <w:rFonts w:ascii="宋体" w:hAnsi="宋体" w:eastAsia="宋体" w:cs="宋体"/>
          <w:spacing w:val="16"/>
          <w:sz w:val="24"/>
          <w:szCs w:val="24"/>
        </w:rPr>
        <w:t xml:space="preserve"> </w:t>
      </w:r>
      <w:r>
        <w:rPr>
          <w:rFonts w:ascii="宋体" w:hAnsi="宋体" w:eastAsia="宋体" w:cs="宋体"/>
          <w:spacing w:val="-2"/>
          <w:sz w:val="24"/>
          <w:szCs w:val="24"/>
        </w:rPr>
        <w:t>包人应向承包人支付的工程款中直接扣除。除非合同另有规定，发包人向承包人开出的</w:t>
      </w:r>
      <w:r>
        <w:rPr>
          <w:rFonts w:ascii="宋体" w:hAnsi="宋体" w:eastAsia="宋体" w:cs="宋体"/>
          <w:spacing w:val="13"/>
          <w:sz w:val="24"/>
          <w:szCs w:val="24"/>
        </w:rPr>
        <w:t xml:space="preserve"> </w:t>
      </w:r>
      <w:r>
        <w:rPr>
          <w:rFonts w:ascii="宋体" w:hAnsi="宋体" w:eastAsia="宋体" w:cs="宋体"/>
          <w:spacing w:val="-2"/>
          <w:sz w:val="24"/>
          <w:szCs w:val="24"/>
        </w:rPr>
        <w:t>任何违约金将导致承包人最终的应得结算价款相应地减少（除合同另有约定外）。承包</w:t>
      </w:r>
    </w:p>
    <w:p>
      <w:pPr>
        <w:spacing w:line="219" w:lineRule="auto"/>
        <w:ind w:left="7"/>
        <w:rPr>
          <w:rFonts w:ascii="宋体" w:hAnsi="宋体" w:eastAsia="宋体" w:cs="宋体"/>
          <w:sz w:val="24"/>
          <w:szCs w:val="24"/>
        </w:rPr>
      </w:pPr>
      <w:r>
        <w:rPr>
          <w:rFonts w:ascii="宋体" w:hAnsi="宋体" w:eastAsia="宋体" w:cs="宋体"/>
          <w:spacing w:val="-1"/>
          <w:sz w:val="24"/>
          <w:szCs w:val="24"/>
        </w:rPr>
        <w:t>人必须完全接受上述条款。</w:t>
      </w:r>
    </w:p>
    <w:p>
      <w:pPr>
        <w:spacing w:before="180" w:line="359" w:lineRule="auto"/>
        <w:ind w:left="7" w:right="291" w:firstLine="446"/>
        <w:jc w:val="both"/>
        <w:rPr>
          <w:rFonts w:ascii="宋体" w:hAnsi="宋体" w:eastAsia="宋体" w:cs="宋体"/>
          <w:sz w:val="24"/>
          <w:szCs w:val="24"/>
        </w:rPr>
      </w:pPr>
      <w:r>
        <w:rPr>
          <w:rFonts w:ascii="宋体" w:hAnsi="宋体" w:eastAsia="宋体" w:cs="宋体"/>
          <w:spacing w:val="2"/>
          <w:sz w:val="24"/>
          <w:szCs w:val="24"/>
        </w:rPr>
        <w:t>（6）发包人按合同规定向承包人开出的任何违约处罚金的扣除时间，可以在发包</w:t>
      </w:r>
      <w:r>
        <w:rPr>
          <w:rFonts w:ascii="宋体" w:hAnsi="宋体" w:eastAsia="宋体" w:cs="宋体"/>
          <w:spacing w:val="16"/>
          <w:sz w:val="24"/>
          <w:szCs w:val="24"/>
        </w:rPr>
        <w:t xml:space="preserve"> </w:t>
      </w:r>
      <w:r>
        <w:rPr>
          <w:rFonts w:ascii="宋体" w:hAnsi="宋体" w:eastAsia="宋体" w:cs="宋体"/>
          <w:spacing w:val="-2"/>
          <w:sz w:val="24"/>
          <w:szCs w:val="24"/>
        </w:rPr>
        <w:t>人认为合适的任何一个期中支付月份中扣除。发包人扣除承包人违约金时间的延迟或滞</w:t>
      </w:r>
    </w:p>
    <w:p>
      <w:pPr>
        <w:spacing w:before="1" w:line="218" w:lineRule="auto"/>
        <w:ind w:left="7"/>
        <w:rPr>
          <w:rFonts w:ascii="宋体" w:hAnsi="宋体" w:eastAsia="宋体" w:cs="宋体"/>
          <w:sz w:val="24"/>
          <w:szCs w:val="24"/>
        </w:rPr>
      </w:pPr>
      <w:r>
        <w:rPr>
          <w:rFonts w:ascii="宋体" w:hAnsi="宋体" w:eastAsia="宋体" w:cs="宋体"/>
          <w:spacing w:val="-1"/>
          <w:sz w:val="24"/>
          <w:szCs w:val="24"/>
        </w:rPr>
        <w:t>后，并不代表处罚不再执行，也不代表对承包人行为的认可或默认。</w:t>
      </w:r>
    </w:p>
    <w:p>
      <w:pPr>
        <w:spacing w:before="184" w:line="466" w:lineRule="exact"/>
        <w:ind w:left="376"/>
        <w:rPr>
          <w:rFonts w:ascii="宋体" w:hAnsi="宋体" w:eastAsia="宋体" w:cs="宋体"/>
          <w:sz w:val="24"/>
          <w:szCs w:val="24"/>
        </w:rPr>
      </w:pPr>
      <w:r>
        <w:rPr>
          <w:rFonts w:ascii="宋体" w:hAnsi="宋体" w:eastAsia="宋体" w:cs="宋体"/>
          <w:spacing w:val="-2"/>
          <w:position w:val="17"/>
          <w:sz w:val="24"/>
          <w:szCs w:val="24"/>
        </w:rPr>
        <w:t>（7）本项目所有承包人的违约金均由业主掌握使用，可部分或全部用于本项目的各</w:t>
      </w:r>
    </w:p>
    <w:p>
      <w:pPr>
        <w:spacing w:line="219" w:lineRule="auto"/>
        <w:ind w:left="9"/>
        <w:rPr>
          <w:rFonts w:ascii="宋体" w:hAnsi="宋体" w:eastAsia="宋体" w:cs="宋体"/>
          <w:sz w:val="24"/>
          <w:szCs w:val="24"/>
        </w:rPr>
      </w:pPr>
      <w:r>
        <w:rPr>
          <w:rFonts w:ascii="宋体" w:hAnsi="宋体" w:eastAsia="宋体" w:cs="宋体"/>
          <w:spacing w:val="-2"/>
          <w:sz w:val="24"/>
          <w:szCs w:val="24"/>
        </w:rPr>
        <w:t>项评比和奖励。</w:t>
      </w:r>
    </w:p>
    <w:p>
      <w:pPr>
        <w:spacing w:before="184" w:line="289" w:lineRule="auto"/>
        <w:ind w:left="486" w:right="7139" w:firstLine="1"/>
        <w:rPr>
          <w:rFonts w:ascii="宋体" w:hAnsi="宋体" w:eastAsia="宋体" w:cs="宋体"/>
          <w:sz w:val="24"/>
          <w:szCs w:val="24"/>
        </w:rPr>
      </w:pPr>
      <w:r>
        <w:rPr>
          <w:rFonts w:ascii="宋体" w:hAnsi="宋体" w:eastAsia="宋体" w:cs="宋体"/>
          <w:spacing w:val="-3"/>
          <w:sz w:val="24"/>
          <w:szCs w:val="24"/>
        </w:rPr>
        <w:t>22.2</w:t>
      </w:r>
      <w:r>
        <w:rPr>
          <w:rFonts w:ascii="宋体" w:hAnsi="宋体" w:eastAsia="宋体" w:cs="宋体"/>
          <w:spacing w:val="-47"/>
          <w:sz w:val="24"/>
          <w:szCs w:val="24"/>
        </w:rPr>
        <w:t xml:space="preserve"> </w:t>
      </w:r>
      <w:r>
        <w:rPr>
          <w:rFonts w:ascii="宋体" w:hAnsi="宋体" w:eastAsia="宋体" w:cs="宋体"/>
          <w:spacing w:val="-3"/>
          <w:sz w:val="24"/>
          <w:szCs w:val="24"/>
        </w:rPr>
        <w:t>发包人违约</w:t>
      </w:r>
      <w:r>
        <w:rPr>
          <w:rFonts w:ascii="宋体" w:hAnsi="宋体" w:eastAsia="宋体" w:cs="宋体"/>
          <w:sz w:val="24"/>
          <w:szCs w:val="24"/>
        </w:rPr>
        <w:t xml:space="preserve"> </w:t>
      </w:r>
      <w:r>
        <w:rPr>
          <w:rFonts w:ascii="宋体" w:hAnsi="宋体" w:eastAsia="宋体" w:cs="宋体"/>
          <w:spacing w:val="-2"/>
          <w:sz w:val="24"/>
          <w:szCs w:val="24"/>
        </w:rPr>
        <w:t>本款细化为：</w:t>
      </w:r>
    </w:p>
    <w:p>
      <w:pPr>
        <w:spacing w:before="181" w:line="359" w:lineRule="auto"/>
        <w:ind w:left="25" w:right="291" w:firstLine="463"/>
        <w:jc w:val="both"/>
        <w:rPr>
          <w:rFonts w:ascii="宋体" w:hAnsi="宋体" w:eastAsia="宋体" w:cs="宋体"/>
          <w:sz w:val="24"/>
          <w:szCs w:val="24"/>
        </w:rPr>
      </w:pPr>
      <w:r>
        <w:rPr>
          <w:rFonts w:ascii="宋体" w:hAnsi="宋体" w:eastAsia="宋体" w:cs="宋体"/>
          <w:spacing w:val="3"/>
          <w:sz w:val="24"/>
          <w:szCs w:val="24"/>
        </w:rPr>
        <w:t>22.2.1</w:t>
      </w:r>
      <w:r>
        <w:rPr>
          <w:rFonts w:ascii="宋体" w:hAnsi="宋体" w:eastAsia="宋体" w:cs="宋体"/>
          <w:spacing w:val="-42"/>
          <w:sz w:val="24"/>
          <w:szCs w:val="24"/>
        </w:rPr>
        <w:t xml:space="preserve"> </w:t>
      </w:r>
      <w:r>
        <w:rPr>
          <w:rFonts w:ascii="宋体" w:hAnsi="宋体" w:eastAsia="宋体" w:cs="宋体"/>
          <w:spacing w:val="3"/>
          <w:sz w:val="24"/>
          <w:szCs w:val="24"/>
        </w:rPr>
        <w:t>如果发包人无合理的理由去阻</w:t>
      </w:r>
      <w:r>
        <w:rPr>
          <w:rFonts w:ascii="宋体" w:hAnsi="宋体" w:eastAsia="宋体" w:cs="宋体"/>
          <w:spacing w:val="2"/>
          <w:sz w:val="24"/>
          <w:szCs w:val="24"/>
        </w:rPr>
        <w:t>挠或拒绝符合合同规定的付款证书颁发所需</w:t>
      </w:r>
      <w:r>
        <w:rPr>
          <w:rFonts w:ascii="宋体" w:hAnsi="宋体" w:eastAsia="宋体" w:cs="宋体"/>
          <w:sz w:val="24"/>
          <w:szCs w:val="24"/>
        </w:rPr>
        <w:t xml:space="preserve"> </w:t>
      </w:r>
      <w:r>
        <w:rPr>
          <w:rFonts w:ascii="宋体" w:hAnsi="宋体" w:eastAsia="宋体" w:cs="宋体"/>
          <w:spacing w:val="-2"/>
          <w:sz w:val="24"/>
          <w:szCs w:val="24"/>
        </w:rPr>
        <w:t>的批准，则可视为发包人违约。承包人有权终止合同，并在通知发包人</w:t>
      </w:r>
      <w:r>
        <w:rPr>
          <w:rFonts w:ascii="宋体" w:hAnsi="宋体" w:eastAsia="宋体" w:cs="宋体"/>
          <w:spacing w:val="-3"/>
          <w:sz w:val="24"/>
          <w:szCs w:val="24"/>
        </w:rPr>
        <w:t>和将通知副本提</w:t>
      </w:r>
    </w:p>
    <w:p>
      <w:pPr>
        <w:spacing w:line="220" w:lineRule="auto"/>
        <w:ind w:left="10"/>
        <w:rPr>
          <w:rFonts w:ascii="宋体" w:hAnsi="宋体" w:eastAsia="宋体" w:cs="宋体"/>
          <w:sz w:val="24"/>
          <w:szCs w:val="24"/>
        </w:rPr>
      </w:pPr>
      <w:r>
        <w:rPr>
          <w:rFonts w:ascii="宋体" w:hAnsi="宋体" w:eastAsia="宋体" w:cs="宋体"/>
          <w:spacing w:val="-3"/>
          <w:sz w:val="24"/>
          <w:szCs w:val="24"/>
        </w:rPr>
        <w:t>交监理人的</w:t>
      </w:r>
      <w:r>
        <w:rPr>
          <w:rFonts w:ascii="宋体" w:hAnsi="宋体" w:eastAsia="宋体" w:cs="宋体"/>
          <w:spacing w:val="-39"/>
          <w:sz w:val="24"/>
          <w:szCs w:val="24"/>
        </w:rPr>
        <w:t xml:space="preserve"> </w:t>
      </w:r>
      <w:r>
        <w:rPr>
          <w:rFonts w:ascii="宋体" w:hAnsi="宋体" w:eastAsia="宋体" w:cs="宋体"/>
          <w:spacing w:val="-3"/>
          <w:sz w:val="24"/>
          <w:szCs w:val="24"/>
        </w:rPr>
        <w:t>28</w:t>
      </w:r>
      <w:r>
        <w:rPr>
          <w:rFonts w:ascii="宋体" w:hAnsi="宋体" w:eastAsia="宋体" w:cs="宋体"/>
          <w:spacing w:val="-46"/>
          <w:sz w:val="24"/>
          <w:szCs w:val="24"/>
        </w:rPr>
        <w:t xml:space="preserve"> </w:t>
      </w:r>
      <w:r>
        <w:rPr>
          <w:rFonts w:ascii="宋体" w:hAnsi="宋体" w:eastAsia="宋体" w:cs="宋体"/>
          <w:spacing w:val="-3"/>
          <w:sz w:val="24"/>
          <w:szCs w:val="24"/>
        </w:rPr>
        <w:t>天后，合同终止生效。</w:t>
      </w:r>
    </w:p>
    <w:p>
      <w:pPr>
        <w:spacing w:before="180" w:line="468" w:lineRule="exact"/>
        <w:ind w:left="488"/>
        <w:rPr>
          <w:rFonts w:ascii="宋体" w:hAnsi="宋体" w:eastAsia="宋体" w:cs="宋体"/>
          <w:sz w:val="24"/>
          <w:szCs w:val="24"/>
        </w:rPr>
      </w:pPr>
      <w:r>
        <w:rPr>
          <w:rFonts w:ascii="宋体" w:hAnsi="宋体" w:eastAsia="宋体" w:cs="宋体"/>
          <w:spacing w:val="-1"/>
          <w:position w:val="17"/>
          <w:sz w:val="24"/>
          <w:szCs w:val="24"/>
        </w:rPr>
        <w:t>22.2.2</w:t>
      </w:r>
      <w:r>
        <w:rPr>
          <w:rFonts w:ascii="宋体" w:hAnsi="宋体" w:eastAsia="宋体" w:cs="宋体"/>
          <w:spacing w:val="-38"/>
          <w:position w:val="17"/>
          <w:sz w:val="24"/>
          <w:szCs w:val="24"/>
        </w:rPr>
        <w:t xml:space="preserve"> </w:t>
      </w:r>
      <w:r>
        <w:rPr>
          <w:rFonts w:ascii="宋体" w:hAnsi="宋体" w:eastAsia="宋体" w:cs="宋体"/>
          <w:spacing w:val="-1"/>
          <w:position w:val="17"/>
          <w:sz w:val="24"/>
          <w:szCs w:val="24"/>
        </w:rPr>
        <w:t>如果合同因发包人违约而终止，承包人可要求发包人支付以下费用：</w:t>
      </w:r>
    </w:p>
    <w:p>
      <w:pPr>
        <w:spacing w:line="219" w:lineRule="auto"/>
        <w:ind w:left="527"/>
        <w:rPr>
          <w:rFonts w:ascii="宋体" w:hAnsi="宋体" w:eastAsia="宋体" w:cs="宋体"/>
          <w:sz w:val="24"/>
          <w:szCs w:val="24"/>
        </w:rPr>
      </w:pPr>
      <w:r>
        <w:rPr>
          <w:rFonts w:ascii="宋体" w:hAnsi="宋体" w:eastAsia="宋体" w:cs="宋体"/>
          <w:spacing w:val="-2"/>
          <w:sz w:val="24"/>
          <w:szCs w:val="24"/>
        </w:rPr>
        <w:t>(a)发包人需向承包人支付合同终止之日前已完成的全部工程费用。</w:t>
      </w:r>
    </w:p>
    <w:p>
      <w:pPr>
        <w:spacing w:before="183" w:line="359" w:lineRule="auto"/>
        <w:ind w:left="4" w:right="291" w:firstLine="523"/>
        <w:rPr>
          <w:rFonts w:ascii="宋体" w:hAnsi="宋体" w:eastAsia="宋体" w:cs="宋体"/>
          <w:sz w:val="24"/>
          <w:szCs w:val="24"/>
        </w:rPr>
      </w:pPr>
      <w:r>
        <w:rPr>
          <w:rFonts w:ascii="宋体" w:hAnsi="宋体" w:eastAsia="宋体" w:cs="宋体"/>
          <w:sz w:val="24"/>
          <w:szCs w:val="24"/>
        </w:rPr>
        <w:t>(b)即将交付承包人的，或承包人依法有责任接收的为该工程合理订购的材料、工</w:t>
      </w:r>
      <w:r>
        <w:rPr>
          <w:rFonts w:ascii="宋体" w:hAnsi="宋体" w:eastAsia="宋体" w:cs="宋体"/>
          <w:spacing w:val="14"/>
          <w:sz w:val="24"/>
          <w:szCs w:val="24"/>
        </w:rPr>
        <w:t xml:space="preserve"> </w:t>
      </w:r>
      <w:r>
        <w:rPr>
          <w:rFonts w:ascii="宋体" w:hAnsi="宋体" w:eastAsia="宋体" w:cs="宋体"/>
          <w:spacing w:val="-2"/>
          <w:sz w:val="24"/>
          <w:szCs w:val="24"/>
        </w:rPr>
        <w:t>程设备或货物的费用，发包人一经支付此项费用，该材料、工程设备或货物即成为发包</w:t>
      </w:r>
    </w:p>
    <w:p>
      <w:pPr>
        <w:spacing w:before="1" w:line="219" w:lineRule="auto"/>
        <w:ind w:left="7"/>
        <w:rPr>
          <w:rFonts w:ascii="宋体" w:hAnsi="宋体" w:eastAsia="宋体" w:cs="宋体"/>
          <w:sz w:val="24"/>
          <w:szCs w:val="24"/>
        </w:rPr>
      </w:pPr>
      <w:r>
        <w:rPr>
          <w:rFonts w:ascii="宋体" w:hAnsi="宋体" w:eastAsia="宋体" w:cs="宋体"/>
          <w:spacing w:val="-3"/>
          <w:sz w:val="24"/>
          <w:szCs w:val="24"/>
        </w:rPr>
        <w:t>人的财产。</w:t>
      </w:r>
    </w:p>
    <w:p>
      <w:pPr>
        <w:spacing w:before="180" w:line="468" w:lineRule="exact"/>
        <w:ind w:left="527"/>
        <w:rPr>
          <w:rFonts w:ascii="宋体" w:hAnsi="宋体" w:eastAsia="宋体" w:cs="宋体"/>
          <w:sz w:val="24"/>
          <w:szCs w:val="24"/>
        </w:rPr>
      </w:pPr>
      <w:r>
        <w:rPr>
          <w:rFonts w:ascii="宋体" w:hAnsi="宋体" w:eastAsia="宋体" w:cs="宋体"/>
          <w:position w:val="17"/>
          <w:sz w:val="24"/>
          <w:szCs w:val="24"/>
        </w:rPr>
        <w:t>(c)已合理开支的确定属于承包人为完成整个工程而合理发生的其他费用，而该费</w:t>
      </w:r>
    </w:p>
    <w:p>
      <w:pPr>
        <w:spacing w:before="1" w:line="218" w:lineRule="auto"/>
        <w:ind w:left="7"/>
        <w:rPr>
          <w:rFonts w:ascii="宋体" w:hAnsi="宋体" w:eastAsia="宋体" w:cs="宋体"/>
          <w:sz w:val="24"/>
          <w:szCs w:val="24"/>
        </w:rPr>
      </w:pPr>
      <w:r>
        <w:rPr>
          <w:rFonts w:ascii="宋体" w:hAnsi="宋体" w:eastAsia="宋体" w:cs="宋体"/>
          <w:spacing w:val="-1"/>
          <w:sz w:val="24"/>
          <w:szCs w:val="24"/>
        </w:rPr>
        <w:t>用未在本条款的其他各项下支付。</w:t>
      </w:r>
    </w:p>
    <w:p>
      <w:pPr>
        <w:spacing w:before="183" w:line="219" w:lineRule="auto"/>
        <w:ind w:left="527"/>
        <w:rPr>
          <w:rFonts w:ascii="宋体" w:hAnsi="宋体" w:eastAsia="宋体" w:cs="宋体"/>
          <w:sz w:val="24"/>
          <w:szCs w:val="24"/>
        </w:rPr>
      </w:pPr>
      <w:r>
        <w:rPr>
          <w:rFonts w:ascii="宋体" w:hAnsi="宋体" w:eastAsia="宋体" w:cs="宋体"/>
          <w:spacing w:val="-2"/>
          <w:sz w:val="24"/>
          <w:szCs w:val="24"/>
        </w:rPr>
        <w:t>(d)考虑已完工程的付款比例，给予适当人员、设备等的退场费</w:t>
      </w:r>
    </w:p>
    <w:p>
      <w:pPr>
        <w:spacing w:before="182" w:line="465" w:lineRule="exact"/>
        <w:ind w:left="488"/>
        <w:rPr>
          <w:rFonts w:ascii="宋体" w:hAnsi="宋体" w:eastAsia="宋体" w:cs="宋体"/>
          <w:sz w:val="24"/>
          <w:szCs w:val="24"/>
        </w:rPr>
      </w:pPr>
      <w:r>
        <w:rPr>
          <w:rFonts w:ascii="宋体" w:hAnsi="宋体" w:eastAsia="宋体" w:cs="宋体"/>
          <w:spacing w:val="-4"/>
          <w:position w:val="17"/>
          <w:sz w:val="24"/>
          <w:szCs w:val="24"/>
        </w:rPr>
        <w:t>22.2.3</w:t>
      </w:r>
      <w:r>
        <w:rPr>
          <w:rFonts w:ascii="宋体" w:hAnsi="宋体" w:eastAsia="宋体" w:cs="宋体"/>
          <w:spacing w:val="-31"/>
          <w:position w:val="17"/>
          <w:sz w:val="24"/>
          <w:szCs w:val="24"/>
        </w:rPr>
        <w:t xml:space="preserve"> </w:t>
      </w:r>
      <w:r>
        <w:rPr>
          <w:rFonts w:ascii="宋体" w:hAnsi="宋体" w:eastAsia="宋体" w:cs="宋体"/>
          <w:spacing w:val="-4"/>
          <w:position w:val="17"/>
          <w:sz w:val="24"/>
          <w:szCs w:val="24"/>
        </w:rPr>
        <w:t>发包人除按本款规定支付上述费用给承包人外，亦有权要求承包人偿还按合</w:t>
      </w:r>
    </w:p>
    <w:p>
      <w:pPr>
        <w:spacing w:before="1" w:line="219" w:lineRule="auto"/>
        <w:ind w:left="28"/>
        <w:rPr>
          <w:rFonts w:ascii="宋体" w:hAnsi="宋体" w:eastAsia="宋体" w:cs="宋体"/>
          <w:sz w:val="24"/>
          <w:szCs w:val="24"/>
        </w:rPr>
      </w:pPr>
      <w:r>
        <w:rPr>
          <w:rFonts w:ascii="宋体" w:hAnsi="宋体" w:eastAsia="宋体" w:cs="宋体"/>
          <w:spacing w:val="-2"/>
          <w:sz w:val="24"/>
          <w:szCs w:val="24"/>
        </w:rPr>
        <w:t>同条款规定的或未结清的承包人欠发包人的各种款项。</w:t>
      </w:r>
    </w:p>
    <w:p>
      <w:pPr>
        <w:spacing w:before="183" w:line="465" w:lineRule="exact"/>
        <w:ind w:left="488"/>
        <w:rPr>
          <w:rFonts w:ascii="宋体" w:hAnsi="宋体" w:eastAsia="宋体" w:cs="宋体"/>
          <w:sz w:val="24"/>
          <w:szCs w:val="24"/>
        </w:rPr>
      </w:pPr>
      <w:r>
        <w:rPr>
          <w:rFonts w:ascii="宋体" w:hAnsi="宋体" w:eastAsia="宋体" w:cs="宋体"/>
          <w:spacing w:val="-3"/>
          <w:position w:val="17"/>
          <w:sz w:val="24"/>
          <w:szCs w:val="24"/>
        </w:rPr>
        <w:t>22.2.4</w:t>
      </w:r>
      <w:r>
        <w:rPr>
          <w:rFonts w:ascii="宋体" w:hAnsi="宋体" w:eastAsia="宋体" w:cs="宋体"/>
          <w:spacing w:val="-51"/>
          <w:position w:val="17"/>
          <w:sz w:val="24"/>
          <w:szCs w:val="24"/>
        </w:rPr>
        <w:t xml:space="preserve"> </w:t>
      </w:r>
      <w:r>
        <w:rPr>
          <w:rFonts w:ascii="宋体" w:hAnsi="宋体" w:eastAsia="宋体" w:cs="宋体"/>
          <w:spacing w:val="-3"/>
          <w:position w:val="17"/>
          <w:sz w:val="24"/>
          <w:szCs w:val="24"/>
        </w:rPr>
        <w:t>承包人（包括其分包人）出于追</w:t>
      </w:r>
      <w:r>
        <w:rPr>
          <w:rFonts w:ascii="宋体" w:hAnsi="宋体" w:eastAsia="宋体" w:cs="宋体"/>
          <w:spacing w:val="-4"/>
          <w:position w:val="17"/>
          <w:sz w:val="24"/>
          <w:szCs w:val="24"/>
        </w:rPr>
        <w:t>索本合同条款以外的利益，以有违社会规范</w:t>
      </w:r>
    </w:p>
    <w:p>
      <w:pPr>
        <w:spacing w:before="1" w:line="219" w:lineRule="auto"/>
        <w:ind w:left="25"/>
        <w:rPr>
          <w:rFonts w:ascii="宋体" w:hAnsi="宋体" w:eastAsia="宋体" w:cs="宋体"/>
          <w:sz w:val="24"/>
          <w:szCs w:val="24"/>
        </w:rPr>
      </w:pPr>
      <w:r>
        <w:rPr>
          <w:rFonts w:ascii="宋体" w:hAnsi="宋体" w:eastAsia="宋体" w:cs="宋体"/>
          <w:spacing w:val="-1"/>
          <w:sz w:val="24"/>
          <w:szCs w:val="24"/>
        </w:rPr>
        <w:t>的行为构成对发包人骚扰的，承包人须承担法律和经</w:t>
      </w:r>
      <w:r>
        <w:rPr>
          <w:rFonts w:ascii="宋体" w:hAnsi="宋体" w:eastAsia="宋体" w:cs="宋体"/>
          <w:spacing w:val="-2"/>
          <w:sz w:val="24"/>
          <w:szCs w:val="24"/>
        </w:rPr>
        <w:t>济责任。</w:t>
      </w:r>
    </w:p>
    <w:p>
      <w:pPr>
        <w:spacing w:line="425" w:lineRule="auto"/>
        <w:rPr>
          <w:rFonts w:ascii="Arial"/>
          <w:sz w:val="21"/>
        </w:rPr>
      </w:pPr>
    </w:p>
    <w:p>
      <w:pPr>
        <w:spacing w:before="78" w:line="219" w:lineRule="auto"/>
        <w:ind w:left="489"/>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增加第</w:t>
      </w:r>
      <w:r>
        <w:rPr>
          <w:rFonts w:ascii="宋体" w:hAnsi="宋体" w:eastAsia="宋体" w:cs="宋体"/>
          <w:spacing w:val="-48"/>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25</w:t>
      </w:r>
      <w:r>
        <w:rPr>
          <w:rFonts w:ascii="宋体" w:hAnsi="宋体" w:eastAsia="宋体" w:cs="宋体"/>
          <w:spacing w:val="-49"/>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条</w:t>
      </w:r>
    </w:p>
    <w:p>
      <w:pPr>
        <w:spacing w:before="160" w:line="200" w:lineRule="auto"/>
        <w:ind w:left="3977"/>
        <w:rPr>
          <w:rFonts w:ascii="宋体" w:hAnsi="宋体" w:eastAsia="宋体" w:cs="宋体"/>
          <w:sz w:val="12"/>
          <w:szCs w:val="12"/>
        </w:rPr>
      </w:pPr>
      <w:r>
        <w:fldChar w:fldCharType="begin"/>
      </w:r>
      <w:r>
        <w:instrText xml:space="preserve"> HYPERLINK \l "bookmark167" </w:instrText>
      </w:r>
      <w:r>
        <w:fldChar w:fldCharType="separate"/>
      </w:r>
      <w:r>
        <w:rPr>
          <w:rFonts w:ascii="宋体" w:hAnsi="宋体" w:eastAsia="宋体" w:cs="宋体"/>
          <w:sz w:val="12"/>
          <w:szCs w:val="12"/>
        </w:rPr>
        <w:t>①</w:t>
      </w:r>
      <w:r>
        <w:rPr>
          <w:rFonts w:ascii="宋体" w:hAnsi="宋体" w:eastAsia="宋体" w:cs="宋体"/>
          <w:sz w:val="12"/>
          <w:szCs w:val="12"/>
        </w:rPr>
        <w:fldChar w:fldCharType="end"/>
      </w:r>
    </w:p>
    <w:p>
      <w:pPr>
        <w:spacing w:line="218" w:lineRule="auto"/>
        <w:ind w:left="491"/>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25</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本项目需增加的专用合同条款</w:t>
      </w:r>
    </w:p>
    <w:p>
      <w:pPr>
        <w:spacing w:before="181" w:line="219" w:lineRule="auto"/>
        <w:ind w:left="491"/>
        <w:rPr>
          <w:rFonts w:ascii="宋体" w:hAnsi="宋体" w:eastAsia="宋体" w:cs="宋体"/>
          <w:sz w:val="24"/>
          <w:szCs w:val="24"/>
        </w:rPr>
      </w:pPr>
      <w:r>
        <w:rPr>
          <w:rFonts w:ascii="宋体" w:hAnsi="宋体" w:eastAsia="宋体" w:cs="宋体"/>
          <w:spacing w:val="-2"/>
          <w:sz w:val="24"/>
          <w:szCs w:val="24"/>
        </w:rPr>
        <w:t>25.1</w:t>
      </w:r>
      <w:r>
        <w:rPr>
          <w:rFonts w:ascii="宋体" w:hAnsi="宋体" w:eastAsia="宋体" w:cs="宋体"/>
          <w:spacing w:val="-51"/>
          <w:sz w:val="24"/>
          <w:szCs w:val="24"/>
        </w:rPr>
        <w:t xml:space="preserve"> </w:t>
      </w:r>
      <w:r>
        <w:rPr>
          <w:rFonts w:ascii="宋体" w:hAnsi="宋体" w:eastAsia="宋体" w:cs="宋体"/>
          <w:spacing w:val="-2"/>
          <w:sz w:val="24"/>
          <w:szCs w:val="24"/>
        </w:rPr>
        <w:t>承包人退出机制</w:t>
      </w:r>
    </w:p>
    <w:p>
      <w:pPr>
        <w:spacing w:before="183" w:line="219" w:lineRule="auto"/>
        <w:ind w:left="492"/>
        <w:rPr>
          <w:rFonts w:ascii="宋体" w:hAnsi="宋体" w:eastAsia="宋体" w:cs="宋体"/>
          <w:sz w:val="24"/>
          <w:szCs w:val="24"/>
        </w:rPr>
      </w:pPr>
      <w:r>
        <w:rPr>
          <w:rFonts w:ascii="宋体" w:hAnsi="宋体" w:eastAsia="宋体" w:cs="宋体"/>
          <w:sz w:val="24"/>
          <w:szCs w:val="24"/>
        </w:rPr>
        <w:t>发包人对不能满足各阶段工作目标的承包人</w:t>
      </w:r>
      <w:r>
        <w:rPr>
          <w:rFonts w:ascii="宋体" w:hAnsi="宋体" w:eastAsia="宋体" w:cs="宋体"/>
          <w:spacing w:val="-1"/>
          <w:sz w:val="24"/>
          <w:szCs w:val="24"/>
        </w:rPr>
        <w:t>实行强制退出本项目建设的办法。</w:t>
      </w:r>
    </w:p>
    <w:p>
      <w:pPr>
        <w:spacing w:before="183" w:line="359" w:lineRule="auto"/>
        <w:ind w:left="7" w:right="291" w:firstLine="484"/>
        <w:rPr>
          <w:rFonts w:ascii="宋体" w:hAnsi="宋体" w:eastAsia="宋体" w:cs="宋体"/>
          <w:sz w:val="24"/>
          <w:szCs w:val="24"/>
        </w:rPr>
      </w:pPr>
      <w:r>
        <w:rPr>
          <w:rFonts w:ascii="宋体" w:hAnsi="宋体" w:eastAsia="宋体" w:cs="宋体"/>
          <w:spacing w:val="1"/>
          <w:sz w:val="24"/>
          <w:szCs w:val="24"/>
        </w:rPr>
        <w:t>发包人将视承包人的实际施工能力情况，可按</w:t>
      </w:r>
      <w:r>
        <w:rPr>
          <w:rFonts w:ascii="宋体" w:hAnsi="宋体" w:eastAsia="宋体" w:cs="宋体"/>
          <w:spacing w:val="-49"/>
          <w:sz w:val="24"/>
          <w:szCs w:val="24"/>
        </w:rPr>
        <w:t xml:space="preserve"> </w:t>
      </w:r>
      <w:r>
        <w:rPr>
          <w:rFonts w:ascii="宋体" w:hAnsi="宋体" w:eastAsia="宋体" w:cs="宋体"/>
          <w:spacing w:val="1"/>
          <w:sz w:val="24"/>
          <w:szCs w:val="24"/>
        </w:rPr>
        <w:t>4.3.8、4.3</w:t>
      </w:r>
      <w:r>
        <w:rPr>
          <w:rFonts w:ascii="宋体" w:hAnsi="宋体" w:eastAsia="宋体" w:cs="宋体"/>
          <w:sz w:val="24"/>
          <w:szCs w:val="24"/>
        </w:rPr>
        <w:t>.9</w:t>
      </w:r>
      <w:r>
        <w:rPr>
          <w:rFonts w:ascii="宋体" w:hAnsi="宋体" w:eastAsia="宋体" w:cs="宋体"/>
          <w:spacing w:val="-50"/>
          <w:sz w:val="24"/>
          <w:szCs w:val="24"/>
        </w:rPr>
        <w:t xml:space="preserve"> </w:t>
      </w:r>
      <w:r>
        <w:rPr>
          <w:rFonts w:ascii="宋体" w:hAnsi="宋体" w:eastAsia="宋体" w:cs="宋体"/>
          <w:sz w:val="24"/>
          <w:szCs w:val="24"/>
        </w:rPr>
        <w:t xml:space="preserve">款将该标段内剩余工 </w:t>
      </w:r>
      <w:r>
        <w:rPr>
          <w:rFonts w:ascii="宋体" w:hAnsi="宋体" w:eastAsia="宋体" w:cs="宋体"/>
          <w:spacing w:val="-2"/>
          <w:sz w:val="24"/>
          <w:szCs w:val="24"/>
        </w:rPr>
        <w:t>程的部分或全部进行特殊分包，强制部分或整体退出。由发包人在本项目选择履约情况</w:t>
      </w:r>
      <w:r>
        <w:rPr>
          <w:rFonts w:ascii="宋体" w:hAnsi="宋体" w:eastAsia="宋体" w:cs="宋体"/>
          <w:spacing w:val="13"/>
          <w:sz w:val="24"/>
          <w:szCs w:val="24"/>
        </w:rPr>
        <w:t xml:space="preserve"> </w:t>
      </w:r>
      <w:r>
        <w:rPr>
          <w:rFonts w:ascii="宋体" w:hAnsi="宋体" w:eastAsia="宋体" w:cs="宋体"/>
          <w:spacing w:val="2"/>
          <w:sz w:val="24"/>
          <w:szCs w:val="24"/>
        </w:rPr>
        <w:t>好的承包人承接剩余工程或采用招标方式选</w:t>
      </w:r>
      <w:r>
        <w:rPr>
          <w:rFonts w:ascii="宋体" w:hAnsi="宋体" w:eastAsia="宋体" w:cs="宋体"/>
          <w:spacing w:val="1"/>
          <w:sz w:val="24"/>
          <w:szCs w:val="24"/>
        </w:rPr>
        <w:t>择承包人。如承包人逾期不退场的， 发包</w:t>
      </w:r>
    </w:p>
    <w:p>
      <w:pPr>
        <w:spacing w:before="1" w:line="219" w:lineRule="auto"/>
        <w:ind w:left="10"/>
        <w:rPr>
          <w:rFonts w:ascii="宋体" w:hAnsi="宋体" w:eastAsia="宋体" w:cs="宋体"/>
          <w:sz w:val="24"/>
          <w:szCs w:val="24"/>
        </w:rPr>
      </w:pPr>
      <w:r>
        <w:rPr>
          <w:rFonts w:ascii="宋体" w:hAnsi="宋体" w:eastAsia="宋体" w:cs="宋体"/>
          <w:spacing w:val="-1"/>
          <w:sz w:val="24"/>
          <w:szCs w:val="24"/>
        </w:rPr>
        <w:t>人有权委托第三方清理，所需费用由承包人承担。</w:t>
      </w:r>
    </w:p>
    <w:p>
      <w:pPr>
        <w:spacing w:before="183" w:line="219" w:lineRule="auto"/>
        <w:ind w:left="491"/>
        <w:rPr>
          <w:rFonts w:ascii="宋体" w:hAnsi="宋体" w:eastAsia="宋体" w:cs="宋体"/>
          <w:sz w:val="24"/>
          <w:szCs w:val="24"/>
        </w:rPr>
      </w:pPr>
      <w:r>
        <w:rPr>
          <w:rFonts w:ascii="宋体" w:hAnsi="宋体" w:eastAsia="宋体" w:cs="宋体"/>
          <w:spacing w:val="-3"/>
          <w:sz w:val="24"/>
          <w:szCs w:val="24"/>
        </w:rPr>
        <w:t>25.1.1</w:t>
      </w:r>
      <w:r>
        <w:rPr>
          <w:rFonts w:ascii="宋体" w:hAnsi="宋体" w:eastAsia="宋体" w:cs="宋体"/>
          <w:spacing w:val="-44"/>
          <w:sz w:val="24"/>
          <w:szCs w:val="24"/>
        </w:rPr>
        <w:t xml:space="preserve"> </w:t>
      </w:r>
      <w:r>
        <w:rPr>
          <w:rFonts w:ascii="宋体" w:hAnsi="宋体" w:eastAsia="宋体" w:cs="宋体"/>
          <w:spacing w:val="-3"/>
          <w:sz w:val="24"/>
          <w:szCs w:val="24"/>
        </w:rPr>
        <w:t>部分退出</w:t>
      </w:r>
    </w:p>
    <w:p>
      <w:pPr>
        <w:spacing w:before="180" w:line="468" w:lineRule="exact"/>
        <w:ind w:left="499"/>
        <w:rPr>
          <w:rFonts w:ascii="宋体" w:hAnsi="宋体" w:eastAsia="宋体" w:cs="宋体"/>
          <w:sz w:val="24"/>
          <w:szCs w:val="24"/>
        </w:rPr>
      </w:pPr>
      <w:r>
        <w:rPr>
          <w:rFonts w:ascii="宋体" w:hAnsi="宋体" w:eastAsia="宋体" w:cs="宋体"/>
          <w:spacing w:val="1"/>
          <w:position w:val="17"/>
          <w:sz w:val="24"/>
          <w:szCs w:val="24"/>
        </w:rPr>
        <w:t>（1）人员退出：承包人的主要管理人员和技术骨干如不满足要求的，</w:t>
      </w:r>
      <w:r>
        <w:rPr>
          <w:rFonts w:ascii="宋体" w:hAnsi="宋体" w:eastAsia="宋体" w:cs="宋体"/>
          <w:position w:val="17"/>
          <w:sz w:val="24"/>
          <w:szCs w:val="24"/>
        </w:rPr>
        <w:t>按</w:t>
      </w:r>
      <w:r>
        <w:rPr>
          <w:rFonts w:ascii="宋体" w:hAnsi="宋体" w:eastAsia="宋体" w:cs="宋体"/>
          <w:spacing w:val="-49"/>
          <w:position w:val="17"/>
          <w:sz w:val="24"/>
          <w:szCs w:val="24"/>
        </w:rPr>
        <w:t xml:space="preserve"> </w:t>
      </w:r>
      <w:r>
        <w:rPr>
          <w:rFonts w:ascii="宋体" w:hAnsi="宋体" w:eastAsia="宋体" w:cs="宋体"/>
          <w:position w:val="17"/>
          <w:sz w:val="24"/>
          <w:szCs w:val="24"/>
        </w:rPr>
        <w:t>4.6.3</w:t>
      </w:r>
      <w:r>
        <w:rPr>
          <w:rFonts w:ascii="宋体" w:hAnsi="宋体" w:eastAsia="宋体" w:cs="宋体"/>
          <w:spacing w:val="-44"/>
          <w:position w:val="17"/>
          <w:sz w:val="24"/>
          <w:szCs w:val="24"/>
        </w:rPr>
        <w:t xml:space="preserve"> </w:t>
      </w:r>
      <w:r>
        <w:rPr>
          <w:rFonts w:ascii="宋体" w:hAnsi="宋体" w:eastAsia="宋体" w:cs="宋体"/>
          <w:position w:val="17"/>
          <w:sz w:val="24"/>
          <w:szCs w:val="24"/>
        </w:rPr>
        <w:t>项</w:t>
      </w:r>
    </w:p>
    <w:p>
      <w:pPr>
        <w:spacing w:line="220" w:lineRule="auto"/>
        <w:ind w:left="28"/>
        <w:rPr>
          <w:rFonts w:ascii="宋体" w:hAnsi="宋体" w:eastAsia="宋体" w:cs="宋体"/>
          <w:sz w:val="24"/>
          <w:szCs w:val="24"/>
        </w:rPr>
      </w:pPr>
      <w:r>
        <w:rPr>
          <w:rFonts w:ascii="宋体" w:hAnsi="宋体" w:eastAsia="宋体" w:cs="宋体"/>
          <w:spacing w:val="-3"/>
          <w:sz w:val="24"/>
          <w:szCs w:val="24"/>
        </w:rPr>
        <w:t>的规定进行违约处理。</w:t>
      </w:r>
    </w:p>
    <w:p>
      <w:pPr>
        <w:spacing w:before="180" w:line="360" w:lineRule="auto"/>
        <w:ind w:left="499"/>
        <w:rPr>
          <w:rFonts w:ascii="宋体" w:hAnsi="宋体" w:eastAsia="宋体" w:cs="宋体"/>
          <w:sz w:val="24"/>
          <w:szCs w:val="24"/>
        </w:rPr>
      </w:pPr>
      <w:r>
        <w:rPr>
          <w:rFonts w:ascii="宋体" w:hAnsi="宋体" w:eastAsia="宋体" w:cs="宋体"/>
          <w:spacing w:val="-1"/>
          <w:sz w:val="24"/>
          <w:szCs w:val="24"/>
        </w:rPr>
        <w:t xml:space="preserve">（2）机械退出：机械设备达不到额定产能的 </w:t>
      </w:r>
      <w:r>
        <w:rPr>
          <w:rFonts w:ascii="宋体" w:hAnsi="宋体" w:eastAsia="宋体" w:cs="宋体"/>
          <w:spacing w:val="-1"/>
          <w:sz w:val="24"/>
          <w:szCs w:val="24"/>
          <w:u w:val="single" w:color="auto"/>
        </w:rPr>
        <w:t>85</w:t>
      </w:r>
      <w:r>
        <w:rPr>
          <w:rFonts w:ascii="宋体" w:hAnsi="宋体" w:eastAsia="宋体" w:cs="宋体"/>
          <w:spacing w:val="-37"/>
          <w:sz w:val="24"/>
          <w:szCs w:val="24"/>
          <w:u w:val="single" w:color="auto"/>
        </w:rPr>
        <w:t xml:space="preserve"> </w:t>
      </w:r>
      <w:r>
        <w:rPr>
          <w:rFonts w:ascii="宋体" w:hAnsi="宋体" w:eastAsia="宋体" w:cs="宋体"/>
          <w:spacing w:val="-1"/>
          <w:sz w:val="24"/>
          <w:szCs w:val="24"/>
        </w:rPr>
        <w:t>%者退出，并按监理人或发包人的</w:t>
      </w:r>
    </w:p>
    <w:p>
      <w:pPr>
        <w:spacing w:before="1" w:line="218" w:lineRule="auto"/>
        <w:ind w:left="9"/>
        <w:rPr>
          <w:rFonts w:ascii="宋体" w:hAnsi="宋体" w:eastAsia="宋体" w:cs="宋体"/>
          <w:sz w:val="24"/>
          <w:szCs w:val="24"/>
        </w:rPr>
      </w:pPr>
      <w:r>
        <w:rPr>
          <w:rFonts w:ascii="宋体" w:hAnsi="宋体" w:eastAsia="宋体" w:cs="宋体"/>
          <w:spacing w:val="-1"/>
          <w:sz w:val="24"/>
          <w:szCs w:val="24"/>
        </w:rPr>
        <w:t>要求及时组织性能良好的同类型的机械进驻施工现场。</w:t>
      </w:r>
    </w:p>
    <w:p>
      <w:pPr>
        <w:spacing w:before="181" w:line="468" w:lineRule="exact"/>
        <w:ind w:left="499"/>
        <w:rPr>
          <w:rFonts w:ascii="宋体" w:hAnsi="宋体" w:eastAsia="宋体" w:cs="宋体"/>
          <w:sz w:val="24"/>
          <w:szCs w:val="24"/>
        </w:rPr>
      </w:pPr>
      <w:r>
        <w:rPr>
          <w:rFonts w:ascii="宋体" w:hAnsi="宋体" w:eastAsia="宋体" w:cs="宋体"/>
          <w:spacing w:val="1"/>
          <w:position w:val="17"/>
          <w:sz w:val="24"/>
          <w:szCs w:val="24"/>
        </w:rPr>
        <w:t>（3）专业队伍退出：在施工过程中累计发生两次生产安全事故或两次较大质量问</w:t>
      </w:r>
    </w:p>
    <w:p>
      <w:pPr>
        <w:spacing w:line="220" w:lineRule="auto"/>
        <w:ind w:left="8"/>
        <w:rPr>
          <w:rFonts w:ascii="宋体" w:hAnsi="宋体" w:eastAsia="宋体" w:cs="宋体"/>
          <w:sz w:val="24"/>
          <w:szCs w:val="24"/>
        </w:rPr>
      </w:pPr>
      <w:r>
        <w:rPr>
          <w:rFonts w:ascii="宋体" w:hAnsi="宋体" w:eastAsia="宋体" w:cs="宋体"/>
          <w:spacing w:val="-2"/>
          <w:sz w:val="24"/>
          <w:szCs w:val="24"/>
        </w:rPr>
        <w:t>题者强制退出。</w:t>
      </w:r>
    </w:p>
    <w:p>
      <w:pPr>
        <w:spacing w:before="182" w:line="466" w:lineRule="exact"/>
        <w:ind w:left="499"/>
        <w:rPr>
          <w:rFonts w:ascii="宋体" w:hAnsi="宋体" w:eastAsia="宋体" w:cs="宋体"/>
          <w:sz w:val="24"/>
          <w:szCs w:val="24"/>
        </w:rPr>
      </w:pPr>
      <w:r>
        <w:rPr>
          <w:rFonts w:ascii="宋体" w:hAnsi="宋体" w:eastAsia="宋体" w:cs="宋体"/>
          <w:spacing w:val="2"/>
          <w:position w:val="17"/>
          <w:sz w:val="24"/>
          <w:szCs w:val="24"/>
        </w:rPr>
        <w:t>（4）工程进度达不到上述要求，承包人增加人员</w:t>
      </w:r>
      <w:r>
        <w:rPr>
          <w:rFonts w:ascii="宋体" w:hAnsi="宋体" w:eastAsia="宋体" w:cs="宋体"/>
          <w:spacing w:val="1"/>
          <w:position w:val="17"/>
          <w:sz w:val="24"/>
          <w:szCs w:val="24"/>
        </w:rPr>
        <w:t>、设备仍达不到进度要求的，发</w:t>
      </w:r>
    </w:p>
    <w:p>
      <w:pPr>
        <w:spacing w:line="219" w:lineRule="auto"/>
        <w:ind w:left="8"/>
        <w:rPr>
          <w:rFonts w:ascii="宋体" w:hAnsi="宋体" w:eastAsia="宋体" w:cs="宋体"/>
          <w:sz w:val="24"/>
          <w:szCs w:val="24"/>
        </w:rPr>
      </w:pPr>
      <w:r>
        <w:rPr>
          <w:rFonts w:ascii="宋体" w:hAnsi="宋体" w:eastAsia="宋体" w:cs="宋体"/>
          <w:spacing w:val="-1"/>
          <w:sz w:val="24"/>
          <w:szCs w:val="24"/>
        </w:rPr>
        <w:t>包人有权对相应分项工程进行强制分割处理。</w:t>
      </w:r>
    </w:p>
    <w:p>
      <w:pPr>
        <w:spacing w:before="180" w:line="221" w:lineRule="auto"/>
        <w:ind w:left="491"/>
        <w:rPr>
          <w:rFonts w:ascii="宋体" w:hAnsi="宋体" w:eastAsia="宋体" w:cs="宋体"/>
          <w:sz w:val="24"/>
          <w:szCs w:val="24"/>
        </w:rPr>
      </w:pPr>
      <w:r>
        <w:rPr>
          <w:rFonts w:ascii="宋体" w:hAnsi="宋体" w:eastAsia="宋体" w:cs="宋体"/>
          <w:spacing w:val="-3"/>
          <w:sz w:val="24"/>
          <w:szCs w:val="24"/>
        </w:rPr>
        <w:t>25.1.2</w:t>
      </w:r>
      <w:r>
        <w:rPr>
          <w:rFonts w:ascii="宋体" w:hAnsi="宋体" w:eastAsia="宋体" w:cs="宋体"/>
          <w:spacing w:val="-44"/>
          <w:sz w:val="24"/>
          <w:szCs w:val="24"/>
        </w:rPr>
        <w:t xml:space="preserve"> </w:t>
      </w:r>
      <w:r>
        <w:rPr>
          <w:rFonts w:ascii="宋体" w:hAnsi="宋体" w:eastAsia="宋体" w:cs="宋体"/>
          <w:spacing w:val="-3"/>
          <w:sz w:val="24"/>
          <w:szCs w:val="24"/>
        </w:rPr>
        <w:t>整体退出</w:t>
      </w:r>
    </w:p>
    <w:p>
      <w:pPr>
        <w:spacing w:before="181" w:line="220" w:lineRule="auto"/>
        <w:ind w:left="499"/>
        <w:rPr>
          <w:rFonts w:ascii="宋体" w:hAnsi="宋体" w:eastAsia="宋体" w:cs="宋体"/>
          <w:sz w:val="24"/>
          <w:szCs w:val="24"/>
        </w:rPr>
      </w:pPr>
      <w:r>
        <w:rPr>
          <w:rFonts w:ascii="宋体" w:hAnsi="宋体" w:eastAsia="宋体" w:cs="宋体"/>
          <w:spacing w:val="-2"/>
          <w:sz w:val="24"/>
          <w:szCs w:val="24"/>
        </w:rPr>
        <w:t>（1）出现转包、非法分包；</w:t>
      </w:r>
    </w:p>
    <w:p>
      <w:pPr>
        <w:spacing w:before="179" w:line="219" w:lineRule="auto"/>
        <w:ind w:left="499"/>
        <w:rPr>
          <w:rFonts w:ascii="宋体" w:hAnsi="宋体" w:eastAsia="宋体" w:cs="宋体"/>
          <w:sz w:val="24"/>
          <w:szCs w:val="24"/>
        </w:rPr>
      </w:pPr>
      <w:r>
        <w:rPr>
          <w:rFonts w:ascii="宋体" w:hAnsi="宋体" w:eastAsia="宋体" w:cs="宋体"/>
          <w:spacing w:val="-1"/>
          <w:sz w:val="24"/>
          <w:szCs w:val="24"/>
        </w:rPr>
        <w:t>（2）出现重大安全责任，造成严重社会影响；</w:t>
      </w:r>
    </w:p>
    <w:p>
      <w:pPr>
        <w:spacing w:before="184" w:line="219" w:lineRule="auto"/>
        <w:ind w:left="499"/>
        <w:rPr>
          <w:rFonts w:ascii="宋体" w:hAnsi="宋体" w:eastAsia="宋体" w:cs="宋体"/>
          <w:sz w:val="24"/>
          <w:szCs w:val="24"/>
        </w:rPr>
      </w:pPr>
      <w:r>
        <w:rPr>
          <w:rFonts w:ascii="宋体" w:hAnsi="宋体" w:eastAsia="宋体" w:cs="宋体"/>
          <w:spacing w:val="-1"/>
          <w:sz w:val="24"/>
          <w:szCs w:val="24"/>
        </w:rPr>
        <w:t>（3）出现重大质量事故，严重影响工程质量和进度，造成严重社会影响；</w:t>
      </w:r>
    </w:p>
    <w:p>
      <w:pPr>
        <w:spacing w:before="184" w:line="219" w:lineRule="auto"/>
        <w:ind w:left="499"/>
        <w:rPr>
          <w:rFonts w:ascii="宋体" w:hAnsi="宋体" w:eastAsia="宋体" w:cs="宋体"/>
          <w:sz w:val="24"/>
          <w:szCs w:val="24"/>
        </w:rPr>
      </w:pPr>
      <w:r>
        <w:rPr>
          <w:rFonts w:ascii="宋体" w:hAnsi="宋体" w:eastAsia="宋体" w:cs="宋体"/>
          <w:spacing w:val="-1"/>
          <w:sz w:val="24"/>
          <w:szCs w:val="24"/>
        </w:rPr>
        <w:t>（4）由承包人自身原因导致使上述计划任务无法完成的；</w:t>
      </w:r>
    </w:p>
    <w:p>
      <w:pPr>
        <w:spacing w:before="181" w:line="219" w:lineRule="auto"/>
        <w:ind w:left="489"/>
        <w:rPr>
          <w:rFonts w:ascii="宋体" w:hAnsi="宋体" w:eastAsia="宋体" w:cs="宋体"/>
          <w:sz w:val="24"/>
          <w:szCs w:val="24"/>
        </w:rPr>
      </w:pPr>
      <w:r>
        <w:rPr>
          <w:rFonts w:ascii="宋体" w:hAnsi="宋体" w:eastAsia="宋体" w:cs="宋体"/>
          <w:spacing w:val="-1"/>
          <w:sz w:val="24"/>
          <w:szCs w:val="24"/>
        </w:rPr>
        <w:t>整体退出的施工企业，发包人将建议交通主管部门降低其信用等级。</w:t>
      </w:r>
    </w:p>
    <w:p>
      <w:pPr>
        <w:spacing w:before="183" w:line="219" w:lineRule="auto"/>
        <w:ind w:left="491"/>
        <w:rPr>
          <w:rFonts w:ascii="宋体" w:hAnsi="宋体" w:eastAsia="宋体" w:cs="宋体"/>
          <w:sz w:val="24"/>
          <w:szCs w:val="24"/>
        </w:rPr>
      </w:pPr>
      <w:r>
        <w:rPr>
          <w:rFonts w:ascii="宋体" w:hAnsi="宋体" w:eastAsia="宋体" w:cs="宋体"/>
          <w:spacing w:val="-3"/>
          <w:sz w:val="24"/>
          <w:szCs w:val="24"/>
        </w:rPr>
        <w:t>25.1.3</w:t>
      </w:r>
      <w:r>
        <w:rPr>
          <w:rFonts w:ascii="宋体" w:hAnsi="宋体" w:eastAsia="宋体" w:cs="宋体"/>
          <w:spacing w:val="-44"/>
          <w:sz w:val="24"/>
          <w:szCs w:val="24"/>
        </w:rPr>
        <w:t xml:space="preserve"> </w:t>
      </w:r>
      <w:r>
        <w:rPr>
          <w:rFonts w:ascii="宋体" w:hAnsi="宋体" w:eastAsia="宋体" w:cs="宋体"/>
          <w:spacing w:val="-3"/>
          <w:sz w:val="24"/>
          <w:szCs w:val="24"/>
        </w:rPr>
        <w:t>退出清算</w:t>
      </w:r>
    </w:p>
    <w:p>
      <w:pPr>
        <w:spacing w:before="181" w:line="468" w:lineRule="exact"/>
        <w:ind w:left="499"/>
        <w:rPr>
          <w:rFonts w:ascii="宋体" w:hAnsi="宋体" w:eastAsia="宋体" w:cs="宋体"/>
          <w:sz w:val="24"/>
          <w:szCs w:val="24"/>
        </w:rPr>
      </w:pPr>
      <w:r>
        <w:rPr>
          <w:rFonts w:ascii="宋体" w:hAnsi="宋体" w:eastAsia="宋体" w:cs="宋体"/>
          <w:spacing w:val="1"/>
          <w:position w:val="17"/>
          <w:sz w:val="24"/>
          <w:szCs w:val="24"/>
        </w:rPr>
        <w:t>（1）发包人对承包人整体退出本项目工程建设进行公示，并要求承包人对拖欠款</w:t>
      </w:r>
    </w:p>
    <w:p>
      <w:pPr>
        <w:spacing w:line="219" w:lineRule="auto"/>
        <w:ind w:left="12"/>
        <w:rPr>
          <w:rFonts w:ascii="宋体" w:hAnsi="宋体" w:eastAsia="宋体" w:cs="宋体"/>
          <w:sz w:val="24"/>
          <w:szCs w:val="24"/>
        </w:rPr>
      </w:pPr>
      <w:r>
        <w:rPr>
          <w:rFonts w:ascii="宋体" w:hAnsi="宋体" w:eastAsia="宋体" w:cs="宋体"/>
          <w:spacing w:val="-2"/>
          <w:sz w:val="24"/>
          <w:szCs w:val="24"/>
        </w:rPr>
        <w:t>项的单位和个人及时清算。</w:t>
      </w:r>
    </w:p>
    <w:p>
      <w:pPr>
        <w:spacing w:before="181" w:line="219" w:lineRule="auto"/>
        <w:ind w:left="499"/>
        <w:rPr>
          <w:rFonts w:ascii="宋体" w:hAnsi="宋体" w:eastAsia="宋体" w:cs="宋体"/>
          <w:sz w:val="24"/>
          <w:szCs w:val="24"/>
        </w:rPr>
      </w:pPr>
      <w:r>
        <w:rPr>
          <w:rFonts w:ascii="宋体" w:hAnsi="宋体" w:eastAsia="宋体" w:cs="宋体"/>
          <w:spacing w:val="-1"/>
          <w:sz w:val="24"/>
          <w:szCs w:val="24"/>
        </w:rPr>
        <w:t>（2）发包人扣押履约担保、质量保证金、停止计量支付。</w:t>
      </w:r>
    </w:p>
    <w:p>
      <w:pPr>
        <w:spacing w:before="183" w:line="219" w:lineRule="auto"/>
        <w:ind w:left="499"/>
        <w:rPr>
          <w:rFonts w:ascii="宋体" w:hAnsi="宋体" w:eastAsia="宋体" w:cs="宋体"/>
          <w:sz w:val="24"/>
          <w:szCs w:val="24"/>
        </w:rPr>
      </w:pPr>
      <w:r>
        <w:rPr>
          <w:rFonts w:ascii="宋体" w:hAnsi="宋体" w:eastAsia="宋体" w:cs="宋体"/>
          <w:spacing w:val="-1"/>
          <w:sz w:val="24"/>
          <w:szCs w:val="24"/>
        </w:rPr>
        <w:t>（3）承包人必须向发包人提交已完成工程的齐全的施工资料。</w:t>
      </w:r>
    </w:p>
    <w:p>
      <w:pPr>
        <w:spacing w:before="180" w:line="183" w:lineRule="auto"/>
        <w:ind w:left="499"/>
        <w:rPr>
          <w:rFonts w:ascii="宋体" w:hAnsi="宋体" w:eastAsia="宋体" w:cs="宋体"/>
          <w:sz w:val="24"/>
          <w:szCs w:val="24"/>
        </w:rPr>
      </w:pPr>
      <w:r>
        <w:rPr>
          <w:rFonts w:ascii="宋体" w:hAnsi="宋体" w:eastAsia="宋体" w:cs="宋体"/>
          <w:spacing w:val="-2"/>
          <w:sz w:val="24"/>
          <w:szCs w:val="24"/>
        </w:rPr>
        <w:t>（4）清算后特殊分包单位的确定原则：</w:t>
      </w:r>
    </w:p>
    <w:p>
      <w:pPr>
        <w:tabs>
          <w:tab w:val="left" w:pos="2880"/>
        </w:tabs>
        <w:spacing w:line="239" w:lineRule="exact"/>
        <w:rPr>
          <w:rFonts w:ascii="Arial"/>
          <w:sz w:val="21"/>
        </w:rPr>
      </w:pPr>
      <w:r>
        <w:rPr>
          <w:rFonts w:ascii="Arial" w:hAnsi="Arial" w:eastAsia="Arial" w:cs="Arial"/>
          <w:sz w:val="21"/>
          <w:szCs w:val="21"/>
          <w:u w:val="single" w:color="auto"/>
        </w:rPr>
        <w:tab/>
      </w:r>
    </w:p>
    <w:p>
      <w:pPr>
        <w:spacing w:before="103" w:line="220" w:lineRule="auto"/>
        <w:ind w:left="5"/>
        <w:rPr>
          <w:rFonts w:ascii="宋体" w:hAnsi="宋体" w:eastAsia="宋体" w:cs="宋体"/>
          <w:spacing w:val="1"/>
          <w:position w:val="17"/>
          <w:sz w:val="24"/>
          <w:szCs w:val="24"/>
        </w:rPr>
      </w:pPr>
      <w:r>
        <w:rPr>
          <w:rFonts w:ascii="宋体" w:hAnsi="宋体" w:eastAsia="宋体" w:cs="宋体"/>
          <w:spacing w:val="-2"/>
          <w:sz w:val="18"/>
          <w:szCs w:val="18"/>
        </w:rPr>
        <w:t>① 如高速公路项目需增加安全生产奖，招标人应按照《广东省高速公路工程</w:t>
      </w:r>
      <w:r>
        <w:rPr>
          <w:rFonts w:ascii="宋体" w:hAnsi="宋体" w:eastAsia="宋体" w:cs="宋体"/>
          <w:spacing w:val="-3"/>
          <w:sz w:val="18"/>
          <w:szCs w:val="18"/>
        </w:rPr>
        <w:t>施工安全标准化指南》的规定进行约定。</w:t>
      </w:r>
      <w:r>
        <mc:AlternateContent>
          <mc:Choice Requires="wps">
            <w:drawing>
              <wp:anchor distT="0" distB="0" distL="114300" distR="114300" simplePos="0" relativeHeight="251674624" behindDoc="0" locked="0" layoutInCell="0" allowOverlap="1">
                <wp:simplePos x="0" y="0"/>
                <wp:positionH relativeFrom="page">
                  <wp:posOffset>899795</wp:posOffset>
                </wp:positionH>
                <wp:positionV relativeFrom="page">
                  <wp:posOffset>9566910</wp:posOffset>
                </wp:positionV>
                <wp:extent cx="1828800" cy="0"/>
                <wp:effectExtent l="4445" t="4445" r="5080" b="5080"/>
                <wp:wrapNone/>
                <wp:docPr id="93" name="任意多边形 93"/>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3.3pt;height:0pt;width:144pt;mso-position-horizontal-relative:page;mso-position-vertical-relative:page;z-index:251674624;mso-width-relative:page;mso-height-relative:page;" filled="f" stroked="t" coordsize="2880,1" o:allowincell="f" o:gfxdata="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jNnCdcAAAANAQAADwAAAAAAAAABACAAAAAiAAAAZHJzL2Rvd25yZXYueG1sUEsBAhQAFAAA&#10;AAgAh07iQI0bHeYpAgAAiQQAAA4AAAAAAAAAAQAgAAAAJgEAAGRycy9lMm9Eb2MueG1sUEsFBgAA&#10;AAAGAAYAWQEAAMEFAAAAAA==&#10;" path="m0,0l2880,0e">
                <v:fill on="f" focussize="0,0"/>
                <v:stroke weight="0pt" color="#000000" joinstyle="bevel" endcap="square"/>
                <v:imagedata o:title=""/>
                <o:lock v:ext="edit" aspectratio="f"/>
              </v:shape>
            </w:pict>
          </mc:Fallback>
        </mc:AlternateContent>
      </w:r>
    </w:p>
    <w:p>
      <w:pPr>
        <w:spacing w:before="78" w:line="466" w:lineRule="exact"/>
        <w:ind w:left="517"/>
        <w:rPr>
          <w:rFonts w:ascii="宋体" w:hAnsi="宋体" w:eastAsia="宋体" w:cs="宋体"/>
          <w:sz w:val="24"/>
          <w:szCs w:val="24"/>
        </w:rPr>
      </w:pPr>
      <w:r>
        <w:rPr>
          <w:rFonts w:ascii="宋体" w:hAnsi="宋体" w:eastAsia="宋体" w:cs="宋体"/>
          <w:spacing w:val="1"/>
          <w:position w:val="17"/>
          <w:sz w:val="24"/>
          <w:szCs w:val="24"/>
        </w:rPr>
        <w:t>由发包人选择本项目实力较强、 质量进度评比排名靠前的承</w:t>
      </w:r>
      <w:r>
        <w:rPr>
          <w:rFonts w:ascii="宋体" w:hAnsi="宋体" w:eastAsia="宋体" w:cs="宋体"/>
          <w:position w:val="17"/>
          <w:sz w:val="24"/>
          <w:szCs w:val="24"/>
        </w:rPr>
        <w:t>包单位或由发包人通</w:t>
      </w:r>
    </w:p>
    <w:p>
      <w:pPr>
        <w:spacing w:line="220" w:lineRule="auto"/>
        <w:ind w:left="9"/>
        <w:rPr>
          <w:rFonts w:ascii="宋体" w:hAnsi="宋体" w:eastAsia="宋体" w:cs="宋体"/>
          <w:sz w:val="24"/>
          <w:szCs w:val="24"/>
        </w:rPr>
      </w:pPr>
      <w:r>
        <w:rPr>
          <w:rFonts w:ascii="宋体" w:hAnsi="宋体" w:eastAsia="宋体" w:cs="宋体"/>
          <w:spacing w:val="-1"/>
          <w:sz w:val="24"/>
          <w:szCs w:val="24"/>
        </w:rPr>
        <w:t>过合法方式选择分包单位；</w:t>
      </w:r>
    </w:p>
    <w:p>
      <w:pPr>
        <w:spacing w:before="182" w:line="219" w:lineRule="auto"/>
        <w:ind w:left="491"/>
        <w:rPr>
          <w:rFonts w:ascii="宋体" w:hAnsi="宋体" w:eastAsia="宋体" w:cs="宋体"/>
          <w:sz w:val="24"/>
          <w:szCs w:val="24"/>
        </w:rPr>
      </w:pPr>
      <w:r>
        <w:rPr>
          <w:rFonts w:ascii="宋体" w:hAnsi="宋体" w:eastAsia="宋体" w:cs="宋体"/>
          <w:spacing w:val="-1"/>
          <w:sz w:val="24"/>
          <w:szCs w:val="24"/>
        </w:rPr>
        <w:t>分包单位选择情况上报上级行政主管部门；</w:t>
      </w:r>
    </w:p>
    <w:p>
      <w:pPr>
        <w:spacing w:before="180" w:line="219" w:lineRule="auto"/>
        <w:ind w:left="488"/>
        <w:rPr>
          <w:rFonts w:ascii="宋体" w:hAnsi="宋体" w:eastAsia="宋体" w:cs="宋体"/>
          <w:sz w:val="24"/>
          <w:szCs w:val="24"/>
        </w:rPr>
      </w:pPr>
      <w:r>
        <w:rPr>
          <w:rFonts w:ascii="宋体" w:hAnsi="宋体" w:eastAsia="宋体" w:cs="宋体"/>
          <w:spacing w:val="-1"/>
          <w:sz w:val="24"/>
          <w:szCs w:val="24"/>
        </w:rPr>
        <w:t>特殊分包单位应具备特殊分包工程相对应的资质要求。</w:t>
      </w:r>
    </w:p>
    <w:p>
      <w:pPr>
        <w:spacing w:before="182" w:line="466" w:lineRule="exact"/>
        <w:ind w:left="499"/>
        <w:rPr>
          <w:rFonts w:ascii="宋体" w:hAnsi="宋体" w:eastAsia="宋体" w:cs="宋体"/>
          <w:sz w:val="24"/>
          <w:szCs w:val="24"/>
        </w:rPr>
      </w:pPr>
      <w:r>
        <w:rPr>
          <w:rFonts w:ascii="宋体" w:hAnsi="宋体" w:eastAsia="宋体" w:cs="宋体"/>
          <w:spacing w:val="-2"/>
          <w:position w:val="17"/>
          <w:sz w:val="24"/>
          <w:szCs w:val="24"/>
        </w:rPr>
        <w:t>（5）清算后费用承担：特殊分包范围内的项目，由于上述（4）确定的分包价与承</w:t>
      </w:r>
    </w:p>
    <w:p>
      <w:pPr>
        <w:spacing w:before="1" w:line="217" w:lineRule="auto"/>
        <w:ind w:left="8"/>
        <w:rPr>
          <w:rFonts w:ascii="宋体" w:hAnsi="宋体" w:eastAsia="宋体" w:cs="宋体"/>
          <w:sz w:val="24"/>
          <w:szCs w:val="24"/>
        </w:rPr>
      </w:pPr>
      <w:r>
        <w:rPr>
          <w:rFonts w:ascii="宋体" w:hAnsi="宋体" w:eastAsia="宋体" w:cs="宋体"/>
          <w:spacing w:val="-1"/>
          <w:sz w:val="24"/>
          <w:szCs w:val="24"/>
        </w:rPr>
        <w:t>包人合同价产生的价差由承包人承担。</w:t>
      </w:r>
    </w:p>
    <w:p>
      <w:pPr>
        <w:spacing w:before="185" w:line="219" w:lineRule="auto"/>
        <w:ind w:left="499"/>
        <w:rPr>
          <w:rFonts w:ascii="宋体" w:hAnsi="宋体" w:eastAsia="宋体" w:cs="宋体"/>
          <w:sz w:val="24"/>
          <w:szCs w:val="24"/>
        </w:rPr>
      </w:pPr>
      <w:r>
        <w:rPr>
          <w:rFonts w:ascii="宋体" w:hAnsi="宋体" w:eastAsia="宋体" w:cs="宋体"/>
          <w:spacing w:val="-1"/>
          <w:sz w:val="24"/>
          <w:szCs w:val="24"/>
        </w:rPr>
        <w:t>（6）承包人应无条件接受，指定特殊分包单位无须向承包人交纳管理费。</w:t>
      </w:r>
    </w:p>
    <w:p>
      <w:pPr>
        <w:spacing w:before="180" w:line="468" w:lineRule="exact"/>
        <w:ind w:left="486"/>
        <w:rPr>
          <w:rFonts w:ascii="宋体" w:hAnsi="宋体" w:eastAsia="宋体" w:cs="宋体"/>
          <w:sz w:val="24"/>
          <w:szCs w:val="24"/>
        </w:rPr>
      </w:pPr>
      <w:r>
        <w:rPr>
          <w:rFonts w:ascii="宋体" w:hAnsi="宋体" w:eastAsia="宋体" w:cs="宋体"/>
          <w:position w:val="17"/>
          <w:sz w:val="24"/>
          <w:szCs w:val="24"/>
        </w:rPr>
        <w:t>但无论如何，承包人应按发包人要求提供已有的临时设施（如</w:t>
      </w:r>
      <w:r>
        <w:rPr>
          <w:rFonts w:ascii="宋体" w:hAnsi="宋体" w:eastAsia="宋体" w:cs="宋体"/>
          <w:spacing w:val="-1"/>
          <w:position w:val="17"/>
          <w:sz w:val="24"/>
          <w:szCs w:val="24"/>
        </w:rPr>
        <w:t>便道、电力线路等）</w:t>
      </w:r>
    </w:p>
    <w:p>
      <w:pPr>
        <w:spacing w:before="1" w:line="218" w:lineRule="auto"/>
        <w:ind w:left="8"/>
        <w:rPr>
          <w:rFonts w:ascii="宋体" w:hAnsi="宋体" w:eastAsia="宋体" w:cs="宋体"/>
          <w:sz w:val="24"/>
          <w:szCs w:val="24"/>
        </w:rPr>
      </w:pPr>
      <w:r>
        <w:rPr>
          <w:rFonts w:ascii="宋体" w:hAnsi="宋体" w:eastAsia="宋体" w:cs="宋体"/>
          <w:spacing w:val="-1"/>
          <w:sz w:val="24"/>
          <w:szCs w:val="24"/>
        </w:rPr>
        <w:t>供特殊分包人使用，承包人不得为此要求增加任何费用。</w:t>
      </w:r>
    </w:p>
    <w:p>
      <w:pPr>
        <w:spacing w:before="182" w:line="219" w:lineRule="auto"/>
        <w:ind w:left="491"/>
        <w:rPr>
          <w:rFonts w:ascii="宋体" w:hAnsi="宋体" w:eastAsia="宋体" w:cs="宋体"/>
          <w:sz w:val="24"/>
          <w:szCs w:val="24"/>
        </w:rPr>
      </w:pPr>
      <w:r>
        <w:rPr>
          <w:rFonts w:ascii="宋体" w:hAnsi="宋体" w:eastAsia="宋体" w:cs="宋体"/>
          <w:spacing w:val="-2"/>
          <w:sz w:val="24"/>
          <w:szCs w:val="24"/>
        </w:rPr>
        <w:t>25.2 工程管理要求</w:t>
      </w:r>
    </w:p>
    <w:p>
      <w:pPr>
        <w:spacing w:before="183" w:line="359" w:lineRule="auto"/>
        <w:ind w:left="8" w:right="278" w:firstLine="482"/>
        <w:rPr>
          <w:rFonts w:ascii="宋体" w:hAnsi="宋体" w:eastAsia="宋体" w:cs="宋体"/>
          <w:sz w:val="24"/>
          <w:szCs w:val="24"/>
        </w:rPr>
      </w:pPr>
      <w:r>
        <w:rPr>
          <w:rFonts w:ascii="宋体" w:hAnsi="宋体" w:eastAsia="宋体" w:cs="宋体"/>
          <w:spacing w:val="-2"/>
          <w:sz w:val="24"/>
          <w:szCs w:val="24"/>
        </w:rPr>
        <w:t>鉴于发包人在项目建设管理过程中将推行交通运输部、广东省关于绿色公路、品质</w:t>
      </w:r>
      <w:r>
        <w:rPr>
          <w:rFonts w:ascii="宋体" w:hAnsi="宋体" w:eastAsia="宋体" w:cs="宋体"/>
          <w:spacing w:val="5"/>
          <w:sz w:val="24"/>
          <w:szCs w:val="24"/>
        </w:rPr>
        <w:t xml:space="preserve"> 工程等公路工程现代化管理和公路施工标准化管理，为确保</w:t>
      </w:r>
      <w:r>
        <w:rPr>
          <w:rFonts w:ascii="宋体" w:hAnsi="宋体" w:eastAsia="宋体" w:cs="宋体"/>
          <w:spacing w:val="4"/>
          <w:sz w:val="24"/>
          <w:szCs w:val="24"/>
        </w:rPr>
        <w:t>对项目生产一线的有效管</w:t>
      </w:r>
      <w:r>
        <w:rPr>
          <w:rFonts w:ascii="宋体" w:hAnsi="宋体" w:eastAsia="宋体" w:cs="宋体"/>
          <w:sz w:val="24"/>
          <w:szCs w:val="24"/>
        </w:rPr>
        <w:t xml:space="preserve"> </w:t>
      </w:r>
      <w:r>
        <w:rPr>
          <w:rFonts w:ascii="宋体" w:hAnsi="宋体" w:eastAsia="宋体" w:cs="宋体"/>
          <w:spacing w:val="-1"/>
          <w:sz w:val="24"/>
          <w:szCs w:val="24"/>
        </w:rPr>
        <w:t>理，承包人在进场施工时应配备足够的车辆用于项目管理</w:t>
      </w:r>
      <w:r>
        <w:rPr>
          <w:rFonts w:ascii="宋体" w:hAnsi="宋体" w:eastAsia="宋体" w:cs="宋体"/>
          <w:spacing w:val="-2"/>
          <w:sz w:val="24"/>
          <w:szCs w:val="24"/>
        </w:rPr>
        <w:t>现场，直至本项目建成通车。</w:t>
      </w:r>
      <w:r>
        <w:rPr>
          <w:rFonts w:ascii="宋体" w:hAnsi="宋体" w:eastAsia="宋体" w:cs="宋体"/>
          <w:sz w:val="24"/>
          <w:szCs w:val="24"/>
        </w:rPr>
        <w:t xml:space="preserve"> </w:t>
      </w:r>
      <w:r>
        <w:rPr>
          <w:rFonts w:ascii="宋体" w:hAnsi="宋体" w:eastAsia="宋体" w:cs="宋体"/>
          <w:spacing w:val="-2"/>
          <w:sz w:val="24"/>
          <w:szCs w:val="24"/>
        </w:rPr>
        <w:t>承包人应针对上述管理要求制定相应的工作方案，相应的人员、车辆应报监理人及发包</w:t>
      </w:r>
    </w:p>
    <w:p>
      <w:pPr>
        <w:spacing w:line="220" w:lineRule="auto"/>
        <w:ind w:left="10"/>
        <w:rPr>
          <w:rFonts w:ascii="宋体" w:hAnsi="宋体" w:eastAsia="宋体" w:cs="宋体"/>
          <w:sz w:val="24"/>
          <w:szCs w:val="24"/>
        </w:rPr>
      </w:pPr>
      <w:r>
        <w:rPr>
          <w:rFonts w:ascii="宋体" w:hAnsi="宋体" w:eastAsia="宋体" w:cs="宋体"/>
          <w:spacing w:val="-3"/>
          <w:sz w:val="24"/>
          <w:szCs w:val="24"/>
        </w:rPr>
        <w:t>人审批。</w:t>
      </w:r>
    </w:p>
    <w:p>
      <w:pPr>
        <w:spacing w:before="163" w:line="234" w:lineRule="auto"/>
        <w:ind w:left="491"/>
        <w:rPr>
          <w:rFonts w:ascii="宋体" w:hAnsi="宋体" w:eastAsia="宋体" w:cs="宋体"/>
          <w:sz w:val="12"/>
          <w:szCs w:val="12"/>
        </w:rPr>
      </w:pPr>
      <w:r>
        <w:rPr>
          <w:rFonts w:ascii="宋体" w:hAnsi="宋体" w:eastAsia="宋体" w:cs="宋体"/>
          <w:spacing w:val="-3"/>
          <w:sz w:val="24"/>
          <w:szCs w:val="24"/>
        </w:rPr>
        <w:t>25.3</w:t>
      </w:r>
      <w:r>
        <w:rPr>
          <w:rFonts w:ascii="宋体" w:hAnsi="宋体" w:eastAsia="宋体" w:cs="宋体"/>
          <w:spacing w:val="-20"/>
          <w:sz w:val="24"/>
          <w:szCs w:val="24"/>
        </w:rPr>
        <w:t xml:space="preserve"> </w:t>
      </w:r>
      <w:r>
        <w:rPr>
          <w:rFonts w:ascii="宋体" w:hAnsi="宋体" w:eastAsia="宋体" w:cs="宋体"/>
          <w:spacing w:val="-3"/>
          <w:sz w:val="24"/>
          <w:szCs w:val="24"/>
        </w:rPr>
        <w:t>电子文件归档和电子档案管理</w:t>
      </w:r>
      <w:r>
        <w:fldChar w:fldCharType="begin"/>
      </w:r>
      <w:r>
        <w:instrText xml:space="preserve"> HYPERLINK \l "bookmark168" </w:instrText>
      </w:r>
      <w:r>
        <w:fldChar w:fldCharType="separate"/>
      </w:r>
      <w:r>
        <w:rPr>
          <w:rFonts w:ascii="宋体" w:hAnsi="宋体" w:eastAsia="宋体" w:cs="宋体"/>
          <w:spacing w:val="-3"/>
          <w:position w:val="12"/>
          <w:sz w:val="12"/>
          <w:szCs w:val="12"/>
          <w14:textOutline w14:w="2179" w14:cap="sq" w14:cmpd="sng">
            <w14:solidFill>
              <w14:srgbClr w14:val="000000"/>
            </w14:solidFill>
            <w14:prstDash w14:val="solid"/>
            <w14:bevel/>
          </w14:textOutline>
        </w:rPr>
        <w:t>①</w:t>
      </w:r>
      <w:r>
        <w:rPr>
          <w:rFonts w:ascii="宋体" w:hAnsi="宋体" w:eastAsia="宋体" w:cs="宋体"/>
          <w:spacing w:val="-3"/>
          <w:position w:val="12"/>
          <w:sz w:val="12"/>
          <w:szCs w:val="12"/>
          <w14:textOutline w14:w="2179" w14:cap="sq" w14:cmpd="sng">
            <w14:solidFill>
              <w14:srgbClr w14:val="000000"/>
            </w14:solidFill>
            <w14:prstDash w14:val="solid"/>
            <w14:bevel/>
          </w14:textOutline>
        </w:rPr>
        <w:fldChar w:fldCharType="end"/>
      </w:r>
    </w:p>
    <w:p>
      <w:pPr>
        <w:spacing w:line="307" w:lineRule="auto"/>
        <w:rPr>
          <w:rFonts w:ascii="Arial"/>
          <w:sz w:val="21"/>
        </w:rPr>
      </w:pPr>
    </w:p>
    <w:p>
      <w:pPr>
        <w:tabs>
          <w:tab w:val="left" w:pos="8637"/>
        </w:tabs>
        <w:spacing w:before="26" w:line="173" w:lineRule="auto"/>
        <w:ind w:left="479"/>
        <w:rPr>
          <w:rFonts w:ascii="宋体" w:hAnsi="宋体" w:eastAsia="宋体" w:cs="宋体"/>
          <w:sz w:val="8"/>
          <w:szCs w:val="8"/>
        </w:rPr>
      </w:pPr>
      <w:r>
        <w:rPr>
          <w:rFonts w:ascii="宋体" w:hAnsi="宋体" w:eastAsia="宋体" w:cs="宋体"/>
          <w:sz w:val="8"/>
          <w:szCs w:val="8"/>
          <w:u w:val="single" w:color="auto"/>
        </w:rPr>
        <w:tab/>
      </w:r>
      <w:r>
        <w:rPr>
          <w:rFonts w:ascii="宋体" w:hAnsi="宋体" w:eastAsia="宋体" w:cs="宋体"/>
          <w:spacing w:val="-7"/>
          <w:sz w:val="8"/>
          <w:szCs w:val="8"/>
        </w:rPr>
        <w:t xml:space="preserve"> </w:t>
      </w:r>
      <w:r>
        <w:rPr>
          <w:rFonts w:ascii="宋体" w:hAnsi="宋体" w:eastAsia="宋体" w:cs="宋体"/>
          <w:spacing w:val="12"/>
          <w:sz w:val="8"/>
          <w:szCs w:val="8"/>
        </w:rPr>
        <w:t>。</w:t>
      </w:r>
    </w:p>
    <w:p>
      <w:pPr>
        <w:spacing w:before="237" w:line="219" w:lineRule="auto"/>
        <w:ind w:left="491"/>
        <w:rPr>
          <w:rFonts w:ascii="宋体" w:hAnsi="宋体" w:eastAsia="宋体" w:cs="宋体"/>
          <w:sz w:val="24"/>
          <w:szCs w:val="24"/>
        </w:rPr>
      </w:pPr>
      <w:r>
        <w:rPr>
          <w:rFonts w:ascii="宋体" w:hAnsi="宋体" w:eastAsia="宋体" w:cs="宋体"/>
          <w:spacing w:val="-3"/>
          <w:sz w:val="24"/>
          <w:szCs w:val="24"/>
        </w:rPr>
        <w:t>25.4</w:t>
      </w:r>
      <w:r>
        <w:rPr>
          <w:rFonts w:ascii="宋体" w:hAnsi="宋体" w:eastAsia="宋体" w:cs="宋体"/>
          <w:spacing w:val="-50"/>
          <w:sz w:val="24"/>
          <w:szCs w:val="24"/>
        </w:rPr>
        <w:t xml:space="preserve"> </w:t>
      </w:r>
      <w:r>
        <w:rPr>
          <w:rFonts w:ascii="宋体" w:hAnsi="宋体" w:eastAsia="宋体" w:cs="宋体"/>
          <w:spacing w:val="-3"/>
          <w:sz w:val="24"/>
          <w:szCs w:val="24"/>
        </w:rPr>
        <w:t>过程结算</w:t>
      </w:r>
    </w:p>
    <w:p>
      <w:pPr>
        <w:spacing w:before="183" w:line="359" w:lineRule="auto"/>
        <w:ind w:left="9" w:right="291" w:firstLine="480"/>
        <w:rPr>
          <w:rFonts w:ascii="宋体" w:hAnsi="宋体" w:eastAsia="宋体" w:cs="宋体"/>
          <w:sz w:val="24"/>
          <w:szCs w:val="24"/>
        </w:rPr>
      </w:pPr>
      <w:r>
        <w:rPr>
          <w:rFonts w:ascii="宋体" w:hAnsi="宋体" w:eastAsia="宋体" w:cs="宋体"/>
          <w:spacing w:val="-2"/>
          <w:sz w:val="24"/>
          <w:szCs w:val="24"/>
        </w:rPr>
        <w:t>本合同工程执行过程中，建立过程结算制度，开展过程结算工作评价和考核，提高</w:t>
      </w:r>
      <w:r>
        <w:rPr>
          <w:rFonts w:ascii="宋体" w:hAnsi="宋体" w:eastAsia="宋体" w:cs="宋体"/>
          <w:spacing w:val="7"/>
          <w:sz w:val="24"/>
          <w:szCs w:val="24"/>
        </w:rPr>
        <w:t xml:space="preserve"> </w:t>
      </w:r>
      <w:r>
        <w:rPr>
          <w:rFonts w:ascii="宋体" w:hAnsi="宋体" w:eastAsia="宋体" w:cs="宋体"/>
          <w:spacing w:val="-2"/>
          <w:sz w:val="24"/>
          <w:szCs w:val="24"/>
        </w:rPr>
        <w:t>合同结算工作效率。具体执行《广东省交通运输厅关于印发广东省公路建设项目过程结</w:t>
      </w:r>
    </w:p>
    <w:p>
      <w:pPr>
        <w:spacing w:line="216" w:lineRule="auto"/>
        <w:ind w:left="10"/>
        <w:rPr>
          <w:rFonts w:ascii="宋体" w:hAnsi="宋体" w:eastAsia="宋体" w:cs="宋体"/>
          <w:sz w:val="24"/>
          <w:szCs w:val="24"/>
        </w:rPr>
      </w:pPr>
      <w:r>
        <w:rPr>
          <w:rFonts w:ascii="宋体" w:hAnsi="宋体" w:eastAsia="宋体" w:cs="宋体"/>
          <w:spacing w:val="-1"/>
          <w:sz w:val="24"/>
          <w:szCs w:val="24"/>
        </w:rPr>
        <w:t>算工作指导意见的通知》的规定, 并符合以下规定：</w:t>
      </w:r>
    </w:p>
    <w:p>
      <w:pPr>
        <w:spacing w:before="187" w:line="359" w:lineRule="auto"/>
        <w:ind w:left="8" w:right="291" w:firstLine="497"/>
        <w:rPr>
          <w:rFonts w:ascii="宋体" w:hAnsi="宋体" w:eastAsia="宋体" w:cs="宋体"/>
          <w:sz w:val="24"/>
          <w:szCs w:val="24"/>
        </w:rPr>
      </w:pPr>
      <w:r>
        <w:rPr>
          <w:rFonts w:ascii="宋体" w:hAnsi="宋体" w:eastAsia="宋体" w:cs="宋体"/>
          <w:spacing w:val="1"/>
          <w:sz w:val="24"/>
          <w:szCs w:val="24"/>
        </w:rPr>
        <w:t>1.项目开工前，发包人制订过程结算的目标和计划,按《广东省公路工程造价标准</w:t>
      </w:r>
      <w:r>
        <w:rPr>
          <w:rFonts w:ascii="宋体" w:hAnsi="宋体" w:eastAsia="宋体" w:cs="宋体"/>
          <w:sz w:val="24"/>
          <w:szCs w:val="24"/>
        </w:rPr>
        <w:t xml:space="preserve"> </w:t>
      </w:r>
      <w:r>
        <w:rPr>
          <w:rFonts w:ascii="宋体" w:hAnsi="宋体" w:eastAsia="宋体" w:cs="宋体"/>
          <w:spacing w:val="-2"/>
          <w:sz w:val="24"/>
          <w:szCs w:val="24"/>
        </w:rPr>
        <w:t>化管理指南》规定及发包人要求建立标准费用项目、合同工程量清单、图纸工程量三者</w:t>
      </w:r>
      <w:r>
        <w:rPr>
          <w:rFonts w:ascii="宋体" w:hAnsi="宋体" w:eastAsia="宋体" w:cs="宋体"/>
          <w:spacing w:val="12"/>
          <w:sz w:val="24"/>
          <w:szCs w:val="24"/>
        </w:rPr>
        <w:t xml:space="preserve"> </w:t>
      </w:r>
      <w:r>
        <w:rPr>
          <w:rFonts w:ascii="宋体" w:hAnsi="宋体" w:eastAsia="宋体" w:cs="宋体"/>
          <w:spacing w:val="1"/>
          <w:sz w:val="24"/>
          <w:szCs w:val="24"/>
        </w:rPr>
        <w:t>的对应关系,明确过程结算的结算范围、单元划分、工作程序和考核标准等。承包人应</w:t>
      </w:r>
      <w:r>
        <w:rPr>
          <w:rFonts w:ascii="宋体" w:hAnsi="宋体" w:eastAsia="宋体" w:cs="宋体"/>
          <w:spacing w:val="18"/>
          <w:sz w:val="24"/>
          <w:szCs w:val="24"/>
        </w:rPr>
        <w:t xml:space="preserve"> </w:t>
      </w:r>
      <w:r>
        <w:rPr>
          <w:rFonts w:ascii="宋体" w:hAnsi="宋体" w:eastAsia="宋体" w:cs="宋体"/>
          <w:spacing w:val="-2"/>
          <w:sz w:val="24"/>
          <w:szCs w:val="24"/>
        </w:rPr>
        <w:t>配备专业人员、明确责任领导，按计划编制过程结算文件，将结算计划纳入总体施工组</w:t>
      </w:r>
    </w:p>
    <w:p>
      <w:pPr>
        <w:spacing w:before="1" w:line="216" w:lineRule="auto"/>
        <w:ind w:left="12"/>
        <w:rPr>
          <w:rFonts w:ascii="宋体" w:hAnsi="宋体" w:eastAsia="宋体" w:cs="宋体"/>
          <w:sz w:val="24"/>
          <w:szCs w:val="24"/>
        </w:rPr>
      </w:pPr>
      <w:r>
        <w:rPr>
          <w:rFonts w:ascii="宋体" w:hAnsi="宋体" w:eastAsia="宋体" w:cs="宋体"/>
          <w:spacing w:val="-1"/>
          <w:sz w:val="24"/>
          <w:szCs w:val="24"/>
        </w:rPr>
        <w:t>织设计内容, 作为开工报告组成部分。</w:t>
      </w:r>
    </w:p>
    <w:p>
      <w:pPr>
        <w:spacing w:before="184" w:line="468" w:lineRule="exact"/>
        <w:ind w:left="491"/>
        <w:rPr>
          <w:rFonts w:ascii="宋体" w:hAnsi="宋体" w:eastAsia="宋体" w:cs="宋体"/>
          <w:sz w:val="24"/>
          <w:szCs w:val="24"/>
        </w:rPr>
      </w:pPr>
      <w:r>
        <w:rPr>
          <w:rFonts w:ascii="宋体" w:hAnsi="宋体" w:eastAsia="宋体" w:cs="宋体"/>
          <w:spacing w:val="-2"/>
          <w:position w:val="17"/>
          <w:sz w:val="24"/>
          <w:szCs w:val="24"/>
        </w:rPr>
        <w:t>2.发包人、承包人均应保障承担过程结算工作人员的配置和稳定, 做到过程结算和</w:t>
      </w:r>
    </w:p>
    <w:p>
      <w:pPr>
        <w:spacing w:line="219" w:lineRule="auto"/>
        <w:ind w:left="11"/>
        <w:rPr>
          <w:rFonts w:ascii="宋体" w:hAnsi="宋体" w:eastAsia="宋体" w:cs="宋体"/>
          <w:sz w:val="24"/>
          <w:szCs w:val="24"/>
        </w:rPr>
      </w:pPr>
      <w:r>
        <w:rPr>
          <w:rFonts w:ascii="宋体" w:hAnsi="宋体" w:eastAsia="宋体" w:cs="宋体"/>
          <w:spacing w:val="-1"/>
          <w:sz w:val="24"/>
          <w:szCs w:val="24"/>
        </w:rPr>
        <w:t>工程建设同步推进、应结尽结。</w:t>
      </w:r>
    </w:p>
    <w:p>
      <w:pPr>
        <w:spacing w:before="181" w:line="219" w:lineRule="auto"/>
        <w:ind w:left="493"/>
        <w:rPr>
          <w:rFonts w:ascii="宋体" w:hAnsi="宋体" w:eastAsia="宋体" w:cs="宋体"/>
          <w:sz w:val="24"/>
          <w:szCs w:val="24"/>
        </w:rPr>
      </w:pPr>
      <w:r>
        <w:rPr>
          <w:rFonts w:ascii="宋体" w:hAnsi="宋体" w:eastAsia="宋体" w:cs="宋体"/>
          <w:spacing w:val="-2"/>
          <w:sz w:val="24"/>
          <w:szCs w:val="24"/>
        </w:rPr>
        <w:t>3.结算单元按合同约定完成并通过质量中间验收，原则上按项目专用合同条款数据</w:t>
      </w:r>
    </w:p>
    <w:p>
      <w:pPr>
        <w:spacing w:line="343" w:lineRule="auto"/>
        <w:rPr>
          <w:rFonts w:ascii="Arial"/>
          <w:sz w:val="21"/>
        </w:rPr>
      </w:pPr>
    </w:p>
    <w:p>
      <w:pPr>
        <w:spacing w:before="60" w:line="220" w:lineRule="auto"/>
        <w:ind w:left="5"/>
        <w:rPr>
          <w:rFonts w:ascii="宋体" w:hAnsi="宋体" w:eastAsia="宋体" w:cs="宋体"/>
          <w:sz w:val="18"/>
          <w:szCs w:val="18"/>
        </w:rPr>
      </w:pPr>
      <w:r>
        <w:rPr>
          <w:rFonts w:ascii="宋体" w:hAnsi="宋体" w:eastAsia="宋体" w:cs="宋体"/>
          <w:sz w:val="18"/>
          <w:szCs w:val="18"/>
        </w:rPr>
        <w:t>①工程项目如需电子文件归档，本款内容由发包人根据项目的等级、标准等情况结合广东省的相</w:t>
      </w:r>
      <w:r>
        <w:rPr>
          <w:rFonts w:ascii="宋体" w:hAnsi="宋体" w:eastAsia="宋体" w:cs="宋体"/>
          <w:spacing w:val="-1"/>
          <w:sz w:val="18"/>
          <w:szCs w:val="18"/>
        </w:rPr>
        <w:t>关规定进行约定。</w:t>
      </w:r>
    </w:p>
    <w:p>
      <w:pPr>
        <w:spacing w:line="425" w:lineRule="auto"/>
        <w:rPr>
          <w:rFonts w:ascii="Arial"/>
          <w:sz w:val="21"/>
        </w:rPr>
      </w:pPr>
    </w:p>
    <w:p>
      <w:pPr>
        <w:spacing w:before="78" w:line="219" w:lineRule="auto"/>
        <w:ind w:left="4"/>
        <w:rPr>
          <w:rFonts w:ascii="宋体" w:hAnsi="宋体" w:eastAsia="宋体" w:cs="宋体"/>
          <w:sz w:val="24"/>
          <w:szCs w:val="24"/>
        </w:rPr>
      </w:pPr>
      <w:r>
        <w:rPr>
          <w:rFonts w:ascii="宋体" w:hAnsi="宋体" w:eastAsia="宋体" w:cs="宋体"/>
          <w:spacing w:val="-1"/>
          <w:sz w:val="24"/>
          <w:szCs w:val="24"/>
        </w:rPr>
        <w:t>表约定的时间完成过程结算文件的编制、审核、签认工作。</w:t>
      </w:r>
    </w:p>
    <w:p>
      <w:pPr>
        <w:spacing w:before="181" w:line="216" w:lineRule="auto"/>
        <w:ind w:left="484"/>
        <w:rPr>
          <w:rFonts w:ascii="宋体" w:hAnsi="宋体" w:eastAsia="宋体" w:cs="宋体"/>
          <w:sz w:val="24"/>
          <w:szCs w:val="24"/>
        </w:rPr>
      </w:pPr>
      <w:r>
        <w:rPr>
          <w:rFonts w:ascii="宋体" w:hAnsi="宋体" w:eastAsia="宋体" w:cs="宋体"/>
          <w:sz w:val="24"/>
          <w:szCs w:val="24"/>
        </w:rPr>
        <w:t>4.未按要求完成过程结算的费用项, 按项目专用合同条款</w:t>
      </w:r>
      <w:r>
        <w:rPr>
          <w:rFonts w:ascii="宋体" w:hAnsi="宋体" w:eastAsia="宋体" w:cs="宋体"/>
          <w:spacing w:val="-1"/>
          <w:sz w:val="24"/>
          <w:szCs w:val="24"/>
        </w:rPr>
        <w:t>数据表约定内容执行。</w:t>
      </w:r>
    </w:p>
    <w:p>
      <w:pPr>
        <w:spacing w:before="186" w:line="466" w:lineRule="exact"/>
        <w:ind w:left="490"/>
        <w:rPr>
          <w:rFonts w:ascii="宋体" w:hAnsi="宋体" w:eastAsia="宋体" w:cs="宋体"/>
          <w:sz w:val="24"/>
          <w:szCs w:val="24"/>
        </w:rPr>
      </w:pPr>
      <w:r>
        <w:rPr>
          <w:rFonts w:ascii="宋体" w:hAnsi="宋体" w:eastAsia="宋体" w:cs="宋体"/>
          <w:spacing w:val="-2"/>
          <w:position w:val="17"/>
          <w:sz w:val="24"/>
          <w:szCs w:val="24"/>
        </w:rPr>
        <w:t>5.发包人、承包人签署认可的过程结算文件, 是最终结算文件和竣工决算文件的组</w:t>
      </w:r>
    </w:p>
    <w:p>
      <w:pPr>
        <w:spacing w:line="216" w:lineRule="auto"/>
        <w:ind w:left="7"/>
        <w:rPr>
          <w:rFonts w:ascii="宋体" w:hAnsi="宋体" w:eastAsia="宋体" w:cs="宋体"/>
          <w:sz w:val="24"/>
          <w:szCs w:val="24"/>
        </w:rPr>
      </w:pPr>
      <w:r>
        <w:rPr>
          <w:rFonts w:ascii="宋体" w:hAnsi="宋体" w:eastAsia="宋体" w:cs="宋体"/>
          <w:sz w:val="24"/>
          <w:szCs w:val="24"/>
        </w:rPr>
        <w:t>成部分,具有法律效力, 最终结算时不需对已确</w:t>
      </w:r>
      <w:r>
        <w:rPr>
          <w:rFonts w:ascii="宋体" w:hAnsi="宋体" w:eastAsia="宋体" w:cs="宋体"/>
          <w:spacing w:val="-1"/>
          <w:sz w:val="24"/>
          <w:szCs w:val="24"/>
        </w:rPr>
        <w:t>认的过程结算重新办理确认。</w:t>
      </w:r>
    </w:p>
    <w:p>
      <w:pPr>
        <w:spacing w:before="187" w:line="219" w:lineRule="auto"/>
        <w:ind w:left="488"/>
        <w:rPr>
          <w:rFonts w:ascii="宋体" w:hAnsi="宋体" w:eastAsia="宋体" w:cs="宋体"/>
          <w:sz w:val="24"/>
          <w:szCs w:val="24"/>
        </w:rPr>
      </w:pPr>
      <w:r>
        <w:rPr>
          <w:rFonts w:ascii="宋体" w:hAnsi="宋体" w:eastAsia="宋体" w:cs="宋体"/>
          <w:spacing w:val="-3"/>
          <w:sz w:val="24"/>
          <w:szCs w:val="24"/>
        </w:rPr>
        <w:t>25.5</w:t>
      </w:r>
      <w:r>
        <w:rPr>
          <w:rFonts w:ascii="宋体" w:hAnsi="宋体" w:eastAsia="宋体" w:cs="宋体"/>
          <w:spacing w:val="-50"/>
          <w:sz w:val="24"/>
          <w:szCs w:val="24"/>
        </w:rPr>
        <w:t xml:space="preserve"> </w:t>
      </w:r>
      <w:r>
        <w:rPr>
          <w:rFonts w:ascii="宋体" w:hAnsi="宋体" w:eastAsia="宋体" w:cs="宋体"/>
          <w:spacing w:val="-3"/>
          <w:sz w:val="24"/>
          <w:szCs w:val="24"/>
        </w:rPr>
        <w:t>合同结算</w:t>
      </w:r>
    </w:p>
    <w:p>
      <w:pPr>
        <w:spacing w:before="180" w:line="359" w:lineRule="auto"/>
        <w:ind w:left="9" w:right="291" w:firstLine="477"/>
        <w:rPr>
          <w:rFonts w:ascii="宋体" w:hAnsi="宋体" w:eastAsia="宋体" w:cs="宋体"/>
          <w:sz w:val="24"/>
          <w:szCs w:val="24"/>
        </w:rPr>
      </w:pPr>
      <w:r>
        <w:rPr>
          <w:rFonts w:ascii="宋体" w:hAnsi="宋体" w:eastAsia="宋体" w:cs="宋体"/>
          <w:spacing w:val="-2"/>
          <w:sz w:val="24"/>
          <w:szCs w:val="24"/>
        </w:rPr>
        <w:t>本合同工程交工验收后，承包人应按《广东省交通运输厅关于印发广东省公路建设</w:t>
      </w:r>
      <w:r>
        <w:rPr>
          <w:rFonts w:ascii="宋体" w:hAnsi="宋体" w:eastAsia="宋体" w:cs="宋体"/>
          <w:spacing w:val="7"/>
          <w:sz w:val="24"/>
          <w:szCs w:val="24"/>
        </w:rPr>
        <w:t xml:space="preserve"> </w:t>
      </w:r>
      <w:r>
        <w:rPr>
          <w:rFonts w:ascii="宋体" w:hAnsi="宋体" w:eastAsia="宋体" w:cs="宋体"/>
          <w:spacing w:val="-2"/>
          <w:sz w:val="24"/>
          <w:szCs w:val="24"/>
        </w:rPr>
        <w:t>项目竣工决算实行备案制管理的通知》的具体要求完成结算工作，发包人可根据项目实</w:t>
      </w:r>
    </w:p>
    <w:p>
      <w:pPr>
        <w:spacing w:line="220" w:lineRule="auto"/>
        <w:ind w:left="22"/>
        <w:rPr>
          <w:rFonts w:ascii="宋体" w:hAnsi="宋体" w:eastAsia="宋体" w:cs="宋体"/>
          <w:sz w:val="24"/>
          <w:szCs w:val="24"/>
        </w:rPr>
      </w:pPr>
      <w:r>
        <w:rPr>
          <w:rFonts w:ascii="宋体" w:hAnsi="宋体" w:eastAsia="宋体" w:cs="宋体"/>
          <w:spacing w:val="-3"/>
          <w:sz w:val="24"/>
          <w:szCs w:val="24"/>
        </w:rPr>
        <w:t>际情况制定相应的奖罚措施。</w:t>
      </w:r>
    </w:p>
    <w:p>
      <w:pPr>
        <w:spacing w:before="182" w:line="359" w:lineRule="auto"/>
        <w:ind w:left="11" w:right="291" w:firstLine="477"/>
        <w:rPr>
          <w:rFonts w:ascii="宋体" w:hAnsi="宋体" w:eastAsia="宋体" w:cs="宋体"/>
          <w:sz w:val="24"/>
          <w:szCs w:val="24"/>
        </w:rPr>
      </w:pPr>
      <w:r>
        <w:rPr>
          <w:rFonts w:ascii="宋体" w:hAnsi="宋体" w:eastAsia="宋体" w:cs="宋体"/>
          <w:spacing w:val="-2"/>
          <w:sz w:val="24"/>
          <w:szCs w:val="24"/>
        </w:rPr>
        <w:t>为了按期完成工程竣工决算审查备案、审计及竣工验收工作，如发包人和承包人对</w:t>
      </w:r>
      <w:r>
        <w:rPr>
          <w:rFonts w:ascii="宋体" w:hAnsi="宋体" w:eastAsia="宋体" w:cs="宋体"/>
          <w:spacing w:val="5"/>
          <w:sz w:val="24"/>
          <w:szCs w:val="24"/>
        </w:rPr>
        <w:t xml:space="preserve"> </w:t>
      </w:r>
      <w:r>
        <w:rPr>
          <w:rFonts w:ascii="宋体" w:hAnsi="宋体" w:eastAsia="宋体" w:cs="宋体"/>
          <w:spacing w:val="-2"/>
          <w:sz w:val="24"/>
          <w:szCs w:val="24"/>
        </w:rPr>
        <w:t>结算确实存在分歧，经双方协商未果情况下，发包人有权进行合同单方结算，承包人须</w:t>
      </w:r>
    </w:p>
    <w:p>
      <w:pPr>
        <w:spacing w:before="1" w:line="219" w:lineRule="auto"/>
        <w:ind w:left="7"/>
        <w:rPr>
          <w:rFonts w:ascii="宋体" w:hAnsi="宋体" w:eastAsia="宋体" w:cs="宋体"/>
          <w:sz w:val="24"/>
          <w:szCs w:val="24"/>
        </w:rPr>
      </w:pPr>
      <w:r>
        <w:rPr>
          <w:rFonts w:ascii="宋体" w:hAnsi="宋体" w:eastAsia="宋体" w:cs="宋体"/>
          <w:spacing w:val="-2"/>
          <w:sz w:val="24"/>
          <w:szCs w:val="24"/>
        </w:rPr>
        <w:t>无条件接受。</w:t>
      </w:r>
    </w:p>
    <w:p>
      <w:pPr>
        <w:spacing w:before="180" w:line="219" w:lineRule="auto"/>
        <w:ind w:left="488"/>
        <w:rPr>
          <w:rFonts w:ascii="宋体" w:hAnsi="宋体" w:eastAsia="宋体" w:cs="宋体"/>
          <w:sz w:val="24"/>
          <w:szCs w:val="24"/>
        </w:rPr>
      </w:pPr>
      <w:r>
        <w:rPr>
          <w:rFonts w:ascii="宋体" w:hAnsi="宋体" w:eastAsia="宋体" w:cs="宋体"/>
          <w:spacing w:val="-3"/>
          <w:sz w:val="24"/>
          <w:szCs w:val="24"/>
        </w:rPr>
        <w:t>25.6</w:t>
      </w:r>
      <w:r>
        <w:rPr>
          <w:rFonts w:ascii="宋体" w:hAnsi="宋体" w:eastAsia="宋体" w:cs="宋体"/>
          <w:spacing w:val="-41"/>
          <w:sz w:val="24"/>
          <w:szCs w:val="24"/>
        </w:rPr>
        <w:t xml:space="preserve"> </w:t>
      </w:r>
      <w:r>
        <w:rPr>
          <w:rFonts w:ascii="宋体" w:hAnsi="宋体" w:eastAsia="宋体" w:cs="宋体"/>
          <w:spacing w:val="-3"/>
          <w:sz w:val="24"/>
          <w:szCs w:val="24"/>
        </w:rPr>
        <w:t>本合同未尽事宜</w:t>
      </w:r>
    </w:p>
    <w:p>
      <w:pPr>
        <w:spacing w:before="184" w:line="359" w:lineRule="auto"/>
        <w:ind w:left="10" w:right="291" w:firstLine="476"/>
        <w:rPr>
          <w:rFonts w:ascii="宋体" w:hAnsi="宋体" w:eastAsia="宋体" w:cs="宋体"/>
          <w:sz w:val="24"/>
          <w:szCs w:val="24"/>
        </w:rPr>
      </w:pPr>
      <w:r>
        <w:rPr>
          <w:rFonts w:ascii="宋体" w:hAnsi="宋体" w:eastAsia="宋体" w:cs="宋体"/>
          <w:spacing w:val="-2"/>
          <w:sz w:val="24"/>
          <w:szCs w:val="24"/>
        </w:rPr>
        <w:t>本合同未能明确的有关规定，如质量管理、计划管理、计量与支付管理、台帐管理</w:t>
      </w:r>
      <w:r>
        <w:rPr>
          <w:rFonts w:ascii="宋体" w:hAnsi="宋体" w:eastAsia="宋体" w:cs="宋体"/>
          <w:spacing w:val="7"/>
          <w:sz w:val="24"/>
          <w:szCs w:val="24"/>
        </w:rPr>
        <w:t xml:space="preserve"> </w:t>
      </w:r>
      <w:r>
        <w:rPr>
          <w:rFonts w:ascii="宋体" w:hAnsi="宋体" w:eastAsia="宋体" w:cs="宋体"/>
          <w:spacing w:val="-2"/>
          <w:sz w:val="24"/>
          <w:szCs w:val="24"/>
        </w:rPr>
        <w:t>办法、变更管理、材料管理、安全管理、有关评比方案以及奖惩办法等，按发包人在项</w:t>
      </w:r>
    </w:p>
    <w:p>
      <w:pPr>
        <w:spacing w:line="218" w:lineRule="auto"/>
        <w:ind w:left="51"/>
        <w:rPr>
          <w:rFonts w:ascii="宋体" w:hAnsi="宋体" w:eastAsia="宋体" w:cs="宋体"/>
          <w:sz w:val="24"/>
          <w:szCs w:val="24"/>
        </w:rPr>
      </w:pPr>
      <w:r>
        <w:rPr>
          <w:rFonts w:ascii="宋体" w:hAnsi="宋体" w:eastAsia="宋体" w:cs="宋体"/>
          <w:spacing w:val="-2"/>
          <w:sz w:val="24"/>
          <w:szCs w:val="24"/>
        </w:rPr>
        <w:t>目建设管理过程中颁发的项目管理手册或另行发布的相关管理办法执行。</w:t>
      </w:r>
    </w:p>
    <w:p>
      <w:pPr>
        <w:spacing w:before="184" w:line="466" w:lineRule="exact"/>
        <w:ind w:left="489"/>
        <w:rPr>
          <w:rFonts w:ascii="宋体" w:hAnsi="宋体" w:eastAsia="宋体" w:cs="宋体"/>
          <w:sz w:val="24"/>
          <w:szCs w:val="24"/>
        </w:rPr>
      </w:pPr>
      <w:r>
        <w:rPr>
          <w:rFonts w:ascii="宋体" w:hAnsi="宋体" w:eastAsia="宋体" w:cs="宋体"/>
          <w:spacing w:val="-2"/>
          <w:position w:val="17"/>
          <w:sz w:val="24"/>
          <w:szCs w:val="24"/>
        </w:rPr>
        <w:t>发包人对项目实施动态管理，根据工程进展情况及项目目标实现情况，通过修正专</w:t>
      </w:r>
    </w:p>
    <w:p>
      <w:pPr>
        <w:spacing w:line="219" w:lineRule="auto"/>
        <w:ind w:left="7"/>
        <w:rPr>
          <w:rFonts w:ascii="宋体" w:hAnsi="宋体" w:eastAsia="宋体" w:cs="宋体"/>
          <w:sz w:val="24"/>
          <w:szCs w:val="24"/>
        </w:rPr>
      </w:pPr>
      <w:r>
        <w:rPr>
          <w:rFonts w:ascii="宋体" w:hAnsi="宋体" w:eastAsia="宋体" w:cs="宋体"/>
          <w:spacing w:val="-5"/>
          <w:sz w:val="24"/>
          <w:szCs w:val="24"/>
        </w:rPr>
        <w:t>用项目管理制度，不断建设完善项目管理责任体系，承包人须积极配合并无条件的接受。</w:t>
      </w:r>
    </w:p>
    <w:p>
      <w:pPr>
        <w:spacing w:line="406" w:lineRule="auto"/>
        <w:rPr>
          <w:rFonts w:ascii="Arial"/>
          <w:sz w:val="21"/>
        </w:rPr>
      </w:pPr>
    </w:p>
    <w:p>
      <w:pPr>
        <w:pStyle w:val="4"/>
        <w:spacing w:before="114" w:line="227" w:lineRule="auto"/>
        <w:ind w:left="2299"/>
        <w:rPr>
          <w:spacing w:val="-10"/>
          <w:sz w:val="35"/>
          <w:szCs w:val="35"/>
          <w14:textOutline w14:w="6537" w14:cap="sq" w14:cmpd="sng">
            <w14:solidFill>
              <w14:srgbClr w14:val="000000"/>
            </w14:solidFill>
            <w14:prstDash w14:val="solid"/>
            <w14:bevel/>
          </w14:textOutline>
        </w:rPr>
      </w:pPr>
    </w:p>
    <w:p>
      <w:pPr>
        <w:pStyle w:val="4"/>
        <w:spacing w:before="114" w:line="227" w:lineRule="auto"/>
        <w:ind w:left="2299"/>
        <w:rPr>
          <w:spacing w:val="-10"/>
          <w:sz w:val="35"/>
          <w:szCs w:val="35"/>
          <w14:textOutline w14:w="6537" w14:cap="sq" w14:cmpd="sng">
            <w14:solidFill>
              <w14:srgbClr w14:val="000000"/>
            </w14:solidFill>
            <w14:prstDash w14:val="solid"/>
            <w14:bevel/>
          </w14:textOutline>
        </w:rPr>
      </w:pPr>
    </w:p>
    <w:p>
      <w:pPr>
        <w:pStyle w:val="4"/>
        <w:spacing w:before="114" w:line="227" w:lineRule="auto"/>
        <w:rPr>
          <w:spacing w:val="-10"/>
          <w:sz w:val="35"/>
          <w:szCs w:val="35"/>
          <w14:textOutline w14:w="6537" w14:cap="sq" w14:cmpd="sng">
            <w14:solidFill>
              <w14:srgbClr w14:val="000000"/>
            </w14:solidFill>
            <w14:prstDash w14:val="solid"/>
            <w14:bevel/>
          </w14:textOutline>
        </w:rPr>
      </w:pPr>
    </w:p>
    <w:p>
      <w:pPr>
        <w:pStyle w:val="4"/>
        <w:spacing w:before="114" w:line="227" w:lineRule="auto"/>
        <w:rPr>
          <w:spacing w:val="-10"/>
          <w:sz w:val="35"/>
          <w:szCs w:val="35"/>
          <w14:textOutline w14:w="6537" w14:cap="sq" w14:cmpd="sng">
            <w14:solidFill>
              <w14:srgbClr w14:val="000000"/>
            </w14:solidFill>
            <w14:prstDash w14:val="solid"/>
            <w14:bevel/>
          </w14:textOutline>
        </w:rPr>
      </w:pPr>
    </w:p>
    <w:p>
      <w:pPr>
        <w:pStyle w:val="4"/>
        <w:spacing w:before="114" w:line="227" w:lineRule="auto"/>
        <w:rPr>
          <w:spacing w:val="-10"/>
          <w:sz w:val="35"/>
          <w:szCs w:val="35"/>
          <w14:textOutline w14:w="6537" w14:cap="sq" w14:cmpd="sng">
            <w14:solidFill>
              <w14:srgbClr w14:val="000000"/>
            </w14:solidFill>
            <w14:prstDash w14:val="solid"/>
            <w14:bevel/>
          </w14:textOutline>
        </w:rPr>
      </w:pPr>
    </w:p>
    <w:p>
      <w:pPr>
        <w:pStyle w:val="4"/>
        <w:spacing w:before="114" w:line="227" w:lineRule="auto"/>
        <w:rPr>
          <w:spacing w:val="-10"/>
          <w:sz w:val="35"/>
          <w:szCs w:val="35"/>
          <w14:textOutline w14:w="6537" w14:cap="sq" w14:cmpd="sng">
            <w14:solidFill>
              <w14:srgbClr w14:val="000000"/>
            </w14:solidFill>
            <w14:prstDash w14:val="solid"/>
            <w14:bevel/>
          </w14:textOutline>
        </w:rPr>
      </w:pPr>
    </w:p>
    <w:p>
      <w:pPr>
        <w:pStyle w:val="4"/>
        <w:spacing w:before="114" w:line="227" w:lineRule="auto"/>
        <w:rPr>
          <w:spacing w:val="-10"/>
          <w:sz w:val="35"/>
          <w:szCs w:val="35"/>
          <w14:textOutline w14:w="6537" w14:cap="sq" w14:cmpd="sng">
            <w14:solidFill>
              <w14:srgbClr w14:val="000000"/>
            </w14:solidFill>
            <w14:prstDash w14:val="solid"/>
            <w14:bevel/>
          </w14:textOutline>
        </w:rPr>
      </w:pPr>
    </w:p>
    <w:p>
      <w:pPr>
        <w:pStyle w:val="4"/>
        <w:spacing w:before="114" w:line="227" w:lineRule="auto"/>
        <w:rPr>
          <w:spacing w:val="-10"/>
          <w:sz w:val="35"/>
          <w:szCs w:val="35"/>
          <w14:textOutline w14:w="6537" w14:cap="sq" w14:cmpd="sng">
            <w14:solidFill>
              <w14:srgbClr w14:val="000000"/>
            </w14:solidFill>
            <w14:prstDash w14:val="solid"/>
            <w14:bevel/>
          </w14:textOutline>
        </w:rPr>
      </w:pPr>
    </w:p>
    <w:p>
      <w:pPr>
        <w:pStyle w:val="4"/>
        <w:spacing w:before="114" w:line="227" w:lineRule="auto"/>
        <w:rPr>
          <w:spacing w:val="-10"/>
          <w:sz w:val="35"/>
          <w:szCs w:val="35"/>
          <w14:textOutline w14:w="6537" w14:cap="sq" w14:cmpd="sng">
            <w14:solidFill>
              <w14:srgbClr w14:val="000000"/>
            </w14:solidFill>
            <w14:prstDash w14:val="solid"/>
            <w14:bevel/>
          </w14:textOutline>
        </w:rPr>
      </w:pPr>
    </w:p>
    <w:p>
      <w:pPr>
        <w:pStyle w:val="4"/>
        <w:spacing w:before="114" w:line="227" w:lineRule="auto"/>
        <w:rPr>
          <w:spacing w:val="-10"/>
          <w:sz w:val="35"/>
          <w:szCs w:val="35"/>
          <w14:textOutline w14:w="6537" w14:cap="sq" w14:cmpd="sng">
            <w14:solidFill>
              <w14:srgbClr w14:val="000000"/>
            </w14:solidFill>
            <w14:prstDash w14:val="solid"/>
            <w14:bevel/>
          </w14:textOutline>
        </w:rPr>
      </w:pPr>
    </w:p>
    <w:p>
      <w:pPr>
        <w:pStyle w:val="4"/>
        <w:spacing w:before="114" w:line="227" w:lineRule="auto"/>
        <w:rPr>
          <w:spacing w:val="-10"/>
          <w:sz w:val="35"/>
          <w:szCs w:val="35"/>
          <w14:textOutline w14:w="6537" w14:cap="sq" w14:cmpd="sng">
            <w14:solidFill>
              <w14:srgbClr w14:val="000000"/>
            </w14:solidFill>
            <w14:prstDash w14:val="solid"/>
            <w14:bevel/>
          </w14:textOutline>
        </w:rPr>
      </w:pPr>
    </w:p>
    <w:p>
      <w:pPr>
        <w:pStyle w:val="4"/>
        <w:spacing w:before="114" w:line="227" w:lineRule="auto"/>
        <w:rPr>
          <w:spacing w:val="-10"/>
          <w:sz w:val="35"/>
          <w:szCs w:val="35"/>
          <w14:textOutline w14:w="6537" w14:cap="sq" w14:cmpd="sng">
            <w14:solidFill>
              <w14:srgbClr w14:val="000000"/>
            </w14:solidFill>
            <w14:prstDash w14:val="solid"/>
            <w14:bevel/>
          </w14:textOutline>
        </w:rPr>
      </w:pPr>
    </w:p>
    <w:p>
      <w:pPr>
        <w:pStyle w:val="4"/>
        <w:spacing w:before="114" w:line="227" w:lineRule="auto"/>
        <w:rPr>
          <w:spacing w:val="-10"/>
          <w:sz w:val="35"/>
          <w:szCs w:val="35"/>
          <w14:textOutline w14:w="6537" w14:cap="sq" w14:cmpd="sng">
            <w14:solidFill>
              <w14:srgbClr w14:val="000000"/>
            </w14:solidFill>
            <w14:prstDash w14:val="solid"/>
            <w14:bevel/>
          </w14:textOutline>
        </w:rPr>
      </w:pPr>
    </w:p>
    <w:p>
      <w:pPr>
        <w:pStyle w:val="4"/>
        <w:spacing w:before="114" w:line="227" w:lineRule="auto"/>
        <w:rPr>
          <w:spacing w:val="-10"/>
          <w:sz w:val="35"/>
          <w:szCs w:val="35"/>
          <w14:textOutline w14:w="6537" w14:cap="sq" w14:cmpd="sng">
            <w14:solidFill>
              <w14:srgbClr w14:val="000000"/>
            </w14:solidFill>
            <w14:prstDash w14:val="solid"/>
            <w14:bevel/>
          </w14:textOutline>
        </w:rPr>
      </w:pPr>
    </w:p>
    <w:p>
      <w:pPr>
        <w:pStyle w:val="4"/>
        <w:spacing w:before="114" w:line="227" w:lineRule="auto"/>
        <w:rPr>
          <w:spacing w:val="-10"/>
          <w:sz w:val="35"/>
          <w:szCs w:val="35"/>
          <w14:textOutline w14:w="6537" w14:cap="sq" w14:cmpd="sng">
            <w14:solidFill>
              <w14:srgbClr w14:val="000000"/>
            </w14:solidFill>
            <w14:prstDash w14:val="solid"/>
            <w14:bevel/>
          </w14:textOutline>
        </w:rPr>
      </w:pPr>
    </w:p>
    <w:p>
      <w:pPr>
        <w:pStyle w:val="4"/>
        <w:spacing w:before="114" w:line="227" w:lineRule="auto"/>
        <w:ind w:left="2299"/>
        <w:rPr>
          <w:sz w:val="35"/>
          <w:szCs w:val="35"/>
        </w:rPr>
      </w:pPr>
      <w:r>
        <w:rPr>
          <w:spacing w:val="-10"/>
          <w:sz w:val="35"/>
          <w:szCs w:val="35"/>
          <w14:textOutline w14:w="6537" w14:cap="sq" w14:cmpd="sng">
            <w14:solidFill>
              <w14:srgbClr w14:val="000000"/>
            </w14:solidFill>
            <w14:prstDash w14:val="solid"/>
            <w14:bevel/>
          </w14:textOutline>
        </w:rPr>
        <w:t>第</w:t>
      </w:r>
      <w:r>
        <w:rPr>
          <w:spacing w:val="-66"/>
          <w:sz w:val="35"/>
          <w:szCs w:val="35"/>
        </w:rPr>
        <w:t xml:space="preserve"> </w:t>
      </w:r>
      <w:r>
        <w:rPr>
          <w:spacing w:val="-10"/>
          <w:sz w:val="35"/>
          <w:szCs w:val="35"/>
          <w14:textOutline w14:w="6537" w14:cap="sq" w14:cmpd="sng">
            <w14:solidFill>
              <w14:srgbClr w14:val="000000"/>
            </w14:solidFill>
            <w14:prstDash w14:val="solid"/>
            <w14:bevel/>
          </w14:textOutline>
        </w:rPr>
        <w:t>三</w:t>
      </w:r>
      <w:r>
        <w:rPr>
          <w:spacing w:val="-73"/>
          <w:sz w:val="35"/>
          <w:szCs w:val="35"/>
        </w:rPr>
        <w:t xml:space="preserve"> </w:t>
      </w:r>
      <w:r>
        <w:rPr>
          <w:spacing w:val="-10"/>
          <w:sz w:val="35"/>
          <w:szCs w:val="35"/>
          <w14:textOutline w14:w="6537" w14:cap="sq" w14:cmpd="sng">
            <w14:solidFill>
              <w14:srgbClr w14:val="000000"/>
            </w14:solidFill>
            <w14:prstDash w14:val="solid"/>
            <w14:bevel/>
          </w14:textOutline>
        </w:rPr>
        <w:t>节</w:t>
      </w:r>
      <w:r>
        <w:rPr>
          <w:spacing w:val="30"/>
          <w:sz w:val="35"/>
          <w:szCs w:val="35"/>
        </w:rPr>
        <w:t xml:space="preserve">   </w:t>
      </w:r>
      <w:r>
        <w:rPr>
          <w:spacing w:val="-10"/>
          <w:sz w:val="35"/>
          <w:szCs w:val="35"/>
          <w14:textOutline w14:w="6537" w14:cap="sq" w14:cmpd="sng">
            <w14:solidFill>
              <w14:srgbClr w14:val="000000"/>
            </w14:solidFill>
            <w14:prstDash w14:val="solid"/>
            <w14:bevel/>
          </w14:textOutline>
        </w:rPr>
        <w:t>合</w:t>
      </w:r>
      <w:r>
        <w:rPr>
          <w:spacing w:val="-61"/>
          <w:sz w:val="35"/>
          <w:szCs w:val="35"/>
        </w:rPr>
        <w:t xml:space="preserve"> </w:t>
      </w:r>
      <w:r>
        <w:rPr>
          <w:spacing w:val="-10"/>
          <w:sz w:val="35"/>
          <w:szCs w:val="35"/>
          <w14:textOutline w14:w="6537" w14:cap="sq" w14:cmpd="sng">
            <w14:solidFill>
              <w14:srgbClr w14:val="000000"/>
            </w14:solidFill>
            <w14:prstDash w14:val="solid"/>
            <w14:bevel/>
          </w14:textOutline>
        </w:rPr>
        <w:t>同</w:t>
      </w:r>
      <w:r>
        <w:rPr>
          <w:spacing w:val="-59"/>
          <w:sz w:val="35"/>
          <w:szCs w:val="35"/>
        </w:rPr>
        <w:t xml:space="preserve"> </w:t>
      </w:r>
      <w:r>
        <w:rPr>
          <w:spacing w:val="-10"/>
          <w:sz w:val="35"/>
          <w:szCs w:val="35"/>
          <w14:textOutline w14:w="6537" w14:cap="sq" w14:cmpd="sng">
            <w14:solidFill>
              <w14:srgbClr w14:val="000000"/>
            </w14:solidFill>
            <w14:prstDash w14:val="solid"/>
            <w14:bevel/>
          </w14:textOutline>
        </w:rPr>
        <w:t>附</w:t>
      </w:r>
      <w:r>
        <w:rPr>
          <w:spacing w:val="-83"/>
          <w:sz w:val="35"/>
          <w:szCs w:val="35"/>
        </w:rPr>
        <w:t xml:space="preserve"> </w:t>
      </w:r>
      <w:r>
        <w:rPr>
          <w:spacing w:val="-10"/>
          <w:sz w:val="35"/>
          <w:szCs w:val="35"/>
          <w14:textOutline w14:w="6537" w14:cap="sq" w14:cmpd="sng">
            <w14:solidFill>
              <w14:srgbClr w14:val="000000"/>
            </w14:solidFill>
            <w14:prstDash w14:val="solid"/>
            <w14:bevel/>
          </w14:textOutline>
        </w:rPr>
        <w:t>件</w:t>
      </w:r>
      <w:r>
        <w:rPr>
          <w:spacing w:val="-79"/>
          <w:sz w:val="35"/>
          <w:szCs w:val="35"/>
        </w:rPr>
        <w:t xml:space="preserve"> </w:t>
      </w:r>
      <w:r>
        <w:rPr>
          <w:spacing w:val="-10"/>
          <w:sz w:val="35"/>
          <w:szCs w:val="35"/>
          <w14:textOutline w14:w="6537" w14:cap="sq" w14:cmpd="sng">
            <w14:solidFill>
              <w14:srgbClr w14:val="000000"/>
            </w14:solidFill>
            <w14:prstDash w14:val="solid"/>
            <w14:bevel/>
          </w14:textOutline>
        </w:rPr>
        <w:t>格</w:t>
      </w:r>
      <w:r>
        <w:rPr>
          <w:spacing w:val="-74"/>
          <w:sz w:val="35"/>
          <w:szCs w:val="35"/>
        </w:rPr>
        <w:t xml:space="preserve"> </w:t>
      </w:r>
      <w:r>
        <w:rPr>
          <w:spacing w:val="-10"/>
          <w:sz w:val="35"/>
          <w:szCs w:val="35"/>
          <w14:textOutline w14:w="6537" w14:cap="sq" w14:cmpd="sng">
            <w14:solidFill>
              <w14:srgbClr w14:val="000000"/>
            </w14:solidFill>
            <w14:prstDash w14:val="solid"/>
            <w14:bevel/>
          </w14:textOutline>
        </w:rPr>
        <w:t>式</w:t>
      </w:r>
    </w:p>
    <w:p>
      <w:pPr>
        <w:spacing w:before="250" w:line="219" w:lineRule="auto"/>
        <w:ind w:left="744"/>
        <w:rPr>
          <w:rFonts w:ascii="宋体" w:hAnsi="宋体" w:eastAsia="宋体" w:cs="宋体"/>
          <w:sz w:val="24"/>
          <w:szCs w:val="24"/>
        </w:rPr>
      </w:pPr>
      <w:r>
        <w:rPr>
          <w:rFonts w:ascii="宋体" w:hAnsi="宋体" w:eastAsia="宋体" w:cs="宋体"/>
          <w:spacing w:val="-3"/>
          <w:sz w:val="24"/>
          <w:szCs w:val="24"/>
        </w:rPr>
        <w:t>附件一：合同协议书（格式）</w:t>
      </w:r>
    </w:p>
    <w:p>
      <w:pPr>
        <w:spacing w:before="183" w:line="219" w:lineRule="auto"/>
        <w:ind w:left="744"/>
        <w:rPr>
          <w:rFonts w:ascii="宋体" w:hAnsi="宋体" w:eastAsia="宋体" w:cs="宋体"/>
          <w:sz w:val="24"/>
          <w:szCs w:val="24"/>
        </w:rPr>
      </w:pPr>
      <w:r>
        <w:rPr>
          <w:rFonts w:ascii="宋体" w:hAnsi="宋体" w:eastAsia="宋体" w:cs="宋体"/>
          <w:spacing w:val="-3"/>
          <w:sz w:val="24"/>
          <w:szCs w:val="24"/>
        </w:rPr>
        <w:t>附件二：廉政合同（格式）</w:t>
      </w:r>
    </w:p>
    <w:p>
      <w:pPr>
        <w:spacing w:before="183" w:line="466" w:lineRule="exact"/>
        <w:ind w:left="752"/>
        <w:rPr>
          <w:rFonts w:ascii="宋体" w:hAnsi="宋体" w:eastAsia="宋体" w:cs="宋体"/>
          <w:sz w:val="24"/>
          <w:szCs w:val="24"/>
        </w:rPr>
      </w:pPr>
      <w:r>
        <w:rPr>
          <w:rFonts w:ascii="宋体" w:hAnsi="宋体" w:eastAsia="宋体" w:cs="宋体"/>
          <w:spacing w:val="-5"/>
          <w:position w:val="17"/>
          <w:sz w:val="24"/>
          <w:szCs w:val="24"/>
        </w:rPr>
        <w:t>以上格式参见：《公路工程标准施工招标文件》（2018</w:t>
      </w:r>
      <w:r>
        <w:rPr>
          <w:rFonts w:ascii="宋体" w:hAnsi="宋体" w:eastAsia="宋体" w:cs="宋体"/>
          <w:spacing w:val="-41"/>
          <w:position w:val="17"/>
          <w:sz w:val="24"/>
          <w:szCs w:val="24"/>
        </w:rPr>
        <w:t xml:space="preserve"> </w:t>
      </w:r>
      <w:r>
        <w:rPr>
          <w:rFonts w:ascii="宋体" w:hAnsi="宋体" w:eastAsia="宋体" w:cs="宋体"/>
          <w:spacing w:val="-5"/>
          <w:position w:val="17"/>
          <w:sz w:val="24"/>
          <w:szCs w:val="24"/>
        </w:rPr>
        <w:t>年版）第四章第三</w:t>
      </w:r>
    </w:p>
    <w:p>
      <w:pPr>
        <w:spacing w:line="218" w:lineRule="auto"/>
        <w:ind w:left="725"/>
        <w:rPr>
          <w:rFonts w:ascii="宋体" w:hAnsi="宋体" w:eastAsia="宋体" w:cs="宋体"/>
          <w:sz w:val="24"/>
          <w:szCs w:val="24"/>
        </w:rPr>
      </w:pPr>
      <w:r>
        <w:rPr>
          <w:rFonts w:ascii="宋体" w:hAnsi="宋体" w:eastAsia="宋体" w:cs="宋体"/>
          <w:spacing w:val="-2"/>
          <w:sz w:val="24"/>
          <w:szCs w:val="24"/>
        </w:rPr>
        <w:t>节相应附件格式。</w:t>
      </w:r>
    </w:p>
    <w:p>
      <w:pPr>
        <w:spacing w:line="284" w:lineRule="auto"/>
        <w:rPr>
          <w:rFonts w:ascii="Arial"/>
          <w:sz w:val="21"/>
        </w:rPr>
      </w:pPr>
    </w:p>
    <w:p>
      <w:pPr>
        <w:spacing w:before="79" w:line="468" w:lineRule="exact"/>
        <w:ind w:left="744"/>
        <w:rPr>
          <w:rFonts w:ascii="宋体" w:hAnsi="宋体" w:eastAsia="宋体" w:cs="宋体"/>
          <w:sz w:val="24"/>
          <w:szCs w:val="24"/>
        </w:rPr>
      </w:pPr>
      <w:r>
        <w:rPr>
          <w:rFonts w:ascii="宋体" w:hAnsi="宋体" w:eastAsia="宋体" w:cs="宋体"/>
          <w:spacing w:val="-3"/>
          <w:position w:val="17"/>
          <w:sz w:val="24"/>
          <w:szCs w:val="24"/>
        </w:rPr>
        <w:t>附件三：安全生产合同（格式）</w:t>
      </w:r>
    </w:p>
    <w:p>
      <w:pPr>
        <w:spacing w:before="1" w:line="218" w:lineRule="auto"/>
        <w:ind w:left="725"/>
        <w:rPr>
          <w:rFonts w:ascii="宋体" w:hAnsi="宋体" w:eastAsia="宋体" w:cs="宋体"/>
          <w:sz w:val="24"/>
          <w:szCs w:val="24"/>
        </w:rPr>
      </w:pPr>
      <w:r>
        <w:rPr>
          <w:rFonts w:ascii="宋体" w:hAnsi="宋体" w:eastAsia="宋体" w:cs="宋体"/>
          <w:spacing w:val="-2"/>
          <w:sz w:val="24"/>
          <w:szCs w:val="24"/>
        </w:rPr>
        <w:t>格式参见本范本</w:t>
      </w:r>
    </w:p>
    <w:p>
      <w:pPr>
        <w:spacing w:line="343" w:lineRule="auto"/>
        <w:rPr>
          <w:rFonts w:ascii="Arial"/>
          <w:sz w:val="21"/>
        </w:rPr>
      </w:pPr>
    </w:p>
    <w:p>
      <w:pPr>
        <w:spacing w:before="78" w:line="219" w:lineRule="auto"/>
        <w:ind w:left="744"/>
        <w:rPr>
          <w:rFonts w:ascii="宋体" w:hAnsi="宋体" w:eastAsia="宋体" w:cs="宋体"/>
          <w:sz w:val="24"/>
          <w:szCs w:val="24"/>
        </w:rPr>
      </w:pPr>
      <w:r>
        <w:rPr>
          <w:rFonts w:ascii="宋体" w:hAnsi="宋体" w:eastAsia="宋体" w:cs="宋体"/>
          <w:spacing w:val="-2"/>
          <w:sz w:val="24"/>
          <w:szCs w:val="24"/>
        </w:rPr>
        <w:t>附件四：其他管理人员和技术人员最低要求</w:t>
      </w:r>
    </w:p>
    <w:p>
      <w:pPr>
        <w:spacing w:before="181" w:line="219" w:lineRule="auto"/>
        <w:ind w:left="728"/>
        <w:rPr>
          <w:rFonts w:ascii="宋体" w:hAnsi="宋体" w:eastAsia="宋体" w:cs="宋体"/>
          <w:sz w:val="24"/>
          <w:szCs w:val="24"/>
        </w:rPr>
      </w:pPr>
      <w:r>
        <w:rPr>
          <w:rFonts w:ascii="宋体" w:hAnsi="宋体" w:eastAsia="宋体" w:cs="宋体"/>
          <w:spacing w:val="-2"/>
          <w:sz w:val="24"/>
          <w:szCs w:val="24"/>
        </w:rPr>
        <w:t>详见第二章投标人须知附录</w:t>
      </w:r>
      <w:r>
        <w:rPr>
          <w:rFonts w:ascii="宋体" w:hAnsi="宋体" w:eastAsia="宋体" w:cs="宋体"/>
          <w:spacing w:val="-45"/>
          <w:sz w:val="24"/>
          <w:szCs w:val="24"/>
        </w:rPr>
        <w:t xml:space="preserve"> </w:t>
      </w:r>
      <w:r>
        <w:rPr>
          <w:rFonts w:ascii="宋体" w:hAnsi="宋体" w:eastAsia="宋体" w:cs="宋体"/>
          <w:spacing w:val="-2"/>
          <w:sz w:val="24"/>
          <w:szCs w:val="24"/>
        </w:rPr>
        <w:t>6</w:t>
      </w:r>
      <w:r>
        <w:rPr>
          <w:rFonts w:ascii="宋体" w:hAnsi="宋体" w:eastAsia="宋体" w:cs="宋体"/>
          <w:spacing w:val="-41"/>
          <w:sz w:val="24"/>
          <w:szCs w:val="24"/>
        </w:rPr>
        <w:t xml:space="preserve"> </w:t>
      </w:r>
      <w:r>
        <w:rPr>
          <w:rFonts w:ascii="宋体" w:hAnsi="宋体" w:eastAsia="宋体" w:cs="宋体"/>
          <w:spacing w:val="-2"/>
          <w:sz w:val="24"/>
          <w:szCs w:val="24"/>
        </w:rPr>
        <w:t>资格审查条件的相关内容</w:t>
      </w:r>
    </w:p>
    <w:p>
      <w:pPr>
        <w:spacing w:line="255" w:lineRule="auto"/>
        <w:rPr>
          <w:rFonts w:ascii="Arial"/>
          <w:sz w:val="21"/>
        </w:rPr>
      </w:pPr>
    </w:p>
    <w:p>
      <w:pPr>
        <w:spacing w:before="78" w:line="219" w:lineRule="auto"/>
        <w:ind w:left="744"/>
        <w:rPr>
          <w:rFonts w:ascii="宋体" w:hAnsi="宋体" w:eastAsia="宋体" w:cs="宋体"/>
          <w:sz w:val="24"/>
          <w:szCs w:val="24"/>
        </w:rPr>
      </w:pPr>
      <w:r>
        <w:rPr>
          <w:rFonts w:ascii="宋体" w:hAnsi="宋体" w:eastAsia="宋体" w:cs="宋体"/>
          <w:spacing w:val="-3"/>
          <w:sz w:val="24"/>
          <w:szCs w:val="24"/>
        </w:rPr>
        <w:t>附件五：主要设备最低要求</w:t>
      </w:r>
    </w:p>
    <w:p>
      <w:pPr>
        <w:spacing w:before="181" w:line="219" w:lineRule="auto"/>
        <w:ind w:left="728"/>
        <w:rPr>
          <w:rFonts w:ascii="宋体" w:hAnsi="宋体" w:eastAsia="宋体" w:cs="宋体"/>
          <w:sz w:val="24"/>
          <w:szCs w:val="24"/>
        </w:rPr>
      </w:pPr>
      <w:r>
        <w:rPr>
          <w:rFonts w:ascii="宋体" w:hAnsi="宋体" w:eastAsia="宋体" w:cs="宋体"/>
          <w:spacing w:val="-2"/>
          <w:sz w:val="24"/>
          <w:szCs w:val="24"/>
        </w:rPr>
        <w:t>详见第二章投标人须知附录</w:t>
      </w:r>
      <w:r>
        <w:rPr>
          <w:rFonts w:ascii="宋体" w:hAnsi="宋体" w:eastAsia="宋体" w:cs="宋体"/>
          <w:spacing w:val="-45"/>
          <w:sz w:val="24"/>
          <w:szCs w:val="24"/>
        </w:rPr>
        <w:t xml:space="preserve"> </w:t>
      </w:r>
      <w:r>
        <w:rPr>
          <w:rFonts w:ascii="宋体" w:hAnsi="宋体" w:eastAsia="宋体" w:cs="宋体"/>
          <w:spacing w:val="-2"/>
          <w:sz w:val="24"/>
          <w:szCs w:val="24"/>
        </w:rPr>
        <w:t>7</w:t>
      </w:r>
      <w:r>
        <w:rPr>
          <w:rFonts w:ascii="宋体" w:hAnsi="宋体" w:eastAsia="宋体" w:cs="宋体"/>
          <w:spacing w:val="-41"/>
          <w:sz w:val="24"/>
          <w:szCs w:val="24"/>
        </w:rPr>
        <w:t xml:space="preserve"> </w:t>
      </w:r>
      <w:r>
        <w:rPr>
          <w:rFonts w:ascii="宋体" w:hAnsi="宋体" w:eastAsia="宋体" w:cs="宋体"/>
          <w:spacing w:val="-2"/>
          <w:sz w:val="24"/>
          <w:szCs w:val="24"/>
        </w:rPr>
        <w:t>资格审查条件的相关内容</w:t>
      </w:r>
    </w:p>
    <w:p>
      <w:pPr>
        <w:spacing w:line="255" w:lineRule="auto"/>
        <w:rPr>
          <w:rFonts w:ascii="Arial"/>
          <w:sz w:val="21"/>
        </w:rPr>
      </w:pPr>
    </w:p>
    <w:p>
      <w:pPr>
        <w:spacing w:before="79" w:line="219" w:lineRule="auto"/>
        <w:ind w:left="744"/>
        <w:rPr>
          <w:rFonts w:ascii="宋体" w:hAnsi="宋体" w:eastAsia="宋体" w:cs="宋体"/>
          <w:sz w:val="24"/>
          <w:szCs w:val="24"/>
        </w:rPr>
      </w:pPr>
      <w:r>
        <w:rPr>
          <w:rFonts w:ascii="宋体" w:hAnsi="宋体" w:eastAsia="宋体" w:cs="宋体"/>
          <w:spacing w:val="-3"/>
          <w:sz w:val="24"/>
          <w:szCs w:val="24"/>
        </w:rPr>
        <w:t>附件六：项目经理委任书</w:t>
      </w:r>
    </w:p>
    <w:p>
      <w:pPr>
        <w:spacing w:before="183" w:line="219" w:lineRule="auto"/>
        <w:ind w:left="744"/>
        <w:rPr>
          <w:rFonts w:ascii="宋体" w:hAnsi="宋体" w:eastAsia="宋体" w:cs="宋体"/>
          <w:sz w:val="24"/>
          <w:szCs w:val="24"/>
        </w:rPr>
      </w:pPr>
      <w:r>
        <w:rPr>
          <w:rFonts w:ascii="宋体" w:hAnsi="宋体" w:eastAsia="宋体" w:cs="宋体"/>
          <w:spacing w:val="-3"/>
          <w:sz w:val="24"/>
          <w:szCs w:val="24"/>
        </w:rPr>
        <w:t>附件七：履约保证金格式</w:t>
      </w:r>
    </w:p>
    <w:p>
      <w:pPr>
        <w:spacing w:before="181" w:line="219" w:lineRule="auto"/>
        <w:ind w:left="744"/>
        <w:rPr>
          <w:rFonts w:ascii="宋体" w:hAnsi="宋体" w:eastAsia="宋体" w:cs="宋体"/>
          <w:sz w:val="24"/>
          <w:szCs w:val="24"/>
        </w:rPr>
      </w:pPr>
      <w:r>
        <w:rPr>
          <w:rFonts w:ascii="宋体" w:hAnsi="宋体" w:eastAsia="宋体" w:cs="宋体"/>
          <w:spacing w:val="-3"/>
          <w:sz w:val="24"/>
          <w:szCs w:val="24"/>
        </w:rPr>
        <w:t>附件八：工程资金监管协议格式</w:t>
      </w:r>
    </w:p>
    <w:p>
      <w:pPr>
        <w:spacing w:before="184" w:line="465" w:lineRule="exact"/>
        <w:ind w:left="752"/>
        <w:rPr>
          <w:rFonts w:ascii="宋体" w:hAnsi="宋体" w:eastAsia="宋体" w:cs="宋体"/>
          <w:sz w:val="24"/>
          <w:szCs w:val="24"/>
        </w:rPr>
      </w:pPr>
      <w:r>
        <w:rPr>
          <w:rFonts w:ascii="宋体" w:hAnsi="宋体" w:eastAsia="宋体" w:cs="宋体"/>
          <w:spacing w:val="-5"/>
          <w:position w:val="17"/>
          <w:sz w:val="24"/>
          <w:szCs w:val="24"/>
        </w:rPr>
        <w:t>以上格式参见：《公路工程标准施工招标文件》（2018</w:t>
      </w:r>
      <w:r>
        <w:rPr>
          <w:rFonts w:ascii="宋体" w:hAnsi="宋体" w:eastAsia="宋体" w:cs="宋体"/>
          <w:spacing w:val="-41"/>
          <w:position w:val="17"/>
          <w:sz w:val="24"/>
          <w:szCs w:val="24"/>
        </w:rPr>
        <w:t xml:space="preserve"> </w:t>
      </w:r>
      <w:r>
        <w:rPr>
          <w:rFonts w:ascii="宋体" w:hAnsi="宋体" w:eastAsia="宋体" w:cs="宋体"/>
          <w:spacing w:val="-5"/>
          <w:position w:val="17"/>
          <w:sz w:val="24"/>
          <w:szCs w:val="24"/>
        </w:rPr>
        <w:t>年版）第四章第三</w:t>
      </w:r>
    </w:p>
    <w:p>
      <w:pPr>
        <w:spacing w:before="1" w:line="218" w:lineRule="auto"/>
        <w:ind w:left="725"/>
        <w:rPr>
          <w:rFonts w:ascii="宋体" w:hAnsi="宋体" w:eastAsia="宋体" w:cs="宋体"/>
          <w:sz w:val="24"/>
          <w:szCs w:val="24"/>
        </w:rPr>
      </w:pPr>
      <w:r>
        <w:rPr>
          <w:rFonts w:ascii="宋体" w:hAnsi="宋体" w:eastAsia="宋体" w:cs="宋体"/>
          <w:spacing w:val="-2"/>
          <w:sz w:val="24"/>
          <w:szCs w:val="24"/>
        </w:rPr>
        <w:t>节相应附件格式。</w:t>
      </w:r>
    </w:p>
    <w:p>
      <w:pPr>
        <w:spacing w:line="246" w:lineRule="auto"/>
        <w:rPr>
          <w:rFonts w:ascii="Arial"/>
          <w:sz w:val="21"/>
        </w:rPr>
      </w:pPr>
    </w:p>
    <w:p>
      <w:pPr>
        <w:spacing w:before="78" w:line="219" w:lineRule="auto"/>
        <w:ind w:left="744"/>
        <w:rPr>
          <w:rFonts w:ascii="宋体" w:hAnsi="宋体" w:eastAsia="宋体" w:cs="宋体"/>
          <w:sz w:val="24"/>
          <w:szCs w:val="24"/>
        </w:rPr>
      </w:pPr>
      <w:r>
        <w:rPr>
          <w:rFonts w:ascii="宋体" w:hAnsi="宋体" w:eastAsia="宋体" w:cs="宋体"/>
          <w:spacing w:val="-2"/>
          <w:sz w:val="24"/>
          <w:szCs w:val="24"/>
        </w:rPr>
        <w:t>附件九：特殊材料设备供应一览表</w:t>
      </w:r>
    </w:p>
    <w:p>
      <w:pPr>
        <w:spacing w:before="183" w:line="219" w:lineRule="auto"/>
        <w:ind w:left="744"/>
        <w:rPr>
          <w:rFonts w:ascii="宋体" w:hAnsi="宋体" w:eastAsia="宋体" w:cs="宋体"/>
          <w:sz w:val="24"/>
          <w:szCs w:val="24"/>
        </w:rPr>
      </w:pPr>
      <w:r>
        <w:rPr>
          <w:rFonts w:ascii="宋体" w:hAnsi="宋体" w:eastAsia="宋体" w:cs="宋体"/>
          <w:spacing w:val="-2"/>
          <w:sz w:val="24"/>
          <w:szCs w:val="24"/>
        </w:rPr>
        <w:t>附件十：统一采购供应材料一览表</w:t>
      </w:r>
    </w:p>
    <w:p>
      <w:pPr>
        <w:spacing w:before="181" w:line="219" w:lineRule="auto"/>
        <w:ind w:left="744"/>
        <w:rPr>
          <w:rFonts w:ascii="宋体" w:hAnsi="宋体" w:eastAsia="宋体" w:cs="宋体"/>
          <w:sz w:val="24"/>
          <w:szCs w:val="24"/>
        </w:rPr>
      </w:pPr>
      <w:r>
        <w:rPr>
          <w:rFonts w:ascii="宋体" w:hAnsi="宋体" w:eastAsia="宋体" w:cs="宋体"/>
          <w:spacing w:val="-3"/>
          <w:sz w:val="24"/>
          <w:szCs w:val="24"/>
        </w:rPr>
        <w:t>附件十一：承包人违约金一览表</w:t>
      </w:r>
    </w:p>
    <w:p>
      <w:pPr>
        <w:spacing w:before="181" w:line="219" w:lineRule="auto"/>
        <w:ind w:left="744"/>
        <w:rPr>
          <w:rFonts w:ascii="宋体" w:hAnsi="宋体" w:eastAsia="宋体" w:cs="宋体"/>
          <w:sz w:val="24"/>
          <w:szCs w:val="24"/>
        </w:rPr>
      </w:pPr>
      <w:r>
        <w:rPr>
          <w:rFonts w:ascii="宋体" w:hAnsi="宋体" w:eastAsia="宋体" w:cs="宋体"/>
          <w:spacing w:val="-2"/>
          <w:sz w:val="24"/>
          <w:szCs w:val="24"/>
        </w:rPr>
        <w:t>附件十二：工程质量、安全及文明施工违约项目一览表</w:t>
      </w:r>
    </w:p>
    <w:p>
      <w:pPr>
        <w:spacing w:before="183" w:line="219" w:lineRule="auto"/>
        <w:ind w:left="744"/>
        <w:rPr>
          <w:rFonts w:ascii="宋体" w:hAnsi="宋体" w:eastAsia="宋体" w:cs="宋体"/>
          <w:sz w:val="24"/>
          <w:szCs w:val="24"/>
        </w:rPr>
      </w:pPr>
      <w:r>
        <w:rPr>
          <w:rFonts w:ascii="宋体" w:hAnsi="宋体" w:eastAsia="宋体" w:cs="宋体"/>
          <w:spacing w:val="-2"/>
          <w:sz w:val="24"/>
          <w:szCs w:val="24"/>
        </w:rPr>
        <w:t>附件十三：建设工程农民工工资支付保证书</w:t>
      </w:r>
    </w:p>
    <w:p>
      <w:pPr>
        <w:spacing w:before="184" w:line="219" w:lineRule="auto"/>
        <w:ind w:left="744"/>
        <w:rPr>
          <w:rFonts w:ascii="宋体" w:hAnsi="宋体" w:eastAsia="宋体" w:cs="宋体"/>
          <w:sz w:val="24"/>
          <w:szCs w:val="24"/>
        </w:rPr>
      </w:pPr>
      <w:r>
        <w:rPr>
          <w:rFonts w:ascii="宋体" w:hAnsi="宋体" w:eastAsia="宋体" w:cs="宋体"/>
          <w:spacing w:val="-1"/>
          <w:sz w:val="24"/>
          <w:szCs w:val="24"/>
        </w:rPr>
        <w:t>附件十四：房屋建筑工程质量保修书（仅适用于附属区房建工程）</w:t>
      </w:r>
    </w:p>
    <w:p>
      <w:pPr>
        <w:spacing w:before="181" w:line="468" w:lineRule="exact"/>
        <w:ind w:left="744"/>
        <w:rPr>
          <w:rFonts w:ascii="宋体" w:hAnsi="宋体" w:eastAsia="宋体" w:cs="宋体"/>
          <w:sz w:val="24"/>
          <w:szCs w:val="24"/>
        </w:rPr>
      </w:pPr>
      <w:r>
        <w:rPr>
          <w:rFonts w:ascii="宋体" w:hAnsi="宋体" w:eastAsia="宋体" w:cs="宋体"/>
          <w:spacing w:val="-3"/>
          <w:position w:val="17"/>
          <w:sz w:val="24"/>
          <w:szCs w:val="24"/>
        </w:rPr>
        <w:t>附件十五：工程结算协议</w:t>
      </w:r>
    </w:p>
    <w:p>
      <w:pPr>
        <w:spacing w:before="1" w:line="218" w:lineRule="auto"/>
        <w:ind w:left="752"/>
        <w:rPr>
          <w:rFonts w:ascii="宋体" w:hAnsi="宋体" w:eastAsia="宋体" w:cs="宋体"/>
          <w:sz w:val="24"/>
          <w:szCs w:val="24"/>
        </w:rPr>
      </w:pPr>
      <w:r>
        <w:rPr>
          <w:rFonts w:ascii="宋体" w:hAnsi="宋体" w:eastAsia="宋体" w:cs="宋体"/>
          <w:spacing w:val="-4"/>
          <w:sz w:val="24"/>
          <w:szCs w:val="24"/>
        </w:rPr>
        <w:t>以上格式参见如下附件。</w:t>
      </w:r>
    </w:p>
    <w:p>
      <w:pPr>
        <w:spacing w:line="424" w:lineRule="auto"/>
        <w:rPr>
          <w:rFonts w:ascii="Arial"/>
          <w:sz w:val="21"/>
        </w:rPr>
      </w:pPr>
    </w:p>
    <w:p>
      <w:pPr>
        <w:spacing w:before="78" w:line="219" w:lineRule="auto"/>
        <w:ind w:left="744"/>
        <w:rPr>
          <w:rFonts w:ascii="宋体" w:hAnsi="宋体" w:eastAsia="宋体" w:cs="宋体"/>
          <w:sz w:val="24"/>
          <w:szCs w:val="24"/>
        </w:rPr>
      </w:pPr>
      <w:r>
        <w:rPr>
          <w:rFonts w:ascii="宋体" w:hAnsi="宋体" w:eastAsia="宋体" w:cs="宋体"/>
          <w:spacing w:val="-2"/>
          <w:sz w:val="24"/>
          <w:szCs w:val="24"/>
        </w:rPr>
        <w:t>附件十六：分包合同（示范文本）</w:t>
      </w:r>
    </w:p>
    <w:p>
      <w:pPr>
        <w:spacing w:before="180" w:line="219" w:lineRule="auto"/>
        <w:ind w:left="744"/>
        <w:rPr>
          <w:rFonts w:ascii="宋体" w:hAnsi="宋体" w:eastAsia="宋体" w:cs="宋体"/>
          <w:sz w:val="24"/>
          <w:szCs w:val="24"/>
        </w:rPr>
      </w:pPr>
      <w:r>
        <w:rPr>
          <w:rFonts w:ascii="宋体" w:hAnsi="宋体" w:eastAsia="宋体" w:cs="宋体"/>
          <w:spacing w:val="-2"/>
          <w:sz w:val="24"/>
          <w:szCs w:val="24"/>
        </w:rPr>
        <w:t>附件十七：劳务合作协议（示范文本）</w:t>
      </w:r>
    </w:p>
    <w:p>
      <w:pPr>
        <w:spacing w:before="183" w:line="219" w:lineRule="auto"/>
        <w:ind w:left="752"/>
        <w:outlineLvl w:val="0"/>
        <w:rPr>
          <w:rFonts w:ascii="宋体" w:hAnsi="宋体" w:eastAsia="宋体" w:cs="宋体"/>
          <w:sz w:val="24"/>
          <w:szCs w:val="24"/>
        </w:rPr>
      </w:pPr>
      <w:r>
        <w:rPr>
          <w:rFonts w:ascii="宋体" w:hAnsi="宋体" w:eastAsia="宋体" w:cs="宋体"/>
          <w:spacing w:val="-1"/>
          <w:sz w:val="24"/>
          <w:szCs w:val="24"/>
        </w:rPr>
        <w:t>以上示范文本见厅《广东省公路工程施工分包管理实施</w:t>
      </w:r>
      <w:r>
        <w:rPr>
          <w:rFonts w:ascii="宋体" w:hAnsi="宋体" w:eastAsia="宋体" w:cs="宋体"/>
          <w:spacing w:val="-2"/>
          <w:sz w:val="24"/>
          <w:szCs w:val="24"/>
        </w:rPr>
        <w:t>细则》的附件。</w:t>
      </w:r>
    </w:p>
    <w:p>
      <w:pPr>
        <w:spacing w:line="268" w:lineRule="auto"/>
        <w:rPr>
          <w:rFonts w:ascii="Arial"/>
          <w:sz w:val="21"/>
        </w:rPr>
      </w:pPr>
    </w:p>
    <w:p>
      <w:pPr>
        <w:spacing w:line="269" w:lineRule="auto"/>
        <w:rPr>
          <w:rFonts w:ascii="Arial"/>
          <w:sz w:val="21"/>
        </w:rPr>
      </w:pPr>
    </w:p>
    <w:p>
      <w:pPr>
        <w:spacing w:before="91" w:line="219" w:lineRule="auto"/>
        <w:ind w:left="28"/>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附件三：安全生产合同</w:t>
      </w:r>
    </w:p>
    <w:p>
      <w:pPr>
        <w:spacing w:before="335" w:line="219" w:lineRule="auto"/>
        <w:ind w:left="3644"/>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安全生产合同</w:t>
      </w:r>
    </w:p>
    <w:p>
      <w:pPr>
        <w:spacing w:before="217" w:line="359" w:lineRule="auto"/>
        <w:ind w:left="5" w:right="230" w:firstLine="480"/>
        <w:jc w:val="both"/>
        <w:rPr>
          <w:rFonts w:ascii="宋体" w:hAnsi="宋体" w:eastAsia="宋体" w:cs="宋体"/>
          <w:sz w:val="24"/>
          <w:szCs w:val="24"/>
        </w:rPr>
      </w:pPr>
      <w:r>
        <w:rPr>
          <w:rFonts w:ascii="宋体" w:hAnsi="宋体" w:eastAsia="宋体" w:cs="宋体"/>
          <w:spacing w:val="-2"/>
          <w:sz w:val="24"/>
          <w:szCs w:val="24"/>
        </w:rPr>
        <w:t>根据《中华人民共和国安全生产法》，国务院《建设工程安全生产管理条例》，交</w:t>
      </w:r>
      <w:r>
        <w:rPr>
          <w:rFonts w:ascii="宋体" w:hAnsi="宋体" w:eastAsia="宋体" w:cs="宋体"/>
          <w:spacing w:val="8"/>
          <w:sz w:val="24"/>
          <w:szCs w:val="24"/>
        </w:rPr>
        <w:t xml:space="preserve"> </w:t>
      </w:r>
      <w:r>
        <w:rPr>
          <w:rFonts w:ascii="宋体" w:hAnsi="宋体" w:eastAsia="宋体" w:cs="宋体"/>
          <w:spacing w:val="-2"/>
          <w:sz w:val="24"/>
          <w:szCs w:val="24"/>
        </w:rPr>
        <w:t>通运输部《公路水运工程安全生产监督管理办法》，交通运输部《公路水运工程施工安</w:t>
      </w:r>
      <w:r>
        <w:rPr>
          <w:rFonts w:ascii="宋体" w:hAnsi="宋体" w:eastAsia="宋体" w:cs="宋体"/>
          <w:spacing w:val="12"/>
          <w:sz w:val="24"/>
          <w:szCs w:val="24"/>
        </w:rPr>
        <w:t xml:space="preserve"> </w:t>
      </w:r>
      <w:r>
        <w:rPr>
          <w:rFonts w:ascii="宋体" w:hAnsi="宋体" w:eastAsia="宋体" w:cs="宋体"/>
          <w:spacing w:val="-2"/>
          <w:sz w:val="24"/>
          <w:szCs w:val="24"/>
        </w:rPr>
        <w:t>全标准化指南》有关规定，为切实做好</w:t>
      </w:r>
      <w:r>
        <w:rPr>
          <w:rFonts w:ascii="宋体" w:hAnsi="宋体" w:eastAsia="宋体" w:cs="宋体"/>
          <w:spacing w:val="-2"/>
          <w:sz w:val="24"/>
          <w:szCs w:val="24"/>
          <w:u w:val="single" w:color="auto"/>
        </w:rPr>
        <w:t xml:space="preserve">      (项目名称)</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rPr>
        <w:t>标类（或标段）</w:t>
      </w:r>
      <w:r>
        <w:rPr>
          <w:rFonts w:ascii="宋体" w:hAnsi="宋体" w:eastAsia="宋体" w:cs="宋体"/>
          <w:spacing w:val="-2"/>
          <w:sz w:val="24"/>
          <w:szCs w:val="24"/>
        </w:rPr>
        <w:t>工程安</w:t>
      </w:r>
      <w:r>
        <w:rPr>
          <w:rFonts w:ascii="宋体" w:hAnsi="宋体" w:eastAsia="宋体" w:cs="宋体"/>
          <w:spacing w:val="2"/>
          <w:sz w:val="24"/>
          <w:szCs w:val="24"/>
        </w:rPr>
        <w:t xml:space="preserve"> </w:t>
      </w:r>
      <w:r>
        <w:rPr>
          <w:rFonts w:ascii="宋体" w:hAnsi="宋体" w:eastAsia="宋体" w:cs="宋体"/>
          <w:spacing w:val="-6"/>
          <w:sz w:val="24"/>
          <w:szCs w:val="24"/>
        </w:rPr>
        <w:t>全生产管理工作，明确项目参建各方的安全生产责任，促进实现工程项</w:t>
      </w:r>
      <w:r>
        <w:rPr>
          <w:rFonts w:ascii="宋体" w:hAnsi="宋体" w:eastAsia="宋体" w:cs="宋体"/>
          <w:spacing w:val="-7"/>
          <w:sz w:val="24"/>
          <w:szCs w:val="24"/>
        </w:rPr>
        <w:t>目安全管理目标，</w:t>
      </w:r>
      <w:r>
        <w:rPr>
          <w:rFonts w:ascii="宋体" w:hAnsi="宋体" w:eastAsia="宋体" w:cs="宋体"/>
          <w:sz w:val="24"/>
          <w:szCs w:val="24"/>
        </w:rPr>
        <w:t xml:space="preserve"> </w:t>
      </w:r>
      <w:r>
        <w:rPr>
          <w:rFonts w:ascii="宋体" w:hAnsi="宋体" w:eastAsia="宋体" w:cs="宋体"/>
          <w:spacing w:val="-3"/>
          <w:sz w:val="24"/>
          <w:szCs w:val="24"/>
        </w:rPr>
        <w:t>建设单位全称（以下简称“发包人</w:t>
      </w:r>
      <w:r>
        <w:rPr>
          <w:rFonts w:ascii="宋体" w:hAnsi="宋体" w:eastAsia="宋体" w:cs="宋体"/>
          <w:spacing w:val="-88"/>
          <w:sz w:val="24"/>
          <w:szCs w:val="24"/>
        </w:rPr>
        <w:t xml:space="preserve"> </w:t>
      </w:r>
      <w:r>
        <w:rPr>
          <w:rFonts w:ascii="宋体" w:hAnsi="宋体" w:eastAsia="宋体" w:cs="宋体"/>
          <w:spacing w:val="-3"/>
          <w:sz w:val="24"/>
          <w:szCs w:val="24"/>
        </w:rPr>
        <w:t>”）与施工单位全称</w:t>
      </w:r>
      <w:r>
        <w:rPr>
          <w:rFonts w:ascii="宋体" w:hAnsi="宋体" w:eastAsia="宋体" w:cs="宋体"/>
          <w:spacing w:val="-4"/>
          <w:sz w:val="24"/>
          <w:szCs w:val="24"/>
        </w:rPr>
        <w:t>（以下简称“承包人</w:t>
      </w:r>
      <w:r>
        <w:rPr>
          <w:rFonts w:ascii="宋体" w:hAnsi="宋体" w:eastAsia="宋体" w:cs="宋体"/>
          <w:spacing w:val="-88"/>
          <w:sz w:val="24"/>
          <w:szCs w:val="24"/>
        </w:rPr>
        <w:t xml:space="preserve"> </w:t>
      </w:r>
      <w:r>
        <w:rPr>
          <w:rFonts w:ascii="宋体" w:hAnsi="宋体" w:eastAsia="宋体" w:cs="宋体"/>
          <w:spacing w:val="-4"/>
          <w:sz w:val="24"/>
          <w:szCs w:val="24"/>
        </w:rPr>
        <w:t>”）特此签</w:t>
      </w:r>
    </w:p>
    <w:p>
      <w:pPr>
        <w:spacing w:line="219" w:lineRule="auto"/>
        <w:ind w:left="8"/>
        <w:rPr>
          <w:rFonts w:ascii="宋体" w:hAnsi="宋体" w:eastAsia="宋体" w:cs="宋体"/>
          <w:sz w:val="24"/>
          <w:szCs w:val="24"/>
        </w:rPr>
      </w:pPr>
      <w:r>
        <w:rPr>
          <w:rFonts w:ascii="宋体" w:hAnsi="宋体" w:eastAsia="宋体" w:cs="宋体"/>
          <w:spacing w:val="-2"/>
          <w:sz w:val="24"/>
          <w:szCs w:val="24"/>
        </w:rPr>
        <w:t>订安全生产合同：</w:t>
      </w:r>
    </w:p>
    <w:p>
      <w:pPr>
        <w:spacing w:before="183" w:line="220" w:lineRule="auto"/>
        <w:ind w:left="505"/>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1.发包人职责</w:t>
      </w:r>
    </w:p>
    <w:p>
      <w:pPr>
        <w:spacing w:before="179" w:line="468" w:lineRule="exact"/>
        <w:ind w:left="527"/>
        <w:rPr>
          <w:rFonts w:ascii="宋体" w:hAnsi="宋体" w:eastAsia="宋体" w:cs="宋体"/>
          <w:sz w:val="24"/>
          <w:szCs w:val="24"/>
        </w:rPr>
      </w:pPr>
      <w:r>
        <w:rPr>
          <w:rFonts w:ascii="宋体" w:hAnsi="宋体" w:eastAsia="宋体" w:cs="宋体"/>
          <w:spacing w:val="-1"/>
          <w:position w:val="17"/>
          <w:sz w:val="24"/>
          <w:szCs w:val="24"/>
        </w:rPr>
        <w:t>(1)编制工程招标文件及项目概算时，应确定</w:t>
      </w:r>
      <w:r>
        <w:rPr>
          <w:rFonts w:ascii="宋体" w:hAnsi="宋体" w:eastAsia="宋体" w:cs="宋体"/>
          <w:spacing w:val="-2"/>
          <w:position w:val="17"/>
          <w:sz w:val="24"/>
          <w:szCs w:val="24"/>
        </w:rPr>
        <w:t>保障建设工程安全作业环境及安全施</w:t>
      </w:r>
    </w:p>
    <w:p>
      <w:pPr>
        <w:spacing w:before="1" w:line="219" w:lineRule="auto"/>
        <w:ind w:left="8"/>
        <w:rPr>
          <w:rFonts w:ascii="宋体" w:hAnsi="宋体" w:eastAsia="宋体" w:cs="宋体"/>
          <w:sz w:val="24"/>
          <w:szCs w:val="24"/>
        </w:rPr>
      </w:pPr>
      <w:r>
        <w:rPr>
          <w:rFonts w:ascii="宋体" w:hAnsi="宋体" w:eastAsia="宋体" w:cs="宋体"/>
          <w:spacing w:val="-1"/>
          <w:sz w:val="24"/>
          <w:szCs w:val="24"/>
        </w:rPr>
        <w:t>工措施所需的安全生产费用，并不低于国家规定的标准。</w:t>
      </w:r>
    </w:p>
    <w:p>
      <w:pPr>
        <w:spacing w:before="183" w:line="465" w:lineRule="exact"/>
        <w:ind w:left="527"/>
        <w:rPr>
          <w:rFonts w:ascii="宋体" w:hAnsi="宋体" w:eastAsia="宋体" w:cs="宋体"/>
          <w:sz w:val="24"/>
          <w:szCs w:val="24"/>
        </w:rPr>
      </w:pPr>
      <w:r>
        <w:rPr>
          <w:rFonts w:ascii="宋体" w:hAnsi="宋体" w:eastAsia="宋体" w:cs="宋体"/>
          <w:spacing w:val="-1"/>
          <w:position w:val="17"/>
          <w:sz w:val="24"/>
          <w:szCs w:val="24"/>
        </w:rPr>
        <w:t>(2)按照有关规定对承包人的安全生产条件、</w:t>
      </w:r>
      <w:r>
        <w:rPr>
          <w:rFonts w:ascii="宋体" w:hAnsi="宋体" w:eastAsia="宋体" w:cs="宋体"/>
          <w:spacing w:val="-2"/>
          <w:position w:val="17"/>
          <w:sz w:val="24"/>
          <w:szCs w:val="24"/>
        </w:rPr>
        <w:t>安全生产信用情况、安全生产管理体</w:t>
      </w:r>
    </w:p>
    <w:p>
      <w:pPr>
        <w:spacing w:before="1" w:line="219" w:lineRule="auto"/>
        <w:ind w:left="10"/>
        <w:rPr>
          <w:rFonts w:ascii="宋体" w:hAnsi="宋体" w:eastAsia="宋体" w:cs="宋体"/>
          <w:sz w:val="24"/>
          <w:szCs w:val="24"/>
        </w:rPr>
      </w:pPr>
      <w:r>
        <w:rPr>
          <w:rFonts w:ascii="宋体" w:hAnsi="宋体" w:eastAsia="宋体" w:cs="宋体"/>
          <w:spacing w:val="-1"/>
          <w:sz w:val="24"/>
          <w:szCs w:val="24"/>
        </w:rPr>
        <w:t>系及保障措施等提出明确要求并检查实施情况。</w:t>
      </w:r>
    </w:p>
    <w:p>
      <w:pPr>
        <w:spacing w:before="180" w:line="468" w:lineRule="exact"/>
        <w:ind w:left="527"/>
        <w:rPr>
          <w:rFonts w:ascii="宋体" w:hAnsi="宋体" w:eastAsia="宋体" w:cs="宋体"/>
          <w:sz w:val="24"/>
          <w:szCs w:val="24"/>
        </w:rPr>
      </w:pPr>
      <w:r>
        <w:rPr>
          <w:rFonts w:ascii="宋体" w:hAnsi="宋体" w:eastAsia="宋体" w:cs="宋体"/>
          <w:spacing w:val="-1"/>
          <w:position w:val="17"/>
          <w:sz w:val="24"/>
          <w:szCs w:val="24"/>
        </w:rPr>
        <w:t>(3)开展工程项目安全生产条件核查，按规定</w:t>
      </w:r>
      <w:r>
        <w:rPr>
          <w:rFonts w:ascii="宋体" w:hAnsi="宋体" w:eastAsia="宋体" w:cs="宋体"/>
          <w:spacing w:val="-2"/>
          <w:position w:val="17"/>
          <w:sz w:val="24"/>
          <w:szCs w:val="24"/>
        </w:rPr>
        <w:t>组织风险评估。针对工程项目特点和</w:t>
      </w:r>
    </w:p>
    <w:p>
      <w:pPr>
        <w:spacing w:before="1" w:line="217" w:lineRule="auto"/>
        <w:ind w:left="6"/>
        <w:rPr>
          <w:rFonts w:ascii="宋体" w:hAnsi="宋体" w:eastAsia="宋体" w:cs="宋体"/>
          <w:sz w:val="24"/>
          <w:szCs w:val="24"/>
        </w:rPr>
      </w:pPr>
      <w:r>
        <w:rPr>
          <w:rFonts w:ascii="宋体" w:hAnsi="宋体" w:eastAsia="宋体" w:cs="宋体"/>
          <w:sz w:val="24"/>
          <w:szCs w:val="24"/>
        </w:rPr>
        <w:t>风险评估情况制定项目生产安全事故综合应</w:t>
      </w:r>
      <w:r>
        <w:rPr>
          <w:rFonts w:ascii="宋体" w:hAnsi="宋体" w:eastAsia="宋体" w:cs="宋体"/>
          <w:spacing w:val="-1"/>
          <w:sz w:val="24"/>
          <w:szCs w:val="24"/>
        </w:rPr>
        <w:t>急预案，并定期组织演练。</w:t>
      </w:r>
    </w:p>
    <w:p>
      <w:pPr>
        <w:spacing w:before="185" w:line="466" w:lineRule="exact"/>
        <w:ind w:left="527"/>
        <w:rPr>
          <w:rFonts w:ascii="宋体" w:hAnsi="宋体" w:eastAsia="宋体" w:cs="宋体"/>
          <w:sz w:val="24"/>
          <w:szCs w:val="24"/>
        </w:rPr>
      </w:pPr>
      <w:r>
        <w:rPr>
          <w:rFonts w:ascii="宋体" w:hAnsi="宋体" w:eastAsia="宋体" w:cs="宋体"/>
          <w:spacing w:val="-1"/>
          <w:position w:val="17"/>
          <w:sz w:val="24"/>
          <w:szCs w:val="24"/>
        </w:rPr>
        <w:t>(4)按照法律法规及合同文件约定督促承包人</w:t>
      </w:r>
      <w:r>
        <w:rPr>
          <w:rFonts w:ascii="宋体" w:hAnsi="宋体" w:eastAsia="宋体" w:cs="宋体"/>
          <w:spacing w:val="-2"/>
          <w:position w:val="17"/>
          <w:sz w:val="24"/>
          <w:szCs w:val="24"/>
        </w:rPr>
        <w:t>落实安全生产责任，对承包人的安全</w:t>
      </w:r>
    </w:p>
    <w:p>
      <w:pPr>
        <w:spacing w:before="1" w:line="218" w:lineRule="auto"/>
        <w:ind w:left="7"/>
        <w:rPr>
          <w:rFonts w:ascii="宋体" w:hAnsi="宋体" w:eastAsia="宋体" w:cs="宋体"/>
          <w:sz w:val="24"/>
          <w:szCs w:val="24"/>
        </w:rPr>
      </w:pPr>
      <w:r>
        <w:rPr>
          <w:rFonts w:ascii="宋体" w:hAnsi="宋体" w:eastAsia="宋体" w:cs="宋体"/>
          <w:sz w:val="24"/>
          <w:szCs w:val="24"/>
        </w:rPr>
        <w:t>生产工作统一协调、管理，定期进行安全检查，发现安全</w:t>
      </w:r>
      <w:r>
        <w:rPr>
          <w:rFonts w:ascii="宋体" w:hAnsi="宋体" w:eastAsia="宋体" w:cs="宋体"/>
          <w:spacing w:val="-1"/>
          <w:sz w:val="24"/>
          <w:szCs w:val="24"/>
        </w:rPr>
        <w:t>问题的，应当及时督促整改。</w:t>
      </w:r>
    </w:p>
    <w:p>
      <w:pPr>
        <w:spacing w:before="184" w:line="219" w:lineRule="auto"/>
        <w:ind w:left="488"/>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2.承包人职责</w:t>
      </w:r>
    </w:p>
    <w:p>
      <w:pPr>
        <w:spacing w:before="180" w:line="359" w:lineRule="auto"/>
        <w:ind w:left="12" w:right="291" w:firstLine="514"/>
        <w:rPr>
          <w:rFonts w:ascii="宋体" w:hAnsi="宋体" w:eastAsia="宋体" w:cs="宋体"/>
          <w:sz w:val="24"/>
          <w:szCs w:val="24"/>
        </w:rPr>
      </w:pPr>
      <w:r>
        <w:rPr>
          <w:rFonts w:ascii="宋体" w:hAnsi="宋体" w:eastAsia="宋体" w:cs="宋体"/>
          <w:spacing w:val="-1"/>
          <w:sz w:val="24"/>
          <w:szCs w:val="24"/>
        </w:rPr>
        <w:t>(1)严格执行安全生产有关法律法规、规章及</w:t>
      </w:r>
      <w:r>
        <w:rPr>
          <w:rFonts w:ascii="宋体" w:hAnsi="宋体" w:eastAsia="宋体" w:cs="宋体"/>
          <w:spacing w:val="-2"/>
          <w:sz w:val="24"/>
          <w:szCs w:val="24"/>
        </w:rPr>
        <w:t>标准规范，落实合同、《广东省高速</w:t>
      </w:r>
      <w:r>
        <w:rPr>
          <w:rFonts w:ascii="宋体" w:hAnsi="宋体" w:eastAsia="宋体" w:cs="宋体"/>
          <w:sz w:val="24"/>
          <w:szCs w:val="24"/>
        </w:rPr>
        <w:t xml:space="preserve"> </w:t>
      </w:r>
      <w:r>
        <w:rPr>
          <w:rFonts w:ascii="宋体" w:hAnsi="宋体" w:eastAsia="宋体" w:cs="宋体"/>
          <w:spacing w:val="-2"/>
          <w:sz w:val="24"/>
          <w:szCs w:val="24"/>
        </w:rPr>
        <w:t>公路工程施工安全标准化指南》《公路工程施工安全防护设施技术指南》以及其他有关</w:t>
      </w:r>
    </w:p>
    <w:p>
      <w:pPr>
        <w:spacing w:before="1" w:line="219" w:lineRule="auto"/>
        <w:ind w:left="10"/>
        <w:rPr>
          <w:rFonts w:ascii="宋体" w:hAnsi="宋体" w:eastAsia="宋体" w:cs="宋体"/>
          <w:sz w:val="24"/>
          <w:szCs w:val="24"/>
        </w:rPr>
      </w:pPr>
      <w:r>
        <w:rPr>
          <w:rFonts w:ascii="宋体" w:hAnsi="宋体" w:eastAsia="宋体" w:cs="宋体"/>
          <w:spacing w:val="-2"/>
          <w:sz w:val="24"/>
          <w:szCs w:val="24"/>
        </w:rPr>
        <w:t>安全生产方面的规定和要求。</w:t>
      </w:r>
    </w:p>
    <w:p>
      <w:pPr>
        <w:spacing w:before="183" w:line="465" w:lineRule="exact"/>
        <w:ind w:left="527"/>
        <w:rPr>
          <w:rFonts w:ascii="宋体" w:hAnsi="宋体" w:eastAsia="宋体" w:cs="宋体"/>
          <w:sz w:val="24"/>
          <w:szCs w:val="24"/>
        </w:rPr>
      </w:pPr>
      <w:r>
        <w:rPr>
          <w:rFonts w:ascii="宋体" w:hAnsi="宋体" w:eastAsia="宋体" w:cs="宋体"/>
          <w:spacing w:val="-1"/>
          <w:position w:val="17"/>
          <w:sz w:val="24"/>
          <w:szCs w:val="24"/>
        </w:rPr>
        <w:t>(2)应具备相应的安全生产条件及安全生产资</w:t>
      </w:r>
      <w:r>
        <w:rPr>
          <w:rFonts w:ascii="宋体" w:hAnsi="宋体" w:eastAsia="宋体" w:cs="宋体"/>
          <w:spacing w:val="-2"/>
          <w:position w:val="17"/>
          <w:sz w:val="24"/>
          <w:szCs w:val="24"/>
        </w:rPr>
        <w:t>质，对施工现场的安全生产负主体责</w:t>
      </w:r>
    </w:p>
    <w:p>
      <w:pPr>
        <w:spacing w:before="1" w:line="218" w:lineRule="auto"/>
        <w:ind w:left="4"/>
        <w:rPr>
          <w:rFonts w:ascii="宋体" w:hAnsi="宋体" w:eastAsia="宋体" w:cs="宋体"/>
          <w:sz w:val="24"/>
          <w:szCs w:val="24"/>
        </w:rPr>
      </w:pPr>
      <w:r>
        <w:rPr>
          <w:rFonts w:ascii="宋体" w:hAnsi="宋体" w:eastAsia="宋体" w:cs="宋体"/>
          <w:spacing w:val="-1"/>
          <w:sz w:val="24"/>
          <w:szCs w:val="24"/>
        </w:rPr>
        <w:t>任，主要负责人依法对项目安全生产工作全面负责。</w:t>
      </w:r>
    </w:p>
    <w:p>
      <w:pPr>
        <w:spacing w:before="184" w:line="466" w:lineRule="exact"/>
        <w:ind w:left="527"/>
        <w:rPr>
          <w:rFonts w:ascii="宋体" w:hAnsi="宋体" w:eastAsia="宋体" w:cs="宋体"/>
          <w:sz w:val="24"/>
          <w:szCs w:val="24"/>
        </w:rPr>
      </w:pPr>
      <w:r>
        <w:rPr>
          <w:rFonts w:ascii="宋体" w:hAnsi="宋体" w:eastAsia="宋体" w:cs="宋体"/>
          <w:spacing w:val="-3"/>
          <w:position w:val="17"/>
          <w:sz w:val="24"/>
          <w:szCs w:val="24"/>
        </w:rPr>
        <w:t>(3)坚持国家安全生产方针、政策及原则，建立健全并落实项目安全生产管理制度、</w:t>
      </w:r>
    </w:p>
    <w:p>
      <w:pPr>
        <w:spacing w:line="218" w:lineRule="auto"/>
        <w:ind w:left="13"/>
        <w:rPr>
          <w:rFonts w:ascii="宋体" w:hAnsi="宋体" w:eastAsia="宋体" w:cs="宋体"/>
          <w:sz w:val="24"/>
          <w:szCs w:val="24"/>
        </w:rPr>
      </w:pPr>
      <w:r>
        <w:rPr>
          <w:rFonts w:ascii="宋体" w:hAnsi="宋体" w:eastAsia="宋体" w:cs="宋体"/>
          <w:spacing w:val="-1"/>
          <w:sz w:val="24"/>
          <w:szCs w:val="24"/>
        </w:rPr>
        <w:t>责任、组织机构等管理体系，配足符合资质条件的专职安全生产管理人员。</w:t>
      </w:r>
    </w:p>
    <w:p>
      <w:pPr>
        <w:spacing w:before="184" w:line="468" w:lineRule="exact"/>
        <w:ind w:left="527"/>
        <w:rPr>
          <w:rFonts w:ascii="宋体" w:hAnsi="宋体" w:eastAsia="宋体" w:cs="宋体"/>
          <w:sz w:val="24"/>
          <w:szCs w:val="24"/>
        </w:rPr>
      </w:pPr>
      <w:r>
        <w:rPr>
          <w:rFonts w:ascii="宋体" w:hAnsi="宋体" w:eastAsia="宋体" w:cs="宋体"/>
          <w:spacing w:val="-1"/>
          <w:position w:val="17"/>
          <w:sz w:val="24"/>
          <w:szCs w:val="24"/>
        </w:rPr>
        <w:t>(4)应保证本项目合同段所应具备的安全生产</w:t>
      </w:r>
      <w:r>
        <w:rPr>
          <w:rFonts w:ascii="宋体" w:hAnsi="宋体" w:eastAsia="宋体" w:cs="宋体"/>
          <w:spacing w:val="-2"/>
          <w:position w:val="17"/>
          <w:sz w:val="24"/>
          <w:szCs w:val="24"/>
        </w:rPr>
        <w:t>条件必需的资金投入，依法参加各类</w:t>
      </w:r>
    </w:p>
    <w:p>
      <w:pPr>
        <w:spacing w:before="1" w:line="219" w:lineRule="auto"/>
        <w:ind w:left="10"/>
        <w:rPr>
          <w:rFonts w:ascii="宋体" w:hAnsi="宋体" w:eastAsia="宋体" w:cs="宋体"/>
          <w:sz w:val="24"/>
          <w:szCs w:val="24"/>
        </w:rPr>
      </w:pPr>
      <w:r>
        <w:rPr>
          <w:rFonts w:ascii="宋体" w:hAnsi="宋体" w:eastAsia="宋体" w:cs="宋体"/>
          <w:spacing w:val="-1"/>
          <w:sz w:val="24"/>
          <w:szCs w:val="24"/>
        </w:rPr>
        <w:t>安全保险，保障从业人员安全生产方面的权利。</w:t>
      </w:r>
    </w:p>
    <w:p>
      <w:pPr>
        <w:spacing w:before="180" w:line="468" w:lineRule="exact"/>
        <w:ind w:left="527"/>
        <w:rPr>
          <w:rFonts w:ascii="宋体" w:hAnsi="宋体" w:eastAsia="宋体" w:cs="宋体"/>
          <w:sz w:val="24"/>
          <w:szCs w:val="24"/>
        </w:rPr>
      </w:pPr>
      <w:r>
        <w:rPr>
          <w:rFonts w:ascii="宋体" w:hAnsi="宋体" w:eastAsia="宋体" w:cs="宋体"/>
          <w:spacing w:val="-1"/>
          <w:position w:val="17"/>
          <w:sz w:val="24"/>
          <w:szCs w:val="24"/>
        </w:rPr>
        <w:t>(5)应切实加强作业工人安全培训教育和安全</w:t>
      </w:r>
      <w:r>
        <w:rPr>
          <w:rFonts w:ascii="宋体" w:hAnsi="宋体" w:eastAsia="宋体" w:cs="宋体"/>
          <w:spacing w:val="-2"/>
          <w:position w:val="17"/>
          <w:sz w:val="24"/>
          <w:szCs w:val="24"/>
        </w:rPr>
        <w:t>技术交底。运用《公路施工安全视频</w:t>
      </w:r>
    </w:p>
    <w:p>
      <w:pPr>
        <w:spacing w:before="1" w:line="218" w:lineRule="auto"/>
        <w:ind w:left="8"/>
        <w:rPr>
          <w:rFonts w:ascii="宋体" w:hAnsi="宋体" w:eastAsia="宋体" w:cs="宋体"/>
          <w:sz w:val="24"/>
          <w:szCs w:val="24"/>
        </w:rPr>
      </w:pPr>
      <w:r>
        <w:rPr>
          <w:rFonts w:ascii="宋体" w:hAnsi="宋体" w:eastAsia="宋体" w:cs="宋体"/>
          <w:spacing w:val="-2"/>
          <w:sz w:val="24"/>
          <w:szCs w:val="24"/>
        </w:rPr>
        <w:t>教程》及配套口袋书、配套测试题集，建立工人学校或安全教育体验馆，开展岗前安全</w:t>
      </w:r>
    </w:p>
    <w:p>
      <w:pPr>
        <w:spacing w:line="425" w:lineRule="auto"/>
        <w:rPr>
          <w:rFonts w:ascii="Arial"/>
          <w:sz w:val="21"/>
        </w:rPr>
      </w:pPr>
    </w:p>
    <w:p>
      <w:pPr>
        <w:spacing w:before="78" w:line="359" w:lineRule="auto"/>
        <w:ind w:left="8" w:right="291"/>
        <w:jc w:val="both"/>
        <w:rPr>
          <w:rFonts w:ascii="宋体" w:hAnsi="宋体" w:eastAsia="宋体" w:cs="宋体"/>
          <w:sz w:val="24"/>
          <w:szCs w:val="24"/>
        </w:rPr>
      </w:pPr>
      <w:r>
        <w:rPr>
          <w:rFonts w:ascii="宋体" w:hAnsi="宋体" w:eastAsia="宋体" w:cs="宋体"/>
          <w:spacing w:val="-2"/>
          <w:sz w:val="24"/>
          <w:szCs w:val="24"/>
        </w:rPr>
        <w:t>教育培训和经常性安全再教育，提高全员安全意识和安全技能。认真细致做好工人作业</w:t>
      </w:r>
      <w:r>
        <w:rPr>
          <w:rFonts w:ascii="宋体" w:hAnsi="宋体" w:eastAsia="宋体" w:cs="宋体"/>
          <w:spacing w:val="9"/>
          <w:sz w:val="24"/>
          <w:szCs w:val="24"/>
        </w:rPr>
        <w:t xml:space="preserve"> </w:t>
      </w:r>
      <w:r>
        <w:rPr>
          <w:rFonts w:ascii="宋体" w:hAnsi="宋体" w:eastAsia="宋体" w:cs="宋体"/>
          <w:spacing w:val="-2"/>
          <w:sz w:val="24"/>
          <w:szCs w:val="24"/>
        </w:rPr>
        <w:t>前安全技术交底，落实基层班组班前会制度，确保作业工人熟知作业的安全要求和班前</w:t>
      </w:r>
    </w:p>
    <w:p>
      <w:pPr>
        <w:spacing w:line="219" w:lineRule="auto"/>
        <w:ind w:left="8"/>
        <w:rPr>
          <w:rFonts w:ascii="宋体" w:hAnsi="宋体" w:eastAsia="宋体" w:cs="宋体"/>
          <w:sz w:val="24"/>
          <w:szCs w:val="24"/>
        </w:rPr>
      </w:pPr>
      <w:r>
        <w:rPr>
          <w:rFonts w:ascii="宋体" w:hAnsi="宋体" w:eastAsia="宋体" w:cs="宋体"/>
          <w:spacing w:val="-2"/>
          <w:sz w:val="24"/>
          <w:szCs w:val="24"/>
        </w:rPr>
        <w:t>危险预知内容。</w:t>
      </w:r>
    </w:p>
    <w:p>
      <w:pPr>
        <w:spacing w:before="180" w:line="468" w:lineRule="exact"/>
        <w:ind w:left="527"/>
        <w:rPr>
          <w:rFonts w:ascii="宋体" w:hAnsi="宋体" w:eastAsia="宋体" w:cs="宋体"/>
          <w:sz w:val="24"/>
          <w:szCs w:val="24"/>
        </w:rPr>
      </w:pPr>
      <w:r>
        <w:rPr>
          <w:rFonts w:ascii="宋体" w:hAnsi="宋体" w:eastAsia="宋体" w:cs="宋体"/>
          <w:spacing w:val="-1"/>
          <w:position w:val="17"/>
          <w:sz w:val="24"/>
          <w:szCs w:val="24"/>
        </w:rPr>
        <w:t>(6)按规定编制危险性较大工程专项施工方案</w:t>
      </w:r>
      <w:r>
        <w:rPr>
          <w:rFonts w:ascii="宋体" w:hAnsi="宋体" w:eastAsia="宋体" w:cs="宋体"/>
          <w:spacing w:val="-2"/>
          <w:position w:val="17"/>
          <w:sz w:val="24"/>
          <w:szCs w:val="24"/>
        </w:rPr>
        <w:t>，按程序逐级审批，必要时应组织专</w:t>
      </w:r>
    </w:p>
    <w:p>
      <w:pPr>
        <w:spacing w:line="220" w:lineRule="auto"/>
        <w:ind w:left="7"/>
        <w:rPr>
          <w:rFonts w:ascii="宋体" w:hAnsi="宋体" w:eastAsia="宋体" w:cs="宋体"/>
          <w:sz w:val="24"/>
          <w:szCs w:val="24"/>
        </w:rPr>
      </w:pPr>
      <w:r>
        <w:rPr>
          <w:rFonts w:ascii="宋体" w:hAnsi="宋体" w:eastAsia="宋体" w:cs="宋体"/>
          <w:spacing w:val="-3"/>
          <w:sz w:val="24"/>
          <w:szCs w:val="24"/>
        </w:rPr>
        <w:t>家论证。</w:t>
      </w:r>
    </w:p>
    <w:p>
      <w:pPr>
        <w:spacing w:before="179" w:line="468" w:lineRule="exact"/>
        <w:ind w:left="527"/>
        <w:rPr>
          <w:rFonts w:ascii="宋体" w:hAnsi="宋体" w:eastAsia="宋体" w:cs="宋体"/>
          <w:sz w:val="24"/>
          <w:szCs w:val="24"/>
        </w:rPr>
      </w:pPr>
      <w:r>
        <w:rPr>
          <w:rFonts w:ascii="宋体" w:hAnsi="宋体" w:eastAsia="宋体" w:cs="宋体"/>
          <w:spacing w:val="-1"/>
          <w:position w:val="17"/>
          <w:sz w:val="24"/>
          <w:szCs w:val="24"/>
        </w:rPr>
        <w:t>(7)各类施工设备设施及用品、用具等应具备</w:t>
      </w:r>
      <w:r>
        <w:rPr>
          <w:rFonts w:ascii="宋体" w:hAnsi="宋体" w:eastAsia="宋体" w:cs="宋体"/>
          <w:spacing w:val="-2"/>
          <w:position w:val="17"/>
          <w:sz w:val="24"/>
          <w:szCs w:val="24"/>
        </w:rPr>
        <w:t>相关资质证书，定期检查维护，按规</w:t>
      </w:r>
    </w:p>
    <w:p>
      <w:pPr>
        <w:spacing w:line="219" w:lineRule="auto"/>
        <w:ind w:left="11"/>
        <w:rPr>
          <w:rFonts w:ascii="宋体" w:hAnsi="宋体" w:eastAsia="宋体" w:cs="宋体"/>
          <w:sz w:val="24"/>
          <w:szCs w:val="24"/>
        </w:rPr>
      </w:pPr>
      <w:r>
        <w:rPr>
          <w:rFonts w:ascii="宋体" w:hAnsi="宋体" w:eastAsia="宋体" w:cs="宋体"/>
          <w:spacing w:val="-1"/>
          <w:sz w:val="24"/>
          <w:szCs w:val="24"/>
        </w:rPr>
        <w:t>定及时报废；特种设备及支撑体系设施设备投入使用前应按规定组织验收。</w:t>
      </w:r>
    </w:p>
    <w:p>
      <w:pPr>
        <w:spacing w:before="181" w:line="219" w:lineRule="auto"/>
        <w:ind w:left="527"/>
        <w:rPr>
          <w:rFonts w:ascii="宋体" w:hAnsi="宋体" w:eastAsia="宋体" w:cs="宋体"/>
          <w:sz w:val="24"/>
          <w:szCs w:val="24"/>
        </w:rPr>
      </w:pPr>
      <w:r>
        <w:rPr>
          <w:rFonts w:ascii="宋体" w:hAnsi="宋体" w:eastAsia="宋体" w:cs="宋体"/>
          <w:spacing w:val="-2"/>
          <w:sz w:val="24"/>
          <w:szCs w:val="24"/>
        </w:rPr>
        <w:t>(8)两区三厂、临建设施等选址及相关防护设施的设置应符合安全要求。</w:t>
      </w:r>
    </w:p>
    <w:p>
      <w:pPr>
        <w:spacing w:before="183" w:line="465" w:lineRule="exact"/>
        <w:ind w:left="527"/>
        <w:rPr>
          <w:rFonts w:ascii="宋体" w:hAnsi="宋体" w:eastAsia="宋体" w:cs="宋体"/>
          <w:sz w:val="24"/>
          <w:szCs w:val="24"/>
        </w:rPr>
      </w:pPr>
      <w:r>
        <w:rPr>
          <w:rFonts w:ascii="宋体" w:hAnsi="宋体" w:eastAsia="宋体" w:cs="宋体"/>
          <w:spacing w:val="-1"/>
          <w:position w:val="17"/>
          <w:sz w:val="24"/>
          <w:szCs w:val="24"/>
        </w:rPr>
        <w:t>(9)建立施工现场及驻地消防安全责任制度，</w:t>
      </w:r>
      <w:r>
        <w:rPr>
          <w:rFonts w:ascii="宋体" w:hAnsi="宋体" w:eastAsia="宋体" w:cs="宋体"/>
          <w:spacing w:val="-2"/>
          <w:position w:val="17"/>
          <w:sz w:val="24"/>
          <w:szCs w:val="24"/>
        </w:rPr>
        <w:t>确定消防安全责任人，落实消防安全</w:t>
      </w:r>
    </w:p>
    <w:p>
      <w:pPr>
        <w:spacing w:before="1" w:line="219" w:lineRule="auto"/>
        <w:ind w:left="11"/>
        <w:rPr>
          <w:rFonts w:ascii="宋体" w:hAnsi="宋体" w:eastAsia="宋体" w:cs="宋体"/>
          <w:sz w:val="24"/>
          <w:szCs w:val="24"/>
        </w:rPr>
      </w:pPr>
      <w:r>
        <w:rPr>
          <w:rFonts w:ascii="宋体" w:hAnsi="宋体" w:eastAsia="宋体" w:cs="宋体"/>
          <w:spacing w:val="-1"/>
          <w:sz w:val="24"/>
          <w:szCs w:val="24"/>
        </w:rPr>
        <w:t>管理和消防安全检查，及时消除火灾事故隐患。</w:t>
      </w:r>
    </w:p>
    <w:p>
      <w:pPr>
        <w:spacing w:before="183" w:line="465" w:lineRule="exact"/>
        <w:ind w:left="527"/>
        <w:rPr>
          <w:rFonts w:ascii="宋体" w:hAnsi="宋体" w:eastAsia="宋体" w:cs="宋体"/>
          <w:sz w:val="24"/>
          <w:szCs w:val="24"/>
        </w:rPr>
      </w:pPr>
      <w:r>
        <w:rPr>
          <w:rFonts w:ascii="宋体" w:hAnsi="宋体" w:eastAsia="宋体" w:cs="宋体"/>
          <w:spacing w:val="-1"/>
          <w:position w:val="17"/>
          <w:sz w:val="24"/>
          <w:szCs w:val="24"/>
        </w:rPr>
        <w:t>(10)按规定建立并落实安全风险分级管控及事故</w:t>
      </w:r>
      <w:r>
        <w:rPr>
          <w:rFonts w:ascii="宋体" w:hAnsi="宋体" w:eastAsia="宋体" w:cs="宋体"/>
          <w:spacing w:val="-2"/>
          <w:position w:val="17"/>
          <w:sz w:val="24"/>
          <w:szCs w:val="24"/>
        </w:rPr>
        <w:t>隐患排查治理双重预防工作机制，</w:t>
      </w:r>
    </w:p>
    <w:p>
      <w:pPr>
        <w:spacing w:before="1" w:line="219" w:lineRule="auto"/>
        <w:ind w:left="11"/>
        <w:rPr>
          <w:rFonts w:ascii="宋体" w:hAnsi="宋体" w:eastAsia="宋体" w:cs="宋体"/>
          <w:sz w:val="24"/>
          <w:szCs w:val="24"/>
        </w:rPr>
      </w:pPr>
      <w:r>
        <w:rPr>
          <w:rFonts w:ascii="宋体" w:hAnsi="宋体" w:eastAsia="宋体" w:cs="宋体"/>
          <w:spacing w:val="-1"/>
          <w:sz w:val="24"/>
          <w:szCs w:val="24"/>
        </w:rPr>
        <w:t>并按要求开展各类安全生产检查，重大事故隐患及时上报和专项治理。</w:t>
      </w:r>
    </w:p>
    <w:p>
      <w:pPr>
        <w:spacing w:before="182" w:line="219" w:lineRule="auto"/>
        <w:ind w:left="527"/>
        <w:rPr>
          <w:rFonts w:ascii="宋体" w:hAnsi="宋体" w:eastAsia="宋体" w:cs="宋体"/>
          <w:sz w:val="24"/>
          <w:szCs w:val="24"/>
        </w:rPr>
      </w:pPr>
      <w:r>
        <w:rPr>
          <w:rFonts w:ascii="宋体" w:hAnsi="宋体" w:eastAsia="宋体" w:cs="宋体"/>
          <w:spacing w:val="-2"/>
          <w:sz w:val="24"/>
          <w:szCs w:val="24"/>
        </w:rPr>
        <w:t>(11)建立健全本项目合同段生产安全事故应急预案体系，并定期组织演练。</w:t>
      </w:r>
    </w:p>
    <w:p>
      <w:pPr>
        <w:spacing w:before="184" w:line="466" w:lineRule="exact"/>
        <w:ind w:left="527"/>
        <w:rPr>
          <w:rFonts w:ascii="宋体" w:hAnsi="宋体" w:eastAsia="宋体" w:cs="宋体"/>
          <w:sz w:val="24"/>
          <w:szCs w:val="24"/>
        </w:rPr>
      </w:pPr>
      <w:r>
        <w:rPr>
          <w:rFonts w:ascii="宋体" w:hAnsi="宋体" w:eastAsia="宋体" w:cs="宋体"/>
          <w:spacing w:val="-3"/>
          <w:position w:val="17"/>
          <w:sz w:val="24"/>
          <w:szCs w:val="24"/>
        </w:rPr>
        <w:t>(12)及时、如实报告生产安全事故。发生事故时，应立即组织抢救，并积极配合事</w:t>
      </w:r>
    </w:p>
    <w:p>
      <w:pPr>
        <w:spacing w:line="221" w:lineRule="auto"/>
        <w:ind w:left="9"/>
        <w:rPr>
          <w:rFonts w:ascii="宋体" w:hAnsi="宋体" w:eastAsia="宋体" w:cs="宋体"/>
          <w:sz w:val="24"/>
          <w:szCs w:val="24"/>
        </w:rPr>
      </w:pPr>
      <w:r>
        <w:rPr>
          <w:rFonts w:ascii="宋体" w:hAnsi="宋体" w:eastAsia="宋体" w:cs="宋体"/>
          <w:spacing w:val="-3"/>
          <w:sz w:val="24"/>
          <w:szCs w:val="24"/>
        </w:rPr>
        <w:t>故调查处理。</w:t>
      </w:r>
    </w:p>
    <w:p>
      <w:pPr>
        <w:spacing w:before="181" w:line="219" w:lineRule="auto"/>
        <w:ind w:left="527"/>
        <w:rPr>
          <w:rFonts w:ascii="宋体" w:hAnsi="宋体" w:eastAsia="宋体" w:cs="宋体"/>
          <w:sz w:val="24"/>
          <w:szCs w:val="24"/>
        </w:rPr>
      </w:pPr>
      <w:r>
        <w:rPr>
          <w:rFonts w:ascii="宋体" w:hAnsi="宋体" w:eastAsia="宋体" w:cs="宋体"/>
          <w:spacing w:val="-2"/>
          <w:sz w:val="24"/>
          <w:szCs w:val="24"/>
        </w:rPr>
        <w:t>(13)安全生产法律法规、政策等规定的</w:t>
      </w:r>
      <w:r>
        <w:rPr>
          <w:rFonts w:ascii="宋体" w:hAnsi="宋体" w:eastAsia="宋体" w:cs="宋体"/>
          <w:spacing w:val="-3"/>
          <w:sz w:val="24"/>
          <w:szCs w:val="24"/>
        </w:rPr>
        <w:t>其他职责。</w:t>
      </w:r>
    </w:p>
    <w:p>
      <w:pPr>
        <w:spacing w:before="181" w:line="219" w:lineRule="auto"/>
        <w:ind w:left="490"/>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3.违约责任</w:t>
      </w:r>
    </w:p>
    <w:p>
      <w:pPr>
        <w:spacing w:before="180" w:line="219" w:lineRule="auto"/>
        <w:ind w:left="489"/>
        <w:rPr>
          <w:rFonts w:ascii="宋体" w:hAnsi="宋体" w:eastAsia="宋体" w:cs="宋体"/>
          <w:sz w:val="24"/>
          <w:szCs w:val="24"/>
        </w:rPr>
      </w:pPr>
      <w:r>
        <w:rPr>
          <w:rFonts w:ascii="宋体" w:hAnsi="宋体" w:eastAsia="宋体" w:cs="宋体"/>
          <w:spacing w:val="-1"/>
          <w:sz w:val="24"/>
          <w:szCs w:val="24"/>
        </w:rPr>
        <w:t>如因发包人或承包人违约造成安全事故，将依法追究责任。</w:t>
      </w:r>
    </w:p>
    <w:p>
      <w:pPr>
        <w:spacing w:before="183" w:line="468" w:lineRule="exact"/>
        <w:ind w:left="484"/>
        <w:rPr>
          <w:rFonts w:ascii="宋体" w:hAnsi="宋体" w:eastAsia="宋体" w:cs="宋体"/>
          <w:sz w:val="24"/>
          <w:szCs w:val="24"/>
        </w:rPr>
      </w:pPr>
      <w:r>
        <w:rPr>
          <w:rFonts w:ascii="宋体" w:hAnsi="宋体" w:eastAsia="宋体" w:cs="宋体"/>
          <w:spacing w:val="-2"/>
          <w:position w:val="17"/>
          <w:sz w:val="24"/>
          <w:szCs w:val="24"/>
        </w:rPr>
        <w:t>4.本合同由双方法定代表人或其授权的代理人签署并加盖单位章后生效，全部工程</w:t>
      </w:r>
    </w:p>
    <w:p>
      <w:pPr>
        <w:spacing w:before="1" w:line="219" w:lineRule="auto"/>
        <w:ind w:left="6"/>
        <w:rPr>
          <w:rFonts w:ascii="宋体" w:hAnsi="宋体" w:eastAsia="宋体" w:cs="宋体"/>
          <w:sz w:val="24"/>
          <w:szCs w:val="24"/>
        </w:rPr>
      </w:pPr>
      <w:r>
        <w:rPr>
          <w:rFonts w:ascii="宋体" w:hAnsi="宋体" w:eastAsia="宋体" w:cs="宋体"/>
          <w:sz w:val="24"/>
          <w:szCs w:val="24"/>
        </w:rPr>
        <w:t>竣工验收后失效。    .</w:t>
      </w:r>
    </w:p>
    <w:p>
      <w:pPr>
        <w:spacing w:before="180" w:line="360" w:lineRule="auto"/>
        <w:ind w:left="430"/>
        <w:rPr>
          <w:rFonts w:ascii="宋体" w:hAnsi="宋体" w:eastAsia="宋体" w:cs="宋体"/>
          <w:sz w:val="24"/>
          <w:szCs w:val="24"/>
        </w:rPr>
      </w:pPr>
      <w:r>
        <w:rPr>
          <w:rFonts w:ascii="宋体" w:hAnsi="宋体" w:eastAsia="宋体" w:cs="宋体"/>
          <w:spacing w:val="-1"/>
          <w:sz w:val="24"/>
          <w:szCs w:val="24"/>
        </w:rPr>
        <w:t>5.本合同正本二份、副本</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份，合同双方各执正本一份，副本</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份，当正本与副</w:t>
      </w:r>
    </w:p>
    <w:p>
      <w:pPr>
        <w:spacing w:before="1" w:line="218" w:lineRule="auto"/>
        <w:ind w:left="6"/>
        <w:rPr>
          <w:rFonts w:ascii="宋体" w:hAnsi="宋体" w:eastAsia="宋体" w:cs="宋体"/>
          <w:sz w:val="24"/>
          <w:szCs w:val="24"/>
        </w:rPr>
      </w:pPr>
      <w:r>
        <w:rPr>
          <w:rFonts w:ascii="宋体" w:hAnsi="宋体" w:eastAsia="宋体" w:cs="宋体"/>
          <w:spacing w:val="-1"/>
          <w:sz w:val="24"/>
          <w:szCs w:val="24"/>
        </w:rPr>
        <w:t>本的内容不一致时，以正本为准。</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9" w:line="219" w:lineRule="auto"/>
        <w:ind w:left="9"/>
        <w:rPr>
          <w:rFonts w:ascii="宋体" w:hAnsi="宋体" w:eastAsia="宋体" w:cs="宋体"/>
          <w:sz w:val="24"/>
          <w:szCs w:val="24"/>
        </w:rPr>
      </w:pPr>
      <w:r>
        <w:rPr>
          <w:rFonts w:ascii="宋体" w:hAnsi="宋体" w:eastAsia="宋体" w:cs="宋体"/>
          <w:spacing w:val="-5"/>
          <w:sz w:val="24"/>
          <w:szCs w:val="24"/>
        </w:rPr>
        <w:t>发包人：</w:t>
      </w:r>
      <w:r>
        <w:rPr>
          <w:rFonts w:ascii="宋体" w:hAnsi="宋体" w:eastAsia="宋体" w:cs="宋体"/>
          <w:sz w:val="24"/>
          <w:szCs w:val="24"/>
          <w:u w:val="single" w:color="auto"/>
        </w:rPr>
        <w:t xml:space="preserve">                 </w:t>
      </w:r>
      <w:r>
        <w:rPr>
          <w:rFonts w:ascii="宋体" w:hAnsi="宋体" w:eastAsia="宋体" w:cs="宋体"/>
          <w:spacing w:val="-61"/>
          <w:sz w:val="24"/>
          <w:szCs w:val="24"/>
        </w:rPr>
        <w:t xml:space="preserve"> </w:t>
      </w:r>
      <w:r>
        <w:rPr>
          <w:rFonts w:ascii="宋体" w:hAnsi="宋体" w:eastAsia="宋体" w:cs="宋体"/>
          <w:spacing w:val="-5"/>
          <w:sz w:val="24"/>
          <w:szCs w:val="24"/>
        </w:rPr>
        <w:t>(盖单位章)     承包人：</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(盖单位章)</w:t>
      </w:r>
    </w:p>
    <w:p>
      <w:pPr>
        <w:spacing w:before="181" w:line="219" w:lineRule="auto"/>
        <w:ind w:left="6"/>
        <w:rPr>
          <w:rFonts w:ascii="宋体" w:hAnsi="宋体" w:eastAsia="宋体" w:cs="宋体"/>
          <w:sz w:val="24"/>
          <w:szCs w:val="24"/>
        </w:rPr>
      </w:pPr>
      <w:r>
        <w:rPr>
          <w:rFonts w:ascii="宋体" w:hAnsi="宋体" w:eastAsia="宋体" w:cs="宋体"/>
          <w:spacing w:val="-4"/>
          <w:sz w:val="24"/>
          <w:szCs w:val="24"/>
        </w:rPr>
        <w:t>法定代表人或其委托代理人：</w:t>
      </w:r>
      <w:r>
        <w:rPr>
          <w:rFonts w:ascii="宋体" w:hAnsi="宋体" w:eastAsia="宋体" w:cs="宋体"/>
          <w:spacing w:val="-4"/>
          <w:sz w:val="24"/>
          <w:szCs w:val="24"/>
          <w:u w:val="single" w:color="auto"/>
        </w:rPr>
        <w:t xml:space="preserve">    </w:t>
      </w:r>
      <w:r>
        <w:rPr>
          <w:rFonts w:ascii="宋体" w:hAnsi="宋体" w:eastAsia="宋体" w:cs="宋体"/>
          <w:spacing w:val="64"/>
          <w:sz w:val="24"/>
          <w:szCs w:val="24"/>
        </w:rPr>
        <w:t xml:space="preserve"> </w:t>
      </w:r>
      <w:r>
        <w:rPr>
          <w:rFonts w:ascii="宋体" w:hAnsi="宋体" w:eastAsia="宋体" w:cs="宋体"/>
          <w:spacing w:val="-4"/>
          <w:sz w:val="24"/>
          <w:szCs w:val="24"/>
        </w:rPr>
        <w:t>(签字)  法定代表人或其委托代理人：</w:t>
      </w:r>
      <w:r>
        <w:rPr>
          <w:rFonts w:ascii="宋体" w:hAnsi="宋体" w:eastAsia="宋体" w:cs="宋体"/>
          <w:spacing w:val="-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(签字)</w:t>
      </w:r>
    </w:p>
    <w:p>
      <w:pPr>
        <w:tabs>
          <w:tab w:val="left" w:pos="2036"/>
        </w:tabs>
        <w:spacing w:before="181" w:line="219" w:lineRule="auto"/>
        <w:ind w:left="1316"/>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3"/>
          <w:sz w:val="24"/>
          <w:szCs w:val="24"/>
        </w:rPr>
        <w:t xml:space="preserve"> </w:t>
      </w:r>
      <w:r>
        <w:rPr>
          <w:rFonts w:ascii="宋体" w:hAnsi="宋体" w:eastAsia="宋体" w:cs="宋体"/>
          <w:spacing w:val="-10"/>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0"/>
          <w:sz w:val="24"/>
          <w:szCs w:val="24"/>
        </w:rPr>
        <w:t>月</w:t>
      </w:r>
      <w:r>
        <w:rPr>
          <w:rFonts w:ascii="宋体" w:hAnsi="宋体" w:eastAsia="宋体" w:cs="宋体"/>
          <w:spacing w:val="2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0"/>
          <w:sz w:val="24"/>
          <w:szCs w:val="24"/>
        </w:rPr>
        <w:t xml:space="preserve">日                 </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0"/>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0"/>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0"/>
          <w:sz w:val="24"/>
          <w:szCs w:val="24"/>
        </w:rPr>
        <w:t>日</w:t>
      </w:r>
    </w:p>
    <w:p>
      <w:pPr>
        <w:spacing w:line="413" w:lineRule="auto"/>
        <w:rPr>
          <w:rFonts w:ascii="Arial"/>
          <w:sz w:val="21"/>
        </w:rPr>
      </w:pPr>
      <w:r>
        <mc:AlternateContent>
          <mc:Choice Requires="wps">
            <w:drawing>
              <wp:anchor distT="0" distB="0" distL="114300" distR="114300" simplePos="0" relativeHeight="251675648" behindDoc="0" locked="0" layoutInCell="0" allowOverlap="1">
                <wp:simplePos x="0" y="0"/>
                <wp:positionH relativeFrom="page">
                  <wp:posOffset>899795</wp:posOffset>
                </wp:positionH>
                <wp:positionV relativeFrom="page">
                  <wp:posOffset>9566910</wp:posOffset>
                </wp:positionV>
                <wp:extent cx="1828800" cy="0"/>
                <wp:effectExtent l="4445" t="4445" r="5080" b="5080"/>
                <wp:wrapNone/>
                <wp:docPr id="94" name="任意多边形 94"/>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3.3pt;height:0pt;width:144pt;mso-position-horizontal-relative:page;mso-position-vertical-relative:page;z-index:251675648;mso-width-relative:page;mso-height-relative:page;" filled="f" stroked="t" coordsize="2880,1" o:allowincell="f" o:gfxdata="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jNnCdcAAAANAQAADwAAAAAAAAABACAAAAAiAAAAZHJzL2Rvd25yZXYueG1sUEsBAhQAFAAA&#10;AAgAh07iQDTQVtIpAgAAiQQAAA4AAAAAAAAAAQAgAAAAJgEAAGRycy9lMm9Eb2MueG1sUEsFBgAA&#10;AAAGAAYAWQEAAMEFAAAAAA==&#10;" path="m0,0l2880,0e">
                <v:fill on="f" focussize="0,0"/>
                <v:stroke weight="0pt" color="#000000" joinstyle="bevel" endcap="square"/>
                <v:imagedata o:title=""/>
                <o:lock v:ext="edit" aspectratio="f"/>
              </v:shape>
            </w:pict>
          </mc:Fallback>
        </mc:AlternateContent>
      </w:r>
    </w:p>
    <w:p>
      <w:pPr>
        <w:spacing w:before="98" w:line="219" w:lineRule="auto"/>
        <w:ind w:left="167"/>
        <w:rPr>
          <w:rFonts w:ascii="宋体" w:hAnsi="宋体" w:eastAsia="宋体" w:cs="宋体"/>
          <w:spacing w:val="-9"/>
          <w:sz w:val="30"/>
          <w:szCs w:val="30"/>
          <w14:textOutline w14:w="5448" w14:cap="sq" w14:cmpd="sng">
            <w14:solidFill>
              <w14:srgbClr w14:val="000000"/>
            </w14:solidFill>
            <w14:prstDash w14:val="solid"/>
            <w14:bevel/>
          </w14:textOutline>
        </w:rPr>
      </w:pPr>
    </w:p>
    <w:p>
      <w:pPr>
        <w:spacing w:before="98" w:line="219" w:lineRule="auto"/>
        <w:ind w:left="167"/>
        <w:rPr>
          <w:rFonts w:ascii="宋体" w:hAnsi="宋体" w:eastAsia="宋体" w:cs="宋体"/>
          <w:spacing w:val="-9"/>
          <w:sz w:val="30"/>
          <w:szCs w:val="30"/>
          <w14:textOutline w14:w="5448" w14:cap="sq" w14:cmpd="sng">
            <w14:solidFill>
              <w14:srgbClr w14:val="000000"/>
            </w14:solidFill>
            <w14:prstDash w14:val="solid"/>
            <w14:bevel/>
          </w14:textOutline>
        </w:rPr>
      </w:pPr>
    </w:p>
    <w:p>
      <w:pPr>
        <w:spacing w:before="98" w:line="219" w:lineRule="auto"/>
        <w:ind w:left="167"/>
        <w:rPr>
          <w:rFonts w:ascii="宋体" w:hAnsi="宋体" w:eastAsia="宋体" w:cs="宋体"/>
          <w:spacing w:val="-9"/>
          <w:sz w:val="30"/>
          <w:szCs w:val="30"/>
          <w14:textOutline w14:w="5448" w14:cap="sq" w14:cmpd="sng">
            <w14:solidFill>
              <w14:srgbClr w14:val="000000"/>
            </w14:solidFill>
            <w14:prstDash w14:val="solid"/>
            <w14:bevel/>
          </w14:textOutline>
        </w:rPr>
      </w:pPr>
    </w:p>
    <w:p>
      <w:pPr>
        <w:spacing w:before="98" w:line="219" w:lineRule="auto"/>
        <w:ind w:left="167"/>
        <w:rPr>
          <w:rFonts w:ascii="宋体" w:hAnsi="宋体" w:eastAsia="宋体" w:cs="宋体"/>
          <w:spacing w:val="-9"/>
          <w:sz w:val="30"/>
          <w:szCs w:val="30"/>
          <w14:textOutline w14:w="5448" w14:cap="sq" w14:cmpd="sng">
            <w14:solidFill>
              <w14:srgbClr w14:val="000000"/>
            </w14:solidFill>
            <w14:prstDash w14:val="solid"/>
            <w14:bevel/>
          </w14:textOutline>
        </w:rPr>
      </w:pPr>
    </w:p>
    <w:p>
      <w:pPr>
        <w:spacing w:before="98" w:line="219" w:lineRule="auto"/>
        <w:ind w:left="167"/>
        <w:rPr>
          <w:rFonts w:ascii="宋体" w:hAnsi="宋体" w:eastAsia="宋体" w:cs="宋体"/>
          <w:sz w:val="30"/>
          <w:szCs w:val="30"/>
        </w:rPr>
      </w:pPr>
      <w:r>
        <w:rPr>
          <w:rFonts w:ascii="宋体" w:hAnsi="宋体" w:eastAsia="宋体" w:cs="宋体"/>
          <w:spacing w:val="-9"/>
          <w:sz w:val="30"/>
          <w:szCs w:val="30"/>
          <w14:textOutline w14:w="5448" w14:cap="sq" w14:cmpd="sng">
            <w14:solidFill>
              <w14:srgbClr w14:val="000000"/>
            </w14:solidFill>
            <w14:prstDash w14:val="solid"/>
            <w14:bevel/>
          </w14:textOutline>
        </w:rPr>
        <w:t>附件九：</w:t>
      </w:r>
    </w:p>
    <w:p>
      <w:pPr>
        <w:spacing w:before="227" w:line="219" w:lineRule="auto"/>
        <w:ind w:left="3022"/>
        <w:rPr>
          <w:rFonts w:ascii="宋体" w:hAnsi="宋体" w:eastAsia="宋体" w:cs="宋体"/>
          <w:sz w:val="30"/>
          <w:szCs w:val="30"/>
        </w:rPr>
      </w:pPr>
      <w:r>
        <w:rPr>
          <w:rFonts w:ascii="宋体" w:hAnsi="宋体" w:eastAsia="宋体" w:cs="宋体"/>
          <w:sz w:val="30"/>
          <w:szCs w:val="30"/>
          <w14:textOutline w14:w="5448" w14:cap="sq" w14:cmpd="sng">
            <w14:solidFill>
              <w14:srgbClr w14:val="000000"/>
            </w14:solidFill>
            <w14:prstDash w14:val="solid"/>
            <w14:bevel/>
          </w14:textOutline>
        </w:rPr>
        <w:t>特殊材料设备供应一览表</w:t>
      </w:r>
    </w:p>
    <w:p>
      <w:pPr>
        <w:spacing w:before="55"/>
      </w:pPr>
    </w:p>
    <w:p>
      <w:pPr>
        <w:spacing w:before="54"/>
      </w:pPr>
    </w:p>
    <w:tbl>
      <w:tblPr>
        <w:tblStyle w:val="16"/>
        <w:tblW w:w="93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1355"/>
        <w:gridCol w:w="636"/>
        <w:gridCol w:w="636"/>
        <w:gridCol w:w="2555"/>
        <w:gridCol w:w="876"/>
        <w:gridCol w:w="875"/>
        <w:gridCol w:w="875"/>
        <w:gridCol w:w="8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640" w:type="dxa"/>
            <w:textDirection w:val="tbRlV"/>
            <w:vAlign w:val="top"/>
          </w:tcPr>
          <w:p>
            <w:pPr>
              <w:pStyle w:val="17"/>
              <w:spacing w:before="213" w:line="218" w:lineRule="auto"/>
              <w:ind w:left="34"/>
              <w:rPr>
                <w:sz w:val="20"/>
                <w:szCs w:val="20"/>
              </w:rPr>
            </w:pPr>
            <w:r>
              <w:rPr>
                <w:spacing w:val="8"/>
                <w:sz w:val="20"/>
                <w:szCs w:val="20"/>
              </w:rPr>
              <w:t>序</w:t>
            </w:r>
            <w:r>
              <w:rPr>
                <w:spacing w:val="99"/>
                <w:sz w:val="20"/>
                <w:szCs w:val="20"/>
              </w:rPr>
              <w:t xml:space="preserve"> </w:t>
            </w:r>
            <w:r>
              <w:rPr>
                <w:spacing w:val="8"/>
                <w:sz w:val="20"/>
                <w:szCs w:val="20"/>
              </w:rPr>
              <w:t>号</w:t>
            </w:r>
          </w:p>
        </w:tc>
        <w:tc>
          <w:tcPr>
            <w:tcW w:w="1355" w:type="dxa"/>
            <w:vAlign w:val="top"/>
          </w:tcPr>
          <w:p>
            <w:pPr>
              <w:pStyle w:val="17"/>
              <w:spacing w:before="34" w:line="408" w:lineRule="exact"/>
              <w:ind w:left="261"/>
              <w:rPr>
                <w:sz w:val="20"/>
                <w:szCs w:val="20"/>
              </w:rPr>
            </w:pPr>
            <w:r>
              <w:rPr>
                <w:spacing w:val="7"/>
                <w:position w:val="15"/>
                <w:sz w:val="20"/>
                <w:szCs w:val="20"/>
              </w:rPr>
              <w:t>材料品种</w:t>
            </w:r>
          </w:p>
          <w:p>
            <w:pPr>
              <w:pStyle w:val="17"/>
              <w:spacing w:line="229" w:lineRule="auto"/>
              <w:ind w:left="158"/>
              <w:rPr>
                <w:sz w:val="20"/>
                <w:szCs w:val="20"/>
              </w:rPr>
            </w:pPr>
            <w:r>
              <w:rPr>
                <w:spacing w:val="7"/>
                <w:sz w:val="20"/>
                <w:szCs w:val="20"/>
              </w:rPr>
              <w:t>或设备型号</w:t>
            </w:r>
          </w:p>
        </w:tc>
        <w:tc>
          <w:tcPr>
            <w:tcW w:w="636" w:type="dxa"/>
            <w:textDirection w:val="tbRlV"/>
            <w:vAlign w:val="top"/>
          </w:tcPr>
          <w:p>
            <w:pPr>
              <w:pStyle w:val="17"/>
              <w:spacing w:before="213" w:line="216" w:lineRule="auto"/>
              <w:ind w:left="34"/>
              <w:rPr>
                <w:sz w:val="20"/>
                <w:szCs w:val="20"/>
              </w:rPr>
            </w:pPr>
            <w:r>
              <w:rPr>
                <w:spacing w:val="8"/>
                <w:sz w:val="20"/>
                <w:szCs w:val="20"/>
              </w:rPr>
              <w:t>单</w:t>
            </w:r>
            <w:r>
              <w:rPr>
                <w:spacing w:val="99"/>
                <w:sz w:val="20"/>
                <w:szCs w:val="20"/>
              </w:rPr>
              <w:t xml:space="preserve"> </w:t>
            </w:r>
            <w:r>
              <w:rPr>
                <w:spacing w:val="8"/>
                <w:sz w:val="20"/>
                <w:szCs w:val="20"/>
              </w:rPr>
              <w:t>位</w:t>
            </w:r>
          </w:p>
        </w:tc>
        <w:tc>
          <w:tcPr>
            <w:tcW w:w="636" w:type="dxa"/>
            <w:textDirection w:val="tbRlV"/>
            <w:vAlign w:val="top"/>
          </w:tcPr>
          <w:p>
            <w:pPr>
              <w:pStyle w:val="17"/>
              <w:spacing w:before="212" w:line="216" w:lineRule="auto"/>
              <w:ind w:left="34"/>
              <w:rPr>
                <w:sz w:val="20"/>
                <w:szCs w:val="20"/>
              </w:rPr>
            </w:pPr>
            <w:r>
              <w:rPr>
                <w:spacing w:val="8"/>
                <w:sz w:val="20"/>
                <w:szCs w:val="20"/>
              </w:rPr>
              <w:t>数</w:t>
            </w:r>
            <w:r>
              <w:rPr>
                <w:spacing w:val="99"/>
                <w:sz w:val="20"/>
                <w:szCs w:val="20"/>
              </w:rPr>
              <w:t xml:space="preserve"> </w:t>
            </w:r>
            <w:r>
              <w:rPr>
                <w:spacing w:val="8"/>
                <w:sz w:val="20"/>
                <w:szCs w:val="20"/>
              </w:rPr>
              <w:t>量</w:t>
            </w:r>
          </w:p>
        </w:tc>
        <w:tc>
          <w:tcPr>
            <w:tcW w:w="2555" w:type="dxa"/>
            <w:vAlign w:val="top"/>
          </w:tcPr>
          <w:p>
            <w:pPr>
              <w:pStyle w:val="17"/>
              <w:spacing w:before="188" w:line="447" w:lineRule="exact"/>
              <w:ind w:left="282"/>
              <w:rPr>
                <w:sz w:val="12"/>
                <w:szCs w:val="12"/>
              </w:rPr>
            </w:pPr>
            <w:r>
              <w:rPr>
                <w:spacing w:val="7"/>
                <w:position w:val="4"/>
                <w:sz w:val="20"/>
                <w:szCs w:val="20"/>
              </w:rPr>
              <w:t>到达工地价格（元）</w:t>
            </w:r>
            <w:r>
              <w:fldChar w:fldCharType="begin"/>
            </w:r>
            <w:r>
              <w:instrText xml:space="preserve"> HYPERLINK \l "bookmark169" </w:instrText>
            </w:r>
            <w:r>
              <w:fldChar w:fldCharType="separate"/>
            </w:r>
            <w:r>
              <w:rPr>
                <w:spacing w:val="7"/>
                <w:position w:val="15"/>
                <w:sz w:val="12"/>
                <w:szCs w:val="12"/>
              </w:rPr>
              <w:t>①</w:t>
            </w:r>
            <w:r>
              <w:rPr>
                <w:spacing w:val="7"/>
                <w:position w:val="15"/>
                <w:sz w:val="12"/>
                <w:szCs w:val="12"/>
              </w:rPr>
              <w:fldChar w:fldCharType="end"/>
            </w:r>
          </w:p>
        </w:tc>
        <w:tc>
          <w:tcPr>
            <w:tcW w:w="876" w:type="dxa"/>
            <w:vAlign w:val="top"/>
          </w:tcPr>
          <w:p>
            <w:pPr>
              <w:pStyle w:val="17"/>
              <w:spacing w:before="34" w:line="408" w:lineRule="exact"/>
              <w:ind w:left="235"/>
              <w:rPr>
                <w:sz w:val="20"/>
                <w:szCs w:val="20"/>
              </w:rPr>
            </w:pPr>
            <w:r>
              <w:rPr>
                <w:spacing w:val="4"/>
                <w:position w:val="15"/>
                <w:sz w:val="20"/>
                <w:szCs w:val="20"/>
              </w:rPr>
              <w:t>质量</w:t>
            </w:r>
          </w:p>
          <w:p>
            <w:pPr>
              <w:pStyle w:val="17"/>
              <w:spacing w:line="227" w:lineRule="auto"/>
              <w:ind w:left="236"/>
              <w:rPr>
                <w:sz w:val="20"/>
                <w:szCs w:val="20"/>
              </w:rPr>
            </w:pPr>
            <w:r>
              <w:rPr>
                <w:spacing w:val="3"/>
                <w:sz w:val="20"/>
                <w:szCs w:val="20"/>
              </w:rPr>
              <w:t>等级</w:t>
            </w:r>
          </w:p>
        </w:tc>
        <w:tc>
          <w:tcPr>
            <w:tcW w:w="875" w:type="dxa"/>
            <w:vAlign w:val="top"/>
          </w:tcPr>
          <w:p>
            <w:pPr>
              <w:pStyle w:val="17"/>
              <w:spacing w:before="34" w:line="408" w:lineRule="exact"/>
              <w:ind w:left="234"/>
              <w:rPr>
                <w:sz w:val="20"/>
                <w:szCs w:val="20"/>
              </w:rPr>
            </w:pPr>
            <w:r>
              <w:rPr>
                <w:spacing w:val="4"/>
                <w:position w:val="15"/>
                <w:sz w:val="20"/>
                <w:szCs w:val="20"/>
              </w:rPr>
              <w:t>供应</w:t>
            </w:r>
          </w:p>
          <w:p>
            <w:pPr>
              <w:pStyle w:val="17"/>
              <w:spacing w:line="229" w:lineRule="auto"/>
              <w:ind w:left="244"/>
              <w:rPr>
                <w:sz w:val="20"/>
                <w:szCs w:val="20"/>
              </w:rPr>
            </w:pPr>
            <w:r>
              <w:rPr>
                <w:spacing w:val="-1"/>
                <w:sz w:val="20"/>
                <w:szCs w:val="20"/>
              </w:rPr>
              <w:t>时间</w:t>
            </w:r>
          </w:p>
        </w:tc>
        <w:tc>
          <w:tcPr>
            <w:tcW w:w="875" w:type="dxa"/>
            <w:vAlign w:val="top"/>
          </w:tcPr>
          <w:p>
            <w:pPr>
              <w:pStyle w:val="17"/>
              <w:spacing w:before="34" w:line="408" w:lineRule="exact"/>
              <w:ind w:left="234"/>
              <w:rPr>
                <w:sz w:val="20"/>
                <w:szCs w:val="20"/>
              </w:rPr>
            </w:pPr>
            <w:r>
              <w:rPr>
                <w:spacing w:val="5"/>
                <w:position w:val="15"/>
                <w:sz w:val="20"/>
                <w:szCs w:val="20"/>
              </w:rPr>
              <w:t>送达</w:t>
            </w:r>
          </w:p>
          <w:p>
            <w:pPr>
              <w:pStyle w:val="17"/>
              <w:spacing w:line="228" w:lineRule="auto"/>
              <w:ind w:left="235"/>
              <w:rPr>
                <w:sz w:val="20"/>
                <w:szCs w:val="20"/>
              </w:rPr>
            </w:pPr>
            <w:r>
              <w:rPr>
                <w:spacing w:val="4"/>
                <w:sz w:val="20"/>
                <w:szCs w:val="20"/>
              </w:rPr>
              <w:t>地点</w:t>
            </w:r>
          </w:p>
        </w:tc>
        <w:tc>
          <w:tcPr>
            <w:tcW w:w="880" w:type="dxa"/>
            <w:vAlign w:val="top"/>
          </w:tcPr>
          <w:p>
            <w:pPr>
              <w:pStyle w:val="17"/>
              <w:spacing w:before="238" w:line="229" w:lineRule="auto"/>
              <w:ind w:left="239"/>
              <w:rPr>
                <w:sz w:val="20"/>
                <w:szCs w:val="20"/>
              </w:rPr>
            </w:pPr>
            <w:r>
              <w:rPr>
                <w:spacing w:val="3"/>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bl>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59" w:line="220" w:lineRule="auto"/>
        <w:ind w:left="139"/>
        <w:rPr>
          <w:rFonts w:ascii="宋体" w:hAnsi="宋体" w:eastAsia="宋体" w:cs="宋体"/>
          <w:sz w:val="18"/>
          <w:szCs w:val="18"/>
        </w:rPr>
      </w:pPr>
      <w:r>
        <w:rPr>
          <w:rFonts w:ascii="宋体" w:hAnsi="宋体" w:eastAsia="宋体" w:cs="宋体"/>
          <w:spacing w:val="-1"/>
          <w:sz w:val="18"/>
          <w:szCs w:val="18"/>
        </w:rPr>
        <w:t>①到达工地价格应明确是否含税。</w:t>
      </w:r>
    </w:p>
    <w:p>
      <w:pPr>
        <w:spacing w:line="413" w:lineRule="auto"/>
        <w:rPr>
          <w:rFonts w:ascii="Arial"/>
          <w:sz w:val="21"/>
        </w:rPr>
      </w:pPr>
      <w:r>
        <mc:AlternateContent>
          <mc:Choice Requires="wps">
            <w:drawing>
              <wp:anchor distT="0" distB="0" distL="114300" distR="114300" simplePos="0" relativeHeight="251676672" behindDoc="0" locked="0" layoutInCell="0" allowOverlap="1">
                <wp:simplePos x="0" y="0"/>
                <wp:positionH relativeFrom="page">
                  <wp:posOffset>899795</wp:posOffset>
                </wp:positionH>
                <wp:positionV relativeFrom="page">
                  <wp:posOffset>9566910</wp:posOffset>
                </wp:positionV>
                <wp:extent cx="1828800" cy="0"/>
                <wp:effectExtent l="4445" t="4445" r="5080" b="5080"/>
                <wp:wrapNone/>
                <wp:docPr id="95" name="任意多边形 95"/>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3.3pt;height:0pt;width:144pt;mso-position-horizontal-relative:page;mso-position-vertical-relative:page;z-index:251676672;mso-width-relative:page;mso-height-relative:page;" filled="f" stroked="t" coordsize="2880,1" o:allowincell="f" o:gfxdata="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jNnCdcAAAANAQAADwAAAAAAAAABACAAAAAiAAAAZHJzL2Rvd25yZXYueG1sUEsBAhQAFAAA&#10;AAgAh07iQEqQpRcpAgAAiQQAAA4AAAAAAAAAAQAgAAAAJgEAAGRycy9lMm9Eb2MueG1sUEsFBgAA&#10;AAAGAAYAWQEAAMEFAAAAAA==&#10;" path="m0,0l2880,0e">
                <v:fill on="f" focussize="0,0"/>
                <v:stroke weight="0pt" color="#000000" joinstyle="bevel" endcap="square"/>
                <v:imagedata o:title=""/>
                <o:lock v:ext="edit" aspectratio="f"/>
              </v:shape>
            </w:pict>
          </mc:Fallback>
        </mc:AlternateContent>
      </w:r>
    </w:p>
    <w:p>
      <w:pPr>
        <w:spacing w:before="98" w:line="219" w:lineRule="auto"/>
        <w:ind w:left="167"/>
        <w:rPr>
          <w:rFonts w:ascii="宋体" w:hAnsi="宋体" w:eastAsia="宋体" w:cs="宋体"/>
          <w:sz w:val="30"/>
          <w:szCs w:val="30"/>
        </w:rPr>
      </w:pPr>
      <w:r>
        <w:rPr>
          <w:rFonts w:ascii="宋体" w:hAnsi="宋体" w:eastAsia="宋体" w:cs="宋体"/>
          <w:spacing w:val="-9"/>
          <w:sz w:val="30"/>
          <w:szCs w:val="30"/>
          <w14:textOutline w14:w="5448" w14:cap="sq" w14:cmpd="sng">
            <w14:solidFill>
              <w14:srgbClr w14:val="000000"/>
            </w14:solidFill>
            <w14:prstDash w14:val="solid"/>
            <w14:bevel/>
          </w14:textOutline>
        </w:rPr>
        <w:t>附件十：</w:t>
      </w:r>
    </w:p>
    <w:p>
      <w:pPr>
        <w:spacing w:before="227" w:line="219" w:lineRule="auto"/>
        <w:ind w:left="3029"/>
        <w:rPr>
          <w:rFonts w:ascii="宋体" w:hAnsi="宋体" w:eastAsia="宋体" w:cs="宋体"/>
          <w:sz w:val="30"/>
          <w:szCs w:val="30"/>
        </w:rPr>
      </w:pPr>
      <w:r>
        <w:rPr>
          <w:rFonts w:ascii="宋体" w:hAnsi="宋体" w:eastAsia="宋体" w:cs="宋体"/>
          <w:spacing w:val="-1"/>
          <w:sz w:val="30"/>
          <w:szCs w:val="30"/>
          <w14:textOutline w14:w="5448" w14:cap="sq" w14:cmpd="sng">
            <w14:solidFill>
              <w14:srgbClr w14:val="000000"/>
            </w14:solidFill>
            <w14:prstDash w14:val="solid"/>
            <w14:bevel/>
          </w14:textOutline>
        </w:rPr>
        <w:t>统一采购供应材料一览表</w:t>
      </w:r>
    </w:p>
    <w:p>
      <w:pPr>
        <w:spacing w:before="55"/>
      </w:pPr>
    </w:p>
    <w:p>
      <w:pPr>
        <w:spacing w:before="54"/>
      </w:pPr>
    </w:p>
    <w:tbl>
      <w:tblPr>
        <w:tblStyle w:val="16"/>
        <w:tblW w:w="93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1355"/>
        <w:gridCol w:w="636"/>
        <w:gridCol w:w="636"/>
        <w:gridCol w:w="2555"/>
        <w:gridCol w:w="876"/>
        <w:gridCol w:w="875"/>
        <w:gridCol w:w="875"/>
        <w:gridCol w:w="8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640" w:type="dxa"/>
            <w:textDirection w:val="tbRlV"/>
            <w:vAlign w:val="top"/>
          </w:tcPr>
          <w:p>
            <w:pPr>
              <w:pStyle w:val="17"/>
              <w:spacing w:before="213" w:line="218" w:lineRule="auto"/>
              <w:ind w:left="34"/>
              <w:rPr>
                <w:sz w:val="20"/>
                <w:szCs w:val="20"/>
              </w:rPr>
            </w:pPr>
            <w:r>
              <w:rPr>
                <w:spacing w:val="8"/>
                <w:sz w:val="20"/>
                <w:szCs w:val="20"/>
              </w:rPr>
              <w:t>序</w:t>
            </w:r>
            <w:r>
              <w:rPr>
                <w:spacing w:val="99"/>
                <w:sz w:val="20"/>
                <w:szCs w:val="20"/>
              </w:rPr>
              <w:t xml:space="preserve"> </w:t>
            </w:r>
            <w:r>
              <w:rPr>
                <w:spacing w:val="8"/>
                <w:sz w:val="20"/>
                <w:szCs w:val="20"/>
              </w:rPr>
              <w:t>号</w:t>
            </w:r>
          </w:p>
        </w:tc>
        <w:tc>
          <w:tcPr>
            <w:tcW w:w="1355" w:type="dxa"/>
            <w:vAlign w:val="top"/>
          </w:tcPr>
          <w:p>
            <w:pPr>
              <w:pStyle w:val="17"/>
              <w:spacing w:before="34" w:line="408" w:lineRule="exact"/>
              <w:ind w:left="261"/>
              <w:rPr>
                <w:sz w:val="20"/>
                <w:szCs w:val="20"/>
              </w:rPr>
            </w:pPr>
            <w:r>
              <w:rPr>
                <w:spacing w:val="7"/>
                <w:position w:val="15"/>
                <w:sz w:val="20"/>
                <w:szCs w:val="20"/>
              </w:rPr>
              <w:t>材料品种</w:t>
            </w:r>
          </w:p>
          <w:p>
            <w:pPr>
              <w:pStyle w:val="17"/>
              <w:spacing w:line="229" w:lineRule="auto"/>
              <w:ind w:left="158"/>
              <w:rPr>
                <w:sz w:val="20"/>
                <w:szCs w:val="20"/>
              </w:rPr>
            </w:pPr>
            <w:r>
              <w:rPr>
                <w:spacing w:val="7"/>
                <w:sz w:val="20"/>
                <w:szCs w:val="20"/>
              </w:rPr>
              <w:t>或设备型号</w:t>
            </w:r>
          </w:p>
        </w:tc>
        <w:tc>
          <w:tcPr>
            <w:tcW w:w="636" w:type="dxa"/>
            <w:textDirection w:val="tbRlV"/>
            <w:vAlign w:val="top"/>
          </w:tcPr>
          <w:p>
            <w:pPr>
              <w:pStyle w:val="17"/>
              <w:spacing w:before="213" w:line="216" w:lineRule="auto"/>
              <w:ind w:left="34"/>
              <w:rPr>
                <w:sz w:val="20"/>
                <w:szCs w:val="20"/>
              </w:rPr>
            </w:pPr>
            <w:r>
              <w:rPr>
                <w:spacing w:val="8"/>
                <w:sz w:val="20"/>
                <w:szCs w:val="20"/>
              </w:rPr>
              <w:t>单</w:t>
            </w:r>
            <w:r>
              <w:rPr>
                <w:spacing w:val="99"/>
                <w:sz w:val="20"/>
                <w:szCs w:val="20"/>
              </w:rPr>
              <w:t xml:space="preserve"> </w:t>
            </w:r>
            <w:r>
              <w:rPr>
                <w:spacing w:val="8"/>
                <w:sz w:val="20"/>
                <w:szCs w:val="20"/>
              </w:rPr>
              <w:t>位</w:t>
            </w:r>
          </w:p>
        </w:tc>
        <w:tc>
          <w:tcPr>
            <w:tcW w:w="636" w:type="dxa"/>
            <w:textDirection w:val="tbRlV"/>
            <w:vAlign w:val="top"/>
          </w:tcPr>
          <w:p>
            <w:pPr>
              <w:pStyle w:val="17"/>
              <w:spacing w:before="212" w:line="216" w:lineRule="auto"/>
              <w:ind w:left="34"/>
              <w:rPr>
                <w:sz w:val="20"/>
                <w:szCs w:val="20"/>
              </w:rPr>
            </w:pPr>
            <w:r>
              <w:rPr>
                <w:spacing w:val="8"/>
                <w:sz w:val="20"/>
                <w:szCs w:val="20"/>
              </w:rPr>
              <w:t>数</w:t>
            </w:r>
            <w:r>
              <w:rPr>
                <w:spacing w:val="99"/>
                <w:sz w:val="20"/>
                <w:szCs w:val="20"/>
              </w:rPr>
              <w:t xml:space="preserve"> </w:t>
            </w:r>
            <w:r>
              <w:rPr>
                <w:spacing w:val="8"/>
                <w:sz w:val="20"/>
                <w:szCs w:val="20"/>
              </w:rPr>
              <w:t>量</w:t>
            </w:r>
          </w:p>
        </w:tc>
        <w:tc>
          <w:tcPr>
            <w:tcW w:w="2555" w:type="dxa"/>
            <w:vAlign w:val="top"/>
          </w:tcPr>
          <w:p>
            <w:pPr>
              <w:pStyle w:val="17"/>
              <w:spacing w:before="188" w:line="447" w:lineRule="exact"/>
              <w:ind w:left="282"/>
              <w:rPr>
                <w:sz w:val="12"/>
                <w:szCs w:val="12"/>
              </w:rPr>
            </w:pPr>
            <w:r>
              <w:rPr>
                <w:spacing w:val="7"/>
                <w:position w:val="4"/>
                <w:sz w:val="20"/>
                <w:szCs w:val="20"/>
              </w:rPr>
              <w:t>到达工地价格（元）</w:t>
            </w:r>
            <w:r>
              <w:fldChar w:fldCharType="begin"/>
            </w:r>
            <w:r>
              <w:instrText xml:space="preserve"> HYPERLINK \l "bookmark170" </w:instrText>
            </w:r>
            <w:r>
              <w:fldChar w:fldCharType="separate"/>
            </w:r>
            <w:r>
              <w:rPr>
                <w:spacing w:val="7"/>
                <w:position w:val="15"/>
                <w:sz w:val="12"/>
                <w:szCs w:val="12"/>
              </w:rPr>
              <w:t>①</w:t>
            </w:r>
            <w:r>
              <w:rPr>
                <w:spacing w:val="7"/>
                <w:position w:val="15"/>
                <w:sz w:val="12"/>
                <w:szCs w:val="12"/>
              </w:rPr>
              <w:fldChar w:fldCharType="end"/>
            </w:r>
          </w:p>
        </w:tc>
        <w:tc>
          <w:tcPr>
            <w:tcW w:w="876" w:type="dxa"/>
            <w:vAlign w:val="top"/>
          </w:tcPr>
          <w:p>
            <w:pPr>
              <w:pStyle w:val="17"/>
              <w:spacing w:before="34" w:line="408" w:lineRule="exact"/>
              <w:ind w:left="235"/>
              <w:rPr>
                <w:sz w:val="20"/>
                <w:szCs w:val="20"/>
              </w:rPr>
            </w:pPr>
            <w:r>
              <w:rPr>
                <w:spacing w:val="4"/>
                <w:position w:val="15"/>
                <w:sz w:val="20"/>
                <w:szCs w:val="20"/>
              </w:rPr>
              <w:t>质量</w:t>
            </w:r>
          </w:p>
          <w:p>
            <w:pPr>
              <w:pStyle w:val="17"/>
              <w:spacing w:line="227" w:lineRule="auto"/>
              <w:ind w:left="236"/>
              <w:rPr>
                <w:sz w:val="20"/>
                <w:szCs w:val="20"/>
              </w:rPr>
            </w:pPr>
            <w:r>
              <w:rPr>
                <w:spacing w:val="3"/>
                <w:sz w:val="20"/>
                <w:szCs w:val="20"/>
              </w:rPr>
              <w:t>等级</w:t>
            </w:r>
          </w:p>
        </w:tc>
        <w:tc>
          <w:tcPr>
            <w:tcW w:w="875" w:type="dxa"/>
            <w:vAlign w:val="top"/>
          </w:tcPr>
          <w:p>
            <w:pPr>
              <w:pStyle w:val="17"/>
              <w:spacing w:before="34" w:line="408" w:lineRule="exact"/>
              <w:ind w:left="234"/>
              <w:rPr>
                <w:sz w:val="20"/>
                <w:szCs w:val="20"/>
              </w:rPr>
            </w:pPr>
            <w:r>
              <w:rPr>
                <w:spacing w:val="4"/>
                <w:position w:val="15"/>
                <w:sz w:val="20"/>
                <w:szCs w:val="20"/>
              </w:rPr>
              <w:t>供应</w:t>
            </w:r>
          </w:p>
          <w:p>
            <w:pPr>
              <w:pStyle w:val="17"/>
              <w:spacing w:line="229" w:lineRule="auto"/>
              <w:ind w:left="244"/>
              <w:rPr>
                <w:sz w:val="20"/>
                <w:szCs w:val="20"/>
              </w:rPr>
            </w:pPr>
            <w:r>
              <w:rPr>
                <w:spacing w:val="-1"/>
                <w:sz w:val="20"/>
                <w:szCs w:val="20"/>
              </w:rPr>
              <w:t>时间</w:t>
            </w:r>
          </w:p>
        </w:tc>
        <w:tc>
          <w:tcPr>
            <w:tcW w:w="875" w:type="dxa"/>
            <w:vAlign w:val="top"/>
          </w:tcPr>
          <w:p>
            <w:pPr>
              <w:pStyle w:val="17"/>
              <w:spacing w:before="34" w:line="408" w:lineRule="exact"/>
              <w:ind w:left="234"/>
              <w:rPr>
                <w:sz w:val="20"/>
                <w:szCs w:val="20"/>
              </w:rPr>
            </w:pPr>
            <w:r>
              <w:rPr>
                <w:spacing w:val="5"/>
                <w:position w:val="15"/>
                <w:sz w:val="20"/>
                <w:szCs w:val="20"/>
              </w:rPr>
              <w:t>送达</w:t>
            </w:r>
          </w:p>
          <w:p>
            <w:pPr>
              <w:pStyle w:val="17"/>
              <w:spacing w:line="228" w:lineRule="auto"/>
              <w:ind w:left="235"/>
              <w:rPr>
                <w:sz w:val="20"/>
                <w:szCs w:val="20"/>
              </w:rPr>
            </w:pPr>
            <w:r>
              <w:rPr>
                <w:spacing w:val="4"/>
                <w:sz w:val="20"/>
                <w:szCs w:val="20"/>
              </w:rPr>
              <w:t>地点</w:t>
            </w:r>
          </w:p>
        </w:tc>
        <w:tc>
          <w:tcPr>
            <w:tcW w:w="880" w:type="dxa"/>
            <w:vAlign w:val="top"/>
          </w:tcPr>
          <w:p>
            <w:pPr>
              <w:pStyle w:val="17"/>
              <w:spacing w:before="238" w:line="229" w:lineRule="auto"/>
              <w:ind w:left="239"/>
              <w:rPr>
                <w:sz w:val="20"/>
                <w:szCs w:val="20"/>
              </w:rPr>
            </w:pPr>
            <w:r>
              <w:rPr>
                <w:spacing w:val="3"/>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40" w:type="dxa"/>
            <w:vAlign w:val="top"/>
          </w:tcPr>
          <w:p>
            <w:pPr>
              <w:rPr>
                <w:rFonts w:ascii="Arial"/>
                <w:sz w:val="21"/>
              </w:rPr>
            </w:pPr>
          </w:p>
        </w:tc>
        <w:tc>
          <w:tcPr>
            <w:tcW w:w="1355" w:type="dxa"/>
            <w:vAlign w:val="top"/>
          </w:tcPr>
          <w:p>
            <w:pPr>
              <w:rPr>
                <w:rFonts w:ascii="Arial"/>
                <w:sz w:val="21"/>
              </w:rPr>
            </w:pPr>
          </w:p>
        </w:tc>
        <w:tc>
          <w:tcPr>
            <w:tcW w:w="636" w:type="dxa"/>
            <w:vAlign w:val="top"/>
          </w:tcPr>
          <w:p>
            <w:pPr>
              <w:rPr>
                <w:rFonts w:ascii="Arial"/>
                <w:sz w:val="21"/>
              </w:rPr>
            </w:pPr>
          </w:p>
        </w:tc>
        <w:tc>
          <w:tcPr>
            <w:tcW w:w="636" w:type="dxa"/>
            <w:vAlign w:val="top"/>
          </w:tcPr>
          <w:p>
            <w:pPr>
              <w:rPr>
                <w:rFonts w:ascii="Arial"/>
                <w:sz w:val="21"/>
              </w:rPr>
            </w:pPr>
          </w:p>
        </w:tc>
        <w:tc>
          <w:tcPr>
            <w:tcW w:w="2555" w:type="dxa"/>
            <w:vAlign w:val="top"/>
          </w:tcPr>
          <w:p>
            <w:pPr>
              <w:rPr>
                <w:rFonts w:ascii="Arial"/>
                <w:sz w:val="21"/>
              </w:rPr>
            </w:pPr>
          </w:p>
        </w:tc>
        <w:tc>
          <w:tcPr>
            <w:tcW w:w="876" w:type="dxa"/>
            <w:vAlign w:val="top"/>
          </w:tcPr>
          <w:p>
            <w:pPr>
              <w:rPr>
                <w:rFonts w:ascii="Arial"/>
                <w:sz w:val="21"/>
              </w:rPr>
            </w:pPr>
          </w:p>
        </w:tc>
        <w:tc>
          <w:tcPr>
            <w:tcW w:w="875" w:type="dxa"/>
            <w:vAlign w:val="top"/>
          </w:tcPr>
          <w:p>
            <w:pPr>
              <w:rPr>
                <w:rFonts w:ascii="Arial"/>
                <w:sz w:val="21"/>
              </w:rPr>
            </w:pPr>
          </w:p>
        </w:tc>
        <w:tc>
          <w:tcPr>
            <w:tcW w:w="875" w:type="dxa"/>
            <w:vAlign w:val="top"/>
          </w:tcPr>
          <w:p>
            <w:pPr>
              <w:rPr>
                <w:rFonts w:ascii="Arial"/>
                <w:sz w:val="21"/>
              </w:rPr>
            </w:pPr>
          </w:p>
        </w:tc>
        <w:tc>
          <w:tcPr>
            <w:tcW w:w="880" w:type="dxa"/>
            <w:vAlign w:val="top"/>
          </w:tcPr>
          <w:p>
            <w:pPr>
              <w:rPr>
                <w:rFonts w:ascii="Arial"/>
                <w:sz w:val="21"/>
              </w:rPr>
            </w:pPr>
          </w:p>
        </w:tc>
      </w:tr>
    </w:tbl>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59" w:line="220" w:lineRule="auto"/>
        <w:ind w:left="139"/>
        <w:rPr>
          <w:rFonts w:ascii="宋体" w:hAnsi="宋体" w:eastAsia="宋体" w:cs="宋体"/>
          <w:sz w:val="18"/>
          <w:szCs w:val="18"/>
        </w:rPr>
      </w:pPr>
      <w:r>
        <w:rPr>
          <w:rFonts w:ascii="宋体" w:hAnsi="宋体" w:eastAsia="宋体" w:cs="宋体"/>
          <w:spacing w:val="-1"/>
          <w:sz w:val="18"/>
          <w:szCs w:val="18"/>
        </w:rPr>
        <w:t>①到达工地价格应明确是否含税。</w:t>
      </w:r>
    </w:p>
    <w:p>
      <w:pPr>
        <w:spacing w:line="413" w:lineRule="auto"/>
        <w:rPr>
          <w:rFonts w:ascii="Arial"/>
          <w:sz w:val="21"/>
        </w:rPr>
      </w:pPr>
    </w:p>
    <w:p>
      <w:pPr>
        <w:spacing w:before="98" w:line="219" w:lineRule="auto"/>
        <w:ind w:left="50"/>
        <w:rPr>
          <w:rFonts w:ascii="宋体" w:hAnsi="宋体" w:eastAsia="宋体" w:cs="宋体"/>
          <w:sz w:val="30"/>
          <w:szCs w:val="30"/>
        </w:rPr>
      </w:pPr>
      <w:r>
        <w:rPr>
          <w:rFonts w:ascii="宋体" w:hAnsi="宋体" w:eastAsia="宋体" w:cs="宋体"/>
          <w:spacing w:val="-7"/>
          <w:sz w:val="30"/>
          <w:szCs w:val="30"/>
          <w14:textOutline w14:w="5448" w14:cap="sq" w14:cmpd="sng">
            <w14:solidFill>
              <w14:srgbClr w14:val="000000"/>
            </w14:solidFill>
            <w14:prstDash w14:val="solid"/>
            <w14:bevel/>
          </w14:textOutline>
        </w:rPr>
        <w:t>附件十一：</w:t>
      </w:r>
    </w:p>
    <w:p>
      <w:pPr>
        <w:spacing w:before="227" w:line="219" w:lineRule="auto"/>
        <w:ind w:left="2267"/>
        <w:rPr>
          <w:rFonts w:ascii="宋体" w:hAnsi="宋体" w:eastAsia="宋体" w:cs="宋体"/>
          <w:sz w:val="30"/>
          <w:szCs w:val="30"/>
        </w:rPr>
      </w:pPr>
      <w:r>
        <w:rPr>
          <w:rFonts w:ascii="宋体" w:hAnsi="宋体" w:eastAsia="宋体" w:cs="宋体"/>
          <w:spacing w:val="-2"/>
          <w:sz w:val="30"/>
          <w:szCs w:val="30"/>
          <w14:textOutline w14:w="5448" w14:cap="sq" w14:cmpd="sng">
            <w14:solidFill>
              <w14:srgbClr w14:val="000000"/>
            </w14:solidFill>
            <w14:prstDash w14:val="solid"/>
            <w14:bevel/>
          </w14:textOutline>
        </w:rPr>
        <w:t>22.1.2</w:t>
      </w:r>
      <w:r>
        <w:rPr>
          <w:rFonts w:ascii="宋体" w:hAnsi="宋体" w:eastAsia="宋体" w:cs="宋体"/>
          <w:spacing w:val="-33"/>
          <w:sz w:val="30"/>
          <w:szCs w:val="30"/>
        </w:rPr>
        <w:t xml:space="preserve"> </w:t>
      </w:r>
      <w:r>
        <w:rPr>
          <w:rFonts w:ascii="宋体" w:hAnsi="宋体" w:eastAsia="宋体" w:cs="宋体"/>
          <w:spacing w:val="-2"/>
          <w:sz w:val="30"/>
          <w:szCs w:val="30"/>
          <w14:textOutline w14:w="5448" w14:cap="sq" w14:cmpd="sng">
            <w14:solidFill>
              <w14:srgbClr w14:val="000000"/>
            </w14:solidFill>
            <w14:prstDash w14:val="solid"/>
            <w14:bevel/>
          </w14:textOutline>
        </w:rPr>
        <w:t>附表</w:t>
      </w:r>
      <w:r>
        <w:rPr>
          <w:rFonts w:ascii="宋体" w:hAnsi="宋体" w:eastAsia="宋体" w:cs="宋体"/>
          <w:spacing w:val="-2"/>
          <w:sz w:val="30"/>
          <w:szCs w:val="30"/>
        </w:rPr>
        <w:t xml:space="preserve">  </w:t>
      </w:r>
      <w:r>
        <w:rPr>
          <w:rFonts w:ascii="宋体" w:hAnsi="宋体" w:eastAsia="宋体" w:cs="宋体"/>
          <w:spacing w:val="-2"/>
          <w:sz w:val="30"/>
          <w:szCs w:val="30"/>
          <w14:textOutline w14:w="5448" w14:cap="sq" w14:cmpd="sng">
            <w14:solidFill>
              <w14:srgbClr w14:val="000000"/>
            </w14:solidFill>
            <w14:prstDash w14:val="solid"/>
            <w14:bevel/>
          </w14:textOutline>
        </w:rPr>
        <w:t>承包人违约金一览表</w:t>
      </w:r>
    </w:p>
    <w:p>
      <w:pPr>
        <w:spacing w:line="183" w:lineRule="exact"/>
      </w:pPr>
    </w:p>
    <w:tbl>
      <w:tblPr>
        <w:tblStyle w:val="16"/>
        <w:tblW w:w="9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153"/>
        <w:gridCol w:w="3689"/>
        <w:gridCol w:w="1604"/>
        <w:gridCol w:w="17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99" w:type="dxa"/>
            <w:vAlign w:val="top"/>
          </w:tcPr>
          <w:p>
            <w:pPr>
              <w:pStyle w:val="17"/>
              <w:spacing w:before="35" w:line="229" w:lineRule="auto"/>
              <w:ind w:left="193"/>
              <w:rPr>
                <w:sz w:val="20"/>
                <w:szCs w:val="20"/>
              </w:rPr>
            </w:pPr>
            <w:r>
              <w:rPr>
                <w:spacing w:val="6"/>
                <w:sz w:val="20"/>
                <w:szCs w:val="20"/>
                <w14:textOutline w14:w="3795" w14:cap="sq" w14:cmpd="sng">
                  <w14:solidFill>
                    <w14:srgbClr w14:val="000000"/>
                  </w14:solidFill>
                  <w14:prstDash w14:val="solid"/>
                  <w14:bevel/>
                </w14:textOutline>
              </w:rPr>
              <w:t>序号</w:t>
            </w:r>
          </w:p>
        </w:tc>
        <w:tc>
          <w:tcPr>
            <w:tcW w:w="1153" w:type="dxa"/>
            <w:vAlign w:val="top"/>
          </w:tcPr>
          <w:p>
            <w:pPr>
              <w:pStyle w:val="17"/>
              <w:spacing w:before="35" w:line="227" w:lineRule="auto"/>
              <w:ind w:left="161"/>
              <w:rPr>
                <w:sz w:val="20"/>
                <w:szCs w:val="20"/>
              </w:rPr>
            </w:pPr>
            <w:r>
              <w:rPr>
                <w:spacing w:val="8"/>
                <w:sz w:val="20"/>
                <w:szCs w:val="20"/>
                <w14:textOutline w14:w="3795" w14:cap="sq" w14:cmpd="sng">
                  <w14:solidFill>
                    <w14:srgbClr w14:val="000000"/>
                  </w14:solidFill>
                  <w14:prstDash w14:val="solid"/>
                  <w14:bevel/>
                </w14:textOutline>
              </w:rPr>
              <w:t>合同依据</w:t>
            </w:r>
          </w:p>
        </w:tc>
        <w:tc>
          <w:tcPr>
            <w:tcW w:w="3689" w:type="dxa"/>
            <w:vAlign w:val="top"/>
          </w:tcPr>
          <w:p>
            <w:pPr>
              <w:pStyle w:val="17"/>
              <w:spacing w:before="35" w:line="228" w:lineRule="auto"/>
              <w:ind w:left="1438"/>
              <w:rPr>
                <w:sz w:val="20"/>
                <w:szCs w:val="20"/>
              </w:rPr>
            </w:pPr>
            <w:r>
              <w:rPr>
                <w:spacing w:val="8"/>
                <w:sz w:val="20"/>
                <w:szCs w:val="20"/>
                <w14:textOutline w14:w="3795" w14:cap="sq" w14:cmpd="sng">
                  <w14:solidFill>
                    <w14:srgbClr w14:val="000000"/>
                  </w14:solidFill>
                  <w14:prstDash w14:val="solid"/>
                  <w14:bevel/>
                </w14:textOutline>
              </w:rPr>
              <w:t>违约内容</w:t>
            </w:r>
          </w:p>
        </w:tc>
        <w:tc>
          <w:tcPr>
            <w:tcW w:w="1604" w:type="dxa"/>
            <w:vAlign w:val="top"/>
          </w:tcPr>
          <w:p>
            <w:pPr>
              <w:pStyle w:val="17"/>
              <w:spacing w:before="36" w:line="228" w:lineRule="auto"/>
              <w:ind w:left="284"/>
              <w:rPr>
                <w:sz w:val="20"/>
                <w:szCs w:val="20"/>
              </w:rPr>
            </w:pPr>
            <w:r>
              <w:rPr>
                <w:spacing w:val="8"/>
                <w:sz w:val="20"/>
                <w:szCs w:val="20"/>
                <w14:textOutline w14:w="3795" w14:cap="sq" w14:cmpd="sng">
                  <w14:solidFill>
                    <w14:srgbClr w14:val="000000"/>
                  </w14:solidFill>
                  <w14:prstDash w14:val="solid"/>
                  <w14:bevel/>
                </w14:textOutline>
              </w:rPr>
              <w:t>违约金标准</w:t>
            </w:r>
          </w:p>
        </w:tc>
        <w:tc>
          <w:tcPr>
            <w:tcW w:w="1774" w:type="dxa"/>
            <w:vAlign w:val="top"/>
          </w:tcPr>
          <w:p>
            <w:pPr>
              <w:pStyle w:val="17"/>
              <w:spacing w:before="35" w:line="229" w:lineRule="auto"/>
              <w:ind w:left="684"/>
              <w:rPr>
                <w:sz w:val="20"/>
                <w:szCs w:val="20"/>
              </w:rPr>
            </w:pPr>
            <w:r>
              <w:rPr>
                <w:spacing w:val="4"/>
                <w:sz w:val="20"/>
                <w:szCs w:val="20"/>
                <w14:textOutline w14:w="3795"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99" w:type="dxa"/>
            <w:vAlign w:val="top"/>
          </w:tcPr>
          <w:p>
            <w:pPr>
              <w:pStyle w:val="17"/>
              <w:spacing w:before="265" w:line="189" w:lineRule="auto"/>
              <w:ind w:left="368"/>
              <w:rPr>
                <w:sz w:val="20"/>
                <w:szCs w:val="20"/>
              </w:rPr>
            </w:pPr>
            <w:r>
              <w:rPr>
                <w:sz w:val="20"/>
                <w:szCs w:val="20"/>
              </w:rPr>
              <w:t>1</w:t>
            </w:r>
          </w:p>
        </w:tc>
        <w:tc>
          <w:tcPr>
            <w:tcW w:w="1153" w:type="dxa"/>
            <w:vAlign w:val="top"/>
          </w:tcPr>
          <w:p>
            <w:pPr>
              <w:pStyle w:val="17"/>
              <w:spacing w:before="265" w:line="190" w:lineRule="auto"/>
              <w:ind w:left="332"/>
              <w:rPr>
                <w:sz w:val="20"/>
                <w:szCs w:val="20"/>
              </w:rPr>
            </w:pPr>
            <w:r>
              <w:rPr>
                <w:sz w:val="20"/>
                <w:szCs w:val="20"/>
              </w:rPr>
              <w:t>1.6.3</w:t>
            </w:r>
          </w:p>
        </w:tc>
        <w:tc>
          <w:tcPr>
            <w:tcW w:w="3689" w:type="dxa"/>
            <w:vAlign w:val="top"/>
          </w:tcPr>
          <w:p>
            <w:pPr>
              <w:pStyle w:val="17"/>
              <w:spacing w:before="29" w:line="408" w:lineRule="exact"/>
              <w:ind w:left="115"/>
              <w:rPr>
                <w:sz w:val="20"/>
                <w:szCs w:val="20"/>
              </w:rPr>
            </w:pPr>
            <w:r>
              <w:rPr>
                <w:spacing w:val="3"/>
                <w:position w:val="15"/>
                <w:sz w:val="20"/>
                <w:szCs w:val="20"/>
              </w:rPr>
              <w:t>未得到监理人批准，承包人擅自对施工</w:t>
            </w:r>
          </w:p>
          <w:p>
            <w:pPr>
              <w:pStyle w:val="17"/>
              <w:spacing w:line="227" w:lineRule="auto"/>
              <w:ind w:left="132"/>
              <w:rPr>
                <w:sz w:val="20"/>
                <w:szCs w:val="20"/>
              </w:rPr>
            </w:pPr>
            <w:r>
              <w:rPr>
                <w:spacing w:val="6"/>
                <w:sz w:val="20"/>
                <w:szCs w:val="20"/>
              </w:rPr>
              <w:t>图的任何部分进行修改</w:t>
            </w:r>
          </w:p>
        </w:tc>
        <w:tc>
          <w:tcPr>
            <w:tcW w:w="1604" w:type="dxa"/>
            <w:vAlign w:val="top"/>
          </w:tcPr>
          <w:p>
            <w:pPr>
              <w:pStyle w:val="17"/>
              <w:spacing w:before="232" w:line="228" w:lineRule="auto"/>
              <w:ind w:left="116"/>
              <w:rPr>
                <w:sz w:val="20"/>
                <w:szCs w:val="20"/>
              </w:rPr>
            </w:pPr>
            <w:r>
              <w:rPr>
                <w:spacing w:val="3"/>
                <w:sz w:val="20"/>
                <w:szCs w:val="20"/>
              </w:rPr>
              <w:t>2</w:t>
            </w:r>
            <w:r>
              <w:rPr>
                <w:spacing w:val="-33"/>
                <w:sz w:val="20"/>
                <w:szCs w:val="20"/>
              </w:rPr>
              <w:t xml:space="preserve"> </w:t>
            </w:r>
            <w:r>
              <w:rPr>
                <w:spacing w:val="3"/>
                <w:sz w:val="20"/>
                <w:szCs w:val="20"/>
              </w:rPr>
              <w:t>万元/次</w:t>
            </w:r>
          </w:p>
        </w:tc>
        <w:tc>
          <w:tcPr>
            <w:tcW w:w="1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99" w:type="dxa"/>
            <w:vAlign w:val="top"/>
          </w:tcPr>
          <w:p>
            <w:pPr>
              <w:spacing w:line="303" w:lineRule="auto"/>
              <w:rPr>
                <w:rFonts w:ascii="Arial"/>
                <w:sz w:val="21"/>
              </w:rPr>
            </w:pPr>
          </w:p>
          <w:p>
            <w:pPr>
              <w:spacing w:line="303" w:lineRule="auto"/>
              <w:rPr>
                <w:rFonts w:ascii="Arial"/>
                <w:sz w:val="21"/>
              </w:rPr>
            </w:pPr>
          </w:p>
          <w:p>
            <w:pPr>
              <w:pStyle w:val="17"/>
              <w:spacing w:before="65" w:line="189" w:lineRule="auto"/>
              <w:ind w:left="355"/>
              <w:rPr>
                <w:sz w:val="20"/>
                <w:szCs w:val="20"/>
              </w:rPr>
            </w:pPr>
            <w:r>
              <w:rPr>
                <w:sz w:val="20"/>
                <w:szCs w:val="20"/>
              </w:rPr>
              <w:t>2</w:t>
            </w:r>
          </w:p>
        </w:tc>
        <w:tc>
          <w:tcPr>
            <w:tcW w:w="1153" w:type="dxa"/>
            <w:vAlign w:val="top"/>
          </w:tcPr>
          <w:p>
            <w:pPr>
              <w:spacing w:line="302" w:lineRule="auto"/>
              <w:rPr>
                <w:rFonts w:ascii="Arial"/>
                <w:sz w:val="21"/>
              </w:rPr>
            </w:pPr>
          </w:p>
          <w:p>
            <w:pPr>
              <w:spacing w:line="303" w:lineRule="auto"/>
              <w:rPr>
                <w:rFonts w:ascii="Arial"/>
                <w:sz w:val="21"/>
              </w:rPr>
            </w:pPr>
          </w:p>
          <w:p>
            <w:pPr>
              <w:pStyle w:val="17"/>
              <w:spacing w:before="65" w:line="190" w:lineRule="auto"/>
              <w:ind w:left="315"/>
              <w:rPr>
                <w:sz w:val="20"/>
                <w:szCs w:val="20"/>
              </w:rPr>
            </w:pPr>
            <w:r>
              <w:rPr>
                <w:spacing w:val="3"/>
                <w:sz w:val="20"/>
                <w:szCs w:val="20"/>
              </w:rPr>
              <w:t>4.1.4</w:t>
            </w:r>
          </w:p>
        </w:tc>
        <w:tc>
          <w:tcPr>
            <w:tcW w:w="3689" w:type="dxa"/>
            <w:vAlign w:val="top"/>
          </w:tcPr>
          <w:p>
            <w:pPr>
              <w:spacing w:line="287" w:lineRule="auto"/>
              <w:rPr>
                <w:rFonts w:ascii="Arial"/>
                <w:sz w:val="21"/>
              </w:rPr>
            </w:pPr>
          </w:p>
          <w:p>
            <w:pPr>
              <w:spacing w:line="287" w:lineRule="auto"/>
              <w:rPr>
                <w:rFonts w:ascii="Arial"/>
                <w:sz w:val="21"/>
              </w:rPr>
            </w:pPr>
          </w:p>
          <w:p>
            <w:pPr>
              <w:pStyle w:val="17"/>
              <w:spacing w:before="65" w:line="228" w:lineRule="auto"/>
              <w:ind w:left="110"/>
              <w:rPr>
                <w:sz w:val="20"/>
                <w:szCs w:val="20"/>
              </w:rPr>
            </w:pPr>
            <w:r>
              <w:rPr>
                <w:spacing w:val="8"/>
                <w:sz w:val="20"/>
                <w:szCs w:val="20"/>
              </w:rPr>
              <w:t>施工组织设计未经审批即开始实施。</w:t>
            </w:r>
          </w:p>
        </w:tc>
        <w:tc>
          <w:tcPr>
            <w:tcW w:w="1604" w:type="dxa"/>
            <w:vAlign w:val="top"/>
          </w:tcPr>
          <w:p>
            <w:pPr>
              <w:spacing w:line="286" w:lineRule="auto"/>
              <w:rPr>
                <w:rFonts w:ascii="Arial"/>
                <w:sz w:val="21"/>
              </w:rPr>
            </w:pPr>
          </w:p>
          <w:p>
            <w:pPr>
              <w:spacing w:line="287" w:lineRule="auto"/>
              <w:rPr>
                <w:rFonts w:ascii="Arial"/>
                <w:sz w:val="21"/>
              </w:rPr>
            </w:pPr>
          </w:p>
          <w:p>
            <w:pPr>
              <w:pStyle w:val="17"/>
              <w:spacing w:before="65" w:line="228" w:lineRule="auto"/>
              <w:ind w:left="118"/>
              <w:rPr>
                <w:sz w:val="20"/>
                <w:szCs w:val="20"/>
              </w:rPr>
            </w:pPr>
            <w:r>
              <w:rPr>
                <w:spacing w:val="2"/>
                <w:sz w:val="20"/>
                <w:szCs w:val="20"/>
              </w:rPr>
              <w:t>30</w:t>
            </w:r>
            <w:r>
              <w:rPr>
                <w:spacing w:val="-30"/>
                <w:sz w:val="20"/>
                <w:szCs w:val="20"/>
              </w:rPr>
              <w:t xml:space="preserve"> </w:t>
            </w:r>
            <w:r>
              <w:rPr>
                <w:spacing w:val="2"/>
                <w:sz w:val="20"/>
                <w:szCs w:val="20"/>
              </w:rPr>
              <w:t>万元/次</w:t>
            </w:r>
          </w:p>
        </w:tc>
        <w:tc>
          <w:tcPr>
            <w:tcW w:w="1774" w:type="dxa"/>
            <w:vAlign w:val="top"/>
          </w:tcPr>
          <w:p>
            <w:pPr>
              <w:pStyle w:val="17"/>
              <w:spacing w:before="29" w:line="377" w:lineRule="auto"/>
              <w:ind w:left="117" w:right="108"/>
              <w:rPr>
                <w:sz w:val="20"/>
                <w:szCs w:val="20"/>
              </w:rPr>
            </w:pPr>
            <w:r>
              <w:rPr>
                <w:spacing w:val="20"/>
                <w:sz w:val="20"/>
                <w:szCs w:val="20"/>
              </w:rPr>
              <w:t>属于严重违约，</w:t>
            </w:r>
            <w:r>
              <w:rPr>
                <w:spacing w:val="2"/>
                <w:sz w:val="20"/>
                <w:szCs w:val="20"/>
              </w:rPr>
              <w:t xml:space="preserve"> </w:t>
            </w:r>
            <w:r>
              <w:rPr>
                <w:spacing w:val="20"/>
                <w:sz w:val="20"/>
                <w:szCs w:val="20"/>
              </w:rPr>
              <w:t>建议参照“违规</w:t>
            </w:r>
            <w:r>
              <w:rPr>
                <w:spacing w:val="1"/>
                <w:sz w:val="20"/>
                <w:szCs w:val="20"/>
              </w:rPr>
              <w:t xml:space="preserve"> </w:t>
            </w:r>
            <w:r>
              <w:rPr>
                <w:spacing w:val="5"/>
                <w:sz w:val="20"/>
                <w:szCs w:val="20"/>
              </w:rPr>
              <w:t>分包或转包</w:t>
            </w:r>
            <w:r>
              <w:rPr>
                <w:spacing w:val="-66"/>
                <w:sz w:val="20"/>
                <w:szCs w:val="20"/>
              </w:rPr>
              <w:t xml:space="preserve"> </w:t>
            </w:r>
            <w:r>
              <w:rPr>
                <w:spacing w:val="5"/>
                <w:sz w:val="20"/>
                <w:szCs w:val="20"/>
              </w:rPr>
              <w:t>”</w:t>
            </w:r>
            <w:r>
              <w:rPr>
                <w:spacing w:val="-28"/>
                <w:sz w:val="20"/>
                <w:szCs w:val="20"/>
              </w:rPr>
              <w:t xml:space="preserve"> </w:t>
            </w:r>
            <w:r>
              <w:rPr>
                <w:spacing w:val="5"/>
                <w:sz w:val="20"/>
                <w:szCs w:val="20"/>
              </w:rPr>
              <w:t>进</w:t>
            </w:r>
          </w:p>
          <w:p>
            <w:pPr>
              <w:pStyle w:val="17"/>
              <w:spacing w:line="228" w:lineRule="auto"/>
              <w:ind w:left="118"/>
              <w:rPr>
                <w:sz w:val="20"/>
                <w:szCs w:val="20"/>
              </w:rPr>
            </w:pPr>
            <w:r>
              <w:rPr>
                <w:spacing w:val="4"/>
                <w:sz w:val="20"/>
                <w:szCs w:val="20"/>
              </w:rPr>
              <w:t>行重罚。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99" w:type="dxa"/>
            <w:vAlign w:val="top"/>
          </w:tcPr>
          <w:p>
            <w:pPr>
              <w:spacing w:line="303" w:lineRule="auto"/>
              <w:rPr>
                <w:rFonts w:ascii="Arial"/>
                <w:sz w:val="21"/>
              </w:rPr>
            </w:pPr>
          </w:p>
          <w:p>
            <w:pPr>
              <w:spacing w:line="304" w:lineRule="auto"/>
              <w:rPr>
                <w:rFonts w:ascii="Arial"/>
                <w:sz w:val="21"/>
              </w:rPr>
            </w:pPr>
          </w:p>
          <w:p>
            <w:pPr>
              <w:pStyle w:val="17"/>
              <w:spacing w:before="65" w:line="189" w:lineRule="auto"/>
              <w:ind w:left="356"/>
              <w:rPr>
                <w:sz w:val="20"/>
                <w:szCs w:val="20"/>
              </w:rPr>
            </w:pPr>
            <w:r>
              <w:rPr>
                <w:sz w:val="20"/>
                <w:szCs w:val="20"/>
              </w:rPr>
              <w:t>3</w:t>
            </w:r>
          </w:p>
        </w:tc>
        <w:tc>
          <w:tcPr>
            <w:tcW w:w="1153" w:type="dxa"/>
            <w:vAlign w:val="top"/>
          </w:tcPr>
          <w:p>
            <w:pPr>
              <w:spacing w:line="303" w:lineRule="auto"/>
              <w:rPr>
                <w:rFonts w:ascii="Arial"/>
                <w:sz w:val="21"/>
              </w:rPr>
            </w:pPr>
          </w:p>
          <w:p>
            <w:pPr>
              <w:spacing w:line="303" w:lineRule="auto"/>
              <w:rPr>
                <w:rFonts w:ascii="Arial"/>
                <w:sz w:val="21"/>
              </w:rPr>
            </w:pPr>
          </w:p>
          <w:p>
            <w:pPr>
              <w:pStyle w:val="17"/>
              <w:spacing w:before="65" w:line="190" w:lineRule="auto"/>
              <w:ind w:left="315"/>
              <w:rPr>
                <w:sz w:val="20"/>
                <w:szCs w:val="20"/>
              </w:rPr>
            </w:pPr>
            <w:r>
              <w:rPr>
                <w:spacing w:val="3"/>
                <w:sz w:val="20"/>
                <w:szCs w:val="20"/>
              </w:rPr>
              <w:t>4.1.4</w:t>
            </w:r>
          </w:p>
        </w:tc>
        <w:tc>
          <w:tcPr>
            <w:tcW w:w="3689" w:type="dxa"/>
            <w:vAlign w:val="top"/>
          </w:tcPr>
          <w:p>
            <w:pPr>
              <w:spacing w:line="371" w:lineRule="auto"/>
              <w:rPr>
                <w:rFonts w:ascii="Arial"/>
                <w:sz w:val="21"/>
              </w:rPr>
            </w:pPr>
          </w:p>
          <w:p>
            <w:pPr>
              <w:pStyle w:val="17"/>
              <w:spacing w:before="65" w:line="408" w:lineRule="exact"/>
              <w:ind w:left="115"/>
              <w:rPr>
                <w:sz w:val="20"/>
                <w:szCs w:val="20"/>
              </w:rPr>
            </w:pPr>
            <w:r>
              <w:rPr>
                <w:spacing w:val="16"/>
                <w:position w:val="15"/>
                <w:sz w:val="20"/>
                <w:szCs w:val="20"/>
              </w:rPr>
              <w:t>未按批复的施工组织设计方案组织施</w:t>
            </w:r>
          </w:p>
          <w:p>
            <w:pPr>
              <w:pStyle w:val="17"/>
              <w:spacing w:line="227" w:lineRule="auto"/>
              <w:ind w:left="114"/>
              <w:rPr>
                <w:sz w:val="20"/>
                <w:szCs w:val="20"/>
              </w:rPr>
            </w:pPr>
            <w:r>
              <w:rPr>
                <w:spacing w:val="7"/>
                <w:sz w:val="20"/>
                <w:szCs w:val="20"/>
              </w:rPr>
              <w:t>工，随意调整或变更。</w:t>
            </w:r>
          </w:p>
        </w:tc>
        <w:tc>
          <w:tcPr>
            <w:tcW w:w="1604" w:type="dxa"/>
            <w:vAlign w:val="top"/>
          </w:tcPr>
          <w:p>
            <w:pPr>
              <w:spacing w:line="287" w:lineRule="auto"/>
              <w:rPr>
                <w:rFonts w:ascii="Arial"/>
                <w:sz w:val="21"/>
              </w:rPr>
            </w:pPr>
          </w:p>
          <w:p>
            <w:pPr>
              <w:spacing w:line="287" w:lineRule="auto"/>
              <w:rPr>
                <w:rFonts w:ascii="Arial"/>
                <w:sz w:val="21"/>
              </w:rPr>
            </w:pPr>
          </w:p>
          <w:p>
            <w:pPr>
              <w:pStyle w:val="17"/>
              <w:spacing w:before="65" w:line="228" w:lineRule="auto"/>
              <w:ind w:left="116"/>
              <w:rPr>
                <w:sz w:val="20"/>
                <w:szCs w:val="20"/>
              </w:rPr>
            </w:pPr>
            <w:r>
              <w:rPr>
                <w:spacing w:val="3"/>
                <w:sz w:val="20"/>
                <w:szCs w:val="20"/>
              </w:rPr>
              <w:t>2</w:t>
            </w:r>
            <w:r>
              <w:rPr>
                <w:spacing w:val="-33"/>
                <w:sz w:val="20"/>
                <w:szCs w:val="20"/>
              </w:rPr>
              <w:t xml:space="preserve"> </w:t>
            </w:r>
            <w:r>
              <w:rPr>
                <w:spacing w:val="3"/>
                <w:sz w:val="20"/>
                <w:szCs w:val="20"/>
              </w:rPr>
              <w:t>万元/次</w:t>
            </w:r>
          </w:p>
        </w:tc>
        <w:tc>
          <w:tcPr>
            <w:tcW w:w="1774" w:type="dxa"/>
            <w:vAlign w:val="top"/>
          </w:tcPr>
          <w:p>
            <w:pPr>
              <w:pStyle w:val="17"/>
              <w:spacing w:before="30" w:line="377" w:lineRule="auto"/>
              <w:ind w:left="113" w:right="108" w:firstLine="3"/>
              <w:jc w:val="both"/>
              <w:rPr>
                <w:sz w:val="20"/>
                <w:szCs w:val="20"/>
              </w:rPr>
            </w:pPr>
            <w:r>
              <w:rPr>
                <w:spacing w:val="16"/>
                <w:sz w:val="20"/>
                <w:szCs w:val="20"/>
              </w:rPr>
              <w:t>参照</w:t>
            </w:r>
            <w:r>
              <w:rPr>
                <w:spacing w:val="-70"/>
                <w:sz w:val="20"/>
                <w:szCs w:val="20"/>
              </w:rPr>
              <w:t xml:space="preserve"> </w:t>
            </w:r>
            <w:r>
              <w:rPr>
                <w:spacing w:val="16"/>
                <w:sz w:val="20"/>
                <w:szCs w:val="20"/>
              </w:rPr>
              <w:t>“擅自对施</w:t>
            </w:r>
            <w:r>
              <w:rPr>
                <w:sz w:val="20"/>
                <w:szCs w:val="20"/>
              </w:rPr>
              <w:t xml:space="preserve"> </w:t>
            </w:r>
            <w:r>
              <w:rPr>
                <w:spacing w:val="20"/>
                <w:sz w:val="20"/>
                <w:szCs w:val="20"/>
              </w:rPr>
              <w:t>工图的任何部分</w:t>
            </w:r>
            <w:r>
              <w:rPr>
                <w:spacing w:val="5"/>
                <w:sz w:val="20"/>
                <w:szCs w:val="20"/>
              </w:rPr>
              <w:t xml:space="preserve"> </w:t>
            </w:r>
            <w:r>
              <w:rPr>
                <w:spacing w:val="14"/>
                <w:sz w:val="20"/>
                <w:szCs w:val="20"/>
              </w:rPr>
              <w:t>进行修订</w:t>
            </w:r>
            <w:r>
              <w:rPr>
                <w:spacing w:val="-53"/>
                <w:sz w:val="20"/>
                <w:szCs w:val="20"/>
              </w:rPr>
              <w:t xml:space="preserve"> </w:t>
            </w:r>
            <w:r>
              <w:rPr>
                <w:spacing w:val="14"/>
                <w:sz w:val="20"/>
                <w:szCs w:val="20"/>
              </w:rPr>
              <w:t>”进行</w:t>
            </w:r>
          </w:p>
          <w:p>
            <w:pPr>
              <w:pStyle w:val="17"/>
              <w:spacing w:before="1" w:line="231" w:lineRule="auto"/>
              <w:ind w:left="119"/>
              <w:rPr>
                <w:sz w:val="20"/>
                <w:szCs w:val="20"/>
              </w:rPr>
            </w:pPr>
            <w:r>
              <w:rPr>
                <w:spacing w:val="1"/>
                <w:sz w:val="20"/>
                <w:szCs w:val="20"/>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99" w:type="dxa"/>
            <w:vAlign w:val="top"/>
          </w:tcPr>
          <w:p>
            <w:pPr>
              <w:spacing w:line="304" w:lineRule="auto"/>
              <w:rPr>
                <w:rFonts w:ascii="Arial"/>
                <w:sz w:val="21"/>
              </w:rPr>
            </w:pPr>
          </w:p>
          <w:p>
            <w:pPr>
              <w:spacing w:line="304" w:lineRule="auto"/>
              <w:rPr>
                <w:rFonts w:ascii="Arial"/>
                <w:sz w:val="21"/>
              </w:rPr>
            </w:pPr>
          </w:p>
          <w:p>
            <w:pPr>
              <w:pStyle w:val="17"/>
              <w:spacing w:before="65" w:line="189" w:lineRule="auto"/>
              <w:ind w:left="351"/>
              <w:rPr>
                <w:sz w:val="20"/>
                <w:szCs w:val="20"/>
              </w:rPr>
            </w:pPr>
            <w:r>
              <w:rPr>
                <w:sz w:val="20"/>
                <w:szCs w:val="20"/>
              </w:rPr>
              <w:t>4</w:t>
            </w:r>
          </w:p>
        </w:tc>
        <w:tc>
          <w:tcPr>
            <w:tcW w:w="1153" w:type="dxa"/>
            <w:vAlign w:val="top"/>
          </w:tcPr>
          <w:p>
            <w:pPr>
              <w:spacing w:line="303" w:lineRule="auto"/>
              <w:rPr>
                <w:rFonts w:ascii="Arial"/>
                <w:sz w:val="21"/>
              </w:rPr>
            </w:pPr>
          </w:p>
          <w:p>
            <w:pPr>
              <w:spacing w:line="304" w:lineRule="auto"/>
              <w:rPr>
                <w:rFonts w:ascii="Arial"/>
                <w:sz w:val="21"/>
              </w:rPr>
            </w:pPr>
          </w:p>
          <w:p>
            <w:pPr>
              <w:pStyle w:val="17"/>
              <w:spacing w:before="65" w:line="190" w:lineRule="auto"/>
              <w:ind w:left="315"/>
              <w:rPr>
                <w:sz w:val="20"/>
                <w:szCs w:val="20"/>
              </w:rPr>
            </w:pPr>
            <w:r>
              <w:rPr>
                <w:spacing w:val="3"/>
                <w:sz w:val="20"/>
                <w:szCs w:val="20"/>
              </w:rPr>
              <w:t>4.1.4</w:t>
            </w:r>
          </w:p>
        </w:tc>
        <w:tc>
          <w:tcPr>
            <w:tcW w:w="3689" w:type="dxa"/>
            <w:vAlign w:val="top"/>
          </w:tcPr>
          <w:p>
            <w:pPr>
              <w:spacing w:line="372" w:lineRule="auto"/>
              <w:rPr>
                <w:rFonts w:ascii="Arial"/>
                <w:sz w:val="21"/>
              </w:rPr>
            </w:pPr>
          </w:p>
          <w:p>
            <w:pPr>
              <w:pStyle w:val="17"/>
              <w:spacing w:before="65" w:line="408" w:lineRule="exact"/>
              <w:ind w:left="110"/>
              <w:rPr>
                <w:sz w:val="20"/>
                <w:szCs w:val="20"/>
              </w:rPr>
            </w:pPr>
            <w:r>
              <w:rPr>
                <w:spacing w:val="16"/>
                <w:position w:val="15"/>
                <w:sz w:val="20"/>
                <w:szCs w:val="20"/>
              </w:rPr>
              <w:t>超过一定规模的危险性较大工程未组</w:t>
            </w:r>
          </w:p>
          <w:p>
            <w:pPr>
              <w:pStyle w:val="17"/>
              <w:spacing w:line="228" w:lineRule="auto"/>
              <w:ind w:left="115"/>
              <w:rPr>
                <w:sz w:val="20"/>
                <w:szCs w:val="20"/>
              </w:rPr>
            </w:pPr>
            <w:r>
              <w:rPr>
                <w:spacing w:val="7"/>
                <w:sz w:val="20"/>
                <w:szCs w:val="20"/>
              </w:rPr>
              <w:t>织专家论证、审查。</w:t>
            </w:r>
          </w:p>
        </w:tc>
        <w:tc>
          <w:tcPr>
            <w:tcW w:w="1604" w:type="dxa"/>
            <w:vAlign w:val="top"/>
          </w:tcPr>
          <w:p>
            <w:pPr>
              <w:spacing w:line="287" w:lineRule="auto"/>
              <w:rPr>
                <w:rFonts w:ascii="Arial"/>
                <w:sz w:val="21"/>
              </w:rPr>
            </w:pPr>
          </w:p>
          <w:p>
            <w:pPr>
              <w:spacing w:line="288" w:lineRule="auto"/>
              <w:rPr>
                <w:rFonts w:ascii="Arial"/>
                <w:sz w:val="21"/>
              </w:rPr>
            </w:pPr>
          </w:p>
          <w:p>
            <w:pPr>
              <w:pStyle w:val="17"/>
              <w:spacing w:before="65" w:line="228" w:lineRule="auto"/>
              <w:ind w:left="116"/>
              <w:rPr>
                <w:sz w:val="20"/>
                <w:szCs w:val="20"/>
              </w:rPr>
            </w:pPr>
            <w:r>
              <w:rPr>
                <w:spacing w:val="3"/>
                <w:sz w:val="20"/>
                <w:szCs w:val="20"/>
              </w:rPr>
              <w:t>2</w:t>
            </w:r>
            <w:r>
              <w:rPr>
                <w:spacing w:val="-33"/>
                <w:sz w:val="20"/>
                <w:szCs w:val="20"/>
              </w:rPr>
              <w:t xml:space="preserve"> </w:t>
            </w:r>
            <w:r>
              <w:rPr>
                <w:spacing w:val="3"/>
                <w:sz w:val="20"/>
                <w:szCs w:val="20"/>
              </w:rPr>
              <w:t>万元/次</w:t>
            </w:r>
          </w:p>
        </w:tc>
        <w:tc>
          <w:tcPr>
            <w:tcW w:w="1774" w:type="dxa"/>
            <w:vAlign w:val="top"/>
          </w:tcPr>
          <w:p>
            <w:pPr>
              <w:pStyle w:val="17"/>
              <w:spacing w:before="31" w:line="377" w:lineRule="auto"/>
              <w:ind w:left="113" w:right="108" w:firstLine="3"/>
              <w:jc w:val="both"/>
              <w:rPr>
                <w:sz w:val="20"/>
                <w:szCs w:val="20"/>
              </w:rPr>
            </w:pPr>
            <w:r>
              <w:rPr>
                <w:spacing w:val="16"/>
                <w:sz w:val="20"/>
                <w:szCs w:val="20"/>
              </w:rPr>
              <w:t>参照</w:t>
            </w:r>
            <w:r>
              <w:rPr>
                <w:spacing w:val="-70"/>
                <w:sz w:val="20"/>
                <w:szCs w:val="20"/>
              </w:rPr>
              <w:t xml:space="preserve"> </w:t>
            </w:r>
            <w:r>
              <w:rPr>
                <w:spacing w:val="16"/>
                <w:sz w:val="20"/>
                <w:szCs w:val="20"/>
              </w:rPr>
              <w:t>“擅自对施</w:t>
            </w:r>
            <w:r>
              <w:rPr>
                <w:sz w:val="20"/>
                <w:szCs w:val="20"/>
              </w:rPr>
              <w:t xml:space="preserve"> </w:t>
            </w:r>
            <w:r>
              <w:rPr>
                <w:spacing w:val="20"/>
                <w:sz w:val="20"/>
                <w:szCs w:val="20"/>
              </w:rPr>
              <w:t>工图的任何部分</w:t>
            </w:r>
            <w:r>
              <w:rPr>
                <w:spacing w:val="5"/>
                <w:sz w:val="20"/>
                <w:szCs w:val="20"/>
              </w:rPr>
              <w:t xml:space="preserve"> </w:t>
            </w:r>
            <w:r>
              <w:rPr>
                <w:spacing w:val="14"/>
                <w:sz w:val="20"/>
                <w:szCs w:val="20"/>
              </w:rPr>
              <w:t>进行修订</w:t>
            </w:r>
            <w:r>
              <w:rPr>
                <w:spacing w:val="-53"/>
                <w:sz w:val="20"/>
                <w:szCs w:val="20"/>
              </w:rPr>
              <w:t xml:space="preserve"> </w:t>
            </w:r>
            <w:r>
              <w:rPr>
                <w:spacing w:val="14"/>
                <w:sz w:val="20"/>
                <w:szCs w:val="20"/>
              </w:rPr>
              <w:t>”进行</w:t>
            </w:r>
          </w:p>
          <w:p>
            <w:pPr>
              <w:pStyle w:val="17"/>
              <w:spacing w:before="1" w:line="231" w:lineRule="auto"/>
              <w:ind w:left="119"/>
              <w:rPr>
                <w:sz w:val="20"/>
                <w:szCs w:val="20"/>
              </w:rPr>
            </w:pPr>
            <w:r>
              <w:rPr>
                <w:spacing w:val="1"/>
                <w:sz w:val="20"/>
                <w:szCs w:val="20"/>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799" w:type="dxa"/>
            <w:vAlign w:val="top"/>
          </w:tcPr>
          <w:p>
            <w:pPr>
              <w:spacing w:line="408" w:lineRule="auto"/>
              <w:rPr>
                <w:rFonts w:ascii="Arial"/>
                <w:sz w:val="21"/>
              </w:rPr>
            </w:pPr>
          </w:p>
          <w:p>
            <w:pPr>
              <w:pStyle w:val="17"/>
              <w:spacing w:before="65" w:line="187" w:lineRule="auto"/>
              <w:ind w:left="356"/>
              <w:rPr>
                <w:sz w:val="20"/>
                <w:szCs w:val="20"/>
              </w:rPr>
            </w:pPr>
            <w:r>
              <w:rPr>
                <w:sz w:val="20"/>
                <w:szCs w:val="20"/>
              </w:rPr>
              <w:t>5</w:t>
            </w:r>
          </w:p>
        </w:tc>
        <w:tc>
          <w:tcPr>
            <w:tcW w:w="1153" w:type="dxa"/>
            <w:vAlign w:val="top"/>
          </w:tcPr>
          <w:p>
            <w:pPr>
              <w:spacing w:line="405" w:lineRule="auto"/>
              <w:rPr>
                <w:rFonts w:ascii="Arial"/>
                <w:sz w:val="21"/>
              </w:rPr>
            </w:pPr>
          </w:p>
          <w:p>
            <w:pPr>
              <w:pStyle w:val="17"/>
              <w:spacing w:before="65" w:line="190" w:lineRule="auto"/>
              <w:ind w:left="315"/>
              <w:rPr>
                <w:sz w:val="20"/>
                <w:szCs w:val="20"/>
              </w:rPr>
            </w:pPr>
            <w:r>
              <w:rPr>
                <w:spacing w:val="3"/>
                <w:sz w:val="20"/>
                <w:szCs w:val="20"/>
              </w:rPr>
              <w:t>4.1.4</w:t>
            </w:r>
          </w:p>
        </w:tc>
        <w:tc>
          <w:tcPr>
            <w:tcW w:w="3689" w:type="dxa"/>
            <w:vAlign w:val="top"/>
          </w:tcPr>
          <w:p>
            <w:pPr>
              <w:pStyle w:val="17"/>
              <w:spacing w:before="32" w:line="377" w:lineRule="auto"/>
              <w:ind w:left="114" w:right="105" w:firstLine="13"/>
              <w:jc w:val="both"/>
              <w:rPr>
                <w:sz w:val="20"/>
                <w:szCs w:val="20"/>
              </w:rPr>
            </w:pPr>
            <w:r>
              <w:rPr>
                <w:spacing w:val="2"/>
                <w:sz w:val="20"/>
                <w:szCs w:val="20"/>
              </w:rPr>
              <w:t>因设计出现重大变更、施工方法发生重</w:t>
            </w:r>
            <w:r>
              <w:rPr>
                <w:spacing w:val="15"/>
                <w:sz w:val="20"/>
                <w:szCs w:val="20"/>
              </w:rPr>
              <w:t xml:space="preserve"> </w:t>
            </w:r>
            <w:r>
              <w:rPr>
                <w:spacing w:val="3"/>
                <w:sz w:val="20"/>
                <w:szCs w:val="20"/>
              </w:rPr>
              <w:t>大调整、外部施工环境或施工条件发生</w:t>
            </w:r>
          </w:p>
          <w:p>
            <w:pPr>
              <w:pStyle w:val="17"/>
              <w:spacing w:line="227" w:lineRule="auto"/>
              <w:ind w:left="112"/>
              <w:rPr>
                <w:sz w:val="20"/>
                <w:szCs w:val="20"/>
              </w:rPr>
            </w:pPr>
            <w:r>
              <w:rPr>
                <w:spacing w:val="8"/>
                <w:sz w:val="20"/>
                <w:szCs w:val="20"/>
              </w:rPr>
              <w:t>重大变化等未及时进行修编的。</w:t>
            </w:r>
          </w:p>
        </w:tc>
        <w:tc>
          <w:tcPr>
            <w:tcW w:w="1604" w:type="dxa"/>
            <w:vAlign w:val="top"/>
          </w:tcPr>
          <w:p>
            <w:pPr>
              <w:spacing w:line="373" w:lineRule="auto"/>
              <w:rPr>
                <w:rFonts w:ascii="Arial"/>
                <w:sz w:val="21"/>
              </w:rPr>
            </w:pPr>
          </w:p>
          <w:p>
            <w:pPr>
              <w:pStyle w:val="17"/>
              <w:spacing w:before="65" w:line="228" w:lineRule="auto"/>
              <w:ind w:left="129"/>
              <w:rPr>
                <w:sz w:val="20"/>
                <w:szCs w:val="20"/>
              </w:rPr>
            </w:pPr>
            <w:r>
              <w:rPr>
                <w:sz w:val="20"/>
                <w:szCs w:val="20"/>
              </w:rPr>
              <w:t>1</w:t>
            </w:r>
            <w:r>
              <w:rPr>
                <w:spacing w:val="-32"/>
                <w:sz w:val="20"/>
                <w:szCs w:val="20"/>
              </w:rPr>
              <w:t xml:space="preserve"> </w:t>
            </w:r>
            <w:r>
              <w:rPr>
                <w:sz w:val="20"/>
                <w:szCs w:val="20"/>
              </w:rPr>
              <w:t>万元/次</w:t>
            </w:r>
          </w:p>
        </w:tc>
        <w:tc>
          <w:tcPr>
            <w:tcW w:w="1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99" w:type="dxa"/>
            <w:vAlign w:val="top"/>
          </w:tcPr>
          <w:p>
            <w:pPr>
              <w:pStyle w:val="17"/>
              <w:spacing w:before="130" w:line="189" w:lineRule="auto"/>
              <w:ind w:left="354"/>
              <w:rPr>
                <w:sz w:val="20"/>
                <w:szCs w:val="20"/>
              </w:rPr>
            </w:pPr>
            <w:r>
              <w:rPr>
                <w:sz w:val="20"/>
                <w:szCs w:val="20"/>
              </w:rPr>
              <w:t>6</w:t>
            </w:r>
          </w:p>
        </w:tc>
        <w:tc>
          <w:tcPr>
            <w:tcW w:w="1153" w:type="dxa"/>
            <w:vAlign w:val="top"/>
          </w:tcPr>
          <w:p>
            <w:pPr>
              <w:pStyle w:val="17"/>
              <w:spacing w:before="130" w:line="189" w:lineRule="auto"/>
              <w:ind w:left="421"/>
              <w:rPr>
                <w:sz w:val="20"/>
                <w:szCs w:val="20"/>
              </w:rPr>
            </w:pPr>
            <w:r>
              <w:rPr>
                <w:spacing w:val="2"/>
                <w:sz w:val="20"/>
                <w:szCs w:val="20"/>
              </w:rPr>
              <w:t>4.3</w:t>
            </w:r>
          </w:p>
        </w:tc>
        <w:tc>
          <w:tcPr>
            <w:tcW w:w="3689" w:type="dxa"/>
            <w:vAlign w:val="top"/>
          </w:tcPr>
          <w:p>
            <w:pPr>
              <w:pStyle w:val="17"/>
              <w:spacing w:before="98" w:line="228" w:lineRule="auto"/>
              <w:ind w:left="111"/>
              <w:rPr>
                <w:sz w:val="20"/>
                <w:szCs w:val="20"/>
              </w:rPr>
            </w:pPr>
            <w:r>
              <w:rPr>
                <w:spacing w:val="8"/>
                <w:sz w:val="20"/>
                <w:szCs w:val="20"/>
              </w:rPr>
              <w:t>违规分包或转包</w:t>
            </w:r>
          </w:p>
        </w:tc>
        <w:tc>
          <w:tcPr>
            <w:tcW w:w="1604" w:type="dxa"/>
            <w:vAlign w:val="top"/>
          </w:tcPr>
          <w:p>
            <w:pPr>
              <w:pStyle w:val="17"/>
              <w:spacing w:before="97" w:line="228" w:lineRule="auto"/>
              <w:ind w:left="118"/>
              <w:rPr>
                <w:sz w:val="20"/>
                <w:szCs w:val="20"/>
              </w:rPr>
            </w:pPr>
            <w:r>
              <w:rPr>
                <w:spacing w:val="2"/>
                <w:sz w:val="20"/>
                <w:szCs w:val="20"/>
              </w:rPr>
              <w:t>30</w:t>
            </w:r>
            <w:r>
              <w:rPr>
                <w:spacing w:val="-30"/>
                <w:sz w:val="20"/>
                <w:szCs w:val="20"/>
              </w:rPr>
              <w:t xml:space="preserve"> </w:t>
            </w:r>
            <w:r>
              <w:rPr>
                <w:spacing w:val="2"/>
                <w:sz w:val="20"/>
                <w:szCs w:val="20"/>
              </w:rPr>
              <w:t>万元/次</w:t>
            </w:r>
          </w:p>
        </w:tc>
        <w:tc>
          <w:tcPr>
            <w:tcW w:w="1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trPr>
        <w:tc>
          <w:tcPr>
            <w:tcW w:w="799" w:type="dxa"/>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7"/>
              <w:spacing w:before="65" w:line="187" w:lineRule="auto"/>
              <w:ind w:left="357"/>
              <w:rPr>
                <w:sz w:val="20"/>
                <w:szCs w:val="20"/>
              </w:rPr>
            </w:pPr>
            <w:r>
              <w:rPr>
                <w:sz w:val="20"/>
                <w:szCs w:val="20"/>
              </w:rPr>
              <w:t>7</w:t>
            </w:r>
          </w:p>
        </w:tc>
        <w:tc>
          <w:tcPr>
            <w:tcW w:w="1153"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17"/>
              <w:spacing w:before="65" w:line="190" w:lineRule="auto"/>
              <w:ind w:left="315"/>
              <w:rPr>
                <w:sz w:val="20"/>
                <w:szCs w:val="20"/>
              </w:rPr>
            </w:pPr>
            <w:r>
              <w:rPr>
                <w:spacing w:val="3"/>
                <w:sz w:val="20"/>
                <w:szCs w:val="20"/>
              </w:rPr>
              <w:t>4.6.1</w:t>
            </w:r>
          </w:p>
        </w:tc>
        <w:tc>
          <w:tcPr>
            <w:tcW w:w="368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17"/>
              <w:spacing w:before="65" w:line="378" w:lineRule="auto"/>
              <w:ind w:left="110" w:right="105" w:hanging="16"/>
              <w:jc w:val="both"/>
              <w:rPr>
                <w:sz w:val="20"/>
                <w:szCs w:val="20"/>
              </w:rPr>
            </w:pPr>
            <w:r>
              <w:rPr>
                <w:spacing w:val="17"/>
                <w:sz w:val="20"/>
                <w:szCs w:val="20"/>
              </w:rPr>
              <w:t>承包人在接到监理人要求人员进场的</w:t>
            </w:r>
            <w:r>
              <w:rPr>
                <w:spacing w:val="10"/>
                <w:sz w:val="20"/>
                <w:szCs w:val="20"/>
              </w:rPr>
              <w:t xml:space="preserve"> </w:t>
            </w:r>
            <w:r>
              <w:rPr>
                <w:spacing w:val="2"/>
                <w:sz w:val="20"/>
                <w:szCs w:val="20"/>
              </w:rPr>
              <w:t>通知</w:t>
            </w:r>
            <w:r>
              <w:rPr>
                <w:spacing w:val="-35"/>
                <w:sz w:val="20"/>
                <w:szCs w:val="20"/>
              </w:rPr>
              <w:t xml:space="preserve"> </w:t>
            </w:r>
            <w:r>
              <w:rPr>
                <w:spacing w:val="2"/>
                <w:sz w:val="20"/>
                <w:szCs w:val="20"/>
              </w:rPr>
              <w:t>5</w:t>
            </w:r>
            <w:r>
              <w:rPr>
                <w:spacing w:val="-33"/>
                <w:sz w:val="20"/>
                <w:szCs w:val="20"/>
              </w:rPr>
              <w:t xml:space="preserve"> </w:t>
            </w:r>
            <w:r>
              <w:rPr>
                <w:spacing w:val="2"/>
                <w:sz w:val="20"/>
                <w:szCs w:val="20"/>
              </w:rPr>
              <w:t>天后仍未安排相关人员进场，从</w:t>
            </w:r>
          </w:p>
          <w:p>
            <w:pPr>
              <w:pStyle w:val="17"/>
              <w:spacing w:line="227" w:lineRule="auto"/>
              <w:ind w:left="111"/>
              <w:rPr>
                <w:sz w:val="20"/>
                <w:szCs w:val="20"/>
              </w:rPr>
            </w:pPr>
            <w:r>
              <w:rPr>
                <w:spacing w:val="7"/>
                <w:sz w:val="20"/>
                <w:szCs w:val="20"/>
              </w:rPr>
              <w:t>第</w:t>
            </w:r>
            <w:r>
              <w:rPr>
                <w:spacing w:val="-34"/>
                <w:sz w:val="20"/>
                <w:szCs w:val="20"/>
              </w:rPr>
              <w:t xml:space="preserve"> </w:t>
            </w:r>
            <w:r>
              <w:rPr>
                <w:spacing w:val="7"/>
                <w:sz w:val="20"/>
                <w:szCs w:val="20"/>
              </w:rPr>
              <w:t>6</w:t>
            </w:r>
            <w:r>
              <w:rPr>
                <w:spacing w:val="-36"/>
                <w:sz w:val="20"/>
                <w:szCs w:val="20"/>
              </w:rPr>
              <w:t xml:space="preserve"> </w:t>
            </w:r>
            <w:r>
              <w:rPr>
                <w:spacing w:val="7"/>
                <w:sz w:val="20"/>
                <w:szCs w:val="20"/>
              </w:rPr>
              <w:t>天算起扣除承包人的违约金</w:t>
            </w:r>
          </w:p>
        </w:tc>
        <w:tc>
          <w:tcPr>
            <w:tcW w:w="1604" w:type="dxa"/>
            <w:vAlign w:val="top"/>
          </w:tcPr>
          <w:p>
            <w:pPr>
              <w:spacing w:line="376" w:lineRule="auto"/>
              <w:rPr>
                <w:rFonts w:ascii="Arial"/>
                <w:sz w:val="21"/>
              </w:rPr>
            </w:pPr>
          </w:p>
          <w:p>
            <w:pPr>
              <w:pStyle w:val="17"/>
              <w:spacing w:before="65" w:line="377" w:lineRule="auto"/>
              <w:ind w:left="115" w:right="102" w:firstLine="1"/>
              <w:jc w:val="both"/>
              <w:rPr>
                <w:sz w:val="20"/>
                <w:szCs w:val="20"/>
              </w:rPr>
            </w:pPr>
            <w:r>
              <w:rPr>
                <w:spacing w:val="-4"/>
                <w:sz w:val="20"/>
                <w:szCs w:val="20"/>
              </w:rPr>
              <w:t>项目经理、项目</w:t>
            </w:r>
            <w:r>
              <w:rPr>
                <w:spacing w:val="2"/>
                <w:sz w:val="20"/>
                <w:szCs w:val="20"/>
              </w:rPr>
              <w:t xml:space="preserve"> </w:t>
            </w:r>
            <w:r>
              <w:rPr>
                <w:spacing w:val="5"/>
                <w:sz w:val="20"/>
                <w:szCs w:val="20"/>
              </w:rPr>
              <w:t>总工</w:t>
            </w:r>
            <w:r>
              <w:rPr>
                <w:spacing w:val="-28"/>
                <w:sz w:val="20"/>
                <w:szCs w:val="20"/>
              </w:rPr>
              <w:t xml:space="preserve"> </w:t>
            </w:r>
            <w:r>
              <w:rPr>
                <w:spacing w:val="5"/>
                <w:sz w:val="20"/>
                <w:szCs w:val="20"/>
              </w:rPr>
              <w:t>2</w:t>
            </w:r>
            <w:r>
              <w:rPr>
                <w:spacing w:val="-29"/>
                <w:sz w:val="20"/>
                <w:szCs w:val="20"/>
              </w:rPr>
              <w:t xml:space="preserve"> </w:t>
            </w:r>
            <w:r>
              <w:rPr>
                <w:spacing w:val="5"/>
                <w:sz w:val="20"/>
                <w:szCs w:val="20"/>
              </w:rPr>
              <w:t>万元/人</w:t>
            </w:r>
            <w:r>
              <w:rPr>
                <w:sz w:val="20"/>
                <w:szCs w:val="20"/>
              </w:rPr>
              <w:t xml:space="preserve"> </w:t>
            </w:r>
            <w:r>
              <w:rPr>
                <w:spacing w:val="-3"/>
                <w:sz w:val="20"/>
                <w:szCs w:val="20"/>
              </w:rPr>
              <w:t>日；其他主要技</w:t>
            </w:r>
            <w:r>
              <w:rPr>
                <w:sz w:val="20"/>
                <w:szCs w:val="20"/>
              </w:rPr>
              <w:t xml:space="preserve"> </w:t>
            </w:r>
            <w:r>
              <w:rPr>
                <w:spacing w:val="4"/>
                <w:sz w:val="20"/>
                <w:szCs w:val="20"/>
              </w:rPr>
              <w:t>术人员</w:t>
            </w:r>
            <w:r>
              <w:rPr>
                <w:spacing w:val="-17"/>
                <w:sz w:val="20"/>
                <w:szCs w:val="20"/>
              </w:rPr>
              <w:t xml:space="preserve"> </w:t>
            </w:r>
            <w:r>
              <w:rPr>
                <w:spacing w:val="4"/>
                <w:sz w:val="20"/>
                <w:szCs w:val="20"/>
              </w:rPr>
              <w:t>1</w:t>
            </w:r>
            <w:r>
              <w:rPr>
                <w:spacing w:val="-31"/>
                <w:sz w:val="20"/>
                <w:szCs w:val="20"/>
              </w:rPr>
              <w:t xml:space="preserve"> </w:t>
            </w:r>
            <w:r>
              <w:rPr>
                <w:spacing w:val="4"/>
                <w:sz w:val="20"/>
                <w:szCs w:val="20"/>
              </w:rPr>
              <w:t>万元/</w:t>
            </w:r>
          </w:p>
          <w:p>
            <w:pPr>
              <w:pStyle w:val="17"/>
              <w:spacing w:line="230" w:lineRule="auto"/>
              <w:ind w:left="115"/>
              <w:rPr>
                <w:sz w:val="20"/>
                <w:szCs w:val="20"/>
              </w:rPr>
            </w:pPr>
            <w:r>
              <w:rPr>
                <w:spacing w:val="3"/>
                <w:sz w:val="20"/>
                <w:szCs w:val="20"/>
              </w:rPr>
              <w:t>人日</w:t>
            </w:r>
          </w:p>
        </w:tc>
        <w:tc>
          <w:tcPr>
            <w:tcW w:w="1774" w:type="dxa"/>
            <w:vAlign w:val="top"/>
          </w:tcPr>
          <w:p>
            <w:pPr>
              <w:pStyle w:val="17"/>
              <w:spacing w:before="34" w:line="377" w:lineRule="auto"/>
              <w:ind w:left="114" w:right="108" w:firstLine="4"/>
              <w:jc w:val="both"/>
              <w:rPr>
                <w:sz w:val="20"/>
                <w:szCs w:val="20"/>
              </w:rPr>
            </w:pPr>
            <w:r>
              <w:rPr>
                <w:spacing w:val="20"/>
                <w:sz w:val="20"/>
                <w:szCs w:val="20"/>
              </w:rPr>
              <w:t>如果承包人接到</w:t>
            </w:r>
            <w:r>
              <w:rPr>
                <w:sz w:val="20"/>
                <w:szCs w:val="20"/>
              </w:rPr>
              <w:t xml:space="preserve"> </w:t>
            </w:r>
            <w:r>
              <w:rPr>
                <w:spacing w:val="3"/>
                <w:sz w:val="20"/>
                <w:szCs w:val="20"/>
              </w:rPr>
              <w:t>通知后</w:t>
            </w:r>
            <w:r>
              <w:rPr>
                <w:spacing w:val="-34"/>
                <w:sz w:val="20"/>
                <w:szCs w:val="20"/>
              </w:rPr>
              <w:t xml:space="preserve"> </w:t>
            </w:r>
            <w:r>
              <w:rPr>
                <w:spacing w:val="3"/>
                <w:sz w:val="20"/>
                <w:szCs w:val="20"/>
              </w:rPr>
              <w:t>15</w:t>
            </w:r>
            <w:r>
              <w:rPr>
                <w:spacing w:val="-46"/>
                <w:sz w:val="20"/>
                <w:szCs w:val="20"/>
              </w:rPr>
              <w:t xml:space="preserve"> </w:t>
            </w:r>
            <w:r>
              <w:rPr>
                <w:spacing w:val="3"/>
                <w:sz w:val="20"/>
                <w:szCs w:val="20"/>
              </w:rPr>
              <w:t>天未安</w:t>
            </w:r>
            <w:r>
              <w:rPr>
                <w:sz w:val="20"/>
                <w:szCs w:val="20"/>
              </w:rPr>
              <w:t xml:space="preserve"> </w:t>
            </w:r>
            <w:r>
              <w:rPr>
                <w:spacing w:val="-1"/>
                <w:sz w:val="20"/>
                <w:szCs w:val="20"/>
              </w:rPr>
              <w:t>排</w:t>
            </w:r>
            <w:r>
              <w:rPr>
                <w:spacing w:val="-33"/>
                <w:sz w:val="20"/>
                <w:szCs w:val="20"/>
              </w:rPr>
              <w:t xml:space="preserve"> </w:t>
            </w:r>
            <w:r>
              <w:rPr>
                <w:spacing w:val="-1"/>
                <w:sz w:val="20"/>
                <w:szCs w:val="20"/>
              </w:rPr>
              <w:t>相</w:t>
            </w:r>
            <w:r>
              <w:rPr>
                <w:spacing w:val="-29"/>
                <w:sz w:val="20"/>
                <w:szCs w:val="20"/>
              </w:rPr>
              <w:t xml:space="preserve"> </w:t>
            </w:r>
            <w:r>
              <w:rPr>
                <w:spacing w:val="-1"/>
                <w:sz w:val="20"/>
                <w:szCs w:val="20"/>
              </w:rPr>
              <w:t>关</w:t>
            </w:r>
            <w:r>
              <w:rPr>
                <w:spacing w:val="-30"/>
                <w:sz w:val="20"/>
                <w:szCs w:val="20"/>
              </w:rPr>
              <w:t xml:space="preserve"> </w:t>
            </w:r>
            <w:r>
              <w:rPr>
                <w:spacing w:val="-1"/>
                <w:sz w:val="20"/>
                <w:szCs w:val="20"/>
              </w:rPr>
              <w:t>人</w:t>
            </w:r>
            <w:r>
              <w:rPr>
                <w:spacing w:val="-24"/>
                <w:sz w:val="20"/>
                <w:szCs w:val="20"/>
              </w:rPr>
              <w:t xml:space="preserve"> </w:t>
            </w:r>
            <w:r>
              <w:rPr>
                <w:spacing w:val="-1"/>
                <w:sz w:val="20"/>
                <w:szCs w:val="20"/>
              </w:rPr>
              <w:t>员</w:t>
            </w:r>
            <w:r>
              <w:rPr>
                <w:spacing w:val="-34"/>
                <w:sz w:val="20"/>
                <w:szCs w:val="20"/>
              </w:rPr>
              <w:t xml:space="preserve"> </w:t>
            </w:r>
            <w:r>
              <w:rPr>
                <w:spacing w:val="-1"/>
                <w:sz w:val="20"/>
                <w:szCs w:val="20"/>
              </w:rPr>
              <w:t>进</w:t>
            </w:r>
            <w:r>
              <w:rPr>
                <w:sz w:val="20"/>
                <w:szCs w:val="20"/>
              </w:rPr>
              <w:t xml:space="preserve"> </w:t>
            </w:r>
            <w:r>
              <w:rPr>
                <w:spacing w:val="20"/>
                <w:sz w:val="20"/>
                <w:szCs w:val="20"/>
              </w:rPr>
              <w:t>场，将要求其更</w:t>
            </w:r>
            <w:r>
              <w:rPr>
                <w:spacing w:val="4"/>
                <w:sz w:val="20"/>
                <w:szCs w:val="20"/>
              </w:rPr>
              <w:t xml:space="preserve"> </w:t>
            </w:r>
            <w:r>
              <w:rPr>
                <w:spacing w:val="13"/>
                <w:sz w:val="20"/>
                <w:szCs w:val="20"/>
              </w:rPr>
              <w:t>换人选，</w:t>
            </w:r>
            <w:r>
              <w:rPr>
                <w:spacing w:val="-47"/>
                <w:sz w:val="20"/>
                <w:szCs w:val="20"/>
              </w:rPr>
              <w:t xml:space="preserve"> </w:t>
            </w:r>
            <w:r>
              <w:rPr>
                <w:spacing w:val="13"/>
                <w:sz w:val="20"/>
                <w:szCs w:val="20"/>
              </w:rPr>
              <w:t>同时执</w:t>
            </w:r>
            <w:r>
              <w:rPr>
                <w:sz w:val="20"/>
                <w:szCs w:val="20"/>
              </w:rPr>
              <w:t xml:space="preserve"> </w:t>
            </w:r>
            <w:r>
              <w:rPr>
                <w:spacing w:val="20"/>
                <w:sz w:val="20"/>
                <w:szCs w:val="20"/>
              </w:rPr>
              <w:t>行人员更换违约</w:t>
            </w:r>
          </w:p>
          <w:p>
            <w:pPr>
              <w:pStyle w:val="17"/>
              <w:spacing w:line="227" w:lineRule="auto"/>
              <w:ind w:left="117"/>
              <w:rPr>
                <w:sz w:val="20"/>
                <w:szCs w:val="20"/>
              </w:rPr>
            </w:pPr>
            <w:r>
              <w:rPr>
                <w:spacing w:val="3"/>
                <w:sz w:val="20"/>
                <w:szCs w:val="20"/>
              </w:rPr>
              <w:t>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99" w:type="dxa"/>
            <w:vAlign w:val="top"/>
          </w:tcPr>
          <w:p>
            <w:pPr>
              <w:pStyle w:val="17"/>
              <w:spacing w:before="273" w:line="189" w:lineRule="auto"/>
              <w:ind w:left="353"/>
              <w:rPr>
                <w:sz w:val="20"/>
                <w:szCs w:val="20"/>
              </w:rPr>
            </w:pPr>
            <w:r>
              <w:rPr>
                <w:sz w:val="20"/>
                <w:szCs w:val="20"/>
              </w:rPr>
              <w:t>8</w:t>
            </w:r>
          </w:p>
        </w:tc>
        <w:tc>
          <w:tcPr>
            <w:tcW w:w="1153" w:type="dxa"/>
            <w:vAlign w:val="top"/>
          </w:tcPr>
          <w:p>
            <w:pPr>
              <w:pStyle w:val="17"/>
              <w:spacing w:before="240"/>
              <w:ind w:right="11"/>
              <w:jc w:val="right"/>
              <w:rPr>
                <w:sz w:val="20"/>
                <w:szCs w:val="20"/>
              </w:rPr>
            </w:pPr>
            <w:r>
              <w:rPr>
                <w:spacing w:val="3"/>
                <w:sz w:val="20"/>
                <w:szCs w:val="20"/>
              </w:rPr>
              <w:t>4.6.3（2）</w:t>
            </w:r>
          </w:p>
        </w:tc>
        <w:tc>
          <w:tcPr>
            <w:tcW w:w="3689" w:type="dxa"/>
            <w:vAlign w:val="top"/>
          </w:tcPr>
          <w:p>
            <w:pPr>
              <w:pStyle w:val="17"/>
              <w:spacing w:before="36" w:line="408" w:lineRule="exact"/>
              <w:ind w:left="111"/>
              <w:rPr>
                <w:sz w:val="20"/>
                <w:szCs w:val="20"/>
              </w:rPr>
            </w:pPr>
            <w:r>
              <w:rPr>
                <w:spacing w:val="16"/>
                <w:position w:val="15"/>
                <w:sz w:val="20"/>
                <w:szCs w:val="20"/>
              </w:rPr>
              <w:t>承包人的档案资料整理负责人在本项</w:t>
            </w:r>
          </w:p>
          <w:p>
            <w:pPr>
              <w:pStyle w:val="17"/>
              <w:spacing w:line="227" w:lineRule="auto"/>
              <w:ind w:left="151"/>
              <w:rPr>
                <w:sz w:val="20"/>
                <w:szCs w:val="20"/>
              </w:rPr>
            </w:pPr>
            <w:r>
              <w:rPr>
                <w:sz w:val="20"/>
                <w:szCs w:val="20"/>
              </w:rPr>
              <w:t>目连续工作不足</w:t>
            </w:r>
            <w:r>
              <w:rPr>
                <w:spacing w:val="-21"/>
                <w:sz w:val="20"/>
                <w:szCs w:val="20"/>
              </w:rPr>
              <w:t xml:space="preserve"> </w:t>
            </w:r>
            <w:r>
              <w:rPr>
                <w:sz w:val="20"/>
                <w:szCs w:val="20"/>
              </w:rPr>
              <w:t>1</w:t>
            </w:r>
            <w:r>
              <w:rPr>
                <w:spacing w:val="-40"/>
                <w:sz w:val="20"/>
                <w:szCs w:val="20"/>
              </w:rPr>
              <w:t xml:space="preserve"> </w:t>
            </w:r>
            <w:r>
              <w:rPr>
                <w:sz w:val="20"/>
                <w:szCs w:val="20"/>
              </w:rPr>
              <w:t>年。</w:t>
            </w:r>
          </w:p>
        </w:tc>
        <w:tc>
          <w:tcPr>
            <w:tcW w:w="1604" w:type="dxa"/>
            <w:vAlign w:val="top"/>
          </w:tcPr>
          <w:p>
            <w:pPr>
              <w:pStyle w:val="17"/>
              <w:spacing w:before="240" w:line="228" w:lineRule="auto"/>
              <w:ind w:left="129"/>
              <w:rPr>
                <w:sz w:val="20"/>
                <w:szCs w:val="20"/>
              </w:rPr>
            </w:pPr>
            <w:r>
              <w:rPr>
                <w:spacing w:val="1"/>
                <w:sz w:val="20"/>
                <w:szCs w:val="20"/>
              </w:rPr>
              <w:t>1</w:t>
            </w:r>
            <w:r>
              <w:rPr>
                <w:spacing w:val="-29"/>
                <w:sz w:val="20"/>
                <w:szCs w:val="20"/>
              </w:rPr>
              <w:t xml:space="preserve"> </w:t>
            </w:r>
            <w:r>
              <w:rPr>
                <w:spacing w:val="1"/>
                <w:sz w:val="20"/>
                <w:szCs w:val="20"/>
              </w:rPr>
              <w:t>万元/人次</w:t>
            </w:r>
          </w:p>
        </w:tc>
        <w:tc>
          <w:tcPr>
            <w:tcW w:w="1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799" w:type="dxa"/>
            <w:vAlign w:val="top"/>
          </w:tcPr>
          <w:p>
            <w:pPr>
              <w:pStyle w:val="17"/>
              <w:spacing w:before="274" w:line="189" w:lineRule="auto"/>
              <w:ind w:left="353"/>
              <w:rPr>
                <w:sz w:val="20"/>
                <w:szCs w:val="20"/>
              </w:rPr>
            </w:pPr>
            <w:r>
              <w:rPr>
                <w:sz w:val="20"/>
                <w:szCs w:val="20"/>
              </w:rPr>
              <w:t>9</w:t>
            </w:r>
          </w:p>
        </w:tc>
        <w:tc>
          <w:tcPr>
            <w:tcW w:w="1153" w:type="dxa"/>
            <w:vAlign w:val="top"/>
          </w:tcPr>
          <w:p>
            <w:pPr>
              <w:pStyle w:val="17"/>
              <w:spacing w:before="241"/>
              <w:ind w:right="11"/>
              <w:jc w:val="right"/>
              <w:rPr>
                <w:sz w:val="20"/>
                <w:szCs w:val="20"/>
              </w:rPr>
            </w:pPr>
            <w:r>
              <w:rPr>
                <w:spacing w:val="3"/>
                <w:sz w:val="20"/>
                <w:szCs w:val="20"/>
              </w:rPr>
              <w:t>4.6.3（3）</w:t>
            </w:r>
          </w:p>
        </w:tc>
        <w:tc>
          <w:tcPr>
            <w:tcW w:w="3689" w:type="dxa"/>
            <w:vAlign w:val="top"/>
          </w:tcPr>
          <w:p>
            <w:pPr>
              <w:pStyle w:val="17"/>
              <w:spacing w:before="37" w:line="408" w:lineRule="exact"/>
              <w:ind w:left="115"/>
              <w:rPr>
                <w:sz w:val="20"/>
                <w:szCs w:val="20"/>
              </w:rPr>
            </w:pPr>
            <w:r>
              <w:rPr>
                <w:spacing w:val="11"/>
                <w:position w:val="15"/>
                <w:sz w:val="20"/>
                <w:szCs w:val="20"/>
              </w:rPr>
              <w:t>项目经理、总工程师驻守现场不足</w:t>
            </w:r>
            <w:r>
              <w:rPr>
                <w:spacing w:val="-23"/>
                <w:position w:val="15"/>
                <w:sz w:val="20"/>
                <w:szCs w:val="20"/>
              </w:rPr>
              <w:t xml:space="preserve"> </w:t>
            </w:r>
            <w:r>
              <w:rPr>
                <w:spacing w:val="11"/>
                <w:position w:val="15"/>
                <w:sz w:val="20"/>
                <w:szCs w:val="20"/>
              </w:rPr>
              <w:t>22</w:t>
            </w:r>
          </w:p>
          <w:p>
            <w:pPr>
              <w:pStyle w:val="17"/>
              <w:spacing w:line="227" w:lineRule="auto"/>
              <w:ind w:left="115"/>
              <w:rPr>
                <w:sz w:val="20"/>
                <w:szCs w:val="20"/>
              </w:rPr>
            </w:pPr>
            <w:r>
              <w:rPr>
                <w:spacing w:val="8"/>
                <w:sz w:val="20"/>
                <w:szCs w:val="20"/>
              </w:rPr>
              <w:t>天/月，处以不足天数的违约金。</w:t>
            </w:r>
          </w:p>
        </w:tc>
        <w:tc>
          <w:tcPr>
            <w:tcW w:w="1604" w:type="dxa"/>
            <w:vAlign w:val="top"/>
          </w:tcPr>
          <w:p>
            <w:pPr>
              <w:pStyle w:val="17"/>
              <w:spacing w:before="241" w:line="228" w:lineRule="auto"/>
              <w:ind w:left="118"/>
              <w:rPr>
                <w:sz w:val="20"/>
                <w:szCs w:val="20"/>
              </w:rPr>
            </w:pPr>
            <w:r>
              <w:rPr>
                <w:spacing w:val="4"/>
                <w:sz w:val="20"/>
                <w:szCs w:val="20"/>
              </w:rPr>
              <w:t>5000</w:t>
            </w:r>
            <w:r>
              <w:rPr>
                <w:spacing w:val="-37"/>
                <w:sz w:val="20"/>
                <w:szCs w:val="20"/>
              </w:rPr>
              <w:t xml:space="preserve"> </w:t>
            </w:r>
            <w:r>
              <w:rPr>
                <w:spacing w:val="4"/>
                <w:sz w:val="20"/>
                <w:szCs w:val="20"/>
              </w:rPr>
              <w:t>元/人/天</w:t>
            </w:r>
          </w:p>
        </w:tc>
        <w:tc>
          <w:tcPr>
            <w:tcW w:w="1774" w:type="dxa"/>
            <w:vAlign w:val="top"/>
          </w:tcPr>
          <w:p>
            <w:pPr>
              <w:rPr>
                <w:rFonts w:ascii="Arial"/>
                <w:sz w:val="21"/>
              </w:rPr>
            </w:pPr>
          </w:p>
        </w:tc>
      </w:tr>
    </w:tbl>
    <w:p>
      <w:pPr>
        <w:rPr>
          <w:rFonts w:ascii="Arial"/>
          <w:sz w:val="21"/>
        </w:rPr>
      </w:pPr>
    </w:p>
    <w:p>
      <w:pPr>
        <w:spacing w:before="228"/>
      </w:pPr>
    </w:p>
    <w:p>
      <w:pPr>
        <w:pStyle w:val="12"/>
      </w:pPr>
    </w:p>
    <w:tbl>
      <w:tblPr>
        <w:tblStyle w:val="16"/>
        <w:tblW w:w="9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153"/>
        <w:gridCol w:w="3689"/>
        <w:gridCol w:w="1604"/>
        <w:gridCol w:w="17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99" w:type="dxa"/>
            <w:vAlign w:val="top"/>
          </w:tcPr>
          <w:p>
            <w:pPr>
              <w:pStyle w:val="17"/>
              <w:spacing w:before="36" w:line="229" w:lineRule="auto"/>
              <w:ind w:left="193"/>
              <w:rPr>
                <w:sz w:val="20"/>
                <w:szCs w:val="20"/>
              </w:rPr>
            </w:pPr>
            <w:r>
              <w:rPr>
                <w:spacing w:val="6"/>
                <w:sz w:val="20"/>
                <w:szCs w:val="20"/>
                <w14:textOutline w14:w="3795" w14:cap="sq" w14:cmpd="sng">
                  <w14:solidFill>
                    <w14:srgbClr w14:val="000000"/>
                  </w14:solidFill>
                  <w14:prstDash w14:val="solid"/>
                  <w14:bevel/>
                </w14:textOutline>
              </w:rPr>
              <w:t>序号</w:t>
            </w:r>
          </w:p>
        </w:tc>
        <w:tc>
          <w:tcPr>
            <w:tcW w:w="1153" w:type="dxa"/>
            <w:vAlign w:val="top"/>
          </w:tcPr>
          <w:p>
            <w:pPr>
              <w:pStyle w:val="17"/>
              <w:spacing w:before="36" w:line="227" w:lineRule="auto"/>
              <w:ind w:left="161"/>
              <w:rPr>
                <w:sz w:val="20"/>
                <w:szCs w:val="20"/>
              </w:rPr>
            </w:pPr>
            <w:r>
              <w:rPr>
                <w:spacing w:val="8"/>
                <w:sz w:val="20"/>
                <w:szCs w:val="20"/>
                <w14:textOutline w14:w="3795" w14:cap="sq" w14:cmpd="sng">
                  <w14:solidFill>
                    <w14:srgbClr w14:val="000000"/>
                  </w14:solidFill>
                  <w14:prstDash w14:val="solid"/>
                  <w14:bevel/>
                </w14:textOutline>
              </w:rPr>
              <w:t>合同依据</w:t>
            </w:r>
          </w:p>
        </w:tc>
        <w:tc>
          <w:tcPr>
            <w:tcW w:w="3689" w:type="dxa"/>
            <w:vAlign w:val="top"/>
          </w:tcPr>
          <w:p>
            <w:pPr>
              <w:pStyle w:val="17"/>
              <w:spacing w:before="35" w:line="228" w:lineRule="auto"/>
              <w:ind w:left="1438"/>
              <w:rPr>
                <w:sz w:val="20"/>
                <w:szCs w:val="20"/>
              </w:rPr>
            </w:pPr>
            <w:r>
              <w:rPr>
                <w:spacing w:val="8"/>
                <w:sz w:val="20"/>
                <w:szCs w:val="20"/>
                <w14:textOutline w14:w="3795" w14:cap="sq" w14:cmpd="sng">
                  <w14:solidFill>
                    <w14:srgbClr w14:val="000000"/>
                  </w14:solidFill>
                  <w14:prstDash w14:val="solid"/>
                  <w14:bevel/>
                </w14:textOutline>
              </w:rPr>
              <w:t>违约内容</w:t>
            </w:r>
          </w:p>
        </w:tc>
        <w:tc>
          <w:tcPr>
            <w:tcW w:w="1604" w:type="dxa"/>
            <w:vAlign w:val="top"/>
          </w:tcPr>
          <w:p>
            <w:pPr>
              <w:pStyle w:val="17"/>
              <w:spacing w:before="36" w:line="228" w:lineRule="auto"/>
              <w:ind w:left="284"/>
              <w:rPr>
                <w:sz w:val="20"/>
                <w:szCs w:val="20"/>
              </w:rPr>
            </w:pPr>
            <w:r>
              <w:rPr>
                <w:spacing w:val="8"/>
                <w:sz w:val="20"/>
                <w:szCs w:val="20"/>
                <w14:textOutline w14:w="3795" w14:cap="sq" w14:cmpd="sng">
                  <w14:solidFill>
                    <w14:srgbClr w14:val="000000"/>
                  </w14:solidFill>
                  <w14:prstDash w14:val="solid"/>
                  <w14:bevel/>
                </w14:textOutline>
              </w:rPr>
              <w:t>违约金标准</w:t>
            </w:r>
          </w:p>
        </w:tc>
        <w:tc>
          <w:tcPr>
            <w:tcW w:w="1774" w:type="dxa"/>
            <w:vAlign w:val="top"/>
          </w:tcPr>
          <w:p>
            <w:pPr>
              <w:pStyle w:val="17"/>
              <w:spacing w:before="36" w:line="229" w:lineRule="auto"/>
              <w:ind w:left="684"/>
              <w:rPr>
                <w:sz w:val="20"/>
                <w:szCs w:val="20"/>
              </w:rPr>
            </w:pPr>
            <w:r>
              <w:rPr>
                <w:spacing w:val="4"/>
                <w:sz w:val="20"/>
                <w:szCs w:val="20"/>
                <w14:textOutline w14:w="3795"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79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7"/>
              <w:spacing w:before="65" w:line="190" w:lineRule="auto"/>
              <w:ind w:left="315"/>
              <w:rPr>
                <w:sz w:val="20"/>
                <w:szCs w:val="20"/>
              </w:rPr>
            </w:pPr>
            <w:r>
              <w:rPr>
                <w:spacing w:val="-7"/>
                <w:sz w:val="20"/>
                <w:szCs w:val="20"/>
              </w:rPr>
              <w:t>10</w:t>
            </w:r>
          </w:p>
        </w:tc>
        <w:tc>
          <w:tcPr>
            <w:tcW w:w="1153"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17"/>
              <w:spacing w:before="65"/>
              <w:ind w:right="11"/>
              <w:jc w:val="right"/>
              <w:rPr>
                <w:sz w:val="20"/>
                <w:szCs w:val="20"/>
              </w:rPr>
            </w:pPr>
            <w:r>
              <w:rPr>
                <w:spacing w:val="3"/>
                <w:sz w:val="20"/>
                <w:szCs w:val="20"/>
              </w:rPr>
              <w:t>4.6.3（4）</w:t>
            </w:r>
          </w:p>
        </w:tc>
        <w:tc>
          <w:tcPr>
            <w:tcW w:w="3689" w:type="dxa"/>
            <w:vAlign w:val="top"/>
          </w:tcPr>
          <w:p>
            <w:pPr>
              <w:pStyle w:val="17"/>
              <w:spacing w:before="30" w:line="377" w:lineRule="auto"/>
              <w:ind w:left="111" w:right="105"/>
              <w:rPr>
                <w:sz w:val="20"/>
                <w:szCs w:val="20"/>
              </w:rPr>
            </w:pPr>
            <w:r>
              <w:rPr>
                <w:spacing w:val="16"/>
                <w:sz w:val="20"/>
                <w:szCs w:val="20"/>
              </w:rPr>
              <w:t>专职安全生产管理人员没有按规定配</w:t>
            </w:r>
            <w:r>
              <w:rPr>
                <w:spacing w:val="6"/>
                <w:sz w:val="20"/>
                <w:szCs w:val="20"/>
              </w:rPr>
              <w:t xml:space="preserve"> 备：年度施工产值</w:t>
            </w:r>
            <w:r>
              <w:rPr>
                <w:spacing w:val="-17"/>
                <w:sz w:val="20"/>
                <w:szCs w:val="20"/>
              </w:rPr>
              <w:t xml:space="preserve"> </w:t>
            </w:r>
            <w:r>
              <w:rPr>
                <w:spacing w:val="6"/>
                <w:sz w:val="20"/>
                <w:szCs w:val="20"/>
              </w:rPr>
              <w:t>5000</w:t>
            </w:r>
            <w:r>
              <w:rPr>
                <w:spacing w:val="-35"/>
                <w:sz w:val="20"/>
                <w:szCs w:val="20"/>
              </w:rPr>
              <w:t xml:space="preserve"> </w:t>
            </w:r>
            <w:r>
              <w:rPr>
                <w:spacing w:val="6"/>
                <w:sz w:val="20"/>
                <w:szCs w:val="20"/>
              </w:rPr>
              <w:t>万元以上不足</w:t>
            </w:r>
            <w:r>
              <w:rPr>
                <w:sz w:val="20"/>
                <w:szCs w:val="20"/>
              </w:rPr>
              <w:t xml:space="preserve"> </w:t>
            </w:r>
            <w:r>
              <w:rPr>
                <w:spacing w:val="6"/>
                <w:sz w:val="20"/>
                <w:szCs w:val="20"/>
              </w:rPr>
              <w:t>2</w:t>
            </w:r>
            <w:r>
              <w:rPr>
                <w:spacing w:val="-32"/>
                <w:sz w:val="20"/>
                <w:szCs w:val="20"/>
              </w:rPr>
              <w:t xml:space="preserve"> </w:t>
            </w:r>
            <w:r>
              <w:rPr>
                <w:spacing w:val="6"/>
                <w:sz w:val="20"/>
                <w:szCs w:val="20"/>
              </w:rPr>
              <w:t>亿元的按每</w:t>
            </w:r>
            <w:r>
              <w:rPr>
                <w:spacing w:val="-30"/>
                <w:sz w:val="20"/>
                <w:szCs w:val="20"/>
              </w:rPr>
              <w:t xml:space="preserve"> </w:t>
            </w:r>
            <w:r>
              <w:rPr>
                <w:spacing w:val="6"/>
                <w:sz w:val="20"/>
                <w:szCs w:val="20"/>
              </w:rPr>
              <w:t>5000</w:t>
            </w:r>
            <w:r>
              <w:rPr>
                <w:spacing w:val="-28"/>
                <w:sz w:val="20"/>
                <w:szCs w:val="20"/>
              </w:rPr>
              <w:t xml:space="preserve"> </w:t>
            </w:r>
            <w:r>
              <w:rPr>
                <w:spacing w:val="6"/>
                <w:sz w:val="20"/>
                <w:szCs w:val="20"/>
              </w:rPr>
              <w:t>万元不少于</w:t>
            </w:r>
            <w:r>
              <w:rPr>
                <w:spacing w:val="-19"/>
                <w:sz w:val="20"/>
                <w:szCs w:val="20"/>
              </w:rPr>
              <w:t xml:space="preserve"> </w:t>
            </w:r>
            <w:r>
              <w:rPr>
                <w:spacing w:val="6"/>
                <w:sz w:val="20"/>
                <w:szCs w:val="20"/>
              </w:rPr>
              <w:t>1</w:t>
            </w:r>
            <w:r>
              <w:rPr>
                <w:spacing w:val="-33"/>
                <w:sz w:val="20"/>
                <w:szCs w:val="20"/>
              </w:rPr>
              <w:t xml:space="preserve"> </w:t>
            </w:r>
            <w:r>
              <w:rPr>
                <w:spacing w:val="6"/>
                <w:sz w:val="20"/>
                <w:szCs w:val="20"/>
              </w:rPr>
              <w:t>名的</w:t>
            </w:r>
            <w:r>
              <w:rPr>
                <w:sz w:val="20"/>
                <w:szCs w:val="20"/>
              </w:rPr>
              <w:t xml:space="preserve"> </w:t>
            </w:r>
            <w:r>
              <w:rPr>
                <w:spacing w:val="4"/>
                <w:sz w:val="20"/>
                <w:szCs w:val="20"/>
              </w:rPr>
              <w:t>比例配备；2</w:t>
            </w:r>
            <w:r>
              <w:rPr>
                <w:spacing w:val="-32"/>
                <w:sz w:val="20"/>
                <w:szCs w:val="20"/>
              </w:rPr>
              <w:t xml:space="preserve"> </w:t>
            </w:r>
            <w:r>
              <w:rPr>
                <w:spacing w:val="4"/>
                <w:sz w:val="20"/>
                <w:szCs w:val="20"/>
              </w:rPr>
              <w:t>亿元以上的不少于</w:t>
            </w:r>
            <w:r>
              <w:rPr>
                <w:spacing w:val="-35"/>
                <w:sz w:val="20"/>
                <w:szCs w:val="20"/>
              </w:rPr>
              <w:t xml:space="preserve"> </w:t>
            </w:r>
            <w:r>
              <w:rPr>
                <w:spacing w:val="4"/>
                <w:sz w:val="20"/>
                <w:szCs w:val="20"/>
              </w:rPr>
              <w:t>5</w:t>
            </w:r>
            <w:r>
              <w:rPr>
                <w:spacing w:val="-35"/>
                <w:sz w:val="20"/>
                <w:szCs w:val="20"/>
              </w:rPr>
              <w:t xml:space="preserve"> </w:t>
            </w:r>
            <w:r>
              <w:rPr>
                <w:spacing w:val="4"/>
                <w:sz w:val="20"/>
                <w:szCs w:val="20"/>
              </w:rPr>
              <w:t>名，</w:t>
            </w:r>
            <w:r>
              <w:rPr>
                <w:sz w:val="20"/>
                <w:szCs w:val="20"/>
              </w:rPr>
              <w:t xml:space="preserve"> </w:t>
            </w:r>
            <w:r>
              <w:rPr>
                <w:spacing w:val="6"/>
                <w:sz w:val="20"/>
                <w:szCs w:val="20"/>
              </w:rPr>
              <w:t>且按专业配备（不足</w:t>
            </w:r>
            <w:r>
              <w:rPr>
                <w:spacing w:val="-17"/>
                <w:sz w:val="20"/>
                <w:szCs w:val="20"/>
              </w:rPr>
              <w:t xml:space="preserve"> </w:t>
            </w:r>
            <w:r>
              <w:rPr>
                <w:spacing w:val="6"/>
                <w:sz w:val="20"/>
                <w:szCs w:val="20"/>
              </w:rPr>
              <w:t>5000</w:t>
            </w:r>
            <w:r>
              <w:rPr>
                <w:spacing w:val="-35"/>
                <w:sz w:val="20"/>
                <w:szCs w:val="20"/>
              </w:rPr>
              <w:t xml:space="preserve"> </w:t>
            </w:r>
            <w:r>
              <w:rPr>
                <w:spacing w:val="6"/>
                <w:sz w:val="20"/>
                <w:szCs w:val="20"/>
              </w:rPr>
              <w:t>万至少配备</w:t>
            </w:r>
          </w:p>
          <w:p>
            <w:pPr>
              <w:pStyle w:val="17"/>
              <w:spacing w:line="231" w:lineRule="auto"/>
              <w:ind w:left="127"/>
              <w:rPr>
                <w:sz w:val="20"/>
                <w:szCs w:val="20"/>
              </w:rPr>
            </w:pPr>
            <w:r>
              <w:rPr>
                <w:spacing w:val="-6"/>
                <w:sz w:val="20"/>
                <w:szCs w:val="20"/>
              </w:rPr>
              <w:t>1</w:t>
            </w:r>
            <w:r>
              <w:rPr>
                <w:spacing w:val="-34"/>
                <w:sz w:val="20"/>
                <w:szCs w:val="20"/>
              </w:rPr>
              <w:t xml:space="preserve"> </w:t>
            </w:r>
            <w:r>
              <w:rPr>
                <w:spacing w:val="-6"/>
                <w:sz w:val="20"/>
                <w:szCs w:val="20"/>
              </w:rPr>
              <w:t>名）。</w:t>
            </w:r>
          </w:p>
        </w:tc>
        <w:tc>
          <w:tcPr>
            <w:tcW w:w="160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7"/>
              <w:spacing w:before="65" w:line="228" w:lineRule="auto"/>
              <w:ind w:left="118"/>
              <w:rPr>
                <w:sz w:val="20"/>
                <w:szCs w:val="20"/>
              </w:rPr>
            </w:pPr>
            <w:r>
              <w:rPr>
                <w:spacing w:val="3"/>
                <w:sz w:val="20"/>
                <w:szCs w:val="20"/>
              </w:rPr>
              <w:t>5</w:t>
            </w:r>
            <w:r>
              <w:rPr>
                <w:spacing w:val="-30"/>
                <w:sz w:val="20"/>
                <w:szCs w:val="20"/>
              </w:rPr>
              <w:t xml:space="preserve"> </w:t>
            </w:r>
            <w:r>
              <w:rPr>
                <w:spacing w:val="3"/>
                <w:sz w:val="20"/>
                <w:szCs w:val="20"/>
              </w:rPr>
              <w:t>万元/人次</w:t>
            </w:r>
          </w:p>
        </w:tc>
        <w:tc>
          <w:tcPr>
            <w:tcW w:w="1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799" w:type="dxa"/>
            <w:vAlign w:val="top"/>
          </w:tcPr>
          <w:p>
            <w:pPr>
              <w:spacing w:line="405" w:lineRule="auto"/>
              <w:rPr>
                <w:rFonts w:ascii="Arial"/>
                <w:sz w:val="21"/>
              </w:rPr>
            </w:pPr>
          </w:p>
          <w:p>
            <w:pPr>
              <w:pStyle w:val="17"/>
              <w:spacing w:before="65" w:line="189" w:lineRule="auto"/>
              <w:ind w:left="315"/>
              <w:rPr>
                <w:sz w:val="20"/>
                <w:szCs w:val="20"/>
              </w:rPr>
            </w:pPr>
            <w:r>
              <w:rPr>
                <w:spacing w:val="-7"/>
                <w:sz w:val="20"/>
                <w:szCs w:val="20"/>
              </w:rPr>
              <w:t>11</w:t>
            </w:r>
          </w:p>
        </w:tc>
        <w:tc>
          <w:tcPr>
            <w:tcW w:w="1153" w:type="dxa"/>
            <w:vAlign w:val="top"/>
          </w:tcPr>
          <w:p>
            <w:pPr>
              <w:spacing w:line="372" w:lineRule="auto"/>
              <w:rPr>
                <w:rFonts w:ascii="Arial"/>
                <w:sz w:val="21"/>
              </w:rPr>
            </w:pPr>
          </w:p>
          <w:p>
            <w:pPr>
              <w:pStyle w:val="17"/>
              <w:spacing w:before="65"/>
              <w:ind w:right="11"/>
              <w:jc w:val="right"/>
              <w:rPr>
                <w:sz w:val="20"/>
                <w:szCs w:val="20"/>
              </w:rPr>
            </w:pPr>
            <w:r>
              <w:rPr>
                <w:spacing w:val="3"/>
                <w:sz w:val="20"/>
                <w:szCs w:val="20"/>
              </w:rPr>
              <w:t>4.6.3（5）</w:t>
            </w:r>
          </w:p>
        </w:tc>
        <w:tc>
          <w:tcPr>
            <w:tcW w:w="3689" w:type="dxa"/>
            <w:vAlign w:val="top"/>
          </w:tcPr>
          <w:p>
            <w:pPr>
              <w:pStyle w:val="17"/>
              <w:spacing w:before="31" w:line="377" w:lineRule="auto"/>
              <w:ind w:left="114" w:right="105"/>
              <w:jc w:val="both"/>
              <w:rPr>
                <w:sz w:val="20"/>
                <w:szCs w:val="20"/>
              </w:rPr>
            </w:pPr>
            <w:r>
              <w:rPr>
                <w:spacing w:val="16"/>
                <w:sz w:val="20"/>
                <w:szCs w:val="20"/>
              </w:rPr>
              <w:t>项目经理或总工程师无故缺席发包人</w:t>
            </w:r>
            <w:r>
              <w:rPr>
                <w:spacing w:val="4"/>
                <w:sz w:val="20"/>
                <w:szCs w:val="20"/>
              </w:rPr>
              <w:t xml:space="preserve"> </w:t>
            </w:r>
            <w:r>
              <w:rPr>
                <w:spacing w:val="3"/>
                <w:sz w:val="20"/>
                <w:szCs w:val="20"/>
              </w:rPr>
              <w:t>指定的各种会议，包括监理人主持的重</w:t>
            </w:r>
          </w:p>
          <w:p>
            <w:pPr>
              <w:pStyle w:val="17"/>
              <w:spacing w:line="226" w:lineRule="auto"/>
              <w:ind w:left="112"/>
              <w:rPr>
                <w:sz w:val="20"/>
                <w:szCs w:val="20"/>
              </w:rPr>
            </w:pPr>
            <w:r>
              <w:rPr>
                <w:spacing w:val="7"/>
                <w:sz w:val="20"/>
                <w:szCs w:val="20"/>
              </w:rPr>
              <w:t>要会议（如工地例会等）。</w:t>
            </w:r>
          </w:p>
        </w:tc>
        <w:tc>
          <w:tcPr>
            <w:tcW w:w="1604" w:type="dxa"/>
            <w:vAlign w:val="top"/>
          </w:tcPr>
          <w:p>
            <w:pPr>
              <w:spacing w:line="372" w:lineRule="auto"/>
              <w:rPr>
                <w:rFonts w:ascii="Arial"/>
                <w:sz w:val="21"/>
              </w:rPr>
            </w:pPr>
          </w:p>
          <w:p>
            <w:pPr>
              <w:pStyle w:val="17"/>
              <w:spacing w:before="65" w:line="228" w:lineRule="auto"/>
              <w:ind w:left="129"/>
              <w:rPr>
                <w:sz w:val="20"/>
                <w:szCs w:val="20"/>
              </w:rPr>
            </w:pPr>
            <w:r>
              <w:rPr>
                <w:sz w:val="20"/>
                <w:szCs w:val="20"/>
              </w:rPr>
              <w:t>1</w:t>
            </w:r>
            <w:r>
              <w:rPr>
                <w:spacing w:val="-32"/>
                <w:sz w:val="20"/>
                <w:szCs w:val="20"/>
              </w:rPr>
              <w:t xml:space="preserve"> </w:t>
            </w:r>
            <w:r>
              <w:rPr>
                <w:sz w:val="20"/>
                <w:szCs w:val="20"/>
              </w:rPr>
              <w:t>万元/次</w:t>
            </w:r>
          </w:p>
        </w:tc>
        <w:tc>
          <w:tcPr>
            <w:tcW w:w="1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799" w:type="dxa"/>
            <w:vAlign w:val="top"/>
          </w:tcPr>
          <w:p>
            <w:pPr>
              <w:spacing w:line="407" w:lineRule="auto"/>
              <w:rPr>
                <w:rFonts w:ascii="Arial"/>
                <w:sz w:val="21"/>
              </w:rPr>
            </w:pPr>
          </w:p>
          <w:p>
            <w:pPr>
              <w:pStyle w:val="17"/>
              <w:spacing w:before="65" w:line="189" w:lineRule="auto"/>
              <w:ind w:left="315"/>
              <w:rPr>
                <w:sz w:val="20"/>
                <w:szCs w:val="20"/>
              </w:rPr>
            </w:pPr>
            <w:r>
              <w:rPr>
                <w:spacing w:val="-7"/>
                <w:sz w:val="20"/>
                <w:szCs w:val="20"/>
              </w:rPr>
              <w:t>12</w:t>
            </w:r>
          </w:p>
        </w:tc>
        <w:tc>
          <w:tcPr>
            <w:tcW w:w="1153" w:type="dxa"/>
            <w:vAlign w:val="top"/>
          </w:tcPr>
          <w:p>
            <w:pPr>
              <w:spacing w:line="407" w:lineRule="auto"/>
              <w:rPr>
                <w:rFonts w:ascii="Arial"/>
                <w:sz w:val="21"/>
              </w:rPr>
            </w:pPr>
          </w:p>
          <w:p>
            <w:pPr>
              <w:pStyle w:val="17"/>
              <w:spacing w:before="65" w:line="189" w:lineRule="auto"/>
              <w:ind w:left="315"/>
              <w:rPr>
                <w:sz w:val="20"/>
                <w:szCs w:val="20"/>
              </w:rPr>
            </w:pPr>
            <w:r>
              <w:rPr>
                <w:spacing w:val="3"/>
                <w:sz w:val="20"/>
                <w:szCs w:val="20"/>
              </w:rPr>
              <w:t>4.6.6</w:t>
            </w:r>
          </w:p>
        </w:tc>
        <w:tc>
          <w:tcPr>
            <w:tcW w:w="3689" w:type="dxa"/>
            <w:vAlign w:val="top"/>
          </w:tcPr>
          <w:p>
            <w:pPr>
              <w:pStyle w:val="17"/>
              <w:spacing w:before="33" w:line="377" w:lineRule="auto"/>
              <w:ind w:left="114" w:right="62"/>
              <w:jc w:val="both"/>
              <w:rPr>
                <w:sz w:val="20"/>
                <w:szCs w:val="20"/>
              </w:rPr>
            </w:pPr>
            <w:r>
              <w:rPr>
                <w:spacing w:val="6"/>
                <w:sz w:val="20"/>
                <w:szCs w:val="20"/>
              </w:rPr>
              <w:t>不签订劳动合同、非法使用农民工的，</w:t>
            </w:r>
            <w:r>
              <w:rPr>
                <w:spacing w:val="3"/>
                <w:sz w:val="20"/>
                <w:szCs w:val="20"/>
              </w:rPr>
              <w:t xml:space="preserve"> 或者拖延和克扣农民工工资的，由此造</w:t>
            </w:r>
          </w:p>
          <w:p>
            <w:pPr>
              <w:pStyle w:val="17"/>
              <w:spacing w:line="227" w:lineRule="auto"/>
              <w:ind w:left="113"/>
              <w:rPr>
                <w:sz w:val="20"/>
                <w:szCs w:val="20"/>
              </w:rPr>
            </w:pPr>
            <w:r>
              <w:rPr>
                <w:spacing w:val="8"/>
                <w:sz w:val="20"/>
                <w:szCs w:val="20"/>
              </w:rPr>
              <w:t>成劳务人员上访或劳动纠纷的。</w:t>
            </w:r>
          </w:p>
        </w:tc>
        <w:tc>
          <w:tcPr>
            <w:tcW w:w="1604" w:type="dxa"/>
            <w:vAlign w:val="top"/>
          </w:tcPr>
          <w:p>
            <w:pPr>
              <w:spacing w:line="374" w:lineRule="auto"/>
              <w:rPr>
                <w:rFonts w:ascii="Arial"/>
                <w:sz w:val="21"/>
              </w:rPr>
            </w:pPr>
          </w:p>
          <w:p>
            <w:pPr>
              <w:pStyle w:val="17"/>
              <w:spacing w:before="65" w:line="228" w:lineRule="auto"/>
              <w:ind w:left="129"/>
              <w:rPr>
                <w:sz w:val="20"/>
                <w:szCs w:val="20"/>
              </w:rPr>
            </w:pPr>
            <w:r>
              <w:rPr>
                <w:sz w:val="20"/>
                <w:szCs w:val="20"/>
              </w:rPr>
              <w:t>10</w:t>
            </w:r>
            <w:r>
              <w:rPr>
                <w:spacing w:val="-29"/>
                <w:sz w:val="20"/>
                <w:szCs w:val="20"/>
              </w:rPr>
              <w:t xml:space="preserve"> </w:t>
            </w:r>
            <w:r>
              <w:rPr>
                <w:sz w:val="20"/>
                <w:szCs w:val="20"/>
              </w:rPr>
              <w:t>万元/次</w:t>
            </w:r>
          </w:p>
        </w:tc>
        <w:tc>
          <w:tcPr>
            <w:tcW w:w="1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799" w:type="dxa"/>
            <w:vAlign w:val="top"/>
          </w:tcPr>
          <w:p>
            <w:pPr>
              <w:spacing w:line="405" w:lineRule="auto"/>
              <w:rPr>
                <w:rFonts w:ascii="Arial"/>
                <w:sz w:val="21"/>
              </w:rPr>
            </w:pPr>
          </w:p>
          <w:p>
            <w:pPr>
              <w:pStyle w:val="17"/>
              <w:spacing w:before="65" w:line="190" w:lineRule="auto"/>
              <w:ind w:left="315"/>
              <w:rPr>
                <w:sz w:val="20"/>
                <w:szCs w:val="20"/>
              </w:rPr>
            </w:pPr>
            <w:r>
              <w:rPr>
                <w:spacing w:val="-7"/>
                <w:sz w:val="20"/>
                <w:szCs w:val="20"/>
              </w:rPr>
              <w:t>13</w:t>
            </w:r>
          </w:p>
        </w:tc>
        <w:tc>
          <w:tcPr>
            <w:tcW w:w="1153" w:type="dxa"/>
            <w:vAlign w:val="top"/>
          </w:tcPr>
          <w:p>
            <w:pPr>
              <w:spacing w:line="406" w:lineRule="auto"/>
              <w:rPr>
                <w:rFonts w:ascii="Arial"/>
                <w:sz w:val="21"/>
              </w:rPr>
            </w:pPr>
          </w:p>
          <w:p>
            <w:pPr>
              <w:pStyle w:val="17"/>
              <w:spacing w:before="65" w:line="189" w:lineRule="auto"/>
              <w:ind w:left="315"/>
              <w:rPr>
                <w:sz w:val="20"/>
                <w:szCs w:val="20"/>
              </w:rPr>
            </w:pPr>
            <w:r>
              <w:rPr>
                <w:spacing w:val="3"/>
                <w:sz w:val="20"/>
                <w:szCs w:val="20"/>
              </w:rPr>
              <w:t>4.6.6</w:t>
            </w:r>
          </w:p>
        </w:tc>
        <w:tc>
          <w:tcPr>
            <w:tcW w:w="3689" w:type="dxa"/>
            <w:vAlign w:val="top"/>
          </w:tcPr>
          <w:p>
            <w:pPr>
              <w:pStyle w:val="17"/>
              <w:spacing w:before="32" w:line="378" w:lineRule="auto"/>
              <w:ind w:left="114" w:right="107"/>
              <w:jc w:val="both"/>
              <w:rPr>
                <w:sz w:val="20"/>
                <w:szCs w:val="20"/>
              </w:rPr>
            </w:pPr>
            <w:r>
              <w:rPr>
                <w:spacing w:val="3"/>
                <w:sz w:val="20"/>
                <w:szCs w:val="20"/>
              </w:rPr>
              <w:t>未按交通运输主管部门、上级主管或管</w:t>
            </w:r>
            <w:r>
              <w:rPr>
                <w:spacing w:val="9"/>
                <w:sz w:val="20"/>
                <w:szCs w:val="20"/>
              </w:rPr>
              <w:t xml:space="preserve"> </w:t>
            </w:r>
            <w:r>
              <w:rPr>
                <w:spacing w:val="16"/>
                <w:sz w:val="20"/>
                <w:szCs w:val="20"/>
              </w:rPr>
              <w:t>理单位等要求落实从业人员实名制管</w:t>
            </w:r>
          </w:p>
          <w:p>
            <w:pPr>
              <w:pStyle w:val="17"/>
              <w:spacing w:line="227" w:lineRule="auto"/>
              <w:ind w:left="114"/>
              <w:rPr>
                <w:sz w:val="20"/>
                <w:szCs w:val="20"/>
              </w:rPr>
            </w:pPr>
            <w:r>
              <w:rPr>
                <w:spacing w:val="7"/>
                <w:sz w:val="20"/>
                <w:szCs w:val="20"/>
              </w:rPr>
              <w:t>理和工资支付管理的。</w:t>
            </w:r>
          </w:p>
        </w:tc>
        <w:tc>
          <w:tcPr>
            <w:tcW w:w="1604" w:type="dxa"/>
            <w:vAlign w:val="top"/>
          </w:tcPr>
          <w:p>
            <w:pPr>
              <w:spacing w:line="373" w:lineRule="auto"/>
              <w:rPr>
                <w:rFonts w:ascii="Arial"/>
                <w:sz w:val="21"/>
              </w:rPr>
            </w:pPr>
          </w:p>
          <w:p>
            <w:pPr>
              <w:pStyle w:val="17"/>
              <w:spacing w:before="65" w:line="228" w:lineRule="auto"/>
              <w:ind w:left="118"/>
              <w:rPr>
                <w:sz w:val="20"/>
                <w:szCs w:val="20"/>
              </w:rPr>
            </w:pPr>
            <w:r>
              <w:rPr>
                <w:spacing w:val="2"/>
                <w:sz w:val="20"/>
                <w:szCs w:val="20"/>
              </w:rPr>
              <w:t>5</w:t>
            </w:r>
            <w:r>
              <w:rPr>
                <w:spacing w:val="-31"/>
                <w:sz w:val="20"/>
                <w:szCs w:val="20"/>
              </w:rPr>
              <w:t xml:space="preserve"> </w:t>
            </w:r>
            <w:r>
              <w:rPr>
                <w:spacing w:val="2"/>
                <w:sz w:val="20"/>
                <w:szCs w:val="20"/>
              </w:rPr>
              <w:t>万元/次</w:t>
            </w:r>
          </w:p>
        </w:tc>
        <w:tc>
          <w:tcPr>
            <w:tcW w:w="1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799" w:type="dxa"/>
            <w:vAlign w:val="top"/>
          </w:tcPr>
          <w:p>
            <w:pPr>
              <w:pStyle w:val="17"/>
              <w:spacing w:before="285" w:line="189" w:lineRule="auto"/>
              <w:ind w:left="315"/>
              <w:rPr>
                <w:sz w:val="20"/>
                <w:szCs w:val="20"/>
              </w:rPr>
            </w:pPr>
            <w:r>
              <w:rPr>
                <w:spacing w:val="-7"/>
                <w:sz w:val="20"/>
                <w:szCs w:val="20"/>
              </w:rPr>
              <w:t>14</w:t>
            </w:r>
          </w:p>
        </w:tc>
        <w:tc>
          <w:tcPr>
            <w:tcW w:w="1153" w:type="dxa"/>
            <w:vAlign w:val="top"/>
          </w:tcPr>
          <w:p>
            <w:pPr>
              <w:pStyle w:val="17"/>
              <w:spacing w:before="286" w:line="189" w:lineRule="auto"/>
              <w:ind w:left="265"/>
              <w:rPr>
                <w:sz w:val="20"/>
                <w:szCs w:val="20"/>
              </w:rPr>
            </w:pPr>
            <w:r>
              <w:rPr>
                <w:spacing w:val="3"/>
                <w:sz w:val="20"/>
                <w:szCs w:val="20"/>
              </w:rPr>
              <w:t>4.6.7</w:t>
            </w:r>
          </w:p>
        </w:tc>
        <w:tc>
          <w:tcPr>
            <w:tcW w:w="3689" w:type="dxa"/>
            <w:vAlign w:val="top"/>
          </w:tcPr>
          <w:p>
            <w:pPr>
              <w:pStyle w:val="17"/>
              <w:spacing w:before="252" w:line="228" w:lineRule="auto"/>
              <w:ind w:left="114"/>
              <w:rPr>
                <w:sz w:val="20"/>
                <w:szCs w:val="20"/>
              </w:rPr>
            </w:pPr>
            <w:r>
              <w:rPr>
                <w:spacing w:val="9"/>
                <w:sz w:val="20"/>
                <w:szCs w:val="20"/>
              </w:rPr>
              <w:t>分项工程的施工员没在现场管理的</w:t>
            </w:r>
          </w:p>
        </w:tc>
        <w:tc>
          <w:tcPr>
            <w:tcW w:w="1604" w:type="dxa"/>
            <w:vAlign w:val="top"/>
          </w:tcPr>
          <w:p>
            <w:pPr>
              <w:pStyle w:val="17"/>
              <w:spacing w:before="252" w:line="228" w:lineRule="auto"/>
              <w:ind w:left="129"/>
              <w:rPr>
                <w:sz w:val="20"/>
                <w:szCs w:val="20"/>
              </w:rPr>
            </w:pPr>
            <w:r>
              <w:rPr>
                <w:spacing w:val="1"/>
                <w:sz w:val="20"/>
                <w:szCs w:val="20"/>
              </w:rPr>
              <w:t>1000</w:t>
            </w:r>
            <w:r>
              <w:rPr>
                <w:spacing w:val="-36"/>
                <w:sz w:val="20"/>
                <w:szCs w:val="20"/>
              </w:rPr>
              <w:t xml:space="preserve"> </w:t>
            </w:r>
            <w:r>
              <w:rPr>
                <w:spacing w:val="1"/>
                <w:sz w:val="20"/>
                <w:szCs w:val="20"/>
              </w:rPr>
              <w:t>元/次</w:t>
            </w:r>
          </w:p>
        </w:tc>
        <w:tc>
          <w:tcPr>
            <w:tcW w:w="1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799" w:type="dxa"/>
            <w:vAlign w:val="top"/>
          </w:tcPr>
          <w:p>
            <w:pPr>
              <w:pStyle w:val="17"/>
              <w:spacing w:before="283" w:line="190" w:lineRule="auto"/>
              <w:ind w:left="315"/>
              <w:rPr>
                <w:sz w:val="20"/>
                <w:szCs w:val="20"/>
              </w:rPr>
            </w:pPr>
            <w:r>
              <w:rPr>
                <w:spacing w:val="-7"/>
                <w:sz w:val="20"/>
                <w:szCs w:val="20"/>
              </w:rPr>
              <w:t>15</w:t>
            </w:r>
          </w:p>
        </w:tc>
        <w:tc>
          <w:tcPr>
            <w:tcW w:w="1153" w:type="dxa"/>
            <w:vAlign w:val="top"/>
          </w:tcPr>
          <w:p>
            <w:pPr>
              <w:pStyle w:val="17"/>
              <w:spacing w:before="285" w:line="189" w:lineRule="auto"/>
              <w:ind w:left="265"/>
              <w:rPr>
                <w:sz w:val="20"/>
                <w:szCs w:val="20"/>
              </w:rPr>
            </w:pPr>
            <w:r>
              <w:rPr>
                <w:spacing w:val="3"/>
                <w:sz w:val="20"/>
                <w:szCs w:val="20"/>
              </w:rPr>
              <w:t>4.6.7</w:t>
            </w:r>
          </w:p>
        </w:tc>
        <w:tc>
          <w:tcPr>
            <w:tcW w:w="3689" w:type="dxa"/>
            <w:vAlign w:val="top"/>
          </w:tcPr>
          <w:p>
            <w:pPr>
              <w:pStyle w:val="17"/>
              <w:spacing w:before="48" w:line="408" w:lineRule="exact"/>
              <w:ind w:left="112"/>
              <w:rPr>
                <w:sz w:val="20"/>
                <w:szCs w:val="20"/>
              </w:rPr>
            </w:pPr>
            <w:r>
              <w:rPr>
                <w:spacing w:val="5"/>
                <w:position w:val="15"/>
                <w:sz w:val="20"/>
                <w:szCs w:val="20"/>
              </w:rPr>
              <w:t>重要工序（桩基、面层施工等</w:t>
            </w:r>
            <w:r>
              <w:rPr>
                <w:spacing w:val="-5"/>
                <w:position w:val="15"/>
                <w:sz w:val="20"/>
                <w:szCs w:val="20"/>
              </w:rPr>
              <w:t>），</w:t>
            </w:r>
            <w:r>
              <w:rPr>
                <w:spacing w:val="5"/>
                <w:position w:val="15"/>
                <w:sz w:val="20"/>
                <w:szCs w:val="20"/>
              </w:rPr>
              <w:t>没有</w:t>
            </w:r>
          </w:p>
          <w:p>
            <w:pPr>
              <w:pStyle w:val="17"/>
              <w:spacing w:line="227" w:lineRule="auto"/>
              <w:ind w:left="110"/>
              <w:rPr>
                <w:sz w:val="20"/>
                <w:szCs w:val="20"/>
              </w:rPr>
            </w:pPr>
            <w:r>
              <w:rPr>
                <w:spacing w:val="9"/>
                <w:sz w:val="20"/>
                <w:szCs w:val="20"/>
              </w:rPr>
              <w:t>施工员在现场管理的</w:t>
            </w:r>
          </w:p>
        </w:tc>
        <w:tc>
          <w:tcPr>
            <w:tcW w:w="1604" w:type="dxa"/>
            <w:vAlign w:val="top"/>
          </w:tcPr>
          <w:p>
            <w:pPr>
              <w:pStyle w:val="17"/>
              <w:spacing w:before="251" w:line="228" w:lineRule="auto"/>
              <w:ind w:left="116"/>
              <w:rPr>
                <w:sz w:val="20"/>
                <w:szCs w:val="20"/>
              </w:rPr>
            </w:pPr>
            <w:r>
              <w:rPr>
                <w:spacing w:val="3"/>
                <w:sz w:val="20"/>
                <w:szCs w:val="20"/>
              </w:rPr>
              <w:t>2000</w:t>
            </w:r>
            <w:r>
              <w:rPr>
                <w:spacing w:val="-37"/>
                <w:sz w:val="20"/>
                <w:szCs w:val="20"/>
              </w:rPr>
              <w:t xml:space="preserve"> </w:t>
            </w:r>
            <w:r>
              <w:rPr>
                <w:spacing w:val="3"/>
                <w:sz w:val="20"/>
                <w:szCs w:val="20"/>
              </w:rPr>
              <w:t>元/次</w:t>
            </w:r>
          </w:p>
        </w:tc>
        <w:tc>
          <w:tcPr>
            <w:tcW w:w="1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799" w:type="dxa"/>
            <w:vAlign w:val="top"/>
          </w:tcPr>
          <w:p>
            <w:pPr>
              <w:pStyle w:val="17"/>
              <w:spacing w:before="282" w:line="190" w:lineRule="auto"/>
              <w:ind w:left="315"/>
              <w:rPr>
                <w:sz w:val="20"/>
                <w:szCs w:val="20"/>
              </w:rPr>
            </w:pPr>
            <w:r>
              <w:rPr>
                <w:spacing w:val="-7"/>
                <w:sz w:val="20"/>
                <w:szCs w:val="20"/>
              </w:rPr>
              <w:t>16</w:t>
            </w:r>
          </w:p>
        </w:tc>
        <w:tc>
          <w:tcPr>
            <w:tcW w:w="1153" w:type="dxa"/>
            <w:vAlign w:val="top"/>
          </w:tcPr>
          <w:p>
            <w:pPr>
              <w:pStyle w:val="17"/>
              <w:spacing w:before="284" w:line="189" w:lineRule="auto"/>
              <w:ind w:left="315"/>
              <w:rPr>
                <w:sz w:val="20"/>
                <w:szCs w:val="20"/>
              </w:rPr>
            </w:pPr>
            <w:r>
              <w:rPr>
                <w:spacing w:val="3"/>
                <w:sz w:val="20"/>
                <w:szCs w:val="20"/>
              </w:rPr>
              <w:t>4.6.7</w:t>
            </w:r>
          </w:p>
        </w:tc>
        <w:tc>
          <w:tcPr>
            <w:tcW w:w="3689" w:type="dxa"/>
            <w:vAlign w:val="top"/>
          </w:tcPr>
          <w:p>
            <w:pPr>
              <w:pStyle w:val="17"/>
              <w:spacing w:before="47" w:line="408" w:lineRule="exact"/>
              <w:ind w:left="110"/>
              <w:rPr>
                <w:sz w:val="20"/>
                <w:szCs w:val="20"/>
              </w:rPr>
            </w:pPr>
            <w:r>
              <w:rPr>
                <w:spacing w:val="8"/>
                <w:position w:val="15"/>
                <w:sz w:val="20"/>
                <w:szCs w:val="20"/>
              </w:rPr>
              <w:t>超过</w:t>
            </w:r>
            <w:r>
              <w:rPr>
                <w:spacing w:val="-35"/>
                <w:position w:val="15"/>
                <w:sz w:val="20"/>
                <w:szCs w:val="20"/>
              </w:rPr>
              <w:t xml:space="preserve"> </w:t>
            </w:r>
            <w:r>
              <w:rPr>
                <w:spacing w:val="8"/>
                <w:position w:val="15"/>
                <w:sz w:val="20"/>
                <w:szCs w:val="20"/>
              </w:rPr>
              <w:t>24</w:t>
            </w:r>
            <w:r>
              <w:rPr>
                <w:spacing w:val="-32"/>
                <w:position w:val="15"/>
                <w:sz w:val="20"/>
                <w:szCs w:val="20"/>
              </w:rPr>
              <w:t xml:space="preserve"> </w:t>
            </w:r>
            <w:r>
              <w:rPr>
                <w:spacing w:val="8"/>
                <w:position w:val="15"/>
                <w:sz w:val="20"/>
                <w:szCs w:val="20"/>
              </w:rPr>
              <w:t>小时没有施工员在场而继续施</w:t>
            </w:r>
          </w:p>
          <w:p>
            <w:pPr>
              <w:pStyle w:val="17"/>
              <w:spacing w:line="230" w:lineRule="auto"/>
              <w:ind w:left="114"/>
              <w:rPr>
                <w:sz w:val="20"/>
                <w:szCs w:val="20"/>
              </w:rPr>
            </w:pPr>
            <w:r>
              <w:rPr>
                <w:spacing w:val="3"/>
                <w:sz w:val="20"/>
                <w:szCs w:val="20"/>
              </w:rPr>
              <w:t>工的</w:t>
            </w:r>
          </w:p>
        </w:tc>
        <w:tc>
          <w:tcPr>
            <w:tcW w:w="1604" w:type="dxa"/>
            <w:vAlign w:val="top"/>
          </w:tcPr>
          <w:p>
            <w:pPr>
              <w:pStyle w:val="17"/>
              <w:spacing w:before="250" w:line="228" w:lineRule="auto"/>
              <w:ind w:left="118"/>
              <w:rPr>
                <w:sz w:val="20"/>
                <w:szCs w:val="20"/>
              </w:rPr>
            </w:pPr>
            <w:r>
              <w:rPr>
                <w:spacing w:val="3"/>
                <w:sz w:val="20"/>
                <w:szCs w:val="20"/>
              </w:rPr>
              <w:t>5000</w:t>
            </w:r>
            <w:r>
              <w:rPr>
                <w:spacing w:val="-39"/>
                <w:sz w:val="20"/>
                <w:szCs w:val="20"/>
              </w:rPr>
              <w:t xml:space="preserve"> </w:t>
            </w:r>
            <w:r>
              <w:rPr>
                <w:spacing w:val="3"/>
                <w:sz w:val="20"/>
                <w:szCs w:val="20"/>
              </w:rPr>
              <w:t>元/次</w:t>
            </w:r>
          </w:p>
        </w:tc>
        <w:tc>
          <w:tcPr>
            <w:tcW w:w="1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0" w:hRule="atLeast"/>
        </w:trPr>
        <w:tc>
          <w:tcPr>
            <w:tcW w:w="799"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7"/>
              <w:spacing w:before="65" w:line="190" w:lineRule="auto"/>
              <w:ind w:left="315"/>
              <w:rPr>
                <w:sz w:val="20"/>
                <w:szCs w:val="20"/>
              </w:rPr>
            </w:pPr>
            <w:r>
              <w:rPr>
                <w:spacing w:val="-7"/>
                <w:sz w:val="20"/>
                <w:szCs w:val="20"/>
              </w:rPr>
              <w:t>17</w:t>
            </w:r>
          </w:p>
        </w:tc>
        <w:tc>
          <w:tcPr>
            <w:tcW w:w="1153"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7"/>
              <w:spacing w:before="65" w:line="190" w:lineRule="auto"/>
              <w:ind w:left="320"/>
              <w:rPr>
                <w:sz w:val="20"/>
                <w:szCs w:val="20"/>
              </w:rPr>
            </w:pPr>
            <w:r>
              <w:rPr>
                <w:spacing w:val="2"/>
                <w:sz w:val="20"/>
                <w:szCs w:val="20"/>
              </w:rPr>
              <w:t>5.1.2</w:t>
            </w:r>
          </w:p>
        </w:tc>
        <w:tc>
          <w:tcPr>
            <w:tcW w:w="368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17"/>
              <w:spacing w:before="66" w:line="377" w:lineRule="auto"/>
              <w:ind w:left="113" w:right="105" w:hanging="2"/>
              <w:jc w:val="both"/>
              <w:rPr>
                <w:sz w:val="20"/>
                <w:szCs w:val="20"/>
              </w:rPr>
            </w:pPr>
            <w:r>
              <w:rPr>
                <w:spacing w:val="3"/>
                <w:sz w:val="20"/>
                <w:szCs w:val="20"/>
              </w:rPr>
              <w:t>承包人应按照《投标人拟投入的关键设</w:t>
            </w:r>
            <w:r>
              <w:rPr>
                <w:spacing w:val="12"/>
                <w:sz w:val="20"/>
                <w:szCs w:val="20"/>
              </w:rPr>
              <w:t xml:space="preserve"> </w:t>
            </w:r>
            <w:r>
              <w:rPr>
                <w:spacing w:val="3"/>
                <w:sz w:val="20"/>
                <w:szCs w:val="20"/>
              </w:rPr>
              <w:t>备承诺表》中所列的品牌进行采购，不</w:t>
            </w:r>
          </w:p>
          <w:p>
            <w:pPr>
              <w:pStyle w:val="17"/>
              <w:spacing w:line="227" w:lineRule="auto"/>
              <w:ind w:left="112"/>
              <w:rPr>
                <w:sz w:val="20"/>
                <w:szCs w:val="20"/>
              </w:rPr>
            </w:pPr>
            <w:r>
              <w:rPr>
                <w:spacing w:val="7"/>
                <w:sz w:val="20"/>
                <w:szCs w:val="20"/>
              </w:rPr>
              <w:t>得变更设备品牌。</w:t>
            </w:r>
          </w:p>
        </w:tc>
        <w:tc>
          <w:tcPr>
            <w:tcW w:w="1604" w:type="dxa"/>
            <w:vAlign w:val="top"/>
          </w:tcPr>
          <w:p>
            <w:pPr>
              <w:pStyle w:val="17"/>
              <w:spacing w:before="37" w:line="377" w:lineRule="auto"/>
              <w:ind w:left="112" w:right="76" w:firstLine="5"/>
              <w:jc w:val="both"/>
              <w:rPr>
                <w:sz w:val="20"/>
                <w:szCs w:val="20"/>
              </w:rPr>
            </w:pPr>
            <w:r>
              <w:rPr>
                <w:spacing w:val="-4"/>
                <w:sz w:val="20"/>
                <w:szCs w:val="20"/>
              </w:rPr>
              <w:t>未按照《投标人</w:t>
            </w:r>
            <w:r>
              <w:rPr>
                <w:spacing w:val="5"/>
                <w:sz w:val="20"/>
                <w:szCs w:val="20"/>
              </w:rPr>
              <w:t xml:space="preserve"> </w:t>
            </w:r>
            <w:r>
              <w:rPr>
                <w:spacing w:val="30"/>
                <w:sz w:val="20"/>
                <w:szCs w:val="20"/>
              </w:rPr>
              <w:t>拟投入的关键</w:t>
            </w:r>
            <w:r>
              <w:rPr>
                <w:sz w:val="20"/>
                <w:szCs w:val="20"/>
              </w:rPr>
              <w:t xml:space="preserve"> </w:t>
            </w:r>
            <w:r>
              <w:rPr>
                <w:spacing w:val="-3"/>
                <w:sz w:val="20"/>
                <w:szCs w:val="20"/>
              </w:rPr>
              <w:t>设备承诺表》中</w:t>
            </w:r>
            <w:r>
              <w:rPr>
                <w:spacing w:val="3"/>
                <w:sz w:val="20"/>
                <w:szCs w:val="20"/>
              </w:rPr>
              <w:t xml:space="preserve"> </w:t>
            </w:r>
            <w:r>
              <w:rPr>
                <w:spacing w:val="30"/>
                <w:sz w:val="20"/>
                <w:szCs w:val="20"/>
              </w:rPr>
              <w:t>所列设备品牌</w:t>
            </w:r>
            <w:r>
              <w:rPr>
                <w:sz w:val="20"/>
                <w:szCs w:val="20"/>
              </w:rPr>
              <w:t xml:space="preserve"> </w:t>
            </w:r>
            <w:r>
              <w:rPr>
                <w:spacing w:val="-3"/>
                <w:sz w:val="20"/>
                <w:szCs w:val="20"/>
              </w:rPr>
              <w:t>进行采购，按以</w:t>
            </w:r>
            <w:r>
              <w:rPr>
                <w:sz w:val="20"/>
                <w:szCs w:val="20"/>
              </w:rPr>
              <w:t xml:space="preserve"> </w:t>
            </w:r>
            <w:r>
              <w:rPr>
                <w:spacing w:val="30"/>
                <w:sz w:val="20"/>
                <w:szCs w:val="20"/>
              </w:rPr>
              <w:t>下标准向发包</w:t>
            </w:r>
            <w:r>
              <w:rPr>
                <w:sz w:val="20"/>
                <w:szCs w:val="20"/>
              </w:rPr>
              <w:t xml:space="preserve"> </w:t>
            </w:r>
            <w:r>
              <w:rPr>
                <w:spacing w:val="1"/>
                <w:sz w:val="20"/>
                <w:szCs w:val="20"/>
              </w:rPr>
              <w:t xml:space="preserve">人提交违约金： </w:t>
            </w:r>
            <w:r>
              <w:rPr>
                <w:spacing w:val="6"/>
                <w:sz w:val="20"/>
                <w:szCs w:val="20"/>
              </w:rPr>
              <w:t>关键设备</w:t>
            </w:r>
            <w:r>
              <w:rPr>
                <w:spacing w:val="-32"/>
                <w:sz w:val="20"/>
                <w:szCs w:val="20"/>
              </w:rPr>
              <w:t xml:space="preserve"> </w:t>
            </w:r>
            <w:r>
              <w:rPr>
                <w:spacing w:val="6"/>
                <w:sz w:val="20"/>
                <w:szCs w:val="20"/>
                <w:u w:val="single" w:color="auto"/>
              </w:rPr>
              <w:t>80</w:t>
            </w:r>
            <w:r>
              <w:rPr>
                <w:spacing w:val="-28"/>
                <w:sz w:val="20"/>
                <w:szCs w:val="20"/>
                <w:u w:val="single" w:color="auto"/>
              </w:rPr>
              <w:t xml:space="preserve"> </w:t>
            </w:r>
            <w:r>
              <w:rPr>
                <w:spacing w:val="6"/>
                <w:sz w:val="20"/>
                <w:szCs w:val="20"/>
                <w:u w:val="single" w:color="auto"/>
              </w:rPr>
              <w:t>万</w:t>
            </w:r>
            <w:r>
              <w:rPr>
                <w:sz w:val="20"/>
                <w:szCs w:val="20"/>
              </w:rPr>
              <w:t xml:space="preserve"> </w:t>
            </w:r>
            <w:r>
              <w:rPr>
                <w:spacing w:val="11"/>
                <w:sz w:val="20"/>
                <w:szCs w:val="20"/>
                <w:u w:val="single" w:color="auto"/>
              </w:rPr>
              <w:t>元/类</w:t>
            </w:r>
            <w:r>
              <w:rPr>
                <w:spacing w:val="11"/>
                <w:sz w:val="20"/>
                <w:szCs w:val="20"/>
              </w:rPr>
              <w:t>，</w:t>
            </w:r>
            <w:r>
              <w:rPr>
                <w:spacing w:val="11"/>
                <w:sz w:val="20"/>
                <w:szCs w:val="20"/>
                <w:u w:val="single" w:color="auto"/>
              </w:rPr>
              <w:t>其他主</w:t>
            </w:r>
            <w:r>
              <w:rPr>
                <w:spacing w:val="2"/>
                <w:sz w:val="20"/>
                <w:szCs w:val="20"/>
              </w:rPr>
              <w:t xml:space="preserve"> </w:t>
            </w:r>
            <w:r>
              <w:rPr>
                <w:spacing w:val="5"/>
                <w:sz w:val="20"/>
                <w:szCs w:val="20"/>
                <w:u w:val="single" w:color="auto"/>
              </w:rPr>
              <w:t>要设备</w:t>
            </w:r>
            <w:r>
              <w:rPr>
                <w:spacing w:val="-23"/>
                <w:sz w:val="20"/>
                <w:szCs w:val="20"/>
                <w:u w:val="single" w:color="auto"/>
              </w:rPr>
              <w:t xml:space="preserve"> </w:t>
            </w:r>
            <w:r>
              <w:rPr>
                <w:spacing w:val="5"/>
                <w:sz w:val="20"/>
                <w:szCs w:val="20"/>
                <w:u w:val="single" w:color="auto"/>
              </w:rPr>
              <w:t>30</w:t>
            </w:r>
            <w:r>
              <w:rPr>
                <w:spacing w:val="-30"/>
                <w:sz w:val="20"/>
                <w:szCs w:val="20"/>
                <w:u w:val="single" w:color="auto"/>
              </w:rPr>
              <w:t xml:space="preserve"> </w:t>
            </w:r>
            <w:r>
              <w:rPr>
                <w:spacing w:val="5"/>
                <w:sz w:val="20"/>
                <w:szCs w:val="20"/>
                <w:u w:val="single" w:color="auto"/>
              </w:rPr>
              <w:t>万元</w:t>
            </w:r>
          </w:p>
          <w:p>
            <w:pPr>
              <w:pStyle w:val="17"/>
              <w:spacing w:line="227" w:lineRule="auto"/>
              <w:ind w:left="113"/>
              <w:rPr>
                <w:sz w:val="20"/>
                <w:szCs w:val="20"/>
              </w:rPr>
            </w:pPr>
            <w:r>
              <w:rPr>
                <w:spacing w:val="2"/>
                <w:sz w:val="20"/>
                <w:szCs w:val="20"/>
                <w:u w:val="single" w:color="auto"/>
              </w:rPr>
              <w:t>/类</w:t>
            </w:r>
            <w:r>
              <w:rPr>
                <w:spacing w:val="2"/>
                <w:sz w:val="20"/>
                <w:szCs w:val="20"/>
              </w:rPr>
              <w:t>。</w:t>
            </w:r>
          </w:p>
        </w:tc>
        <w:tc>
          <w:tcPr>
            <w:tcW w:w="1774" w:type="dxa"/>
            <w:vAlign w:val="top"/>
          </w:tcPr>
          <w:p>
            <w:pPr>
              <w:pStyle w:val="17"/>
              <w:spacing w:before="239" w:line="377" w:lineRule="auto"/>
              <w:ind w:left="115" w:right="108"/>
              <w:jc w:val="both"/>
              <w:rPr>
                <w:sz w:val="20"/>
                <w:szCs w:val="20"/>
              </w:rPr>
            </w:pPr>
            <w:r>
              <w:rPr>
                <w:spacing w:val="20"/>
                <w:sz w:val="20"/>
                <w:szCs w:val="20"/>
              </w:rPr>
              <w:t>本条可适用于机</w:t>
            </w:r>
            <w:r>
              <w:rPr>
                <w:spacing w:val="2"/>
                <w:sz w:val="20"/>
                <w:szCs w:val="20"/>
              </w:rPr>
              <w:t xml:space="preserve"> </w:t>
            </w:r>
            <w:r>
              <w:rPr>
                <w:spacing w:val="20"/>
                <w:sz w:val="20"/>
                <w:szCs w:val="20"/>
              </w:rPr>
              <w:t>电工程（包括收</w:t>
            </w:r>
            <w:r>
              <w:rPr>
                <w:spacing w:val="3"/>
                <w:sz w:val="20"/>
                <w:szCs w:val="20"/>
              </w:rPr>
              <w:t xml:space="preserve"> </w:t>
            </w:r>
            <w:r>
              <w:rPr>
                <w:spacing w:val="20"/>
                <w:sz w:val="20"/>
                <w:szCs w:val="20"/>
              </w:rPr>
              <w:t>费、监控、通信</w:t>
            </w:r>
            <w:r>
              <w:rPr>
                <w:spacing w:val="3"/>
                <w:sz w:val="20"/>
                <w:szCs w:val="20"/>
              </w:rPr>
              <w:t xml:space="preserve"> </w:t>
            </w:r>
            <w:r>
              <w:rPr>
                <w:spacing w:val="20"/>
                <w:sz w:val="20"/>
                <w:szCs w:val="20"/>
              </w:rPr>
              <w:t>三大系统及通信</w:t>
            </w:r>
            <w:r>
              <w:rPr>
                <w:spacing w:val="3"/>
                <w:sz w:val="20"/>
                <w:szCs w:val="20"/>
              </w:rPr>
              <w:t xml:space="preserve"> </w:t>
            </w:r>
            <w:r>
              <w:rPr>
                <w:spacing w:val="20"/>
                <w:sz w:val="20"/>
                <w:szCs w:val="20"/>
              </w:rPr>
              <w:t>管道、隧道消防</w:t>
            </w:r>
            <w:r>
              <w:rPr>
                <w:spacing w:val="3"/>
                <w:sz w:val="20"/>
                <w:szCs w:val="20"/>
              </w:rPr>
              <w:t xml:space="preserve"> </w:t>
            </w:r>
            <w:r>
              <w:rPr>
                <w:spacing w:val="13"/>
                <w:sz w:val="20"/>
                <w:szCs w:val="20"/>
              </w:rPr>
              <w:t>和供配电等）</w:t>
            </w:r>
            <w:r>
              <w:rPr>
                <w:spacing w:val="-48"/>
                <w:sz w:val="20"/>
                <w:szCs w:val="20"/>
              </w:rPr>
              <w:t xml:space="preserve"> </w:t>
            </w:r>
            <w:r>
              <w:rPr>
                <w:spacing w:val="13"/>
                <w:sz w:val="20"/>
                <w:szCs w:val="20"/>
              </w:rPr>
              <w:t>采</w:t>
            </w:r>
            <w:r>
              <w:rPr>
                <w:sz w:val="20"/>
                <w:szCs w:val="20"/>
              </w:rPr>
              <w:t xml:space="preserve"> </w:t>
            </w:r>
            <w:r>
              <w:rPr>
                <w:spacing w:val="20"/>
                <w:sz w:val="20"/>
                <w:szCs w:val="20"/>
              </w:rPr>
              <w:t>用设备选型评分</w:t>
            </w:r>
            <w:r>
              <w:rPr>
                <w:spacing w:val="3"/>
                <w:sz w:val="20"/>
                <w:szCs w:val="20"/>
              </w:rPr>
              <w:t xml:space="preserve"> </w:t>
            </w:r>
            <w:r>
              <w:rPr>
                <w:spacing w:val="12"/>
                <w:sz w:val="20"/>
                <w:szCs w:val="20"/>
              </w:rPr>
              <w:t>的情形，</w:t>
            </w:r>
            <w:r>
              <w:rPr>
                <w:spacing w:val="-41"/>
                <w:sz w:val="20"/>
                <w:szCs w:val="20"/>
              </w:rPr>
              <w:t xml:space="preserve"> </w:t>
            </w:r>
            <w:r>
              <w:rPr>
                <w:spacing w:val="12"/>
                <w:sz w:val="20"/>
                <w:szCs w:val="20"/>
              </w:rPr>
              <w:t>由招标</w:t>
            </w:r>
            <w:r>
              <w:rPr>
                <w:sz w:val="20"/>
                <w:szCs w:val="20"/>
              </w:rPr>
              <w:t xml:space="preserve"> </w:t>
            </w:r>
            <w:r>
              <w:rPr>
                <w:spacing w:val="20"/>
                <w:sz w:val="20"/>
                <w:szCs w:val="20"/>
              </w:rPr>
              <w:t>人自行选择设置</w:t>
            </w:r>
          </w:p>
          <w:p>
            <w:pPr>
              <w:pStyle w:val="17"/>
              <w:spacing w:line="227" w:lineRule="auto"/>
              <w:ind w:left="115"/>
              <w:rPr>
                <w:sz w:val="20"/>
                <w:szCs w:val="20"/>
              </w:rPr>
            </w:pPr>
            <w:r>
              <w:rPr>
                <w:spacing w:val="5"/>
                <w:sz w:val="20"/>
                <w:szCs w:val="20"/>
              </w:rPr>
              <w:t>相应内容。</w:t>
            </w:r>
          </w:p>
        </w:tc>
      </w:tr>
    </w:tbl>
    <w:p>
      <w:pPr>
        <w:rPr>
          <w:rFonts w:ascii="Arial"/>
          <w:sz w:val="21"/>
        </w:rPr>
      </w:pPr>
    </w:p>
    <w:p>
      <w:pPr>
        <w:spacing w:before="228"/>
      </w:pPr>
    </w:p>
    <w:tbl>
      <w:tblPr>
        <w:tblStyle w:val="16"/>
        <w:tblW w:w="90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153"/>
        <w:gridCol w:w="3689"/>
        <w:gridCol w:w="1604"/>
        <w:gridCol w:w="17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799" w:type="dxa"/>
            <w:vAlign w:val="top"/>
          </w:tcPr>
          <w:p>
            <w:pPr>
              <w:pStyle w:val="17"/>
              <w:spacing w:before="36" w:line="229" w:lineRule="auto"/>
              <w:ind w:left="193"/>
              <w:rPr>
                <w:sz w:val="20"/>
                <w:szCs w:val="20"/>
              </w:rPr>
            </w:pPr>
            <w:r>
              <w:rPr>
                <w:spacing w:val="6"/>
                <w:sz w:val="20"/>
                <w:szCs w:val="20"/>
                <w14:textOutline w14:w="3795" w14:cap="sq" w14:cmpd="sng">
                  <w14:solidFill>
                    <w14:srgbClr w14:val="000000"/>
                  </w14:solidFill>
                  <w14:prstDash w14:val="solid"/>
                  <w14:bevel/>
                </w14:textOutline>
              </w:rPr>
              <w:t>序号</w:t>
            </w:r>
          </w:p>
        </w:tc>
        <w:tc>
          <w:tcPr>
            <w:tcW w:w="1153" w:type="dxa"/>
            <w:vAlign w:val="top"/>
          </w:tcPr>
          <w:p>
            <w:pPr>
              <w:pStyle w:val="17"/>
              <w:spacing w:before="36" w:line="227" w:lineRule="auto"/>
              <w:ind w:left="161"/>
              <w:rPr>
                <w:sz w:val="20"/>
                <w:szCs w:val="20"/>
              </w:rPr>
            </w:pPr>
            <w:r>
              <w:rPr>
                <w:spacing w:val="8"/>
                <w:sz w:val="20"/>
                <w:szCs w:val="20"/>
                <w14:textOutline w14:w="3795" w14:cap="sq" w14:cmpd="sng">
                  <w14:solidFill>
                    <w14:srgbClr w14:val="000000"/>
                  </w14:solidFill>
                  <w14:prstDash w14:val="solid"/>
                  <w14:bevel/>
                </w14:textOutline>
              </w:rPr>
              <w:t>合同依据</w:t>
            </w:r>
          </w:p>
        </w:tc>
        <w:tc>
          <w:tcPr>
            <w:tcW w:w="3689" w:type="dxa"/>
            <w:vAlign w:val="top"/>
          </w:tcPr>
          <w:p>
            <w:pPr>
              <w:pStyle w:val="17"/>
              <w:spacing w:before="35" w:line="228" w:lineRule="auto"/>
              <w:ind w:left="1438"/>
              <w:rPr>
                <w:sz w:val="20"/>
                <w:szCs w:val="20"/>
              </w:rPr>
            </w:pPr>
            <w:r>
              <w:rPr>
                <w:spacing w:val="8"/>
                <w:sz w:val="20"/>
                <w:szCs w:val="20"/>
                <w14:textOutline w14:w="3795" w14:cap="sq" w14:cmpd="sng">
                  <w14:solidFill>
                    <w14:srgbClr w14:val="000000"/>
                  </w14:solidFill>
                  <w14:prstDash w14:val="solid"/>
                  <w14:bevel/>
                </w14:textOutline>
              </w:rPr>
              <w:t>违约内容</w:t>
            </w:r>
          </w:p>
        </w:tc>
        <w:tc>
          <w:tcPr>
            <w:tcW w:w="1604" w:type="dxa"/>
            <w:vAlign w:val="top"/>
          </w:tcPr>
          <w:p>
            <w:pPr>
              <w:pStyle w:val="17"/>
              <w:spacing w:before="36" w:line="228" w:lineRule="auto"/>
              <w:ind w:left="284"/>
              <w:rPr>
                <w:sz w:val="20"/>
                <w:szCs w:val="20"/>
              </w:rPr>
            </w:pPr>
            <w:r>
              <w:rPr>
                <w:spacing w:val="8"/>
                <w:sz w:val="20"/>
                <w:szCs w:val="20"/>
                <w14:textOutline w14:w="3795" w14:cap="sq" w14:cmpd="sng">
                  <w14:solidFill>
                    <w14:srgbClr w14:val="000000"/>
                  </w14:solidFill>
                  <w14:prstDash w14:val="solid"/>
                  <w14:bevel/>
                </w14:textOutline>
              </w:rPr>
              <w:t>违约金标准</w:t>
            </w:r>
          </w:p>
        </w:tc>
        <w:tc>
          <w:tcPr>
            <w:tcW w:w="1774" w:type="dxa"/>
            <w:vAlign w:val="top"/>
          </w:tcPr>
          <w:p>
            <w:pPr>
              <w:pStyle w:val="17"/>
              <w:spacing w:before="36" w:line="229" w:lineRule="auto"/>
              <w:ind w:left="684"/>
              <w:rPr>
                <w:sz w:val="20"/>
                <w:szCs w:val="20"/>
              </w:rPr>
            </w:pPr>
            <w:r>
              <w:rPr>
                <w:spacing w:val="4"/>
                <w:sz w:val="20"/>
                <w:szCs w:val="20"/>
                <w14:textOutline w14:w="3795"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799" w:type="dxa"/>
            <w:vAlign w:val="top"/>
          </w:tcPr>
          <w:p>
            <w:pPr>
              <w:spacing w:line="316" w:lineRule="auto"/>
              <w:rPr>
                <w:rFonts w:ascii="Arial"/>
                <w:sz w:val="21"/>
              </w:rPr>
            </w:pPr>
          </w:p>
          <w:p>
            <w:pPr>
              <w:spacing w:line="316" w:lineRule="auto"/>
              <w:rPr>
                <w:rFonts w:ascii="Arial"/>
                <w:sz w:val="21"/>
              </w:rPr>
            </w:pPr>
          </w:p>
          <w:p>
            <w:pPr>
              <w:pStyle w:val="17"/>
              <w:spacing w:before="65" w:line="190" w:lineRule="auto"/>
              <w:ind w:left="315"/>
              <w:rPr>
                <w:sz w:val="20"/>
                <w:szCs w:val="20"/>
              </w:rPr>
            </w:pPr>
            <w:r>
              <w:rPr>
                <w:spacing w:val="-7"/>
                <w:sz w:val="20"/>
                <w:szCs w:val="20"/>
              </w:rPr>
              <w:t>18</w:t>
            </w:r>
          </w:p>
        </w:tc>
        <w:tc>
          <w:tcPr>
            <w:tcW w:w="1153" w:type="dxa"/>
            <w:vAlign w:val="top"/>
          </w:tcPr>
          <w:p>
            <w:pPr>
              <w:spacing w:line="316" w:lineRule="auto"/>
              <w:rPr>
                <w:rFonts w:ascii="Arial"/>
                <w:sz w:val="21"/>
              </w:rPr>
            </w:pPr>
          </w:p>
          <w:p>
            <w:pPr>
              <w:spacing w:line="316" w:lineRule="auto"/>
              <w:rPr>
                <w:rFonts w:ascii="Arial"/>
                <w:sz w:val="21"/>
              </w:rPr>
            </w:pPr>
          </w:p>
          <w:p>
            <w:pPr>
              <w:pStyle w:val="17"/>
              <w:spacing w:before="65" w:line="190" w:lineRule="auto"/>
              <w:ind w:left="320"/>
              <w:rPr>
                <w:sz w:val="20"/>
                <w:szCs w:val="20"/>
              </w:rPr>
            </w:pPr>
            <w:r>
              <w:rPr>
                <w:spacing w:val="2"/>
                <w:sz w:val="20"/>
                <w:szCs w:val="20"/>
              </w:rPr>
              <w:t>5.3.1</w:t>
            </w:r>
          </w:p>
        </w:tc>
        <w:tc>
          <w:tcPr>
            <w:tcW w:w="3689" w:type="dxa"/>
            <w:vAlign w:val="top"/>
          </w:tcPr>
          <w:p>
            <w:pPr>
              <w:pStyle w:val="17"/>
              <w:spacing w:before="260" w:line="377" w:lineRule="auto"/>
              <w:ind w:left="110" w:right="105" w:firstLine="4"/>
              <w:jc w:val="both"/>
              <w:rPr>
                <w:sz w:val="20"/>
                <w:szCs w:val="20"/>
              </w:rPr>
            </w:pPr>
            <w:r>
              <w:rPr>
                <w:spacing w:val="3"/>
                <w:sz w:val="20"/>
                <w:szCs w:val="20"/>
              </w:rPr>
              <w:t>未经监理人同意，承包人将专用于本工</w:t>
            </w:r>
            <w:r>
              <w:rPr>
                <w:spacing w:val="11"/>
                <w:sz w:val="20"/>
                <w:szCs w:val="20"/>
              </w:rPr>
              <w:t xml:space="preserve"> </w:t>
            </w:r>
            <w:r>
              <w:rPr>
                <w:spacing w:val="4"/>
                <w:sz w:val="20"/>
                <w:szCs w:val="20"/>
              </w:rPr>
              <w:t>程的材料、工程设备、施工设备和临时</w:t>
            </w:r>
          </w:p>
          <w:p>
            <w:pPr>
              <w:pStyle w:val="17"/>
              <w:spacing w:line="228" w:lineRule="auto"/>
              <w:ind w:left="115"/>
              <w:rPr>
                <w:sz w:val="20"/>
                <w:szCs w:val="20"/>
              </w:rPr>
            </w:pPr>
            <w:r>
              <w:rPr>
                <w:spacing w:val="8"/>
                <w:sz w:val="20"/>
                <w:szCs w:val="20"/>
              </w:rPr>
              <w:t>设施运出施工场地或挪作他用。</w:t>
            </w:r>
          </w:p>
        </w:tc>
        <w:tc>
          <w:tcPr>
            <w:tcW w:w="1604" w:type="dxa"/>
            <w:vAlign w:val="top"/>
          </w:tcPr>
          <w:p>
            <w:pPr>
              <w:pStyle w:val="17"/>
              <w:spacing w:before="56" w:line="377" w:lineRule="auto"/>
              <w:ind w:left="118" w:right="91" w:firstLine="11"/>
              <w:jc w:val="both"/>
              <w:rPr>
                <w:sz w:val="20"/>
                <w:szCs w:val="20"/>
              </w:rPr>
            </w:pPr>
            <w:r>
              <w:rPr>
                <w:spacing w:val="-10"/>
                <w:sz w:val="20"/>
                <w:szCs w:val="20"/>
              </w:rPr>
              <w:t>1</w:t>
            </w:r>
            <w:r>
              <w:rPr>
                <w:spacing w:val="-43"/>
                <w:sz w:val="20"/>
                <w:szCs w:val="20"/>
              </w:rPr>
              <w:t xml:space="preserve"> </w:t>
            </w:r>
            <w:r>
              <w:rPr>
                <w:spacing w:val="-10"/>
                <w:sz w:val="20"/>
                <w:szCs w:val="20"/>
              </w:rPr>
              <w:t>万元/台，同时</w:t>
            </w:r>
            <w:r>
              <w:rPr>
                <w:sz w:val="20"/>
                <w:szCs w:val="20"/>
              </w:rPr>
              <w:t xml:space="preserve"> </w:t>
            </w:r>
            <w:r>
              <w:rPr>
                <w:spacing w:val="-3"/>
                <w:sz w:val="20"/>
                <w:szCs w:val="20"/>
              </w:rPr>
              <w:t>处以</w:t>
            </w:r>
            <w:r>
              <w:rPr>
                <w:spacing w:val="-34"/>
                <w:sz w:val="20"/>
                <w:szCs w:val="20"/>
              </w:rPr>
              <w:t xml:space="preserve"> </w:t>
            </w:r>
            <w:r>
              <w:rPr>
                <w:spacing w:val="-3"/>
                <w:sz w:val="20"/>
                <w:szCs w:val="20"/>
              </w:rPr>
              <w:t>1000</w:t>
            </w:r>
            <w:r>
              <w:rPr>
                <w:spacing w:val="-51"/>
                <w:sz w:val="20"/>
                <w:szCs w:val="20"/>
              </w:rPr>
              <w:t xml:space="preserve"> </w:t>
            </w:r>
            <w:r>
              <w:rPr>
                <w:spacing w:val="-3"/>
                <w:sz w:val="20"/>
                <w:szCs w:val="20"/>
              </w:rPr>
              <w:t>元/天</w:t>
            </w:r>
            <w:r>
              <w:rPr>
                <w:sz w:val="20"/>
                <w:szCs w:val="20"/>
              </w:rPr>
              <w:t xml:space="preserve"> </w:t>
            </w:r>
            <w:r>
              <w:rPr>
                <w:spacing w:val="-2"/>
                <w:sz w:val="20"/>
                <w:szCs w:val="20"/>
              </w:rPr>
              <w:t>的违约金直至承</w:t>
            </w:r>
          </w:p>
          <w:p>
            <w:pPr>
              <w:pStyle w:val="17"/>
              <w:spacing w:line="228" w:lineRule="auto"/>
              <w:ind w:left="113"/>
              <w:rPr>
                <w:sz w:val="20"/>
                <w:szCs w:val="20"/>
              </w:rPr>
            </w:pPr>
            <w:r>
              <w:rPr>
                <w:spacing w:val="-2"/>
                <w:sz w:val="20"/>
                <w:szCs w:val="20"/>
              </w:rPr>
              <w:t>包人纠正为止。</w:t>
            </w:r>
          </w:p>
        </w:tc>
        <w:tc>
          <w:tcPr>
            <w:tcW w:w="1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799" w:type="dxa"/>
            <w:vAlign w:val="top"/>
          </w:tcPr>
          <w:p>
            <w:pPr>
              <w:spacing w:line="316" w:lineRule="auto"/>
              <w:rPr>
                <w:rFonts w:ascii="Arial"/>
                <w:sz w:val="21"/>
              </w:rPr>
            </w:pPr>
          </w:p>
          <w:p>
            <w:pPr>
              <w:spacing w:line="317" w:lineRule="auto"/>
              <w:rPr>
                <w:rFonts w:ascii="Arial"/>
                <w:sz w:val="21"/>
              </w:rPr>
            </w:pPr>
          </w:p>
          <w:p>
            <w:pPr>
              <w:pStyle w:val="17"/>
              <w:spacing w:before="65" w:line="190" w:lineRule="auto"/>
              <w:ind w:left="315"/>
              <w:rPr>
                <w:sz w:val="20"/>
                <w:szCs w:val="20"/>
              </w:rPr>
            </w:pPr>
            <w:r>
              <w:rPr>
                <w:spacing w:val="-7"/>
                <w:sz w:val="20"/>
                <w:szCs w:val="20"/>
              </w:rPr>
              <w:t>19</w:t>
            </w:r>
          </w:p>
        </w:tc>
        <w:tc>
          <w:tcPr>
            <w:tcW w:w="1153" w:type="dxa"/>
            <w:vAlign w:val="top"/>
          </w:tcPr>
          <w:p>
            <w:pPr>
              <w:spacing w:line="316" w:lineRule="auto"/>
              <w:rPr>
                <w:rFonts w:ascii="Arial"/>
                <w:sz w:val="21"/>
              </w:rPr>
            </w:pPr>
          </w:p>
          <w:p>
            <w:pPr>
              <w:spacing w:line="317" w:lineRule="auto"/>
              <w:rPr>
                <w:rFonts w:ascii="Arial"/>
                <w:sz w:val="21"/>
              </w:rPr>
            </w:pPr>
          </w:p>
          <w:p>
            <w:pPr>
              <w:pStyle w:val="17"/>
              <w:spacing w:before="65" w:line="190" w:lineRule="auto"/>
              <w:ind w:left="318"/>
              <w:rPr>
                <w:sz w:val="20"/>
                <w:szCs w:val="20"/>
              </w:rPr>
            </w:pPr>
            <w:r>
              <w:rPr>
                <w:spacing w:val="2"/>
                <w:sz w:val="20"/>
                <w:szCs w:val="20"/>
              </w:rPr>
              <w:t>6.1.1</w:t>
            </w:r>
          </w:p>
        </w:tc>
        <w:tc>
          <w:tcPr>
            <w:tcW w:w="3689" w:type="dxa"/>
            <w:vAlign w:val="top"/>
          </w:tcPr>
          <w:p>
            <w:pPr>
              <w:spacing w:line="399" w:lineRule="auto"/>
              <w:rPr>
                <w:rFonts w:ascii="Arial"/>
                <w:sz w:val="21"/>
              </w:rPr>
            </w:pPr>
          </w:p>
          <w:p>
            <w:pPr>
              <w:pStyle w:val="17"/>
              <w:spacing w:before="65" w:line="408" w:lineRule="exact"/>
              <w:ind w:left="113"/>
              <w:rPr>
                <w:sz w:val="20"/>
                <w:szCs w:val="20"/>
              </w:rPr>
            </w:pPr>
            <w:r>
              <w:rPr>
                <w:spacing w:val="16"/>
                <w:position w:val="15"/>
                <w:sz w:val="20"/>
                <w:szCs w:val="20"/>
              </w:rPr>
              <w:t>按施工进度计划须到位而未到位的主</w:t>
            </w:r>
          </w:p>
          <w:p>
            <w:pPr>
              <w:pStyle w:val="17"/>
              <w:spacing w:line="227" w:lineRule="auto"/>
              <w:ind w:left="112"/>
              <w:rPr>
                <w:sz w:val="20"/>
                <w:szCs w:val="20"/>
              </w:rPr>
            </w:pPr>
            <w:r>
              <w:rPr>
                <w:spacing w:val="8"/>
                <w:sz w:val="20"/>
                <w:szCs w:val="20"/>
              </w:rPr>
              <w:t>要设备，或擅自改变主要设备型号。</w:t>
            </w:r>
          </w:p>
        </w:tc>
        <w:tc>
          <w:tcPr>
            <w:tcW w:w="1604" w:type="dxa"/>
            <w:vAlign w:val="top"/>
          </w:tcPr>
          <w:p>
            <w:pPr>
              <w:pStyle w:val="17"/>
              <w:spacing w:before="57" w:line="377" w:lineRule="auto"/>
              <w:ind w:left="118" w:right="91" w:firstLine="11"/>
              <w:jc w:val="both"/>
              <w:rPr>
                <w:sz w:val="20"/>
                <w:szCs w:val="20"/>
              </w:rPr>
            </w:pPr>
            <w:r>
              <w:rPr>
                <w:spacing w:val="-10"/>
                <w:sz w:val="20"/>
                <w:szCs w:val="20"/>
              </w:rPr>
              <w:t>1</w:t>
            </w:r>
            <w:r>
              <w:rPr>
                <w:spacing w:val="-43"/>
                <w:sz w:val="20"/>
                <w:szCs w:val="20"/>
              </w:rPr>
              <w:t xml:space="preserve"> </w:t>
            </w:r>
            <w:r>
              <w:rPr>
                <w:spacing w:val="-10"/>
                <w:sz w:val="20"/>
                <w:szCs w:val="20"/>
              </w:rPr>
              <w:t>万元/台，同时</w:t>
            </w:r>
            <w:r>
              <w:rPr>
                <w:sz w:val="20"/>
                <w:szCs w:val="20"/>
              </w:rPr>
              <w:t xml:space="preserve"> </w:t>
            </w:r>
            <w:r>
              <w:rPr>
                <w:spacing w:val="-3"/>
                <w:sz w:val="20"/>
                <w:szCs w:val="20"/>
              </w:rPr>
              <w:t>处以</w:t>
            </w:r>
            <w:r>
              <w:rPr>
                <w:spacing w:val="-34"/>
                <w:sz w:val="20"/>
                <w:szCs w:val="20"/>
              </w:rPr>
              <w:t xml:space="preserve"> </w:t>
            </w:r>
            <w:r>
              <w:rPr>
                <w:spacing w:val="-3"/>
                <w:sz w:val="20"/>
                <w:szCs w:val="20"/>
              </w:rPr>
              <w:t>1000</w:t>
            </w:r>
            <w:r>
              <w:rPr>
                <w:spacing w:val="-51"/>
                <w:sz w:val="20"/>
                <w:szCs w:val="20"/>
              </w:rPr>
              <w:t xml:space="preserve"> </w:t>
            </w:r>
            <w:r>
              <w:rPr>
                <w:spacing w:val="-3"/>
                <w:sz w:val="20"/>
                <w:szCs w:val="20"/>
              </w:rPr>
              <w:t>元/天</w:t>
            </w:r>
            <w:r>
              <w:rPr>
                <w:sz w:val="20"/>
                <w:szCs w:val="20"/>
              </w:rPr>
              <w:t xml:space="preserve"> </w:t>
            </w:r>
            <w:r>
              <w:rPr>
                <w:spacing w:val="-2"/>
                <w:sz w:val="20"/>
                <w:szCs w:val="20"/>
              </w:rPr>
              <w:t>的违约金直至承</w:t>
            </w:r>
          </w:p>
          <w:p>
            <w:pPr>
              <w:pStyle w:val="17"/>
              <w:spacing w:line="228" w:lineRule="auto"/>
              <w:ind w:left="113"/>
              <w:rPr>
                <w:sz w:val="20"/>
                <w:szCs w:val="20"/>
              </w:rPr>
            </w:pPr>
            <w:r>
              <w:rPr>
                <w:spacing w:val="-2"/>
                <w:sz w:val="20"/>
                <w:szCs w:val="20"/>
              </w:rPr>
              <w:t>包人纠正为止。</w:t>
            </w:r>
          </w:p>
        </w:tc>
        <w:tc>
          <w:tcPr>
            <w:tcW w:w="1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799" w:type="dxa"/>
            <w:vAlign w:val="top"/>
          </w:tcPr>
          <w:p>
            <w:pPr>
              <w:spacing w:line="317" w:lineRule="auto"/>
              <w:rPr>
                <w:rFonts w:ascii="Arial"/>
                <w:sz w:val="21"/>
              </w:rPr>
            </w:pPr>
          </w:p>
          <w:p>
            <w:pPr>
              <w:spacing w:line="317" w:lineRule="auto"/>
              <w:rPr>
                <w:rFonts w:ascii="Arial"/>
                <w:sz w:val="21"/>
              </w:rPr>
            </w:pPr>
          </w:p>
          <w:p>
            <w:pPr>
              <w:pStyle w:val="17"/>
              <w:spacing w:before="65" w:line="189" w:lineRule="auto"/>
              <w:ind w:left="302"/>
              <w:rPr>
                <w:sz w:val="20"/>
                <w:szCs w:val="20"/>
              </w:rPr>
            </w:pPr>
            <w:r>
              <w:rPr>
                <w:spacing w:val="-1"/>
                <w:sz w:val="20"/>
                <w:szCs w:val="20"/>
              </w:rPr>
              <w:t>20</w:t>
            </w:r>
          </w:p>
        </w:tc>
        <w:tc>
          <w:tcPr>
            <w:tcW w:w="1153" w:type="dxa"/>
            <w:vAlign w:val="top"/>
          </w:tcPr>
          <w:p>
            <w:pPr>
              <w:spacing w:line="317" w:lineRule="auto"/>
              <w:rPr>
                <w:rFonts w:ascii="Arial"/>
                <w:sz w:val="21"/>
              </w:rPr>
            </w:pPr>
          </w:p>
          <w:p>
            <w:pPr>
              <w:spacing w:line="317" w:lineRule="auto"/>
              <w:rPr>
                <w:rFonts w:ascii="Arial"/>
                <w:sz w:val="21"/>
              </w:rPr>
            </w:pPr>
          </w:p>
          <w:p>
            <w:pPr>
              <w:pStyle w:val="17"/>
              <w:spacing w:before="65" w:line="189" w:lineRule="auto"/>
              <w:ind w:left="424"/>
              <w:rPr>
                <w:sz w:val="20"/>
                <w:szCs w:val="20"/>
              </w:rPr>
            </w:pPr>
            <w:r>
              <w:rPr>
                <w:spacing w:val="1"/>
                <w:sz w:val="20"/>
                <w:szCs w:val="20"/>
              </w:rPr>
              <w:t>6.3</w:t>
            </w:r>
          </w:p>
        </w:tc>
        <w:tc>
          <w:tcPr>
            <w:tcW w:w="3689" w:type="dxa"/>
            <w:vAlign w:val="top"/>
          </w:tcPr>
          <w:p>
            <w:pPr>
              <w:spacing w:line="399" w:lineRule="auto"/>
              <w:rPr>
                <w:rFonts w:ascii="Arial"/>
                <w:sz w:val="21"/>
              </w:rPr>
            </w:pPr>
          </w:p>
          <w:p>
            <w:pPr>
              <w:pStyle w:val="17"/>
              <w:spacing w:before="65" w:line="408" w:lineRule="exact"/>
              <w:ind w:left="111"/>
              <w:rPr>
                <w:sz w:val="20"/>
                <w:szCs w:val="20"/>
              </w:rPr>
            </w:pPr>
            <w:r>
              <w:rPr>
                <w:spacing w:val="16"/>
                <w:position w:val="15"/>
                <w:sz w:val="20"/>
                <w:szCs w:val="20"/>
              </w:rPr>
              <w:t>承包人未按监理人要求增加或更换施</w:t>
            </w:r>
          </w:p>
          <w:p>
            <w:pPr>
              <w:pStyle w:val="17"/>
              <w:spacing w:line="229" w:lineRule="auto"/>
              <w:ind w:left="114"/>
              <w:rPr>
                <w:sz w:val="20"/>
                <w:szCs w:val="20"/>
              </w:rPr>
            </w:pPr>
            <w:r>
              <w:rPr>
                <w:spacing w:val="6"/>
                <w:sz w:val="20"/>
                <w:szCs w:val="20"/>
              </w:rPr>
              <w:t>工设备</w:t>
            </w:r>
          </w:p>
        </w:tc>
        <w:tc>
          <w:tcPr>
            <w:tcW w:w="1604" w:type="dxa"/>
            <w:vAlign w:val="top"/>
          </w:tcPr>
          <w:p>
            <w:pPr>
              <w:pStyle w:val="17"/>
              <w:spacing w:before="57" w:line="377" w:lineRule="auto"/>
              <w:ind w:left="118" w:right="91" w:firstLine="11"/>
              <w:jc w:val="both"/>
              <w:rPr>
                <w:sz w:val="20"/>
                <w:szCs w:val="20"/>
              </w:rPr>
            </w:pPr>
            <w:r>
              <w:rPr>
                <w:spacing w:val="-10"/>
                <w:sz w:val="20"/>
                <w:szCs w:val="20"/>
              </w:rPr>
              <w:t>1</w:t>
            </w:r>
            <w:r>
              <w:rPr>
                <w:spacing w:val="-43"/>
                <w:sz w:val="20"/>
                <w:szCs w:val="20"/>
              </w:rPr>
              <w:t xml:space="preserve"> </w:t>
            </w:r>
            <w:r>
              <w:rPr>
                <w:spacing w:val="-10"/>
                <w:sz w:val="20"/>
                <w:szCs w:val="20"/>
              </w:rPr>
              <w:t>万元/台，同时</w:t>
            </w:r>
            <w:r>
              <w:rPr>
                <w:sz w:val="20"/>
                <w:szCs w:val="20"/>
              </w:rPr>
              <w:t xml:space="preserve"> </w:t>
            </w:r>
            <w:r>
              <w:rPr>
                <w:spacing w:val="-3"/>
                <w:sz w:val="20"/>
                <w:szCs w:val="20"/>
              </w:rPr>
              <w:t>处以</w:t>
            </w:r>
            <w:r>
              <w:rPr>
                <w:spacing w:val="-34"/>
                <w:sz w:val="20"/>
                <w:szCs w:val="20"/>
              </w:rPr>
              <w:t xml:space="preserve"> </w:t>
            </w:r>
            <w:r>
              <w:rPr>
                <w:spacing w:val="-3"/>
                <w:sz w:val="20"/>
                <w:szCs w:val="20"/>
              </w:rPr>
              <w:t>1000</w:t>
            </w:r>
            <w:r>
              <w:rPr>
                <w:spacing w:val="-51"/>
                <w:sz w:val="20"/>
                <w:szCs w:val="20"/>
              </w:rPr>
              <w:t xml:space="preserve"> </w:t>
            </w:r>
            <w:r>
              <w:rPr>
                <w:spacing w:val="-3"/>
                <w:sz w:val="20"/>
                <w:szCs w:val="20"/>
              </w:rPr>
              <w:t>元/天</w:t>
            </w:r>
            <w:r>
              <w:rPr>
                <w:sz w:val="20"/>
                <w:szCs w:val="20"/>
              </w:rPr>
              <w:t xml:space="preserve"> </w:t>
            </w:r>
            <w:r>
              <w:rPr>
                <w:spacing w:val="-2"/>
                <w:sz w:val="20"/>
                <w:szCs w:val="20"/>
              </w:rPr>
              <w:t>的违约金直至承</w:t>
            </w:r>
          </w:p>
          <w:p>
            <w:pPr>
              <w:pStyle w:val="17"/>
              <w:spacing w:line="228" w:lineRule="auto"/>
              <w:ind w:left="113"/>
              <w:rPr>
                <w:sz w:val="20"/>
                <w:szCs w:val="20"/>
              </w:rPr>
            </w:pPr>
            <w:r>
              <w:rPr>
                <w:spacing w:val="-2"/>
                <w:sz w:val="20"/>
                <w:szCs w:val="20"/>
              </w:rPr>
              <w:t>包人纠正为止。</w:t>
            </w:r>
          </w:p>
        </w:tc>
        <w:tc>
          <w:tcPr>
            <w:tcW w:w="1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799" w:type="dxa"/>
            <w:vAlign w:val="top"/>
          </w:tcPr>
          <w:p>
            <w:pPr>
              <w:spacing w:line="407" w:lineRule="auto"/>
              <w:rPr>
                <w:rFonts w:ascii="Arial"/>
                <w:sz w:val="21"/>
              </w:rPr>
            </w:pPr>
          </w:p>
          <w:p>
            <w:pPr>
              <w:pStyle w:val="17"/>
              <w:spacing w:before="65" w:line="189" w:lineRule="auto"/>
              <w:ind w:left="302"/>
              <w:rPr>
                <w:sz w:val="20"/>
                <w:szCs w:val="20"/>
              </w:rPr>
            </w:pPr>
            <w:r>
              <w:rPr>
                <w:spacing w:val="-1"/>
                <w:sz w:val="20"/>
                <w:szCs w:val="20"/>
              </w:rPr>
              <w:t>21</w:t>
            </w:r>
          </w:p>
        </w:tc>
        <w:tc>
          <w:tcPr>
            <w:tcW w:w="1153" w:type="dxa"/>
            <w:vAlign w:val="top"/>
          </w:tcPr>
          <w:p>
            <w:pPr>
              <w:spacing w:line="406" w:lineRule="auto"/>
              <w:rPr>
                <w:rFonts w:ascii="Arial"/>
                <w:sz w:val="21"/>
              </w:rPr>
            </w:pPr>
          </w:p>
          <w:p>
            <w:pPr>
              <w:pStyle w:val="17"/>
              <w:spacing w:before="65" w:line="190" w:lineRule="auto"/>
              <w:ind w:left="281"/>
              <w:rPr>
                <w:sz w:val="20"/>
                <w:szCs w:val="20"/>
              </w:rPr>
            </w:pPr>
            <w:r>
              <w:rPr>
                <w:spacing w:val="1"/>
                <w:sz w:val="20"/>
                <w:szCs w:val="20"/>
              </w:rPr>
              <w:t>11.1.1</w:t>
            </w:r>
          </w:p>
        </w:tc>
        <w:tc>
          <w:tcPr>
            <w:tcW w:w="3689" w:type="dxa"/>
            <w:vAlign w:val="top"/>
          </w:tcPr>
          <w:p>
            <w:pPr>
              <w:spacing w:line="374" w:lineRule="auto"/>
              <w:rPr>
                <w:rFonts w:ascii="Arial"/>
                <w:sz w:val="21"/>
              </w:rPr>
            </w:pPr>
          </w:p>
          <w:p>
            <w:pPr>
              <w:pStyle w:val="17"/>
              <w:spacing w:before="65" w:line="228" w:lineRule="auto"/>
              <w:ind w:left="111"/>
              <w:rPr>
                <w:sz w:val="20"/>
                <w:szCs w:val="20"/>
              </w:rPr>
            </w:pPr>
            <w:r>
              <w:rPr>
                <w:spacing w:val="8"/>
                <w:sz w:val="20"/>
                <w:szCs w:val="20"/>
              </w:rPr>
              <w:t>承包人未按期开工</w:t>
            </w:r>
          </w:p>
        </w:tc>
        <w:tc>
          <w:tcPr>
            <w:tcW w:w="1604" w:type="dxa"/>
            <w:vAlign w:val="top"/>
          </w:tcPr>
          <w:p>
            <w:pPr>
              <w:pStyle w:val="17"/>
              <w:spacing w:before="33" w:line="378" w:lineRule="auto"/>
              <w:ind w:left="130" w:right="105" w:hanging="15"/>
              <w:jc w:val="both"/>
              <w:rPr>
                <w:sz w:val="20"/>
                <w:szCs w:val="20"/>
              </w:rPr>
            </w:pPr>
            <w:r>
              <w:rPr>
                <w:spacing w:val="29"/>
                <w:sz w:val="20"/>
                <w:szCs w:val="20"/>
              </w:rPr>
              <w:t>参照工期延误</w:t>
            </w:r>
            <w:r>
              <w:rPr>
                <w:spacing w:val="2"/>
                <w:sz w:val="20"/>
                <w:szCs w:val="20"/>
              </w:rPr>
              <w:t xml:space="preserve"> </w:t>
            </w:r>
            <w:r>
              <w:rPr>
                <w:spacing w:val="27"/>
                <w:sz w:val="20"/>
                <w:szCs w:val="20"/>
              </w:rPr>
              <w:t>的标准扣除违</w:t>
            </w:r>
          </w:p>
          <w:p>
            <w:pPr>
              <w:pStyle w:val="17"/>
              <w:spacing w:line="232" w:lineRule="auto"/>
              <w:ind w:left="118"/>
              <w:rPr>
                <w:sz w:val="20"/>
                <w:szCs w:val="20"/>
              </w:rPr>
            </w:pPr>
            <w:r>
              <w:rPr>
                <w:spacing w:val="2"/>
                <w:sz w:val="20"/>
                <w:szCs w:val="20"/>
              </w:rPr>
              <w:t>约金</w:t>
            </w:r>
          </w:p>
        </w:tc>
        <w:tc>
          <w:tcPr>
            <w:tcW w:w="17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799" w:type="dxa"/>
            <w:vAlign w:val="top"/>
          </w:tcPr>
          <w:p>
            <w:pPr>
              <w:spacing w:line="305" w:lineRule="auto"/>
              <w:rPr>
                <w:rFonts w:ascii="Arial"/>
                <w:sz w:val="21"/>
              </w:rPr>
            </w:pPr>
          </w:p>
          <w:p>
            <w:pPr>
              <w:spacing w:line="306" w:lineRule="auto"/>
              <w:rPr>
                <w:rFonts w:ascii="Arial"/>
                <w:sz w:val="21"/>
              </w:rPr>
            </w:pPr>
          </w:p>
          <w:p>
            <w:pPr>
              <w:pStyle w:val="17"/>
              <w:spacing w:before="65" w:line="189" w:lineRule="auto"/>
              <w:ind w:left="302"/>
              <w:rPr>
                <w:sz w:val="20"/>
                <w:szCs w:val="20"/>
              </w:rPr>
            </w:pPr>
            <w:r>
              <w:rPr>
                <w:spacing w:val="-1"/>
                <w:sz w:val="20"/>
                <w:szCs w:val="20"/>
              </w:rPr>
              <w:t>22</w:t>
            </w:r>
          </w:p>
        </w:tc>
        <w:tc>
          <w:tcPr>
            <w:tcW w:w="1153" w:type="dxa"/>
            <w:vAlign w:val="top"/>
          </w:tcPr>
          <w:p>
            <w:pPr>
              <w:spacing w:line="305" w:lineRule="auto"/>
              <w:rPr>
                <w:rFonts w:ascii="Arial"/>
                <w:sz w:val="21"/>
              </w:rPr>
            </w:pPr>
          </w:p>
          <w:p>
            <w:pPr>
              <w:spacing w:line="305" w:lineRule="auto"/>
              <w:rPr>
                <w:rFonts w:ascii="Arial"/>
                <w:sz w:val="21"/>
              </w:rPr>
            </w:pPr>
          </w:p>
          <w:p>
            <w:pPr>
              <w:pStyle w:val="17"/>
              <w:spacing w:before="65" w:line="190" w:lineRule="auto"/>
              <w:ind w:left="387"/>
              <w:rPr>
                <w:sz w:val="20"/>
                <w:szCs w:val="20"/>
              </w:rPr>
            </w:pPr>
            <w:r>
              <w:rPr>
                <w:spacing w:val="-2"/>
                <w:sz w:val="20"/>
                <w:szCs w:val="20"/>
              </w:rPr>
              <w:t>11.5</w:t>
            </w:r>
          </w:p>
        </w:tc>
        <w:tc>
          <w:tcPr>
            <w:tcW w:w="3689" w:type="dxa"/>
            <w:vAlign w:val="top"/>
          </w:tcPr>
          <w:p>
            <w:pPr>
              <w:spacing w:line="289" w:lineRule="auto"/>
              <w:rPr>
                <w:rFonts w:ascii="Arial"/>
                <w:sz w:val="21"/>
              </w:rPr>
            </w:pPr>
          </w:p>
          <w:p>
            <w:pPr>
              <w:spacing w:line="289" w:lineRule="auto"/>
              <w:rPr>
                <w:rFonts w:ascii="Arial"/>
                <w:sz w:val="21"/>
              </w:rPr>
            </w:pPr>
          </w:p>
          <w:p>
            <w:pPr>
              <w:pStyle w:val="17"/>
              <w:spacing w:before="65" w:line="228" w:lineRule="auto"/>
              <w:ind w:left="111"/>
              <w:rPr>
                <w:sz w:val="20"/>
                <w:szCs w:val="20"/>
              </w:rPr>
            </w:pPr>
            <w:r>
              <w:rPr>
                <w:spacing w:val="8"/>
                <w:sz w:val="20"/>
                <w:szCs w:val="20"/>
              </w:rPr>
              <w:t>承包人的工期延误</w:t>
            </w:r>
          </w:p>
        </w:tc>
        <w:tc>
          <w:tcPr>
            <w:tcW w:w="1604" w:type="dxa"/>
            <w:vAlign w:val="top"/>
          </w:tcPr>
          <w:p>
            <w:pPr>
              <w:pStyle w:val="17"/>
              <w:spacing w:before="37" w:line="377" w:lineRule="auto"/>
              <w:ind w:left="115" w:right="103"/>
              <w:jc w:val="both"/>
              <w:rPr>
                <w:sz w:val="20"/>
                <w:szCs w:val="20"/>
              </w:rPr>
            </w:pPr>
            <w:r>
              <w:rPr>
                <w:spacing w:val="10"/>
                <w:sz w:val="20"/>
                <w:szCs w:val="20"/>
              </w:rPr>
              <w:t>按</w:t>
            </w:r>
            <w:r>
              <w:rPr>
                <w:spacing w:val="-60"/>
                <w:sz w:val="20"/>
                <w:szCs w:val="20"/>
              </w:rPr>
              <w:t xml:space="preserve"> </w:t>
            </w:r>
            <w:r>
              <w:rPr>
                <w:spacing w:val="10"/>
                <w:sz w:val="20"/>
                <w:szCs w:val="20"/>
              </w:rPr>
              <w:t>照项</w:t>
            </w:r>
            <w:r>
              <w:rPr>
                <w:spacing w:val="-24"/>
                <w:sz w:val="20"/>
                <w:szCs w:val="20"/>
              </w:rPr>
              <w:t xml:space="preserve"> </w:t>
            </w:r>
            <w:r>
              <w:rPr>
                <w:spacing w:val="10"/>
                <w:sz w:val="20"/>
                <w:szCs w:val="20"/>
              </w:rPr>
              <w:t>目专用</w:t>
            </w:r>
            <w:r>
              <w:rPr>
                <w:sz w:val="20"/>
                <w:szCs w:val="20"/>
              </w:rPr>
              <w:t xml:space="preserve"> </w:t>
            </w:r>
            <w:r>
              <w:rPr>
                <w:spacing w:val="29"/>
                <w:sz w:val="20"/>
                <w:szCs w:val="20"/>
              </w:rPr>
              <w:t>条款数据表第</w:t>
            </w:r>
            <w:r>
              <w:rPr>
                <w:spacing w:val="2"/>
                <w:sz w:val="20"/>
                <w:szCs w:val="20"/>
              </w:rPr>
              <w:t xml:space="preserve"> </w:t>
            </w:r>
            <w:r>
              <w:rPr>
                <w:spacing w:val="12"/>
                <w:sz w:val="20"/>
                <w:szCs w:val="20"/>
              </w:rPr>
              <w:t>11.5</w:t>
            </w:r>
            <w:r>
              <w:rPr>
                <w:spacing w:val="-18"/>
                <w:sz w:val="20"/>
                <w:szCs w:val="20"/>
              </w:rPr>
              <w:t xml:space="preserve"> </w:t>
            </w:r>
            <w:r>
              <w:rPr>
                <w:spacing w:val="12"/>
                <w:sz w:val="20"/>
                <w:szCs w:val="20"/>
              </w:rPr>
              <w:t>款规定的</w:t>
            </w:r>
          </w:p>
          <w:p>
            <w:pPr>
              <w:pStyle w:val="17"/>
              <w:spacing w:line="227" w:lineRule="auto"/>
              <w:ind w:left="114"/>
              <w:rPr>
                <w:sz w:val="20"/>
                <w:szCs w:val="20"/>
              </w:rPr>
            </w:pPr>
            <w:r>
              <w:rPr>
                <w:spacing w:val="7"/>
                <w:sz w:val="20"/>
                <w:szCs w:val="20"/>
              </w:rPr>
              <w:t>标准扣除</w:t>
            </w:r>
          </w:p>
        </w:tc>
        <w:tc>
          <w:tcPr>
            <w:tcW w:w="1774" w:type="dxa"/>
            <w:vAlign w:val="top"/>
          </w:tcPr>
          <w:p>
            <w:pPr>
              <w:rPr>
                <w:rFonts w:ascii="Arial"/>
                <w:sz w:val="21"/>
              </w:rPr>
            </w:pPr>
          </w:p>
        </w:tc>
      </w:tr>
    </w:tbl>
    <w:p>
      <w:pPr>
        <w:rPr>
          <w:rFonts w:ascii="Arial"/>
          <w:sz w:val="21"/>
        </w:rPr>
      </w:pPr>
    </w:p>
    <w:p>
      <w:pPr>
        <w:spacing w:line="413" w:lineRule="auto"/>
        <w:rPr>
          <w:rFonts w:ascii="Arial"/>
          <w:sz w:val="21"/>
        </w:rPr>
      </w:pPr>
      <w:r>
        <mc:AlternateContent>
          <mc:Choice Requires="wps">
            <w:drawing>
              <wp:anchor distT="0" distB="0" distL="114300" distR="114300" simplePos="0" relativeHeight="251677696" behindDoc="0" locked="0" layoutInCell="0" allowOverlap="1">
                <wp:simplePos x="0" y="0"/>
                <wp:positionH relativeFrom="page">
                  <wp:posOffset>897890</wp:posOffset>
                </wp:positionH>
                <wp:positionV relativeFrom="page">
                  <wp:posOffset>9565005</wp:posOffset>
                </wp:positionV>
                <wp:extent cx="1831975" cy="3175"/>
                <wp:effectExtent l="0" t="0" r="0" b="0"/>
                <wp:wrapNone/>
                <wp:docPr id="96" name="任意多边形 96"/>
                <wp:cNvGraphicFramePr/>
                <a:graphic xmlns:a="http://schemas.openxmlformats.org/drawingml/2006/main">
                  <a:graphicData uri="http://schemas.microsoft.com/office/word/2010/wordprocessingShape">
                    <wps:wsp>
                      <wps:cNvSpPr/>
                      <wps:spPr>
                        <a:xfrm>
                          <a:off x="0" y="0"/>
                          <a:ext cx="1831975" cy="3175"/>
                        </a:xfrm>
                        <a:custGeom>
                          <a:avLst/>
                          <a:gdLst/>
                          <a:ahLst/>
                          <a:cxnLst/>
                          <a:pathLst>
                            <a:path w="2885" h="5">
                              <a:moveTo>
                                <a:pt x="2" y="2"/>
                              </a:moveTo>
                              <a:lnTo>
                                <a:pt x="2882" y="2"/>
                              </a:lnTo>
                            </a:path>
                          </a:pathLst>
                        </a:custGeom>
                        <a:noFill/>
                        <a:ln w="2667"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7pt;margin-top:753.15pt;height:0.25pt;width:144.25pt;mso-position-horizontal-relative:page;mso-position-vertical-relative:page;z-index:251677696;mso-width-relative:page;mso-height-relative:page;" filled="f" stroked="t" coordsize="2885,5" o:allowincell="f" o:gfxdata="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QEDXYAAAADQEAAA8AAAAAAAAAAQAgAAAAIgAAAGRycy9k&#10;b3ducmV2LnhtbFBLAQIUABQAAAAIAIdO4kAJbfITOwIAAJUEAAAOAAAAAAAAAAEAIAAAACcBAABk&#10;cnMvZTJvRG9jLnhtbFBLBQYAAAAABgAGAFkBAADUBQAAAAA=&#10;" path="m2,2l2882,2e">
                <v:fill on="f" focussize="0,0"/>
                <v:stroke weight="0.21pt" color="#000000" joinstyle="bevel" endcap="square"/>
                <v:imagedata o:title=""/>
                <o:lock v:ext="edit" aspectratio="f"/>
              </v:shape>
            </w:pict>
          </mc:Fallback>
        </mc:AlternateContent>
      </w:r>
    </w:p>
    <w:p>
      <w:pPr>
        <w:spacing w:before="98" w:line="219" w:lineRule="auto"/>
        <w:ind w:left="377"/>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77"/>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77"/>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77"/>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77"/>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77"/>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77"/>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77"/>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77"/>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77"/>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77"/>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77"/>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77"/>
        <w:rPr>
          <w:rFonts w:ascii="宋体" w:hAnsi="宋体" w:eastAsia="宋体" w:cs="宋体"/>
          <w:sz w:val="30"/>
          <w:szCs w:val="30"/>
        </w:rPr>
      </w:pPr>
      <w:r>
        <w:rPr>
          <w:rFonts w:ascii="宋体" w:hAnsi="宋体" w:eastAsia="宋体" w:cs="宋体"/>
          <w:spacing w:val="-7"/>
          <w:sz w:val="30"/>
          <w:szCs w:val="30"/>
          <w14:textOutline w14:w="5448" w14:cap="sq" w14:cmpd="sng">
            <w14:solidFill>
              <w14:srgbClr w14:val="000000"/>
            </w14:solidFill>
            <w14:prstDash w14:val="solid"/>
            <w14:bevel/>
          </w14:textOutline>
        </w:rPr>
        <w:t>附件十二：</w:t>
      </w:r>
    </w:p>
    <w:p>
      <w:pPr>
        <w:spacing w:before="204" w:line="234" w:lineRule="auto"/>
        <w:ind w:left="1614"/>
        <w:rPr>
          <w:rFonts w:ascii="宋体" w:hAnsi="宋体" w:eastAsia="宋体" w:cs="宋体"/>
          <w:sz w:val="14"/>
          <w:szCs w:val="14"/>
        </w:rPr>
      </w:pPr>
      <w:r>
        <w:rPr>
          <w:rFonts w:ascii="宋体" w:hAnsi="宋体" w:eastAsia="宋体" w:cs="宋体"/>
          <w:sz w:val="30"/>
          <w:szCs w:val="30"/>
          <w14:textOutline w14:w="5448" w14:cap="sq" w14:cmpd="sng">
            <w14:solidFill>
              <w14:srgbClr w14:val="000000"/>
            </w14:solidFill>
            <w14:prstDash w14:val="solid"/>
            <w14:bevel/>
          </w14:textOutline>
        </w:rPr>
        <w:t>工程质量、安全及文明施工违约项目一览表</w:t>
      </w:r>
      <w:r>
        <w:fldChar w:fldCharType="begin"/>
      </w:r>
      <w:r>
        <w:instrText xml:space="preserve"> HYPERLINK \l "bookmark171" </w:instrText>
      </w:r>
      <w:r>
        <w:fldChar w:fldCharType="separate"/>
      </w:r>
      <w:r>
        <w:rPr>
          <w:rFonts w:ascii="宋体" w:hAnsi="宋体" w:eastAsia="宋体" w:cs="宋体"/>
          <w:position w:val="15"/>
          <w:sz w:val="14"/>
          <w:szCs w:val="14"/>
          <w14:textOutline w14:w="2705" w14:cap="sq" w14:cmpd="sng">
            <w14:solidFill>
              <w14:srgbClr w14:val="000000"/>
            </w14:solidFill>
            <w14:prstDash w14:val="solid"/>
            <w14:bevel/>
          </w14:textOutline>
        </w:rPr>
        <w:t>①</w:t>
      </w:r>
      <w:r>
        <w:rPr>
          <w:rFonts w:ascii="宋体" w:hAnsi="宋体" w:eastAsia="宋体" w:cs="宋体"/>
          <w:position w:val="15"/>
          <w:sz w:val="14"/>
          <w:szCs w:val="14"/>
          <w14:textOutline w14:w="2705" w14:cap="sq" w14:cmpd="sng">
            <w14:solidFill>
              <w14:srgbClr w14:val="000000"/>
            </w14:solidFill>
            <w14:prstDash w14:val="solid"/>
            <w14:bevel/>
          </w14:textOutline>
        </w:rPr>
        <w:fldChar w:fldCharType="end"/>
      </w:r>
    </w:p>
    <w:p>
      <w:pPr>
        <w:spacing w:before="134"/>
      </w:pPr>
    </w:p>
    <w:tbl>
      <w:tblPr>
        <w:tblStyle w:val="16"/>
        <w:tblW w:w="8937" w:type="dxa"/>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751"/>
        <w:gridCol w:w="7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807" w:type="dxa"/>
            <w:vAlign w:val="top"/>
          </w:tcPr>
          <w:p>
            <w:pPr>
              <w:pStyle w:val="17"/>
              <w:spacing w:before="178" w:line="228" w:lineRule="auto"/>
              <w:ind w:left="195"/>
              <w:rPr>
                <w:sz w:val="20"/>
                <w:szCs w:val="20"/>
              </w:rPr>
            </w:pPr>
            <w:r>
              <w:rPr>
                <w:spacing w:val="6"/>
                <w:sz w:val="20"/>
                <w:szCs w:val="20"/>
                <w14:textOutline w14:w="3795" w14:cap="sq" w14:cmpd="sng">
                  <w14:solidFill>
                    <w14:srgbClr w14:val="000000"/>
                  </w14:solidFill>
                  <w14:prstDash w14:val="solid"/>
                  <w14:bevel/>
                </w14:textOutline>
              </w:rPr>
              <w:t>类别</w:t>
            </w:r>
          </w:p>
        </w:tc>
        <w:tc>
          <w:tcPr>
            <w:tcW w:w="751" w:type="dxa"/>
            <w:vAlign w:val="top"/>
          </w:tcPr>
          <w:p>
            <w:pPr>
              <w:pStyle w:val="17"/>
              <w:spacing w:before="178" w:line="229" w:lineRule="auto"/>
              <w:ind w:left="163"/>
              <w:rPr>
                <w:sz w:val="20"/>
                <w:szCs w:val="20"/>
              </w:rPr>
            </w:pPr>
            <w:r>
              <w:rPr>
                <w:spacing w:val="6"/>
                <w:sz w:val="20"/>
                <w:szCs w:val="20"/>
                <w14:textOutline w14:w="3795" w14:cap="sq" w14:cmpd="sng">
                  <w14:solidFill>
                    <w14:srgbClr w14:val="000000"/>
                  </w14:solidFill>
                  <w14:prstDash w14:val="solid"/>
                  <w14:bevel/>
                </w14:textOutline>
              </w:rPr>
              <w:t>序号</w:t>
            </w:r>
          </w:p>
        </w:tc>
        <w:tc>
          <w:tcPr>
            <w:tcW w:w="7379" w:type="dxa"/>
            <w:vAlign w:val="top"/>
          </w:tcPr>
          <w:p>
            <w:pPr>
              <w:pStyle w:val="17"/>
              <w:spacing w:before="178" w:line="228" w:lineRule="auto"/>
              <w:ind w:left="3111"/>
              <w:rPr>
                <w:sz w:val="20"/>
                <w:szCs w:val="20"/>
              </w:rPr>
            </w:pPr>
            <w:r>
              <w:rPr>
                <w:spacing w:val="-2"/>
                <w:sz w:val="20"/>
                <w:szCs w:val="20"/>
                <w14:textOutline w14:w="3795" w14:cap="sq" w14:cmpd="sng">
                  <w14:solidFill>
                    <w14:srgbClr w14:val="000000"/>
                  </w14:solidFill>
                  <w14:prstDash w14:val="solid"/>
                  <w14:bevel/>
                </w14:textOutline>
              </w:rPr>
              <w:t>违</w:t>
            </w:r>
            <w:r>
              <w:rPr>
                <w:spacing w:val="22"/>
                <w:sz w:val="20"/>
                <w:szCs w:val="20"/>
              </w:rPr>
              <w:t xml:space="preserve"> </w:t>
            </w:r>
            <w:r>
              <w:rPr>
                <w:spacing w:val="-2"/>
                <w:sz w:val="20"/>
                <w:szCs w:val="20"/>
                <w14:textOutline w14:w="3795" w14:cap="sq" w14:cmpd="sng">
                  <w14:solidFill>
                    <w14:srgbClr w14:val="000000"/>
                  </w14:solidFill>
                  <w14:prstDash w14:val="solid"/>
                  <w14:bevel/>
                </w14:textOutline>
              </w:rPr>
              <w:t>约</w:t>
            </w:r>
            <w:r>
              <w:rPr>
                <w:spacing w:val="19"/>
                <w:sz w:val="20"/>
                <w:szCs w:val="20"/>
              </w:rPr>
              <w:t xml:space="preserve"> </w:t>
            </w:r>
            <w:r>
              <w:rPr>
                <w:spacing w:val="-2"/>
                <w:sz w:val="20"/>
                <w:szCs w:val="20"/>
                <w14:textOutline w14:w="3795" w14:cap="sq" w14:cmpd="sng">
                  <w14:solidFill>
                    <w14:srgbClr w14:val="000000"/>
                  </w14:solidFill>
                  <w14:prstDash w14:val="solid"/>
                  <w14:bevel/>
                </w14:textOutline>
              </w:rPr>
              <w:t>项</w:t>
            </w:r>
            <w:r>
              <w:rPr>
                <w:spacing w:val="53"/>
                <w:sz w:val="20"/>
                <w:szCs w:val="20"/>
              </w:rPr>
              <w:t xml:space="preserve"> </w:t>
            </w:r>
            <w:r>
              <w:rPr>
                <w:spacing w:val="-2"/>
                <w:sz w:val="20"/>
                <w:szCs w:val="20"/>
                <w14:textOutline w14:w="3795" w14:cap="sq" w14:cmpd="sng">
                  <w14:solidFill>
                    <w14:srgbClr w14:val="000000"/>
                  </w14:solidFill>
                  <w14:prstDash w14:val="solid"/>
                  <w14:bevel/>
                </w14:textOutline>
              </w:rPr>
              <w:t>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7"/>
              <w:spacing w:before="65" w:line="408" w:lineRule="exact"/>
              <w:ind w:left="197"/>
              <w:rPr>
                <w:sz w:val="20"/>
                <w:szCs w:val="20"/>
              </w:rPr>
            </w:pPr>
            <w:r>
              <w:rPr>
                <w:spacing w:val="3"/>
                <w:position w:val="15"/>
                <w:sz w:val="20"/>
                <w:szCs w:val="20"/>
              </w:rPr>
              <w:t>路基</w:t>
            </w:r>
          </w:p>
          <w:p>
            <w:pPr>
              <w:pStyle w:val="17"/>
              <w:spacing w:line="229" w:lineRule="auto"/>
              <w:ind w:left="195"/>
              <w:rPr>
                <w:sz w:val="20"/>
                <w:szCs w:val="20"/>
              </w:rPr>
            </w:pPr>
            <w:r>
              <w:rPr>
                <w:spacing w:val="5"/>
                <w:sz w:val="20"/>
                <w:szCs w:val="20"/>
              </w:rPr>
              <w:t>及砌</w:t>
            </w:r>
          </w:p>
          <w:p>
            <w:pPr>
              <w:pStyle w:val="17"/>
              <w:spacing w:before="159" w:line="229" w:lineRule="auto"/>
              <w:ind w:left="195"/>
              <w:rPr>
                <w:sz w:val="20"/>
                <w:szCs w:val="20"/>
              </w:rPr>
            </w:pPr>
            <w:r>
              <w:rPr>
                <w:spacing w:val="4"/>
                <w:sz w:val="20"/>
                <w:szCs w:val="20"/>
              </w:rPr>
              <w:t>体工</w:t>
            </w:r>
          </w:p>
          <w:p>
            <w:pPr>
              <w:pStyle w:val="17"/>
              <w:spacing w:before="160" w:line="228" w:lineRule="auto"/>
              <w:ind w:left="298"/>
              <w:rPr>
                <w:sz w:val="20"/>
                <w:szCs w:val="20"/>
              </w:rPr>
            </w:pPr>
            <w:r>
              <w:rPr>
                <w:spacing w:val="1"/>
                <w:sz w:val="20"/>
                <w:szCs w:val="20"/>
              </w:rPr>
              <w:t>程</w:t>
            </w:r>
          </w:p>
        </w:tc>
        <w:tc>
          <w:tcPr>
            <w:tcW w:w="751" w:type="dxa"/>
            <w:vAlign w:val="top"/>
          </w:tcPr>
          <w:p>
            <w:pPr>
              <w:spacing w:line="284" w:lineRule="auto"/>
              <w:rPr>
                <w:rFonts w:ascii="Arial"/>
                <w:sz w:val="21"/>
              </w:rPr>
            </w:pPr>
          </w:p>
          <w:p>
            <w:pPr>
              <w:pStyle w:val="17"/>
              <w:spacing w:before="65" w:line="189" w:lineRule="auto"/>
              <w:ind w:left="337"/>
              <w:rPr>
                <w:sz w:val="20"/>
                <w:szCs w:val="20"/>
              </w:rPr>
            </w:pPr>
            <w:r>
              <w:rPr>
                <w:sz w:val="20"/>
                <w:szCs w:val="20"/>
              </w:rPr>
              <w:t>1</w:t>
            </w:r>
          </w:p>
        </w:tc>
        <w:tc>
          <w:tcPr>
            <w:tcW w:w="7379" w:type="dxa"/>
            <w:vAlign w:val="top"/>
          </w:tcPr>
          <w:p>
            <w:pPr>
              <w:pStyle w:val="17"/>
              <w:spacing w:before="114" w:line="408" w:lineRule="exact"/>
              <w:ind w:left="110"/>
              <w:rPr>
                <w:sz w:val="20"/>
                <w:szCs w:val="20"/>
              </w:rPr>
            </w:pPr>
            <w:r>
              <w:rPr>
                <w:spacing w:val="8"/>
                <w:position w:val="15"/>
                <w:sz w:val="20"/>
                <w:szCs w:val="20"/>
              </w:rPr>
              <w:t>填土没有路拱（要求</w:t>
            </w:r>
            <w:r>
              <w:rPr>
                <w:spacing w:val="-37"/>
                <w:position w:val="15"/>
                <w:sz w:val="20"/>
                <w:szCs w:val="20"/>
              </w:rPr>
              <w:t xml:space="preserve"> </w:t>
            </w:r>
            <w:r>
              <w:rPr>
                <w:spacing w:val="8"/>
                <w:position w:val="15"/>
                <w:sz w:val="20"/>
                <w:szCs w:val="20"/>
              </w:rPr>
              <w:t>2%—4%</w:t>
            </w:r>
            <w:r>
              <w:rPr>
                <w:spacing w:val="9"/>
                <w:position w:val="15"/>
                <w:sz w:val="20"/>
                <w:szCs w:val="20"/>
              </w:rPr>
              <w:t>），</w:t>
            </w:r>
            <w:r>
              <w:rPr>
                <w:spacing w:val="8"/>
                <w:position w:val="15"/>
                <w:sz w:val="20"/>
                <w:szCs w:val="20"/>
              </w:rPr>
              <w:t>排水不畅的；路基施工未采取临时防护排水措</w:t>
            </w:r>
          </w:p>
          <w:p>
            <w:pPr>
              <w:pStyle w:val="17"/>
              <w:spacing w:line="224" w:lineRule="auto"/>
              <w:ind w:left="108"/>
              <w:rPr>
                <w:sz w:val="20"/>
                <w:szCs w:val="20"/>
              </w:rPr>
            </w:pPr>
            <w:r>
              <w:rPr>
                <w:spacing w:val="5"/>
                <w:sz w:val="20"/>
                <w:szCs w:val="20"/>
              </w:rPr>
              <w:t>施的，每处违约金</w:t>
            </w:r>
            <w:r>
              <w:rPr>
                <w:spacing w:val="-30"/>
                <w:sz w:val="20"/>
                <w:szCs w:val="20"/>
              </w:rPr>
              <w:t xml:space="preserve"> </w:t>
            </w:r>
            <w:r>
              <w:rPr>
                <w:spacing w:val="5"/>
                <w:sz w:val="20"/>
                <w:szCs w:val="20"/>
              </w:rPr>
              <w:t>2,000</w:t>
            </w:r>
            <w:r>
              <w:rPr>
                <w:spacing w:val="-36"/>
                <w:sz w:val="20"/>
                <w:szCs w:val="20"/>
              </w:rPr>
              <w:t xml:space="preserve"> </w:t>
            </w:r>
            <w:r>
              <w:rPr>
                <w:spacing w:val="5"/>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47" w:line="189" w:lineRule="auto"/>
              <w:ind w:left="325"/>
              <w:rPr>
                <w:sz w:val="20"/>
                <w:szCs w:val="20"/>
              </w:rPr>
            </w:pPr>
            <w:r>
              <w:rPr>
                <w:sz w:val="20"/>
                <w:szCs w:val="20"/>
              </w:rPr>
              <w:t>2</w:t>
            </w:r>
          </w:p>
        </w:tc>
        <w:tc>
          <w:tcPr>
            <w:tcW w:w="7379" w:type="dxa"/>
            <w:vAlign w:val="top"/>
          </w:tcPr>
          <w:p>
            <w:pPr>
              <w:pStyle w:val="17"/>
              <w:spacing w:before="114" w:line="225" w:lineRule="auto"/>
              <w:ind w:left="110"/>
              <w:rPr>
                <w:sz w:val="20"/>
                <w:szCs w:val="20"/>
              </w:rPr>
            </w:pPr>
            <w:r>
              <w:rPr>
                <w:spacing w:val="7"/>
                <w:sz w:val="20"/>
                <w:szCs w:val="20"/>
              </w:rPr>
              <w:t>路基平整度不符合规范要求的，每处违约金</w:t>
            </w:r>
            <w:r>
              <w:rPr>
                <w:spacing w:val="-28"/>
                <w:sz w:val="20"/>
                <w:szCs w:val="20"/>
              </w:rPr>
              <w:t xml:space="preserve"> </w:t>
            </w:r>
            <w:r>
              <w:rPr>
                <w:spacing w:val="7"/>
                <w:sz w:val="20"/>
                <w:szCs w:val="20"/>
              </w:rPr>
              <w:t>2,000</w:t>
            </w:r>
            <w:r>
              <w:rPr>
                <w:spacing w:val="-36"/>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47" w:line="189" w:lineRule="auto"/>
              <w:ind w:left="326"/>
              <w:rPr>
                <w:sz w:val="20"/>
                <w:szCs w:val="20"/>
              </w:rPr>
            </w:pPr>
            <w:r>
              <w:rPr>
                <w:sz w:val="20"/>
                <w:szCs w:val="20"/>
              </w:rPr>
              <w:t>3</w:t>
            </w:r>
          </w:p>
        </w:tc>
        <w:tc>
          <w:tcPr>
            <w:tcW w:w="7379" w:type="dxa"/>
            <w:vAlign w:val="top"/>
          </w:tcPr>
          <w:p>
            <w:pPr>
              <w:pStyle w:val="17"/>
              <w:spacing w:before="114" w:line="225" w:lineRule="auto"/>
              <w:ind w:left="110"/>
              <w:rPr>
                <w:sz w:val="20"/>
                <w:szCs w:val="20"/>
              </w:rPr>
            </w:pPr>
            <w:r>
              <w:rPr>
                <w:spacing w:val="8"/>
                <w:sz w:val="20"/>
                <w:szCs w:val="20"/>
              </w:rPr>
              <w:t>路基填土未经平地机整平就进行压实施工的，每处违约金</w:t>
            </w:r>
            <w:r>
              <w:rPr>
                <w:spacing w:val="-36"/>
                <w:sz w:val="20"/>
                <w:szCs w:val="20"/>
              </w:rPr>
              <w:t xml:space="preserve"> </w:t>
            </w:r>
            <w:r>
              <w:rPr>
                <w:spacing w:val="8"/>
                <w:sz w:val="20"/>
                <w:szCs w:val="20"/>
              </w:rPr>
              <w:t>2</w:t>
            </w:r>
            <w:r>
              <w:rPr>
                <w:spacing w:val="7"/>
                <w:sz w:val="20"/>
                <w:szCs w:val="20"/>
              </w:rPr>
              <w:t>,000</w:t>
            </w:r>
            <w:r>
              <w:rPr>
                <w:spacing w:val="-36"/>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6" w:lineRule="auto"/>
              <w:rPr>
                <w:rFonts w:ascii="Arial"/>
                <w:sz w:val="21"/>
              </w:rPr>
            </w:pPr>
          </w:p>
          <w:p>
            <w:pPr>
              <w:pStyle w:val="17"/>
              <w:spacing w:before="65" w:line="189" w:lineRule="auto"/>
              <w:ind w:left="321"/>
              <w:rPr>
                <w:sz w:val="20"/>
                <w:szCs w:val="20"/>
              </w:rPr>
            </w:pPr>
            <w:r>
              <w:rPr>
                <w:sz w:val="20"/>
                <w:szCs w:val="20"/>
              </w:rPr>
              <w:t>4</w:t>
            </w:r>
          </w:p>
        </w:tc>
        <w:tc>
          <w:tcPr>
            <w:tcW w:w="7379" w:type="dxa"/>
            <w:vAlign w:val="top"/>
          </w:tcPr>
          <w:p>
            <w:pPr>
              <w:pStyle w:val="17"/>
              <w:spacing w:before="116" w:line="408" w:lineRule="exact"/>
              <w:ind w:left="110"/>
              <w:rPr>
                <w:sz w:val="20"/>
                <w:szCs w:val="20"/>
              </w:rPr>
            </w:pPr>
            <w:r>
              <w:rPr>
                <w:spacing w:val="10"/>
                <w:position w:val="15"/>
                <w:sz w:val="20"/>
                <w:szCs w:val="20"/>
              </w:rPr>
              <w:t>填土松铺厚度或现场实测的压实层厚度超过试验段报告明确的松铺厚度或压实</w:t>
            </w:r>
          </w:p>
          <w:p>
            <w:pPr>
              <w:pStyle w:val="17"/>
              <w:spacing w:line="224" w:lineRule="auto"/>
              <w:ind w:left="109"/>
              <w:rPr>
                <w:sz w:val="20"/>
                <w:szCs w:val="20"/>
              </w:rPr>
            </w:pPr>
            <w:r>
              <w:rPr>
                <w:spacing w:val="5"/>
                <w:sz w:val="20"/>
                <w:szCs w:val="20"/>
              </w:rPr>
              <w:t>层厚时，每处违约金</w:t>
            </w:r>
            <w:r>
              <w:rPr>
                <w:spacing w:val="-24"/>
                <w:sz w:val="20"/>
                <w:szCs w:val="20"/>
              </w:rPr>
              <w:t xml:space="preserve"> </w:t>
            </w:r>
            <w:r>
              <w:rPr>
                <w:spacing w:val="5"/>
                <w:sz w:val="20"/>
                <w:szCs w:val="20"/>
              </w:rPr>
              <w:t>5,000</w:t>
            </w:r>
            <w:r>
              <w:rPr>
                <w:spacing w:val="-37"/>
                <w:sz w:val="20"/>
                <w:szCs w:val="20"/>
              </w:rPr>
              <w:t xml:space="preserve"> </w:t>
            </w:r>
            <w:r>
              <w:rPr>
                <w:spacing w:val="5"/>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8" w:lineRule="auto"/>
              <w:rPr>
                <w:rFonts w:ascii="Arial"/>
                <w:sz w:val="21"/>
              </w:rPr>
            </w:pPr>
          </w:p>
          <w:p>
            <w:pPr>
              <w:pStyle w:val="17"/>
              <w:spacing w:before="65" w:line="187" w:lineRule="auto"/>
              <w:ind w:left="326"/>
              <w:rPr>
                <w:sz w:val="20"/>
                <w:szCs w:val="20"/>
              </w:rPr>
            </w:pPr>
            <w:r>
              <w:rPr>
                <w:sz w:val="20"/>
                <w:szCs w:val="20"/>
              </w:rPr>
              <w:t>5</w:t>
            </w:r>
          </w:p>
        </w:tc>
        <w:tc>
          <w:tcPr>
            <w:tcW w:w="7379" w:type="dxa"/>
            <w:vAlign w:val="top"/>
          </w:tcPr>
          <w:p>
            <w:pPr>
              <w:pStyle w:val="17"/>
              <w:spacing w:before="116" w:line="408" w:lineRule="exact"/>
              <w:ind w:left="110"/>
              <w:rPr>
                <w:sz w:val="20"/>
                <w:szCs w:val="20"/>
              </w:rPr>
            </w:pPr>
            <w:r>
              <w:rPr>
                <w:spacing w:val="6"/>
                <w:position w:val="15"/>
                <w:sz w:val="20"/>
                <w:szCs w:val="20"/>
              </w:rPr>
              <w:t>路槽底面以下</w:t>
            </w:r>
            <w:r>
              <w:rPr>
                <w:spacing w:val="-37"/>
                <w:position w:val="15"/>
                <w:sz w:val="20"/>
                <w:szCs w:val="20"/>
              </w:rPr>
              <w:t xml:space="preserve"> </w:t>
            </w:r>
            <w:r>
              <w:rPr>
                <w:spacing w:val="6"/>
                <w:position w:val="15"/>
                <w:sz w:val="20"/>
                <w:szCs w:val="20"/>
              </w:rPr>
              <w:t>0-80</w:t>
            </w:r>
            <w:r>
              <w:rPr>
                <w:position w:val="15"/>
                <w:sz w:val="20"/>
                <w:szCs w:val="20"/>
              </w:rPr>
              <w:t>cm</w:t>
            </w:r>
            <w:r>
              <w:rPr>
                <w:spacing w:val="-36"/>
                <w:position w:val="15"/>
                <w:sz w:val="20"/>
                <w:szCs w:val="20"/>
              </w:rPr>
              <w:t xml:space="preserve"> </w:t>
            </w:r>
            <w:r>
              <w:rPr>
                <w:spacing w:val="6"/>
                <w:position w:val="15"/>
                <w:sz w:val="20"/>
                <w:szCs w:val="20"/>
              </w:rPr>
              <w:t>范围内，填料最大粒径不超过</w:t>
            </w:r>
            <w:r>
              <w:rPr>
                <w:spacing w:val="-21"/>
                <w:position w:val="15"/>
                <w:sz w:val="20"/>
                <w:szCs w:val="20"/>
              </w:rPr>
              <w:t xml:space="preserve"> </w:t>
            </w:r>
            <w:r>
              <w:rPr>
                <w:spacing w:val="6"/>
                <w:position w:val="15"/>
                <w:sz w:val="20"/>
                <w:szCs w:val="20"/>
              </w:rPr>
              <w:t>10</w:t>
            </w:r>
            <w:r>
              <w:rPr>
                <w:position w:val="15"/>
                <w:sz w:val="20"/>
                <w:szCs w:val="20"/>
              </w:rPr>
              <w:t>cm</w:t>
            </w:r>
            <w:r>
              <w:rPr>
                <w:spacing w:val="6"/>
                <w:position w:val="15"/>
                <w:sz w:val="20"/>
                <w:szCs w:val="20"/>
              </w:rPr>
              <w:t>，在</w:t>
            </w:r>
            <w:r>
              <w:rPr>
                <w:spacing w:val="-38"/>
                <w:position w:val="15"/>
                <w:sz w:val="20"/>
                <w:szCs w:val="20"/>
              </w:rPr>
              <w:t xml:space="preserve"> </w:t>
            </w:r>
            <w:r>
              <w:rPr>
                <w:spacing w:val="6"/>
                <w:position w:val="15"/>
                <w:sz w:val="20"/>
                <w:szCs w:val="20"/>
              </w:rPr>
              <w:t>80</w:t>
            </w:r>
            <w:r>
              <w:rPr>
                <w:position w:val="15"/>
                <w:sz w:val="20"/>
                <w:szCs w:val="20"/>
              </w:rPr>
              <w:t>cm</w:t>
            </w:r>
            <w:r>
              <w:rPr>
                <w:spacing w:val="-17"/>
                <w:position w:val="15"/>
                <w:sz w:val="20"/>
                <w:szCs w:val="20"/>
              </w:rPr>
              <w:t xml:space="preserve"> </w:t>
            </w:r>
            <w:r>
              <w:rPr>
                <w:spacing w:val="6"/>
                <w:position w:val="15"/>
                <w:sz w:val="20"/>
                <w:szCs w:val="20"/>
              </w:rPr>
              <w:t>以下的</w:t>
            </w:r>
            <w:r>
              <w:rPr>
                <w:spacing w:val="5"/>
                <w:position w:val="15"/>
                <w:sz w:val="20"/>
                <w:szCs w:val="20"/>
              </w:rPr>
              <w:t>填料</w:t>
            </w:r>
          </w:p>
          <w:p>
            <w:pPr>
              <w:pStyle w:val="17"/>
              <w:spacing w:line="224" w:lineRule="auto"/>
              <w:ind w:left="111"/>
              <w:rPr>
                <w:sz w:val="20"/>
                <w:szCs w:val="20"/>
              </w:rPr>
            </w:pPr>
            <w:r>
              <w:rPr>
                <w:spacing w:val="6"/>
                <w:sz w:val="20"/>
                <w:szCs w:val="20"/>
              </w:rPr>
              <w:t>最大粒径不超过</w:t>
            </w:r>
            <w:r>
              <w:rPr>
                <w:spacing w:val="-24"/>
                <w:sz w:val="20"/>
                <w:szCs w:val="20"/>
              </w:rPr>
              <w:t xml:space="preserve"> </w:t>
            </w:r>
            <w:r>
              <w:rPr>
                <w:spacing w:val="6"/>
                <w:sz w:val="20"/>
                <w:szCs w:val="20"/>
              </w:rPr>
              <w:t>15</w:t>
            </w:r>
            <w:r>
              <w:rPr>
                <w:sz w:val="20"/>
                <w:szCs w:val="20"/>
              </w:rPr>
              <w:t>cm</w:t>
            </w:r>
            <w:r>
              <w:rPr>
                <w:spacing w:val="6"/>
                <w:sz w:val="20"/>
                <w:szCs w:val="20"/>
              </w:rPr>
              <w:t>。违者每次违约金</w:t>
            </w:r>
            <w:r>
              <w:rPr>
                <w:spacing w:val="-34"/>
                <w:sz w:val="20"/>
                <w:szCs w:val="20"/>
              </w:rPr>
              <w:t xml:space="preserve"> </w:t>
            </w:r>
            <w:r>
              <w:rPr>
                <w:spacing w:val="6"/>
                <w:sz w:val="20"/>
                <w:szCs w:val="20"/>
              </w:rPr>
              <w:t>2,000</w:t>
            </w:r>
            <w:r>
              <w:rPr>
                <w:spacing w:val="-39"/>
                <w:sz w:val="20"/>
                <w:szCs w:val="20"/>
              </w:rPr>
              <w:t xml:space="preserve"> </w:t>
            </w:r>
            <w:r>
              <w:rPr>
                <w:spacing w:val="6"/>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1" w:line="189" w:lineRule="auto"/>
              <w:ind w:left="324"/>
              <w:rPr>
                <w:sz w:val="20"/>
                <w:szCs w:val="20"/>
              </w:rPr>
            </w:pPr>
            <w:r>
              <w:rPr>
                <w:sz w:val="20"/>
                <w:szCs w:val="20"/>
              </w:rPr>
              <w:t>6</w:t>
            </w:r>
          </w:p>
        </w:tc>
        <w:tc>
          <w:tcPr>
            <w:tcW w:w="7379" w:type="dxa"/>
            <w:vAlign w:val="top"/>
          </w:tcPr>
          <w:p>
            <w:pPr>
              <w:pStyle w:val="17"/>
              <w:spacing w:before="118" w:line="225" w:lineRule="auto"/>
              <w:ind w:right="11"/>
              <w:jc w:val="right"/>
              <w:rPr>
                <w:sz w:val="20"/>
                <w:szCs w:val="20"/>
              </w:rPr>
            </w:pPr>
            <w:r>
              <w:rPr>
                <w:spacing w:val="6"/>
                <w:sz w:val="20"/>
                <w:szCs w:val="20"/>
              </w:rPr>
              <w:t>路基填土应按规定作液限、塑限指数及</w:t>
            </w:r>
            <w:r>
              <w:rPr>
                <w:spacing w:val="-41"/>
                <w:sz w:val="20"/>
                <w:szCs w:val="20"/>
              </w:rPr>
              <w:t xml:space="preserve"> </w:t>
            </w:r>
            <w:r>
              <w:rPr>
                <w:sz w:val="20"/>
                <w:szCs w:val="20"/>
              </w:rPr>
              <w:t>CBR</w:t>
            </w:r>
            <w:r>
              <w:rPr>
                <w:spacing w:val="-40"/>
                <w:sz w:val="20"/>
                <w:szCs w:val="20"/>
              </w:rPr>
              <w:t xml:space="preserve"> </w:t>
            </w:r>
            <w:r>
              <w:rPr>
                <w:spacing w:val="6"/>
                <w:sz w:val="20"/>
                <w:szCs w:val="20"/>
              </w:rPr>
              <w:t>值试验。违</w:t>
            </w:r>
            <w:r>
              <w:rPr>
                <w:spacing w:val="5"/>
                <w:sz w:val="20"/>
                <w:szCs w:val="20"/>
              </w:rPr>
              <w:t>者每次违约金</w:t>
            </w:r>
            <w:r>
              <w:rPr>
                <w:spacing w:val="-32"/>
                <w:sz w:val="20"/>
                <w:szCs w:val="20"/>
              </w:rPr>
              <w:t xml:space="preserve"> </w:t>
            </w:r>
            <w:r>
              <w:rPr>
                <w:spacing w:val="5"/>
                <w:sz w:val="20"/>
                <w:szCs w:val="20"/>
              </w:rPr>
              <w:t>5,000</w:t>
            </w:r>
            <w:r>
              <w:rPr>
                <w:spacing w:val="-39"/>
                <w:sz w:val="20"/>
                <w:szCs w:val="20"/>
              </w:rPr>
              <w:t xml:space="preserve"> </w:t>
            </w:r>
            <w:r>
              <w:rPr>
                <w:spacing w:val="5"/>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90" w:lineRule="auto"/>
              <w:rPr>
                <w:rFonts w:ascii="Arial"/>
                <w:sz w:val="21"/>
              </w:rPr>
            </w:pPr>
          </w:p>
          <w:p>
            <w:pPr>
              <w:pStyle w:val="17"/>
              <w:spacing w:before="65" w:line="187" w:lineRule="auto"/>
              <w:ind w:left="327"/>
              <w:rPr>
                <w:sz w:val="20"/>
                <w:szCs w:val="20"/>
              </w:rPr>
            </w:pPr>
            <w:r>
              <w:rPr>
                <w:sz w:val="20"/>
                <w:szCs w:val="20"/>
              </w:rPr>
              <w:t>7</w:t>
            </w:r>
          </w:p>
        </w:tc>
        <w:tc>
          <w:tcPr>
            <w:tcW w:w="7379" w:type="dxa"/>
            <w:vAlign w:val="top"/>
          </w:tcPr>
          <w:p>
            <w:pPr>
              <w:pStyle w:val="17"/>
              <w:spacing w:before="118" w:line="408" w:lineRule="exact"/>
              <w:ind w:left="109"/>
              <w:rPr>
                <w:sz w:val="20"/>
                <w:szCs w:val="20"/>
              </w:rPr>
            </w:pPr>
            <w:r>
              <w:rPr>
                <w:spacing w:val="10"/>
                <w:position w:val="15"/>
                <w:sz w:val="20"/>
                <w:szCs w:val="20"/>
              </w:rPr>
              <w:t>确保填方边坡碾压密实，边坡坡面要夯实，路基宽度在设计基础上每边超填不</w:t>
            </w:r>
          </w:p>
          <w:p>
            <w:pPr>
              <w:pStyle w:val="17"/>
              <w:spacing w:line="224" w:lineRule="auto"/>
              <w:ind w:left="114"/>
              <w:rPr>
                <w:sz w:val="20"/>
                <w:szCs w:val="20"/>
              </w:rPr>
            </w:pPr>
            <w:r>
              <w:rPr>
                <w:spacing w:val="6"/>
                <w:sz w:val="20"/>
                <w:szCs w:val="20"/>
              </w:rPr>
              <w:t>小于</w:t>
            </w:r>
            <w:r>
              <w:rPr>
                <w:spacing w:val="-19"/>
                <w:sz w:val="20"/>
                <w:szCs w:val="20"/>
              </w:rPr>
              <w:t xml:space="preserve"> </w:t>
            </w:r>
            <w:r>
              <w:rPr>
                <w:spacing w:val="6"/>
                <w:sz w:val="20"/>
                <w:szCs w:val="20"/>
              </w:rPr>
              <w:t>50</w:t>
            </w:r>
            <w:r>
              <w:rPr>
                <w:sz w:val="20"/>
                <w:szCs w:val="20"/>
              </w:rPr>
              <w:t>cm</w:t>
            </w:r>
            <w:r>
              <w:rPr>
                <w:spacing w:val="6"/>
                <w:sz w:val="20"/>
                <w:szCs w:val="20"/>
              </w:rPr>
              <w:t>，等植草前刷坡。违者每处违约金</w:t>
            </w:r>
            <w:r>
              <w:rPr>
                <w:spacing w:val="-34"/>
                <w:sz w:val="20"/>
                <w:szCs w:val="20"/>
              </w:rPr>
              <w:t xml:space="preserve"> </w:t>
            </w:r>
            <w:r>
              <w:rPr>
                <w:spacing w:val="6"/>
                <w:sz w:val="20"/>
                <w:szCs w:val="20"/>
              </w:rPr>
              <w:t>2,000</w:t>
            </w:r>
            <w:r>
              <w:rPr>
                <w:spacing w:val="-39"/>
                <w:sz w:val="20"/>
                <w:szCs w:val="20"/>
              </w:rPr>
              <w:t xml:space="preserve"> </w:t>
            </w:r>
            <w:r>
              <w:rPr>
                <w:spacing w:val="6"/>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1" w:line="189" w:lineRule="auto"/>
              <w:ind w:left="323"/>
              <w:rPr>
                <w:sz w:val="20"/>
                <w:szCs w:val="20"/>
              </w:rPr>
            </w:pPr>
            <w:r>
              <w:rPr>
                <w:sz w:val="20"/>
                <w:szCs w:val="20"/>
              </w:rPr>
              <w:t>8</w:t>
            </w:r>
          </w:p>
        </w:tc>
        <w:tc>
          <w:tcPr>
            <w:tcW w:w="7379" w:type="dxa"/>
            <w:vAlign w:val="top"/>
          </w:tcPr>
          <w:p>
            <w:pPr>
              <w:pStyle w:val="17"/>
              <w:spacing w:before="117" w:line="225" w:lineRule="auto"/>
              <w:ind w:left="110"/>
              <w:rPr>
                <w:sz w:val="20"/>
                <w:szCs w:val="20"/>
              </w:rPr>
            </w:pPr>
            <w:r>
              <w:rPr>
                <w:spacing w:val="7"/>
                <w:sz w:val="20"/>
                <w:szCs w:val="20"/>
              </w:rPr>
              <w:t>填土压实度达不到设计要求的，每检测段违约金</w:t>
            </w:r>
            <w:r>
              <w:rPr>
                <w:spacing w:val="-22"/>
                <w:sz w:val="20"/>
                <w:szCs w:val="20"/>
              </w:rPr>
              <w:t xml:space="preserve"> </w:t>
            </w:r>
            <w:r>
              <w:rPr>
                <w:spacing w:val="7"/>
                <w:sz w:val="20"/>
                <w:szCs w:val="20"/>
              </w:rPr>
              <w:t>2,000</w:t>
            </w:r>
            <w:r>
              <w:rPr>
                <w:spacing w:val="-36"/>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90" w:lineRule="auto"/>
              <w:rPr>
                <w:rFonts w:ascii="Arial"/>
                <w:sz w:val="21"/>
              </w:rPr>
            </w:pPr>
          </w:p>
          <w:p>
            <w:pPr>
              <w:pStyle w:val="17"/>
              <w:spacing w:before="65" w:line="189" w:lineRule="auto"/>
              <w:ind w:left="323"/>
              <w:rPr>
                <w:sz w:val="20"/>
                <w:szCs w:val="20"/>
              </w:rPr>
            </w:pPr>
            <w:r>
              <w:rPr>
                <w:sz w:val="20"/>
                <w:szCs w:val="20"/>
              </w:rPr>
              <w:t>9</w:t>
            </w:r>
          </w:p>
        </w:tc>
        <w:tc>
          <w:tcPr>
            <w:tcW w:w="7379" w:type="dxa"/>
            <w:vAlign w:val="top"/>
          </w:tcPr>
          <w:p>
            <w:pPr>
              <w:pStyle w:val="17"/>
              <w:spacing w:before="120" w:line="408" w:lineRule="exact"/>
              <w:ind w:left="109"/>
              <w:rPr>
                <w:sz w:val="20"/>
                <w:szCs w:val="20"/>
              </w:rPr>
            </w:pPr>
            <w:r>
              <w:rPr>
                <w:spacing w:val="10"/>
                <w:position w:val="15"/>
                <w:sz w:val="20"/>
                <w:szCs w:val="20"/>
              </w:rPr>
              <w:t>石方路基靠近边坡范围采用光面爆破，爆破后及时清理险石、松石，违者每处</w:t>
            </w:r>
          </w:p>
          <w:p>
            <w:pPr>
              <w:pStyle w:val="17"/>
              <w:spacing w:line="228" w:lineRule="auto"/>
              <w:ind w:left="109"/>
              <w:rPr>
                <w:sz w:val="20"/>
                <w:szCs w:val="20"/>
              </w:rPr>
            </w:pPr>
            <w:r>
              <w:rPr>
                <w:spacing w:val="3"/>
                <w:sz w:val="20"/>
                <w:szCs w:val="20"/>
              </w:rPr>
              <w:t>违约金</w:t>
            </w:r>
            <w:r>
              <w:rPr>
                <w:spacing w:val="-29"/>
                <w:sz w:val="20"/>
                <w:szCs w:val="20"/>
              </w:rPr>
              <w:t xml:space="preserve"> </w:t>
            </w:r>
            <w:r>
              <w:rPr>
                <w:spacing w:val="3"/>
                <w:sz w:val="20"/>
                <w:szCs w:val="20"/>
              </w:rPr>
              <w:t>2，000</w:t>
            </w:r>
            <w:r>
              <w:rPr>
                <w:spacing w:val="-38"/>
                <w:sz w:val="20"/>
                <w:szCs w:val="20"/>
              </w:rPr>
              <w:t xml:space="preserve"> </w:t>
            </w:r>
            <w:r>
              <w:rPr>
                <w:spacing w:val="3"/>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9" w:lineRule="auto"/>
              <w:rPr>
                <w:rFonts w:ascii="Arial"/>
                <w:sz w:val="21"/>
              </w:rPr>
            </w:pPr>
          </w:p>
          <w:p>
            <w:pPr>
              <w:pStyle w:val="17"/>
              <w:spacing w:before="65" w:line="190" w:lineRule="auto"/>
              <w:ind w:left="285"/>
              <w:rPr>
                <w:sz w:val="20"/>
                <w:szCs w:val="20"/>
              </w:rPr>
            </w:pPr>
            <w:r>
              <w:rPr>
                <w:spacing w:val="-7"/>
                <w:sz w:val="20"/>
                <w:szCs w:val="20"/>
              </w:rPr>
              <w:t>10</w:t>
            </w:r>
          </w:p>
        </w:tc>
        <w:tc>
          <w:tcPr>
            <w:tcW w:w="7379" w:type="dxa"/>
            <w:vAlign w:val="top"/>
          </w:tcPr>
          <w:p>
            <w:pPr>
              <w:pStyle w:val="17"/>
              <w:spacing w:before="120" w:line="408" w:lineRule="exact"/>
              <w:ind w:left="110"/>
              <w:rPr>
                <w:sz w:val="20"/>
                <w:szCs w:val="20"/>
              </w:rPr>
            </w:pPr>
            <w:r>
              <w:rPr>
                <w:spacing w:val="10"/>
                <w:position w:val="15"/>
                <w:sz w:val="20"/>
                <w:szCs w:val="20"/>
              </w:rPr>
              <w:t>路堤填石要求逐层水平填筑石块，摆放平整，码砌边部，空隙用石渣石屑嵌压</w:t>
            </w:r>
          </w:p>
          <w:p>
            <w:pPr>
              <w:pStyle w:val="17"/>
              <w:spacing w:line="226" w:lineRule="auto"/>
              <w:ind w:left="109"/>
              <w:rPr>
                <w:sz w:val="20"/>
                <w:szCs w:val="20"/>
              </w:rPr>
            </w:pPr>
            <w:r>
              <w:rPr>
                <w:spacing w:val="8"/>
                <w:sz w:val="20"/>
                <w:szCs w:val="20"/>
              </w:rPr>
              <w:t>稳定，石块尺寸符合规范要求，违者每处违约金</w:t>
            </w:r>
            <w:r>
              <w:rPr>
                <w:spacing w:val="-37"/>
                <w:sz w:val="20"/>
                <w:szCs w:val="20"/>
              </w:rPr>
              <w:t xml:space="preserve"> </w:t>
            </w:r>
            <w:r>
              <w:rPr>
                <w:spacing w:val="7"/>
                <w:sz w:val="20"/>
                <w:szCs w:val="20"/>
              </w:rPr>
              <w:t>2，000</w:t>
            </w:r>
            <w:r>
              <w:rPr>
                <w:spacing w:val="-38"/>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92" w:lineRule="auto"/>
              <w:rPr>
                <w:rFonts w:ascii="Arial"/>
                <w:sz w:val="21"/>
              </w:rPr>
            </w:pPr>
          </w:p>
          <w:p>
            <w:pPr>
              <w:pStyle w:val="17"/>
              <w:spacing w:before="65" w:line="189" w:lineRule="auto"/>
              <w:ind w:left="285"/>
              <w:rPr>
                <w:sz w:val="20"/>
                <w:szCs w:val="20"/>
              </w:rPr>
            </w:pPr>
            <w:r>
              <w:rPr>
                <w:spacing w:val="-7"/>
                <w:sz w:val="20"/>
                <w:szCs w:val="20"/>
              </w:rPr>
              <w:t>11</w:t>
            </w:r>
          </w:p>
        </w:tc>
        <w:tc>
          <w:tcPr>
            <w:tcW w:w="7379" w:type="dxa"/>
            <w:vAlign w:val="top"/>
          </w:tcPr>
          <w:p>
            <w:pPr>
              <w:pStyle w:val="17"/>
              <w:spacing w:before="122" w:line="408" w:lineRule="exact"/>
              <w:ind w:left="108"/>
              <w:rPr>
                <w:sz w:val="20"/>
                <w:szCs w:val="20"/>
              </w:rPr>
            </w:pPr>
            <w:r>
              <w:rPr>
                <w:spacing w:val="10"/>
                <w:position w:val="15"/>
                <w:sz w:val="20"/>
                <w:szCs w:val="20"/>
              </w:rPr>
              <w:t>粉喷桩应严格控制喷粉时间、停粉时间、水泥喷入量，不得中断喷粉，确保喷</w:t>
            </w:r>
          </w:p>
          <w:p>
            <w:pPr>
              <w:pStyle w:val="17"/>
              <w:spacing w:line="227" w:lineRule="auto"/>
              <w:ind w:left="108"/>
              <w:rPr>
                <w:sz w:val="20"/>
                <w:szCs w:val="20"/>
              </w:rPr>
            </w:pPr>
            <w:r>
              <w:rPr>
                <w:spacing w:val="8"/>
                <w:sz w:val="20"/>
                <w:szCs w:val="20"/>
              </w:rPr>
              <w:t>粉桩长度，桩身上部范围必须进行二次搅拌，违者每次违约金</w:t>
            </w:r>
            <w:r>
              <w:rPr>
                <w:spacing w:val="-30"/>
                <w:sz w:val="20"/>
                <w:szCs w:val="20"/>
              </w:rPr>
              <w:t xml:space="preserve"> </w:t>
            </w:r>
            <w:r>
              <w:rPr>
                <w:spacing w:val="8"/>
                <w:sz w:val="20"/>
                <w:szCs w:val="20"/>
              </w:rPr>
              <w:t>2，000</w:t>
            </w:r>
            <w:r>
              <w:rPr>
                <w:spacing w:val="-39"/>
                <w:sz w:val="20"/>
                <w:szCs w:val="20"/>
              </w:rPr>
              <w:t xml:space="preserve"> </w:t>
            </w:r>
            <w:r>
              <w:rPr>
                <w:spacing w:val="8"/>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4" w:line="189" w:lineRule="auto"/>
              <w:ind w:left="285"/>
              <w:rPr>
                <w:sz w:val="20"/>
                <w:szCs w:val="20"/>
              </w:rPr>
            </w:pPr>
            <w:r>
              <w:rPr>
                <w:spacing w:val="-7"/>
                <w:sz w:val="20"/>
                <w:szCs w:val="20"/>
              </w:rPr>
              <w:t>12</w:t>
            </w:r>
          </w:p>
        </w:tc>
        <w:tc>
          <w:tcPr>
            <w:tcW w:w="7379" w:type="dxa"/>
            <w:vAlign w:val="top"/>
          </w:tcPr>
          <w:p>
            <w:pPr>
              <w:pStyle w:val="17"/>
              <w:spacing w:before="122" w:line="227" w:lineRule="auto"/>
              <w:ind w:left="111"/>
              <w:rPr>
                <w:sz w:val="20"/>
                <w:szCs w:val="20"/>
              </w:rPr>
            </w:pPr>
            <w:r>
              <w:rPr>
                <w:spacing w:val="8"/>
                <w:sz w:val="20"/>
                <w:szCs w:val="20"/>
              </w:rPr>
              <w:t>软基换填处理未将软土清除干净就进行回填施工的，每处违约金</w:t>
            </w:r>
            <w:r>
              <w:rPr>
                <w:spacing w:val="-30"/>
                <w:sz w:val="20"/>
                <w:szCs w:val="20"/>
              </w:rPr>
              <w:t xml:space="preserve"> </w:t>
            </w:r>
            <w:r>
              <w:rPr>
                <w:spacing w:val="8"/>
                <w:sz w:val="20"/>
                <w:szCs w:val="20"/>
              </w:rPr>
              <w:t>2，000</w:t>
            </w:r>
            <w:r>
              <w:rPr>
                <w:spacing w:val="-39"/>
                <w:sz w:val="20"/>
                <w:szCs w:val="20"/>
              </w:rPr>
              <w:t xml:space="preserve"> </w:t>
            </w:r>
            <w:r>
              <w:rPr>
                <w:spacing w:val="8"/>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807" w:type="dxa"/>
            <w:vMerge w:val="continue"/>
            <w:tcBorders>
              <w:top w:val="nil"/>
            </w:tcBorders>
            <w:vAlign w:val="top"/>
          </w:tcPr>
          <w:p>
            <w:pPr>
              <w:rPr>
                <w:rFonts w:ascii="Arial"/>
                <w:sz w:val="21"/>
              </w:rPr>
            </w:pPr>
          </w:p>
        </w:tc>
        <w:tc>
          <w:tcPr>
            <w:tcW w:w="751" w:type="dxa"/>
            <w:vAlign w:val="top"/>
          </w:tcPr>
          <w:p>
            <w:pPr>
              <w:pStyle w:val="17"/>
              <w:spacing w:before="156" w:line="190" w:lineRule="auto"/>
              <w:ind w:left="285"/>
              <w:rPr>
                <w:sz w:val="20"/>
                <w:szCs w:val="20"/>
              </w:rPr>
            </w:pPr>
            <w:r>
              <w:rPr>
                <w:spacing w:val="-7"/>
                <w:sz w:val="20"/>
                <w:szCs w:val="20"/>
              </w:rPr>
              <w:t>13</w:t>
            </w:r>
          </w:p>
        </w:tc>
        <w:tc>
          <w:tcPr>
            <w:tcW w:w="7379" w:type="dxa"/>
            <w:vAlign w:val="top"/>
          </w:tcPr>
          <w:p>
            <w:pPr>
              <w:pStyle w:val="17"/>
              <w:spacing w:before="124" w:line="228" w:lineRule="auto"/>
              <w:ind w:left="111"/>
              <w:rPr>
                <w:sz w:val="20"/>
                <w:szCs w:val="20"/>
              </w:rPr>
            </w:pPr>
            <w:r>
              <w:rPr>
                <w:spacing w:val="8"/>
                <w:sz w:val="20"/>
                <w:szCs w:val="20"/>
              </w:rPr>
              <w:t>软基处理未按要求进行沉降和稳定性观测的，每次违约金</w:t>
            </w:r>
            <w:r>
              <w:rPr>
                <w:spacing w:val="-37"/>
                <w:sz w:val="20"/>
                <w:szCs w:val="20"/>
              </w:rPr>
              <w:t xml:space="preserve"> </w:t>
            </w:r>
            <w:r>
              <w:rPr>
                <w:spacing w:val="8"/>
                <w:sz w:val="20"/>
                <w:szCs w:val="20"/>
              </w:rPr>
              <w:t>2，000</w:t>
            </w:r>
            <w:r>
              <w:rPr>
                <w:spacing w:val="-39"/>
                <w:sz w:val="20"/>
                <w:szCs w:val="20"/>
              </w:rPr>
              <w:t xml:space="preserve"> </w:t>
            </w:r>
            <w:r>
              <w:rPr>
                <w:spacing w:val="8"/>
                <w:sz w:val="20"/>
                <w:szCs w:val="20"/>
              </w:rPr>
              <w:t>元。</w:t>
            </w:r>
          </w:p>
        </w:tc>
      </w:tr>
    </w:tbl>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59" w:line="220" w:lineRule="auto"/>
        <w:ind w:left="7"/>
        <w:rPr>
          <w:rFonts w:ascii="宋体" w:hAnsi="宋体" w:eastAsia="宋体" w:cs="宋体"/>
          <w:sz w:val="18"/>
          <w:szCs w:val="18"/>
        </w:rPr>
      </w:pPr>
      <w:r>
        <w:rPr>
          <w:rFonts w:ascii="宋体" w:hAnsi="宋体" w:eastAsia="宋体" w:cs="宋体"/>
          <w:sz w:val="18"/>
          <w:szCs w:val="18"/>
        </w:rPr>
        <w:t>①如招标项目为其他类型（如交通安全设施工程、机电工程等</w:t>
      </w:r>
      <w:r>
        <w:rPr>
          <w:rFonts w:ascii="宋体" w:hAnsi="宋体" w:eastAsia="宋体" w:cs="宋体"/>
          <w:spacing w:val="4"/>
          <w:sz w:val="18"/>
          <w:szCs w:val="18"/>
        </w:rPr>
        <w:t>），</w:t>
      </w:r>
      <w:r>
        <w:rPr>
          <w:rFonts w:ascii="宋体" w:hAnsi="宋体" w:eastAsia="宋体" w:cs="宋体"/>
          <w:sz w:val="18"/>
          <w:szCs w:val="18"/>
        </w:rPr>
        <w:t>招标人可根</w:t>
      </w:r>
      <w:r>
        <w:rPr>
          <w:rFonts w:ascii="宋体" w:hAnsi="宋体" w:eastAsia="宋体" w:cs="宋体"/>
          <w:spacing w:val="-1"/>
          <w:sz w:val="18"/>
          <w:szCs w:val="18"/>
        </w:rPr>
        <w:t>据项目等级、标准等情况进行约定。</w:t>
      </w:r>
    </w:p>
    <w:p>
      <w:pPr>
        <w:spacing w:before="228"/>
      </w:pPr>
    </w:p>
    <w:tbl>
      <w:tblPr>
        <w:tblStyle w:val="16"/>
        <w:tblW w:w="8937" w:type="dxa"/>
        <w:tblInd w:w="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751"/>
        <w:gridCol w:w="7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807" w:type="dxa"/>
            <w:vMerge w:val="restart"/>
            <w:tcBorders>
              <w:bottom w:val="nil"/>
            </w:tcBorders>
            <w:vAlign w:val="top"/>
          </w:tcPr>
          <w:p>
            <w:pPr>
              <w:rPr>
                <w:rFonts w:ascii="Arial"/>
                <w:sz w:val="21"/>
              </w:rPr>
            </w:pPr>
          </w:p>
        </w:tc>
        <w:tc>
          <w:tcPr>
            <w:tcW w:w="751" w:type="dxa"/>
            <w:vAlign w:val="top"/>
          </w:tcPr>
          <w:p>
            <w:pPr>
              <w:spacing w:line="292" w:lineRule="auto"/>
              <w:rPr>
                <w:rFonts w:ascii="Arial"/>
                <w:sz w:val="21"/>
              </w:rPr>
            </w:pPr>
          </w:p>
          <w:p>
            <w:pPr>
              <w:pStyle w:val="17"/>
              <w:spacing w:before="65" w:line="189" w:lineRule="auto"/>
              <w:ind w:left="285"/>
              <w:rPr>
                <w:sz w:val="20"/>
                <w:szCs w:val="20"/>
              </w:rPr>
            </w:pPr>
            <w:r>
              <w:rPr>
                <w:spacing w:val="-7"/>
                <w:sz w:val="20"/>
                <w:szCs w:val="20"/>
              </w:rPr>
              <w:t>14</w:t>
            </w:r>
          </w:p>
        </w:tc>
        <w:tc>
          <w:tcPr>
            <w:tcW w:w="7379" w:type="dxa"/>
            <w:vAlign w:val="top"/>
          </w:tcPr>
          <w:p>
            <w:pPr>
              <w:pStyle w:val="17"/>
              <w:spacing w:before="122" w:line="408" w:lineRule="exact"/>
              <w:ind w:left="111"/>
              <w:rPr>
                <w:sz w:val="20"/>
                <w:szCs w:val="20"/>
              </w:rPr>
            </w:pPr>
            <w:r>
              <w:rPr>
                <w:spacing w:val="10"/>
                <w:position w:val="15"/>
                <w:sz w:val="20"/>
                <w:szCs w:val="20"/>
              </w:rPr>
              <w:t>软基路段施工前应调查软土分布范围、软土深度，进行土工试验，发现与设计</w:t>
            </w:r>
          </w:p>
          <w:p>
            <w:pPr>
              <w:pStyle w:val="17"/>
              <w:spacing w:line="227" w:lineRule="auto"/>
              <w:ind w:left="112"/>
              <w:rPr>
                <w:sz w:val="20"/>
                <w:szCs w:val="20"/>
              </w:rPr>
            </w:pPr>
            <w:r>
              <w:rPr>
                <w:spacing w:val="7"/>
                <w:sz w:val="20"/>
                <w:szCs w:val="20"/>
              </w:rPr>
              <w:t>不符的，应通知监理人，违者每次违约金</w:t>
            </w:r>
            <w:r>
              <w:rPr>
                <w:spacing w:val="-26"/>
                <w:sz w:val="20"/>
                <w:szCs w:val="20"/>
              </w:rPr>
              <w:t xml:space="preserve"> </w:t>
            </w:r>
            <w:r>
              <w:rPr>
                <w:spacing w:val="7"/>
                <w:sz w:val="20"/>
                <w:szCs w:val="20"/>
              </w:rPr>
              <w:t>5，000</w:t>
            </w:r>
            <w:r>
              <w:rPr>
                <w:spacing w:val="-39"/>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46" w:line="190" w:lineRule="auto"/>
              <w:ind w:left="285"/>
              <w:rPr>
                <w:sz w:val="20"/>
                <w:szCs w:val="20"/>
              </w:rPr>
            </w:pPr>
            <w:r>
              <w:rPr>
                <w:spacing w:val="-7"/>
                <w:sz w:val="20"/>
                <w:szCs w:val="20"/>
              </w:rPr>
              <w:t>15</w:t>
            </w:r>
          </w:p>
        </w:tc>
        <w:tc>
          <w:tcPr>
            <w:tcW w:w="7379" w:type="dxa"/>
            <w:vAlign w:val="top"/>
          </w:tcPr>
          <w:p>
            <w:pPr>
              <w:pStyle w:val="17"/>
              <w:spacing w:before="114" w:line="225" w:lineRule="auto"/>
              <w:ind w:left="109"/>
              <w:rPr>
                <w:sz w:val="20"/>
                <w:szCs w:val="20"/>
              </w:rPr>
            </w:pPr>
            <w:r>
              <w:rPr>
                <w:spacing w:val="8"/>
                <w:sz w:val="20"/>
                <w:szCs w:val="20"/>
              </w:rPr>
              <w:t>袋装砂井施工中，砂袋未垂吊、灌沙不饱满的，每根违约金</w:t>
            </w:r>
            <w:r>
              <w:rPr>
                <w:spacing w:val="-37"/>
                <w:sz w:val="20"/>
                <w:szCs w:val="20"/>
              </w:rPr>
              <w:t xml:space="preserve"> </w:t>
            </w:r>
            <w:r>
              <w:rPr>
                <w:spacing w:val="8"/>
                <w:sz w:val="20"/>
                <w:szCs w:val="20"/>
              </w:rPr>
              <w:t>2,00</w:t>
            </w:r>
            <w:r>
              <w:rPr>
                <w:spacing w:val="7"/>
                <w:sz w:val="20"/>
                <w:szCs w:val="20"/>
              </w:rPr>
              <w:t>0</w:t>
            </w:r>
            <w:r>
              <w:rPr>
                <w:spacing w:val="-36"/>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3" w:lineRule="auto"/>
              <w:rPr>
                <w:rFonts w:ascii="Arial"/>
                <w:sz w:val="21"/>
              </w:rPr>
            </w:pPr>
          </w:p>
          <w:p>
            <w:pPr>
              <w:pStyle w:val="17"/>
              <w:spacing w:before="65" w:line="190" w:lineRule="auto"/>
              <w:ind w:left="285"/>
              <w:rPr>
                <w:sz w:val="20"/>
                <w:szCs w:val="20"/>
              </w:rPr>
            </w:pPr>
            <w:r>
              <w:rPr>
                <w:spacing w:val="-7"/>
                <w:sz w:val="20"/>
                <w:szCs w:val="20"/>
              </w:rPr>
              <w:t>16</w:t>
            </w:r>
          </w:p>
        </w:tc>
        <w:tc>
          <w:tcPr>
            <w:tcW w:w="7379" w:type="dxa"/>
            <w:vAlign w:val="top"/>
          </w:tcPr>
          <w:p>
            <w:pPr>
              <w:pStyle w:val="17"/>
              <w:spacing w:before="114" w:line="408" w:lineRule="exact"/>
              <w:ind w:left="109"/>
              <w:rPr>
                <w:sz w:val="20"/>
                <w:szCs w:val="20"/>
              </w:rPr>
            </w:pPr>
            <w:r>
              <w:rPr>
                <w:spacing w:val="10"/>
                <w:position w:val="15"/>
                <w:sz w:val="20"/>
                <w:szCs w:val="20"/>
              </w:rPr>
              <w:t>袋装砂井、砂袋织物和塑料排水板的材料质量必须符合设计要求，违者每处违</w:t>
            </w:r>
          </w:p>
          <w:p>
            <w:pPr>
              <w:pStyle w:val="17"/>
              <w:spacing w:line="228" w:lineRule="auto"/>
              <w:ind w:left="114"/>
              <w:rPr>
                <w:sz w:val="20"/>
                <w:szCs w:val="20"/>
              </w:rPr>
            </w:pPr>
            <w:r>
              <w:rPr>
                <w:spacing w:val="2"/>
                <w:sz w:val="20"/>
                <w:szCs w:val="20"/>
              </w:rPr>
              <w:t>约金</w:t>
            </w:r>
            <w:r>
              <w:rPr>
                <w:spacing w:val="-31"/>
                <w:sz w:val="20"/>
                <w:szCs w:val="20"/>
              </w:rPr>
              <w:t xml:space="preserve"> </w:t>
            </w:r>
            <w:r>
              <w:rPr>
                <w:spacing w:val="2"/>
                <w:sz w:val="20"/>
                <w:szCs w:val="20"/>
              </w:rPr>
              <w:t>2，000</w:t>
            </w:r>
            <w:r>
              <w:rPr>
                <w:spacing w:val="-38"/>
                <w:sz w:val="20"/>
                <w:szCs w:val="20"/>
              </w:rPr>
              <w:t xml:space="preserve"> </w:t>
            </w:r>
            <w:r>
              <w:rPr>
                <w:spacing w:val="2"/>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5" w:lineRule="auto"/>
              <w:rPr>
                <w:rFonts w:ascii="Arial"/>
                <w:sz w:val="21"/>
              </w:rPr>
            </w:pPr>
          </w:p>
          <w:p>
            <w:pPr>
              <w:pStyle w:val="17"/>
              <w:spacing w:before="65" w:line="190" w:lineRule="auto"/>
              <w:ind w:left="285"/>
              <w:rPr>
                <w:sz w:val="20"/>
                <w:szCs w:val="20"/>
              </w:rPr>
            </w:pPr>
            <w:r>
              <w:rPr>
                <w:spacing w:val="-7"/>
                <w:sz w:val="20"/>
                <w:szCs w:val="20"/>
              </w:rPr>
              <w:t>17</w:t>
            </w:r>
          </w:p>
        </w:tc>
        <w:tc>
          <w:tcPr>
            <w:tcW w:w="7379" w:type="dxa"/>
            <w:vAlign w:val="top"/>
          </w:tcPr>
          <w:p>
            <w:pPr>
              <w:pStyle w:val="17"/>
              <w:spacing w:before="116" w:line="408" w:lineRule="exact"/>
              <w:ind w:left="109"/>
              <w:rPr>
                <w:sz w:val="20"/>
                <w:szCs w:val="20"/>
              </w:rPr>
            </w:pPr>
            <w:r>
              <w:rPr>
                <w:spacing w:val="10"/>
                <w:position w:val="15"/>
                <w:sz w:val="20"/>
                <w:szCs w:val="20"/>
              </w:rPr>
              <w:t>土工格栅、土工布等土工材料质量不符合设计要求，搭接宽度、搭接方式不符</w:t>
            </w:r>
          </w:p>
          <w:p>
            <w:pPr>
              <w:pStyle w:val="17"/>
              <w:spacing w:line="227" w:lineRule="auto"/>
              <w:ind w:left="109"/>
              <w:rPr>
                <w:sz w:val="20"/>
                <w:szCs w:val="20"/>
              </w:rPr>
            </w:pPr>
            <w:r>
              <w:rPr>
                <w:spacing w:val="6"/>
                <w:sz w:val="20"/>
                <w:szCs w:val="20"/>
              </w:rPr>
              <w:t>合有关要求的，每处违约金</w:t>
            </w:r>
            <w:r>
              <w:rPr>
                <w:spacing w:val="-22"/>
                <w:sz w:val="20"/>
                <w:szCs w:val="20"/>
              </w:rPr>
              <w:t xml:space="preserve"> </w:t>
            </w:r>
            <w:r>
              <w:rPr>
                <w:spacing w:val="6"/>
                <w:sz w:val="20"/>
                <w:szCs w:val="20"/>
              </w:rPr>
              <w:t>2，000</w:t>
            </w:r>
            <w:r>
              <w:rPr>
                <w:spacing w:val="-39"/>
                <w:sz w:val="20"/>
                <w:szCs w:val="20"/>
              </w:rPr>
              <w:t xml:space="preserve"> </w:t>
            </w:r>
            <w:r>
              <w:rPr>
                <w:spacing w:val="6"/>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7"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17"/>
              <w:spacing w:before="65" w:line="190" w:lineRule="auto"/>
              <w:ind w:left="285"/>
              <w:rPr>
                <w:sz w:val="20"/>
                <w:szCs w:val="20"/>
              </w:rPr>
            </w:pPr>
            <w:r>
              <w:rPr>
                <w:spacing w:val="-7"/>
                <w:sz w:val="20"/>
                <w:szCs w:val="20"/>
              </w:rPr>
              <w:t>18</w:t>
            </w:r>
          </w:p>
        </w:tc>
        <w:tc>
          <w:tcPr>
            <w:tcW w:w="7379" w:type="dxa"/>
            <w:vAlign w:val="top"/>
          </w:tcPr>
          <w:p>
            <w:pPr>
              <w:pStyle w:val="17"/>
              <w:spacing w:before="115" w:line="225" w:lineRule="auto"/>
              <w:ind w:left="114"/>
              <w:rPr>
                <w:sz w:val="20"/>
                <w:szCs w:val="20"/>
              </w:rPr>
            </w:pPr>
            <w:r>
              <w:rPr>
                <w:spacing w:val="8"/>
                <w:sz w:val="20"/>
                <w:szCs w:val="20"/>
              </w:rPr>
              <w:t>结构物台背回填施工应符合以下要求，违者每次或每处违约金</w:t>
            </w:r>
            <w:r>
              <w:rPr>
                <w:spacing w:val="-36"/>
                <w:sz w:val="20"/>
                <w:szCs w:val="20"/>
              </w:rPr>
              <w:t xml:space="preserve"> </w:t>
            </w:r>
            <w:r>
              <w:rPr>
                <w:spacing w:val="8"/>
                <w:sz w:val="20"/>
                <w:szCs w:val="20"/>
              </w:rPr>
              <w:t>2,</w:t>
            </w:r>
            <w:r>
              <w:rPr>
                <w:spacing w:val="7"/>
                <w:sz w:val="20"/>
                <w:szCs w:val="20"/>
              </w:rPr>
              <w:t>000</w:t>
            </w:r>
            <w:r>
              <w:rPr>
                <w:spacing w:val="-37"/>
                <w:sz w:val="20"/>
                <w:szCs w:val="20"/>
              </w:rPr>
              <w:t xml:space="preserve"> </w:t>
            </w:r>
            <w:r>
              <w:rPr>
                <w:spacing w:val="7"/>
                <w:sz w:val="20"/>
                <w:szCs w:val="20"/>
              </w:rPr>
              <w:t>元：</w:t>
            </w:r>
          </w:p>
          <w:p>
            <w:pPr>
              <w:pStyle w:val="17"/>
              <w:spacing w:before="164" w:line="410" w:lineRule="exact"/>
              <w:ind w:left="119"/>
              <w:rPr>
                <w:sz w:val="20"/>
                <w:szCs w:val="20"/>
              </w:rPr>
            </w:pPr>
            <w:r>
              <w:rPr>
                <w:spacing w:val="7"/>
                <w:position w:val="15"/>
                <w:sz w:val="20"/>
                <w:szCs w:val="20"/>
              </w:rPr>
              <w:t>（1）除肋式及桩柱式外，回填必须在上部结构安装完毕，结构物验收合格，且</w:t>
            </w:r>
          </w:p>
          <w:p>
            <w:pPr>
              <w:pStyle w:val="17"/>
              <w:spacing w:line="228" w:lineRule="auto"/>
              <w:ind w:left="108"/>
              <w:rPr>
                <w:sz w:val="20"/>
                <w:szCs w:val="20"/>
              </w:rPr>
            </w:pPr>
            <w:r>
              <w:rPr>
                <w:spacing w:val="7"/>
                <w:sz w:val="20"/>
                <w:szCs w:val="20"/>
              </w:rPr>
              <w:t>砼强度达到设计的</w:t>
            </w:r>
            <w:r>
              <w:rPr>
                <w:spacing w:val="-32"/>
                <w:sz w:val="20"/>
                <w:szCs w:val="20"/>
              </w:rPr>
              <w:t xml:space="preserve"> </w:t>
            </w:r>
            <w:r>
              <w:rPr>
                <w:spacing w:val="7"/>
                <w:sz w:val="20"/>
                <w:szCs w:val="20"/>
              </w:rPr>
              <w:t>85%后方可进行；</w:t>
            </w:r>
          </w:p>
          <w:p>
            <w:pPr>
              <w:pStyle w:val="17"/>
              <w:spacing w:before="160" w:line="408" w:lineRule="exact"/>
              <w:ind w:left="119"/>
              <w:rPr>
                <w:sz w:val="20"/>
                <w:szCs w:val="20"/>
              </w:rPr>
            </w:pPr>
            <w:r>
              <w:rPr>
                <w:spacing w:val="7"/>
                <w:position w:val="15"/>
                <w:sz w:val="20"/>
                <w:szCs w:val="20"/>
              </w:rPr>
              <w:t>（2）回填必须在构造物两端对称填筑压实，以免产生变形、破坏，每层松铺厚</w:t>
            </w:r>
          </w:p>
          <w:p>
            <w:pPr>
              <w:pStyle w:val="17"/>
              <w:spacing w:before="1" w:line="228" w:lineRule="auto"/>
              <w:ind w:left="108"/>
              <w:rPr>
                <w:sz w:val="20"/>
                <w:szCs w:val="20"/>
              </w:rPr>
            </w:pPr>
            <w:r>
              <w:rPr>
                <w:spacing w:val="5"/>
                <w:sz w:val="20"/>
                <w:szCs w:val="20"/>
              </w:rPr>
              <w:t>度不大于</w:t>
            </w:r>
            <w:r>
              <w:rPr>
                <w:spacing w:val="-32"/>
                <w:sz w:val="20"/>
                <w:szCs w:val="20"/>
              </w:rPr>
              <w:t xml:space="preserve"> </w:t>
            </w:r>
            <w:r>
              <w:rPr>
                <w:spacing w:val="5"/>
                <w:sz w:val="20"/>
                <w:szCs w:val="20"/>
              </w:rPr>
              <w:t>20</w:t>
            </w:r>
            <w:r>
              <w:rPr>
                <w:sz w:val="20"/>
                <w:szCs w:val="20"/>
              </w:rPr>
              <w:t>cm</w:t>
            </w:r>
            <w:r>
              <w:rPr>
                <w:spacing w:val="5"/>
                <w:sz w:val="20"/>
                <w:szCs w:val="20"/>
              </w:rPr>
              <w:t>；</w:t>
            </w:r>
          </w:p>
          <w:p>
            <w:pPr>
              <w:pStyle w:val="17"/>
              <w:spacing w:before="160" w:line="408" w:lineRule="exact"/>
              <w:ind w:left="119"/>
              <w:rPr>
                <w:sz w:val="20"/>
                <w:szCs w:val="20"/>
              </w:rPr>
            </w:pPr>
            <w:r>
              <w:rPr>
                <w:spacing w:val="7"/>
                <w:position w:val="15"/>
                <w:sz w:val="20"/>
                <w:szCs w:val="20"/>
              </w:rPr>
              <w:t>（3）</w:t>
            </w:r>
            <w:r>
              <w:rPr>
                <w:spacing w:val="-47"/>
                <w:position w:val="15"/>
                <w:sz w:val="20"/>
                <w:szCs w:val="20"/>
              </w:rPr>
              <w:t xml:space="preserve"> </w:t>
            </w:r>
            <w:r>
              <w:rPr>
                <w:spacing w:val="7"/>
                <w:position w:val="15"/>
                <w:sz w:val="20"/>
                <w:szCs w:val="20"/>
              </w:rPr>
              <w:t>回填界面路基填筑时必须超填</w:t>
            </w:r>
            <w:r>
              <w:rPr>
                <w:spacing w:val="-32"/>
                <w:position w:val="15"/>
                <w:sz w:val="20"/>
                <w:szCs w:val="20"/>
              </w:rPr>
              <w:t xml:space="preserve"> </w:t>
            </w:r>
            <w:r>
              <w:rPr>
                <w:spacing w:val="7"/>
                <w:position w:val="15"/>
                <w:sz w:val="20"/>
                <w:szCs w:val="20"/>
              </w:rPr>
              <w:t>50</w:t>
            </w:r>
            <w:r>
              <w:rPr>
                <w:position w:val="15"/>
                <w:sz w:val="20"/>
                <w:szCs w:val="20"/>
              </w:rPr>
              <w:t>cm</w:t>
            </w:r>
            <w:r>
              <w:rPr>
                <w:spacing w:val="-17"/>
                <w:position w:val="15"/>
                <w:sz w:val="20"/>
                <w:szCs w:val="20"/>
              </w:rPr>
              <w:t xml:space="preserve"> </w:t>
            </w:r>
            <w:r>
              <w:rPr>
                <w:spacing w:val="7"/>
                <w:position w:val="15"/>
                <w:sz w:val="20"/>
                <w:szCs w:val="20"/>
              </w:rPr>
              <w:t>以上，超填部分回填施工前清除，保</w:t>
            </w:r>
          </w:p>
          <w:p>
            <w:pPr>
              <w:pStyle w:val="17"/>
              <w:spacing w:before="1" w:line="228" w:lineRule="auto"/>
              <w:ind w:left="109"/>
              <w:rPr>
                <w:sz w:val="20"/>
                <w:szCs w:val="20"/>
              </w:rPr>
            </w:pPr>
            <w:r>
              <w:rPr>
                <w:spacing w:val="6"/>
                <w:sz w:val="20"/>
                <w:szCs w:val="20"/>
              </w:rPr>
              <w:t>证界面密实；</w:t>
            </w:r>
          </w:p>
          <w:p>
            <w:pPr>
              <w:pStyle w:val="17"/>
              <w:spacing w:before="160" w:line="411" w:lineRule="exact"/>
              <w:ind w:left="119"/>
              <w:rPr>
                <w:sz w:val="20"/>
                <w:szCs w:val="20"/>
              </w:rPr>
            </w:pPr>
            <w:r>
              <w:rPr>
                <w:spacing w:val="7"/>
                <w:position w:val="15"/>
                <w:sz w:val="20"/>
                <w:szCs w:val="20"/>
              </w:rPr>
              <w:t>（4）回填砂施工采用水密法，配合插入式振捣捧小型夯实设备，小型压</w:t>
            </w:r>
            <w:r>
              <w:rPr>
                <w:spacing w:val="6"/>
                <w:position w:val="15"/>
                <w:sz w:val="20"/>
                <w:szCs w:val="20"/>
              </w:rPr>
              <w:t>路机进</w:t>
            </w:r>
          </w:p>
          <w:p>
            <w:pPr>
              <w:pStyle w:val="17"/>
              <w:spacing w:line="228" w:lineRule="auto"/>
              <w:ind w:left="112"/>
              <w:rPr>
                <w:sz w:val="20"/>
                <w:szCs w:val="20"/>
              </w:rPr>
            </w:pPr>
            <w:r>
              <w:rPr>
                <w:spacing w:val="8"/>
                <w:sz w:val="20"/>
                <w:szCs w:val="20"/>
              </w:rPr>
              <w:t>行，必须达到设计压实度；</w:t>
            </w:r>
          </w:p>
          <w:p>
            <w:pPr>
              <w:pStyle w:val="17"/>
              <w:spacing w:before="160" w:line="228" w:lineRule="auto"/>
              <w:ind w:left="119"/>
              <w:rPr>
                <w:sz w:val="20"/>
                <w:szCs w:val="20"/>
              </w:rPr>
            </w:pPr>
            <w:r>
              <w:rPr>
                <w:spacing w:val="8"/>
                <w:sz w:val="20"/>
                <w:szCs w:val="20"/>
              </w:rPr>
              <w:t>（5）台背填料及回填断面应符合设计和规范要求。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9" w:hRule="atLeast"/>
        </w:trPr>
        <w:tc>
          <w:tcPr>
            <w:tcW w:w="807" w:type="dxa"/>
            <w:vMerge w:val="continue"/>
            <w:tcBorders>
              <w:top w:val="nil"/>
            </w:tcBorders>
            <w:vAlign w:val="top"/>
          </w:tcPr>
          <w:p>
            <w:pPr>
              <w:rPr>
                <w:rFonts w:ascii="Arial"/>
                <w:sz w:val="21"/>
              </w:rPr>
            </w:pPr>
          </w:p>
        </w:tc>
        <w:tc>
          <w:tcPr>
            <w:tcW w:w="751"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17"/>
              <w:spacing w:before="65" w:line="190" w:lineRule="auto"/>
              <w:ind w:left="285"/>
              <w:rPr>
                <w:sz w:val="20"/>
                <w:szCs w:val="20"/>
              </w:rPr>
            </w:pPr>
            <w:r>
              <w:rPr>
                <w:spacing w:val="-7"/>
                <w:sz w:val="20"/>
                <w:szCs w:val="20"/>
              </w:rPr>
              <w:t>19</w:t>
            </w:r>
          </w:p>
        </w:tc>
        <w:tc>
          <w:tcPr>
            <w:tcW w:w="7379" w:type="dxa"/>
            <w:vAlign w:val="top"/>
          </w:tcPr>
          <w:p>
            <w:pPr>
              <w:pStyle w:val="17"/>
              <w:spacing w:before="118" w:line="225" w:lineRule="auto"/>
              <w:ind w:left="109"/>
              <w:rPr>
                <w:sz w:val="20"/>
                <w:szCs w:val="20"/>
              </w:rPr>
            </w:pPr>
            <w:r>
              <w:rPr>
                <w:spacing w:val="8"/>
                <w:sz w:val="20"/>
                <w:szCs w:val="20"/>
              </w:rPr>
              <w:t>砌体工程不满足下列规定者，每项违约金</w:t>
            </w:r>
            <w:r>
              <w:rPr>
                <w:spacing w:val="-37"/>
                <w:sz w:val="20"/>
                <w:szCs w:val="20"/>
              </w:rPr>
              <w:t xml:space="preserve"> </w:t>
            </w:r>
            <w:r>
              <w:rPr>
                <w:spacing w:val="8"/>
                <w:sz w:val="20"/>
                <w:szCs w:val="20"/>
              </w:rPr>
              <w:t>2,000</w:t>
            </w:r>
            <w:r>
              <w:rPr>
                <w:spacing w:val="-36"/>
                <w:sz w:val="20"/>
                <w:szCs w:val="20"/>
              </w:rPr>
              <w:t xml:space="preserve"> </w:t>
            </w:r>
            <w:r>
              <w:rPr>
                <w:spacing w:val="8"/>
                <w:sz w:val="20"/>
                <w:szCs w:val="20"/>
              </w:rPr>
              <w:t>元，并</w:t>
            </w:r>
            <w:r>
              <w:rPr>
                <w:spacing w:val="7"/>
                <w:sz w:val="20"/>
                <w:szCs w:val="20"/>
              </w:rPr>
              <w:t>作返工处理：</w:t>
            </w:r>
          </w:p>
          <w:p>
            <w:pPr>
              <w:pStyle w:val="17"/>
              <w:spacing w:before="164" w:line="227" w:lineRule="auto"/>
              <w:ind w:left="119"/>
              <w:rPr>
                <w:sz w:val="20"/>
                <w:szCs w:val="20"/>
              </w:rPr>
            </w:pPr>
            <w:r>
              <w:rPr>
                <w:spacing w:val="8"/>
                <w:sz w:val="20"/>
                <w:szCs w:val="20"/>
              </w:rPr>
              <w:t>（1）不得采用风化石，表面石料粒径需≥30</w:t>
            </w:r>
            <w:r>
              <w:rPr>
                <w:sz w:val="20"/>
                <w:szCs w:val="20"/>
              </w:rPr>
              <w:t>cm</w:t>
            </w:r>
            <w:r>
              <w:rPr>
                <w:spacing w:val="8"/>
                <w:sz w:val="20"/>
                <w:szCs w:val="20"/>
              </w:rPr>
              <w:t>；</w:t>
            </w:r>
          </w:p>
          <w:p>
            <w:pPr>
              <w:pStyle w:val="17"/>
              <w:spacing w:before="164" w:line="408" w:lineRule="exact"/>
              <w:ind w:left="119"/>
              <w:rPr>
                <w:sz w:val="20"/>
                <w:szCs w:val="20"/>
              </w:rPr>
            </w:pPr>
            <w:r>
              <w:rPr>
                <w:spacing w:val="11"/>
                <w:position w:val="15"/>
                <w:sz w:val="20"/>
                <w:szCs w:val="20"/>
              </w:rPr>
              <w:t>（2）构造物表面平顺，无凹凸扭曲现象，砂浆抹边的棱角线、平</w:t>
            </w:r>
            <w:r>
              <w:rPr>
                <w:spacing w:val="10"/>
                <w:position w:val="15"/>
                <w:sz w:val="20"/>
                <w:szCs w:val="20"/>
              </w:rPr>
              <w:t>直度：2m</w:t>
            </w:r>
            <w:r>
              <w:rPr>
                <w:spacing w:val="-36"/>
                <w:position w:val="15"/>
                <w:sz w:val="20"/>
                <w:szCs w:val="20"/>
              </w:rPr>
              <w:t xml:space="preserve"> </w:t>
            </w:r>
            <w:r>
              <w:rPr>
                <w:spacing w:val="10"/>
                <w:position w:val="15"/>
                <w:sz w:val="20"/>
                <w:szCs w:val="20"/>
              </w:rPr>
              <w:t>拉</w:t>
            </w:r>
          </w:p>
          <w:p>
            <w:pPr>
              <w:pStyle w:val="17"/>
              <w:spacing w:line="226" w:lineRule="auto"/>
              <w:ind w:left="111"/>
              <w:rPr>
                <w:sz w:val="20"/>
                <w:szCs w:val="20"/>
              </w:rPr>
            </w:pPr>
            <w:r>
              <w:rPr>
                <w:spacing w:val="8"/>
                <w:sz w:val="20"/>
                <w:szCs w:val="20"/>
              </w:rPr>
              <w:t>线（直尺）检查≤10</w:t>
            </w:r>
            <w:r>
              <w:rPr>
                <w:sz w:val="20"/>
                <w:szCs w:val="20"/>
              </w:rPr>
              <w:t>mm</w:t>
            </w:r>
            <w:r>
              <w:rPr>
                <w:spacing w:val="8"/>
                <w:sz w:val="20"/>
                <w:szCs w:val="20"/>
              </w:rPr>
              <w:t>；</w:t>
            </w:r>
          </w:p>
          <w:p>
            <w:pPr>
              <w:pStyle w:val="17"/>
              <w:spacing w:before="162" w:line="228" w:lineRule="auto"/>
              <w:ind w:left="119"/>
              <w:rPr>
                <w:sz w:val="20"/>
                <w:szCs w:val="20"/>
              </w:rPr>
            </w:pPr>
            <w:r>
              <w:rPr>
                <w:spacing w:val="7"/>
                <w:sz w:val="20"/>
                <w:szCs w:val="20"/>
              </w:rPr>
              <w:t>（3）上边坡护面墙砌体一律勾凹缝；</w:t>
            </w:r>
          </w:p>
          <w:p>
            <w:pPr>
              <w:pStyle w:val="17"/>
              <w:spacing w:before="161" w:line="228" w:lineRule="auto"/>
              <w:ind w:left="119"/>
              <w:rPr>
                <w:sz w:val="20"/>
                <w:szCs w:val="20"/>
              </w:rPr>
            </w:pPr>
            <w:r>
              <w:rPr>
                <w:spacing w:val="8"/>
                <w:sz w:val="20"/>
                <w:szCs w:val="20"/>
              </w:rPr>
              <w:t>（4）勾缝不得有瞎缝、丢缝、裂纹和脱落现象，缝宽统一；</w:t>
            </w:r>
          </w:p>
          <w:p>
            <w:pPr>
              <w:pStyle w:val="17"/>
              <w:spacing w:before="163" w:line="228" w:lineRule="auto"/>
              <w:ind w:left="119"/>
              <w:rPr>
                <w:sz w:val="20"/>
                <w:szCs w:val="20"/>
              </w:rPr>
            </w:pPr>
            <w:r>
              <w:rPr>
                <w:spacing w:val="8"/>
                <w:sz w:val="20"/>
                <w:szCs w:val="20"/>
              </w:rPr>
              <w:t>（5）石缝不大于</w:t>
            </w:r>
            <w:r>
              <w:rPr>
                <w:spacing w:val="-31"/>
                <w:sz w:val="20"/>
                <w:szCs w:val="20"/>
              </w:rPr>
              <w:t xml:space="preserve"> </w:t>
            </w:r>
            <w:r>
              <w:rPr>
                <w:spacing w:val="8"/>
                <w:sz w:val="20"/>
                <w:szCs w:val="20"/>
              </w:rPr>
              <w:t>40</w:t>
            </w:r>
            <w:r>
              <w:rPr>
                <w:sz w:val="20"/>
                <w:szCs w:val="20"/>
              </w:rPr>
              <w:t>mm</w:t>
            </w:r>
            <w:r>
              <w:rPr>
                <w:spacing w:val="8"/>
                <w:sz w:val="20"/>
                <w:szCs w:val="20"/>
              </w:rPr>
              <w:t>，砌缝内砂浆均匀饱满，不得有空洞；</w:t>
            </w:r>
          </w:p>
          <w:p>
            <w:pPr>
              <w:pStyle w:val="17"/>
              <w:spacing w:before="161" w:line="228" w:lineRule="auto"/>
              <w:ind w:left="119"/>
              <w:rPr>
                <w:sz w:val="20"/>
                <w:szCs w:val="20"/>
              </w:rPr>
            </w:pPr>
            <w:r>
              <w:rPr>
                <w:spacing w:val="7"/>
                <w:sz w:val="20"/>
                <w:szCs w:val="20"/>
              </w:rPr>
              <w:t>（6）层间错缝不大于</w:t>
            </w:r>
            <w:r>
              <w:rPr>
                <w:spacing w:val="-18"/>
                <w:sz w:val="20"/>
                <w:szCs w:val="20"/>
              </w:rPr>
              <w:t xml:space="preserve"> </w:t>
            </w:r>
            <w:r>
              <w:rPr>
                <w:spacing w:val="7"/>
                <w:sz w:val="20"/>
                <w:szCs w:val="20"/>
              </w:rPr>
              <w:t>80</w:t>
            </w:r>
            <w:r>
              <w:rPr>
                <w:sz w:val="20"/>
                <w:szCs w:val="20"/>
              </w:rPr>
              <w:t>mm</w:t>
            </w:r>
            <w:r>
              <w:rPr>
                <w:spacing w:val="7"/>
                <w:sz w:val="20"/>
                <w:szCs w:val="20"/>
              </w:rPr>
              <w:t>，三块石相接空隙不大于</w:t>
            </w:r>
            <w:r>
              <w:rPr>
                <w:spacing w:val="-34"/>
                <w:sz w:val="20"/>
                <w:szCs w:val="20"/>
              </w:rPr>
              <w:t xml:space="preserve"> </w:t>
            </w:r>
            <w:r>
              <w:rPr>
                <w:spacing w:val="7"/>
                <w:sz w:val="20"/>
                <w:szCs w:val="20"/>
              </w:rPr>
              <w:t>70</w:t>
            </w:r>
            <w:r>
              <w:rPr>
                <w:sz w:val="20"/>
                <w:szCs w:val="20"/>
              </w:rPr>
              <w:t>mm</w:t>
            </w:r>
            <w:r>
              <w:rPr>
                <w:spacing w:val="7"/>
                <w:sz w:val="20"/>
                <w:szCs w:val="20"/>
              </w:rPr>
              <w:t>；</w:t>
            </w:r>
          </w:p>
          <w:p>
            <w:pPr>
              <w:pStyle w:val="17"/>
              <w:spacing w:before="161" w:line="227" w:lineRule="auto"/>
              <w:ind w:left="119"/>
              <w:rPr>
                <w:sz w:val="20"/>
                <w:szCs w:val="20"/>
              </w:rPr>
            </w:pPr>
            <w:r>
              <w:rPr>
                <w:spacing w:val="8"/>
                <w:sz w:val="20"/>
                <w:szCs w:val="20"/>
              </w:rPr>
              <w:t>（7）砂浆抹面，平整度用</w:t>
            </w:r>
            <w:r>
              <w:rPr>
                <w:spacing w:val="-34"/>
                <w:sz w:val="20"/>
                <w:szCs w:val="20"/>
              </w:rPr>
              <w:t xml:space="preserve"> </w:t>
            </w:r>
            <w:r>
              <w:rPr>
                <w:spacing w:val="8"/>
                <w:sz w:val="20"/>
                <w:szCs w:val="20"/>
              </w:rPr>
              <w:t>2m</w:t>
            </w:r>
            <w:r>
              <w:rPr>
                <w:spacing w:val="-38"/>
                <w:sz w:val="20"/>
                <w:szCs w:val="20"/>
              </w:rPr>
              <w:t xml:space="preserve"> </w:t>
            </w:r>
            <w:r>
              <w:rPr>
                <w:spacing w:val="8"/>
                <w:sz w:val="20"/>
                <w:szCs w:val="20"/>
              </w:rPr>
              <w:t>直尺检查≤8</w:t>
            </w:r>
            <w:r>
              <w:rPr>
                <w:sz w:val="20"/>
                <w:szCs w:val="20"/>
              </w:rPr>
              <w:t>mm</w:t>
            </w:r>
            <w:r>
              <w:rPr>
                <w:spacing w:val="8"/>
                <w:sz w:val="20"/>
                <w:szCs w:val="20"/>
              </w:rPr>
              <w:t>，不得有裂缝、空鼓现象；</w:t>
            </w:r>
          </w:p>
          <w:p>
            <w:pPr>
              <w:pStyle w:val="17"/>
              <w:spacing w:before="162" w:line="228" w:lineRule="auto"/>
              <w:ind w:left="119"/>
              <w:rPr>
                <w:sz w:val="20"/>
                <w:szCs w:val="20"/>
              </w:rPr>
            </w:pPr>
            <w:r>
              <w:rPr>
                <w:spacing w:val="8"/>
                <w:sz w:val="20"/>
                <w:szCs w:val="20"/>
              </w:rPr>
              <w:t>（8）泄水孔排列整齐、按设计设置坡度，无堵塞现象；</w:t>
            </w:r>
          </w:p>
          <w:p>
            <w:pPr>
              <w:pStyle w:val="17"/>
              <w:spacing w:before="161" w:line="228" w:lineRule="auto"/>
              <w:ind w:left="119"/>
              <w:rPr>
                <w:sz w:val="20"/>
                <w:szCs w:val="20"/>
              </w:rPr>
            </w:pPr>
            <w:r>
              <w:rPr>
                <w:spacing w:val="9"/>
                <w:sz w:val="20"/>
                <w:szCs w:val="20"/>
              </w:rPr>
              <w:t>（9）截水沟与实际地形砌顺，要求线形顺畅，地形无变化时，不得出现</w:t>
            </w:r>
            <w:r>
              <w:rPr>
                <w:spacing w:val="8"/>
                <w:sz w:val="20"/>
                <w:szCs w:val="20"/>
              </w:rPr>
              <w:t>弯曲。</w:t>
            </w:r>
          </w:p>
        </w:tc>
      </w:tr>
    </w:tbl>
    <w:p>
      <w:pPr>
        <w:rPr>
          <w:rFonts w:ascii="Arial"/>
          <w:sz w:val="21"/>
        </w:rPr>
      </w:pPr>
    </w:p>
    <w:p>
      <w:pPr>
        <w:spacing w:before="228"/>
      </w:pPr>
    </w:p>
    <w:tbl>
      <w:tblPr>
        <w:tblStyle w:val="16"/>
        <w:tblW w:w="8937" w:type="dxa"/>
        <w:tblInd w:w="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751"/>
        <w:gridCol w:w="7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6" w:hRule="atLeast"/>
        </w:trPr>
        <w:tc>
          <w:tcPr>
            <w:tcW w:w="807" w:type="dxa"/>
            <w:vMerge w:val="restart"/>
            <w:tcBorders>
              <w:bottom w:val="nil"/>
            </w:tcBorders>
            <w:vAlign w:val="top"/>
          </w:tcPr>
          <w:p>
            <w:pPr>
              <w:rPr>
                <w:rFonts w:ascii="Arial"/>
                <w:sz w:val="21"/>
              </w:rPr>
            </w:pPr>
          </w:p>
        </w:tc>
        <w:tc>
          <w:tcPr>
            <w:tcW w:w="751"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7"/>
              <w:spacing w:before="65" w:line="189" w:lineRule="auto"/>
              <w:ind w:left="272"/>
              <w:rPr>
                <w:sz w:val="20"/>
                <w:szCs w:val="20"/>
              </w:rPr>
            </w:pPr>
            <w:r>
              <w:rPr>
                <w:spacing w:val="-1"/>
                <w:sz w:val="20"/>
                <w:szCs w:val="20"/>
              </w:rPr>
              <w:t>20</w:t>
            </w:r>
          </w:p>
        </w:tc>
        <w:tc>
          <w:tcPr>
            <w:tcW w:w="7379" w:type="dxa"/>
            <w:vAlign w:val="top"/>
          </w:tcPr>
          <w:p>
            <w:pPr>
              <w:pStyle w:val="17"/>
              <w:spacing w:before="122" w:line="408" w:lineRule="exact"/>
              <w:ind w:left="109"/>
              <w:rPr>
                <w:sz w:val="20"/>
                <w:szCs w:val="20"/>
              </w:rPr>
            </w:pPr>
            <w:r>
              <w:rPr>
                <w:spacing w:val="7"/>
                <w:position w:val="15"/>
                <w:sz w:val="20"/>
                <w:szCs w:val="20"/>
              </w:rPr>
              <w:t>浆砌工程存在下列情况之一的，违约金</w:t>
            </w:r>
            <w:r>
              <w:rPr>
                <w:spacing w:val="-32"/>
                <w:position w:val="15"/>
                <w:sz w:val="20"/>
                <w:szCs w:val="20"/>
              </w:rPr>
              <w:t xml:space="preserve"> </w:t>
            </w:r>
            <w:r>
              <w:rPr>
                <w:spacing w:val="7"/>
                <w:position w:val="15"/>
                <w:sz w:val="20"/>
                <w:szCs w:val="20"/>
              </w:rPr>
              <w:t>2,000</w:t>
            </w:r>
            <w:r>
              <w:rPr>
                <w:spacing w:val="-37"/>
                <w:position w:val="15"/>
                <w:sz w:val="20"/>
                <w:szCs w:val="20"/>
              </w:rPr>
              <w:t xml:space="preserve"> </w:t>
            </w:r>
            <w:r>
              <w:rPr>
                <w:spacing w:val="7"/>
                <w:position w:val="15"/>
                <w:sz w:val="20"/>
                <w:szCs w:val="20"/>
              </w:rPr>
              <w:t>元：</w:t>
            </w:r>
          </w:p>
          <w:p>
            <w:pPr>
              <w:pStyle w:val="17"/>
              <w:spacing w:line="227" w:lineRule="auto"/>
              <w:ind w:left="119"/>
              <w:rPr>
                <w:sz w:val="20"/>
                <w:szCs w:val="20"/>
              </w:rPr>
            </w:pPr>
            <w:r>
              <w:rPr>
                <w:spacing w:val="7"/>
                <w:sz w:val="20"/>
                <w:szCs w:val="20"/>
              </w:rPr>
              <w:t>（1）铺砌厚度不满足要求；</w:t>
            </w:r>
          </w:p>
          <w:p>
            <w:pPr>
              <w:pStyle w:val="17"/>
              <w:spacing w:before="161" w:line="228" w:lineRule="auto"/>
              <w:ind w:left="119"/>
              <w:rPr>
                <w:sz w:val="20"/>
                <w:szCs w:val="20"/>
              </w:rPr>
            </w:pPr>
            <w:r>
              <w:rPr>
                <w:spacing w:val="7"/>
                <w:sz w:val="20"/>
                <w:szCs w:val="20"/>
              </w:rPr>
              <w:t>（2）垫层厚度不满足要求的；</w:t>
            </w:r>
          </w:p>
          <w:p>
            <w:pPr>
              <w:pStyle w:val="17"/>
              <w:spacing w:before="161" w:line="228" w:lineRule="auto"/>
              <w:ind w:left="119"/>
              <w:rPr>
                <w:sz w:val="20"/>
                <w:szCs w:val="20"/>
              </w:rPr>
            </w:pPr>
            <w:r>
              <w:rPr>
                <w:spacing w:val="7"/>
                <w:sz w:val="20"/>
                <w:szCs w:val="20"/>
              </w:rPr>
              <w:t>（3）砌缝内砂浆不饱满的；</w:t>
            </w:r>
          </w:p>
          <w:p>
            <w:pPr>
              <w:pStyle w:val="17"/>
              <w:spacing w:before="161" w:line="227" w:lineRule="auto"/>
              <w:ind w:left="119"/>
              <w:rPr>
                <w:sz w:val="20"/>
                <w:szCs w:val="20"/>
              </w:rPr>
            </w:pPr>
            <w:r>
              <w:rPr>
                <w:spacing w:val="7"/>
                <w:sz w:val="20"/>
                <w:szCs w:val="20"/>
              </w:rPr>
              <w:t>（4）砂浆不采用机械拌和的；</w:t>
            </w:r>
          </w:p>
          <w:p>
            <w:pPr>
              <w:pStyle w:val="17"/>
              <w:spacing w:before="162" w:line="228" w:lineRule="auto"/>
              <w:ind w:left="119"/>
              <w:rPr>
                <w:sz w:val="20"/>
                <w:szCs w:val="20"/>
              </w:rPr>
            </w:pPr>
            <w:r>
              <w:rPr>
                <w:spacing w:val="6"/>
                <w:sz w:val="20"/>
                <w:szCs w:val="20"/>
              </w:rPr>
              <w:t>（5）砌缝没有错开的；</w:t>
            </w:r>
          </w:p>
          <w:p>
            <w:pPr>
              <w:pStyle w:val="17"/>
              <w:spacing w:before="162" w:line="228" w:lineRule="auto"/>
              <w:ind w:left="119"/>
              <w:rPr>
                <w:sz w:val="20"/>
                <w:szCs w:val="20"/>
              </w:rPr>
            </w:pPr>
            <w:r>
              <w:rPr>
                <w:spacing w:val="7"/>
                <w:sz w:val="20"/>
                <w:szCs w:val="20"/>
              </w:rPr>
              <w:t>（6）砂浆强度达不到规定要求的；</w:t>
            </w:r>
          </w:p>
          <w:p>
            <w:pPr>
              <w:pStyle w:val="17"/>
              <w:spacing w:before="162" w:line="408" w:lineRule="exact"/>
              <w:ind w:left="119"/>
              <w:rPr>
                <w:sz w:val="20"/>
                <w:szCs w:val="20"/>
              </w:rPr>
            </w:pPr>
            <w:r>
              <w:rPr>
                <w:spacing w:val="8"/>
                <w:position w:val="15"/>
                <w:sz w:val="20"/>
                <w:szCs w:val="20"/>
              </w:rPr>
              <w:t>（7）沟底未清理干净，有浮土、泥浆等杂物的；</w:t>
            </w:r>
          </w:p>
          <w:p>
            <w:pPr>
              <w:pStyle w:val="17"/>
              <w:spacing w:line="227" w:lineRule="auto"/>
              <w:ind w:left="119"/>
              <w:rPr>
                <w:sz w:val="20"/>
                <w:szCs w:val="20"/>
              </w:rPr>
            </w:pPr>
            <w:r>
              <w:rPr>
                <w:spacing w:val="7"/>
                <w:sz w:val="20"/>
                <w:szCs w:val="20"/>
              </w:rPr>
              <w:t>（8）施工后不进行养护的。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5" w:lineRule="auto"/>
              <w:rPr>
                <w:rFonts w:ascii="Arial"/>
                <w:sz w:val="21"/>
              </w:rPr>
            </w:pPr>
          </w:p>
          <w:p>
            <w:pPr>
              <w:pStyle w:val="17"/>
              <w:spacing w:before="65" w:line="189" w:lineRule="auto"/>
              <w:ind w:left="272"/>
              <w:rPr>
                <w:sz w:val="20"/>
                <w:szCs w:val="20"/>
              </w:rPr>
            </w:pPr>
            <w:r>
              <w:rPr>
                <w:spacing w:val="-1"/>
                <w:sz w:val="20"/>
                <w:szCs w:val="20"/>
              </w:rPr>
              <w:t>21</w:t>
            </w:r>
          </w:p>
        </w:tc>
        <w:tc>
          <w:tcPr>
            <w:tcW w:w="7379" w:type="dxa"/>
            <w:vAlign w:val="top"/>
          </w:tcPr>
          <w:p>
            <w:pPr>
              <w:pStyle w:val="17"/>
              <w:spacing w:before="115" w:line="408" w:lineRule="exact"/>
              <w:ind w:left="109"/>
              <w:rPr>
                <w:sz w:val="20"/>
                <w:szCs w:val="20"/>
              </w:rPr>
            </w:pPr>
            <w:r>
              <w:rPr>
                <w:spacing w:val="10"/>
                <w:position w:val="15"/>
                <w:sz w:val="20"/>
                <w:szCs w:val="20"/>
              </w:rPr>
              <w:t>排水盲沟断面不符合设计要求，回填碎石含泥量超标的，土工布铺设不符合要</w:t>
            </w:r>
          </w:p>
          <w:p>
            <w:pPr>
              <w:pStyle w:val="17"/>
              <w:spacing w:line="224" w:lineRule="auto"/>
              <w:ind w:left="110"/>
              <w:rPr>
                <w:sz w:val="20"/>
                <w:szCs w:val="20"/>
              </w:rPr>
            </w:pPr>
            <w:r>
              <w:rPr>
                <w:spacing w:val="5"/>
                <w:sz w:val="20"/>
                <w:szCs w:val="20"/>
              </w:rPr>
              <w:t>求的，违者每处违约金</w:t>
            </w:r>
            <w:r>
              <w:rPr>
                <w:spacing w:val="-22"/>
                <w:sz w:val="20"/>
                <w:szCs w:val="20"/>
              </w:rPr>
              <w:t xml:space="preserve"> </w:t>
            </w:r>
            <w:r>
              <w:rPr>
                <w:spacing w:val="5"/>
                <w:sz w:val="20"/>
                <w:szCs w:val="20"/>
              </w:rPr>
              <w:t>2,000</w:t>
            </w:r>
            <w:r>
              <w:rPr>
                <w:spacing w:val="-37"/>
                <w:sz w:val="20"/>
                <w:szCs w:val="20"/>
              </w:rPr>
              <w:t xml:space="preserve"> </w:t>
            </w:r>
            <w:r>
              <w:rPr>
                <w:spacing w:val="5"/>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0" w:line="189" w:lineRule="auto"/>
              <w:ind w:left="272"/>
              <w:rPr>
                <w:sz w:val="20"/>
                <w:szCs w:val="20"/>
              </w:rPr>
            </w:pPr>
            <w:r>
              <w:rPr>
                <w:spacing w:val="-1"/>
                <w:sz w:val="20"/>
                <w:szCs w:val="20"/>
              </w:rPr>
              <w:t>22</w:t>
            </w:r>
          </w:p>
        </w:tc>
        <w:tc>
          <w:tcPr>
            <w:tcW w:w="7379" w:type="dxa"/>
            <w:vAlign w:val="top"/>
          </w:tcPr>
          <w:p>
            <w:pPr>
              <w:pStyle w:val="17"/>
              <w:spacing w:before="117" w:line="225" w:lineRule="auto"/>
              <w:ind w:left="108"/>
              <w:rPr>
                <w:sz w:val="20"/>
                <w:szCs w:val="20"/>
              </w:rPr>
            </w:pPr>
            <w:r>
              <w:rPr>
                <w:spacing w:val="7"/>
                <w:sz w:val="20"/>
                <w:szCs w:val="20"/>
              </w:rPr>
              <w:t>边坡开挖未做到开挖一级、防护一级的，每次违约金</w:t>
            </w:r>
            <w:r>
              <w:rPr>
                <w:spacing w:val="-15"/>
                <w:sz w:val="20"/>
                <w:szCs w:val="20"/>
              </w:rPr>
              <w:t xml:space="preserve"> </w:t>
            </w:r>
            <w:r>
              <w:rPr>
                <w:spacing w:val="7"/>
                <w:sz w:val="20"/>
                <w:szCs w:val="20"/>
              </w:rPr>
              <w:t>10,000</w:t>
            </w:r>
            <w:r>
              <w:rPr>
                <w:spacing w:val="-39"/>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6" w:hRule="atLeast"/>
        </w:trPr>
        <w:tc>
          <w:tcPr>
            <w:tcW w:w="807" w:type="dxa"/>
            <w:vMerge w:val="continue"/>
            <w:tcBorders>
              <w:top w:val="nil"/>
            </w:tcBorders>
            <w:vAlign w:val="top"/>
          </w:tcPr>
          <w:p>
            <w:pPr>
              <w:rPr>
                <w:rFonts w:ascii="Arial"/>
                <w:sz w:val="21"/>
              </w:rPr>
            </w:pPr>
          </w:p>
        </w:tc>
        <w:tc>
          <w:tcPr>
            <w:tcW w:w="751"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17"/>
              <w:spacing w:before="65" w:line="189" w:lineRule="auto"/>
              <w:ind w:left="272"/>
              <w:rPr>
                <w:sz w:val="20"/>
                <w:szCs w:val="20"/>
              </w:rPr>
            </w:pPr>
            <w:r>
              <w:rPr>
                <w:spacing w:val="-1"/>
                <w:sz w:val="20"/>
                <w:szCs w:val="20"/>
              </w:rPr>
              <w:t>23</w:t>
            </w:r>
          </w:p>
        </w:tc>
        <w:tc>
          <w:tcPr>
            <w:tcW w:w="7379" w:type="dxa"/>
            <w:vAlign w:val="top"/>
          </w:tcPr>
          <w:p>
            <w:pPr>
              <w:pStyle w:val="17"/>
              <w:spacing w:before="118" w:line="408" w:lineRule="exact"/>
              <w:ind w:left="110"/>
              <w:rPr>
                <w:sz w:val="20"/>
                <w:szCs w:val="20"/>
              </w:rPr>
            </w:pPr>
            <w:r>
              <w:rPr>
                <w:spacing w:val="8"/>
                <w:position w:val="15"/>
                <w:sz w:val="20"/>
                <w:szCs w:val="20"/>
              </w:rPr>
              <w:t>路堑边坡支挡工程存在以下类别的问题时，每处</w:t>
            </w:r>
            <w:r>
              <w:rPr>
                <w:spacing w:val="7"/>
                <w:position w:val="15"/>
                <w:sz w:val="20"/>
                <w:szCs w:val="20"/>
              </w:rPr>
              <w:t>违约金</w:t>
            </w:r>
            <w:r>
              <w:rPr>
                <w:spacing w:val="-35"/>
                <w:position w:val="15"/>
                <w:sz w:val="20"/>
                <w:szCs w:val="20"/>
              </w:rPr>
              <w:t xml:space="preserve"> </w:t>
            </w:r>
            <w:r>
              <w:rPr>
                <w:spacing w:val="7"/>
                <w:position w:val="15"/>
                <w:sz w:val="20"/>
                <w:szCs w:val="20"/>
              </w:rPr>
              <w:t>5,000</w:t>
            </w:r>
            <w:r>
              <w:rPr>
                <w:spacing w:val="-37"/>
                <w:position w:val="15"/>
                <w:sz w:val="20"/>
                <w:szCs w:val="20"/>
              </w:rPr>
              <w:t xml:space="preserve"> </w:t>
            </w:r>
            <w:r>
              <w:rPr>
                <w:spacing w:val="7"/>
                <w:position w:val="15"/>
                <w:sz w:val="20"/>
                <w:szCs w:val="20"/>
              </w:rPr>
              <w:t>元。</w:t>
            </w:r>
          </w:p>
          <w:p>
            <w:pPr>
              <w:pStyle w:val="17"/>
              <w:spacing w:line="227" w:lineRule="auto"/>
              <w:ind w:left="119"/>
              <w:rPr>
                <w:sz w:val="20"/>
                <w:szCs w:val="20"/>
              </w:rPr>
            </w:pPr>
            <w:r>
              <w:rPr>
                <w:spacing w:val="7"/>
                <w:sz w:val="20"/>
                <w:szCs w:val="20"/>
              </w:rPr>
              <w:t>（1）锚杆或锚索长度不足；</w:t>
            </w:r>
          </w:p>
          <w:p>
            <w:pPr>
              <w:pStyle w:val="17"/>
              <w:spacing w:before="163" w:line="408" w:lineRule="exact"/>
              <w:ind w:left="119"/>
              <w:rPr>
                <w:sz w:val="20"/>
                <w:szCs w:val="20"/>
              </w:rPr>
            </w:pPr>
            <w:r>
              <w:rPr>
                <w:spacing w:val="5"/>
                <w:position w:val="15"/>
                <w:sz w:val="20"/>
                <w:szCs w:val="20"/>
              </w:rPr>
              <w:t>（2）压浆不规范；</w:t>
            </w:r>
          </w:p>
          <w:p>
            <w:pPr>
              <w:pStyle w:val="17"/>
              <w:spacing w:line="227" w:lineRule="auto"/>
              <w:ind w:left="119"/>
              <w:rPr>
                <w:sz w:val="20"/>
                <w:szCs w:val="20"/>
              </w:rPr>
            </w:pPr>
            <w:r>
              <w:rPr>
                <w:spacing w:val="5"/>
                <w:sz w:val="20"/>
                <w:szCs w:val="20"/>
              </w:rPr>
              <w:t>（3）张拉力不足；</w:t>
            </w:r>
          </w:p>
          <w:p>
            <w:pPr>
              <w:pStyle w:val="17"/>
              <w:spacing w:before="161" w:line="228" w:lineRule="auto"/>
              <w:ind w:left="119"/>
              <w:rPr>
                <w:sz w:val="20"/>
                <w:szCs w:val="20"/>
              </w:rPr>
            </w:pPr>
            <w:r>
              <w:rPr>
                <w:spacing w:val="5"/>
                <w:sz w:val="20"/>
                <w:szCs w:val="20"/>
              </w:rPr>
              <w:t>（4）强度不合格。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17"/>
              <w:spacing w:before="78" w:line="238" w:lineRule="auto"/>
              <w:ind w:left="165"/>
            </w:pPr>
            <w:r>
              <w:rPr>
                <w:spacing w:val="-5"/>
              </w:rPr>
              <w:t>桥涵</w:t>
            </w:r>
          </w:p>
          <w:p>
            <w:pPr>
              <w:pStyle w:val="17"/>
              <w:spacing w:line="220" w:lineRule="auto"/>
              <w:ind w:left="168"/>
            </w:pPr>
            <w:r>
              <w:rPr>
                <w:spacing w:val="-7"/>
              </w:rPr>
              <w:t>工程</w:t>
            </w:r>
          </w:p>
        </w:tc>
        <w:tc>
          <w:tcPr>
            <w:tcW w:w="751" w:type="dxa"/>
            <w:vAlign w:val="top"/>
          </w:tcPr>
          <w:p>
            <w:pPr>
              <w:spacing w:line="289" w:lineRule="auto"/>
              <w:rPr>
                <w:rFonts w:ascii="Arial"/>
                <w:sz w:val="21"/>
              </w:rPr>
            </w:pPr>
          </w:p>
          <w:p>
            <w:pPr>
              <w:pStyle w:val="17"/>
              <w:spacing w:before="65" w:line="189" w:lineRule="auto"/>
              <w:ind w:left="337"/>
              <w:rPr>
                <w:sz w:val="20"/>
                <w:szCs w:val="20"/>
              </w:rPr>
            </w:pPr>
            <w:r>
              <w:rPr>
                <w:sz w:val="20"/>
                <w:szCs w:val="20"/>
              </w:rPr>
              <w:t>1</w:t>
            </w:r>
          </w:p>
        </w:tc>
        <w:tc>
          <w:tcPr>
            <w:tcW w:w="7379" w:type="dxa"/>
            <w:vAlign w:val="top"/>
          </w:tcPr>
          <w:p>
            <w:pPr>
              <w:pStyle w:val="17"/>
              <w:spacing w:before="119" w:line="408" w:lineRule="exact"/>
              <w:ind w:left="122"/>
              <w:rPr>
                <w:sz w:val="20"/>
                <w:szCs w:val="20"/>
              </w:rPr>
            </w:pPr>
            <w:r>
              <w:rPr>
                <w:spacing w:val="10"/>
                <w:position w:val="15"/>
                <w:sz w:val="20"/>
                <w:szCs w:val="20"/>
              </w:rPr>
              <w:t>防撞栏出现大量麻面；线形有明显波折、错台；墙角或接缝漏浆；表面多处露</w:t>
            </w:r>
          </w:p>
          <w:p>
            <w:pPr>
              <w:pStyle w:val="17"/>
              <w:spacing w:line="224" w:lineRule="auto"/>
              <w:ind w:left="112"/>
              <w:rPr>
                <w:sz w:val="20"/>
                <w:szCs w:val="20"/>
              </w:rPr>
            </w:pPr>
            <w:r>
              <w:rPr>
                <w:spacing w:val="5"/>
                <w:sz w:val="20"/>
                <w:szCs w:val="20"/>
              </w:rPr>
              <w:t>筋，每十米违约金</w:t>
            </w:r>
            <w:r>
              <w:rPr>
                <w:spacing w:val="-34"/>
                <w:sz w:val="20"/>
                <w:szCs w:val="20"/>
              </w:rPr>
              <w:t xml:space="preserve"> </w:t>
            </w:r>
            <w:r>
              <w:rPr>
                <w:spacing w:val="5"/>
                <w:sz w:val="20"/>
                <w:szCs w:val="20"/>
              </w:rPr>
              <w:t>2,000</w:t>
            </w:r>
            <w:r>
              <w:rPr>
                <w:spacing w:val="-36"/>
                <w:sz w:val="20"/>
                <w:szCs w:val="20"/>
              </w:rPr>
              <w:t xml:space="preserve"> </w:t>
            </w:r>
            <w:r>
              <w:rPr>
                <w:spacing w:val="5"/>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4" w:line="189" w:lineRule="auto"/>
              <w:ind w:left="325"/>
              <w:rPr>
                <w:sz w:val="20"/>
                <w:szCs w:val="20"/>
              </w:rPr>
            </w:pPr>
            <w:r>
              <w:rPr>
                <w:sz w:val="20"/>
                <w:szCs w:val="20"/>
              </w:rPr>
              <w:t>2</w:t>
            </w:r>
          </w:p>
        </w:tc>
        <w:tc>
          <w:tcPr>
            <w:tcW w:w="7379" w:type="dxa"/>
            <w:vAlign w:val="top"/>
          </w:tcPr>
          <w:p>
            <w:pPr>
              <w:pStyle w:val="17"/>
              <w:spacing w:before="121" w:line="225" w:lineRule="auto"/>
              <w:ind w:left="111"/>
              <w:rPr>
                <w:sz w:val="20"/>
                <w:szCs w:val="20"/>
              </w:rPr>
            </w:pPr>
            <w:r>
              <w:rPr>
                <w:spacing w:val="7"/>
                <w:sz w:val="20"/>
                <w:szCs w:val="20"/>
              </w:rPr>
              <w:t>构造物不按要求进行养生的，每处违约金</w:t>
            </w:r>
            <w:r>
              <w:rPr>
                <w:spacing w:val="-33"/>
                <w:sz w:val="20"/>
                <w:szCs w:val="20"/>
              </w:rPr>
              <w:t xml:space="preserve"> </w:t>
            </w:r>
            <w:r>
              <w:rPr>
                <w:spacing w:val="7"/>
                <w:sz w:val="20"/>
                <w:szCs w:val="20"/>
              </w:rPr>
              <w:t>2,000</w:t>
            </w:r>
            <w:r>
              <w:rPr>
                <w:spacing w:val="-36"/>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4" w:line="189" w:lineRule="auto"/>
              <w:ind w:left="326"/>
              <w:rPr>
                <w:sz w:val="20"/>
                <w:szCs w:val="20"/>
              </w:rPr>
            </w:pPr>
            <w:r>
              <w:rPr>
                <w:sz w:val="20"/>
                <w:szCs w:val="20"/>
              </w:rPr>
              <w:t>3</w:t>
            </w:r>
          </w:p>
        </w:tc>
        <w:tc>
          <w:tcPr>
            <w:tcW w:w="7379" w:type="dxa"/>
            <w:vAlign w:val="top"/>
          </w:tcPr>
          <w:p>
            <w:pPr>
              <w:pStyle w:val="17"/>
              <w:spacing w:before="121" w:line="225" w:lineRule="auto"/>
              <w:ind w:right="11"/>
              <w:jc w:val="right"/>
              <w:rPr>
                <w:sz w:val="20"/>
                <w:szCs w:val="20"/>
              </w:rPr>
            </w:pPr>
            <w:r>
              <w:rPr>
                <w:spacing w:val="6"/>
                <w:sz w:val="20"/>
                <w:szCs w:val="20"/>
              </w:rPr>
              <w:t>构造物施工未采取措施保证钢筋保护层厚度就浇筑砼的，每次违约金</w:t>
            </w:r>
            <w:r>
              <w:rPr>
                <w:spacing w:val="-34"/>
                <w:sz w:val="20"/>
                <w:szCs w:val="20"/>
              </w:rPr>
              <w:t xml:space="preserve"> </w:t>
            </w:r>
            <w:r>
              <w:rPr>
                <w:spacing w:val="6"/>
                <w:sz w:val="20"/>
                <w:szCs w:val="20"/>
              </w:rPr>
              <w:t>2,</w:t>
            </w:r>
            <w:r>
              <w:rPr>
                <w:spacing w:val="5"/>
                <w:sz w:val="20"/>
                <w:szCs w:val="20"/>
              </w:rPr>
              <w:t>000</w:t>
            </w:r>
            <w:r>
              <w:rPr>
                <w:spacing w:val="-39"/>
                <w:sz w:val="20"/>
                <w:szCs w:val="20"/>
              </w:rPr>
              <w:t xml:space="preserve"> </w:t>
            </w:r>
            <w:r>
              <w:rPr>
                <w:spacing w:val="5"/>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348" w:lineRule="auto"/>
              <w:rPr>
                <w:rFonts w:ascii="Arial"/>
                <w:sz w:val="21"/>
              </w:rPr>
            </w:pPr>
          </w:p>
          <w:p>
            <w:pPr>
              <w:spacing w:line="348" w:lineRule="auto"/>
              <w:rPr>
                <w:rFonts w:ascii="Arial"/>
                <w:sz w:val="21"/>
              </w:rPr>
            </w:pPr>
          </w:p>
          <w:p>
            <w:pPr>
              <w:pStyle w:val="17"/>
              <w:spacing w:before="65" w:line="189" w:lineRule="auto"/>
              <w:ind w:left="321"/>
              <w:rPr>
                <w:sz w:val="20"/>
                <w:szCs w:val="20"/>
              </w:rPr>
            </w:pPr>
            <w:r>
              <w:rPr>
                <w:sz w:val="20"/>
                <w:szCs w:val="20"/>
              </w:rPr>
              <w:t>4</w:t>
            </w:r>
          </w:p>
        </w:tc>
        <w:tc>
          <w:tcPr>
            <w:tcW w:w="7379" w:type="dxa"/>
            <w:vAlign w:val="top"/>
          </w:tcPr>
          <w:p>
            <w:pPr>
              <w:pStyle w:val="17"/>
              <w:spacing w:before="120" w:line="225" w:lineRule="auto"/>
              <w:ind w:left="115"/>
              <w:rPr>
                <w:sz w:val="20"/>
                <w:szCs w:val="20"/>
              </w:rPr>
            </w:pPr>
            <w:r>
              <w:rPr>
                <w:spacing w:val="6"/>
                <w:sz w:val="20"/>
                <w:szCs w:val="20"/>
              </w:rPr>
              <w:t>下列情况，违者每次违约金</w:t>
            </w:r>
            <w:r>
              <w:rPr>
                <w:spacing w:val="-36"/>
                <w:sz w:val="20"/>
                <w:szCs w:val="20"/>
              </w:rPr>
              <w:t xml:space="preserve"> </w:t>
            </w:r>
            <w:r>
              <w:rPr>
                <w:spacing w:val="6"/>
                <w:sz w:val="20"/>
                <w:szCs w:val="20"/>
              </w:rPr>
              <w:t>2,000</w:t>
            </w:r>
            <w:r>
              <w:rPr>
                <w:spacing w:val="-36"/>
                <w:sz w:val="20"/>
                <w:szCs w:val="20"/>
              </w:rPr>
              <w:t xml:space="preserve"> </w:t>
            </w:r>
            <w:r>
              <w:rPr>
                <w:spacing w:val="6"/>
                <w:sz w:val="20"/>
                <w:szCs w:val="20"/>
              </w:rPr>
              <w:t>元：</w:t>
            </w:r>
          </w:p>
          <w:p>
            <w:pPr>
              <w:pStyle w:val="17"/>
              <w:spacing w:before="164" w:line="410" w:lineRule="exact"/>
              <w:ind w:left="119"/>
              <w:rPr>
                <w:sz w:val="20"/>
                <w:szCs w:val="20"/>
              </w:rPr>
            </w:pPr>
            <w:r>
              <w:rPr>
                <w:spacing w:val="9"/>
                <w:position w:val="15"/>
                <w:sz w:val="20"/>
                <w:szCs w:val="20"/>
              </w:rPr>
              <w:t>（1）伸缩缝位置必须保证满足设计要求，安装时必须按气温来确定安装</w:t>
            </w:r>
            <w:r>
              <w:rPr>
                <w:spacing w:val="8"/>
                <w:position w:val="15"/>
                <w:sz w:val="20"/>
                <w:szCs w:val="20"/>
              </w:rPr>
              <w:t>宽度；</w:t>
            </w:r>
          </w:p>
          <w:p>
            <w:pPr>
              <w:pStyle w:val="17"/>
              <w:spacing w:line="227" w:lineRule="auto"/>
              <w:ind w:left="119"/>
              <w:rPr>
                <w:sz w:val="20"/>
                <w:szCs w:val="20"/>
              </w:rPr>
            </w:pPr>
            <w:r>
              <w:rPr>
                <w:spacing w:val="8"/>
                <w:sz w:val="20"/>
                <w:szCs w:val="20"/>
              </w:rPr>
              <w:t>（2）预留槽口底面的砼必须密实、平整；</w:t>
            </w:r>
          </w:p>
          <w:p>
            <w:pPr>
              <w:pStyle w:val="17"/>
              <w:spacing w:before="161" w:line="227" w:lineRule="auto"/>
              <w:ind w:left="119"/>
              <w:rPr>
                <w:sz w:val="20"/>
                <w:szCs w:val="20"/>
              </w:rPr>
            </w:pPr>
            <w:r>
              <w:rPr>
                <w:spacing w:val="8"/>
                <w:sz w:val="20"/>
                <w:szCs w:val="20"/>
              </w:rPr>
              <w:t>（3）在填充前必须保证干净，不得有杂物。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93" w:lineRule="auto"/>
              <w:rPr>
                <w:rFonts w:ascii="Arial"/>
                <w:sz w:val="21"/>
              </w:rPr>
            </w:pPr>
          </w:p>
          <w:p>
            <w:pPr>
              <w:pStyle w:val="17"/>
              <w:spacing w:before="66" w:line="187" w:lineRule="auto"/>
              <w:ind w:left="326"/>
              <w:rPr>
                <w:sz w:val="20"/>
                <w:szCs w:val="20"/>
              </w:rPr>
            </w:pPr>
            <w:r>
              <w:rPr>
                <w:sz w:val="20"/>
                <w:szCs w:val="20"/>
              </w:rPr>
              <w:t>5</w:t>
            </w:r>
          </w:p>
        </w:tc>
        <w:tc>
          <w:tcPr>
            <w:tcW w:w="7379" w:type="dxa"/>
            <w:vAlign w:val="top"/>
          </w:tcPr>
          <w:p>
            <w:pPr>
              <w:pStyle w:val="17"/>
              <w:spacing w:before="121" w:line="408" w:lineRule="exact"/>
              <w:ind w:left="114"/>
              <w:rPr>
                <w:sz w:val="20"/>
                <w:szCs w:val="20"/>
              </w:rPr>
            </w:pPr>
            <w:r>
              <w:rPr>
                <w:spacing w:val="5"/>
                <w:position w:val="15"/>
                <w:sz w:val="20"/>
                <w:szCs w:val="20"/>
              </w:rPr>
              <w:t>张拉千斤顶没有按规范要求标定，造成拉力不符设计要求的，每次违约金</w:t>
            </w:r>
            <w:r>
              <w:rPr>
                <w:spacing w:val="-39"/>
                <w:position w:val="15"/>
                <w:sz w:val="20"/>
                <w:szCs w:val="20"/>
              </w:rPr>
              <w:t xml:space="preserve"> </w:t>
            </w:r>
            <w:r>
              <w:rPr>
                <w:spacing w:val="5"/>
                <w:position w:val="15"/>
                <w:sz w:val="20"/>
                <w:szCs w:val="20"/>
              </w:rPr>
              <w:t>2,000</w:t>
            </w:r>
          </w:p>
          <w:p>
            <w:pPr>
              <w:pStyle w:val="17"/>
              <w:spacing w:line="228" w:lineRule="auto"/>
              <w:ind w:left="110"/>
              <w:rPr>
                <w:sz w:val="20"/>
                <w:szCs w:val="20"/>
              </w:rPr>
            </w:pPr>
            <w:r>
              <w:rPr>
                <w:spacing w:val="-1"/>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6" w:line="189" w:lineRule="auto"/>
              <w:ind w:left="324"/>
              <w:rPr>
                <w:sz w:val="20"/>
                <w:szCs w:val="20"/>
              </w:rPr>
            </w:pPr>
            <w:r>
              <w:rPr>
                <w:sz w:val="20"/>
                <w:szCs w:val="20"/>
              </w:rPr>
              <w:t>6</w:t>
            </w:r>
          </w:p>
        </w:tc>
        <w:tc>
          <w:tcPr>
            <w:tcW w:w="7379" w:type="dxa"/>
            <w:vAlign w:val="top"/>
          </w:tcPr>
          <w:p>
            <w:pPr>
              <w:pStyle w:val="17"/>
              <w:spacing w:before="123" w:line="225" w:lineRule="auto"/>
              <w:ind w:left="110"/>
              <w:rPr>
                <w:sz w:val="20"/>
                <w:szCs w:val="20"/>
              </w:rPr>
            </w:pPr>
            <w:r>
              <w:rPr>
                <w:spacing w:val="8"/>
                <w:sz w:val="20"/>
                <w:szCs w:val="20"/>
              </w:rPr>
              <w:t>预应力筋有烧伤或划伤，必须立即撤换，违者每次违约金</w:t>
            </w:r>
            <w:r>
              <w:rPr>
                <w:spacing w:val="-35"/>
                <w:sz w:val="20"/>
                <w:szCs w:val="20"/>
              </w:rPr>
              <w:t xml:space="preserve"> </w:t>
            </w:r>
            <w:r>
              <w:rPr>
                <w:spacing w:val="7"/>
                <w:sz w:val="20"/>
                <w:szCs w:val="20"/>
              </w:rPr>
              <w:t>5,000</w:t>
            </w:r>
            <w:r>
              <w:rPr>
                <w:spacing w:val="-36"/>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07" w:type="dxa"/>
            <w:vMerge w:val="continue"/>
            <w:tcBorders>
              <w:top w:val="nil"/>
            </w:tcBorders>
            <w:vAlign w:val="top"/>
          </w:tcPr>
          <w:p>
            <w:pPr>
              <w:rPr>
                <w:rFonts w:ascii="Arial"/>
                <w:sz w:val="21"/>
              </w:rPr>
            </w:pPr>
          </w:p>
        </w:tc>
        <w:tc>
          <w:tcPr>
            <w:tcW w:w="751" w:type="dxa"/>
            <w:vAlign w:val="top"/>
          </w:tcPr>
          <w:p>
            <w:pPr>
              <w:pStyle w:val="17"/>
              <w:spacing w:before="158" w:line="187" w:lineRule="auto"/>
              <w:ind w:left="327"/>
              <w:rPr>
                <w:sz w:val="20"/>
                <w:szCs w:val="20"/>
              </w:rPr>
            </w:pPr>
            <w:r>
              <w:rPr>
                <w:sz w:val="20"/>
                <w:szCs w:val="20"/>
              </w:rPr>
              <w:t>7</w:t>
            </w:r>
          </w:p>
        </w:tc>
        <w:tc>
          <w:tcPr>
            <w:tcW w:w="7379" w:type="dxa"/>
            <w:vAlign w:val="top"/>
          </w:tcPr>
          <w:p>
            <w:pPr>
              <w:pStyle w:val="17"/>
              <w:spacing w:before="123" w:line="225" w:lineRule="auto"/>
              <w:ind w:left="110"/>
              <w:rPr>
                <w:sz w:val="20"/>
                <w:szCs w:val="20"/>
              </w:rPr>
            </w:pPr>
            <w:r>
              <w:rPr>
                <w:spacing w:val="8"/>
                <w:sz w:val="20"/>
                <w:szCs w:val="20"/>
              </w:rPr>
              <w:t>预应力筋因施工不当造成断丝且无法补救时，每次违约金</w:t>
            </w:r>
            <w:r>
              <w:rPr>
                <w:spacing w:val="-38"/>
                <w:sz w:val="20"/>
                <w:szCs w:val="20"/>
              </w:rPr>
              <w:t xml:space="preserve"> </w:t>
            </w:r>
            <w:r>
              <w:rPr>
                <w:spacing w:val="8"/>
                <w:sz w:val="20"/>
                <w:szCs w:val="20"/>
              </w:rPr>
              <w:t>8,0</w:t>
            </w:r>
            <w:r>
              <w:rPr>
                <w:spacing w:val="7"/>
                <w:sz w:val="20"/>
                <w:szCs w:val="20"/>
              </w:rPr>
              <w:t>00</w:t>
            </w:r>
            <w:r>
              <w:rPr>
                <w:spacing w:val="-36"/>
                <w:sz w:val="20"/>
                <w:szCs w:val="20"/>
              </w:rPr>
              <w:t xml:space="preserve"> </w:t>
            </w:r>
            <w:r>
              <w:rPr>
                <w:spacing w:val="7"/>
                <w:sz w:val="20"/>
                <w:szCs w:val="20"/>
              </w:rPr>
              <w:t>元。</w:t>
            </w:r>
          </w:p>
        </w:tc>
      </w:tr>
    </w:tbl>
    <w:p>
      <w:pPr>
        <w:rPr>
          <w:rFonts w:ascii="Arial"/>
          <w:sz w:val="21"/>
        </w:rPr>
      </w:pPr>
    </w:p>
    <w:p>
      <w:pPr>
        <w:spacing w:before="228"/>
      </w:pPr>
    </w:p>
    <w:tbl>
      <w:tblPr>
        <w:tblStyle w:val="16"/>
        <w:tblW w:w="8937" w:type="dxa"/>
        <w:tblInd w:w="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751"/>
        <w:gridCol w:w="7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807" w:type="dxa"/>
            <w:vMerge w:val="restart"/>
            <w:tcBorders>
              <w:bottom w:val="nil"/>
            </w:tcBorders>
            <w:vAlign w:val="top"/>
          </w:tcPr>
          <w:p>
            <w:pPr>
              <w:rPr>
                <w:rFonts w:ascii="Arial"/>
                <w:sz w:val="21"/>
              </w:rPr>
            </w:pPr>
          </w:p>
        </w:tc>
        <w:tc>
          <w:tcPr>
            <w:tcW w:w="751" w:type="dxa"/>
            <w:vAlign w:val="top"/>
          </w:tcPr>
          <w:p>
            <w:pPr>
              <w:spacing w:line="292" w:lineRule="auto"/>
              <w:rPr>
                <w:rFonts w:ascii="Arial"/>
                <w:sz w:val="21"/>
              </w:rPr>
            </w:pPr>
          </w:p>
          <w:p>
            <w:pPr>
              <w:pStyle w:val="17"/>
              <w:spacing w:before="65" w:line="189" w:lineRule="auto"/>
              <w:ind w:left="323"/>
              <w:rPr>
                <w:sz w:val="20"/>
                <w:szCs w:val="20"/>
              </w:rPr>
            </w:pPr>
            <w:r>
              <w:rPr>
                <w:sz w:val="20"/>
                <w:szCs w:val="20"/>
              </w:rPr>
              <w:t>8</w:t>
            </w:r>
          </w:p>
        </w:tc>
        <w:tc>
          <w:tcPr>
            <w:tcW w:w="7379" w:type="dxa"/>
            <w:vAlign w:val="top"/>
          </w:tcPr>
          <w:p>
            <w:pPr>
              <w:pStyle w:val="17"/>
              <w:spacing w:before="122" w:line="408" w:lineRule="exact"/>
              <w:ind w:left="110"/>
              <w:rPr>
                <w:sz w:val="20"/>
                <w:szCs w:val="20"/>
              </w:rPr>
            </w:pPr>
            <w:r>
              <w:rPr>
                <w:spacing w:val="-2"/>
                <w:position w:val="15"/>
                <w:sz w:val="20"/>
                <w:szCs w:val="20"/>
              </w:rPr>
              <w:t>预制梁施工必须符合设计要求，吊装位置准确，标高误差±1cm，违者违约</w:t>
            </w:r>
            <w:r>
              <w:rPr>
                <w:spacing w:val="-3"/>
                <w:position w:val="15"/>
                <w:sz w:val="20"/>
                <w:szCs w:val="20"/>
              </w:rPr>
              <w:t>金</w:t>
            </w:r>
            <w:r>
              <w:rPr>
                <w:spacing w:val="-51"/>
                <w:position w:val="15"/>
                <w:sz w:val="20"/>
                <w:szCs w:val="20"/>
              </w:rPr>
              <w:t xml:space="preserve"> </w:t>
            </w:r>
            <w:r>
              <w:rPr>
                <w:spacing w:val="-3"/>
                <w:position w:val="15"/>
                <w:sz w:val="20"/>
                <w:szCs w:val="20"/>
              </w:rPr>
              <w:t>2,000</w:t>
            </w:r>
          </w:p>
          <w:p>
            <w:pPr>
              <w:pStyle w:val="17"/>
              <w:spacing w:line="228" w:lineRule="auto"/>
              <w:ind w:left="110"/>
              <w:rPr>
                <w:sz w:val="20"/>
                <w:szCs w:val="20"/>
              </w:rPr>
            </w:pPr>
            <w:r>
              <w:rPr>
                <w:spacing w:val="-1"/>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5" w:lineRule="auto"/>
              <w:rPr>
                <w:rFonts w:ascii="Arial"/>
                <w:sz w:val="21"/>
              </w:rPr>
            </w:pPr>
          </w:p>
          <w:p>
            <w:pPr>
              <w:pStyle w:val="17"/>
              <w:spacing w:before="65" w:line="189" w:lineRule="auto"/>
              <w:ind w:left="323"/>
              <w:rPr>
                <w:sz w:val="20"/>
                <w:szCs w:val="20"/>
              </w:rPr>
            </w:pPr>
            <w:r>
              <w:rPr>
                <w:sz w:val="20"/>
                <w:szCs w:val="20"/>
              </w:rPr>
              <w:t>9</w:t>
            </w:r>
          </w:p>
        </w:tc>
        <w:tc>
          <w:tcPr>
            <w:tcW w:w="7379" w:type="dxa"/>
            <w:vAlign w:val="top"/>
          </w:tcPr>
          <w:p>
            <w:pPr>
              <w:pStyle w:val="17"/>
              <w:spacing w:before="115" w:line="408" w:lineRule="exact"/>
              <w:ind w:left="112"/>
              <w:rPr>
                <w:sz w:val="20"/>
                <w:szCs w:val="20"/>
              </w:rPr>
            </w:pPr>
            <w:r>
              <w:rPr>
                <w:spacing w:val="9"/>
                <w:position w:val="15"/>
                <w:sz w:val="20"/>
                <w:szCs w:val="20"/>
              </w:rPr>
              <w:t>一个经过自检的钢筋骨架中钢筋焊接长度不足及焊缝不饱满超过</w:t>
            </w:r>
            <w:r>
              <w:rPr>
                <w:spacing w:val="-23"/>
                <w:position w:val="15"/>
                <w:sz w:val="20"/>
                <w:szCs w:val="20"/>
              </w:rPr>
              <w:t xml:space="preserve"> </w:t>
            </w:r>
            <w:r>
              <w:rPr>
                <w:spacing w:val="9"/>
                <w:position w:val="15"/>
                <w:sz w:val="20"/>
                <w:szCs w:val="20"/>
              </w:rPr>
              <w:t>3</w:t>
            </w:r>
            <w:r>
              <w:rPr>
                <w:spacing w:val="-34"/>
                <w:position w:val="15"/>
                <w:sz w:val="20"/>
                <w:szCs w:val="20"/>
              </w:rPr>
              <w:t xml:space="preserve"> </w:t>
            </w:r>
            <w:r>
              <w:rPr>
                <w:spacing w:val="9"/>
                <w:position w:val="15"/>
                <w:sz w:val="20"/>
                <w:szCs w:val="20"/>
              </w:rPr>
              <w:t>处的，违约</w:t>
            </w:r>
          </w:p>
          <w:p>
            <w:pPr>
              <w:pStyle w:val="17"/>
              <w:spacing w:line="224" w:lineRule="auto"/>
              <w:ind w:left="110"/>
              <w:rPr>
                <w:sz w:val="20"/>
                <w:szCs w:val="20"/>
              </w:rPr>
            </w:pPr>
            <w:r>
              <w:rPr>
                <w:spacing w:val="1"/>
                <w:sz w:val="20"/>
                <w:szCs w:val="20"/>
              </w:rPr>
              <w:t>金</w:t>
            </w:r>
            <w:r>
              <w:rPr>
                <w:spacing w:val="-34"/>
                <w:sz w:val="20"/>
                <w:szCs w:val="20"/>
              </w:rPr>
              <w:t xml:space="preserve"> </w:t>
            </w:r>
            <w:r>
              <w:rPr>
                <w:spacing w:val="1"/>
                <w:sz w:val="20"/>
                <w:szCs w:val="20"/>
              </w:rPr>
              <w:t>2,000</w:t>
            </w:r>
            <w:r>
              <w:rPr>
                <w:spacing w:val="-36"/>
                <w:sz w:val="20"/>
                <w:szCs w:val="20"/>
              </w:rPr>
              <w:t xml:space="preserve"> </w:t>
            </w:r>
            <w:r>
              <w:rPr>
                <w:spacing w:val="1"/>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6" w:lineRule="auto"/>
              <w:rPr>
                <w:rFonts w:ascii="Arial"/>
                <w:sz w:val="21"/>
              </w:rPr>
            </w:pPr>
          </w:p>
          <w:p>
            <w:pPr>
              <w:pStyle w:val="17"/>
              <w:spacing w:before="65" w:line="190" w:lineRule="auto"/>
              <w:ind w:left="285"/>
              <w:rPr>
                <w:sz w:val="20"/>
                <w:szCs w:val="20"/>
              </w:rPr>
            </w:pPr>
            <w:r>
              <w:rPr>
                <w:spacing w:val="-7"/>
                <w:sz w:val="20"/>
                <w:szCs w:val="20"/>
              </w:rPr>
              <w:t>10</w:t>
            </w:r>
          </w:p>
        </w:tc>
        <w:tc>
          <w:tcPr>
            <w:tcW w:w="7379" w:type="dxa"/>
            <w:vAlign w:val="top"/>
          </w:tcPr>
          <w:p>
            <w:pPr>
              <w:pStyle w:val="17"/>
              <w:spacing w:before="117" w:line="408" w:lineRule="exact"/>
              <w:ind w:left="112"/>
              <w:rPr>
                <w:sz w:val="20"/>
                <w:szCs w:val="20"/>
              </w:rPr>
            </w:pPr>
            <w:r>
              <w:rPr>
                <w:spacing w:val="9"/>
                <w:position w:val="15"/>
                <w:sz w:val="20"/>
                <w:szCs w:val="20"/>
              </w:rPr>
              <w:t>一个经过自检的钢筋骨架有</w:t>
            </w:r>
            <w:r>
              <w:rPr>
                <w:spacing w:val="-24"/>
                <w:position w:val="15"/>
                <w:sz w:val="20"/>
                <w:szCs w:val="20"/>
              </w:rPr>
              <w:t xml:space="preserve"> </w:t>
            </w:r>
            <w:r>
              <w:rPr>
                <w:spacing w:val="9"/>
                <w:position w:val="15"/>
                <w:sz w:val="20"/>
                <w:szCs w:val="20"/>
              </w:rPr>
              <w:t>3</w:t>
            </w:r>
            <w:r>
              <w:rPr>
                <w:spacing w:val="-33"/>
                <w:position w:val="15"/>
                <w:sz w:val="20"/>
                <w:szCs w:val="20"/>
              </w:rPr>
              <w:t xml:space="preserve"> </w:t>
            </w:r>
            <w:r>
              <w:rPr>
                <w:spacing w:val="9"/>
                <w:position w:val="15"/>
                <w:sz w:val="20"/>
                <w:szCs w:val="20"/>
              </w:rPr>
              <w:t>处钢筋间距（包括主筋和构造筋）不符合规范要</w:t>
            </w:r>
          </w:p>
          <w:p>
            <w:pPr>
              <w:pStyle w:val="17"/>
              <w:spacing w:line="224" w:lineRule="auto"/>
              <w:ind w:left="110"/>
              <w:rPr>
                <w:sz w:val="20"/>
                <w:szCs w:val="20"/>
              </w:rPr>
            </w:pPr>
            <w:r>
              <w:rPr>
                <w:spacing w:val="4"/>
                <w:sz w:val="20"/>
                <w:szCs w:val="20"/>
              </w:rPr>
              <w:t>求的违约金</w:t>
            </w:r>
            <w:r>
              <w:rPr>
                <w:spacing w:val="-34"/>
                <w:sz w:val="20"/>
                <w:szCs w:val="20"/>
              </w:rPr>
              <w:t xml:space="preserve"> </w:t>
            </w:r>
            <w:r>
              <w:rPr>
                <w:spacing w:val="4"/>
                <w:sz w:val="20"/>
                <w:szCs w:val="20"/>
              </w:rPr>
              <w:t>2,000</w:t>
            </w:r>
            <w:r>
              <w:rPr>
                <w:spacing w:val="-36"/>
                <w:sz w:val="20"/>
                <w:szCs w:val="20"/>
              </w:rPr>
              <w:t xml:space="preserve"> </w:t>
            </w:r>
            <w:r>
              <w:rPr>
                <w:spacing w:val="4"/>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49" w:line="189" w:lineRule="auto"/>
              <w:ind w:left="285"/>
              <w:rPr>
                <w:sz w:val="20"/>
                <w:szCs w:val="20"/>
              </w:rPr>
            </w:pPr>
            <w:r>
              <w:rPr>
                <w:spacing w:val="-7"/>
                <w:sz w:val="20"/>
                <w:szCs w:val="20"/>
              </w:rPr>
              <w:t>11</w:t>
            </w:r>
          </w:p>
        </w:tc>
        <w:tc>
          <w:tcPr>
            <w:tcW w:w="7379" w:type="dxa"/>
            <w:vAlign w:val="top"/>
          </w:tcPr>
          <w:p>
            <w:pPr>
              <w:pStyle w:val="17"/>
              <w:spacing w:before="116" w:line="225" w:lineRule="auto"/>
              <w:ind w:left="107"/>
              <w:rPr>
                <w:sz w:val="20"/>
                <w:szCs w:val="20"/>
              </w:rPr>
            </w:pPr>
            <w:r>
              <w:rPr>
                <w:spacing w:val="8"/>
                <w:sz w:val="20"/>
                <w:szCs w:val="20"/>
              </w:rPr>
              <w:t>钢筋骨架已生锈，在浇筑砼前未作去锈处理的，每次违约金</w:t>
            </w:r>
            <w:r>
              <w:rPr>
                <w:spacing w:val="-37"/>
                <w:sz w:val="20"/>
                <w:szCs w:val="20"/>
              </w:rPr>
              <w:t xml:space="preserve"> </w:t>
            </w:r>
            <w:r>
              <w:rPr>
                <w:spacing w:val="8"/>
                <w:sz w:val="20"/>
                <w:szCs w:val="20"/>
              </w:rPr>
              <w:t>2,000</w:t>
            </w:r>
            <w:r>
              <w:rPr>
                <w:spacing w:val="-37"/>
                <w:sz w:val="20"/>
                <w:szCs w:val="20"/>
              </w:rPr>
              <w:t xml:space="preserve"> </w:t>
            </w:r>
            <w:r>
              <w:rPr>
                <w:spacing w:val="8"/>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6" w:lineRule="auto"/>
              <w:rPr>
                <w:rFonts w:ascii="Arial"/>
                <w:sz w:val="21"/>
              </w:rPr>
            </w:pPr>
          </w:p>
          <w:p>
            <w:pPr>
              <w:pStyle w:val="17"/>
              <w:spacing w:before="65" w:line="189" w:lineRule="auto"/>
              <w:ind w:left="285"/>
              <w:rPr>
                <w:sz w:val="20"/>
                <w:szCs w:val="20"/>
              </w:rPr>
            </w:pPr>
            <w:r>
              <w:rPr>
                <w:spacing w:val="-7"/>
                <w:sz w:val="20"/>
                <w:szCs w:val="20"/>
              </w:rPr>
              <w:t>12</w:t>
            </w:r>
          </w:p>
        </w:tc>
        <w:tc>
          <w:tcPr>
            <w:tcW w:w="7379" w:type="dxa"/>
            <w:vAlign w:val="top"/>
          </w:tcPr>
          <w:p>
            <w:pPr>
              <w:pStyle w:val="17"/>
              <w:spacing w:before="117" w:line="408" w:lineRule="exact"/>
              <w:ind w:left="108"/>
              <w:rPr>
                <w:sz w:val="20"/>
                <w:szCs w:val="20"/>
              </w:rPr>
            </w:pPr>
            <w:r>
              <w:rPr>
                <w:spacing w:val="10"/>
                <w:position w:val="15"/>
                <w:sz w:val="20"/>
                <w:szCs w:val="20"/>
              </w:rPr>
              <w:t>在钻孔桩的施工中泥浆循环系统未设沉淀池的，或沉淀池规格不符合有关要求</w:t>
            </w:r>
          </w:p>
          <w:p>
            <w:pPr>
              <w:pStyle w:val="17"/>
              <w:spacing w:line="224" w:lineRule="auto"/>
              <w:ind w:left="126"/>
              <w:rPr>
                <w:sz w:val="20"/>
                <w:szCs w:val="20"/>
              </w:rPr>
            </w:pPr>
            <w:r>
              <w:rPr>
                <w:spacing w:val="4"/>
                <w:sz w:val="20"/>
                <w:szCs w:val="20"/>
              </w:rPr>
              <w:t>的，每处违约金</w:t>
            </w:r>
            <w:r>
              <w:rPr>
                <w:spacing w:val="-37"/>
                <w:sz w:val="20"/>
                <w:szCs w:val="20"/>
              </w:rPr>
              <w:t xml:space="preserve"> </w:t>
            </w:r>
            <w:r>
              <w:rPr>
                <w:spacing w:val="4"/>
                <w:sz w:val="20"/>
                <w:szCs w:val="20"/>
              </w:rPr>
              <w:t>2,000</w:t>
            </w:r>
            <w:r>
              <w:rPr>
                <w:spacing w:val="-37"/>
                <w:sz w:val="20"/>
                <w:szCs w:val="20"/>
              </w:rPr>
              <w:t xml:space="preserve"> </w:t>
            </w:r>
            <w:r>
              <w:rPr>
                <w:spacing w:val="4"/>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8" w:lineRule="auto"/>
              <w:rPr>
                <w:rFonts w:ascii="Arial"/>
                <w:sz w:val="21"/>
              </w:rPr>
            </w:pPr>
          </w:p>
          <w:p>
            <w:pPr>
              <w:pStyle w:val="17"/>
              <w:spacing w:before="65" w:line="190" w:lineRule="auto"/>
              <w:ind w:left="285"/>
              <w:rPr>
                <w:sz w:val="20"/>
                <w:szCs w:val="20"/>
              </w:rPr>
            </w:pPr>
            <w:r>
              <w:rPr>
                <w:spacing w:val="-7"/>
                <w:sz w:val="20"/>
                <w:szCs w:val="20"/>
              </w:rPr>
              <w:t>13</w:t>
            </w:r>
          </w:p>
        </w:tc>
        <w:tc>
          <w:tcPr>
            <w:tcW w:w="7379" w:type="dxa"/>
            <w:vAlign w:val="top"/>
          </w:tcPr>
          <w:p>
            <w:pPr>
              <w:pStyle w:val="17"/>
              <w:spacing w:before="119" w:line="408" w:lineRule="exact"/>
              <w:ind w:left="109"/>
              <w:rPr>
                <w:sz w:val="20"/>
                <w:szCs w:val="20"/>
              </w:rPr>
            </w:pPr>
            <w:r>
              <w:rPr>
                <w:spacing w:val="-9"/>
                <w:position w:val="15"/>
                <w:sz w:val="20"/>
                <w:szCs w:val="20"/>
              </w:rPr>
              <w:t>桩基检测评定为</w:t>
            </w:r>
            <w:r>
              <w:rPr>
                <w:spacing w:val="-52"/>
                <w:position w:val="15"/>
                <w:sz w:val="20"/>
                <w:szCs w:val="20"/>
              </w:rPr>
              <w:t xml:space="preserve"> </w:t>
            </w:r>
            <w:r>
              <w:rPr>
                <w:spacing w:val="-9"/>
                <w:position w:val="15"/>
                <w:sz w:val="20"/>
                <w:szCs w:val="20"/>
              </w:rPr>
              <w:t>C</w:t>
            </w:r>
            <w:r>
              <w:rPr>
                <w:spacing w:val="-49"/>
                <w:position w:val="15"/>
                <w:sz w:val="20"/>
                <w:szCs w:val="20"/>
              </w:rPr>
              <w:t xml:space="preserve"> </w:t>
            </w:r>
            <w:r>
              <w:rPr>
                <w:spacing w:val="-9"/>
                <w:position w:val="15"/>
                <w:sz w:val="20"/>
                <w:szCs w:val="20"/>
              </w:rPr>
              <w:t>类桩的，每根违约金</w:t>
            </w:r>
            <w:r>
              <w:rPr>
                <w:spacing w:val="-54"/>
                <w:position w:val="15"/>
                <w:sz w:val="20"/>
                <w:szCs w:val="20"/>
              </w:rPr>
              <w:t xml:space="preserve"> </w:t>
            </w:r>
            <w:r>
              <w:rPr>
                <w:spacing w:val="-9"/>
                <w:position w:val="15"/>
                <w:sz w:val="20"/>
                <w:szCs w:val="20"/>
              </w:rPr>
              <w:t>2,000</w:t>
            </w:r>
            <w:r>
              <w:rPr>
                <w:spacing w:val="-48"/>
                <w:position w:val="15"/>
                <w:sz w:val="20"/>
                <w:szCs w:val="20"/>
              </w:rPr>
              <w:t xml:space="preserve"> </w:t>
            </w:r>
            <w:r>
              <w:rPr>
                <w:spacing w:val="-9"/>
                <w:position w:val="15"/>
                <w:sz w:val="20"/>
                <w:szCs w:val="20"/>
              </w:rPr>
              <w:t>元，出现不合格桩的，每根违约金</w:t>
            </w:r>
            <w:r>
              <w:rPr>
                <w:spacing w:val="-52"/>
                <w:position w:val="15"/>
                <w:sz w:val="20"/>
                <w:szCs w:val="20"/>
              </w:rPr>
              <w:t xml:space="preserve"> </w:t>
            </w:r>
            <w:r>
              <w:rPr>
                <w:spacing w:val="-9"/>
                <w:position w:val="15"/>
                <w:sz w:val="20"/>
                <w:szCs w:val="20"/>
              </w:rPr>
              <w:t>5,000</w:t>
            </w:r>
          </w:p>
          <w:p>
            <w:pPr>
              <w:pStyle w:val="17"/>
              <w:spacing w:line="228" w:lineRule="auto"/>
              <w:ind w:left="110"/>
              <w:rPr>
                <w:sz w:val="20"/>
                <w:szCs w:val="20"/>
              </w:rPr>
            </w:pPr>
            <w:r>
              <w:rPr>
                <w:spacing w:val="-1"/>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1" w:line="189" w:lineRule="auto"/>
              <w:ind w:left="285"/>
              <w:rPr>
                <w:sz w:val="20"/>
                <w:szCs w:val="20"/>
              </w:rPr>
            </w:pPr>
            <w:r>
              <w:rPr>
                <w:spacing w:val="-7"/>
                <w:sz w:val="20"/>
                <w:szCs w:val="20"/>
              </w:rPr>
              <w:t>14</w:t>
            </w:r>
          </w:p>
        </w:tc>
        <w:tc>
          <w:tcPr>
            <w:tcW w:w="7379" w:type="dxa"/>
            <w:vAlign w:val="top"/>
          </w:tcPr>
          <w:p>
            <w:pPr>
              <w:pStyle w:val="17"/>
              <w:spacing w:before="118" w:line="225" w:lineRule="auto"/>
              <w:ind w:left="109"/>
              <w:rPr>
                <w:sz w:val="20"/>
                <w:szCs w:val="20"/>
              </w:rPr>
            </w:pPr>
            <w:r>
              <w:rPr>
                <w:spacing w:val="6"/>
                <w:sz w:val="20"/>
                <w:szCs w:val="20"/>
              </w:rPr>
              <w:t>浇注砼时，</w:t>
            </w:r>
            <w:r>
              <w:rPr>
                <w:spacing w:val="-51"/>
                <w:sz w:val="20"/>
                <w:szCs w:val="20"/>
              </w:rPr>
              <w:t xml:space="preserve"> </w:t>
            </w:r>
            <w:r>
              <w:rPr>
                <w:spacing w:val="6"/>
                <w:sz w:val="20"/>
                <w:szCs w:val="20"/>
              </w:rPr>
              <w:t>自由下落高度超过</w:t>
            </w:r>
            <w:r>
              <w:rPr>
                <w:spacing w:val="-37"/>
                <w:sz w:val="20"/>
                <w:szCs w:val="20"/>
              </w:rPr>
              <w:t xml:space="preserve"> </w:t>
            </w:r>
            <w:r>
              <w:rPr>
                <w:spacing w:val="6"/>
                <w:sz w:val="20"/>
                <w:szCs w:val="20"/>
              </w:rPr>
              <w:t>2m</w:t>
            </w:r>
            <w:r>
              <w:rPr>
                <w:spacing w:val="-40"/>
                <w:sz w:val="20"/>
                <w:szCs w:val="20"/>
              </w:rPr>
              <w:t xml:space="preserve"> </w:t>
            </w:r>
            <w:r>
              <w:rPr>
                <w:spacing w:val="6"/>
                <w:sz w:val="20"/>
                <w:szCs w:val="20"/>
              </w:rPr>
              <w:t>而不用串筒的</w:t>
            </w:r>
            <w:r>
              <w:rPr>
                <w:spacing w:val="5"/>
                <w:sz w:val="20"/>
                <w:szCs w:val="20"/>
              </w:rPr>
              <w:t>，每次违约金</w:t>
            </w:r>
            <w:r>
              <w:rPr>
                <w:spacing w:val="-34"/>
                <w:sz w:val="20"/>
                <w:szCs w:val="20"/>
              </w:rPr>
              <w:t xml:space="preserve"> </w:t>
            </w:r>
            <w:r>
              <w:rPr>
                <w:spacing w:val="5"/>
                <w:sz w:val="20"/>
                <w:szCs w:val="20"/>
              </w:rPr>
              <w:t>2,000</w:t>
            </w:r>
            <w:r>
              <w:rPr>
                <w:spacing w:val="-36"/>
                <w:sz w:val="20"/>
                <w:szCs w:val="20"/>
              </w:rPr>
              <w:t xml:space="preserve"> </w:t>
            </w:r>
            <w:r>
              <w:rPr>
                <w:spacing w:val="5"/>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2" w:line="190" w:lineRule="auto"/>
              <w:ind w:left="285"/>
              <w:rPr>
                <w:sz w:val="20"/>
                <w:szCs w:val="20"/>
              </w:rPr>
            </w:pPr>
            <w:r>
              <w:rPr>
                <w:spacing w:val="-7"/>
                <w:sz w:val="20"/>
                <w:szCs w:val="20"/>
              </w:rPr>
              <w:t>15</w:t>
            </w:r>
          </w:p>
        </w:tc>
        <w:tc>
          <w:tcPr>
            <w:tcW w:w="7379" w:type="dxa"/>
            <w:vAlign w:val="top"/>
          </w:tcPr>
          <w:p>
            <w:pPr>
              <w:pStyle w:val="17"/>
              <w:spacing w:before="120" w:line="225" w:lineRule="auto"/>
              <w:ind w:left="108"/>
              <w:rPr>
                <w:sz w:val="20"/>
                <w:szCs w:val="20"/>
              </w:rPr>
            </w:pPr>
            <w:r>
              <w:rPr>
                <w:spacing w:val="7"/>
                <w:sz w:val="20"/>
                <w:szCs w:val="20"/>
              </w:rPr>
              <w:t>砼施工配合比不按重量比的，每次违约金</w:t>
            </w:r>
            <w:r>
              <w:rPr>
                <w:spacing w:val="-30"/>
                <w:sz w:val="20"/>
                <w:szCs w:val="20"/>
              </w:rPr>
              <w:t xml:space="preserve"> </w:t>
            </w:r>
            <w:r>
              <w:rPr>
                <w:spacing w:val="7"/>
                <w:sz w:val="20"/>
                <w:szCs w:val="20"/>
              </w:rPr>
              <w:t>5,000</w:t>
            </w:r>
            <w:r>
              <w:rPr>
                <w:spacing w:val="-36"/>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1" w:line="190" w:lineRule="auto"/>
              <w:ind w:left="285"/>
              <w:rPr>
                <w:sz w:val="20"/>
                <w:szCs w:val="20"/>
              </w:rPr>
            </w:pPr>
            <w:r>
              <w:rPr>
                <w:spacing w:val="-7"/>
                <w:sz w:val="20"/>
                <w:szCs w:val="20"/>
              </w:rPr>
              <w:t>16</w:t>
            </w:r>
          </w:p>
        </w:tc>
        <w:tc>
          <w:tcPr>
            <w:tcW w:w="7379" w:type="dxa"/>
            <w:vAlign w:val="top"/>
          </w:tcPr>
          <w:p>
            <w:pPr>
              <w:pStyle w:val="17"/>
              <w:spacing w:before="119" w:line="225" w:lineRule="auto"/>
              <w:ind w:left="109"/>
              <w:rPr>
                <w:sz w:val="20"/>
                <w:szCs w:val="20"/>
              </w:rPr>
            </w:pPr>
            <w:r>
              <w:rPr>
                <w:spacing w:val="8"/>
                <w:sz w:val="20"/>
                <w:szCs w:val="20"/>
              </w:rPr>
              <w:t>两梁板之间接缝不得有杂物，填充料符合设计要求，违者违约金</w:t>
            </w:r>
            <w:r>
              <w:rPr>
                <w:spacing w:val="-36"/>
                <w:sz w:val="20"/>
                <w:szCs w:val="20"/>
              </w:rPr>
              <w:t xml:space="preserve"> </w:t>
            </w:r>
            <w:r>
              <w:rPr>
                <w:spacing w:val="8"/>
                <w:sz w:val="20"/>
                <w:szCs w:val="20"/>
              </w:rPr>
              <w:t>2,000</w:t>
            </w:r>
            <w:r>
              <w:rPr>
                <w:spacing w:val="-37"/>
                <w:sz w:val="20"/>
                <w:szCs w:val="20"/>
              </w:rPr>
              <w:t xml:space="preserve"> </w:t>
            </w:r>
            <w:r>
              <w:rPr>
                <w:spacing w:val="8"/>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45" w:lineRule="auto"/>
              <w:rPr>
                <w:rFonts w:ascii="Arial"/>
                <w:sz w:val="21"/>
              </w:rPr>
            </w:pPr>
          </w:p>
          <w:p>
            <w:pPr>
              <w:spacing w:line="246" w:lineRule="auto"/>
              <w:rPr>
                <w:rFonts w:ascii="Arial"/>
                <w:sz w:val="21"/>
              </w:rPr>
            </w:pPr>
          </w:p>
          <w:p>
            <w:pPr>
              <w:pStyle w:val="17"/>
              <w:spacing w:before="65" w:line="190" w:lineRule="auto"/>
              <w:ind w:left="285"/>
              <w:rPr>
                <w:sz w:val="20"/>
                <w:szCs w:val="20"/>
              </w:rPr>
            </w:pPr>
            <w:r>
              <w:rPr>
                <w:spacing w:val="-7"/>
                <w:sz w:val="20"/>
                <w:szCs w:val="20"/>
              </w:rPr>
              <w:t>17</w:t>
            </w:r>
          </w:p>
        </w:tc>
        <w:tc>
          <w:tcPr>
            <w:tcW w:w="7379" w:type="dxa"/>
            <w:vAlign w:val="top"/>
          </w:tcPr>
          <w:p>
            <w:pPr>
              <w:pStyle w:val="17"/>
              <w:spacing w:before="119" w:line="378" w:lineRule="auto"/>
              <w:ind w:left="108" w:right="51"/>
              <w:jc w:val="both"/>
              <w:rPr>
                <w:sz w:val="20"/>
                <w:szCs w:val="20"/>
              </w:rPr>
            </w:pPr>
            <w:r>
              <w:rPr>
                <w:spacing w:val="6"/>
                <w:sz w:val="20"/>
                <w:szCs w:val="20"/>
              </w:rPr>
              <w:t>砼拌和现场的称量和配水机械装置应维持良好状态，拌和机的容量要满足</w:t>
            </w:r>
            <w:r>
              <w:rPr>
                <w:spacing w:val="5"/>
                <w:sz w:val="20"/>
                <w:szCs w:val="20"/>
              </w:rPr>
              <w:t>要求，</w:t>
            </w:r>
            <w:r>
              <w:rPr>
                <w:sz w:val="20"/>
                <w:szCs w:val="20"/>
              </w:rPr>
              <w:t xml:space="preserve"> </w:t>
            </w:r>
            <w:r>
              <w:rPr>
                <w:spacing w:val="10"/>
                <w:sz w:val="20"/>
                <w:szCs w:val="20"/>
              </w:rPr>
              <w:t>桥梁施工要具备应急拌和机。正在施工的现场不满</w:t>
            </w:r>
            <w:r>
              <w:rPr>
                <w:spacing w:val="9"/>
                <w:sz w:val="20"/>
                <w:szCs w:val="20"/>
              </w:rPr>
              <w:t>足上述要求的，每次违约金</w:t>
            </w:r>
          </w:p>
          <w:p>
            <w:pPr>
              <w:pStyle w:val="17"/>
              <w:spacing w:line="224" w:lineRule="auto"/>
              <w:ind w:left="111"/>
              <w:rPr>
                <w:sz w:val="20"/>
                <w:szCs w:val="20"/>
              </w:rPr>
            </w:pPr>
            <w:r>
              <w:rPr>
                <w:spacing w:val="1"/>
                <w:sz w:val="20"/>
                <w:szCs w:val="20"/>
              </w:rPr>
              <w:t>2,000</w:t>
            </w:r>
            <w:r>
              <w:rPr>
                <w:spacing w:val="-34"/>
                <w:sz w:val="20"/>
                <w:szCs w:val="20"/>
              </w:rPr>
              <w:t xml:space="preserve"> </w:t>
            </w:r>
            <w:r>
              <w:rPr>
                <w:spacing w:val="1"/>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2" w:line="190" w:lineRule="auto"/>
              <w:ind w:left="285"/>
              <w:rPr>
                <w:sz w:val="20"/>
                <w:szCs w:val="20"/>
              </w:rPr>
            </w:pPr>
            <w:r>
              <w:rPr>
                <w:spacing w:val="-7"/>
                <w:sz w:val="20"/>
                <w:szCs w:val="20"/>
              </w:rPr>
              <w:t>18</w:t>
            </w:r>
          </w:p>
        </w:tc>
        <w:tc>
          <w:tcPr>
            <w:tcW w:w="7379" w:type="dxa"/>
            <w:vAlign w:val="top"/>
          </w:tcPr>
          <w:p>
            <w:pPr>
              <w:pStyle w:val="17"/>
              <w:spacing w:before="120" w:line="225" w:lineRule="auto"/>
              <w:ind w:right="11"/>
              <w:jc w:val="right"/>
              <w:rPr>
                <w:sz w:val="20"/>
                <w:szCs w:val="20"/>
              </w:rPr>
            </w:pPr>
            <w:r>
              <w:rPr>
                <w:spacing w:val="6"/>
                <w:sz w:val="20"/>
                <w:szCs w:val="20"/>
              </w:rPr>
              <w:t>压浆不按配合比制浆，水灰比失控，强度达不到要求的，每次违约金</w:t>
            </w:r>
            <w:r>
              <w:rPr>
                <w:spacing w:val="-33"/>
                <w:sz w:val="20"/>
                <w:szCs w:val="20"/>
              </w:rPr>
              <w:t xml:space="preserve"> </w:t>
            </w:r>
            <w:r>
              <w:rPr>
                <w:spacing w:val="6"/>
                <w:sz w:val="20"/>
                <w:szCs w:val="20"/>
              </w:rPr>
              <w:t>3,</w:t>
            </w:r>
            <w:r>
              <w:rPr>
                <w:spacing w:val="5"/>
                <w:sz w:val="20"/>
                <w:szCs w:val="20"/>
              </w:rPr>
              <w:t>000</w:t>
            </w:r>
            <w:r>
              <w:rPr>
                <w:spacing w:val="-38"/>
                <w:sz w:val="20"/>
                <w:szCs w:val="20"/>
              </w:rPr>
              <w:t xml:space="preserve"> </w:t>
            </w:r>
            <w:r>
              <w:rPr>
                <w:spacing w:val="5"/>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2" w:line="190" w:lineRule="auto"/>
              <w:ind w:left="285"/>
              <w:rPr>
                <w:sz w:val="20"/>
                <w:szCs w:val="20"/>
              </w:rPr>
            </w:pPr>
            <w:r>
              <w:rPr>
                <w:spacing w:val="-7"/>
                <w:sz w:val="20"/>
                <w:szCs w:val="20"/>
              </w:rPr>
              <w:t>19</w:t>
            </w:r>
          </w:p>
        </w:tc>
        <w:tc>
          <w:tcPr>
            <w:tcW w:w="7379" w:type="dxa"/>
            <w:vAlign w:val="top"/>
          </w:tcPr>
          <w:p>
            <w:pPr>
              <w:pStyle w:val="17"/>
              <w:spacing w:before="120" w:line="225" w:lineRule="auto"/>
              <w:ind w:left="109"/>
              <w:rPr>
                <w:sz w:val="20"/>
                <w:szCs w:val="20"/>
              </w:rPr>
            </w:pPr>
            <w:r>
              <w:rPr>
                <w:spacing w:val="6"/>
                <w:sz w:val="20"/>
                <w:szCs w:val="20"/>
              </w:rPr>
              <w:t>压浆不饱满的，每条管违约金</w:t>
            </w:r>
            <w:r>
              <w:rPr>
                <w:spacing w:val="-25"/>
                <w:sz w:val="20"/>
                <w:szCs w:val="20"/>
              </w:rPr>
              <w:t xml:space="preserve"> </w:t>
            </w:r>
            <w:r>
              <w:rPr>
                <w:spacing w:val="6"/>
                <w:sz w:val="20"/>
                <w:szCs w:val="20"/>
              </w:rPr>
              <w:t>3,000</w:t>
            </w:r>
            <w:r>
              <w:rPr>
                <w:spacing w:val="-36"/>
                <w:sz w:val="20"/>
                <w:szCs w:val="20"/>
              </w:rPr>
              <w:t xml:space="preserve"> </w:t>
            </w:r>
            <w:r>
              <w:rPr>
                <w:spacing w:val="6"/>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9" w:lineRule="auto"/>
              <w:rPr>
                <w:rFonts w:ascii="Arial"/>
                <w:sz w:val="21"/>
              </w:rPr>
            </w:pPr>
          </w:p>
          <w:p>
            <w:pPr>
              <w:pStyle w:val="17"/>
              <w:spacing w:before="65" w:line="189" w:lineRule="auto"/>
              <w:ind w:left="272"/>
              <w:rPr>
                <w:sz w:val="20"/>
                <w:szCs w:val="20"/>
              </w:rPr>
            </w:pPr>
            <w:r>
              <w:rPr>
                <w:spacing w:val="-1"/>
                <w:sz w:val="20"/>
                <w:szCs w:val="20"/>
              </w:rPr>
              <w:t>20</w:t>
            </w:r>
          </w:p>
        </w:tc>
        <w:tc>
          <w:tcPr>
            <w:tcW w:w="7379" w:type="dxa"/>
            <w:vAlign w:val="top"/>
          </w:tcPr>
          <w:p>
            <w:pPr>
              <w:pStyle w:val="17"/>
              <w:spacing w:before="119" w:line="408" w:lineRule="exact"/>
              <w:ind w:left="110"/>
              <w:rPr>
                <w:sz w:val="20"/>
                <w:szCs w:val="20"/>
              </w:rPr>
            </w:pPr>
            <w:r>
              <w:rPr>
                <w:spacing w:val="10"/>
                <w:position w:val="15"/>
                <w:sz w:val="20"/>
                <w:szCs w:val="20"/>
              </w:rPr>
              <w:t>预制、现浇砼构件必须采用足够强度、大面积</w:t>
            </w:r>
            <w:r>
              <w:rPr>
                <w:spacing w:val="9"/>
                <w:position w:val="15"/>
                <w:sz w:val="20"/>
                <w:szCs w:val="20"/>
              </w:rPr>
              <w:t>的钢板制模板，违者每次违约金</w:t>
            </w:r>
          </w:p>
          <w:p>
            <w:pPr>
              <w:pStyle w:val="17"/>
              <w:spacing w:line="224" w:lineRule="auto"/>
              <w:ind w:left="113"/>
              <w:rPr>
                <w:sz w:val="20"/>
                <w:szCs w:val="20"/>
              </w:rPr>
            </w:pPr>
            <w:r>
              <w:rPr>
                <w:spacing w:val="1"/>
                <w:sz w:val="20"/>
                <w:szCs w:val="20"/>
              </w:rPr>
              <w:t>3,000</w:t>
            </w:r>
            <w:r>
              <w:rPr>
                <w:spacing w:val="-36"/>
                <w:sz w:val="20"/>
                <w:szCs w:val="20"/>
              </w:rPr>
              <w:t xml:space="preserve"> </w:t>
            </w:r>
            <w:r>
              <w:rPr>
                <w:spacing w:val="1"/>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47" w:lineRule="auto"/>
              <w:rPr>
                <w:rFonts w:ascii="Arial"/>
                <w:sz w:val="21"/>
              </w:rPr>
            </w:pPr>
          </w:p>
          <w:p>
            <w:pPr>
              <w:spacing w:line="247" w:lineRule="auto"/>
              <w:rPr>
                <w:rFonts w:ascii="Arial"/>
                <w:sz w:val="21"/>
              </w:rPr>
            </w:pPr>
          </w:p>
          <w:p>
            <w:pPr>
              <w:pStyle w:val="17"/>
              <w:spacing w:before="65" w:line="189" w:lineRule="auto"/>
              <w:ind w:left="272"/>
              <w:rPr>
                <w:sz w:val="20"/>
                <w:szCs w:val="20"/>
              </w:rPr>
            </w:pPr>
            <w:r>
              <w:rPr>
                <w:spacing w:val="-1"/>
                <w:sz w:val="20"/>
                <w:szCs w:val="20"/>
              </w:rPr>
              <w:t>21</w:t>
            </w:r>
          </w:p>
        </w:tc>
        <w:tc>
          <w:tcPr>
            <w:tcW w:w="7379" w:type="dxa"/>
            <w:vAlign w:val="top"/>
          </w:tcPr>
          <w:p>
            <w:pPr>
              <w:pStyle w:val="17"/>
              <w:spacing w:before="121" w:line="377" w:lineRule="auto"/>
              <w:ind w:left="114" w:right="51"/>
              <w:jc w:val="both"/>
              <w:rPr>
                <w:sz w:val="20"/>
                <w:szCs w:val="20"/>
              </w:rPr>
            </w:pPr>
            <w:r>
              <w:rPr>
                <w:spacing w:val="6"/>
                <w:sz w:val="20"/>
                <w:szCs w:val="20"/>
              </w:rPr>
              <w:t>结构物外观质量不符合要求而需修补的，必须作好修补方案，</w:t>
            </w:r>
            <w:r>
              <w:rPr>
                <w:spacing w:val="5"/>
                <w:sz w:val="20"/>
                <w:szCs w:val="20"/>
              </w:rPr>
              <w:t>经试验确实可行，</w:t>
            </w:r>
            <w:r>
              <w:rPr>
                <w:sz w:val="20"/>
                <w:szCs w:val="20"/>
              </w:rPr>
              <w:t xml:space="preserve"> </w:t>
            </w:r>
            <w:r>
              <w:rPr>
                <w:spacing w:val="10"/>
                <w:sz w:val="20"/>
                <w:szCs w:val="20"/>
              </w:rPr>
              <w:t>并经发包人和监理人检查同意后，才能采取修整补救措施，无法进行补救的则</w:t>
            </w:r>
          </w:p>
          <w:p>
            <w:pPr>
              <w:pStyle w:val="17"/>
              <w:spacing w:line="224" w:lineRule="auto"/>
              <w:ind w:left="132"/>
              <w:rPr>
                <w:sz w:val="20"/>
                <w:szCs w:val="20"/>
              </w:rPr>
            </w:pPr>
            <w:r>
              <w:rPr>
                <w:spacing w:val="5"/>
                <w:sz w:val="20"/>
                <w:szCs w:val="20"/>
              </w:rPr>
              <w:t>以“推倒重来</w:t>
            </w:r>
            <w:r>
              <w:rPr>
                <w:spacing w:val="-55"/>
                <w:sz w:val="20"/>
                <w:szCs w:val="20"/>
              </w:rPr>
              <w:t xml:space="preserve"> </w:t>
            </w:r>
            <w:r>
              <w:rPr>
                <w:spacing w:val="5"/>
                <w:sz w:val="20"/>
                <w:szCs w:val="20"/>
              </w:rPr>
              <w:t>”为原则。如有违反，每次违约金</w:t>
            </w:r>
            <w:r>
              <w:rPr>
                <w:spacing w:val="-33"/>
                <w:sz w:val="20"/>
                <w:szCs w:val="20"/>
              </w:rPr>
              <w:t xml:space="preserve"> </w:t>
            </w:r>
            <w:r>
              <w:rPr>
                <w:spacing w:val="5"/>
                <w:sz w:val="20"/>
                <w:szCs w:val="20"/>
              </w:rPr>
              <w:t>3,000</w:t>
            </w:r>
            <w:r>
              <w:rPr>
                <w:spacing w:val="-36"/>
                <w:sz w:val="20"/>
                <w:szCs w:val="20"/>
              </w:rPr>
              <w:t xml:space="preserve"> </w:t>
            </w:r>
            <w:r>
              <w:rPr>
                <w:spacing w:val="5"/>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807" w:type="dxa"/>
            <w:vMerge w:val="continue"/>
            <w:tcBorders>
              <w:top w:val="nil"/>
            </w:tcBorders>
            <w:vAlign w:val="top"/>
          </w:tcPr>
          <w:p>
            <w:pPr>
              <w:rPr>
                <w:rFonts w:ascii="Arial"/>
                <w:sz w:val="21"/>
              </w:rPr>
            </w:pPr>
          </w:p>
        </w:tc>
        <w:tc>
          <w:tcPr>
            <w:tcW w:w="751" w:type="dxa"/>
            <w:vAlign w:val="top"/>
          </w:tcPr>
          <w:p>
            <w:pPr>
              <w:spacing w:line="248" w:lineRule="auto"/>
              <w:rPr>
                <w:rFonts w:ascii="Arial"/>
                <w:sz w:val="21"/>
              </w:rPr>
            </w:pPr>
          </w:p>
          <w:p>
            <w:pPr>
              <w:spacing w:line="248" w:lineRule="auto"/>
              <w:rPr>
                <w:rFonts w:ascii="Arial"/>
                <w:sz w:val="21"/>
              </w:rPr>
            </w:pPr>
          </w:p>
          <w:p>
            <w:pPr>
              <w:pStyle w:val="17"/>
              <w:spacing w:before="65" w:line="189" w:lineRule="auto"/>
              <w:ind w:left="272"/>
              <w:rPr>
                <w:sz w:val="20"/>
                <w:szCs w:val="20"/>
              </w:rPr>
            </w:pPr>
            <w:r>
              <w:rPr>
                <w:spacing w:val="-1"/>
                <w:sz w:val="20"/>
                <w:szCs w:val="20"/>
              </w:rPr>
              <w:t>22</w:t>
            </w:r>
          </w:p>
        </w:tc>
        <w:tc>
          <w:tcPr>
            <w:tcW w:w="7379" w:type="dxa"/>
            <w:vAlign w:val="top"/>
          </w:tcPr>
          <w:p>
            <w:pPr>
              <w:pStyle w:val="17"/>
              <w:spacing w:before="123" w:line="377" w:lineRule="auto"/>
              <w:ind w:left="109" w:right="106" w:firstLine="1"/>
              <w:jc w:val="both"/>
              <w:rPr>
                <w:sz w:val="20"/>
                <w:szCs w:val="20"/>
              </w:rPr>
            </w:pPr>
            <w:r>
              <w:rPr>
                <w:spacing w:val="10"/>
                <w:sz w:val="20"/>
                <w:szCs w:val="20"/>
              </w:rPr>
              <w:t>各标段第一根立柱、盖梁和第一段防撞栏必须经发包人和监理人检查外观质量</w:t>
            </w:r>
            <w:r>
              <w:rPr>
                <w:spacing w:val="9"/>
                <w:sz w:val="20"/>
                <w:szCs w:val="20"/>
              </w:rPr>
              <w:t xml:space="preserve"> </w:t>
            </w:r>
            <w:r>
              <w:rPr>
                <w:spacing w:val="10"/>
                <w:sz w:val="20"/>
                <w:szCs w:val="20"/>
              </w:rPr>
              <w:t>合格后，方可进行第二根立柱、盖梁和第二段防</w:t>
            </w:r>
            <w:r>
              <w:rPr>
                <w:spacing w:val="9"/>
                <w:sz w:val="20"/>
                <w:szCs w:val="20"/>
              </w:rPr>
              <w:t>撞栏的施工，违者每次违约金</w:t>
            </w:r>
          </w:p>
          <w:p>
            <w:pPr>
              <w:pStyle w:val="17"/>
              <w:spacing w:line="224" w:lineRule="auto"/>
              <w:ind w:left="113"/>
              <w:rPr>
                <w:sz w:val="20"/>
                <w:szCs w:val="20"/>
              </w:rPr>
            </w:pPr>
            <w:r>
              <w:rPr>
                <w:spacing w:val="1"/>
                <w:sz w:val="20"/>
                <w:szCs w:val="20"/>
              </w:rPr>
              <w:t>5,000</w:t>
            </w:r>
            <w:r>
              <w:rPr>
                <w:spacing w:val="-36"/>
                <w:sz w:val="20"/>
                <w:szCs w:val="20"/>
              </w:rPr>
              <w:t xml:space="preserve"> </w:t>
            </w:r>
            <w:r>
              <w:rPr>
                <w:spacing w:val="1"/>
                <w:sz w:val="20"/>
                <w:szCs w:val="20"/>
              </w:rPr>
              <w:t>元。</w:t>
            </w:r>
          </w:p>
        </w:tc>
      </w:tr>
    </w:tbl>
    <w:p>
      <w:pPr>
        <w:rPr>
          <w:rFonts w:ascii="Arial"/>
          <w:sz w:val="21"/>
        </w:rPr>
      </w:pPr>
    </w:p>
    <w:p>
      <w:pPr>
        <w:spacing w:before="228"/>
      </w:pPr>
    </w:p>
    <w:tbl>
      <w:tblPr>
        <w:tblStyle w:val="16"/>
        <w:tblW w:w="8937" w:type="dxa"/>
        <w:tblInd w:w="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751"/>
        <w:gridCol w:w="7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807" w:type="dxa"/>
            <w:vMerge w:val="restart"/>
            <w:tcBorders>
              <w:bottom w:val="nil"/>
            </w:tcBorders>
            <w:vAlign w:val="top"/>
          </w:tcPr>
          <w:p>
            <w:pPr>
              <w:rPr>
                <w:rFonts w:ascii="Arial"/>
                <w:sz w:val="21"/>
              </w:rPr>
            </w:pPr>
          </w:p>
        </w:tc>
        <w:tc>
          <w:tcPr>
            <w:tcW w:w="751" w:type="dxa"/>
            <w:vAlign w:val="top"/>
          </w:tcPr>
          <w:p>
            <w:pPr>
              <w:pStyle w:val="17"/>
              <w:spacing w:before="155" w:line="189" w:lineRule="auto"/>
              <w:ind w:left="272"/>
              <w:rPr>
                <w:sz w:val="20"/>
                <w:szCs w:val="20"/>
              </w:rPr>
            </w:pPr>
            <w:r>
              <w:rPr>
                <w:spacing w:val="-1"/>
                <w:sz w:val="20"/>
                <w:szCs w:val="20"/>
              </w:rPr>
              <w:t>23</w:t>
            </w:r>
          </w:p>
        </w:tc>
        <w:tc>
          <w:tcPr>
            <w:tcW w:w="7379" w:type="dxa"/>
            <w:vAlign w:val="top"/>
          </w:tcPr>
          <w:p>
            <w:pPr>
              <w:pStyle w:val="17"/>
              <w:spacing w:before="122" w:line="225" w:lineRule="auto"/>
              <w:ind w:left="114"/>
              <w:rPr>
                <w:sz w:val="20"/>
                <w:szCs w:val="20"/>
              </w:rPr>
            </w:pPr>
            <w:r>
              <w:rPr>
                <w:spacing w:val="7"/>
                <w:sz w:val="20"/>
                <w:szCs w:val="20"/>
              </w:rPr>
              <w:t>结构标高尺寸误差超出规范允许值，每处违约金</w:t>
            </w:r>
            <w:r>
              <w:rPr>
                <w:spacing w:val="-25"/>
                <w:sz w:val="20"/>
                <w:szCs w:val="20"/>
              </w:rPr>
              <w:t xml:space="preserve"> </w:t>
            </w:r>
            <w:r>
              <w:rPr>
                <w:spacing w:val="7"/>
                <w:sz w:val="20"/>
                <w:szCs w:val="20"/>
              </w:rPr>
              <w:t>2,000</w:t>
            </w:r>
            <w:r>
              <w:rPr>
                <w:spacing w:val="-37"/>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43" w:lineRule="auto"/>
              <w:rPr>
                <w:rFonts w:ascii="Arial"/>
                <w:sz w:val="21"/>
              </w:rPr>
            </w:pPr>
          </w:p>
          <w:p>
            <w:pPr>
              <w:spacing w:line="243" w:lineRule="auto"/>
              <w:rPr>
                <w:rFonts w:ascii="Arial"/>
                <w:sz w:val="21"/>
              </w:rPr>
            </w:pPr>
          </w:p>
          <w:p>
            <w:pPr>
              <w:pStyle w:val="17"/>
              <w:spacing w:before="65" w:line="189" w:lineRule="auto"/>
              <w:ind w:left="272"/>
              <w:rPr>
                <w:sz w:val="20"/>
                <w:szCs w:val="20"/>
              </w:rPr>
            </w:pPr>
            <w:r>
              <w:rPr>
                <w:spacing w:val="-1"/>
                <w:sz w:val="20"/>
                <w:szCs w:val="20"/>
              </w:rPr>
              <w:t>24</w:t>
            </w:r>
          </w:p>
        </w:tc>
        <w:tc>
          <w:tcPr>
            <w:tcW w:w="7379" w:type="dxa"/>
            <w:vAlign w:val="top"/>
          </w:tcPr>
          <w:p>
            <w:pPr>
              <w:pStyle w:val="17"/>
              <w:spacing w:before="113" w:line="377" w:lineRule="auto"/>
              <w:ind w:left="110" w:right="96" w:hanging="1"/>
              <w:jc w:val="both"/>
              <w:rPr>
                <w:sz w:val="20"/>
                <w:szCs w:val="20"/>
              </w:rPr>
            </w:pPr>
            <w:r>
              <w:rPr>
                <w:spacing w:val="5"/>
                <w:sz w:val="20"/>
                <w:szCs w:val="20"/>
              </w:rPr>
              <w:t>桥面铺装应符合路面的要求，其强度、厚度、平整</w:t>
            </w:r>
            <w:r>
              <w:rPr>
                <w:spacing w:val="4"/>
                <w:sz w:val="20"/>
                <w:szCs w:val="20"/>
              </w:rPr>
              <w:t>度、横坡、抗滑构造深度均应</w:t>
            </w:r>
            <w:r>
              <w:rPr>
                <w:sz w:val="20"/>
                <w:szCs w:val="20"/>
              </w:rPr>
              <w:t xml:space="preserve"> 符合要求；桥面与伸缩缝的缝面必须结合良好，保证平整，违者每处违约金</w:t>
            </w:r>
            <w:r>
              <w:rPr>
                <w:spacing w:val="-44"/>
                <w:sz w:val="20"/>
                <w:szCs w:val="20"/>
              </w:rPr>
              <w:t xml:space="preserve"> </w:t>
            </w:r>
            <w:r>
              <w:rPr>
                <w:sz w:val="20"/>
                <w:szCs w:val="20"/>
              </w:rPr>
              <w:t>2,000</w:t>
            </w:r>
          </w:p>
          <w:p>
            <w:pPr>
              <w:pStyle w:val="17"/>
              <w:spacing w:line="228" w:lineRule="auto"/>
              <w:ind w:left="110"/>
              <w:rPr>
                <w:sz w:val="20"/>
                <w:szCs w:val="20"/>
              </w:rPr>
            </w:pPr>
            <w:r>
              <w:rPr>
                <w:spacing w:val="-1"/>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4"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17"/>
              <w:spacing w:before="65" w:line="189" w:lineRule="auto"/>
              <w:ind w:left="272"/>
              <w:rPr>
                <w:sz w:val="20"/>
                <w:szCs w:val="20"/>
              </w:rPr>
            </w:pPr>
            <w:r>
              <w:rPr>
                <w:spacing w:val="-1"/>
                <w:sz w:val="20"/>
                <w:szCs w:val="20"/>
              </w:rPr>
              <w:t>25</w:t>
            </w:r>
          </w:p>
        </w:tc>
        <w:tc>
          <w:tcPr>
            <w:tcW w:w="7379" w:type="dxa"/>
            <w:vAlign w:val="top"/>
          </w:tcPr>
          <w:p>
            <w:pPr>
              <w:pStyle w:val="17"/>
              <w:spacing w:before="116" w:line="225" w:lineRule="auto"/>
              <w:ind w:left="108"/>
              <w:rPr>
                <w:sz w:val="20"/>
                <w:szCs w:val="20"/>
              </w:rPr>
            </w:pPr>
            <w:r>
              <w:rPr>
                <w:spacing w:val="6"/>
                <w:sz w:val="20"/>
                <w:szCs w:val="20"/>
              </w:rPr>
              <w:t>达不到以下要求的，每处违约金</w:t>
            </w:r>
            <w:r>
              <w:rPr>
                <w:spacing w:val="-21"/>
                <w:sz w:val="20"/>
                <w:szCs w:val="20"/>
              </w:rPr>
              <w:t xml:space="preserve"> </w:t>
            </w:r>
            <w:r>
              <w:rPr>
                <w:spacing w:val="6"/>
                <w:sz w:val="20"/>
                <w:szCs w:val="20"/>
              </w:rPr>
              <w:t>2,000</w:t>
            </w:r>
            <w:r>
              <w:rPr>
                <w:spacing w:val="-36"/>
                <w:sz w:val="20"/>
                <w:szCs w:val="20"/>
              </w:rPr>
              <w:t xml:space="preserve"> </w:t>
            </w:r>
            <w:r>
              <w:rPr>
                <w:spacing w:val="6"/>
                <w:sz w:val="20"/>
                <w:szCs w:val="20"/>
              </w:rPr>
              <w:t>元：</w:t>
            </w:r>
          </w:p>
          <w:p>
            <w:pPr>
              <w:pStyle w:val="17"/>
              <w:spacing w:before="164" w:line="227" w:lineRule="auto"/>
              <w:ind w:left="119"/>
              <w:rPr>
                <w:sz w:val="20"/>
                <w:szCs w:val="20"/>
              </w:rPr>
            </w:pPr>
            <w:r>
              <w:rPr>
                <w:spacing w:val="8"/>
                <w:sz w:val="20"/>
                <w:szCs w:val="20"/>
              </w:rPr>
              <w:t>（1）钢模板大面平整、坚固，板面缝隙小，错台不大</w:t>
            </w:r>
            <w:r>
              <w:rPr>
                <w:spacing w:val="7"/>
                <w:sz w:val="20"/>
                <w:szCs w:val="20"/>
              </w:rPr>
              <w:t>于</w:t>
            </w:r>
            <w:r>
              <w:rPr>
                <w:spacing w:val="-21"/>
                <w:sz w:val="20"/>
                <w:szCs w:val="20"/>
              </w:rPr>
              <w:t xml:space="preserve"> </w:t>
            </w:r>
            <w:r>
              <w:rPr>
                <w:spacing w:val="7"/>
                <w:sz w:val="20"/>
                <w:szCs w:val="20"/>
              </w:rPr>
              <w:t>1</w:t>
            </w:r>
            <w:r>
              <w:rPr>
                <w:sz w:val="20"/>
                <w:szCs w:val="20"/>
              </w:rPr>
              <w:t>mm</w:t>
            </w:r>
            <w:r>
              <w:rPr>
                <w:spacing w:val="7"/>
                <w:sz w:val="20"/>
                <w:szCs w:val="20"/>
              </w:rPr>
              <w:t>；</w:t>
            </w:r>
          </w:p>
          <w:p>
            <w:pPr>
              <w:pStyle w:val="17"/>
              <w:spacing w:before="162" w:line="408" w:lineRule="exact"/>
              <w:ind w:left="119"/>
              <w:rPr>
                <w:sz w:val="20"/>
                <w:szCs w:val="20"/>
              </w:rPr>
            </w:pPr>
            <w:r>
              <w:rPr>
                <w:spacing w:val="7"/>
                <w:position w:val="15"/>
                <w:sz w:val="20"/>
                <w:szCs w:val="20"/>
              </w:rPr>
              <w:t>（2）在盖梁浇筑前，立柱应用薄膜包裹，并用胶布密封固定，防止漏浆损坏立</w:t>
            </w:r>
          </w:p>
          <w:p>
            <w:pPr>
              <w:pStyle w:val="17"/>
              <w:spacing w:line="228" w:lineRule="auto"/>
              <w:ind w:left="109"/>
              <w:rPr>
                <w:sz w:val="20"/>
                <w:szCs w:val="20"/>
              </w:rPr>
            </w:pPr>
            <w:r>
              <w:rPr>
                <w:spacing w:val="6"/>
                <w:sz w:val="20"/>
                <w:szCs w:val="20"/>
              </w:rPr>
              <w:t>柱外观质量；</w:t>
            </w:r>
          </w:p>
          <w:p>
            <w:pPr>
              <w:pStyle w:val="17"/>
              <w:spacing w:before="160" w:line="408" w:lineRule="exact"/>
              <w:ind w:left="119"/>
              <w:rPr>
                <w:sz w:val="20"/>
                <w:szCs w:val="20"/>
              </w:rPr>
            </w:pPr>
            <w:r>
              <w:rPr>
                <w:spacing w:val="7"/>
                <w:position w:val="15"/>
                <w:sz w:val="20"/>
                <w:szCs w:val="20"/>
              </w:rPr>
              <w:t>（3）裸露在砼外的结构钢筋或施工用的临时钢构件，时间需超过一个月</w:t>
            </w:r>
            <w:r>
              <w:rPr>
                <w:spacing w:val="6"/>
                <w:position w:val="15"/>
                <w:sz w:val="20"/>
                <w:szCs w:val="20"/>
              </w:rPr>
              <w:t>，必须</w:t>
            </w:r>
          </w:p>
          <w:p>
            <w:pPr>
              <w:pStyle w:val="17"/>
              <w:spacing w:line="226" w:lineRule="auto"/>
              <w:ind w:left="108"/>
              <w:rPr>
                <w:sz w:val="20"/>
                <w:szCs w:val="20"/>
              </w:rPr>
            </w:pPr>
            <w:r>
              <w:rPr>
                <w:spacing w:val="7"/>
                <w:sz w:val="20"/>
                <w:szCs w:val="20"/>
              </w:rPr>
              <w:t>采取防锈措施（包裹或油漆）。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7"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346" w:lineRule="auto"/>
              <w:rPr>
                <w:rFonts w:ascii="Arial"/>
                <w:sz w:val="21"/>
              </w:rPr>
            </w:pPr>
          </w:p>
          <w:p>
            <w:pPr>
              <w:spacing w:line="347" w:lineRule="auto"/>
              <w:rPr>
                <w:rFonts w:ascii="Arial"/>
                <w:sz w:val="21"/>
              </w:rPr>
            </w:pPr>
          </w:p>
          <w:p>
            <w:pPr>
              <w:pStyle w:val="17"/>
              <w:spacing w:before="65" w:line="189" w:lineRule="auto"/>
              <w:ind w:left="272"/>
              <w:rPr>
                <w:sz w:val="20"/>
                <w:szCs w:val="20"/>
              </w:rPr>
            </w:pPr>
            <w:r>
              <w:rPr>
                <w:spacing w:val="-1"/>
                <w:sz w:val="20"/>
                <w:szCs w:val="20"/>
              </w:rPr>
              <w:t>26</w:t>
            </w:r>
          </w:p>
        </w:tc>
        <w:tc>
          <w:tcPr>
            <w:tcW w:w="7379" w:type="dxa"/>
            <w:vAlign w:val="top"/>
          </w:tcPr>
          <w:p>
            <w:pPr>
              <w:pStyle w:val="17"/>
              <w:spacing w:before="117" w:line="225" w:lineRule="auto"/>
              <w:ind w:left="108"/>
              <w:rPr>
                <w:sz w:val="20"/>
                <w:szCs w:val="20"/>
              </w:rPr>
            </w:pPr>
            <w:r>
              <w:rPr>
                <w:spacing w:val="8"/>
                <w:sz w:val="20"/>
                <w:szCs w:val="20"/>
              </w:rPr>
              <w:t>伸缩缝施工出现下列情况，违者每次或每处</w:t>
            </w:r>
            <w:r>
              <w:rPr>
                <w:spacing w:val="7"/>
                <w:sz w:val="20"/>
                <w:szCs w:val="20"/>
              </w:rPr>
              <w:t>违约金</w:t>
            </w:r>
            <w:r>
              <w:rPr>
                <w:spacing w:val="-37"/>
                <w:sz w:val="20"/>
                <w:szCs w:val="20"/>
              </w:rPr>
              <w:t xml:space="preserve"> </w:t>
            </w:r>
            <w:r>
              <w:rPr>
                <w:spacing w:val="7"/>
                <w:sz w:val="20"/>
                <w:szCs w:val="20"/>
              </w:rPr>
              <w:t>2,000</w:t>
            </w:r>
            <w:r>
              <w:rPr>
                <w:spacing w:val="-36"/>
                <w:sz w:val="20"/>
                <w:szCs w:val="20"/>
              </w:rPr>
              <w:t xml:space="preserve"> </w:t>
            </w:r>
            <w:r>
              <w:rPr>
                <w:spacing w:val="7"/>
                <w:sz w:val="20"/>
                <w:szCs w:val="20"/>
              </w:rPr>
              <w:t>元：</w:t>
            </w:r>
          </w:p>
          <w:p>
            <w:pPr>
              <w:pStyle w:val="17"/>
              <w:spacing w:before="163" w:line="377" w:lineRule="auto"/>
              <w:ind w:left="119" w:right="54"/>
              <w:rPr>
                <w:sz w:val="20"/>
                <w:szCs w:val="20"/>
              </w:rPr>
            </w:pPr>
            <w:r>
              <w:rPr>
                <w:spacing w:val="8"/>
                <w:sz w:val="20"/>
                <w:szCs w:val="20"/>
              </w:rPr>
              <w:t>（1）伸缩缝位置必须保证满足设计要求，安装时必须按气温来确定安装宽度；</w:t>
            </w:r>
            <w:r>
              <w:rPr>
                <w:spacing w:val="14"/>
                <w:sz w:val="20"/>
                <w:szCs w:val="20"/>
              </w:rPr>
              <w:t xml:space="preserve"> </w:t>
            </w:r>
            <w:r>
              <w:rPr>
                <w:spacing w:val="3"/>
                <w:sz w:val="20"/>
                <w:szCs w:val="20"/>
              </w:rPr>
              <w:t>（2）预留槽口底面的砼必须密实、平整；在填充</w:t>
            </w:r>
            <w:r>
              <w:rPr>
                <w:spacing w:val="2"/>
                <w:sz w:val="20"/>
                <w:szCs w:val="20"/>
              </w:rPr>
              <w:t>前必须保证干净，不得有杂物；</w:t>
            </w:r>
          </w:p>
          <w:p>
            <w:pPr>
              <w:pStyle w:val="17"/>
              <w:spacing w:line="227" w:lineRule="auto"/>
              <w:ind w:left="119"/>
              <w:rPr>
                <w:sz w:val="20"/>
                <w:szCs w:val="20"/>
              </w:rPr>
            </w:pPr>
            <w:r>
              <w:rPr>
                <w:spacing w:val="7"/>
                <w:sz w:val="20"/>
                <w:szCs w:val="20"/>
              </w:rPr>
              <w:t>（3）预埋钢筋未按设计要求预埋。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9" w:lineRule="auto"/>
              <w:rPr>
                <w:rFonts w:ascii="Arial"/>
                <w:sz w:val="21"/>
              </w:rPr>
            </w:pPr>
          </w:p>
          <w:p>
            <w:pPr>
              <w:pStyle w:val="17"/>
              <w:spacing w:before="65" w:line="189" w:lineRule="auto"/>
              <w:ind w:left="272"/>
              <w:rPr>
                <w:sz w:val="20"/>
                <w:szCs w:val="20"/>
              </w:rPr>
            </w:pPr>
            <w:r>
              <w:rPr>
                <w:spacing w:val="-1"/>
                <w:sz w:val="20"/>
                <w:szCs w:val="20"/>
              </w:rPr>
              <w:t>27</w:t>
            </w:r>
          </w:p>
        </w:tc>
        <w:tc>
          <w:tcPr>
            <w:tcW w:w="7379" w:type="dxa"/>
            <w:vAlign w:val="top"/>
          </w:tcPr>
          <w:p>
            <w:pPr>
              <w:pStyle w:val="17"/>
              <w:spacing w:before="119" w:line="408" w:lineRule="exact"/>
              <w:ind w:left="109"/>
              <w:rPr>
                <w:sz w:val="20"/>
                <w:szCs w:val="20"/>
              </w:rPr>
            </w:pPr>
            <w:r>
              <w:rPr>
                <w:spacing w:val="7"/>
                <w:position w:val="15"/>
                <w:sz w:val="20"/>
                <w:szCs w:val="20"/>
              </w:rPr>
              <w:t>支座垫石标高误差超过±5</w:t>
            </w:r>
            <w:r>
              <w:rPr>
                <w:position w:val="15"/>
                <w:sz w:val="20"/>
                <w:szCs w:val="20"/>
              </w:rPr>
              <w:t>mm</w:t>
            </w:r>
            <w:r>
              <w:rPr>
                <w:spacing w:val="7"/>
                <w:position w:val="15"/>
                <w:sz w:val="20"/>
                <w:szCs w:val="20"/>
              </w:rPr>
              <w:t>，表面不清洁、不平整，有脱空松动的，每处违约</w:t>
            </w:r>
          </w:p>
          <w:p>
            <w:pPr>
              <w:pStyle w:val="17"/>
              <w:spacing w:line="228" w:lineRule="auto"/>
              <w:ind w:left="110"/>
              <w:rPr>
                <w:sz w:val="20"/>
                <w:szCs w:val="20"/>
              </w:rPr>
            </w:pPr>
            <w:r>
              <w:rPr>
                <w:spacing w:val="2"/>
                <w:sz w:val="20"/>
                <w:szCs w:val="20"/>
              </w:rPr>
              <w:t>金</w:t>
            </w:r>
            <w:r>
              <w:rPr>
                <w:spacing w:val="-36"/>
                <w:sz w:val="20"/>
                <w:szCs w:val="20"/>
              </w:rPr>
              <w:t xml:space="preserve"> </w:t>
            </w:r>
            <w:r>
              <w:rPr>
                <w:spacing w:val="2"/>
                <w:sz w:val="20"/>
                <w:szCs w:val="20"/>
              </w:rPr>
              <w:t>2，000</w:t>
            </w:r>
            <w:r>
              <w:rPr>
                <w:spacing w:val="-39"/>
                <w:sz w:val="20"/>
                <w:szCs w:val="20"/>
              </w:rPr>
              <w:t xml:space="preserve"> </w:t>
            </w:r>
            <w:r>
              <w:rPr>
                <w:spacing w:val="2"/>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tcBorders>
            <w:vAlign w:val="top"/>
          </w:tcPr>
          <w:p>
            <w:pPr>
              <w:rPr>
                <w:rFonts w:ascii="Arial"/>
                <w:sz w:val="21"/>
              </w:rPr>
            </w:pPr>
          </w:p>
        </w:tc>
        <w:tc>
          <w:tcPr>
            <w:tcW w:w="751" w:type="dxa"/>
            <w:vAlign w:val="top"/>
          </w:tcPr>
          <w:p>
            <w:pPr>
              <w:pStyle w:val="17"/>
              <w:spacing w:before="152" w:line="189" w:lineRule="auto"/>
              <w:ind w:left="272"/>
              <w:rPr>
                <w:sz w:val="20"/>
                <w:szCs w:val="20"/>
              </w:rPr>
            </w:pPr>
            <w:r>
              <w:rPr>
                <w:spacing w:val="-1"/>
                <w:sz w:val="20"/>
                <w:szCs w:val="20"/>
              </w:rPr>
              <w:t>28</w:t>
            </w:r>
          </w:p>
        </w:tc>
        <w:tc>
          <w:tcPr>
            <w:tcW w:w="7379" w:type="dxa"/>
            <w:vAlign w:val="top"/>
          </w:tcPr>
          <w:p>
            <w:pPr>
              <w:pStyle w:val="17"/>
              <w:spacing w:before="119" w:line="225" w:lineRule="auto"/>
              <w:ind w:left="109"/>
              <w:rPr>
                <w:sz w:val="20"/>
                <w:szCs w:val="20"/>
              </w:rPr>
            </w:pPr>
            <w:r>
              <w:rPr>
                <w:spacing w:val="7"/>
                <w:sz w:val="20"/>
                <w:szCs w:val="20"/>
              </w:rPr>
              <w:t>检测发现混凝土强度不合格的构件，每处违约金</w:t>
            </w:r>
            <w:r>
              <w:rPr>
                <w:spacing w:val="-22"/>
                <w:sz w:val="20"/>
                <w:szCs w:val="20"/>
              </w:rPr>
              <w:t xml:space="preserve"> </w:t>
            </w:r>
            <w:r>
              <w:rPr>
                <w:spacing w:val="7"/>
                <w:sz w:val="20"/>
                <w:szCs w:val="20"/>
              </w:rPr>
              <w:t>10,000</w:t>
            </w:r>
            <w:r>
              <w:rPr>
                <w:spacing w:val="-38"/>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17"/>
              <w:spacing w:before="65" w:line="408" w:lineRule="exact"/>
              <w:ind w:left="197"/>
              <w:rPr>
                <w:sz w:val="20"/>
                <w:szCs w:val="20"/>
              </w:rPr>
            </w:pPr>
            <w:r>
              <w:rPr>
                <w:spacing w:val="3"/>
                <w:position w:val="15"/>
                <w:sz w:val="20"/>
                <w:szCs w:val="20"/>
              </w:rPr>
              <w:t>路面</w:t>
            </w:r>
          </w:p>
          <w:p>
            <w:pPr>
              <w:pStyle w:val="17"/>
              <w:spacing w:line="228" w:lineRule="auto"/>
              <w:ind w:left="198"/>
              <w:rPr>
                <w:sz w:val="20"/>
                <w:szCs w:val="20"/>
              </w:rPr>
            </w:pPr>
            <w:r>
              <w:rPr>
                <w:spacing w:val="3"/>
                <w:sz w:val="20"/>
                <w:szCs w:val="20"/>
              </w:rPr>
              <w:t>工程</w:t>
            </w:r>
          </w:p>
        </w:tc>
        <w:tc>
          <w:tcPr>
            <w:tcW w:w="751" w:type="dxa"/>
            <w:vAlign w:val="top"/>
          </w:tcPr>
          <w:p>
            <w:pPr>
              <w:spacing w:line="289" w:lineRule="auto"/>
              <w:rPr>
                <w:rFonts w:ascii="Arial"/>
                <w:sz w:val="21"/>
              </w:rPr>
            </w:pPr>
          </w:p>
          <w:p>
            <w:pPr>
              <w:pStyle w:val="17"/>
              <w:spacing w:before="65" w:line="189" w:lineRule="auto"/>
              <w:ind w:left="337"/>
              <w:rPr>
                <w:sz w:val="20"/>
                <w:szCs w:val="20"/>
              </w:rPr>
            </w:pPr>
            <w:r>
              <w:rPr>
                <w:sz w:val="20"/>
                <w:szCs w:val="20"/>
              </w:rPr>
              <w:t>1</w:t>
            </w:r>
          </w:p>
        </w:tc>
        <w:tc>
          <w:tcPr>
            <w:tcW w:w="7379" w:type="dxa"/>
            <w:vAlign w:val="top"/>
          </w:tcPr>
          <w:p>
            <w:pPr>
              <w:pStyle w:val="17"/>
              <w:spacing w:before="119" w:line="408" w:lineRule="exact"/>
              <w:ind w:right="9"/>
              <w:jc w:val="right"/>
              <w:rPr>
                <w:sz w:val="20"/>
                <w:szCs w:val="20"/>
              </w:rPr>
            </w:pPr>
            <w:r>
              <w:rPr>
                <w:spacing w:val="7"/>
                <w:position w:val="15"/>
                <w:sz w:val="20"/>
                <w:szCs w:val="20"/>
              </w:rPr>
              <w:t>路面基层必须碾压密实，表面干燥、清洁、无浮土，平整度和路拱度符合要求，</w:t>
            </w:r>
          </w:p>
          <w:p>
            <w:pPr>
              <w:pStyle w:val="17"/>
              <w:spacing w:line="224" w:lineRule="auto"/>
              <w:ind w:left="109"/>
              <w:rPr>
                <w:sz w:val="20"/>
                <w:szCs w:val="20"/>
              </w:rPr>
            </w:pPr>
            <w:r>
              <w:rPr>
                <w:spacing w:val="5"/>
                <w:sz w:val="20"/>
                <w:szCs w:val="20"/>
              </w:rPr>
              <w:t>违者每处违约金</w:t>
            </w:r>
            <w:r>
              <w:rPr>
                <w:spacing w:val="-34"/>
                <w:sz w:val="20"/>
                <w:szCs w:val="20"/>
              </w:rPr>
              <w:t xml:space="preserve"> </w:t>
            </w:r>
            <w:r>
              <w:rPr>
                <w:spacing w:val="5"/>
                <w:sz w:val="20"/>
                <w:szCs w:val="20"/>
              </w:rPr>
              <w:t>2,000</w:t>
            </w:r>
            <w:r>
              <w:rPr>
                <w:spacing w:val="-37"/>
                <w:sz w:val="20"/>
                <w:szCs w:val="20"/>
              </w:rPr>
              <w:t xml:space="preserve"> </w:t>
            </w:r>
            <w:r>
              <w:rPr>
                <w:spacing w:val="5"/>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7"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348" w:lineRule="auto"/>
              <w:rPr>
                <w:rFonts w:ascii="Arial"/>
                <w:sz w:val="21"/>
              </w:rPr>
            </w:pPr>
          </w:p>
          <w:p>
            <w:pPr>
              <w:spacing w:line="349" w:lineRule="auto"/>
              <w:rPr>
                <w:rFonts w:ascii="Arial"/>
                <w:sz w:val="21"/>
              </w:rPr>
            </w:pPr>
          </w:p>
          <w:p>
            <w:pPr>
              <w:pStyle w:val="17"/>
              <w:spacing w:before="65" w:line="189" w:lineRule="auto"/>
              <w:ind w:left="325"/>
              <w:rPr>
                <w:sz w:val="20"/>
                <w:szCs w:val="20"/>
              </w:rPr>
            </w:pPr>
            <w:r>
              <w:rPr>
                <w:sz w:val="20"/>
                <w:szCs w:val="20"/>
              </w:rPr>
              <w:t>2</w:t>
            </w:r>
          </w:p>
        </w:tc>
        <w:tc>
          <w:tcPr>
            <w:tcW w:w="7379" w:type="dxa"/>
            <w:vAlign w:val="top"/>
          </w:tcPr>
          <w:p>
            <w:pPr>
              <w:pStyle w:val="17"/>
              <w:spacing w:before="120" w:line="377" w:lineRule="auto"/>
              <w:ind w:left="110" w:right="103"/>
              <w:jc w:val="both"/>
              <w:rPr>
                <w:sz w:val="20"/>
                <w:szCs w:val="20"/>
              </w:rPr>
            </w:pPr>
            <w:r>
              <w:rPr>
                <w:spacing w:val="8"/>
                <w:sz w:val="20"/>
                <w:szCs w:val="20"/>
              </w:rPr>
              <w:t>水泥砼路面存在下列问题的，每处违约金</w:t>
            </w:r>
            <w:r>
              <w:rPr>
                <w:spacing w:val="-5"/>
                <w:sz w:val="20"/>
                <w:szCs w:val="20"/>
              </w:rPr>
              <w:t xml:space="preserve"> </w:t>
            </w:r>
            <w:r>
              <w:rPr>
                <w:spacing w:val="8"/>
                <w:sz w:val="20"/>
                <w:szCs w:val="20"/>
              </w:rPr>
              <w:t>1,000</w:t>
            </w:r>
            <w:r>
              <w:rPr>
                <w:spacing w:val="-39"/>
                <w:sz w:val="20"/>
                <w:szCs w:val="20"/>
              </w:rPr>
              <w:t xml:space="preserve"> </w:t>
            </w:r>
            <w:r>
              <w:rPr>
                <w:spacing w:val="8"/>
                <w:sz w:val="20"/>
                <w:szCs w:val="20"/>
              </w:rPr>
              <w:t>元：1)粗细骨料不符合设计要</w:t>
            </w:r>
            <w:r>
              <w:rPr>
                <w:sz w:val="20"/>
                <w:szCs w:val="20"/>
              </w:rPr>
              <w:t xml:space="preserve"> </w:t>
            </w:r>
            <w:r>
              <w:rPr>
                <w:spacing w:val="7"/>
                <w:sz w:val="20"/>
                <w:szCs w:val="20"/>
              </w:rPr>
              <w:t>求；2)基层和底基层压实度没有≥98%，表面坑洼，</w:t>
            </w:r>
            <w:r>
              <w:rPr>
                <w:spacing w:val="6"/>
                <w:sz w:val="20"/>
                <w:szCs w:val="20"/>
              </w:rPr>
              <w:t>明显离析；3)基层和底基层</w:t>
            </w:r>
            <w:r>
              <w:rPr>
                <w:sz w:val="20"/>
                <w:szCs w:val="20"/>
              </w:rPr>
              <w:t xml:space="preserve"> </w:t>
            </w:r>
            <w:r>
              <w:rPr>
                <w:spacing w:val="10"/>
                <w:sz w:val="20"/>
                <w:szCs w:val="20"/>
              </w:rPr>
              <w:t>没有清理杂物，有浮土；4)砼养生不规范；5)膨胀</w:t>
            </w:r>
            <w:r>
              <w:rPr>
                <w:spacing w:val="9"/>
                <w:sz w:val="20"/>
                <w:szCs w:val="20"/>
              </w:rPr>
              <w:t>传力杆活动端与固定端方向</w:t>
            </w:r>
          </w:p>
          <w:p>
            <w:pPr>
              <w:pStyle w:val="17"/>
              <w:spacing w:line="227" w:lineRule="auto"/>
              <w:ind w:left="112"/>
              <w:rPr>
                <w:sz w:val="20"/>
                <w:szCs w:val="20"/>
              </w:rPr>
            </w:pPr>
            <w:r>
              <w:rPr>
                <w:spacing w:val="9"/>
                <w:sz w:val="20"/>
                <w:szCs w:val="20"/>
              </w:rPr>
              <w:t>没有相反；6)接缝填充料没有饱满或用料不</w:t>
            </w:r>
            <w:r>
              <w:rPr>
                <w:spacing w:val="8"/>
                <w:sz w:val="20"/>
                <w:szCs w:val="20"/>
              </w:rPr>
              <w:t>符合设计要求。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807" w:type="dxa"/>
            <w:vMerge w:val="continue"/>
            <w:tcBorders>
              <w:top w:val="nil"/>
            </w:tcBorders>
            <w:vAlign w:val="top"/>
          </w:tcPr>
          <w:p>
            <w:pPr>
              <w:rPr>
                <w:rFonts w:ascii="Arial"/>
                <w:sz w:val="21"/>
              </w:rPr>
            </w:pPr>
          </w:p>
        </w:tc>
        <w:tc>
          <w:tcPr>
            <w:tcW w:w="751" w:type="dxa"/>
            <w:vAlign w:val="top"/>
          </w:tcPr>
          <w:p>
            <w:pPr>
              <w:pStyle w:val="17"/>
              <w:spacing w:before="156" w:line="189" w:lineRule="auto"/>
              <w:ind w:left="326"/>
              <w:rPr>
                <w:sz w:val="20"/>
                <w:szCs w:val="20"/>
              </w:rPr>
            </w:pPr>
            <w:r>
              <w:rPr>
                <w:sz w:val="20"/>
                <w:szCs w:val="20"/>
              </w:rPr>
              <w:t>3</w:t>
            </w:r>
          </w:p>
        </w:tc>
        <w:tc>
          <w:tcPr>
            <w:tcW w:w="7379" w:type="dxa"/>
            <w:vAlign w:val="top"/>
          </w:tcPr>
          <w:p>
            <w:pPr>
              <w:pStyle w:val="17"/>
              <w:spacing w:before="123" w:line="225" w:lineRule="auto"/>
              <w:ind w:left="111"/>
              <w:rPr>
                <w:sz w:val="20"/>
                <w:szCs w:val="20"/>
              </w:rPr>
            </w:pPr>
            <w:r>
              <w:rPr>
                <w:spacing w:val="7"/>
                <w:sz w:val="20"/>
                <w:szCs w:val="20"/>
              </w:rPr>
              <w:t>水泥砼路面检测发现混凝土强度不合格的构件，每处违约金</w:t>
            </w:r>
            <w:r>
              <w:rPr>
                <w:spacing w:val="-11"/>
                <w:sz w:val="20"/>
                <w:szCs w:val="20"/>
              </w:rPr>
              <w:t xml:space="preserve"> </w:t>
            </w:r>
            <w:r>
              <w:rPr>
                <w:spacing w:val="7"/>
                <w:sz w:val="20"/>
                <w:szCs w:val="20"/>
              </w:rPr>
              <w:t>10,000</w:t>
            </w:r>
            <w:r>
              <w:rPr>
                <w:spacing w:val="-36"/>
                <w:sz w:val="20"/>
                <w:szCs w:val="20"/>
              </w:rPr>
              <w:t xml:space="preserve"> </w:t>
            </w:r>
            <w:r>
              <w:rPr>
                <w:spacing w:val="7"/>
                <w:sz w:val="20"/>
                <w:szCs w:val="20"/>
              </w:rPr>
              <w:t>元。</w:t>
            </w:r>
          </w:p>
        </w:tc>
      </w:tr>
    </w:tbl>
    <w:p>
      <w:pPr>
        <w:rPr>
          <w:rFonts w:ascii="Arial"/>
          <w:sz w:val="21"/>
        </w:rPr>
      </w:pPr>
    </w:p>
    <w:p>
      <w:pPr>
        <w:spacing w:before="228"/>
      </w:pPr>
    </w:p>
    <w:tbl>
      <w:tblPr>
        <w:tblStyle w:val="16"/>
        <w:tblW w:w="8937" w:type="dxa"/>
        <w:tblInd w:w="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751"/>
        <w:gridCol w:w="7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6" w:hRule="atLeast"/>
        </w:trPr>
        <w:tc>
          <w:tcPr>
            <w:tcW w:w="807" w:type="dxa"/>
            <w:vAlign w:val="top"/>
          </w:tcPr>
          <w:p>
            <w:pPr>
              <w:rPr>
                <w:rFonts w:ascii="Arial"/>
                <w:sz w:val="21"/>
              </w:rPr>
            </w:pPr>
          </w:p>
        </w:tc>
        <w:tc>
          <w:tcPr>
            <w:tcW w:w="751"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7"/>
              <w:spacing w:before="65" w:line="189" w:lineRule="auto"/>
              <w:ind w:left="321"/>
              <w:rPr>
                <w:sz w:val="20"/>
                <w:szCs w:val="20"/>
              </w:rPr>
            </w:pPr>
            <w:r>
              <w:rPr>
                <w:sz w:val="20"/>
                <w:szCs w:val="20"/>
              </w:rPr>
              <w:t>4</w:t>
            </w:r>
          </w:p>
        </w:tc>
        <w:tc>
          <w:tcPr>
            <w:tcW w:w="7379" w:type="dxa"/>
            <w:vAlign w:val="top"/>
          </w:tcPr>
          <w:p>
            <w:pPr>
              <w:pStyle w:val="17"/>
              <w:spacing w:before="121" w:line="377" w:lineRule="auto"/>
              <w:ind w:left="109" w:right="35"/>
              <w:jc w:val="both"/>
              <w:rPr>
                <w:sz w:val="20"/>
                <w:szCs w:val="20"/>
              </w:rPr>
            </w:pPr>
            <w:r>
              <w:rPr>
                <w:spacing w:val="5"/>
                <w:sz w:val="20"/>
                <w:szCs w:val="20"/>
              </w:rPr>
              <w:t>沥青路面存在以下问题的，每处违约金</w:t>
            </w:r>
            <w:r>
              <w:rPr>
                <w:spacing w:val="-21"/>
                <w:sz w:val="20"/>
                <w:szCs w:val="20"/>
              </w:rPr>
              <w:t xml:space="preserve"> </w:t>
            </w:r>
            <w:r>
              <w:rPr>
                <w:spacing w:val="5"/>
                <w:sz w:val="20"/>
                <w:szCs w:val="20"/>
              </w:rPr>
              <w:t>10000-50000</w:t>
            </w:r>
            <w:r>
              <w:rPr>
                <w:spacing w:val="-39"/>
                <w:sz w:val="20"/>
                <w:szCs w:val="20"/>
              </w:rPr>
              <w:t xml:space="preserve"> </w:t>
            </w:r>
            <w:r>
              <w:rPr>
                <w:spacing w:val="5"/>
                <w:sz w:val="20"/>
                <w:szCs w:val="20"/>
              </w:rPr>
              <w:t>元：1）沥青及矿料质量</w:t>
            </w:r>
            <w:r>
              <w:rPr>
                <w:spacing w:val="4"/>
                <w:sz w:val="20"/>
                <w:szCs w:val="20"/>
              </w:rPr>
              <w:t xml:space="preserve">及 </w:t>
            </w:r>
            <w:r>
              <w:rPr>
                <w:spacing w:val="3"/>
                <w:sz w:val="20"/>
                <w:szCs w:val="20"/>
              </w:rPr>
              <w:t>混合料级配及混合料指标不符合要求的；2）沥青混合料的拌合温度、摊铺温度、</w:t>
            </w:r>
            <w:r>
              <w:rPr>
                <w:spacing w:val="15"/>
                <w:sz w:val="20"/>
                <w:szCs w:val="20"/>
              </w:rPr>
              <w:t xml:space="preserve"> </w:t>
            </w:r>
            <w:r>
              <w:rPr>
                <w:spacing w:val="3"/>
                <w:sz w:val="20"/>
                <w:szCs w:val="20"/>
              </w:rPr>
              <w:t>碾压温度不符合规范或设计要求；3）沥青混合料的生产，未按要求做抽提实验、</w:t>
            </w:r>
            <w:r>
              <w:rPr>
                <w:spacing w:val="15"/>
                <w:sz w:val="20"/>
                <w:szCs w:val="20"/>
              </w:rPr>
              <w:t xml:space="preserve"> </w:t>
            </w:r>
            <w:r>
              <w:rPr>
                <w:spacing w:val="7"/>
                <w:sz w:val="20"/>
                <w:szCs w:val="20"/>
              </w:rPr>
              <w:t>筛分试验、马歇尔实验；4）拌和后的混合料不均匀一致，有</w:t>
            </w:r>
            <w:r>
              <w:rPr>
                <w:spacing w:val="6"/>
                <w:sz w:val="20"/>
                <w:szCs w:val="20"/>
              </w:rPr>
              <w:t xml:space="preserve">花白、粗细料分离 </w:t>
            </w:r>
            <w:r>
              <w:rPr>
                <w:spacing w:val="9"/>
                <w:sz w:val="20"/>
                <w:szCs w:val="20"/>
              </w:rPr>
              <w:t>和结团成块现象；5）路面不平整密实，有泛油、松散、裂缝和明显离析现象；</w:t>
            </w:r>
            <w:r>
              <w:rPr>
                <w:spacing w:val="7"/>
                <w:sz w:val="20"/>
                <w:szCs w:val="20"/>
              </w:rPr>
              <w:t xml:space="preserve"> </w:t>
            </w:r>
            <w:r>
              <w:rPr>
                <w:spacing w:val="9"/>
                <w:sz w:val="20"/>
                <w:szCs w:val="20"/>
              </w:rPr>
              <w:t xml:space="preserve">6)面层施工前未按要求对基层裂缝进行处理；7)面层和路缘石及其他构造物不 </w:t>
            </w:r>
            <w:r>
              <w:rPr>
                <w:spacing w:val="10"/>
                <w:sz w:val="20"/>
                <w:szCs w:val="20"/>
              </w:rPr>
              <w:t>密贴，有积水或漏水现象的；8)运输车辆</w:t>
            </w:r>
            <w:r>
              <w:rPr>
                <w:spacing w:val="9"/>
                <w:sz w:val="20"/>
                <w:szCs w:val="20"/>
              </w:rPr>
              <w:t xml:space="preserve">未采取保温措施，运输过程中不加帆 </w:t>
            </w:r>
            <w:r>
              <w:rPr>
                <w:spacing w:val="10"/>
                <w:sz w:val="20"/>
                <w:szCs w:val="20"/>
              </w:rPr>
              <w:t>布遮盖的；9)下雨时摊铺，或雨后地面过湿而没有采取措施就摊铺的</w:t>
            </w:r>
            <w:r>
              <w:rPr>
                <w:spacing w:val="9"/>
                <w:sz w:val="20"/>
                <w:szCs w:val="20"/>
              </w:rPr>
              <w:t>；10）纵</w:t>
            </w:r>
          </w:p>
          <w:p>
            <w:pPr>
              <w:pStyle w:val="17"/>
              <w:spacing w:line="227" w:lineRule="auto"/>
              <w:ind w:left="108"/>
              <w:rPr>
                <w:sz w:val="20"/>
                <w:szCs w:val="20"/>
              </w:rPr>
            </w:pPr>
            <w:r>
              <w:rPr>
                <w:spacing w:val="8"/>
                <w:sz w:val="20"/>
                <w:szCs w:val="20"/>
              </w:rPr>
              <w:t>横缝施工不符合规范要求的。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5" w:hRule="atLeast"/>
        </w:trPr>
        <w:tc>
          <w:tcPr>
            <w:tcW w:w="807"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17"/>
              <w:spacing w:before="65" w:line="408" w:lineRule="exact"/>
              <w:ind w:left="149"/>
              <w:rPr>
                <w:sz w:val="20"/>
                <w:szCs w:val="20"/>
              </w:rPr>
            </w:pPr>
            <w:r>
              <w:rPr>
                <w:spacing w:val="-1"/>
                <w:position w:val="15"/>
                <w:sz w:val="20"/>
                <w:szCs w:val="20"/>
              </w:rPr>
              <w:t>隧道</w:t>
            </w:r>
          </w:p>
          <w:p>
            <w:pPr>
              <w:pStyle w:val="17"/>
              <w:spacing w:line="228" w:lineRule="auto"/>
              <w:ind w:left="140"/>
              <w:rPr>
                <w:sz w:val="20"/>
                <w:szCs w:val="20"/>
              </w:rPr>
            </w:pPr>
            <w:r>
              <w:rPr>
                <w:spacing w:val="3"/>
                <w:sz w:val="20"/>
                <w:szCs w:val="20"/>
              </w:rPr>
              <w:t>工程</w:t>
            </w:r>
          </w:p>
        </w:tc>
        <w:tc>
          <w:tcPr>
            <w:tcW w:w="751" w:type="dxa"/>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17"/>
              <w:spacing w:before="65" w:line="189" w:lineRule="auto"/>
              <w:ind w:left="337"/>
              <w:rPr>
                <w:sz w:val="20"/>
                <w:szCs w:val="20"/>
              </w:rPr>
            </w:pPr>
            <w:r>
              <w:rPr>
                <w:sz w:val="20"/>
                <w:szCs w:val="20"/>
              </w:rPr>
              <w:t>1</w:t>
            </w:r>
          </w:p>
        </w:tc>
        <w:tc>
          <w:tcPr>
            <w:tcW w:w="7379" w:type="dxa"/>
            <w:vAlign w:val="top"/>
          </w:tcPr>
          <w:p>
            <w:pPr>
              <w:pStyle w:val="17"/>
              <w:spacing w:before="115" w:line="225" w:lineRule="auto"/>
              <w:ind w:left="119"/>
              <w:rPr>
                <w:sz w:val="20"/>
                <w:szCs w:val="20"/>
              </w:rPr>
            </w:pPr>
            <w:r>
              <w:rPr>
                <w:spacing w:val="6"/>
                <w:sz w:val="20"/>
                <w:szCs w:val="20"/>
              </w:rPr>
              <w:t>隧道工程出现以下情况,每处违约金</w:t>
            </w:r>
            <w:r>
              <w:rPr>
                <w:spacing w:val="-27"/>
                <w:sz w:val="20"/>
                <w:szCs w:val="20"/>
              </w:rPr>
              <w:t xml:space="preserve"> </w:t>
            </w:r>
            <w:r>
              <w:rPr>
                <w:spacing w:val="6"/>
                <w:sz w:val="20"/>
                <w:szCs w:val="20"/>
              </w:rPr>
              <w:t>2,000</w:t>
            </w:r>
            <w:r>
              <w:rPr>
                <w:spacing w:val="-39"/>
                <w:sz w:val="20"/>
                <w:szCs w:val="20"/>
              </w:rPr>
              <w:t xml:space="preserve"> </w:t>
            </w:r>
            <w:r>
              <w:rPr>
                <w:spacing w:val="6"/>
                <w:sz w:val="20"/>
                <w:szCs w:val="20"/>
              </w:rPr>
              <w:t>元：</w:t>
            </w:r>
          </w:p>
          <w:p>
            <w:pPr>
              <w:pStyle w:val="17"/>
              <w:spacing w:before="164" w:line="410" w:lineRule="exact"/>
              <w:ind w:left="145"/>
              <w:rPr>
                <w:sz w:val="20"/>
                <w:szCs w:val="20"/>
              </w:rPr>
            </w:pPr>
            <w:r>
              <w:rPr>
                <w:spacing w:val="6"/>
                <w:position w:val="15"/>
                <w:sz w:val="20"/>
                <w:szCs w:val="20"/>
              </w:rPr>
              <w:t>(1)隧道工程应严格控制超欠挖，超挖时必须用同级等强度的砼或同级片石砼回</w:t>
            </w:r>
          </w:p>
          <w:p>
            <w:pPr>
              <w:pStyle w:val="17"/>
              <w:spacing w:line="224" w:lineRule="auto"/>
              <w:ind w:left="110"/>
              <w:rPr>
                <w:sz w:val="20"/>
                <w:szCs w:val="20"/>
              </w:rPr>
            </w:pPr>
            <w:r>
              <w:rPr>
                <w:spacing w:val="8"/>
                <w:sz w:val="20"/>
                <w:szCs w:val="20"/>
              </w:rPr>
              <w:t>填密实，不得用土石或洞渣回填，违者每次处</w:t>
            </w:r>
            <w:r>
              <w:rPr>
                <w:spacing w:val="7"/>
                <w:sz w:val="20"/>
                <w:szCs w:val="20"/>
              </w:rPr>
              <w:t>违约金</w:t>
            </w:r>
            <w:r>
              <w:rPr>
                <w:spacing w:val="-36"/>
                <w:sz w:val="20"/>
                <w:szCs w:val="20"/>
              </w:rPr>
              <w:t xml:space="preserve"> </w:t>
            </w:r>
            <w:r>
              <w:rPr>
                <w:spacing w:val="7"/>
                <w:sz w:val="20"/>
                <w:szCs w:val="20"/>
              </w:rPr>
              <w:t>2,000</w:t>
            </w:r>
            <w:r>
              <w:rPr>
                <w:spacing w:val="-36"/>
                <w:sz w:val="20"/>
                <w:szCs w:val="20"/>
              </w:rPr>
              <w:t xml:space="preserve"> </w:t>
            </w:r>
            <w:r>
              <w:rPr>
                <w:spacing w:val="7"/>
                <w:sz w:val="20"/>
                <w:szCs w:val="20"/>
              </w:rPr>
              <w:t>元；</w:t>
            </w:r>
          </w:p>
          <w:p>
            <w:pPr>
              <w:pStyle w:val="17"/>
              <w:spacing w:before="164" w:line="408" w:lineRule="exact"/>
              <w:ind w:left="145"/>
              <w:rPr>
                <w:sz w:val="20"/>
                <w:szCs w:val="20"/>
              </w:rPr>
            </w:pPr>
            <w:r>
              <w:rPr>
                <w:spacing w:val="4"/>
                <w:position w:val="15"/>
                <w:sz w:val="20"/>
                <w:szCs w:val="20"/>
              </w:rPr>
              <w:t>(2)周边收敛量测埋点、量测频率不符合规范，数据处理不及时每次违约金</w:t>
            </w:r>
            <w:r>
              <w:rPr>
                <w:spacing w:val="-35"/>
                <w:position w:val="15"/>
                <w:sz w:val="20"/>
                <w:szCs w:val="20"/>
              </w:rPr>
              <w:t xml:space="preserve"> </w:t>
            </w:r>
            <w:r>
              <w:rPr>
                <w:spacing w:val="4"/>
                <w:position w:val="15"/>
                <w:sz w:val="20"/>
                <w:szCs w:val="20"/>
              </w:rPr>
              <w:t>2000</w:t>
            </w:r>
          </w:p>
          <w:p>
            <w:pPr>
              <w:pStyle w:val="17"/>
              <w:spacing w:before="1" w:line="228" w:lineRule="auto"/>
              <w:ind w:left="110"/>
              <w:rPr>
                <w:sz w:val="20"/>
                <w:szCs w:val="20"/>
              </w:rPr>
            </w:pPr>
            <w:r>
              <w:rPr>
                <w:spacing w:val="-1"/>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7"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17"/>
              <w:spacing w:before="65" w:line="189" w:lineRule="auto"/>
              <w:ind w:left="325"/>
              <w:rPr>
                <w:sz w:val="20"/>
                <w:szCs w:val="20"/>
              </w:rPr>
            </w:pPr>
            <w:r>
              <w:rPr>
                <w:sz w:val="20"/>
                <w:szCs w:val="20"/>
              </w:rPr>
              <w:t>2</w:t>
            </w:r>
          </w:p>
        </w:tc>
        <w:tc>
          <w:tcPr>
            <w:tcW w:w="7379" w:type="dxa"/>
            <w:vAlign w:val="top"/>
          </w:tcPr>
          <w:p>
            <w:pPr>
              <w:pStyle w:val="17"/>
              <w:spacing w:before="120" w:line="408" w:lineRule="exact"/>
              <w:ind w:left="119"/>
              <w:rPr>
                <w:sz w:val="20"/>
                <w:szCs w:val="20"/>
              </w:rPr>
            </w:pPr>
            <w:r>
              <w:rPr>
                <w:spacing w:val="5"/>
                <w:position w:val="15"/>
                <w:sz w:val="20"/>
                <w:szCs w:val="20"/>
              </w:rPr>
              <w:t>隧道工程出现以下情况,每处违约金</w:t>
            </w:r>
            <w:r>
              <w:rPr>
                <w:spacing w:val="-4"/>
                <w:position w:val="15"/>
                <w:sz w:val="20"/>
                <w:szCs w:val="20"/>
              </w:rPr>
              <w:t xml:space="preserve"> </w:t>
            </w:r>
            <w:r>
              <w:rPr>
                <w:spacing w:val="5"/>
                <w:position w:val="15"/>
                <w:sz w:val="20"/>
                <w:szCs w:val="20"/>
              </w:rPr>
              <w:t>1,000</w:t>
            </w:r>
            <w:r>
              <w:rPr>
                <w:spacing w:val="-39"/>
                <w:position w:val="15"/>
                <w:sz w:val="20"/>
                <w:szCs w:val="20"/>
              </w:rPr>
              <w:t xml:space="preserve"> </w:t>
            </w:r>
            <w:r>
              <w:rPr>
                <w:spacing w:val="5"/>
                <w:position w:val="15"/>
                <w:sz w:val="20"/>
                <w:szCs w:val="20"/>
              </w:rPr>
              <w:t>元：</w:t>
            </w:r>
          </w:p>
          <w:p>
            <w:pPr>
              <w:pStyle w:val="17"/>
              <w:spacing w:line="226" w:lineRule="auto"/>
              <w:ind w:left="145"/>
              <w:rPr>
                <w:sz w:val="20"/>
                <w:szCs w:val="20"/>
              </w:rPr>
            </w:pPr>
            <w:r>
              <w:rPr>
                <w:spacing w:val="5"/>
                <w:sz w:val="20"/>
                <w:szCs w:val="20"/>
              </w:rPr>
              <w:t>(1)防水板破损穿孔、搭接漏焊；</w:t>
            </w:r>
          </w:p>
          <w:p>
            <w:pPr>
              <w:pStyle w:val="17"/>
              <w:spacing w:before="162" w:line="227" w:lineRule="auto"/>
              <w:ind w:left="145"/>
              <w:rPr>
                <w:sz w:val="20"/>
                <w:szCs w:val="20"/>
              </w:rPr>
            </w:pPr>
            <w:r>
              <w:rPr>
                <w:spacing w:val="2"/>
                <w:sz w:val="20"/>
                <w:szCs w:val="20"/>
              </w:rPr>
              <w:t>(2)防水板漏水；</w:t>
            </w:r>
          </w:p>
          <w:p>
            <w:pPr>
              <w:pStyle w:val="17"/>
              <w:spacing w:before="162" w:line="227" w:lineRule="auto"/>
              <w:ind w:left="145"/>
              <w:rPr>
                <w:sz w:val="20"/>
                <w:szCs w:val="20"/>
              </w:rPr>
            </w:pPr>
            <w:r>
              <w:rPr>
                <w:spacing w:val="4"/>
                <w:sz w:val="20"/>
                <w:szCs w:val="20"/>
              </w:rPr>
              <w:t>(3)锚垫板未按要求施工；</w:t>
            </w:r>
          </w:p>
          <w:p>
            <w:pPr>
              <w:pStyle w:val="17"/>
              <w:spacing w:before="162" w:line="226" w:lineRule="auto"/>
              <w:ind w:left="145"/>
              <w:rPr>
                <w:sz w:val="20"/>
                <w:szCs w:val="20"/>
              </w:rPr>
            </w:pPr>
            <w:r>
              <w:rPr>
                <w:spacing w:val="5"/>
                <w:sz w:val="20"/>
                <w:szCs w:val="20"/>
              </w:rPr>
              <w:t>(4)没有按要求进行光面爆破；</w:t>
            </w:r>
          </w:p>
          <w:p>
            <w:pPr>
              <w:pStyle w:val="17"/>
              <w:spacing w:before="162" w:line="411" w:lineRule="exact"/>
              <w:ind w:left="145"/>
              <w:rPr>
                <w:sz w:val="20"/>
                <w:szCs w:val="20"/>
              </w:rPr>
            </w:pPr>
            <w:r>
              <w:rPr>
                <w:spacing w:val="7"/>
                <w:position w:val="15"/>
                <w:sz w:val="20"/>
                <w:szCs w:val="20"/>
              </w:rPr>
              <w:t>(5)洞内装修工程未达到设计要求，没有保持线形平顺，误差超过</w:t>
            </w:r>
            <w:r>
              <w:rPr>
                <w:spacing w:val="-19"/>
                <w:position w:val="15"/>
                <w:sz w:val="20"/>
                <w:szCs w:val="20"/>
              </w:rPr>
              <w:t xml:space="preserve"> </w:t>
            </w:r>
            <w:r>
              <w:rPr>
                <w:spacing w:val="7"/>
                <w:position w:val="15"/>
                <w:sz w:val="20"/>
                <w:szCs w:val="20"/>
              </w:rPr>
              <w:t>1</w:t>
            </w:r>
            <w:r>
              <w:rPr>
                <w:position w:val="15"/>
                <w:sz w:val="20"/>
                <w:szCs w:val="20"/>
              </w:rPr>
              <w:t>cm</w:t>
            </w:r>
            <w:r>
              <w:rPr>
                <w:spacing w:val="7"/>
                <w:position w:val="15"/>
                <w:sz w:val="20"/>
                <w:szCs w:val="20"/>
              </w:rPr>
              <w:t>；</w:t>
            </w:r>
          </w:p>
          <w:p>
            <w:pPr>
              <w:pStyle w:val="17"/>
              <w:spacing w:line="227" w:lineRule="auto"/>
              <w:ind w:left="145"/>
              <w:rPr>
                <w:sz w:val="20"/>
                <w:szCs w:val="20"/>
              </w:rPr>
            </w:pPr>
            <w:r>
              <w:rPr>
                <w:spacing w:val="7"/>
                <w:sz w:val="20"/>
                <w:szCs w:val="20"/>
              </w:rPr>
              <w:t>(6)排水管没有保持畅通，出现渗水、滴</w:t>
            </w:r>
            <w:r>
              <w:rPr>
                <w:spacing w:val="6"/>
                <w:sz w:val="20"/>
                <w:szCs w:val="20"/>
              </w:rPr>
              <w:t>水现象；</w:t>
            </w:r>
          </w:p>
          <w:p>
            <w:pPr>
              <w:pStyle w:val="17"/>
              <w:spacing w:before="162" w:line="408" w:lineRule="exact"/>
              <w:ind w:left="145"/>
              <w:rPr>
                <w:sz w:val="20"/>
                <w:szCs w:val="20"/>
              </w:rPr>
            </w:pPr>
            <w:r>
              <w:rPr>
                <w:spacing w:val="7"/>
                <w:position w:val="15"/>
                <w:sz w:val="20"/>
                <w:szCs w:val="20"/>
              </w:rPr>
              <w:t>(7)二次衬砌台车刚度不够，施工缝接合处理不</w:t>
            </w:r>
            <w:r>
              <w:rPr>
                <w:spacing w:val="6"/>
                <w:position w:val="15"/>
                <w:sz w:val="20"/>
                <w:szCs w:val="20"/>
              </w:rPr>
              <w:t>好；</w:t>
            </w:r>
          </w:p>
          <w:p>
            <w:pPr>
              <w:pStyle w:val="17"/>
              <w:spacing w:line="227" w:lineRule="auto"/>
              <w:ind w:left="145"/>
              <w:rPr>
                <w:sz w:val="20"/>
                <w:szCs w:val="20"/>
              </w:rPr>
            </w:pPr>
            <w:r>
              <w:rPr>
                <w:spacing w:val="7"/>
                <w:sz w:val="20"/>
                <w:szCs w:val="20"/>
              </w:rPr>
              <w:t>(8）通风、照明、防尘措施、运行不符合</w:t>
            </w:r>
            <w:r>
              <w:rPr>
                <w:spacing w:val="6"/>
                <w:sz w:val="20"/>
                <w:szCs w:val="20"/>
              </w:rPr>
              <w:t>要求；</w:t>
            </w:r>
          </w:p>
          <w:p>
            <w:pPr>
              <w:pStyle w:val="17"/>
              <w:spacing w:before="161" w:line="228" w:lineRule="auto"/>
              <w:ind w:left="145"/>
              <w:rPr>
                <w:sz w:val="20"/>
                <w:szCs w:val="20"/>
              </w:rPr>
            </w:pPr>
            <w:r>
              <w:rPr>
                <w:spacing w:val="6"/>
                <w:sz w:val="20"/>
                <w:szCs w:val="20"/>
              </w:rPr>
              <w:t>(9）钢拱架与隔栅定位不合设计要求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349" w:lineRule="auto"/>
              <w:rPr>
                <w:rFonts w:ascii="Arial"/>
                <w:sz w:val="21"/>
              </w:rPr>
            </w:pPr>
          </w:p>
          <w:p>
            <w:pPr>
              <w:spacing w:line="349" w:lineRule="auto"/>
              <w:rPr>
                <w:rFonts w:ascii="Arial"/>
                <w:sz w:val="21"/>
              </w:rPr>
            </w:pPr>
          </w:p>
          <w:p>
            <w:pPr>
              <w:pStyle w:val="17"/>
              <w:spacing w:before="65" w:line="189" w:lineRule="auto"/>
              <w:ind w:left="326"/>
              <w:rPr>
                <w:sz w:val="20"/>
                <w:szCs w:val="20"/>
              </w:rPr>
            </w:pPr>
            <w:r>
              <w:rPr>
                <w:sz w:val="20"/>
                <w:szCs w:val="20"/>
              </w:rPr>
              <w:t>3</w:t>
            </w:r>
          </w:p>
        </w:tc>
        <w:tc>
          <w:tcPr>
            <w:tcW w:w="7379" w:type="dxa"/>
            <w:vAlign w:val="top"/>
          </w:tcPr>
          <w:p>
            <w:pPr>
              <w:pStyle w:val="17"/>
              <w:spacing w:before="121" w:line="377" w:lineRule="auto"/>
              <w:ind w:left="109" w:right="106" w:firstLine="10"/>
              <w:rPr>
                <w:sz w:val="20"/>
                <w:szCs w:val="20"/>
              </w:rPr>
            </w:pPr>
            <w:r>
              <w:rPr>
                <w:spacing w:val="9"/>
                <w:sz w:val="20"/>
                <w:szCs w:val="20"/>
              </w:rPr>
              <w:t>隧道施工中承包人应加强监控量测，监控量测应达到指导施工、确保安全、为</w:t>
            </w:r>
            <w:r>
              <w:rPr>
                <w:spacing w:val="11"/>
                <w:sz w:val="20"/>
                <w:szCs w:val="20"/>
              </w:rPr>
              <w:t xml:space="preserve"> </w:t>
            </w:r>
            <w:r>
              <w:rPr>
                <w:spacing w:val="10"/>
                <w:sz w:val="20"/>
                <w:szCs w:val="20"/>
              </w:rPr>
              <w:t>确定支护参数服务的目的。监控量测发现问题应采取紧急措施避免事态发展，</w:t>
            </w:r>
            <w:r>
              <w:rPr>
                <w:spacing w:val="4"/>
                <w:sz w:val="20"/>
                <w:szCs w:val="20"/>
              </w:rPr>
              <w:t xml:space="preserve"> </w:t>
            </w:r>
            <w:r>
              <w:rPr>
                <w:spacing w:val="6"/>
                <w:sz w:val="20"/>
                <w:szCs w:val="20"/>
              </w:rPr>
              <w:t>若监控量测失职造成不良后果由进行监控的单位自负，并处以</w:t>
            </w:r>
            <w:r>
              <w:rPr>
                <w:spacing w:val="-24"/>
                <w:sz w:val="20"/>
                <w:szCs w:val="20"/>
              </w:rPr>
              <w:t xml:space="preserve"> </w:t>
            </w:r>
            <w:r>
              <w:rPr>
                <w:spacing w:val="5"/>
                <w:sz w:val="20"/>
                <w:szCs w:val="20"/>
              </w:rPr>
              <w:t>10000</w:t>
            </w:r>
            <w:r>
              <w:rPr>
                <w:spacing w:val="-36"/>
                <w:sz w:val="20"/>
                <w:szCs w:val="20"/>
              </w:rPr>
              <w:t xml:space="preserve"> </w:t>
            </w:r>
            <w:r>
              <w:rPr>
                <w:spacing w:val="5"/>
                <w:sz w:val="20"/>
                <w:szCs w:val="20"/>
              </w:rPr>
              <w:t>元/次的违</w:t>
            </w:r>
          </w:p>
          <w:p>
            <w:pPr>
              <w:pStyle w:val="17"/>
              <w:spacing w:line="232" w:lineRule="auto"/>
              <w:ind w:left="114"/>
              <w:rPr>
                <w:sz w:val="20"/>
                <w:szCs w:val="20"/>
              </w:rPr>
            </w:pPr>
            <w:r>
              <w:rPr>
                <w:spacing w:val="1"/>
                <w:sz w:val="20"/>
                <w:szCs w:val="20"/>
              </w:rPr>
              <w:t>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807" w:type="dxa"/>
            <w:vMerge w:val="continue"/>
            <w:tcBorders>
              <w:top w:val="nil"/>
            </w:tcBorders>
            <w:vAlign w:val="top"/>
          </w:tcPr>
          <w:p>
            <w:pPr>
              <w:rPr>
                <w:rFonts w:ascii="Arial"/>
                <w:sz w:val="21"/>
              </w:rPr>
            </w:pPr>
          </w:p>
        </w:tc>
        <w:tc>
          <w:tcPr>
            <w:tcW w:w="751" w:type="dxa"/>
            <w:vAlign w:val="top"/>
          </w:tcPr>
          <w:p>
            <w:pPr>
              <w:spacing w:line="248" w:lineRule="auto"/>
              <w:rPr>
                <w:rFonts w:ascii="Arial"/>
                <w:sz w:val="21"/>
              </w:rPr>
            </w:pPr>
          </w:p>
          <w:p>
            <w:pPr>
              <w:spacing w:line="248" w:lineRule="auto"/>
              <w:rPr>
                <w:rFonts w:ascii="Arial"/>
                <w:sz w:val="21"/>
              </w:rPr>
            </w:pPr>
          </w:p>
          <w:p>
            <w:pPr>
              <w:pStyle w:val="17"/>
              <w:spacing w:before="65" w:line="189" w:lineRule="auto"/>
              <w:ind w:left="321"/>
              <w:rPr>
                <w:sz w:val="20"/>
                <w:szCs w:val="20"/>
              </w:rPr>
            </w:pPr>
            <w:r>
              <w:rPr>
                <w:sz w:val="20"/>
                <w:szCs w:val="20"/>
              </w:rPr>
              <w:t>4</w:t>
            </w:r>
          </w:p>
        </w:tc>
        <w:tc>
          <w:tcPr>
            <w:tcW w:w="7379" w:type="dxa"/>
            <w:vAlign w:val="top"/>
          </w:tcPr>
          <w:p>
            <w:pPr>
              <w:pStyle w:val="17"/>
              <w:spacing w:before="123" w:line="377" w:lineRule="auto"/>
              <w:ind w:left="109" w:right="130" w:firstLine="10"/>
              <w:jc w:val="both"/>
              <w:rPr>
                <w:sz w:val="20"/>
                <w:szCs w:val="20"/>
              </w:rPr>
            </w:pPr>
            <w:r>
              <w:rPr>
                <w:spacing w:val="8"/>
                <w:sz w:val="20"/>
                <w:szCs w:val="20"/>
              </w:rPr>
              <w:t>隧道开挖应采用“短进尺、少扰动、早喷锚、紧封闭</w:t>
            </w:r>
            <w:r>
              <w:rPr>
                <w:spacing w:val="-55"/>
                <w:sz w:val="20"/>
                <w:szCs w:val="20"/>
              </w:rPr>
              <w:t xml:space="preserve"> </w:t>
            </w:r>
            <w:r>
              <w:rPr>
                <w:spacing w:val="8"/>
                <w:sz w:val="20"/>
                <w:szCs w:val="20"/>
              </w:rPr>
              <w:t>”的原则，开挖及支护严</w:t>
            </w:r>
            <w:r>
              <w:rPr>
                <w:sz w:val="20"/>
                <w:szCs w:val="20"/>
              </w:rPr>
              <w:t xml:space="preserve"> </w:t>
            </w:r>
            <w:r>
              <w:rPr>
                <w:spacing w:val="10"/>
                <w:sz w:val="20"/>
                <w:szCs w:val="20"/>
              </w:rPr>
              <w:t>格按技术规范规定进行控制，避免造成坍塌。若延</w:t>
            </w:r>
            <w:r>
              <w:rPr>
                <w:spacing w:val="9"/>
                <w:sz w:val="20"/>
                <w:szCs w:val="20"/>
              </w:rPr>
              <w:t>误支护或初期支护超过规定</w:t>
            </w:r>
          </w:p>
          <w:p>
            <w:pPr>
              <w:pStyle w:val="17"/>
              <w:spacing w:line="227" w:lineRule="auto"/>
              <w:ind w:left="126"/>
              <w:rPr>
                <w:sz w:val="20"/>
                <w:szCs w:val="20"/>
              </w:rPr>
            </w:pPr>
            <w:r>
              <w:rPr>
                <w:spacing w:val="6"/>
                <w:sz w:val="20"/>
                <w:szCs w:val="20"/>
              </w:rPr>
              <w:t>的距离，</w:t>
            </w:r>
            <w:r>
              <w:rPr>
                <w:spacing w:val="-58"/>
                <w:sz w:val="20"/>
                <w:szCs w:val="20"/>
              </w:rPr>
              <w:t xml:space="preserve"> </w:t>
            </w:r>
            <w:r>
              <w:rPr>
                <w:spacing w:val="6"/>
                <w:sz w:val="20"/>
                <w:szCs w:val="20"/>
              </w:rPr>
              <w:t>由此带来的后果由承包人自负，并处</w:t>
            </w:r>
            <w:r>
              <w:rPr>
                <w:spacing w:val="5"/>
                <w:sz w:val="20"/>
                <w:szCs w:val="20"/>
              </w:rPr>
              <w:t>以</w:t>
            </w:r>
            <w:r>
              <w:rPr>
                <w:spacing w:val="-24"/>
                <w:sz w:val="20"/>
                <w:szCs w:val="20"/>
              </w:rPr>
              <w:t xml:space="preserve"> </w:t>
            </w:r>
            <w:r>
              <w:rPr>
                <w:spacing w:val="5"/>
                <w:sz w:val="20"/>
                <w:szCs w:val="20"/>
              </w:rPr>
              <w:t>10000</w:t>
            </w:r>
            <w:r>
              <w:rPr>
                <w:spacing w:val="-36"/>
                <w:sz w:val="20"/>
                <w:szCs w:val="20"/>
              </w:rPr>
              <w:t xml:space="preserve"> </w:t>
            </w:r>
            <w:r>
              <w:rPr>
                <w:spacing w:val="5"/>
                <w:sz w:val="20"/>
                <w:szCs w:val="20"/>
              </w:rPr>
              <w:t>元的违约金。</w:t>
            </w:r>
          </w:p>
        </w:tc>
      </w:tr>
    </w:tbl>
    <w:p>
      <w:pPr>
        <w:rPr>
          <w:rFonts w:ascii="Arial"/>
          <w:sz w:val="21"/>
        </w:rPr>
      </w:pPr>
    </w:p>
    <w:p>
      <w:pPr>
        <w:spacing w:before="228"/>
      </w:pPr>
    </w:p>
    <w:tbl>
      <w:tblPr>
        <w:tblStyle w:val="16"/>
        <w:tblW w:w="8937" w:type="dxa"/>
        <w:tblInd w:w="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751"/>
        <w:gridCol w:w="7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807" w:type="dxa"/>
            <w:vMerge w:val="restart"/>
            <w:tcBorders>
              <w:bottom w:val="nil"/>
            </w:tcBorders>
            <w:vAlign w:val="top"/>
          </w:tcPr>
          <w:p>
            <w:pPr>
              <w:rPr>
                <w:rFonts w:ascii="Arial"/>
                <w:sz w:val="21"/>
              </w:rPr>
            </w:pPr>
          </w:p>
        </w:tc>
        <w:tc>
          <w:tcPr>
            <w:tcW w:w="751" w:type="dxa"/>
            <w:vAlign w:val="top"/>
          </w:tcPr>
          <w:p>
            <w:pPr>
              <w:spacing w:line="294" w:lineRule="auto"/>
              <w:rPr>
                <w:rFonts w:ascii="Arial"/>
                <w:sz w:val="21"/>
              </w:rPr>
            </w:pPr>
          </w:p>
          <w:p>
            <w:pPr>
              <w:pStyle w:val="17"/>
              <w:spacing w:before="65" w:line="187" w:lineRule="auto"/>
              <w:ind w:left="326"/>
              <w:rPr>
                <w:sz w:val="20"/>
                <w:szCs w:val="20"/>
              </w:rPr>
            </w:pPr>
            <w:r>
              <w:rPr>
                <w:sz w:val="20"/>
                <w:szCs w:val="20"/>
              </w:rPr>
              <w:t>5</w:t>
            </w:r>
          </w:p>
        </w:tc>
        <w:tc>
          <w:tcPr>
            <w:tcW w:w="7379" w:type="dxa"/>
            <w:vAlign w:val="top"/>
          </w:tcPr>
          <w:p>
            <w:pPr>
              <w:pStyle w:val="17"/>
              <w:spacing w:before="122" w:line="408" w:lineRule="exact"/>
              <w:ind w:left="119"/>
              <w:rPr>
                <w:sz w:val="20"/>
                <w:szCs w:val="20"/>
              </w:rPr>
            </w:pPr>
            <w:r>
              <w:rPr>
                <w:spacing w:val="9"/>
                <w:position w:val="15"/>
                <w:sz w:val="20"/>
                <w:szCs w:val="20"/>
              </w:rPr>
              <w:t>隧道开挖应满足隧道净空及衬砌厚度的要求，控制超挖，严禁欠挖，不许有超</w:t>
            </w:r>
          </w:p>
          <w:p>
            <w:pPr>
              <w:pStyle w:val="17"/>
              <w:spacing w:line="227" w:lineRule="auto"/>
              <w:ind w:right="11"/>
              <w:jc w:val="right"/>
              <w:rPr>
                <w:sz w:val="20"/>
                <w:szCs w:val="20"/>
              </w:rPr>
            </w:pPr>
            <w:r>
              <w:rPr>
                <w:spacing w:val="3"/>
                <w:sz w:val="20"/>
                <w:szCs w:val="20"/>
              </w:rPr>
              <w:t>限突石。一经发现，处以承包人</w:t>
            </w:r>
            <w:r>
              <w:rPr>
                <w:spacing w:val="-11"/>
                <w:sz w:val="20"/>
                <w:szCs w:val="20"/>
              </w:rPr>
              <w:t xml:space="preserve"> </w:t>
            </w:r>
            <w:r>
              <w:rPr>
                <w:spacing w:val="3"/>
                <w:sz w:val="20"/>
                <w:szCs w:val="20"/>
              </w:rPr>
              <w:t>1000</w:t>
            </w:r>
            <w:r>
              <w:rPr>
                <w:spacing w:val="-38"/>
                <w:sz w:val="20"/>
                <w:szCs w:val="20"/>
              </w:rPr>
              <w:t xml:space="preserve"> </w:t>
            </w:r>
            <w:r>
              <w:rPr>
                <w:spacing w:val="3"/>
                <w:sz w:val="20"/>
                <w:szCs w:val="20"/>
              </w:rPr>
              <w:t>元--10000</w:t>
            </w:r>
            <w:r>
              <w:rPr>
                <w:spacing w:val="-39"/>
                <w:sz w:val="20"/>
                <w:szCs w:val="20"/>
              </w:rPr>
              <w:t xml:space="preserve"> </w:t>
            </w:r>
            <w:r>
              <w:rPr>
                <w:spacing w:val="3"/>
                <w:sz w:val="20"/>
                <w:szCs w:val="20"/>
              </w:rPr>
              <w:t>元的违约金，并要求处理合格。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44" w:lineRule="auto"/>
              <w:rPr>
                <w:rFonts w:ascii="Arial"/>
                <w:sz w:val="21"/>
              </w:rPr>
            </w:pPr>
          </w:p>
          <w:p>
            <w:pPr>
              <w:spacing w:line="244" w:lineRule="auto"/>
              <w:rPr>
                <w:rFonts w:ascii="Arial"/>
                <w:sz w:val="21"/>
              </w:rPr>
            </w:pPr>
          </w:p>
          <w:p>
            <w:pPr>
              <w:pStyle w:val="17"/>
              <w:spacing w:before="65" w:line="189" w:lineRule="auto"/>
              <w:ind w:left="324"/>
              <w:rPr>
                <w:sz w:val="20"/>
                <w:szCs w:val="20"/>
              </w:rPr>
            </w:pPr>
            <w:r>
              <w:rPr>
                <w:sz w:val="20"/>
                <w:szCs w:val="20"/>
              </w:rPr>
              <w:t>6</w:t>
            </w:r>
          </w:p>
        </w:tc>
        <w:tc>
          <w:tcPr>
            <w:tcW w:w="7379" w:type="dxa"/>
            <w:vAlign w:val="top"/>
          </w:tcPr>
          <w:p>
            <w:pPr>
              <w:pStyle w:val="17"/>
              <w:spacing w:before="114" w:line="377" w:lineRule="auto"/>
              <w:ind w:left="112" w:right="130" w:firstLine="7"/>
              <w:jc w:val="both"/>
              <w:rPr>
                <w:sz w:val="20"/>
                <w:szCs w:val="20"/>
              </w:rPr>
            </w:pPr>
            <w:r>
              <w:rPr>
                <w:spacing w:val="9"/>
                <w:sz w:val="20"/>
                <w:szCs w:val="20"/>
              </w:rPr>
              <w:t>隧道拱墙范围内的超挖，要求用与拱圈同级强度的混凝土一次回填密实，衬砌</w:t>
            </w:r>
            <w:r>
              <w:rPr>
                <w:spacing w:val="11"/>
                <w:sz w:val="20"/>
                <w:szCs w:val="20"/>
              </w:rPr>
              <w:t xml:space="preserve"> </w:t>
            </w:r>
            <w:r>
              <w:rPr>
                <w:spacing w:val="10"/>
                <w:sz w:val="20"/>
                <w:szCs w:val="20"/>
              </w:rPr>
              <w:t>背后的支撑块或其他杂物应清除干净，并按</w:t>
            </w:r>
            <w:r>
              <w:rPr>
                <w:spacing w:val="9"/>
                <w:sz w:val="20"/>
                <w:szCs w:val="20"/>
              </w:rPr>
              <w:t>要求填塞紧密，否则，对承包人处</w:t>
            </w:r>
          </w:p>
          <w:p>
            <w:pPr>
              <w:pStyle w:val="17"/>
              <w:spacing w:line="228" w:lineRule="auto"/>
              <w:ind w:left="132"/>
              <w:rPr>
                <w:sz w:val="20"/>
                <w:szCs w:val="20"/>
              </w:rPr>
            </w:pPr>
            <w:r>
              <w:rPr>
                <w:spacing w:val="1"/>
                <w:sz w:val="20"/>
                <w:szCs w:val="20"/>
              </w:rPr>
              <w:t>以</w:t>
            </w:r>
            <w:r>
              <w:rPr>
                <w:spacing w:val="-20"/>
                <w:sz w:val="20"/>
                <w:szCs w:val="20"/>
              </w:rPr>
              <w:t xml:space="preserve"> </w:t>
            </w:r>
            <w:r>
              <w:rPr>
                <w:spacing w:val="1"/>
                <w:sz w:val="20"/>
                <w:szCs w:val="20"/>
              </w:rPr>
              <w:t>10000</w:t>
            </w:r>
            <w:r>
              <w:rPr>
                <w:spacing w:val="-36"/>
                <w:sz w:val="20"/>
                <w:szCs w:val="20"/>
              </w:rPr>
              <w:t xml:space="preserve"> </w:t>
            </w:r>
            <w:r>
              <w:rPr>
                <w:spacing w:val="1"/>
                <w:sz w:val="20"/>
                <w:szCs w:val="20"/>
              </w:rPr>
              <w:t>元的违约金。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8" w:lineRule="auto"/>
              <w:rPr>
                <w:rFonts w:ascii="Arial"/>
                <w:sz w:val="21"/>
              </w:rPr>
            </w:pPr>
          </w:p>
          <w:p>
            <w:pPr>
              <w:pStyle w:val="17"/>
              <w:spacing w:before="65" w:line="187" w:lineRule="auto"/>
              <w:ind w:left="327"/>
              <w:rPr>
                <w:sz w:val="20"/>
                <w:szCs w:val="20"/>
              </w:rPr>
            </w:pPr>
            <w:r>
              <w:rPr>
                <w:sz w:val="20"/>
                <w:szCs w:val="20"/>
              </w:rPr>
              <w:t>7</w:t>
            </w:r>
          </w:p>
        </w:tc>
        <w:tc>
          <w:tcPr>
            <w:tcW w:w="7379" w:type="dxa"/>
            <w:vAlign w:val="top"/>
          </w:tcPr>
          <w:p>
            <w:pPr>
              <w:pStyle w:val="17"/>
              <w:spacing w:before="116" w:line="408" w:lineRule="exact"/>
              <w:ind w:left="109"/>
              <w:rPr>
                <w:sz w:val="20"/>
                <w:szCs w:val="20"/>
              </w:rPr>
            </w:pPr>
            <w:r>
              <w:rPr>
                <w:spacing w:val="10"/>
                <w:position w:val="15"/>
                <w:sz w:val="20"/>
                <w:szCs w:val="20"/>
              </w:rPr>
              <w:t>衬砌混凝土强度应满足设计及《公路工程质量检验评定标准》要求，否则，除</w:t>
            </w:r>
          </w:p>
          <w:p>
            <w:pPr>
              <w:pStyle w:val="17"/>
              <w:spacing w:line="226" w:lineRule="auto"/>
              <w:ind w:left="109"/>
              <w:rPr>
                <w:sz w:val="20"/>
                <w:szCs w:val="20"/>
              </w:rPr>
            </w:pPr>
            <w:r>
              <w:rPr>
                <w:spacing w:val="7"/>
                <w:sz w:val="20"/>
                <w:szCs w:val="20"/>
              </w:rPr>
              <w:t>要求及时采取措施处理外，并处以承包人</w:t>
            </w:r>
            <w:r>
              <w:rPr>
                <w:spacing w:val="-19"/>
                <w:sz w:val="20"/>
                <w:szCs w:val="20"/>
              </w:rPr>
              <w:t xml:space="preserve"> </w:t>
            </w:r>
            <w:r>
              <w:rPr>
                <w:spacing w:val="7"/>
                <w:sz w:val="20"/>
                <w:szCs w:val="20"/>
              </w:rPr>
              <w:t>10000</w:t>
            </w:r>
            <w:r>
              <w:rPr>
                <w:spacing w:val="-37"/>
                <w:sz w:val="20"/>
                <w:szCs w:val="20"/>
              </w:rPr>
              <w:t xml:space="preserve"> </w:t>
            </w:r>
            <w:r>
              <w:rPr>
                <w:spacing w:val="7"/>
                <w:sz w:val="20"/>
                <w:szCs w:val="20"/>
              </w:rPr>
              <w:t>元的违约金。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8"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345" w:lineRule="auto"/>
              <w:rPr>
                <w:rFonts w:ascii="Arial"/>
                <w:sz w:val="21"/>
              </w:rPr>
            </w:pPr>
          </w:p>
          <w:p>
            <w:pPr>
              <w:spacing w:line="346" w:lineRule="auto"/>
              <w:rPr>
                <w:rFonts w:ascii="Arial"/>
                <w:sz w:val="21"/>
              </w:rPr>
            </w:pPr>
          </w:p>
          <w:p>
            <w:pPr>
              <w:pStyle w:val="17"/>
              <w:spacing w:before="65" w:line="189" w:lineRule="auto"/>
              <w:ind w:left="323"/>
              <w:rPr>
                <w:sz w:val="20"/>
                <w:szCs w:val="20"/>
              </w:rPr>
            </w:pPr>
            <w:r>
              <w:rPr>
                <w:sz w:val="20"/>
                <w:szCs w:val="20"/>
              </w:rPr>
              <w:t>8</w:t>
            </w:r>
          </w:p>
        </w:tc>
        <w:tc>
          <w:tcPr>
            <w:tcW w:w="7379" w:type="dxa"/>
            <w:vAlign w:val="top"/>
          </w:tcPr>
          <w:p>
            <w:pPr>
              <w:pStyle w:val="17"/>
              <w:spacing w:before="115" w:line="377" w:lineRule="auto"/>
              <w:ind w:left="107" w:right="51" w:firstLine="5"/>
              <w:jc w:val="both"/>
              <w:rPr>
                <w:sz w:val="20"/>
                <w:szCs w:val="20"/>
              </w:rPr>
            </w:pPr>
            <w:r>
              <w:rPr>
                <w:spacing w:val="6"/>
                <w:sz w:val="20"/>
                <w:szCs w:val="20"/>
              </w:rPr>
              <w:t>不按照施工技术规范、施工图纸进行施工，偷工减料、粗制滥造</w:t>
            </w:r>
            <w:r>
              <w:rPr>
                <w:spacing w:val="5"/>
                <w:sz w:val="20"/>
                <w:szCs w:val="20"/>
              </w:rPr>
              <w:t>的，一经查实，</w:t>
            </w:r>
            <w:r>
              <w:rPr>
                <w:sz w:val="20"/>
                <w:szCs w:val="20"/>
              </w:rPr>
              <w:t xml:space="preserve"> </w:t>
            </w:r>
            <w:r>
              <w:rPr>
                <w:spacing w:val="8"/>
                <w:sz w:val="20"/>
                <w:szCs w:val="20"/>
              </w:rPr>
              <w:t>违约处理。锚杆少打或锚杆长度不够，每根处以违约金</w:t>
            </w:r>
            <w:r>
              <w:rPr>
                <w:spacing w:val="-23"/>
                <w:sz w:val="20"/>
                <w:szCs w:val="20"/>
              </w:rPr>
              <w:t xml:space="preserve"> </w:t>
            </w:r>
            <w:r>
              <w:rPr>
                <w:spacing w:val="8"/>
                <w:sz w:val="20"/>
                <w:szCs w:val="20"/>
              </w:rPr>
              <w:t>500</w:t>
            </w:r>
            <w:r>
              <w:rPr>
                <w:spacing w:val="-37"/>
                <w:sz w:val="20"/>
                <w:szCs w:val="20"/>
              </w:rPr>
              <w:t xml:space="preserve"> </w:t>
            </w:r>
            <w:r>
              <w:rPr>
                <w:spacing w:val="8"/>
                <w:sz w:val="20"/>
                <w:szCs w:val="20"/>
              </w:rPr>
              <w:t xml:space="preserve">元。格栅拱架（或 </w:t>
            </w:r>
            <w:r>
              <w:rPr>
                <w:spacing w:val="6"/>
                <w:sz w:val="20"/>
                <w:szCs w:val="20"/>
              </w:rPr>
              <w:t>钢拱架）每少安一榀处以违约金</w:t>
            </w:r>
            <w:r>
              <w:rPr>
                <w:spacing w:val="-24"/>
                <w:sz w:val="20"/>
                <w:szCs w:val="20"/>
              </w:rPr>
              <w:t xml:space="preserve"> </w:t>
            </w:r>
            <w:r>
              <w:rPr>
                <w:spacing w:val="6"/>
                <w:sz w:val="20"/>
                <w:szCs w:val="20"/>
              </w:rPr>
              <w:t>5000</w:t>
            </w:r>
            <w:r>
              <w:rPr>
                <w:spacing w:val="-38"/>
                <w:sz w:val="20"/>
                <w:szCs w:val="20"/>
              </w:rPr>
              <w:t xml:space="preserve"> </w:t>
            </w:r>
            <w:r>
              <w:rPr>
                <w:spacing w:val="6"/>
                <w:sz w:val="20"/>
                <w:szCs w:val="20"/>
              </w:rPr>
              <w:t>元；间距超过设计，在允许误差以外，每</w:t>
            </w:r>
          </w:p>
          <w:p>
            <w:pPr>
              <w:pStyle w:val="17"/>
              <w:spacing w:line="227" w:lineRule="auto"/>
              <w:ind w:left="108"/>
              <w:rPr>
                <w:sz w:val="20"/>
                <w:szCs w:val="20"/>
              </w:rPr>
            </w:pPr>
            <w:r>
              <w:rPr>
                <w:spacing w:val="3"/>
                <w:sz w:val="20"/>
                <w:szCs w:val="20"/>
              </w:rPr>
              <w:t>超过</w:t>
            </w:r>
            <w:r>
              <w:rPr>
                <w:spacing w:val="-18"/>
                <w:sz w:val="20"/>
                <w:szCs w:val="20"/>
              </w:rPr>
              <w:t xml:space="preserve"> </w:t>
            </w:r>
            <w:r>
              <w:rPr>
                <w:spacing w:val="3"/>
                <w:sz w:val="20"/>
                <w:szCs w:val="20"/>
              </w:rPr>
              <w:t>1</w:t>
            </w:r>
            <w:r>
              <w:rPr>
                <w:spacing w:val="-36"/>
                <w:sz w:val="20"/>
                <w:szCs w:val="20"/>
              </w:rPr>
              <w:t xml:space="preserve"> </w:t>
            </w:r>
            <w:r>
              <w:rPr>
                <w:spacing w:val="3"/>
                <w:sz w:val="20"/>
                <w:szCs w:val="20"/>
              </w:rPr>
              <w:t>厘米处以违约金</w:t>
            </w:r>
            <w:r>
              <w:rPr>
                <w:spacing w:val="-35"/>
                <w:sz w:val="20"/>
                <w:szCs w:val="20"/>
              </w:rPr>
              <w:t xml:space="preserve"> </w:t>
            </w:r>
            <w:r>
              <w:rPr>
                <w:spacing w:val="3"/>
                <w:sz w:val="20"/>
                <w:szCs w:val="20"/>
              </w:rPr>
              <w:t>500</w:t>
            </w:r>
            <w:r>
              <w:rPr>
                <w:spacing w:val="-36"/>
                <w:sz w:val="20"/>
                <w:szCs w:val="20"/>
              </w:rPr>
              <w:t xml:space="preserve"> </w:t>
            </w:r>
            <w:r>
              <w:rPr>
                <w:spacing w:val="3"/>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45" w:lineRule="auto"/>
              <w:rPr>
                <w:rFonts w:ascii="Arial"/>
                <w:sz w:val="21"/>
              </w:rPr>
            </w:pPr>
          </w:p>
          <w:p>
            <w:pPr>
              <w:spacing w:line="245" w:lineRule="auto"/>
              <w:rPr>
                <w:rFonts w:ascii="Arial"/>
                <w:sz w:val="21"/>
              </w:rPr>
            </w:pPr>
          </w:p>
          <w:p>
            <w:pPr>
              <w:pStyle w:val="17"/>
              <w:spacing w:before="65" w:line="189" w:lineRule="auto"/>
              <w:ind w:left="323"/>
              <w:rPr>
                <w:sz w:val="20"/>
                <w:szCs w:val="20"/>
              </w:rPr>
            </w:pPr>
            <w:r>
              <w:rPr>
                <w:sz w:val="20"/>
                <w:szCs w:val="20"/>
              </w:rPr>
              <w:t>9</w:t>
            </w:r>
          </w:p>
        </w:tc>
        <w:tc>
          <w:tcPr>
            <w:tcW w:w="7379" w:type="dxa"/>
            <w:vAlign w:val="top"/>
          </w:tcPr>
          <w:p>
            <w:pPr>
              <w:pStyle w:val="17"/>
              <w:spacing w:before="116" w:line="377" w:lineRule="auto"/>
              <w:ind w:left="109" w:right="112" w:firstLine="4"/>
              <w:jc w:val="both"/>
              <w:rPr>
                <w:sz w:val="20"/>
                <w:szCs w:val="20"/>
              </w:rPr>
            </w:pPr>
            <w:r>
              <w:rPr>
                <w:spacing w:val="7"/>
                <w:sz w:val="20"/>
                <w:szCs w:val="20"/>
              </w:rPr>
              <w:t>小导管、大管棚每少打一根（或长度不够）分别处以违约金</w:t>
            </w:r>
            <w:r>
              <w:rPr>
                <w:spacing w:val="-36"/>
                <w:sz w:val="20"/>
                <w:szCs w:val="20"/>
              </w:rPr>
              <w:t xml:space="preserve"> </w:t>
            </w:r>
            <w:r>
              <w:rPr>
                <w:spacing w:val="6"/>
                <w:sz w:val="20"/>
                <w:szCs w:val="20"/>
              </w:rPr>
              <w:t>2000</w:t>
            </w:r>
            <w:r>
              <w:rPr>
                <w:spacing w:val="-39"/>
                <w:sz w:val="20"/>
                <w:szCs w:val="20"/>
              </w:rPr>
              <w:t xml:space="preserve"> </w:t>
            </w:r>
            <w:r>
              <w:rPr>
                <w:spacing w:val="6"/>
                <w:sz w:val="20"/>
                <w:szCs w:val="20"/>
              </w:rPr>
              <w:t>元-5000</w:t>
            </w:r>
            <w:r>
              <w:rPr>
                <w:spacing w:val="-38"/>
                <w:sz w:val="20"/>
                <w:szCs w:val="20"/>
              </w:rPr>
              <w:t xml:space="preserve"> </w:t>
            </w:r>
            <w:r>
              <w:rPr>
                <w:spacing w:val="6"/>
                <w:sz w:val="20"/>
                <w:szCs w:val="20"/>
              </w:rPr>
              <w:t>元。</w:t>
            </w:r>
            <w:r>
              <w:rPr>
                <w:sz w:val="20"/>
                <w:szCs w:val="20"/>
              </w:rPr>
              <w:t xml:space="preserve"> </w:t>
            </w:r>
            <w:r>
              <w:rPr>
                <w:spacing w:val="8"/>
                <w:sz w:val="20"/>
                <w:szCs w:val="20"/>
              </w:rPr>
              <w:t>其他偷工减料现象可根据具体情况处以</w:t>
            </w:r>
            <w:r>
              <w:rPr>
                <w:spacing w:val="-35"/>
                <w:sz w:val="20"/>
                <w:szCs w:val="20"/>
              </w:rPr>
              <w:t xml:space="preserve"> </w:t>
            </w:r>
            <w:r>
              <w:rPr>
                <w:spacing w:val="8"/>
                <w:sz w:val="20"/>
                <w:szCs w:val="20"/>
              </w:rPr>
              <w:t>500</w:t>
            </w:r>
            <w:r>
              <w:rPr>
                <w:spacing w:val="-39"/>
                <w:sz w:val="20"/>
                <w:szCs w:val="20"/>
              </w:rPr>
              <w:t xml:space="preserve"> </w:t>
            </w:r>
            <w:r>
              <w:rPr>
                <w:spacing w:val="8"/>
                <w:sz w:val="20"/>
                <w:szCs w:val="20"/>
              </w:rPr>
              <w:t>元-2000</w:t>
            </w:r>
            <w:r>
              <w:rPr>
                <w:spacing w:val="-39"/>
                <w:sz w:val="20"/>
                <w:szCs w:val="20"/>
              </w:rPr>
              <w:t xml:space="preserve"> </w:t>
            </w:r>
            <w:r>
              <w:rPr>
                <w:spacing w:val="8"/>
                <w:sz w:val="20"/>
                <w:szCs w:val="20"/>
              </w:rPr>
              <w:t>元违</w:t>
            </w:r>
            <w:r>
              <w:rPr>
                <w:spacing w:val="7"/>
                <w:sz w:val="20"/>
                <w:szCs w:val="20"/>
              </w:rPr>
              <w:t>约金。格栅拱架不垂</w:t>
            </w:r>
          </w:p>
          <w:p>
            <w:pPr>
              <w:pStyle w:val="17"/>
              <w:spacing w:line="227" w:lineRule="auto"/>
              <w:ind w:left="110"/>
              <w:rPr>
                <w:sz w:val="20"/>
                <w:szCs w:val="20"/>
              </w:rPr>
            </w:pPr>
            <w:r>
              <w:rPr>
                <w:spacing w:val="8"/>
                <w:sz w:val="20"/>
                <w:szCs w:val="20"/>
              </w:rPr>
              <w:t>直处以违约金</w:t>
            </w:r>
            <w:r>
              <w:rPr>
                <w:spacing w:val="-35"/>
                <w:sz w:val="20"/>
                <w:szCs w:val="20"/>
              </w:rPr>
              <w:t xml:space="preserve"> </w:t>
            </w:r>
            <w:r>
              <w:rPr>
                <w:spacing w:val="8"/>
                <w:sz w:val="20"/>
                <w:szCs w:val="20"/>
              </w:rPr>
              <w:t>500</w:t>
            </w:r>
            <w:r>
              <w:rPr>
                <w:spacing w:val="-36"/>
                <w:sz w:val="20"/>
                <w:szCs w:val="20"/>
              </w:rPr>
              <w:t xml:space="preserve"> </w:t>
            </w:r>
            <w:r>
              <w:rPr>
                <w:spacing w:val="8"/>
                <w:sz w:val="20"/>
                <w:szCs w:val="20"/>
              </w:rPr>
              <w:t>元/榀，并需按要求处理</w:t>
            </w:r>
            <w:r>
              <w:rPr>
                <w:spacing w:val="7"/>
                <w:sz w:val="20"/>
                <w:szCs w:val="20"/>
              </w:rPr>
              <w:t>至监理人认可为止。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8" w:lineRule="auto"/>
              <w:rPr>
                <w:rFonts w:ascii="Arial"/>
                <w:sz w:val="21"/>
              </w:rPr>
            </w:pPr>
          </w:p>
          <w:p>
            <w:pPr>
              <w:pStyle w:val="17"/>
              <w:spacing w:before="65" w:line="190" w:lineRule="auto"/>
              <w:ind w:left="285"/>
              <w:rPr>
                <w:sz w:val="20"/>
                <w:szCs w:val="20"/>
              </w:rPr>
            </w:pPr>
            <w:r>
              <w:rPr>
                <w:spacing w:val="-7"/>
                <w:sz w:val="20"/>
                <w:szCs w:val="20"/>
              </w:rPr>
              <w:t>10</w:t>
            </w:r>
          </w:p>
        </w:tc>
        <w:tc>
          <w:tcPr>
            <w:tcW w:w="7379" w:type="dxa"/>
            <w:vAlign w:val="top"/>
          </w:tcPr>
          <w:p>
            <w:pPr>
              <w:pStyle w:val="17"/>
              <w:spacing w:before="119" w:line="408" w:lineRule="exact"/>
              <w:ind w:left="119"/>
              <w:rPr>
                <w:sz w:val="20"/>
                <w:szCs w:val="20"/>
              </w:rPr>
            </w:pPr>
            <w:r>
              <w:rPr>
                <w:spacing w:val="9"/>
                <w:position w:val="15"/>
                <w:sz w:val="20"/>
                <w:szCs w:val="20"/>
              </w:rPr>
              <w:t>隧道洞身施工完毕后，不得出现渗水、漏水现象，如出现以上问题，除要求施</w:t>
            </w:r>
          </w:p>
          <w:p>
            <w:pPr>
              <w:pStyle w:val="17"/>
              <w:spacing w:line="227" w:lineRule="auto"/>
              <w:ind w:left="111"/>
              <w:rPr>
                <w:sz w:val="20"/>
                <w:szCs w:val="20"/>
              </w:rPr>
            </w:pPr>
            <w:r>
              <w:rPr>
                <w:spacing w:val="7"/>
                <w:sz w:val="20"/>
                <w:szCs w:val="20"/>
              </w:rPr>
              <w:t>工单位予以补救外，处以</w:t>
            </w:r>
            <w:r>
              <w:rPr>
                <w:spacing w:val="-35"/>
                <w:sz w:val="20"/>
                <w:szCs w:val="20"/>
              </w:rPr>
              <w:t xml:space="preserve"> </w:t>
            </w:r>
            <w:r>
              <w:rPr>
                <w:spacing w:val="7"/>
                <w:sz w:val="20"/>
                <w:szCs w:val="20"/>
              </w:rPr>
              <w:t>5000</w:t>
            </w:r>
            <w:r>
              <w:rPr>
                <w:spacing w:val="-38"/>
                <w:sz w:val="20"/>
                <w:szCs w:val="20"/>
              </w:rPr>
              <w:t xml:space="preserve"> </w:t>
            </w:r>
            <w:r>
              <w:rPr>
                <w:spacing w:val="7"/>
                <w:sz w:val="20"/>
                <w:szCs w:val="20"/>
              </w:rPr>
              <w:t>元/处的违约</w:t>
            </w:r>
            <w:r>
              <w:rPr>
                <w:spacing w:val="6"/>
                <w:sz w:val="20"/>
                <w:szCs w:val="20"/>
              </w:rPr>
              <w:t>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tcBorders>
            <w:vAlign w:val="top"/>
          </w:tcPr>
          <w:p>
            <w:pPr>
              <w:rPr>
                <w:rFonts w:ascii="Arial"/>
                <w:sz w:val="21"/>
              </w:rPr>
            </w:pPr>
          </w:p>
        </w:tc>
        <w:tc>
          <w:tcPr>
            <w:tcW w:w="751" w:type="dxa"/>
            <w:vAlign w:val="top"/>
          </w:tcPr>
          <w:p>
            <w:pPr>
              <w:pStyle w:val="17"/>
              <w:spacing w:before="152" w:line="189" w:lineRule="auto"/>
              <w:ind w:left="285"/>
              <w:rPr>
                <w:sz w:val="20"/>
                <w:szCs w:val="20"/>
              </w:rPr>
            </w:pPr>
            <w:r>
              <w:rPr>
                <w:spacing w:val="-7"/>
                <w:sz w:val="20"/>
                <w:szCs w:val="20"/>
              </w:rPr>
              <w:t>11</w:t>
            </w:r>
          </w:p>
        </w:tc>
        <w:tc>
          <w:tcPr>
            <w:tcW w:w="7379" w:type="dxa"/>
            <w:vAlign w:val="top"/>
          </w:tcPr>
          <w:p>
            <w:pPr>
              <w:pStyle w:val="17"/>
              <w:spacing w:before="119" w:line="228" w:lineRule="auto"/>
              <w:ind w:left="110"/>
              <w:rPr>
                <w:sz w:val="20"/>
                <w:szCs w:val="20"/>
              </w:rPr>
            </w:pPr>
            <w:r>
              <w:rPr>
                <w:spacing w:val="7"/>
                <w:sz w:val="20"/>
                <w:szCs w:val="20"/>
              </w:rPr>
              <w:t>按照规范，隧道作业未开启通风设备的违约金</w:t>
            </w:r>
            <w:r>
              <w:rPr>
                <w:spacing w:val="-19"/>
                <w:sz w:val="20"/>
                <w:szCs w:val="20"/>
              </w:rPr>
              <w:t xml:space="preserve"> </w:t>
            </w:r>
            <w:r>
              <w:rPr>
                <w:spacing w:val="7"/>
                <w:sz w:val="20"/>
                <w:szCs w:val="20"/>
              </w:rPr>
              <w:t>10000</w:t>
            </w:r>
            <w:r>
              <w:rPr>
                <w:spacing w:val="-36"/>
                <w:sz w:val="20"/>
                <w:szCs w:val="20"/>
              </w:rPr>
              <w:t xml:space="preserve"> </w:t>
            </w:r>
            <w:r>
              <w:rPr>
                <w:spacing w:val="7"/>
                <w:sz w:val="20"/>
                <w:szCs w:val="20"/>
              </w:rPr>
              <w:t>元/次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807" w:type="dxa"/>
            <w:vAlign w:val="top"/>
          </w:tcPr>
          <w:p>
            <w:pPr>
              <w:spacing w:line="256" w:lineRule="auto"/>
              <w:rPr>
                <w:rFonts w:ascii="Arial"/>
                <w:sz w:val="21"/>
              </w:rPr>
            </w:pPr>
          </w:p>
          <w:p>
            <w:pPr>
              <w:pStyle w:val="17"/>
              <w:spacing w:before="65" w:line="408" w:lineRule="exact"/>
              <w:ind w:left="197"/>
              <w:rPr>
                <w:sz w:val="20"/>
                <w:szCs w:val="20"/>
              </w:rPr>
            </w:pPr>
            <w:r>
              <w:rPr>
                <w:spacing w:val="3"/>
                <w:position w:val="15"/>
                <w:sz w:val="20"/>
                <w:szCs w:val="20"/>
              </w:rPr>
              <w:t>绿化</w:t>
            </w:r>
          </w:p>
          <w:p>
            <w:pPr>
              <w:pStyle w:val="17"/>
              <w:spacing w:line="228" w:lineRule="auto"/>
              <w:ind w:left="198"/>
              <w:rPr>
                <w:sz w:val="20"/>
                <w:szCs w:val="20"/>
              </w:rPr>
            </w:pPr>
            <w:r>
              <w:rPr>
                <w:spacing w:val="3"/>
                <w:sz w:val="20"/>
                <w:szCs w:val="20"/>
              </w:rPr>
              <w:t>工程</w:t>
            </w:r>
          </w:p>
        </w:tc>
        <w:tc>
          <w:tcPr>
            <w:tcW w:w="751" w:type="dxa"/>
            <w:vAlign w:val="top"/>
          </w:tcPr>
          <w:p>
            <w:pPr>
              <w:spacing w:line="245" w:lineRule="auto"/>
              <w:rPr>
                <w:rFonts w:ascii="Arial"/>
                <w:sz w:val="21"/>
              </w:rPr>
            </w:pPr>
          </w:p>
          <w:p>
            <w:pPr>
              <w:spacing w:line="246" w:lineRule="auto"/>
              <w:rPr>
                <w:rFonts w:ascii="Arial"/>
                <w:sz w:val="21"/>
              </w:rPr>
            </w:pPr>
          </w:p>
          <w:p>
            <w:pPr>
              <w:pStyle w:val="17"/>
              <w:spacing w:before="65" w:line="189" w:lineRule="auto"/>
              <w:ind w:left="337"/>
              <w:rPr>
                <w:sz w:val="20"/>
                <w:szCs w:val="20"/>
              </w:rPr>
            </w:pPr>
            <w:r>
              <w:rPr>
                <w:sz w:val="20"/>
                <w:szCs w:val="20"/>
              </w:rPr>
              <w:t>1</w:t>
            </w:r>
          </w:p>
        </w:tc>
        <w:tc>
          <w:tcPr>
            <w:tcW w:w="7379" w:type="dxa"/>
            <w:vAlign w:val="top"/>
          </w:tcPr>
          <w:p>
            <w:pPr>
              <w:pStyle w:val="17"/>
              <w:spacing w:before="118" w:line="378" w:lineRule="auto"/>
              <w:ind w:left="132" w:right="102" w:hanging="20"/>
              <w:rPr>
                <w:sz w:val="20"/>
                <w:szCs w:val="20"/>
              </w:rPr>
            </w:pPr>
            <w:r>
              <w:rPr>
                <w:spacing w:val="10"/>
                <w:sz w:val="20"/>
                <w:szCs w:val="20"/>
              </w:rPr>
              <w:t>如果绿化工程质量不合格或造成质量隐患，按以下标准对承包人进行违约金：</w:t>
            </w:r>
            <w:r>
              <w:rPr>
                <w:sz w:val="20"/>
                <w:szCs w:val="20"/>
              </w:rPr>
              <w:t xml:space="preserve"> </w:t>
            </w:r>
            <w:r>
              <w:rPr>
                <w:spacing w:val="7"/>
                <w:sz w:val="20"/>
                <w:szCs w:val="20"/>
              </w:rPr>
              <w:t>以清单单位为违约金依据，即</w:t>
            </w:r>
            <w:r>
              <w:rPr>
                <w:spacing w:val="-11"/>
                <w:sz w:val="20"/>
                <w:szCs w:val="20"/>
              </w:rPr>
              <w:t xml:space="preserve"> </w:t>
            </w:r>
            <w:r>
              <w:rPr>
                <w:spacing w:val="7"/>
                <w:sz w:val="20"/>
                <w:szCs w:val="20"/>
              </w:rPr>
              <w:t>1000</w:t>
            </w:r>
            <w:r>
              <w:rPr>
                <w:spacing w:val="-34"/>
                <w:sz w:val="20"/>
                <w:szCs w:val="20"/>
              </w:rPr>
              <w:t xml:space="preserve"> </w:t>
            </w:r>
            <w:r>
              <w:rPr>
                <w:spacing w:val="7"/>
                <w:sz w:val="20"/>
                <w:szCs w:val="20"/>
              </w:rPr>
              <w:t>元/丛、1000</w:t>
            </w:r>
            <w:r>
              <w:rPr>
                <w:spacing w:val="-34"/>
                <w:sz w:val="20"/>
                <w:szCs w:val="20"/>
              </w:rPr>
              <w:t xml:space="preserve"> </w:t>
            </w:r>
            <w:r>
              <w:rPr>
                <w:spacing w:val="7"/>
                <w:sz w:val="20"/>
                <w:szCs w:val="20"/>
              </w:rPr>
              <w:t>元/株、500</w:t>
            </w:r>
            <w:r>
              <w:rPr>
                <w:spacing w:val="-34"/>
                <w:sz w:val="20"/>
                <w:szCs w:val="20"/>
              </w:rPr>
              <w:t xml:space="preserve"> </w:t>
            </w:r>
            <w:r>
              <w:rPr>
                <w:spacing w:val="7"/>
                <w:sz w:val="20"/>
                <w:szCs w:val="20"/>
              </w:rPr>
              <w:t>元/m</w:t>
            </w:r>
            <w:r>
              <w:rPr>
                <w:spacing w:val="7"/>
                <w:position w:val="10"/>
                <w:sz w:val="10"/>
                <w:szCs w:val="10"/>
              </w:rPr>
              <w:t>2</w:t>
            </w:r>
            <w:r>
              <w:rPr>
                <w:spacing w:val="-22"/>
                <w:position w:val="10"/>
                <w:sz w:val="10"/>
                <w:szCs w:val="10"/>
              </w:rPr>
              <w:t xml:space="preserve"> </w:t>
            </w:r>
            <w:r>
              <w:rPr>
                <w:spacing w:val="7"/>
                <w:sz w:val="20"/>
                <w:szCs w:val="20"/>
              </w:rPr>
              <w:t>、500</w:t>
            </w:r>
            <w:r>
              <w:rPr>
                <w:spacing w:val="-34"/>
                <w:sz w:val="20"/>
                <w:szCs w:val="20"/>
              </w:rPr>
              <w:t xml:space="preserve"> </w:t>
            </w:r>
            <w:r>
              <w:rPr>
                <w:spacing w:val="7"/>
                <w:sz w:val="20"/>
                <w:szCs w:val="20"/>
              </w:rPr>
              <w:t>元/t</w:t>
            </w:r>
          </w:p>
          <w:p>
            <w:pPr>
              <w:pStyle w:val="17"/>
              <w:spacing w:line="227" w:lineRule="auto"/>
              <w:ind w:left="132"/>
              <w:rPr>
                <w:sz w:val="20"/>
                <w:szCs w:val="20"/>
              </w:rPr>
            </w:pPr>
            <w:r>
              <w:rPr>
                <w:sz w:val="20"/>
                <w:szCs w:val="20"/>
              </w:rPr>
              <w:t>以及</w:t>
            </w:r>
            <w:r>
              <w:rPr>
                <w:spacing w:val="-16"/>
                <w:sz w:val="20"/>
                <w:szCs w:val="20"/>
              </w:rPr>
              <w:t xml:space="preserve"> </w:t>
            </w:r>
            <w:r>
              <w:rPr>
                <w:sz w:val="20"/>
                <w:szCs w:val="20"/>
              </w:rPr>
              <w:t>10000</w:t>
            </w:r>
            <w:r>
              <w:rPr>
                <w:spacing w:val="-36"/>
                <w:sz w:val="20"/>
                <w:szCs w:val="20"/>
              </w:rPr>
              <w:t xml:space="preserve"> </w:t>
            </w:r>
            <w:r>
              <w:rPr>
                <w:sz w:val="20"/>
                <w:szCs w:val="20"/>
              </w:rPr>
              <w:t>元/个等。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7"/>
              <w:spacing w:before="65" w:line="408" w:lineRule="exact"/>
              <w:ind w:left="200"/>
              <w:rPr>
                <w:sz w:val="20"/>
                <w:szCs w:val="20"/>
              </w:rPr>
            </w:pPr>
            <w:r>
              <w:rPr>
                <w:spacing w:val="2"/>
                <w:position w:val="15"/>
                <w:sz w:val="20"/>
                <w:szCs w:val="20"/>
              </w:rPr>
              <w:t>安全</w:t>
            </w:r>
          </w:p>
          <w:p>
            <w:pPr>
              <w:pStyle w:val="17"/>
              <w:spacing w:line="227" w:lineRule="auto"/>
              <w:ind w:left="197"/>
              <w:rPr>
                <w:sz w:val="20"/>
                <w:szCs w:val="20"/>
              </w:rPr>
            </w:pPr>
            <w:r>
              <w:rPr>
                <w:spacing w:val="3"/>
                <w:sz w:val="20"/>
                <w:szCs w:val="20"/>
              </w:rPr>
              <w:t>生产</w:t>
            </w:r>
          </w:p>
        </w:tc>
        <w:tc>
          <w:tcPr>
            <w:tcW w:w="751" w:type="dxa"/>
            <w:vAlign w:val="top"/>
          </w:tcPr>
          <w:p>
            <w:pPr>
              <w:spacing w:line="291" w:lineRule="auto"/>
              <w:rPr>
                <w:rFonts w:ascii="Arial"/>
                <w:sz w:val="21"/>
              </w:rPr>
            </w:pPr>
          </w:p>
          <w:p>
            <w:pPr>
              <w:pStyle w:val="17"/>
              <w:spacing w:before="65" w:line="189" w:lineRule="auto"/>
              <w:ind w:left="337"/>
              <w:rPr>
                <w:sz w:val="20"/>
                <w:szCs w:val="20"/>
              </w:rPr>
            </w:pPr>
            <w:r>
              <w:rPr>
                <w:sz w:val="20"/>
                <w:szCs w:val="20"/>
              </w:rPr>
              <w:t>1</w:t>
            </w:r>
          </w:p>
        </w:tc>
        <w:tc>
          <w:tcPr>
            <w:tcW w:w="7379" w:type="dxa"/>
            <w:vAlign w:val="top"/>
          </w:tcPr>
          <w:p>
            <w:pPr>
              <w:pStyle w:val="17"/>
              <w:spacing w:before="121" w:line="408" w:lineRule="exact"/>
              <w:ind w:left="109"/>
              <w:rPr>
                <w:sz w:val="20"/>
                <w:szCs w:val="20"/>
              </w:rPr>
            </w:pPr>
            <w:r>
              <w:rPr>
                <w:spacing w:val="10"/>
                <w:position w:val="15"/>
                <w:sz w:val="20"/>
                <w:szCs w:val="20"/>
              </w:rPr>
              <w:t>桥梁施工现场及构件预制场、钢筋加工场、搅拌站、施工驻地须悬挂安全生产</w:t>
            </w:r>
          </w:p>
          <w:p>
            <w:pPr>
              <w:pStyle w:val="17"/>
              <w:spacing w:line="224" w:lineRule="auto"/>
              <w:ind w:left="109"/>
              <w:rPr>
                <w:sz w:val="20"/>
                <w:szCs w:val="20"/>
              </w:rPr>
            </w:pPr>
            <w:r>
              <w:rPr>
                <w:spacing w:val="5"/>
                <w:sz w:val="20"/>
                <w:szCs w:val="20"/>
              </w:rPr>
              <w:t>标牌，违者每处违约金</w:t>
            </w:r>
            <w:r>
              <w:rPr>
                <w:spacing w:val="-21"/>
                <w:sz w:val="20"/>
                <w:szCs w:val="20"/>
              </w:rPr>
              <w:t xml:space="preserve"> </w:t>
            </w:r>
            <w:r>
              <w:rPr>
                <w:spacing w:val="5"/>
                <w:sz w:val="20"/>
                <w:szCs w:val="20"/>
              </w:rPr>
              <w:t>1,000</w:t>
            </w:r>
            <w:r>
              <w:rPr>
                <w:spacing w:val="-37"/>
                <w:sz w:val="20"/>
                <w:szCs w:val="20"/>
              </w:rPr>
              <w:t xml:space="preserve"> </w:t>
            </w:r>
            <w:r>
              <w:rPr>
                <w:spacing w:val="5"/>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6" w:line="189" w:lineRule="auto"/>
              <w:ind w:left="325"/>
              <w:rPr>
                <w:sz w:val="20"/>
                <w:szCs w:val="20"/>
              </w:rPr>
            </w:pPr>
            <w:r>
              <w:rPr>
                <w:sz w:val="20"/>
                <w:szCs w:val="20"/>
              </w:rPr>
              <w:t>2</w:t>
            </w:r>
          </w:p>
        </w:tc>
        <w:tc>
          <w:tcPr>
            <w:tcW w:w="7379" w:type="dxa"/>
            <w:vAlign w:val="top"/>
          </w:tcPr>
          <w:p>
            <w:pPr>
              <w:pStyle w:val="17"/>
              <w:spacing w:before="123" w:line="225" w:lineRule="auto"/>
              <w:ind w:left="109"/>
              <w:rPr>
                <w:sz w:val="20"/>
                <w:szCs w:val="20"/>
              </w:rPr>
            </w:pPr>
            <w:r>
              <w:rPr>
                <w:spacing w:val="7"/>
                <w:sz w:val="20"/>
                <w:szCs w:val="20"/>
              </w:rPr>
              <w:t>基坑开挖未有效围护的，桩孔施工后未加盖的，每处违约金</w:t>
            </w:r>
            <w:r>
              <w:rPr>
                <w:spacing w:val="-7"/>
                <w:sz w:val="20"/>
                <w:szCs w:val="20"/>
              </w:rPr>
              <w:t xml:space="preserve"> </w:t>
            </w:r>
            <w:r>
              <w:rPr>
                <w:spacing w:val="7"/>
                <w:sz w:val="20"/>
                <w:szCs w:val="20"/>
              </w:rPr>
              <w:t>1,000</w:t>
            </w:r>
            <w:r>
              <w:rPr>
                <w:spacing w:val="-36"/>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47" w:lineRule="auto"/>
              <w:rPr>
                <w:rFonts w:ascii="Arial"/>
                <w:sz w:val="21"/>
              </w:rPr>
            </w:pPr>
          </w:p>
          <w:p>
            <w:pPr>
              <w:spacing w:line="248" w:lineRule="auto"/>
              <w:rPr>
                <w:rFonts w:ascii="Arial"/>
                <w:sz w:val="21"/>
              </w:rPr>
            </w:pPr>
          </w:p>
          <w:p>
            <w:pPr>
              <w:pStyle w:val="17"/>
              <w:spacing w:before="65" w:line="189" w:lineRule="auto"/>
              <w:ind w:left="326"/>
              <w:rPr>
                <w:sz w:val="20"/>
                <w:szCs w:val="20"/>
              </w:rPr>
            </w:pPr>
            <w:r>
              <w:rPr>
                <w:sz w:val="20"/>
                <w:szCs w:val="20"/>
              </w:rPr>
              <w:t>3</w:t>
            </w:r>
          </w:p>
        </w:tc>
        <w:tc>
          <w:tcPr>
            <w:tcW w:w="7379" w:type="dxa"/>
            <w:vAlign w:val="top"/>
          </w:tcPr>
          <w:p>
            <w:pPr>
              <w:pStyle w:val="17"/>
              <w:spacing w:before="121" w:line="377" w:lineRule="auto"/>
              <w:ind w:left="111" w:right="99" w:firstLine="21"/>
              <w:jc w:val="both"/>
              <w:rPr>
                <w:sz w:val="20"/>
                <w:szCs w:val="20"/>
              </w:rPr>
            </w:pPr>
            <w:r>
              <w:rPr>
                <w:spacing w:val="4"/>
                <w:sz w:val="20"/>
                <w:szCs w:val="20"/>
              </w:rPr>
              <w:t>电力线路架设零乱不牢固；电源线老化、绝缘损坏、接头处无包扎的</w:t>
            </w:r>
            <w:r>
              <w:rPr>
                <w:spacing w:val="3"/>
                <w:sz w:val="20"/>
                <w:szCs w:val="20"/>
              </w:rPr>
              <w:t>；使用花线</w:t>
            </w:r>
            <w:r>
              <w:rPr>
                <w:sz w:val="20"/>
                <w:szCs w:val="20"/>
              </w:rPr>
              <w:t xml:space="preserve"> </w:t>
            </w:r>
            <w:r>
              <w:rPr>
                <w:spacing w:val="-1"/>
                <w:sz w:val="20"/>
                <w:szCs w:val="20"/>
              </w:rPr>
              <w:t>或劣质电线；不设电箱、漏电开关；施工现场未设安全警示牌，每处违约金</w:t>
            </w:r>
            <w:r>
              <w:rPr>
                <w:spacing w:val="-11"/>
                <w:sz w:val="20"/>
                <w:szCs w:val="20"/>
              </w:rPr>
              <w:t xml:space="preserve"> </w:t>
            </w:r>
            <w:r>
              <w:rPr>
                <w:spacing w:val="-1"/>
                <w:sz w:val="20"/>
                <w:szCs w:val="20"/>
              </w:rPr>
              <w:t>1,000</w:t>
            </w:r>
          </w:p>
          <w:p>
            <w:pPr>
              <w:pStyle w:val="17"/>
              <w:spacing w:line="228" w:lineRule="auto"/>
              <w:ind w:left="110"/>
              <w:rPr>
                <w:sz w:val="20"/>
                <w:szCs w:val="20"/>
              </w:rPr>
            </w:pPr>
            <w:r>
              <w:rPr>
                <w:spacing w:val="-1"/>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07" w:type="dxa"/>
            <w:vMerge w:val="continue"/>
            <w:tcBorders>
              <w:top w:val="nil"/>
            </w:tcBorders>
            <w:vAlign w:val="top"/>
          </w:tcPr>
          <w:p>
            <w:pPr>
              <w:rPr>
                <w:rFonts w:ascii="Arial"/>
                <w:sz w:val="21"/>
              </w:rPr>
            </w:pPr>
          </w:p>
        </w:tc>
        <w:tc>
          <w:tcPr>
            <w:tcW w:w="751" w:type="dxa"/>
            <w:vAlign w:val="top"/>
          </w:tcPr>
          <w:p>
            <w:pPr>
              <w:pStyle w:val="17"/>
              <w:spacing w:before="157" w:line="189" w:lineRule="auto"/>
              <w:ind w:left="321"/>
              <w:rPr>
                <w:sz w:val="20"/>
                <w:szCs w:val="20"/>
              </w:rPr>
            </w:pPr>
            <w:r>
              <w:rPr>
                <w:sz w:val="20"/>
                <w:szCs w:val="20"/>
              </w:rPr>
              <w:t>4</w:t>
            </w:r>
          </w:p>
        </w:tc>
        <w:tc>
          <w:tcPr>
            <w:tcW w:w="7379" w:type="dxa"/>
            <w:vAlign w:val="top"/>
          </w:tcPr>
          <w:p>
            <w:pPr>
              <w:pStyle w:val="17"/>
              <w:spacing w:before="124" w:line="225" w:lineRule="auto"/>
              <w:ind w:left="114"/>
              <w:rPr>
                <w:sz w:val="20"/>
                <w:szCs w:val="20"/>
              </w:rPr>
            </w:pPr>
            <w:r>
              <w:rPr>
                <w:spacing w:val="7"/>
                <w:sz w:val="20"/>
                <w:szCs w:val="20"/>
              </w:rPr>
              <w:t>高空作业未设置稳固爬梯；不设围栏、安全网，每处违约金</w:t>
            </w:r>
            <w:r>
              <w:rPr>
                <w:spacing w:val="-12"/>
                <w:sz w:val="20"/>
                <w:szCs w:val="20"/>
              </w:rPr>
              <w:t xml:space="preserve"> </w:t>
            </w:r>
            <w:r>
              <w:rPr>
                <w:spacing w:val="7"/>
                <w:sz w:val="20"/>
                <w:szCs w:val="20"/>
              </w:rPr>
              <w:t>1,000</w:t>
            </w:r>
            <w:r>
              <w:rPr>
                <w:spacing w:val="-36"/>
                <w:sz w:val="20"/>
                <w:szCs w:val="20"/>
              </w:rPr>
              <w:t xml:space="preserve"> </w:t>
            </w:r>
            <w:r>
              <w:rPr>
                <w:spacing w:val="7"/>
                <w:sz w:val="20"/>
                <w:szCs w:val="20"/>
              </w:rPr>
              <w:t>元。</w:t>
            </w:r>
          </w:p>
        </w:tc>
      </w:tr>
    </w:tbl>
    <w:p>
      <w:pPr>
        <w:rPr>
          <w:rFonts w:ascii="Arial"/>
          <w:sz w:val="21"/>
        </w:rPr>
      </w:pPr>
    </w:p>
    <w:p>
      <w:pPr>
        <w:spacing w:before="228"/>
      </w:pPr>
    </w:p>
    <w:tbl>
      <w:tblPr>
        <w:tblStyle w:val="16"/>
        <w:tblW w:w="8937" w:type="dxa"/>
        <w:tblInd w:w="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751"/>
        <w:gridCol w:w="7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807" w:type="dxa"/>
            <w:vMerge w:val="restart"/>
            <w:tcBorders>
              <w:bottom w:val="nil"/>
            </w:tcBorders>
            <w:vAlign w:val="top"/>
          </w:tcPr>
          <w:p>
            <w:pPr>
              <w:rPr>
                <w:rFonts w:ascii="Arial"/>
                <w:sz w:val="21"/>
              </w:rPr>
            </w:pPr>
          </w:p>
        </w:tc>
        <w:tc>
          <w:tcPr>
            <w:tcW w:w="751" w:type="dxa"/>
            <w:vAlign w:val="top"/>
          </w:tcPr>
          <w:p>
            <w:pPr>
              <w:spacing w:line="294" w:lineRule="auto"/>
              <w:rPr>
                <w:rFonts w:ascii="Arial"/>
                <w:sz w:val="21"/>
              </w:rPr>
            </w:pPr>
          </w:p>
          <w:p>
            <w:pPr>
              <w:pStyle w:val="17"/>
              <w:spacing w:before="65" w:line="187" w:lineRule="auto"/>
              <w:ind w:left="326"/>
              <w:rPr>
                <w:sz w:val="20"/>
                <w:szCs w:val="20"/>
              </w:rPr>
            </w:pPr>
            <w:r>
              <w:rPr>
                <w:sz w:val="20"/>
                <w:szCs w:val="20"/>
              </w:rPr>
              <w:t>5</w:t>
            </w:r>
          </w:p>
        </w:tc>
        <w:tc>
          <w:tcPr>
            <w:tcW w:w="7379" w:type="dxa"/>
            <w:vAlign w:val="top"/>
          </w:tcPr>
          <w:p>
            <w:pPr>
              <w:pStyle w:val="17"/>
              <w:spacing w:before="122" w:line="408" w:lineRule="exact"/>
              <w:ind w:left="109"/>
              <w:rPr>
                <w:sz w:val="20"/>
                <w:szCs w:val="20"/>
              </w:rPr>
            </w:pPr>
            <w:r>
              <w:rPr>
                <w:spacing w:val="10"/>
                <w:position w:val="15"/>
                <w:sz w:val="20"/>
                <w:szCs w:val="20"/>
              </w:rPr>
              <w:t>爆破作业应按批准的爆破方案及施工安全技术规程的要求进行，并对人身、工</w:t>
            </w:r>
          </w:p>
          <w:p>
            <w:pPr>
              <w:pStyle w:val="17"/>
              <w:spacing w:line="224" w:lineRule="auto"/>
              <w:ind w:left="108"/>
              <w:rPr>
                <w:sz w:val="20"/>
                <w:szCs w:val="20"/>
              </w:rPr>
            </w:pPr>
            <w:r>
              <w:rPr>
                <w:spacing w:val="8"/>
                <w:sz w:val="20"/>
                <w:szCs w:val="20"/>
              </w:rPr>
              <w:t>程本身及所有财产采取保护措施，违者每次</w:t>
            </w:r>
            <w:r>
              <w:rPr>
                <w:spacing w:val="7"/>
                <w:sz w:val="20"/>
                <w:szCs w:val="20"/>
              </w:rPr>
              <w:t>违约金</w:t>
            </w:r>
            <w:r>
              <w:rPr>
                <w:spacing w:val="-37"/>
                <w:sz w:val="20"/>
                <w:szCs w:val="20"/>
              </w:rPr>
              <w:t xml:space="preserve"> </w:t>
            </w:r>
            <w:r>
              <w:rPr>
                <w:spacing w:val="7"/>
                <w:sz w:val="20"/>
                <w:szCs w:val="20"/>
              </w:rPr>
              <w:t>2,000</w:t>
            </w:r>
            <w:r>
              <w:rPr>
                <w:spacing w:val="-36"/>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48" w:line="189" w:lineRule="auto"/>
              <w:ind w:left="324"/>
              <w:rPr>
                <w:sz w:val="20"/>
                <w:szCs w:val="20"/>
              </w:rPr>
            </w:pPr>
            <w:r>
              <w:rPr>
                <w:sz w:val="20"/>
                <w:szCs w:val="20"/>
              </w:rPr>
              <w:t>6</w:t>
            </w:r>
          </w:p>
        </w:tc>
        <w:tc>
          <w:tcPr>
            <w:tcW w:w="7379" w:type="dxa"/>
            <w:vAlign w:val="top"/>
          </w:tcPr>
          <w:p>
            <w:pPr>
              <w:pStyle w:val="17"/>
              <w:spacing w:before="114" w:line="225" w:lineRule="auto"/>
              <w:ind w:left="109"/>
              <w:rPr>
                <w:sz w:val="20"/>
                <w:szCs w:val="20"/>
              </w:rPr>
            </w:pPr>
            <w:r>
              <w:rPr>
                <w:spacing w:val="8"/>
                <w:sz w:val="20"/>
                <w:szCs w:val="20"/>
              </w:rPr>
              <w:t>爆破器材设专人保管，严格领用手续，违者每次违约金</w:t>
            </w:r>
            <w:r>
              <w:rPr>
                <w:spacing w:val="-37"/>
                <w:sz w:val="20"/>
                <w:szCs w:val="20"/>
              </w:rPr>
              <w:t xml:space="preserve"> </w:t>
            </w:r>
            <w:r>
              <w:rPr>
                <w:spacing w:val="7"/>
                <w:sz w:val="20"/>
                <w:szCs w:val="20"/>
              </w:rPr>
              <w:t>2,000</w:t>
            </w:r>
            <w:r>
              <w:rPr>
                <w:spacing w:val="-36"/>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6" w:lineRule="auto"/>
              <w:rPr>
                <w:rFonts w:ascii="Arial"/>
                <w:sz w:val="21"/>
              </w:rPr>
            </w:pPr>
          </w:p>
          <w:p>
            <w:pPr>
              <w:pStyle w:val="17"/>
              <w:spacing w:before="65" w:line="187" w:lineRule="auto"/>
              <w:ind w:left="327"/>
              <w:rPr>
                <w:sz w:val="20"/>
                <w:szCs w:val="20"/>
              </w:rPr>
            </w:pPr>
            <w:r>
              <w:rPr>
                <w:sz w:val="20"/>
                <w:szCs w:val="20"/>
              </w:rPr>
              <w:t>7</w:t>
            </w:r>
          </w:p>
        </w:tc>
        <w:tc>
          <w:tcPr>
            <w:tcW w:w="7379" w:type="dxa"/>
            <w:vAlign w:val="top"/>
          </w:tcPr>
          <w:p>
            <w:pPr>
              <w:pStyle w:val="17"/>
              <w:spacing w:before="114" w:line="408" w:lineRule="exact"/>
              <w:ind w:left="108"/>
              <w:rPr>
                <w:sz w:val="20"/>
                <w:szCs w:val="20"/>
              </w:rPr>
            </w:pPr>
            <w:r>
              <w:rPr>
                <w:spacing w:val="10"/>
                <w:position w:val="15"/>
                <w:sz w:val="20"/>
                <w:szCs w:val="20"/>
              </w:rPr>
              <w:t>对于安全风险大的高空作业、梁板吊装，要求制订安</w:t>
            </w:r>
            <w:r>
              <w:rPr>
                <w:spacing w:val="9"/>
                <w:position w:val="15"/>
                <w:sz w:val="20"/>
                <w:szCs w:val="20"/>
              </w:rPr>
              <w:t>全预案，违者每次违约金</w:t>
            </w:r>
          </w:p>
          <w:p>
            <w:pPr>
              <w:pStyle w:val="17"/>
              <w:spacing w:line="224" w:lineRule="auto"/>
              <w:ind w:left="111"/>
              <w:rPr>
                <w:sz w:val="20"/>
                <w:szCs w:val="20"/>
              </w:rPr>
            </w:pPr>
            <w:r>
              <w:rPr>
                <w:spacing w:val="1"/>
                <w:sz w:val="20"/>
                <w:szCs w:val="20"/>
              </w:rPr>
              <w:t>2,000</w:t>
            </w:r>
            <w:r>
              <w:rPr>
                <w:spacing w:val="-34"/>
                <w:sz w:val="20"/>
                <w:szCs w:val="20"/>
              </w:rPr>
              <w:t xml:space="preserve"> </w:t>
            </w:r>
            <w:r>
              <w:rPr>
                <w:spacing w:val="1"/>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44" w:lineRule="auto"/>
              <w:rPr>
                <w:rFonts w:ascii="Arial"/>
                <w:sz w:val="21"/>
              </w:rPr>
            </w:pPr>
          </w:p>
          <w:p>
            <w:pPr>
              <w:spacing w:line="245" w:lineRule="auto"/>
              <w:rPr>
                <w:rFonts w:ascii="Arial"/>
                <w:sz w:val="21"/>
              </w:rPr>
            </w:pPr>
          </w:p>
          <w:p>
            <w:pPr>
              <w:pStyle w:val="17"/>
              <w:spacing w:before="65" w:line="189" w:lineRule="auto"/>
              <w:ind w:left="323"/>
              <w:rPr>
                <w:sz w:val="20"/>
                <w:szCs w:val="20"/>
              </w:rPr>
            </w:pPr>
            <w:r>
              <w:rPr>
                <w:sz w:val="20"/>
                <w:szCs w:val="20"/>
              </w:rPr>
              <w:t>8</w:t>
            </w:r>
          </w:p>
        </w:tc>
        <w:tc>
          <w:tcPr>
            <w:tcW w:w="7379" w:type="dxa"/>
            <w:vAlign w:val="top"/>
          </w:tcPr>
          <w:p>
            <w:pPr>
              <w:pStyle w:val="17"/>
              <w:spacing w:before="115" w:line="377" w:lineRule="auto"/>
              <w:ind w:left="110" w:right="106" w:hanging="1"/>
              <w:jc w:val="both"/>
              <w:rPr>
                <w:sz w:val="20"/>
                <w:szCs w:val="20"/>
              </w:rPr>
            </w:pPr>
            <w:r>
              <w:rPr>
                <w:spacing w:val="9"/>
                <w:sz w:val="20"/>
                <w:szCs w:val="20"/>
              </w:rPr>
              <w:t>梁板吊运安装施工方案应经过监理人审批，</w:t>
            </w:r>
            <w:r>
              <w:rPr>
                <w:spacing w:val="-54"/>
                <w:sz w:val="20"/>
                <w:szCs w:val="20"/>
              </w:rPr>
              <w:t xml:space="preserve"> </w:t>
            </w:r>
            <w:r>
              <w:rPr>
                <w:spacing w:val="9"/>
                <w:sz w:val="20"/>
                <w:szCs w:val="20"/>
              </w:rPr>
              <w:t>吊车、龙门架、架桥机要经过安全</w:t>
            </w:r>
            <w:r>
              <w:rPr>
                <w:sz w:val="20"/>
                <w:szCs w:val="20"/>
              </w:rPr>
              <w:t xml:space="preserve"> </w:t>
            </w:r>
            <w:r>
              <w:rPr>
                <w:spacing w:val="9"/>
                <w:sz w:val="20"/>
                <w:szCs w:val="20"/>
              </w:rPr>
              <w:t>生产管理部门检查合格，并在设备上张贴“</w:t>
            </w:r>
            <w:r>
              <w:rPr>
                <w:spacing w:val="-70"/>
                <w:sz w:val="20"/>
                <w:szCs w:val="20"/>
              </w:rPr>
              <w:t xml:space="preserve"> </w:t>
            </w:r>
            <w:r>
              <w:rPr>
                <w:spacing w:val="9"/>
                <w:sz w:val="20"/>
                <w:szCs w:val="20"/>
              </w:rPr>
              <w:t>四证</w:t>
            </w:r>
            <w:r>
              <w:rPr>
                <w:spacing w:val="-73"/>
                <w:sz w:val="20"/>
                <w:szCs w:val="20"/>
              </w:rPr>
              <w:t xml:space="preserve"> </w:t>
            </w:r>
            <w:r>
              <w:rPr>
                <w:spacing w:val="8"/>
                <w:sz w:val="20"/>
                <w:szCs w:val="20"/>
              </w:rPr>
              <w:t>”公示牌（当地无法办理使用</w:t>
            </w:r>
          </w:p>
          <w:p>
            <w:pPr>
              <w:pStyle w:val="17"/>
              <w:spacing w:line="224" w:lineRule="auto"/>
              <w:ind w:left="113"/>
              <w:rPr>
                <w:sz w:val="20"/>
                <w:szCs w:val="20"/>
              </w:rPr>
            </w:pPr>
            <w:r>
              <w:rPr>
                <w:spacing w:val="7"/>
                <w:sz w:val="20"/>
                <w:szCs w:val="20"/>
              </w:rPr>
              <w:t>登记证，张贴“三证</w:t>
            </w:r>
            <w:r>
              <w:rPr>
                <w:spacing w:val="-70"/>
                <w:sz w:val="20"/>
                <w:szCs w:val="20"/>
              </w:rPr>
              <w:t xml:space="preserve"> </w:t>
            </w:r>
            <w:r>
              <w:rPr>
                <w:spacing w:val="7"/>
                <w:sz w:val="20"/>
                <w:szCs w:val="20"/>
              </w:rPr>
              <w:t>”）才能施工作业，违者每次违约</w:t>
            </w:r>
            <w:r>
              <w:rPr>
                <w:spacing w:val="6"/>
                <w:sz w:val="20"/>
                <w:szCs w:val="20"/>
              </w:rPr>
              <w:t>金</w:t>
            </w:r>
            <w:r>
              <w:rPr>
                <w:spacing w:val="-35"/>
                <w:sz w:val="20"/>
                <w:szCs w:val="20"/>
              </w:rPr>
              <w:t xml:space="preserve"> </w:t>
            </w:r>
            <w:r>
              <w:rPr>
                <w:spacing w:val="6"/>
                <w:sz w:val="20"/>
                <w:szCs w:val="20"/>
              </w:rPr>
              <w:t>5,000</w:t>
            </w:r>
            <w:r>
              <w:rPr>
                <w:spacing w:val="-36"/>
                <w:sz w:val="20"/>
                <w:szCs w:val="20"/>
              </w:rPr>
              <w:t xml:space="preserve"> </w:t>
            </w:r>
            <w:r>
              <w:rPr>
                <w:spacing w:val="6"/>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3"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17"/>
              <w:spacing w:before="65" w:line="189" w:lineRule="auto"/>
              <w:ind w:left="323"/>
              <w:rPr>
                <w:sz w:val="20"/>
                <w:szCs w:val="20"/>
              </w:rPr>
            </w:pPr>
            <w:r>
              <w:rPr>
                <w:sz w:val="20"/>
                <w:szCs w:val="20"/>
              </w:rPr>
              <w:t>9</w:t>
            </w:r>
          </w:p>
        </w:tc>
        <w:tc>
          <w:tcPr>
            <w:tcW w:w="7379" w:type="dxa"/>
            <w:vAlign w:val="top"/>
          </w:tcPr>
          <w:p>
            <w:pPr>
              <w:pStyle w:val="17"/>
              <w:spacing w:before="118" w:line="225" w:lineRule="auto"/>
              <w:ind w:left="127"/>
              <w:rPr>
                <w:sz w:val="20"/>
                <w:szCs w:val="20"/>
              </w:rPr>
            </w:pPr>
            <w:r>
              <w:rPr>
                <w:spacing w:val="5"/>
                <w:sz w:val="20"/>
                <w:szCs w:val="20"/>
              </w:rPr>
              <w:t>出现以下情况每次违约金</w:t>
            </w:r>
            <w:r>
              <w:rPr>
                <w:spacing w:val="-32"/>
                <w:sz w:val="20"/>
                <w:szCs w:val="20"/>
              </w:rPr>
              <w:t xml:space="preserve"> </w:t>
            </w:r>
            <w:r>
              <w:rPr>
                <w:spacing w:val="5"/>
                <w:sz w:val="20"/>
                <w:szCs w:val="20"/>
              </w:rPr>
              <w:t>2,000</w:t>
            </w:r>
            <w:r>
              <w:rPr>
                <w:spacing w:val="-37"/>
                <w:sz w:val="20"/>
                <w:szCs w:val="20"/>
              </w:rPr>
              <w:t xml:space="preserve"> </w:t>
            </w:r>
            <w:r>
              <w:rPr>
                <w:spacing w:val="5"/>
                <w:sz w:val="20"/>
                <w:szCs w:val="20"/>
              </w:rPr>
              <w:t>元：</w:t>
            </w:r>
          </w:p>
          <w:p>
            <w:pPr>
              <w:pStyle w:val="17"/>
              <w:spacing w:before="164" w:line="408" w:lineRule="exact"/>
              <w:ind w:left="119"/>
              <w:rPr>
                <w:sz w:val="20"/>
                <w:szCs w:val="20"/>
              </w:rPr>
            </w:pPr>
            <w:r>
              <w:rPr>
                <w:spacing w:val="9"/>
                <w:position w:val="15"/>
                <w:sz w:val="20"/>
                <w:szCs w:val="20"/>
              </w:rPr>
              <w:t>（1）施工车辆和机械带病上岗，操作人员无证上岗和</w:t>
            </w:r>
            <w:r>
              <w:rPr>
                <w:spacing w:val="8"/>
                <w:position w:val="15"/>
                <w:sz w:val="20"/>
                <w:szCs w:val="20"/>
              </w:rPr>
              <w:t>违反操作规程；</w:t>
            </w:r>
          </w:p>
          <w:p>
            <w:pPr>
              <w:pStyle w:val="17"/>
              <w:spacing w:line="227" w:lineRule="auto"/>
              <w:ind w:left="119"/>
              <w:rPr>
                <w:sz w:val="20"/>
                <w:szCs w:val="20"/>
              </w:rPr>
            </w:pPr>
            <w:r>
              <w:rPr>
                <w:spacing w:val="8"/>
                <w:sz w:val="20"/>
                <w:szCs w:val="20"/>
              </w:rPr>
              <w:t>（2）发生各种事故苗头及事故未及时不整改和隐瞒不报；</w:t>
            </w:r>
          </w:p>
          <w:p>
            <w:pPr>
              <w:pStyle w:val="17"/>
              <w:spacing w:before="161" w:line="408" w:lineRule="exact"/>
              <w:ind w:left="119"/>
              <w:rPr>
                <w:sz w:val="20"/>
                <w:szCs w:val="20"/>
              </w:rPr>
            </w:pPr>
            <w:r>
              <w:rPr>
                <w:spacing w:val="8"/>
                <w:position w:val="15"/>
                <w:sz w:val="20"/>
                <w:szCs w:val="20"/>
              </w:rPr>
              <w:t>（3）每月安全大检查，安全管理人员无故不在位；</w:t>
            </w:r>
          </w:p>
          <w:p>
            <w:pPr>
              <w:pStyle w:val="17"/>
              <w:spacing w:line="226" w:lineRule="auto"/>
              <w:ind w:left="119"/>
              <w:rPr>
                <w:sz w:val="20"/>
                <w:szCs w:val="20"/>
              </w:rPr>
            </w:pPr>
            <w:r>
              <w:rPr>
                <w:spacing w:val="8"/>
                <w:sz w:val="20"/>
                <w:szCs w:val="20"/>
              </w:rPr>
              <w:t>（4）主要施工机械设备应悬挂操作规程；</w:t>
            </w:r>
          </w:p>
          <w:p>
            <w:pPr>
              <w:pStyle w:val="17"/>
              <w:spacing w:before="162" w:line="411" w:lineRule="exact"/>
              <w:ind w:left="119"/>
              <w:rPr>
                <w:sz w:val="20"/>
                <w:szCs w:val="20"/>
              </w:rPr>
            </w:pPr>
            <w:r>
              <w:rPr>
                <w:spacing w:val="8"/>
                <w:position w:val="15"/>
                <w:sz w:val="20"/>
                <w:szCs w:val="20"/>
              </w:rPr>
              <w:t>（5）作业人员酒后作业、机器设备带病作业的；</w:t>
            </w:r>
          </w:p>
          <w:p>
            <w:pPr>
              <w:pStyle w:val="17"/>
              <w:spacing w:line="228" w:lineRule="auto"/>
              <w:ind w:left="119"/>
              <w:rPr>
                <w:sz w:val="20"/>
                <w:szCs w:val="20"/>
              </w:rPr>
            </w:pPr>
            <w:r>
              <w:rPr>
                <w:spacing w:val="8"/>
                <w:sz w:val="20"/>
                <w:szCs w:val="20"/>
              </w:rPr>
              <w:t>（6）施工未进行安全交底，安全交底无记录的。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2" w:hRule="atLeast"/>
        </w:trPr>
        <w:tc>
          <w:tcPr>
            <w:tcW w:w="807" w:type="dxa"/>
            <w:vMerge w:val="continue"/>
            <w:tcBorders>
              <w:top w:val="nil"/>
            </w:tcBorders>
            <w:vAlign w:val="top"/>
          </w:tcPr>
          <w:p>
            <w:pPr>
              <w:rPr>
                <w:rFonts w:ascii="Arial"/>
                <w:sz w:val="21"/>
              </w:rPr>
            </w:pPr>
          </w:p>
        </w:tc>
        <w:tc>
          <w:tcPr>
            <w:tcW w:w="751"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17"/>
              <w:spacing w:before="65" w:line="190" w:lineRule="auto"/>
              <w:ind w:left="285"/>
              <w:rPr>
                <w:sz w:val="20"/>
                <w:szCs w:val="20"/>
              </w:rPr>
            </w:pPr>
            <w:r>
              <w:rPr>
                <w:spacing w:val="-7"/>
                <w:sz w:val="20"/>
                <w:szCs w:val="20"/>
              </w:rPr>
              <w:t>10</w:t>
            </w:r>
          </w:p>
        </w:tc>
        <w:tc>
          <w:tcPr>
            <w:tcW w:w="7379" w:type="dxa"/>
            <w:vAlign w:val="top"/>
          </w:tcPr>
          <w:p>
            <w:pPr>
              <w:pStyle w:val="17"/>
              <w:spacing w:before="118" w:line="408" w:lineRule="exact"/>
              <w:ind w:left="108"/>
              <w:rPr>
                <w:sz w:val="20"/>
                <w:szCs w:val="20"/>
              </w:rPr>
            </w:pPr>
            <w:r>
              <w:rPr>
                <w:spacing w:val="7"/>
                <w:position w:val="15"/>
                <w:sz w:val="20"/>
                <w:szCs w:val="20"/>
              </w:rPr>
              <w:t>施工现场人员出现以下情况，每人/次违约金</w:t>
            </w:r>
            <w:r>
              <w:rPr>
                <w:spacing w:val="-22"/>
                <w:position w:val="15"/>
                <w:sz w:val="20"/>
                <w:szCs w:val="20"/>
              </w:rPr>
              <w:t xml:space="preserve"> </w:t>
            </w:r>
            <w:r>
              <w:rPr>
                <w:spacing w:val="7"/>
                <w:position w:val="15"/>
                <w:sz w:val="20"/>
                <w:szCs w:val="20"/>
              </w:rPr>
              <w:t>500</w:t>
            </w:r>
            <w:r>
              <w:rPr>
                <w:spacing w:val="-38"/>
                <w:position w:val="15"/>
                <w:sz w:val="20"/>
                <w:szCs w:val="20"/>
              </w:rPr>
              <w:t xml:space="preserve"> </w:t>
            </w:r>
            <w:r>
              <w:rPr>
                <w:spacing w:val="7"/>
                <w:position w:val="15"/>
                <w:sz w:val="20"/>
                <w:szCs w:val="20"/>
              </w:rPr>
              <w:t>元：</w:t>
            </w:r>
          </w:p>
          <w:p>
            <w:pPr>
              <w:pStyle w:val="17"/>
              <w:spacing w:line="226" w:lineRule="auto"/>
              <w:ind w:left="119"/>
              <w:rPr>
                <w:sz w:val="20"/>
                <w:szCs w:val="20"/>
              </w:rPr>
            </w:pPr>
            <w:r>
              <w:rPr>
                <w:spacing w:val="5"/>
                <w:sz w:val="20"/>
                <w:szCs w:val="20"/>
              </w:rPr>
              <w:t>（1）不戴安全帽；</w:t>
            </w:r>
          </w:p>
          <w:p>
            <w:pPr>
              <w:pStyle w:val="17"/>
              <w:spacing w:before="162" w:line="408" w:lineRule="exact"/>
              <w:ind w:left="119"/>
              <w:rPr>
                <w:sz w:val="20"/>
                <w:szCs w:val="20"/>
              </w:rPr>
            </w:pPr>
            <w:r>
              <w:rPr>
                <w:spacing w:val="7"/>
                <w:position w:val="15"/>
                <w:sz w:val="20"/>
                <w:szCs w:val="20"/>
              </w:rPr>
              <w:t>（2）高空作业不系安全带；</w:t>
            </w:r>
          </w:p>
          <w:p>
            <w:pPr>
              <w:pStyle w:val="17"/>
              <w:spacing w:line="227" w:lineRule="auto"/>
              <w:ind w:left="119"/>
              <w:rPr>
                <w:sz w:val="20"/>
                <w:szCs w:val="20"/>
              </w:rPr>
            </w:pPr>
            <w:r>
              <w:rPr>
                <w:spacing w:val="7"/>
                <w:sz w:val="20"/>
                <w:szCs w:val="20"/>
              </w:rPr>
              <w:t>（3）水上作业不穿救生衣；</w:t>
            </w:r>
          </w:p>
          <w:p>
            <w:pPr>
              <w:pStyle w:val="17"/>
              <w:spacing w:before="164" w:line="227" w:lineRule="auto"/>
              <w:ind w:left="119"/>
              <w:rPr>
                <w:sz w:val="20"/>
                <w:szCs w:val="20"/>
              </w:rPr>
            </w:pPr>
            <w:r>
              <w:rPr>
                <w:spacing w:val="6"/>
                <w:sz w:val="20"/>
                <w:szCs w:val="20"/>
              </w:rPr>
              <w:t>（4）赤脚或穿拖鞋；</w:t>
            </w:r>
          </w:p>
          <w:p>
            <w:pPr>
              <w:pStyle w:val="17"/>
              <w:spacing w:before="162" w:line="408" w:lineRule="exact"/>
              <w:ind w:right="4"/>
              <w:jc w:val="right"/>
              <w:rPr>
                <w:sz w:val="20"/>
                <w:szCs w:val="20"/>
              </w:rPr>
            </w:pPr>
            <w:r>
              <w:rPr>
                <w:spacing w:val="4"/>
                <w:position w:val="15"/>
                <w:sz w:val="20"/>
                <w:szCs w:val="20"/>
              </w:rPr>
              <w:t>（5）爆破员、安全员、电工、装载机司机、运输车司机、电焊工、砼工、吊车、</w:t>
            </w:r>
          </w:p>
          <w:p>
            <w:pPr>
              <w:pStyle w:val="17"/>
              <w:spacing w:before="1" w:line="226" w:lineRule="auto"/>
              <w:ind w:left="109"/>
              <w:rPr>
                <w:sz w:val="20"/>
                <w:szCs w:val="20"/>
              </w:rPr>
            </w:pPr>
            <w:r>
              <w:rPr>
                <w:spacing w:val="8"/>
                <w:sz w:val="20"/>
                <w:szCs w:val="20"/>
              </w:rPr>
              <w:t>架桥机等特殊工种未持证上岗的。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restart"/>
            <w:tcBorders>
              <w:bottom w:val="nil"/>
            </w:tcBorders>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17"/>
              <w:spacing w:before="65" w:line="408" w:lineRule="exact"/>
              <w:ind w:left="197"/>
              <w:rPr>
                <w:sz w:val="20"/>
                <w:szCs w:val="20"/>
              </w:rPr>
            </w:pPr>
            <w:r>
              <w:rPr>
                <w:spacing w:val="3"/>
                <w:position w:val="15"/>
                <w:sz w:val="20"/>
                <w:szCs w:val="20"/>
              </w:rPr>
              <w:t>文明</w:t>
            </w:r>
          </w:p>
          <w:p>
            <w:pPr>
              <w:pStyle w:val="17"/>
              <w:spacing w:line="230" w:lineRule="auto"/>
              <w:ind w:left="195"/>
              <w:rPr>
                <w:sz w:val="20"/>
                <w:szCs w:val="20"/>
              </w:rPr>
            </w:pPr>
            <w:r>
              <w:rPr>
                <w:spacing w:val="5"/>
                <w:sz w:val="20"/>
                <w:szCs w:val="20"/>
              </w:rPr>
              <w:t>施工</w:t>
            </w:r>
          </w:p>
        </w:tc>
        <w:tc>
          <w:tcPr>
            <w:tcW w:w="751" w:type="dxa"/>
            <w:vAlign w:val="top"/>
          </w:tcPr>
          <w:p>
            <w:pPr>
              <w:spacing w:line="292" w:lineRule="auto"/>
              <w:rPr>
                <w:rFonts w:ascii="Arial"/>
                <w:sz w:val="21"/>
              </w:rPr>
            </w:pPr>
          </w:p>
          <w:p>
            <w:pPr>
              <w:pStyle w:val="17"/>
              <w:spacing w:before="65" w:line="189" w:lineRule="auto"/>
              <w:ind w:left="337"/>
              <w:rPr>
                <w:sz w:val="20"/>
                <w:szCs w:val="20"/>
              </w:rPr>
            </w:pPr>
            <w:r>
              <w:rPr>
                <w:sz w:val="20"/>
                <w:szCs w:val="20"/>
              </w:rPr>
              <w:t>1</w:t>
            </w:r>
          </w:p>
        </w:tc>
        <w:tc>
          <w:tcPr>
            <w:tcW w:w="7379" w:type="dxa"/>
            <w:vAlign w:val="top"/>
          </w:tcPr>
          <w:p>
            <w:pPr>
              <w:pStyle w:val="17"/>
              <w:spacing w:before="122" w:line="408" w:lineRule="exact"/>
              <w:ind w:left="109"/>
              <w:rPr>
                <w:sz w:val="20"/>
                <w:szCs w:val="20"/>
              </w:rPr>
            </w:pPr>
            <w:r>
              <w:rPr>
                <w:spacing w:val="10"/>
                <w:position w:val="15"/>
                <w:sz w:val="20"/>
                <w:szCs w:val="20"/>
              </w:rPr>
              <w:t>承包人驻地建设应包括防护、围墙、临时便道和安全、卫生、防火设施，违者</w:t>
            </w:r>
          </w:p>
          <w:p>
            <w:pPr>
              <w:pStyle w:val="17"/>
              <w:spacing w:line="227" w:lineRule="auto"/>
              <w:ind w:left="109"/>
              <w:rPr>
                <w:sz w:val="20"/>
                <w:szCs w:val="20"/>
              </w:rPr>
            </w:pPr>
            <w:r>
              <w:rPr>
                <w:spacing w:val="4"/>
                <w:sz w:val="20"/>
                <w:szCs w:val="20"/>
              </w:rPr>
              <w:t>每项违约金</w:t>
            </w:r>
            <w:r>
              <w:rPr>
                <w:spacing w:val="-32"/>
                <w:sz w:val="20"/>
                <w:szCs w:val="20"/>
              </w:rPr>
              <w:t xml:space="preserve"> </w:t>
            </w:r>
            <w:r>
              <w:rPr>
                <w:spacing w:val="4"/>
                <w:sz w:val="20"/>
                <w:szCs w:val="20"/>
              </w:rPr>
              <w:t>5000</w:t>
            </w:r>
            <w:r>
              <w:rPr>
                <w:spacing w:val="-38"/>
                <w:sz w:val="20"/>
                <w:szCs w:val="20"/>
              </w:rPr>
              <w:t xml:space="preserve"> </w:t>
            </w:r>
            <w:r>
              <w:rPr>
                <w:spacing w:val="4"/>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91" w:lineRule="auto"/>
              <w:rPr>
                <w:rFonts w:ascii="Arial"/>
                <w:sz w:val="21"/>
              </w:rPr>
            </w:pPr>
          </w:p>
          <w:p>
            <w:pPr>
              <w:pStyle w:val="17"/>
              <w:spacing w:before="65" w:line="189" w:lineRule="auto"/>
              <w:ind w:left="325"/>
              <w:rPr>
                <w:sz w:val="20"/>
                <w:szCs w:val="20"/>
              </w:rPr>
            </w:pPr>
            <w:r>
              <w:rPr>
                <w:sz w:val="20"/>
                <w:szCs w:val="20"/>
              </w:rPr>
              <w:t>2</w:t>
            </w:r>
          </w:p>
        </w:tc>
        <w:tc>
          <w:tcPr>
            <w:tcW w:w="7379" w:type="dxa"/>
            <w:vAlign w:val="top"/>
          </w:tcPr>
          <w:p>
            <w:pPr>
              <w:pStyle w:val="17"/>
              <w:spacing w:before="122" w:line="408" w:lineRule="exact"/>
              <w:ind w:left="109"/>
              <w:rPr>
                <w:sz w:val="20"/>
                <w:szCs w:val="20"/>
              </w:rPr>
            </w:pPr>
            <w:r>
              <w:rPr>
                <w:spacing w:val="10"/>
                <w:position w:val="15"/>
                <w:sz w:val="20"/>
                <w:szCs w:val="20"/>
              </w:rPr>
              <w:t>承包人项目经理部应按发包人统一要求设置组织机构、质量管理、安全生产等</w:t>
            </w:r>
          </w:p>
          <w:p>
            <w:pPr>
              <w:pStyle w:val="17"/>
              <w:spacing w:line="226" w:lineRule="auto"/>
              <w:ind w:left="112"/>
              <w:rPr>
                <w:sz w:val="20"/>
                <w:szCs w:val="20"/>
              </w:rPr>
            </w:pPr>
            <w:r>
              <w:rPr>
                <w:spacing w:val="6"/>
                <w:sz w:val="20"/>
                <w:szCs w:val="20"/>
              </w:rPr>
              <w:t>宣传牌，违者每项违约金</w:t>
            </w:r>
            <w:r>
              <w:rPr>
                <w:spacing w:val="-33"/>
                <w:sz w:val="20"/>
                <w:szCs w:val="20"/>
              </w:rPr>
              <w:t xml:space="preserve"> </w:t>
            </w:r>
            <w:r>
              <w:rPr>
                <w:spacing w:val="6"/>
                <w:sz w:val="20"/>
                <w:szCs w:val="20"/>
              </w:rPr>
              <w:t>5000</w:t>
            </w:r>
            <w:r>
              <w:rPr>
                <w:spacing w:val="-39"/>
                <w:sz w:val="20"/>
                <w:szCs w:val="20"/>
              </w:rPr>
              <w:t xml:space="preserve"> </w:t>
            </w:r>
            <w:r>
              <w:rPr>
                <w:spacing w:val="6"/>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94" w:lineRule="auto"/>
              <w:rPr>
                <w:rFonts w:ascii="Arial"/>
                <w:sz w:val="21"/>
              </w:rPr>
            </w:pPr>
          </w:p>
          <w:p>
            <w:pPr>
              <w:pStyle w:val="17"/>
              <w:spacing w:before="65" w:line="189" w:lineRule="auto"/>
              <w:ind w:left="326"/>
              <w:rPr>
                <w:sz w:val="20"/>
                <w:szCs w:val="20"/>
              </w:rPr>
            </w:pPr>
            <w:r>
              <w:rPr>
                <w:sz w:val="20"/>
                <w:szCs w:val="20"/>
              </w:rPr>
              <w:t>3</w:t>
            </w:r>
          </w:p>
        </w:tc>
        <w:tc>
          <w:tcPr>
            <w:tcW w:w="7379" w:type="dxa"/>
            <w:vAlign w:val="top"/>
          </w:tcPr>
          <w:p>
            <w:pPr>
              <w:pStyle w:val="17"/>
              <w:spacing w:before="124" w:line="408" w:lineRule="exact"/>
              <w:ind w:left="110"/>
              <w:rPr>
                <w:sz w:val="20"/>
                <w:szCs w:val="20"/>
              </w:rPr>
            </w:pPr>
            <w:r>
              <w:rPr>
                <w:spacing w:val="2"/>
                <w:position w:val="15"/>
                <w:sz w:val="20"/>
                <w:szCs w:val="20"/>
              </w:rPr>
              <w:t>单项工程的施工现场未按要求设立标示牌的，施工点无安全员的,每处违约金</w:t>
            </w:r>
            <w:r>
              <w:rPr>
                <w:spacing w:val="-20"/>
                <w:position w:val="15"/>
                <w:sz w:val="20"/>
                <w:szCs w:val="20"/>
              </w:rPr>
              <w:t xml:space="preserve"> </w:t>
            </w:r>
            <w:r>
              <w:rPr>
                <w:spacing w:val="2"/>
                <w:position w:val="15"/>
                <w:sz w:val="20"/>
                <w:szCs w:val="20"/>
              </w:rPr>
              <w:t>500</w:t>
            </w:r>
          </w:p>
          <w:p>
            <w:pPr>
              <w:pStyle w:val="17"/>
              <w:spacing w:line="228" w:lineRule="auto"/>
              <w:ind w:left="110"/>
              <w:rPr>
                <w:sz w:val="20"/>
                <w:szCs w:val="20"/>
              </w:rPr>
            </w:pPr>
            <w:r>
              <w:rPr>
                <w:spacing w:val="-1"/>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07" w:type="dxa"/>
            <w:vMerge w:val="continue"/>
            <w:tcBorders>
              <w:top w:val="nil"/>
            </w:tcBorders>
            <w:vAlign w:val="top"/>
          </w:tcPr>
          <w:p>
            <w:pPr>
              <w:rPr>
                <w:rFonts w:ascii="Arial"/>
                <w:sz w:val="21"/>
              </w:rPr>
            </w:pPr>
          </w:p>
        </w:tc>
        <w:tc>
          <w:tcPr>
            <w:tcW w:w="751" w:type="dxa"/>
            <w:vAlign w:val="top"/>
          </w:tcPr>
          <w:p>
            <w:pPr>
              <w:pStyle w:val="17"/>
              <w:spacing w:before="156" w:line="189" w:lineRule="auto"/>
              <w:ind w:left="321"/>
              <w:rPr>
                <w:sz w:val="20"/>
                <w:szCs w:val="20"/>
              </w:rPr>
            </w:pPr>
            <w:r>
              <w:rPr>
                <w:sz w:val="20"/>
                <w:szCs w:val="20"/>
              </w:rPr>
              <w:t>4</w:t>
            </w:r>
          </w:p>
        </w:tc>
        <w:tc>
          <w:tcPr>
            <w:tcW w:w="7379" w:type="dxa"/>
            <w:vAlign w:val="top"/>
          </w:tcPr>
          <w:p>
            <w:pPr>
              <w:pStyle w:val="17"/>
              <w:spacing w:before="123" w:line="225" w:lineRule="auto"/>
              <w:ind w:left="108"/>
              <w:rPr>
                <w:sz w:val="20"/>
                <w:szCs w:val="20"/>
              </w:rPr>
            </w:pPr>
            <w:r>
              <w:rPr>
                <w:spacing w:val="7"/>
                <w:sz w:val="20"/>
                <w:szCs w:val="20"/>
              </w:rPr>
              <w:t>施工现场管理人员不佩带工作证, 每人/次违约金</w:t>
            </w:r>
            <w:r>
              <w:rPr>
                <w:spacing w:val="-23"/>
                <w:sz w:val="20"/>
                <w:szCs w:val="20"/>
              </w:rPr>
              <w:t xml:space="preserve"> </w:t>
            </w:r>
            <w:r>
              <w:rPr>
                <w:spacing w:val="7"/>
                <w:sz w:val="20"/>
                <w:szCs w:val="20"/>
              </w:rPr>
              <w:t>200</w:t>
            </w:r>
            <w:r>
              <w:rPr>
                <w:spacing w:val="-38"/>
                <w:sz w:val="20"/>
                <w:szCs w:val="20"/>
              </w:rPr>
              <w:t xml:space="preserve"> </w:t>
            </w:r>
            <w:r>
              <w:rPr>
                <w:spacing w:val="7"/>
                <w:sz w:val="20"/>
                <w:szCs w:val="20"/>
              </w:rPr>
              <w:t>元。</w:t>
            </w:r>
          </w:p>
        </w:tc>
      </w:tr>
    </w:tbl>
    <w:p>
      <w:pPr>
        <w:rPr>
          <w:rFonts w:ascii="Arial"/>
          <w:sz w:val="21"/>
        </w:rPr>
      </w:pPr>
    </w:p>
    <w:p>
      <w:pPr>
        <w:spacing w:before="228"/>
      </w:pPr>
    </w:p>
    <w:tbl>
      <w:tblPr>
        <w:tblStyle w:val="16"/>
        <w:tblW w:w="8937" w:type="dxa"/>
        <w:tblInd w:w="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751"/>
        <w:gridCol w:w="7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807" w:type="dxa"/>
            <w:vMerge w:val="restart"/>
            <w:tcBorders>
              <w:bottom w:val="nil"/>
            </w:tcBorders>
            <w:vAlign w:val="top"/>
          </w:tcPr>
          <w:p>
            <w:pPr>
              <w:rPr>
                <w:rFonts w:ascii="Arial"/>
                <w:sz w:val="21"/>
              </w:rPr>
            </w:pPr>
          </w:p>
        </w:tc>
        <w:tc>
          <w:tcPr>
            <w:tcW w:w="751" w:type="dxa"/>
            <w:vAlign w:val="top"/>
          </w:tcPr>
          <w:p>
            <w:pPr>
              <w:pStyle w:val="17"/>
              <w:spacing w:before="157" w:line="187" w:lineRule="auto"/>
              <w:ind w:left="326"/>
              <w:rPr>
                <w:sz w:val="20"/>
                <w:szCs w:val="20"/>
              </w:rPr>
            </w:pPr>
            <w:r>
              <w:rPr>
                <w:sz w:val="20"/>
                <w:szCs w:val="20"/>
              </w:rPr>
              <w:t>5</w:t>
            </w:r>
          </w:p>
        </w:tc>
        <w:tc>
          <w:tcPr>
            <w:tcW w:w="7379" w:type="dxa"/>
            <w:vAlign w:val="top"/>
          </w:tcPr>
          <w:p>
            <w:pPr>
              <w:pStyle w:val="17"/>
              <w:spacing w:before="122" w:line="225" w:lineRule="auto"/>
              <w:ind w:left="110"/>
              <w:rPr>
                <w:sz w:val="20"/>
                <w:szCs w:val="20"/>
              </w:rPr>
            </w:pPr>
            <w:r>
              <w:rPr>
                <w:spacing w:val="8"/>
                <w:sz w:val="20"/>
                <w:szCs w:val="20"/>
              </w:rPr>
              <w:t>路基施工作业面、便道不及时洒水降尘的，每次</w:t>
            </w:r>
            <w:r>
              <w:rPr>
                <w:spacing w:val="7"/>
                <w:sz w:val="20"/>
                <w:szCs w:val="20"/>
              </w:rPr>
              <w:t>违约金</w:t>
            </w:r>
            <w:r>
              <w:rPr>
                <w:spacing w:val="-35"/>
                <w:sz w:val="20"/>
                <w:szCs w:val="20"/>
              </w:rPr>
              <w:t xml:space="preserve"> </w:t>
            </w:r>
            <w:r>
              <w:rPr>
                <w:spacing w:val="7"/>
                <w:sz w:val="20"/>
                <w:szCs w:val="20"/>
              </w:rPr>
              <w:t>3,000</w:t>
            </w:r>
            <w:r>
              <w:rPr>
                <w:spacing w:val="-37"/>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4" w:lineRule="auto"/>
              <w:rPr>
                <w:rFonts w:ascii="Arial"/>
                <w:sz w:val="21"/>
              </w:rPr>
            </w:pPr>
          </w:p>
          <w:p>
            <w:pPr>
              <w:pStyle w:val="17"/>
              <w:spacing w:before="65" w:line="189" w:lineRule="auto"/>
              <w:ind w:left="324"/>
              <w:rPr>
                <w:sz w:val="20"/>
                <w:szCs w:val="20"/>
              </w:rPr>
            </w:pPr>
            <w:r>
              <w:rPr>
                <w:sz w:val="20"/>
                <w:szCs w:val="20"/>
              </w:rPr>
              <w:t>6</w:t>
            </w:r>
          </w:p>
        </w:tc>
        <w:tc>
          <w:tcPr>
            <w:tcW w:w="7379" w:type="dxa"/>
            <w:vAlign w:val="top"/>
          </w:tcPr>
          <w:p>
            <w:pPr>
              <w:pStyle w:val="17"/>
              <w:spacing w:before="114" w:line="408" w:lineRule="exact"/>
              <w:ind w:left="109"/>
              <w:rPr>
                <w:sz w:val="20"/>
                <w:szCs w:val="20"/>
              </w:rPr>
            </w:pPr>
            <w:r>
              <w:rPr>
                <w:spacing w:val="10"/>
                <w:position w:val="15"/>
                <w:sz w:val="20"/>
                <w:szCs w:val="20"/>
              </w:rPr>
              <w:t>桥梁施工过程中的泥浆及废弃物等，须在该项工程完工时即时清除干净，违者</w:t>
            </w:r>
          </w:p>
          <w:p>
            <w:pPr>
              <w:pStyle w:val="17"/>
              <w:spacing w:line="224" w:lineRule="auto"/>
              <w:ind w:left="109"/>
              <w:rPr>
                <w:sz w:val="20"/>
                <w:szCs w:val="20"/>
              </w:rPr>
            </w:pPr>
            <w:r>
              <w:rPr>
                <w:spacing w:val="3"/>
                <w:sz w:val="20"/>
                <w:szCs w:val="20"/>
              </w:rPr>
              <w:t>违约金</w:t>
            </w:r>
            <w:r>
              <w:rPr>
                <w:spacing w:val="-32"/>
                <w:sz w:val="20"/>
                <w:szCs w:val="20"/>
              </w:rPr>
              <w:t xml:space="preserve"> </w:t>
            </w:r>
            <w:r>
              <w:rPr>
                <w:spacing w:val="3"/>
                <w:sz w:val="20"/>
                <w:szCs w:val="20"/>
              </w:rPr>
              <w:t>3,0000</w:t>
            </w:r>
            <w:r>
              <w:rPr>
                <w:spacing w:val="-38"/>
                <w:sz w:val="20"/>
                <w:szCs w:val="20"/>
              </w:rPr>
              <w:t xml:space="preserve"> </w:t>
            </w:r>
            <w:r>
              <w:rPr>
                <w:spacing w:val="3"/>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6" w:lineRule="auto"/>
              <w:rPr>
                <w:rFonts w:ascii="Arial"/>
                <w:sz w:val="21"/>
              </w:rPr>
            </w:pPr>
          </w:p>
          <w:p>
            <w:pPr>
              <w:pStyle w:val="17"/>
              <w:spacing w:before="65" w:line="187" w:lineRule="auto"/>
              <w:ind w:left="327"/>
              <w:rPr>
                <w:sz w:val="20"/>
                <w:szCs w:val="20"/>
              </w:rPr>
            </w:pPr>
            <w:r>
              <w:rPr>
                <w:sz w:val="20"/>
                <w:szCs w:val="20"/>
              </w:rPr>
              <w:t>7</w:t>
            </w:r>
          </w:p>
        </w:tc>
        <w:tc>
          <w:tcPr>
            <w:tcW w:w="7379" w:type="dxa"/>
            <w:vAlign w:val="top"/>
          </w:tcPr>
          <w:p>
            <w:pPr>
              <w:pStyle w:val="17"/>
              <w:spacing w:before="114" w:line="408" w:lineRule="exact"/>
              <w:ind w:left="108"/>
              <w:rPr>
                <w:sz w:val="20"/>
                <w:szCs w:val="20"/>
              </w:rPr>
            </w:pPr>
            <w:r>
              <w:rPr>
                <w:spacing w:val="10"/>
                <w:position w:val="15"/>
                <w:sz w:val="20"/>
                <w:szCs w:val="20"/>
              </w:rPr>
              <w:t>施工现场未采取有效措施，造成水源污染、空气污染等不良后果，引起群众抗</w:t>
            </w:r>
          </w:p>
          <w:p>
            <w:pPr>
              <w:pStyle w:val="17"/>
              <w:spacing w:line="227" w:lineRule="auto"/>
              <w:ind w:left="110"/>
              <w:rPr>
                <w:sz w:val="20"/>
                <w:szCs w:val="20"/>
              </w:rPr>
            </w:pPr>
            <w:r>
              <w:rPr>
                <w:spacing w:val="7"/>
                <w:sz w:val="20"/>
                <w:szCs w:val="20"/>
              </w:rPr>
              <w:t>议、投诉或有关行政主管部门处理的，每次违约金</w:t>
            </w:r>
            <w:r>
              <w:rPr>
                <w:spacing w:val="-16"/>
                <w:sz w:val="20"/>
                <w:szCs w:val="20"/>
              </w:rPr>
              <w:t xml:space="preserve"> </w:t>
            </w:r>
            <w:r>
              <w:rPr>
                <w:spacing w:val="7"/>
                <w:sz w:val="20"/>
                <w:szCs w:val="20"/>
              </w:rPr>
              <w:t>10，000</w:t>
            </w:r>
            <w:r>
              <w:rPr>
                <w:spacing w:val="-36"/>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49" w:line="189" w:lineRule="auto"/>
              <w:ind w:left="323"/>
              <w:rPr>
                <w:sz w:val="20"/>
                <w:szCs w:val="20"/>
              </w:rPr>
            </w:pPr>
            <w:r>
              <w:rPr>
                <w:sz w:val="20"/>
                <w:szCs w:val="20"/>
              </w:rPr>
              <w:t>8</w:t>
            </w:r>
          </w:p>
        </w:tc>
        <w:tc>
          <w:tcPr>
            <w:tcW w:w="7379" w:type="dxa"/>
            <w:vAlign w:val="top"/>
          </w:tcPr>
          <w:p>
            <w:pPr>
              <w:pStyle w:val="17"/>
              <w:spacing w:before="115" w:line="228" w:lineRule="auto"/>
              <w:ind w:left="112"/>
              <w:rPr>
                <w:sz w:val="20"/>
                <w:szCs w:val="20"/>
              </w:rPr>
            </w:pPr>
            <w:r>
              <w:rPr>
                <w:spacing w:val="8"/>
                <w:sz w:val="20"/>
                <w:szCs w:val="20"/>
              </w:rPr>
              <w:t>弃土、弃渣占农田果园、堵塞水道以及造成水土流失的，每次违约金</w:t>
            </w:r>
            <w:r>
              <w:rPr>
                <w:spacing w:val="-30"/>
                <w:sz w:val="20"/>
                <w:szCs w:val="20"/>
              </w:rPr>
              <w:t xml:space="preserve"> </w:t>
            </w:r>
            <w:r>
              <w:rPr>
                <w:spacing w:val="8"/>
                <w:sz w:val="20"/>
                <w:szCs w:val="20"/>
              </w:rPr>
              <w:t>5000</w:t>
            </w:r>
            <w:r>
              <w:rPr>
                <w:spacing w:val="-39"/>
                <w:sz w:val="20"/>
                <w:szCs w:val="20"/>
              </w:rPr>
              <w:t xml:space="preserve"> </w:t>
            </w:r>
            <w:r>
              <w:rPr>
                <w:spacing w:val="8"/>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tcBorders>
            <w:vAlign w:val="top"/>
          </w:tcPr>
          <w:p>
            <w:pPr>
              <w:rPr>
                <w:rFonts w:ascii="Arial"/>
                <w:sz w:val="21"/>
              </w:rPr>
            </w:pPr>
          </w:p>
        </w:tc>
        <w:tc>
          <w:tcPr>
            <w:tcW w:w="751" w:type="dxa"/>
            <w:vAlign w:val="top"/>
          </w:tcPr>
          <w:p>
            <w:pPr>
              <w:spacing w:line="286" w:lineRule="auto"/>
              <w:rPr>
                <w:rFonts w:ascii="Arial"/>
                <w:sz w:val="21"/>
              </w:rPr>
            </w:pPr>
          </w:p>
          <w:p>
            <w:pPr>
              <w:pStyle w:val="17"/>
              <w:spacing w:before="65" w:line="189" w:lineRule="auto"/>
              <w:ind w:left="323"/>
              <w:rPr>
                <w:sz w:val="20"/>
                <w:szCs w:val="20"/>
              </w:rPr>
            </w:pPr>
            <w:r>
              <w:rPr>
                <w:sz w:val="20"/>
                <w:szCs w:val="20"/>
              </w:rPr>
              <w:t>9</w:t>
            </w:r>
          </w:p>
        </w:tc>
        <w:tc>
          <w:tcPr>
            <w:tcW w:w="7379" w:type="dxa"/>
            <w:vAlign w:val="top"/>
          </w:tcPr>
          <w:p>
            <w:pPr>
              <w:pStyle w:val="17"/>
              <w:spacing w:before="116" w:line="408" w:lineRule="exact"/>
              <w:ind w:left="111"/>
              <w:rPr>
                <w:sz w:val="20"/>
                <w:szCs w:val="20"/>
              </w:rPr>
            </w:pPr>
            <w:r>
              <w:rPr>
                <w:spacing w:val="10"/>
                <w:position w:val="15"/>
                <w:sz w:val="20"/>
                <w:szCs w:val="20"/>
              </w:rPr>
              <w:t>水土保持防护措施不完善，造成水土流失，污</w:t>
            </w:r>
            <w:r>
              <w:rPr>
                <w:spacing w:val="9"/>
                <w:position w:val="15"/>
                <w:sz w:val="20"/>
                <w:szCs w:val="20"/>
              </w:rPr>
              <w:t>染当地农田水利的，每次违约金</w:t>
            </w:r>
          </w:p>
          <w:p>
            <w:pPr>
              <w:pStyle w:val="17"/>
              <w:spacing w:line="228" w:lineRule="auto"/>
              <w:ind w:left="113"/>
              <w:rPr>
                <w:sz w:val="20"/>
                <w:szCs w:val="20"/>
              </w:rPr>
            </w:pPr>
            <w:r>
              <w:rPr>
                <w:sz w:val="20"/>
                <w:szCs w:val="20"/>
              </w:rPr>
              <w:t>5000</w:t>
            </w:r>
            <w:r>
              <w:rPr>
                <w:spacing w:val="-34"/>
                <w:sz w:val="20"/>
                <w:szCs w:val="20"/>
              </w:rPr>
              <w:t xml:space="preserve"> </w:t>
            </w:r>
            <w:r>
              <w:rPr>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17"/>
              <w:spacing w:before="65" w:line="408" w:lineRule="exact"/>
              <w:ind w:left="138"/>
              <w:rPr>
                <w:sz w:val="20"/>
                <w:szCs w:val="20"/>
              </w:rPr>
            </w:pPr>
            <w:r>
              <w:rPr>
                <w:position w:val="15"/>
                <w:sz w:val="20"/>
                <w:szCs w:val="20"/>
              </w:rPr>
              <w:t>环</w:t>
            </w:r>
            <w:r>
              <w:rPr>
                <w:spacing w:val="26"/>
                <w:position w:val="15"/>
                <w:sz w:val="20"/>
                <w:szCs w:val="20"/>
              </w:rPr>
              <w:t xml:space="preserve"> </w:t>
            </w:r>
            <w:r>
              <w:rPr>
                <w:position w:val="15"/>
                <w:sz w:val="20"/>
                <w:szCs w:val="20"/>
              </w:rPr>
              <w:t>境</w:t>
            </w:r>
          </w:p>
          <w:p>
            <w:pPr>
              <w:pStyle w:val="17"/>
              <w:spacing w:line="228" w:lineRule="auto"/>
              <w:ind w:left="139"/>
              <w:rPr>
                <w:sz w:val="20"/>
                <w:szCs w:val="20"/>
              </w:rPr>
            </w:pPr>
            <w:r>
              <w:rPr>
                <w:spacing w:val="4"/>
                <w:sz w:val="20"/>
                <w:szCs w:val="20"/>
              </w:rPr>
              <w:t>保护</w:t>
            </w:r>
          </w:p>
        </w:tc>
        <w:tc>
          <w:tcPr>
            <w:tcW w:w="751" w:type="dxa"/>
            <w:vAlign w:val="top"/>
          </w:tcPr>
          <w:p>
            <w:pPr>
              <w:pStyle w:val="17"/>
              <w:spacing w:before="150" w:line="189" w:lineRule="auto"/>
              <w:ind w:left="337"/>
              <w:rPr>
                <w:sz w:val="20"/>
                <w:szCs w:val="20"/>
              </w:rPr>
            </w:pPr>
            <w:r>
              <w:rPr>
                <w:sz w:val="20"/>
                <w:szCs w:val="20"/>
              </w:rPr>
              <w:t>1</w:t>
            </w:r>
          </w:p>
        </w:tc>
        <w:tc>
          <w:tcPr>
            <w:tcW w:w="7379" w:type="dxa"/>
            <w:vAlign w:val="top"/>
          </w:tcPr>
          <w:p>
            <w:pPr>
              <w:pStyle w:val="17"/>
              <w:spacing w:before="117" w:line="225" w:lineRule="auto"/>
              <w:ind w:left="112"/>
              <w:rPr>
                <w:sz w:val="20"/>
                <w:szCs w:val="20"/>
              </w:rPr>
            </w:pPr>
            <w:r>
              <w:rPr>
                <w:spacing w:val="7"/>
                <w:sz w:val="20"/>
                <w:szCs w:val="20"/>
              </w:rPr>
              <w:t>未建立健全的环境保护管理机构，违约金</w:t>
            </w:r>
            <w:r>
              <w:rPr>
                <w:spacing w:val="-17"/>
                <w:sz w:val="20"/>
                <w:szCs w:val="20"/>
              </w:rPr>
              <w:t xml:space="preserve"> </w:t>
            </w:r>
            <w:r>
              <w:rPr>
                <w:spacing w:val="7"/>
                <w:sz w:val="20"/>
                <w:szCs w:val="20"/>
              </w:rPr>
              <w:t>10,000</w:t>
            </w:r>
            <w:r>
              <w:rPr>
                <w:spacing w:val="-37"/>
                <w:sz w:val="20"/>
                <w:szCs w:val="20"/>
              </w:rPr>
              <w:t xml:space="preserve"> </w:t>
            </w:r>
            <w:r>
              <w:rPr>
                <w:spacing w:val="7"/>
                <w:sz w:val="20"/>
                <w:szCs w:val="20"/>
              </w:rPr>
              <w:t>元，并限期纠正。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0" w:line="189" w:lineRule="auto"/>
              <w:ind w:left="325"/>
              <w:rPr>
                <w:sz w:val="20"/>
                <w:szCs w:val="20"/>
              </w:rPr>
            </w:pPr>
            <w:r>
              <w:rPr>
                <w:sz w:val="20"/>
                <w:szCs w:val="20"/>
              </w:rPr>
              <w:t>2</w:t>
            </w:r>
          </w:p>
        </w:tc>
        <w:tc>
          <w:tcPr>
            <w:tcW w:w="7379" w:type="dxa"/>
            <w:vAlign w:val="top"/>
          </w:tcPr>
          <w:p>
            <w:pPr>
              <w:pStyle w:val="17"/>
              <w:spacing w:before="117" w:line="225" w:lineRule="auto"/>
              <w:ind w:left="109"/>
              <w:rPr>
                <w:sz w:val="20"/>
                <w:szCs w:val="20"/>
              </w:rPr>
            </w:pPr>
            <w:r>
              <w:rPr>
                <w:spacing w:val="7"/>
                <w:sz w:val="20"/>
                <w:szCs w:val="20"/>
              </w:rPr>
              <w:t>环境保护规章制度不齐全，违约金</w:t>
            </w:r>
            <w:r>
              <w:rPr>
                <w:spacing w:val="-20"/>
                <w:sz w:val="20"/>
                <w:szCs w:val="20"/>
              </w:rPr>
              <w:t xml:space="preserve"> </w:t>
            </w:r>
            <w:r>
              <w:rPr>
                <w:spacing w:val="7"/>
                <w:sz w:val="20"/>
                <w:szCs w:val="20"/>
              </w:rPr>
              <w:t>5,000</w:t>
            </w:r>
            <w:r>
              <w:rPr>
                <w:spacing w:val="-37"/>
                <w:sz w:val="20"/>
                <w:szCs w:val="20"/>
              </w:rPr>
              <w:t xml:space="preserve"> </w:t>
            </w:r>
            <w:r>
              <w:rPr>
                <w:spacing w:val="7"/>
                <w:sz w:val="20"/>
                <w:szCs w:val="20"/>
              </w:rPr>
              <w:t>元，并限期纠正。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0" w:line="189" w:lineRule="auto"/>
              <w:ind w:left="326"/>
              <w:rPr>
                <w:sz w:val="20"/>
                <w:szCs w:val="20"/>
              </w:rPr>
            </w:pPr>
            <w:r>
              <w:rPr>
                <w:sz w:val="20"/>
                <w:szCs w:val="20"/>
              </w:rPr>
              <w:t>3</w:t>
            </w:r>
          </w:p>
        </w:tc>
        <w:tc>
          <w:tcPr>
            <w:tcW w:w="7379" w:type="dxa"/>
            <w:vAlign w:val="top"/>
          </w:tcPr>
          <w:p>
            <w:pPr>
              <w:pStyle w:val="17"/>
              <w:spacing w:before="117" w:line="225" w:lineRule="auto"/>
              <w:ind w:left="108"/>
              <w:rPr>
                <w:sz w:val="20"/>
                <w:szCs w:val="20"/>
              </w:rPr>
            </w:pPr>
            <w:r>
              <w:rPr>
                <w:spacing w:val="7"/>
                <w:sz w:val="20"/>
                <w:szCs w:val="20"/>
              </w:rPr>
              <w:t>施工方案中没有环保措施，违约金</w:t>
            </w:r>
            <w:r>
              <w:rPr>
                <w:spacing w:val="-20"/>
                <w:sz w:val="20"/>
                <w:szCs w:val="20"/>
              </w:rPr>
              <w:t xml:space="preserve"> </w:t>
            </w:r>
            <w:r>
              <w:rPr>
                <w:spacing w:val="7"/>
                <w:sz w:val="20"/>
                <w:szCs w:val="20"/>
              </w:rPr>
              <w:t>1,000</w:t>
            </w:r>
            <w:r>
              <w:rPr>
                <w:spacing w:val="-36"/>
                <w:sz w:val="20"/>
                <w:szCs w:val="20"/>
              </w:rPr>
              <w:t xml:space="preserve"> </w:t>
            </w:r>
            <w:r>
              <w:rPr>
                <w:spacing w:val="7"/>
                <w:sz w:val="20"/>
                <w:szCs w:val="20"/>
              </w:rPr>
              <w:t>元，并限期纠正。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0" w:line="189" w:lineRule="auto"/>
              <w:ind w:left="321"/>
              <w:rPr>
                <w:sz w:val="20"/>
                <w:szCs w:val="20"/>
              </w:rPr>
            </w:pPr>
            <w:r>
              <w:rPr>
                <w:sz w:val="20"/>
                <w:szCs w:val="20"/>
              </w:rPr>
              <w:t>4</w:t>
            </w:r>
          </w:p>
        </w:tc>
        <w:tc>
          <w:tcPr>
            <w:tcW w:w="7379" w:type="dxa"/>
            <w:vAlign w:val="top"/>
          </w:tcPr>
          <w:p>
            <w:pPr>
              <w:pStyle w:val="17"/>
              <w:spacing w:before="117" w:line="225" w:lineRule="auto"/>
              <w:ind w:left="112"/>
              <w:rPr>
                <w:sz w:val="20"/>
                <w:szCs w:val="20"/>
              </w:rPr>
            </w:pPr>
            <w:r>
              <w:rPr>
                <w:spacing w:val="7"/>
                <w:sz w:val="20"/>
                <w:szCs w:val="20"/>
              </w:rPr>
              <w:t>未对可能造成环境污染的项目进行监测，违约金</w:t>
            </w:r>
            <w:r>
              <w:rPr>
                <w:spacing w:val="-6"/>
                <w:sz w:val="20"/>
                <w:szCs w:val="20"/>
              </w:rPr>
              <w:t xml:space="preserve"> </w:t>
            </w:r>
            <w:r>
              <w:rPr>
                <w:spacing w:val="7"/>
                <w:sz w:val="20"/>
                <w:szCs w:val="20"/>
              </w:rPr>
              <w:t>1,000</w:t>
            </w:r>
            <w:r>
              <w:rPr>
                <w:spacing w:val="-36"/>
                <w:sz w:val="20"/>
                <w:szCs w:val="20"/>
              </w:rPr>
              <w:t xml:space="preserve"> </w:t>
            </w:r>
            <w:r>
              <w:rPr>
                <w:spacing w:val="7"/>
                <w:sz w:val="20"/>
                <w:szCs w:val="20"/>
              </w:rPr>
              <w:t>元，并限期纠正。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4" w:line="187" w:lineRule="auto"/>
              <w:ind w:left="326"/>
              <w:rPr>
                <w:sz w:val="20"/>
                <w:szCs w:val="20"/>
              </w:rPr>
            </w:pPr>
            <w:r>
              <w:rPr>
                <w:sz w:val="20"/>
                <w:szCs w:val="20"/>
              </w:rPr>
              <w:t>5</w:t>
            </w:r>
          </w:p>
        </w:tc>
        <w:tc>
          <w:tcPr>
            <w:tcW w:w="7379" w:type="dxa"/>
            <w:vAlign w:val="top"/>
          </w:tcPr>
          <w:p>
            <w:pPr>
              <w:pStyle w:val="17"/>
              <w:spacing w:before="119" w:line="225" w:lineRule="auto"/>
              <w:ind w:left="112"/>
              <w:rPr>
                <w:sz w:val="20"/>
                <w:szCs w:val="20"/>
              </w:rPr>
            </w:pPr>
            <w:r>
              <w:rPr>
                <w:spacing w:val="7"/>
                <w:sz w:val="20"/>
                <w:szCs w:val="20"/>
              </w:rPr>
              <w:t>未配备必要的环境保护监测仪器，违约金</w:t>
            </w:r>
            <w:r>
              <w:rPr>
                <w:spacing w:val="-16"/>
                <w:sz w:val="20"/>
                <w:szCs w:val="20"/>
              </w:rPr>
              <w:t xml:space="preserve"> </w:t>
            </w:r>
            <w:r>
              <w:rPr>
                <w:spacing w:val="7"/>
                <w:sz w:val="20"/>
                <w:szCs w:val="20"/>
              </w:rPr>
              <w:t>1,000</w:t>
            </w:r>
            <w:r>
              <w:rPr>
                <w:spacing w:val="-36"/>
                <w:sz w:val="20"/>
                <w:szCs w:val="20"/>
              </w:rPr>
              <w:t xml:space="preserve"> </w:t>
            </w:r>
            <w:r>
              <w:rPr>
                <w:spacing w:val="7"/>
                <w:sz w:val="20"/>
                <w:szCs w:val="20"/>
              </w:rPr>
              <w:t>元，并限期纠正。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1" w:line="189" w:lineRule="auto"/>
              <w:ind w:left="324"/>
              <w:rPr>
                <w:sz w:val="20"/>
                <w:szCs w:val="20"/>
              </w:rPr>
            </w:pPr>
            <w:r>
              <w:rPr>
                <w:sz w:val="20"/>
                <w:szCs w:val="20"/>
              </w:rPr>
              <w:t>6</w:t>
            </w:r>
          </w:p>
        </w:tc>
        <w:tc>
          <w:tcPr>
            <w:tcW w:w="7379" w:type="dxa"/>
            <w:vAlign w:val="top"/>
          </w:tcPr>
          <w:p>
            <w:pPr>
              <w:pStyle w:val="17"/>
              <w:spacing w:before="118" w:line="225" w:lineRule="auto"/>
              <w:ind w:left="109"/>
              <w:rPr>
                <w:sz w:val="20"/>
                <w:szCs w:val="20"/>
              </w:rPr>
            </w:pPr>
            <w:r>
              <w:rPr>
                <w:spacing w:val="8"/>
                <w:sz w:val="20"/>
                <w:szCs w:val="20"/>
              </w:rPr>
              <w:t>环境保护学习、宣传、教育、培训不健全，违约金</w:t>
            </w:r>
            <w:r>
              <w:rPr>
                <w:spacing w:val="-24"/>
                <w:sz w:val="20"/>
                <w:szCs w:val="20"/>
              </w:rPr>
              <w:t xml:space="preserve"> </w:t>
            </w:r>
            <w:r>
              <w:rPr>
                <w:spacing w:val="8"/>
                <w:sz w:val="20"/>
                <w:szCs w:val="20"/>
              </w:rPr>
              <w:t>1</w:t>
            </w:r>
            <w:r>
              <w:rPr>
                <w:spacing w:val="7"/>
                <w:sz w:val="20"/>
                <w:szCs w:val="20"/>
              </w:rPr>
              <w:t>,000</w:t>
            </w:r>
            <w:r>
              <w:rPr>
                <w:spacing w:val="-36"/>
                <w:sz w:val="20"/>
                <w:szCs w:val="20"/>
              </w:rPr>
              <w:t xml:space="preserve"> </w:t>
            </w:r>
            <w:r>
              <w:rPr>
                <w:spacing w:val="7"/>
                <w:sz w:val="20"/>
                <w:szCs w:val="20"/>
              </w:rPr>
              <w:t>元，并限期纠正。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3" w:line="187" w:lineRule="auto"/>
              <w:ind w:left="327"/>
              <w:rPr>
                <w:sz w:val="20"/>
                <w:szCs w:val="20"/>
              </w:rPr>
            </w:pPr>
            <w:r>
              <w:rPr>
                <w:sz w:val="20"/>
                <w:szCs w:val="20"/>
              </w:rPr>
              <w:t>7</w:t>
            </w:r>
          </w:p>
        </w:tc>
        <w:tc>
          <w:tcPr>
            <w:tcW w:w="7379" w:type="dxa"/>
            <w:vAlign w:val="top"/>
          </w:tcPr>
          <w:p>
            <w:pPr>
              <w:pStyle w:val="17"/>
              <w:spacing w:before="118" w:line="225" w:lineRule="auto"/>
              <w:ind w:left="112"/>
              <w:rPr>
                <w:sz w:val="20"/>
                <w:szCs w:val="20"/>
              </w:rPr>
            </w:pPr>
            <w:r>
              <w:rPr>
                <w:spacing w:val="8"/>
                <w:sz w:val="20"/>
                <w:szCs w:val="20"/>
              </w:rPr>
              <w:t>未建立环境保护管理台帐，报送资料不及时，违约金</w:t>
            </w:r>
            <w:r>
              <w:rPr>
                <w:spacing w:val="-24"/>
                <w:sz w:val="20"/>
                <w:szCs w:val="20"/>
              </w:rPr>
              <w:t xml:space="preserve"> </w:t>
            </w:r>
            <w:r>
              <w:rPr>
                <w:spacing w:val="8"/>
                <w:sz w:val="20"/>
                <w:szCs w:val="20"/>
              </w:rPr>
              <w:t>1</w:t>
            </w:r>
            <w:r>
              <w:rPr>
                <w:spacing w:val="7"/>
                <w:sz w:val="20"/>
                <w:szCs w:val="20"/>
              </w:rPr>
              <w:t>,000</w:t>
            </w:r>
            <w:r>
              <w:rPr>
                <w:spacing w:val="-36"/>
                <w:sz w:val="20"/>
                <w:szCs w:val="20"/>
              </w:rPr>
              <w:t xml:space="preserve"> </w:t>
            </w:r>
            <w:r>
              <w:rPr>
                <w:spacing w:val="7"/>
                <w:sz w:val="20"/>
                <w:szCs w:val="20"/>
              </w:rPr>
              <w:t>元，并限期纠正。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7" w:lineRule="auto"/>
              <w:rPr>
                <w:rFonts w:ascii="Arial"/>
                <w:sz w:val="21"/>
              </w:rPr>
            </w:pPr>
          </w:p>
          <w:p>
            <w:pPr>
              <w:pStyle w:val="17"/>
              <w:spacing w:before="65" w:line="189" w:lineRule="auto"/>
              <w:ind w:left="323"/>
              <w:rPr>
                <w:sz w:val="20"/>
                <w:szCs w:val="20"/>
              </w:rPr>
            </w:pPr>
            <w:r>
              <w:rPr>
                <w:sz w:val="20"/>
                <w:szCs w:val="20"/>
              </w:rPr>
              <w:t>8</w:t>
            </w:r>
          </w:p>
        </w:tc>
        <w:tc>
          <w:tcPr>
            <w:tcW w:w="7379" w:type="dxa"/>
            <w:vAlign w:val="top"/>
          </w:tcPr>
          <w:p>
            <w:pPr>
              <w:pStyle w:val="17"/>
              <w:spacing w:before="117" w:line="408" w:lineRule="exact"/>
              <w:ind w:left="109"/>
              <w:rPr>
                <w:sz w:val="20"/>
                <w:szCs w:val="20"/>
              </w:rPr>
            </w:pPr>
            <w:r>
              <w:rPr>
                <w:spacing w:val="22"/>
                <w:position w:val="15"/>
                <w:sz w:val="20"/>
                <w:szCs w:val="20"/>
              </w:rPr>
              <w:t>驻地环保设施不完善或设施缺乏维护而造成环境污染</w:t>
            </w:r>
            <w:r>
              <w:rPr>
                <w:spacing w:val="-53"/>
                <w:position w:val="15"/>
                <w:sz w:val="20"/>
                <w:szCs w:val="20"/>
              </w:rPr>
              <w:t xml:space="preserve"> </w:t>
            </w:r>
            <w:r>
              <w:rPr>
                <w:spacing w:val="22"/>
                <w:position w:val="15"/>
                <w:sz w:val="20"/>
                <w:szCs w:val="20"/>
              </w:rPr>
              <w:t>，视严重程度违约金</w:t>
            </w:r>
          </w:p>
          <w:p>
            <w:pPr>
              <w:pStyle w:val="17"/>
              <w:spacing w:line="224" w:lineRule="auto"/>
              <w:ind w:left="124"/>
              <w:rPr>
                <w:sz w:val="20"/>
                <w:szCs w:val="20"/>
              </w:rPr>
            </w:pPr>
            <w:r>
              <w:rPr>
                <w:spacing w:val="4"/>
                <w:sz w:val="20"/>
                <w:szCs w:val="20"/>
              </w:rPr>
              <w:t>1,000~10,000</w:t>
            </w:r>
            <w:r>
              <w:rPr>
                <w:spacing w:val="-26"/>
                <w:sz w:val="20"/>
                <w:szCs w:val="20"/>
              </w:rPr>
              <w:t xml:space="preserve"> </w:t>
            </w:r>
            <w:r>
              <w:rPr>
                <w:spacing w:val="4"/>
                <w:sz w:val="20"/>
                <w:szCs w:val="20"/>
              </w:rPr>
              <w:t>元，并限期纠正。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2" w:line="189" w:lineRule="auto"/>
              <w:ind w:left="323"/>
              <w:rPr>
                <w:sz w:val="20"/>
                <w:szCs w:val="20"/>
              </w:rPr>
            </w:pPr>
            <w:r>
              <w:rPr>
                <w:sz w:val="20"/>
                <w:szCs w:val="20"/>
              </w:rPr>
              <w:t>9</w:t>
            </w:r>
          </w:p>
        </w:tc>
        <w:tc>
          <w:tcPr>
            <w:tcW w:w="7379" w:type="dxa"/>
            <w:vAlign w:val="top"/>
          </w:tcPr>
          <w:p>
            <w:pPr>
              <w:pStyle w:val="17"/>
              <w:spacing w:before="119" w:line="225" w:lineRule="auto"/>
              <w:ind w:left="120"/>
              <w:rPr>
                <w:sz w:val="20"/>
                <w:szCs w:val="20"/>
              </w:rPr>
            </w:pPr>
            <w:r>
              <w:rPr>
                <w:spacing w:val="7"/>
                <w:sz w:val="20"/>
                <w:szCs w:val="20"/>
              </w:rPr>
              <w:t>临近居民区施工噪声超标，违约金</w:t>
            </w:r>
            <w:r>
              <w:rPr>
                <w:spacing w:val="-24"/>
                <w:sz w:val="20"/>
                <w:szCs w:val="20"/>
              </w:rPr>
              <w:t xml:space="preserve"> </w:t>
            </w:r>
            <w:r>
              <w:rPr>
                <w:spacing w:val="7"/>
                <w:sz w:val="20"/>
                <w:szCs w:val="20"/>
              </w:rPr>
              <w:t>1,000</w:t>
            </w:r>
            <w:r>
              <w:rPr>
                <w:spacing w:val="-36"/>
                <w:sz w:val="20"/>
                <w:szCs w:val="20"/>
              </w:rPr>
              <w:t xml:space="preserve"> </w:t>
            </w:r>
            <w:r>
              <w:rPr>
                <w:spacing w:val="6"/>
                <w:sz w:val="20"/>
                <w:szCs w:val="20"/>
              </w:rPr>
              <w:t>元，并限期纠正。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9" w:lineRule="auto"/>
              <w:rPr>
                <w:rFonts w:ascii="Arial"/>
                <w:sz w:val="21"/>
              </w:rPr>
            </w:pPr>
          </w:p>
          <w:p>
            <w:pPr>
              <w:pStyle w:val="17"/>
              <w:spacing w:before="65" w:line="190" w:lineRule="auto"/>
              <w:ind w:left="285"/>
              <w:rPr>
                <w:sz w:val="20"/>
                <w:szCs w:val="20"/>
              </w:rPr>
            </w:pPr>
            <w:r>
              <w:rPr>
                <w:spacing w:val="-7"/>
                <w:sz w:val="20"/>
                <w:szCs w:val="20"/>
              </w:rPr>
              <w:t>10</w:t>
            </w:r>
          </w:p>
        </w:tc>
        <w:tc>
          <w:tcPr>
            <w:tcW w:w="7379" w:type="dxa"/>
            <w:vAlign w:val="top"/>
          </w:tcPr>
          <w:p>
            <w:pPr>
              <w:pStyle w:val="17"/>
              <w:spacing w:before="120" w:line="408" w:lineRule="exact"/>
              <w:ind w:right="9"/>
              <w:jc w:val="right"/>
              <w:rPr>
                <w:sz w:val="20"/>
                <w:szCs w:val="20"/>
              </w:rPr>
            </w:pPr>
            <w:r>
              <w:rPr>
                <w:spacing w:val="6"/>
                <w:position w:val="15"/>
                <w:sz w:val="20"/>
                <w:szCs w:val="20"/>
              </w:rPr>
              <w:t>施工废料、废渣或弃土乱堆乱弃于施工现场而未运至弃土场，违约金</w:t>
            </w:r>
            <w:r>
              <w:rPr>
                <w:spacing w:val="-36"/>
                <w:position w:val="15"/>
                <w:sz w:val="20"/>
                <w:szCs w:val="20"/>
              </w:rPr>
              <w:t xml:space="preserve"> </w:t>
            </w:r>
            <w:r>
              <w:rPr>
                <w:spacing w:val="6"/>
                <w:position w:val="15"/>
                <w:sz w:val="20"/>
                <w:szCs w:val="20"/>
              </w:rPr>
              <w:t>2,000</w:t>
            </w:r>
            <w:r>
              <w:rPr>
                <w:spacing w:val="-36"/>
                <w:position w:val="15"/>
                <w:sz w:val="20"/>
                <w:szCs w:val="20"/>
              </w:rPr>
              <w:t xml:space="preserve"> </w:t>
            </w:r>
            <w:r>
              <w:rPr>
                <w:spacing w:val="6"/>
                <w:position w:val="15"/>
                <w:sz w:val="20"/>
                <w:szCs w:val="20"/>
              </w:rPr>
              <w:t>元，</w:t>
            </w:r>
          </w:p>
          <w:p>
            <w:pPr>
              <w:pStyle w:val="17"/>
              <w:spacing w:line="227" w:lineRule="auto"/>
              <w:ind w:left="114"/>
              <w:rPr>
                <w:sz w:val="20"/>
                <w:szCs w:val="20"/>
              </w:rPr>
            </w:pPr>
            <w:r>
              <w:rPr>
                <w:spacing w:val="5"/>
                <w:sz w:val="20"/>
                <w:szCs w:val="20"/>
              </w:rPr>
              <w:t>并限期纠正。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5" w:line="189" w:lineRule="auto"/>
              <w:ind w:left="285"/>
              <w:rPr>
                <w:sz w:val="20"/>
                <w:szCs w:val="20"/>
              </w:rPr>
            </w:pPr>
            <w:r>
              <w:rPr>
                <w:spacing w:val="-7"/>
                <w:sz w:val="20"/>
                <w:szCs w:val="20"/>
              </w:rPr>
              <w:t>11</w:t>
            </w:r>
          </w:p>
        </w:tc>
        <w:tc>
          <w:tcPr>
            <w:tcW w:w="7379" w:type="dxa"/>
            <w:vAlign w:val="top"/>
          </w:tcPr>
          <w:p>
            <w:pPr>
              <w:pStyle w:val="17"/>
              <w:spacing w:before="122" w:line="225" w:lineRule="auto"/>
              <w:ind w:left="108"/>
              <w:rPr>
                <w:sz w:val="20"/>
                <w:szCs w:val="20"/>
              </w:rPr>
            </w:pPr>
            <w:r>
              <w:rPr>
                <w:spacing w:val="8"/>
                <w:sz w:val="20"/>
                <w:szCs w:val="20"/>
              </w:rPr>
              <w:t>施工废水排放未经处理而对周边造成污染，违约金</w:t>
            </w:r>
            <w:r>
              <w:rPr>
                <w:spacing w:val="-35"/>
                <w:sz w:val="20"/>
                <w:szCs w:val="20"/>
              </w:rPr>
              <w:t xml:space="preserve"> </w:t>
            </w:r>
            <w:r>
              <w:rPr>
                <w:spacing w:val="8"/>
                <w:sz w:val="20"/>
                <w:szCs w:val="20"/>
              </w:rPr>
              <w:t>2,000</w:t>
            </w:r>
            <w:r>
              <w:rPr>
                <w:spacing w:val="-36"/>
                <w:sz w:val="20"/>
                <w:szCs w:val="20"/>
              </w:rPr>
              <w:t xml:space="preserve"> </w:t>
            </w:r>
            <w:r>
              <w:rPr>
                <w:spacing w:val="8"/>
                <w:sz w:val="20"/>
                <w:szCs w:val="20"/>
              </w:rPr>
              <w:t>元，并限期纠正。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4" w:line="189" w:lineRule="auto"/>
              <w:ind w:left="285"/>
              <w:rPr>
                <w:sz w:val="20"/>
                <w:szCs w:val="20"/>
              </w:rPr>
            </w:pPr>
            <w:r>
              <w:rPr>
                <w:spacing w:val="-7"/>
                <w:sz w:val="20"/>
                <w:szCs w:val="20"/>
              </w:rPr>
              <w:t>12</w:t>
            </w:r>
          </w:p>
        </w:tc>
        <w:tc>
          <w:tcPr>
            <w:tcW w:w="7379" w:type="dxa"/>
            <w:vAlign w:val="top"/>
          </w:tcPr>
          <w:p>
            <w:pPr>
              <w:pStyle w:val="17"/>
              <w:spacing w:before="121" w:line="225" w:lineRule="auto"/>
              <w:ind w:left="108"/>
              <w:rPr>
                <w:sz w:val="20"/>
                <w:szCs w:val="20"/>
              </w:rPr>
            </w:pPr>
            <w:r>
              <w:rPr>
                <w:spacing w:val="8"/>
                <w:sz w:val="20"/>
                <w:szCs w:val="20"/>
              </w:rPr>
              <w:t>施工废气排放未经处理而对周边造成污染，违约金</w:t>
            </w:r>
            <w:r>
              <w:rPr>
                <w:spacing w:val="-35"/>
                <w:sz w:val="20"/>
                <w:szCs w:val="20"/>
              </w:rPr>
              <w:t xml:space="preserve"> </w:t>
            </w:r>
            <w:r>
              <w:rPr>
                <w:spacing w:val="8"/>
                <w:sz w:val="20"/>
                <w:szCs w:val="20"/>
              </w:rPr>
              <w:t>2,000</w:t>
            </w:r>
            <w:r>
              <w:rPr>
                <w:spacing w:val="-36"/>
                <w:sz w:val="20"/>
                <w:szCs w:val="20"/>
              </w:rPr>
              <w:t xml:space="preserve"> </w:t>
            </w:r>
            <w:r>
              <w:rPr>
                <w:spacing w:val="8"/>
                <w:sz w:val="20"/>
                <w:szCs w:val="20"/>
              </w:rPr>
              <w:t>元，并限期纠正。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6" w:line="190" w:lineRule="auto"/>
              <w:ind w:left="285"/>
              <w:rPr>
                <w:sz w:val="20"/>
                <w:szCs w:val="20"/>
              </w:rPr>
            </w:pPr>
            <w:r>
              <w:rPr>
                <w:spacing w:val="-7"/>
                <w:sz w:val="20"/>
                <w:szCs w:val="20"/>
              </w:rPr>
              <w:t>13</w:t>
            </w:r>
          </w:p>
        </w:tc>
        <w:tc>
          <w:tcPr>
            <w:tcW w:w="7379" w:type="dxa"/>
            <w:vAlign w:val="top"/>
          </w:tcPr>
          <w:p>
            <w:pPr>
              <w:pStyle w:val="17"/>
              <w:spacing w:before="124" w:line="225" w:lineRule="auto"/>
              <w:ind w:left="108"/>
              <w:rPr>
                <w:sz w:val="20"/>
                <w:szCs w:val="20"/>
              </w:rPr>
            </w:pPr>
            <w:r>
              <w:rPr>
                <w:spacing w:val="8"/>
                <w:sz w:val="20"/>
                <w:szCs w:val="20"/>
              </w:rPr>
              <w:t>施工粉尘未有效控制而对周边造成污染，违约金</w:t>
            </w:r>
            <w:r>
              <w:rPr>
                <w:spacing w:val="-36"/>
                <w:sz w:val="20"/>
                <w:szCs w:val="20"/>
              </w:rPr>
              <w:t xml:space="preserve"> </w:t>
            </w:r>
            <w:r>
              <w:rPr>
                <w:spacing w:val="8"/>
                <w:sz w:val="20"/>
                <w:szCs w:val="20"/>
              </w:rPr>
              <w:t>2,000</w:t>
            </w:r>
            <w:r>
              <w:rPr>
                <w:spacing w:val="-36"/>
                <w:sz w:val="20"/>
                <w:szCs w:val="20"/>
              </w:rPr>
              <w:t xml:space="preserve"> </w:t>
            </w:r>
            <w:r>
              <w:rPr>
                <w:spacing w:val="8"/>
                <w:sz w:val="20"/>
                <w:szCs w:val="20"/>
              </w:rPr>
              <w:t>元，并限期纠正。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5" w:line="189" w:lineRule="auto"/>
              <w:ind w:left="285"/>
              <w:rPr>
                <w:sz w:val="20"/>
                <w:szCs w:val="20"/>
              </w:rPr>
            </w:pPr>
            <w:r>
              <w:rPr>
                <w:spacing w:val="-7"/>
                <w:sz w:val="20"/>
                <w:szCs w:val="20"/>
              </w:rPr>
              <w:t>14</w:t>
            </w:r>
          </w:p>
        </w:tc>
        <w:tc>
          <w:tcPr>
            <w:tcW w:w="7379" w:type="dxa"/>
            <w:vAlign w:val="top"/>
          </w:tcPr>
          <w:p>
            <w:pPr>
              <w:pStyle w:val="17"/>
              <w:spacing w:before="122" w:line="225" w:lineRule="auto"/>
              <w:ind w:left="110"/>
              <w:rPr>
                <w:sz w:val="20"/>
                <w:szCs w:val="20"/>
              </w:rPr>
            </w:pPr>
            <w:r>
              <w:rPr>
                <w:spacing w:val="8"/>
                <w:sz w:val="20"/>
                <w:szCs w:val="20"/>
              </w:rPr>
              <w:t>生活污水没有处理直接排放而造成污染，违约</w:t>
            </w:r>
            <w:r>
              <w:rPr>
                <w:spacing w:val="7"/>
                <w:sz w:val="20"/>
                <w:szCs w:val="20"/>
              </w:rPr>
              <w:t>金</w:t>
            </w:r>
            <w:r>
              <w:rPr>
                <w:spacing w:val="-24"/>
                <w:sz w:val="20"/>
                <w:szCs w:val="20"/>
              </w:rPr>
              <w:t xml:space="preserve"> </w:t>
            </w:r>
            <w:r>
              <w:rPr>
                <w:spacing w:val="7"/>
                <w:sz w:val="20"/>
                <w:szCs w:val="20"/>
              </w:rPr>
              <w:t>1,000</w:t>
            </w:r>
            <w:r>
              <w:rPr>
                <w:spacing w:val="-36"/>
                <w:sz w:val="20"/>
                <w:szCs w:val="20"/>
              </w:rPr>
              <w:t xml:space="preserve"> </w:t>
            </w:r>
            <w:r>
              <w:rPr>
                <w:spacing w:val="7"/>
                <w:sz w:val="20"/>
                <w:szCs w:val="20"/>
              </w:rPr>
              <w:t>元，并限期纠正。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07" w:type="dxa"/>
            <w:vMerge w:val="continue"/>
            <w:tcBorders>
              <w:top w:val="nil"/>
            </w:tcBorders>
            <w:vAlign w:val="top"/>
          </w:tcPr>
          <w:p>
            <w:pPr>
              <w:rPr>
                <w:rFonts w:ascii="Arial"/>
                <w:sz w:val="21"/>
              </w:rPr>
            </w:pPr>
          </w:p>
        </w:tc>
        <w:tc>
          <w:tcPr>
            <w:tcW w:w="751" w:type="dxa"/>
            <w:vAlign w:val="top"/>
          </w:tcPr>
          <w:p>
            <w:pPr>
              <w:pStyle w:val="17"/>
              <w:spacing w:before="155" w:line="190" w:lineRule="auto"/>
              <w:ind w:left="285"/>
              <w:rPr>
                <w:sz w:val="20"/>
                <w:szCs w:val="20"/>
              </w:rPr>
            </w:pPr>
            <w:r>
              <w:rPr>
                <w:spacing w:val="-7"/>
                <w:sz w:val="20"/>
                <w:szCs w:val="20"/>
              </w:rPr>
              <w:t>15</w:t>
            </w:r>
          </w:p>
        </w:tc>
        <w:tc>
          <w:tcPr>
            <w:tcW w:w="7379" w:type="dxa"/>
            <w:vAlign w:val="top"/>
          </w:tcPr>
          <w:p>
            <w:pPr>
              <w:pStyle w:val="17"/>
              <w:spacing w:before="123" w:line="225" w:lineRule="auto"/>
              <w:ind w:left="110"/>
              <w:rPr>
                <w:sz w:val="20"/>
                <w:szCs w:val="20"/>
              </w:rPr>
            </w:pPr>
            <w:r>
              <w:rPr>
                <w:spacing w:val="8"/>
                <w:sz w:val="20"/>
                <w:szCs w:val="20"/>
              </w:rPr>
              <w:t>生活垃圾没有集中且定期运走而造成污染，违约</w:t>
            </w:r>
            <w:r>
              <w:rPr>
                <w:spacing w:val="7"/>
                <w:sz w:val="20"/>
                <w:szCs w:val="20"/>
              </w:rPr>
              <w:t>金</w:t>
            </w:r>
            <w:r>
              <w:rPr>
                <w:spacing w:val="-23"/>
                <w:sz w:val="20"/>
                <w:szCs w:val="20"/>
              </w:rPr>
              <w:t xml:space="preserve"> </w:t>
            </w:r>
            <w:r>
              <w:rPr>
                <w:spacing w:val="7"/>
                <w:sz w:val="20"/>
                <w:szCs w:val="20"/>
              </w:rPr>
              <w:t>1,000</w:t>
            </w:r>
            <w:r>
              <w:rPr>
                <w:spacing w:val="-37"/>
                <w:sz w:val="20"/>
                <w:szCs w:val="20"/>
              </w:rPr>
              <w:t xml:space="preserve"> </w:t>
            </w:r>
            <w:r>
              <w:rPr>
                <w:spacing w:val="7"/>
                <w:sz w:val="20"/>
                <w:szCs w:val="20"/>
              </w:rPr>
              <w:t>元，并限期纠正。</w:t>
            </w:r>
          </w:p>
        </w:tc>
      </w:tr>
    </w:tbl>
    <w:p>
      <w:pPr>
        <w:rPr>
          <w:rFonts w:ascii="Arial"/>
          <w:sz w:val="21"/>
        </w:rPr>
      </w:pPr>
    </w:p>
    <w:p>
      <w:pPr>
        <w:spacing w:before="228"/>
      </w:pPr>
    </w:p>
    <w:tbl>
      <w:tblPr>
        <w:tblStyle w:val="16"/>
        <w:tblW w:w="8937" w:type="dxa"/>
        <w:tblInd w:w="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751"/>
        <w:gridCol w:w="7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807" w:type="dxa"/>
            <w:vAlign w:val="top"/>
          </w:tcPr>
          <w:p>
            <w:pPr>
              <w:rPr>
                <w:rFonts w:ascii="Arial"/>
                <w:sz w:val="21"/>
              </w:rPr>
            </w:pPr>
          </w:p>
        </w:tc>
        <w:tc>
          <w:tcPr>
            <w:tcW w:w="751" w:type="dxa"/>
            <w:vAlign w:val="top"/>
          </w:tcPr>
          <w:p>
            <w:pPr>
              <w:spacing w:line="291" w:lineRule="auto"/>
              <w:rPr>
                <w:rFonts w:ascii="Arial"/>
                <w:sz w:val="21"/>
              </w:rPr>
            </w:pPr>
          </w:p>
          <w:p>
            <w:pPr>
              <w:pStyle w:val="17"/>
              <w:spacing w:before="65" w:line="190" w:lineRule="auto"/>
              <w:ind w:left="285"/>
              <w:rPr>
                <w:sz w:val="20"/>
                <w:szCs w:val="20"/>
              </w:rPr>
            </w:pPr>
            <w:r>
              <w:rPr>
                <w:spacing w:val="-7"/>
                <w:sz w:val="20"/>
                <w:szCs w:val="20"/>
              </w:rPr>
              <w:t>16</w:t>
            </w:r>
          </w:p>
        </w:tc>
        <w:tc>
          <w:tcPr>
            <w:tcW w:w="7379" w:type="dxa"/>
            <w:vAlign w:val="top"/>
          </w:tcPr>
          <w:p>
            <w:pPr>
              <w:pStyle w:val="17"/>
              <w:spacing w:before="122" w:line="408" w:lineRule="exact"/>
              <w:ind w:left="109"/>
              <w:rPr>
                <w:sz w:val="20"/>
                <w:szCs w:val="20"/>
              </w:rPr>
            </w:pPr>
            <w:r>
              <w:rPr>
                <w:spacing w:val="9"/>
                <w:position w:val="15"/>
                <w:sz w:val="20"/>
                <w:szCs w:val="20"/>
              </w:rPr>
              <w:t>驻地噪音超过有关的规定，影响当地居民的正常生活，违</w:t>
            </w:r>
            <w:r>
              <w:rPr>
                <w:spacing w:val="8"/>
                <w:position w:val="15"/>
                <w:sz w:val="20"/>
                <w:szCs w:val="20"/>
              </w:rPr>
              <w:t>约金</w:t>
            </w:r>
            <w:r>
              <w:rPr>
                <w:spacing w:val="-23"/>
                <w:position w:val="15"/>
                <w:sz w:val="20"/>
                <w:szCs w:val="20"/>
              </w:rPr>
              <w:t xml:space="preserve"> </w:t>
            </w:r>
            <w:r>
              <w:rPr>
                <w:spacing w:val="8"/>
                <w:position w:val="15"/>
                <w:sz w:val="20"/>
                <w:szCs w:val="20"/>
              </w:rPr>
              <w:t>1,000</w:t>
            </w:r>
            <w:r>
              <w:rPr>
                <w:spacing w:val="-36"/>
                <w:position w:val="15"/>
                <w:sz w:val="20"/>
                <w:szCs w:val="20"/>
              </w:rPr>
              <w:t xml:space="preserve"> </w:t>
            </w:r>
            <w:r>
              <w:rPr>
                <w:spacing w:val="8"/>
                <w:position w:val="15"/>
                <w:sz w:val="20"/>
                <w:szCs w:val="20"/>
              </w:rPr>
              <w:t>元，并限</w:t>
            </w:r>
          </w:p>
          <w:p>
            <w:pPr>
              <w:pStyle w:val="17"/>
              <w:spacing w:line="228" w:lineRule="auto"/>
              <w:ind w:left="111"/>
              <w:rPr>
                <w:sz w:val="20"/>
                <w:szCs w:val="20"/>
              </w:rPr>
            </w:pPr>
            <w:r>
              <w:rPr>
                <w:spacing w:val="4"/>
                <w:sz w:val="20"/>
                <w:szCs w:val="20"/>
              </w:rPr>
              <w:t>期纠正。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17"/>
              <w:spacing w:before="65" w:line="408" w:lineRule="exact"/>
              <w:ind w:left="163"/>
              <w:rPr>
                <w:sz w:val="20"/>
                <w:szCs w:val="20"/>
              </w:rPr>
            </w:pPr>
            <w:r>
              <w:rPr>
                <w:spacing w:val="-12"/>
                <w:position w:val="15"/>
                <w:sz w:val="20"/>
                <w:szCs w:val="20"/>
              </w:rPr>
              <w:t>内</w:t>
            </w:r>
            <w:r>
              <w:rPr>
                <w:spacing w:val="24"/>
                <w:position w:val="15"/>
                <w:sz w:val="20"/>
                <w:szCs w:val="20"/>
              </w:rPr>
              <w:t xml:space="preserve"> </w:t>
            </w:r>
            <w:r>
              <w:rPr>
                <w:spacing w:val="-12"/>
                <w:position w:val="15"/>
                <w:sz w:val="20"/>
                <w:szCs w:val="20"/>
              </w:rPr>
              <w:t>业</w:t>
            </w:r>
          </w:p>
          <w:p>
            <w:pPr>
              <w:pStyle w:val="17"/>
              <w:spacing w:line="228" w:lineRule="auto"/>
              <w:ind w:left="147"/>
              <w:rPr>
                <w:sz w:val="20"/>
                <w:szCs w:val="20"/>
              </w:rPr>
            </w:pPr>
            <w:r>
              <w:rPr>
                <w:sz w:val="20"/>
                <w:szCs w:val="20"/>
              </w:rPr>
              <w:t>资料</w:t>
            </w:r>
          </w:p>
        </w:tc>
        <w:tc>
          <w:tcPr>
            <w:tcW w:w="751" w:type="dxa"/>
            <w:vAlign w:val="top"/>
          </w:tcPr>
          <w:p>
            <w:pPr>
              <w:spacing w:line="285" w:lineRule="auto"/>
              <w:rPr>
                <w:rFonts w:ascii="Arial"/>
                <w:sz w:val="21"/>
              </w:rPr>
            </w:pPr>
          </w:p>
          <w:p>
            <w:pPr>
              <w:pStyle w:val="17"/>
              <w:spacing w:before="65" w:line="189" w:lineRule="auto"/>
              <w:ind w:left="337"/>
              <w:rPr>
                <w:sz w:val="20"/>
                <w:szCs w:val="20"/>
              </w:rPr>
            </w:pPr>
            <w:r>
              <w:rPr>
                <w:sz w:val="20"/>
                <w:szCs w:val="20"/>
              </w:rPr>
              <w:t>1</w:t>
            </w:r>
          </w:p>
        </w:tc>
        <w:tc>
          <w:tcPr>
            <w:tcW w:w="7379" w:type="dxa"/>
            <w:vAlign w:val="top"/>
          </w:tcPr>
          <w:p>
            <w:pPr>
              <w:pStyle w:val="17"/>
              <w:spacing w:before="115" w:line="408" w:lineRule="exact"/>
              <w:ind w:left="109"/>
              <w:rPr>
                <w:sz w:val="20"/>
                <w:szCs w:val="20"/>
              </w:rPr>
            </w:pPr>
            <w:r>
              <w:rPr>
                <w:spacing w:val="10"/>
                <w:position w:val="15"/>
                <w:sz w:val="20"/>
                <w:szCs w:val="20"/>
              </w:rPr>
              <w:t>开工前须结合工程特点进行分项、分部和单位工程划分，现场质量检查、质量</w:t>
            </w:r>
          </w:p>
          <w:p>
            <w:pPr>
              <w:pStyle w:val="17"/>
              <w:spacing w:line="224" w:lineRule="auto"/>
              <w:ind w:left="108"/>
              <w:rPr>
                <w:sz w:val="20"/>
                <w:szCs w:val="20"/>
              </w:rPr>
            </w:pPr>
            <w:r>
              <w:rPr>
                <w:spacing w:val="8"/>
                <w:sz w:val="20"/>
                <w:szCs w:val="20"/>
              </w:rPr>
              <w:t>验收资料按照划分进行归纳收集，违者每次</w:t>
            </w:r>
            <w:r>
              <w:rPr>
                <w:spacing w:val="7"/>
                <w:sz w:val="20"/>
                <w:szCs w:val="20"/>
              </w:rPr>
              <w:t>违约金</w:t>
            </w:r>
            <w:r>
              <w:rPr>
                <w:spacing w:val="-37"/>
                <w:sz w:val="20"/>
                <w:szCs w:val="20"/>
              </w:rPr>
              <w:t xml:space="preserve"> </w:t>
            </w:r>
            <w:r>
              <w:rPr>
                <w:spacing w:val="7"/>
                <w:sz w:val="20"/>
                <w:szCs w:val="20"/>
              </w:rPr>
              <w:t>2,000</w:t>
            </w:r>
            <w:r>
              <w:rPr>
                <w:spacing w:val="-36"/>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7" w:lineRule="auto"/>
              <w:rPr>
                <w:rFonts w:ascii="Arial"/>
                <w:sz w:val="21"/>
              </w:rPr>
            </w:pPr>
          </w:p>
          <w:p>
            <w:pPr>
              <w:pStyle w:val="17"/>
              <w:spacing w:before="65" w:line="189" w:lineRule="auto"/>
              <w:ind w:left="325"/>
              <w:rPr>
                <w:sz w:val="20"/>
                <w:szCs w:val="20"/>
              </w:rPr>
            </w:pPr>
            <w:r>
              <w:rPr>
                <w:sz w:val="20"/>
                <w:szCs w:val="20"/>
              </w:rPr>
              <w:t>2</w:t>
            </w:r>
          </w:p>
        </w:tc>
        <w:tc>
          <w:tcPr>
            <w:tcW w:w="7379" w:type="dxa"/>
            <w:vAlign w:val="top"/>
          </w:tcPr>
          <w:p>
            <w:pPr>
              <w:pStyle w:val="17"/>
              <w:spacing w:before="117" w:line="408" w:lineRule="exact"/>
              <w:ind w:left="134"/>
              <w:rPr>
                <w:sz w:val="20"/>
                <w:szCs w:val="20"/>
              </w:rPr>
            </w:pPr>
            <w:r>
              <w:rPr>
                <w:spacing w:val="16"/>
                <w:position w:val="15"/>
                <w:sz w:val="20"/>
                <w:szCs w:val="20"/>
              </w:rPr>
              <w:t>内业原始资料弄虚作假的，不及时填写的，填写不完整规范的，每次违约金</w:t>
            </w:r>
          </w:p>
          <w:p>
            <w:pPr>
              <w:pStyle w:val="17"/>
              <w:spacing w:line="224" w:lineRule="auto"/>
              <w:ind w:left="124"/>
              <w:rPr>
                <w:sz w:val="20"/>
                <w:szCs w:val="20"/>
              </w:rPr>
            </w:pPr>
            <w:r>
              <w:rPr>
                <w:sz w:val="20"/>
                <w:szCs w:val="20"/>
              </w:rPr>
              <w:t>1,000</w:t>
            </w:r>
            <w:r>
              <w:rPr>
                <w:spacing w:val="-39"/>
                <w:sz w:val="20"/>
                <w:szCs w:val="20"/>
              </w:rPr>
              <w:t xml:space="preserve"> </w:t>
            </w:r>
            <w:r>
              <w:rPr>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7" w:lineRule="auto"/>
              <w:rPr>
                <w:rFonts w:ascii="Arial"/>
                <w:sz w:val="21"/>
              </w:rPr>
            </w:pPr>
          </w:p>
          <w:p>
            <w:pPr>
              <w:pStyle w:val="17"/>
              <w:spacing w:before="65" w:line="189" w:lineRule="auto"/>
              <w:ind w:left="326"/>
              <w:rPr>
                <w:sz w:val="20"/>
                <w:szCs w:val="20"/>
              </w:rPr>
            </w:pPr>
            <w:r>
              <w:rPr>
                <w:sz w:val="20"/>
                <w:szCs w:val="20"/>
              </w:rPr>
              <w:t>3</w:t>
            </w:r>
          </w:p>
        </w:tc>
        <w:tc>
          <w:tcPr>
            <w:tcW w:w="7379" w:type="dxa"/>
            <w:vAlign w:val="top"/>
          </w:tcPr>
          <w:p>
            <w:pPr>
              <w:pStyle w:val="17"/>
              <w:spacing w:before="117" w:line="408" w:lineRule="exact"/>
              <w:ind w:left="134"/>
              <w:rPr>
                <w:sz w:val="20"/>
                <w:szCs w:val="20"/>
              </w:rPr>
            </w:pPr>
            <w:r>
              <w:rPr>
                <w:spacing w:val="10"/>
                <w:position w:val="15"/>
                <w:sz w:val="20"/>
                <w:szCs w:val="20"/>
              </w:rPr>
              <w:t>内业原始资料和整理资料未按有关要求采用文件盒及时归档，每次违约金</w:t>
            </w:r>
            <w:r>
              <w:rPr>
                <w:spacing w:val="-22"/>
                <w:position w:val="15"/>
                <w:sz w:val="20"/>
                <w:szCs w:val="20"/>
              </w:rPr>
              <w:t xml:space="preserve"> </w:t>
            </w:r>
            <w:r>
              <w:rPr>
                <w:spacing w:val="10"/>
                <w:position w:val="15"/>
                <w:sz w:val="20"/>
                <w:szCs w:val="20"/>
              </w:rPr>
              <w:t>500</w:t>
            </w:r>
          </w:p>
          <w:p>
            <w:pPr>
              <w:pStyle w:val="17"/>
              <w:spacing w:line="228" w:lineRule="auto"/>
              <w:ind w:left="110"/>
              <w:rPr>
                <w:sz w:val="20"/>
                <w:szCs w:val="20"/>
              </w:rPr>
            </w:pPr>
            <w:r>
              <w:rPr>
                <w:spacing w:val="-1"/>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89" w:lineRule="auto"/>
              <w:rPr>
                <w:rFonts w:ascii="Arial"/>
                <w:sz w:val="21"/>
              </w:rPr>
            </w:pPr>
          </w:p>
          <w:p>
            <w:pPr>
              <w:pStyle w:val="17"/>
              <w:spacing w:before="65" w:line="189" w:lineRule="auto"/>
              <w:ind w:left="321"/>
              <w:rPr>
                <w:sz w:val="20"/>
                <w:szCs w:val="20"/>
              </w:rPr>
            </w:pPr>
            <w:r>
              <w:rPr>
                <w:sz w:val="20"/>
                <w:szCs w:val="20"/>
              </w:rPr>
              <w:t>4</w:t>
            </w:r>
          </w:p>
        </w:tc>
        <w:tc>
          <w:tcPr>
            <w:tcW w:w="7379" w:type="dxa"/>
            <w:vAlign w:val="top"/>
          </w:tcPr>
          <w:p>
            <w:pPr>
              <w:pStyle w:val="17"/>
              <w:spacing w:before="119" w:line="408" w:lineRule="exact"/>
              <w:ind w:left="111"/>
              <w:rPr>
                <w:sz w:val="20"/>
                <w:szCs w:val="20"/>
              </w:rPr>
            </w:pPr>
            <w:r>
              <w:rPr>
                <w:spacing w:val="10"/>
                <w:position w:val="15"/>
                <w:sz w:val="20"/>
                <w:szCs w:val="20"/>
              </w:rPr>
              <w:t>分部工程完成时，须将原始资料、施工记录、进度照片等资料整理归纳，装订</w:t>
            </w:r>
          </w:p>
          <w:p>
            <w:pPr>
              <w:pStyle w:val="17"/>
              <w:spacing w:line="224" w:lineRule="auto"/>
              <w:ind w:left="110"/>
              <w:rPr>
                <w:sz w:val="20"/>
                <w:szCs w:val="20"/>
              </w:rPr>
            </w:pPr>
            <w:r>
              <w:rPr>
                <w:spacing w:val="5"/>
                <w:sz w:val="20"/>
                <w:szCs w:val="20"/>
              </w:rPr>
              <w:t>成册，违者每次违约金</w:t>
            </w:r>
            <w:r>
              <w:rPr>
                <w:spacing w:val="-22"/>
                <w:sz w:val="20"/>
                <w:szCs w:val="20"/>
              </w:rPr>
              <w:t xml:space="preserve"> </w:t>
            </w:r>
            <w:r>
              <w:rPr>
                <w:spacing w:val="5"/>
                <w:sz w:val="20"/>
                <w:szCs w:val="20"/>
              </w:rPr>
              <w:t>2,000</w:t>
            </w:r>
            <w:r>
              <w:rPr>
                <w:spacing w:val="-37"/>
                <w:sz w:val="20"/>
                <w:szCs w:val="20"/>
              </w:rPr>
              <w:t xml:space="preserve"> </w:t>
            </w:r>
            <w:r>
              <w:rPr>
                <w:spacing w:val="5"/>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807" w:type="dxa"/>
            <w:vMerge w:val="continue"/>
            <w:tcBorders>
              <w:top w:val="nil"/>
              <w:bottom w:val="single" w:color="000000" w:sz="2" w:space="0"/>
            </w:tcBorders>
            <w:vAlign w:val="top"/>
          </w:tcPr>
          <w:p>
            <w:pPr>
              <w:rPr>
                <w:rFonts w:ascii="Arial"/>
                <w:sz w:val="21"/>
              </w:rPr>
            </w:pPr>
          </w:p>
        </w:tc>
        <w:tc>
          <w:tcPr>
            <w:tcW w:w="751" w:type="dxa"/>
            <w:vAlign w:val="top"/>
          </w:tcPr>
          <w:p>
            <w:pPr>
              <w:pStyle w:val="17"/>
              <w:spacing w:before="154" w:line="187" w:lineRule="auto"/>
              <w:ind w:left="326"/>
              <w:rPr>
                <w:sz w:val="20"/>
                <w:szCs w:val="20"/>
              </w:rPr>
            </w:pPr>
            <w:r>
              <w:rPr>
                <w:sz w:val="20"/>
                <w:szCs w:val="20"/>
              </w:rPr>
              <w:t>5</w:t>
            </w:r>
          </w:p>
        </w:tc>
        <w:tc>
          <w:tcPr>
            <w:tcW w:w="7379" w:type="dxa"/>
            <w:vAlign w:val="top"/>
          </w:tcPr>
          <w:p>
            <w:pPr>
              <w:pStyle w:val="17"/>
              <w:spacing w:before="118" w:line="225" w:lineRule="auto"/>
              <w:ind w:left="109"/>
              <w:rPr>
                <w:sz w:val="20"/>
                <w:szCs w:val="20"/>
              </w:rPr>
            </w:pPr>
            <w:r>
              <w:rPr>
                <w:spacing w:val="7"/>
                <w:sz w:val="20"/>
                <w:szCs w:val="20"/>
              </w:rPr>
              <w:t>试验设备不齐全，未建立试验台帐，每次违约金</w:t>
            </w:r>
            <w:r>
              <w:rPr>
                <w:spacing w:val="-20"/>
                <w:sz w:val="20"/>
                <w:szCs w:val="20"/>
              </w:rPr>
              <w:t xml:space="preserve"> </w:t>
            </w:r>
            <w:r>
              <w:rPr>
                <w:spacing w:val="7"/>
                <w:sz w:val="20"/>
                <w:szCs w:val="20"/>
              </w:rPr>
              <w:t>5,000</w:t>
            </w:r>
            <w:r>
              <w:rPr>
                <w:spacing w:val="-37"/>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restart"/>
            <w:tcBorders>
              <w:top w:val="single" w:color="000000" w:sz="2" w:space="0"/>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17"/>
              <w:spacing w:before="65" w:line="228" w:lineRule="auto"/>
              <w:ind w:left="139"/>
              <w:rPr>
                <w:sz w:val="20"/>
                <w:szCs w:val="20"/>
              </w:rPr>
            </w:pPr>
            <w:r>
              <w:rPr>
                <w:spacing w:val="4"/>
                <w:sz w:val="20"/>
                <w:szCs w:val="20"/>
              </w:rPr>
              <w:t>其他</w:t>
            </w:r>
          </w:p>
        </w:tc>
        <w:tc>
          <w:tcPr>
            <w:tcW w:w="751" w:type="dxa"/>
            <w:vAlign w:val="top"/>
          </w:tcPr>
          <w:p>
            <w:pPr>
              <w:pStyle w:val="17"/>
              <w:spacing w:before="152" w:line="189" w:lineRule="auto"/>
              <w:ind w:left="337"/>
              <w:rPr>
                <w:sz w:val="20"/>
                <w:szCs w:val="20"/>
              </w:rPr>
            </w:pPr>
            <w:r>
              <w:rPr>
                <w:sz w:val="20"/>
                <w:szCs w:val="20"/>
              </w:rPr>
              <w:t>1</w:t>
            </w:r>
          </w:p>
        </w:tc>
        <w:tc>
          <w:tcPr>
            <w:tcW w:w="7379" w:type="dxa"/>
            <w:vAlign w:val="top"/>
          </w:tcPr>
          <w:p>
            <w:pPr>
              <w:pStyle w:val="17"/>
              <w:spacing w:before="119" w:line="225" w:lineRule="auto"/>
              <w:ind w:left="112"/>
              <w:rPr>
                <w:sz w:val="20"/>
                <w:szCs w:val="20"/>
              </w:rPr>
            </w:pPr>
            <w:r>
              <w:rPr>
                <w:spacing w:val="8"/>
                <w:sz w:val="20"/>
                <w:szCs w:val="20"/>
              </w:rPr>
              <w:t>不按照有关规定进行技术交底就进行施工作业的，每次违约金</w:t>
            </w:r>
            <w:r>
              <w:rPr>
                <w:spacing w:val="-37"/>
                <w:sz w:val="20"/>
                <w:szCs w:val="20"/>
              </w:rPr>
              <w:t xml:space="preserve"> </w:t>
            </w:r>
            <w:r>
              <w:rPr>
                <w:spacing w:val="8"/>
                <w:sz w:val="20"/>
                <w:szCs w:val="20"/>
              </w:rPr>
              <w:t>2,00</w:t>
            </w:r>
            <w:r>
              <w:rPr>
                <w:spacing w:val="7"/>
                <w:sz w:val="20"/>
                <w:szCs w:val="20"/>
              </w:rPr>
              <w:t>0</w:t>
            </w:r>
            <w:r>
              <w:rPr>
                <w:spacing w:val="-36"/>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4" w:line="189" w:lineRule="auto"/>
              <w:ind w:left="325"/>
              <w:rPr>
                <w:sz w:val="20"/>
                <w:szCs w:val="20"/>
              </w:rPr>
            </w:pPr>
            <w:r>
              <w:rPr>
                <w:sz w:val="20"/>
                <w:szCs w:val="20"/>
              </w:rPr>
              <w:t>2</w:t>
            </w:r>
          </w:p>
        </w:tc>
        <w:tc>
          <w:tcPr>
            <w:tcW w:w="7379" w:type="dxa"/>
            <w:vAlign w:val="top"/>
          </w:tcPr>
          <w:p>
            <w:pPr>
              <w:pStyle w:val="17"/>
              <w:spacing w:before="121" w:line="225" w:lineRule="auto"/>
              <w:ind w:left="110"/>
              <w:rPr>
                <w:sz w:val="20"/>
                <w:szCs w:val="20"/>
              </w:rPr>
            </w:pPr>
            <w:r>
              <w:rPr>
                <w:spacing w:val="8"/>
                <w:sz w:val="20"/>
                <w:szCs w:val="20"/>
              </w:rPr>
              <w:t>上一道工序未经监理人签认就进行下一道工序施工的，每次违约金</w:t>
            </w:r>
            <w:r>
              <w:rPr>
                <w:spacing w:val="-34"/>
                <w:sz w:val="20"/>
                <w:szCs w:val="20"/>
              </w:rPr>
              <w:t xml:space="preserve"> </w:t>
            </w:r>
            <w:r>
              <w:rPr>
                <w:spacing w:val="8"/>
                <w:sz w:val="20"/>
                <w:szCs w:val="20"/>
              </w:rPr>
              <w:t>5,000</w:t>
            </w:r>
            <w:r>
              <w:rPr>
                <w:spacing w:val="-36"/>
                <w:sz w:val="20"/>
                <w:szCs w:val="20"/>
              </w:rPr>
              <w:t xml:space="preserve"> </w:t>
            </w:r>
            <w:r>
              <w:rPr>
                <w:spacing w:val="8"/>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91" w:lineRule="auto"/>
              <w:rPr>
                <w:rFonts w:ascii="Arial"/>
                <w:sz w:val="21"/>
              </w:rPr>
            </w:pPr>
          </w:p>
          <w:p>
            <w:pPr>
              <w:pStyle w:val="17"/>
              <w:spacing w:before="65" w:line="189" w:lineRule="auto"/>
              <w:ind w:left="326"/>
              <w:rPr>
                <w:sz w:val="20"/>
                <w:szCs w:val="20"/>
              </w:rPr>
            </w:pPr>
            <w:r>
              <w:rPr>
                <w:sz w:val="20"/>
                <w:szCs w:val="20"/>
              </w:rPr>
              <w:t>3</w:t>
            </w:r>
          </w:p>
        </w:tc>
        <w:tc>
          <w:tcPr>
            <w:tcW w:w="7379" w:type="dxa"/>
            <w:vAlign w:val="top"/>
          </w:tcPr>
          <w:p>
            <w:pPr>
              <w:pStyle w:val="17"/>
              <w:spacing w:before="121" w:line="408" w:lineRule="exact"/>
              <w:ind w:left="109"/>
              <w:rPr>
                <w:sz w:val="20"/>
                <w:szCs w:val="20"/>
              </w:rPr>
            </w:pPr>
            <w:r>
              <w:rPr>
                <w:spacing w:val="10"/>
                <w:position w:val="15"/>
                <w:sz w:val="20"/>
                <w:szCs w:val="20"/>
              </w:rPr>
              <w:t>要求返工的工程未在规定的时间内进行返工或要求清除出施工现场材料未在规</w:t>
            </w:r>
          </w:p>
          <w:p>
            <w:pPr>
              <w:pStyle w:val="17"/>
              <w:spacing w:line="227" w:lineRule="auto"/>
              <w:ind w:left="114"/>
              <w:rPr>
                <w:sz w:val="20"/>
                <w:szCs w:val="20"/>
              </w:rPr>
            </w:pPr>
            <w:r>
              <w:rPr>
                <w:spacing w:val="7"/>
                <w:sz w:val="20"/>
                <w:szCs w:val="20"/>
              </w:rPr>
              <w:t>定的时间内清除出场的，每延误一天违约金</w:t>
            </w:r>
            <w:r>
              <w:rPr>
                <w:spacing w:val="-24"/>
                <w:sz w:val="20"/>
                <w:szCs w:val="20"/>
              </w:rPr>
              <w:t xml:space="preserve"> </w:t>
            </w:r>
            <w:r>
              <w:rPr>
                <w:spacing w:val="7"/>
                <w:sz w:val="20"/>
                <w:szCs w:val="20"/>
              </w:rPr>
              <w:t>10</w:t>
            </w:r>
            <w:r>
              <w:rPr>
                <w:spacing w:val="6"/>
                <w:sz w:val="20"/>
                <w:szCs w:val="20"/>
              </w:rPr>
              <w:t>00</w:t>
            </w:r>
            <w:r>
              <w:rPr>
                <w:spacing w:val="-38"/>
                <w:sz w:val="20"/>
                <w:szCs w:val="20"/>
              </w:rPr>
              <w:t xml:space="preserve"> </w:t>
            </w:r>
            <w:r>
              <w:rPr>
                <w:spacing w:val="6"/>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3" w:line="189" w:lineRule="auto"/>
              <w:ind w:left="321"/>
              <w:rPr>
                <w:sz w:val="20"/>
                <w:szCs w:val="20"/>
              </w:rPr>
            </w:pPr>
            <w:r>
              <w:rPr>
                <w:sz w:val="20"/>
                <w:szCs w:val="20"/>
              </w:rPr>
              <w:t>4</w:t>
            </w:r>
          </w:p>
        </w:tc>
        <w:tc>
          <w:tcPr>
            <w:tcW w:w="7379" w:type="dxa"/>
            <w:vAlign w:val="top"/>
          </w:tcPr>
          <w:p>
            <w:pPr>
              <w:pStyle w:val="17"/>
              <w:spacing w:before="120" w:line="225" w:lineRule="auto"/>
              <w:ind w:left="111"/>
              <w:rPr>
                <w:sz w:val="20"/>
                <w:szCs w:val="20"/>
              </w:rPr>
            </w:pPr>
            <w:r>
              <w:rPr>
                <w:spacing w:val="8"/>
                <w:sz w:val="20"/>
                <w:szCs w:val="20"/>
              </w:rPr>
              <w:t>水泥、钢筋、钢筋笼等存放不满足要求的，每次</w:t>
            </w:r>
            <w:r>
              <w:rPr>
                <w:spacing w:val="7"/>
                <w:sz w:val="20"/>
                <w:szCs w:val="20"/>
              </w:rPr>
              <w:t>违约金</w:t>
            </w:r>
            <w:r>
              <w:rPr>
                <w:spacing w:val="-36"/>
                <w:sz w:val="20"/>
                <w:szCs w:val="20"/>
              </w:rPr>
              <w:t xml:space="preserve"> </w:t>
            </w:r>
            <w:r>
              <w:rPr>
                <w:spacing w:val="7"/>
                <w:sz w:val="20"/>
                <w:szCs w:val="20"/>
              </w:rPr>
              <w:t>2,000</w:t>
            </w:r>
            <w:r>
              <w:rPr>
                <w:spacing w:val="-36"/>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8" w:line="187" w:lineRule="auto"/>
              <w:ind w:left="326"/>
              <w:rPr>
                <w:sz w:val="20"/>
                <w:szCs w:val="20"/>
              </w:rPr>
            </w:pPr>
            <w:r>
              <w:rPr>
                <w:sz w:val="20"/>
                <w:szCs w:val="20"/>
              </w:rPr>
              <w:t>5</w:t>
            </w:r>
          </w:p>
        </w:tc>
        <w:tc>
          <w:tcPr>
            <w:tcW w:w="7379" w:type="dxa"/>
            <w:vAlign w:val="top"/>
          </w:tcPr>
          <w:p>
            <w:pPr>
              <w:pStyle w:val="17"/>
              <w:spacing w:before="122" w:line="225" w:lineRule="auto"/>
              <w:ind w:left="109"/>
              <w:rPr>
                <w:sz w:val="20"/>
                <w:szCs w:val="20"/>
              </w:rPr>
            </w:pPr>
            <w:r>
              <w:rPr>
                <w:spacing w:val="8"/>
                <w:sz w:val="20"/>
                <w:szCs w:val="20"/>
              </w:rPr>
              <w:t>所有桩标须加固保护，树立易于识别得标志，违者每处违约金</w:t>
            </w:r>
            <w:r>
              <w:rPr>
                <w:spacing w:val="-36"/>
                <w:sz w:val="20"/>
                <w:szCs w:val="20"/>
              </w:rPr>
              <w:t xml:space="preserve"> </w:t>
            </w:r>
            <w:r>
              <w:rPr>
                <w:spacing w:val="8"/>
                <w:sz w:val="20"/>
                <w:szCs w:val="20"/>
              </w:rPr>
              <w:t>2,000</w:t>
            </w:r>
            <w:r>
              <w:rPr>
                <w:spacing w:val="-37"/>
                <w:sz w:val="20"/>
                <w:szCs w:val="20"/>
              </w:rPr>
              <w:t xml:space="preserve"> </w:t>
            </w:r>
            <w:r>
              <w:rPr>
                <w:spacing w:val="8"/>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4" w:line="189" w:lineRule="auto"/>
              <w:ind w:left="324"/>
              <w:rPr>
                <w:sz w:val="20"/>
                <w:szCs w:val="20"/>
              </w:rPr>
            </w:pPr>
            <w:r>
              <w:rPr>
                <w:sz w:val="20"/>
                <w:szCs w:val="20"/>
              </w:rPr>
              <w:t>6</w:t>
            </w:r>
          </w:p>
        </w:tc>
        <w:tc>
          <w:tcPr>
            <w:tcW w:w="7379" w:type="dxa"/>
            <w:vAlign w:val="top"/>
          </w:tcPr>
          <w:p>
            <w:pPr>
              <w:pStyle w:val="17"/>
              <w:spacing w:before="121" w:line="225" w:lineRule="auto"/>
              <w:ind w:left="114"/>
              <w:rPr>
                <w:sz w:val="20"/>
                <w:szCs w:val="20"/>
              </w:rPr>
            </w:pPr>
            <w:r>
              <w:rPr>
                <w:spacing w:val="8"/>
                <w:sz w:val="20"/>
                <w:szCs w:val="20"/>
              </w:rPr>
              <w:t>实验及检测仪器未标定或标定不合格仍使用的，每次违约金</w:t>
            </w:r>
            <w:r>
              <w:rPr>
                <w:spacing w:val="-36"/>
                <w:sz w:val="20"/>
                <w:szCs w:val="20"/>
              </w:rPr>
              <w:t xml:space="preserve"> </w:t>
            </w:r>
            <w:r>
              <w:rPr>
                <w:spacing w:val="8"/>
                <w:sz w:val="20"/>
                <w:szCs w:val="20"/>
              </w:rPr>
              <w:t>2</w:t>
            </w:r>
            <w:r>
              <w:rPr>
                <w:spacing w:val="7"/>
                <w:sz w:val="20"/>
                <w:szCs w:val="20"/>
              </w:rPr>
              <w:t>,000</w:t>
            </w:r>
            <w:r>
              <w:rPr>
                <w:spacing w:val="-39"/>
                <w:sz w:val="20"/>
                <w:szCs w:val="20"/>
              </w:rPr>
              <w:t xml:space="preserve"> </w:t>
            </w:r>
            <w:r>
              <w:rPr>
                <w:spacing w:val="7"/>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807" w:type="dxa"/>
            <w:vMerge w:val="continue"/>
            <w:tcBorders>
              <w:top w:val="nil"/>
              <w:bottom w:val="nil"/>
            </w:tcBorders>
            <w:vAlign w:val="top"/>
          </w:tcPr>
          <w:p>
            <w:pPr>
              <w:rPr>
                <w:rFonts w:ascii="Arial"/>
                <w:sz w:val="21"/>
              </w:rPr>
            </w:pPr>
          </w:p>
        </w:tc>
        <w:tc>
          <w:tcPr>
            <w:tcW w:w="751" w:type="dxa"/>
            <w:vAlign w:val="top"/>
          </w:tcPr>
          <w:p>
            <w:pPr>
              <w:spacing w:line="248" w:lineRule="auto"/>
              <w:rPr>
                <w:rFonts w:ascii="Arial"/>
                <w:sz w:val="21"/>
              </w:rPr>
            </w:pPr>
          </w:p>
          <w:p>
            <w:pPr>
              <w:spacing w:line="248" w:lineRule="auto"/>
              <w:rPr>
                <w:rFonts w:ascii="Arial"/>
                <w:sz w:val="21"/>
              </w:rPr>
            </w:pPr>
          </w:p>
          <w:p>
            <w:pPr>
              <w:pStyle w:val="17"/>
              <w:spacing w:before="65" w:line="187" w:lineRule="auto"/>
              <w:ind w:left="327"/>
              <w:rPr>
                <w:sz w:val="20"/>
                <w:szCs w:val="20"/>
              </w:rPr>
            </w:pPr>
            <w:r>
              <w:rPr>
                <w:sz w:val="20"/>
                <w:szCs w:val="20"/>
              </w:rPr>
              <w:t>7</w:t>
            </w:r>
          </w:p>
        </w:tc>
        <w:tc>
          <w:tcPr>
            <w:tcW w:w="7379" w:type="dxa"/>
            <w:vAlign w:val="top"/>
          </w:tcPr>
          <w:p>
            <w:pPr>
              <w:pStyle w:val="17"/>
              <w:spacing w:before="121" w:line="378" w:lineRule="auto"/>
              <w:ind w:left="112" w:right="106" w:hanging="3"/>
              <w:rPr>
                <w:sz w:val="20"/>
                <w:szCs w:val="20"/>
              </w:rPr>
            </w:pPr>
            <w:r>
              <w:rPr>
                <w:spacing w:val="10"/>
                <w:sz w:val="20"/>
                <w:szCs w:val="20"/>
              </w:rPr>
              <w:t>检验项目、方法、频率，没有按设计或规范要求执行；原材料送检和其他自检</w:t>
            </w:r>
            <w:r>
              <w:rPr>
                <w:spacing w:val="12"/>
                <w:sz w:val="20"/>
                <w:szCs w:val="20"/>
              </w:rPr>
              <w:t xml:space="preserve"> </w:t>
            </w:r>
            <w:r>
              <w:rPr>
                <w:spacing w:val="10"/>
                <w:sz w:val="20"/>
                <w:szCs w:val="20"/>
              </w:rPr>
              <w:t>项目的试验（如钢筋焊接，土的重击实试验）不及时，频率未达到规定要求，</w:t>
            </w:r>
          </w:p>
          <w:p>
            <w:pPr>
              <w:pStyle w:val="17"/>
              <w:spacing w:line="224" w:lineRule="auto"/>
              <w:ind w:left="109"/>
              <w:rPr>
                <w:sz w:val="20"/>
                <w:szCs w:val="20"/>
              </w:rPr>
            </w:pPr>
            <w:r>
              <w:rPr>
                <w:spacing w:val="4"/>
                <w:sz w:val="20"/>
                <w:szCs w:val="20"/>
              </w:rPr>
              <w:t>每次违约金</w:t>
            </w:r>
            <w:r>
              <w:rPr>
                <w:spacing w:val="-32"/>
                <w:sz w:val="20"/>
                <w:szCs w:val="20"/>
              </w:rPr>
              <w:t xml:space="preserve"> </w:t>
            </w:r>
            <w:r>
              <w:rPr>
                <w:spacing w:val="4"/>
                <w:sz w:val="20"/>
                <w:szCs w:val="20"/>
              </w:rPr>
              <w:t>2,000</w:t>
            </w:r>
            <w:r>
              <w:rPr>
                <w:spacing w:val="-37"/>
                <w:sz w:val="20"/>
                <w:szCs w:val="20"/>
              </w:rPr>
              <w:t xml:space="preserve"> </w:t>
            </w:r>
            <w:r>
              <w:rPr>
                <w:spacing w:val="4"/>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07" w:type="dxa"/>
            <w:vMerge w:val="continue"/>
            <w:tcBorders>
              <w:top w:val="nil"/>
              <w:bottom w:val="nil"/>
            </w:tcBorders>
            <w:vAlign w:val="top"/>
          </w:tcPr>
          <w:p>
            <w:pPr>
              <w:rPr>
                <w:rFonts w:ascii="Arial"/>
                <w:sz w:val="21"/>
              </w:rPr>
            </w:pPr>
          </w:p>
        </w:tc>
        <w:tc>
          <w:tcPr>
            <w:tcW w:w="751" w:type="dxa"/>
            <w:vAlign w:val="top"/>
          </w:tcPr>
          <w:p>
            <w:pPr>
              <w:pStyle w:val="17"/>
              <w:spacing w:before="155" w:line="189" w:lineRule="auto"/>
              <w:ind w:left="323"/>
              <w:rPr>
                <w:sz w:val="20"/>
                <w:szCs w:val="20"/>
              </w:rPr>
            </w:pPr>
            <w:r>
              <w:rPr>
                <w:sz w:val="20"/>
                <w:szCs w:val="20"/>
              </w:rPr>
              <w:t>8</w:t>
            </w:r>
          </w:p>
        </w:tc>
        <w:tc>
          <w:tcPr>
            <w:tcW w:w="7379" w:type="dxa"/>
            <w:vAlign w:val="top"/>
          </w:tcPr>
          <w:p>
            <w:pPr>
              <w:pStyle w:val="17"/>
              <w:spacing w:before="122" w:line="225" w:lineRule="auto"/>
              <w:ind w:left="112"/>
              <w:rPr>
                <w:sz w:val="20"/>
                <w:szCs w:val="20"/>
              </w:rPr>
            </w:pPr>
            <w:r>
              <w:rPr>
                <w:spacing w:val="8"/>
                <w:sz w:val="20"/>
                <w:szCs w:val="20"/>
              </w:rPr>
              <w:t>未经检验合格的材料（原材料、锚具等）用于施工的，每次违约金</w:t>
            </w:r>
            <w:r>
              <w:rPr>
                <w:spacing w:val="-35"/>
                <w:sz w:val="20"/>
                <w:szCs w:val="20"/>
              </w:rPr>
              <w:t xml:space="preserve"> </w:t>
            </w:r>
            <w:r>
              <w:rPr>
                <w:spacing w:val="8"/>
                <w:sz w:val="20"/>
                <w:szCs w:val="20"/>
              </w:rPr>
              <w:t>5,000</w:t>
            </w:r>
            <w:r>
              <w:rPr>
                <w:spacing w:val="-37"/>
                <w:sz w:val="20"/>
                <w:szCs w:val="20"/>
              </w:rPr>
              <w:t xml:space="preserve"> </w:t>
            </w:r>
            <w:r>
              <w:rPr>
                <w:spacing w:val="8"/>
                <w:sz w:val="20"/>
                <w:szCs w:val="20"/>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trPr>
        <w:tc>
          <w:tcPr>
            <w:tcW w:w="807" w:type="dxa"/>
            <w:vMerge w:val="continue"/>
            <w:tcBorders>
              <w:top w:val="nil"/>
            </w:tcBorders>
            <w:vAlign w:val="top"/>
          </w:tcPr>
          <w:p>
            <w:pPr>
              <w:rPr>
                <w:rFonts w:ascii="Arial"/>
                <w:sz w:val="21"/>
              </w:rPr>
            </w:pPr>
          </w:p>
        </w:tc>
        <w:tc>
          <w:tcPr>
            <w:tcW w:w="751" w:type="dxa"/>
            <w:vAlign w:val="top"/>
          </w:tcPr>
          <w:p>
            <w:pPr>
              <w:spacing w:line="247" w:lineRule="auto"/>
              <w:rPr>
                <w:rFonts w:ascii="Arial"/>
                <w:sz w:val="21"/>
              </w:rPr>
            </w:pPr>
          </w:p>
          <w:p>
            <w:pPr>
              <w:spacing w:line="248" w:lineRule="auto"/>
              <w:rPr>
                <w:rFonts w:ascii="Arial"/>
                <w:sz w:val="21"/>
              </w:rPr>
            </w:pPr>
          </w:p>
          <w:p>
            <w:pPr>
              <w:pStyle w:val="17"/>
              <w:spacing w:before="65" w:line="189" w:lineRule="auto"/>
              <w:ind w:left="323"/>
              <w:rPr>
                <w:sz w:val="20"/>
                <w:szCs w:val="20"/>
              </w:rPr>
            </w:pPr>
            <w:r>
              <w:rPr>
                <w:sz w:val="20"/>
                <w:szCs w:val="20"/>
              </w:rPr>
              <w:t>9</w:t>
            </w:r>
          </w:p>
        </w:tc>
        <w:tc>
          <w:tcPr>
            <w:tcW w:w="7379" w:type="dxa"/>
            <w:vAlign w:val="top"/>
          </w:tcPr>
          <w:p>
            <w:pPr>
              <w:pStyle w:val="17"/>
              <w:spacing w:before="122" w:line="378" w:lineRule="auto"/>
              <w:ind w:left="111" w:right="106" w:hanging="2"/>
              <w:jc w:val="both"/>
              <w:rPr>
                <w:sz w:val="20"/>
                <w:szCs w:val="20"/>
              </w:rPr>
            </w:pPr>
            <w:r>
              <w:rPr>
                <w:spacing w:val="10"/>
                <w:sz w:val="20"/>
                <w:szCs w:val="20"/>
              </w:rPr>
              <w:t>其他不按照《广东省公路施工标准化指南》和《广东省高速公路工程施工组织</w:t>
            </w:r>
            <w:r>
              <w:rPr>
                <w:spacing w:val="11"/>
                <w:sz w:val="20"/>
                <w:szCs w:val="20"/>
              </w:rPr>
              <w:t xml:space="preserve"> </w:t>
            </w:r>
            <w:r>
              <w:rPr>
                <w:spacing w:val="10"/>
                <w:sz w:val="20"/>
                <w:szCs w:val="20"/>
              </w:rPr>
              <w:t>设计和施工方案标准化管理指南》有关规定进行管理或施工作业的，每次违约</w:t>
            </w:r>
          </w:p>
          <w:p>
            <w:pPr>
              <w:pStyle w:val="17"/>
              <w:spacing w:line="224" w:lineRule="auto"/>
              <w:ind w:left="110"/>
              <w:rPr>
                <w:sz w:val="20"/>
                <w:szCs w:val="20"/>
              </w:rPr>
            </w:pPr>
            <w:r>
              <w:rPr>
                <w:spacing w:val="4"/>
                <w:sz w:val="20"/>
                <w:szCs w:val="20"/>
              </w:rPr>
              <w:t>金</w:t>
            </w:r>
            <w:r>
              <w:rPr>
                <w:spacing w:val="-14"/>
                <w:sz w:val="20"/>
                <w:szCs w:val="20"/>
              </w:rPr>
              <w:t xml:space="preserve"> </w:t>
            </w:r>
            <w:r>
              <w:rPr>
                <w:spacing w:val="4"/>
                <w:sz w:val="20"/>
                <w:szCs w:val="20"/>
              </w:rPr>
              <w:t>1,000--50,000</w:t>
            </w:r>
            <w:r>
              <w:rPr>
                <w:spacing w:val="-36"/>
                <w:sz w:val="20"/>
                <w:szCs w:val="20"/>
              </w:rPr>
              <w:t xml:space="preserve"> </w:t>
            </w:r>
            <w:r>
              <w:rPr>
                <w:spacing w:val="4"/>
                <w:sz w:val="20"/>
                <w:szCs w:val="20"/>
              </w:rPr>
              <w:t>元，并限期纠正。</w:t>
            </w:r>
          </w:p>
        </w:tc>
      </w:tr>
    </w:tbl>
    <w:p>
      <w:pPr>
        <w:rPr>
          <w:rFonts w:ascii="Arial"/>
          <w:sz w:val="21"/>
        </w:rPr>
      </w:pPr>
    </w:p>
    <w:p>
      <w:pPr>
        <w:spacing w:line="414" w:lineRule="auto"/>
        <w:rPr>
          <w:rFonts w:ascii="Arial"/>
          <w:sz w:val="21"/>
        </w:rPr>
      </w:pPr>
    </w:p>
    <w:p>
      <w:pPr>
        <w:spacing w:before="98" w:line="219" w:lineRule="auto"/>
        <w:ind w:left="1747"/>
        <w:rPr>
          <w:rFonts w:ascii="宋体" w:hAnsi="宋体" w:eastAsia="宋体" w:cs="宋体"/>
          <w:sz w:val="30"/>
          <w:szCs w:val="30"/>
          <w14:textOutline w14:w="5448" w14:cap="sq" w14:cmpd="sng">
            <w14:solidFill>
              <w14:srgbClr w14:val="000000"/>
            </w14:solidFill>
            <w14:prstDash w14:val="solid"/>
            <w14:bevel/>
          </w14:textOutline>
        </w:rPr>
      </w:pPr>
    </w:p>
    <w:p>
      <w:pPr>
        <w:spacing w:before="98" w:line="219" w:lineRule="auto"/>
        <w:ind w:left="1747"/>
        <w:rPr>
          <w:rFonts w:ascii="宋体" w:hAnsi="宋体" w:eastAsia="宋体" w:cs="宋体"/>
          <w:sz w:val="30"/>
          <w:szCs w:val="30"/>
          <w14:textOutline w14:w="5448" w14:cap="sq" w14:cmpd="sng">
            <w14:solidFill>
              <w14:srgbClr w14:val="000000"/>
            </w14:solidFill>
            <w14:prstDash w14:val="solid"/>
            <w14:bevel/>
          </w14:textOutline>
        </w:rPr>
      </w:pPr>
    </w:p>
    <w:p>
      <w:pPr>
        <w:spacing w:before="98" w:line="219" w:lineRule="auto"/>
        <w:ind w:left="1747"/>
        <w:rPr>
          <w:rFonts w:ascii="宋体" w:hAnsi="宋体" w:eastAsia="宋体" w:cs="宋体"/>
          <w:sz w:val="30"/>
          <w:szCs w:val="30"/>
          <w14:textOutline w14:w="5448" w14:cap="sq" w14:cmpd="sng">
            <w14:solidFill>
              <w14:srgbClr w14:val="000000"/>
            </w14:solidFill>
            <w14:prstDash w14:val="solid"/>
            <w14:bevel/>
          </w14:textOutline>
        </w:rPr>
      </w:pPr>
    </w:p>
    <w:p>
      <w:pPr>
        <w:spacing w:before="98" w:line="219" w:lineRule="auto"/>
        <w:ind w:left="1747"/>
        <w:rPr>
          <w:rFonts w:ascii="宋体" w:hAnsi="宋体" w:eastAsia="宋体" w:cs="宋体"/>
          <w:sz w:val="30"/>
          <w:szCs w:val="30"/>
        </w:rPr>
      </w:pPr>
      <w:r>
        <w:rPr>
          <w:rFonts w:ascii="宋体" w:hAnsi="宋体" w:eastAsia="宋体" w:cs="宋体"/>
          <w:sz w:val="30"/>
          <w:szCs w:val="30"/>
          <w14:textOutline w14:w="5448" w14:cap="sq" w14:cmpd="sng">
            <w14:solidFill>
              <w14:srgbClr w14:val="000000"/>
            </w14:solidFill>
            <w14:prstDash w14:val="solid"/>
            <w14:bevel/>
          </w14:textOutline>
        </w:rPr>
        <w:t>工程质量、安全及文明施工违约项目一览表</w:t>
      </w:r>
    </w:p>
    <w:p>
      <w:pPr>
        <w:spacing w:before="32" w:line="220" w:lineRule="auto"/>
        <w:ind w:left="3304"/>
        <w:rPr>
          <w:rFonts w:ascii="宋体" w:hAnsi="宋体" w:eastAsia="宋体" w:cs="宋体"/>
          <w:sz w:val="30"/>
          <w:szCs w:val="30"/>
        </w:rPr>
      </w:pPr>
      <w:r>
        <w:rPr>
          <w:rFonts w:ascii="宋体" w:hAnsi="宋体" w:eastAsia="宋体" w:cs="宋体"/>
          <w:spacing w:val="-6"/>
          <w:sz w:val="30"/>
          <w:szCs w:val="30"/>
          <w14:textOutline w14:w="5448" w14:cap="sq" w14:cmpd="sng">
            <w14:solidFill>
              <w14:srgbClr w14:val="000000"/>
            </w14:solidFill>
            <w14:prstDash w14:val="solid"/>
            <w14:bevel/>
          </w14:textOutline>
        </w:rPr>
        <w:t>(仅适用于房建工程)</w:t>
      </w:r>
    </w:p>
    <w:p>
      <w:pPr>
        <w:spacing w:line="181" w:lineRule="exact"/>
      </w:pPr>
    </w:p>
    <w:tbl>
      <w:tblPr>
        <w:tblStyle w:val="16"/>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866"/>
        <w:gridCol w:w="74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55" w:type="dxa"/>
            <w:vAlign w:val="top"/>
          </w:tcPr>
          <w:p>
            <w:pPr>
              <w:pStyle w:val="17"/>
              <w:spacing w:before="37" w:line="228" w:lineRule="auto"/>
              <w:ind w:left="223"/>
              <w:rPr>
                <w:sz w:val="20"/>
                <w:szCs w:val="20"/>
              </w:rPr>
            </w:pPr>
            <w:r>
              <w:rPr>
                <w:spacing w:val="6"/>
                <w:sz w:val="20"/>
                <w:szCs w:val="20"/>
                <w14:textOutline w14:w="3795" w14:cap="sq" w14:cmpd="sng">
                  <w14:solidFill>
                    <w14:srgbClr w14:val="000000"/>
                  </w14:solidFill>
                  <w14:prstDash w14:val="solid"/>
                  <w14:bevel/>
                </w14:textOutline>
              </w:rPr>
              <w:t>类别</w:t>
            </w:r>
          </w:p>
        </w:tc>
        <w:tc>
          <w:tcPr>
            <w:tcW w:w="866" w:type="dxa"/>
            <w:vAlign w:val="top"/>
          </w:tcPr>
          <w:p>
            <w:pPr>
              <w:pStyle w:val="17"/>
              <w:spacing w:before="37" w:line="229" w:lineRule="auto"/>
              <w:ind w:left="227"/>
              <w:rPr>
                <w:sz w:val="20"/>
                <w:szCs w:val="20"/>
              </w:rPr>
            </w:pPr>
            <w:r>
              <w:rPr>
                <w:spacing w:val="6"/>
                <w:sz w:val="20"/>
                <w:szCs w:val="20"/>
                <w14:textOutline w14:w="3795" w14:cap="sq" w14:cmpd="sng">
                  <w14:solidFill>
                    <w14:srgbClr w14:val="000000"/>
                  </w14:solidFill>
                  <w14:prstDash w14:val="solid"/>
                  <w14:bevel/>
                </w14:textOutline>
              </w:rPr>
              <w:t>序号</w:t>
            </w:r>
          </w:p>
        </w:tc>
        <w:tc>
          <w:tcPr>
            <w:tcW w:w="7460" w:type="dxa"/>
            <w:vAlign w:val="top"/>
          </w:tcPr>
          <w:p>
            <w:pPr>
              <w:pStyle w:val="17"/>
              <w:spacing w:before="38" w:line="228" w:lineRule="auto"/>
              <w:ind w:left="3156"/>
              <w:rPr>
                <w:sz w:val="20"/>
                <w:szCs w:val="20"/>
              </w:rPr>
            </w:pPr>
            <w:r>
              <w:rPr>
                <w:spacing w:val="-2"/>
                <w:sz w:val="20"/>
                <w:szCs w:val="20"/>
                <w14:textOutline w14:w="3795" w14:cap="sq" w14:cmpd="sng">
                  <w14:solidFill>
                    <w14:srgbClr w14:val="000000"/>
                  </w14:solidFill>
                  <w14:prstDash w14:val="solid"/>
                  <w14:bevel/>
                </w14:textOutline>
              </w:rPr>
              <w:t>违</w:t>
            </w:r>
            <w:r>
              <w:rPr>
                <w:spacing w:val="22"/>
                <w:sz w:val="20"/>
                <w:szCs w:val="20"/>
              </w:rPr>
              <w:t xml:space="preserve"> </w:t>
            </w:r>
            <w:r>
              <w:rPr>
                <w:spacing w:val="-2"/>
                <w:sz w:val="20"/>
                <w:szCs w:val="20"/>
                <w14:textOutline w14:w="3795" w14:cap="sq" w14:cmpd="sng">
                  <w14:solidFill>
                    <w14:srgbClr w14:val="000000"/>
                  </w14:solidFill>
                  <w14:prstDash w14:val="solid"/>
                  <w14:bevel/>
                </w14:textOutline>
              </w:rPr>
              <w:t>约</w:t>
            </w:r>
            <w:r>
              <w:rPr>
                <w:spacing w:val="19"/>
                <w:sz w:val="20"/>
                <w:szCs w:val="20"/>
              </w:rPr>
              <w:t xml:space="preserve"> </w:t>
            </w:r>
            <w:r>
              <w:rPr>
                <w:spacing w:val="-2"/>
                <w:sz w:val="20"/>
                <w:szCs w:val="20"/>
                <w14:textOutline w14:w="3795" w14:cap="sq" w14:cmpd="sng">
                  <w14:solidFill>
                    <w14:srgbClr w14:val="000000"/>
                  </w14:solidFill>
                  <w14:prstDash w14:val="solid"/>
                  <w14:bevel/>
                </w14:textOutline>
              </w:rPr>
              <w:t>项</w:t>
            </w:r>
            <w:r>
              <w:rPr>
                <w:spacing w:val="53"/>
                <w:sz w:val="20"/>
                <w:szCs w:val="20"/>
              </w:rPr>
              <w:t xml:space="preserve"> </w:t>
            </w:r>
            <w:r>
              <w:rPr>
                <w:spacing w:val="-2"/>
                <w:sz w:val="20"/>
                <w:szCs w:val="20"/>
                <w14:textOutline w14:w="3795" w14:cap="sq" w14:cmpd="sng">
                  <w14:solidFill>
                    <w14:srgbClr w14:val="000000"/>
                  </w14:solidFill>
                  <w14:prstDash w14:val="solid"/>
                  <w14:bevel/>
                </w14:textOutline>
              </w:rPr>
              <w:t>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55" w:type="dxa"/>
            <w:vMerge w:val="restart"/>
            <w:tcBorders>
              <w:bottom w:val="nil"/>
            </w:tcBorders>
            <w:vAlign w:val="top"/>
          </w:tcPr>
          <w:p>
            <w:pPr>
              <w:spacing w:line="291" w:lineRule="auto"/>
              <w:rPr>
                <w:rFonts w:ascii="Arial"/>
                <w:sz w:val="21"/>
              </w:rPr>
            </w:pPr>
          </w:p>
          <w:p>
            <w:pPr>
              <w:spacing w:line="292" w:lineRule="auto"/>
              <w:rPr>
                <w:rFonts w:ascii="Arial"/>
                <w:sz w:val="21"/>
              </w:rPr>
            </w:pPr>
          </w:p>
          <w:p>
            <w:pPr>
              <w:pStyle w:val="17"/>
              <w:spacing w:before="65" w:line="378" w:lineRule="auto"/>
              <w:ind w:left="114" w:right="108"/>
              <w:jc w:val="both"/>
              <w:rPr>
                <w:sz w:val="20"/>
                <w:szCs w:val="20"/>
              </w:rPr>
            </w:pPr>
            <w:r>
              <w:rPr>
                <w:spacing w:val="9"/>
                <w:sz w:val="20"/>
                <w:szCs w:val="20"/>
              </w:rPr>
              <w:t>钢筋混</w:t>
            </w:r>
            <w:r>
              <w:rPr>
                <w:sz w:val="20"/>
                <w:szCs w:val="20"/>
              </w:rPr>
              <w:t xml:space="preserve"> </w:t>
            </w:r>
            <w:r>
              <w:rPr>
                <w:spacing w:val="8"/>
                <w:sz w:val="20"/>
                <w:szCs w:val="20"/>
              </w:rPr>
              <w:t>凝土工</w:t>
            </w:r>
          </w:p>
          <w:p>
            <w:pPr>
              <w:pStyle w:val="17"/>
              <w:spacing w:line="228" w:lineRule="auto"/>
              <w:ind w:left="114"/>
              <w:rPr>
                <w:sz w:val="20"/>
                <w:szCs w:val="20"/>
              </w:rPr>
            </w:pPr>
            <w:r>
              <w:rPr>
                <w:spacing w:val="1"/>
                <w:sz w:val="20"/>
                <w:szCs w:val="20"/>
              </w:rPr>
              <w:t>程</w:t>
            </w:r>
          </w:p>
        </w:tc>
        <w:tc>
          <w:tcPr>
            <w:tcW w:w="866" w:type="dxa"/>
            <w:vAlign w:val="top"/>
          </w:tcPr>
          <w:p>
            <w:pPr>
              <w:pStyle w:val="17"/>
              <w:spacing w:before="267" w:line="189" w:lineRule="auto"/>
              <w:ind w:left="399"/>
              <w:rPr>
                <w:sz w:val="20"/>
                <w:szCs w:val="20"/>
              </w:rPr>
            </w:pPr>
            <w:r>
              <w:rPr>
                <w:sz w:val="20"/>
                <w:szCs w:val="20"/>
              </w:rPr>
              <w:t>1</w:t>
            </w:r>
          </w:p>
        </w:tc>
        <w:tc>
          <w:tcPr>
            <w:tcW w:w="7460" w:type="dxa"/>
            <w:vAlign w:val="top"/>
          </w:tcPr>
          <w:p>
            <w:pPr>
              <w:pStyle w:val="17"/>
              <w:spacing w:before="30" w:line="408" w:lineRule="exact"/>
              <w:ind w:left="111"/>
              <w:rPr>
                <w:sz w:val="20"/>
                <w:szCs w:val="20"/>
              </w:rPr>
            </w:pPr>
            <w:r>
              <w:rPr>
                <w:spacing w:val="13"/>
                <w:position w:val="15"/>
                <w:sz w:val="20"/>
                <w:szCs w:val="20"/>
              </w:rPr>
              <w:t>钢筋制安施工过程中，如出现人为烧断受力主筋，或采用</w:t>
            </w:r>
            <w:r>
              <w:rPr>
                <w:spacing w:val="12"/>
                <w:position w:val="15"/>
                <w:sz w:val="20"/>
                <w:szCs w:val="20"/>
              </w:rPr>
              <w:t>热弯钢筋情况，每发</w:t>
            </w:r>
          </w:p>
          <w:p>
            <w:pPr>
              <w:pStyle w:val="17"/>
              <w:spacing w:line="227" w:lineRule="auto"/>
              <w:ind w:left="114"/>
              <w:rPr>
                <w:sz w:val="20"/>
                <w:szCs w:val="20"/>
              </w:rPr>
            </w:pPr>
            <w:r>
              <w:rPr>
                <w:spacing w:val="5"/>
                <w:sz w:val="20"/>
                <w:szCs w:val="20"/>
              </w:rPr>
              <w:t>现一处按</w:t>
            </w:r>
            <w:r>
              <w:rPr>
                <w:spacing w:val="-32"/>
                <w:sz w:val="20"/>
                <w:szCs w:val="20"/>
              </w:rPr>
              <w:t xml:space="preserve"> </w:t>
            </w:r>
            <w:r>
              <w:rPr>
                <w:spacing w:val="5"/>
                <w:sz w:val="20"/>
                <w:szCs w:val="20"/>
              </w:rPr>
              <w:t>3000</w:t>
            </w:r>
            <w:r>
              <w:rPr>
                <w:spacing w:val="-37"/>
                <w:sz w:val="20"/>
                <w:szCs w:val="20"/>
              </w:rPr>
              <w:t xml:space="preserve"> </w:t>
            </w:r>
            <w:r>
              <w:rPr>
                <w:spacing w:val="5"/>
                <w:sz w:val="20"/>
                <w:szCs w:val="20"/>
              </w:rPr>
              <w:t>元/点违约金。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55" w:type="dxa"/>
            <w:vMerge w:val="continue"/>
            <w:tcBorders>
              <w:top w:val="nil"/>
              <w:bottom w:val="nil"/>
            </w:tcBorders>
            <w:vAlign w:val="top"/>
          </w:tcPr>
          <w:p>
            <w:pPr>
              <w:rPr>
                <w:rFonts w:ascii="Arial"/>
                <w:sz w:val="21"/>
              </w:rPr>
            </w:pPr>
          </w:p>
        </w:tc>
        <w:tc>
          <w:tcPr>
            <w:tcW w:w="866" w:type="dxa"/>
            <w:vAlign w:val="top"/>
          </w:tcPr>
          <w:p>
            <w:pPr>
              <w:pStyle w:val="17"/>
              <w:spacing w:before="269" w:line="189" w:lineRule="auto"/>
              <w:ind w:left="386"/>
              <w:rPr>
                <w:sz w:val="20"/>
                <w:szCs w:val="20"/>
              </w:rPr>
            </w:pPr>
            <w:r>
              <w:rPr>
                <w:sz w:val="20"/>
                <w:szCs w:val="20"/>
              </w:rPr>
              <w:t>2</w:t>
            </w:r>
          </w:p>
        </w:tc>
        <w:tc>
          <w:tcPr>
            <w:tcW w:w="7460" w:type="dxa"/>
            <w:vAlign w:val="top"/>
          </w:tcPr>
          <w:p>
            <w:pPr>
              <w:pStyle w:val="17"/>
              <w:spacing w:before="32" w:line="408" w:lineRule="exact"/>
              <w:ind w:left="113"/>
              <w:rPr>
                <w:sz w:val="20"/>
                <w:szCs w:val="20"/>
              </w:rPr>
            </w:pPr>
            <w:r>
              <w:rPr>
                <w:spacing w:val="8"/>
                <w:position w:val="15"/>
                <w:sz w:val="20"/>
                <w:szCs w:val="20"/>
              </w:rPr>
              <w:t>新浇混凝土强度未达到</w:t>
            </w:r>
            <w:r>
              <w:rPr>
                <w:spacing w:val="-5"/>
                <w:position w:val="15"/>
                <w:sz w:val="20"/>
                <w:szCs w:val="20"/>
              </w:rPr>
              <w:t xml:space="preserve"> </w:t>
            </w:r>
            <w:r>
              <w:rPr>
                <w:spacing w:val="8"/>
                <w:position w:val="15"/>
                <w:sz w:val="20"/>
                <w:szCs w:val="20"/>
              </w:rPr>
              <w:t>1.2N/平方毫米即上人卸物，每发现一次按</w:t>
            </w:r>
            <w:r>
              <w:rPr>
                <w:spacing w:val="-32"/>
                <w:position w:val="15"/>
                <w:sz w:val="20"/>
                <w:szCs w:val="20"/>
              </w:rPr>
              <w:t xml:space="preserve"> </w:t>
            </w:r>
            <w:r>
              <w:rPr>
                <w:spacing w:val="8"/>
                <w:position w:val="15"/>
                <w:sz w:val="20"/>
                <w:szCs w:val="20"/>
              </w:rPr>
              <w:t>500</w:t>
            </w:r>
            <w:r>
              <w:rPr>
                <w:spacing w:val="-36"/>
                <w:position w:val="15"/>
                <w:sz w:val="20"/>
                <w:szCs w:val="20"/>
              </w:rPr>
              <w:t xml:space="preserve"> </w:t>
            </w:r>
            <w:r>
              <w:rPr>
                <w:spacing w:val="8"/>
                <w:position w:val="15"/>
                <w:sz w:val="20"/>
                <w:szCs w:val="20"/>
              </w:rPr>
              <w:t>元/次违</w:t>
            </w:r>
          </w:p>
          <w:p>
            <w:pPr>
              <w:pStyle w:val="17"/>
              <w:spacing w:line="232" w:lineRule="auto"/>
              <w:ind w:left="118"/>
              <w:rPr>
                <w:sz w:val="20"/>
                <w:szCs w:val="20"/>
              </w:rPr>
            </w:pPr>
            <w:r>
              <w:rPr>
                <w:spacing w:val="1"/>
                <w:sz w:val="20"/>
                <w:szCs w:val="20"/>
              </w:rPr>
              <w:t>约金。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55" w:type="dxa"/>
            <w:vMerge w:val="continue"/>
            <w:tcBorders>
              <w:top w:val="nil"/>
            </w:tcBorders>
            <w:vAlign w:val="top"/>
          </w:tcPr>
          <w:p>
            <w:pPr>
              <w:rPr>
                <w:rFonts w:ascii="Arial"/>
                <w:sz w:val="21"/>
              </w:rPr>
            </w:pPr>
          </w:p>
        </w:tc>
        <w:tc>
          <w:tcPr>
            <w:tcW w:w="866" w:type="dxa"/>
            <w:vAlign w:val="top"/>
          </w:tcPr>
          <w:p>
            <w:pPr>
              <w:pStyle w:val="17"/>
              <w:spacing w:before="269" w:line="189" w:lineRule="auto"/>
              <w:ind w:left="388"/>
              <w:rPr>
                <w:sz w:val="20"/>
                <w:szCs w:val="20"/>
              </w:rPr>
            </w:pPr>
            <w:r>
              <w:rPr>
                <w:sz w:val="20"/>
                <w:szCs w:val="20"/>
              </w:rPr>
              <w:t>3</w:t>
            </w:r>
          </w:p>
        </w:tc>
        <w:tc>
          <w:tcPr>
            <w:tcW w:w="7460" w:type="dxa"/>
            <w:vAlign w:val="top"/>
          </w:tcPr>
          <w:p>
            <w:pPr>
              <w:pStyle w:val="17"/>
              <w:spacing w:before="32" w:line="408" w:lineRule="exact"/>
              <w:ind w:left="115"/>
              <w:rPr>
                <w:sz w:val="20"/>
                <w:szCs w:val="20"/>
              </w:rPr>
            </w:pPr>
            <w:r>
              <w:rPr>
                <w:spacing w:val="11"/>
                <w:position w:val="15"/>
                <w:sz w:val="20"/>
                <w:szCs w:val="20"/>
              </w:rPr>
              <w:t>混凝土养护不够造成质量隐患，返工费用由施工单位负责外，另追加</w:t>
            </w:r>
            <w:r>
              <w:rPr>
                <w:spacing w:val="-30"/>
                <w:position w:val="15"/>
                <w:sz w:val="20"/>
                <w:szCs w:val="20"/>
              </w:rPr>
              <w:t xml:space="preserve"> </w:t>
            </w:r>
            <w:r>
              <w:rPr>
                <w:spacing w:val="11"/>
                <w:position w:val="15"/>
                <w:sz w:val="20"/>
                <w:szCs w:val="20"/>
              </w:rPr>
              <w:t>3000</w:t>
            </w:r>
            <w:r>
              <w:rPr>
                <w:spacing w:val="-36"/>
                <w:position w:val="15"/>
                <w:sz w:val="20"/>
                <w:szCs w:val="20"/>
              </w:rPr>
              <w:t xml:space="preserve"> </w:t>
            </w:r>
            <w:r>
              <w:rPr>
                <w:spacing w:val="11"/>
                <w:position w:val="15"/>
                <w:sz w:val="20"/>
                <w:szCs w:val="20"/>
              </w:rPr>
              <w:t>元/</w:t>
            </w:r>
          </w:p>
          <w:p>
            <w:pPr>
              <w:pStyle w:val="17"/>
              <w:spacing w:line="227" w:lineRule="auto"/>
              <w:ind w:left="118"/>
              <w:rPr>
                <w:sz w:val="20"/>
                <w:szCs w:val="20"/>
              </w:rPr>
            </w:pPr>
            <w:r>
              <w:rPr>
                <w:spacing w:val="4"/>
                <w:sz w:val="20"/>
                <w:szCs w:val="20"/>
              </w:rPr>
              <w:t>次违约金。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855" w:type="dxa"/>
            <w:vMerge w:val="restart"/>
            <w:tcBorders>
              <w:bottom w:val="nil"/>
            </w:tcBorders>
            <w:vAlign w:val="top"/>
          </w:tcPr>
          <w:p>
            <w:pPr>
              <w:pStyle w:val="17"/>
              <w:spacing w:before="45" w:line="408" w:lineRule="exact"/>
              <w:ind w:left="114"/>
              <w:rPr>
                <w:sz w:val="20"/>
                <w:szCs w:val="20"/>
              </w:rPr>
            </w:pPr>
            <w:r>
              <w:rPr>
                <w:spacing w:val="8"/>
                <w:position w:val="15"/>
                <w:sz w:val="20"/>
                <w:szCs w:val="20"/>
              </w:rPr>
              <w:t>模板工</w:t>
            </w:r>
          </w:p>
          <w:p>
            <w:pPr>
              <w:pStyle w:val="17"/>
              <w:spacing w:line="228" w:lineRule="auto"/>
              <w:ind w:left="114"/>
              <w:rPr>
                <w:sz w:val="20"/>
                <w:szCs w:val="20"/>
              </w:rPr>
            </w:pPr>
            <w:r>
              <w:rPr>
                <w:spacing w:val="1"/>
                <w:sz w:val="20"/>
                <w:szCs w:val="20"/>
              </w:rPr>
              <w:t>程</w:t>
            </w:r>
          </w:p>
        </w:tc>
        <w:tc>
          <w:tcPr>
            <w:tcW w:w="866" w:type="dxa"/>
            <w:vAlign w:val="top"/>
          </w:tcPr>
          <w:p>
            <w:pPr>
              <w:pStyle w:val="17"/>
              <w:spacing w:before="73" w:line="189" w:lineRule="auto"/>
              <w:ind w:left="383"/>
              <w:rPr>
                <w:sz w:val="20"/>
                <w:szCs w:val="20"/>
              </w:rPr>
            </w:pPr>
            <w:r>
              <w:rPr>
                <w:sz w:val="20"/>
                <w:szCs w:val="20"/>
              </w:rPr>
              <w:t>4</w:t>
            </w:r>
          </w:p>
        </w:tc>
        <w:tc>
          <w:tcPr>
            <w:tcW w:w="7460" w:type="dxa"/>
            <w:vAlign w:val="top"/>
          </w:tcPr>
          <w:p>
            <w:pPr>
              <w:pStyle w:val="17"/>
              <w:spacing w:before="40" w:line="228" w:lineRule="auto"/>
              <w:ind w:left="118"/>
              <w:rPr>
                <w:sz w:val="20"/>
                <w:szCs w:val="20"/>
              </w:rPr>
            </w:pPr>
            <w:r>
              <w:rPr>
                <w:spacing w:val="7"/>
                <w:sz w:val="20"/>
                <w:szCs w:val="20"/>
              </w:rPr>
              <w:t>高支模方案未经监理人审批即施工，一经发现按</w:t>
            </w:r>
            <w:r>
              <w:rPr>
                <w:spacing w:val="-14"/>
                <w:sz w:val="20"/>
                <w:szCs w:val="20"/>
              </w:rPr>
              <w:t xml:space="preserve"> </w:t>
            </w:r>
            <w:r>
              <w:rPr>
                <w:spacing w:val="7"/>
                <w:sz w:val="20"/>
                <w:szCs w:val="20"/>
              </w:rPr>
              <w:t>1000</w:t>
            </w:r>
            <w:r>
              <w:rPr>
                <w:spacing w:val="-39"/>
                <w:sz w:val="20"/>
                <w:szCs w:val="20"/>
              </w:rPr>
              <w:t xml:space="preserve"> </w:t>
            </w:r>
            <w:r>
              <w:rPr>
                <w:spacing w:val="7"/>
                <w:sz w:val="20"/>
                <w:szCs w:val="20"/>
              </w:rPr>
              <w:t>元/次违约金。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55" w:type="dxa"/>
            <w:vMerge w:val="continue"/>
            <w:tcBorders>
              <w:top w:val="nil"/>
            </w:tcBorders>
            <w:vAlign w:val="top"/>
          </w:tcPr>
          <w:p>
            <w:pPr>
              <w:rPr>
                <w:rFonts w:ascii="Arial"/>
                <w:sz w:val="21"/>
              </w:rPr>
            </w:pPr>
          </w:p>
        </w:tc>
        <w:tc>
          <w:tcPr>
            <w:tcW w:w="866" w:type="dxa"/>
            <w:vAlign w:val="top"/>
          </w:tcPr>
          <w:p>
            <w:pPr>
              <w:pStyle w:val="17"/>
              <w:spacing w:before="69" w:line="187" w:lineRule="auto"/>
              <w:ind w:left="388"/>
              <w:rPr>
                <w:sz w:val="20"/>
                <w:szCs w:val="20"/>
              </w:rPr>
            </w:pPr>
            <w:r>
              <w:rPr>
                <w:sz w:val="20"/>
                <w:szCs w:val="20"/>
              </w:rPr>
              <w:t>5</w:t>
            </w:r>
          </w:p>
        </w:tc>
        <w:tc>
          <w:tcPr>
            <w:tcW w:w="7460" w:type="dxa"/>
            <w:vAlign w:val="top"/>
          </w:tcPr>
          <w:p>
            <w:pPr>
              <w:pStyle w:val="17"/>
              <w:spacing w:before="33" w:line="228" w:lineRule="auto"/>
              <w:ind w:left="115"/>
              <w:rPr>
                <w:sz w:val="20"/>
                <w:szCs w:val="20"/>
              </w:rPr>
            </w:pPr>
            <w:r>
              <w:rPr>
                <w:spacing w:val="8"/>
                <w:sz w:val="20"/>
                <w:szCs w:val="20"/>
              </w:rPr>
              <w:t>混凝土龄期未到即拆模造成质量隐患，一经发现按</w:t>
            </w:r>
            <w:r>
              <w:rPr>
                <w:spacing w:val="-32"/>
                <w:sz w:val="20"/>
                <w:szCs w:val="20"/>
              </w:rPr>
              <w:t xml:space="preserve"> </w:t>
            </w:r>
            <w:r>
              <w:rPr>
                <w:spacing w:val="8"/>
                <w:sz w:val="20"/>
                <w:szCs w:val="20"/>
              </w:rPr>
              <w:t>3</w:t>
            </w:r>
            <w:r>
              <w:rPr>
                <w:spacing w:val="7"/>
                <w:sz w:val="20"/>
                <w:szCs w:val="20"/>
              </w:rPr>
              <w:t>000</w:t>
            </w:r>
            <w:r>
              <w:rPr>
                <w:spacing w:val="-36"/>
                <w:sz w:val="20"/>
                <w:szCs w:val="20"/>
              </w:rPr>
              <w:t xml:space="preserve"> </w:t>
            </w:r>
            <w:r>
              <w:rPr>
                <w:spacing w:val="7"/>
                <w:sz w:val="20"/>
                <w:szCs w:val="20"/>
              </w:rPr>
              <w:t>元/次违约金。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55" w:type="dxa"/>
            <w:vMerge w:val="restart"/>
            <w:tcBorders>
              <w:bottom w:val="nil"/>
            </w:tcBorders>
            <w:vAlign w:val="top"/>
          </w:tcPr>
          <w:p>
            <w:pPr>
              <w:spacing w:line="390" w:lineRule="auto"/>
              <w:rPr>
                <w:rFonts w:ascii="Arial"/>
                <w:sz w:val="21"/>
              </w:rPr>
            </w:pPr>
          </w:p>
          <w:p>
            <w:pPr>
              <w:pStyle w:val="17"/>
              <w:spacing w:before="65" w:line="377" w:lineRule="auto"/>
              <w:ind w:left="115" w:right="108"/>
              <w:jc w:val="both"/>
              <w:rPr>
                <w:sz w:val="20"/>
                <w:szCs w:val="20"/>
              </w:rPr>
            </w:pPr>
            <w:r>
              <w:rPr>
                <w:spacing w:val="8"/>
                <w:sz w:val="20"/>
                <w:szCs w:val="20"/>
              </w:rPr>
              <w:t>砖砌体</w:t>
            </w:r>
            <w:r>
              <w:rPr>
                <w:sz w:val="20"/>
                <w:szCs w:val="20"/>
              </w:rPr>
              <w:t xml:space="preserve"> </w:t>
            </w:r>
            <w:r>
              <w:rPr>
                <w:spacing w:val="8"/>
                <w:sz w:val="20"/>
                <w:szCs w:val="20"/>
              </w:rPr>
              <w:t>抹灰工</w:t>
            </w:r>
          </w:p>
          <w:p>
            <w:pPr>
              <w:pStyle w:val="17"/>
              <w:spacing w:line="228" w:lineRule="auto"/>
              <w:ind w:left="114"/>
              <w:rPr>
                <w:sz w:val="20"/>
                <w:szCs w:val="20"/>
              </w:rPr>
            </w:pPr>
            <w:r>
              <w:rPr>
                <w:spacing w:val="1"/>
                <w:sz w:val="20"/>
                <w:szCs w:val="20"/>
              </w:rPr>
              <w:t>程</w:t>
            </w:r>
          </w:p>
        </w:tc>
        <w:tc>
          <w:tcPr>
            <w:tcW w:w="866" w:type="dxa"/>
            <w:vAlign w:val="top"/>
          </w:tcPr>
          <w:p>
            <w:pPr>
              <w:pStyle w:val="17"/>
              <w:spacing w:before="270" w:line="189" w:lineRule="auto"/>
              <w:ind w:left="385"/>
              <w:rPr>
                <w:sz w:val="20"/>
                <w:szCs w:val="20"/>
              </w:rPr>
            </w:pPr>
            <w:r>
              <w:rPr>
                <w:sz w:val="20"/>
                <w:szCs w:val="20"/>
              </w:rPr>
              <w:t>6</w:t>
            </w:r>
          </w:p>
        </w:tc>
        <w:tc>
          <w:tcPr>
            <w:tcW w:w="7460" w:type="dxa"/>
            <w:vAlign w:val="top"/>
          </w:tcPr>
          <w:p>
            <w:pPr>
              <w:pStyle w:val="17"/>
              <w:spacing w:before="33" w:line="408" w:lineRule="exact"/>
              <w:ind w:left="113"/>
              <w:rPr>
                <w:sz w:val="20"/>
                <w:szCs w:val="20"/>
              </w:rPr>
            </w:pPr>
            <w:r>
              <w:rPr>
                <w:spacing w:val="13"/>
                <w:position w:val="15"/>
                <w:sz w:val="20"/>
                <w:szCs w:val="20"/>
              </w:rPr>
              <w:t>砖砌体施工前应提前充分洒水湿润，并应先安排做施</w:t>
            </w:r>
            <w:r>
              <w:rPr>
                <w:spacing w:val="12"/>
                <w:position w:val="15"/>
                <w:sz w:val="20"/>
                <w:szCs w:val="20"/>
              </w:rPr>
              <w:t>工样板，经监理人验收合</w:t>
            </w:r>
          </w:p>
          <w:p>
            <w:pPr>
              <w:pStyle w:val="17"/>
              <w:spacing w:line="227" w:lineRule="auto"/>
              <w:ind w:left="113"/>
              <w:rPr>
                <w:sz w:val="20"/>
                <w:szCs w:val="20"/>
              </w:rPr>
            </w:pPr>
            <w:r>
              <w:rPr>
                <w:spacing w:val="7"/>
                <w:sz w:val="20"/>
                <w:szCs w:val="20"/>
              </w:rPr>
              <w:t>格后再行大面积施工，如有违反按</w:t>
            </w:r>
            <w:r>
              <w:rPr>
                <w:spacing w:val="-26"/>
                <w:sz w:val="20"/>
                <w:szCs w:val="20"/>
              </w:rPr>
              <w:t xml:space="preserve"> </w:t>
            </w:r>
            <w:r>
              <w:rPr>
                <w:spacing w:val="7"/>
                <w:sz w:val="20"/>
                <w:szCs w:val="20"/>
              </w:rPr>
              <w:t>3000</w:t>
            </w:r>
            <w:r>
              <w:rPr>
                <w:spacing w:val="-39"/>
                <w:sz w:val="20"/>
                <w:szCs w:val="20"/>
              </w:rPr>
              <w:t xml:space="preserve"> </w:t>
            </w:r>
            <w:r>
              <w:rPr>
                <w:spacing w:val="7"/>
                <w:sz w:val="20"/>
                <w:szCs w:val="20"/>
              </w:rPr>
              <w:t>元/次违约金。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55" w:type="dxa"/>
            <w:vMerge w:val="continue"/>
            <w:tcBorders>
              <w:top w:val="nil"/>
              <w:bottom w:val="nil"/>
            </w:tcBorders>
            <w:vAlign w:val="top"/>
          </w:tcPr>
          <w:p>
            <w:pPr>
              <w:rPr>
                <w:rFonts w:ascii="Arial"/>
                <w:sz w:val="21"/>
              </w:rPr>
            </w:pPr>
          </w:p>
        </w:tc>
        <w:tc>
          <w:tcPr>
            <w:tcW w:w="866" w:type="dxa"/>
            <w:vAlign w:val="top"/>
          </w:tcPr>
          <w:p>
            <w:pPr>
              <w:pStyle w:val="17"/>
              <w:spacing w:before="271" w:line="187" w:lineRule="auto"/>
              <w:ind w:left="388"/>
              <w:rPr>
                <w:sz w:val="20"/>
                <w:szCs w:val="20"/>
              </w:rPr>
            </w:pPr>
            <w:r>
              <w:rPr>
                <w:sz w:val="20"/>
                <w:szCs w:val="20"/>
              </w:rPr>
              <w:t>7</w:t>
            </w:r>
          </w:p>
        </w:tc>
        <w:tc>
          <w:tcPr>
            <w:tcW w:w="7460" w:type="dxa"/>
            <w:vAlign w:val="top"/>
          </w:tcPr>
          <w:p>
            <w:pPr>
              <w:pStyle w:val="17"/>
              <w:spacing w:before="32" w:line="408" w:lineRule="exact"/>
              <w:ind w:left="113"/>
              <w:rPr>
                <w:sz w:val="20"/>
                <w:szCs w:val="20"/>
              </w:rPr>
            </w:pPr>
            <w:r>
              <w:rPr>
                <w:spacing w:val="9"/>
                <w:position w:val="15"/>
                <w:sz w:val="20"/>
                <w:szCs w:val="20"/>
              </w:rPr>
              <w:t>墙面抹灰前应先打点和冲筋，包护角，再进</w:t>
            </w:r>
            <w:r>
              <w:rPr>
                <w:spacing w:val="8"/>
                <w:position w:val="15"/>
                <w:sz w:val="20"/>
                <w:szCs w:val="20"/>
              </w:rPr>
              <w:t>行大面施工，如有违反按</w:t>
            </w:r>
            <w:r>
              <w:rPr>
                <w:spacing w:val="-32"/>
                <w:position w:val="15"/>
                <w:sz w:val="20"/>
                <w:szCs w:val="20"/>
              </w:rPr>
              <w:t xml:space="preserve"> </w:t>
            </w:r>
            <w:r>
              <w:rPr>
                <w:spacing w:val="8"/>
                <w:position w:val="15"/>
                <w:sz w:val="20"/>
                <w:szCs w:val="20"/>
              </w:rPr>
              <w:t>500</w:t>
            </w:r>
            <w:r>
              <w:rPr>
                <w:spacing w:val="-41"/>
                <w:position w:val="15"/>
                <w:sz w:val="20"/>
                <w:szCs w:val="20"/>
              </w:rPr>
              <w:t xml:space="preserve"> </w:t>
            </w:r>
            <w:r>
              <w:rPr>
                <w:spacing w:val="8"/>
                <w:position w:val="15"/>
                <w:sz w:val="20"/>
                <w:szCs w:val="20"/>
              </w:rPr>
              <w:t>元/次</w:t>
            </w:r>
          </w:p>
          <w:p>
            <w:pPr>
              <w:pStyle w:val="17"/>
              <w:spacing w:line="232" w:lineRule="auto"/>
              <w:ind w:left="113"/>
              <w:rPr>
                <w:sz w:val="20"/>
                <w:szCs w:val="20"/>
              </w:rPr>
            </w:pPr>
            <w:r>
              <w:rPr>
                <w:spacing w:val="5"/>
                <w:sz w:val="20"/>
                <w:szCs w:val="20"/>
              </w:rPr>
              <w:t>违约金。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855" w:type="dxa"/>
            <w:vMerge w:val="continue"/>
            <w:tcBorders>
              <w:top w:val="nil"/>
            </w:tcBorders>
            <w:vAlign w:val="top"/>
          </w:tcPr>
          <w:p>
            <w:pPr>
              <w:rPr>
                <w:rFonts w:ascii="Arial"/>
                <w:sz w:val="21"/>
              </w:rPr>
            </w:pPr>
          </w:p>
        </w:tc>
        <w:tc>
          <w:tcPr>
            <w:tcW w:w="866" w:type="dxa"/>
            <w:vAlign w:val="top"/>
          </w:tcPr>
          <w:p>
            <w:pPr>
              <w:pStyle w:val="17"/>
              <w:spacing w:before="73" w:line="189" w:lineRule="auto"/>
              <w:ind w:left="384"/>
              <w:rPr>
                <w:sz w:val="20"/>
                <w:szCs w:val="20"/>
              </w:rPr>
            </w:pPr>
            <w:r>
              <w:rPr>
                <w:sz w:val="20"/>
                <w:szCs w:val="20"/>
              </w:rPr>
              <w:t>8</w:t>
            </w:r>
          </w:p>
        </w:tc>
        <w:tc>
          <w:tcPr>
            <w:tcW w:w="7460" w:type="dxa"/>
            <w:vAlign w:val="top"/>
          </w:tcPr>
          <w:p>
            <w:pPr>
              <w:pStyle w:val="17"/>
              <w:spacing w:before="40" w:line="228" w:lineRule="auto"/>
              <w:ind w:left="113"/>
              <w:rPr>
                <w:sz w:val="20"/>
                <w:szCs w:val="20"/>
              </w:rPr>
            </w:pPr>
            <w:r>
              <w:rPr>
                <w:spacing w:val="7"/>
                <w:sz w:val="20"/>
                <w:szCs w:val="20"/>
              </w:rPr>
              <w:t>抹灰前未按要求挂网即施工，一经查处按</w:t>
            </w:r>
            <w:r>
              <w:rPr>
                <w:spacing w:val="-19"/>
                <w:sz w:val="20"/>
                <w:szCs w:val="20"/>
              </w:rPr>
              <w:t xml:space="preserve"> </w:t>
            </w:r>
            <w:r>
              <w:rPr>
                <w:spacing w:val="7"/>
                <w:sz w:val="20"/>
                <w:szCs w:val="20"/>
              </w:rPr>
              <w:t>2000</w:t>
            </w:r>
            <w:r>
              <w:rPr>
                <w:spacing w:val="-36"/>
                <w:sz w:val="20"/>
                <w:szCs w:val="20"/>
              </w:rPr>
              <w:t xml:space="preserve"> </w:t>
            </w:r>
            <w:r>
              <w:rPr>
                <w:spacing w:val="7"/>
                <w:sz w:val="20"/>
                <w:szCs w:val="20"/>
              </w:rPr>
              <w:t>元/次违约金。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55" w:type="dxa"/>
            <w:vMerge w:val="restart"/>
            <w:tcBorders>
              <w:bottom w:val="nil"/>
            </w:tcBorders>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17"/>
              <w:spacing w:before="65" w:line="408" w:lineRule="exact"/>
              <w:ind w:left="116"/>
              <w:rPr>
                <w:sz w:val="20"/>
                <w:szCs w:val="20"/>
              </w:rPr>
            </w:pPr>
            <w:r>
              <w:rPr>
                <w:spacing w:val="8"/>
                <w:position w:val="15"/>
                <w:sz w:val="20"/>
                <w:szCs w:val="20"/>
              </w:rPr>
              <w:t>其他分</w:t>
            </w:r>
          </w:p>
          <w:p>
            <w:pPr>
              <w:pStyle w:val="17"/>
              <w:spacing w:line="228" w:lineRule="auto"/>
              <w:ind w:left="119"/>
              <w:rPr>
                <w:sz w:val="20"/>
                <w:szCs w:val="20"/>
              </w:rPr>
            </w:pPr>
            <w:r>
              <w:rPr>
                <w:sz w:val="20"/>
                <w:szCs w:val="20"/>
              </w:rPr>
              <w:t>项</w:t>
            </w:r>
          </w:p>
        </w:tc>
        <w:tc>
          <w:tcPr>
            <w:tcW w:w="866" w:type="dxa"/>
            <w:vAlign w:val="top"/>
          </w:tcPr>
          <w:p>
            <w:pPr>
              <w:pStyle w:val="17"/>
              <w:spacing w:before="269" w:line="189" w:lineRule="auto"/>
              <w:ind w:left="384"/>
              <w:rPr>
                <w:sz w:val="20"/>
                <w:szCs w:val="20"/>
              </w:rPr>
            </w:pPr>
            <w:r>
              <w:rPr>
                <w:sz w:val="20"/>
                <w:szCs w:val="20"/>
              </w:rPr>
              <w:t>9</w:t>
            </w:r>
          </w:p>
        </w:tc>
        <w:tc>
          <w:tcPr>
            <w:tcW w:w="7460" w:type="dxa"/>
            <w:vAlign w:val="top"/>
          </w:tcPr>
          <w:p>
            <w:pPr>
              <w:pStyle w:val="17"/>
              <w:spacing w:before="32" w:line="408" w:lineRule="exact"/>
              <w:ind w:left="116"/>
              <w:rPr>
                <w:sz w:val="20"/>
                <w:szCs w:val="20"/>
              </w:rPr>
            </w:pPr>
            <w:r>
              <w:rPr>
                <w:spacing w:val="13"/>
                <w:position w:val="15"/>
                <w:sz w:val="20"/>
                <w:szCs w:val="20"/>
              </w:rPr>
              <w:t>未做施工样板及施工样板间且监理人验收未通</w:t>
            </w:r>
            <w:r>
              <w:rPr>
                <w:spacing w:val="12"/>
                <w:position w:val="15"/>
                <w:sz w:val="20"/>
                <w:szCs w:val="20"/>
              </w:rPr>
              <w:t>过即大面积施工，一经发现每次</w:t>
            </w:r>
          </w:p>
          <w:p>
            <w:pPr>
              <w:pStyle w:val="17"/>
              <w:spacing w:line="228" w:lineRule="auto"/>
              <w:ind w:left="113"/>
              <w:rPr>
                <w:sz w:val="20"/>
                <w:szCs w:val="20"/>
              </w:rPr>
            </w:pPr>
            <w:r>
              <w:rPr>
                <w:spacing w:val="4"/>
                <w:sz w:val="20"/>
                <w:szCs w:val="20"/>
              </w:rPr>
              <w:t>违约金</w:t>
            </w:r>
            <w:r>
              <w:rPr>
                <w:spacing w:val="-35"/>
                <w:sz w:val="20"/>
                <w:szCs w:val="20"/>
              </w:rPr>
              <w:t xml:space="preserve"> </w:t>
            </w:r>
            <w:r>
              <w:rPr>
                <w:spacing w:val="4"/>
                <w:sz w:val="20"/>
                <w:szCs w:val="20"/>
              </w:rPr>
              <w:t>2000～5000</w:t>
            </w:r>
            <w:r>
              <w:rPr>
                <w:spacing w:val="-36"/>
                <w:sz w:val="20"/>
                <w:szCs w:val="20"/>
              </w:rPr>
              <w:t xml:space="preserve"> </w:t>
            </w:r>
            <w:r>
              <w:rPr>
                <w:spacing w:val="4"/>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855" w:type="dxa"/>
            <w:vMerge w:val="continue"/>
            <w:tcBorders>
              <w:top w:val="nil"/>
              <w:bottom w:val="nil"/>
            </w:tcBorders>
            <w:vAlign w:val="top"/>
          </w:tcPr>
          <w:p>
            <w:pPr>
              <w:rPr>
                <w:rFonts w:ascii="Arial"/>
                <w:sz w:val="21"/>
              </w:rPr>
            </w:pPr>
          </w:p>
        </w:tc>
        <w:tc>
          <w:tcPr>
            <w:tcW w:w="866" w:type="dxa"/>
            <w:vAlign w:val="top"/>
          </w:tcPr>
          <w:p>
            <w:pPr>
              <w:spacing w:line="304" w:lineRule="auto"/>
              <w:rPr>
                <w:rFonts w:ascii="Arial"/>
                <w:sz w:val="21"/>
              </w:rPr>
            </w:pPr>
          </w:p>
          <w:p>
            <w:pPr>
              <w:spacing w:line="304" w:lineRule="auto"/>
              <w:rPr>
                <w:rFonts w:ascii="Arial"/>
                <w:sz w:val="21"/>
              </w:rPr>
            </w:pPr>
          </w:p>
          <w:p>
            <w:pPr>
              <w:pStyle w:val="17"/>
              <w:spacing w:before="65" w:line="190" w:lineRule="auto"/>
              <w:ind w:left="346"/>
              <w:rPr>
                <w:sz w:val="20"/>
                <w:szCs w:val="20"/>
              </w:rPr>
            </w:pPr>
            <w:r>
              <w:rPr>
                <w:spacing w:val="-7"/>
                <w:sz w:val="20"/>
                <w:szCs w:val="20"/>
              </w:rPr>
              <w:t>10</w:t>
            </w:r>
          </w:p>
        </w:tc>
        <w:tc>
          <w:tcPr>
            <w:tcW w:w="7460" w:type="dxa"/>
            <w:vAlign w:val="top"/>
          </w:tcPr>
          <w:p>
            <w:pPr>
              <w:pStyle w:val="17"/>
              <w:spacing w:before="32" w:line="377" w:lineRule="auto"/>
              <w:ind w:left="113" w:right="109"/>
              <w:jc w:val="both"/>
              <w:rPr>
                <w:sz w:val="20"/>
                <w:szCs w:val="20"/>
              </w:rPr>
            </w:pPr>
            <w:r>
              <w:rPr>
                <w:spacing w:val="13"/>
                <w:sz w:val="20"/>
                <w:szCs w:val="20"/>
              </w:rPr>
              <w:t>专项工程（桩基础、大体积混凝土施工、铝合金、</w:t>
            </w:r>
            <w:r>
              <w:rPr>
                <w:spacing w:val="12"/>
                <w:sz w:val="20"/>
                <w:szCs w:val="20"/>
              </w:rPr>
              <w:t>轻钢雨蓬、干挂石、玻璃幕</w:t>
            </w:r>
            <w:r>
              <w:rPr>
                <w:sz w:val="20"/>
                <w:szCs w:val="20"/>
              </w:rPr>
              <w:t xml:space="preserve"> </w:t>
            </w:r>
            <w:r>
              <w:rPr>
                <w:spacing w:val="13"/>
                <w:sz w:val="20"/>
                <w:szCs w:val="20"/>
              </w:rPr>
              <w:t>墙、深基坑支护、铝扣板、后浇带模板安装及后浇带</w:t>
            </w:r>
            <w:r>
              <w:rPr>
                <w:spacing w:val="12"/>
                <w:sz w:val="20"/>
                <w:szCs w:val="20"/>
              </w:rPr>
              <w:t>混凝土施工、天面后浇带</w:t>
            </w:r>
            <w:r>
              <w:rPr>
                <w:sz w:val="20"/>
                <w:szCs w:val="20"/>
              </w:rPr>
              <w:t xml:space="preserve"> </w:t>
            </w:r>
            <w:r>
              <w:rPr>
                <w:spacing w:val="13"/>
                <w:sz w:val="20"/>
                <w:szCs w:val="20"/>
              </w:rPr>
              <w:t>防水处理等）方案未经发包人及监理人审批即大面积</w:t>
            </w:r>
            <w:r>
              <w:rPr>
                <w:spacing w:val="12"/>
                <w:sz w:val="20"/>
                <w:szCs w:val="20"/>
              </w:rPr>
              <w:t>施工，一经发现每次违约</w:t>
            </w:r>
          </w:p>
          <w:p>
            <w:pPr>
              <w:pStyle w:val="17"/>
              <w:spacing w:line="228" w:lineRule="auto"/>
              <w:ind w:left="114"/>
              <w:rPr>
                <w:sz w:val="20"/>
                <w:szCs w:val="20"/>
              </w:rPr>
            </w:pPr>
            <w:r>
              <w:rPr>
                <w:spacing w:val="3"/>
                <w:sz w:val="20"/>
                <w:szCs w:val="20"/>
              </w:rPr>
              <w:t>金</w:t>
            </w:r>
            <w:r>
              <w:rPr>
                <w:spacing w:val="-36"/>
                <w:sz w:val="20"/>
                <w:szCs w:val="20"/>
              </w:rPr>
              <w:t xml:space="preserve"> </w:t>
            </w:r>
            <w:r>
              <w:rPr>
                <w:spacing w:val="3"/>
                <w:sz w:val="20"/>
                <w:szCs w:val="20"/>
              </w:rPr>
              <w:t>2000～5000</w:t>
            </w:r>
            <w:r>
              <w:rPr>
                <w:spacing w:val="-37"/>
                <w:sz w:val="20"/>
                <w:szCs w:val="20"/>
              </w:rPr>
              <w:t xml:space="preserve"> </w:t>
            </w:r>
            <w:r>
              <w:rPr>
                <w:spacing w:val="3"/>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855" w:type="dxa"/>
            <w:vMerge w:val="continue"/>
            <w:tcBorders>
              <w:top w:val="nil"/>
            </w:tcBorders>
            <w:vAlign w:val="top"/>
          </w:tcPr>
          <w:p>
            <w:pPr>
              <w:rPr>
                <w:rFonts w:ascii="Arial"/>
                <w:sz w:val="21"/>
              </w:rPr>
            </w:pPr>
          </w:p>
        </w:tc>
        <w:tc>
          <w:tcPr>
            <w:tcW w:w="866" w:type="dxa"/>
            <w:vAlign w:val="top"/>
          </w:tcPr>
          <w:p>
            <w:pPr>
              <w:spacing w:line="407" w:lineRule="auto"/>
              <w:rPr>
                <w:rFonts w:ascii="Arial"/>
                <w:sz w:val="21"/>
              </w:rPr>
            </w:pPr>
          </w:p>
          <w:p>
            <w:pPr>
              <w:pStyle w:val="17"/>
              <w:spacing w:before="65" w:line="189" w:lineRule="auto"/>
              <w:ind w:left="346"/>
              <w:rPr>
                <w:sz w:val="20"/>
                <w:szCs w:val="20"/>
              </w:rPr>
            </w:pPr>
            <w:r>
              <w:rPr>
                <w:spacing w:val="-7"/>
                <w:sz w:val="20"/>
                <w:szCs w:val="20"/>
              </w:rPr>
              <w:t>11</w:t>
            </w:r>
          </w:p>
        </w:tc>
        <w:tc>
          <w:tcPr>
            <w:tcW w:w="7460" w:type="dxa"/>
            <w:vAlign w:val="top"/>
          </w:tcPr>
          <w:p>
            <w:pPr>
              <w:pStyle w:val="17"/>
              <w:spacing w:before="33" w:line="377" w:lineRule="auto"/>
              <w:ind w:left="114" w:right="109"/>
              <w:jc w:val="both"/>
              <w:rPr>
                <w:sz w:val="20"/>
                <w:szCs w:val="20"/>
              </w:rPr>
            </w:pPr>
            <w:r>
              <w:rPr>
                <w:spacing w:val="13"/>
                <w:sz w:val="20"/>
                <w:szCs w:val="20"/>
              </w:rPr>
              <w:t>各类检查所发整改通知要求整改项目未落实且整</w:t>
            </w:r>
            <w:r>
              <w:rPr>
                <w:spacing w:val="12"/>
                <w:sz w:val="20"/>
                <w:szCs w:val="20"/>
              </w:rPr>
              <w:t>改两次均不合格，按分项违约</w:t>
            </w:r>
            <w:r>
              <w:rPr>
                <w:sz w:val="20"/>
                <w:szCs w:val="20"/>
              </w:rPr>
              <w:t xml:space="preserve"> </w:t>
            </w:r>
            <w:r>
              <w:rPr>
                <w:spacing w:val="8"/>
                <w:sz w:val="20"/>
                <w:szCs w:val="20"/>
              </w:rPr>
              <w:t>金</w:t>
            </w:r>
            <w:r>
              <w:rPr>
                <w:spacing w:val="-24"/>
                <w:sz w:val="20"/>
                <w:szCs w:val="20"/>
              </w:rPr>
              <w:t xml:space="preserve"> </w:t>
            </w:r>
            <w:r>
              <w:rPr>
                <w:spacing w:val="8"/>
                <w:sz w:val="20"/>
                <w:szCs w:val="20"/>
              </w:rPr>
              <w:t>1000～3000</w:t>
            </w:r>
            <w:r>
              <w:rPr>
                <w:spacing w:val="-37"/>
                <w:sz w:val="20"/>
                <w:szCs w:val="20"/>
              </w:rPr>
              <w:t xml:space="preserve"> </w:t>
            </w:r>
            <w:r>
              <w:rPr>
                <w:spacing w:val="8"/>
                <w:sz w:val="20"/>
                <w:szCs w:val="20"/>
              </w:rPr>
              <w:t>元计，对单位工程竣工初验提出</w:t>
            </w:r>
            <w:r>
              <w:rPr>
                <w:spacing w:val="7"/>
                <w:sz w:val="20"/>
                <w:szCs w:val="20"/>
              </w:rPr>
              <w:t>问题经复检未完成整改的按检查</w:t>
            </w:r>
          </w:p>
          <w:p>
            <w:pPr>
              <w:pStyle w:val="17"/>
              <w:spacing w:line="227" w:lineRule="auto"/>
              <w:ind w:left="123"/>
              <w:rPr>
                <w:sz w:val="20"/>
                <w:szCs w:val="20"/>
              </w:rPr>
            </w:pPr>
            <w:r>
              <w:rPr>
                <w:spacing w:val="6"/>
                <w:sz w:val="20"/>
                <w:szCs w:val="20"/>
              </w:rPr>
              <w:t>点数量每处</w:t>
            </w:r>
            <w:r>
              <w:rPr>
                <w:spacing w:val="-21"/>
                <w:sz w:val="20"/>
                <w:szCs w:val="20"/>
              </w:rPr>
              <w:t xml:space="preserve"> </w:t>
            </w:r>
            <w:r>
              <w:rPr>
                <w:spacing w:val="6"/>
                <w:sz w:val="20"/>
                <w:szCs w:val="20"/>
              </w:rPr>
              <w:t>500</w:t>
            </w:r>
            <w:r>
              <w:rPr>
                <w:spacing w:val="-39"/>
                <w:sz w:val="20"/>
                <w:szCs w:val="20"/>
              </w:rPr>
              <w:t xml:space="preserve"> </w:t>
            </w:r>
            <w:r>
              <w:rPr>
                <w:spacing w:val="6"/>
                <w:sz w:val="20"/>
                <w:szCs w:val="20"/>
              </w:rPr>
              <w:t>元计，第二次复检不合格按每处违约金</w:t>
            </w:r>
            <w:r>
              <w:rPr>
                <w:spacing w:val="-33"/>
                <w:sz w:val="20"/>
                <w:szCs w:val="20"/>
              </w:rPr>
              <w:t xml:space="preserve"> </w:t>
            </w:r>
            <w:r>
              <w:rPr>
                <w:spacing w:val="6"/>
                <w:sz w:val="20"/>
                <w:szCs w:val="20"/>
              </w:rPr>
              <w:t>3000</w:t>
            </w:r>
            <w:r>
              <w:rPr>
                <w:spacing w:val="-36"/>
                <w:sz w:val="20"/>
                <w:szCs w:val="20"/>
              </w:rPr>
              <w:t xml:space="preserve"> </w:t>
            </w:r>
            <w:r>
              <w:rPr>
                <w:spacing w:val="6"/>
                <w:sz w:val="20"/>
                <w:szCs w:val="20"/>
              </w:rPr>
              <w:t>元计。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55" w:type="dxa"/>
            <w:vMerge w:val="restart"/>
            <w:tcBorders>
              <w:bottom w:val="nil"/>
            </w:tcBorders>
            <w:vAlign w:val="top"/>
          </w:tcPr>
          <w:p>
            <w:pPr>
              <w:pStyle w:val="17"/>
              <w:spacing w:before="57" w:line="378" w:lineRule="auto"/>
              <w:ind w:left="118" w:right="108" w:firstLine="22"/>
              <w:jc w:val="both"/>
              <w:rPr>
                <w:sz w:val="20"/>
                <w:szCs w:val="20"/>
              </w:rPr>
            </w:pPr>
            <w:r>
              <w:rPr>
                <w:sz w:val="20"/>
                <w:szCs w:val="20"/>
              </w:rPr>
              <w:t xml:space="preserve">内业管 </w:t>
            </w:r>
            <w:r>
              <w:rPr>
                <w:spacing w:val="7"/>
                <w:sz w:val="20"/>
                <w:szCs w:val="20"/>
              </w:rPr>
              <w:t>理及其</w:t>
            </w:r>
          </w:p>
          <w:p>
            <w:pPr>
              <w:pStyle w:val="17"/>
              <w:spacing w:line="228" w:lineRule="auto"/>
              <w:ind w:left="115"/>
              <w:rPr>
                <w:sz w:val="20"/>
                <w:szCs w:val="20"/>
              </w:rPr>
            </w:pPr>
            <w:r>
              <w:rPr>
                <w:sz w:val="20"/>
                <w:szCs w:val="20"/>
              </w:rPr>
              <w:t>他</w:t>
            </w:r>
          </w:p>
        </w:tc>
        <w:tc>
          <w:tcPr>
            <w:tcW w:w="866" w:type="dxa"/>
            <w:vAlign w:val="top"/>
          </w:tcPr>
          <w:p>
            <w:pPr>
              <w:pStyle w:val="17"/>
              <w:spacing w:before="68" w:line="189" w:lineRule="auto"/>
              <w:ind w:left="346"/>
              <w:rPr>
                <w:sz w:val="20"/>
                <w:szCs w:val="20"/>
              </w:rPr>
            </w:pPr>
            <w:r>
              <w:rPr>
                <w:spacing w:val="-7"/>
                <w:sz w:val="20"/>
                <w:szCs w:val="20"/>
              </w:rPr>
              <w:t>12</w:t>
            </w:r>
          </w:p>
        </w:tc>
        <w:tc>
          <w:tcPr>
            <w:tcW w:w="7460" w:type="dxa"/>
            <w:vAlign w:val="top"/>
          </w:tcPr>
          <w:p>
            <w:pPr>
              <w:pStyle w:val="17"/>
              <w:spacing w:before="36" w:line="227" w:lineRule="auto"/>
              <w:ind w:left="138"/>
              <w:rPr>
                <w:sz w:val="20"/>
                <w:szCs w:val="20"/>
              </w:rPr>
            </w:pPr>
            <w:r>
              <w:rPr>
                <w:spacing w:val="6"/>
                <w:sz w:val="20"/>
                <w:szCs w:val="20"/>
              </w:rPr>
              <w:t>内业原始资料故意弄虚作假的，每次违约金</w:t>
            </w:r>
            <w:r>
              <w:rPr>
                <w:spacing w:val="-23"/>
                <w:sz w:val="20"/>
                <w:szCs w:val="20"/>
              </w:rPr>
              <w:t xml:space="preserve"> </w:t>
            </w:r>
            <w:r>
              <w:rPr>
                <w:spacing w:val="6"/>
                <w:sz w:val="20"/>
                <w:szCs w:val="20"/>
              </w:rPr>
              <w:t>5000</w:t>
            </w:r>
            <w:r>
              <w:rPr>
                <w:spacing w:val="-39"/>
                <w:sz w:val="20"/>
                <w:szCs w:val="20"/>
              </w:rPr>
              <w:t xml:space="preserve"> </w:t>
            </w:r>
            <w:r>
              <w:rPr>
                <w:spacing w:val="6"/>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55" w:type="dxa"/>
            <w:vMerge w:val="continue"/>
            <w:tcBorders>
              <w:top w:val="nil"/>
              <w:bottom w:val="nil"/>
            </w:tcBorders>
            <w:vAlign w:val="top"/>
          </w:tcPr>
          <w:p>
            <w:pPr>
              <w:rPr>
                <w:rFonts w:ascii="Arial"/>
                <w:sz w:val="21"/>
              </w:rPr>
            </w:pPr>
          </w:p>
        </w:tc>
        <w:tc>
          <w:tcPr>
            <w:tcW w:w="866" w:type="dxa"/>
            <w:vAlign w:val="top"/>
          </w:tcPr>
          <w:p>
            <w:pPr>
              <w:pStyle w:val="17"/>
              <w:spacing w:before="66" w:line="190" w:lineRule="auto"/>
              <w:ind w:left="346"/>
              <w:rPr>
                <w:sz w:val="20"/>
                <w:szCs w:val="20"/>
              </w:rPr>
            </w:pPr>
            <w:r>
              <w:rPr>
                <w:spacing w:val="-7"/>
                <w:sz w:val="20"/>
                <w:szCs w:val="20"/>
              </w:rPr>
              <w:t>13</w:t>
            </w:r>
          </w:p>
        </w:tc>
        <w:tc>
          <w:tcPr>
            <w:tcW w:w="7460" w:type="dxa"/>
            <w:vAlign w:val="top"/>
          </w:tcPr>
          <w:p>
            <w:pPr>
              <w:pStyle w:val="17"/>
              <w:spacing w:before="34" w:line="227" w:lineRule="auto"/>
              <w:ind w:left="138"/>
              <w:rPr>
                <w:sz w:val="20"/>
                <w:szCs w:val="20"/>
              </w:rPr>
            </w:pPr>
            <w:r>
              <w:rPr>
                <w:spacing w:val="8"/>
                <w:sz w:val="20"/>
                <w:szCs w:val="20"/>
              </w:rPr>
              <w:t>内业原始资料和整理资料未按要求采用文件盒</w:t>
            </w:r>
            <w:r>
              <w:rPr>
                <w:spacing w:val="7"/>
                <w:sz w:val="20"/>
                <w:szCs w:val="20"/>
              </w:rPr>
              <w:t>及时归档，每次违约金</w:t>
            </w:r>
            <w:r>
              <w:rPr>
                <w:spacing w:val="-32"/>
                <w:sz w:val="20"/>
                <w:szCs w:val="20"/>
              </w:rPr>
              <w:t xml:space="preserve"> </w:t>
            </w:r>
            <w:r>
              <w:rPr>
                <w:spacing w:val="7"/>
                <w:sz w:val="20"/>
                <w:szCs w:val="20"/>
              </w:rPr>
              <w:t>500</w:t>
            </w:r>
            <w:r>
              <w:rPr>
                <w:spacing w:val="-39"/>
                <w:sz w:val="20"/>
                <w:szCs w:val="20"/>
              </w:rPr>
              <w:t xml:space="preserve"> </w:t>
            </w:r>
            <w:r>
              <w:rPr>
                <w:spacing w:val="7"/>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55" w:type="dxa"/>
            <w:vMerge w:val="continue"/>
            <w:tcBorders>
              <w:top w:val="nil"/>
            </w:tcBorders>
            <w:vAlign w:val="top"/>
          </w:tcPr>
          <w:p>
            <w:pPr>
              <w:rPr>
                <w:rFonts w:ascii="Arial"/>
                <w:sz w:val="21"/>
              </w:rPr>
            </w:pPr>
          </w:p>
        </w:tc>
        <w:tc>
          <w:tcPr>
            <w:tcW w:w="866" w:type="dxa"/>
            <w:vAlign w:val="top"/>
          </w:tcPr>
          <w:p>
            <w:pPr>
              <w:pStyle w:val="17"/>
              <w:spacing w:before="81" w:line="189" w:lineRule="auto"/>
              <w:ind w:left="346"/>
              <w:rPr>
                <w:sz w:val="20"/>
                <w:szCs w:val="20"/>
              </w:rPr>
            </w:pPr>
            <w:r>
              <w:rPr>
                <w:spacing w:val="-7"/>
                <w:sz w:val="20"/>
                <w:szCs w:val="20"/>
              </w:rPr>
              <w:t>14</w:t>
            </w:r>
          </w:p>
        </w:tc>
        <w:tc>
          <w:tcPr>
            <w:tcW w:w="7460" w:type="dxa"/>
            <w:vAlign w:val="top"/>
          </w:tcPr>
          <w:p>
            <w:pPr>
              <w:pStyle w:val="17"/>
              <w:spacing w:before="48" w:line="228" w:lineRule="auto"/>
              <w:ind w:left="114"/>
              <w:rPr>
                <w:sz w:val="20"/>
                <w:szCs w:val="20"/>
              </w:rPr>
            </w:pPr>
            <w:r>
              <w:rPr>
                <w:spacing w:val="8"/>
                <w:sz w:val="20"/>
                <w:szCs w:val="20"/>
              </w:rPr>
              <w:t>上一道工序未经监理人签认就进行下一道工序施工的，每次违约金</w:t>
            </w:r>
            <w:r>
              <w:rPr>
                <w:spacing w:val="-29"/>
                <w:sz w:val="20"/>
                <w:szCs w:val="20"/>
              </w:rPr>
              <w:t xml:space="preserve"> </w:t>
            </w:r>
            <w:r>
              <w:rPr>
                <w:spacing w:val="8"/>
                <w:sz w:val="20"/>
                <w:szCs w:val="20"/>
              </w:rPr>
              <w:t>3000</w:t>
            </w:r>
            <w:r>
              <w:rPr>
                <w:spacing w:val="-39"/>
                <w:sz w:val="20"/>
                <w:szCs w:val="20"/>
              </w:rPr>
              <w:t xml:space="preserve"> </w:t>
            </w:r>
            <w:r>
              <w:rPr>
                <w:spacing w:val="8"/>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855" w:type="dxa"/>
            <w:vMerge w:val="restart"/>
            <w:tcBorders>
              <w:bottom w:val="nil"/>
            </w:tcBorders>
            <w:vAlign w:val="top"/>
          </w:tcPr>
          <w:p>
            <w:pPr>
              <w:spacing w:line="382" w:lineRule="auto"/>
              <w:rPr>
                <w:rFonts w:ascii="Arial"/>
                <w:sz w:val="21"/>
              </w:rPr>
            </w:pPr>
          </w:p>
          <w:p>
            <w:pPr>
              <w:pStyle w:val="17"/>
              <w:spacing w:before="65" w:line="408" w:lineRule="exact"/>
              <w:ind w:left="115"/>
              <w:rPr>
                <w:sz w:val="20"/>
                <w:szCs w:val="20"/>
              </w:rPr>
            </w:pPr>
            <w:r>
              <w:rPr>
                <w:spacing w:val="8"/>
                <w:position w:val="15"/>
                <w:sz w:val="20"/>
                <w:szCs w:val="20"/>
              </w:rPr>
              <w:t>材料管</w:t>
            </w:r>
          </w:p>
          <w:p>
            <w:pPr>
              <w:pStyle w:val="17"/>
              <w:spacing w:line="237" w:lineRule="auto"/>
              <w:ind w:left="118"/>
              <w:rPr>
                <w:sz w:val="20"/>
                <w:szCs w:val="20"/>
              </w:rPr>
            </w:pPr>
            <w:r>
              <w:rPr>
                <w:sz w:val="20"/>
                <w:szCs w:val="20"/>
              </w:rPr>
              <w:t>理</w:t>
            </w:r>
          </w:p>
        </w:tc>
        <w:tc>
          <w:tcPr>
            <w:tcW w:w="866" w:type="dxa"/>
            <w:vAlign w:val="top"/>
          </w:tcPr>
          <w:p>
            <w:pPr>
              <w:pStyle w:val="17"/>
              <w:spacing w:before="272" w:line="190" w:lineRule="auto"/>
              <w:ind w:left="346"/>
              <w:rPr>
                <w:sz w:val="20"/>
                <w:szCs w:val="20"/>
              </w:rPr>
            </w:pPr>
            <w:r>
              <w:rPr>
                <w:spacing w:val="-7"/>
                <w:sz w:val="20"/>
                <w:szCs w:val="20"/>
              </w:rPr>
              <w:t>15</w:t>
            </w:r>
          </w:p>
        </w:tc>
        <w:tc>
          <w:tcPr>
            <w:tcW w:w="7460" w:type="dxa"/>
            <w:vAlign w:val="top"/>
          </w:tcPr>
          <w:p>
            <w:pPr>
              <w:pStyle w:val="17"/>
              <w:spacing w:before="36" w:line="408" w:lineRule="exact"/>
              <w:ind w:left="118"/>
              <w:rPr>
                <w:sz w:val="20"/>
                <w:szCs w:val="20"/>
              </w:rPr>
            </w:pPr>
            <w:r>
              <w:rPr>
                <w:spacing w:val="12"/>
                <w:position w:val="15"/>
                <w:sz w:val="20"/>
                <w:szCs w:val="20"/>
              </w:rPr>
              <w:t>原材料送检和其他自检项目的试验不及时，频率未达到规定要求，每次违约金</w:t>
            </w:r>
          </w:p>
          <w:p>
            <w:pPr>
              <w:pStyle w:val="17"/>
              <w:spacing w:line="226" w:lineRule="auto"/>
              <w:ind w:left="128"/>
              <w:rPr>
                <w:sz w:val="20"/>
                <w:szCs w:val="20"/>
              </w:rPr>
            </w:pPr>
            <w:r>
              <w:rPr>
                <w:spacing w:val="6"/>
                <w:sz w:val="20"/>
                <w:szCs w:val="20"/>
              </w:rPr>
              <w:t>1000</w:t>
            </w:r>
            <w:r>
              <w:rPr>
                <w:spacing w:val="-21"/>
                <w:sz w:val="20"/>
                <w:szCs w:val="20"/>
              </w:rPr>
              <w:t xml:space="preserve"> </w:t>
            </w:r>
            <w:r>
              <w:rPr>
                <w:spacing w:val="6"/>
                <w:sz w:val="20"/>
                <w:szCs w:val="20"/>
              </w:rPr>
              <w:t>元。未经检验合格的材料用于施工的，每次违约金</w:t>
            </w:r>
            <w:r>
              <w:rPr>
                <w:spacing w:val="-32"/>
                <w:sz w:val="20"/>
                <w:szCs w:val="20"/>
              </w:rPr>
              <w:t xml:space="preserve"> </w:t>
            </w:r>
            <w:r>
              <w:rPr>
                <w:spacing w:val="6"/>
                <w:sz w:val="20"/>
                <w:szCs w:val="20"/>
              </w:rPr>
              <w:t>5000</w:t>
            </w:r>
            <w:r>
              <w:rPr>
                <w:spacing w:val="-39"/>
                <w:sz w:val="20"/>
                <w:szCs w:val="20"/>
              </w:rPr>
              <w:t xml:space="preserve"> </w:t>
            </w:r>
            <w:r>
              <w:rPr>
                <w:spacing w:val="6"/>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55" w:type="dxa"/>
            <w:vMerge w:val="continue"/>
            <w:tcBorders>
              <w:top w:val="nil"/>
            </w:tcBorders>
            <w:vAlign w:val="top"/>
          </w:tcPr>
          <w:p>
            <w:pPr>
              <w:rPr>
                <w:rFonts w:ascii="Arial"/>
                <w:sz w:val="21"/>
              </w:rPr>
            </w:pPr>
          </w:p>
        </w:tc>
        <w:tc>
          <w:tcPr>
            <w:tcW w:w="866" w:type="dxa"/>
            <w:vAlign w:val="top"/>
          </w:tcPr>
          <w:p>
            <w:pPr>
              <w:pStyle w:val="17"/>
              <w:spacing w:before="270" w:line="190" w:lineRule="auto"/>
              <w:ind w:left="346"/>
              <w:rPr>
                <w:sz w:val="20"/>
                <w:szCs w:val="20"/>
              </w:rPr>
            </w:pPr>
            <w:r>
              <w:rPr>
                <w:spacing w:val="-7"/>
                <w:sz w:val="20"/>
                <w:szCs w:val="20"/>
              </w:rPr>
              <w:t>16</w:t>
            </w:r>
          </w:p>
        </w:tc>
        <w:tc>
          <w:tcPr>
            <w:tcW w:w="7460" w:type="dxa"/>
            <w:vAlign w:val="top"/>
          </w:tcPr>
          <w:p>
            <w:pPr>
              <w:pStyle w:val="17"/>
              <w:spacing w:before="34" w:line="408" w:lineRule="exact"/>
              <w:ind w:left="113"/>
              <w:rPr>
                <w:sz w:val="20"/>
                <w:szCs w:val="20"/>
              </w:rPr>
            </w:pPr>
            <w:r>
              <w:rPr>
                <w:spacing w:val="13"/>
                <w:position w:val="15"/>
                <w:sz w:val="20"/>
                <w:szCs w:val="20"/>
              </w:rPr>
              <w:t>要求返工的工程未在规定的时间内进行返工或要求</w:t>
            </w:r>
            <w:r>
              <w:rPr>
                <w:spacing w:val="12"/>
                <w:position w:val="15"/>
                <w:sz w:val="20"/>
                <w:szCs w:val="20"/>
              </w:rPr>
              <w:t>清除出施工现场材料未在规</w:t>
            </w:r>
          </w:p>
          <w:p>
            <w:pPr>
              <w:pStyle w:val="17"/>
              <w:spacing w:line="227" w:lineRule="auto"/>
              <w:ind w:left="118"/>
              <w:rPr>
                <w:sz w:val="20"/>
                <w:szCs w:val="20"/>
              </w:rPr>
            </w:pPr>
            <w:r>
              <w:rPr>
                <w:spacing w:val="7"/>
                <w:sz w:val="20"/>
                <w:szCs w:val="20"/>
              </w:rPr>
              <w:t>定的时间内清除出场的，每延误一天违约金</w:t>
            </w:r>
            <w:r>
              <w:rPr>
                <w:spacing w:val="-28"/>
                <w:sz w:val="20"/>
                <w:szCs w:val="20"/>
              </w:rPr>
              <w:t xml:space="preserve"> </w:t>
            </w:r>
            <w:r>
              <w:rPr>
                <w:spacing w:val="7"/>
                <w:sz w:val="20"/>
                <w:szCs w:val="20"/>
              </w:rPr>
              <w:t>3000</w:t>
            </w:r>
            <w:r>
              <w:rPr>
                <w:spacing w:val="-38"/>
                <w:sz w:val="20"/>
                <w:szCs w:val="20"/>
              </w:rPr>
              <w:t xml:space="preserve"> </w:t>
            </w:r>
            <w:r>
              <w:rPr>
                <w:spacing w:val="7"/>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855" w:type="dxa"/>
            <w:vAlign w:val="top"/>
          </w:tcPr>
          <w:p>
            <w:pPr>
              <w:pStyle w:val="17"/>
              <w:spacing w:before="47" w:line="229" w:lineRule="auto"/>
              <w:ind w:left="119"/>
              <w:rPr>
                <w:sz w:val="20"/>
                <w:szCs w:val="20"/>
              </w:rPr>
            </w:pPr>
            <w:r>
              <w:rPr>
                <w:spacing w:val="7"/>
                <w:sz w:val="20"/>
                <w:szCs w:val="20"/>
              </w:rPr>
              <w:t>安全文</w:t>
            </w:r>
          </w:p>
        </w:tc>
        <w:tc>
          <w:tcPr>
            <w:tcW w:w="866" w:type="dxa"/>
            <w:vAlign w:val="top"/>
          </w:tcPr>
          <w:p>
            <w:pPr>
              <w:pStyle w:val="17"/>
              <w:spacing w:before="79" w:line="190" w:lineRule="auto"/>
              <w:ind w:left="346"/>
              <w:rPr>
                <w:sz w:val="20"/>
                <w:szCs w:val="20"/>
              </w:rPr>
            </w:pPr>
            <w:r>
              <w:rPr>
                <w:spacing w:val="-7"/>
                <w:sz w:val="20"/>
                <w:szCs w:val="20"/>
              </w:rPr>
              <w:t>17</w:t>
            </w:r>
          </w:p>
        </w:tc>
        <w:tc>
          <w:tcPr>
            <w:tcW w:w="7460" w:type="dxa"/>
            <w:vAlign w:val="top"/>
          </w:tcPr>
          <w:p>
            <w:pPr>
              <w:pStyle w:val="17"/>
              <w:spacing w:before="47" w:line="228" w:lineRule="auto"/>
              <w:ind w:left="112"/>
              <w:rPr>
                <w:sz w:val="20"/>
                <w:szCs w:val="20"/>
              </w:rPr>
            </w:pPr>
            <w:r>
              <w:rPr>
                <w:spacing w:val="7"/>
                <w:sz w:val="20"/>
                <w:szCs w:val="20"/>
              </w:rPr>
              <w:t>造成砼路面污染，视情节严重每次违约金</w:t>
            </w:r>
            <w:r>
              <w:rPr>
                <w:spacing w:val="-28"/>
                <w:sz w:val="20"/>
                <w:szCs w:val="20"/>
              </w:rPr>
              <w:t xml:space="preserve"> </w:t>
            </w:r>
            <w:r>
              <w:rPr>
                <w:spacing w:val="7"/>
                <w:sz w:val="20"/>
                <w:szCs w:val="20"/>
              </w:rPr>
              <w:t>500～5000</w:t>
            </w:r>
            <w:r>
              <w:rPr>
                <w:spacing w:val="-39"/>
                <w:sz w:val="20"/>
                <w:szCs w:val="20"/>
              </w:rPr>
              <w:t xml:space="preserve"> </w:t>
            </w:r>
            <w:r>
              <w:rPr>
                <w:spacing w:val="7"/>
                <w:sz w:val="20"/>
                <w:szCs w:val="20"/>
              </w:rPr>
              <w:t>元。</w:t>
            </w:r>
          </w:p>
        </w:tc>
      </w:tr>
    </w:tbl>
    <w:p>
      <w:pPr>
        <w:rPr>
          <w:rFonts w:ascii="Arial"/>
          <w:sz w:val="21"/>
        </w:rPr>
      </w:pPr>
    </w:p>
    <w:p>
      <w:pPr>
        <w:spacing w:before="228"/>
      </w:pPr>
    </w:p>
    <w:tbl>
      <w:tblPr>
        <w:tblStyle w:val="16"/>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866"/>
        <w:gridCol w:w="74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855" w:type="dxa"/>
            <w:vAlign w:val="top"/>
          </w:tcPr>
          <w:p>
            <w:pPr>
              <w:pStyle w:val="17"/>
              <w:spacing w:before="38" w:line="228" w:lineRule="auto"/>
              <w:ind w:left="223"/>
              <w:rPr>
                <w:sz w:val="20"/>
                <w:szCs w:val="20"/>
              </w:rPr>
            </w:pPr>
            <w:r>
              <w:rPr>
                <w:spacing w:val="6"/>
                <w:sz w:val="20"/>
                <w:szCs w:val="20"/>
                <w14:textOutline w14:w="3795" w14:cap="sq" w14:cmpd="sng">
                  <w14:solidFill>
                    <w14:srgbClr w14:val="000000"/>
                  </w14:solidFill>
                  <w14:prstDash w14:val="solid"/>
                  <w14:bevel/>
                </w14:textOutline>
              </w:rPr>
              <w:t>类别</w:t>
            </w:r>
          </w:p>
        </w:tc>
        <w:tc>
          <w:tcPr>
            <w:tcW w:w="866" w:type="dxa"/>
            <w:vAlign w:val="top"/>
          </w:tcPr>
          <w:p>
            <w:pPr>
              <w:pStyle w:val="17"/>
              <w:spacing w:before="38" w:line="229" w:lineRule="auto"/>
              <w:ind w:left="227"/>
              <w:rPr>
                <w:sz w:val="20"/>
                <w:szCs w:val="20"/>
              </w:rPr>
            </w:pPr>
            <w:r>
              <w:rPr>
                <w:spacing w:val="6"/>
                <w:sz w:val="20"/>
                <w:szCs w:val="20"/>
                <w14:textOutline w14:w="3795" w14:cap="sq" w14:cmpd="sng">
                  <w14:solidFill>
                    <w14:srgbClr w14:val="000000"/>
                  </w14:solidFill>
                  <w14:prstDash w14:val="solid"/>
                  <w14:bevel/>
                </w14:textOutline>
              </w:rPr>
              <w:t>序号</w:t>
            </w:r>
          </w:p>
        </w:tc>
        <w:tc>
          <w:tcPr>
            <w:tcW w:w="7460" w:type="dxa"/>
            <w:vAlign w:val="top"/>
          </w:tcPr>
          <w:p>
            <w:pPr>
              <w:pStyle w:val="17"/>
              <w:spacing w:before="39" w:line="228" w:lineRule="auto"/>
              <w:ind w:left="3156"/>
              <w:rPr>
                <w:sz w:val="20"/>
                <w:szCs w:val="20"/>
              </w:rPr>
            </w:pPr>
            <w:r>
              <w:rPr>
                <w:spacing w:val="-2"/>
                <w:sz w:val="20"/>
                <w:szCs w:val="20"/>
                <w14:textOutline w14:w="3795" w14:cap="sq" w14:cmpd="sng">
                  <w14:solidFill>
                    <w14:srgbClr w14:val="000000"/>
                  </w14:solidFill>
                  <w14:prstDash w14:val="solid"/>
                  <w14:bevel/>
                </w14:textOutline>
              </w:rPr>
              <w:t>违</w:t>
            </w:r>
            <w:r>
              <w:rPr>
                <w:spacing w:val="22"/>
                <w:sz w:val="20"/>
                <w:szCs w:val="20"/>
              </w:rPr>
              <w:t xml:space="preserve"> </w:t>
            </w:r>
            <w:r>
              <w:rPr>
                <w:spacing w:val="-2"/>
                <w:sz w:val="20"/>
                <w:szCs w:val="20"/>
                <w14:textOutline w14:w="3795" w14:cap="sq" w14:cmpd="sng">
                  <w14:solidFill>
                    <w14:srgbClr w14:val="000000"/>
                  </w14:solidFill>
                  <w14:prstDash w14:val="solid"/>
                  <w14:bevel/>
                </w14:textOutline>
              </w:rPr>
              <w:t>约</w:t>
            </w:r>
            <w:r>
              <w:rPr>
                <w:spacing w:val="19"/>
                <w:sz w:val="20"/>
                <w:szCs w:val="20"/>
              </w:rPr>
              <w:t xml:space="preserve"> </w:t>
            </w:r>
            <w:r>
              <w:rPr>
                <w:spacing w:val="-2"/>
                <w:sz w:val="20"/>
                <w:szCs w:val="20"/>
                <w14:textOutline w14:w="3795" w14:cap="sq" w14:cmpd="sng">
                  <w14:solidFill>
                    <w14:srgbClr w14:val="000000"/>
                  </w14:solidFill>
                  <w14:prstDash w14:val="solid"/>
                  <w14:bevel/>
                </w14:textOutline>
              </w:rPr>
              <w:t>项</w:t>
            </w:r>
            <w:r>
              <w:rPr>
                <w:spacing w:val="53"/>
                <w:sz w:val="20"/>
                <w:szCs w:val="20"/>
              </w:rPr>
              <w:t xml:space="preserve"> </w:t>
            </w:r>
            <w:r>
              <w:rPr>
                <w:spacing w:val="-2"/>
                <w:sz w:val="20"/>
                <w:szCs w:val="20"/>
                <w14:textOutline w14:w="3795" w14:cap="sq" w14:cmpd="sng">
                  <w14:solidFill>
                    <w14:srgbClr w14:val="000000"/>
                  </w14:solidFill>
                  <w14:prstDash w14:val="solid"/>
                  <w14:bevel/>
                </w14:textOutline>
              </w:rPr>
              <w:t>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55" w:type="dxa"/>
            <w:vMerge w:val="restart"/>
            <w:tcBorders>
              <w:bottom w:val="nil"/>
            </w:tcBorders>
            <w:vAlign w:val="top"/>
          </w:tcPr>
          <w:p>
            <w:pPr>
              <w:pStyle w:val="17"/>
              <w:spacing w:before="30" w:line="228" w:lineRule="auto"/>
              <w:ind w:left="135"/>
              <w:rPr>
                <w:sz w:val="20"/>
                <w:szCs w:val="20"/>
              </w:rPr>
            </w:pPr>
            <w:r>
              <w:rPr>
                <w:sz w:val="20"/>
                <w:szCs w:val="20"/>
              </w:rPr>
              <w:t>明施工</w:t>
            </w:r>
          </w:p>
        </w:tc>
        <w:tc>
          <w:tcPr>
            <w:tcW w:w="866" w:type="dxa"/>
            <w:vAlign w:val="top"/>
          </w:tcPr>
          <w:p>
            <w:pPr>
              <w:pStyle w:val="17"/>
              <w:spacing w:before="62" w:line="190" w:lineRule="auto"/>
              <w:ind w:left="346"/>
              <w:rPr>
                <w:sz w:val="20"/>
                <w:szCs w:val="20"/>
              </w:rPr>
            </w:pPr>
            <w:r>
              <w:rPr>
                <w:spacing w:val="-7"/>
                <w:sz w:val="20"/>
                <w:szCs w:val="20"/>
              </w:rPr>
              <w:t>18</w:t>
            </w:r>
          </w:p>
        </w:tc>
        <w:tc>
          <w:tcPr>
            <w:tcW w:w="7460" w:type="dxa"/>
            <w:vAlign w:val="top"/>
          </w:tcPr>
          <w:p>
            <w:pPr>
              <w:pStyle w:val="17"/>
              <w:spacing w:before="30" w:line="228" w:lineRule="auto"/>
              <w:ind w:left="114"/>
              <w:rPr>
                <w:sz w:val="20"/>
                <w:szCs w:val="20"/>
              </w:rPr>
            </w:pPr>
            <w:r>
              <w:rPr>
                <w:spacing w:val="8"/>
                <w:sz w:val="20"/>
                <w:szCs w:val="20"/>
              </w:rPr>
              <w:t>单项工程的施工现场未按要求设立标示牌的，每处违约金</w:t>
            </w:r>
            <w:r>
              <w:rPr>
                <w:spacing w:val="-35"/>
                <w:sz w:val="20"/>
                <w:szCs w:val="20"/>
              </w:rPr>
              <w:t xml:space="preserve"> </w:t>
            </w:r>
            <w:r>
              <w:rPr>
                <w:spacing w:val="8"/>
                <w:sz w:val="20"/>
                <w:szCs w:val="20"/>
              </w:rPr>
              <w:t>500</w:t>
            </w:r>
            <w:r>
              <w:rPr>
                <w:spacing w:val="-39"/>
                <w:sz w:val="20"/>
                <w:szCs w:val="20"/>
              </w:rPr>
              <w:t xml:space="preserve"> </w:t>
            </w:r>
            <w:r>
              <w:rPr>
                <w:spacing w:val="8"/>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855" w:type="dxa"/>
            <w:vMerge w:val="continue"/>
            <w:tcBorders>
              <w:top w:val="nil"/>
              <w:bottom w:val="nil"/>
            </w:tcBorders>
            <w:vAlign w:val="top"/>
          </w:tcPr>
          <w:p>
            <w:pPr>
              <w:rPr>
                <w:rFonts w:ascii="Arial"/>
                <w:sz w:val="21"/>
              </w:rPr>
            </w:pPr>
          </w:p>
        </w:tc>
        <w:tc>
          <w:tcPr>
            <w:tcW w:w="866" w:type="dxa"/>
            <w:vAlign w:val="top"/>
          </w:tcPr>
          <w:p>
            <w:pPr>
              <w:spacing w:line="401" w:lineRule="auto"/>
              <w:rPr>
                <w:rFonts w:ascii="Arial"/>
                <w:sz w:val="21"/>
              </w:rPr>
            </w:pPr>
          </w:p>
          <w:p>
            <w:pPr>
              <w:pStyle w:val="17"/>
              <w:spacing w:before="65" w:line="190" w:lineRule="auto"/>
              <w:ind w:left="346"/>
              <w:rPr>
                <w:sz w:val="20"/>
                <w:szCs w:val="20"/>
              </w:rPr>
            </w:pPr>
            <w:r>
              <w:rPr>
                <w:spacing w:val="-7"/>
                <w:sz w:val="20"/>
                <w:szCs w:val="20"/>
              </w:rPr>
              <w:t>19</w:t>
            </w:r>
          </w:p>
        </w:tc>
        <w:tc>
          <w:tcPr>
            <w:tcW w:w="7460" w:type="dxa"/>
            <w:vAlign w:val="top"/>
          </w:tcPr>
          <w:p>
            <w:pPr>
              <w:pStyle w:val="17"/>
              <w:spacing w:before="28" w:line="378" w:lineRule="auto"/>
              <w:ind w:left="112" w:right="106"/>
              <w:jc w:val="both"/>
              <w:rPr>
                <w:sz w:val="20"/>
                <w:szCs w:val="20"/>
              </w:rPr>
            </w:pPr>
            <w:r>
              <w:rPr>
                <w:spacing w:val="8"/>
                <w:sz w:val="20"/>
                <w:szCs w:val="20"/>
              </w:rPr>
              <w:t>施工现场人员出现以下情况，每人/次违约金</w:t>
            </w:r>
            <w:r>
              <w:rPr>
                <w:spacing w:val="-31"/>
                <w:sz w:val="20"/>
                <w:szCs w:val="20"/>
              </w:rPr>
              <w:t xml:space="preserve"> </w:t>
            </w:r>
            <w:r>
              <w:rPr>
                <w:spacing w:val="8"/>
                <w:sz w:val="20"/>
                <w:szCs w:val="20"/>
              </w:rPr>
              <w:t>200</w:t>
            </w:r>
            <w:r>
              <w:rPr>
                <w:spacing w:val="-38"/>
                <w:sz w:val="20"/>
                <w:szCs w:val="20"/>
              </w:rPr>
              <w:t xml:space="preserve"> </w:t>
            </w:r>
            <w:r>
              <w:rPr>
                <w:spacing w:val="8"/>
                <w:sz w:val="20"/>
                <w:szCs w:val="20"/>
              </w:rPr>
              <w:t>元：1)不戴安全帽；2)高空作</w:t>
            </w:r>
            <w:r>
              <w:rPr>
                <w:sz w:val="20"/>
                <w:szCs w:val="20"/>
              </w:rPr>
              <w:t xml:space="preserve"> </w:t>
            </w:r>
            <w:r>
              <w:rPr>
                <w:spacing w:val="12"/>
                <w:sz w:val="20"/>
                <w:szCs w:val="20"/>
              </w:rPr>
              <w:t>业不系安全带；3)水上作业不穿救生衣；4)赤脚或穿</w:t>
            </w:r>
            <w:r>
              <w:rPr>
                <w:spacing w:val="11"/>
                <w:sz w:val="20"/>
                <w:szCs w:val="20"/>
              </w:rPr>
              <w:t>拖鞋；5)管理人员不佩带</w:t>
            </w:r>
          </w:p>
          <w:p>
            <w:pPr>
              <w:pStyle w:val="17"/>
              <w:spacing w:line="228" w:lineRule="auto"/>
              <w:ind w:left="115"/>
              <w:rPr>
                <w:sz w:val="20"/>
                <w:szCs w:val="20"/>
              </w:rPr>
            </w:pPr>
            <w:r>
              <w:rPr>
                <w:spacing w:val="4"/>
                <w:sz w:val="20"/>
                <w:szCs w:val="20"/>
              </w:rPr>
              <w:t>工作证。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55" w:type="dxa"/>
            <w:vMerge w:val="continue"/>
            <w:tcBorders>
              <w:top w:val="nil"/>
              <w:bottom w:val="nil"/>
            </w:tcBorders>
            <w:vAlign w:val="top"/>
          </w:tcPr>
          <w:p>
            <w:pPr>
              <w:rPr>
                <w:rFonts w:ascii="Arial"/>
                <w:sz w:val="21"/>
              </w:rPr>
            </w:pPr>
          </w:p>
        </w:tc>
        <w:tc>
          <w:tcPr>
            <w:tcW w:w="866" w:type="dxa"/>
            <w:vAlign w:val="top"/>
          </w:tcPr>
          <w:p>
            <w:pPr>
              <w:pStyle w:val="17"/>
              <w:spacing w:before="76" w:line="189" w:lineRule="auto"/>
              <w:ind w:left="333"/>
              <w:rPr>
                <w:sz w:val="20"/>
                <w:szCs w:val="20"/>
              </w:rPr>
            </w:pPr>
            <w:r>
              <w:rPr>
                <w:spacing w:val="-1"/>
                <w:sz w:val="20"/>
                <w:szCs w:val="20"/>
              </w:rPr>
              <w:t>20</w:t>
            </w:r>
          </w:p>
        </w:tc>
        <w:tc>
          <w:tcPr>
            <w:tcW w:w="7460" w:type="dxa"/>
            <w:vAlign w:val="top"/>
          </w:tcPr>
          <w:p>
            <w:pPr>
              <w:pStyle w:val="17"/>
              <w:spacing w:before="42" w:line="228" w:lineRule="auto"/>
              <w:ind w:left="116"/>
              <w:rPr>
                <w:sz w:val="20"/>
                <w:szCs w:val="20"/>
              </w:rPr>
            </w:pPr>
            <w:r>
              <w:rPr>
                <w:spacing w:val="8"/>
                <w:sz w:val="20"/>
                <w:szCs w:val="20"/>
              </w:rPr>
              <w:t>不设电箱、漏电开关；施工现场未设安全警示牌，</w:t>
            </w:r>
            <w:r>
              <w:rPr>
                <w:spacing w:val="7"/>
                <w:sz w:val="20"/>
                <w:szCs w:val="20"/>
              </w:rPr>
              <w:t>每处违约金</w:t>
            </w:r>
            <w:r>
              <w:rPr>
                <w:spacing w:val="-24"/>
                <w:sz w:val="20"/>
                <w:szCs w:val="20"/>
              </w:rPr>
              <w:t xml:space="preserve"> </w:t>
            </w:r>
            <w:r>
              <w:rPr>
                <w:spacing w:val="7"/>
                <w:sz w:val="20"/>
                <w:szCs w:val="20"/>
              </w:rPr>
              <w:t>1000</w:t>
            </w:r>
            <w:r>
              <w:rPr>
                <w:spacing w:val="-39"/>
                <w:sz w:val="20"/>
                <w:szCs w:val="20"/>
              </w:rPr>
              <w:t xml:space="preserve"> </w:t>
            </w:r>
            <w:r>
              <w:rPr>
                <w:spacing w:val="7"/>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55" w:type="dxa"/>
            <w:vMerge w:val="continue"/>
            <w:tcBorders>
              <w:top w:val="nil"/>
              <w:bottom w:val="nil"/>
            </w:tcBorders>
            <w:vAlign w:val="top"/>
          </w:tcPr>
          <w:p>
            <w:pPr>
              <w:rPr>
                <w:rFonts w:ascii="Arial"/>
                <w:sz w:val="21"/>
              </w:rPr>
            </w:pPr>
          </w:p>
        </w:tc>
        <w:tc>
          <w:tcPr>
            <w:tcW w:w="866" w:type="dxa"/>
            <w:vAlign w:val="top"/>
          </w:tcPr>
          <w:p>
            <w:pPr>
              <w:pStyle w:val="17"/>
              <w:spacing w:before="110" w:line="189" w:lineRule="auto"/>
              <w:ind w:left="333"/>
              <w:rPr>
                <w:sz w:val="20"/>
                <w:szCs w:val="20"/>
              </w:rPr>
            </w:pPr>
            <w:r>
              <w:rPr>
                <w:spacing w:val="-1"/>
                <w:sz w:val="20"/>
                <w:szCs w:val="20"/>
              </w:rPr>
              <w:t>21</w:t>
            </w:r>
          </w:p>
        </w:tc>
        <w:tc>
          <w:tcPr>
            <w:tcW w:w="7460" w:type="dxa"/>
            <w:vAlign w:val="top"/>
          </w:tcPr>
          <w:p>
            <w:pPr>
              <w:pStyle w:val="17"/>
              <w:spacing w:before="77" w:line="228" w:lineRule="auto"/>
              <w:ind w:left="118"/>
              <w:rPr>
                <w:sz w:val="20"/>
                <w:szCs w:val="20"/>
              </w:rPr>
            </w:pPr>
            <w:r>
              <w:rPr>
                <w:spacing w:val="7"/>
                <w:sz w:val="20"/>
                <w:szCs w:val="20"/>
              </w:rPr>
              <w:t>高空作业未设置稳固爬梯；不设围栏、安全网，每处违约金</w:t>
            </w:r>
            <w:r>
              <w:rPr>
                <w:spacing w:val="-8"/>
                <w:sz w:val="20"/>
                <w:szCs w:val="20"/>
              </w:rPr>
              <w:t xml:space="preserve"> </w:t>
            </w:r>
            <w:r>
              <w:rPr>
                <w:spacing w:val="7"/>
                <w:sz w:val="20"/>
                <w:szCs w:val="20"/>
              </w:rPr>
              <w:t>1000</w:t>
            </w:r>
            <w:r>
              <w:rPr>
                <w:spacing w:val="-37"/>
                <w:sz w:val="20"/>
                <w:szCs w:val="20"/>
              </w:rPr>
              <w:t xml:space="preserve"> </w:t>
            </w:r>
            <w:r>
              <w:rPr>
                <w:spacing w:val="7"/>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855" w:type="dxa"/>
            <w:vMerge w:val="continue"/>
            <w:tcBorders>
              <w:top w:val="nil"/>
            </w:tcBorders>
            <w:vAlign w:val="top"/>
          </w:tcPr>
          <w:p>
            <w:pPr>
              <w:rPr>
                <w:rFonts w:ascii="Arial"/>
                <w:sz w:val="21"/>
              </w:rPr>
            </w:pPr>
          </w:p>
        </w:tc>
        <w:tc>
          <w:tcPr>
            <w:tcW w:w="866" w:type="dxa"/>
            <w:vAlign w:val="top"/>
          </w:tcPr>
          <w:p>
            <w:pPr>
              <w:spacing w:line="304" w:lineRule="auto"/>
              <w:rPr>
                <w:rFonts w:ascii="Arial"/>
                <w:sz w:val="21"/>
              </w:rPr>
            </w:pPr>
          </w:p>
          <w:p>
            <w:pPr>
              <w:spacing w:line="304" w:lineRule="auto"/>
              <w:rPr>
                <w:rFonts w:ascii="Arial"/>
                <w:sz w:val="21"/>
              </w:rPr>
            </w:pPr>
          </w:p>
          <w:p>
            <w:pPr>
              <w:pStyle w:val="17"/>
              <w:spacing w:before="65" w:line="189" w:lineRule="auto"/>
              <w:ind w:left="333"/>
              <w:rPr>
                <w:sz w:val="20"/>
                <w:szCs w:val="20"/>
              </w:rPr>
            </w:pPr>
            <w:r>
              <w:rPr>
                <w:spacing w:val="-1"/>
                <w:sz w:val="20"/>
                <w:szCs w:val="20"/>
              </w:rPr>
              <w:t>22</w:t>
            </w:r>
          </w:p>
        </w:tc>
        <w:tc>
          <w:tcPr>
            <w:tcW w:w="7460" w:type="dxa"/>
            <w:vAlign w:val="top"/>
          </w:tcPr>
          <w:p>
            <w:pPr>
              <w:pStyle w:val="17"/>
              <w:spacing w:before="33" w:line="377" w:lineRule="auto"/>
              <w:ind w:left="114" w:right="106" w:firstLine="16"/>
              <w:rPr>
                <w:sz w:val="20"/>
                <w:szCs w:val="20"/>
              </w:rPr>
            </w:pPr>
            <w:r>
              <w:rPr>
                <w:spacing w:val="8"/>
                <w:sz w:val="20"/>
                <w:szCs w:val="20"/>
              </w:rPr>
              <w:t>出现以下情况每次违约金</w:t>
            </w:r>
            <w:r>
              <w:rPr>
                <w:spacing w:val="-35"/>
                <w:sz w:val="20"/>
                <w:szCs w:val="20"/>
              </w:rPr>
              <w:t xml:space="preserve"> </w:t>
            </w:r>
            <w:r>
              <w:rPr>
                <w:spacing w:val="8"/>
                <w:sz w:val="20"/>
                <w:szCs w:val="20"/>
              </w:rPr>
              <w:t>3000</w:t>
            </w:r>
            <w:r>
              <w:rPr>
                <w:spacing w:val="-38"/>
                <w:sz w:val="20"/>
                <w:szCs w:val="20"/>
              </w:rPr>
              <w:t xml:space="preserve"> </w:t>
            </w:r>
            <w:r>
              <w:rPr>
                <w:spacing w:val="8"/>
                <w:sz w:val="20"/>
                <w:szCs w:val="20"/>
              </w:rPr>
              <w:t>元：1)施工车辆和机械带病上岗</w:t>
            </w:r>
            <w:r>
              <w:rPr>
                <w:spacing w:val="7"/>
                <w:sz w:val="20"/>
                <w:szCs w:val="20"/>
              </w:rPr>
              <w:t>，操作人员无证</w:t>
            </w:r>
            <w:r>
              <w:rPr>
                <w:sz w:val="20"/>
                <w:szCs w:val="20"/>
              </w:rPr>
              <w:t xml:space="preserve"> </w:t>
            </w:r>
            <w:r>
              <w:rPr>
                <w:spacing w:val="12"/>
                <w:sz w:val="20"/>
                <w:szCs w:val="20"/>
              </w:rPr>
              <w:t>上岗和违反操作规程；2)发生各种事故苗头及事故未及时不整改和隐瞒不</w:t>
            </w:r>
            <w:r>
              <w:rPr>
                <w:spacing w:val="11"/>
                <w:sz w:val="20"/>
                <w:szCs w:val="20"/>
              </w:rPr>
              <w:t>报；</w:t>
            </w:r>
            <w:r>
              <w:rPr>
                <w:sz w:val="20"/>
                <w:szCs w:val="20"/>
              </w:rPr>
              <w:t xml:space="preserve"> </w:t>
            </w:r>
            <w:r>
              <w:rPr>
                <w:spacing w:val="12"/>
                <w:sz w:val="20"/>
                <w:szCs w:val="20"/>
              </w:rPr>
              <w:t>3)每月安全大检查，安全管理人员无故不在位；4)</w:t>
            </w:r>
            <w:r>
              <w:rPr>
                <w:spacing w:val="11"/>
                <w:sz w:val="20"/>
                <w:szCs w:val="20"/>
              </w:rPr>
              <w:t>违反文明施工管理条例；5)</w:t>
            </w:r>
          </w:p>
          <w:p>
            <w:pPr>
              <w:pStyle w:val="17"/>
              <w:spacing w:line="227" w:lineRule="auto"/>
              <w:ind w:left="116"/>
              <w:rPr>
                <w:sz w:val="20"/>
                <w:szCs w:val="20"/>
              </w:rPr>
            </w:pPr>
            <w:r>
              <w:rPr>
                <w:spacing w:val="8"/>
                <w:sz w:val="20"/>
                <w:szCs w:val="20"/>
              </w:rPr>
              <w:t>未做安全措施污染当地农田水利。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855"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7"/>
              <w:spacing w:before="65" w:line="408" w:lineRule="exact"/>
              <w:ind w:left="117"/>
              <w:rPr>
                <w:sz w:val="20"/>
                <w:szCs w:val="20"/>
              </w:rPr>
            </w:pPr>
            <w:r>
              <w:rPr>
                <w:spacing w:val="7"/>
                <w:position w:val="15"/>
                <w:sz w:val="20"/>
                <w:szCs w:val="20"/>
              </w:rPr>
              <w:t>成品保</w:t>
            </w:r>
          </w:p>
          <w:p>
            <w:pPr>
              <w:pStyle w:val="17"/>
              <w:spacing w:line="228" w:lineRule="auto"/>
              <w:ind w:left="116"/>
              <w:rPr>
                <w:sz w:val="20"/>
                <w:szCs w:val="20"/>
              </w:rPr>
            </w:pPr>
            <w:r>
              <w:rPr>
                <w:sz w:val="20"/>
                <w:szCs w:val="20"/>
              </w:rPr>
              <w:t>护</w:t>
            </w:r>
          </w:p>
        </w:tc>
        <w:tc>
          <w:tcPr>
            <w:tcW w:w="866" w:type="dxa"/>
            <w:vAlign w:val="top"/>
          </w:tcPr>
          <w:p>
            <w:pPr>
              <w:spacing w:line="406" w:lineRule="auto"/>
              <w:rPr>
                <w:rFonts w:ascii="Arial"/>
                <w:sz w:val="21"/>
              </w:rPr>
            </w:pPr>
          </w:p>
          <w:p>
            <w:pPr>
              <w:pStyle w:val="17"/>
              <w:spacing w:before="65" w:line="189" w:lineRule="auto"/>
              <w:ind w:left="333"/>
              <w:rPr>
                <w:sz w:val="20"/>
                <w:szCs w:val="20"/>
              </w:rPr>
            </w:pPr>
            <w:r>
              <w:rPr>
                <w:spacing w:val="-1"/>
                <w:sz w:val="20"/>
                <w:szCs w:val="20"/>
              </w:rPr>
              <w:t>23</w:t>
            </w:r>
          </w:p>
        </w:tc>
        <w:tc>
          <w:tcPr>
            <w:tcW w:w="7460" w:type="dxa"/>
            <w:vAlign w:val="top"/>
          </w:tcPr>
          <w:p>
            <w:pPr>
              <w:pStyle w:val="17"/>
              <w:spacing w:before="32" w:line="378" w:lineRule="auto"/>
              <w:ind w:left="116" w:right="109" w:hanging="4"/>
              <w:jc w:val="both"/>
              <w:rPr>
                <w:sz w:val="20"/>
                <w:szCs w:val="20"/>
              </w:rPr>
            </w:pPr>
            <w:r>
              <w:rPr>
                <w:spacing w:val="13"/>
                <w:sz w:val="20"/>
                <w:szCs w:val="20"/>
              </w:rPr>
              <w:t>楼地面工程找平层施工前，施工单位应会同监理部对所</w:t>
            </w:r>
            <w:r>
              <w:rPr>
                <w:spacing w:val="12"/>
                <w:sz w:val="20"/>
                <w:szCs w:val="20"/>
              </w:rPr>
              <w:t>有地面预埋管线进行隐</w:t>
            </w:r>
            <w:r>
              <w:rPr>
                <w:sz w:val="20"/>
                <w:szCs w:val="20"/>
              </w:rPr>
              <w:t xml:space="preserve"> </w:t>
            </w:r>
            <w:r>
              <w:rPr>
                <w:spacing w:val="13"/>
                <w:sz w:val="20"/>
                <w:szCs w:val="20"/>
              </w:rPr>
              <w:t>蔽验收，并在完成的找平层上标注管线走向。</w:t>
            </w:r>
            <w:r>
              <w:rPr>
                <w:spacing w:val="12"/>
                <w:sz w:val="20"/>
                <w:szCs w:val="20"/>
              </w:rPr>
              <w:t>未经验收及标注管线走向进入下</w:t>
            </w:r>
          </w:p>
          <w:p>
            <w:pPr>
              <w:pStyle w:val="17"/>
              <w:spacing w:line="227" w:lineRule="auto"/>
              <w:ind w:left="112"/>
              <w:rPr>
                <w:sz w:val="20"/>
                <w:szCs w:val="20"/>
              </w:rPr>
            </w:pPr>
            <w:r>
              <w:rPr>
                <w:spacing w:val="7"/>
                <w:sz w:val="20"/>
                <w:szCs w:val="20"/>
              </w:rPr>
              <w:t>道工序施工的，对施工单位每户违约金</w:t>
            </w:r>
            <w:r>
              <w:rPr>
                <w:spacing w:val="-28"/>
                <w:sz w:val="20"/>
                <w:szCs w:val="20"/>
              </w:rPr>
              <w:t xml:space="preserve"> </w:t>
            </w:r>
            <w:r>
              <w:rPr>
                <w:spacing w:val="7"/>
                <w:sz w:val="20"/>
                <w:szCs w:val="20"/>
              </w:rPr>
              <w:t>3000</w:t>
            </w:r>
            <w:r>
              <w:rPr>
                <w:spacing w:val="-38"/>
                <w:sz w:val="20"/>
                <w:szCs w:val="20"/>
              </w:rPr>
              <w:t xml:space="preserve"> </w:t>
            </w:r>
            <w:r>
              <w:rPr>
                <w:spacing w:val="7"/>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855" w:type="dxa"/>
            <w:vMerge w:val="continue"/>
            <w:tcBorders>
              <w:top w:val="nil"/>
              <w:bottom w:val="nil"/>
            </w:tcBorders>
            <w:vAlign w:val="top"/>
          </w:tcPr>
          <w:p>
            <w:pPr>
              <w:rPr>
                <w:rFonts w:ascii="Arial"/>
                <w:sz w:val="21"/>
              </w:rPr>
            </w:pPr>
          </w:p>
        </w:tc>
        <w:tc>
          <w:tcPr>
            <w:tcW w:w="866" w:type="dxa"/>
            <w:vAlign w:val="top"/>
          </w:tcPr>
          <w:p>
            <w:pPr>
              <w:spacing w:line="304" w:lineRule="auto"/>
              <w:rPr>
                <w:rFonts w:ascii="Arial"/>
                <w:sz w:val="21"/>
              </w:rPr>
            </w:pPr>
          </w:p>
          <w:p>
            <w:pPr>
              <w:spacing w:line="305" w:lineRule="auto"/>
              <w:rPr>
                <w:rFonts w:ascii="Arial"/>
                <w:sz w:val="21"/>
              </w:rPr>
            </w:pPr>
          </w:p>
          <w:p>
            <w:pPr>
              <w:pStyle w:val="17"/>
              <w:spacing w:before="66" w:line="189" w:lineRule="auto"/>
              <w:ind w:left="333"/>
              <w:rPr>
                <w:sz w:val="20"/>
                <w:szCs w:val="20"/>
              </w:rPr>
            </w:pPr>
            <w:r>
              <w:rPr>
                <w:spacing w:val="-1"/>
                <w:sz w:val="20"/>
                <w:szCs w:val="20"/>
              </w:rPr>
              <w:t>24</w:t>
            </w:r>
          </w:p>
        </w:tc>
        <w:tc>
          <w:tcPr>
            <w:tcW w:w="7460" w:type="dxa"/>
            <w:vAlign w:val="top"/>
          </w:tcPr>
          <w:p>
            <w:pPr>
              <w:pStyle w:val="17"/>
              <w:spacing w:before="32" w:line="377" w:lineRule="auto"/>
              <w:ind w:left="111" w:right="106" w:firstLine="1"/>
              <w:rPr>
                <w:sz w:val="20"/>
                <w:szCs w:val="20"/>
              </w:rPr>
            </w:pPr>
            <w:r>
              <w:rPr>
                <w:spacing w:val="9"/>
                <w:sz w:val="20"/>
                <w:szCs w:val="20"/>
              </w:rPr>
              <w:t>块料地面面层施工和养护阶段</w:t>
            </w:r>
            <w:r>
              <w:rPr>
                <w:spacing w:val="-37"/>
                <w:sz w:val="20"/>
                <w:szCs w:val="20"/>
              </w:rPr>
              <w:t xml:space="preserve"> </w:t>
            </w:r>
            <w:r>
              <w:rPr>
                <w:spacing w:val="9"/>
                <w:sz w:val="20"/>
                <w:szCs w:val="20"/>
              </w:rPr>
              <w:t>24</w:t>
            </w:r>
            <w:r>
              <w:rPr>
                <w:spacing w:val="-32"/>
                <w:sz w:val="20"/>
                <w:szCs w:val="20"/>
              </w:rPr>
              <w:t xml:space="preserve"> </w:t>
            </w:r>
            <w:r>
              <w:rPr>
                <w:spacing w:val="9"/>
                <w:sz w:val="20"/>
                <w:szCs w:val="20"/>
              </w:rPr>
              <w:t>小时内，应有防止</w:t>
            </w:r>
            <w:r>
              <w:rPr>
                <w:spacing w:val="8"/>
                <w:sz w:val="20"/>
                <w:szCs w:val="20"/>
              </w:rPr>
              <w:t>施工人员在其表面上走动的</w:t>
            </w:r>
            <w:r>
              <w:rPr>
                <w:sz w:val="20"/>
                <w:szCs w:val="20"/>
              </w:rPr>
              <w:t xml:space="preserve"> </w:t>
            </w:r>
            <w:r>
              <w:rPr>
                <w:spacing w:val="11"/>
                <w:sz w:val="20"/>
                <w:szCs w:val="20"/>
              </w:rPr>
              <w:t>措施，并立牌警示，否则违约金</w:t>
            </w:r>
            <w:r>
              <w:rPr>
                <w:spacing w:val="-13"/>
                <w:sz w:val="20"/>
                <w:szCs w:val="20"/>
              </w:rPr>
              <w:t xml:space="preserve"> </w:t>
            </w:r>
            <w:r>
              <w:rPr>
                <w:spacing w:val="11"/>
                <w:sz w:val="20"/>
                <w:szCs w:val="20"/>
              </w:rPr>
              <w:t>500</w:t>
            </w:r>
            <w:r>
              <w:rPr>
                <w:spacing w:val="-37"/>
                <w:sz w:val="20"/>
                <w:szCs w:val="20"/>
              </w:rPr>
              <w:t xml:space="preserve"> </w:t>
            </w:r>
            <w:r>
              <w:rPr>
                <w:spacing w:val="11"/>
                <w:sz w:val="20"/>
                <w:szCs w:val="20"/>
              </w:rPr>
              <w:t>元。块料地面养护期后，应用胶膜保护，</w:t>
            </w:r>
            <w:r>
              <w:rPr>
                <w:sz w:val="20"/>
                <w:szCs w:val="20"/>
              </w:rPr>
              <w:t xml:space="preserve"> </w:t>
            </w:r>
            <w:r>
              <w:rPr>
                <w:spacing w:val="9"/>
                <w:sz w:val="20"/>
                <w:szCs w:val="20"/>
              </w:rPr>
              <w:t>避免污染和重物打击。主要通道位置每漏盖一处（</w:t>
            </w:r>
            <w:r>
              <w:rPr>
                <w:spacing w:val="8"/>
                <w:sz w:val="20"/>
                <w:szCs w:val="20"/>
              </w:rPr>
              <w:t>1m2</w:t>
            </w:r>
            <w:r>
              <w:rPr>
                <w:spacing w:val="-36"/>
                <w:sz w:val="20"/>
                <w:szCs w:val="20"/>
              </w:rPr>
              <w:t xml:space="preserve"> </w:t>
            </w:r>
            <w:r>
              <w:rPr>
                <w:spacing w:val="8"/>
                <w:sz w:val="20"/>
                <w:szCs w:val="20"/>
              </w:rPr>
              <w:t>左右）违约金</w:t>
            </w:r>
            <w:r>
              <w:rPr>
                <w:spacing w:val="-22"/>
                <w:sz w:val="20"/>
                <w:szCs w:val="20"/>
              </w:rPr>
              <w:t xml:space="preserve"> </w:t>
            </w:r>
            <w:r>
              <w:rPr>
                <w:spacing w:val="8"/>
                <w:sz w:val="20"/>
                <w:szCs w:val="20"/>
              </w:rPr>
              <w:t>1000</w:t>
            </w:r>
            <w:r>
              <w:rPr>
                <w:spacing w:val="-38"/>
                <w:sz w:val="20"/>
                <w:szCs w:val="20"/>
              </w:rPr>
              <w:t xml:space="preserve"> </w:t>
            </w:r>
            <w:r>
              <w:rPr>
                <w:spacing w:val="8"/>
                <w:sz w:val="20"/>
                <w:szCs w:val="20"/>
              </w:rPr>
              <w:t>元，</w:t>
            </w:r>
          </w:p>
          <w:p>
            <w:pPr>
              <w:pStyle w:val="17"/>
              <w:spacing w:line="227" w:lineRule="auto"/>
              <w:ind w:left="116"/>
              <w:rPr>
                <w:sz w:val="20"/>
                <w:szCs w:val="20"/>
              </w:rPr>
            </w:pPr>
            <w:r>
              <w:rPr>
                <w:spacing w:val="7"/>
                <w:sz w:val="20"/>
                <w:szCs w:val="20"/>
              </w:rPr>
              <w:t>发现一处打击印痕，违约金</w:t>
            </w:r>
            <w:r>
              <w:rPr>
                <w:spacing w:val="-24"/>
                <w:sz w:val="20"/>
                <w:szCs w:val="20"/>
              </w:rPr>
              <w:t xml:space="preserve"> </w:t>
            </w:r>
            <w:r>
              <w:rPr>
                <w:spacing w:val="7"/>
                <w:sz w:val="20"/>
                <w:szCs w:val="20"/>
              </w:rPr>
              <w:t>2000</w:t>
            </w:r>
            <w:r>
              <w:rPr>
                <w:spacing w:val="-36"/>
                <w:sz w:val="20"/>
                <w:szCs w:val="20"/>
              </w:rPr>
              <w:t xml:space="preserve"> </w:t>
            </w:r>
            <w:r>
              <w:rPr>
                <w:spacing w:val="7"/>
                <w:sz w:val="20"/>
                <w:szCs w:val="20"/>
              </w:rPr>
              <w:t>元，并赔偿返工费用。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855" w:type="dxa"/>
            <w:vMerge w:val="continue"/>
            <w:tcBorders>
              <w:top w:val="nil"/>
              <w:bottom w:val="nil"/>
            </w:tcBorders>
            <w:vAlign w:val="top"/>
          </w:tcPr>
          <w:p>
            <w:pPr>
              <w:rPr>
                <w:rFonts w:ascii="Arial"/>
                <w:sz w:val="21"/>
              </w:rPr>
            </w:pPr>
          </w:p>
        </w:tc>
        <w:tc>
          <w:tcPr>
            <w:tcW w:w="866"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17"/>
              <w:spacing w:before="65" w:line="189" w:lineRule="auto"/>
              <w:ind w:left="333"/>
              <w:rPr>
                <w:sz w:val="20"/>
                <w:szCs w:val="20"/>
              </w:rPr>
            </w:pPr>
            <w:r>
              <w:rPr>
                <w:spacing w:val="-1"/>
                <w:sz w:val="20"/>
                <w:szCs w:val="20"/>
              </w:rPr>
              <w:t>25</w:t>
            </w:r>
          </w:p>
        </w:tc>
        <w:tc>
          <w:tcPr>
            <w:tcW w:w="7460" w:type="dxa"/>
            <w:vAlign w:val="top"/>
          </w:tcPr>
          <w:p>
            <w:pPr>
              <w:pStyle w:val="17"/>
              <w:spacing w:before="35" w:line="377" w:lineRule="auto"/>
              <w:ind w:left="113" w:right="54" w:hanging="1"/>
              <w:rPr>
                <w:sz w:val="20"/>
                <w:szCs w:val="20"/>
              </w:rPr>
            </w:pPr>
            <w:r>
              <w:rPr>
                <w:spacing w:val="8"/>
                <w:sz w:val="20"/>
                <w:szCs w:val="20"/>
              </w:rPr>
              <w:t>楼面沉箱、露台、天面聚氨脂防水涂料完成后，应在门洞口采用竹或木作护栏，</w:t>
            </w:r>
            <w:r>
              <w:rPr>
                <w:spacing w:val="7"/>
                <w:sz w:val="20"/>
                <w:szCs w:val="20"/>
              </w:rPr>
              <w:t xml:space="preserve"> </w:t>
            </w:r>
            <w:r>
              <w:rPr>
                <w:spacing w:val="11"/>
                <w:sz w:val="20"/>
                <w:szCs w:val="20"/>
              </w:rPr>
              <w:t>未设护栏或造成涂膜层破坏的，每处违约金</w:t>
            </w:r>
            <w:r>
              <w:rPr>
                <w:spacing w:val="-18"/>
                <w:sz w:val="20"/>
                <w:szCs w:val="20"/>
              </w:rPr>
              <w:t xml:space="preserve"> </w:t>
            </w:r>
            <w:r>
              <w:rPr>
                <w:spacing w:val="11"/>
                <w:sz w:val="20"/>
                <w:szCs w:val="20"/>
              </w:rPr>
              <w:t>500</w:t>
            </w:r>
            <w:r>
              <w:rPr>
                <w:spacing w:val="-37"/>
                <w:sz w:val="20"/>
                <w:szCs w:val="20"/>
              </w:rPr>
              <w:t xml:space="preserve"> </w:t>
            </w:r>
            <w:r>
              <w:rPr>
                <w:spacing w:val="11"/>
                <w:sz w:val="20"/>
                <w:szCs w:val="20"/>
              </w:rPr>
              <w:t>元，并负责返工费用。柔性防</w:t>
            </w:r>
            <w:r>
              <w:rPr>
                <w:sz w:val="20"/>
                <w:szCs w:val="20"/>
              </w:rPr>
              <w:t xml:space="preserve"> </w:t>
            </w:r>
            <w:r>
              <w:rPr>
                <w:spacing w:val="13"/>
                <w:sz w:val="20"/>
                <w:szCs w:val="20"/>
              </w:rPr>
              <w:t>水层施工完毕后，应及时进行隐蔽验收，并按设计要求加以覆盖保护及施工，</w:t>
            </w:r>
            <w:r>
              <w:rPr>
                <w:spacing w:val="5"/>
                <w:sz w:val="20"/>
                <w:szCs w:val="20"/>
              </w:rPr>
              <w:t xml:space="preserve"> </w:t>
            </w:r>
            <w:r>
              <w:rPr>
                <w:spacing w:val="13"/>
                <w:sz w:val="20"/>
                <w:szCs w:val="20"/>
              </w:rPr>
              <w:t>严禁在防水层上直接堆放材料和设备，拌制砂浆，</w:t>
            </w:r>
            <w:r>
              <w:rPr>
                <w:spacing w:val="12"/>
                <w:sz w:val="20"/>
                <w:szCs w:val="20"/>
              </w:rPr>
              <w:t>拖运物品，每发现一次违约</w:t>
            </w:r>
          </w:p>
          <w:p>
            <w:pPr>
              <w:pStyle w:val="17"/>
              <w:spacing w:line="227" w:lineRule="auto"/>
              <w:ind w:left="114"/>
              <w:rPr>
                <w:sz w:val="20"/>
                <w:szCs w:val="20"/>
              </w:rPr>
            </w:pPr>
            <w:r>
              <w:rPr>
                <w:spacing w:val="5"/>
                <w:sz w:val="20"/>
                <w:szCs w:val="20"/>
              </w:rPr>
              <w:t>金</w:t>
            </w:r>
            <w:r>
              <w:rPr>
                <w:spacing w:val="-24"/>
                <w:sz w:val="20"/>
                <w:szCs w:val="20"/>
              </w:rPr>
              <w:t xml:space="preserve"> </w:t>
            </w:r>
            <w:r>
              <w:rPr>
                <w:spacing w:val="5"/>
                <w:sz w:val="20"/>
                <w:szCs w:val="20"/>
              </w:rPr>
              <w:t>1000</w:t>
            </w:r>
            <w:r>
              <w:rPr>
                <w:spacing w:val="-39"/>
                <w:sz w:val="20"/>
                <w:szCs w:val="20"/>
              </w:rPr>
              <w:t xml:space="preserve"> </w:t>
            </w:r>
            <w:r>
              <w:rPr>
                <w:spacing w:val="5"/>
                <w:sz w:val="20"/>
                <w:szCs w:val="20"/>
              </w:rPr>
              <w:t>元，并赔偿返工费用。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55" w:type="dxa"/>
            <w:vMerge w:val="continue"/>
            <w:tcBorders>
              <w:top w:val="nil"/>
              <w:bottom w:val="nil"/>
            </w:tcBorders>
            <w:vAlign w:val="top"/>
          </w:tcPr>
          <w:p>
            <w:pPr>
              <w:rPr>
                <w:rFonts w:ascii="Arial"/>
                <w:sz w:val="21"/>
              </w:rPr>
            </w:pPr>
          </w:p>
        </w:tc>
        <w:tc>
          <w:tcPr>
            <w:tcW w:w="866" w:type="dxa"/>
            <w:vAlign w:val="top"/>
          </w:tcPr>
          <w:p>
            <w:pPr>
              <w:pStyle w:val="17"/>
              <w:spacing w:before="272" w:line="189" w:lineRule="auto"/>
              <w:ind w:left="333"/>
              <w:rPr>
                <w:sz w:val="20"/>
                <w:szCs w:val="20"/>
              </w:rPr>
            </w:pPr>
            <w:r>
              <w:rPr>
                <w:spacing w:val="-1"/>
                <w:sz w:val="20"/>
                <w:szCs w:val="20"/>
              </w:rPr>
              <w:t>26</w:t>
            </w:r>
          </w:p>
        </w:tc>
        <w:tc>
          <w:tcPr>
            <w:tcW w:w="7460" w:type="dxa"/>
            <w:vAlign w:val="top"/>
          </w:tcPr>
          <w:p>
            <w:pPr>
              <w:pStyle w:val="17"/>
              <w:spacing w:before="36" w:line="408" w:lineRule="exact"/>
              <w:ind w:left="113"/>
              <w:rPr>
                <w:sz w:val="20"/>
                <w:szCs w:val="20"/>
              </w:rPr>
            </w:pPr>
            <w:r>
              <w:rPr>
                <w:spacing w:val="13"/>
                <w:position w:val="15"/>
                <w:sz w:val="20"/>
                <w:szCs w:val="20"/>
              </w:rPr>
              <w:t>铝合金、塑钢门窗出厂时，应采取下横底框、中横</w:t>
            </w:r>
            <w:r>
              <w:rPr>
                <w:spacing w:val="12"/>
                <w:position w:val="15"/>
                <w:sz w:val="20"/>
                <w:szCs w:val="20"/>
              </w:rPr>
              <w:t>框三层保护胶纸，其余部分</w:t>
            </w:r>
          </w:p>
          <w:p>
            <w:pPr>
              <w:pStyle w:val="17"/>
              <w:spacing w:line="227" w:lineRule="auto"/>
              <w:ind w:left="116"/>
              <w:rPr>
                <w:sz w:val="20"/>
                <w:szCs w:val="20"/>
              </w:rPr>
            </w:pPr>
            <w:r>
              <w:rPr>
                <w:spacing w:val="7"/>
                <w:sz w:val="20"/>
                <w:szCs w:val="20"/>
              </w:rPr>
              <w:t>二层胶纸进行包扎保护，每缺少一层，违约金</w:t>
            </w:r>
            <w:r>
              <w:rPr>
                <w:spacing w:val="-21"/>
                <w:sz w:val="20"/>
                <w:szCs w:val="20"/>
              </w:rPr>
              <w:t xml:space="preserve"> </w:t>
            </w:r>
            <w:r>
              <w:rPr>
                <w:spacing w:val="7"/>
                <w:sz w:val="20"/>
                <w:szCs w:val="20"/>
              </w:rPr>
              <w:t>100</w:t>
            </w:r>
            <w:r>
              <w:rPr>
                <w:spacing w:val="6"/>
                <w:sz w:val="20"/>
                <w:szCs w:val="20"/>
              </w:rPr>
              <w:t>0</w:t>
            </w:r>
            <w:r>
              <w:rPr>
                <w:spacing w:val="-36"/>
                <w:sz w:val="20"/>
                <w:szCs w:val="20"/>
              </w:rPr>
              <w:t xml:space="preserve"> </w:t>
            </w:r>
            <w:r>
              <w:rPr>
                <w:spacing w:val="6"/>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855" w:type="dxa"/>
            <w:vMerge w:val="continue"/>
            <w:tcBorders>
              <w:top w:val="nil"/>
              <w:bottom w:val="nil"/>
            </w:tcBorders>
            <w:vAlign w:val="top"/>
          </w:tcPr>
          <w:p>
            <w:pPr>
              <w:rPr>
                <w:rFonts w:ascii="Arial"/>
                <w:sz w:val="21"/>
              </w:rPr>
            </w:pPr>
          </w:p>
        </w:tc>
        <w:tc>
          <w:tcPr>
            <w:tcW w:w="866" w:type="dxa"/>
            <w:vAlign w:val="top"/>
          </w:tcPr>
          <w:p>
            <w:pPr>
              <w:spacing w:line="410" w:lineRule="auto"/>
              <w:rPr>
                <w:rFonts w:ascii="Arial"/>
                <w:sz w:val="21"/>
              </w:rPr>
            </w:pPr>
          </w:p>
          <w:p>
            <w:pPr>
              <w:pStyle w:val="17"/>
              <w:spacing w:before="65" w:line="189" w:lineRule="auto"/>
              <w:ind w:left="333"/>
              <w:rPr>
                <w:sz w:val="20"/>
                <w:szCs w:val="20"/>
              </w:rPr>
            </w:pPr>
            <w:r>
              <w:rPr>
                <w:spacing w:val="-1"/>
                <w:sz w:val="20"/>
                <w:szCs w:val="20"/>
              </w:rPr>
              <w:t>27</w:t>
            </w:r>
          </w:p>
        </w:tc>
        <w:tc>
          <w:tcPr>
            <w:tcW w:w="7460" w:type="dxa"/>
            <w:vAlign w:val="top"/>
          </w:tcPr>
          <w:p>
            <w:pPr>
              <w:pStyle w:val="17"/>
              <w:spacing w:before="36" w:line="377" w:lineRule="auto"/>
              <w:ind w:left="113" w:right="106"/>
              <w:jc w:val="both"/>
              <w:rPr>
                <w:sz w:val="20"/>
                <w:szCs w:val="20"/>
              </w:rPr>
            </w:pPr>
            <w:r>
              <w:rPr>
                <w:spacing w:val="11"/>
                <w:sz w:val="20"/>
                <w:szCs w:val="20"/>
              </w:rPr>
              <w:t>严禁施工阶段私自撕毁保护材料，每发现一处违约金</w:t>
            </w:r>
            <w:r>
              <w:rPr>
                <w:spacing w:val="-18"/>
                <w:sz w:val="20"/>
                <w:szCs w:val="20"/>
              </w:rPr>
              <w:t xml:space="preserve"> </w:t>
            </w:r>
            <w:r>
              <w:rPr>
                <w:spacing w:val="11"/>
                <w:sz w:val="20"/>
                <w:szCs w:val="20"/>
              </w:rPr>
              <w:t>500</w:t>
            </w:r>
            <w:r>
              <w:rPr>
                <w:spacing w:val="-34"/>
                <w:sz w:val="20"/>
                <w:szCs w:val="20"/>
              </w:rPr>
              <w:t xml:space="preserve"> </w:t>
            </w:r>
            <w:r>
              <w:rPr>
                <w:spacing w:val="11"/>
                <w:sz w:val="20"/>
                <w:szCs w:val="20"/>
              </w:rPr>
              <w:t>元，且必须负责保护</w:t>
            </w:r>
            <w:r>
              <w:rPr>
                <w:sz w:val="20"/>
                <w:szCs w:val="20"/>
              </w:rPr>
              <w:t xml:space="preserve"> </w:t>
            </w:r>
            <w:r>
              <w:rPr>
                <w:spacing w:val="13"/>
                <w:sz w:val="20"/>
                <w:szCs w:val="20"/>
              </w:rPr>
              <w:t>材料的补扎费用。门窗保护材料应报监理签字同意后</w:t>
            </w:r>
            <w:r>
              <w:rPr>
                <w:spacing w:val="12"/>
                <w:sz w:val="20"/>
                <w:szCs w:val="20"/>
              </w:rPr>
              <w:t>方能进行撕除，未经同意</w:t>
            </w:r>
          </w:p>
          <w:p>
            <w:pPr>
              <w:pStyle w:val="17"/>
              <w:spacing w:line="227" w:lineRule="auto"/>
              <w:ind w:left="113"/>
              <w:rPr>
                <w:sz w:val="20"/>
                <w:szCs w:val="20"/>
              </w:rPr>
            </w:pPr>
            <w:r>
              <w:rPr>
                <w:spacing w:val="3"/>
                <w:sz w:val="20"/>
                <w:szCs w:val="20"/>
              </w:rPr>
              <w:t>每次违约金</w:t>
            </w:r>
            <w:r>
              <w:rPr>
                <w:spacing w:val="-21"/>
                <w:sz w:val="20"/>
                <w:szCs w:val="20"/>
              </w:rPr>
              <w:t xml:space="preserve"> </w:t>
            </w:r>
            <w:r>
              <w:rPr>
                <w:spacing w:val="3"/>
                <w:sz w:val="20"/>
                <w:szCs w:val="20"/>
              </w:rPr>
              <w:t>1000</w:t>
            </w:r>
            <w:r>
              <w:rPr>
                <w:spacing w:val="-38"/>
                <w:sz w:val="20"/>
                <w:szCs w:val="20"/>
              </w:rPr>
              <w:t xml:space="preserve"> </w:t>
            </w:r>
            <w:r>
              <w:rPr>
                <w:spacing w:val="3"/>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55" w:type="dxa"/>
            <w:vMerge w:val="continue"/>
            <w:tcBorders>
              <w:top w:val="nil"/>
              <w:bottom w:val="nil"/>
            </w:tcBorders>
            <w:vAlign w:val="top"/>
          </w:tcPr>
          <w:p>
            <w:pPr>
              <w:rPr>
                <w:rFonts w:ascii="Arial"/>
                <w:sz w:val="21"/>
              </w:rPr>
            </w:pPr>
          </w:p>
        </w:tc>
        <w:tc>
          <w:tcPr>
            <w:tcW w:w="866" w:type="dxa"/>
            <w:vAlign w:val="top"/>
          </w:tcPr>
          <w:p>
            <w:pPr>
              <w:pStyle w:val="17"/>
              <w:spacing w:before="271" w:line="189" w:lineRule="auto"/>
              <w:ind w:left="333"/>
              <w:rPr>
                <w:sz w:val="20"/>
                <w:szCs w:val="20"/>
              </w:rPr>
            </w:pPr>
            <w:r>
              <w:rPr>
                <w:spacing w:val="-1"/>
                <w:sz w:val="20"/>
                <w:szCs w:val="20"/>
              </w:rPr>
              <w:t>28</w:t>
            </w:r>
          </w:p>
        </w:tc>
        <w:tc>
          <w:tcPr>
            <w:tcW w:w="7460" w:type="dxa"/>
            <w:vAlign w:val="top"/>
          </w:tcPr>
          <w:p>
            <w:pPr>
              <w:pStyle w:val="17"/>
              <w:spacing w:before="34" w:line="408" w:lineRule="exact"/>
              <w:ind w:left="113"/>
              <w:rPr>
                <w:sz w:val="20"/>
                <w:szCs w:val="20"/>
              </w:rPr>
            </w:pPr>
            <w:r>
              <w:rPr>
                <w:spacing w:val="8"/>
                <w:position w:val="15"/>
                <w:sz w:val="20"/>
                <w:szCs w:val="20"/>
              </w:rPr>
              <w:t>严禁无保护措施电焊作业，经发现每次违约金</w:t>
            </w:r>
            <w:r>
              <w:rPr>
                <w:spacing w:val="-16"/>
                <w:position w:val="15"/>
                <w:sz w:val="20"/>
                <w:szCs w:val="20"/>
              </w:rPr>
              <w:t xml:space="preserve"> </w:t>
            </w:r>
            <w:r>
              <w:rPr>
                <w:spacing w:val="8"/>
                <w:position w:val="15"/>
                <w:sz w:val="20"/>
                <w:szCs w:val="20"/>
              </w:rPr>
              <w:t>1000</w:t>
            </w:r>
            <w:r>
              <w:rPr>
                <w:spacing w:val="-39"/>
                <w:position w:val="15"/>
                <w:sz w:val="20"/>
                <w:szCs w:val="20"/>
              </w:rPr>
              <w:t xml:space="preserve"> </w:t>
            </w:r>
            <w:r>
              <w:rPr>
                <w:spacing w:val="8"/>
                <w:position w:val="15"/>
                <w:sz w:val="20"/>
                <w:szCs w:val="20"/>
              </w:rPr>
              <w:t>元，造成成品损坏，则赔偿</w:t>
            </w:r>
          </w:p>
          <w:p>
            <w:pPr>
              <w:pStyle w:val="17"/>
              <w:spacing w:line="228" w:lineRule="auto"/>
              <w:ind w:left="113"/>
              <w:rPr>
                <w:sz w:val="20"/>
                <w:szCs w:val="20"/>
              </w:rPr>
            </w:pPr>
            <w:r>
              <w:rPr>
                <w:spacing w:val="5"/>
                <w:sz w:val="20"/>
                <w:szCs w:val="20"/>
              </w:rPr>
              <w:t>返工费用。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855" w:type="dxa"/>
            <w:vMerge w:val="continue"/>
            <w:tcBorders>
              <w:top w:val="nil"/>
            </w:tcBorders>
            <w:vAlign w:val="top"/>
          </w:tcPr>
          <w:p>
            <w:pPr>
              <w:rPr>
                <w:rFonts w:ascii="Arial"/>
                <w:sz w:val="21"/>
              </w:rPr>
            </w:pPr>
          </w:p>
        </w:tc>
        <w:tc>
          <w:tcPr>
            <w:tcW w:w="866" w:type="dxa"/>
            <w:vAlign w:val="top"/>
          </w:tcPr>
          <w:p>
            <w:pPr>
              <w:spacing w:line="408" w:lineRule="auto"/>
              <w:rPr>
                <w:rFonts w:ascii="Arial"/>
                <w:sz w:val="21"/>
              </w:rPr>
            </w:pPr>
          </w:p>
          <w:p>
            <w:pPr>
              <w:pStyle w:val="17"/>
              <w:spacing w:before="65" w:line="189" w:lineRule="auto"/>
              <w:ind w:left="333"/>
              <w:rPr>
                <w:sz w:val="20"/>
                <w:szCs w:val="20"/>
              </w:rPr>
            </w:pPr>
            <w:r>
              <w:rPr>
                <w:spacing w:val="-1"/>
                <w:sz w:val="20"/>
                <w:szCs w:val="20"/>
              </w:rPr>
              <w:t>29</w:t>
            </w:r>
          </w:p>
        </w:tc>
        <w:tc>
          <w:tcPr>
            <w:tcW w:w="7460" w:type="dxa"/>
            <w:vAlign w:val="top"/>
          </w:tcPr>
          <w:p>
            <w:pPr>
              <w:pStyle w:val="17"/>
              <w:spacing w:before="34" w:line="377" w:lineRule="auto"/>
              <w:ind w:left="135" w:right="54" w:hanging="22"/>
              <w:jc w:val="both"/>
              <w:rPr>
                <w:sz w:val="20"/>
                <w:szCs w:val="20"/>
              </w:rPr>
            </w:pPr>
            <w:r>
              <w:rPr>
                <w:spacing w:val="8"/>
                <w:sz w:val="20"/>
                <w:szCs w:val="20"/>
              </w:rPr>
              <w:t>铝合金、塑钢门下框上严禁斗车或重物直接拖过，利用门窗洞口作运输通道的，</w:t>
            </w:r>
            <w:r>
              <w:rPr>
                <w:spacing w:val="5"/>
                <w:sz w:val="20"/>
                <w:szCs w:val="20"/>
              </w:rPr>
              <w:t xml:space="preserve"> </w:t>
            </w:r>
            <w:r>
              <w:rPr>
                <w:spacing w:val="12"/>
                <w:sz w:val="20"/>
                <w:szCs w:val="20"/>
              </w:rPr>
              <w:t>门窗底框应用木枋盖板固定牢固加以保护，造成门下框损坏变形的每处违约金</w:t>
            </w:r>
          </w:p>
          <w:p>
            <w:pPr>
              <w:pStyle w:val="17"/>
              <w:spacing w:line="227" w:lineRule="auto"/>
              <w:ind w:left="128"/>
              <w:rPr>
                <w:sz w:val="20"/>
                <w:szCs w:val="20"/>
              </w:rPr>
            </w:pPr>
            <w:r>
              <w:rPr>
                <w:spacing w:val="5"/>
                <w:sz w:val="20"/>
                <w:szCs w:val="20"/>
              </w:rPr>
              <w:t>1000</w:t>
            </w:r>
            <w:r>
              <w:rPr>
                <w:spacing w:val="-39"/>
                <w:sz w:val="20"/>
                <w:szCs w:val="20"/>
              </w:rPr>
              <w:t xml:space="preserve"> </w:t>
            </w:r>
            <w:r>
              <w:rPr>
                <w:spacing w:val="5"/>
                <w:sz w:val="20"/>
                <w:szCs w:val="20"/>
              </w:rPr>
              <w:t>元并赔偿返工费用。</w:t>
            </w:r>
          </w:p>
        </w:tc>
      </w:tr>
    </w:tbl>
    <w:p>
      <w:pPr>
        <w:rPr>
          <w:rFonts w:ascii="Arial"/>
          <w:sz w:val="21"/>
        </w:rPr>
      </w:pPr>
    </w:p>
    <w:p>
      <w:pPr>
        <w:spacing w:before="228"/>
      </w:pPr>
    </w:p>
    <w:tbl>
      <w:tblPr>
        <w:tblStyle w:val="16"/>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866"/>
        <w:gridCol w:w="74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855" w:type="dxa"/>
            <w:vAlign w:val="top"/>
          </w:tcPr>
          <w:p>
            <w:pPr>
              <w:pStyle w:val="17"/>
              <w:spacing w:before="38" w:line="228" w:lineRule="auto"/>
              <w:ind w:left="223"/>
              <w:rPr>
                <w:sz w:val="20"/>
                <w:szCs w:val="20"/>
              </w:rPr>
            </w:pPr>
            <w:r>
              <w:rPr>
                <w:spacing w:val="6"/>
                <w:sz w:val="20"/>
                <w:szCs w:val="20"/>
                <w14:textOutline w14:w="3795" w14:cap="sq" w14:cmpd="sng">
                  <w14:solidFill>
                    <w14:srgbClr w14:val="000000"/>
                  </w14:solidFill>
                  <w14:prstDash w14:val="solid"/>
                  <w14:bevel/>
                </w14:textOutline>
              </w:rPr>
              <w:t>类别</w:t>
            </w:r>
          </w:p>
        </w:tc>
        <w:tc>
          <w:tcPr>
            <w:tcW w:w="866" w:type="dxa"/>
            <w:vAlign w:val="top"/>
          </w:tcPr>
          <w:p>
            <w:pPr>
              <w:pStyle w:val="17"/>
              <w:spacing w:before="38" w:line="229" w:lineRule="auto"/>
              <w:ind w:left="227"/>
              <w:rPr>
                <w:sz w:val="20"/>
                <w:szCs w:val="20"/>
              </w:rPr>
            </w:pPr>
            <w:r>
              <w:rPr>
                <w:spacing w:val="6"/>
                <w:sz w:val="20"/>
                <w:szCs w:val="20"/>
                <w14:textOutline w14:w="3795" w14:cap="sq" w14:cmpd="sng">
                  <w14:solidFill>
                    <w14:srgbClr w14:val="000000"/>
                  </w14:solidFill>
                  <w14:prstDash w14:val="solid"/>
                  <w14:bevel/>
                </w14:textOutline>
              </w:rPr>
              <w:t>序号</w:t>
            </w:r>
          </w:p>
        </w:tc>
        <w:tc>
          <w:tcPr>
            <w:tcW w:w="7460" w:type="dxa"/>
            <w:vAlign w:val="top"/>
          </w:tcPr>
          <w:p>
            <w:pPr>
              <w:pStyle w:val="17"/>
              <w:spacing w:before="39" w:line="228" w:lineRule="auto"/>
              <w:ind w:left="3156"/>
              <w:rPr>
                <w:sz w:val="20"/>
                <w:szCs w:val="20"/>
              </w:rPr>
            </w:pPr>
            <w:r>
              <w:rPr>
                <w:spacing w:val="-2"/>
                <w:sz w:val="20"/>
                <w:szCs w:val="20"/>
                <w14:textOutline w14:w="3795" w14:cap="sq" w14:cmpd="sng">
                  <w14:solidFill>
                    <w14:srgbClr w14:val="000000"/>
                  </w14:solidFill>
                  <w14:prstDash w14:val="solid"/>
                  <w14:bevel/>
                </w14:textOutline>
              </w:rPr>
              <w:t>违</w:t>
            </w:r>
            <w:r>
              <w:rPr>
                <w:spacing w:val="22"/>
                <w:sz w:val="20"/>
                <w:szCs w:val="20"/>
              </w:rPr>
              <w:t xml:space="preserve"> </w:t>
            </w:r>
            <w:r>
              <w:rPr>
                <w:spacing w:val="-2"/>
                <w:sz w:val="20"/>
                <w:szCs w:val="20"/>
                <w14:textOutline w14:w="3795" w14:cap="sq" w14:cmpd="sng">
                  <w14:solidFill>
                    <w14:srgbClr w14:val="000000"/>
                  </w14:solidFill>
                  <w14:prstDash w14:val="solid"/>
                  <w14:bevel/>
                </w14:textOutline>
              </w:rPr>
              <w:t>约</w:t>
            </w:r>
            <w:r>
              <w:rPr>
                <w:spacing w:val="19"/>
                <w:sz w:val="20"/>
                <w:szCs w:val="20"/>
              </w:rPr>
              <w:t xml:space="preserve"> </w:t>
            </w:r>
            <w:r>
              <w:rPr>
                <w:spacing w:val="-2"/>
                <w:sz w:val="20"/>
                <w:szCs w:val="20"/>
                <w14:textOutline w14:w="3795" w14:cap="sq" w14:cmpd="sng">
                  <w14:solidFill>
                    <w14:srgbClr w14:val="000000"/>
                  </w14:solidFill>
                  <w14:prstDash w14:val="solid"/>
                  <w14:bevel/>
                </w14:textOutline>
              </w:rPr>
              <w:t>项</w:t>
            </w:r>
            <w:r>
              <w:rPr>
                <w:spacing w:val="53"/>
                <w:sz w:val="20"/>
                <w:szCs w:val="20"/>
              </w:rPr>
              <w:t xml:space="preserve"> </w:t>
            </w:r>
            <w:r>
              <w:rPr>
                <w:spacing w:val="-2"/>
                <w:sz w:val="20"/>
                <w:szCs w:val="20"/>
                <w14:textOutline w14:w="3795" w14:cap="sq" w14:cmpd="sng">
                  <w14:solidFill>
                    <w14:srgbClr w14:val="000000"/>
                  </w14:solidFill>
                  <w14:prstDash w14:val="solid"/>
                  <w14:bevel/>
                </w14:textOutline>
              </w:rPr>
              <w:t>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855" w:type="dxa"/>
            <w:vMerge w:val="restart"/>
            <w:tcBorders>
              <w:bottom w:val="nil"/>
            </w:tcBorders>
            <w:vAlign w:val="top"/>
          </w:tcPr>
          <w:p>
            <w:pPr>
              <w:rPr>
                <w:rFonts w:ascii="Arial"/>
                <w:sz w:val="21"/>
              </w:rPr>
            </w:pPr>
          </w:p>
        </w:tc>
        <w:tc>
          <w:tcPr>
            <w:tcW w:w="866" w:type="dxa"/>
            <w:vAlign w:val="top"/>
          </w:tcPr>
          <w:p>
            <w:pPr>
              <w:spacing w:line="403" w:lineRule="auto"/>
              <w:rPr>
                <w:rFonts w:ascii="Arial"/>
                <w:sz w:val="21"/>
              </w:rPr>
            </w:pPr>
          </w:p>
          <w:p>
            <w:pPr>
              <w:pStyle w:val="17"/>
              <w:spacing w:before="65" w:line="189" w:lineRule="auto"/>
              <w:ind w:left="335"/>
              <w:rPr>
                <w:sz w:val="20"/>
                <w:szCs w:val="20"/>
              </w:rPr>
            </w:pPr>
            <w:r>
              <w:rPr>
                <w:spacing w:val="-2"/>
                <w:sz w:val="20"/>
                <w:szCs w:val="20"/>
              </w:rPr>
              <w:t>30</w:t>
            </w:r>
          </w:p>
        </w:tc>
        <w:tc>
          <w:tcPr>
            <w:tcW w:w="7460" w:type="dxa"/>
            <w:vAlign w:val="top"/>
          </w:tcPr>
          <w:p>
            <w:pPr>
              <w:pStyle w:val="17"/>
              <w:spacing w:before="30" w:line="378" w:lineRule="auto"/>
              <w:ind w:left="113" w:right="109"/>
              <w:rPr>
                <w:sz w:val="20"/>
                <w:szCs w:val="20"/>
              </w:rPr>
            </w:pPr>
            <w:r>
              <w:rPr>
                <w:spacing w:val="13"/>
                <w:sz w:val="20"/>
                <w:szCs w:val="20"/>
              </w:rPr>
              <w:t>木门油漆时应作好相应的保护工作，不得让油漆流</w:t>
            </w:r>
            <w:r>
              <w:rPr>
                <w:spacing w:val="12"/>
                <w:sz w:val="20"/>
                <w:szCs w:val="20"/>
              </w:rPr>
              <w:t>到门上五金表面，掉落到地</w:t>
            </w:r>
            <w:r>
              <w:rPr>
                <w:sz w:val="20"/>
                <w:szCs w:val="20"/>
              </w:rPr>
              <w:t xml:space="preserve"> </w:t>
            </w:r>
            <w:r>
              <w:rPr>
                <w:spacing w:val="12"/>
                <w:sz w:val="20"/>
                <w:szCs w:val="20"/>
              </w:rPr>
              <w:t>面，污染墙面等，五金件应用胶纸进行保护，发现此类污染问题，每次（处）</w:t>
            </w:r>
          </w:p>
          <w:p>
            <w:pPr>
              <w:pStyle w:val="17"/>
              <w:spacing w:line="228" w:lineRule="auto"/>
              <w:ind w:left="113"/>
              <w:rPr>
                <w:sz w:val="20"/>
                <w:szCs w:val="20"/>
              </w:rPr>
            </w:pPr>
            <w:r>
              <w:rPr>
                <w:spacing w:val="2"/>
                <w:sz w:val="20"/>
                <w:szCs w:val="20"/>
              </w:rPr>
              <w:t>违约金</w:t>
            </w:r>
            <w:r>
              <w:rPr>
                <w:spacing w:val="-29"/>
                <w:sz w:val="20"/>
                <w:szCs w:val="20"/>
              </w:rPr>
              <w:t xml:space="preserve"> </w:t>
            </w:r>
            <w:r>
              <w:rPr>
                <w:spacing w:val="2"/>
                <w:sz w:val="20"/>
                <w:szCs w:val="20"/>
              </w:rPr>
              <w:t>500</w:t>
            </w:r>
            <w:r>
              <w:rPr>
                <w:spacing w:val="-39"/>
                <w:sz w:val="20"/>
                <w:szCs w:val="20"/>
              </w:rPr>
              <w:t xml:space="preserve"> </w:t>
            </w:r>
            <w:r>
              <w:rPr>
                <w:spacing w:val="2"/>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55" w:type="dxa"/>
            <w:vMerge w:val="continue"/>
            <w:tcBorders>
              <w:top w:val="nil"/>
              <w:bottom w:val="nil"/>
            </w:tcBorders>
            <w:vAlign w:val="top"/>
          </w:tcPr>
          <w:p>
            <w:pPr>
              <w:rPr>
                <w:rFonts w:ascii="Arial"/>
                <w:sz w:val="21"/>
              </w:rPr>
            </w:pPr>
          </w:p>
        </w:tc>
        <w:tc>
          <w:tcPr>
            <w:tcW w:w="866" w:type="dxa"/>
            <w:vAlign w:val="top"/>
          </w:tcPr>
          <w:p>
            <w:pPr>
              <w:pStyle w:val="17"/>
              <w:spacing w:before="267" w:line="190" w:lineRule="auto"/>
              <w:ind w:left="335"/>
              <w:rPr>
                <w:sz w:val="20"/>
                <w:szCs w:val="20"/>
              </w:rPr>
            </w:pPr>
            <w:r>
              <w:rPr>
                <w:spacing w:val="-2"/>
                <w:sz w:val="20"/>
                <w:szCs w:val="20"/>
              </w:rPr>
              <w:t>31</w:t>
            </w:r>
          </w:p>
        </w:tc>
        <w:tc>
          <w:tcPr>
            <w:tcW w:w="7460" w:type="dxa"/>
            <w:vAlign w:val="top"/>
          </w:tcPr>
          <w:p>
            <w:pPr>
              <w:pStyle w:val="17"/>
              <w:spacing w:before="31" w:line="408" w:lineRule="exact"/>
              <w:ind w:left="113"/>
              <w:rPr>
                <w:sz w:val="20"/>
                <w:szCs w:val="20"/>
              </w:rPr>
            </w:pPr>
            <w:r>
              <w:rPr>
                <w:spacing w:val="8"/>
                <w:position w:val="15"/>
                <w:sz w:val="20"/>
                <w:szCs w:val="20"/>
              </w:rPr>
              <w:t>严禁在木门框、扇及窗上乱写乱画乱刮，每发现一次违约金</w:t>
            </w:r>
            <w:r>
              <w:rPr>
                <w:spacing w:val="-19"/>
                <w:position w:val="15"/>
                <w:sz w:val="20"/>
                <w:szCs w:val="20"/>
              </w:rPr>
              <w:t xml:space="preserve"> </w:t>
            </w:r>
            <w:r>
              <w:rPr>
                <w:spacing w:val="8"/>
                <w:position w:val="15"/>
                <w:sz w:val="20"/>
                <w:szCs w:val="20"/>
              </w:rPr>
              <w:t>1000</w:t>
            </w:r>
            <w:r>
              <w:rPr>
                <w:spacing w:val="-36"/>
                <w:position w:val="15"/>
                <w:sz w:val="20"/>
                <w:szCs w:val="20"/>
              </w:rPr>
              <w:t xml:space="preserve"> </w:t>
            </w:r>
            <w:r>
              <w:rPr>
                <w:spacing w:val="8"/>
                <w:position w:val="15"/>
                <w:sz w:val="20"/>
                <w:szCs w:val="20"/>
              </w:rPr>
              <w:t>元，造成损坏</w:t>
            </w:r>
          </w:p>
          <w:p>
            <w:pPr>
              <w:pStyle w:val="17"/>
              <w:spacing w:line="227" w:lineRule="auto"/>
              <w:ind w:left="130"/>
              <w:rPr>
                <w:sz w:val="20"/>
                <w:szCs w:val="20"/>
              </w:rPr>
            </w:pPr>
            <w:r>
              <w:rPr>
                <w:spacing w:val="5"/>
                <w:sz w:val="20"/>
                <w:szCs w:val="20"/>
              </w:rPr>
              <w:t>的，应无条件赔偿。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55" w:type="dxa"/>
            <w:vMerge w:val="continue"/>
            <w:tcBorders>
              <w:top w:val="nil"/>
              <w:bottom w:val="nil"/>
            </w:tcBorders>
            <w:vAlign w:val="top"/>
          </w:tcPr>
          <w:p>
            <w:pPr>
              <w:rPr>
                <w:rFonts w:ascii="Arial"/>
                <w:sz w:val="21"/>
              </w:rPr>
            </w:pPr>
          </w:p>
        </w:tc>
        <w:tc>
          <w:tcPr>
            <w:tcW w:w="866" w:type="dxa"/>
            <w:vAlign w:val="top"/>
          </w:tcPr>
          <w:p>
            <w:pPr>
              <w:pStyle w:val="17"/>
              <w:spacing w:before="267" w:line="189" w:lineRule="auto"/>
              <w:ind w:left="335"/>
              <w:rPr>
                <w:sz w:val="20"/>
                <w:szCs w:val="20"/>
              </w:rPr>
            </w:pPr>
            <w:r>
              <w:rPr>
                <w:spacing w:val="-2"/>
                <w:sz w:val="20"/>
                <w:szCs w:val="20"/>
              </w:rPr>
              <w:t>32</w:t>
            </w:r>
          </w:p>
        </w:tc>
        <w:tc>
          <w:tcPr>
            <w:tcW w:w="7460" w:type="dxa"/>
            <w:vAlign w:val="top"/>
          </w:tcPr>
          <w:p>
            <w:pPr>
              <w:pStyle w:val="17"/>
              <w:spacing w:before="30" w:line="408" w:lineRule="exact"/>
              <w:ind w:right="12"/>
              <w:jc w:val="right"/>
              <w:rPr>
                <w:sz w:val="20"/>
                <w:szCs w:val="20"/>
              </w:rPr>
            </w:pPr>
            <w:r>
              <w:rPr>
                <w:spacing w:val="5"/>
                <w:position w:val="15"/>
                <w:sz w:val="20"/>
                <w:szCs w:val="20"/>
              </w:rPr>
              <w:t>严禁通过窗口向外倾倒垃圾、污水或传递、投掷物品，否则每次违约金</w:t>
            </w:r>
            <w:r>
              <w:rPr>
                <w:spacing w:val="-19"/>
                <w:position w:val="15"/>
                <w:sz w:val="20"/>
                <w:szCs w:val="20"/>
              </w:rPr>
              <w:t xml:space="preserve"> </w:t>
            </w:r>
            <w:r>
              <w:rPr>
                <w:spacing w:val="5"/>
                <w:position w:val="15"/>
                <w:sz w:val="20"/>
                <w:szCs w:val="20"/>
              </w:rPr>
              <w:t>1000</w:t>
            </w:r>
            <w:r>
              <w:rPr>
                <w:spacing w:val="-39"/>
                <w:position w:val="15"/>
                <w:sz w:val="20"/>
                <w:szCs w:val="20"/>
              </w:rPr>
              <w:t xml:space="preserve"> </w:t>
            </w:r>
            <w:r>
              <w:rPr>
                <w:spacing w:val="5"/>
                <w:position w:val="15"/>
                <w:sz w:val="20"/>
                <w:szCs w:val="20"/>
              </w:rPr>
              <w:t>元，</w:t>
            </w:r>
          </w:p>
          <w:p>
            <w:pPr>
              <w:pStyle w:val="17"/>
              <w:spacing w:line="227" w:lineRule="auto"/>
              <w:ind w:left="112"/>
              <w:rPr>
                <w:sz w:val="20"/>
                <w:szCs w:val="20"/>
              </w:rPr>
            </w:pPr>
            <w:r>
              <w:rPr>
                <w:spacing w:val="9"/>
                <w:sz w:val="20"/>
                <w:szCs w:val="20"/>
              </w:rPr>
              <w:t>造成窗构件等损坏的，则赔偿返工费用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55" w:type="dxa"/>
            <w:vMerge w:val="continue"/>
            <w:tcBorders>
              <w:top w:val="nil"/>
              <w:bottom w:val="nil"/>
            </w:tcBorders>
            <w:vAlign w:val="top"/>
          </w:tcPr>
          <w:p>
            <w:pPr>
              <w:rPr>
                <w:rFonts w:ascii="Arial"/>
                <w:sz w:val="21"/>
              </w:rPr>
            </w:pPr>
          </w:p>
        </w:tc>
        <w:tc>
          <w:tcPr>
            <w:tcW w:w="866" w:type="dxa"/>
            <w:vAlign w:val="top"/>
          </w:tcPr>
          <w:p>
            <w:pPr>
              <w:pStyle w:val="17"/>
              <w:spacing w:before="268" w:line="189" w:lineRule="auto"/>
              <w:ind w:left="335"/>
              <w:rPr>
                <w:sz w:val="20"/>
                <w:szCs w:val="20"/>
              </w:rPr>
            </w:pPr>
            <w:r>
              <w:rPr>
                <w:spacing w:val="-2"/>
                <w:sz w:val="20"/>
                <w:szCs w:val="20"/>
              </w:rPr>
              <w:t>33</w:t>
            </w:r>
          </w:p>
        </w:tc>
        <w:tc>
          <w:tcPr>
            <w:tcW w:w="7460" w:type="dxa"/>
            <w:vAlign w:val="top"/>
          </w:tcPr>
          <w:p>
            <w:pPr>
              <w:pStyle w:val="17"/>
              <w:spacing w:before="31" w:line="408" w:lineRule="exact"/>
              <w:ind w:left="117"/>
              <w:rPr>
                <w:sz w:val="20"/>
                <w:szCs w:val="20"/>
              </w:rPr>
            </w:pPr>
            <w:r>
              <w:rPr>
                <w:spacing w:val="12"/>
                <w:position w:val="15"/>
                <w:sz w:val="20"/>
                <w:szCs w:val="20"/>
              </w:rPr>
              <w:t>外墙面施工完毕后，不得在其上方从事有污染物的油漆、水泥浆作业，否则，</w:t>
            </w:r>
          </w:p>
          <w:p>
            <w:pPr>
              <w:pStyle w:val="17"/>
              <w:spacing w:line="227" w:lineRule="auto"/>
              <w:ind w:left="113"/>
              <w:rPr>
                <w:sz w:val="20"/>
                <w:szCs w:val="20"/>
              </w:rPr>
            </w:pPr>
            <w:r>
              <w:rPr>
                <w:spacing w:val="8"/>
                <w:sz w:val="20"/>
                <w:szCs w:val="20"/>
              </w:rPr>
              <w:t>每处（次）违约金</w:t>
            </w:r>
            <w:r>
              <w:rPr>
                <w:spacing w:val="-32"/>
                <w:sz w:val="20"/>
                <w:szCs w:val="20"/>
              </w:rPr>
              <w:t xml:space="preserve"> </w:t>
            </w:r>
            <w:r>
              <w:rPr>
                <w:spacing w:val="8"/>
                <w:sz w:val="20"/>
                <w:szCs w:val="20"/>
              </w:rPr>
              <w:t>500</w:t>
            </w:r>
            <w:r>
              <w:rPr>
                <w:spacing w:val="-39"/>
                <w:sz w:val="20"/>
                <w:szCs w:val="20"/>
              </w:rPr>
              <w:t xml:space="preserve"> </w:t>
            </w:r>
            <w:r>
              <w:rPr>
                <w:spacing w:val="8"/>
                <w:sz w:val="20"/>
                <w:szCs w:val="20"/>
              </w:rPr>
              <w:t>元，造成墙面污染时则赔偿</w:t>
            </w:r>
            <w:r>
              <w:rPr>
                <w:spacing w:val="7"/>
                <w:sz w:val="20"/>
                <w:szCs w:val="20"/>
              </w:rPr>
              <w:t>返工费用。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855" w:type="dxa"/>
            <w:vMerge w:val="continue"/>
            <w:tcBorders>
              <w:top w:val="nil"/>
              <w:bottom w:val="nil"/>
            </w:tcBorders>
            <w:vAlign w:val="top"/>
          </w:tcPr>
          <w:p>
            <w:pPr>
              <w:rPr>
                <w:rFonts w:ascii="Arial"/>
                <w:sz w:val="21"/>
              </w:rPr>
            </w:pPr>
          </w:p>
        </w:tc>
        <w:tc>
          <w:tcPr>
            <w:tcW w:w="866" w:type="dxa"/>
            <w:vAlign w:val="top"/>
          </w:tcPr>
          <w:p>
            <w:pPr>
              <w:spacing w:line="304" w:lineRule="auto"/>
              <w:rPr>
                <w:rFonts w:ascii="Arial"/>
                <w:sz w:val="21"/>
              </w:rPr>
            </w:pPr>
          </w:p>
          <w:p>
            <w:pPr>
              <w:spacing w:line="304" w:lineRule="auto"/>
              <w:rPr>
                <w:rFonts w:ascii="Arial"/>
                <w:sz w:val="21"/>
              </w:rPr>
            </w:pPr>
          </w:p>
          <w:p>
            <w:pPr>
              <w:pStyle w:val="17"/>
              <w:spacing w:before="65" w:line="189" w:lineRule="auto"/>
              <w:ind w:left="335"/>
              <w:rPr>
                <w:sz w:val="20"/>
                <w:szCs w:val="20"/>
              </w:rPr>
            </w:pPr>
            <w:r>
              <w:rPr>
                <w:spacing w:val="-2"/>
                <w:sz w:val="20"/>
                <w:szCs w:val="20"/>
              </w:rPr>
              <w:t>34</w:t>
            </w:r>
          </w:p>
        </w:tc>
        <w:tc>
          <w:tcPr>
            <w:tcW w:w="7460" w:type="dxa"/>
            <w:vAlign w:val="top"/>
          </w:tcPr>
          <w:p>
            <w:pPr>
              <w:pStyle w:val="17"/>
              <w:spacing w:before="31" w:line="377" w:lineRule="auto"/>
              <w:ind w:left="113" w:right="106"/>
              <w:jc w:val="both"/>
              <w:rPr>
                <w:sz w:val="20"/>
                <w:szCs w:val="20"/>
              </w:rPr>
            </w:pPr>
            <w:r>
              <w:rPr>
                <w:spacing w:val="13"/>
                <w:sz w:val="20"/>
                <w:szCs w:val="20"/>
              </w:rPr>
              <w:t>排栅拆除时，应仔细清除排栅操作层的各类杂物，严</w:t>
            </w:r>
            <w:r>
              <w:rPr>
                <w:spacing w:val="12"/>
                <w:sz w:val="20"/>
                <w:szCs w:val="20"/>
              </w:rPr>
              <w:t>禁向外抛掷排栅管及各类</w:t>
            </w:r>
            <w:r>
              <w:rPr>
                <w:sz w:val="20"/>
                <w:szCs w:val="20"/>
              </w:rPr>
              <w:t xml:space="preserve"> </w:t>
            </w:r>
            <w:r>
              <w:rPr>
                <w:spacing w:val="13"/>
                <w:sz w:val="20"/>
                <w:szCs w:val="20"/>
              </w:rPr>
              <w:t>杂物，防止杂物自由下落撞坏外墙面及玻璃等，否则</w:t>
            </w:r>
            <w:r>
              <w:rPr>
                <w:spacing w:val="12"/>
                <w:sz w:val="20"/>
                <w:szCs w:val="20"/>
              </w:rPr>
              <w:t>每抛掷排栅管等杂物一次</w:t>
            </w:r>
            <w:r>
              <w:rPr>
                <w:sz w:val="20"/>
                <w:szCs w:val="20"/>
              </w:rPr>
              <w:t xml:space="preserve"> </w:t>
            </w:r>
            <w:r>
              <w:rPr>
                <w:spacing w:val="7"/>
                <w:sz w:val="20"/>
                <w:szCs w:val="20"/>
              </w:rPr>
              <w:t>违约金</w:t>
            </w:r>
            <w:r>
              <w:rPr>
                <w:spacing w:val="-15"/>
                <w:sz w:val="20"/>
                <w:szCs w:val="20"/>
              </w:rPr>
              <w:t xml:space="preserve"> </w:t>
            </w:r>
            <w:r>
              <w:rPr>
                <w:spacing w:val="7"/>
                <w:sz w:val="20"/>
                <w:szCs w:val="20"/>
              </w:rPr>
              <w:t>1000</w:t>
            </w:r>
            <w:r>
              <w:rPr>
                <w:spacing w:val="-39"/>
                <w:sz w:val="20"/>
                <w:szCs w:val="20"/>
              </w:rPr>
              <w:t xml:space="preserve"> </w:t>
            </w:r>
            <w:r>
              <w:rPr>
                <w:spacing w:val="7"/>
                <w:sz w:val="20"/>
                <w:szCs w:val="20"/>
              </w:rPr>
              <w:t>元，每撞坏外墙面及玻璃等违约金</w:t>
            </w:r>
            <w:r>
              <w:rPr>
                <w:spacing w:val="-35"/>
                <w:sz w:val="20"/>
                <w:szCs w:val="20"/>
              </w:rPr>
              <w:t xml:space="preserve"> </w:t>
            </w:r>
            <w:r>
              <w:rPr>
                <w:spacing w:val="7"/>
                <w:sz w:val="20"/>
                <w:szCs w:val="20"/>
              </w:rPr>
              <w:t>500</w:t>
            </w:r>
            <w:r>
              <w:rPr>
                <w:spacing w:val="-36"/>
                <w:sz w:val="20"/>
                <w:szCs w:val="20"/>
              </w:rPr>
              <w:t xml:space="preserve"> </w:t>
            </w:r>
            <w:r>
              <w:rPr>
                <w:spacing w:val="7"/>
                <w:sz w:val="20"/>
                <w:szCs w:val="20"/>
              </w:rPr>
              <w:t>元，造成损坏则赔偿返工费</w:t>
            </w:r>
          </w:p>
          <w:p>
            <w:pPr>
              <w:pStyle w:val="17"/>
              <w:spacing w:line="229" w:lineRule="auto"/>
              <w:ind w:left="114"/>
              <w:rPr>
                <w:sz w:val="20"/>
                <w:szCs w:val="20"/>
              </w:rPr>
            </w:pPr>
            <w:r>
              <w:rPr>
                <w:spacing w:val="-1"/>
                <w:sz w:val="20"/>
                <w:szCs w:val="20"/>
              </w:rPr>
              <w:t>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55" w:type="dxa"/>
            <w:vMerge w:val="continue"/>
            <w:tcBorders>
              <w:top w:val="nil"/>
              <w:bottom w:val="nil"/>
            </w:tcBorders>
            <w:vAlign w:val="top"/>
          </w:tcPr>
          <w:p>
            <w:pPr>
              <w:rPr>
                <w:rFonts w:ascii="Arial"/>
                <w:sz w:val="21"/>
              </w:rPr>
            </w:pPr>
          </w:p>
        </w:tc>
        <w:tc>
          <w:tcPr>
            <w:tcW w:w="866" w:type="dxa"/>
            <w:vAlign w:val="top"/>
          </w:tcPr>
          <w:p>
            <w:pPr>
              <w:pStyle w:val="17"/>
              <w:spacing w:before="270" w:line="189" w:lineRule="auto"/>
              <w:ind w:left="335"/>
              <w:rPr>
                <w:sz w:val="20"/>
                <w:szCs w:val="20"/>
              </w:rPr>
            </w:pPr>
            <w:r>
              <w:rPr>
                <w:spacing w:val="-2"/>
                <w:sz w:val="20"/>
                <w:szCs w:val="20"/>
              </w:rPr>
              <w:t>35</w:t>
            </w:r>
          </w:p>
        </w:tc>
        <w:tc>
          <w:tcPr>
            <w:tcW w:w="7460" w:type="dxa"/>
            <w:vAlign w:val="top"/>
          </w:tcPr>
          <w:p>
            <w:pPr>
              <w:pStyle w:val="17"/>
              <w:spacing w:before="33" w:line="408" w:lineRule="exact"/>
              <w:ind w:left="138"/>
              <w:rPr>
                <w:sz w:val="20"/>
                <w:szCs w:val="20"/>
              </w:rPr>
            </w:pPr>
            <w:r>
              <w:rPr>
                <w:spacing w:val="7"/>
                <w:position w:val="15"/>
                <w:sz w:val="20"/>
                <w:szCs w:val="20"/>
              </w:rPr>
              <w:t>内外墙施工完毕后，严禁在墙面上乱写乱画乱划，每发现一次违约金</w:t>
            </w:r>
            <w:r>
              <w:rPr>
                <w:spacing w:val="-14"/>
                <w:position w:val="15"/>
                <w:sz w:val="20"/>
                <w:szCs w:val="20"/>
              </w:rPr>
              <w:t xml:space="preserve"> </w:t>
            </w:r>
            <w:r>
              <w:rPr>
                <w:spacing w:val="7"/>
                <w:position w:val="15"/>
                <w:sz w:val="20"/>
                <w:szCs w:val="20"/>
              </w:rPr>
              <w:t>1000</w:t>
            </w:r>
            <w:r>
              <w:rPr>
                <w:spacing w:val="-38"/>
                <w:position w:val="15"/>
                <w:sz w:val="20"/>
                <w:szCs w:val="20"/>
              </w:rPr>
              <w:t xml:space="preserve"> </w:t>
            </w:r>
            <w:r>
              <w:rPr>
                <w:spacing w:val="7"/>
                <w:position w:val="15"/>
                <w:sz w:val="20"/>
                <w:szCs w:val="20"/>
              </w:rPr>
              <w:t>元，</w:t>
            </w:r>
          </w:p>
          <w:p>
            <w:pPr>
              <w:pStyle w:val="17"/>
              <w:spacing w:line="227" w:lineRule="auto"/>
              <w:ind w:left="118"/>
              <w:rPr>
                <w:sz w:val="20"/>
                <w:szCs w:val="20"/>
              </w:rPr>
            </w:pPr>
            <w:r>
              <w:rPr>
                <w:spacing w:val="7"/>
                <w:sz w:val="20"/>
                <w:szCs w:val="20"/>
              </w:rPr>
              <w:t>并负责赔偿修复费用。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855" w:type="dxa"/>
            <w:vMerge w:val="continue"/>
            <w:tcBorders>
              <w:top w:val="nil"/>
              <w:bottom w:val="nil"/>
            </w:tcBorders>
            <w:vAlign w:val="top"/>
          </w:tcPr>
          <w:p>
            <w:pPr>
              <w:rPr>
                <w:rFonts w:ascii="Arial"/>
                <w:sz w:val="21"/>
              </w:rPr>
            </w:pPr>
          </w:p>
        </w:tc>
        <w:tc>
          <w:tcPr>
            <w:tcW w:w="866" w:type="dxa"/>
            <w:vAlign w:val="top"/>
          </w:tcPr>
          <w:p>
            <w:pPr>
              <w:spacing w:line="405" w:lineRule="auto"/>
              <w:rPr>
                <w:rFonts w:ascii="Arial"/>
                <w:sz w:val="21"/>
              </w:rPr>
            </w:pPr>
          </w:p>
          <w:p>
            <w:pPr>
              <w:pStyle w:val="17"/>
              <w:spacing w:before="65" w:line="189" w:lineRule="auto"/>
              <w:ind w:left="335"/>
              <w:rPr>
                <w:sz w:val="20"/>
                <w:szCs w:val="20"/>
              </w:rPr>
            </w:pPr>
            <w:r>
              <w:rPr>
                <w:spacing w:val="-2"/>
                <w:sz w:val="20"/>
                <w:szCs w:val="20"/>
              </w:rPr>
              <w:t>36</w:t>
            </w:r>
          </w:p>
        </w:tc>
        <w:tc>
          <w:tcPr>
            <w:tcW w:w="7460" w:type="dxa"/>
            <w:vAlign w:val="top"/>
          </w:tcPr>
          <w:p>
            <w:pPr>
              <w:pStyle w:val="17"/>
              <w:spacing w:before="31" w:line="378" w:lineRule="auto"/>
              <w:ind w:left="113" w:right="109" w:firstLine="24"/>
              <w:jc w:val="both"/>
              <w:rPr>
                <w:sz w:val="20"/>
                <w:szCs w:val="20"/>
              </w:rPr>
            </w:pPr>
            <w:r>
              <w:rPr>
                <w:spacing w:val="11"/>
                <w:sz w:val="20"/>
                <w:szCs w:val="20"/>
              </w:rPr>
              <w:t>内外墙面装修完毕后，严禁水、</w:t>
            </w:r>
            <w:r>
              <w:rPr>
                <w:spacing w:val="-57"/>
                <w:sz w:val="20"/>
                <w:szCs w:val="20"/>
              </w:rPr>
              <w:t xml:space="preserve"> </w:t>
            </w:r>
            <w:r>
              <w:rPr>
                <w:spacing w:val="11"/>
                <w:sz w:val="20"/>
                <w:szCs w:val="20"/>
              </w:rPr>
              <w:t>电、通讯、煤气等专</w:t>
            </w:r>
            <w:r>
              <w:rPr>
                <w:spacing w:val="10"/>
                <w:sz w:val="20"/>
                <w:szCs w:val="20"/>
              </w:rPr>
              <w:t>业工班私自修改，确有必</w:t>
            </w:r>
            <w:r>
              <w:rPr>
                <w:sz w:val="20"/>
                <w:szCs w:val="20"/>
              </w:rPr>
              <w:t xml:space="preserve"> </w:t>
            </w:r>
            <w:r>
              <w:rPr>
                <w:spacing w:val="13"/>
                <w:sz w:val="20"/>
                <w:szCs w:val="20"/>
              </w:rPr>
              <w:t>要时，应召开协调会议，研究修改方案，确定成品保</w:t>
            </w:r>
            <w:r>
              <w:rPr>
                <w:spacing w:val="12"/>
                <w:sz w:val="20"/>
                <w:szCs w:val="20"/>
              </w:rPr>
              <w:t>护措施，否则每次违约金</w:t>
            </w:r>
          </w:p>
          <w:p>
            <w:pPr>
              <w:pStyle w:val="17"/>
              <w:spacing w:line="227" w:lineRule="auto"/>
              <w:ind w:left="128"/>
              <w:rPr>
                <w:sz w:val="20"/>
                <w:szCs w:val="20"/>
              </w:rPr>
            </w:pPr>
            <w:r>
              <w:rPr>
                <w:spacing w:val="7"/>
                <w:sz w:val="20"/>
                <w:szCs w:val="20"/>
              </w:rPr>
              <w:t>1000</w:t>
            </w:r>
            <w:r>
              <w:rPr>
                <w:spacing w:val="-37"/>
                <w:sz w:val="20"/>
                <w:szCs w:val="20"/>
              </w:rPr>
              <w:t xml:space="preserve"> </w:t>
            </w:r>
            <w:r>
              <w:rPr>
                <w:spacing w:val="7"/>
                <w:sz w:val="20"/>
                <w:szCs w:val="20"/>
              </w:rPr>
              <w:t>元，造成墙面污染的，应赔偿返工费用。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855" w:type="dxa"/>
            <w:vMerge w:val="continue"/>
            <w:tcBorders>
              <w:top w:val="nil"/>
              <w:bottom w:val="nil"/>
            </w:tcBorders>
            <w:vAlign w:val="top"/>
          </w:tcPr>
          <w:p>
            <w:pPr>
              <w:rPr>
                <w:rFonts w:ascii="Arial"/>
                <w:sz w:val="21"/>
              </w:rPr>
            </w:pPr>
          </w:p>
        </w:tc>
        <w:tc>
          <w:tcPr>
            <w:tcW w:w="866" w:type="dxa"/>
            <w:vAlign w:val="top"/>
          </w:tcPr>
          <w:p>
            <w:pPr>
              <w:spacing w:line="304" w:lineRule="auto"/>
              <w:rPr>
                <w:rFonts w:ascii="Arial"/>
                <w:sz w:val="21"/>
              </w:rPr>
            </w:pPr>
          </w:p>
          <w:p>
            <w:pPr>
              <w:spacing w:line="305" w:lineRule="auto"/>
              <w:rPr>
                <w:rFonts w:ascii="Arial"/>
                <w:sz w:val="21"/>
              </w:rPr>
            </w:pPr>
          </w:p>
          <w:p>
            <w:pPr>
              <w:pStyle w:val="17"/>
              <w:spacing w:before="65" w:line="189" w:lineRule="auto"/>
              <w:ind w:left="335"/>
              <w:rPr>
                <w:sz w:val="20"/>
                <w:szCs w:val="20"/>
              </w:rPr>
            </w:pPr>
            <w:r>
              <w:rPr>
                <w:spacing w:val="-2"/>
                <w:sz w:val="20"/>
                <w:szCs w:val="20"/>
              </w:rPr>
              <w:t>37</w:t>
            </w:r>
          </w:p>
        </w:tc>
        <w:tc>
          <w:tcPr>
            <w:tcW w:w="7460" w:type="dxa"/>
            <w:vAlign w:val="top"/>
          </w:tcPr>
          <w:p>
            <w:pPr>
              <w:pStyle w:val="17"/>
              <w:spacing w:before="35" w:line="377" w:lineRule="auto"/>
              <w:ind w:left="113" w:right="109" w:firstLine="3"/>
              <w:rPr>
                <w:sz w:val="20"/>
                <w:szCs w:val="20"/>
              </w:rPr>
            </w:pPr>
            <w:r>
              <w:rPr>
                <w:spacing w:val="13"/>
                <w:sz w:val="20"/>
                <w:szCs w:val="20"/>
              </w:rPr>
              <w:t>外墙不得随意使用稀硫酸、草酸等腐蚀性较</w:t>
            </w:r>
            <w:r>
              <w:rPr>
                <w:spacing w:val="12"/>
                <w:sz w:val="20"/>
                <w:szCs w:val="20"/>
              </w:rPr>
              <w:t>强的清洁剂清洗，对玻璃栏杆、栏</w:t>
            </w:r>
            <w:r>
              <w:rPr>
                <w:sz w:val="20"/>
                <w:szCs w:val="20"/>
              </w:rPr>
              <w:t xml:space="preserve"> </w:t>
            </w:r>
            <w:r>
              <w:rPr>
                <w:spacing w:val="13"/>
                <w:sz w:val="20"/>
                <w:szCs w:val="20"/>
              </w:rPr>
              <w:t>杆等要求贴保护膜，且保护膜的撕除必须经项目部</w:t>
            </w:r>
            <w:r>
              <w:rPr>
                <w:spacing w:val="12"/>
                <w:sz w:val="20"/>
                <w:szCs w:val="20"/>
              </w:rPr>
              <w:t>同意才能进行，否则每发现</w:t>
            </w:r>
            <w:r>
              <w:rPr>
                <w:sz w:val="20"/>
                <w:szCs w:val="20"/>
              </w:rPr>
              <w:t xml:space="preserve"> </w:t>
            </w:r>
            <w:r>
              <w:rPr>
                <w:spacing w:val="11"/>
                <w:sz w:val="20"/>
                <w:szCs w:val="20"/>
              </w:rPr>
              <w:t>有强腐蚀性清洗剂造成污染或锈蚀、脱漆、铝窗件变色的每处违约金</w:t>
            </w:r>
            <w:r>
              <w:rPr>
                <w:spacing w:val="-32"/>
                <w:sz w:val="20"/>
                <w:szCs w:val="20"/>
              </w:rPr>
              <w:t xml:space="preserve"> </w:t>
            </w:r>
            <w:r>
              <w:rPr>
                <w:spacing w:val="11"/>
                <w:sz w:val="20"/>
                <w:szCs w:val="20"/>
              </w:rPr>
              <w:t>300</w:t>
            </w:r>
            <w:r>
              <w:rPr>
                <w:spacing w:val="-34"/>
                <w:sz w:val="20"/>
                <w:szCs w:val="20"/>
              </w:rPr>
              <w:t xml:space="preserve"> </w:t>
            </w:r>
            <w:r>
              <w:rPr>
                <w:spacing w:val="11"/>
                <w:sz w:val="20"/>
                <w:szCs w:val="20"/>
              </w:rPr>
              <w:t>元，</w:t>
            </w:r>
          </w:p>
          <w:p>
            <w:pPr>
              <w:pStyle w:val="17"/>
              <w:spacing w:line="227" w:lineRule="auto"/>
              <w:ind w:left="113"/>
              <w:rPr>
                <w:sz w:val="20"/>
                <w:szCs w:val="20"/>
              </w:rPr>
            </w:pPr>
            <w:r>
              <w:rPr>
                <w:spacing w:val="7"/>
                <w:sz w:val="20"/>
                <w:szCs w:val="20"/>
              </w:rPr>
              <w:t>每少贴保护膜一处违约金</w:t>
            </w:r>
            <w:r>
              <w:rPr>
                <w:spacing w:val="-24"/>
                <w:sz w:val="20"/>
                <w:szCs w:val="20"/>
              </w:rPr>
              <w:t xml:space="preserve"> </w:t>
            </w:r>
            <w:r>
              <w:rPr>
                <w:spacing w:val="7"/>
                <w:sz w:val="20"/>
                <w:szCs w:val="20"/>
              </w:rPr>
              <w:t>100</w:t>
            </w:r>
            <w:r>
              <w:rPr>
                <w:spacing w:val="-39"/>
                <w:sz w:val="20"/>
                <w:szCs w:val="20"/>
              </w:rPr>
              <w:t xml:space="preserve"> </w:t>
            </w:r>
            <w:r>
              <w:rPr>
                <w:spacing w:val="7"/>
                <w:sz w:val="20"/>
                <w:szCs w:val="20"/>
              </w:rPr>
              <w:t>元，未经同意撕除保护</w:t>
            </w:r>
            <w:r>
              <w:rPr>
                <w:spacing w:val="6"/>
                <w:sz w:val="20"/>
                <w:szCs w:val="20"/>
              </w:rPr>
              <w:t>膜违约金</w:t>
            </w:r>
            <w:r>
              <w:rPr>
                <w:spacing w:val="-32"/>
                <w:sz w:val="20"/>
                <w:szCs w:val="20"/>
              </w:rPr>
              <w:t xml:space="preserve"> </w:t>
            </w:r>
            <w:r>
              <w:rPr>
                <w:spacing w:val="6"/>
                <w:sz w:val="20"/>
                <w:szCs w:val="20"/>
              </w:rPr>
              <w:t>500</w:t>
            </w:r>
            <w:r>
              <w:rPr>
                <w:spacing w:val="-39"/>
                <w:sz w:val="20"/>
                <w:szCs w:val="20"/>
              </w:rPr>
              <w:t xml:space="preserve"> </w:t>
            </w:r>
            <w:r>
              <w:rPr>
                <w:spacing w:val="6"/>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55" w:type="dxa"/>
            <w:vMerge w:val="continue"/>
            <w:tcBorders>
              <w:top w:val="nil"/>
              <w:bottom w:val="nil"/>
            </w:tcBorders>
            <w:vAlign w:val="top"/>
          </w:tcPr>
          <w:p>
            <w:pPr>
              <w:rPr>
                <w:rFonts w:ascii="Arial"/>
                <w:sz w:val="21"/>
              </w:rPr>
            </w:pPr>
          </w:p>
        </w:tc>
        <w:tc>
          <w:tcPr>
            <w:tcW w:w="866" w:type="dxa"/>
            <w:vAlign w:val="top"/>
          </w:tcPr>
          <w:p>
            <w:pPr>
              <w:pStyle w:val="17"/>
              <w:spacing w:before="271" w:line="189" w:lineRule="auto"/>
              <w:ind w:left="335"/>
              <w:rPr>
                <w:sz w:val="20"/>
                <w:szCs w:val="20"/>
              </w:rPr>
            </w:pPr>
            <w:r>
              <w:rPr>
                <w:spacing w:val="-2"/>
                <w:sz w:val="20"/>
                <w:szCs w:val="20"/>
              </w:rPr>
              <w:t>38</w:t>
            </w:r>
          </w:p>
        </w:tc>
        <w:tc>
          <w:tcPr>
            <w:tcW w:w="7460" w:type="dxa"/>
            <w:vAlign w:val="top"/>
          </w:tcPr>
          <w:p>
            <w:pPr>
              <w:pStyle w:val="17"/>
              <w:spacing w:before="34" w:line="408" w:lineRule="exact"/>
              <w:ind w:left="117"/>
              <w:rPr>
                <w:sz w:val="20"/>
                <w:szCs w:val="20"/>
              </w:rPr>
            </w:pPr>
            <w:r>
              <w:rPr>
                <w:spacing w:val="13"/>
                <w:position w:val="15"/>
                <w:sz w:val="20"/>
                <w:szCs w:val="20"/>
              </w:rPr>
              <w:t>安装完好的洁具池盒内，严禁倾倒垃圾，浸</w:t>
            </w:r>
            <w:r>
              <w:rPr>
                <w:spacing w:val="12"/>
                <w:position w:val="15"/>
                <w:sz w:val="20"/>
                <w:szCs w:val="20"/>
              </w:rPr>
              <w:t>泡什物，洗手洗物，如经发现处以</w:t>
            </w:r>
          </w:p>
          <w:p>
            <w:pPr>
              <w:pStyle w:val="17"/>
              <w:spacing w:line="226" w:lineRule="auto"/>
              <w:ind w:left="117"/>
              <w:rPr>
                <w:sz w:val="20"/>
                <w:szCs w:val="20"/>
              </w:rPr>
            </w:pPr>
            <w:r>
              <w:rPr>
                <w:spacing w:val="8"/>
                <w:sz w:val="20"/>
                <w:szCs w:val="20"/>
              </w:rPr>
              <w:t>500</w:t>
            </w:r>
            <w:r>
              <w:rPr>
                <w:spacing w:val="-33"/>
                <w:sz w:val="20"/>
                <w:szCs w:val="20"/>
              </w:rPr>
              <w:t xml:space="preserve"> </w:t>
            </w:r>
            <w:r>
              <w:rPr>
                <w:spacing w:val="8"/>
                <w:sz w:val="20"/>
                <w:szCs w:val="20"/>
              </w:rPr>
              <w:t>元违约金，在使用中形成器具损坏、堵塞的，照价赔偿。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55" w:type="dxa"/>
            <w:vMerge w:val="continue"/>
            <w:tcBorders>
              <w:top w:val="nil"/>
              <w:bottom w:val="nil"/>
            </w:tcBorders>
            <w:vAlign w:val="top"/>
          </w:tcPr>
          <w:p>
            <w:pPr>
              <w:rPr>
                <w:rFonts w:ascii="Arial"/>
                <w:sz w:val="21"/>
              </w:rPr>
            </w:pPr>
          </w:p>
        </w:tc>
        <w:tc>
          <w:tcPr>
            <w:tcW w:w="866" w:type="dxa"/>
            <w:vAlign w:val="top"/>
          </w:tcPr>
          <w:p>
            <w:pPr>
              <w:pStyle w:val="17"/>
              <w:spacing w:before="272" w:line="189" w:lineRule="auto"/>
              <w:ind w:left="335"/>
              <w:rPr>
                <w:sz w:val="20"/>
                <w:szCs w:val="20"/>
              </w:rPr>
            </w:pPr>
            <w:r>
              <w:rPr>
                <w:spacing w:val="-2"/>
                <w:sz w:val="20"/>
                <w:szCs w:val="20"/>
              </w:rPr>
              <w:t>39</w:t>
            </w:r>
          </w:p>
        </w:tc>
        <w:tc>
          <w:tcPr>
            <w:tcW w:w="7460" w:type="dxa"/>
            <w:vAlign w:val="top"/>
          </w:tcPr>
          <w:p>
            <w:pPr>
              <w:pStyle w:val="17"/>
              <w:spacing w:before="35" w:line="408" w:lineRule="exact"/>
              <w:ind w:left="112"/>
              <w:rPr>
                <w:sz w:val="20"/>
                <w:szCs w:val="20"/>
              </w:rPr>
            </w:pPr>
            <w:r>
              <w:rPr>
                <w:spacing w:val="8"/>
                <w:position w:val="15"/>
                <w:sz w:val="20"/>
                <w:szCs w:val="20"/>
              </w:rPr>
              <w:t>在已铺植草皮的绿地上随意践踏、倾倒污物垃圾，每次违约金</w:t>
            </w:r>
            <w:r>
              <w:rPr>
                <w:spacing w:val="-15"/>
                <w:position w:val="15"/>
                <w:sz w:val="20"/>
                <w:szCs w:val="20"/>
              </w:rPr>
              <w:t xml:space="preserve"> </w:t>
            </w:r>
            <w:r>
              <w:rPr>
                <w:spacing w:val="8"/>
                <w:position w:val="15"/>
                <w:sz w:val="20"/>
                <w:szCs w:val="20"/>
              </w:rPr>
              <w:t>1000</w:t>
            </w:r>
            <w:r>
              <w:rPr>
                <w:spacing w:val="-38"/>
                <w:position w:val="15"/>
                <w:sz w:val="20"/>
                <w:szCs w:val="20"/>
              </w:rPr>
              <w:t xml:space="preserve"> </w:t>
            </w:r>
            <w:r>
              <w:rPr>
                <w:spacing w:val="8"/>
                <w:position w:val="15"/>
                <w:sz w:val="20"/>
                <w:szCs w:val="20"/>
              </w:rPr>
              <w:t>元，造成苗</w:t>
            </w:r>
          </w:p>
          <w:p>
            <w:pPr>
              <w:pStyle w:val="17"/>
              <w:spacing w:line="227" w:lineRule="auto"/>
              <w:ind w:left="113"/>
              <w:rPr>
                <w:sz w:val="20"/>
                <w:szCs w:val="20"/>
              </w:rPr>
            </w:pPr>
            <w:r>
              <w:rPr>
                <w:spacing w:val="8"/>
                <w:sz w:val="20"/>
                <w:szCs w:val="20"/>
              </w:rPr>
              <w:t>木枯死的，必须赔偿所有费用。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855" w:type="dxa"/>
            <w:vMerge w:val="continue"/>
            <w:tcBorders>
              <w:top w:val="nil"/>
              <w:bottom w:val="nil"/>
            </w:tcBorders>
            <w:vAlign w:val="top"/>
          </w:tcPr>
          <w:p>
            <w:pPr>
              <w:rPr>
                <w:rFonts w:ascii="Arial"/>
                <w:sz w:val="21"/>
              </w:rPr>
            </w:pPr>
          </w:p>
        </w:tc>
        <w:tc>
          <w:tcPr>
            <w:tcW w:w="866" w:type="dxa"/>
            <w:vAlign w:val="top"/>
          </w:tcPr>
          <w:p>
            <w:pPr>
              <w:spacing w:line="407" w:lineRule="auto"/>
              <w:rPr>
                <w:rFonts w:ascii="Arial"/>
                <w:sz w:val="21"/>
              </w:rPr>
            </w:pPr>
          </w:p>
          <w:p>
            <w:pPr>
              <w:pStyle w:val="17"/>
              <w:spacing w:before="65" w:line="189" w:lineRule="auto"/>
              <w:ind w:left="330"/>
              <w:rPr>
                <w:sz w:val="20"/>
                <w:szCs w:val="20"/>
              </w:rPr>
            </w:pPr>
            <w:r>
              <w:rPr>
                <w:spacing w:val="1"/>
                <w:sz w:val="20"/>
                <w:szCs w:val="20"/>
              </w:rPr>
              <w:t>40</w:t>
            </w:r>
          </w:p>
        </w:tc>
        <w:tc>
          <w:tcPr>
            <w:tcW w:w="7460" w:type="dxa"/>
            <w:vAlign w:val="top"/>
          </w:tcPr>
          <w:p>
            <w:pPr>
              <w:pStyle w:val="17"/>
              <w:spacing w:before="33" w:line="378" w:lineRule="auto"/>
              <w:ind w:left="115" w:right="109" w:hanging="2"/>
              <w:jc w:val="both"/>
              <w:rPr>
                <w:sz w:val="20"/>
                <w:szCs w:val="20"/>
              </w:rPr>
            </w:pPr>
            <w:r>
              <w:rPr>
                <w:spacing w:val="13"/>
                <w:sz w:val="20"/>
                <w:szCs w:val="20"/>
              </w:rPr>
              <w:t>试压合格后须移交下道工序施工时应做好交接手续，</w:t>
            </w:r>
            <w:r>
              <w:rPr>
                <w:spacing w:val="12"/>
                <w:sz w:val="20"/>
                <w:szCs w:val="20"/>
              </w:rPr>
              <w:t>加强工序交接管理，抓好</w:t>
            </w:r>
            <w:r>
              <w:rPr>
                <w:sz w:val="20"/>
                <w:szCs w:val="20"/>
              </w:rPr>
              <w:t xml:space="preserve"> </w:t>
            </w:r>
            <w:r>
              <w:rPr>
                <w:spacing w:val="13"/>
                <w:sz w:val="20"/>
                <w:szCs w:val="20"/>
              </w:rPr>
              <w:t>水电和土建间相互交接的书面手续，同时施工员</w:t>
            </w:r>
            <w:r>
              <w:rPr>
                <w:spacing w:val="12"/>
                <w:sz w:val="20"/>
                <w:szCs w:val="20"/>
              </w:rPr>
              <w:t>和监理人员要在事前做好交底</w:t>
            </w:r>
          </w:p>
          <w:p>
            <w:pPr>
              <w:pStyle w:val="17"/>
              <w:spacing w:line="227" w:lineRule="auto"/>
              <w:ind w:left="113"/>
              <w:rPr>
                <w:sz w:val="20"/>
                <w:szCs w:val="20"/>
              </w:rPr>
            </w:pPr>
            <w:r>
              <w:rPr>
                <w:spacing w:val="8"/>
                <w:sz w:val="20"/>
                <w:szCs w:val="20"/>
              </w:rPr>
              <w:t>和监督检查。对未做交接验收手续的责任人每</w:t>
            </w:r>
            <w:r>
              <w:rPr>
                <w:spacing w:val="7"/>
                <w:sz w:val="20"/>
                <w:szCs w:val="20"/>
              </w:rPr>
              <w:t>次处以</w:t>
            </w:r>
            <w:r>
              <w:rPr>
                <w:spacing w:val="-24"/>
                <w:sz w:val="20"/>
                <w:szCs w:val="20"/>
              </w:rPr>
              <w:t xml:space="preserve"> </w:t>
            </w:r>
            <w:r>
              <w:rPr>
                <w:spacing w:val="7"/>
                <w:sz w:val="20"/>
                <w:szCs w:val="20"/>
              </w:rPr>
              <w:t>1000</w:t>
            </w:r>
            <w:r>
              <w:rPr>
                <w:spacing w:val="-38"/>
                <w:sz w:val="20"/>
                <w:szCs w:val="20"/>
              </w:rPr>
              <w:t xml:space="preserve"> </w:t>
            </w:r>
            <w:r>
              <w:rPr>
                <w:spacing w:val="7"/>
                <w:sz w:val="20"/>
                <w:szCs w:val="20"/>
              </w:rPr>
              <w:t>元违约金。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855" w:type="dxa"/>
            <w:vMerge w:val="continue"/>
            <w:tcBorders>
              <w:top w:val="nil"/>
            </w:tcBorders>
            <w:vAlign w:val="top"/>
          </w:tcPr>
          <w:p>
            <w:pPr>
              <w:rPr>
                <w:rFonts w:ascii="Arial"/>
                <w:sz w:val="21"/>
              </w:rPr>
            </w:pPr>
          </w:p>
        </w:tc>
        <w:tc>
          <w:tcPr>
            <w:tcW w:w="866" w:type="dxa"/>
            <w:vAlign w:val="top"/>
          </w:tcPr>
          <w:p>
            <w:pPr>
              <w:spacing w:line="408" w:lineRule="auto"/>
              <w:rPr>
                <w:rFonts w:ascii="Arial"/>
                <w:sz w:val="21"/>
              </w:rPr>
            </w:pPr>
          </w:p>
          <w:p>
            <w:pPr>
              <w:pStyle w:val="17"/>
              <w:spacing w:before="65" w:line="189" w:lineRule="auto"/>
              <w:ind w:left="330"/>
              <w:rPr>
                <w:sz w:val="20"/>
                <w:szCs w:val="20"/>
              </w:rPr>
            </w:pPr>
            <w:r>
              <w:rPr>
                <w:spacing w:val="1"/>
                <w:sz w:val="20"/>
                <w:szCs w:val="20"/>
              </w:rPr>
              <w:t>41</w:t>
            </w:r>
          </w:p>
        </w:tc>
        <w:tc>
          <w:tcPr>
            <w:tcW w:w="7460" w:type="dxa"/>
            <w:vAlign w:val="top"/>
          </w:tcPr>
          <w:p>
            <w:pPr>
              <w:pStyle w:val="17"/>
              <w:spacing w:before="34" w:line="377" w:lineRule="auto"/>
              <w:ind w:left="113" w:right="109"/>
              <w:jc w:val="both"/>
              <w:rPr>
                <w:sz w:val="20"/>
                <w:szCs w:val="20"/>
              </w:rPr>
            </w:pPr>
            <w:r>
              <w:rPr>
                <w:spacing w:val="13"/>
                <w:sz w:val="20"/>
                <w:szCs w:val="20"/>
              </w:rPr>
              <w:t>给水管道在预埋完成后应做管道试压，给水管道应</w:t>
            </w:r>
            <w:r>
              <w:rPr>
                <w:spacing w:val="12"/>
                <w:sz w:val="20"/>
                <w:szCs w:val="20"/>
              </w:rPr>
              <w:t>在管道定位后试压，在带常</w:t>
            </w:r>
            <w:r>
              <w:rPr>
                <w:sz w:val="20"/>
                <w:szCs w:val="20"/>
              </w:rPr>
              <w:t xml:space="preserve"> </w:t>
            </w:r>
            <w:r>
              <w:rPr>
                <w:spacing w:val="13"/>
                <w:sz w:val="20"/>
                <w:szCs w:val="20"/>
              </w:rPr>
              <w:t>压时确认无渗漏后覆盖，在铺装木地板前应再次试</w:t>
            </w:r>
            <w:r>
              <w:rPr>
                <w:spacing w:val="12"/>
                <w:sz w:val="20"/>
                <w:szCs w:val="20"/>
              </w:rPr>
              <w:t>压，预验前再进行系统整体</w:t>
            </w:r>
          </w:p>
          <w:p>
            <w:pPr>
              <w:pStyle w:val="17"/>
              <w:spacing w:line="226" w:lineRule="auto"/>
              <w:ind w:left="113"/>
              <w:rPr>
                <w:sz w:val="20"/>
                <w:szCs w:val="20"/>
              </w:rPr>
            </w:pPr>
            <w:r>
              <w:rPr>
                <w:spacing w:val="13"/>
                <w:sz w:val="20"/>
                <w:szCs w:val="20"/>
              </w:rPr>
              <w:t>试压工作，每次试压都应做好试压记录。未试压就进</w:t>
            </w:r>
            <w:r>
              <w:rPr>
                <w:spacing w:val="12"/>
                <w:sz w:val="20"/>
                <w:szCs w:val="20"/>
              </w:rPr>
              <w:t>行木地板铺装的，每处违</w:t>
            </w:r>
          </w:p>
        </w:tc>
      </w:tr>
    </w:tbl>
    <w:p>
      <w:pPr>
        <w:rPr>
          <w:rFonts w:ascii="Arial"/>
          <w:sz w:val="21"/>
        </w:rPr>
      </w:pPr>
    </w:p>
    <w:p>
      <w:pPr>
        <w:spacing w:before="228"/>
      </w:pPr>
    </w:p>
    <w:tbl>
      <w:tblPr>
        <w:tblStyle w:val="16"/>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866"/>
        <w:gridCol w:w="74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55" w:type="dxa"/>
            <w:vAlign w:val="top"/>
          </w:tcPr>
          <w:p>
            <w:pPr>
              <w:pStyle w:val="17"/>
              <w:spacing w:before="38" w:line="228" w:lineRule="auto"/>
              <w:ind w:left="223"/>
              <w:rPr>
                <w:sz w:val="20"/>
                <w:szCs w:val="20"/>
              </w:rPr>
            </w:pPr>
            <w:r>
              <w:rPr>
                <w:spacing w:val="6"/>
                <w:sz w:val="20"/>
                <w:szCs w:val="20"/>
                <w14:textOutline w14:w="3795" w14:cap="sq" w14:cmpd="sng">
                  <w14:solidFill>
                    <w14:srgbClr w14:val="000000"/>
                  </w14:solidFill>
                  <w14:prstDash w14:val="solid"/>
                  <w14:bevel/>
                </w14:textOutline>
              </w:rPr>
              <w:t>类别</w:t>
            </w:r>
          </w:p>
        </w:tc>
        <w:tc>
          <w:tcPr>
            <w:tcW w:w="866" w:type="dxa"/>
            <w:vAlign w:val="top"/>
          </w:tcPr>
          <w:p>
            <w:pPr>
              <w:pStyle w:val="17"/>
              <w:spacing w:before="38" w:line="229" w:lineRule="auto"/>
              <w:ind w:left="227"/>
              <w:rPr>
                <w:sz w:val="20"/>
                <w:szCs w:val="20"/>
              </w:rPr>
            </w:pPr>
            <w:r>
              <w:rPr>
                <w:spacing w:val="6"/>
                <w:sz w:val="20"/>
                <w:szCs w:val="20"/>
                <w14:textOutline w14:w="3795" w14:cap="sq" w14:cmpd="sng">
                  <w14:solidFill>
                    <w14:srgbClr w14:val="000000"/>
                  </w14:solidFill>
                  <w14:prstDash w14:val="solid"/>
                  <w14:bevel/>
                </w14:textOutline>
              </w:rPr>
              <w:t>序号</w:t>
            </w:r>
          </w:p>
        </w:tc>
        <w:tc>
          <w:tcPr>
            <w:tcW w:w="7460" w:type="dxa"/>
            <w:vAlign w:val="top"/>
          </w:tcPr>
          <w:p>
            <w:pPr>
              <w:pStyle w:val="17"/>
              <w:spacing w:before="39" w:line="228" w:lineRule="auto"/>
              <w:ind w:left="3156"/>
              <w:rPr>
                <w:sz w:val="20"/>
                <w:szCs w:val="20"/>
              </w:rPr>
            </w:pPr>
            <w:r>
              <w:rPr>
                <w:spacing w:val="-2"/>
                <w:sz w:val="20"/>
                <w:szCs w:val="20"/>
                <w14:textOutline w14:w="3795" w14:cap="sq" w14:cmpd="sng">
                  <w14:solidFill>
                    <w14:srgbClr w14:val="000000"/>
                  </w14:solidFill>
                  <w14:prstDash w14:val="solid"/>
                  <w14:bevel/>
                </w14:textOutline>
              </w:rPr>
              <w:t>违</w:t>
            </w:r>
            <w:r>
              <w:rPr>
                <w:spacing w:val="22"/>
                <w:sz w:val="20"/>
                <w:szCs w:val="20"/>
              </w:rPr>
              <w:t xml:space="preserve"> </w:t>
            </w:r>
            <w:r>
              <w:rPr>
                <w:spacing w:val="-2"/>
                <w:sz w:val="20"/>
                <w:szCs w:val="20"/>
                <w14:textOutline w14:w="3795" w14:cap="sq" w14:cmpd="sng">
                  <w14:solidFill>
                    <w14:srgbClr w14:val="000000"/>
                  </w14:solidFill>
                  <w14:prstDash w14:val="solid"/>
                  <w14:bevel/>
                </w14:textOutline>
              </w:rPr>
              <w:t>约</w:t>
            </w:r>
            <w:r>
              <w:rPr>
                <w:spacing w:val="19"/>
                <w:sz w:val="20"/>
                <w:szCs w:val="20"/>
              </w:rPr>
              <w:t xml:space="preserve"> </w:t>
            </w:r>
            <w:r>
              <w:rPr>
                <w:spacing w:val="-2"/>
                <w:sz w:val="20"/>
                <w:szCs w:val="20"/>
                <w14:textOutline w14:w="3795" w14:cap="sq" w14:cmpd="sng">
                  <w14:solidFill>
                    <w14:srgbClr w14:val="000000"/>
                  </w14:solidFill>
                  <w14:prstDash w14:val="solid"/>
                  <w14:bevel/>
                </w14:textOutline>
              </w:rPr>
              <w:t>项</w:t>
            </w:r>
            <w:r>
              <w:rPr>
                <w:spacing w:val="53"/>
                <w:sz w:val="20"/>
                <w:szCs w:val="20"/>
              </w:rPr>
              <w:t xml:space="preserve"> </w:t>
            </w:r>
            <w:r>
              <w:rPr>
                <w:spacing w:val="-2"/>
                <w:sz w:val="20"/>
                <w:szCs w:val="20"/>
                <w14:textOutline w14:w="3795" w14:cap="sq" w14:cmpd="sng">
                  <w14:solidFill>
                    <w14:srgbClr w14:val="000000"/>
                  </w14:solidFill>
                  <w14:prstDash w14:val="solid"/>
                  <w14:bevel/>
                </w14:textOutline>
              </w:rPr>
              <w:t>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5" w:type="dxa"/>
            <w:vMerge w:val="restart"/>
            <w:tcBorders>
              <w:bottom w:val="nil"/>
            </w:tcBorders>
            <w:vAlign w:val="top"/>
          </w:tcPr>
          <w:p>
            <w:pPr>
              <w:rPr>
                <w:rFonts w:ascii="Arial"/>
                <w:sz w:val="21"/>
              </w:rPr>
            </w:pPr>
          </w:p>
        </w:tc>
        <w:tc>
          <w:tcPr>
            <w:tcW w:w="866" w:type="dxa"/>
            <w:vAlign w:val="top"/>
          </w:tcPr>
          <w:p>
            <w:pPr>
              <w:rPr>
                <w:rFonts w:ascii="Arial"/>
                <w:sz w:val="21"/>
              </w:rPr>
            </w:pPr>
          </w:p>
        </w:tc>
        <w:tc>
          <w:tcPr>
            <w:tcW w:w="7460" w:type="dxa"/>
            <w:vAlign w:val="top"/>
          </w:tcPr>
          <w:p>
            <w:pPr>
              <w:pStyle w:val="17"/>
              <w:spacing w:before="31" w:line="227" w:lineRule="auto"/>
              <w:ind w:left="118"/>
              <w:rPr>
                <w:sz w:val="20"/>
                <w:szCs w:val="20"/>
              </w:rPr>
            </w:pPr>
            <w:r>
              <w:rPr>
                <w:spacing w:val="6"/>
                <w:sz w:val="20"/>
                <w:szCs w:val="20"/>
              </w:rPr>
              <w:t>约金</w:t>
            </w:r>
            <w:r>
              <w:rPr>
                <w:spacing w:val="-5"/>
                <w:sz w:val="20"/>
                <w:szCs w:val="20"/>
              </w:rPr>
              <w:t xml:space="preserve"> </w:t>
            </w:r>
            <w:r>
              <w:rPr>
                <w:spacing w:val="6"/>
                <w:sz w:val="20"/>
                <w:szCs w:val="20"/>
              </w:rPr>
              <w:t>1000</w:t>
            </w:r>
            <w:r>
              <w:rPr>
                <w:spacing w:val="-36"/>
                <w:sz w:val="20"/>
                <w:szCs w:val="20"/>
              </w:rPr>
              <w:t xml:space="preserve"> </w:t>
            </w:r>
            <w:r>
              <w:rPr>
                <w:spacing w:val="6"/>
                <w:sz w:val="20"/>
                <w:szCs w:val="20"/>
              </w:rPr>
              <w:t>元，造成木地板损坏时，要赔偿返工费用。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55" w:type="dxa"/>
            <w:vMerge w:val="continue"/>
            <w:tcBorders>
              <w:top w:val="nil"/>
            </w:tcBorders>
            <w:vAlign w:val="top"/>
          </w:tcPr>
          <w:p>
            <w:pPr>
              <w:rPr>
                <w:rFonts w:ascii="Arial"/>
                <w:sz w:val="21"/>
              </w:rPr>
            </w:pPr>
          </w:p>
        </w:tc>
        <w:tc>
          <w:tcPr>
            <w:tcW w:w="866" w:type="dxa"/>
            <w:vAlign w:val="top"/>
          </w:tcPr>
          <w:p>
            <w:pPr>
              <w:pStyle w:val="17"/>
              <w:spacing w:before="268" w:line="189" w:lineRule="auto"/>
              <w:ind w:left="330"/>
              <w:rPr>
                <w:sz w:val="20"/>
                <w:szCs w:val="20"/>
              </w:rPr>
            </w:pPr>
            <w:r>
              <w:rPr>
                <w:spacing w:val="1"/>
                <w:sz w:val="20"/>
                <w:szCs w:val="20"/>
              </w:rPr>
              <w:t>42</w:t>
            </w:r>
          </w:p>
        </w:tc>
        <w:tc>
          <w:tcPr>
            <w:tcW w:w="7460" w:type="dxa"/>
            <w:vAlign w:val="top"/>
          </w:tcPr>
          <w:p>
            <w:pPr>
              <w:pStyle w:val="17"/>
              <w:spacing w:before="32" w:line="408" w:lineRule="exact"/>
              <w:ind w:left="115"/>
              <w:rPr>
                <w:sz w:val="20"/>
                <w:szCs w:val="20"/>
              </w:rPr>
            </w:pPr>
            <w:r>
              <w:rPr>
                <w:spacing w:val="13"/>
                <w:position w:val="15"/>
                <w:sz w:val="20"/>
                <w:szCs w:val="20"/>
              </w:rPr>
              <w:t>水电施工单位如未按本规定预埋并准确作出明显标志而造成结</w:t>
            </w:r>
            <w:r>
              <w:rPr>
                <w:spacing w:val="12"/>
                <w:position w:val="15"/>
                <w:sz w:val="20"/>
                <w:szCs w:val="20"/>
              </w:rPr>
              <w:t>构层损坏的，责</w:t>
            </w:r>
          </w:p>
          <w:p>
            <w:pPr>
              <w:pStyle w:val="17"/>
              <w:spacing w:line="227" w:lineRule="auto"/>
              <w:ind w:left="112"/>
              <w:rPr>
                <w:sz w:val="20"/>
                <w:szCs w:val="20"/>
              </w:rPr>
            </w:pPr>
            <w:r>
              <w:rPr>
                <w:spacing w:val="7"/>
                <w:sz w:val="20"/>
                <w:szCs w:val="20"/>
              </w:rPr>
              <w:t>任自负并赔偿土建返工的损失并违约金</w:t>
            </w:r>
            <w:r>
              <w:rPr>
                <w:spacing w:val="-24"/>
                <w:sz w:val="20"/>
                <w:szCs w:val="20"/>
              </w:rPr>
              <w:t xml:space="preserve"> </w:t>
            </w:r>
            <w:r>
              <w:rPr>
                <w:spacing w:val="7"/>
                <w:sz w:val="20"/>
                <w:szCs w:val="20"/>
              </w:rPr>
              <w:t>10</w:t>
            </w:r>
            <w:r>
              <w:rPr>
                <w:spacing w:val="6"/>
                <w:sz w:val="20"/>
                <w:szCs w:val="20"/>
              </w:rPr>
              <w:t>00</w:t>
            </w:r>
            <w:r>
              <w:rPr>
                <w:spacing w:val="-38"/>
                <w:sz w:val="20"/>
                <w:szCs w:val="20"/>
              </w:rPr>
              <w:t xml:space="preserve"> </w:t>
            </w:r>
            <w:r>
              <w:rPr>
                <w:spacing w:val="6"/>
                <w:sz w:val="20"/>
                <w:szCs w:val="20"/>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855" w:type="dxa"/>
            <w:vMerge w:val="restart"/>
            <w:tcBorders>
              <w:bottom w:val="nil"/>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17"/>
              <w:spacing w:before="65" w:line="408" w:lineRule="exact"/>
              <w:ind w:left="115"/>
              <w:rPr>
                <w:sz w:val="20"/>
                <w:szCs w:val="20"/>
              </w:rPr>
            </w:pPr>
            <w:r>
              <w:rPr>
                <w:spacing w:val="8"/>
                <w:position w:val="15"/>
                <w:sz w:val="20"/>
                <w:szCs w:val="20"/>
              </w:rPr>
              <w:t>补充条</w:t>
            </w:r>
          </w:p>
          <w:p>
            <w:pPr>
              <w:pStyle w:val="17"/>
              <w:spacing w:line="229" w:lineRule="auto"/>
              <w:ind w:left="116"/>
              <w:rPr>
                <w:sz w:val="20"/>
                <w:szCs w:val="20"/>
              </w:rPr>
            </w:pPr>
            <w:r>
              <w:rPr>
                <w:sz w:val="20"/>
                <w:szCs w:val="20"/>
              </w:rPr>
              <w:t>款</w:t>
            </w:r>
          </w:p>
        </w:tc>
        <w:tc>
          <w:tcPr>
            <w:tcW w:w="866" w:type="dxa"/>
            <w:vAlign w:val="top"/>
          </w:tcPr>
          <w:p>
            <w:pPr>
              <w:spacing w:line="407" w:lineRule="auto"/>
              <w:rPr>
                <w:rFonts w:ascii="Arial"/>
                <w:sz w:val="21"/>
              </w:rPr>
            </w:pPr>
          </w:p>
          <w:p>
            <w:pPr>
              <w:pStyle w:val="17"/>
              <w:spacing w:before="65" w:line="189" w:lineRule="auto"/>
              <w:ind w:left="330"/>
              <w:rPr>
                <w:sz w:val="20"/>
                <w:szCs w:val="20"/>
              </w:rPr>
            </w:pPr>
            <w:r>
              <w:rPr>
                <w:spacing w:val="1"/>
                <w:sz w:val="20"/>
                <w:szCs w:val="20"/>
              </w:rPr>
              <w:t>43</w:t>
            </w:r>
          </w:p>
        </w:tc>
        <w:tc>
          <w:tcPr>
            <w:tcW w:w="7460" w:type="dxa"/>
            <w:vAlign w:val="top"/>
          </w:tcPr>
          <w:p>
            <w:pPr>
              <w:pStyle w:val="17"/>
              <w:spacing w:before="33" w:line="377" w:lineRule="auto"/>
              <w:ind w:left="113" w:right="109"/>
              <w:jc w:val="both"/>
              <w:rPr>
                <w:sz w:val="20"/>
                <w:szCs w:val="20"/>
              </w:rPr>
            </w:pPr>
            <w:r>
              <w:rPr>
                <w:spacing w:val="13"/>
                <w:sz w:val="20"/>
                <w:szCs w:val="20"/>
              </w:rPr>
              <w:t>其他各项工程施工过程中，违反相关规范或设计要</w:t>
            </w:r>
            <w:r>
              <w:rPr>
                <w:spacing w:val="12"/>
                <w:sz w:val="20"/>
                <w:szCs w:val="20"/>
              </w:rPr>
              <w:t>求的，视其轻重程度，每发</w:t>
            </w:r>
            <w:r>
              <w:rPr>
                <w:sz w:val="20"/>
                <w:szCs w:val="20"/>
              </w:rPr>
              <w:t xml:space="preserve"> </w:t>
            </w:r>
            <w:r>
              <w:rPr>
                <w:spacing w:val="9"/>
                <w:sz w:val="20"/>
                <w:szCs w:val="20"/>
              </w:rPr>
              <w:t>现一处违约金</w:t>
            </w:r>
            <w:r>
              <w:rPr>
                <w:spacing w:val="-19"/>
                <w:sz w:val="20"/>
                <w:szCs w:val="20"/>
              </w:rPr>
              <w:t xml:space="preserve"> </w:t>
            </w:r>
            <w:r>
              <w:rPr>
                <w:spacing w:val="9"/>
                <w:sz w:val="20"/>
                <w:szCs w:val="20"/>
              </w:rPr>
              <w:t>1000～5000</w:t>
            </w:r>
            <w:r>
              <w:rPr>
                <w:spacing w:val="-34"/>
                <w:sz w:val="20"/>
                <w:szCs w:val="20"/>
              </w:rPr>
              <w:t xml:space="preserve"> </w:t>
            </w:r>
            <w:r>
              <w:rPr>
                <w:spacing w:val="9"/>
                <w:sz w:val="20"/>
                <w:szCs w:val="20"/>
              </w:rPr>
              <w:t>元。</w:t>
            </w:r>
            <w:r>
              <w:rPr>
                <w:spacing w:val="-57"/>
                <w:sz w:val="20"/>
                <w:szCs w:val="20"/>
              </w:rPr>
              <w:t xml:space="preserve"> </w:t>
            </w:r>
            <w:r>
              <w:rPr>
                <w:spacing w:val="9"/>
                <w:sz w:val="20"/>
                <w:szCs w:val="20"/>
              </w:rPr>
              <w:t>以上内容除无条件接受违约金外,还应赔偿</w:t>
            </w:r>
            <w:r>
              <w:rPr>
                <w:spacing w:val="8"/>
                <w:sz w:val="20"/>
                <w:szCs w:val="20"/>
              </w:rPr>
              <w:t>返工</w:t>
            </w:r>
          </w:p>
          <w:p>
            <w:pPr>
              <w:pStyle w:val="17"/>
              <w:spacing w:line="228" w:lineRule="auto"/>
              <w:ind w:left="124"/>
              <w:rPr>
                <w:sz w:val="20"/>
                <w:szCs w:val="20"/>
              </w:rPr>
            </w:pPr>
            <w:r>
              <w:rPr>
                <w:spacing w:val="7"/>
                <w:sz w:val="20"/>
                <w:szCs w:val="20"/>
              </w:rPr>
              <w:t>费用及其所造成一切损失。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855" w:type="dxa"/>
            <w:vMerge w:val="continue"/>
            <w:tcBorders>
              <w:top w:val="nil"/>
              <w:bottom w:val="nil"/>
            </w:tcBorders>
            <w:vAlign w:val="top"/>
          </w:tcPr>
          <w:p>
            <w:pPr>
              <w:rPr>
                <w:rFonts w:ascii="Arial"/>
                <w:sz w:val="21"/>
              </w:rPr>
            </w:pPr>
          </w:p>
        </w:tc>
        <w:tc>
          <w:tcPr>
            <w:tcW w:w="866" w:type="dxa"/>
            <w:vAlign w:val="top"/>
          </w:tcPr>
          <w:p>
            <w:pPr>
              <w:spacing w:line="408" w:lineRule="auto"/>
              <w:rPr>
                <w:rFonts w:ascii="Arial"/>
                <w:sz w:val="21"/>
              </w:rPr>
            </w:pPr>
          </w:p>
          <w:p>
            <w:pPr>
              <w:pStyle w:val="17"/>
              <w:spacing w:before="65" w:line="189" w:lineRule="auto"/>
              <w:ind w:left="330"/>
              <w:rPr>
                <w:sz w:val="20"/>
                <w:szCs w:val="20"/>
              </w:rPr>
            </w:pPr>
            <w:r>
              <w:rPr>
                <w:spacing w:val="1"/>
                <w:sz w:val="20"/>
                <w:szCs w:val="20"/>
              </w:rPr>
              <w:t>44</w:t>
            </w:r>
          </w:p>
        </w:tc>
        <w:tc>
          <w:tcPr>
            <w:tcW w:w="7460" w:type="dxa"/>
            <w:vAlign w:val="top"/>
          </w:tcPr>
          <w:p>
            <w:pPr>
              <w:pStyle w:val="17"/>
              <w:spacing w:before="34" w:line="377" w:lineRule="auto"/>
              <w:ind w:left="115" w:right="109" w:hanging="2"/>
              <w:jc w:val="both"/>
              <w:rPr>
                <w:sz w:val="20"/>
                <w:szCs w:val="20"/>
              </w:rPr>
            </w:pPr>
            <w:r>
              <w:rPr>
                <w:spacing w:val="13"/>
                <w:sz w:val="20"/>
                <w:szCs w:val="20"/>
              </w:rPr>
              <w:t>其他不按照《广东省公路施工标准化指南》和《广</w:t>
            </w:r>
            <w:r>
              <w:rPr>
                <w:spacing w:val="12"/>
                <w:sz w:val="20"/>
                <w:szCs w:val="20"/>
              </w:rPr>
              <w:t>东省高速公路工程施工组织</w:t>
            </w:r>
            <w:r>
              <w:rPr>
                <w:sz w:val="20"/>
                <w:szCs w:val="20"/>
              </w:rPr>
              <w:t xml:space="preserve"> </w:t>
            </w:r>
            <w:r>
              <w:rPr>
                <w:spacing w:val="13"/>
                <w:sz w:val="20"/>
                <w:szCs w:val="20"/>
              </w:rPr>
              <w:t>设计和施工方案标准化管理指南》有关规定进</w:t>
            </w:r>
            <w:r>
              <w:rPr>
                <w:spacing w:val="12"/>
                <w:sz w:val="20"/>
                <w:szCs w:val="20"/>
              </w:rPr>
              <w:t>行管理或施工作业的，每次违约</w:t>
            </w:r>
          </w:p>
          <w:p>
            <w:pPr>
              <w:pStyle w:val="17"/>
              <w:spacing w:line="224" w:lineRule="auto"/>
              <w:ind w:left="114"/>
              <w:rPr>
                <w:sz w:val="20"/>
                <w:szCs w:val="20"/>
              </w:rPr>
            </w:pPr>
            <w:r>
              <w:rPr>
                <w:spacing w:val="4"/>
                <w:sz w:val="20"/>
                <w:szCs w:val="20"/>
              </w:rPr>
              <w:t>金</w:t>
            </w:r>
            <w:r>
              <w:rPr>
                <w:spacing w:val="-14"/>
                <w:sz w:val="20"/>
                <w:szCs w:val="20"/>
              </w:rPr>
              <w:t xml:space="preserve"> </w:t>
            </w:r>
            <w:r>
              <w:rPr>
                <w:spacing w:val="4"/>
                <w:sz w:val="20"/>
                <w:szCs w:val="20"/>
              </w:rPr>
              <w:t>1,000--50,000</w:t>
            </w:r>
            <w:r>
              <w:rPr>
                <w:spacing w:val="-36"/>
                <w:sz w:val="20"/>
                <w:szCs w:val="20"/>
              </w:rPr>
              <w:t xml:space="preserve"> </w:t>
            </w:r>
            <w:r>
              <w:rPr>
                <w:spacing w:val="4"/>
                <w:sz w:val="20"/>
                <w:szCs w:val="20"/>
              </w:rPr>
              <w:t>元，并限期纠正。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55" w:type="dxa"/>
            <w:vMerge w:val="continue"/>
            <w:tcBorders>
              <w:top w:val="nil"/>
            </w:tcBorders>
            <w:vAlign w:val="top"/>
          </w:tcPr>
          <w:p>
            <w:pPr>
              <w:rPr>
                <w:rFonts w:ascii="Arial"/>
                <w:sz w:val="21"/>
              </w:rPr>
            </w:pPr>
          </w:p>
        </w:tc>
        <w:tc>
          <w:tcPr>
            <w:tcW w:w="866" w:type="dxa"/>
            <w:vAlign w:val="top"/>
          </w:tcPr>
          <w:p>
            <w:pPr>
              <w:rPr>
                <w:rFonts w:ascii="Arial"/>
                <w:sz w:val="21"/>
              </w:rPr>
            </w:pPr>
          </w:p>
        </w:tc>
        <w:tc>
          <w:tcPr>
            <w:tcW w:w="7460" w:type="dxa"/>
            <w:vAlign w:val="top"/>
          </w:tcPr>
          <w:p>
            <w:pPr>
              <w:pStyle w:val="17"/>
              <w:spacing w:before="142" w:line="268" w:lineRule="exact"/>
              <w:ind w:left="126"/>
              <w:rPr>
                <w:sz w:val="20"/>
                <w:szCs w:val="20"/>
              </w:rPr>
            </w:pPr>
            <w:r>
              <w:rPr>
                <w:spacing w:val="1"/>
                <w:position w:val="4"/>
                <w:sz w:val="20"/>
                <w:szCs w:val="20"/>
              </w:rPr>
              <w:t>…….</w:t>
            </w:r>
          </w:p>
        </w:tc>
      </w:tr>
    </w:tbl>
    <w:p>
      <w:pPr>
        <w:rPr>
          <w:rFonts w:ascii="Arial"/>
          <w:sz w:val="21"/>
        </w:rPr>
      </w:pPr>
    </w:p>
    <w:p>
      <w:pPr>
        <w:spacing w:line="413" w:lineRule="auto"/>
        <w:rPr>
          <w:rFonts w:ascii="Arial"/>
          <w:sz w:val="21"/>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1"/>
        <w:rPr>
          <w:rFonts w:ascii="宋体" w:hAnsi="宋体" w:eastAsia="宋体" w:cs="宋体"/>
          <w:sz w:val="30"/>
          <w:szCs w:val="30"/>
        </w:rPr>
      </w:pPr>
      <w:r>
        <w:rPr>
          <w:rFonts w:ascii="宋体" w:hAnsi="宋体" w:eastAsia="宋体" w:cs="宋体"/>
          <w:spacing w:val="-7"/>
          <w:sz w:val="30"/>
          <w:szCs w:val="30"/>
          <w14:textOutline w14:w="5448" w14:cap="sq" w14:cmpd="sng">
            <w14:solidFill>
              <w14:srgbClr w14:val="000000"/>
            </w14:solidFill>
            <w14:prstDash w14:val="solid"/>
            <w14:bevel/>
          </w14:textOutline>
        </w:rPr>
        <w:t>附件十三：</w:t>
      </w:r>
    </w:p>
    <w:p>
      <w:pPr>
        <w:spacing w:line="354" w:lineRule="auto"/>
        <w:rPr>
          <w:rFonts w:ascii="Arial"/>
          <w:sz w:val="21"/>
        </w:rPr>
      </w:pPr>
    </w:p>
    <w:p>
      <w:pPr>
        <w:spacing w:line="354" w:lineRule="auto"/>
        <w:rPr>
          <w:rFonts w:ascii="Arial"/>
          <w:sz w:val="21"/>
        </w:rPr>
      </w:pPr>
    </w:p>
    <w:p>
      <w:pPr>
        <w:spacing w:before="98" w:line="219" w:lineRule="auto"/>
        <w:ind w:left="2437"/>
        <w:rPr>
          <w:rFonts w:ascii="宋体" w:hAnsi="宋体" w:eastAsia="宋体" w:cs="宋体"/>
          <w:sz w:val="30"/>
          <w:szCs w:val="30"/>
        </w:rPr>
      </w:pPr>
      <w:r>
        <w:rPr>
          <w:rFonts w:ascii="宋体" w:hAnsi="宋体" w:eastAsia="宋体" w:cs="宋体"/>
          <w:spacing w:val="-1"/>
          <w:sz w:val="30"/>
          <w:szCs w:val="30"/>
          <w14:textOutline w14:w="5448" w14:cap="sq" w14:cmpd="sng">
            <w14:solidFill>
              <w14:srgbClr w14:val="000000"/>
            </w14:solidFill>
            <w14:prstDash w14:val="solid"/>
            <w14:bevel/>
          </w14:textOutline>
        </w:rPr>
        <w:t>建设工程农民工工资支付保证书</w:t>
      </w:r>
    </w:p>
    <w:p>
      <w:pPr>
        <w:spacing w:line="412" w:lineRule="auto"/>
        <w:rPr>
          <w:rFonts w:ascii="Arial"/>
          <w:sz w:val="21"/>
        </w:rPr>
      </w:pPr>
    </w:p>
    <w:p>
      <w:pPr>
        <w:spacing w:before="78" w:line="220" w:lineRule="auto"/>
        <w:ind w:left="5"/>
        <w:rPr>
          <w:rFonts w:ascii="宋体" w:hAnsi="宋体" w:eastAsia="宋体" w:cs="宋体"/>
          <w:sz w:val="24"/>
          <w:szCs w:val="24"/>
        </w:rPr>
      </w:pPr>
      <w:r>
        <w:rPr>
          <w:rFonts w:ascii="宋体" w:hAnsi="宋体" w:eastAsia="宋体" w:cs="宋体"/>
          <w:spacing w:val="-5"/>
          <w:sz w:val="24"/>
          <w:szCs w:val="24"/>
        </w:rPr>
        <w:t>致：</w:t>
      </w:r>
      <w:r>
        <w:rPr>
          <w:rFonts w:ascii="宋体" w:hAnsi="宋体" w:eastAsia="宋体" w:cs="宋体"/>
          <w:sz w:val="24"/>
          <w:szCs w:val="24"/>
          <w:u w:val="single" w:color="auto"/>
        </w:rPr>
        <w:t xml:space="preserve">                       </w:t>
      </w:r>
    </w:p>
    <w:p>
      <w:pPr>
        <w:spacing w:before="181" w:line="359" w:lineRule="auto"/>
        <w:ind w:left="7" w:right="291" w:firstLine="480"/>
        <w:rPr>
          <w:rFonts w:ascii="宋体" w:hAnsi="宋体" w:eastAsia="宋体" w:cs="宋体"/>
          <w:sz w:val="24"/>
          <w:szCs w:val="24"/>
        </w:rPr>
      </w:pPr>
      <w:r>
        <w:rPr>
          <w:rFonts w:ascii="宋体" w:hAnsi="宋体" w:eastAsia="宋体" w:cs="宋体"/>
          <w:spacing w:val="4"/>
          <w:sz w:val="24"/>
          <w:szCs w:val="24"/>
        </w:rPr>
        <w:t>鉴于</w:t>
      </w:r>
      <w:r>
        <w:rPr>
          <w:rFonts w:ascii="宋体" w:hAnsi="宋体" w:eastAsia="宋体" w:cs="宋体"/>
          <w:spacing w:val="-106"/>
          <w:sz w:val="24"/>
          <w:szCs w:val="24"/>
        </w:rPr>
        <w:t xml:space="preserve"> </w:t>
      </w:r>
      <w:r>
        <w:rPr>
          <w:rFonts w:ascii="宋体" w:hAnsi="宋体" w:eastAsia="宋体" w:cs="宋体"/>
          <w:spacing w:val="1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(以下简称“承包人</w:t>
      </w:r>
      <w:r>
        <w:rPr>
          <w:rFonts w:ascii="宋体" w:hAnsi="宋体" w:eastAsia="宋体" w:cs="宋体"/>
          <w:spacing w:val="-73"/>
          <w:sz w:val="24"/>
          <w:szCs w:val="24"/>
        </w:rPr>
        <w:t xml:space="preserve"> </w:t>
      </w:r>
      <w:r>
        <w:rPr>
          <w:rFonts w:ascii="宋体" w:hAnsi="宋体" w:eastAsia="宋体" w:cs="宋体"/>
          <w:spacing w:val="4"/>
          <w:sz w:val="24"/>
          <w:szCs w:val="24"/>
        </w:rPr>
        <w:t>”)拟与</w:t>
      </w:r>
      <w:r>
        <w:rPr>
          <w:rFonts w:ascii="宋体" w:hAnsi="宋体" w:eastAsia="宋体" w:cs="宋体"/>
          <w:spacing w:val="-108"/>
          <w:sz w:val="24"/>
          <w:szCs w:val="24"/>
        </w:rPr>
        <w:t xml:space="preserve"> </w:t>
      </w:r>
      <w:r>
        <w:rPr>
          <w:rFonts w:ascii="宋体" w:hAnsi="宋体" w:eastAsia="宋体" w:cs="宋体"/>
          <w:spacing w:val="13"/>
          <w:sz w:val="24"/>
          <w:szCs w:val="24"/>
          <w:u w:val="single" w:color="auto"/>
        </w:rPr>
        <w:t xml:space="preserve">       </w:t>
      </w:r>
      <w:r>
        <w:rPr>
          <w:rFonts w:ascii="宋体" w:hAnsi="宋体" w:eastAsia="宋体" w:cs="宋体"/>
          <w:spacing w:val="-64"/>
          <w:sz w:val="24"/>
          <w:szCs w:val="24"/>
        </w:rPr>
        <w:t xml:space="preserve"> </w:t>
      </w:r>
      <w:r>
        <w:rPr>
          <w:rFonts w:ascii="宋体" w:hAnsi="宋体" w:eastAsia="宋体" w:cs="宋体"/>
          <w:spacing w:val="4"/>
          <w:sz w:val="24"/>
          <w:szCs w:val="24"/>
        </w:rPr>
        <w:t>(以下简称“发包</w:t>
      </w:r>
      <w:r>
        <w:rPr>
          <w:rFonts w:ascii="宋体" w:hAnsi="宋体" w:eastAsia="宋体" w:cs="宋体"/>
          <w:spacing w:val="3"/>
          <w:sz w:val="24"/>
          <w:szCs w:val="24"/>
        </w:rPr>
        <w:t>人</w:t>
      </w:r>
      <w:r>
        <w:rPr>
          <w:rFonts w:ascii="宋体" w:hAnsi="宋体" w:eastAsia="宋体" w:cs="宋体"/>
          <w:spacing w:val="-74"/>
          <w:sz w:val="24"/>
          <w:szCs w:val="24"/>
        </w:rPr>
        <w:t xml:space="preserve"> </w:t>
      </w:r>
      <w:r>
        <w:rPr>
          <w:rFonts w:ascii="宋体" w:hAnsi="宋体" w:eastAsia="宋体" w:cs="宋体"/>
          <w:spacing w:val="3"/>
          <w:sz w:val="24"/>
          <w:szCs w:val="24"/>
        </w:rPr>
        <w:t>”)签订</w:t>
      </w:r>
      <w:r>
        <w:rPr>
          <w:rFonts w:ascii="宋体" w:hAnsi="宋体" w:eastAsia="宋体" w:cs="宋体"/>
          <w:sz w:val="24"/>
          <w:szCs w:val="24"/>
        </w:rPr>
        <w:t xml:space="preserve"> </w:t>
      </w:r>
      <w:r>
        <w:rPr>
          <w:rFonts w:ascii="宋体" w:hAnsi="宋体" w:eastAsia="宋体" w:cs="宋体"/>
          <w:spacing w:val="1"/>
          <w:sz w:val="24"/>
          <w:szCs w:val="24"/>
          <w:u w:val="single" w:color="auto"/>
        </w:rPr>
        <w:t>项目名称   标类（或标段）</w:t>
      </w:r>
      <w:r>
        <w:rPr>
          <w:rFonts w:ascii="宋体" w:hAnsi="宋体" w:eastAsia="宋体" w:cs="宋体"/>
          <w:spacing w:val="1"/>
          <w:sz w:val="24"/>
          <w:szCs w:val="24"/>
        </w:rPr>
        <w:t>的施工承包合同，为规范本项目农民工工资的支付行为，</w:t>
      </w:r>
      <w:r>
        <w:rPr>
          <w:rFonts w:ascii="宋体" w:hAnsi="宋体" w:eastAsia="宋体" w:cs="宋体"/>
          <w:spacing w:val="15"/>
          <w:sz w:val="24"/>
          <w:szCs w:val="24"/>
        </w:rPr>
        <w:t xml:space="preserve"> </w:t>
      </w:r>
      <w:r>
        <w:rPr>
          <w:rFonts w:ascii="宋体" w:hAnsi="宋体" w:eastAsia="宋体" w:cs="宋体"/>
          <w:spacing w:val="-2"/>
          <w:sz w:val="24"/>
          <w:szCs w:val="24"/>
        </w:rPr>
        <w:t>预防和解决施工承包人拖欠或克扣农民工工资问题，切实保障农民工的合法利益，维护</w:t>
      </w:r>
      <w:r>
        <w:rPr>
          <w:rFonts w:ascii="宋体" w:hAnsi="宋体" w:eastAsia="宋体" w:cs="宋体"/>
          <w:spacing w:val="10"/>
          <w:sz w:val="24"/>
          <w:szCs w:val="24"/>
        </w:rPr>
        <w:t xml:space="preserve"> </w:t>
      </w:r>
      <w:r>
        <w:rPr>
          <w:rFonts w:ascii="宋体" w:hAnsi="宋体" w:eastAsia="宋体" w:cs="宋体"/>
          <w:spacing w:val="-2"/>
          <w:sz w:val="24"/>
          <w:szCs w:val="24"/>
        </w:rPr>
        <w:t>社会稳定，根据《中华人民共和国劳动合同法》《中华人民共和国建筑法》《保障农民</w:t>
      </w:r>
      <w:r>
        <w:rPr>
          <w:rFonts w:ascii="宋体" w:hAnsi="宋体" w:eastAsia="宋体" w:cs="宋体"/>
          <w:spacing w:val="10"/>
          <w:sz w:val="24"/>
          <w:szCs w:val="24"/>
        </w:rPr>
        <w:t xml:space="preserve"> </w:t>
      </w:r>
      <w:r>
        <w:rPr>
          <w:rFonts w:ascii="宋体" w:hAnsi="宋体" w:eastAsia="宋体" w:cs="宋体"/>
          <w:spacing w:val="-2"/>
          <w:sz w:val="24"/>
          <w:szCs w:val="24"/>
        </w:rPr>
        <w:t>工工资支付条例》《广东省建设工程领域工人工资支付专用账户管理办法》《广东省建</w:t>
      </w:r>
      <w:r>
        <w:rPr>
          <w:rFonts w:ascii="宋体" w:hAnsi="宋体" w:eastAsia="宋体" w:cs="宋体"/>
          <w:spacing w:val="10"/>
          <w:sz w:val="24"/>
          <w:szCs w:val="24"/>
        </w:rPr>
        <w:t xml:space="preserve"> </w:t>
      </w:r>
      <w:r>
        <w:rPr>
          <w:rFonts w:ascii="宋体" w:hAnsi="宋体" w:eastAsia="宋体" w:cs="宋体"/>
          <w:spacing w:val="-2"/>
          <w:sz w:val="24"/>
          <w:szCs w:val="24"/>
        </w:rPr>
        <w:t>设工程领域用工实名制管理暂行办法》《广东省交通运输厅关于加强交通建设工程从业</w:t>
      </w:r>
      <w:r>
        <w:rPr>
          <w:rFonts w:ascii="宋体" w:hAnsi="宋体" w:eastAsia="宋体" w:cs="宋体"/>
          <w:spacing w:val="10"/>
          <w:sz w:val="24"/>
          <w:szCs w:val="24"/>
        </w:rPr>
        <w:t xml:space="preserve"> </w:t>
      </w:r>
      <w:r>
        <w:rPr>
          <w:rFonts w:ascii="宋体" w:hAnsi="宋体" w:eastAsia="宋体" w:cs="宋体"/>
          <w:spacing w:val="-2"/>
          <w:sz w:val="24"/>
          <w:szCs w:val="24"/>
        </w:rPr>
        <w:t>人员实名制管理和作业工人工资支付管理的通知》等有关法律、法规，结合本项目建设</w:t>
      </w:r>
    </w:p>
    <w:p>
      <w:pPr>
        <w:spacing w:line="219" w:lineRule="auto"/>
        <w:ind w:left="11"/>
        <w:rPr>
          <w:rFonts w:ascii="宋体" w:hAnsi="宋体" w:eastAsia="宋体" w:cs="宋体"/>
          <w:sz w:val="24"/>
          <w:szCs w:val="24"/>
        </w:rPr>
      </w:pPr>
      <w:r>
        <w:rPr>
          <w:rFonts w:ascii="宋体" w:hAnsi="宋体" w:eastAsia="宋体" w:cs="宋体"/>
          <w:spacing w:val="-1"/>
          <w:sz w:val="24"/>
          <w:szCs w:val="24"/>
        </w:rPr>
        <w:t>管理的具体情况，承包人在此承诺：</w:t>
      </w:r>
    </w:p>
    <w:p>
      <w:pPr>
        <w:spacing w:before="180" w:line="359" w:lineRule="auto"/>
        <w:ind w:left="5" w:right="291" w:firstLine="483"/>
        <w:rPr>
          <w:rFonts w:ascii="宋体" w:hAnsi="宋体" w:eastAsia="宋体" w:cs="宋体"/>
          <w:sz w:val="24"/>
          <w:szCs w:val="24"/>
        </w:rPr>
      </w:pPr>
      <w:r>
        <w:rPr>
          <w:rFonts w:ascii="宋体" w:hAnsi="宋体" w:eastAsia="宋体" w:cs="宋体"/>
          <w:spacing w:val="-2"/>
          <w:sz w:val="24"/>
          <w:szCs w:val="24"/>
        </w:rPr>
        <w:t>一、承诺严格按照国家法规和相关规定与农民工或与具备用工主体资格的组织签订</w:t>
      </w:r>
      <w:r>
        <w:rPr>
          <w:rFonts w:ascii="宋体" w:hAnsi="宋体" w:eastAsia="宋体" w:cs="宋体"/>
          <w:spacing w:val="4"/>
          <w:sz w:val="24"/>
          <w:szCs w:val="24"/>
        </w:rPr>
        <w:t xml:space="preserve"> </w:t>
      </w:r>
      <w:r>
        <w:rPr>
          <w:rFonts w:ascii="宋体" w:hAnsi="宋体" w:eastAsia="宋体" w:cs="宋体"/>
          <w:spacing w:val="-2"/>
          <w:sz w:val="24"/>
          <w:szCs w:val="24"/>
        </w:rPr>
        <w:t>劳动合同，按照当地劳动保障部门要求及时进行用工备案。严格根据劳动合同约定的农</w:t>
      </w:r>
      <w:r>
        <w:rPr>
          <w:rFonts w:ascii="宋体" w:hAnsi="宋体" w:eastAsia="宋体" w:cs="宋体"/>
          <w:spacing w:val="12"/>
          <w:sz w:val="24"/>
          <w:szCs w:val="24"/>
        </w:rPr>
        <w:t xml:space="preserve"> </w:t>
      </w:r>
      <w:r>
        <w:rPr>
          <w:rFonts w:ascii="宋体" w:hAnsi="宋体" w:eastAsia="宋体" w:cs="宋体"/>
          <w:spacing w:val="-2"/>
          <w:sz w:val="24"/>
          <w:szCs w:val="24"/>
        </w:rPr>
        <w:t>民工工资标准等内容，按照依法签订的劳动合同约定的日期按月支付工资，且不低于当</w:t>
      </w:r>
      <w:r>
        <w:rPr>
          <w:rFonts w:ascii="宋体" w:hAnsi="宋体" w:eastAsia="宋体" w:cs="宋体"/>
          <w:spacing w:val="12"/>
          <w:sz w:val="24"/>
          <w:szCs w:val="24"/>
        </w:rPr>
        <w:t xml:space="preserve"> </w:t>
      </w:r>
      <w:r>
        <w:rPr>
          <w:rFonts w:ascii="宋体" w:hAnsi="宋体" w:eastAsia="宋体" w:cs="宋体"/>
          <w:spacing w:val="-2"/>
          <w:sz w:val="24"/>
          <w:szCs w:val="24"/>
        </w:rPr>
        <w:t>地最低工资标准。若因违反上述法律、法规及相关管理办法而引发的民工工资纠纷等，</w:t>
      </w:r>
    </w:p>
    <w:p>
      <w:pPr>
        <w:spacing w:before="1" w:line="219" w:lineRule="auto"/>
        <w:ind w:left="5"/>
        <w:rPr>
          <w:rFonts w:ascii="宋体" w:hAnsi="宋体" w:eastAsia="宋体" w:cs="宋体"/>
          <w:sz w:val="24"/>
          <w:szCs w:val="24"/>
        </w:rPr>
      </w:pPr>
      <w:r>
        <w:rPr>
          <w:rFonts w:ascii="宋体" w:hAnsi="宋体" w:eastAsia="宋体" w:cs="宋体"/>
          <w:spacing w:val="-1"/>
          <w:sz w:val="24"/>
          <w:szCs w:val="24"/>
        </w:rPr>
        <w:t>承包人承担所有的民事及刑事法律责任。</w:t>
      </w:r>
    </w:p>
    <w:p>
      <w:pPr>
        <w:spacing w:before="183" w:line="468" w:lineRule="exact"/>
        <w:ind w:left="489"/>
        <w:rPr>
          <w:rFonts w:ascii="宋体" w:hAnsi="宋体" w:eastAsia="宋体" w:cs="宋体"/>
          <w:sz w:val="24"/>
          <w:szCs w:val="24"/>
        </w:rPr>
      </w:pPr>
      <w:r>
        <w:rPr>
          <w:rFonts w:ascii="宋体" w:hAnsi="宋体" w:eastAsia="宋体" w:cs="宋体"/>
          <w:position w:val="17"/>
          <w:sz w:val="24"/>
          <w:szCs w:val="24"/>
        </w:rPr>
        <w:t>二、决不违反有关规定，将工程转包、分包给不</w:t>
      </w:r>
      <w:r>
        <w:rPr>
          <w:rFonts w:ascii="宋体" w:hAnsi="宋体" w:eastAsia="宋体" w:cs="宋体"/>
          <w:spacing w:val="-1"/>
          <w:position w:val="17"/>
          <w:sz w:val="24"/>
          <w:szCs w:val="24"/>
        </w:rPr>
        <w:t>具备用工主体资格的组织或个人，</w:t>
      </w:r>
    </w:p>
    <w:p>
      <w:pPr>
        <w:spacing w:line="219" w:lineRule="auto"/>
        <w:ind w:left="11"/>
        <w:rPr>
          <w:rFonts w:ascii="宋体" w:hAnsi="宋体" w:eastAsia="宋体" w:cs="宋体"/>
          <w:sz w:val="24"/>
          <w:szCs w:val="24"/>
        </w:rPr>
      </w:pPr>
      <w:r>
        <w:rPr>
          <w:rFonts w:ascii="宋体" w:hAnsi="宋体" w:eastAsia="宋体" w:cs="宋体"/>
          <w:sz w:val="24"/>
          <w:szCs w:val="24"/>
        </w:rPr>
        <w:t>并独自承担因违反上述规定而引发的民工工资纠</w:t>
      </w:r>
      <w:r>
        <w:rPr>
          <w:rFonts w:ascii="宋体" w:hAnsi="宋体" w:eastAsia="宋体" w:cs="宋体"/>
          <w:spacing w:val="-1"/>
          <w:sz w:val="24"/>
          <w:szCs w:val="24"/>
        </w:rPr>
        <w:t>纷等所有民事及刑事的法律连带责任。</w:t>
      </w:r>
    </w:p>
    <w:p>
      <w:pPr>
        <w:spacing w:before="182" w:line="359" w:lineRule="auto"/>
        <w:ind w:left="4" w:right="291" w:firstLine="480"/>
        <w:rPr>
          <w:rFonts w:ascii="宋体" w:hAnsi="宋体" w:eastAsia="宋体" w:cs="宋体"/>
          <w:sz w:val="24"/>
          <w:szCs w:val="24"/>
        </w:rPr>
      </w:pPr>
      <w:r>
        <w:rPr>
          <w:rFonts w:ascii="宋体" w:hAnsi="宋体" w:eastAsia="宋体" w:cs="宋体"/>
          <w:spacing w:val="-2"/>
          <w:sz w:val="24"/>
          <w:szCs w:val="24"/>
        </w:rPr>
        <w:t>三、承诺开展劳动法、建筑法等普法学习教育活动，建立健全承包人农民工用工制</w:t>
      </w:r>
      <w:r>
        <w:rPr>
          <w:rFonts w:ascii="宋体" w:hAnsi="宋体" w:eastAsia="宋体" w:cs="宋体"/>
          <w:spacing w:val="8"/>
          <w:sz w:val="24"/>
          <w:szCs w:val="24"/>
        </w:rPr>
        <w:t xml:space="preserve"> </w:t>
      </w:r>
      <w:r>
        <w:rPr>
          <w:rFonts w:ascii="宋体" w:hAnsi="宋体" w:eastAsia="宋体" w:cs="宋体"/>
          <w:spacing w:val="-2"/>
          <w:sz w:val="24"/>
          <w:szCs w:val="24"/>
        </w:rPr>
        <w:t>度，制定农民工劳动保护措施，实施劳动工资支付监控机制，建立劳动用工的举报投诉</w:t>
      </w:r>
      <w:r>
        <w:rPr>
          <w:rFonts w:ascii="宋体" w:hAnsi="宋体" w:eastAsia="宋体" w:cs="宋体"/>
          <w:spacing w:val="13"/>
          <w:sz w:val="24"/>
          <w:szCs w:val="24"/>
        </w:rPr>
        <w:t xml:space="preserve"> </w:t>
      </w:r>
      <w:r>
        <w:rPr>
          <w:rFonts w:ascii="宋体" w:hAnsi="宋体" w:eastAsia="宋体" w:cs="宋体"/>
          <w:spacing w:val="-2"/>
          <w:sz w:val="24"/>
          <w:szCs w:val="24"/>
        </w:rPr>
        <w:t>制度，设立专门的举报投诉电话，受理相关单位和个人的举报及投诉，监督并认真查处</w:t>
      </w:r>
    </w:p>
    <w:p>
      <w:pPr>
        <w:spacing w:line="219" w:lineRule="auto"/>
        <w:ind w:left="6"/>
        <w:rPr>
          <w:rFonts w:ascii="宋体" w:hAnsi="宋体" w:eastAsia="宋体" w:cs="宋体"/>
          <w:sz w:val="24"/>
          <w:szCs w:val="24"/>
        </w:rPr>
      </w:pPr>
      <w:r>
        <w:rPr>
          <w:rFonts w:ascii="宋体" w:hAnsi="宋体" w:eastAsia="宋体" w:cs="宋体"/>
          <w:spacing w:val="-1"/>
          <w:sz w:val="24"/>
          <w:szCs w:val="24"/>
        </w:rPr>
        <w:t>合同范围内的侵害农民工按劳取酬合法权益的行为。</w:t>
      </w:r>
    </w:p>
    <w:p>
      <w:pPr>
        <w:spacing w:before="181" w:line="468" w:lineRule="exact"/>
        <w:ind w:left="507"/>
        <w:rPr>
          <w:rFonts w:ascii="宋体" w:hAnsi="宋体" w:eastAsia="宋体" w:cs="宋体"/>
          <w:sz w:val="24"/>
          <w:szCs w:val="24"/>
        </w:rPr>
      </w:pPr>
      <w:r>
        <w:rPr>
          <w:rFonts w:ascii="宋体" w:hAnsi="宋体" w:eastAsia="宋体" w:cs="宋体"/>
          <w:spacing w:val="-2"/>
          <w:position w:val="17"/>
          <w:sz w:val="24"/>
          <w:szCs w:val="24"/>
        </w:rPr>
        <w:t>四、承诺在工地现场宣传栏中公布发包人关于农民工工资管理的有关法律</w:t>
      </w:r>
      <w:r>
        <w:rPr>
          <w:rFonts w:ascii="宋体" w:hAnsi="宋体" w:eastAsia="宋体" w:cs="宋体"/>
          <w:spacing w:val="-3"/>
          <w:position w:val="17"/>
          <w:sz w:val="24"/>
          <w:szCs w:val="24"/>
        </w:rPr>
        <w:t>法规、制</w:t>
      </w:r>
    </w:p>
    <w:p>
      <w:pPr>
        <w:spacing w:line="220" w:lineRule="auto"/>
        <w:ind w:left="4"/>
        <w:rPr>
          <w:rFonts w:ascii="宋体" w:hAnsi="宋体" w:eastAsia="宋体" w:cs="宋体"/>
          <w:sz w:val="24"/>
          <w:szCs w:val="24"/>
        </w:rPr>
      </w:pPr>
      <w:r>
        <w:rPr>
          <w:rFonts w:ascii="宋体" w:hAnsi="宋体" w:eastAsia="宋体" w:cs="宋体"/>
          <w:spacing w:val="-1"/>
          <w:sz w:val="24"/>
          <w:szCs w:val="24"/>
        </w:rPr>
        <w:t>度，公开发包人的投诉电话。</w:t>
      </w:r>
    </w:p>
    <w:p>
      <w:pPr>
        <w:spacing w:before="180" w:line="359" w:lineRule="auto"/>
        <w:ind w:left="28" w:right="230" w:firstLine="460"/>
        <w:rPr>
          <w:rFonts w:ascii="宋体" w:hAnsi="宋体" w:eastAsia="宋体" w:cs="宋体"/>
          <w:sz w:val="24"/>
          <w:szCs w:val="24"/>
        </w:rPr>
      </w:pPr>
      <w:r>
        <w:rPr>
          <w:rFonts w:ascii="宋体" w:hAnsi="宋体" w:eastAsia="宋体" w:cs="宋体"/>
          <w:spacing w:val="-7"/>
          <w:sz w:val="24"/>
          <w:szCs w:val="24"/>
        </w:rPr>
        <w:t>五、承诺在本项目工程开工前承包人制定内部工资支付办法，并抄报监理、发包人，</w:t>
      </w:r>
      <w:r>
        <w:rPr>
          <w:rFonts w:ascii="宋体" w:hAnsi="宋体" w:eastAsia="宋体" w:cs="宋体"/>
          <w:spacing w:val="13"/>
          <w:sz w:val="24"/>
          <w:szCs w:val="24"/>
        </w:rPr>
        <w:t xml:space="preserve"> </w:t>
      </w:r>
      <w:r>
        <w:rPr>
          <w:rFonts w:ascii="宋体" w:hAnsi="宋体" w:eastAsia="宋体" w:cs="宋体"/>
          <w:spacing w:val="-2"/>
          <w:sz w:val="24"/>
          <w:szCs w:val="24"/>
        </w:rPr>
        <w:t>同时告知全体农民工。内部工资支付办法包括以下内容：支付</w:t>
      </w:r>
      <w:r>
        <w:rPr>
          <w:rFonts w:ascii="宋体" w:hAnsi="宋体" w:eastAsia="宋体" w:cs="宋体"/>
          <w:spacing w:val="-3"/>
          <w:sz w:val="24"/>
          <w:szCs w:val="24"/>
        </w:rPr>
        <w:t>项目、支付标准、支付方</w:t>
      </w:r>
    </w:p>
    <w:p>
      <w:pPr>
        <w:spacing w:line="219" w:lineRule="auto"/>
        <w:ind w:left="10"/>
        <w:rPr>
          <w:rFonts w:ascii="宋体" w:hAnsi="宋体" w:eastAsia="宋体" w:cs="宋体"/>
          <w:sz w:val="24"/>
          <w:szCs w:val="24"/>
        </w:rPr>
      </w:pPr>
      <w:r>
        <w:rPr>
          <w:rFonts w:ascii="宋体" w:hAnsi="宋体" w:eastAsia="宋体" w:cs="宋体"/>
          <w:spacing w:val="-5"/>
          <w:sz w:val="24"/>
          <w:szCs w:val="24"/>
        </w:rPr>
        <w:t>式、支付周期和日期、加班工资计算基数、特殊情况下的工资支付以及其他工资支付等。</w:t>
      </w:r>
    </w:p>
    <w:p>
      <w:pPr>
        <w:spacing w:line="425" w:lineRule="auto"/>
        <w:rPr>
          <w:rFonts w:ascii="Arial"/>
          <w:sz w:val="21"/>
        </w:rPr>
      </w:pPr>
      <w:r>
        <mc:AlternateContent>
          <mc:Choice Requires="wps">
            <w:drawing>
              <wp:anchor distT="0" distB="0" distL="114300" distR="114300" simplePos="0" relativeHeight="251678720" behindDoc="0" locked="0" layoutInCell="0" allowOverlap="1">
                <wp:simplePos x="0" y="0"/>
                <wp:positionH relativeFrom="page">
                  <wp:posOffset>899795</wp:posOffset>
                </wp:positionH>
                <wp:positionV relativeFrom="page">
                  <wp:posOffset>9418320</wp:posOffset>
                </wp:positionV>
                <wp:extent cx="1828800" cy="0"/>
                <wp:effectExtent l="4445" t="4445" r="5080" b="5080"/>
                <wp:wrapNone/>
                <wp:docPr id="97" name="任意多边形 97"/>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41.6pt;height:0pt;width:144pt;mso-position-horizontal-relative:page;mso-position-vertical-relative:page;z-index:251678720;mso-width-relative:page;mso-height-relative:page;" filled="f" stroked="t" coordsize="2880,1" o:allowincell="f" o:gfxdata="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BMV5/WAAAADQEAAA8AAAAAAAAAAQAgAAAAIgAAAGRycy9kb3ducmV2LnhtbFBLAQIUABQAAAAI&#10;AIdO4kD3FjJHKAIAAIkEAAAOAAAAAAAAAAEAIAAAACUBAABkcnMvZTJvRG9jLnhtbFBLBQYAAAAA&#10;BgAGAFkBAAC/BQAAAAA=&#10;" path="m0,0l2880,0e">
                <v:fill on="f" focussize="0,0"/>
                <v:stroke weight="0pt" color="#000000" joinstyle="bevel" endcap="square"/>
                <v:imagedata o:title=""/>
                <o:lock v:ext="edit" aspectratio="f"/>
              </v:shape>
            </w:pict>
          </mc:Fallback>
        </mc:AlternateContent>
      </w:r>
    </w:p>
    <w:p>
      <w:pPr>
        <w:spacing w:before="78" w:line="466" w:lineRule="exact"/>
        <w:ind w:left="9"/>
        <w:rPr>
          <w:rFonts w:ascii="宋体" w:hAnsi="宋体" w:eastAsia="宋体" w:cs="宋体"/>
          <w:sz w:val="24"/>
          <w:szCs w:val="24"/>
        </w:rPr>
      </w:pPr>
      <w:r>
        <w:rPr>
          <w:rFonts w:ascii="宋体" w:hAnsi="宋体" w:eastAsia="宋体" w:cs="宋体"/>
          <w:spacing w:val="-2"/>
          <w:position w:val="17"/>
          <w:sz w:val="24"/>
          <w:szCs w:val="24"/>
        </w:rPr>
        <w:t>支付程序也将明文规定，且严格按章办事。工资支付管理接受监理、发包人及上级主管</w:t>
      </w:r>
    </w:p>
    <w:p>
      <w:pPr>
        <w:spacing w:line="219" w:lineRule="auto"/>
        <w:ind w:left="10"/>
        <w:rPr>
          <w:rFonts w:ascii="宋体" w:hAnsi="宋体" w:eastAsia="宋体" w:cs="宋体"/>
          <w:sz w:val="24"/>
          <w:szCs w:val="24"/>
        </w:rPr>
      </w:pPr>
      <w:r>
        <w:rPr>
          <w:rFonts w:ascii="宋体" w:hAnsi="宋体" w:eastAsia="宋体" w:cs="宋体"/>
          <w:spacing w:val="-2"/>
          <w:sz w:val="24"/>
          <w:szCs w:val="24"/>
        </w:rPr>
        <w:t>单位的监督和检查。</w:t>
      </w:r>
    </w:p>
    <w:p>
      <w:pPr>
        <w:spacing w:before="182" w:line="466" w:lineRule="exact"/>
        <w:ind w:left="490"/>
        <w:rPr>
          <w:rFonts w:ascii="宋体" w:hAnsi="宋体" w:eastAsia="宋体" w:cs="宋体"/>
          <w:sz w:val="24"/>
          <w:szCs w:val="24"/>
        </w:rPr>
      </w:pPr>
      <w:r>
        <w:rPr>
          <w:rFonts w:ascii="宋体" w:hAnsi="宋体" w:eastAsia="宋体" w:cs="宋体"/>
          <w:spacing w:val="-2"/>
          <w:position w:val="17"/>
          <w:sz w:val="24"/>
          <w:szCs w:val="24"/>
        </w:rPr>
        <w:t>六、承诺指定专人负责对农民工工资进行发放，实行专户管理，以银行转账方式按</w:t>
      </w:r>
    </w:p>
    <w:p>
      <w:pPr>
        <w:spacing w:line="219" w:lineRule="auto"/>
        <w:ind w:left="14"/>
        <w:rPr>
          <w:rFonts w:ascii="宋体" w:hAnsi="宋体" w:eastAsia="宋体" w:cs="宋体"/>
          <w:sz w:val="24"/>
          <w:szCs w:val="24"/>
        </w:rPr>
      </w:pPr>
      <w:r>
        <w:rPr>
          <w:rFonts w:ascii="宋体" w:hAnsi="宋体" w:eastAsia="宋体" w:cs="宋体"/>
          <w:spacing w:val="-1"/>
          <w:sz w:val="24"/>
          <w:szCs w:val="24"/>
        </w:rPr>
        <w:t>月直接支付工资（原则上是当月支付，最多不超过拖欠两个月）。</w:t>
      </w:r>
    </w:p>
    <w:p>
      <w:pPr>
        <w:spacing w:before="181" w:line="359" w:lineRule="auto"/>
        <w:ind w:left="7" w:right="211" w:firstLine="480"/>
        <w:rPr>
          <w:rFonts w:ascii="宋体" w:hAnsi="宋体" w:eastAsia="宋体" w:cs="宋体"/>
          <w:sz w:val="24"/>
          <w:szCs w:val="24"/>
        </w:rPr>
      </w:pPr>
      <w:r>
        <w:rPr>
          <w:rFonts w:ascii="宋体" w:hAnsi="宋体" w:eastAsia="宋体" w:cs="宋体"/>
          <w:spacing w:val="-2"/>
          <w:sz w:val="24"/>
          <w:szCs w:val="24"/>
        </w:rPr>
        <w:t>七、在合同工程范围内，一旦承包人发现任何下属单位、分包单</w:t>
      </w:r>
      <w:r>
        <w:rPr>
          <w:rFonts w:ascii="宋体" w:hAnsi="宋体" w:eastAsia="宋体" w:cs="宋体"/>
          <w:spacing w:val="-3"/>
          <w:sz w:val="24"/>
          <w:szCs w:val="24"/>
        </w:rPr>
        <w:t xml:space="preserve">位、施工班组等在 </w:t>
      </w:r>
      <w:r>
        <w:rPr>
          <w:rFonts w:ascii="宋体" w:hAnsi="宋体" w:eastAsia="宋体" w:cs="宋体"/>
          <w:spacing w:val="-2"/>
          <w:sz w:val="24"/>
          <w:szCs w:val="24"/>
        </w:rPr>
        <w:t>劳动用工与工资结算支付活动中存在有违反法律法规规定的行为，承包人将以</w:t>
      </w:r>
      <w:r>
        <w:rPr>
          <w:rFonts w:ascii="宋体" w:hAnsi="宋体" w:eastAsia="宋体" w:cs="宋体"/>
          <w:spacing w:val="-3"/>
          <w:sz w:val="24"/>
          <w:szCs w:val="24"/>
        </w:rPr>
        <w:t xml:space="preserve">最快的速 </w:t>
      </w:r>
      <w:r>
        <w:rPr>
          <w:rFonts w:ascii="宋体" w:hAnsi="宋体" w:eastAsia="宋体" w:cs="宋体"/>
          <w:spacing w:val="-6"/>
          <w:sz w:val="24"/>
          <w:szCs w:val="24"/>
        </w:rPr>
        <w:t>度、采取最得力的措施就地予以纠正，同时将有关问题抄报监理人及发包人，在监理人、</w:t>
      </w:r>
    </w:p>
    <w:p>
      <w:pPr>
        <w:spacing w:line="219" w:lineRule="auto"/>
        <w:ind w:left="12"/>
        <w:rPr>
          <w:rFonts w:ascii="宋体" w:hAnsi="宋体" w:eastAsia="宋体" w:cs="宋体"/>
          <w:sz w:val="24"/>
          <w:szCs w:val="24"/>
        </w:rPr>
      </w:pPr>
      <w:r>
        <w:rPr>
          <w:rFonts w:ascii="宋体" w:hAnsi="宋体" w:eastAsia="宋体" w:cs="宋体"/>
          <w:spacing w:val="-1"/>
          <w:sz w:val="24"/>
          <w:szCs w:val="24"/>
        </w:rPr>
        <w:t>发包人或劳动监察部门有要求或规定时，将处理结果上报备案。</w:t>
      </w:r>
    </w:p>
    <w:p>
      <w:pPr>
        <w:spacing w:before="182" w:line="359" w:lineRule="auto"/>
        <w:ind w:left="8" w:right="284" w:firstLine="483"/>
        <w:rPr>
          <w:rFonts w:ascii="宋体" w:hAnsi="宋体" w:eastAsia="宋体" w:cs="宋体"/>
          <w:sz w:val="24"/>
          <w:szCs w:val="24"/>
        </w:rPr>
      </w:pPr>
      <w:r>
        <w:rPr>
          <w:rFonts w:ascii="宋体" w:hAnsi="宋体" w:eastAsia="宋体" w:cs="宋体"/>
          <w:spacing w:val="-2"/>
          <w:sz w:val="24"/>
          <w:szCs w:val="24"/>
        </w:rPr>
        <w:t>八、承诺在收到中标通知书后且合同签署前，按规定向发包人缴纳工资保障金，</w:t>
      </w:r>
      <w:r>
        <w:rPr>
          <w:rFonts w:ascii="宋体" w:hAnsi="宋体" w:eastAsia="宋体" w:cs="宋体"/>
          <w:spacing w:val="-2"/>
          <w:sz w:val="24"/>
          <w:szCs w:val="24"/>
          <w:u w:val="single" w:color="000000"/>
          <w14:textOutline w14:w="4358" w14:cap="sq" w14:cmpd="sng">
            <w14:solidFill>
              <w14:srgbClr w14:val="000000"/>
            </w14:solidFill>
            <w14:prstDash w14:val="solid"/>
            <w14:bevel/>
          </w14:textOutline>
        </w:rPr>
        <w:t>金</w:t>
      </w:r>
      <w:r>
        <w:rPr>
          <w:rFonts w:ascii="宋体" w:hAnsi="宋体" w:eastAsia="宋体" w:cs="宋体"/>
          <w:spacing w:val="7"/>
          <w:sz w:val="24"/>
          <w:szCs w:val="24"/>
        </w:rPr>
        <w:t xml:space="preserve"> </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额为</w:t>
      </w:r>
      <w:r>
        <w:rPr>
          <w:rFonts w:ascii="宋体" w:hAnsi="宋体" w:eastAsia="宋体" w:cs="宋体"/>
          <w:spacing w:val="5"/>
          <w:sz w:val="24"/>
          <w:szCs w:val="24"/>
          <w:u w:val="single" w:color="auto"/>
        </w:rPr>
        <w:t xml:space="preserve">      </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元人民币</w:t>
      </w:r>
      <w:r>
        <w:fldChar w:fldCharType="begin"/>
      </w:r>
      <w:r>
        <w:instrText xml:space="preserve"> HYPERLINK \l "bookmark172" </w:instrText>
      </w:r>
      <w:r>
        <w:fldChar w:fldCharType="separate"/>
      </w:r>
      <w:r>
        <w:rPr>
          <w:rFonts w:ascii="宋体" w:hAnsi="宋体" w:eastAsia="宋体" w:cs="宋体"/>
          <w:spacing w:val="-1"/>
          <w:position w:val="12"/>
          <w:sz w:val="12"/>
          <w:szCs w:val="12"/>
        </w:rPr>
        <w:t>①</w:t>
      </w:r>
      <w:r>
        <w:rPr>
          <w:rFonts w:ascii="宋体" w:hAnsi="宋体" w:eastAsia="宋体" w:cs="宋体"/>
          <w:spacing w:val="-1"/>
          <w:position w:val="12"/>
          <w:sz w:val="12"/>
          <w:szCs w:val="12"/>
        </w:rPr>
        <w:fldChar w:fldCharType="end"/>
      </w:r>
      <w:r>
        <w:rPr>
          <w:rFonts w:ascii="宋体" w:hAnsi="宋体" w:eastAsia="宋体" w:cs="宋体"/>
          <w:spacing w:val="-31"/>
          <w:position w:val="12"/>
          <w:sz w:val="12"/>
          <w:szCs w:val="12"/>
        </w:rPr>
        <w:t xml:space="preserve"> </w:t>
      </w:r>
      <w:r>
        <w:rPr>
          <w:rFonts w:ascii="宋体" w:hAnsi="宋体" w:eastAsia="宋体" w:cs="宋体"/>
          <w:spacing w:val="-2"/>
          <w:sz w:val="24"/>
          <w:szCs w:val="24"/>
        </w:rPr>
        <w:t>,</w:t>
      </w:r>
      <w:r>
        <w:rPr>
          <w:rFonts w:ascii="宋体" w:hAnsi="宋体" w:eastAsia="宋体" w:cs="宋体"/>
          <w:spacing w:val="67"/>
          <w:sz w:val="24"/>
          <w:szCs w:val="24"/>
        </w:rPr>
        <w:t xml:space="preserve"> </w:t>
      </w:r>
      <w:r>
        <w:rPr>
          <w:rFonts w:ascii="宋体" w:hAnsi="宋体" w:eastAsia="宋体" w:cs="宋体"/>
          <w:spacing w:val="-2"/>
          <w:sz w:val="24"/>
          <w:szCs w:val="24"/>
        </w:rPr>
        <w:t>用于支付拖欠的农民工工资，如工资保障金不足，发包人有权</w:t>
      </w:r>
      <w:r>
        <w:rPr>
          <w:rFonts w:ascii="宋体" w:hAnsi="宋体" w:eastAsia="宋体" w:cs="宋体"/>
          <w:sz w:val="24"/>
          <w:szCs w:val="24"/>
        </w:rPr>
        <w:t xml:space="preserve"> </w:t>
      </w:r>
      <w:r>
        <w:rPr>
          <w:rFonts w:ascii="宋体" w:hAnsi="宋体" w:eastAsia="宋体" w:cs="宋体"/>
          <w:spacing w:val="-2"/>
          <w:sz w:val="24"/>
          <w:szCs w:val="24"/>
        </w:rPr>
        <w:t>利在应支付给承包人的工程款或是履约保证金中划扣支付。该保障金余额发包人将于本</w:t>
      </w:r>
    </w:p>
    <w:p>
      <w:pPr>
        <w:spacing w:before="1" w:line="219" w:lineRule="auto"/>
        <w:ind w:left="12"/>
        <w:rPr>
          <w:rFonts w:ascii="宋体" w:hAnsi="宋体" w:eastAsia="宋体" w:cs="宋体"/>
          <w:sz w:val="24"/>
          <w:szCs w:val="24"/>
        </w:rPr>
      </w:pPr>
      <w:r>
        <w:rPr>
          <w:rFonts w:ascii="宋体" w:hAnsi="宋体" w:eastAsia="宋体" w:cs="宋体"/>
          <w:spacing w:val="-1"/>
          <w:sz w:val="24"/>
          <w:szCs w:val="24"/>
        </w:rPr>
        <w:t>项目施工完毕，并交工验收合格后退还。</w:t>
      </w:r>
    </w:p>
    <w:p>
      <w:pPr>
        <w:spacing w:before="182" w:line="359" w:lineRule="auto"/>
        <w:ind w:left="10" w:right="291" w:firstLine="483"/>
        <w:rPr>
          <w:rFonts w:ascii="宋体" w:hAnsi="宋体" w:eastAsia="宋体" w:cs="宋体"/>
          <w:sz w:val="24"/>
          <w:szCs w:val="24"/>
        </w:rPr>
      </w:pPr>
      <w:r>
        <w:rPr>
          <w:rFonts w:ascii="宋体" w:hAnsi="宋体" w:eastAsia="宋体" w:cs="宋体"/>
          <w:spacing w:val="-2"/>
          <w:sz w:val="24"/>
          <w:szCs w:val="24"/>
        </w:rPr>
        <w:t>九、承诺建立农民工工资支付台帐，如实记录支付时间、支付对象、支付数额等工</w:t>
      </w:r>
      <w:r>
        <w:rPr>
          <w:rFonts w:ascii="宋体" w:hAnsi="宋体" w:eastAsia="宋体" w:cs="宋体"/>
          <w:spacing w:val="3"/>
          <w:sz w:val="24"/>
          <w:szCs w:val="24"/>
        </w:rPr>
        <w:t xml:space="preserve"> </w:t>
      </w:r>
      <w:r>
        <w:rPr>
          <w:rFonts w:ascii="宋体" w:hAnsi="宋体" w:eastAsia="宋体" w:cs="宋体"/>
          <w:spacing w:val="-2"/>
          <w:sz w:val="24"/>
          <w:szCs w:val="24"/>
        </w:rPr>
        <w:t>资支付情况，并于每月申请支付计量款时将上期工资表及工资支付台帐上报监理和发包</w:t>
      </w:r>
      <w:r>
        <w:rPr>
          <w:rFonts w:ascii="宋体" w:hAnsi="宋体" w:eastAsia="宋体" w:cs="宋体"/>
          <w:spacing w:val="10"/>
          <w:sz w:val="24"/>
          <w:szCs w:val="24"/>
        </w:rPr>
        <w:t xml:space="preserve"> </w:t>
      </w:r>
      <w:r>
        <w:rPr>
          <w:rFonts w:ascii="宋体" w:hAnsi="宋体" w:eastAsia="宋体" w:cs="宋体"/>
          <w:spacing w:val="-2"/>
          <w:sz w:val="24"/>
          <w:szCs w:val="24"/>
        </w:rPr>
        <w:t>人。若承包人拖欠民工工资两个月以上且一直未得到解决的，发包人有权利不给予承包</w:t>
      </w:r>
      <w:r>
        <w:rPr>
          <w:rFonts w:ascii="宋体" w:hAnsi="宋体" w:eastAsia="宋体" w:cs="宋体"/>
          <w:spacing w:val="10"/>
          <w:sz w:val="24"/>
          <w:szCs w:val="24"/>
        </w:rPr>
        <w:t xml:space="preserve"> </w:t>
      </w:r>
      <w:r>
        <w:rPr>
          <w:rFonts w:ascii="宋体" w:hAnsi="宋体" w:eastAsia="宋体" w:cs="宋体"/>
          <w:spacing w:val="-2"/>
          <w:sz w:val="24"/>
          <w:szCs w:val="24"/>
        </w:rPr>
        <w:t>人当月计量的工程款，直至拖欠的民工工资得到支付，或者发包人有权利直接从承包人</w:t>
      </w:r>
      <w:r>
        <w:rPr>
          <w:rFonts w:ascii="宋体" w:hAnsi="宋体" w:eastAsia="宋体" w:cs="宋体"/>
          <w:spacing w:val="10"/>
          <w:sz w:val="24"/>
          <w:szCs w:val="24"/>
        </w:rPr>
        <w:t xml:space="preserve"> </w:t>
      </w:r>
      <w:r>
        <w:rPr>
          <w:rFonts w:ascii="宋体" w:hAnsi="宋体" w:eastAsia="宋体" w:cs="宋体"/>
          <w:spacing w:val="5"/>
          <w:sz w:val="24"/>
          <w:szCs w:val="24"/>
        </w:rPr>
        <w:t>按规定缴纳的工资保障金或应支付给承包人的工程款或</w:t>
      </w:r>
      <w:r>
        <w:rPr>
          <w:rFonts w:ascii="宋体" w:hAnsi="宋体" w:eastAsia="宋体" w:cs="宋体"/>
          <w:spacing w:val="4"/>
          <w:sz w:val="24"/>
          <w:szCs w:val="24"/>
        </w:rPr>
        <w:t>是履约保证金中直接扣除相应</w:t>
      </w:r>
    </w:p>
    <w:p>
      <w:pPr>
        <w:spacing w:line="219" w:lineRule="auto"/>
        <w:ind w:left="21"/>
        <w:rPr>
          <w:rFonts w:ascii="宋体" w:hAnsi="宋体" w:eastAsia="宋体" w:cs="宋体"/>
          <w:sz w:val="24"/>
          <w:szCs w:val="24"/>
        </w:rPr>
      </w:pPr>
      <w:r>
        <w:rPr>
          <w:rFonts w:ascii="宋体" w:hAnsi="宋体" w:eastAsia="宋体" w:cs="宋体"/>
          <w:spacing w:val="-2"/>
          <w:sz w:val="24"/>
          <w:szCs w:val="24"/>
        </w:rPr>
        <w:t>费用后向民工进行支付，承包人均无异议。</w:t>
      </w:r>
    </w:p>
    <w:p>
      <w:pPr>
        <w:spacing w:before="183" w:line="220" w:lineRule="auto"/>
        <w:ind w:left="489"/>
        <w:rPr>
          <w:rFonts w:ascii="宋体" w:hAnsi="宋体" w:eastAsia="宋体" w:cs="宋体"/>
          <w:sz w:val="24"/>
          <w:szCs w:val="24"/>
        </w:rPr>
      </w:pPr>
      <w:r>
        <w:rPr>
          <w:rFonts w:ascii="宋体" w:hAnsi="宋体" w:eastAsia="宋体" w:cs="宋体"/>
          <w:spacing w:val="-1"/>
          <w:sz w:val="24"/>
          <w:szCs w:val="24"/>
        </w:rPr>
        <w:t>十、在合同工程实施过程中如有发生</w:t>
      </w:r>
    </w:p>
    <w:p>
      <w:pPr>
        <w:spacing w:before="183" w:line="219" w:lineRule="auto"/>
        <w:ind w:left="530"/>
        <w:rPr>
          <w:rFonts w:ascii="宋体" w:hAnsi="宋体" w:eastAsia="宋体" w:cs="宋体"/>
          <w:sz w:val="24"/>
          <w:szCs w:val="24"/>
        </w:rPr>
      </w:pPr>
      <w:r>
        <w:rPr>
          <w:rFonts w:ascii="宋体" w:hAnsi="宋体" w:eastAsia="宋体" w:cs="宋体"/>
          <w:spacing w:val="-2"/>
          <w:sz w:val="24"/>
          <w:szCs w:val="24"/>
        </w:rPr>
        <w:t>(1)不按规定签订劳动合同或签订劳动合同不规范情况；或</w:t>
      </w:r>
    </w:p>
    <w:p>
      <w:pPr>
        <w:spacing w:before="180" w:line="219" w:lineRule="auto"/>
        <w:ind w:left="530"/>
        <w:rPr>
          <w:rFonts w:ascii="宋体" w:hAnsi="宋体" w:eastAsia="宋体" w:cs="宋体"/>
          <w:sz w:val="24"/>
          <w:szCs w:val="24"/>
        </w:rPr>
      </w:pPr>
      <w:r>
        <w:rPr>
          <w:rFonts w:ascii="宋体" w:hAnsi="宋体" w:eastAsia="宋体" w:cs="宋体"/>
          <w:spacing w:val="-1"/>
          <w:sz w:val="24"/>
          <w:szCs w:val="24"/>
        </w:rPr>
        <w:t>(2)拖欠农民工工资、侵害农民工合法权益、农民工劳动安全保护欠缺的</w:t>
      </w:r>
      <w:r>
        <w:rPr>
          <w:rFonts w:ascii="宋体" w:hAnsi="宋体" w:eastAsia="宋体" w:cs="宋体"/>
          <w:spacing w:val="-2"/>
          <w:sz w:val="24"/>
          <w:szCs w:val="24"/>
        </w:rPr>
        <w:t>情况；或</w:t>
      </w:r>
    </w:p>
    <w:p>
      <w:pPr>
        <w:spacing w:before="184" w:line="219" w:lineRule="auto"/>
        <w:ind w:left="530"/>
        <w:rPr>
          <w:rFonts w:ascii="宋体" w:hAnsi="宋体" w:eastAsia="宋体" w:cs="宋体"/>
          <w:sz w:val="24"/>
          <w:szCs w:val="24"/>
        </w:rPr>
      </w:pPr>
      <w:r>
        <w:rPr>
          <w:rFonts w:ascii="宋体" w:hAnsi="宋体" w:eastAsia="宋体" w:cs="宋体"/>
          <w:spacing w:val="-3"/>
          <w:sz w:val="24"/>
          <w:szCs w:val="24"/>
        </w:rPr>
        <w:t>(3)因欠薪导致的闹事、打斗、死伤、上访事件，</w:t>
      </w:r>
    </w:p>
    <w:p>
      <w:pPr>
        <w:spacing w:before="182" w:line="359" w:lineRule="auto"/>
        <w:ind w:left="10" w:right="291" w:firstLine="478"/>
        <w:rPr>
          <w:rFonts w:ascii="宋体" w:hAnsi="宋体" w:eastAsia="宋体" w:cs="宋体"/>
          <w:sz w:val="24"/>
          <w:szCs w:val="24"/>
        </w:rPr>
      </w:pPr>
      <w:r>
        <w:rPr>
          <w:rFonts w:ascii="宋体" w:hAnsi="宋体" w:eastAsia="宋体" w:cs="宋体"/>
          <w:spacing w:val="2"/>
          <w:sz w:val="24"/>
          <w:szCs w:val="24"/>
        </w:rPr>
        <w:t>承包人愿接受监理人和/或发包人按合同或下</w:t>
      </w:r>
      <w:r>
        <w:rPr>
          <w:rFonts w:ascii="宋体" w:hAnsi="宋体" w:eastAsia="宋体" w:cs="宋体"/>
          <w:spacing w:val="1"/>
          <w:sz w:val="24"/>
          <w:szCs w:val="24"/>
        </w:rPr>
        <w:t>发的管理办法规定的违约金。如果发</w:t>
      </w:r>
      <w:r>
        <w:rPr>
          <w:rFonts w:ascii="宋体" w:hAnsi="宋体" w:eastAsia="宋体" w:cs="宋体"/>
          <w:sz w:val="24"/>
          <w:szCs w:val="24"/>
        </w:rPr>
        <w:t xml:space="preserve"> </w:t>
      </w:r>
      <w:r>
        <w:rPr>
          <w:rFonts w:ascii="宋体" w:hAnsi="宋体" w:eastAsia="宋体" w:cs="宋体"/>
          <w:spacing w:val="-2"/>
          <w:sz w:val="24"/>
          <w:szCs w:val="24"/>
        </w:rPr>
        <w:t>生上述情况是因为我方违法分包、转包或出让资质、挂靠投标造成的，承包人对发包人</w:t>
      </w:r>
      <w:r>
        <w:rPr>
          <w:rFonts w:ascii="宋体" w:hAnsi="宋体" w:eastAsia="宋体" w:cs="宋体"/>
          <w:spacing w:val="10"/>
          <w:sz w:val="24"/>
          <w:szCs w:val="24"/>
        </w:rPr>
        <w:t xml:space="preserve"> </w:t>
      </w:r>
      <w:r>
        <w:rPr>
          <w:rFonts w:ascii="宋体" w:hAnsi="宋体" w:eastAsia="宋体" w:cs="宋体"/>
          <w:spacing w:val="-2"/>
          <w:sz w:val="24"/>
          <w:szCs w:val="24"/>
        </w:rPr>
        <w:t>或发包人的上级主管部门、政府机构提出的取消中标资格、终止合同、行政处罚等违约</w:t>
      </w:r>
    </w:p>
    <w:p>
      <w:pPr>
        <w:spacing w:line="219" w:lineRule="auto"/>
        <w:ind w:left="10"/>
        <w:rPr>
          <w:rFonts w:ascii="宋体" w:hAnsi="宋体" w:eastAsia="宋体" w:cs="宋体"/>
          <w:sz w:val="24"/>
          <w:szCs w:val="24"/>
        </w:rPr>
      </w:pPr>
      <w:r>
        <w:rPr>
          <w:rFonts w:ascii="宋体" w:hAnsi="宋体" w:eastAsia="宋体" w:cs="宋体"/>
          <w:spacing w:val="-1"/>
          <w:sz w:val="24"/>
          <w:szCs w:val="24"/>
        </w:rPr>
        <w:t>金表示理解并无条件接受。</w:t>
      </w:r>
    </w:p>
    <w:p>
      <w:pPr>
        <w:spacing w:before="181" w:line="468" w:lineRule="exact"/>
        <w:ind w:left="489"/>
        <w:rPr>
          <w:rFonts w:ascii="宋体" w:hAnsi="宋体" w:eastAsia="宋体" w:cs="宋体"/>
          <w:sz w:val="24"/>
          <w:szCs w:val="24"/>
        </w:rPr>
      </w:pPr>
      <w:r>
        <w:rPr>
          <w:rFonts w:ascii="宋体" w:hAnsi="宋体" w:eastAsia="宋体" w:cs="宋体"/>
          <w:spacing w:val="-2"/>
          <w:position w:val="17"/>
          <w:sz w:val="24"/>
          <w:szCs w:val="24"/>
        </w:rPr>
        <w:t>十一、本保证书作为本项目施工承包合同的有效组成部分，纳入合同一并签署，在</w:t>
      </w:r>
    </w:p>
    <w:p>
      <w:pPr>
        <w:spacing w:line="218" w:lineRule="auto"/>
        <w:ind w:left="8"/>
        <w:rPr>
          <w:rFonts w:ascii="宋体" w:hAnsi="宋体" w:eastAsia="宋体" w:cs="宋体"/>
          <w:sz w:val="24"/>
          <w:szCs w:val="24"/>
        </w:rPr>
      </w:pPr>
      <w:r>
        <w:rPr>
          <w:rFonts w:ascii="宋体" w:hAnsi="宋体" w:eastAsia="宋体" w:cs="宋体"/>
          <w:spacing w:val="-2"/>
          <w:sz w:val="24"/>
          <w:szCs w:val="24"/>
        </w:rPr>
        <w:t>承包人法定代表人或委托代理人签署并加盖公章后生效，并保证在施工承包合同有效期</w:t>
      </w:r>
    </w:p>
    <w:p>
      <w:pPr>
        <w:spacing w:line="288" w:lineRule="auto"/>
        <w:rPr>
          <w:rFonts w:ascii="Arial"/>
          <w:sz w:val="21"/>
        </w:rPr>
      </w:pPr>
    </w:p>
    <w:p>
      <w:pPr>
        <w:spacing w:line="288" w:lineRule="auto"/>
        <w:rPr>
          <w:rFonts w:ascii="Arial"/>
          <w:sz w:val="21"/>
        </w:rPr>
      </w:pPr>
    </w:p>
    <w:p>
      <w:pPr>
        <w:spacing w:before="59" w:line="229" w:lineRule="auto"/>
        <w:ind w:left="20" w:right="291" w:hanging="15"/>
        <w:rPr>
          <w:rFonts w:ascii="宋体" w:hAnsi="宋体" w:eastAsia="宋体" w:cs="宋体"/>
          <w:sz w:val="18"/>
          <w:szCs w:val="18"/>
        </w:rPr>
      </w:pPr>
      <w:r>
        <w:rPr>
          <w:rFonts w:ascii="宋体" w:hAnsi="宋体" w:eastAsia="宋体" w:cs="宋体"/>
          <w:sz w:val="18"/>
          <w:szCs w:val="18"/>
        </w:rPr>
        <w:t>① 设置原则：按广东省交通运输厅转发人力</w:t>
      </w:r>
      <w:r>
        <w:rPr>
          <w:rFonts w:ascii="宋体" w:hAnsi="宋体" w:eastAsia="宋体" w:cs="宋体"/>
          <w:spacing w:val="-1"/>
          <w:sz w:val="18"/>
          <w:szCs w:val="18"/>
        </w:rPr>
        <w:t>资源社会保障部等部门《工程建设领域农民工工资保证金规定》的通知</w:t>
      </w:r>
      <w:r>
        <w:rPr>
          <w:rFonts w:ascii="宋体" w:hAnsi="宋体" w:eastAsia="宋体" w:cs="宋体"/>
          <w:sz w:val="18"/>
          <w:szCs w:val="18"/>
        </w:rPr>
        <w:t xml:space="preserve"> </w:t>
      </w:r>
      <w:r>
        <w:rPr>
          <w:rFonts w:ascii="宋体" w:hAnsi="宋体" w:eastAsia="宋体" w:cs="宋体"/>
          <w:spacing w:val="-4"/>
          <w:sz w:val="18"/>
          <w:szCs w:val="18"/>
        </w:rPr>
        <w:t>的规定执行。</w:t>
      </w:r>
    </w:p>
    <w:p>
      <w:pPr>
        <w:spacing w:line="425" w:lineRule="auto"/>
        <w:rPr>
          <w:rFonts w:ascii="Arial"/>
          <w:sz w:val="21"/>
        </w:rPr>
      </w:pPr>
    </w:p>
    <w:p>
      <w:pPr>
        <w:spacing w:before="78" w:line="219" w:lineRule="auto"/>
        <w:ind w:left="34"/>
        <w:rPr>
          <w:rFonts w:ascii="宋体" w:hAnsi="宋体" w:eastAsia="宋体" w:cs="宋体"/>
          <w:sz w:val="24"/>
          <w:szCs w:val="24"/>
        </w:rPr>
      </w:pPr>
      <w:r>
        <w:rPr>
          <w:rFonts w:ascii="宋体" w:hAnsi="宋体" w:eastAsia="宋体" w:cs="宋体"/>
          <w:spacing w:val="-5"/>
          <w:sz w:val="24"/>
          <w:szCs w:val="24"/>
        </w:rPr>
        <w:t>内一直保持有效。</w:t>
      </w:r>
    </w:p>
    <w:p>
      <w:pPr>
        <w:spacing w:line="283" w:lineRule="auto"/>
        <w:rPr>
          <w:rFonts w:ascii="Arial"/>
          <w:sz w:val="21"/>
        </w:rPr>
      </w:pPr>
    </w:p>
    <w:p>
      <w:pPr>
        <w:spacing w:line="283" w:lineRule="auto"/>
        <w:rPr>
          <w:rFonts w:ascii="Arial"/>
          <w:sz w:val="21"/>
        </w:rPr>
      </w:pPr>
    </w:p>
    <w:p>
      <w:pPr>
        <w:spacing w:before="78" w:line="219" w:lineRule="auto"/>
        <w:ind w:left="4565"/>
        <w:rPr>
          <w:rFonts w:ascii="宋体" w:hAnsi="宋体" w:eastAsia="宋体" w:cs="宋体"/>
          <w:sz w:val="24"/>
          <w:szCs w:val="24"/>
        </w:rPr>
      </w:pPr>
      <w:r>
        <w:rPr>
          <w:rFonts w:ascii="宋体" w:hAnsi="宋体" w:eastAsia="宋体" w:cs="宋体"/>
          <w:spacing w:val="-3"/>
          <w:sz w:val="24"/>
          <w:szCs w:val="24"/>
        </w:rPr>
        <w:t>承 包</w:t>
      </w:r>
      <w:r>
        <w:rPr>
          <w:rFonts w:ascii="宋体" w:hAnsi="宋体" w:eastAsia="宋体" w:cs="宋体"/>
          <w:spacing w:val="11"/>
          <w:sz w:val="24"/>
          <w:szCs w:val="24"/>
        </w:rPr>
        <w:t xml:space="preserve"> </w:t>
      </w:r>
      <w:r>
        <w:rPr>
          <w:rFonts w:ascii="宋体" w:hAnsi="宋体" w:eastAsia="宋体" w:cs="宋体"/>
          <w:spacing w:val="-3"/>
          <w:sz w:val="24"/>
          <w:szCs w:val="24"/>
        </w:rPr>
        <w:t>人（盖章</w:t>
      </w:r>
      <w:r>
        <w:rPr>
          <w:rFonts w:ascii="宋体" w:hAnsi="宋体" w:eastAsia="宋体" w:cs="宋体"/>
          <w:sz w:val="24"/>
          <w:szCs w:val="24"/>
        </w:rPr>
        <w:t>）：</w:t>
      </w:r>
      <w:r>
        <w:rPr>
          <w:rFonts w:ascii="宋体" w:hAnsi="宋体" w:eastAsia="宋体" w:cs="宋体"/>
          <w:sz w:val="24"/>
          <w:szCs w:val="24"/>
          <w:u w:val="single" w:color="auto"/>
        </w:rPr>
        <w:t xml:space="preserve">                 </w:t>
      </w:r>
    </w:p>
    <w:p>
      <w:pPr>
        <w:spacing w:before="181" w:line="219" w:lineRule="auto"/>
        <w:ind w:left="3459"/>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7"/>
          <w:sz w:val="24"/>
          <w:szCs w:val="24"/>
        </w:rPr>
        <w:t>：（</w:t>
      </w:r>
      <w:r>
        <w:rPr>
          <w:rFonts w:ascii="宋体" w:hAnsi="宋体" w:eastAsia="宋体" w:cs="宋体"/>
          <w:spacing w:val="1"/>
          <w:sz w:val="24"/>
          <w:szCs w:val="24"/>
        </w:rPr>
        <w:t>签字）</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p>
    <w:p>
      <w:pPr>
        <w:tabs>
          <w:tab w:val="left" w:pos="6595"/>
        </w:tabs>
        <w:spacing w:before="183" w:line="219" w:lineRule="auto"/>
        <w:ind w:left="5755"/>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spacing w:line="413" w:lineRule="auto"/>
        <w:rPr>
          <w:rFonts w:ascii="Arial"/>
          <w:sz w:val="21"/>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5"/>
        <w:rPr>
          <w:rFonts w:ascii="宋体" w:hAnsi="宋体" w:eastAsia="宋体" w:cs="宋体"/>
          <w:sz w:val="30"/>
          <w:szCs w:val="30"/>
        </w:rPr>
      </w:pPr>
      <w:r>
        <w:rPr>
          <w:rFonts w:ascii="宋体" w:hAnsi="宋体" w:eastAsia="宋体" w:cs="宋体"/>
          <w:spacing w:val="-7"/>
          <w:sz w:val="30"/>
          <w:szCs w:val="30"/>
          <w14:textOutline w14:w="5448" w14:cap="sq" w14:cmpd="sng">
            <w14:solidFill>
              <w14:srgbClr w14:val="000000"/>
            </w14:solidFill>
            <w14:prstDash w14:val="solid"/>
            <w14:bevel/>
          </w14:textOutline>
        </w:rPr>
        <w:t>附件十四：</w:t>
      </w:r>
    </w:p>
    <w:p>
      <w:pPr>
        <w:spacing w:before="227" w:line="584" w:lineRule="exact"/>
        <w:ind w:left="2669"/>
        <w:rPr>
          <w:rFonts w:ascii="宋体" w:hAnsi="宋体" w:eastAsia="宋体" w:cs="宋体"/>
          <w:sz w:val="30"/>
          <w:szCs w:val="30"/>
        </w:rPr>
      </w:pPr>
      <w:r>
        <w:rPr>
          <w:rFonts w:ascii="宋体" w:hAnsi="宋体" w:eastAsia="宋体" w:cs="宋体"/>
          <w:spacing w:val="37"/>
          <w:position w:val="21"/>
          <w:sz w:val="30"/>
          <w:szCs w:val="30"/>
          <w14:textOutline w14:w="5448" w14:cap="sq" w14:cmpd="sng">
            <w14:solidFill>
              <w14:srgbClr w14:val="000000"/>
            </w14:solidFill>
            <w14:prstDash w14:val="solid"/>
            <w14:bevel/>
          </w14:textOutline>
        </w:rPr>
        <w:t>房屋建筑工程质量保修书</w:t>
      </w:r>
    </w:p>
    <w:p>
      <w:pPr>
        <w:spacing w:line="218" w:lineRule="auto"/>
        <w:ind w:left="2602"/>
        <w:rPr>
          <w:rFonts w:ascii="宋体" w:hAnsi="宋体" w:eastAsia="宋体" w:cs="宋体"/>
          <w:sz w:val="30"/>
          <w:szCs w:val="30"/>
        </w:rPr>
      </w:pPr>
      <w:r>
        <w:rPr>
          <w:rFonts w:ascii="宋体" w:hAnsi="宋体" w:eastAsia="宋体" w:cs="宋体"/>
          <w:spacing w:val="-1"/>
          <w:sz w:val="30"/>
          <w:szCs w:val="30"/>
          <w14:textOutline w14:w="5448" w14:cap="sq" w14:cmpd="sng">
            <w14:solidFill>
              <w14:srgbClr w14:val="000000"/>
            </w14:solidFill>
            <w14:prstDash w14:val="solid"/>
            <w14:bevel/>
          </w14:textOutline>
        </w:rPr>
        <w:t>（仅适用于附属区房建工程）</w:t>
      </w:r>
    </w:p>
    <w:p>
      <w:pPr>
        <w:spacing w:before="219" w:line="360" w:lineRule="auto"/>
        <w:ind w:left="433"/>
        <w:rPr>
          <w:rFonts w:ascii="宋体" w:hAnsi="宋体" w:eastAsia="宋体" w:cs="宋体"/>
          <w:sz w:val="24"/>
          <w:szCs w:val="24"/>
        </w:rPr>
      </w:pPr>
      <w:r>
        <w:rPr>
          <w:rFonts w:ascii="宋体" w:hAnsi="宋体" w:eastAsia="宋体" w:cs="宋体"/>
          <w:spacing w:val="-3"/>
          <w:sz w:val="24"/>
          <w:szCs w:val="24"/>
        </w:rPr>
        <w:t>发包人（全称</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pPr>
        <w:spacing w:line="219" w:lineRule="auto"/>
        <w:ind w:left="489"/>
        <w:rPr>
          <w:rFonts w:ascii="宋体" w:hAnsi="宋体" w:eastAsia="宋体" w:cs="宋体"/>
          <w:sz w:val="24"/>
          <w:szCs w:val="24"/>
        </w:rPr>
      </w:pPr>
      <w:r>
        <w:rPr>
          <w:rFonts w:ascii="宋体" w:hAnsi="宋体" w:eastAsia="宋体" w:cs="宋体"/>
          <w:spacing w:val="-2"/>
          <w:sz w:val="24"/>
          <w:szCs w:val="24"/>
        </w:rPr>
        <w:t>承包人（全称</w:t>
      </w:r>
      <w:r>
        <w:rPr>
          <w:rFonts w:ascii="宋体" w:hAnsi="宋体" w:eastAsia="宋体" w:cs="宋体"/>
          <w:sz w:val="24"/>
          <w:szCs w:val="24"/>
        </w:rPr>
        <w:t>）：</w:t>
      </w:r>
      <w:r>
        <w:rPr>
          <w:rFonts w:ascii="宋体" w:hAnsi="宋体" w:eastAsia="宋体" w:cs="宋体"/>
          <w:sz w:val="24"/>
          <w:szCs w:val="24"/>
          <w:u w:val="single" w:color="auto"/>
        </w:rPr>
        <w:t xml:space="preserve">                             </w:t>
      </w:r>
    </w:p>
    <w:p>
      <w:pPr>
        <w:spacing w:before="181" w:line="359" w:lineRule="auto"/>
        <w:ind w:left="11" w:right="291" w:firstLine="481"/>
        <w:rPr>
          <w:rFonts w:ascii="宋体" w:hAnsi="宋体" w:eastAsia="宋体" w:cs="宋体"/>
          <w:sz w:val="24"/>
          <w:szCs w:val="24"/>
        </w:rPr>
      </w:pPr>
      <w:r>
        <w:rPr>
          <w:rFonts w:ascii="宋体" w:hAnsi="宋体" w:eastAsia="宋体" w:cs="宋体"/>
          <w:spacing w:val="-8"/>
          <w:sz w:val="24"/>
          <w:szCs w:val="24"/>
        </w:rPr>
        <w:t>发包人、承包人根据《中华人民共和国建筑法》、《建设</w:t>
      </w:r>
      <w:r>
        <w:rPr>
          <w:rFonts w:ascii="宋体" w:hAnsi="宋体" w:eastAsia="宋体" w:cs="宋体"/>
          <w:spacing w:val="-9"/>
          <w:sz w:val="24"/>
          <w:szCs w:val="24"/>
        </w:rPr>
        <w:t>工程质量管理条例》和《房</w:t>
      </w:r>
      <w:r>
        <w:rPr>
          <w:rFonts w:ascii="宋体" w:hAnsi="宋体" w:eastAsia="宋体" w:cs="宋体"/>
          <w:sz w:val="24"/>
          <w:szCs w:val="24"/>
        </w:rPr>
        <w:t xml:space="preserve"> 屋建筑工程质量保修办法》，经协商一致，对</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（工程全称）签定工程</w:t>
      </w:r>
    </w:p>
    <w:p>
      <w:pPr>
        <w:spacing w:line="218" w:lineRule="auto"/>
        <w:ind w:left="10"/>
        <w:rPr>
          <w:rFonts w:ascii="宋体" w:hAnsi="宋体" w:eastAsia="宋体" w:cs="宋体"/>
          <w:sz w:val="24"/>
          <w:szCs w:val="24"/>
        </w:rPr>
      </w:pPr>
      <w:r>
        <w:rPr>
          <w:rFonts w:ascii="宋体" w:hAnsi="宋体" w:eastAsia="宋体" w:cs="宋体"/>
          <w:spacing w:val="-2"/>
          <w:sz w:val="24"/>
          <w:szCs w:val="24"/>
        </w:rPr>
        <w:t>质量保修书。</w:t>
      </w:r>
    </w:p>
    <w:p>
      <w:pPr>
        <w:spacing w:before="185" w:line="219" w:lineRule="auto"/>
        <w:ind w:left="489"/>
        <w:rPr>
          <w:rFonts w:ascii="宋体" w:hAnsi="宋体" w:eastAsia="宋体" w:cs="宋体"/>
          <w:sz w:val="24"/>
          <w:szCs w:val="24"/>
        </w:rPr>
      </w:pPr>
      <w:r>
        <w:rPr>
          <w:rFonts w:ascii="宋体" w:hAnsi="宋体" w:eastAsia="宋体" w:cs="宋体"/>
          <w:spacing w:val="6"/>
          <w:sz w:val="24"/>
          <w:szCs w:val="24"/>
        </w:rPr>
        <w:t>第一条  工程质量保修范围和内容</w:t>
      </w:r>
    </w:p>
    <w:p>
      <w:pPr>
        <w:spacing w:before="180" w:line="468" w:lineRule="exact"/>
        <w:ind w:left="489"/>
        <w:rPr>
          <w:rFonts w:ascii="宋体" w:hAnsi="宋体" w:eastAsia="宋体" w:cs="宋体"/>
          <w:sz w:val="24"/>
          <w:szCs w:val="24"/>
        </w:rPr>
      </w:pPr>
      <w:r>
        <w:rPr>
          <w:rFonts w:ascii="宋体" w:hAnsi="宋体" w:eastAsia="宋体" w:cs="宋体"/>
          <w:spacing w:val="-2"/>
          <w:position w:val="17"/>
          <w:sz w:val="24"/>
          <w:szCs w:val="24"/>
        </w:rPr>
        <w:t>承包人在质量保修期内，按照有关法律、法规、规章的管理规定和双方约定，承担</w:t>
      </w:r>
    </w:p>
    <w:p>
      <w:pPr>
        <w:spacing w:before="1" w:line="218" w:lineRule="auto"/>
        <w:ind w:left="10"/>
        <w:rPr>
          <w:rFonts w:ascii="宋体" w:hAnsi="宋体" w:eastAsia="宋体" w:cs="宋体"/>
          <w:sz w:val="24"/>
          <w:szCs w:val="24"/>
        </w:rPr>
      </w:pPr>
      <w:r>
        <w:rPr>
          <w:rFonts w:ascii="宋体" w:hAnsi="宋体" w:eastAsia="宋体" w:cs="宋体"/>
          <w:spacing w:val="-2"/>
          <w:sz w:val="24"/>
          <w:szCs w:val="24"/>
        </w:rPr>
        <w:t>本工程质量保修责任。</w:t>
      </w:r>
    </w:p>
    <w:p>
      <w:pPr>
        <w:spacing w:before="181" w:line="359" w:lineRule="auto"/>
        <w:ind w:left="11" w:right="291" w:firstLine="479"/>
        <w:rPr>
          <w:rFonts w:ascii="宋体" w:hAnsi="宋体" w:eastAsia="宋体" w:cs="宋体"/>
          <w:sz w:val="24"/>
          <w:szCs w:val="24"/>
        </w:rPr>
      </w:pPr>
      <w:r>
        <w:rPr>
          <w:rFonts w:ascii="宋体" w:hAnsi="宋体" w:eastAsia="宋体" w:cs="宋体"/>
          <w:spacing w:val="-2"/>
          <w:sz w:val="24"/>
          <w:szCs w:val="24"/>
        </w:rPr>
        <w:t>质量保修范围包括地基基础工程、主体结构工程，屋面防水工程、有防水要求的卫</w:t>
      </w:r>
      <w:r>
        <w:rPr>
          <w:rFonts w:ascii="宋体" w:hAnsi="宋体" w:eastAsia="宋体" w:cs="宋体"/>
          <w:spacing w:val="7"/>
          <w:sz w:val="24"/>
          <w:szCs w:val="24"/>
        </w:rPr>
        <w:t xml:space="preserve"> </w:t>
      </w:r>
      <w:r>
        <w:rPr>
          <w:rFonts w:ascii="宋体" w:hAnsi="宋体" w:eastAsia="宋体" w:cs="宋体"/>
          <w:spacing w:val="-2"/>
          <w:sz w:val="24"/>
          <w:szCs w:val="24"/>
        </w:rPr>
        <w:t>生间、房间和外墙面的防渗漏，供热与供冷系统，电气管线、给排水管道、设备安装和</w:t>
      </w:r>
    </w:p>
    <w:p>
      <w:pPr>
        <w:spacing w:before="1" w:line="219" w:lineRule="auto"/>
        <w:ind w:left="9"/>
        <w:rPr>
          <w:rFonts w:ascii="宋体" w:hAnsi="宋体" w:eastAsia="宋体" w:cs="宋体"/>
          <w:sz w:val="24"/>
          <w:szCs w:val="24"/>
        </w:rPr>
      </w:pPr>
      <w:r>
        <w:rPr>
          <w:rFonts w:ascii="宋体" w:hAnsi="宋体" w:eastAsia="宋体" w:cs="宋体"/>
          <w:sz w:val="24"/>
          <w:szCs w:val="24"/>
        </w:rPr>
        <w:t>装修工程，以及双方约定的其他项目。具体保修</w:t>
      </w:r>
      <w:r>
        <w:rPr>
          <w:rFonts w:ascii="宋体" w:hAnsi="宋体" w:eastAsia="宋体" w:cs="宋体"/>
          <w:spacing w:val="-1"/>
          <w:sz w:val="24"/>
          <w:szCs w:val="24"/>
        </w:rPr>
        <w:t>的内容，双方约定如下：</w:t>
      </w:r>
    </w:p>
    <w:p>
      <w:pPr>
        <w:spacing w:line="258" w:lineRule="auto"/>
        <w:rPr>
          <w:rFonts w:ascii="Arial"/>
          <w:sz w:val="21"/>
        </w:rPr>
      </w:pPr>
    </w:p>
    <w:p>
      <w:pPr>
        <w:spacing w:before="78" w:line="78" w:lineRule="exact"/>
        <w:ind w:left="7952"/>
        <w:rPr>
          <w:rFonts w:ascii="宋体" w:hAnsi="宋体" w:eastAsia="宋体" w:cs="宋体"/>
          <w:sz w:val="24"/>
          <w:szCs w:val="24"/>
        </w:rPr>
      </w:pPr>
      <w:r>
        <w:rPr>
          <w:rFonts w:ascii="宋体" w:hAnsi="宋体" w:eastAsia="宋体" w:cs="宋体"/>
          <w:sz w:val="24"/>
          <w:szCs w:val="24"/>
        </w:rPr>
        <w:t>。</w:t>
      </w:r>
    </w:p>
    <w:p>
      <w:pPr>
        <w:spacing w:line="43" w:lineRule="exact"/>
        <w:rPr>
          <w:rFonts w:ascii="宋体" w:hAnsi="宋体" w:eastAsia="宋体" w:cs="宋体"/>
          <w:sz w:val="24"/>
          <w:szCs w:val="24"/>
        </w:rPr>
      </w:pPr>
      <w:r>
        <w:rPr>
          <w:rFonts w:ascii="宋体" w:hAnsi="宋体" w:eastAsia="宋体" w:cs="宋体"/>
          <w:position w:val="4"/>
          <w:sz w:val="24"/>
          <w:szCs w:val="24"/>
        </w:rPr>
        <w:t>__________________________________________________________________</w:t>
      </w:r>
    </w:p>
    <w:p>
      <w:pPr>
        <w:spacing w:before="193" w:line="219" w:lineRule="auto"/>
        <w:ind w:left="489"/>
        <w:rPr>
          <w:rFonts w:ascii="宋体" w:hAnsi="宋体" w:eastAsia="宋体" w:cs="宋体"/>
          <w:sz w:val="24"/>
          <w:szCs w:val="24"/>
        </w:rPr>
      </w:pPr>
      <w:r>
        <w:rPr>
          <w:rFonts w:ascii="宋体" w:hAnsi="宋体" w:eastAsia="宋体" w:cs="宋体"/>
          <w:spacing w:val="3"/>
          <w:sz w:val="24"/>
          <w:szCs w:val="24"/>
        </w:rPr>
        <w:t>第二条</w:t>
      </w:r>
      <w:r>
        <w:rPr>
          <w:rFonts w:ascii="宋体" w:hAnsi="宋体" w:eastAsia="宋体" w:cs="宋体"/>
          <w:spacing w:val="18"/>
          <w:sz w:val="24"/>
          <w:szCs w:val="24"/>
        </w:rPr>
        <w:t xml:space="preserve">  </w:t>
      </w:r>
      <w:r>
        <w:rPr>
          <w:rFonts w:ascii="宋体" w:hAnsi="宋体" w:eastAsia="宋体" w:cs="宋体"/>
          <w:spacing w:val="3"/>
          <w:sz w:val="24"/>
          <w:szCs w:val="24"/>
        </w:rPr>
        <w:t>质量保修期</w:t>
      </w:r>
    </w:p>
    <w:p>
      <w:pPr>
        <w:spacing w:before="180" w:line="468" w:lineRule="exact"/>
        <w:ind w:left="489"/>
        <w:rPr>
          <w:rFonts w:ascii="宋体" w:hAnsi="宋体" w:eastAsia="宋体" w:cs="宋体"/>
          <w:sz w:val="24"/>
          <w:szCs w:val="24"/>
        </w:rPr>
      </w:pPr>
      <w:r>
        <w:rPr>
          <w:rFonts w:ascii="宋体" w:hAnsi="宋体" w:eastAsia="宋体" w:cs="宋体"/>
          <w:position w:val="17"/>
          <w:sz w:val="24"/>
          <w:szCs w:val="24"/>
        </w:rPr>
        <w:t>双方根据《建设工程质量管理条例》及有关规定，约定本</w:t>
      </w:r>
      <w:r>
        <w:rPr>
          <w:rFonts w:ascii="宋体" w:hAnsi="宋体" w:eastAsia="宋体" w:cs="宋体"/>
          <w:spacing w:val="-1"/>
          <w:position w:val="17"/>
          <w:sz w:val="24"/>
          <w:szCs w:val="24"/>
        </w:rPr>
        <w:t>工程的质量保修期如下：</w:t>
      </w:r>
    </w:p>
    <w:p>
      <w:pPr>
        <w:spacing w:before="1" w:line="219" w:lineRule="auto"/>
        <w:ind w:left="570"/>
        <w:rPr>
          <w:rFonts w:ascii="宋体" w:hAnsi="宋体" w:eastAsia="宋体" w:cs="宋体"/>
          <w:sz w:val="24"/>
          <w:szCs w:val="24"/>
        </w:rPr>
      </w:pPr>
      <w:r>
        <w:rPr>
          <w:rFonts w:ascii="宋体" w:hAnsi="宋体" w:eastAsia="宋体" w:cs="宋体"/>
          <w:spacing w:val="-3"/>
          <w:sz w:val="24"/>
          <w:szCs w:val="24"/>
        </w:rPr>
        <w:t>⒈ 地基基础工程和主体结构工程为设计文件规定的该工程合理使用年限；</w:t>
      </w:r>
    </w:p>
    <w:p>
      <w:pPr>
        <w:spacing w:before="180" w:line="358" w:lineRule="auto"/>
        <w:ind w:left="556"/>
        <w:rPr>
          <w:rFonts w:ascii="宋体" w:hAnsi="宋体" w:eastAsia="宋体" w:cs="宋体"/>
          <w:sz w:val="24"/>
          <w:szCs w:val="24"/>
        </w:rPr>
      </w:pPr>
      <w:r>
        <w:rPr>
          <w:rFonts w:ascii="宋体" w:hAnsi="宋体" w:eastAsia="宋体" w:cs="宋体"/>
          <w:spacing w:val="-2"/>
          <w:sz w:val="24"/>
          <w:szCs w:val="24"/>
        </w:rPr>
        <w:t>⒉ 屋面防水工程、有防水要求的卫生间、房间和</w:t>
      </w:r>
      <w:r>
        <w:rPr>
          <w:rFonts w:ascii="宋体" w:hAnsi="宋体" w:eastAsia="宋体" w:cs="宋体"/>
          <w:spacing w:val="-3"/>
          <w:sz w:val="24"/>
          <w:szCs w:val="24"/>
        </w:rPr>
        <w:t>外墙面的防渗漏为</w:t>
      </w:r>
      <w:r>
        <w:rPr>
          <w:rFonts w:ascii="宋体" w:hAnsi="宋体" w:eastAsia="宋体" w:cs="宋体"/>
          <w:spacing w:val="-3"/>
          <w:sz w:val="24"/>
          <w:szCs w:val="24"/>
          <w:u w:val="single" w:color="auto"/>
        </w:rPr>
        <w:t xml:space="preserve">  5  </w:t>
      </w:r>
      <w:r>
        <w:rPr>
          <w:rFonts w:ascii="宋体" w:hAnsi="宋体" w:eastAsia="宋体" w:cs="宋体"/>
          <w:spacing w:val="-109"/>
          <w:sz w:val="24"/>
          <w:szCs w:val="24"/>
        </w:rPr>
        <w:t xml:space="preserve"> </w:t>
      </w:r>
      <w:r>
        <w:rPr>
          <w:rFonts w:ascii="宋体" w:hAnsi="宋体" w:eastAsia="宋体" w:cs="宋体"/>
          <w:spacing w:val="-3"/>
          <w:sz w:val="24"/>
          <w:szCs w:val="24"/>
        </w:rPr>
        <w:t>年；</w:t>
      </w:r>
    </w:p>
    <w:p>
      <w:pPr>
        <w:spacing w:before="1" w:line="219" w:lineRule="auto"/>
        <w:ind w:left="558"/>
        <w:rPr>
          <w:rFonts w:ascii="宋体" w:hAnsi="宋体" w:eastAsia="宋体" w:cs="宋体"/>
          <w:sz w:val="24"/>
          <w:szCs w:val="24"/>
        </w:rPr>
      </w:pPr>
      <w:r>
        <w:rPr>
          <w:rFonts w:ascii="宋体" w:hAnsi="宋体" w:eastAsia="宋体" w:cs="宋体"/>
          <w:spacing w:val="-11"/>
          <w:sz w:val="24"/>
          <w:szCs w:val="24"/>
        </w:rPr>
        <w:t>⒊ 装修工程为</w:t>
      </w:r>
      <w:r>
        <w:rPr>
          <w:rFonts w:ascii="宋体" w:hAnsi="宋体" w:eastAsia="宋体" w:cs="宋体"/>
          <w:spacing w:val="9"/>
          <w:sz w:val="24"/>
          <w:szCs w:val="24"/>
          <w:u w:val="single" w:color="auto"/>
        </w:rPr>
        <w:t xml:space="preserve">  </w:t>
      </w:r>
      <w:r>
        <w:rPr>
          <w:rFonts w:ascii="宋体" w:hAnsi="宋体" w:eastAsia="宋体" w:cs="宋体"/>
          <w:spacing w:val="-11"/>
          <w:sz w:val="24"/>
          <w:szCs w:val="24"/>
          <w:u w:val="single" w:color="auto"/>
        </w:rPr>
        <w:t>2</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1"/>
          <w:sz w:val="24"/>
          <w:szCs w:val="24"/>
        </w:rPr>
        <w:t>年；</w:t>
      </w:r>
    </w:p>
    <w:p>
      <w:pPr>
        <w:spacing w:before="182" w:line="360" w:lineRule="auto"/>
        <w:ind w:left="549"/>
        <w:rPr>
          <w:rFonts w:ascii="宋体" w:hAnsi="宋体" w:eastAsia="宋体" w:cs="宋体"/>
          <w:sz w:val="24"/>
          <w:szCs w:val="24"/>
        </w:rPr>
      </w:pPr>
      <w:r>
        <w:rPr>
          <w:rFonts w:ascii="宋体" w:hAnsi="宋体" w:eastAsia="宋体" w:cs="宋体"/>
          <w:spacing w:val="-5"/>
          <w:sz w:val="24"/>
          <w:szCs w:val="24"/>
        </w:rPr>
        <w:t>⒋</w:t>
      </w:r>
      <w:r>
        <w:rPr>
          <w:rFonts w:ascii="宋体" w:hAnsi="宋体" w:eastAsia="宋体" w:cs="宋体"/>
          <w:spacing w:val="49"/>
          <w:sz w:val="24"/>
          <w:szCs w:val="24"/>
        </w:rPr>
        <w:t xml:space="preserve"> </w:t>
      </w:r>
      <w:r>
        <w:rPr>
          <w:rFonts w:ascii="宋体" w:hAnsi="宋体" w:eastAsia="宋体" w:cs="宋体"/>
          <w:spacing w:val="-5"/>
          <w:sz w:val="24"/>
          <w:szCs w:val="24"/>
        </w:rPr>
        <w:t>电气管线、给排水管道、设备安装工程为</w:t>
      </w:r>
      <w:r>
        <w:rPr>
          <w:rFonts w:ascii="宋体" w:hAnsi="宋体" w:eastAsia="宋体" w:cs="宋体"/>
          <w:spacing w:val="-5"/>
          <w:sz w:val="24"/>
          <w:szCs w:val="24"/>
          <w:u w:val="single" w:color="auto"/>
        </w:rPr>
        <w:t xml:space="preserve">  2  </w:t>
      </w:r>
      <w:r>
        <w:rPr>
          <w:rFonts w:ascii="宋体" w:hAnsi="宋体" w:eastAsia="宋体" w:cs="宋体"/>
          <w:spacing w:val="-110"/>
          <w:sz w:val="24"/>
          <w:szCs w:val="24"/>
        </w:rPr>
        <w:t xml:space="preserve"> </w:t>
      </w:r>
      <w:r>
        <w:rPr>
          <w:rFonts w:ascii="宋体" w:hAnsi="宋体" w:eastAsia="宋体" w:cs="宋体"/>
          <w:spacing w:val="-5"/>
          <w:sz w:val="24"/>
          <w:szCs w:val="24"/>
        </w:rPr>
        <w:t>年；</w:t>
      </w:r>
    </w:p>
    <w:p>
      <w:pPr>
        <w:spacing w:before="1" w:line="218" w:lineRule="auto"/>
        <w:ind w:left="555"/>
        <w:rPr>
          <w:rFonts w:ascii="宋体" w:hAnsi="宋体" w:eastAsia="宋体" w:cs="宋体"/>
          <w:sz w:val="24"/>
          <w:szCs w:val="24"/>
        </w:rPr>
      </w:pPr>
      <w:r>
        <w:rPr>
          <w:rFonts w:ascii="宋体" w:hAnsi="宋体" w:eastAsia="宋体" w:cs="宋体"/>
          <w:spacing w:val="-4"/>
          <w:sz w:val="24"/>
          <w:szCs w:val="24"/>
        </w:rPr>
        <w:t>⒌ 供热与供冷系统为</w:t>
      </w:r>
      <w:r>
        <w:rPr>
          <w:rFonts w:ascii="宋体" w:hAnsi="宋体" w:eastAsia="宋体" w:cs="宋体"/>
          <w:spacing w:val="-4"/>
          <w:sz w:val="24"/>
          <w:szCs w:val="24"/>
          <w:u w:val="single" w:color="auto"/>
        </w:rPr>
        <w:t xml:space="preserve">  2  </w:t>
      </w:r>
      <w:r>
        <w:rPr>
          <w:rFonts w:ascii="宋体" w:hAnsi="宋体" w:eastAsia="宋体" w:cs="宋体"/>
          <w:spacing w:val="-101"/>
          <w:sz w:val="24"/>
          <w:szCs w:val="24"/>
        </w:rPr>
        <w:t xml:space="preserve"> </w:t>
      </w:r>
      <w:r>
        <w:rPr>
          <w:rFonts w:ascii="宋体" w:hAnsi="宋体" w:eastAsia="宋体" w:cs="宋体"/>
          <w:spacing w:val="-4"/>
          <w:sz w:val="24"/>
          <w:szCs w:val="24"/>
        </w:rPr>
        <w:t>个采暖期、供冷期；</w:t>
      </w:r>
    </w:p>
    <w:p>
      <w:pPr>
        <w:spacing w:before="182" w:line="360" w:lineRule="auto"/>
        <w:ind w:left="558"/>
        <w:rPr>
          <w:rFonts w:ascii="宋体" w:hAnsi="宋体" w:eastAsia="宋体" w:cs="宋体"/>
          <w:sz w:val="24"/>
          <w:szCs w:val="24"/>
        </w:rPr>
      </w:pPr>
      <w:r>
        <w:rPr>
          <w:rFonts w:ascii="宋体" w:hAnsi="宋体" w:eastAsia="宋体" w:cs="宋体"/>
          <w:spacing w:val="-3"/>
          <w:sz w:val="24"/>
          <w:szCs w:val="24"/>
        </w:rPr>
        <w:t>⒍ 住宅小区内的给排水设施、道路、电力等配套工程为</w:t>
      </w:r>
      <w:r>
        <w:rPr>
          <w:rFonts w:ascii="宋体" w:hAnsi="宋体" w:eastAsia="宋体" w:cs="宋体"/>
          <w:spacing w:val="-3"/>
          <w:sz w:val="24"/>
          <w:szCs w:val="24"/>
          <w:u w:val="single" w:color="auto"/>
        </w:rPr>
        <w:t xml:space="preserve">  2  </w:t>
      </w:r>
      <w:r>
        <w:rPr>
          <w:rFonts w:ascii="宋体" w:hAnsi="宋体" w:eastAsia="宋体" w:cs="宋体"/>
          <w:spacing w:val="-104"/>
          <w:sz w:val="24"/>
          <w:szCs w:val="24"/>
        </w:rPr>
        <w:t xml:space="preserve"> </w:t>
      </w:r>
      <w:r>
        <w:rPr>
          <w:rFonts w:ascii="宋体" w:hAnsi="宋体" w:eastAsia="宋体" w:cs="宋体"/>
          <w:spacing w:val="-3"/>
          <w:sz w:val="24"/>
          <w:szCs w:val="24"/>
        </w:rPr>
        <w:t>年；</w:t>
      </w:r>
    </w:p>
    <w:p>
      <w:pPr>
        <w:spacing w:line="219" w:lineRule="auto"/>
        <w:ind w:left="552"/>
        <w:rPr>
          <w:rFonts w:ascii="宋体" w:hAnsi="宋体" w:eastAsia="宋体" w:cs="宋体"/>
          <w:sz w:val="24"/>
          <w:szCs w:val="24"/>
        </w:rPr>
      </w:pPr>
      <w:r>
        <w:rPr>
          <w:rFonts w:ascii="宋体" w:hAnsi="宋体" w:eastAsia="宋体" w:cs="宋体"/>
          <w:spacing w:val="-5"/>
          <w:sz w:val="24"/>
          <w:szCs w:val="24"/>
        </w:rPr>
        <w:t>⒎ 其他项目保修期限约定如下：</w:t>
      </w:r>
    </w:p>
    <w:p>
      <w:pPr>
        <w:spacing w:line="255" w:lineRule="auto"/>
        <w:rPr>
          <w:rFonts w:ascii="Arial"/>
          <w:sz w:val="21"/>
        </w:rPr>
      </w:pPr>
    </w:p>
    <w:p>
      <w:pPr>
        <w:spacing w:before="79" w:line="78" w:lineRule="exact"/>
        <w:ind w:left="7712"/>
        <w:rPr>
          <w:rFonts w:ascii="宋体" w:hAnsi="宋体" w:eastAsia="宋体" w:cs="宋体"/>
          <w:sz w:val="24"/>
          <w:szCs w:val="24"/>
        </w:rPr>
      </w:pPr>
      <w:r>
        <w:rPr>
          <w:rFonts w:ascii="宋体" w:hAnsi="宋体" w:eastAsia="宋体" w:cs="宋体"/>
          <w:sz w:val="24"/>
          <w:szCs w:val="24"/>
        </w:rPr>
        <w:t>。</w:t>
      </w:r>
    </w:p>
    <w:p>
      <w:pPr>
        <w:spacing w:line="43" w:lineRule="exact"/>
        <w:ind w:left="720"/>
        <w:rPr>
          <w:rFonts w:ascii="宋体" w:hAnsi="宋体" w:eastAsia="宋体" w:cs="宋体"/>
          <w:sz w:val="24"/>
          <w:szCs w:val="24"/>
        </w:rPr>
      </w:pPr>
      <w:r>
        <w:rPr>
          <w:rFonts w:ascii="宋体" w:hAnsi="宋体" w:eastAsia="宋体" w:cs="宋体"/>
          <w:position w:val="4"/>
          <w:sz w:val="24"/>
          <w:szCs w:val="24"/>
        </w:rPr>
        <w:t>__________________________________________________________</w:t>
      </w:r>
    </w:p>
    <w:p>
      <w:pPr>
        <w:spacing w:before="192" w:line="466" w:lineRule="exact"/>
        <w:ind w:left="490"/>
        <w:rPr>
          <w:rFonts w:ascii="宋体" w:hAnsi="宋体" w:eastAsia="宋体" w:cs="宋体"/>
          <w:sz w:val="24"/>
          <w:szCs w:val="24"/>
        </w:rPr>
      </w:pPr>
      <w:r>
        <w:rPr>
          <w:rFonts w:ascii="宋体" w:hAnsi="宋体" w:eastAsia="宋体" w:cs="宋体"/>
          <w:spacing w:val="-1"/>
          <w:position w:val="17"/>
          <w:sz w:val="24"/>
          <w:szCs w:val="24"/>
        </w:rPr>
        <w:t>质量保修期自工程竣工验收合格之日起计算。</w:t>
      </w:r>
    </w:p>
    <w:p>
      <w:pPr>
        <w:spacing w:line="219" w:lineRule="auto"/>
        <w:ind w:left="489"/>
        <w:rPr>
          <w:rFonts w:ascii="宋体" w:hAnsi="宋体" w:eastAsia="宋体" w:cs="宋体"/>
          <w:sz w:val="24"/>
          <w:szCs w:val="24"/>
        </w:rPr>
      </w:pPr>
      <w:r>
        <w:rPr>
          <w:rFonts w:ascii="宋体" w:hAnsi="宋体" w:eastAsia="宋体" w:cs="宋体"/>
          <w:spacing w:val="4"/>
          <w:sz w:val="24"/>
          <w:szCs w:val="24"/>
        </w:rPr>
        <w:t>第三条</w:t>
      </w:r>
      <w:r>
        <w:rPr>
          <w:rFonts w:ascii="宋体" w:hAnsi="宋体" w:eastAsia="宋体" w:cs="宋体"/>
          <w:spacing w:val="17"/>
          <w:sz w:val="24"/>
          <w:szCs w:val="24"/>
        </w:rPr>
        <w:t xml:space="preserve">  </w:t>
      </w:r>
      <w:r>
        <w:rPr>
          <w:rFonts w:ascii="宋体" w:hAnsi="宋体" w:eastAsia="宋体" w:cs="宋体"/>
          <w:spacing w:val="4"/>
          <w:sz w:val="24"/>
          <w:szCs w:val="24"/>
        </w:rPr>
        <w:t>质量保修责任</w:t>
      </w:r>
    </w:p>
    <w:p>
      <w:pPr>
        <w:spacing w:before="183" w:line="465" w:lineRule="exact"/>
        <w:ind w:left="570"/>
        <w:rPr>
          <w:rFonts w:ascii="宋体" w:hAnsi="宋体" w:eastAsia="宋体" w:cs="宋体"/>
          <w:sz w:val="24"/>
          <w:szCs w:val="24"/>
        </w:rPr>
      </w:pPr>
      <w:r>
        <w:rPr>
          <w:rFonts w:ascii="宋体" w:hAnsi="宋体" w:eastAsia="宋体" w:cs="宋体"/>
          <w:spacing w:val="-7"/>
          <w:position w:val="17"/>
          <w:sz w:val="24"/>
          <w:szCs w:val="24"/>
        </w:rPr>
        <w:t>⒈ 属于保修范围、内容的项目，承包人应当在接到保修通知之日起7天内派人保修。</w:t>
      </w:r>
    </w:p>
    <w:p>
      <w:pPr>
        <w:spacing w:before="1" w:line="219" w:lineRule="auto"/>
        <w:ind w:left="9"/>
        <w:rPr>
          <w:rFonts w:ascii="宋体" w:hAnsi="宋体" w:eastAsia="宋体" w:cs="宋体"/>
          <w:sz w:val="24"/>
          <w:szCs w:val="24"/>
        </w:rPr>
      </w:pPr>
      <w:r>
        <w:rPr>
          <w:rFonts w:ascii="宋体" w:hAnsi="宋体" w:eastAsia="宋体" w:cs="宋体"/>
          <w:spacing w:val="-1"/>
          <w:sz w:val="24"/>
          <w:szCs w:val="24"/>
        </w:rPr>
        <w:t>承包人不在约定期限内派人保修的，发包人可以委托他人修理。</w:t>
      </w:r>
    </w:p>
    <w:p>
      <w:pPr>
        <w:spacing w:line="425" w:lineRule="auto"/>
        <w:rPr>
          <w:rFonts w:ascii="Arial"/>
          <w:sz w:val="21"/>
        </w:rPr>
      </w:pPr>
    </w:p>
    <w:p>
      <w:pPr>
        <w:spacing w:before="78" w:line="219" w:lineRule="auto"/>
        <w:ind w:left="552"/>
        <w:rPr>
          <w:rFonts w:ascii="宋体" w:hAnsi="宋体" w:eastAsia="宋体" w:cs="宋体"/>
          <w:sz w:val="24"/>
          <w:szCs w:val="24"/>
        </w:rPr>
      </w:pPr>
      <w:r>
        <w:rPr>
          <w:rFonts w:ascii="宋体" w:hAnsi="宋体" w:eastAsia="宋体" w:cs="宋体"/>
          <w:spacing w:val="-4"/>
          <w:sz w:val="24"/>
          <w:szCs w:val="24"/>
        </w:rPr>
        <w:t>⒉ 发生紧急抢修事故的，承包人在接到事故通知后，应当立即到达事故现场抢修。</w:t>
      </w:r>
    </w:p>
    <w:p>
      <w:pPr>
        <w:spacing w:before="180" w:line="359" w:lineRule="auto"/>
        <w:ind w:left="11" w:right="291" w:firstLine="543"/>
        <w:rPr>
          <w:rFonts w:ascii="宋体" w:hAnsi="宋体" w:eastAsia="宋体" w:cs="宋体"/>
          <w:sz w:val="24"/>
          <w:szCs w:val="24"/>
        </w:rPr>
      </w:pPr>
      <w:r>
        <w:rPr>
          <w:rFonts w:ascii="宋体" w:hAnsi="宋体" w:eastAsia="宋体" w:cs="宋体"/>
          <w:spacing w:val="-2"/>
          <w:sz w:val="24"/>
          <w:szCs w:val="24"/>
        </w:rPr>
        <w:t>⒊ 对于涉及结构安全的质量问题，应当按照《房屋建筑工程质</w:t>
      </w:r>
      <w:r>
        <w:rPr>
          <w:rFonts w:ascii="宋体" w:hAnsi="宋体" w:eastAsia="宋体" w:cs="宋体"/>
          <w:spacing w:val="-3"/>
          <w:sz w:val="24"/>
          <w:szCs w:val="24"/>
        </w:rPr>
        <w:t>量保修办法》的规</w:t>
      </w:r>
      <w:r>
        <w:rPr>
          <w:rFonts w:ascii="宋体" w:hAnsi="宋体" w:eastAsia="宋体" w:cs="宋体"/>
          <w:sz w:val="24"/>
          <w:szCs w:val="24"/>
        </w:rPr>
        <w:t xml:space="preserve"> </w:t>
      </w:r>
      <w:r>
        <w:rPr>
          <w:rFonts w:ascii="宋体" w:hAnsi="宋体" w:eastAsia="宋体" w:cs="宋体"/>
          <w:spacing w:val="-2"/>
          <w:sz w:val="24"/>
          <w:szCs w:val="24"/>
        </w:rPr>
        <w:t>定，立即向当地建设行政主管部门报告，采取安全防范措施；由原设计单位或者具有相</w:t>
      </w:r>
    </w:p>
    <w:p>
      <w:pPr>
        <w:spacing w:line="219" w:lineRule="auto"/>
        <w:ind w:left="5"/>
        <w:rPr>
          <w:rFonts w:ascii="宋体" w:hAnsi="宋体" w:eastAsia="宋体" w:cs="宋体"/>
          <w:sz w:val="24"/>
          <w:szCs w:val="24"/>
        </w:rPr>
      </w:pPr>
      <w:r>
        <w:rPr>
          <w:rFonts w:ascii="宋体" w:hAnsi="宋体" w:eastAsia="宋体" w:cs="宋体"/>
          <w:spacing w:val="-1"/>
          <w:sz w:val="24"/>
          <w:szCs w:val="24"/>
        </w:rPr>
        <w:t>应资质等级的设计单位提出保修方案，承包人实施保修。</w:t>
      </w:r>
    </w:p>
    <w:p>
      <w:pPr>
        <w:spacing w:before="183" w:line="219" w:lineRule="auto"/>
        <w:ind w:left="545"/>
        <w:rPr>
          <w:rFonts w:ascii="宋体" w:hAnsi="宋体" w:eastAsia="宋体" w:cs="宋体"/>
          <w:sz w:val="24"/>
          <w:szCs w:val="24"/>
        </w:rPr>
      </w:pPr>
      <w:r>
        <w:rPr>
          <w:rFonts w:ascii="宋体" w:hAnsi="宋体" w:eastAsia="宋体" w:cs="宋体"/>
          <w:spacing w:val="-4"/>
          <w:sz w:val="24"/>
          <w:szCs w:val="24"/>
        </w:rPr>
        <w:t>⒋ 质量保修完成后，由发包人组织验收。</w:t>
      </w:r>
    </w:p>
    <w:p>
      <w:pPr>
        <w:spacing w:before="181" w:line="219" w:lineRule="auto"/>
        <w:ind w:left="485"/>
        <w:rPr>
          <w:rFonts w:ascii="宋体" w:hAnsi="宋体" w:eastAsia="宋体" w:cs="宋体"/>
          <w:sz w:val="24"/>
          <w:szCs w:val="24"/>
        </w:rPr>
      </w:pPr>
      <w:r>
        <w:rPr>
          <w:rFonts w:ascii="宋体" w:hAnsi="宋体" w:eastAsia="宋体" w:cs="宋体"/>
          <w:spacing w:val="3"/>
          <w:sz w:val="24"/>
          <w:szCs w:val="24"/>
        </w:rPr>
        <w:t>第四条</w:t>
      </w:r>
      <w:r>
        <w:rPr>
          <w:rFonts w:ascii="宋体" w:hAnsi="宋体" w:eastAsia="宋体" w:cs="宋体"/>
          <w:spacing w:val="17"/>
          <w:sz w:val="24"/>
          <w:szCs w:val="24"/>
        </w:rPr>
        <w:t xml:space="preserve">  </w:t>
      </w:r>
      <w:r>
        <w:rPr>
          <w:rFonts w:ascii="宋体" w:hAnsi="宋体" w:eastAsia="宋体" w:cs="宋体"/>
          <w:spacing w:val="3"/>
          <w:sz w:val="24"/>
          <w:szCs w:val="24"/>
        </w:rPr>
        <w:t>保修费用</w:t>
      </w:r>
    </w:p>
    <w:p>
      <w:pPr>
        <w:spacing w:before="183" w:line="219" w:lineRule="auto"/>
        <w:ind w:left="486"/>
        <w:rPr>
          <w:rFonts w:ascii="宋体" w:hAnsi="宋体" w:eastAsia="宋体" w:cs="宋体"/>
          <w:sz w:val="24"/>
          <w:szCs w:val="24"/>
        </w:rPr>
      </w:pPr>
      <w:r>
        <w:rPr>
          <w:rFonts w:ascii="宋体" w:hAnsi="宋体" w:eastAsia="宋体" w:cs="宋体"/>
          <w:spacing w:val="-1"/>
          <w:sz w:val="24"/>
          <w:szCs w:val="24"/>
        </w:rPr>
        <w:t>保修费用由造成质量缺陷的责任方承担。</w:t>
      </w:r>
    </w:p>
    <w:p>
      <w:pPr>
        <w:spacing w:before="181" w:line="219" w:lineRule="auto"/>
        <w:ind w:left="485"/>
        <w:rPr>
          <w:rFonts w:ascii="宋体" w:hAnsi="宋体" w:eastAsia="宋体" w:cs="宋体"/>
          <w:sz w:val="24"/>
          <w:szCs w:val="24"/>
        </w:rPr>
      </w:pPr>
      <w:r>
        <w:rPr>
          <w:rFonts w:ascii="宋体" w:hAnsi="宋体" w:eastAsia="宋体" w:cs="宋体"/>
          <w:sz w:val="24"/>
          <w:szCs w:val="24"/>
        </w:rPr>
        <w:t>第五条</w:t>
      </w:r>
      <w:r>
        <w:rPr>
          <w:rFonts w:ascii="宋体" w:hAnsi="宋体" w:eastAsia="宋体" w:cs="宋体"/>
          <w:spacing w:val="18"/>
          <w:sz w:val="24"/>
          <w:szCs w:val="24"/>
        </w:rPr>
        <w:t xml:space="preserve">  </w:t>
      </w:r>
      <w:r>
        <w:rPr>
          <w:rFonts w:ascii="宋体" w:hAnsi="宋体" w:eastAsia="宋体" w:cs="宋体"/>
          <w:sz w:val="24"/>
          <w:szCs w:val="24"/>
        </w:rPr>
        <w:t>其他</w:t>
      </w:r>
    </w:p>
    <w:p>
      <w:pPr>
        <w:spacing w:before="183" w:line="219" w:lineRule="auto"/>
        <w:ind w:left="485"/>
        <w:rPr>
          <w:rFonts w:ascii="宋体" w:hAnsi="宋体" w:eastAsia="宋体" w:cs="宋体"/>
          <w:sz w:val="24"/>
          <w:szCs w:val="24"/>
        </w:rPr>
      </w:pPr>
      <w:r>
        <w:rPr>
          <w:rFonts w:ascii="宋体" w:hAnsi="宋体" w:eastAsia="宋体" w:cs="宋体"/>
          <w:sz w:val="24"/>
          <w:szCs w:val="24"/>
        </w:rPr>
        <w:t>双方约定的其他工程质量保修事项：</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pPr>
        <w:spacing w:before="181" w:line="468" w:lineRule="exact"/>
        <w:ind w:left="486"/>
        <w:rPr>
          <w:rFonts w:ascii="宋体" w:hAnsi="宋体" w:eastAsia="宋体" w:cs="宋体"/>
          <w:sz w:val="24"/>
          <w:szCs w:val="24"/>
        </w:rPr>
      </w:pPr>
      <w:r>
        <w:rPr>
          <w:rFonts w:ascii="宋体" w:hAnsi="宋体" w:eastAsia="宋体" w:cs="宋体"/>
          <w:spacing w:val="-2"/>
          <w:position w:val="17"/>
          <w:sz w:val="24"/>
          <w:szCs w:val="24"/>
        </w:rPr>
        <w:t>本工程质量保修书，由施工合同发包人、承包人双方在竣工验收前共同签署，作为</w:t>
      </w:r>
    </w:p>
    <w:p>
      <w:pPr>
        <w:spacing w:line="218" w:lineRule="auto"/>
        <w:ind w:left="4"/>
        <w:rPr>
          <w:rFonts w:ascii="宋体" w:hAnsi="宋体" w:eastAsia="宋体" w:cs="宋体"/>
          <w:sz w:val="24"/>
          <w:szCs w:val="24"/>
        </w:rPr>
      </w:pPr>
      <w:r>
        <w:rPr>
          <w:rFonts w:ascii="宋体" w:hAnsi="宋体" w:eastAsia="宋体" w:cs="宋体"/>
          <w:spacing w:val="-1"/>
          <w:sz w:val="24"/>
          <w:szCs w:val="24"/>
        </w:rPr>
        <w:t>施工合同附件，其有效期限至保修期满。</w:t>
      </w:r>
    </w:p>
    <w:p>
      <w:pPr>
        <w:spacing w:before="60"/>
      </w:pPr>
    </w:p>
    <w:p>
      <w:pPr>
        <w:spacing w:before="59"/>
      </w:pPr>
    </w:p>
    <w:p>
      <w:pPr>
        <w:spacing w:before="48" w:line="468" w:lineRule="exact"/>
        <w:ind w:left="9"/>
        <w:rPr>
          <w:rFonts w:ascii="宋体" w:hAnsi="宋体" w:eastAsia="宋体" w:cs="宋体"/>
          <w:sz w:val="24"/>
          <w:szCs w:val="24"/>
        </w:rPr>
      </w:pPr>
      <w:r>
        <w:rPr>
          <w:rFonts w:ascii="宋体" w:hAnsi="宋体" w:eastAsia="宋体" w:cs="宋体"/>
          <w:spacing w:val="-4"/>
          <w:position w:val="17"/>
          <w:sz w:val="24"/>
          <w:szCs w:val="24"/>
        </w:rPr>
        <w:t>发  包</w:t>
      </w:r>
      <w:r>
        <w:rPr>
          <w:rFonts w:ascii="宋体" w:hAnsi="宋体" w:eastAsia="宋体" w:cs="宋体"/>
          <w:spacing w:val="5"/>
          <w:position w:val="17"/>
          <w:sz w:val="24"/>
          <w:szCs w:val="24"/>
        </w:rPr>
        <w:t xml:space="preserve">  </w:t>
      </w:r>
      <w:r>
        <w:rPr>
          <w:rFonts w:ascii="宋体" w:hAnsi="宋体" w:eastAsia="宋体" w:cs="宋体"/>
          <w:spacing w:val="-4"/>
          <w:position w:val="17"/>
          <w:sz w:val="24"/>
          <w:szCs w:val="24"/>
        </w:rPr>
        <w:t>人（公章</w:t>
      </w:r>
      <w:r>
        <w:rPr>
          <w:rFonts w:ascii="宋体" w:hAnsi="宋体" w:eastAsia="宋体" w:cs="宋体"/>
          <w:spacing w:val="3"/>
          <w:position w:val="17"/>
          <w:sz w:val="24"/>
          <w:szCs w:val="24"/>
        </w:rPr>
        <w:t>）：</w:t>
      </w:r>
    </w:p>
    <w:p>
      <w:pPr>
        <w:spacing w:line="219" w:lineRule="auto"/>
        <w:ind w:left="6"/>
        <w:rPr>
          <w:rFonts w:ascii="宋体" w:hAnsi="宋体" w:eastAsia="宋体" w:cs="宋体"/>
          <w:sz w:val="24"/>
          <w:szCs w:val="24"/>
        </w:rPr>
      </w:pPr>
      <w:r>
        <w:rPr>
          <w:rFonts w:ascii="宋体" w:hAnsi="宋体" w:eastAsia="宋体" w:cs="宋体"/>
          <w:spacing w:val="-3"/>
          <w:sz w:val="24"/>
          <w:szCs w:val="24"/>
        </w:rPr>
        <w:t>法定代表人</w:t>
      </w:r>
    </w:p>
    <w:p>
      <w:pPr>
        <w:spacing w:before="181" w:line="223" w:lineRule="auto"/>
        <w:ind w:left="848"/>
        <w:rPr>
          <w:rFonts w:ascii="宋体" w:hAnsi="宋体" w:eastAsia="宋体" w:cs="宋体"/>
          <w:sz w:val="24"/>
          <w:szCs w:val="24"/>
        </w:rPr>
      </w:pPr>
      <w:r>
        <w:rPr>
          <w:rFonts w:ascii="宋体" w:hAnsi="宋体" w:eastAsia="宋体" w:cs="宋体"/>
          <w:sz w:val="24"/>
          <w:szCs w:val="24"/>
        </w:rPr>
        <w:t>或</w:t>
      </w:r>
    </w:p>
    <w:p>
      <w:pPr>
        <w:spacing w:before="178" w:line="219" w:lineRule="auto"/>
        <w:ind w:left="6"/>
        <w:rPr>
          <w:rFonts w:ascii="宋体" w:hAnsi="宋体" w:eastAsia="宋体" w:cs="宋体"/>
          <w:sz w:val="24"/>
          <w:szCs w:val="24"/>
        </w:rPr>
      </w:pPr>
      <w:r>
        <w:rPr>
          <w:rFonts w:ascii="宋体" w:hAnsi="宋体" w:eastAsia="宋体" w:cs="宋体"/>
          <w:spacing w:val="-2"/>
          <w:sz w:val="24"/>
          <w:szCs w:val="24"/>
        </w:rPr>
        <w:t>其委托代理人：</w:t>
      </w:r>
      <w:r>
        <w:rPr>
          <w:rFonts w:ascii="宋体" w:hAnsi="宋体" w:eastAsia="宋体" w:cs="宋体"/>
          <w:sz w:val="24"/>
          <w:szCs w:val="24"/>
          <w:u w:val="single" w:color="auto"/>
        </w:rPr>
        <w:t xml:space="preserve">            </w:t>
      </w:r>
    </w:p>
    <w:p>
      <w:pPr>
        <w:spacing w:line="282" w:lineRule="auto"/>
        <w:rPr>
          <w:rFonts w:ascii="Arial"/>
          <w:sz w:val="21"/>
        </w:rPr>
      </w:pPr>
    </w:p>
    <w:p>
      <w:pPr>
        <w:spacing w:line="283" w:lineRule="auto"/>
        <w:rPr>
          <w:rFonts w:ascii="Arial"/>
          <w:sz w:val="21"/>
        </w:rPr>
      </w:pPr>
    </w:p>
    <w:p>
      <w:pPr>
        <w:spacing w:before="78" w:line="240" w:lineRule="auto"/>
        <w:ind w:left="46"/>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25"/>
          <w:sz w:val="24"/>
          <w:szCs w:val="24"/>
        </w:rPr>
        <w:t xml:space="preserve">  </w:t>
      </w:r>
      <w:r>
        <w:rPr>
          <w:rFonts w:ascii="宋体" w:hAnsi="宋体" w:eastAsia="宋体" w:cs="宋体"/>
          <w:spacing w:val="-13"/>
          <w:sz w:val="24"/>
          <w:szCs w:val="24"/>
        </w:rPr>
        <w:t>日</w:t>
      </w:r>
    </w:p>
    <w:p>
      <w:pPr>
        <w:spacing w:line="240" w:lineRule="auto"/>
        <w:rPr>
          <w:rFonts w:ascii="宋体" w:hAnsi="宋体" w:eastAsia="宋体" w:cs="宋体"/>
          <w:spacing w:val="-3"/>
          <w:position w:val="17"/>
          <w:sz w:val="24"/>
          <w:szCs w:val="24"/>
        </w:rPr>
      </w:pPr>
    </w:p>
    <w:p>
      <w:pPr>
        <w:spacing w:line="240" w:lineRule="auto"/>
        <w:rPr>
          <w:rFonts w:ascii="宋体" w:hAnsi="宋体" w:eastAsia="宋体" w:cs="宋体"/>
          <w:spacing w:val="-3"/>
          <w:position w:val="17"/>
          <w:sz w:val="24"/>
          <w:szCs w:val="24"/>
        </w:rPr>
      </w:pPr>
    </w:p>
    <w:p>
      <w:pPr>
        <w:spacing w:line="240" w:lineRule="auto"/>
        <w:rPr>
          <w:rFonts w:ascii="宋体" w:hAnsi="宋体" w:eastAsia="宋体" w:cs="宋体"/>
          <w:sz w:val="24"/>
          <w:szCs w:val="24"/>
        </w:rPr>
      </w:pPr>
      <w:r>
        <w:rPr>
          <w:rFonts w:ascii="宋体" w:hAnsi="宋体" w:eastAsia="宋体" w:cs="宋体"/>
          <w:spacing w:val="-3"/>
          <w:position w:val="17"/>
          <w:sz w:val="24"/>
          <w:szCs w:val="24"/>
        </w:rPr>
        <w:t>承  包</w:t>
      </w:r>
      <w:r>
        <w:rPr>
          <w:rFonts w:ascii="宋体" w:hAnsi="宋体" w:eastAsia="宋体" w:cs="宋体"/>
          <w:spacing w:val="5"/>
          <w:position w:val="17"/>
          <w:sz w:val="24"/>
          <w:szCs w:val="24"/>
        </w:rPr>
        <w:t xml:space="preserve">  </w:t>
      </w:r>
      <w:r>
        <w:rPr>
          <w:rFonts w:ascii="宋体" w:hAnsi="宋体" w:eastAsia="宋体" w:cs="宋体"/>
          <w:spacing w:val="-3"/>
          <w:position w:val="17"/>
          <w:sz w:val="24"/>
          <w:szCs w:val="24"/>
        </w:rPr>
        <w:t>人（公章</w:t>
      </w:r>
      <w:r>
        <w:rPr>
          <w:rFonts w:ascii="宋体" w:hAnsi="宋体" w:eastAsia="宋体" w:cs="宋体"/>
          <w:spacing w:val="1"/>
          <w:position w:val="17"/>
          <w:sz w:val="24"/>
          <w:szCs w:val="24"/>
        </w:rPr>
        <w:t>）：</w:t>
      </w:r>
    </w:p>
    <w:p>
      <w:pPr>
        <w:spacing w:before="1" w:line="240" w:lineRule="auto"/>
        <w:rPr>
          <w:rFonts w:ascii="宋体" w:hAnsi="宋体" w:eastAsia="宋体" w:cs="宋体"/>
          <w:sz w:val="24"/>
          <w:szCs w:val="24"/>
        </w:rPr>
      </w:pPr>
      <w:r>
        <w:rPr>
          <w:rFonts w:ascii="宋体" w:hAnsi="宋体" w:eastAsia="宋体" w:cs="宋体"/>
          <w:spacing w:val="-3"/>
          <w:sz w:val="24"/>
          <w:szCs w:val="24"/>
        </w:rPr>
        <w:t>法定代表人</w:t>
      </w:r>
    </w:p>
    <w:p>
      <w:pPr>
        <w:spacing w:before="180" w:line="223" w:lineRule="auto"/>
        <w:ind w:left="962"/>
        <w:rPr>
          <w:rFonts w:ascii="宋体" w:hAnsi="宋体" w:eastAsia="宋体" w:cs="宋体"/>
          <w:sz w:val="24"/>
          <w:szCs w:val="24"/>
        </w:rPr>
      </w:pPr>
      <w:r>
        <w:rPr>
          <w:rFonts w:ascii="宋体" w:hAnsi="宋体" w:eastAsia="宋体" w:cs="宋体"/>
          <w:sz w:val="24"/>
          <w:szCs w:val="24"/>
        </w:rPr>
        <w:t>或</w:t>
      </w:r>
    </w:p>
    <w:p>
      <w:pPr>
        <w:spacing w:before="179" w:line="219" w:lineRule="auto"/>
        <w:rPr>
          <w:rFonts w:ascii="宋体" w:hAnsi="宋体" w:eastAsia="宋体" w:cs="宋体"/>
          <w:sz w:val="24"/>
          <w:szCs w:val="24"/>
        </w:rPr>
      </w:pPr>
      <w:r>
        <w:rPr>
          <w:rFonts w:ascii="宋体" w:hAnsi="宋体" w:eastAsia="宋体" w:cs="宋体"/>
          <w:spacing w:val="-2"/>
          <w:sz w:val="24"/>
          <w:szCs w:val="24"/>
        </w:rPr>
        <w:t>其委托代理人：</w:t>
      </w:r>
      <w:r>
        <w:rPr>
          <w:rFonts w:ascii="宋体" w:hAnsi="宋体" w:eastAsia="宋体" w:cs="宋体"/>
          <w:sz w:val="24"/>
          <w:szCs w:val="24"/>
          <w:u w:val="single" w:color="auto"/>
        </w:rPr>
        <w:t xml:space="preserve">             </w:t>
      </w:r>
    </w:p>
    <w:p>
      <w:pPr>
        <w:spacing w:line="282" w:lineRule="auto"/>
        <w:rPr>
          <w:rFonts w:ascii="Arial"/>
          <w:sz w:val="21"/>
        </w:rPr>
      </w:pPr>
    </w:p>
    <w:p>
      <w:pPr>
        <w:spacing w:line="283" w:lineRule="auto"/>
        <w:rPr>
          <w:rFonts w:ascii="Arial"/>
          <w:sz w:val="21"/>
        </w:rPr>
      </w:pPr>
    </w:p>
    <w:p>
      <w:pPr>
        <w:spacing w:before="78" w:line="184" w:lineRule="auto"/>
        <w:ind w:left="4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25"/>
          <w:sz w:val="24"/>
          <w:szCs w:val="24"/>
        </w:rPr>
        <w:t xml:space="preserve">  </w:t>
      </w:r>
      <w:r>
        <w:rPr>
          <w:rFonts w:ascii="宋体" w:hAnsi="宋体" w:eastAsia="宋体" w:cs="宋体"/>
          <w:spacing w:val="-13"/>
          <w:sz w:val="24"/>
          <w:szCs w:val="24"/>
        </w:rPr>
        <w:t>日</w:t>
      </w:r>
    </w:p>
    <w:p>
      <w:pPr>
        <w:spacing w:line="413" w:lineRule="auto"/>
        <w:rPr>
          <w:rFonts w:ascii="Arial"/>
          <w:sz w:val="21"/>
        </w:rPr>
      </w:pPr>
    </w:p>
    <w:p>
      <w:pPr>
        <w:spacing w:before="98" w:line="219" w:lineRule="auto"/>
        <w:ind w:left="34"/>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4"/>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4"/>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4"/>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rPr>
          <w:rFonts w:ascii="宋体" w:hAnsi="宋体" w:eastAsia="宋体" w:cs="宋体"/>
          <w:spacing w:val="-7"/>
          <w:sz w:val="30"/>
          <w:szCs w:val="30"/>
          <w14:textOutline w14:w="5448" w14:cap="sq" w14:cmpd="sng">
            <w14:solidFill>
              <w14:srgbClr w14:val="000000"/>
            </w14:solidFill>
            <w14:prstDash w14:val="solid"/>
            <w14:bevel/>
          </w14:textOutline>
        </w:rPr>
      </w:pPr>
    </w:p>
    <w:p>
      <w:pPr>
        <w:spacing w:before="98" w:line="219" w:lineRule="auto"/>
        <w:ind w:left="34"/>
        <w:rPr>
          <w:rFonts w:ascii="宋体" w:hAnsi="宋体" w:eastAsia="宋体" w:cs="宋体"/>
          <w:sz w:val="30"/>
          <w:szCs w:val="30"/>
        </w:rPr>
      </w:pPr>
      <w:r>
        <w:rPr>
          <w:rFonts w:ascii="宋体" w:hAnsi="宋体" w:eastAsia="宋体" w:cs="宋体"/>
          <w:spacing w:val="-7"/>
          <w:sz w:val="30"/>
          <w:szCs w:val="30"/>
          <w14:textOutline w14:w="5448" w14:cap="sq" w14:cmpd="sng">
            <w14:solidFill>
              <w14:srgbClr w14:val="000000"/>
            </w14:solidFill>
            <w14:prstDash w14:val="solid"/>
            <w14:bevel/>
          </w14:textOutline>
        </w:rPr>
        <w:t>附件十五：</w:t>
      </w:r>
    </w:p>
    <w:p>
      <w:pPr>
        <w:spacing w:before="204" w:line="234" w:lineRule="auto"/>
        <w:ind w:left="3571"/>
        <w:rPr>
          <w:rFonts w:ascii="宋体" w:hAnsi="宋体" w:eastAsia="宋体" w:cs="宋体"/>
          <w:sz w:val="14"/>
          <w:szCs w:val="14"/>
        </w:rPr>
      </w:pPr>
      <w:r>
        <w:rPr>
          <w:rFonts w:ascii="宋体" w:hAnsi="宋体" w:eastAsia="宋体" w:cs="宋体"/>
          <w:sz w:val="30"/>
          <w:szCs w:val="30"/>
          <w14:textOutline w14:w="5448" w14:cap="sq" w14:cmpd="sng">
            <w14:solidFill>
              <w14:srgbClr w14:val="000000"/>
            </w14:solidFill>
            <w14:prstDash w14:val="solid"/>
            <w14:bevel/>
          </w14:textOutline>
        </w:rPr>
        <w:t>工程结算协议</w:t>
      </w:r>
      <w:r>
        <w:fldChar w:fldCharType="begin"/>
      </w:r>
      <w:r>
        <w:instrText xml:space="preserve"> HYPERLINK \l "bookmark173" </w:instrText>
      </w:r>
      <w:r>
        <w:fldChar w:fldCharType="separate"/>
      </w:r>
      <w:r>
        <w:rPr>
          <w:rFonts w:ascii="宋体" w:hAnsi="宋体" w:eastAsia="宋体" w:cs="宋体"/>
          <w:position w:val="14"/>
          <w:sz w:val="14"/>
          <w:szCs w:val="14"/>
          <w14:textOutline w14:w="2705" w14:cap="sq" w14:cmpd="sng">
            <w14:solidFill>
              <w14:srgbClr w14:val="000000"/>
            </w14:solidFill>
            <w14:prstDash w14:val="solid"/>
            <w14:bevel/>
          </w14:textOutline>
        </w:rPr>
        <w:t>①</w:t>
      </w:r>
      <w:r>
        <w:rPr>
          <w:rFonts w:ascii="宋体" w:hAnsi="宋体" w:eastAsia="宋体" w:cs="宋体"/>
          <w:position w:val="14"/>
          <w:sz w:val="14"/>
          <w:szCs w:val="14"/>
          <w14:textOutline w14:w="2705" w14:cap="sq" w14:cmpd="sng">
            <w14:solidFill>
              <w14:srgbClr w14:val="000000"/>
            </w14:solidFill>
            <w14:prstDash w14:val="solid"/>
            <w14:bevel/>
          </w14:textOutline>
        </w:rPr>
        <w:fldChar w:fldCharType="end"/>
      </w:r>
    </w:p>
    <w:p>
      <w:pPr>
        <w:spacing w:line="272" w:lineRule="auto"/>
        <w:rPr>
          <w:rFonts w:ascii="Arial"/>
          <w:sz w:val="21"/>
        </w:rPr>
      </w:pPr>
    </w:p>
    <w:p>
      <w:pPr>
        <w:spacing w:line="273" w:lineRule="auto"/>
        <w:rPr>
          <w:rFonts w:ascii="Arial"/>
          <w:sz w:val="21"/>
        </w:rPr>
      </w:pPr>
    </w:p>
    <w:p>
      <w:pPr>
        <w:spacing w:before="78" w:line="220" w:lineRule="auto"/>
        <w:ind w:left="39"/>
        <w:rPr>
          <w:rFonts w:ascii="宋体" w:hAnsi="宋体" w:eastAsia="宋体" w:cs="宋体"/>
          <w:sz w:val="24"/>
          <w:szCs w:val="24"/>
        </w:rPr>
      </w:pPr>
      <w:r>
        <w:rPr>
          <w:rFonts w:ascii="宋体" w:hAnsi="宋体" w:eastAsia="宋体" w:cs="宋体"/>
          <w:spacing w:val="-7"/>
          <w:sz w:val="24"/>
          <w:szCs w:val="24"/>
        </w:rPr>
        <w:t>甲方（发包人</w:t>
      </w:r>
      <w:r>
        <w:rPr>
          <w:rFonts w:ascii="宋体" w:hAnsi="宋体" w:eastAsia="宋体" w:cs="宋体"/>
          <w:sz w:val="24"/>
          <w:szCs w:val="24"/>
        </w:rPr>
        <w:t>）：</w:t>
      </w:r>
      <w:r>
        <w:rPr>
          <w:rFonts w:ascii="宋体" w:hAnsi="宋体" w:eastAsia="宋体" w:cs="宋体"/>
          <w:sz w:val="24"/>
          <w:szCs w:val="24"/>
          <w:u w:val="single" w:color="auto"/>
        </w:rPr>
        <w:t xml:space="preserve">                      </w:t>
      </w:r>
    </w:p>
    <w:p>
      <w:pPr>
        <w:spacing w:before="182" w:line="219" w:lineRule="auto"/>
        <w:ind w:left="8"/>
        <w:rPr>
          <w:rFonts w:ascii="宋体" w:hAnsi="宋体" w:eastAsia="宋体" w:cs="宋体"/>
          <w:sz w:val="24"/>
          <w:szCs w:val="24"/>
        </w:rPr>
      </w:pPr>
      <w:r>
        <w:rPr>
          <w:rFonts w:ascii="宋体" w:hAnsi="宋体" w:eastAsia="宋体" w:cs="宋体"/>
          <w:spacing w:val="-2"/>
          <w:sz w:val="24"/>
          <w:szCs w:val="24"/>
        </w:rPr>
        <w:t>地址：</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法定代表人：</w:t>
      </w:r>
      <w:r>
        <w:rPr>
          <w:rFonts w:ascii="宋体" w:hAnsi="宋体" w:eastAsia="宋体" w:cs="宋体"/>
          <w:spacing w:val="-2"/>
          <w:sz w:val="24"/>
          <w:szCs w:val="24"/>
          <w:u w:val="single" w:color="auto"/>
        </w:rPr>
        <w:t xml:space="preserve">                       </w:t>
      </w:r>
    </w:p>
    <w:p>
      <w:pPr>
        <w:spacing w:before="180" w:line="219" w:lineRule="auto"/>
        <w:ind w:left="31"/>
        <w:rPr>
          <w:rFonts w:ascii="宋体" w:hAnsi="宋体" w:eastAsia="宋体" w:cs="宋体"/>
          <w:sz w:val="24"/>
          <w:szCs w:val="24"/>
        </w:rPr>
      </w:pPr>
      <w:r>
        <w:rPr>
          <w:rFonts w:ascii="宋体" w:hAnsi="宋体" w:eastAsia="宋体" w:cs="宋体"/>
          <w:spacing w:val="-6"/>
          <w:sz w:val="24"/>
          <w:szCs w:val="24"/>
        </w:rPr>
        <w:t>乙方（承包人</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pPr>
        <w:spacing w:before="183" w:line="219" w:lineRule="auto"/>
        <w:ind w:left="8"/>
        <w:rPr>
          <w:rFonts w:ascii="宋体" w:hAnsi="宋体" w:eastAsia="宋体" w:cs="宋体"/>
          <w:sz w:val="24"/>
          <w:szCs w:val="24"/>
        </w:rPr>
      </w:pPr>
      <w:r>
        <w:rPr>
          <w:rFonts w:ascii="宋体" w:hAnsi="宋体" w:eastAsia="宋体" w:cs="宋体"/>
          <w:spacing w:val="-2"/>
          <w:sz w:val="24"/>
          <w:szCs w:val="24"/>
        </w:rPr>
        <w:t>地址：</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法定代表人：</w:t>
      </w:r>
      <w:r>
        <w:rPr>
          <w:rFonts w:ascii="宋体" w:hAnsi="宋体" w:eastAsia="宋体" w:cs="宋体"/>
          <w:spacing w:val="-2"/>
          <w:sz w:val="24"/>
          <w:szCs w:val="24"/>
          <w:u w:val="single" w:color="auto"/>
        </w:rPr>
        <w:t xml:space="preserve">                       </w:t>
      </w:r>
    </w:p>
    <w:p>
      <w:pPr>
        <w:spacing w:line="283" w:lineRule="auto"/>
        <w:rPr>
          <w:rFonts w:ascii="Arial"/>
          <w:sz w:val="21"/>
        </w:rPr>
      </w:pPr>
    </w:p>
    <w:p>
      <w:pPr>
        <w:spacing w:line="283" w:lineRule="auto"/>
        <w:rPr>
          <w:rFonts w:ascii="Arial"/>
          <w:sz w:val="21"/>
        </w:rPr>
      </w:pPr>
    </w:p>
    <w:p>
      <w:pPr>
        <w:spacing w:before="78" w:line="223" w:lineRule="auto"/>
        <w:ind w:left="11"/>
        <w:rPr>
          <w:rFonts w:ascii="宋体" w:hAnsi="宋体" w:eastAsia="宋体" w:cs="宋体"/>
          <w:sz w:val="24"/>
          <w:szCs w:val="24"/>
        </w:rPr>
      </w:pPr>
      <w:r>
        <w:rPr>
          <w:rFonts w:ascii="宋体" w:hAnsi="宋体" w:eastAsia="宋体" w:cs="宋体"/>
          <w:spacing w:val="-5"/>
          <w:sz w:val="24"/>
          <w:szCs w:val="24"/>
        </w:rPr>
        <w:t>鉴于：</w:t>
      </w:r>
    </w:p>
    <w:p>
      <w:pPr>
        <w:spacing w:before="176" w:line="360" w:lineRule="auto"/>
        <w:ind w:left="506"/>
        <w:rPr>
          <w:rFonts w:ascii="宋体" w:hAnsi="宋体" w:eastAsia="宋体" w:cs="宋体"/>
          <w:sz w:val="24"/>
          <w:szCs w:val="24"/>
        </w:rPr>
      </w:pPr>
      <w:r>
        <w:rPr>
          <w:rFonts w:ascii="宋体" w:hAnsi="宋体" w:eastAsia="宋体" w:cs="宋体"/>
          <w:spacing w:val="-23"/>
          <w:sz w:val="24"/>
          <w:szCs w:val="24"/>
        </w:rPr>
        <w:t>1、</w:t>
      </w:r>
      <w:r>
        <w:rPr>
          <w:rFonts w:ascii="宋体" w:hAnsi="宋体" w:eastAsia="宋体" w:cs="宋体"/>
          <w:spacing w:val="-2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3"/>
          <w:sz w:val="24"/>
          <w:szCs w:val="24"/>
        </w:rPr>
        <w:t>年</w:t>
      </w:r>
      <w:r>
        <w:rPr>
          <w:rFonts w:ascii="宋体" w:hAnsi="宋体" w:eastAsia="宋体" w:cs="宋体"/>
          <w:spacing w:val="6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3"/>
          <w:sz w:val="24"/>
          <w:szCs w:val="24"/>
        </w:rPr>
        <w:t>月</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3"/>
          <w:sz w:val="24"/>
          <w:szCs w:val="24"/>
        </w:rPr>
        <w:t>日，甲方与乙方签订了《</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3"/>
          <w:sz w:val="24"/>
          <w:szCs w:val="24"/>
        </w:rPr>
        <w:t>合同》（下简称</w:t>
      </w:r>
      <w:r>
        <w:rPr>
          <w:rFonts w:ascii="宋体" w:hAnsi="宋体" w:eastAsia="宋体" w:cs="宋体"/>
          <w:spacing w:val="-24"/>
          <w:sz w:val="24"/>
          <w:szCs w:val="24"/>
        </w:rPr>
        <w:t>“合同</w:t>
      </w:r>
      <w:r>
        <w:rPr>
          <w:rFonts w:ascii="宋体" w:hAnsi="宋体" w:eastAsia="宋体" w:cs="宋体"/>
          <w:spacing w:val="-88"/>
          <w:sz w:val="24"/>
          <w:szCs w:val="24"/>
        </w:rPr>
        <w:t xml:space="preserve"> </w:t>
      </w:r>
      <w:r>
        <w:rPr>
          <w:rFonts w:ascii="宋体" w:hAnsi="宋体" w:eastAsia="宋体" w:cs="宋体"/>
          <w:spacing w:val="-24"/>
          <w:sz w:val="24"/>
          <w:szCs w:val="24"/>
        </w:rPr>
        <w:t>”</w:t>
      </w:r>
      <w:r>
        <w:rPr>
          <w:rFonts w:ascii="宋体" w:hAnsi="宋体" w:eastAsia="宋体" w:cs="宋体"/>
          <w:spacing w:val="-41"/>
          <w:w w:val="65"/>
          <w:sz w:val="24"/>
          <w:szCs w:val="24"/>
        </w:rPr>
        <w:t>），</w:t>
      </w:r>
      <w:r>
        <w:rPr>
          <w:rFonts w:ascii="宋体" w:hAnsi="宋体" w:eastAsia="宋体" w:cs="宋体"/>
          <w:spacing w:val="-24"/>
          <w:sz w:val="24"/>
          <w:szCs w:val="24"/>
        </w:rPr>
        <w:t>约定</w:t>
      </w:r>
      <w:r>
        <w:rPr>
          <w:rFonts w:ascii="宋体" w:hAnsi="宋体" w:eastAsia="宋体" w:cs="宋体"/>
          <w:spacing w:val="59"/>
          <w:sz w:val="24"/>
          <w:szCs w:val="24"/>
          <w:u w:val="single" w:color="auto"/>
        </w:rPr>
        <w:t xml:space="preserve">  </w:t>
      </w:r>
      <w:r>
        <w:rPr>
          <w:rFonts w:ascii="宋体" w:hAnsi="宋体" w:eastAsia="宋体" w:cs="宋体"/>
          <w:spacing w:val="-24"/>
          <w:sz w:val="24"/>
          <w:szCs w:val="24"/>
        </w:rPr>
        <w:t>（注：</w:t>
      </w:r>
    </w:p>
    <w:p>
      <w:pPr>
        <w:spacing w:before="1" w:line="219" w:lineRule="auto"/>
        <w:ind w:left="10"/>
        <w:rPr>
          <w:rFonts w:ascii="宋体" w:hAnsi="宋体" w:eastAsia="宋体" w:cs="宋体"/>
          <w:sz w:val="24"/>
          <w:szCs w:val="24"/>
        </w:rPr>
      </w:pPr>
      <w:r>
        <w:rPr>
          <w:rFonts w:ascii="宋体" w:hAnsi="宋体" w:eastAsia="宋体" w:cs="宋体"/>
          <w:spacing w:val="-1"/>
          <w:sz w:val="24"/>
          <w:szCs w:val="24"/>
        </w:rPr>
        <w:t>填写乙方负责承包的工程内容）。</w:t>
      </w:r>
    </w:p>
    <w:p>
      <w:pPr>
        <w:spacing w:before="180" w:line="360" w:lineRule="auto"/>
        <w:ind w:left="491"/>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年</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月</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1"/>
          <w:sz w:val="24"/>
          <w:szCs w:val="24"/>
        </w:rPr>
        <w:t>日，乙方承包的</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工程已完成</w:t>
      </w:r>
      <w:r>
        <w:rPr>
          <w:rFonts w:ascii="宋体" w:hAnsi="宋体" w:eastAsia="宋体" w:cs="宋体"/>
          <w:spacing w:val="-2"/>
          <w:sz w:val="24"/>
          <w:szCs w:val="24"/>
        </w:rPr>
        <w:t>交工验收，且乙方已取得上述工</w:t>
      </w:r>
    </w:p>
    <w:p>
      <w:pPr>
        <w:spacing w:before="1" w:line="218" w:lineRule="auto"/>
        <w:ind w:left="7"/>
        <w:rPr>
          <w:rFonts w:ascii="宋体" w:hAnsi="宋体" w:eastAsia="宋体" w:cs="宋体"/>
          <w:sz w:val="24"/>
          <w:szCs w:val="24"/>
        </w:rPr>
      </w:pPr>
      <w:r>
        <w:rPr>
          <w:rFonts w:ascii="宋体" w:hAnsi="宋体" w:eastAsia="宋体" w:cs="宋体"/>
          <w:spacing w:val="-2"/>
          <w:sz w:val="24"/>
          <w:szCs w:val="24"/>
        </w:rPr>
        <w:t>程交工证书。</w:t>
      </w:r>
    </w:p>
    <w:p>
      <w:pPr>
        <w:spacing w:before="181" w:line="360" w:lineRule="auto"/>
        <w:ind w:left="488"/>
        <w:rPr>
          <w:rFonts w:ascii="宋体" w:hAnsi="宋体" w:eastAsia="宋体" w:cs="宋体"/>
          <w:sz w:val="24"/>
          <w:szCs w:val="24"/>
        </w:rPr>
      </w:pPr>
      <w:r>
        <w:rPr>
          <w:rFonts w:ascii="宋体" w:hAnsi="宋体" w:eastAsia="宋体" w:cs="宋体"/>
          <w:spacing w:val="1"/>
          <w:sz w:val="24"/>
          <w:szCs w:val="24"/>
        </w:rPr>
        <w:t>基于上述，甲、乙双方经协商一致，特就乙方承包的</w:t>
      </w:r>
      <w:r>
        <w:rPr>
          <w:rFonts w:ascii="宋体" w:hAnsi="宋体" w:eastAsia="宋体" w:cs="宋体"/>
          <w:spacing w:val="-115"/>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工程的结算事宜订立本协</w:t>
      </w:r>
    </w:p>
    <w:p>
      <w:pPr>
        <w:spacing w:before="1" w:line="219" w:lineRule="auto"/>
        <w:ind w:left="10"/>
        <w:rPr>
          <w:rFonts w:ascii="宋体" w:hAnsi="宋体" w:eastAsia="宋体" w:cs="宋体"/>
          <w:sz w:val="24"/>
          <w:szCs w:val="24"/>
        </w:rPr>
      </w:pPr>
      <w:r>
        <w:rPr>
          <w:rFonts w:ascii="宋体" w:hAnsi="宋体" w:eastAsia="宋体" w:cs="宋体"/>
          <w:spacing w:val="-2"/>
          <w:sz w:val="24"/>
          <w:szCs w:val="24"/>
        </w:rPr>
        <w:t>议，以共同遵守。</w:t>
      </w:r>
    </w:p>
    <w:p>
      <w:pPr>
        <w:spacing w:before="183" w:line="358" w:lineRule="auto"/>
        <w:ind w:left="492"/>
        <w:rPr>
          <w:rFonts w:ascii="宋体" w:hAnsi="宋体" w:eastAsia="宋体" w:cs="宋体"/>
          <w:sz w:val="24"/>
          <w:szCs w:val="24"/>
        </w:rPr>
      </w:pPr>
      <w:r>
        <w:rPr>
          <w:rFonts w:ascii="宋体" w:hAnsi="宋体" w:eastAsia="宋体" w:cs="宋体"/>
          <w:spacing w:val="2"/>
          <w:sz w:val="24"/>
          <w:szCs w:val="24"/>
        </w:rPr>
        <w:t>一、乙方承包的</w:t>
      </w:r>
      <w:r>
        <w:rPr>
          <w:rFonts w:ascii="宋体" w:hAnsi="宋体" w:eastAsia="宋体" w:cs="宋体"/>
          <w:spacing w:val="-108"/>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工程（以下简称“本工程</w:t>
      </w:r>
      <w:r>
        <w:rPr>
          <w:rFonts w:ascii="宋体" w:hAnsi="宋体" w:eastAsia="宋体" w:cs="宋体"/>
          <w:spacing w:val="-83"/>
          <w:sz w:val="24"/>
          <w:szCs w:val="24"/>
        </w:rPr>
        <w:t xml:space="preserve"> </w:t>
      </w:r>
      <w:r>
        <w:rPr>
          <w:rFonts w:ascii="宋体" w:hAnsi="宋体" w:eastAsia="宋体" w:cs="宋体"/>
          <w:spacing w:val="2"/>
          <w:sz w:val="24"/>
          <w:szCs w:val="24"/>
        </w:rPr>
        <w:t>”）结算价暂定为人民币</w:t>
      </w:r>
      <w:r>
        <w:rPr>
          <w:rFonts w:ascii="宋体" w:hAnsi="宋体" w:eastAsia="宋体" w:cs="宋体"/>
          <w:spacing w:val="-116"/>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元（大</w:t>
      </w:r>
    </w:p>
    <w:p>
      <w:pPr>
        <w:spacing w:line="221" w:lineRule="auto"/>
        <w:ind w:left="14"/>
        <w:rPr>
          <w:rFonts w:ascii="宋体" w:hAnsi="宋体" w:eastAsia="宋体" w:cs="宋体"/>
          <w:sz w:val="24"/>
          <w:szCs w:val="24"/>
        </w:rPr>
      </w:pPr>
      <w:r>
        <w:rPr>
          <w:rFonts w:ascii="宋体" w:hAnsi="宋体" w:eastAsia="宋体" w:cs="宋体"/>
          <w:spacing w:val="-8"/>
          <w:sz w:val="24"/>
          <w:szCs w:val="24"/>
        </w:rPr>
        <w:t>写</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18"/>
          <w:sz w:val="24"/>
          <w:szCs w:val="24"/>
        </w:rPr>
        <w:t>）</w:t>
      </w:r>
      <w:r>
        <w:rPr>
          <w:rFonts w:ascii="宋体" w:hAnsi="宋体" w:eastAsia="宋体" w:cs="宋体"/>
          <w:spacing w:val="-8"/>
          <w:sz w:val="24"/>
          <w:szCs w:val="24"/>
        </w:rPr>
        <w:t>。</w:t>
      </w:r>
    </w:p>
    <w:p>
      <w:pPr>
        <w:spacing w:before="178" w:line="468" w:lineRule="exact"/>
        <w:ind w:left="489"/>
        <w:rPr>
          <w:rFonts w:ascii="宋体" w:hAnsi="宋体" w:eastAsia="宋体" w:cs="宋体"/>
          <w:sz w:val="24"/>
          <w:szCs w:val="24"/>
        </w:rPr>
      </w:pPr>
      <w:r>
        <w:rPr>
          <w:rFonts w:ascii="宋体" w:hAnsi="宋体" w:eastAsia="宋体" w:cs="宋体"/>
          <w:spacing w:val="-2"/>
          <w:position w:val="17"/>
          <w:sz w:val="24"/>
          <w:szCs w:val="24"/>
        </w:rPr>
        <w:t>若政府审计部门之后进行审计，且作出的审计决定和行业主管部门造价审查结果不</w:t>
      </w:r>
    </w:p>
    <w:p>
      <w:pPr>
        <w:spacing w:before="1" w:line="219" w:lineRule="auto"/>
        <w:ind w:left="12"/>
        <w:rPr>
          <w:rFonts w:ascii="宋体" w:hAnsi="宋体" w:eastAsia="宋体" w:cs="宋体"/>
          <w:sz w:val="24"/>
          <w:szCs w:val="24"/>
        </w:rPr>
      </w:pPr>
      <w:r>
        <w:rPr>
          <w:rFonts w:ascii="宋体" w:hAnsi="宋体" w:eastAsia="宋体" w:cs="宋体"/>
          <w:spacing w:val="-1"/>
          <w:sz w:val="24"/>
          <w:szCs w:val="24"/>
        </w:rPr>
        <w:t>一致，双方同意按以下原则处理：</w:t>
      </w:r>
    </w:p>
    <w:p>
      <w:pPr>
        <w:spacing w:before="182" w:line="466" w:lineRule="exact"/>
        <w:ind w:left="492"/>
        <w:rPr>
          <w:rFonts w:ascii="宋体" w:hAnsi="宋体" w:eastAsia="宋体" w:cs="宋体"/>
          <w:sz w:val="24"/>
          <w:szCs w:val="24"/>
        </w:rPr>
      </w:pPr>
      <w:r>
        <w:rPr>
          <w:rFonts w:ascii="宋体" w:hAnsi="宋体" w:eastAsia="宋体" w:cs="宋体"/>
          <w:spacing w:val="-2"/>
          <w:position w:val="17"/>
          <w:sz w:val="24"/>
          <w:szCs w:val="24"/>
        </w:rPr>
        <w:t>行业主管部门和审计部门对不同内容进行核减的，综合行业主管部门和审计部门的</w:t>
      </w:r>
    </w:p>
    <w:p>
      <w:pPr>
        <w:spacing w:line="219" w:lineRule="auto"/>
        <w:ind w:left="14"/>
        <w:rPr>
          <w:rFonts w:ascii="宋体" w:hAnsi="宋体" w:eastAsia="宋体" w:cs="宋体"/>
          <w:sz w:val="24"/>
          <w:szCs w:val="24"/>
        </w:rPr>
      </w:pPr>
      <w:r>
        <w:rPr>
          <w:rFonts w:ascii="宋体" w:hAnsi="宋体" w:eastAsia="宋体" w:cs="宋体"/>
          <w:spacing w:val="-3"/>
          <w:sz w:val="24"/>
          <w:szCs w:val="24"/>
        </w:rPr>
        <w:t>意见进行调整。</w:t>
      </w:r>
    </w:p>
    <w:p>
      <w:pPr>
        <w:spacing w:before="184" w:line="358" w:lineRule="auto"/>
        <w:ind w:left="492"/>
        <w:rPr>
          <w:rFonts w:ascii="宋体" w:hAnsi="宋体" w:eastAsia="宋体" w:cs="宋体"/>
          <w:sz w:val="24"/>
          <w:szCs w:val="24"/>
        </w:rPr>
      </w:pPr>
      <w:r>
        <w:rPr>
          <w:rFonts w:ascii="宋体" w:hAnsi="宋体" w:eastAsia="宋体" w:cs="宋体"/>
          <w:spacing w:val="-1"/>
          <w:sz w:val="24"/>
          <w:szCs w:val="24"/>
        </w:rPr>
        <w:t>二、甲、乙双方确认，截至</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年</w:t>
      </w:r>
      <w:r>
        <w:rPr>
          <w:rFonts w:ascii="宋体" w:hAnsi="宋体" w:eastAsia="宋体" w:cs="宋体"/>
          <w:spacing w:val="-119"/>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
          <w:sz w:val="24"/>
          <w:szCs w:val="24"/>
        </w:rPr>
        <w:t>月</w:t>
      </w:r>
      <w:r>
        <w:rPr>
          <w:rFonts w:ascii="宋体" w:hAnsi="宋体" w:eastAsia="宋体" w:cs="宋体"/>
          <w:spacing w:val="-1"/>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
          <w:sz w:val="24"/>
          <w:szCs w:val="24"/>
        </w:rPr>
        <w:t>日，甲方就本工程已向</w:t>
      </w:r>
      <w:r>
        <w:rPr>
          <w:rFonts w:ascii="宋体" w:hAnsi="宋体" w:eastAsia="宋体" w:cs="宋体"/>
          <w:spacing w:val="-2"/>
          <w:sz w:val="24"/>
          <w:szCs w:val="24"/>
        </w:rPr>
        <w:t>乙方支付款项累</w:t>
      </w:r>
    </w:p>
    <w:p>
      <w:pPr>
        <w:spacing w:line="218" w:lineRule="auto"/>
        <w:ind w:left="8"/>
        <w:rPr>
          <w:rFonts w:ascii="宋体" w:hAnsi="宋体" w:eastAsia="宋体" w:cs="宋体"/>
          <w:sz w:val="24"/>
          <w:szCs w:val="24"/>
        </w:rPr>
      </w:pPr>
      <w:r>
        <w:rPr>
          <w:rFonts w:ascii="宋体" w:hAnsi="宋体" w:eastAsia="宋体" w:cs="宋体"/>
          <w:spacing w:val="-3"/>
          <w:sz w:val="24"/>
          <w:szCs w:val="24"/>
        </w:rPr>
        <w:t>计人民币</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元。</w:t>
      </w:r>
    </w:p>
    <w:p>
      <w:pPr>
        <w:spacing w:before="148" w:line="386" w:lineRule="auto"/>
        <w:ind w:left="39"/>
        <w:rPr>
          <w:rFonts w:ascii="宋体" w:hAnsi="宋体" w:eastAsia="宋体" w:cs="宋体"/>
          <w:sz w:val="24"/>
          <w:szCs w:val="24"/>
        </w:rPr>
      </w:pPr>
      <w:r>
        <w:rPr>
          <w:rFonts w:ascii="宋体" w:hAnsi="宋体" w:eastAsia="宋体" w:cs="宋体"/>
          <w:spacing w:val="-1"/>
          <w:sz w:val="24"/>
          <w:szCs w:val="24"/>
        </w:rPr>
        <w:t>甲方将在本结算书生效后</w:t>
      </w:r>
      <w:r>
        <w:rPr>
          <w:rFonts w:ascii="宋体" w:hAnsi="宋体" w:eastAsia="宋体" w:cs="宋体"/>
          <w:spacing w:val="-19"/>
          <w:sz w:val="24"/>
          <w:szCs w:val="24"/>
        </w:rPr>
        <w:t xml:space="preserve"> </w:t>
      </w:r>
      <w:r>
        <w:rPr>
          <w:rFonts w:ascii="宋体" w:hAnsi="宋体" w:eastAsia="宋体" w:cs="宋体"/>
          <w:spacing w:val="-1"/>
          <w:sz w:val="24"/>
          <w:szCs w:val="24"/>
        </w:rPr>
        <w:t>15 个工作日内向乙方支付至结算金额的</w:t>
      </w:r>
      <w:r>
        <w:rPr>
          <w:rFonts w:ascii="宋体" w:hAnsi="宋体" w:eastAsia="宋体" w:cs="宋体"/>
          <w:spacing w:val="-119"/>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80"/>
          <w:sz w:val="24"/>
          <w:szCs w:val="24"/>
        </w:rPr>
        <w:t xml:space="preserve"> </w:t>
      </w:r>
      <w:r>
        <w:rPr>
          <w:rFonts w:ascii="宋体" w:hAnsi="宋体" w:eastAsia="宋体" w:cs="宋体"/>
          <w:spacing w:val="-1"/>
          <w:sz w:val="24"/>
          <w:szCs w:val="24"/>
        </w:rPr>
        <w:t>%</w:t>
      </w:r>
      <w:r>
        <w:rPr>
          <w:rFonts w:ascii="宋体" w:hAnsi="宋体" w:eastAsia="宋体" w:cs="宋体"/>
          <w:spacing w:val="-86"/>
          <w:sz w:val="24"/>
          <w:szCs w:val="24"/>
        </w:rPr>
        <w:t xml:space="preserve"> </w:t>
      </w:r>
      <w:r>
        <w:fldChar w:fldCharType="begin"/>
      </w:r>
      <w:r>
        <w:instrText xml:space="preserve"> HYPERLINK \l "bookmark174" </w:instrText>
      </w:r>
      <w:r>
        <w:fldChar w:fldCharType="separate"/>
      </w:r>
      <w:r>
        <w:rPr>
          <w:rFonts w:ascii="宋体" w:hAnsi="宋体" w:eastAsia="宋体" w:cs="宋体"/>
          <w:spacing w:val="-1"/>
          <w:position w:val="12"/>
          <w:sz w:val="12"/>
          <w:szCs w:val="12"/>
        </w:rPr>
        <w:t>②</w:t>
      </w:r>
      <w:r>
        <w:rPr>
          <w:rFonts w:ascii="宋体" w:hAnsi="宋体" w:eastAsia="宋体" w:cs="宋体"/>
          <w:spacing w:val="-1"/>
          <w:position w:val="12"/>
          <w:sz w:val="12"/>
          <w:szCs w:val="12"/>
        </w:rPr>
        <w:fldChar w:fldCharType="end"/>
      </w:r>
      <w:r>
        <w:rPr>
          <w:rFonts w:ascii="宋体" w:hAnsi="宋体" w:eastAsia="宋体" w:cs="宋体"/>
          <w:spacing w:val="-29"/>
          <w:position w:val="12"/>
          <w:sz w:val="12"/>
          <w:szCs w:val="12"/>
        </w:rPr>
        <w:t xml:space="preserve"> </w:t>
      </w:r>
      <w:r>
        <w:rPr>
          <w:rFonts w:ascii="宋体" w:hAnsi="宋体" w:eastAsia="宋体" w:cs="宋体"/>
          <w:spacing w:val="-1"/>
          <w:sz w:val="24"/>
          <w:szCs w:val="24"/>
        </w:rPr>
        <w:t>,</w:t>
      </w:r>
      <w:r>
        <w:rPr>
          <w:rFonts w:ascii="宋体" w:hAnsi="宋体" w:eastAsia="宋体" w:cs="宋体"/>
          <w:spacing w:val="83"/>
          <w:sz w:val="24"/>
          <w:szCs w:val="24"/>
        </w:rPr>
        <w:t xml:space="preserve"> </w:t>
      </w:r>
      <w:r>
        <w:rPr>
          <w:rFonts w:ascii="宋体" w:hAnsi="宋体" w:eastAsia="宋体" w:cs="宋体"/>
          <w:spacing w:val="-1"/>
          <w:sz w:val="24"/>
          <w:szCs w:val="24"/>
        </w:rPr>
        <w:t>即人民币</w:t>
      </w:r>
    </w:p>
    <w:p>
      <w:pPr>
        <w:spacing w:line="359" w:lineRule="auto"/>
        <w:ind w:left="10" w:right="291"/>
        <w:jc w:val="both"/>
        <w:rPr>
          <w:rFonts w:ascii="宋体" w:hAnsi="宋体" w:eastAsia="宋体" w:cs="宋体"/>
          <w:sz w:val="24"/>
          <w:szCs w:val="24"/>
        </w:rPr>
      </w:pPr>
      <w:r>
        <w:rPr>
          <w:rFonts w:ascii="宋体" w:hAnsi="宋体" w:eastAsia="宋体" w:cs="宋体"/>
          <w:spacing w:val="-2"/>
          <w:sz w:val="24"/>
          <w:szCs w:val="24"/>
        </w:rPr>
        <w:t>元。项目完成竣工决算审查备案和竣工决算审计，且发包人和承包人最终确定结算金额</w:t>
      </w:r>
      <w:r>
        <w:rPr>
          <w:rFonts w:ascii="宋体" w:hAnsi="宋体" w:eastAsia="宋体" w:cs="宋体"/>
          <w:spacing w:val="10"/>
          <w:sz w:val="24"/>
          <w:szCs w:val="24"/>
        </w:rPr>
        <w:t xml:space="preserve"> </w:t>
      </w:r>
      <w:r>
        <w:rPr>
          <w:rFonts w:ascii="宋体" w:hAnsi="宋体" w:eastAsia="宋体" w:cs="宋体"/>
          <w:spacing w:val="-2"/>
          <w:sz w:val="24"/>
          <w:szCs w:val="24"/>
        </w:rPr>
        <w:t>后</w:t>
      </w:r>
      <w:r>
        <w:rPr>
          <w:rFonts w:ascii="宋体" w:hAnsi="宋体" w:eastAsia="宋体" w:cs="宋体"/>
          <w:spacing w:val="-41"/>
          <w:sz w:val="24"/>
          <w:szCs w:val="24"/>
        </w:rPr>
        <w:t xml:space="preserve"> </w:t>
      </w:r>
      <w:r>
        <w:rPr>
          <w:rFonts w:ascii="宋体" w:hAnsi="宋体" w:eastAsia="宋体" w:cs="宋体"/>
          <w:spacing w:val="-2"/>
          <w:sz w:val="24"/>
          <w:szCs w:val="24"/>
        </w:rPr>
        <w:t>30</w:t>
      </w:r>
      <w:r>
        <w:rPr>
          <w:rFonts w:ascii="宋体" w:hAnsi="宋体" w:eastAsia="宋体" w:cs="宋体"/>
          <w:spacing w:val="-46"/>
          <w:sz w:val="24"/>
          <w:szCs w:val="24"/>
        </w:rPr>
        <w:t xml:space="preserve"> </w:t>
      </w:r>
      <w:r>
        <w:rPr>
          <w:rFonts w:ascii="宋体" w:hAnsi="宋体" w:eastAsia="宋体" w:cs="宋体"/>
          <w:spacing w:val="-2"/>
          <w:sz w:val="24"/>
          <w:szCs w:val="24"/>
        </w:rPr>
        <w:t>天内，发包人退还剩余质量保证金的</w:t>
      </w:r>
      <w:r>
        <w:rPr>
          <w:rFonts w:ascii="宋体" w:hAnsi="宋体" w:eastAsia="宋体" w:cs="宋体"/>
          <w:spacing w:val="-47"/>
          <w:sz w:val="24"/>
          <w:szCs w:val="24"/>
        </w:rPr>
        <w:t xml:space="preserve"> </w:t>
      </w:r>
      <w:r>
        <w:rPr>
          <w:rFonts w:ascii="宋体" w:hAnsi="宋体" w:eastAsia="宋体" w:cs="宋体"/>
          <w:spacing w:val="-2"/>
          <w:sz w:val="24"/>
          <w:szCs w:val="24"/>
        </w:rPr>
        <w:t>80%给承包人。通过竣工验收后</w:t>
      </w:r>
      <w:r>
        <w:rPr>
          <w:rFonts w:ascii="宋体" w:hAnsi="宋体" w:eastAsia="宋体" w:cs="宋体"/>
          <w:spacing w:val="-48"/>
          <w:sz w:val="24"/>
          <w:szCs w:val="24"/>
        </w:rPr>
        <w:t xml:space="preserve"> </w:t>
      </w:r>
      <w:r>
        <w:rPr>
          <w:rFonts w:ascii="宋体" w:hAnsi="宋体" w:eastAsia="宋体" w:cs="宋体"/>
          <w:spacing w:val="-2"/>
          <w:sz w:val="24"/>
          <w:szCs w:val="24"/>
        </w:rPr>
        <w:t>30</w:t>
      </w:r>
      <w:r>
        <w:rPr>
          <w:rFonts w:ascii="宋体" w:hAnsi="宋体" w:eastAsia="宋体" w:cs="宋体"/>
          <w:spacing w:val="-46"/>
          <w:sz w:val="24"/>
          <w:szCs w:val="24"/>
        </w:rPr>
        <w:t xml:space="preserve"> </w:t>
      </w:r>
      <w:r>
        <w:rPr>
          <w:rFonts w:ascii="宋体" w:hAnsi="宋体" w:eastAsia="宋体" w:cs="宋体"/>
          <w:spacing w:val="-2"/>
          <w:sz w:val="24"/>
          <w:szCs w:val="24"/>
        </w:rPr>
        <w:t>天内，发</w:t>
      </w:r>
    </w:p>
    <w:p>
      <w:pPr>
        <w:spacing w:before="1" w:line="219" w:lineRule="auto"/>
        <w:ind w:left="8"/>
        <w:rPr>
          <w:rFonts w:ascii="宋体" w:hAnsi="宋体" w:eastAsia="宋体" w:cs="宋体"/>
          <w:sz w:val="24"/>
          <w:szCs w:val="24"/>
        </w:rPr>
      </w:pPr>
      <w:r>
        <w:rPr>
          <w:rFonts w:ascii="宋体" w:hAnsi="宋体" w:eastAsia="宋体" w:cs="宋体"/>
          <w:spacing w:val="-1"/>
          <w:sz w:val="24"/>
          <w:szCs w:val="24"/>
        </w:rPr>
        <w:t>包人将质量保证金的余额一次性退还给承包人。</w:t>
      </w:r>
    </w:p>
    <w:p>
      <w:pPr>
        <w:spacing w:before="183" w:line="219" w:lineRule="auto"/>
        <w:ind w:left="488"/>
        <w:rPr>
          <w:rFonts w:ascii="宋体" w:hAnsi="宋体" w:eastAsia="宋体" w:cs="宋体"/>
          <w:sz w:val="24"/>
          <w:szCs w:val="24"/>
        </w:rPr>
      </w:pPr>
      <w:r>
        <w:rPr>
          <w:rFonts w:ascii="宋体" w:hAnsi="宋体" w:eastAsia="宋体" w:cs="宋体"/>
          <w:spacing w:val="-1"/>
          <w:sz w:val="24"/>
          <w:szCs w:val="24"/>
        </w:rPr>
        <w:t>三、甲方向乙方退还全部质量保证金需同时满足以下条件：</w:t>
      </w:r>
    </w:p>
    <w:p>
      <w:pPr>
        <w:tabs>
          <w:tab w:val="left" w:pos="2880"/>
        </w:tabs>
        <w:spacing w:before="118" w:line="241" w:lineRule="exact"/>
        <w:rPr>
          <w:rFonts w:ascii="Arial"/>
          <w:sz w:val="21"/>
        </w:rPr>
      </w:pPr>
      <w:r>
        <w:rPr>
          <w:rFonts w:ascii="Arial" w:hAnsi="Arial" w:eastAsia="Arial" w:cs="Arial"/>
          <w:sz w:val="21"/>
          <w:szCs w:val="21"/>
          <w:u w:val="single" w:color="auto"/>
        </w:rPr>
        <w:tab/>
      </w:r>
    </w:p>
    <w:p>
      <w:pPr>
        <w:spacing w:before="103" w:line="239" w:lineRule="auto"/>
        <w:ind w:left="5"/>
        <w:rPr>
          <w:rFonts w:ascii="宋体" w:hAnsi="宋体" w:eastAsia="宋体" w:cs="宋体"/>
          <w:sz w:val="18"/>
          <w:szCs w:val="18"/>
        </w:rPr>
      </w:pPr>
      <w:r>
        <w:rPr>
          <w:rFonts w:ascii="宋体" w:hAnsi="宋体" w:eastAsia="宋体" w:cs="宋体"/>
          <w:sz w:val="18"/>
          <w:szCs w:val="18"/>
        </w:rPr>
        <w:t>① 招标人可根据项目的资金来源情况，调整工程结</w:t>
      </w:r>
      <w:r>
        <w:rPr>
          <w:rFonts w:ascii="宋体" w:hAnsi="宋体" w:eastAsia="宋体" w:cs="宋体"/>
          <w:spacing w:val="-1"/>
          <w:sz w:val="18"/>
          <w:szCs w:val="18"/>
        </w:rPr>
        <w:t>算的相关要求。</w:t>
      </w:r>
    </w:p>
    <w:p>
      <w:pPr>
        <w:spacing w:before="1" w:line="219" w:lineRule="auto"/>
        <w:ind w:left="4"/>
        <w:rPr>
          <w:rFonts w:ascii="宋体" w:hAnsi="宋体" w:eastAsia="宋体" w:cs="宋体"/>
          <w:sz w:val="18"/>
          <w:szCs w:val="18"/>
        </w:rPr>
      </w:pPr>
      <w:r>
        <w:rPr>
          <w:rFonts w:ascii="宋体" w:hAnsi="宋体" w:eastAsia="宋体" w:cs="宋体"/>
          <w:spacing w:val="-4"/>
          <w:sz w:val="18"/>
          <w:szCs w:val="18"/>
        </w:rPr>
        <w:t>②</w:t>
      </w:r>
      <w:r>
        <w:rPr>
          <w:rFonts w:ascii="宋体" w:hAnsi="宋体" w:eastAsia="宋体" w:cs="宋体"/>
          <w:spacing w:val="27"/>
          <w:sz w:val="18"/>
          <w:szCs w:val="18"/>
        </w:rPr>
        <w:t xml:space="preserve"> </w:t>
      </w:r>
      <w:r>
        <w:rPr>
          <w:rFonts w:ascii="宋体" w:hAnsi="宋体" w:eastAsia="宋体" w:cs="宋体"/>
          <w:spacing w:val="-4"/>
          <w:sz w:val="18"/>
          <w:szCs w:val="18"/>
        </w:rPr>
        <w:t>比例不低于</w:t>
      </w:r>
      <w:r>
        <w:rPr>
          <w:rFonts w:ascii="宋体" w:hAnsi="宋体" w:eastAsia="宋体" w:cs="宋体"/>
          <w:spacing w:val="-37"/>
          <w:sz w:val="18"/>
          <w:szCs w:val="18"/>
        </w:rPr>
        <w:t xml:space="preserve"> </w:t>
      </w:r>
      <w:r>
        <w:rPr>
          <w:rFonts w:ascii="Times New Roman" w:hAnsi="Times New Roman" w:eastAsia="Times New Roman" w:cs="Times New Roman"/>
          <w:spacing w:val="-4"/>
          <w:sz w:val="18"/>
          <w:szCs w:val="18"/>
        </w:rPr>
        <w:t>97</w:t>
      </w:r>
      <w:r>
        <w:rPr>
          <w:rFonts w:ascii="宋体" w:hAnsi="宋体" w:eastAsia="宋体" w:cs="宋体"/>
          <w:spacing w:val="-4"/>
          <w:sz w:val="18"/>
          <w:szCs w:val="18"/>
        </w:rPr>
        <w:t>％。</w:t>
      </w:r>
    </w:p>
    <w:p>
      <w:pPr>
        <w:spacing w:line="425" w:lineRule="auto"/>
        <w:rPr>
          <w:rFonts w:ascii="Arial"/>
          <w:sz w:val="21"/>
        </w:rPr>
      </w:pPr>
    </w:p>
    <w:p>
      <w:pPr>
        <w:spacing w:before="78" w:line="358" w:lineRule="auto"/>
        <w:ind w:left="503"/>
        <w:rPr>
          <w:rFonts w:ascii="宋体" w:hAnsi="宋体" w:eastAsia="宋体" w:cs="宋体"/>
          <w:sz w:val="24"/>
          <w:szCs w:val="24"/>
        </w:rPr>
      </w:pPr>
      <w:r>
        <w:rPr>
          <w:rFonts w:ascii="宋体" w:hAnsi="宋体" w:eastAsia="宋体" w:cs="宋体"/>
          <w:spacing w:val="-2"/>
          <w:sz w:val="24"/>
          <w:szCs w:val="24"/>
        </w:rPr>
        <w:t>1、乙方承包的</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工程的缺陷责任期已届</w:t>
      </w:r>
      <w:r>
        <w:rPr>
          <w:rFonts w:ascii="宋体" w:hAnsi="宋体" w:eastAsia="宋体" w:cs="宋体"/>
          <w:spacing w:val="-3"/>
          <w:sz w:val="24"/>
          <w:szCs w:val="24"/>
        </w:rPr>
        <w:t>满，并由监理人出具了该工程缺陷责任期</w:t>
      </w:r>
    </w:p>
    <w:p>
      <w:pPr>
        <w:spacing w:line="219" w:lineRule="auto"/>
        <w:ind w:left="9"/>
        <w:rPr>
          <w:rFonts w:ascii="宋体" w:hAnsi="宋体" w:eastAsia="宋体" w:cs="宋体"/>
          <w:sz w:val="24"/>
          <w:szCs w:val="24"/>
        </w:rPr>
      </w:pPr>
      <w:r>
        <w:rPr>
          <w:rFonts w:ascii="宋体" w:hAnsi="宋体" w:eastAsia="宋体" w:cs="宋体"/>
          <w:spacing w:val="-3"/>
          <w:sz w:val="24"/>
          <w:szCs w:val="24"/>
        </w:rPr>
        <w:t>届满的证明；</w:t>
      </w:r>
    </w:p>
    <w:p>
      <w:pPr>
        <w:spacing w:before="183" w:line="219" w:lineRule="auto"/>
        <w:ind w:left="488"/>
        <w:rPr>
          <w:rFonts w:ascii="宋体" w:hAnsi="宋体" w:eastAsia="宋体" w:cs="宋体"/>
          <w:sz w:val="24"/>
          <w:szCs w:val="24"/>
        </w:rPr>
      </w:pPr>
      <w:r>
        <w:rPr>
          <w:rFonts w:ascii="宋体" w:hAnsi="宋体" w:eastAsia="宋体" w:cs="宋体"/>
          <w:sz w:val="24"/>
          <w:szCs w:val="24"/>
        </w:rPr>
        <w:t>2、在缺陷责任期内按合同约定进行了缺陷工</w:t>
      </w:r>
      <w:r>
        <w:rPr>
          <w:rFonts w:ascii="宋体" w:hAnsi="宋体" w:eastAsia="宋体" w:cs="宋体"/>
          <w:spacing w:val="-1"/>
          <w:sz w:val="24"/>
          <w:szCs w:val="24"/>
        </w:rPr>
        <w:t>程的修复且项目完成竣工验收。</w:t>
      </w:r>
    </w:p>
    <w:p>
      <w:pPr>
        <w:spacing w:before="180" w:line="468" w:lineRule="exact"/>
        <w:ind w:left="489"/>
        <w:rPr>
          <w:rFonts w:ascii="宋体" w:hAnsi="宋体" w:eastAsia="宋体" w:cs="宋体"/>
          <w:sz w:val="24"/>
          <w:szCs w:val="24"/>
        </w:rPr>
      </w:pPr>
      <w:r>
        <w:rPr>
          <w:rFonts w:ascii="宋体" w:hAnsi="宋体" w:eastAsia="宋体" w:cs="宋体"/>
          <w:spacing w:val="-2"/>
          <w:position w:val="17"/>
          <w:sz w:val="24"/>
          <w:szCs w:val="24"/>
        </w:rPr>
        <w:t>如甲方已付款项少于本协议第一条的核准的金额，则甲方应在乙方满足了质量保证</w:t>
      </w:r>
    </w:p>
    <w:p>
      <w:pPr>
        <w:spacing w:line="219" w:lineRule="auto"/>
        <w:ind w:left="7"/>
        <w:rPr>
          <w:rFonts w:ascii="宋体" w:hAnsi="宋体" w:eastAsia="宋体" w:cs="宋体"/>
          <w:sz w:val="24"/>
          <w:szCs w:val="24"/>
        </w:rPr>
      </w:pPr>
      <w:r>
        <w:rPr>
          <w:rFonts w:ascii="宋体" w:hAnsi="宋体" w:eastAsia="宋体" w:cs="宋体"/>
          <w:spacing w:val="-1"/>
          <w:sz w:val="24"/>
          <w:szCs w:val="24"/>
        </w:rPr>
        <w:t>金退还的全部条件后</w:t>
      </w:r>
      <w:r>
        <w:rPr>
          <w:rFonts w:ascii="宋体" w:hAnsi="宋体" w:eastAsia="宋体" w:cs="宋体"/>
          <w:spacing w:val="-1"/>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1"/>
          <w:sz w:val="24"/>
          <w:szCs w:val="24"/>
        </w:rPr>
        <w:t>天内将少付工程款（含质量保证金）支付予乙方。</w:t>
      </w:r>
    </w:p>
    <w:p>
      <w:pPr>
        <w:spacing w:before="180" w:line="359" w:lineRule="auto"/>
        <w:ind w:left="5" w:right="291" w:firstLine="483"/>
        <w:rPr>
          <w:rFonts w:ascii="宋体" w:hAnsi="宋体" w:eastAsia="宋体" w:cs="宋体"/>
          <w:sz w:val="24"/>
          <w:szCs w:val="24"/>
        </w:rPr>
      </w:pPr>
      <w:r>
        <w:rPr>
          <w:rFonts w:ascii="宋体" w:hAnsi="宋体" w:eastAsia="宋体" w:cs="宋体"/>
          <w:spacing w:val="-2"/>
          <w:sz w:val="24"/>
          <w:szCs w:val="24"/>
        </w:rPr>
        <w:t>如甲方已付款项超过本协议第一条的核准的金额，则乙方应在收到甲方发出的还款</w:t>
      </w:r>
      <w:r>
        <w:rPr>
          <w:rFonts w:ascii="宋体" w:hAnsi="宋体" w:eastAsia="宋体" w:cs="宋体"/>
          <w:spacing w:val="4"/>
          <w:sz w:val="24"/>
          <w:szCs w:val="24"/>
        </w:rPr>
        <w:t xml:space="preserve"> </w:t>
      </w:r>
      <w:r>
        <w:rPr>
          <w:rFonts w:ascii="宋体" w:hAnsi="宋体" w:eastAsia="宋体" w:cs="宋体"/>
          <w:spacing w:val="1"/>
          <w:sz w:val="24"/>
          <w:szCs w:val="24"/>
        </w:rPr>
        <w:t>通知后</w:t>
      </w:r>
      <w:r>
        <w:rPr>
          <w:rFonts w:ascii="宋体" w:hAnsi="宋体" w:eastAsia="宋体" w:cs="宋体"/>
          <w:spacing w:val="-118"/>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天内将超出核准金额的工程款返还给甲方，且甲方无需将质量保证</w:t>
      </w:r>
      <w:r>
        <w:rPr>
          <w:rFonts w:ascii="宋体" w:hAnsi="宋体" w:eastAsia="宋体" w:cs="宋体"/>
          <w:sz w:val="24"/>
          <w:szCs w:val="24"/>
        </w:rPr>
        <w:t>金退还给</w:t>
      </w:r>
    </w:p>
    <w:p>
      <w:pPr>
        <w:spacing w:before="1" w:line="220" w:lineRule="auto"/>
        <w:ind w:left="28"/>
        <w:rPr>
          <w:rFonts w:ascii="宋体" w:hAnsi="宋体" w:eastAsia="宋体" w:cs="宋体"/>
          <w:sz w:val="24"/>
          <w:szCs w:val="24"/>
        </w:rPr>
      </w:pPr>
      <w:r>
        <w:rPr>
          <w:rFonts w:ascii="宋体" w:hAnsi="宋体" w:eastAsia="宋体" w:cs="宋体"/>
          <w:spacing w:val="-11"/>
          <w:sz w:val="24"/>
          <w:szCs w:val="24"/>
        </w:rPr>
        <w:t>乙方。</w:t>
      </w:r>
    </w:p>
    <w:p>
      <w:pPr>
        <w:spacing w:before="181" w:line="466" w:lineRule="exact"/>
        <w:ind w:left="507"/>
        <w:rPr>
          <w:rFonts w:ascii="宋体" w:hAnsi="宋体" w:eastAsia="宋体" w:cs="宋体"/>
          <w:sz w:val="24"/>
          <w:szCs w:val="24"/>
        </w:rPr>
      </w:pPr>
      <w:r>
        <w:rPr>
          <w:rFonts w:ascii="宋体" w:hAnsi="宋体" w:eastAsia="宋体" w:cs="宋体"/>
          <w:spacing w:val="-2"/>
          <w:position w:val="17"/>
          <w:sz w:val="24"/>
          <w:szCs w:val="24"/>
        </w:rPr>
        <w:t>四、如甲方或乙方未按本协议约定履行付款义务，</w:t>
      </w:r>
      <w:r>
        <w:rPr>
          <w:rFonts w:ascii="宋体" w:hAnsi="宋体" w:eastAsia="宋体" w:cs="宋体"/>
          <w:spacing w:val="-3"/>
          <w:position w:val="17"/>
          <w:sz w:val="24"/>
          <w:szCs w:val="24"/>
        </w:rPr>
        <w:t>则每延迟一天，违约方需向对方</w:t>
      </w:r>
    </w:p>
    <w:p>
      <w:pPr>
        <w:spacing w:line="219" w:lineRule="auto"/>
        <w:ind w:left="6"/>
        <w:rPr>
          <w:rFonts w:ascii="宋体" w:hAnsi="宋体" w:eastAsia="宋体" w:cs="宋体"/>
          <w:sz w:val="24"/>
          <w:szCs w:val="24"/>
        </w:rPr>
      </w:pPr>
      <w:r>
        <w:rPr>
          <w:rFonts w:ascii="宋体" w:hAnsi="宋体" w:eastAsia="宋体" w:cs="宋体"/>
          <w:spacing w:val="-1"/>
          <w:sz w:val="24"/>
          <w:szCs w:val="24"/>
        </w:rPr>
        <w:t>支付相当于未付款项的</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%作为违约金。</w:t>
      </w:r>
    </w:p>
    <w:p>
      <w:pPr>
        <w:spacing w:before="183" w:line="219" w:lineRule="auto"/>
        <w:ind w:left="489"/>
        <w:rPr>
          <w:rFonts w:ascii="宋体" w:hAnsi="宋体" w:eastAsia="宋体" w:cs="宋体"/>
          <w:sz w:val="24"/>
          <w:szCs w:val="24"/>
        </w:rPr>
      </w:pPr>
      <w:r>
        <w:rPr>
          <w:rFonts w:ascii="宋体" w:hAnsi="宋体" w:eastAsia="宋体" w:cs="宋体"/>
          <w:spacing w:val="-1"/>
          <w:sz w:val="24"/>
          <w:szCs w:val="24"/>
        </w:rPr>
        <w:t>五、本协议条款与合同如有冲突，以本协议为准。</w:t>
      </w:r>
    </w:p>
    <w:p>
      <w:pPr>
        <w:spacing w:before="181" w:line="219" w:lineRule="auto"/>
        <w:ind w:left="487"/>
        <w:rPr>
          <w:rFonts w:ascii="宋体" w:hAnsi="宋体" w:eastAsia="宋体" w:cs="宋体"/>
          <w:sz w:val="24"/>
          <w:szCs w:val="24"/>
        </w:rPr>
      </w:pPr>
      <w:r>
        <w:rPr>
          <w:rFonts w:ascii="宋体" w:hAnsi="宋体" w:eastAsia="宋体" w:cs="宋体"/>
          <w:sz w:val="24"/>
          <w:szCs w:val="24"/>
        </w:rPr>
        <w:t>六、本协议经双方法定代表人（负责人）或授权</w:t>
      </w:r>
      <w:r>
        <w:rPr>
          <w:rFonts w:ascii="宋体" w:hAnsi="宋体" w:eastAsia="宋体" w:cs="宋体"/>
          <w:spacing w:val="-1"/>
          <w:sz w:val="24"/>
          <w:szCs w:val="24"/>
        </w:rPr>
        <w:t>代表签字并加盖公章后生效。</w:t>
      </w:r>
    </w:p>
    <w:p>
      <w:pPr>
        <w:spacing w:before="183" w:line="219" w:lineRule="auto"/>
        <w:ind w:left="484"/>
        <w:rPr>
          <w:rFonts w:ascii="宋体" w:hAnsi="宋体" w:eastAsia="宋体" w:cs="宋体"/>
          <w:sz w:val="24"/>
          <w:szCs w:val="24"/>
        </w:rPr>
      </w:pPr>
      <w:r>
        <w:rPr>
          <w:rFonts w:ascii="宋体" w:hAnsi="宋体" w:eastAsia="宋体" w:cs="宋体"/>
          <w:spacing w:val="-1"/>
          <w:sz w:val="24"/>
          <w:szCs w:val="24"/>
        </w:rPr>
        <w:t>七、本协议一式</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份，甲、乙双方各执</w:t>
      </w:r>
      <w:r>
        <w:rPr>
          <w:rFonts w:ascii="宋体" w:hAnsi="宋体" w:eastAsia="宋体" w:cs="宋体"/>
          <w:spacing w:val="-2"/>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份。</w:t>
      </w:r>
    </w:p>
    <w:p>
      <w:pPr>
        <w:spacing w:line="283" w:lineRule="auto"/>
        <w:rPr>
          <w:rFonts w:ascii="Arial"/>
          <w:sz w:val="21"/>
        </w:rPr>
      </w:pPr>
    </w:p>
    <w:p>
      <w:pPr>
        <w:spacing w:line="284" w:lineRule="auto"/>
        <w:rPr>
          <w:rFonts w:ascii="Arial"/>
          <w:sz w:val="21"/>
        </w:rPr>
      </w:pPr>
    </w:p>
    <w:p>
      <w:pPr>
        <w:spacing w:before="78" w:line="219" w:lineRule="auto"/>
        <w:ind w:left="516"/>
        <w:rPr>
          <w:rFonts w:ascii="宋体" w:hAnsi="宋体" w:eastAsia="宋体" w:cs="宋体"/>
          <w:sz w:val="24"/>
          <w:szCs w:val="24"/>
        </w:rPr>
      </w:pPr>
      <w:r>
        <w:rPr>
          <w:rFonts w:ascii="宋体" w:hAnsi="宋体" w:eastAsia="宋体" w:cs="宋体"/>
          <w:spacing w:val="-1"/>
          <w:sz w:val="24"/>
          <w:szCs w:val="24"/>
        </w:rPr>
        <w:t>甲 方</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1"/>
          <w:sz w:val="24"/>
          <w:szCs w:val="24"/>
        </w:rPr>
        <w:t>盖章）</w:t>
      </w:r>
      <w:r>
        <w:rPr>
          <w:rFonts w:ascii="宋体" w:hAnsi="宋体" w:eastAsia="宋体" w:cs="宋体"/>
          <w:spacing w:val="8"/>
          <w:sz w:val="24"/>
          <w:szCs w:val="24"/>
        </w:rPr>
        <w:t xml:space="preserve">    </w:t>
      </w:r>
      <w:r>
        <w:rPr>
          <w:rFonts w:ascii="宋体" w:hAnsi="宋体" w:eastAsia="宋体" w:cs="宋体"/>
          <w:spacing w:val="-1"/>
          <w:sz w:val="24"/>
          <w:szCs w:val="24"/>
        </w:rPr>
        <w:t>乙 方</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1"/>
          <w:sz w:val="24"/>
          <w:szCs w:val="24"/>
        </w:rPr>
        <w:t>盖章）</w:t>
      </w:r>
    </w:p>
    <w:p>
      <w:pPr>
        <w:spacing w:before="185" w:line="219" w:lineRule="auto"/>
        <w:ind w:left="485"/>
        <w:rPr>
          <w:rFonts w:ascii="宋体" w:hAnsi="宋体" w:eastAsia="宋体" w:cs="宋体"/>
          <w:sz w:val="24"/>
          <w:szCs w:val="24"/>
        </w:rPr>
      </w:pPr>
      <w:r>
        <w:rPr>
          <w:rFonts w:ascii="宋体" w:hAnsi="宋体" w:eastAsia="宋体" w:cs="宋体"/>
          <w:spacing w:val="-2"/>
          <w:sz w:val="24"/>
          <w:szCs w:val="24"/>
        </w:rPr>
        <w:t>签署代表：</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签署代表：</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pPr>
        <w:spacing w:before="180" w:line="220" w:lineRule="auto"/>
        <w:ind w:left="485"/>
        <w:rPr>
          <w:rFonts w:ascii="宋体" w:hAnsi="宋体" w:eastAsia="宋体" w:cs="宋体"/>
          <w:sz w:val="24"/>
          <w:szCs w:val="24"/>
        </w:rPr>
      </w:pPr>
      <w:r>
        <w:rPr>
          <w:rFonts w:ascii="宋体" w:hAnsi="宋体" w:eastAsia="宋体" w:cs="宋体"/>
          <w:sz w:val="24"/>
          <w:szCs w:val="24"/>
        </w:rPr>
        <w:t>签署日期：</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      签署日期：</w:t>
      </w:r>
      <w:r>
        <w:rPr>
          <w:rFonts w:ascii="宋体" w:hAnsi="宋体" w:eastAsia="宋体" w:cs="宋体"/>
          <w:sz w:val="24"/>
          <w:szCs w:val="24"/>
          <w:u w:val="single" w:color="auto"/>
        </w:rPr>
        <w:t xml:space="preserve">              </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4"/>
        <w:spacing w:before="169" w:line="222" w:lineRule="auto"/>
        <w:ind w:left="1972"/>
        <w:rPr>
          <w:spacing w:val="4"/>
          <w14:textOutline w14:w="9461" w14:cap="sq" w14:cmpd="sng">
            <w14:solidFill>
              <w14:srgbClr w14:val="000000"/>
            </w14:solidFill>
            <w14:prstDash w14:val="solid"/>
            <w14:bevel/>
          </w14:textOutline>
        </w:rPr>
      </w:pPr>
    </w:p>
    <w:p>
      <w:pPr>
        <w:pStyle w:val="4"/>
        <w:spacing w:before="169" w:line="222" w:lineRule="auto"/>
        <w:ind w:left="1972"/>
        <w:rPr>
          <w:spacing w:val="4"/>
          <w14:textOutline w14:w="9461" w14:cap="sq" w14:cmpd="sng">
            <w14:solidFill>
              <w14:srgbClr w14:val="000000"/>
            </w14:solidFill>
            <w14:prstDash w14:val="solid"/>
            <w14:bevel/>
          </w14:textOutline>
        </w:rPr>
      </w:pPr>
    </w:p>
    <w:p>
      <w:pPr>
        <w:pStyle w:val="4"/>
        <w:spacing w:before="169" w:line="222" w:lineRule="auto"/>
        <w:ind w:left="1972"/>
        <w:rPr>
          <w:spacing w:val="4"/>
          <w14:textOutline w14:w="9461" w14:cap="sq" w14:cmpd="sng">
            <w14:solidFill>
              <w14:srgbClr w14:val="000000"/>
            </w14:solidFill>
            <w14:prstDash w14:val="solid"/>
            <w14:bevel/>
          </w14:textOutline>
        </w:rPr>
      </w:pPr>
    </w:p>
    <w:p>
      <w:pPr>
        <w:pStyle w:val="4"/>
        <w:spacing w:before="169" w:line="222" w:lineRule="auto"/>
        <w:ind w:left="1972"/>
        <w:rPr>
          <w:spacing w:val="4"/>
          <w14:textOutline w14:w="9461" w14:cap="sq" w14:cmpd="sng">
            <w14:solidFill>
              <w14:srgbClr w14:val="000000"/>
            </w14:solidFill>
            <w14:prstDash w14:val="solid"/>
            <w14:bevel/>
          </w14:textOutline>
        </w:rPr>
      </w:pPr>
    </w:p>
    <w:p>
      <w:pPr>
        <w:pStyle w:val="4"/>
        <w:spacing w:before="169" w:line="222" w:lineRule="auto"/>
        <w:ind w:left="1972"/>
        <w:rPr>
          <w:spacing w:val="4"/>
          <w14:textOutline w14:w="9461" w14:cap="sq" w14:cmpd="sng">
            <w14:solidFill>
              <w14:srgbClr w14:val="000000"/>
            </w14:solidFill>
            <w14:prstDash w14:val="solid"/>
            <w14:bevel/>
          </w14:textOutline>
        </w:rPr>
      </w:pPr>
    </w:p>
    <w:p>
      <w:pPr>
        <w:pStyle w:val="4"/>
        <w:spacing w:before="169" w:line="222" w:lineRule="auto"/>
        <w:ind w:left="1972"/>
        <w:rPr>
          <w:spacing w:val="4"/>
          <w14:textOutline w14:w="9461" w14:cap="sq" w14:cmpd="sng">
            <w14:solidFill>
              <w14:srgbClr w14:val="000000"/>
            </w14:solidFill>
            <w14:prstDash w14:val="solid"/>
            <w14:bevel/>
          </w14:textOutline>
        </w:rPr>
      </w:pPr>
    </w:p>
    <w:p>
      <w:pPr>
        <w:pStyle w:val="4"/>
        <w:spacing w:before="169" w:line="222" w:lineRule="auto"/>
        <w:ind w:left="1972"/>
      </w:pPr>
      <w:r>
        <w:rPr>
          <w:spacing w:val="4"/>
          <w14:textOutline w14:w="9461" w14:cap="sq" w14:cmpd="sng">
            <w14:solidFill>
              <w14:srgbClr w14:val="000000"/>
            </w14:solidFill>
            <w14:prstDash w14:val="solid"/>
            <w14:bevel/>
          </w14:textOutline>
        </w:rPr>
        <w:t>第</w:t>
      </w:r>
      <w:r>
        <w:rPr>
          <w:spacing w:val="-138"/>
        </w:rPr>
        <w:t xml:space="preserve"> </w:t>
      </w:r>
      <w:r>
        <w:rPr>
          <w:spacing w:val="4"/>
          <w14:textOutline w14:w="9461" w14:cap="sq" w14:cmpd="sng">
            <w14:solidFill>
              <w14:srgbClr w14:val="000000"/>
            </w14:solidFill>
            <w14:prstDash w14:val="solid"/>
            <w14:bevel/>
          </w14:textOutline>
        </w:rPr>
        <w:t>五章</w:t>
      </w:r>
      <w:r>
        <w:rPr>
          <w:spacing w:val="182"/>
        </w:rPr>
        <w:t xml:space="preserve"> </w:t>
      </w:r>
      <w:r>
        <w:rPr>
          <w:spacing w:val="4"/>
          <w14:textOutline w14:w="9461" w14:cap="sq" w14:cmpd="sng">
            <w14:solidFill>
              <w14:srgbClr w14:val="000000"/>
            </w14:solidFill>
            <w14:prstDash w14:val="solid"/>
            <w14:bevel/>
          </w14:textOutline>
        </w:rPr>
        <w:t>工程</w:t>
      </w:r>
      <w:r>
        <w:rPr>
          <w:spacing w:val="-152"/>
        </w:rPr>
        <w:t xml:space="preserve"> </w:t>
      </w:r>
      <w:r>
        <w:rPr>
          <w:spacing w:val="4"/>
          <w14:textOutline w14:w="9461" w14:cap="sq" w14:cmpd="sng">
            <w14:solidFill>
              <w14:srgbClr w14:val="000000"/>
            </w14:solidFill>
            <w14:prstDash w14:val="solid"/>
            <w14:bevel/>
          </w14:textOutline>
        </w:rPr>
        <w:t>量</w:t>
      </w:r>
      <w:r>
        <w:rPr>
          <w:spacing w:val="-152"/>
        </w:rPr>
        <w:t xml:space="preserve"> </w:t>
      </w:r>
      <w:r>
        <w:rPr>
          <w:spacing w:val="4"/>
          <w14:textOutline w14:w="9461" w14:cap="sq" w14:cmpd="sng">
            <w14:solidFill>
              <w14:srgbClr w14:val="000000"/>
            </w14:solidFill>
            <w14:prstDash w14:val="solid"/>
            <w14:bevel/>
          </w14:textOutline>
        </w:rPr>
        <w:t>清</w:t>
      </w:r>
      <w:r>
        <w:rPr>
          <w:spacing w:val="-147"/>
        </w:rPr>
        <w:t xml:space="preserve"> </w:t>
      </w:r>
      <w:r>
        <w:rPr>
          <w:spacing w:val="4"/>
          <w14:textOutline w14:w="9461" w14:cap="sq" w14:cmpd="sng">
            <w14:solidFill>
              <w14:srgbClr w14:val="000000"/>
            </w14:solidFill>
            <w14:prstDash w14:val="solid"/>
            <w14:bevel/>
          </w14:textOutline>
        </w:rPr>
        <w:t>单</w:t>
      </w:r>
    </w:p>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4"/>
        <w:spacing w:before="152" w:line="226" w:lineRule="auto"/>
        <w:ind w:left="2143"/>
        <w:rPr>
          <w:spacing w:val="-11"/>
          <w:sz w:val="47"/>
          <w:szCs w:val="47"/>
          <w14:textOutline w14:w="8717" w14:cap="sq" w14:cmpd="sng">
            <w14:solidFill>
              <w14:srgbClr w14:val="000000"/>
            </w14:solidFill>
            <w14:prstDash w14:val="solid"/>
            <w14:bevel/>
          </w14:textOutline>
        </w:rPr>
      </w:pPr>
    </w:p>
    <w:p>
      <w:pPr>
        <w:pStyle w:val="4"/>
        <w:spacing w:before="152" w:line="226" w:lineRule="auto"/>
        <w:ind w:left="2143"/>
        <w:rPr>
          <w:spacing w:val="-11"/>
          <w:sz w:val="47"/>
          <w:szCs w:val="47"/>
          <w14:textOutline w14:w="8717" w14:cap="sq" w14:cmpd="sng">
            <w14:solidFill>
              <w14:srgbClr w14:val="000000"/>
            </w14:solidFill>
            <w14:prstDash w14:val="solid"/>
            <w14:bevel/>
          </w14:textOutline>
        </w:rPr>
      </w:pPr>
    </w:p>
    <w:p>
      <w:pPr>
        <w:pStyle w:val="4"/>
        <w:spacing w:before="152" w:line="226" w:lineRule="auto"/>
        <w:ind w:left="2143"/>
        <w:rPr>
          <w:spacing w:val="-11"/>
          <w:sz w:val="47"/>
          <w:szCs w:val="47"/>
          <w14:textOutline w14:w="8717" w14:cap="sq" w14:cmpd="sng">
            <w14:solidFill>
              <w14:srgbClr w14:val="000000"/>
            </w14:solidFill>
            <w14:prstDash w14:val="solid"/>
            <w14:bevel/>
          </w14:textOutline>
        </w:rPr>
      </w:pPr>
    </w:p>
    <w:p>
      <w:pPr>
        <w:pStyle w:val="4"/>
        <w:spacing w:before="152" w:line="226" w:lineRule="auto"/>
        <w:ind w:left="2143"/>
        <w:rPr>
          <w:spacing w:val="-11"/>
          <w:sz w:val="47"/>
          <w:szCs w:val="47"/>
          <w14:textOutline w14:w="8717" w14:cap="sq" w14:cmpd="sng">
            <w14:solidFill>
              <w14:srgbClr w14:val="000000"/>
            </w14:solidFill>
            <w14:prstDash w14:val="solid"/>
            <w14:bevel/>
          </w14:textOutline>
        </w:rPr>
      </w:pPr>
    </w:p>
    <w:p>
      <w:pPr>
        <w:pStyle w:val="4"/>
        <w:spacing w:before="152" w:line="226" w:lineRule="auto"/>
        <w:ind w:left="2143"/>
        <w:rPr>
          <w:spacing w:val="-11"/>
          <w:sz w:val="47"/>
          <w:szCs w:val="47"/>
          <w14:textOutline w14:w="8717" w14:cap="sq" w14:cmpd="sng">
            <w14:solidFill>
              <w14:srgbClr w14:val="000000"/>
            </w14:solidFill>
            <w14:prstDash w14:val="solid"/>
            <w14:bevel/>
          </w14:textOutline>
        </w:rPr>
      </w:pPr>
    </w:p>
    <w:p>
      <w:pPr>
        <w:pStyle w:val="4"/>
        <w:spacing w:before="152" w:line="226" w:lineRule="auto"/>
        <w:ind w:left="2143"/>
        <w:rPr>
          <w:spacing w:val="-11"/>
          <w:sz w:val="47"/>
          <w:szCs w:val="47"/>
          <w14:textOutline w14:w="8717" w14:cap="sq" w14:cmpd="sng">
            <w14:solidFill>
              <w14:srgbClr w14:val="000000"/>
            </w14:solidFill>
            <w14:prstDash w14:val="solid"/>
            <w14:bevel/>
          </w14:textOutline>
        </w:rPr>
      </w:pPr>
    </w:p>
    <w:p>
      <w:pPr>
        <w:pStyle w:val="4"/>
        <w:spacing w:before="152" w:line="226" w:lineRule="auto"/>
        <w:ind w:left="2143"/>
        <w:rPr>
          <w:spacing w:val="-11"/>
          <w:sz w:val="47"/>
          <w:szCs w:val="47"/>
          <w14:textOutline w14:w="8717" w14:cap="sq" w14:cmpd="sng">
            <w14:solidFill>
              <w14:srgbClr w14:val="000000"/>
            </w14:solidFill>
            <w14:prstDash w14:val="solid"/>
            <w14:bevel/>
          </w14:textOutline>
        </w:rPr>
      </w:pPr>
    </w:p>
    <w:p>
      <w:pPr>
        <w:pStyle w:val="4"/>
        <w:spacing w:before="152" w:line="226" w:lineRule="auto"/>
        <w:ind w:left="2143"/>
        <w:rPr>
          <w:spacing w:val="-11"/>
          <w:sz w:val="47"/>
          <w:szCs w:val="47"/>
          <w14:textOutline w14:w="8717" w14:cap="sq" w14:cmpd="sng">
            <w14:solidFill>
              <w14:srgbClr w14:val="000000"/>
            </w14:solidFill>
            <w14:prstDash w14:val="solid"/>
            <w14:bevel/>
          </w14:textOutline>
        </w:rPr>
      </w:pPr>
    </w:p>
    <w:p>
      <w:pPr>
        <w:pStyle w:val="4"/>
        <w:spacing w:before="152" w:line="226" w:lineRule="auto"/>
        <w:ind w:left="2143"/>
        <w:rPr>
          <w:spacing w:val="-11"/>
          <w:sz w:val="47"/>
          <w:szCs w:val="47"/>
          <w14:textOutline w14:w="8717" w14:cap="sq" w14:cmpd="sng">
            <w14:solidFill>
              <w14:srgbClr w14:val="000000"/>
            </w14:solidFill>
            <w14:prstDash w14:val="solid"/>
            <w14:bevel/>
          </w14:textOutline>
        </w:rPr>
      </w:pPr>
    </w:p>
    <w:p>
      <w:pPr>
        <w:pStyle w:val="4"/>
        <w:spacing w:before="152" w:line="226" w:lineRule="auto"/>
        <w:ind w:left="2143"/>
        <w:rPr>
          <w:spacing w:val="-11"/>
          <w:sz w:val="47"/>
          <w:szCs w:val="47"/>
          <w14:textOutline w14:w="8717" w14:cap="sq" w14:cmpd="sng">
            <w14:solidFill>
              <w14:srgbClr w14:val="000000"/>
            </w14:solidFill>
            <w14:prstDash w14:val="solid"/>
            <w14:bevel/>
          </w14:textOutline>
        </w:rPr>
      </w:pPr>
    </w:p>
    <w:p>
      <w:pPr>
        <w:pStyle w:val="4"/>
        <w:spacing w:before="152" w:line="226" w:lineRule="auto"/>
        <w:ind w:left="2143"/>
        <w:rPr>
          <w:spacing w:val="-11"/>
          <w:sz w:val="47"/>
          <w:szCs w:val="47"/>
          <w14:textOutline w14:w="8717" w14:cap="sq" w14:cmpd="sng">
            <w14:solidFill>
              <w14:srgbClr w14:val="000000"/>
            </w14:solidFill>
            <w14:prstDash w14:val="solid"/>
            <w14:bevel/>
          </w14:textOutline>
        </w:rPr>
      </w:pPr>
    </w:p>
    <w:p>
      <w:pPr>
        <w:pStyle w:val="4"/>
        <w:spacing w:before="152" w:line="226" w:lineRule="auto"/>
        <w:ind w:left="2143"/>
        <w:rPr>
          <w:spacing w:val="-11"/>
          <w:sz w:val="47"/>
          <w:szCs w:val="47"/>
          <w14:textOutline w14:w="8717" w14:cap="sq" w14:cmpd="sng">
            <w14:solidFill>
              <w14:srgbClr w14:val="000000"/>
            </w14:solidFill>
            <w14:prstDash w14:val="solid"/>
            <w14:bevel/>
          </w14:textOutline>
        </w:rPr>
      </w:pPr>
    </w:p>
    <w:p>
      <w:pPr>
        <w:pStyle w:val="4"/>
        <w:spacing w:before="152" w:line="226" w:lineRule="auto"/>
        <w:ind w:left="2143"/>
        <w:rPr>
          <w:spacing w:val="-11"/>
          <w:sz w:val="47"/>
          <w:szCs w:val="47"/>
          <w14:textOutline w14:w="8717" w14:cap="sq" w14:cmpd="sng">
            <w14:solidFill>
              <w14:srgbClr w14:val="000000"/>
            </w14:solidFill>
            <w14:prstDash w14:val="solid"/>
            <w14:bevel/>
          </w14:textOutline>
        </w:rPr>
      </w:pPr>
    </w:p>
    <w:p>
      <w:pPr>
        <w:pStyle w:val="4"/>
        <w:spacing w:before="152" w:line="226" w:lineRule="auto"/>
        <w:ind w:left="2143"/>
        <w:rPr>
          <w:spacing w:val="-11"/>
          <w:sz w:val="47"/>
          <w:szCs w:val="47"/>
          <w14:textOutline w14:w="8717" w14:cap="sq" w14:cmpd="sng">
            <w14:solidFill>
              <w14:srgbClr w14:val="000000"/>
            </w14:solidFill>
            <w14:prstDash w14:val="solid"/>
            <w14:bevel/>
          </w14:textOutline>
        </w:rPr>
      </w:pPr>
    </w:p>
    <w:p>
      <w:pPr>
        <w:pStyle w:val="4"/>
        <w:spacing w:before="152" w:line="226" w:lineRule="auto"/>
        <w:ind w:left="2143"/>
        <w:rPr>
          <w:sz w:val="47"/>
          <w:szCs w:val="47"/>
        </w:rPr>
      </w:pPr>
      <w:r>
        <w:rPr>
          <w:spacing w:val="-11"/>
          <w:sz w:val="47"/>
          <w:szCs w:val="47"/>
          <w14:textOutline w14:w="8717" w14:cap="sq" w14:cmpd="sng">
            <w14:solidFill>
              <w14:srgbClr w14:val="000000"/>
            </w14:solidFill>
            <w14:prstDash w14:val="solid"/>
            <w14:bevel/>
          </w14:textOutline>
        </w:rPr>
        <w:t>第</w:t>
      </w:r>
      <w:r>
        <w:rPr>
          <w:spacing w:val="-122"/>
          <w:sz w:val="47"/>
          <w:szCs w:val="47"/>
        </w:rPr>
        <w:t xml:space="preserve"> </w:t>
      </w:r>
      <w:r>
        <w:rPr>
          <w:spacing w:val="-11"/>
          <w:sz w:val="47"/>
          <w:szCs w:val="47"/>
          <w14:textOutline w14:w="8717" w14:cap="sq" w14:cmpd="sng">
            <w14:solidFill>
              <w14:srgbClr w14:val="000000"/>
            </w14:solidFill>
            <w14:prstDash w14:val="solid"/>
            <w14:bevel/>
          </w14:textOutline>
        </w:rPr>
        <w:t>五</w:t>
      </w:r>
      <w:r>
        <w:rPr>
          <w:spacing w:val="-133"/>
          <w:sz w:val="47"/>
          <w:szCs w:val="47"/>
        </w:rPr>
        <w:t xml:space="preserve"> </w:t>
      </w:r>
      <w:r>
        <w:rPr>
          <w:spacing w:val="-11"/>
          <w:sz w:val="47"/>
          <w:szCs w:val="47"/>
          <w14:textOutline w14:w="8717" w14:cap="sq" w14:cmpd="sng">
            <w14:solidFill>
              <w14:srgbClr w14:val="000000"/>
            </w14:solidFill>
            <w14:prstDash w14:val="solid"/>
            <w14:bevel/>
          </w14:textOutline>
        </w:rPr>
        <w:t>章</w:t>
      </w:r>
      <w:r>
        <w:rPr>
          <w:spacing w:val="188"/>
          <w:sz w:val="47"/>
          <w:szCs w:val="47"/>
        </w:rPr>
        <w:t xml:space="preserve"> </w:t>
      </w:r>
      <w:r>
        <w:rPr>
          <w:spacing w:val="-11"/>
          <w:sz w:val="47"/>
          <w:szCs w:val="47"/>
          <w14:textOutline w14:w="8717" w14:cap="sq" w14:cmpd="sng">
            <w14:solidFill>
              <w14:srgbClr w14:val="000000"/>
            </w14:solidFill>
            <w14:prstDash w14:val="solid"/>
            <w14:bevel/>
          </w14:textOutline>
        </w:rPr>
        <w:t>工</w:t>
      </w:r>
      <w:r>
        <w:rPr>
          <w:spacing w:val="-136"/>
          <w:sz w:val="47"/>
          <w:szCs w:val="47"/>
        </w:rPr>
        <w:t xml:space="preserve"> </w:t>
      </w:r>
      <w:r>
        <w:rPr>
          <w:spacing w:val="-11"/>
          <w:sz w:val="47"/>
          <w:szCs w:val="47"/>
          <w14:textOutline w14:w="8717" w14:cap="sq" w14:cmpd="sng">
            <w14:solidFill>
              <w14:srgbClr w14:val="000000"/>
            </w14:solidFill>
            <w14:prstDash w14:val="solid"/>
            <w14:bevel/>
          </w14:textOutline>
        </w:rPr>
        <w:t>程</w:t>
      </w:r>
      <w:r>
        <w:rPr>
          <w:spacing w:val="-129"/>
          <w:sz w:val="47"/>
          <w:szCs w:val="47"/>
        </w:rPr>
        <w:t xml:space="preserve"> </w:t>
      </w:r>
      <w:r>
        <w:rPr>
          <w:spacing w:val="-11"/>
          <w:sz w:val="47"/>
          <w:szCs w:val="47"/>
          <w14:textOutline w14:w="8717" w14:cap="sq" w14:cmpd="sng">
            <w14:solidFill>
              <w14:srgbClr w14:val="000000"/>
            </w14:solidFill>
            <w14:prstDash w14:val="solid"/>
            <w14:bevel/>
          </w14:textOutline>
        </w:rPr>
        <w:t>量</w:t>
      </w:r>
      <w:r>
        <w:rPr>
          <w:spacing w:val="-129"/>
          <w:sz w:val="47"/>
          <w:szCs w:val="47"/>
        </w:rPr>
        <w:t xml:space="preserve"> </w:t>
      </w:r>
      <w:r>
        <w:rPr>
          <w:spacing w:val="-11"/>
          <w:sz w:val="47"/>
          <w:szCs w:val="47"/>
          <w14:textOutline w14:w="8717" w14:cap="sq" w14:cmpd="sng">
            <w14:solidFill>
              <w14:srgbClr w14:val="000000"/>
            </w14:solidFill>
            <w14:prstDash w14:val="solid"/>
            <w14:bevel/>
          </w14:textOutline>
        </w:rPr>
        <w:t>清</w:t>
      </w:r>
      <w:r>
        <w:rPr>
          <w:spacing w:val="-122"/>
          <w:sz w:val="47"/>
          <w:szCs w:val="47"/>
        </w:rPr>
        <w:t xml:space="preserve"> </w:t>
      </w:r>
      <w:r>
        <w:rPr>
          <w:spacing w:val="-11"/>
          <w:sz w:val="47"/>
          <w:szCs w:val="47"/>
          <w14:textOutline w14:w="8717" w14:cap="sq" w14:cmpd="sng">
            <w14:solidFill>
              <w14:srgbClr w14:val="000000"/>
            </w14:solidFill>
            <w14:prstDash w14:val="solid"/>
            <w14:bevel/>
          </w14:textOutline>
        </w:rPr>
        <w:t>单</w:t>
      </w: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91" w:line="219" w:lineRule="auto"/>
        <w:ind w:left="571"/>
        <w:rPr>
          <w:rFonts w:ascii="宋体" w:hAnsi="宋体" w:eastAsia="宋体" w:cs="宋体"/>
          <w:sz w:val="28"/>
          <w:szCs w:val="28"/>
        </w:rPr>
      </w:pPr>
      <w:r>
        <w:rPr>
          <w:rFonts w:ascii="宋体" w:hAnsi="宋体" w:eastAsia="宋体" w:cs="宋体"/>
          <w:spacing w:val="-1"/>
          <w:sz w:val="28"/>
          <w:szCs w:val="28"/>
        </w:rPr>
        <w:t>工程量清单具体应执行《广东省公路工程造价标准化管理指南》（粤</w:t>
      </w:r>
    </w:p>
    <w:p>
      <w:pPr>
        <w:spacing w:before="215" w:line="221" w:lineRule="auto"/>
        <w:ind w:left="12"/>
        <w:rPr>
          <w:rFonts w:ascii="宋体" w:hAnsi="宋体" w:eastAsia="宋体" w:cs="宋体"/>
          <w:sz w:val="28"/>
          <w:szCs w:val="28"/>
        </w:rPr>
      </w:pPr>
      <w:r>
        <w:rPr>
          <w:rFonts w:ascii="宋体" w:hAnsi="宋体" w:eastAsia="宋体" w:cs="宋体"/>
          <w:spacing w:val="-1"/>
          <w:sz w:val="28"/>
          <w:szCs w:val="28"/>
        </w:rPr>
        <w:t>交基〔2022〕483 号）及现行的相关补充规定。</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4"/>
        <w:spacing w:before="231" w:line="224" w:lineRule="auto"/>
        <w:ind w:left="3024"/>
        <w:rPr>
          <w:spacing w:val="-16"/>
          <w:sz w:val="71"/>
          <w:szCs w:val="71"/>
          <w14:textOutline w14:w="13075" w14:cap="sq" w14:cmpd="sng">
            <w14:solidFill>
              <w14:srgbClr w14:val="000000"/>
            </w14:solidFill>
            <w14:prstDash w14:val="solid"/>
            <w14:bevel/>
          </w14:textOutline>
        </w:rPr>
      </w:pPr>
    </w:p>
    <w:p>
      <w:pPr>
        <w:pStyle w:val="4"/>
        <w:spacing w:before="231" w:line="224" w:lineRule="auto"/>
        <w:ind w:left="3024"/>
        <w:rPr>
          <w:spacing w:val="-16"/>
          <w:sz w:val="71"/>
          <w:szCs w:val="71"/>
          <w14:textOutline w14:w="13075" w14:cap="sq" w14:cmpd="sng">
            <w14:solidFill>
              <w14:srgbClr w14:val="000000"/>
            </w14:solidFill>
            <w14:prstDash w14:val="solid"/>
            <w14:bevel/>
          </w14:textOutline>
        </w:rPr>
      </w:pPr>
    </w:p>
    <w:p>
      <w:pPr>
        <w:pStyle w:val="4"/>
        <w:spacing w:before="231" w:line="224" w:lineRule="auto"/>
        <w:ind w:left="3024"/>
        <w:rPr>
          <w:spacing w:val="-16"/>
          <w:sz w:val="71"/>
          <w:szCs w:val="71"/>
          <w14:textOutline w14:w="13075" w14:cap="sq" w14:cmpd="sng">
            <w14:solidFill>
              <w14:srgbClr w14:val="000000"/>
            </w14:solidFill>
            <w14:prstDash w14:val="solid"/>
            <w14:bevel/>
          </w14:textOutline>
        </w:rPr>
      </w:pPr>
    </w:p>
    <w:p>
      <w:pPr>
        <w:pStyle w:val="4"/>
        <w:spacing w:before="231" w:line="224" w:lineRule="auto"/>
        <w:ind w:left="3024"/>
        <w:rPr>
          <w:spacing w:val="-16"/>
          <w:sz w:val="71"/>
          <w:szCs w:val="71"/>
          <w14:textOutline w14:w="13075" w14:cap="sq" w14:cmpd="sng">
            <w14:solidFill>
              <w14:srgbClr w14:val="000000"/>
            </w14:solidFill>
            <w14:prstDash w14:val="solid"/>
            <w14:bevel/>
          </w14:textOutline>
        </w:rPr>
      </w:pPr>
    </w:p>
    <w:p>
      <w:pPr>
        <w:pStyle w:val="4"/>
        <w:spacing w:before="231" w:line="224" w:lineRule="auto"/>
        <w:ind w:left="3024"/>
        <w:rPr>
          <w:spacing w:val="-16"/>
          <w:sz w:val="71"/>
          <w:szCs w:val="71"/>
          <w14:textOutline w14:w="13075" w14:cap="sq" w14:cmpd="sng">
            <w14:solidFill>
              <w14:srgbClr w14:val="000000"/>
            </w14:solidFill>
            <w14:prstDash w14:val="solid"/>
            <w14:bevel/>
          </w14:textOutline>
        </w:rPr>
      </w:pPr>
    </w:p>
    <w:p>
      <w:pPr>
        <w:pStyle w:val="4"/>
        <w:spacing w:before="231" w:line="224" w:lineRule="auto"/>
        <w:ind w:left="3024"/>
        <w:rPr>
          <w:spacing w:val="-16"/>
          <w:sz w:val="71"/>
          <w:szCs w:val="71"/>
          <w14:textOutline w14:w="13075" w14:cap="sq" w14:cmpd="sng">
            <w14:solidFill>
              <w14:srgbClr w14:val="000000"/>
            </w14:solidFill>
            <w14:prstDash w14:val="solid"/>
            <w14:bevel/>
          </w14:textOutline>
        </w:rPr>
      </w:pPr>
    </w:p>
    <w:p>
      <w:pPr>
        <w:pStyle w:val="4"/>
        <w:spacing w:before="231" w:line="224" w:lineRule="auto"/>
        <w:ind w:left="3024"/>
        <w:rPr>
          <w:spacing w:val="-16"/>
          <w:sz w:val="71"/>
          <w:szCs w:val="71"/>
          <w14:textOutline w14:w="13075" w14:cap="sq" w14:cmpd="sng">
            <w14:solidFill>
              <w14:srgbClr w14:val="000000"/>
            </w14:solidFill>
            <w14:prstDash w14:val="solid"/>
            <w14:bevel/>
          </w14:textOutline>
        </w:rPr>
      </w:pPr>
    </w:p>
    <w:p>
      <w:pPr>
        <w:pStyle w:val="4"/>
        <w:spacing w:before="231" w:line="224" w:lineRule="auto"/>
        <w:ind w:left="3024"/>
        <w:rPr>
          <w:sz w:val="71"/>
          <w:szCs w:val="71"/>
        </w:rPr>
      </w:pPr>
      <w:r>
        <w:rPr>
          <w:spacing w:val="-16"/>
          <w:sz w:val="71"/>
          <w:szCs w:val="71"/>
          <w14:textOutline w14:w="13075" w14:cap="sq" w14:cmpd="sng">
            <w14:solidFill>
              <w14:srgbClr w14:val="000000"/>
            </w14:solidFill>
            <w14:prstDash w14:val="solid"/>
            <w14:bevel/>
          </w14:textOutline>
        </w:rPr>
        <w:t>第</w:t>
      </w:r>
      <w:r>
        <w:rPr>
          <w:spacing w:val="27"/>
          <w:sz w:val="71"/>
          <w:szCs w:val="71"/>
        </w:rPr>
        <w:t xml:space="preserve">  </w:t>
      </w:r>
      <w:r>
        <w:rPr>
          <w:spacing w:val="-16"/>
          <w:sz w:val="71"/>
          <w:szCs w:val="71"/>
          <w14:textOutline w14:w="13075" w14:cap="sq" w14:cmpd="sng">
            <w14:solidFill>
              <w14:srgbClr w14:val="000000"/>
            </w14:solidFill>
            <w14:prstDash w14:val="solid"/>
            <w14:bevel/>
          </w14:textOutline>
        </w:rPr>
        <w:t>二</w:t>
      </w:r>
      <w:r>
        <w:rPr>
          <w:spacing w:val="25"/>
          <w:sz w:val="71"/>
          <w:szCs w:val="71"/>
        </w:rPr>
        <w:t xml:space="preserve">  </w:t>
      </w:r>
      <w:r>
        <w:rPr>
          <w:spacing w:val="-16"/>
          <w:sz w:val="71"/>
          <w:szCs w:val="71"/>
          <w14:textOutline w14:w="13075" w14:cap="sq" w14:cmpd="sng">
            <w14:solidFill>
              <w14:srgbClr w14:val="000000"/>
            </w14:solidFill>
            <w14:prstDash w14:val="solid"/>
            <w14:bevel/>
          </w14:textOutline>
        </w:rPr>
        <w:t>卷</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4"/>
        <w:spacing w:before="169" w:line="222" w:lineRule="auto"/>
        <w:ind w:left="1821"/>
        <w:rPr>
          <w:spacing w:val="32"/>
          <w14:textOutline w14:w="9461" w14:cap="sq" w14:cmpd="sng">
            <w14:solidFill>
              <w14:srgbClr w14:val="000000"/>
            </w14:solidFill>
            <w14:prstDash w14:val="solid"/>
            <w14:bevel/>
          </w14:textOutline>
        </w:rPr>
      </w:pPr>
    </w:p>
    <w:p>
      <w:pPr>
        <w:pStyle w:val="4"/>
        <w:spacing w:before="169" w:line="222" w:lineRule="auto"/>
        <w:ind w:left="1821"/>
        <w:rPr>
          <w:spacing w:val="32"/>
          <w14:textOutline w14:w="9461" w14:cap="sq" w14:cmpd="sng">
            <w14:solidFill>
              <w14:srgbClr w14:val="000000"/>
            </w14:solidFill>
            <w14:prstDash w14:val="solid"/>
            <w14:bevel/>
          </w14:textOutline>
        </w:rPr>
      </w:pPr>
    </w:p>
    <w:p>
      <w:pPr>
        <w:pStyle w:val="4"/>
        <w:spacing w:before="169" w:line="222" w:lineRule="auto"/>
        <w:ind w:left="1821"/>
        <w:rPr>
          <w:spacing w:val="32"/>
          <w14:textOutline w14:w="9461" w14:cap="sq" w14:cmpd="sng">
            <w14:solidFill>
              <w14:srgbClr w14:val="000000"/>
            </w14:solidFill>
            <w14:prstDash w14:val="solid"/>
            <w14:bevel/>
          </w14:textOutline>
        </w:rPr>
      </w:pPr>
    </w:p>
    <w:p>
      <w:pPr>
        <w:pStyle w:val="4"/>
        <w:spacing w:before="169" w:line="222" w:lineRule="auto"/>
        <w:ind w:left="1821"/>
        <w:rPr>
          <w:spacing w:val="32"/>
          <w14:textOutline w14:w="9461" w14:cap="sq" w14:cmpd="sng">
            <w14:solidFill>
              <w14:srgbClr w14:val="000000"/>
            </w14:solidFill>
            <w14:prstDash w14:val="solid"/>
            <w14:bevel/>
          </w14:textOutline>
        </w:rPr>
      </w:pPr>
    </w:p>
    <w:p>
      <w:pPr>
        <w:pStyle w:val="4"/>
        <w:spacing w:before="169" w:line="222" w:lineRule="auto"/>
        <w:ind w:left="1821"/>
        <w:rPr>
          <w:spacing w:val="32"/>
          <w14:textOutline w14:w="9461" w14:cap="sq" w14:cmpd="sng">
            <w14:solidFill>
              <w14:srgbClr w14:val="000000"/>
            </w14:solidFill>
            <w14:prstDash w14:val="solid"/>
            <w14:bevel/>
          </w14:textOutline>
        </w:rPr>
      </w:pPr>
    </w:p>
    <w:p>
      <w:pPr>
        <w:pStyle w:val="4"/>
        <w:spacing w:before="169" w:line="222" w:lineRule="auto"/>
        <w:ind w:left="1821"/>
        <w:rPr>
          <w:spacing w:val="32"/>
          <w14:textOutline w14:w="9461" w14:cap="sq" w14:cmpd="sng">
            <w14:solidFill>
              <w14:srgbClr w14:val="000000"/>
            </w14:solidFill>
            <w14:prstDash w14:val="solid"/>
            <w14:bevel/>
          </w14:textOutline>
        </w:rPr>
      </w:pPr>
    </w:p>
    <w:p>
      <w:pPr>
        <w:pStyle w:val="4"/>
        <w:spacing w:before="169" w:line="222" w:lineRule="auto"/>
        <w:ind w:left="1821"/>
        <w:rPr>
          <w:spacing w:val="32"/>
          <w14:textOutline w14:w="9461" w14:cap="sq" w14:cmpd="sng">
            <w14:solidFill>
              <w14:srgbClr w14:val="000000"/>
            </w14:solidFill>
            <w14:prstDash w14:val="solid"/>
            <w14:bevel/>
          </w14:textOutline>
        </w:rPr>
      </w:pPr>
    </w:p>
    <w:p>
      <w:pPr>
        <w:pStyle w:val="4"/>
        <w:spacing w:before="169" w:line="222" w:lineRule="auto"/>
        <w:ind w:left="1821"/>
      </w:pPr>
      <w:r>
        <w:rPr>
          <w:spacing w:val="32"/>
          <w14:textOutline w14:w="9461" w14:cap="sq" w14:cmpd="sng">
            <w14:solidFill>
              <w14:srgbClr w14:val="000000"/>
            </w14:solidFill>
            <w14:prstDash w14:val="solid"/>
            <w14:bevel/>
          </w14:textOutline>
        </w:rPr>
        <w:t>第</w:t>
      </w:r>
      <w:r>
        <w:rPr>
          <w:spacing w:val="-143"/>
        </w:rPr>
        <w:t xml:space="preserve"> </w:t>
      </w:r>
      <w:r>
        <w:rPr>
          <w:spacing w:val="32"/>
          <w14:textOutline w14:w="9461" w14:cap="sq" w14:cmpd="sng">
            <w14:solidFill>
              <w14:srgbClr w14:val="000000"/>
            </w14:solidFill>
            <w14:prstDash w14:val="solid"/>
            <w14:bevel/>
          </w14:textOutline>
        </w:rPr>
        <w:t>六章</w:t>
      </w:r>
      <w:r>
        <w:rPr>
          <w:spacing w:val="210"/>
        </w:rPr>
        <w:t xml:space="preserve"> </w:t>
      </w:r>
      <w:r>
        <w:rPr>
          <w:spacing w:val="32"/>
          <w14:textOutline w14:w="9461" w14:cap="sq" w14:cmpd="sng">
            <w14:solidFill>
              <w14:srgbClr w14:val="000000"/>
            </w14:solidFill>
            <w14:prstDash w14:val="solid"/>
            <w14:bevel/>
          </w14:textOutline>
        </w:rPr>
        <w:t>图</w:t>
      </w:r>
      <w:r>
        <w:rPr>
          <w:spacing w:val="-150"/>
        </w:rPr>
        <w:t xml:space="preserve"> </w:t>
      </w:r>
      <w:r>
        <w:rPr>
          <w:spacing w:val="32"/>
          <w14:textOutline w14:w="9461" w14:cap="sq" w14:cmpd="sng">
            <w14:solidFill>
              <w14:srgbClr w14:val="000000"/>
            </w14:solidFill>
            <w14:prstDash w14:val="solid"/>
            <w14:bevel/>
          </w14:textOutline>
        </w:rPr>
        <w:t>纸（另册)</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4"/>
        <w:spacing w:before="231" w:line="224" w:lineRule="auto"/>
        <w:ind w:left="2664"/>
        <w:rPr>
          <w:spacing w:val="-17"/>
          <w:sz w:val="71"/>
          <w:szCs w:val="71"/>
          <w14:textOutline w14:w="13075" w14:cap="sq" w14:cmpd="sng">
            <w14:solidFill>
              <w14:srgbClr w14:val="000000"/>
            </w14:solidFill>
            <w14:prstDash w14:val="solid"/>
            <w14:bevel/>
          </w14:textOutline>
        </w:rPr>
      </w:pPr>
    </w:p>
    <w:p>
      <w:pPr>
        <w:pStyle w:val="4"/>
        <w:spacing w:before="231" w:line="224" w:lineRule="auto"/>
        <w:ind w:left="2664"/>
        <w:rPr>
          <w:spacing w:val="-17"/>
          <w:sz w:val="71"/>
          <w:szCs w:val="71"/>
          <w14:textOutline w14:w="13075" w14:cap="sq" w14:cmpd="sng">
            <w14:solidFill>
              <w14:srgbClr w14:val="000000"/>
            </w14:solidFill>
            <w14:prstDash w14:val="solid"/>
            <w14:bevel/>
          </w14:textOutline>
        </w:rPr>
      </w:pPr>
    </w:p>
    <w:p>
      <w:pPr>
        <w:pStyle w:val="4"/>
        <w:spacing w:before="231" w:line="224" w:lineRule="auto"/>
        <w:ind w:left="2664"/>
        <w:rPr>
          <w:spacing w:val="-17"/>
          <w:sz w:val="71"/>
          <w:szCs w:val="71"/>
          <w14:textOutline w14:w="13075" w14:cap="sq" w14:cmpd="sng">
            <w14:solidFill>
              <w14:srgbClr w14:val="000000"/>
            </w14:solidFill>
            <w14:prstDash w14:val="solid"/>
            <w14:bevel/>
          </w14:textOutline>
        </w:rPr>
      </w:pPr>
    </w:p>
    <w:p>
      <w:pPr>
        <w:pStyle w:val="4"/>
        <w:spacing w:before="231" w:line="224" w:lineRule="auto"/>
        <w:ind w:left="2664"/>
        <w:rPr>
          <w:spacing w:val="-17"/>
          <w:sz w:val="71"/>
          <w:szCs w:val="71"/>
          <w14:textOutline w14:w="13075" w14:cap="sq" w14:cmpd="sng">
            <w14:solidFill>
              <w14:srgbClr w14:val="000000"/>
            </w14:solidFill>
            <w14:prstDash w14:val="solid"/>
            <w14:bevel/>
          </w14:textOutline>
        </w:rPr>
      </w:pPr>
    </w:p>
    <w:p>
      <w:pPr>
        <w:pStyle w:val="4"/>
        <w:spacing w:before="231" w:line="224" w:lineRule="auto"/>
        <w:ind w:left="2664"/>
        <w:rPr>
          <w:spacing w:val="-17"/>
          <w:sz w:val="71"/>
          <w:szCs w:val="71"/>
          <w14:textOutline w14:w="13075" w14:cap="sq" w14:cmpd="sng">
            <w14:solidFill>
              <w14:srgbClr w14:val="000000"/>
            </w14:solidFill>
            <w14:prstDash w14:val="solid"/>
            <w14:bevel/>
          </w14:textOutline>
        </w:rPr>
      </w:pPr>
    </w:p>
    <w:p>
      <w:pPr>
        <w:pStyle w:val="4"/>
        <w:spacing w:before="231" w:line="224" w:lineRule="auto"/>
        <w:ind w:left="2664"/>
        <w:rPr>
          <w:spacing w:val="-17"/>
          <w:sz w:val="71"/>
          <w:szCs w:val="71"/>
          <w14:textOutline w14:w="13075" w14:cap="sq" w14:cmpd="sng">
            <w14:solidFill>
              <w14:srgbClr w14:val="000000"/>
            </w14:solidFill>
            <w14:prstDash w14:val="solid"/>
            <w14:bevel/>
          </w14:textOutline>
        </w:rPr>
      </w:pPr>
    </w:p>
    <w:p>
      <w:pPr>
        <w:pStyle w:val="4"/>
        <w:spacing w:before="231" w:line="224" w:lineRule="auto"/>
        <w:ind w:left="2664"/>
        <w:rPr>
          <w:spacing w:val="-17"/>
          <w:sz w:val="71"/>
          <w:szCs w:val="71"/>
          <w14:textOutline w14:w="13075" w14:cap="sq" w14:cmpd="sng">
            <w14:solidFill>
              <w14:srgbClr w14:val="000000"/>
            </w14:solidFill>
            <w14:prstDash w14:val="solid"/>
            <w14:bevel/>
          </w14:textOutline>
        </w:rPr>
      </w:pPr>
    </w:p>
    <w:p>
      <w:pPr>
        <w:pStyle w:val="4"/>
        <w:spacing w:before="231" w:line="224" w:lineRule="auto"/>
        <w:ind w:left="2664"/>
        <w:rPr>
          <w:spacing w:val="-17"/>
          <w:sz w:val="71"/>
          <w:szCs w:val="71"/>
          <w14:textOutline w14:w="13075" w14:cap="sq" w14:cmpd="sng">
            <w14:solidFill>
              <w14:srgbClr w14:val="000000"/>
            </w14:solidFill>
            <w14:prstDash w14:val="solid"/>
            <w14:bevel/>
          </w14:textOutline>
        </w:rPr>
      </w:pPr>
    </w:p>
    <w:p>
      <w:pPr>
        <w:pStyle w:val="4"/>
        <w:spacing w:before="231" w:line="224" w:lineRule="auto"/>
        <w:ind w:left="2664"/>
        <w:rPr>
          <w:sz w:val="71"/>
          <w:szCs w:val="71"/>
        </w:rPr>
      </w:pPr>
      <w:r>
        <w:rPr>
          <w:spacing w:val="-17"/>
          <w:sz w:val="71"/>
          <w:szCs w:val="71"/>
          <w14:textOutline w14:w="13075" w14:cap="sq" w14:cmpd="sng">
            <w14:solidFill>
              <w14:srgbClr w14:val="000000"/>
            </w14:solidFill>
            <w14:prstDash w14:val="solid"/>
            <w14:bevel/>
          </w14:textOutline>
        </w:rPr>
        <w:t>第</w:t>
      </w:r>
      <w:r>
        <w:rPr>
          <w:spacing w:val="28"/>
          <w:sz w:val="71"/>
          <w:szCs w:val="71"/>
        </w:rPr>
        <w:t xml:space="preserve">  </w:t>
      </w:r>
      <w:r>
        <w:rPr>
          <w:spacing w:val="-17"/>
          <w:sz w:val="71"/>
          <w:szCs w:val="71"/>
          <w14:textOutline w14:w="13075" w14:cap="sq" w14:cmpd="sng">
            <w14:solidFill>
              <w14:srgbClr w14:val="000000"/>
            </w14:solidFill>
            <w14:prstDash w14:val="solid"/>
            <w14:bevel/>
          </w14:textOutline>
        </w:rPr>
        <w:t>三</w:t>
      </w:r>
      <w:r>
        <w:rPr>
          <w:spacing w:val="26"/>
          <w:sz w:val="71"/>
          <w:szCs w:val="71"/>
        </w:rPr>
        <w:t xml:space="preserve">  </w:t>
      </w:r>
      <w:r>
        <w:rPr>
          <w:spacing w:val="-17"/>
          <w:sz w:val="71"/>
          <w:szCs w:val="71"/>
          <w14:textOutline w14:w="13075" w14:cap="sq" w14:cmpd="sng">
            <w14:solidFill>
              <w14:srgbClr w14:val="000000"/>
            </w14:solidFill>
            <w14:prstDash w14:val="solid"/>
            <w14:bevel/>
          </w14:textOutline>
        </w:rPr>
        <w:t>卷</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4"/>
        <w:spacing w:before="169" w:line="222" w:lineRule="auto"/>
        <w:ind w:left="1218"/>
        <w:rPr>
          <w:spacing w:val="54"/>
          <w14:textOutline w14:w="9461" w14:cap="sq" w14:cmpd="sng">
            <w14:solidFill>
              <w14:srgbClr w14:val="000000"/>
            </w14:solidFill>
            <w14:prstDash w14:val="solid"/>
            <w14:bevel/>
          </w14:textOutline>
        </w:rPr>
      </w:pPr>
    </w:p>
    <w:p>
      <w:pPr>
        <w:pStyle w:val="4"/>
        <w:spacing w:before="169" w:line="222" w:lineRule="auto"/>
        <w:ind w:left="1218"/>
        <w:rPr>
          <w:spacing w:val="54"/>
          <w14:textOutline w14:w="9461" w14:cap="sq" w14:cmpd="sng">
            <w14:solidFill>
              <w14:srgbClr w14:val="000000"/>
            </w14:solidFill>
            <w14:prstDash w14:val="solid"/>
            <w14:bevel/>
          </w14:textOutline>
        </w:rPr>
      </w:pPr>
    </w:p>
    <w:p>
      <w:pPr>
        <w:pStyle w:val="4"/>
        <w:spacing w:before="169" w:line="222" w:lineRule="auto"/>
        <w:ind w:left="1218"/>
        <w:rPr>
          <w:spacing w:val="54"/>
          <w14:textOutline w14:w="9461" w14:cap="sq" w14:cmpd="sng">
            <w14:solidFill>
              <w14:srgbClr w14:val="000000"/>
            </w14:solidFill>
            <w14:prstDash w14:val="solid"/>
            <w14:bevel/>
          </w14:textOutline>
        </w:rPr>
      </w:pPr>
    </w:p>
    <w:p>
      <w:pPr>
        <w:pStyle w:val="4"/>
        <w:spacing w:before="169" w:line="222" w:lineRule="auto"/>
        <w:ind w:left="1218"/>
        <w:rPr>
          <w:spacing w:val="54"/>
          <w14:textOutline w14:w="9461" w14:cap="sq" w14:cmpd="sng">
            <w14:solidFill>
              <w14:srgbClr w14:val="000000"/>
            </w14:solidFill>
            <w14:prstDash w14:val="solid"/>
            <w14:bevel/>
          </w14:textOutline>
        </w:rPr>
      </w:pPr>
    </w:p>
    <w:p>
      <w:pPr>
        <w:pStyle w:val="4"/>
        <w:spacing w:before="169" w:line="222" w:lineRule="auto"/>
        <w:ind w:left="1218"/>
        <w:rPr>
          <w:spacing w:val="54"/>
          <w14:textOutline w14:w="9461" w14:cap="sq" w14:cmpd="sng">
            <w14:solidFill>
              <w14:srgbClr w14:val="000000"/>
            </w14:solidFill>
            <w14:prstDash w14:val="solid"/>
            <w14:bevel/>
          </w14:textOutline>
        </w:rPr>
      </w:pPr>
    </w:p>
    <w:p>
      <w:pPr>
        <w:pStyle w:val="4"/>
        <w:spacing w:before="169" w:line="222" w:lineRule="auto"/>
        <w:ind w:left="1218"/>
        <w:rPr>
          <w:spacing w:val="54"/>
          <w14:textOutline w14:w="9461" w14:cap="sq" w14:cmpd="sng">
            <w14:solidFill>
              <w14:srgbClr w14:val="000000"/>
            </w14:solidFill>
            <w14:prstDash w14:val="solid"/>
            <w14:bevel/>
          </w14:textOutline>
        </w:rPr>
      </w:pPr>
    </w:p>
    <w:p>
      <w:pPr>
        <w:pStyle w:val="4"/>
        <w:spacing w:before="169" w:line="222" w:lineRule="auto"/>
        <w:ind w:left="1218"/>
        <w:rPr>
          <w:spacing w:val="54"/>
          <w14:textOutline w14:w="9461" w14:cap="sq" w14:cmpd="sng">
            <w14:solidFill>
              <w14:srgbClr w14:val="000000"/>
            </w14:solidFill>
            <w14:prstDash w14:val="solid"/>
            <w14:bevel/>
          </w14:textOutline>
        </w:rPr>
      </w:pPr>
    </w:p>
    <w:p>
      <w:pPr>
        <w:pStyle w:val="4"/>
        <w:spacing w:before="169" w:line="222" w:lineRule="auto"/>
        <w:ind w:left="1218"/>
      </w:pPr>
      <w:r>
        <w:rPr>
          <w:spacing w:val="54"/>
          <w14:textOutline w14:w="9461" w14:cap="sq" w14:cmpd="sng">
            <w14:solidFill>
              <w14:srgbClr w14:val="000000"/>
            </w14:solidFill>
            <w14:prstDash w14:val="solid"/>
            <w14:bevel/>
          </w14:textOutline>
        </w:rPr>
        <w:t>第七章</w:t>
      </w:r>
      <w:r>
        <w:rPr>
          <w:spacing w:val="186"/>
        </w:rPr>
        <w:t xml:space="preserve"> </w:t>
      </w:r>
      <w:r>
        <w:rPr>
          <w:spacing w:val="54"/>
          <w14:textOutline w14:w="9461" w14:cap="sq" w14:cmpd="sng">
            <w14:solidFill>
              <w14:srgbClr w14:val="000000"/>
            </w14:solidFill>
            <w14:prstDash w14:val="solid"/>
            <w14:bevel/>
          </w14:textOutline>
        </w:rPr>
        <w:t>技术规</w:t>
      </w:r>
      <w:r>
        <w:rPr>
          <w:spacing w:val="-150"/>
        </w:rPr>
        <w:t xml:space="preserve"> </w:t>
      </w:r>
      <w:r>
        <w:rPr>
          <w:spacing w:val="54"/>
          <w14:textOutline w14:w="9461" w14:cap="sq" w14:cmpd="sng">
            <w14:solidFill>
              <w14:srgbClr w14:val="000000"/>
            </w14:solidFill>
            <w14:prstDash w14:val="solid"/>
            <w14:bevel/>
          </w14:textOutline>
        </w:rPr>
        <w:t>范（另册)</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4"/>
        <w:spacing w:before="169" w:line="222" w:lineRule="auto"/>
        <w:ind w:left="767"/>
        <w:rPr>
          <w:spacing w:val="30"/>
          <w14:textOutline w14:w="9461" w14:cap="sq" w14:cmpd="sng">
            <w14:solidFill>
              <w14:srgbClr w14:val="000000"/>
            </w14:solidFill>
            <w14:prstDash w14:val="solid"/>
            <w14:bevel/>
          </w14:textOutline>
        </w:rPr>
      </w:pPr>
    </w:p>
    <w:p>
      <w:pPr>
        <w:pStyle w:val="4"/>
        <w:spacing w:before="169" w:line="222" w:lineRule="auto"/>
        <w:ind w:left="767"/>
        <w:rPr>
          <w:spacing w:val="30"/>
          <w14:textOutline w14:w="9461" w14:cap="sq" w14:cmpd="sng">
            <w14:solidFill>
              <w14:srgbClr w14:val="000000"/>
            </w14:solidFill>
            <w14:prstDash w14:val="solid"/>
            <w14:bevel/>
          </w14:textOutline>
        </w:rPr>
      </w:pPr>
    </w:p>
    <w:p>
      <w:pPr>
        <w:pStyle w:val="4"/>
        <w:spacing w:before="169" w:line="222" w:lineRule="auto"/>
        <w:ind w:left="767"/>
        <w:rPr>
          <w:spacing w:val="30"/>
          <w14:textOutline w14:w="9461" w14:cap="sq" w14:cmpd="sng">
            <w14:solidFill>
              <w14:srgbClr w14:val="000000"/>
            </w14:solidFill>
            <w14:prstDash w14:val="solid"/>
            <w14:bevel/>
          </w14:textOutline>
        </w:rPr>
      </w:pPr>
    </w:p>
    <w:p>
      <w:pPr>
        <w:pStyle w:val="4"/>
        <w:spacing w:before="169" w:line="222" w:lineRule="auto"/>
        <w:ind w:left="767"/>
        <w:rPr>
          <w:spacing w:val="30"/>
          <w14:textOutline w14:w="9461" w14:cap="sq" w14:cmpd="sng">
            <w14:solidFill>
              <w14:srgbClr w14:val="000000"/>
            </w14:solidFill>
            <w14:prstDash w14:val="solid"/>
            <w14:bevel/>
          </w14:textOutline>
        </w:rPr>
      </w:pPr>
    </w:p>
    <w:p>
      <w:pPr>
        <w:pStyle w:val="4"/>
        <w:spacing w:before="169" w:line="222" w:lineRule="auto"/>
        <w:ind w:left="767"/>
        <w:rPr>
          <w:spacing w:val="30"/>
          <w14:textOutline w14:w="9461" w14:cap="sq" w14:cmpd="sng">
            <w14:solidFill>
              <w14:srgbClr w14:val="000000"/>
            </w14:solidFill>
            <w14:prstDash w14:val="solid"/>
            <w14:bevel/>
          </w14:textOutline>
        </w:rPr>
      </w:pPr>
    </w:p>
    <w:p>
      <w:pPr>
        <w:pStyle w:val="4"/>
        <w:spacing w:before="169" w:line="222" w:lineRule="auto"/>
        <w:ind w:left="767"/>
        <w:rPr>
          <w:spacing w:val="30"/>
          <w14:textOutline w14:w="9461" w14:cap="sq" w14:cmpd="sng">
            <w14:solidFill>
              <w14:srgbClr w14:val="000000"/>
            </w14:solidFill>
            <w14:prstDash w14:val="solid"/>
            <w14:bevel/>
          </w14:textOutline>
        </w:rPr>
      </w:pPr>
    </w:p>
    <w:p>
      <w:pPr>
        <w:pStyle w:val="4"/>
        <w:spacing w:before="169" w:line="222" w:lineRule="auto"/>
        <w:ind w:left="767"/>
        <w:rPr>
          <w:spacing w:val="30"/>
          <w14:textOutline w14:w="9461" w14:cap="sq" w14:cmpd="sng">
            <w14:solidFill>
              <w14:srgbClr w14:val="000000"/>
            </w14:solidFill>
            <w14:prstDash w14:val="solid"/>
            <w14:bevel/>
          </w14:textOutline>
        </w:rPr>
      </w:pPr>
    </w:p>
    <w:p>
      <w:pPr>
        <w:pStyle w:val="4"/>
        <w:spacing w:before="169" w:line="222" w:lineRule="auto"/>
        <w:ind w:left="767"/>
        <w:rPr>
          <w:spacing w:val="30"/>
          <w14:textOutline w14:w="9461" w14:cap="sq" w14:cmpd="sng">
            <w14:solidFill>
              <w14:srgbClr w14:val="000000"/>
            </w14:solidFill>
            <w14:prstDash w14:val="solid"/>
            <w14:bevel/>
          </w14:textOutline>
        </w:rPr>
      </w:pPr>
    </w:p>
    <w:p>
      <w:pPr>
        <w:pStyle w:val="4"/>
        <w:spacing w:before="169" w:line="222" w:lineRule="auto"/>
        <w:ind w:left="767"/>
        <w:rPr>
          <w:spacing w:val="30"/>
          <w14:textOutline w14:w="9461" w14:cap="sq" w14:cmpd="sng">
            <w14:solidFill>
              <w14:srgbClr w14:val="000000"/>
            </w14:solidFill>
            <w14:prstDash w14:val="solid"/>
            <w14:bevel/>
          </w14:textOutline>
        </w:rPr>
      </w:pPr>
    </w:p>
    <w:p>
      <w:pPr>
        <w:pStyle w:val="4"/>
        <w:spacing w:before="169" w:line="222" w:lineRule="auto"/>
        <w:ind w:left="767"/>
      </w:pPr>
      <w:r>
        <w:rPr>
          <w:spacing w:val="30"/>
          <w14:textOutline w14:w="9461" w14:cap="sq" w14:cmpd="sng">
            <w14:solidFill>
              <w14:srgbClr w14:val="000000"/>
            </w14:solidFill>
            <w14:prstDash w14:val="solid"/>
            <w14:bevel/>
          </w14:textOutline>
        </w:rPr>
        <w:t>第八章</w:t>
      </w:r>
      <w:r>
        <w:rPr>
          <w:spacing w:val="182"/>
        </w:rPr>
        <w:t xml:space="preserve"> </w:t>
      </w:r>
      <w:r>
        <w:rPr>
          <w:spacing w:val="30"/>
          <w14:textOutline w14:w="9461" w14:cap="sq" w14:cmpd="sng">
            <w14:solidFill>
              <w14:srgbClr w14:val="000000"/>
            </w14:solidFill>
            <w14:prstDash w14:val="solid"/>
            <w14:bevel/>
          </w14:textOutline>
        </w:rPr>
        <w:t>工程</w:t>
      </w:r>
      <w:r>
        <w:rPr>
          <w:spacing w:val="-153"/>
        </w:rPr>
        <w:t xml:space="preserve"> </w:t>
      </w:r>
      <w:r>
        <w:rPr>
          <w:spacing w:val="30"/>
          <w14:textOutline w14:w="9461" w14:cap="sq" w14:cmpd="sng">
            <w14:solidFill>
              <w14:srgbClr w14:val="000000"/>
            </w14:solidFill>
            <w14:prstDash w14:val="solid"/>
            <w14:bevel/>
          </w14:textOutline>
        </w:rPr>
        <w:t>量</w:t>
      </w:r>
      <w:r>
        <w:rPr>
          <w:spacing w:val="-152"/>
        </w:rPr>
        <w:t xml:space="preserve"> </w:t>
      </w:r>
      <w:r>
        <w:rPr>
          <w:spacing w:val="30"/>
          <w14:textOutline w14:w="9461" w14:cap="sq" w14:cmpd="sng">
            <w14:solidFill>
              <w14:srgbClr w14:val="000000"/>
            </w14:solidFill>
            <w14:prstDash w14:val="solid"/>
            <w14:bevel/>
          </w14:textOutline>
        </w:rPr>
        <w:t>清</w:t>
      </w:r>
      <w:r>
        <w:rPr>
          <w:spacing w:val="-146"/>
        </w:rPr>
        <w:t xml:space="preserve"> </w:t>
      </w:r>
      <w:r>
        <w:rPr>
          <w:spacing w:val="30"/>
          <w14:textOutline w14:w="9461" w14:cap="sq" w14:cmpd="sng">
            <w14:solidFill>
              <w14:srgbClr w14:val="000000"/>
            </w14:solidFill>
            <w14:prstDash w14:val="solid"/>
            <w14:bevel/>
          </w14:textOutline>
        </w:rPr>
        <w:t>单计</w:t>
      </w:r>
      <w:r>
        <w:rPr>
          <w:spacing w:val="-152"/>
        </w:rPr>
        <w:t xml:space="preserve"> </w:t>
      </w:r>
      <w:r>
        <w:rPr>
          <w:spacing w:val="30"/>
          <w14:textOutline w14:w="9461" w14:cap="sq" w14:cmpd="sng">
            <w14:solidFill>
              <w14:srgbClr w14:val="000000"/>
            </w14:solidFill>
            <w14:prstDash w14:val="solid"/>
            <w14:bevel/>
          </w14:textOutline>
        </w:rPr>
        <w:t>量规则</w:t>
      </w:r>
    </w:p>
    <w:p>
      <w:pPr>
        <w:spacing w:line="342" w:lineRule="auto"/>
        <w:rPr>
          <w:rFonts w:ascii="Arial"/>
          <w:sz w:val="21"/>
        </w:rPr>
      </w:pPr>
    </w:p>
    <w:p>
      <w:pPr>
        <w:spacing w:line="343" w:lineRule="auto"/>
        <w:rPr>
          <w:rFonts w:ascii="Arial"/>
          <w:sz w:val="21"/>
        </w:rPr>
      </w:pPr>
    </w:p>
    <w:p>
      <w:pPr>
        <w:spacing w:before="91" w:line="545" w:lineRule="exact"/>
        <w:ind w:left="571"/>
        <w:rPr>
          <w:rFonts w:ascii="宋体" w:hAnsi="宋体" w:eastAsia="宋体" w:cs="宋体"/>
          <w:sz w:val="28"/>
          <w:szCs w:val="28"/>
        </w:rPr>
      </w:pPr>
      <w:r>
        <w:rPr>
          <w:rFonts w:ascii="宋体" w:hAnsi="宋体" w:eastAsia="宋体" w:cs="宋体"/>
          <w:spacing w:val="-1"/>
          <w:position w:val="20"/>
          <w:sz w:val="28"/>
          <w:szCs w:val="28"/>
        </w:rPr>
        <w:t>工程量清单计量规则具体应执行《广东省公路工程造价标准化管理指</w:t>
      </w:r>
    </w:p>
    <w:p>
      <w:pPr>
        <w:spacing w:before="1" w:line="220" w:lineRule="auto"/>
        <w:ind w:left="10"/>
        <w:rPr>
          <w:rFonts w:ascii="宋体" w:hAnsi="宋体" w:eastAsia="宋体" w:cs="宋体"/>
          <w:sz w:val="28"/>
          <w:szCs w:val="28"/>
        </w:rPr>
      </w:pPr>
      <w:r>
        <w:rPr>
          <w:rFonts w:ascii="宋体" w:hAnsi="宋体" w:eastAsia="宋体" w:cs="宋体"/>
          <w:spacing w:val="-1"/>
          <w:sz w:val="28"/>
          <w:szCs w:val="28"/>
        </w:rPr>
        <w:t>南》（粤交基〔2022〕483 号）及现行的相关补充规定</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4"/>
        <w:spacing w:before="231" w:line="224" w:lineRule="auto"/>
        <w:ind w:left="2767"/>
        <w:rPr>
          <w:spacing w:val="-27"/>
          <w:sz w:val="71"/>
          <w:szCs w:val="71"/>
        </w:rPr>
      </w:pPr>
    </w:p>
    <w:p>
      <w:pPr>
        <w:pStyle w:val="4"/>
        <w:spacing w:before="231" w:line="224" w:lineRule="auto"/>
        <w:ind w:left="2767"/>
        <w:rPr>
          <w:spacing w:val="-27"/>
          <w:sz w:val="71"/>
          <w:szCs w:val="71"/>
        </w:rPr>
      </w:pPr>
    </w:p>
    <w:p>
      <w:pPr>
        <w:pStyle w:val="4"/>
        <w:spacing w:before="231" w:line="224" w:lineRule="auto"/>
        <w:ind w:left="2767"/>
        <w:rPr>
          <w:spacing w:val="-27"/>
          <w:sz w:val="71"/>
          <w:szCs w:val="71"/>
        </w:rPr>
      </w:pPr>
    </w:p>
    <w:p>
      <w:pPr>
        <w:pStyle w:val="4"/>
        <w:spacing w:before="231" w:line="224" w:lineRule="auto"/>
        <w:ind w:left="2767"/>
        <w:rPr>
          <w:spacing w:val="-27"/>
          <w:sz w:val="71"/>
          <w:szCs w:val="71"/>
        </w:rPr>
      </w:pPr>
    </w:p>
    <w:p>
      <w:pPr>
        <w:pStyle w:val="4"/>
        <w:spacing w:before="231" w:line="224" w:lineRule="auto"/>
        <w:ind w:left="2767"/>
        <w:rPr>
          <w:spacing w:val="-27"/>
          <w:sz w:val="71"/>
          <w:szCs w:val="71"/>
        </w:rPr>
      </w:pPr>
    </w:p>
    <w:p>
      <w:pPr>
        <w:pStyle w:val="4"/>
        <w:spacing w:before="231" w:line="224" w:lineRule="auto"/>
        <w:ind w:left="2767"/>
        <w:rPr>
          <w:spacing w:val="-27"/>
          <w:sz w:val="71"/>
          <w:szCs w:val="71"/>
        </w:rPr>
      </w:pPr>
    </w:p>
    <w:p>
      <w:pPr>
        <w:pStyle w:val="4"/>
        <w:spacing w:before="231" w:line="224" w:lineRule="auto"/>
        <w:ind w:left="2767"/>
        <w:rPr>
          <w:sz w:val="71"/>
          <w:szCs w:val="71"/>
        </w:rPr>
      </w:pPr>
      <w:r>
        <w:rPr>
          <w:spacing w:val="-27"/>
          <w:sz w:val="71"/>
          <w:szCs w:val="71"/>
        </w:rPr>
        <w:t>第</w:t>
      </w:r>
      <w:r>
        <w:rPr>
          <w:spacing w:val="1"/>
          <w:sz w:val="71"/>
          <w:szCs w:val="71"/>
        </w:rPr>
        <w:t xml:space="preserve">  </w:t>
      </w:r>
      <w:r>
        <w:rPr>
          <w:spacing w:val="-27"/>
          <w:sz w:val="71"/>
          <w:szCs w:val="71"/>
        </w:rPr>
        <w:t>四</w:t>
      </w:r>
      <w:r>
        <w:rPr>
          <w:spacing w:val="326"/>
          <w:sz w:val="71"/>
          <w:szCs w:val="71"/>
        </w:rPr>
        <w:t xml:space="preserve"> </w:t>
      </w:r>
      <w:r>
        <w:rPr>
          <w:spacing w:val="-27"/>
          <w:sz w:val="71"/>
          <w:szCs w:val="71"/>
        </w:rPr>
        <w:t>卷</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4"/>
        <w:spacing w:before="169" w:line="236" w:lineRule="auto"/>
        <w:ind w:left="1543"/>
        <w:rPr>
          <w:spacing w:val="29"/>
          <w14:textOutline w14:w="9461" w14:cap="sq" w14:cmpd="sng">
            <w14:solidFill>
              <w14:srgbClr w14:val="000000"/>
            </w14:solidFill>
            <w14:prstDash w14:val="solid"/>
            <w14:bevel/>
          </w14:textOutline>
        </w:rPr>
      </w:pPr>
    </w:p>
    <w:p>
      <w:pPr>
        <w:pStyle w:val="4"/>
        <w:spacing w:before="169" w:line="236" w:lineRule="auto"/>
        <w:ind w:left="1543"/>
        <w:rPr>
          <w:spacing w:val="29"/>
          <w14:textOutline w14:w="9461" w14:cap="sq" w14:cmpd="sng">
            <w14:solidFill>
              <w14:srgbClr w14:val="000000"/>
            </w14:solidFill>
            <w14:prstDash w14:val="solid"/>
            <w14:bevel/>
          </w14:textOutline>
        </w:rPr>
      </w:pPr>
    </w:p>
    <w:p>
      <w:pPr>
        <w:pStyle w:val="4"/>
        <w:spacing w:before="169" w:line="236" w:lineRule="auto"/>
        <w:ind w:left="1543"/>
        <w:rPr>
          <w:spacing w:val="29"/>
          <w14:textOutline w14:w="9461" w14:cap="sq" w14:cmpd="sng">
            <w14:solidFill>
              <w14:srgbClr w14:val="000000"/>
            </w14:solidFill>
            <w14:prstDash w14:val="solid"/>
            <w14:bevel/>
          </w14:textOutline>
        </w:rPr>
      </w:pPr>
    </w:p>
    <w:p>
      <w:pPr>
        <w:pStyle w:val="4"/>
        <w:spacing w:before="169" w:line="236" w:lineRule="auto"/>
        <w:ind w:left="1543"/>
        <w:rPr>
          <w:spacing w:val="29"/>
          <w14:textOutline w14:w="9461" w14:cap="sq" w14:cmpd="sng">
            <w14:solidFill>
              <w14:srgbClr w14:val="000000"/>
            </w14:solidFill>
            <w14:prstDash w14:val="solid"/>
            <w14:bevel/>
          </w14:textOutline>
        </w:rPr>
      </w:pPr>
    </w:p>
    <w:p>
      <w:pPr>
        <w:pStyle w:val="4"/>
        <w:spacing w:before="169" w:line="236" w:lineRule="auto"/>
        <w:ind w:left="1543"/>
        <w:rPr>
          <w:spacing w:val="29"/>
          <w14:textOutline w14:w="9461" w14:cap="sq" w14:cmpd="sng">
            <w14:solidFill>
              <w14:srgbClr w14:val="000000"/>
            </w14:solidFill>
            <w14:prstDash w14:val="solid"/>
            <w14:bevel/>
          </w14:textOutline>
        </w:rPr>
      </w:pPr>
    </w:p>
    <w:p>
      <w:pPr>
        <w:pStyle w:val="4"/>
        <w:spacing w:before="169" w:line="236" w:lineRule="auto"/>
        <w:ind w:left="1543"/>
        <w:rPr>
          <w:spacing w:val="29"/>
          <w14:textOutline w14:w="9461" w14:cap="sq" w14:cmpd="sng">
            <w14:solidFill>
              <w14:srgbClr w14:val="000000"/>
            </w14:solidFill>
            <w14:prstDash w14:val="solid"/>
            <w14:bevel/>
          </w14:textOutline>
        </w:rPr>
      </w:pPr>
    </w:p>
    <w:p>
      <w:pPr>
        <w:pStyle w:val="4"/>
        <w:spacing w:before="169" w:line="236" w:lineRule="auto"/>
        <w:ind w:left="1543"/>
        <w:rPr>
          <w:spacing w:val="29"/>
          <w14:textOutline w14:w="9461" w14:cap="sq" w14:cmpd="sng">
            <w14:solidFill>
              <w14:srgbClr w14:val="000000"/>
            </w14:solidFill>
            <w14:prstDash w14:val="solid"/>
            <w14:bevel/>
          </w14:textOutline>
        </w:rPr>
      </w:pPr>
    </w:p>
    <w:p>
      <w:pPr>
        <w:pStyle w:val="4"/>
        <w:spacing w:before="169" w:line="236" w:lineRule="auto"/>
        <w:ind w:left="1543"/>
        <w:rPr>
          <w:spacing w:val="29"/>
          <w14:textOutline w14:w="9461" w14:cap="sq" w14:cmpd="sng">
            <w14:solidFill>
              <w14:srgbClr w14:val="000000"/>
            </w14:solidFill>
            <w14:prstDash w14:val="solid"/>
            <w14:bevel/>
          </w14:textOutline>
        </w:rPr>
      </w:pPr>
    </w:p>
    <w:p>
      <w:pPr>
        <w:pStyle w:val="4"/>
        <w:spacing w:before="169" w:line="236" w:lineRule="auto"/>
        <w:ind w:left="1543"/>
        <w:rPr>
          <w:spacing w:val="29"/>
          <w14:textOutline w14:w="9461" w14:cap="sq" w14:cmpd="sng">
            <w14:solidFill>
              <w14:srgbClr w14:val="000000"/>
            </w14:solidFill>
            <w14:prstDash w14:val="solid"/>
            <w14:bevel/>
          </w14:textOutline>
        </w:rPr>
      </w:pPr>
    </w:p>
    <w:p>
      <w:pPr>
        <w:pStyle w:val="4"/>
        <w:spacing w:before="169" w:line="236" w:lineRule="auto"/>
        <w:ind w:left="1543"/>
        <w:rPr>
          <w:spacing w:val="29"/>
          <w14:textOutline w14:w="9461" w14:cap="sq" w14:cmpd="sng">
            <w14:solidFill>
              <w14:srgbClr w14:val="000000"/>
            </w14:solidFill>
            <w14:prstDash w14:val="solid"/>
            <w14:bevel/>
          </w14:textOutline>
        </w:rPr>
      </w:pPr>
    </w:p>
    <w:p>
      <w:pPr>
        <w:pStyle w:val="4"/>
        <w:spacing w:before="169" w:line="236" w:lineRule="auto"/>
        <w:ind w:left="1543"/>
        <w:rPr>
          <w:rFonts w:ascii="宋体" w:hAnsi="宋体" w:eastAsia="宋体" w:cs="宋体"/>
          <w:sz w:val="25"/>
          <w:szCs w:val="25"/>
        </w:rPr>
      </w:pPr>
      <w:r>
        <w:rPr>
          <w:spacing w:val="29"/>
          <w14:textOutline w14:w="9461" w14:cap="sq" w14:cmpd="sng">
            <w14:solidFill>
              <w14:srgbClr w14:val="000000"/>
            </w14:solidFill>
            <w14:prstDash w14:val="solid"/>
            <w14:bevel/>
          </w14:textOutline>
        </w:rPr>
        <w:t>第</w:t>
      </w:r>
      <w:r>
        <w:rPr>
          <w:spacing w:val="-139"/>
        </w:rPr>
        <w:t xml:space="preserve"> </w:t>
      </w:r>
      <w:r>
        <w:rPr>
          <w:spacing w:val="29"/>
          <w14:textOutline w14:w="9461" w14:cap="sq" w14:cmpd="sng">
            <w14:solidFill>
              <w14:srgbClr w14:val="000000"/>
            </w14:solidFill>
            <w14:prstDash w14:val="solid"/>
            <w14:bevel/>
          </w14:textOutline>
        </w:rPr>
        <w:t>九章</w:t>
      </w:r>
      <w:r>
        <w:rPr>
          <w:spacing w:val="190"/>
        </w:rPr>
        <w:t xml:space="preserve"> </w:t>
      </w:r>
      <w:r>
        <w:rPr>
          <w:spacing w:val="29"/>
          <w14:textOutline w14:w="9461" w14:cap="sq" w14:cmpd="sng">
            <w14:solidFill>
              <w14:srgbClr w14:val="000000"/>
            </w14:solidFill>
            <w14:prstDash w14:val="solid"/>
            <w14:bevel/>
          </w14:textOutline>
        </w:rPr>
        <w:t>投标</w:t>
      </w:r>
      <w:r>
        <w:rPr>
          <w:spacing w:val="-152"/>
        </w:rPr>
        <w:t xml:space="preserve"> </w:t>
      </w:r>
      <w:r>
        <w:rPr>
          <w:spacing w:val="29"/>
          <w14:textOutline w14:w="9461" w14:cap="sq" w14:cmpd="sng">
            <w14:solidFill>
              <w14:srgbClr w14:val="000000"/>
            </w14:solidFill>
            <w14:prstDash w14:val="solid"/>
            <w14:bevel/>
          </w14:textOutline>
        </w:rPr>
        <w:t>文件格</w:t>
      </w:r>
      <w:r>
        <w:rPr>
          <w:spacing w:val="-150"/>
        </w:rPr>
        <w:t xml:space="preserve"> </w:t>
      </w:r>
      <w:r>
        <w:rPr>
          <w:spacing w:val="29"/>
          <w14:textOutline w14:w="9461" w14:cap="sq" w14:cmpd="sng">
            <w14:solidFill>
              <w14:srgbClr w14:val="000000"/>
            </w14:solidFill>
            <w14:prstDash w14:val="solid"/>
            <w14:bevel/>
          </w14:textOutline>
        </w:rPr>
        <w:t>式</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351" w:lineRule="auto"/>
        <w:rPr>
          <w:rFonts w:ascii="Arial"/>
          <w:sz w:val="21"/>
        </w:rPr>
      </w:pPr>
    </w:p>
    <w:p>
      <w:pPr>
        <w:spacing w:before="140" w:line="223" w:lineRule="auto"/>
        <w:rPr>
          <w:rFonts w:ascii="宋体" w:hAnsi="宋体" w:eastAsia="宋体" w:cs="宋体"/>
          <w:spacing w:val="4"/>
          <w:sz w:val="43"/>
          <w:szCs w:val="43"/>
        </w:rPr>
      </w:pPr>
    </w:p>
    <w:p>
      <w:pPr>
        <w:spacing w:before="140" w:line="223" w:lineRule="auto"/>
        <w:ind w:left="3886"/>
        <w:rPr>
          <w:rFonts w:ascii="宋体" w:hAnsi="宋体" w:eastAsia="宋体" w:cs="宋体"/>
          <w:sz w:val="43"/>
          <w:szCs w:val="43"/>
        </w:rPr>
      </w:pPr>
      <w:r>
        <w:rPr>
          <w:rFonts w:ascii="宋体" w:hAnsi="宋体" w:eastAsia="宋体" w:cs="宋体"/>
          <w:spacing w:val="4"/>
          <w:sz w:val="43"/>
          <w:szCs w:val="43"/>
        </w:rPr>
        <w:t>广东省</w:t>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tabs>
          <w:tab w:val="left" w:pos="2736"/>
        </w:tabs>
        <w:spacing w:before="98" w:line="225" w:lineRule="auto"/>
        <w:jc w:val="center"/>
        <w:rPr>
          <w:rFonts w:ascii="宋体" w:hAnsi="宋体" w:eastAsia="宋体" w:cs="宋体"/>
          <w:sz w:val="40"/>
          <w:szCs w:val="40"/>
        </w:rPr>
      </w:pPr>
      <w:r>
        <w:rPr>
          <w:rFonts w:hint="eastAsia" w:ascii="宋体" w:hAnsi="宋体" w:eastAsia="宋体" w:cs="宋体"/>
          <w:spacing w:val="5"/>
          <w:sz w:val="40"/>
          <w:szCs w:val="40"/>
          <w:u w:val="single"/>
          <w:lang w:eastAsia="zh-CN"/>
        </w:rPr>
        <w:t>阳西县2023-2024年普通省道联结工程 (程村镇Y046线程石线-文山朗村)</w:t>
      </w:r>
      <w:r>
        <w:rPr>
          <w:rFonts w:ascii="宋体" w:hAnsi="宋体" w:eastAsia="宋体" w:cs="宋体"/>
          <w:spacing w:val="5"/>
          <w:sz w:val="40"/>
          <w:szCs w:val="40"/>
        </w:rPr>
        <w:t>施工招标</w:t>
      </w:r>
    </w:p>
    <w:p>
      <w:pPr>
        <w:spacing w:line="255" w:lineRule="auto"/>
        <w:rPr>
          <w:rFonts w:ascii="Arial"/>
          <w:sz w:val="40"/>
          <w:szCs w:val="40"/>
        </w:rPr>
      </w:pPr>
    </w:p>
    <w:p>
      <w:pPr>
        <w:spacing w:line="255" w:lineRule="auto"/>
        <w:rPr>
          <w:rFonts w:ascii="Arial"/>
          <w:sz w:val="40"/>
          <w:szCs w:val="40"/>
        </w:rPr>
      </w:pPr>
    </w:p>
    <w:p>
      <w:pPr>
        <w:spacing w:line="255" w:lineRule="auto"/>
        <w:rPr>
          <w:rFonts w:ascii="Arial"/>
          <w:sz w:val="40"/>
          <w:szCs w:val="40"/>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59" w:line="223" w:lineRule="auto"/>
        <w:ind w:left="2805"/>
        <w:rPr>
          <w:rFonts w:ascii="宋体" w:hAnsi="宋体" w:eastAsia="宋体" w:cs="宋体"/>
          <w:sz w:val="49"/>
          <w:szCs w:val="49"/>
        </w:rPr>
      </w:pPr>
      <w:r>
        <w:rPr>
          <w:rFonts w:ascii="宋体" w:hAnsi="宋体" w:eastAsia="宋体" w:cs="宋体"/>
          <w:spacing w:val="-11"/>
          <w:sz w:val="49"/>
          <w:szCs w:val="49"/>
        </w:rPr>
        <w:t>投</w:t>
      </w:r>
      <w:r>
        <w:rPr>
          <w:rFonts w:ascii="宋体" w:hAnsi="宋体" w:eastAsia="宋体" w:cs="宋体"/>
          <w:spacing w:val="16"/>
          <w:sz w:val="49"/>
          <w:szCs w:val="49"/>
        </w:rPr>
        <w:t xml:space="preserve">  </w:t>
      </w:r>
      <w:r>
        <w:rPr>
          <w:rFonts w:ascii="宋体" w:hAnsi="宋体" w:eastAsia="宋体" w:cs="宋体"/>
          <w:spacing w:val="-11"/>
          <w:sz w:val="49"/>
          <w:szCs w:val="49"/>
        </w:rPr>
        <w:t>标</w:t>
      </w:r>
      <w:r>
        <w:rPr>
          <w:rFonts w:ascii="宋体" w:hAnsi="宋体" w:eastAsia="宋体" w:cs="宋体"/>
          <w:spacing w:val="16"/>
          <w:sz w:val="49"/>
          <w:szCs w:val="49"/>
        </w:rPr>
        <w:t xml:space="preserve">  </w:t>
      </w:r>
      <w:r>
        <w:rPr>
          <w:rFonts w:ascii="宋体" w:hAnsi="宋体" w:eastAsia="宋体" w:cs="宋体"/>
          <w:spacing w:val="-11"/>
          <w:sz w:val="49"/>
          <w:szCs w:val="49"/>
        </w:rPr>
        <w:t>文</w:t>
      </w:r>
      <w:r>
        <w:rPr>
          <w:rFonts w:ascii="宋体" w:hAnsi="宋体" w:eastAsia="宋体" w:cs="宋体"/>
          <w:spacing w:val="15"/>
          <w:sz w:val="49"/>
          <w:szCs w:val="49"/>
        </w:rPr>
        <w:t xml:space="preserve">  </w:t>
      </w:r>
      <w:r>
        <w:rPr>
          <w:rFonts w:ascii="宋体" w:hAnsi="宋体" w:eastAsia="宋体" w:cs="宋体"/>
          <w:spacing w:val="-11"/>
          <w:sz w:val="49"/>
          <w:szCs w:val="49"/>
        </w:rPr>
        <w:t>件</w:t>
      </w:r>
    </w:p>
    <w:p>
      <w:pPr>
        <w:spacing w:before="366" w:line="220" w:lineRule="auto"/>
        <w:jc w:val="center"/>
        <w:rPr>
          <w:rFonts w:hint="eastAsia" w:ascii="宋体" w:hAnsi="宋体" w:eastAsia="宋体" w:cs="宋体"/>
          <w:spacing w:val="-2"/>
          <w:sz w:val="32"/>
          <w:szCs w:val="32"/>
        </w:rPr>
      </w:pPr>
    </w:p>
    <w:p>
      <w:pPr>
        <w:spacing w:before="366" w:line="220" w:lineRule="auto"/>
        <w:jc w:val="center"/>
        <w:rPr>
          <w:rFonts w:ascii="宋体" w:hAnsi="宋体" w:eastAsia="宋体" w:cs="宋体"/>
          <w:spacing w:val="-2"/>
          <w:sz w:val="40"/>
          <w:szCs w:val="40"/>
        </w:rPr>
      </w:pPr>
      <w:r>
        <w:rPr>
          <w:rFonts w:hint="eastAsia" w:ascii="宋体" w:hAnsi="宋体" w:eastAsia="宋体" w:cs="宋体"/>
          <w:spacing w:val="-2"/>
          <w:sz w:val="40"/>
          <w:szCs w:val="40"/>
        </w:rPr>
        <w:t>招标</w:t>
      </w:r>
      <w:r>
        <w:rPr>
          <w:rFonts w:hint="eastAsia" w:ascii="宋体" w:hAnsi="宋体" w:eastAsia="宋体" w:cs="宋体"/>
          <w:spacing w:val="-2"/>
          <w:sz w:val="40"/>
          <w:szCs w:val="40"/>
          <w:lang w:eastAsia="zh-CN"/>
        </w:rPr>
        <w:t>工程</w:t>
      </w:r>
      <w:r>
        <w:rPr>
          <w:rFonts w:hint="eastAsia" w:ascii="宋体" w:hAnsi="宋体" w:eastAsia="宋体" w:cs="宋体"/>
          <w:spacing w:val="-2"/>
          <w:sz w:val="40"/>
          <w:szCs w:val="40"/>
        </w:rPr>
        <w:t>编号：</w:t>
      </w:r>
      <w:r>
        <w:rPr>
          <w:rFonts w:hint="eastAsia" w:ascii="宋体" w:hAnsi="宋体" w:eastAsia="宋体" w:cs="宋体"/>
          <w:spacing w:val="-2"/>
          <w:sz w:val="40"/>
          <w:szCs w:val="40"/>
          <w:lang w:val="en-US" w:eastAsia="zh-CN"/>
        </w:rPr>
        <w:t>西交公招(2023)第6号</w:t>
      </w:r>
    </w:p>
    <w:p>
      <w:pPr>
        <w:spacing w:before="366" w:line="220" w:lineRule="auto"/>
        <w:jc w:val="center"/>
        <w:rPr>
          <w:rFonts w:ascii="宋体" w:hAnsi="宋体" w:eastAsia="宋体" w:cs="宋体"/>
          <w:sz w:val="40"/>
          <w:szCs w:val="40"/>
        </w:rPr>
      </w:pPr>
      <w:r>
        <w:rPr>
          <w:rFonts w:ascii="宋体" w:hAnsi="宋体" w:eastAsia="宋体" w:cs="宋体"/>
          <w:spacing w:val="-2"/>
          <w:sz w:val="40"/>
          <w:szCs w:val="40"/>
        </w:rPr>
        <w:t>（第一个信封：商务及技术文件）</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100" w:line="372" w:lineRule="auto"/>
        <w:ind w:left="941"/>
        <w:rPr>
          <w:rFonts w:ascii="宋体" w:hAnsi="宋体" w:eastAsia="宋体" w:cs="宋体"/>
          <w:sz w:val="31"/>
          <w:szCs w:val="31"/>
        </w:rPr>
      </w:pPr>
      <w:r>
        <w:rPr>
          <w:rFonts w:ascii="宋体" w:hAnsi="宋体" w:eastAsia="宋体" w:cs="宋体"/>
          <w:spacing w:val="12"/>
          <w:sz w:val="31"/>
          <w:szCs w:val="31"/>
        </w:rPr>
        <w:t>投标人</w:t>
      </w:r>
      <w:r>
        <w:rPr>
          <w:rFonts w:ascii="宋体" w:hAnsi="宋体" w:eastAsia="宋体" w:cs="宋体"/>
          <w:spacing w:val="-13"/>
          <w:sz w:val="31"/>
          <w:szCs w:val="31"/>
        </w:rPr>
        <w:t>：</w:t>
      </w:r>
      <w:r>
        <w:rPr>
          <w:rFonts w:ascii="宋体" w:hAnsi="宋体" w:eastAsia="宋体" w:cs="宋体"/>
          <w:spacing w:val="5"/>
          <w:sz w:val="31"/>
          <w:szCs w:val="31"/>
          <w:u w:val="single" w:color="auto"/>
        </w:rPr>
        <w:t xml:space="preserve">                            </w:t>
      </w:r>
      <w:r>
        <w:rPr>
          <w:rFonts w:ascii="宋体" w:hAnsi="宋体" w:eastAsia="宋体" w:cs="宋体"/>
          <w:spacing w:val="-13"/>
          <w:sz w:val="31"/>
          <w:szCs w:val="31"/>
        </w:rPr>
        <w:t>（</w:t>
      </w:r>
      <w:r>
        <w:rPr>
          <w:rFonts w:ascii="宋体" w:hAnsi="宋体" w:eastAsia="宋体" w:cs="宋体"/>
          <w:spacing w:val="12"/>
          <w:sz w:val="31"/>
          <w:szCs w:val="31"/>
        </w:rPr>
        <w:t>盖单位章）</w:t>
      </w:r>
    </w:p>
    <w:p>
      <w:pPr>
        <w:tabs>
          <w:tab w:val="left" w:pos="3835"/>
        </w:tabs>
        <w:spacing w:before="1" w:line="224" w:lineRule="auto"/>
        <w:ind w:left="2556"/>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140"/>
          <w:sz w:val="31"/>
          <w:szCs w:val="31"/>
        </w:rPr>
        <w:t xml:space="preserve"> </w:t>
      </w:r>
      <w:r>
        <w:rPr>
          <w:rFonts w:ascii="宋体" w:hAnsi="宋体" w:eastAsia="宋体" w:cs="宋体"/>
          <w:spacing w:val="-6"/>
          <w:sz w:val="31"/>
          <w:szCs w:val="31"/>
        </w:rPr>
        <w:t>年</w:t>
      </w:r>
      <w:r>
        <w:rPr>
          <w:rFonts w:ascii="宋体" w:hAnsi="宋体" w:eastAsia="宋体" w:cs="宋体"/>
          <w:spacing w:val="-153"/>
          <w:sz w:val="31"/>
          <w:szCs w:val="31"/>
        </w:rPr>
        <w:t xml:space="preserve"> </w:t>
      </w:r>
      <w:r>
        <w:rPr>
          <w:rFonts w:ascii="宋体" w:hAnsi="宋体" w:eastAsia="宋体" w:cs="宋体"/>
          <w:spacing w:val="5"/>
          <w:sz w:val="31"/>
          <w:szCs w:val="31"/>
          <w:u w:val="single" w:color="auto"/>
        </w:rPr>
        <w:t xml:space="preserve">      </w:t>
      </w:r>
      <w:r>
        <w:rPr>
          <w:rFonts w:ascii="宋体" w:hAnsi="宋体" w:eastAsia="宋体" w:cs="宋体"/>
          <w:spacing w:val="-134"/>
          <w:sz w:val="31"/>
          <w:szCs w:val="31"/>
        </w:rPr>
        <w:t xml:space="preserve"> </w:t>
      </w:r>
      <w:r>
        <w:rPr>
          <w:rFonts w:ascii="宋体" w:hAnsi="宋体" w:eastAsia="宋体" w:cs="宋体"/>
          <w:spacing w:val="-6"/>
          <w:sz w:val="31"/>
          <w:szCs w:val="31"/>
        </w:rPr>
        <w:t>月</w:t>
      </w:r>
      <w:r>
        <w:rPr>
          <w:rFonts w:ascii="宋体" w:hAnsi="宋体" w:eastAsia="宋体" w:cs="宋体"/>
          <w:spacing w:val="4"/>
          <w:sz w:val="31"/>
          <w:szCs w:val="31"/>
          <w:u w:val="single" w:color="auto"/>
        </w:rPr>
        <w:t xml:space="preserve">      </w:t>
      </w:r>
      <w:r>
        <w:rPr>
          <w:rFonts w:ascii="宋体" w:hAnsi="宋体" w:eastAsia="宋体" w:cs="宋体"/>
          <w:spacing w:val="-81"/>
          <w:sz w:val="31"/>
          <w:szCs w:val="31"/>
        </w:rPr>
        <w:t xml:space="preserve"> </w:t>
      </w:r>
      <w:r>
        <w:rPr>
          <w:rFonts w:ascii="宋体" w:hAnsi="宋体" w:eastAsia="宋体" w:cs="宋体"/>
          <w:spacing w:val="-6"/>
          <w:sz w:val="31"/>
          <w:szCs w:val="31"/>
        </w:rPr>
        <w:t>日</w:t>
      </w:r>
    </w:p>
    <w:p>
      <w:pPr>
        <w:spacing w:line="406" w:lineRule="auto"/>
        <w:rPr>
          <w:rFonts w:ascii="Arial"/>
          <w:sz w:val="21"/>
        </w:rPr>
      </w:pPr>
    </w:p>
    <w:p>
      <w:pPr>
        <w:pStyle w:val="4"/>
        <w:spacing w:before="114" w:line="227" w:lineRule="auto"/>
        <w:ind w:left="4007"/>
        <w:rPr>
          <w:spacing w:val="-25"/>
          <w:sz w:val="35"/>
          <w:szCs w:val="35"/>
          <w14:textOutline w14:w="6537" w14:cap="sq" w14:cmpd="sng">
            <w14:solidFill>
              <w14:srgbClr w14:val="000000"/>
            </w14:solidFill>
            <w14:prstDash w14:val="solid"/>
            <w14:bevel/>
          </w14:textOutline>
        </w:rPr>
      </w:pPr>
    </w:p>
    <w:p>
      <w:pPr>
        <w:pStyle w:val="4"/>
        <w:spacing w:before="114" w:line="227" w:lineRule="auto"/>
        <w:ind w:left="4007"/>
        <w:rPr>
          <w:sz w:val="35"/>
          <w:szCs w:val="35"/>
        </w:rPr>
      </w:pPr>
      <w:r>
        <w:rPr>
          <w:spacing w:val="-25"/>
          <w:sz w:val="35"/>
          <w:szCs w:val="35"/>
          <w14:textOutline w14:w="6537" w14:cap="sq" w14:cmpd="sng">
            <w14:solidFill>
              <w14:srgbClr w14:val="000000"/>
            </w14:solidFill>
            <w14:prstDash w14:val="solid"/>
            <w14:bevel/>
          </w14:textOutline>
        </w:rPr>
        <w:t>目</w:t>
      </w:r>
      <w:r>
        <w:rPr>
          <w:spacing w:val="13"/>
          <w:sz w:val="35"/>
          <w:szCs w:val="35"/>
        </w:rPr>
        <w:t xml:space="preserve">  </w:t>
      </w:r>
      <w:r>
        <w:rPr>
          <w:spacing w:val="-25"/>
          <w:sz w:val="35"/>
          <w:szCs w:val="35"/>
          <w14:textOutline w14:w="6537" w14:cap="sq" w14:cmpd="sng">
            <w14:solidFill>
              <w14:srgbClr w14:val="000000"/>
            </w14:solidFill>
            <w14:prstDash w14:val="solid"/>
            <w14:bevel/>
          </w14:textOutline>
        </w:rPr>
        <w:t>录</w:t>
      </w:r>
    </w:p>
    <w:p>
      <w:pPr>
        <w:spacing w:line="395" w:lineRule="auto"/>
        <w:rPr>
          <w:rFonts w:ascii="Arial"/>
          <w:sz w:val="21"/>
        </w:rPr>
      </w:pPr>
    </w:p>
    <w:p>
      <w:pPr>
        <w:spacing w:line="337" w:lineRule="auto"/>
        <w:rPr>
          <w:rFonts w:ascii="Arial"/>
          <w:sz w:val="21"/>
        </w:rPr>
      </w:pPr>
    </w:p>
    <w:p>
      <w:pPr>
        <w:spacing w:line="338" w:lineRule="auto"/>
        <w:rPr>
          <w:rFonts w:ascii="Arial"/>
          <w:sz w:val="21"/>
        </w:rPr>
      </w:pPr>
    </w:p>
    <w:p>
      <w:pPr>
        <w:spacing w:before="91" w:line="545" w:lineRule="exact"/>
        <w:ind w:left="6"/>
        <w:rPr>
          <w:rFonts w:ascii="宋体" w:hAnsi="宋体" w:eastAsia="宋体" w:cs="宋体"/>
          <w:sz w:val="28"/>
          <w:szCs w:val="28"/>
        </w:rPr>
      </w:pPr>
      <w:r>
        <w:rPr>
          <w:rFonts w:ascii="宋体" w:hAnsi="宋体" w:eastAsia="宋体" w:cs="宋体"/>
          <w:spacing w:val="-1"/>
          <w:position w:val="19"/>
          <w:sz w:val="28"/>
          <w:szCs w:val="28"/>
        </w:rPr>
        <w:t>第一个信封(商务及技术文件)</w:t>
      </w:r>
    </w:p>
    <w:p>
      <w:pPr>
        <w:spacing w:line="219" w:lineRule="auto"/>
        <w:ind w:left="11"/>
        <w:rPr>
          <w:rFonts w:ascii="宋体" w:hAnsi="宋体" w:eastAsia="宋体" w:cs="宋体"/>
          <w:sz w:val="28"/>
          <w:szCs w:val="28"/>
        </w:rPr>
      </w:pPr>
      <w:r>
        <w:rPr>
          <w:rFonts w:ascii="宋体" w:hAnsi="宋体" w:eastAsia="宋体" w:cs="宋体"/>
          <w:spacing w:val="-2"/>
          <w:sz w:val="28"/>
          <w:szCs w:val="28"/>
        </w:rPr>
        <w:t>一、投标函及投标函附录</w:t>
      </w:r>
    </w:p>
    <w:p>
      <w:pPr>
        <w:spacing w:before="212" w:line="545" w:lineRule="exact"/>
        <w:ind w:left="11"/>
        <w:rPr>
          <w:rFonts w:ascii="宋体" w:hAnsi="宋体" w:eastAsia="宋体" w:cs="宋体"/>
          <w:sz w:val="28"/>
          <w:szCs w:val="28"/>
        </w:rPr>
      </w:pPr>
      <w:r>
        <w:rPr>
          <w:rFonts w:ascii="宋体" w:hAnsi="宋体" w:eastAsia="宋体" w:cs="宋体"/>
          <w:spacing w:val="-1"/>
          <w:position w:val="19"/>
          <w:sz w:val="28"/>
          <w:szCs w:val="28"/>
        </w:rPr>
        <w:t>二、授权委托书或法定代表人身份证明</w:t>
      </w:r>
    </w:p>
    <w:p>
      <w:pPr>
        <w:spacing w:before="1" w:line="219" w:lineRule="auto"/>
        <w:ind w:left="6"/>
        <w:rPr>
          <w:rFonts w:ascii="宋体" w:hAnsi="宋体" w:eastAsia="宋体" w:cs="宋体"/>
          <w:sz w:val="28"/>
          <w:szCs w:val="28"/>
        </w:rPr>
      </w:pPr>
      <w:r>
        <w:rPr>
          <w:rFonts w:ascii="宋体" w:hAnsi="宋体" w:eastAsia="宋体" w:cs="宋体"/>
          <w:spacing w:val="-1"/>
          <w:sz w:val="28"/>
          <w:szCs w:val="28"/>
        </w:rPr>
        <w:t>三、联合体协议书（如有）</w:t>
      </w:r>
    </w:p>
    <w:p>
      <w:pPr>
        <w:spacing w:before="211" w:line="221" w:lineRule="auto"/>
        <w:ind w:left="33"/>
        <w:rPr>
          <w:rFonts w:ascii="宋体" w:hAnsi="宋体" w:eastAsia="宋体" w:cs="宋体"/>
          <w:sz w:val="28"/>
          <w:szCs w:val="28"/>
        </w:rPr>
      </w:pPr>
      <w:r>
        <w:rPr>
          <w:rFonts w:ascii="宋体" w:hAnsi="宋体" w:eastAsia="宋体" w:cs="宋体"/>
          <w:spacing w:val="-6"/>
          <w:sz w:val="28"/>
          <w:szCs w:val="28"/>
        </w:rPr>
        <w:t>四、投标保证金</w:t>
      </w:r>
    </w:p>
    <w:p>
      <w:pPr>
        <w:spacing w:before="210" w:line="545" w:lineRule="exact"/>
        <w:ind w:left="11"/>
        <w:rPr>
          <w:rFonts w:ascii="宋体" w:hAnsi="宋体" w:eastAsia="宋体" w:cs="宋体"/>
          <w:sz w:val="28"/>
          <w:szCs w:val="28"/>
        </w:rPr>
      </w:pPr>
      <w:r>
        <w:rPr>
          <w:rFonts w:ascii="宋体" w:hAnsi="宋体" w:eastAsia="宋体" w:cs="宋体"/>
          <w:spacing w:val="-2"/>
          <w:position w:val="19"/>
          <w:sz w:val="28"/>
          <w:szCs w:val="28"/>
        </w:rPr>
        <w:t>五、施工组织设计</w:t>
      </w:r>
    </w:p>
    <w:p>
      <w:pPr>
        <w:spacing w:before="1" w:line="219" w:lineRule="auto"/>
        <w:ind w:left="9"/>
        <w:rPr>
          <w:rFonts w:ascii="宋体" w:hAnsi="宋体" w:eastAsia="宋体" w:cs="宋体"/>
          <w:sz w:val="28"/>
          <w:szCs w:val="28"/>
        </w:rPr>
      </w:pPr>
      <w:r>
        <w:rPr>
          <w:rFonts w:ascii="宋体" w:hAnsi="宋体" w:eastAsia="宋体" w:cs="宋体"/>
          <w:spacing w:val="-2"/>
          <w:sz w:val="28"/>
          <w:szCs w:val="28"/>
        </w:rPr>
        <w:t>六、项目管理机构</w:t>
      </w:r>
    </w:p>
    <w:p>
      <w:pPr>
        <w:spacing w:before="212" w:line="219" w:lineRule="auto"/>
        <w:ind w:left="5"/>
        <w:rPr>
          <w:rFonts w:ascii="宋体" w:hAnsi="宋体" w:eastAsia="宋体" w:cs="宋体"/>
          <w:spacing w:val="-1"/>
          <w:sz w:val="28"/>
          <w:szCs w:val="28"/>
        </w:rPr>
      </w:pPr>
      <w:r>
        <w:rPr>
          <w:rFonts w:ascii="宋体" w:hAnsi="宋体" w:eastAsia="宋体" w:cs="宋体"/>
          <w:spacing w:val="-1"/>
          <w:sz w:val="28"/>
          <w:szCs w:val="28"/>
        </w:rPr>
        <w:t>七、拟分包项目情况表</w:t>
      </w:r>
    </w:p>
    <w:p>
      <w:pPr>
        <w:spacing w:before="212" w:line="219" w:lineRule="auto"/>
        <w:ind w:left="5"/>
        <w:rPr>
          <w:rFonts w:ascii="宋体" w:hAnsi="宋体" w:eastAsia="宋体" w:cs="宋体"/>
          <w:sz w:val="28"/>
          <w:szCs w:val="28"/>
        </w:rPr>
      </w:pPr>
      <w:r>
        <w:rPr>
          <w:rFonts w:ascii="宋体" w:hAnsi="宋体" w:eastAsia="宋体" w:cs="宋体"/>
          <w:spacing w:val="-1"/>
          <w:sz w:val="28"/>
          <w:szCs w:val="28"/>
        </w:rPr>
        <w:t>八、资格审查资料</w:t>
      </w:r>
    </w:p>
    <w:p>
      <w:pPr>
        <w:spacing w:before="213" w:line="221" w:lineRule="auto"/>
        <w:ind w:left="13"/>
        <w:rPr>
          <w:rFonts w:ascii="宋体" w:hAnsi="宋体" w:eastAsia="宋体" w:cs="宋体"/>
          <w:sz w:val="28"/>
          <w:szCs w:val="28"/>
        </w:rPr>
      </w:pPr>
      <w:r>
        <w:rPr>
          <w:rFonts w:ascii="宋体" w:hAnsi="宋体" w:eastAsia="宋体" w:cs="宋体"/>
          <w:spacing w:val="-3"/>
          <w:sz w:val="28"/>
          <w:szCs w:val="28"/>
        </w:rPr>
        <w:t>九、其他资料</w:t>
      </w:r>
    </w:p>
    <w:p>
      <w:pPr>
        <w:spacing w:line="357" w:lineRule="auto"/>
        <w:rPr>
          <w:rFonts w:ascii="Arial"/>
          <w:sz w:val="21"/>
        </w:rPr>
      </w:pPr>
    </w:p>
    <w:p>
      <w:pPr>
        <w:spacing w:line="357" w:lineRule="auto"/>
        <w:rPr>
          <w:rFonts w:ascii="Arial"/>
          <w:sz w:val="21"/>
        </w:rPr>
      </w:pPr>
    </w:p>
    <w:p>
      <w:pPr>
        <w:pStyle w:val="4"/>
        <w:spacing w:before="114" w:line="227" w:lineRule="auto"/>
        <w:ind w:left="2126"/>
        <w:rPr>
          <w:spacing w:val="61"/>
          <w:sz w:val="35"/>
          <w:szCs w:val="35"/>
          <w14:textOutline w14:w="6537" w14:cap="sq" w14:cmpd="sng">
            <w14:solidFill>
              <w14:srgbClr w14:val="000000"/>
            </w14:solidFill>
            <w14:prstDash w14:val="solid"/>
            <w14:bevel/>
          </w14:textOutline>
        </w:rPr>
      </w:pPr>
    </w:p>
    <w:p>
      <w:pPr>
        <w:pStyle w:val="4"/>
        <w:spacing w:before="114" w:line="227" w:lineRule="auto"/>
        <w:ind w:left="2126"/>
        <w:rPr>
          <w:spacing w:val="61"/>
          <w:sz w:val="35"/>
          <w:szCs w:val="35"/>
          <w14:textOutline w14:w="6537" w14:cap="sq" w14:cmpd="sng">
            <w14:solidFill>
              <w14:srgbClr w14:val="000000"/>
            </w14:solidFill>
            <w14:prstDash w14:val="solid"/>
            <w14:bevel/>
          </w14:textOutline>
        </w:rPr>
      </w:pPr>
    </w:p>
    <w:p>
      <w:pPr>
        <w:pStyle w:val="4"/>
        <w:spacing w:before="114" w:line="227" w:lineRule="auto"/>
        <w:ind w:left="2126"/>
        <w:rPr>
          <w:spacing w:val="61"/>
          <w:sz w:val="35"/>
          <w:szCs w:val="35"/>
          <w14:textOutline w14:w="6537" w14:cap="sq" w14:cmpd="sng">
            <w14:solidFill>
              <w14:srgbClr w14:val="000000"/>
            </w14:solidFill>
            <w14:prstDash w14:val="solid"/>
            <w14:bevel/>
          </w14:textOutline>
        </w:rPr>
      </w:pPr>
    </w:p>
    <w:p>
      <w:pPr>
        <w:pStyle w:val="4"/>
        <w:spacing w:before="114" w:line="227" w:lineRule="auto"/>
        <w:ind w:left="2126"/>
        <w:rPr>
          <w:spacing w:val="61"/>
          <w:sz w:val="35"/>
          <w:szCs w:val="35"/>
          <w14:textOutline w14:w="6537" w14:cap="sq" w14:cmpd="sng">
            <w14:solidFill>
              <w14:srgbClr w14:val="000000"/>
            </w14:solidFill>
            <w14:prstDash w14:val="solid"/>
            <w14:bevel/>
          </w14:textOutline>
        </w:rPr>
      </w:pPr>
    </w:p>
    <w:p>
      <w:pPr>
        <w:pStyle w:val="4"/>
        <w:spacing w:before="114" w:line="227" w:lineRule="auto"/>
        <w:ind w:left="2126"/>
        <w:rPr>
          <w:spacing w:val="61"/>
          <w:sz w:val="35"/>
          <w:szCs w:val="35"/>
          <w14:textOutline w14:w="6537" w14:cap="sq" w14:cmpd="sng">
            <w14:solidFill>
              <w14:srgbClr w14:val="000000"/>
            </w14:solidFill>
            <w14:prstDash w14:val="solid"/>
            <w14:bevel/>
          </w14:textOutline>
        </w:rPr>
      </w:pPr>
    </w:p>
    <w:p>
      <w:pPr>
        <w:pStyle w:val="4"/>
        <w:spacing w:before="114" w:line="227" w:lineRule="auto"/>
        <w:ind w:left="2126"/>
        <w:rPr>
          <w:spacing w:val="61"/>
          <w:sz w:val="35"/>
          <w:szCs w:val="35"/>
          <w14:textOutline w14:w="6537" w14:cap="sq" w14:cmpd="sng">
            <w14:solidFill>
              <w14:srgbClr w14:val="000000"/>
            </w14:solidFill>
            <w14:prstDash w14:val="solid"/>
            <w14:bevel/>
          </w14:textOutline>
        </w:rPr>
      </w:pPr>
    </w:p>
    <w:p>
      <w:pPr>
        <w:pStyle w:val="4"/>
        <w:spacing w:before="114" w:line="227" w:lineRule="auto"/>
        <w:ind w:left="2126"/>
        <w:rPr>
          <w:spacing w:val="61"/>
          <w:sz w:val="35"/>
          <w:szCs w:val="35"/>
          <w14:textOutline w14:w="6537" w14:cap="sq" w14:cmpd="sng">
            <w14:solidFill>
              <w14:srgbClr w14:val="000000"/>
            </w14:solidFill>
            <w14:prstDash w14:val="solid"/>
            <w14:bevel/>
          </w14:textOutline>
        </w:rPr>
      </w:pPr>
    </w:p>
    <w:p>
      <w:pPr>
        <w:pStyle w:val="4"/>
        <w:spacing w:before="114" w:line="227" w:lineRule="auto"/>
        <w:ind w:left="2126"/>
        <w:rPr>
          <w:spacing w:val="61"/>
          <w:sz w:val="35"/>
          <w:szCs w:val="35"/>
          <w14:textOutline w14:w="6537" w14:cap="sq" w14:cmpd="sng">
            <w14:solidFill>
              <w14:srgbClr w14:val="000000"/>
            </w14:solidFill>
            <w14:prstDash w14:val="solid"/>
            <w14:bevel/>
          </w14:textOutline>
        </w:rPr>
      </w:pPr>
    </w:p>
    <w:p>
      <w:pPr>
        <w:pStyle w:val="4"/>
        <w:spacing w:before="114" w:line="227" w:lineRule="auto"/>
        <w:ind w:left="2126"/>
        <w:rPr>
          <w:spacing w:val="61"/>
          <w:sz w:val="35"/>
          <w:szCs w:val="35"/>
          <w14:textOutline w14:w="6537" w14:cap="sq" w14:cmpd="sng">
            <w14:solidFill>
              <w14:srgbClr w14:val="000000"/>
            </w14:solidFill>
            <w14:prstDash w14:val="solid"/>
            <w14:bevel/>
          </w14:textOutline>
        </w:rPr>
      </w:pPr>
    </w:p>
    <w:p>
      <w:pPr>
        <w:pStyle w:val="4"/>
        <w:spacing w:before="114" w:line="227" w:lineRule="auto"/>
        <w:ind w:left="2126"/>
        <w:rPr>
          <w:spacing w:val="61"/>
          <w:sz w:val="35"/>
          <w:szCs w:val="35"/>
          <w14:textOutline w14:w="6537" w14:cap="sq" w14:cmpd="sng">
            <w14:solidFill>
              <w14:srgbClr w14:val="000000"/>
            </w14:solidFill>
            <w14:prstDash w14:val="solid"/>
            <w14:bevel/>
          </w14:textOutline>
        </w:rPr>
      </w:pPr>
    </w:p>
    <w:p>
      <w:pPr>
        <w:pStyle w:val="4"/>
        <w:spacing w:before="114" w:line="227" w:lineRule="auto"/>
        <w:ind w:left="2126"/>
        <w:rPr>
          <w:spacing w:val="61"/>
          <w:sz w:val="35"/>
          <w:szCs w:val="35"/>
          <w14:textOutline w14:w="6537" w14:cap="sq" w14:cmpd="sng">
            <w14:solidFill>
              <w14:srgbClr w14:val="000000"/>
            </w14:solidFill>
            <w14:prstDash w14:val="solid"/>
            <w14:bevel/>
          </w14:textOutline>
        </w:rPr>
      </w:pPr>
    </w:p>
    <w:p>
      <w:pPr>
        <w:pStyle w:val="4"/>
        <w:spacing w:before="114" w:line="227" w:lineRule="auto"/>
        <w:ind w:left="2126"/>
        <w:rPr>
          <w:spacing w:val="61"/>
          <w:sz w:val="35"/>
          <w:szCs w:val="35"/>
          <w14:textOutline w14:w="6537" w14:cap="sq" w14:cmpd="sng">
            <w14:solidFill>
              <w14:srgbClr w14:val="000000"/>
            </w14:solidFill>
            <w14:prstDash w14:val="solid"/>
            <w14:bevel/>
          </w14:textOutline>
        </w:rPr>
      </w:pPr>
    </w:p>
    <w:p>
      <w:pPr>
        <w:pStyle w:val="4"/>
        <w:spacing w:before="114" w:line="227" w:lineRule="auto"/>
        <w:ind w:left="2126"/>
        <w:rPr>
          <w:spacing w:val="61"/>
          <w:sz w:val="35"/>
          <w:szCs w:val="35"/>
          <w14:textOutline w14:w="6537" w14:cap="sq" w14:cmpd="sng">
            <w14:solidFill>
              <w14:srgbClr w14:val="000000"/>
            </w14:solidFill>
            <w14:prstDash w14:val="solid"/>
            <w14:bevel/>
          </w14:textOutline>
        </w:rPr>
      </w:pPr>
    </w:p>
    <w:p>
      <w:pPr>
        <w:pStyle w:val="4"/>
        <w:spacing w:before="114" w:line="227" w:lineRule="auto"/>
        <w:ind w:left="2126"/>
        <w:rPr>
          <w:sz w:val="35"/>
          <w:szCs w:val="35"/>
        </w:rPr>
      </w:pPr>
      <w:r>
        <w:rPr>
          <w:spacing w:val="61"/>
          <w:sz w:val="35"/>
          <w:szCs w:val="35"/>
          <w14:textOutline w14:w="6537" w14:cap="sq" w14:cmpd="sng">
            <w14:solidFill>
              <w14:srgbClr w14:val="000000"/>
            </w14:solidFill>
            <w14:prstDash w14:val="solid"/>
            <w14:bevel/>
          </w14:textOutline>
        </w:rPr>
        <w:t>一</w:t>
      </w:r>
      <w:r>
        <w:rPr>
          <w:spacing w:val="-36"/>
          <w:sz w:val="35"/>
          <w:szCs w:val="35"/>
        </w:rPr>
        <w:t xml:space="preserve"> </w:t>
      </w:r>
      <w:r>
        <w:rPr>
          <w:spacing w:val="61"/>
          <w:sz w:val="35"/>
          <w:szCs w:val="35"/>
          <w14:textOutline w14:w="6537" w14:cap="sq" w14:cmpd="sng">
            <w14:solidFill>
              <w14:srgbClr w14:val="000000"/>
            </w14:solidFill>
            <w14:prstDash w14:val="solid"/>
            <w14:bevel/>
          </w14:textOutline>
        </w:rPr>
        <w:t>、</w:t>
      </w:r>
      <w:r>
        <w:rPr>
          <w:spacing w:val="-76"/>
          <w:sz w:val="35"/>
          <w:szCs w:val="35"/>
        </w:rPr>
        <w:t xml:space="preserve"> </w:t>
      </w:r>
      <w:r>
        <w:rPr>
          <w:spacing w:val="61"/>
          <w:sz w:val="35"/>
          <w:szCs w:val="35"/>
          <w14:textOutline w14:w="6537" w14:cap="sq" w14:cmpd="sng">
            <w14:solidFill>
              <w14:srgbClr w14:val="000000"/>
            </w14:solidFill>
            <w14:prstDash w14:val="solid"/>
            <w14:bevel/>
          </w14:textOutline>
        </w:rPr>
        <w:t>投标函及投标函附录</w:t>
      </w:r>
    </w:p>
    <w:p>
      <w:pPr>
        <w:spacing w:line="284" w:lineRule="auto"/>
        <w:rPr>
          <w:rFonts w:ascii="Arial"/>
          <w:sz w:val="21"/>
        </w:rPr>
      </w:pPr>
    </w:p>
    <w:p>
      <w:pPr>
        <w:pStyle w:val="4"/>
        <w:spacing w:before="113" w:line="228" w:lineRule="auto"/>
        <w:ind w:left="3222"/>
        <w:rPr>
          <w:sz w:val="35"/>
          <w:szCs w:val="35"/>
        </w:rPr>
      </w:pPr>
      <w:r>
        <w:rPr>
          <w:spacing w:val="-14"/>
          <w:sz w:val="35"/>
          <w:szCs w:val="35"/>
          <w14:textOutline w14:w="6537" w14:cap="sq" w14:cmpd="sng">
            <w14:solidFill>
              <w14:srgbClr w14:val="000000"/>
            </w14:solidFill>
            <w14:prstDash w14:val="solid"/>
            <w14:bevel/>
          </w14:textOutline>
        </w:rPr>
        <w:t>（</w:t>
      </w:r>
      <w:r>
        <w:rPr>
          <w:spacing w:val="-148"/>
          <w:sz w:val="35"/>
          <w:szCs w:val="35"/>
        </w:rPr>
        <w:t xml:space="preserve"> </w:t>
      </w:r>
      <w:r>
        <w:rPr>
          <w:spacing w:val="-14"/>
          <w:sz w:val="35"/>
          <w:szCs w:val="35"/>
          <w14:textOutline w14:w="6537" w14:cap="sq" w14:cmpd="sng">
            <w14:solidFill>
              <w14:srgbClr w14:val="000000"/>
            </w14:solidFill>
            <w14:prstDash w14:val="solid"/>
            <w14:bevel/>
          </w14:textOutline>
        </w:rPr>
        <w:t>一</w:t>
      </w:r>
      <w:r>
        <w:rPr>
          <w:spacing w:val="-134"/>
          <w:sz w:val="35"/>
          <w:szCs w:val="35"/>
        </w:rPr>
        <w:t xml:space="preserve"> </w:t>
      </w:r>
      <w:r>
        <w:rPr>
          <w:spacing w:val="-14"/>
          <w:sz w:val="35"/>
          <w:szCs w:val="35"/>
          <w14:textOutline w14:w="6537" w14:cap="sq" w14:cmpd="sng">
            <w14:solidFill>
              <w14:srgbClr w14:val="000000"/>
            </w14:solidFill>
            <w14:prstDash w14:val="solid"/>
            <w14:bevel/>
          </w14:textOutline>
        </w:rPr>
        <w:t>）</w:t>
      </w:r>
      <w:r>
        <w:rPr>
          <w:spacing w:val="24"/>
          <w:sz w:val="35"/>
          <w:szCs w:val="35"/>
        </w:rPr>
        <w:t xml:space="preserve"> </w:t>
      </w:r>
      <w:r>
        <w:rPr>
          <w:spacing w:val="-14"/>
          <w:sz w:val="35"/>
          <w:szCs w:val="35"/>
          <w14:textOutline w14:w="6537" w14:cap="sq" w14:cmpd="sng">
            <w14:solidFill>
              <w14:srgbClr w14:val="000000"/>
            </w14:solidFill>
            <w14:prstDash w14:val="solid"/>
            <w14:bevel/>
          </w14:textOutline>
        </w:rPr>
        <w:t>投</w:t>
      </w:r>
      <w:r>
        <w:rPr>
          <w:spacing w:val="15"/>
          <w:sz w:val="35"/>
          <w:szCs w:val="35"/>
        </w:rPr>
        <w:t xml:space="preserve"> </w:t>
      </w:r>
      <w:r>
        <w:rPr>
          <w:spacing w:val="-14"/>
          <w:sz w:val="35"/>
          <w:szCs w:val="35"/>
          <w14:textOutline w14:w="6537" w14:cap="sq" w14:cmpd="sng">
            <w14:solidFill>
              <w14:srgbClr w14:val="000000"/>
            </w14:solidFill>
            <w14:prstDash w14:val="solid"/>
            <w14:bevel/>
          </w14:textOutline>
        </w:rPr>
        <w:t>标</w:t>
      </w:r>
      <w:r>
        <w:rPr>
          <w:spacing w:val="47"/>
          <w:sz w:val="35"/>
          <w:szCs w:val="35"/>
        </w:rPr>
        <w:t xml:space="preserve"> </w:t>
      </w:r>
      <w:r>
        <w:rPr>
          <w:spacing w:val="-14"/>
          <w:sz w:val="35"/>
          <w:szCs w:val="35"/>
          <w14:textOutline w14:w="6537" w14:cap="sq" w14:cmpd="sng">
            <w14:solidFill>
              <w14:srgbClr w14:val="000000"/>
            </w14:solidFill>
            <w14:prstDash w14:val="solid"/>
            <w14:bevel/>
          </w14:textOutline>
        </w:rPr>
        <w:t>函</w:t>
      </w:r>
    </w:p>
    <w:p>
      <w:pPr>
        <w:tabs>
          <w:tab w:val="left" w:pos="3360"/>
        </w:tabs>
        <w:spacing w:before="290" w:line="22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rPr>
        <w:t>（招标人名称</w:t>
      </w:r>
      <w:r>
        <w:rPr>
          <w:rFonts w:ascii="宋体" w:hAnsi="宋体" w:eastAsia="宋体" w:cs="宋体"/>
          <w:spacing w:val="2"/>
          <w:sz w:val="24"/>
          <w:szCs w:val="24"/>
        </w:rPr>
        <w:t>）：</w:t>
      </w:r>
    </w:p>
    <w:p>
      <w:pPr>
        <w:spacing w:before="181" w:line="359" w:lineRule="auto"/>
        <w:ind w:left="9" w:right="291" w:firstLine="497"/>
        <w:jc w:val="both"/>
        <w:rPr>
          <w:rFonts w:ascii="宋体" w:hAnsi="宋体" w:eastAsia="宋体" w:cs="宋体"/>
          <w:sz w:val="24"/>
          <w:szCs w:val="24"/>
        </w:rPr>
      </w:pPr>
      <w:r>
        <w:rPr>
          <w:rFonts w:ascii="宋体" w:hAnsi="宋体" w:eastAsia="宋体" w:cs="宋体"/>
          <w:spacing w:val="-2"/>
          <w:sz w:val="24"/>
          <w:szCs w:val="24"/>
        </w:rPr>
        <w:t>1.我方已仔细研究</w:t>
      </w:r>
      <w:r>
        <w:rPr>
          <w:rFonts w:ascii="宋体" w:hAnsi="宋体" w:eastAsia="宋体" w:cs="宋体"/>
          <w:spacing w:val="-2"/>
          <w:sz w:val="24"/>
          <w:szCs w:val="24"/>
          <w:u w:val="single" w:color="auto"/>
        </w:rPr>
        <w:t xml:space="preserve">            （项目名称）      标类（或标段）</w:t>
      </w:r>
      <w:r>
        <w:rPr>
          <w:rFonts w:ascii="宋体" w:hAnsi="宋体" w:eastAsia="宋体" w:cs="宋体"/>
          <w:spacing w:val="-2"/>
          <w:sz w:val="24"/>
          <w:szCs w:val="24"/>
        </w:rPr>
        <w:t>施工招标文件</w:t>
      </w:r>
      <w:r>
        <w:rPr>
          <w:rFonts w:ascii="宋体" w:hAnsi="宋体" w:eastAsia="宋体" w:cs="宋体"/>
          <w:spacing w:val="11"/>
          <w:sz w:val="24"/>
          <w:szCs w:val="24"/>
        </w:rPr>
        <w:t xml:space="preserve"> </w:t>
      </w:r>
      <w:r>
        <w:rPr>
          <w:rFonts w:ascii="宋体" w:hAnsi="宋体" w:eastAsia="宋体" w:cs="宋体"/>
          <w:spacing w:val="-2"/>
          <w:sz w:val="24"/>
          <w:szCs w:val="24"/>
        </w:rPr>
        <w:t>的全部内容</w:t>
      </w:r>
      <w:r>
        <w:rPr>
          <w:rFonts w:ascii="宋体" w:hAnsi="宋体" w:eastAsia="宋体" w:cs="宋体"/>
          <w:spacing w:val="-5"/>
          <w:sz w:val="24"/>
          <w:szCs w:val="24"/>
        </w:rPr>
        <w:t>，</w:t>
      </w:r>
      <w:r>
        <w:rPr>
          <w:rFonts w:ascii="宋体" w:hAnsi="宋体" w:eastAsia="宋体" w:cs="宋体"/>
          <w:spacing w:val="-2"/>
          <w:sz w:val="24"/>
          <w:szCs w:val="24"/>
          <w:u w:val="single" w:color="auto"/>
        </w:rPr>
        <w:t>在考察工程现场后（如有</w:t>
      </w:r>
      <w:r>
        <w:rPr>
          <w:rFonts w:ascii="宋体" w:hAnsi="宋体" w:eastAsia="宋体" w:cs="宋体"/>
          <w:spacing w:val="-5"/>
          <w:sz w:val="24"/>
          <w:szCs w:val="24"/>
          <w:u w:val="single" w:color="auto"/>
        </w:rPr>
        <w:t>），</w:t>
      </w:r>
      <w:r>
        <w:rPr>
          <w:rFonts w:ascii="宋体" w:hAnsi="宋体" w:eastAsia="宋体" w:cs="宋体"/>
          <w:spacing w:val="-3"/>
          <w:sz w:val="24"/>
          <w:szCs w:val="24"/>
        </w:rPr>
        <w:t>愿意以第二</w:t>
      </w:r>
      <w:r>
        <w:rPr>
          <w:rFonts w:ascii="宋体" w:hAnsi="宋体" w:eastAsia="宋体" w:cs="宋体"/>
          <w:sz w:val="24"/>
          <w:szCs w:val="24"/>
        </w:rPr>
        <w:t xml:space="preserve"> </w:t>
      </w:r>
      <w:r>
        <w:rPr>
          <w:rFonts w:ascii="宋体" w:hAnsi="宋体" w:eastAsia="宋体" w:cs="宋体"/>
          <w:spacing w:val="-1"/>
          <w:sz w:val="24"/>
          <w:szCs w:val="24"/>
        </w:rPr>
        <w:t>个信封</w:t>
      </w:r>
      <w:r>
        <w:rPr>
          <w:rFonts w:ascii="宋体" w:hAnsi="宋体" w:eastAsia="宋体" w:cs="宋体"/>
          <w:spacing w:val="103"/>
          <w:sz w:val="24"/>
          <w:szCs w:val="24"/>
        </w:rPr>
        <w:t xml:space="preserve"> </w:t>
      </w:r>
      <w:r>
        <w:rPr>
          <w:rFonts w:ascii="宋体" w:hAnsi="宋体" w:eastAsia="宋体" w:cs="宋体"/>
          <w:spacing w:val="-1"/>
          <w:sz w:val="24"/>
          <w:szCs w:val="24"/>
        </w:rPr>
        <w:t>（报价文件） 中的投标总报价 （或根据招标文件规定修</w:t>
      </w:r>
      <w:r>
        <w:rPr>
          <w:rFonts w:ascii="宋体" w:hAnsi="宋体" w:eastAsia="宋体" w:cs="宋体"/>
          <w:spacing w:val="-2"/>
          <w:sz w:val="24"/>
          <w:szCs w:val="24"/>
        </w:rPr>
        <w:t>正核实后确定的另一</w:t>
      </w:r>
    </w:p>
    <w:p>
      <w:pPr>
        <w:spacing w:line="219" w:lineRule="auto"/>
        <w:ind w:left="11"/>
        <w:rPr>
          <w:rFonts w:ascii="宋体" w:hAnsi="宋体" w:eastAsia="宋体" w:cs="宋体"/>
          <w:sz w:val="24"/>
          <w:szCs w:val="24"/>
        </w:rPr>
      </w:pPr>
      <w:r>
        <w:rPr>
          <w:rFonts w:ascii="宋体" w:hAnsi="宋体" w:eastAsia="宋体" w:cs="宋体"/>
          <w:spacing w:val="-1"/>
          <w:sz w:val="24"/>
          <w:szCs w:val="24"/>
        </w:rPr>
        <w:t>金额</w:t>
      </w:r>
      <w:r>
        <w:rPr>
          <w:rFonts w:ascii="宋体" w:hAnsi="宋体" w:eastAsia="宋体" w:cs="宋体"/>
          <w:spacing w:val="7"/>
          <w:sz w:val="24"/>
          <w:szCs w:val="24"/>
        </w:rPr>
        <w:t>），</w:t>
      </w:r>
      <w:r>
        <w:rPr>
          <w:rFonts w:ascii="宋体" w:hAnsi="宋体" w:eastAsia="宋体" w:cs="宋体"/>
          <w:spacing w:val="-1"/>
          <w:sz w:val="24"/>
          <w:szCs w:val="24"/>
        </w:rPr>
        <w:t>按合同约定实施和完成承包工程，修补工程中的任何缺陷。</w:t>
      </w:r>
    </w:p>
    <w:p>
      <w:pPr>
        <w:spacing w:before="183" w:line="219" w:lineRule="auto"/>
        <w:ind w:left="492"/>
        <w:rPr>
          <w:rFonts w:ascii="宋体" w:hAnsi="宋体" w:eastAsia="宋体" w:cs="宋体"/>
          <w:sz w:val="24"/>
          <w:szCs w:val="24"/>
        </w:rPr>
      </w:pPr>
      <w:r>
        <w:rPr>
          <w:rFonts w:ascii="宋体" w:hAnsi="宋体" w:eastAsia="宋体" w:cs="宋体"/>
          <w:spacing w:val="-1"/>
          <w:sz w:val="24"/>
          <w:szCs w:val="24"/>
        </w:rPr>
        <w:t>2.我方承诺在招标文件规定的投标有效期内不撤销投标文件。</w:t>
      </w:r>
    </w:p>
    <w:p>
      <w:pPr>
        <w:spacing w:before="146" w:line="303" w:lineRule="auto"/>
        <w:ind w:left="488" w:right="959" w:firstLine="5"/>
        <w:rPr>
          <w:rFonts w:ascii="宋体" w:hAnsi="宋体" w:eastAsia="宋体" w:cs="宋体"/>
          <w:sz w:val="24"/>
          <w:szCs w:val="24"/>
        </w:rPr>
      </w:pPr>
      <w:r>
        <w:rPr>
          <w:rFonts w:ascii="宋体" w:hAnsi="宋体" w:eastAsia="宋体" w:cs="宋体"/>
          <w:spacing w:val="-5"/>
          <w:sz w:val="24"/>
          <w:szCs w:val="24"/>
        </w:rPr>
        <w:t>3.工程质量</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4"/>
          <w:sz w:val="24"/>
          <w:szCs w:val="24"/>
        </w:rPr>
        <w:t>，</w:t>
      </w:r>
      <w:r>
        <w:rPr>
          <w:rFonts w:ascii="宋体" w:hAnsi="宋体" w:eastAsia="宋体" w:cs="宋体"/>
          <w:spacing w:val="-5"/>
          <w:sz w:val="24"/>
          <w:szCs w:val="24"/>
        </w:rPr>
        <w:t>安全目标</w:t>
      </w:r>
      <w:r>
        <w:rPr>
          <w:rFonts w:ascii="宋体" w:hAnsi="宋体" w:eastAsia="宋体" w:cs="宋体"/>
          <w:spacing w:val="-4"/>
          <w:sz w:val="24"/>
          <w:szCs w:val="24"/>
        </w:rPr>
        <w:t>：</w:t>
      </w:r>
      <w:r>
        <w:rPr>
          <w:rFonts w:ascii="宋体" w:hAnsi="宋体" w:eastAsia="宋体" w:cs="宋体"/>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4"/>
          <w:sz w:val="24"/>
          <w:szCs w:val="24"/>
        </w:rPr>
        <w:t>，</w:t>
      </w:r>
      <w:r>
        <w:rPr>
          <w:rFonts w:ascii="宋体" w:hAnsi="宋体" w:eastAsia="宋体" w:cs="宋体"/>
          <w:spacing w:val="-5"/>
          <w:sz w:val="24"/>
          <w:szCs w:val="24"/>
        </w:rPr>
        <w:t>工期</w:t>
      </w:r>
      <w:r>
        <w:rPr>
          <w:rFonts w:ascii="宋体" w:hAnsi="宋体" w:eastAsia="宋体" w:cs="宋体"/>
          <w:spacing w:val="-5"/>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5"/>
          <w:sz w:val="24"/>
          <w:szCs w:val="24"/>
        </w:rPr>
        <w:t>日历天。</w:t>
      </w:r>
      <w:r>
        <w:fldChar w:fldCharType="begin"/>
      </w:r>
      <w:r>
        <w:instrText xml:space="preserve"> HYPERLINK \l "bookmark176" </w:instrText>
      </w:r>
      <w:r>
        <w:fldChar w:fldCharType="separate"/>
      </w:r>
      <w:r>
        <w:rPr>
          <w:rFonts w:ascii="宋体" w:hAnsi="宋体" w:eastAsia="宋体" w:cs="宋体"/>
          <w:spacing w:val="-5"/>
          <w:position w:val="12"/>
          <w:sz w:val="12"/>
          <w:szCs w:val="12"/>
        </w:rPr>
        <w:t>①</w:t>
      </w:r>
      <w:r>
        <w:rPr>
          <w:rFonts w:ascii="宋体" w:hAnsi="宋体" w:eastAsia="宋体" w:cs="宋体"/>
          <w:spacing w:val="-5"/>
          <w:position w:val="12"/>
          <w:sz w:val="12"/>
          <w:szCs w:val="12"/>
        </w:rPr>
        <w:fldChar w:fldCharType="end"/>
      </w:r>
      <w:r>
        <w:rPr>
          <w:rFonts w:ascii="宋体" w:hAnsi="宋体" w:eastAsia="宋体" w:cs="宋体"/>
          <w:position w:val="12"/>
          <w:sz w:val="12"/>
          <w:szCs w:val="12"/>
        </w:rPr>
        <w:t xml:space="preserve"> </w:t>
      </w:r>
      <w:r>
        <w:rPr>
          <w:rFonts w:ascii="宋体" w:hAnsi="宋体" w:eastAsia="宋体" w:cs="宋体"/>
          <w:spacing w:val="-1"/>
          <w:sz w:val="24"/>
          <w:szCs w:val="24"/>
        </w:rPr>
        <w:t>4.如我方中标，我方承诺：</w:t>
      </w:r>
    </w:p>
    <w:p>
      <w:pPr>
        <w:spacing w:before="180" w:line="219" w:lineRule="auto"/>
        <w:ind w:left="500"/>
        <w:rPr>
          <w:rFonts w:ascii="宋体" w:hAnsi="宋体" w:eastAsia="宋体" w:cs="宋体"/>
          <w:sz w:val="24"/>
          <w:szCs w:val="24"/>
        </w:rPr>
      </w:pPr>
      <w:r>
        <w:rPr>
          <w:rFonts w:ascii="宋体" w:hAnsi="宋体" w:eastAsia="宋体" w:cs="宋体"/>
          <w:spacing w:val="-1"/>
          <w:sz w:val="24"/>
          <w:szCs w:val="24"/>
        </w:rPr>
        <w:t>（1）在收到中标通知书后，在规定的期限内与你方签订合同；</w:t>
      </w:r>
    </w:p>
    <w:p>
      <w:pPr>
        <w:spacing w:before="183" w:line="468" w:lineRule="exact"/>
        <w:ind w:left="500"/>
        <w:rPr>
          <w:rFonts w:ascii="宋体" w:hAnsi="宋体" w:eastAsia="宋体" w:cs="宋体"/>
          <w:sz w:val="24"/>
          <w:szCs w:val="24"/>
        </w:rPr>
      </w:pPr>
      <w:r>
        <w:rPr>
          <w:rFonts w:ascii="宋体" w:hAnsi="宋体" w:eastAsia="宋体" w:cs="宋体"/>
          <w:spacing w:val="-2"/>
          <w:position w:val="17"/>
          <w:sz w:val="24"/>
          <w:szCs w:val="24"/>
        </w:rPr>
        <w:t>（2）在签订合同时不向你方提出附件条件；</w:t>
      </w:r>
    </w:p>
    <w:p>
      <w:pPr>
        <w:spacing w:before="1" w:line="219" w:lineRule="auto"/>
        <w:ind w:left="500"/>
        <w:rPr>
          <w:rFonts w:ascii="宋体" w:hAnsi="宋体" w:eastAsia="宋体" w:cs="宋体"/>
          <w:sz w:val="24"/>
          <w:szCs w:val="24"/>
        </w:rPr>
      </w:pPr>
      <w:r>
        <w:rPr>
          <w:rFonts w:ascii="宋体" w:hAnsi="宋体" w:eastAsia="宋体" w:cs="宋体"/>
          <w:spacing w:val="-2"/>
          <w:sz w:val="24"/>
          <w:szCs w:val="24"/>
        </w:rPr>
        <w:t>（3）按照招标文件要求提交履约保证金；</w:t>
      </w:r>
    </w:p>
    <w:p>
      <w:pPr>
        <w:spacing w:before="181" w:line="219" w:lineRule="auto"/>
        <w:ind w:left="500"/>
        <w:rPr>
          <w:rFonts w:ascii="宋体" w:hAnsi="宋体" w:eastAsia="宋体" w:cs="宋体"/>
          <w:sz w:val="24"/>
          <w:szCs w:val="24"/>
        </w:rPr>
      </w:pPr>
      <w:r>
        <w:rPr>
          <w:rFonts w:ascii="宋体" w:hAnsi="宋体" w:eastAsia="宋体" w:cs="宋体"/>
          <w:spacing w:val="-1"/>
          <w:sz w:val="24"/>
          <w:szCs w:val="24"/>
        </w:rPr>
        <w:t>（4）在合同约定的期限内完成合同规定的全部义务；</w:t>
      </w:r>
    </w:p>
    <w:p>
      <w:pPr>
        <w:spacing w:before="181" w:line="350" w:lineRule="auto"/>
        <w:ind w:left="11" w:right="291" w:firstLine="489"/>
        <w:jc w:val="both"/>
        <w:rPr>
          <w:rFonts w:ascii="宋体" w:hAnsi="宋体" w:eastAsia="宋体" w:cs="宋体"/>
          <w:sz w:val="24"/>
          <w:szCs w:val="24"/>
        </w:rPr>
      </w:pPr>
      <w:r>
        <w:rPr>
          <w:rFonts w:ascii="宋体" w:hAnsi="宋体" w:eastAsia="宋体" w:cs="宋体"/>
          <w:spacing w:val="-1"/>
          <w:sz w:val="24"/>
          <w:szCs w:val="24"/>
        </w:rPr>
        <w:t>（5）在你方和我方进行合同谈判之前，我方将按照合同附件提出的最低要求填报</w:t>
      </w:r>
      <w:r>
        <w:rPr>
          <w:rFonts w:ascii="宋体" w:hAnsi="宋体" w:eastAsia="宋体" w:cs="宋体"/>
          <w:spacing w:val="14"/>
          <w:sz w:val="24"/>
          <w:szCs w:val="24"/>
        </w:rPr>
        <w:t xml:space="preserve"> </w:t>
      </w:r>
      <w:r>
        <w:rPr>
          <w:rFonts w:ascii="宋体" w:hAnsi="宋体" w:eastAsia="宋体" w:cs="宋体"/>
          <w:spacing w:val="-2"/>
          <w:sz w:val="24"/>
          <w:szCs w:val="24"/>
        </w:rPr>
        <w:t>派驻本标段的其他管理和技术人员及主要设备，经你方审批后作为派驻本标段的项目管</w:t>
      </w:r>
      <w:r>
        <w:rPr>
          <w:rFonts w:ascii="宋体" w:hAnsi="宋体" w:eastAsia="宋体" w:cs="宋体"/>
          <w:spacing w:val="10"/>
          <w:sz w:val="24"/>
          <w:szCs w:val="24"/>
        </w:rPr>
        <w:t xml:space="preserve"> </w:t>
      </w:r>
      <w:r>
        <w:rPr>
          <w:rFonts w:ascii="宋体" w:hAnsi="宋体" w:eastAsia="宋体" w:cs="宋体"/>
          <w:spacing w:val="-2"/>
          <w:sz w:val="24"/>
          <w:szCs w:val="24"/>
        </w:rPr>
        <w:t>理机构主要人员和主要设备且不进行更换。如我方拟派的人员和设备不满足合同附件要</w:t>
      </w:r>
    </w:p>
    <w:p>
      <w:pPr>
        <w:spacing w:line="466" w:lineRule="exact"/>
        <w:ind w:left="11"/>
        <w:rPr>
          <w:rFonts w:ascii="宋体" w:hAnsi="宋体" w:eastAsia="宋体" w:cs="宋体"/>
          <w:sz w:val="12"/>
          <w:szCs w:val="12"/>
        </w:rPr>
      </w:pPr>
      <w:r>
        <w:rPr>
          <w:rFonts w:ascii="宋体" w:hAnsi="宋体" w:eastAsia="宋体" w:cs="宋体"/>
          <w:spacing w:val="-1"/>
          <w:position w:val="4"/>
          <w:sz w:val="24"/>
          <w:szCs w:val="24"/>
        </w:rPr>
        <w:t>求，你方有权取消我方中标资格。</w:t>
      </w:r>
      <w:r>
        <w:fldChar w:fldCharType="begin"/>
      </w:r>
      <w:r>
        <w:instrText xml:space="preserve"> HYPERLINK \l "bookmark177" </w:instrText>
      </w:r>
      <w:r>
        <w:fldChar w:fldCharType="separate"/>
      </w:r>
      <w:r>
        <w:rPr>
          <w:rFonts w:ascii="宋体" w:hAnsi="宋体" w:eastAsia="宋体" w:cs="宋体"/>
          <w:spacing w:val="-1"/>
          <w:position w:val="16"/>
          <w:sz w:val="12"/>
          <w:szCs w:val="12"/>
        </w:rPr>
        <w:t>②</w:t>
      </w:r>
      <w:r>
        <w:rPr>
          <w:rFonts w:ascii="宋体" w:hAnsi="宋体" w:eastAsia="宋体" w:cs="宋体"/>
          <w:spacing w:val="-1"/>
          <w:position w:val="16"/>
          <w:sz w:val="12"/>
          <w:szCs w:val="12"/>
        </w:rPr>
        <w:fldChar w:fldCharType="end"/>
      </w:r>
    </w:p>
    <w:p>
      <w:pPr>
        <w:spacing w:before="38" w:line="465" w:lineRule="exact"/>
        <w:ind w:left="494"/>
        <w:rPr>
          <w:rFonts w:ascii="宋体" w:hAnsi="宋体" w:eastAsia="宋体" w:cs="宋体"/>
          <w:sz w:val="24"/>
          <w:szCs w:val="24"/>
        </w:rPr>
      </w:pPr>
      <w:r>
        <w:rPr>
          <w:rFonts w:ascii="宋体" w:hAnsi="宋体" w:eastAsia="宋体" w:cs="宋体"/>
          <w:position w:val="17"/>
          <w:sz w:val="24"/>
          <w:szCs w:val="24"/>
        </w:rPr>
        <w:t>5. 我方在此声明，所递交的投标文件及有关</w:t>
      </w:r>
      <w:r>
        <w:rPr>
          <w:rFonts w:ascii="宋体" w:hAnsi="宋体" w:eastAsia="宋体" w:cs="宋体"/>
          <w:spacing w:val="-1"/>
          <w:position w:val="17"/>
          <w:sz w:val="24"/>
          <w:szCs w:val="24"/>
        </w:rPr>
        <w:t>资料内容完整、真实和准确，且不存</w:t>
      </w:r>
    </w:p>
    <w:p>
      <w:pPr>
        <w:spacing w:before="1" w:line="218" w:lineRule="auto"/>
        <w:ind w:left="8"/>
        <w:rPr>
          <w:rFonts w:ascii="宋体" w:hAnsi="宋体" w:eastAsia="宋体" w:cs="宋体"/>
          <w:sz w:val="24"/>
          <w:szCs w:val="24"/>
        </w:rPr>
      </w:pPr>
      <w:r>
        <w:rPr>
          <w:rFonts w:ascii="宋体" w:hAnsi="宋体" w:eastAsia="宋体" w:cs="宋体"/>
          <w:spacing w:val="-3"/>
          <w:sz w:val="24"/>
          <w:szCs w:val="24"/>
        </w:rPr>
        <w:t>在招标文件第二章“投标人须知</w:t>
      </w:r>
      <w:r>
        <w:rPr>
          <w:rFonts w:ascii="宋体" w:hAnsi="宋体" w:eastAsia="宋体" w:cs="宋体"/>
          <w:spacing w:val="-89"/>
          <w:sz w:val="24"/>
          <w:szCs w:val="24"/>
        </w:rPr>
        <w:t xml:space="preserve"> </w:t>
      </w:r>
      <w:r>
        <w:rPr>
          <w:rFonts w:ascii="宋体" w:hAnsi="宋体" w:eastAsia="宋体" w:cs="宋体"/>
          <w:spacing w:val="-3"/>
          <w:sz w:val="24"/>
          <w:szCs w:val="24"/>
        </w:rPr>
        <w:t>”第</w:t>
      </w:r>
      <w:r>
        <w:rPr>
          <w:rFonts w:ascii="宋体" w:hAnsi="宋体" w:eastAsia="宋体" w:cs="宋体"/>
          <w:spacing w:val="-32"/>
          <w:sz w:val="24"/>
          <w:szCs w:val="24"/>
        </w:rPr>
        <w:t xml:space="preserve"> </w:t>
      </w:r>
      <w:r>
        <w:rPr>
          <w:rFonts w:ascii="宋体" w:hAnsi="宋体" w:eastAsia="宋体" w:cs="宋体"/>
          <w:spacing w:val="-3"/>
          <w:sz w:val="24"/>
          <w:szCs w:val="24"/>
        </w:rPr>
        <w:t>1.4.3</w:t>
      </w:r>
      <w:r>
        <w:rPr>
          <w:rFonts w:ascii="宋体" w:hAnsi="宋体" w:eastAsia="宋体" w:cs="宋体"/>
          <w:spacing w:val="-47"/>
          <w:sz w:val="24"/>
          <w:szCs w:val="24"/>
        </w:rPr>
        <w:t xml:space="preserve"> </w:t>
      </w:r>
      <w:r>
        <w:rPr>
          <w:rFonts w:ascii="宋体" w:hAnsi="宋体" w:eastAsia="宋体" w:cs="宋体"/>
          <w:spacing w:val="-3"/>
          <w:sz w:val="24"/>
          <w:szCs w:val="24"/>
        </w:rPr>
        <w:t>项和第</w:t>
      </w:r>
      <w:r>
        <w:rPr>
          <w:rFonts w:ascii="宋体" w:hAnsi="宋体" w:eastAsia="宋体" w:cs="宋体"/>
          <w:spacing w:val="-33"/>
          <w:sz w:val="24"/>
          <w:szCs w:val="24"/>
        </w:rPr>
        <w:t xml:space="preserve"> </w:t>
      </w:r>
      <w:r>
        <w:rPr>
          <w:rFonts w:ascii="宋体" w:hAnsi="宋体" w:eastAsia="宋体" w:cs="宋体"/>
          <w:spacing w:val="-3"/>
          <w:sz w:val="24"/>
          <w:szCs w:val="24"/>
        </w:rPr>
        <w:t>1.4.4</w:t>
      </w:r>
      <w:r>
        <w:rPr>
          <w:rFonts w:ascii="宋体" w:hAnsi="宋体" w:eastAsia="宋体" w:cs="宋体"/>
          <w:spacing w:val="-47"/>
          <w:sz w:val="24"/>
          <w:szCs w:val="24"/>
        </w:rPr>
        <w:t xml:space="preserve"> </w:t>
      </w:r>
      <w:r>
        <w:rPr>
          <w:rFonts w:ascii="宋体" w:hAnsi="宋体" w:eastAsia="宋体" w:cs="宋体"/>
          <w:spacing w:val="-3"/>
          <w:sz w:val="24"/>
          <w:szCs w:val="24"/>
        </w:rPr>
        <w:t>项规定的任何一种情</w:t>
      </w:r>
      <w:r>
        <w:rPr>
          <w:rFonts w:ascii="宋体" w:hAnsi="宋体" w:eastAsia="宋体" w:cs="宋体"/>
          <w:spacing w:val="-4"/>
          <w:sz w:val="24"/>
          <w:szCs w:val="24"/>
        </w:rPr>
        <w:t>形。</w:t>
      </w:r>
    </w:p>
    <w:p>
      <w:pPr>
        <w:spacing w:before="184" w:line="359" w:lineRule="auto"/>
        <w:ind w:left="9" w:right="291" w:firstLine="481"/>
        <w:rPr>
          <w:rFonts w:ascii="宋体" w:hAnsi="宋体" w:eastAsia="宋体" w:cs="宋体"/>
          <w:sz w:val="24"/>
          <w:szCs w:val="24"/>
        </w:rPr>
      </w:pPr>
      <w:r>
        <w:rPr>
          <w:rFonts w:ascii="宋体" w:hAnsi="宋体" w:eastAsia="宋体" w:cs="宋体"/>
          <w:spacing w:val="-5"/>
          <w:sz w:val="24"/>
          <w:szCs w:val="24"/>
        </w:rPr>
        <w:t>6. 我方在此承诺：拟投入本项目的项目经理</w:t>
      </w:r>
      <w:r>
        <w:rPr>
          <w:rFonts w:ascii="宋体" w:hAnsi="宋体" w:eastAsia="宋体" w:cs="宋体"/>
          <w:spacing w:val="-5"/>
          <w:sz w:val="24"/>
          <w:szCs w:val="24"/>
          <w:u w:val="single" w:color="auto"/>
        </w:rPr>
        <w:t>（包括备选人，如有）</w:t>
      </w:r>
      <w:r>
        <w:rPr>
          <w:rFonts w:ascii="宋体" w:hAnsi="宋体" w:eastAsia="宋体" w:cs="宋体"/>
          <w:spacing w:val="-5"/>
          <w:sz w:val="24"/>
          <w:szCs w:val="24"/>
        </w:rPr>
        <w:t>及项目总工</w:t>
      </w:r>
      <w:r>
        <w:rPr>
          <w:rFonts w:ascii="宋体" w:hAnsi="宋体" w:eastAsia="宋体" w:cs="宋体"/>
          <w:spacing w:val="-5"/>
          <w:sz w:val="24"/>
          <w:szCs w:val="24"/>
          <w:u w:val="single" w:color="auto"/>
        </w:rPr>
        <w:t>（包</w:t>
      </w:r>
      <w:r>
        <w:rPr>
          <w:rFonts w:ascii="宋体" w:hAnsi="宋体" w:eastAsia="宋体" w:cs="宋体"/>
          <w:spacing w:val="4"/>
          <w:sz w:val="24"/>
          <w:szCs w:val="24"/>
        </w:rPr>
        <w:t xml:space="preserve"> </w:t>
      </w:r>
      <w:r>
        <w:rPr>
          <w:rFonts w:ascii="宋体" w:hAnsi="宋体" w:eastAsia="宋体" w:cs="宋体"/>
          <w:spacing w:val="3"/>
          <w:sz w:val="24"/>
          <w:szCs w:val="24"/>
          <w:u w:val="single" w:color="auto"/>
        </w:rPr>
        <w:t>括备选人，如有）</w:t>
      </w:r>
      <w:r>
        <w:rPr>
          <w:rFonts w:ascii="宋体" w:hAnsi="宋体" w:eastAsia="宋体" w:cs="宋体"/>
          <w:spacing w:val="3"/>
          <w:sz w:val="24"/>
          <w:szCs w:val="24"/>
        </w:rPr>
        <w:t>无在岗项目(</w:t>
      </w:r>
      <w:r>
        <w:rPr>
          <w:rFonts w:ascii="宋体" w:hAnsi="宋体" w:eastAsia="宋体" w:cs="宋体"/>
          <w:spacing w:val="3"/>
          <w:sz w:val="20"/>
          <w:szCs w:val="20"/>
        </w:rPr>
        <w:t>□</w:t>
      </w:r>
      <w:r>
        <w:rPr>
          <w:rFonts w:ascii="宋体" w:hAnsi="宋体" w:eastAsia="宋体" w:cs="宋体"/>
          <w:spacing w:val="3"/>
          <w:sz w:val="24"/>
          <w:szCs w:val="24"/>
        </w:rPr>
        <w:t>目前未在其他项目上</w:t>
      </w:r>
      <w:r>
        <w:rPr>
          <w:rFonts w:ascii="宋体" w:hAnsi="宋体" w:eastAsia="宋体" w:cs="宋体"/>
          <w:spacing w:val="2"/>
          <w:sz w:val="24"/>
          <w:szCs w:val="24"/>
        </w:rPr>
        <w:t>任职，</w:t>
      </w:r>
      <w:r>
        <w:rPr>
          <w:rFonts w:ascii="宋体" w:hAnsi="宋体" w:eastAsia="宋体" w:cs="宋体"/>
          <w:spacing w:val="-91"/>
          <w:sz w:val="24"/>
          <w:szCs w:val="24"/>
        </w:rPr>
        <w:t xml:space="preserve"> </w:t>
      </w:r>
      <w:r>
        <w:rPr>
          <w:rFonts w:ascii="宋体" w:hAnsi="宋体" w:eastAsia="宋体" w:cs="宋体"/>
          <w:spacing w:val="2"/>
          <w:sz w:val="20"/>
          <w:szCs w:val="20"/>
        </w:rPr>
        <w:t>□</w:t>
      </w:r>
      <w:r>
        <w:rPr>
          <w:rFonts w:ascii="宋体" w:hAnsi="宋体" w:eastAsia="宋体" w:cs="宋体"/>
          <w:spacing w:val="2"/>
          <w:sz w:val="24"/>
          <w:szCs w:val="24"/>
        </w:rPr>
        <w:t>虽在其他项目上任职但</w:t>
      </w:r>
    </w:p>
    <w:p>
      <w:pPr>
        <w:spacing w:before="1" w:line="216" w:lineRule="auto"/>
        <w:ind w:left="10"/>
        <w:rPr>
          <w:rFonts w:ascii="宋体" w:hAnsi="宋体" w:eastAsia="宋体" w:cs="宋体"/>
          <w:sz w:val="24"/>
          <w:szCs w:val="24"/>
        </w:rPr>
      </w:pPr>
      <w:r>
        <w:rPr>
          <w:rFonts w:ascii="宋体" w:hAnsi="宋体" w:eastAsia="宋体" w:cs="宋体"/>
          <w:sz w:val="24"/>
          <w:szCs w:val="24"/>
        </w:rPr>
        <w:t>本项目中标后能够从该项目撤离）,否则自愿按照招</w:t>
      </w:r>
      <w:r>
        <w:rPr>
          <w:rFonts w:ascii="宋体" w:hAnsi="宋体" w:eastAsia="宋体" w:cs="宋体"/>
          <w:spacing w:val="-1"/>
          <w:sz w:val="24"/>
          <w:szCs w:val="24"/>
        </w:rPr>
        <w:t>标人的有关规定接受处理。</w:t>
      </w:r>
    </w:p>
    <w:p>
      <w:pPr>
        <w:spacing w:before="184" w:line="219" w:lineRule="auto"/>
        <w:ind w:left="495"/>
        <w:rPr>
          <w:rFonts w:ascii="宋体" w:hAnsi="宋体" w:eastAsia="宋体" w:cs="宋体"/>
          <w:sz w:val="24"/>
          <w:szCs w:val="24"/>
        </w:rPr>
      </w:pPr>
      <w:r>
        <w:rPr>
          <w:rFonts w:ascii="宋体" w:hAnsi="宋体" w:eastAsia="宋体" w:cs="宋体"/>
          <w:spacing w:val="-1"/>
          <w:sz w:val="24"/>
          <w:szCs w:val="24"/>
        </w:rPr>
        <w:t>7.我方在此承诺：权利义务满足招标文件规定。</w:t>
      </w:r>
    </w:p>
    <w:p>
      <w:pPr>
        <w:spacing w:before="183" w:line="466" w:lineRule="exact"/>
        <w:ind w:left="490"/>
        <w:rPr>
          <w:rFonts w:ascii="宋体" w:hAnsi="宋体" w:eastAsia="宋体" w:cs="宋体"/>
          <w:sz w:val="24"/>
          <w:szCs w:val="24"/>
        </w:rPr>
      </w:pPr>
      <w:r>
        <w:rPr>
          <w:rFonts w:ascii="宋体" w:hAnsi="宋体" w:eastAsia="宋体" w:cs="宋体"/>
          <w:spacing w:val="-2"/>
          <w:position w:val="17"/>
          <w:sz w:val="24"/>
          <w:szCs w:val="24"/>
        </w:rPr>
        <w:t>8.在合同协议书正式签署生效之前，本投标函连同你方的中标通知书将构成我们双</w:t>
      </w:r>
    </w:p>
    <w:p>
      <w:pPr>
        <w:spacing w:line="219" w:lineRule="auto"/>
        <w:ind w:left="10"/>
        <w:rPr>
          <w:rFonts w:ascii="Arial"/>
          <w:sz w:val="21"/>
        </w:rPr>
      </w:pPr>
      <w:r>
        <w:rPr>
          <w:rFonts w:ascii="宋体" w:hAnsi="宋体" w:eastAsia="宋体" w:cs="宋体"/>
          <w:spacing w:val="-1"/>
          <w:sz w:val="24"/>
          <w:szCs w:val="24"/>
        </w:rPr>
        <w:t>方之间共同遵守的文件，对双方具有约束力。</w:t>
      </w:r>
    </w:p>
    <w:p>
      <w:pPr>
        <w:spacing w:before="78" w:line="219" w:lineRule="auto"/>
        <w:ind w:left="489"/>
        <w:rPr>
          <w:rFonts w:ascii="宋体" w:hAnsi="宋体" w:eastAsia="宋体" w:cs="宋体"/>
          <w:sz w:val="24"/>
          <w:szCs w:val="24"/>
        </w:rPr>
      </w:pPr>
      <w:r>
        <w:rPr>
          <w:rFonts w:ascii="宋体" w:hAnsi="宋体" w:eastAsia="宋体" w:cs="宋体"/>
          <w:sz w:val="24"/>
          <w:szCs w:val="24"/>
        </w:rPr>
        <w:t>9.</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（其他补充说明）。</w:t>
      </w:r>
    </w:p>
    <w:p>
      <w:pPr>
        <w:spacing w:before="142" w:line="364" w:lineRule="auto"/>
        <w:ind w:left="3126" w:right="599" w:hanging="24"/>
        <w:rPr>
          <w:rFonts w:ascii="宋体" w:hAnsi="宋体" w:eastAsia="宋体" w:cs="宋体"/>
          <w:sz w:val="24"/>
          <w:szCs w:val="24"/>
        </w:rPr>
      </w:pPr>
      <w:r>
        <w:rPr>
          <w:rFonts w:ascii="宋体" w:hAnsi="宋体" w:eastAsia="宋体" w:cs="宋体"/>
          <w:sz w:val="24"/>
          <w:szCs w:val="24"/>
        </w:rPr>
        <w:t>投 标</w:t>
      </w:r>
      <w:r>
        <w:rPr>
          <w:rFonts w:ascii="宋体" w:hAnsi="宋体" w:eastAsia="宋体" w:cs="宋体"/>
          <w:spacing w:val="11"/>
          <w:sz w:val="24"/>
          <w:szCs w:val="24"/>
        </w:rPr>
        <w:t xml:space="preserve"> </w:t>
      </w:r>
      <w:r>
        <w:rPr>
          <w:rFonts w:ascii="宋体" w:hAnsi="宋体" w:eastAsia="宋体" w:cs="宋体"/>
          <w:sz w:val="24"/>
          <w:szCs w:val="24"/>
        </w:rPr>
        <w:t>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position w:val="11"/>
          <w:sz w:val="12"/>
          <w:szCs w:val="12"/>
        </w:rPr>
        <w:t xml:space="preserve">   </w:t>
      </w:r>
      <w:r>
        <w:rPr>
          <w:rFonts w:ascii="宋体" w:hAnsi="宋体" w:eastAsia="宋体" w:cs="宋体"/>
          <w:sz w:val="24"/>
          <w:szCs w:val="24"/>
        </w:rPr>
        <w:t>法定代表人或其委托代理人</w:t>
      </w:r>
      <w:r>
        <w:rPr>
          <w:rFonts w:ascii="宋体" w:hAnsi="宋体" w:eastAsia="宋体" w:cs="宋体"/>
          <w:spacing w:val="-13"/>
          <w:sz w:val="24"/>
          <w:szCs w:val="24"/>
        </w:rPr>
        <w:t>：</w:t>
      </w:r>
      <w:r>
        <w:rPr>
          <w:rFonts w:ascii="宋体" w:hAnsi="宋体" w:eastAsia="宋体" w:cs="宋体"/>
          <w:sz w:val="24"/>
          <w:szCs w:val="24"/>
          <w:u w:val="single" w:color="auto"/>
        </w:rPr>
        <w:t xml:space="preserve">             </w:t>
      </w:r>
      <w:r>
        <w:rPr>
          <w:rFonts w:ascii="宋体" w:hAnsi="宋体" w:eastAsia="宋体" w:cs="宋体"/>
          <w:spacing w:val="-13"/>
          <w:sz w:val="24"/>
          <w:szCs w:val="24"/>
        </w:rPr>
        <w:t>（</w:t>
      </w:r>
      <w:r>
        <w:rPr>
          <w:rFonts w:ascii="宋体" w:hAnsi="宋体" w:eastAsia="宋体" w:cs="宋体"/>
          <w:sz w:val="24"/>
          <w:szCs w:val="24"/>
        </w:rPr>
        <w:t>签字）</w:t>
      </w:r>
      <w:r>
        <w:rPr>
          <w:rFonts w:ascii="宋体" w:hAnsi="宋体" w:eastAsia="宋体" w:cs="宋体"/>
          <w:spacing w:val="1"/>
          <w:sz w:val="24"/>
          <w:szCs w:val="24"/>
        </w:rPr>
        <w:t xml:space="preserve"> </w:t>
      </w:r>
      <w:r>
        <w:rPr>
          <w:rFonts w:ascii="宋体" w:hAnsi="宋体" w:eastAsia="宋体" w:cs="宋体"/>
          <w:spacing w:val="-3"/>
          <w:sz w:val="24"/>
          <w:szCs w:val="24"/>
        </w:rPr>
        <w:t>地址：</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3"/>
          <w:sz w:val="24"/>
          <w:szCs w:val="24"/>
        </w:rPr>
        <w:t>网址：</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3"/>
          <w:sz w:val="24"/>
          <w:szCs w:val="24"/>
        </w:rPr>
        <w:t>电话：</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3"/>
          <w:sz w:val="24"/>
          <w:szCs w:val="24"/>
        </w:rPr>
        <w:t>传真：</w:t>
      </w:r>
      <w:r>
        <w:rPr>
          <w:rFonts w:ascii="宋体" w:hAnsi="宋体" w:eastAsia="宋体" w:cs="宋体"/>
          <w:sz w:val="24"/>
          <w:szCs w:val="24"/>
          <w:u w:val="single" w:color="auto"/>
        </w:rPr>
        <w:t xml:space="preserve">                                        </w:t>
      </w:r>
    </w:p>
    <w:p>
      <w:pPr>
        <w:spacing w:line="219" w:lineRule="auto"/>
        <w:ind w:left="3146"/>
        <w:rPr>
          <w:rFonts w:ascii="宋体" w:hAnsi="宋体" w:eastAsia="宋体" w:cs="宋体"/>
          <w:sz w:val="24"/>
          <w:szCs w:val="24"/>
        </w:rPr>
      </w:pPr>
      <w:r>
        <w:rPr>
          <w:rFonts w:ascii="宋体" w:hAnsi="宋体" w:eastAsia="宋体" w:cs="宋体"/>
          <w:spacing w:val="-3"/>
          <w:sz w:val="24"/>
          <w:szCs w:val="24"/>
        </w:rPr>
        <w:t>邮政编码：</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pPr>
        <w:tabs>
          <w:tab w:val="left" w:pos="6717"/>
        </w:tabs>
        <w:spacing w:before="183" w:line="219" w:lineRule="auto"/>
        <w:ind w:left="5998"/>
        <w:outlineLvl w:val="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451" w:lineRule="auto"/>
        <w:rPr>
          <w:rFonts w:ascii="Arial"/>
          <w:sz w:val="21"/>
        </w:rPr>
      </w:pPr>
    </w:p>
    <w:p>
      <w:pPr>
        <w:pStyle w:val="12"/>
        <w:rPr>
          <w:rFonts w:ascii="Arial"/>
          <w:sz w:val="21"/>
        </w:rPr>
      </w:pPr>
    </w:p>
    <w:p>
      <w:pPr>
        <w:pStyle w:val="11"/>
        <w:rPr>
          <w:rFonts w:ascii="Arial"/>
          <w:sz w:val="21"/>
        </w:rPr>
      </w:pPr>
    </w:p>
    <w:p>
      <w:pPr>
        <w:pStyle w:val="8"/>
      </w:pPr>
    </w:p>
    <w:p/>
    <w:p>
      <w:pPr>
        <w:pStyle w:val="2"/>
      </w:pPr>
    </w:p>
    <w:p>
      <w:pPr>
        <w:pStyle w:val="2"/>
      </w:pPr>
    </w:p>
    <w:p>
      <w:pPr>
        <w:pStyle w:val="2"/>
      </w:pPr>
    </w:p>
    <w:p>
      <w:pPr>
        <w:pStyle w:val="2"/>
      </w:pPr>
    </w:p>
    <w:p>
      <w:pPr>
        <w:pStyle w:val="4"/>
        <w:spacing w:before="114" w:line="227" w:lineRule="auto"/>
        <w:ind w:left="2792"/>
        <w:rPr>
          <w:rFonts w:ascii="宋体" w:hAnsi="宋体" w:eastAsia="宋体" w:cs="宋体"/>
          <w:sz w:val="10"/>
          <w:szCs w:val="10"/>
        </w:rPr>
      </w:pPr>
      <w:r>
        <w:rPr>
          <w:spacing w:val="5"/>
          <w:sz w:val="35"/>
          <w:szCs w:val="35"/>
          <w14:textOutline w14:w="6537" w14:cap="sq" w14:cmpd="sng">
            <w14:solidFill>
              <w14:srgbClr w14:val="000000"/>
            </w14:solidFill>
            <w14:prstDash w14:val="solid"/>
            <w14:bevel/>
          </w14:textOutline>
        </w:rPr>
        <w:t>（二</w:t>
      </w:r>
      <w:r>
        <w:rPr>
          <w:spacing w:val="-48"/>
          <w:sz w:val="35"/>
          <w:szCs w:val="35"/>
        </w:rPr>
        <w:t xml:space="preserve"> </w:t>
      </w:r>
      <w:r>
        <w:rPr>
          <w:spacing w:val="5"/>
          <w:sz w:val="35"/>
          <w:szCs w:val="35"/>
          <w14:textOutline w14:w="6537" w14:cap="sq" w14:cmpd="sng">
            <w14:solidFill>
              <w14:srgbClr w14:val="000000"/>
            </w14:solidFill>
            <w14:prstDash w14:val="solid"/>
            <w14:bevel/>
          </w14:textOutline>
        </w:rPr>
        <w:t>）</w:t>
      </w:r>
      <w:r>
        <w:rPr>
          <w:spacing w:val="-76"/>
          <w:sz w:val="35"/>
          <w:szCs w:val="35"/>
        </w:rPr>
        <w:t xml:space="preserve"> </w:t>
      </w:r>
      <w:r>
        <w:rPr>
          <w:spacing w:val="5"/>
          <w:sz w:val="35"/>
          <w:szCs w:val="35"/>
          <w14:textOutline w14:w="6537" w14:cap="sq" w14:cmpd="sng">
            <w14:solidFill>
              <w14:srgbClr w14:val="000000"/>
            </w14:solidFill>
            <w14:prstDash w14:val="solid"/>
            <w14:bevel/>
          </w14:textOutline>
        </w:rPr>
        <w:t>投</w:t>
      </w:r>
      <w:r>
        <w:rPr>
          <w:spacing w:val="-86"/>
          <w:sz w:val="35"/>
          <w:szCs w:val="35"/>
        </w:rPr>
        <w:t xml:space="preserve"> </w:t>
      </w:r>
      <w:r>
        <w:rPr>
          <w:spacing w:val="5"/>
          <w:sz w:val="35"/>
          <w:szCs w:val="35"/>
          <w14:textOutline w14:w="6537" w14:cap="sq" w14:cmpd="sng">
            <w14:solidFill>
              <w14:srgbClr w14:val="000000"/>
            </w14:solidFill>
            <w14:prstDash w14:val="solid"/>
            <w14:bevel/>
          </w14:textOutline>
        </w:rPr>
        <w:t>标</w:t>
      </w:r>
      <w:r>
        <w:rPr>
          <w:spacing w:val="-54"/>
          <w:sz w:val="35"/>
          <w:szCs w:val="35"/>
        </w:rPr>
        <w:t xml:space="preserve"> </w:t>
      </w:r>
      <w:r>
        <w:rPr>
          <w:spacing w:val="5"/>
          <w:sz w:val="35"/>
          <w:szCs w:val="35"/>
          <w14:textOutline w14:w="6537" w14:cap="sq" w14:cmpd="sng">
            <w14:solidFill>
              <w14:srgbClr w14:val="000000"/>
            </w14:solidFill>
            <w14:prstDash w14:val="solid"/>
            <w14:bevel/>
          </w14:textOutline>
        </w:rPr>
        <w:t>函</w:t>
      </w:r>
      <w:r>
        <w:rPr>
          <w:spacing w:val="-60"/>
          <w:sz w:val="35"/>
          <w:szCs w:val="35"/>
        </w:rPr>
        <w:t xml:space="preserve"> </w:t>
      </w:r>
      <w:r>
        <w:rPr>
          <w:spacing w:val="5"/>
          <w:sz w:val="35"/>
          <w:szCs w:val="35"/>
          <w14:textOutline w14:w="6537" w14:cap="sq" w14:cmpd="sng">
            <w14:solidFill>
              <w14:srgbClr w14:val="000000"/>
            </w14:solidFill>
            <w14:prstDash w14:val="solid"/>
            <w14:bevel/>
          </w14:textOutline>
        </w:rPr>
        <w:t>附</w:t>
      </w:r>
      <w:r>
        <w:rPr>
          <w:spacing w:val="-79"/>
          <w:sz w:val="35"/>
          <w:szCs w:val="35"/>
        </w:rPr>
        <w:t xml:space="preserve"> </w:t>
      </w:r>
      <w:r>
        <w:rPr>
          <w:spacing w:val="5"/>
          <w:sz w:val="35"/>
          <w:szCs w:val="35"/>
          <w14:textOutline w14:w="6537" w14:cap="sq" w14:cmpd="sng">
            <w14:solidFill>
              <w14:srgbClr w14:val="000000"/>
            </w14:solidFill>
            <w14:prstDash w14:val="solid"/>
            <w14:bevel/>
          </w14:textOutline>
        </w:rPr>
        <w:t>录</w:t>
      </w:r>
    </w:p>
    <w:p>
      <w:pPr>
        <w:spacing w:line="191" w:lineRule="exact"/>
      </w:pPr>
    </w:p>
    <w:tbl>
      <w:tblPr>
        <w:tblStyle w:val="16"/>
        <w:tblW w:w="9661" w:type="dxa"/>
        <w:tblInd w:w="-2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2687"/>
        <w:gridCol w:w="1285"/>
        <w:gridCol w:w="4230"/>
        <w:gridCol w:w="8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646" w:type="dxa"/>
            <w:tcBorders>
              <w:top w:val="single" w:color="000000" w:sz="10" w:space="0"/>
              <w:left w:val="single" w:color="000000" w:sz="10" w:space="0"/>
            </w:tcBorders>
            <w:vAlign w:val="top"/>
          </w:tcPr>
          <w:p>
            <w:pPr>
              <w:pStyle w:val="17"/>
              <w:spacing w:before="189" w:line="210" w:lineRule="auto"/>
              <w:ind w:left="188"/>
              <w:jc w:val="both"/>
              <w:rPr>
                <w:rFonts w:hint="eastAsia" w:eastAsia="宋体"/>
                <w:lang w:val="en-US" w:eastAsia="zh-CN"/>
              </w:rPr>
            </w:pPr>
            <w:r>
              <w:rPr>
                <w:rFonts w:hint="eastAsia" w:ascii="宋体" w:hAnsi="宋体" w:eastAsia="宋体" w:cs="宋体"/>
                <w:spacing w:val="-3"/>
                <w:lang w:val="en-US" w:eastAsia="zh-CN"/>
              </w:rPr>
              <w:t>序号</w:t>
            </w:r>
          </w:p>
        </w:tc>
        <w:tc>
          <w:tcPr>
            <w:tcW w:w="2687" w:type="dxa"/>
            <w:tcBorders>
              <w:top w:val="single" w:color="000000" w:sz="10" w:space="0"/>
            </w:tcBorders>
            <w:vAlign w:val="top"/>
          </w:tcPr>
          <w:p>
            <w:pPr>
              <w:spacing w:line="265" w:lineRule="auto"/>
              <w:rPr>
                <w:rFonts w:ascii="Arial"/>
                <w:sz w:val="21"/>
              </w:rPr>
            </w:pPr>
          </w:p>
          <w:p>
            <w:pPr>
              <w:pStyle w:val="17"/>
              <w:spacing w:before="78" w:line="219" w:lineRule="auto"/>
              <w:ind w:left="740"/>
            </w:pPr>
            <w:r>
              <w:rPr>
                <w:spacing w:val="-3"/>
              </w:rPr>
              <w:t>条款名称</w:t>
            </w:r>
          </w:p>
        </w:tc>
        <w:tc>
          <w:tcPr>
            <w:tcW w:w="1285" w:type="dxa"/>
            <w:tcBorders>
              <w:top w:val="single" w:color="000000" w:sz="10" w:space="0"/>
            </w:tcBorders>
            <w:vAlign w:val="top"/>
          </w:tcPr>
          <w:p>
            <w:pPr>
              <w:pStyle w:val="17"/>
              <w:spacing w:before="188"/>
            </w:pPr>
            <w:r>
              <w:rPr>
                <w:spacing w:val="-6"/>
              </w:rPr>
              <w:t>合同</w:t>
            </w:r>
            <w:r>
              <w:rPr>
                <w:spacing w:val="-4"/>
              </w:rPr>
              <w:t>条目号</w:t>
            </w:r>
          </w:p>
        </w:tc>
        <w:tc>
          <w:tcPr>
            <w:tcW w:w="4230" w:type="dxa"/>
            <w:tcBorders>
              <w:top w:val="single" w:color="000000" w:sz="10" w:space="0"/>
            </w:tcBorders>
            <w:vAlign w:val="top"/>
          </w:tcPr>
          <w:p>
            <w:pPr>
              <w:pStyle w:val="17"/>
              <w:spacing w:before="78" w:line="219" w:lineRule="auto"/>
              <w:ind w:left="1383"/>
            </w:pPr>
            <w:r>
              <w:rPr>
                <w:spacing w:val="-4"/>
              </w:rPr>
              <w:t>约定内容</w:t>
            </w:r>
          </w:p>
        </w:tc>
        <w:tc>
          <w:tcPr>
            <w:tcW w:w="813" w:type="dxa"/>
            <w:tcBorders>
              <w:top w:val="single" w:color="000000" w:sz="10" w:space="0"/>
              <w:right w:val="single" w:color="000000" w:sz="10" w:space="0"/>
            </w:tcBorders>
            <w:vAlign w:val="top"/>
          </w:tcPr>
          <w:p>
            <w:pPr>
              <w:pStyle w:val="17"/>
              <w:spacing w:before="78" w:line="221" w:lineRule="auto"/>
              <w:ind w:left="301"/>
            </w:pPr>
            <w:r>
              <w:rPr>
                <w:spacing w:val="-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646" w:type="dxa"/>
            <w:tcBorders>
              <w:left w:val="single" w:color="000000" w:sz="10" w:space="0"/>
            </w:tcBorders>
            <w:vAlign w:val="top"/>
          </w:tcPr>
          <w:p>
            <w:pPr>
              <w:pStyle w:val="17"/>
              <w:spacing w:before="278" w:line="184" w:lineRule="auto"/>
              <w:ind w:left="257"/>
            </w:pPr>
            <w:r>
              <w:t>1</w:t>
            </w:r>
          </w:p>
        </w:tc>
        <w:tc>
          <w:tcPr>
            <w:tcW w:w="2687" w:type="dxa"/>
            <w:vAlign w:val="top"/>
          </w:tcPr>
          <w:p>
            <w:pPr>
              <w:pStyle w:val="17"/>
              <w:spacing w:before="242" w:line="216" w:lineRule="auto"/>
              <w:ind w:left="618"/>
            </w:pPr>
            <w:r>
              <w:rPr>
                <w:spacing w:val="-2"/>
              </w:rPr>
              <w:t>缺陷责任期</w:t>
            </w:r>
          </w:p>
        </w:tc>
        <w:tc>
          <w:tcPr>
            <w:tcW w:w="1285" w:type="dxa"/>
            <w:vAlign w:val="top"/>
          </w:tcPr>
          <w:p>
            <w:pPr>
              <w:pStyle w:val="17"/>
              <w:spacing w:before="278" w:line="184" w:lineRule="auto"/>
              <w:ind w:left="241"/>
            </w:pPr>
            <w:r>
              <w:fldChar w:fldCharType="begin"/>
            </w:r>
            <w:r>
              <w:instrText xml:space="preserve"> HYPERLINK "1.1.4.5" </w:instrText>
            </w:r>
            <w:r>
              <w:fldChar w:fldCharType="separate"/>
            </w:r>
            <w:r>
              <w:rPr>
                <w:spacing w:val="-4"/>
              </w:rPr>
              <w:t>1.1.4.5</w:t>
            </w:r>
            <w:r>
              <w:rPr>
                <w:spacing w:val="-4"/>
              </w:rPr>
              <w:fldChar w:fldCharType="end"/>
            </w:r>
          </w:p>
        </w:tc>
        <w:tc>
          <w:tcPr>
            <w:tcW w:w="4230" w:type="dxa"/>
            <w:vAlign w:val="top"/>
          </w:tcPr>
          <w:p>
            <w:pPr>
              <w:pStyle w:val="17"/>
              <w:spacing w:before="241" w:line="216" w:lineRule="auto"/>
              <w:ind w:left="151"/>
            </w:pPr>
            <w:r>
              <w:rPr>
                <w:spacing w:val="-4"/>
              </w:rPr>
              <w:t>自实际交工日期起计算</w:t>
            </w:r>
            <w:r>
              <w:rPr>
                <w:rFonts w:hint="eastAsia"/>
                <w:spacing w:val="-4"/>
                <w:u w:val="single" w:color="auto"/>
                <w:lang w:val="en-US" w:eastAsia="zh-CN"/>
              </w:rPr>
              <w:t>2</w:t>
            </w:r>
            <w:r>
              <w:rPr>
                <w:spacing w:val="-100"/>
              </w:rPr>
              <w:t xml:space="preserve"> </w:t>
            </w:r>
            <w:r>
              <w:rPr>
                <w:spacing w:val="-4"/>
              </w:rPr>
              <w:t>年</w:t>
            </w:r>
          </w:p>
        </w:tc>
        <w:tc>
          <w:tcPr>
            <w:tcW w:w="81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 w:hRule="atLeast"/>
        </w:trPr>
        <w:tc>
          <w:tcPr>
            <w:tcW w:w="646" w:type="dxa"/>
            <w:tcBorders>
              <w:left w:val="single" w:color="000000" w:sz="10" w:space="0"/>
            </w:tcBorders>
            <w:vAlign w:val="top"/>
          </w:tcPr>
          <w:p>
            <w:pPr>
              <w:pStyle w:val="17"/>
              <w:spacing w:before="281" w:line="183" w:lineRule="auto"/>
              <w:ind w:left="242"/>
            </w:pPr>
            <w:r>
              <w:t>2</w:t>
            </w:r>
          </w:p>
        </w:tc>
        <w:tc>
          <w:tcPr>
            <w:tcW w:w="2687" w:type="dxa"/>
            <w:vAlign w:val="top"/>
          </w:tcPr>
          <w:p>
            <w:pPr>
              <w:pStyle w:val="17"/>
              <w:spacing w:before="243" w:line="220" w:lineRule="auto"/>
              <w:ind w:left="376"/>
            </w:pPr>
            <w:r>
              <w:rPr>
                <w:spacing w:val="-2"/>
              </w:rPr>
              <w:t>逾期交工违约金</w:t>
            </w:r>
          </w:p>
        </w:tc>
        <w:tc>
          <w:tcPr>
            <w:tcW w:w="1285" w:type="dxa"/>
            <w:vAlign w:val="top"/>
          </w:tcPr>
          <w:p>
            <w:pPr>
              <w:pStyle w:val="17"/>
              <w:spacing w:before="243" w:line="232" w:lineRule="auto"/>
              <w:ind w:left="126"/>
            </w:pPr>
            <w:r>
              <w:rPr>
                <w:spacing w:val="-4"/>
              </w:rPr>
              <w:t>11.5（3）</w:t>
            </w:r>
          </w:p>
        </w:tc>
        <w:tc>
          <w:tcPr>
            <w:tcW w:w="4230" w:type="dxa"/>
            <w:vAlign w:val="top"/>
          </w:tcPr>
          <w:p>
            <w:pPr>
              <w:pStyle w:val="17"/>
              <w:tabs>
                <w:tab w:val="left" w:pos="701"/>
              </w:tabs>
              <w:spacing w:before="243" w:line="220" w:lineRule="auto"/>
              <w:ind w:left="102"/>
            </w:pPr>
            <w:r>
              <w:rPr>
                <w:rFonts w:hint="eastAsia"/>
                <w:u w:val="single" w:color="auto"/>
                <w:lang w:val="en-US" w:eastAsia="zh-CN"/>
              </w:rPr>
              <w:t>5000.00</w:t>
            </w:r>
            <w:r>
              <w:rPr>
                <w:spacing w:val="-108"/>
              </w:rPr>
              <w:t xml:space="preserve"> </w:t>
            </w:r>
            <w:r>
              <w:rPr>
                <w:spacing w:val="-4"/>
              </w:rPr>
              <w:t>元/天</w:t>
            </w:r>
          </w:p>
        </w:tc>
        <w:tc>
          <w:tcPr>
            <w:tcW w:w="81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646" w:type="dxa"/>
            <w:tcBorders>
              <w:left w:val="single" w:color="000000" w:sz="10" w:space="0"/>
            </w:tcBorders>
            <w:vAlign w:val="top"/>
          </w:tcPr>
          <w:p>
            <w:pPr>
              <w:pStyle w:val="17"/>
              <w:spacing w:before="282" w:line="183" w:lineRule="auto"/>
              <w:ind w:left="244"/>
            </w:pPr>
            <w:r>
              <w:t>3</w:t>
            </w:r>
          </w:p>
        </w:tc>
        <w:tc>
          <w:tcPr>
            <w:tcW w:w="2687" w:type="dxa"/>
            <w:vAlign w:val="top"/>
          </w:tcPr>
          <w:p>
            <w:pPr>
              <w:pStyle w:val="17"/>
              <w:spacing w:before="244" w:line="218" w:lineRule="auto"/>
              <w:ind w:left="136"/>
            </w:pPr>
            <w:r>
              <w:rPr>
                <w:spacing w:val="-1"/>
              </w:rPr>
              <w:t>逾期交工违约金限额</w:t>
            </w:r>
          </w:p>
        </w:tc>
        <w:tc>
          <w:tcPr>
            <w:tcW w:w="1285" w:type="dxa"/>
            <w:vAlign w:val="top"/>
          </w:tcPr>
          <w:p>
            <w:pPr>
              <w:pStyle w:val="17"/>
              <w:spacing w:before="244" w:line="232" w:lineRule="auto"/>
              <w:ind w:left="126"/>
            </w:pPr>
            <w:r>
              <w:rPr>
                <w:spacing w:val="-4"/>
              </w:rPr>
              <w:t>11.5（3）</w:t>
            </w:r>
          </w:p>
        </w:tc>
        <w:tc>
          <w:tcPr>
            <w:tcW w:w="4230" w:type="dxa"/>
            <w:vAlign w:val="top"/>
          </w:tcPr>
          <w:p>
            <w:pPr>
              <w:pStyle w:val="17"/>
              <w:tabs>
                <w:tab w:val="left" w:pos="462"/>
              </w:tabs>
              <w:spacing w:before="244" w:line="218" w:lineRule="auto"/>
              <w:ind w:left="102"/>
            </w:pPr>
            <w:r>
              <w:rPr>
                <w:rFonts w:hint="eastAsia"/>
                <w:u w:val="single" w:color="auto"/>
                <w:lang w:val="en-US" w:eastAsia="zh-CN"/>
              </w:rPr>
              <w:t>10</w:t>
            </w:r>
            <w:r>
              <w:rPr>
                <w:spacing w:val="-114"/>
              </w:rPr>
              <w:t xml:space="preserve"> </w:t>
            </w:r>
            <w:r>
              <w:rPr>
                <w:spacing w:val="-1"/>
              </w:rPr>
              <w:t>%签约合同价</w:t>
            </w:r>
          </w:p>
        </w:tc>
        <w:tc>
          <w:tcPr>
            <w:tcW w:w="81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646" w:type="dxa"/>
            <w:tcBorders>
              <w:left w:val="single" w:color="000000" w:sz="10" w:space="0"/>
            </w:tcBorders>
            <w:vAlign w:val="top"/>
          </w:tcPr>
          <w:p>
            <w:pPr>
              <w:pStyle w:val="17"/>
              <w:spacing w:before="284" w:line="183" w:lineRule="auto"/>
              <w:ind w:left="238"/>
            </w:pPr>
            <w:r>
              <w:t>4</w:t>
            </w:r>
          </w:p>
        </w:tc>
        <w:tc>
          <w:tcPr>
            <w:tcW w:w="2687" w:type="dxa"/>
            <w:vAlign w:val="top"/>
          </w:tcPr>
          <w:p>
            <w:pPr>
              <w:pStyle w:val="17"/>
              <w:spacing w:before="247" w:line="220" w:lineRule="auto"/>
              <w:ind w:left="379"/>
            </w:pPr>
            <w:r>
              <w:rPr>
                <w:spacing w:val="-2"/>
              </w:rPr>
              <w:t>提前交工的奖金</w:t>
            </w:r>
          </w:p>
        </w:tc>
        <w:tc>
          <w:tcPr>
            <w:tcW w:w="1285" w:type="dxa"/>
            <w:vAlign w:val="top"/>
          </w:tcPr>
          <w:p>
            <w:pPr>
              <w:pStyle w:val="17"/>
              <w:spacing w:before="283" w:line="184" w:lineRule="auto"/>
              <w:ind w:left="421"/>
            </w:pPr>
            <w:r>
              <w:rPr>
                <w:spacing w:val="-7"/>
              </w:rPr>
              <w:t>11.6</w:t>
            </w:r>
          </w:p>
        </w:tc>
        <w:tc>
          <w:tcPr>
            <w:tcW w:w="4230" w:type="dxa"/>
            <w:vAlign w:val="top"/>
          </w:tcPr>
          <w:p>
            <w:pPr>
              <w:pStyle w:val="17"/>
              <w:tabs>
                <w:tab w:val="left" w:pos="582"/>
              </w:tabs>
              <w:spacing w:before="247" w:line="220" w:lineRule="auto"/>
              <w:ind w:left="102"/>
            </w:pPr>
            <w:r>
              <w:rPr>
                <w:rFonts w:hint="eastAsia" w:ascii="宋体" w:hAnsi="宋体" w:cs="隶书"/>
                <w:spacing w:val="-1"/>
                <w:sz w:val="24"/>
                <w:szCs w:val="24"/>
                <w:lang w:eastAsia="zh-CN"/>
              </w:rPr>
              <w:t>无</w:t>
            </w:r>
          </w:p>
        </w:tc>
        <w:tc>
          <w:tcPr>
            <w:tcW w:w="81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646" w:type="dxa"/>
            <w:tcBorders>
              <w:left w:val="single" w:color="000000" w:sz="10" w:space="0"/>
            </w:tcBorders>
            <w:vAlign w:val="top"/>
          </w:tcPr>
          <w:p>
            <w:pPr>
              <w:pStyle w:val="17"/>
              <w:spacing w:before="288" w:line="182" w:lineRule="auto"/>
              <w:ind w:left="244"/>
            </w:pPr>
            <w:r>
              <w:t>5</w:t>
            </w:r>
          </w:p>
        </w:tc>
        <w:tc>
          <w:tcPr>
            <w:tcW w:w="2687" w:type="dxa"/>
            <w:vAlign w:val="top"/>
          </w:tcPr>
          <w:p>
            <w:pPr>
              <w:pStyle w:val="17"/>
              <w:spacing w:before="249" w:line="218" w:lineRule="auto"/>
              <w:ind w:left="139"/>
            </w:pPr>
            <w:r>
              <w:rPr>
                <w:spacing w:val="-2"/>
              </w:rPr>
              <w:t>提前交工的奖金限额</w:t>
            </w:r>
          </w:p>
        </w:tc>
        <w:tc>
          <w:tcPr>
            <w:tcW w:w="1285" w:type="dxa"/>
            <w:vAlign w:val="top"/>
          </w:tcPr>
          <w:p>
            <w:pPr>
              <w:pStyle w:val="17"/>
              <w:spacing w:before="285" w:line="184" w:lineRule="auto"/>
              <w:ind w:left="421"/>
            </w:pPr>
            <w:r>
              <w:rPr>
                <w:spacing w:val="-7"/>
              </w:rPr>
              <w:t>11.6</w:t>
            </w:r>
          </w:p>
        </w:tc>
        <w:tc>
          <w:tcPr>
            <w:tcW w:w="4230" w:type="dxa"/>
            <w:vAlign w:val="top"/>
          </w:tcPr>
          <w:p>
            <w:pPr>
              <w:pStyle w:val="17"/>
              <w:tabs>
                <w:tab w:val="left" w:pos="701"/>
              </w:tabs>
              <w:spacing w:before="249" w:line="218" w:lineRule="auto"/>
              <w:ind w:left="102"/>
            </w:pPr>
            <w:r>
              <w:rPr>
                <w:rFonts w:hint="eastAsia" w:ascii="宋体" w:hAnsi="宋体" w:cs="隶书"/>
                <w:spacing w:val="-1"/>
                <w:sz w:val="24"/>
                <w:szCs w:val="24"/>
                <w:lang w:eastAsia="zh-CN"/>
              </w:rPr>
              <w:t>无</w:t>
            </w:r>
          </w:p>
        </w:tc>
        <w:tc>
          <w:tcPr>
            <w:tcW w:w="81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646" w:type="dxa"/>
            <w:tcBorders>
              <w:left w:val="single" w:color="000000" w:sz="10" w:space="0"/>
            </w:tcBorders>
            <w:vAlign w:val="top"/>
          </w:tcPr>
          <w:p>
            <w:pPr>
              <w:spacing w:line="336" w:lineRule="auto"/>
              <w:rPr>
                <w:rFonts w:ascii="Arial"/>
                <w:sz w:val="21"/>
              </w:rPr>
            </w:pPr>
          </w:p>
          <w:p>
            <w:pPr>
              <w:spacing w:line="336" w:lineRule="auto"/>
              <w:rPr>
                <w:rFonts w:ascii="Arial"/>
                <w:sz w:val="21"/>
              </w:rPr>
            </w:pPr>
          </w:p>
          <w:p>
            <w:pPr>
              <w:pStyle w:val="17"/>
              <w:spacing w:before="78" w:line="183" w:lineRule="auto"/>
              <w:ind w:left="241"/>
            </w:pPr>
            <w:r>
              <w:t>6</w:t>
            </w:r>
          </w:p>
        </w:tc>
        <w:tc>
          <w:tcPr>
            <w:tcW w:w="2687" w:type="dxa"/>
            <w:vAlign w:val="top"/>
          </w:tcPr>
          <w:p>
            <w:pPr>
              <w:spacing w:line="241" w:lineRule="auto"/>
              <w:rPr>
                <w:rFonts w:ascii="Arial"/>
                <w:sz w:val="21"/>
              </w:rPr>
            </w:pPr>
          </w:p>
          <w:p>
            <w:pPr>
              <w:spacing w:line="241" w:lineRule="auto"/>
              <w:rPr>
                <w:rFonts w:ascii="Arial"/>
                <w:sz w:val="21"/>
              </w:rPr>
            </w:pPr>
          </w:p>
          <w:p>
            <w:pPr>
              <w:pStyle w:val="17"/>
              <w:spacing w:before="78" w:line="228" w:lineRule="auto"/>
              <w:ind w:left="738" w:right="265" w:hanging="462"/>
            </w:pPr>
            <w:r>
              <w:rPr>
                <w:spacing w:val="-4"/>
              </w:rPr>
              <w:t>因物价波动引起的</w:t>
            </w:r>
            <w:r>
              <w:rPr>
                <w:spacing w:val="2"/>
              </w:rPr>
              <w:t xml:space="preserve"> </w:t>
            </w:r>
            <w:r>
              <w:rPr>
                <w:spacing w:val="-3"/>
              </w:rPr>
              <w:t>价格调整</w:t>
            </w:r>
          </w:p>
        </w:tc>
        <w:tc>
          <w:tcPr>
            <w:tcW w:w="1285" w:type="dxa"/>
            <w:vAlign w:val="top"/>
          </w:tcPr>
          <w:p>
            <w:pPr>
              <w:spacing w:line="335" w:lineRule="auto"/>
              <w:rPr>
                <w:rFonts w:ascii="Arial"/>
                <w:sz w:val="21"/>
              </w:rPr>
            </w:pPr>
          </w:p>
          <w:p>
            <w:pPr>
              <w:spacing w:line="336" w:lineRule="auto"/>
              <w:rPr>
                <w:rFonts w:ascii="Arial"/>
                <w:sz w:val="21"/>
              </w:rPr>
            </w:pPr>
          </w:p>
          <w:p>
            <w:pPr>
              <w:pStyle w:val="17"/>
              <w:spacing w:before="78" w:line="184" w:lineRule="auto"/>
              <w:ind w:left="421"/>
            </w:pPr>
            <w:r>
              <w:rPr>
                <w:spacing w:val="-7"/>
              </w:rPr>
              <w:t>16.1</w:t>
            </w:r>
          </w:p>
        </w:tc>
        <w:tc>
          <w:tcPr>
            <w:tcW w:w="4230" w:type="dxa"/>
            <w:vAlign w:val="top"/>
          </w:tcPr>
          <w:p>
            <w:pPr>
              <w:pStyle w:val="17"/>
              <w:spacing w:before="78" w:line="218" w:lineRule="auto"/>
              <w:ind w:left="134"/>
            </w:pPr>
            <w:r>
              <w:rPr>
                <w:rFonts w:hint="eastAsia"/>
                <w:spacing w:val="-5"/>
                <w:sz w:val="22"/>
                <w:szCs w:val="22"/>
                <w:lang w:eastAsia="zh-CN"/>
              </w:rPr>
              <w:t>☑</w:t>
            </w:r>
            <w:r>
              <w:rPr>
                <w:spacing w:val="-33"/>
                <w:sz w:val="22"/>
                <w:szCs w:val="22"/>
              </w:rPr>
              <w:t xml:space="preserve"> </w:t>
            </w:r>
            <w:r>
              <w:rPr>
                <w:spacing w:val="-5"/>
              </w:rPr>
              <w:t>因物价波动引起的价格调整按</w:t>
            </w:r>
          </w:p>
          <w:p>
            <w:pPr>
              <w:pStyle w:val="17"/>
              <w:spacing w:before="83" w:line="242" w:lineRule="auto"/>
              <w:ind w:left="119"/>
            </w:pPr>
            <w:r>
              <w:rPr>
                <w:spacing w:val="-3"/>
              </w:rPr>
              <w:t>照</w:t>
            </w:r>
            <w:r>
              <w:rPr>
                <w:rFonts w:hint="eastAsia" w:ascii="宋体" w:hAnsi="宋体" w:cs="隶书"/>
                <w:sz w:val="24"/>
                <w:szCs w:val="24"/>
                <w:u w:val="single" w:color="000000"/>
                <w:lang w:val="en-US" w:eastAsia="zh-CN"/>
              </w:rPr>
              <w:t>专项合同条款16.1</w:t>
            </w:r>
            <w:r>
              <w:rPr>
                <w:spacing w:val="-99"/>
              </w:rPr>
              <w:t xml:space="preserve"> </w:t>
            </w:r>
            <w:r>
              <w:rPr>
                <w:spacing w:val="-3"/>
              </w:rPr>
              <w:t>项约定的原则处理</w:t>
            </w:r>
          </w:p>
          <w:p>
            <w:pPr>
              <w:pStyle w:val="17"/>
              <w:spacing w:before="1" w:line="217" w:lineRule="auto"/>
              <w:ind w:left="136"/>
            </w:pPr>
            <w:r>
              <w:rPr>
                <w:spacing w:val="-5"/>
              </w:rPr>
              <w:t>□合同期内不调价</w:t>
            </w:r>
          </w:p>
        </w:tc>
        <w:tc>
          <w:tcPr>
            <w:tcW w:w="81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6" w:hRule="atLeast"/>
        </w:trPr>
        <w:tc>
          <w:tcPr>
            <w:tcW w:w="646" w:type="dxa"/>
            <w:tcBorders>
              <w:left w:val="single" w:color="000000" w:sz="10" w:space="0"/>
            </w:tcBorders>
            <w:vAlign w:val="top"/>
          </w:tcPr>
          <w:p>
            <w:pPr>
              <w:pStyle w:val="17"/>
              <w:spacing w:before="293" w:line="182" w:lineRule="auto"/>
              <w:ind w:left="245"/>
            </w:pPr>
            <w:r>
              <w:t>7</w:t>
            </w:r>
          </w:p>
        </w:tc>
        <w:tc>
          <w:tcPr>
            <w:tcW w:w="2687" w:type="dxa"/>
            <w:vAlign w:val="top"/>
          </w:tcPr>
          <w:p>
            <w:pPr>
              <w:pStyle w:val="17"/>
              <w:spacing w:before="254" w:line="218" w:lineRule="auto"/>
              <w:ind w:left="379"/>
            </w:pPr>
            <w:r>
              <w:rPr>
                <w:spacing w:val="-2"/>
              </w:rPr>
              <w:t>开工预付款金额</w:t>
            </w:r>
          </w:p>
        </w:tc>
        <w:tc>
          <w:tcPr>
            <w:tcW w:w="1285" w:type="dxa"/>
            <w:vAlign w:val="top"/>
          </w:tcPr>
          <w:p>
            <w:pPr>
              <w:pStyle w:val="17"/>
              <w:spacing w:before="134" w:line="212" w:lineRule="auto"/>
              <w:ind w:left="301"/>
              <w:rPr>
                <w:color w:val="auto"/>
              </w:rPr>
            </w:pPr>
            <w:r>
              <w:rPr>
                <w:color w:val="auto"/>
                <w:spacing w:val="-5"/>
              </w:rPr>
              <w:t>17.2.1</w:t>
            </w:r>
          </w:p>
          <w:p>
            <w:pPr>
              <w:pStyle w:val="17"/>
              <w:spacing w:line="231" w:lineRule="auto"/>
              <w:ind w:left="355"/>
              <w:rPr>
                <w:color w:val="auto"/>
              </w:rPr>
            </w:pPr>
            <w:r>
              <w:rPr>
                <w:color w:val="auto"/>
                <w:spacing w:val="-7"/>
              </w:rPr>
              <w:t>（1）</w:t>
            </w:r>
          </w:p>
        </w:tc>
        <w:tc>
          <w:tcPr>
            <w:tcW w:w="4230" w:type="dxa"/>
            <w:vAlign w:val="top"/>
          </w:tcPr>
          <w:p>
            <w:pPr>
              <w:pStyle w:val="17"/>
              <w:spacing w:before="216" w:line="244" w:lineRule="auto"/>
              <w:rPr>
                <w:rFonts w:hint="eastAsia"/>
                <w:color w:val="auto"/>
                <w:spacing w:val="8"/>
                <w:sz w:val="18"/>
                <w:szCs w:val="18"/>
                <w:highlight w:val="none"/>
                <w:lang w:eastAsia="zh-CN"/>
              </w:rPr>
            </w:pPr>
            <w:r>
              <w:rPr>
                <w:color w:val="auto"/>
                <w:spacing w:val="8"/>
                <w:sz w:val="18"/>
                <w:szCs w:val="18"/>
                <w:highlight w:val="none"/>
              </w:rPr>
              <w:t>开工预付款金额：</w:t>
            </w:r>
            <w:r>
              <w:rPr>
                <w:rFonts w:hint="eastAsia"/>
                <w:color w:val="auto"/>
                <w:spacing w:val="8"/>
                <w:sz w:val="18"/>
                <w:szCs w:val="18"/>
                <w:highlight w:val="none"/>
              </w:rPr>
              <w:t>开工预付款</w:t>
            </w:r>
            <w:r>
              <w:rPr>
                <w:rFonts w:hint="eastAsia"/>
                <w:color w:val="auto"/>
                <w:spacing w:val="8"/>
                <w:sz w:val="18"/>
                <w:szCs w:val="18"/>
                <w:highlight w:val="none"/>
                <w:lang w:val="en-US" w:eastAsia="zh-CN"/>
              </w:rPr>
              <w:t>1</w:t>
            </w:r>
            <w:r>
              <w:rPr>
                <w:rFonts w:hint="eastAsia"/>
                <w:color w:val="auto"/>
                <w:spacing w:val="8"/>
                <w:sz w:val="18"/>
                <w:szCs w:val="18"/>
                <w:highlight w:val="none"/>
              </w:rPr>
              <w:t>0%</w:t>
            </w:r>
            <w:r>
              <w:rPr>
                <w:rFonts w:hint="eastAsia"/>
                <w:color w:val="auto"/>
                <w:spacing w:val="8"/>
                <w:sz w:val="18"/>
                <w:szCs w:val="18"/>
                <w:highlight w:val="none"/>
                <w:lang w:eastAsia="zh-CN"/>
              </w:rPr>
              <w:t>；开工后，建设单位协助施工企业向财政申请支付预付款按合同价的10%付款.施工企业不能以预付款未到位而拒绝组织施工。</w:t>
            </w:r>
          </w:p>
          <w:p>
            <w:pPr>
              <w:pStyle w:val="17"/>
              <w:spacing w:before="216" w:line="244" w:lineRule="auto"/>
              <w:ind w:left="59"/>
              <w:rPr>
                <w:rFonts w:hint="eastAsia"/>
                <w:color w:val="auto"/>
                <w:spacing w:val="8"/>
                <w:sz w:val="18"/>
                <w:szCs w:val="18"/>
                <w:highlight w:val="none"/>
                <w:lang w:eastAsia="zh-CN"/>
              </w:rPr>
            </w:pPr>
            <w:r>
              <w:rPr>
                <w:rFonts w:hint="eastAsia"/>
                <w:color w:val="auto"/>
                <w:spacing w:val="8"/>
                <w:sz w:val="18"/>
                <w:szCs w:val="18"/>
                <w:highlight w:val="none"/>
                <w:lang w:val="en-US" w:eastAsia="zh-CN"/>
              </w:rPr>
              <w:t>预</w:t>
            </w:r>
            <w:r>
              <w:rPr>
                <w:rFonts w:hint="eastAsia"/>
                <w:color w:val="auto"/>
                <w:spacing w:val="8"/>
                <w:sz w:val="18"/>
                <w:szCs w:val="18"/>
                <w:highlight w:val="none"/>
                <w:lang w:eastAsia="zh-CN"/>
              </w:rPr>
              <w:t>付款的扣回与还清：</w:t>
            </w:r>
            <w:r>
              <w:rPr>
                <w:rFonts w:hint="eastAsia"/>
                <w:color w:val="auto"/>
                <w:spacing w:val="8"/>
                <w:sz w:val="18"/>
                <w:szCs w:val="18"/>
                <w:highlight w:val="none"/>
                <w:lang w:val="en-US" w:eastAsia="zh-CN"/>
              </w:rPr>
              <w:t>开工预付款在进度付款证书的累计金额达到各单项工程签约合同价10%之后，开始按工程进度以固定比例（即每完成各单项工程签约合同价的1%，扣回开工预付款的2%）分期从各月的进度付款证书中扣回，全部金额在进度付款证书的累计金额达到各单项工程签约合同价的80%时扣完。</w:t>
            </w:r>
            <w:r>
              <w:rPr>
                <w:rFonts w:hint="eastAsia"/>
                <w:color w:val="auto"/>
                <w:spacing w:val="8"/>
                <w:sz w:val="18"/>
                <w:szCs w:val="18"/>
                <w:highlight w:val="none"/>
                <w:lang w:eastAsia="zh-CN"/>
              </w:rPr>
              <w:t>如有需要，发包人可根据实际情况制定更符合工程需要的预付款月扣款比例。</w:t>
            </w:r>
          </w:p>
          <w:p>
            <w:pPr>
              <w:pStyle w:val="17"/>
              <w:spacing w:before="216" w:line="244" w:lineRule="auto"/>
              <w:ind w:left="59"/>
              <w:rPr>
                <w:color w:val="auto"/>
              </w:rPr>
            </w:pPr>
            <w:r>
              <w:rPr>
                <w:rFonts w:hint="eastAsia" w:ascii="宋体" w:hAnsi="宋体" w:eastAsia="宋体" w:cs="宋体"/>
                <w:color w:val="auto"/>
                <w:spacing w:val="8"/>
                <w:sz w:val="18"/>
                <w:szCs w:val="18"/>
                <w:highlight w:val="none"/>
                <w:lang w:val="en-US" w:eastAsia="zh-CN"/>
              </w:rPr>
              <w:t>工程进度款付款周期：在财政资金到位的情况下，发包人收到承包人进度预算及报表后，按各单项工程每期实际完成计量工程量80%支付工程进度款，工程款付至各单项工程签约合同价的80%时（不含暂列金额），不再支付工程款。由建设项目同级财政部门审定结算后支付到结算审核价的97%，缺陷责任期满后一次性支付剩余的3%</w:t>
            </w:r>
            <w:r>
              <w:rPr>
                <w:rFonts w:hint="eastAsia" w:ascii="宋体" w:hAnsi="宋体" w:eastAsia="宋体" w:cs="宋体"/>
                <w:color w:val="auto"/>
                <w:spacing w:val="8"/>
                <w:sz w:val="18"/>
                <w:szCs w:val="18"/>
                <w:highlight w:val="none"/>
              </w:rPr>
              <w:t>质量保证金</w:t>
            </w:r>
            <w:r>
              <w:rPr>
                <w:rFonts w:hint="eastAsia" w:ascii="宋体" w:hAnsi="宋体" w:eastAsia="宋体" w:cs="宋体"/>
                <w:color w:val="auto"/>
                <w:spacing w:val="8"/>
                <w:sz w:val="18"/>
                <w:szCs w:val="18"/>
                <w:highlight w:val="none"/>
                <w:lang w:val="en-US" w:eastAsia="zh-CN"/>
              </w:rPr>
              <w:t>，不计利息。（具体以财政部门审核为准。）</w:t>
            </w:r>
          </w:p>
        </w:tc>
        <w:tc>
          <w:tcPr>
            <w:tcW w:w="81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646" w:type="dxa"/>
            <w:tcBorders>
              <w:left w:val="single" w:color="000000" w:sz="10" w:space="0"/>
            </w:tcBorders>
            <w:vAlign w:val="center"/>
          </w:tcPr>
          <w:p>
            <w:pPr>
              <w:pStyle w:val="17"/>
              <w:spacing w:before="78" w:line="183" w:lineRule="auto"/>
              <w:jc w:val="center"/>
            </w:pPr>
            <w:r>
              <w:t>8</w:t>
            </w:r>
          </w:p>
        </w:tc>
        <w:tc>
          <w:tcPr>
            <w:tcW w:w="2687" w:type="dxa"/>
            <w:vAlign w:val="center"/>
          </w:tcPr>
          <w:p>
            <w:pPr>
              <w:pStyle w:val="17"/>
              <w:spacing w:before="78"/>
              <w:jc w:val="center"/>
            </w:pPr>
            <w:r>
              <w:rPr>
                <w:spacing w:val="-2"/>
              </w:rPr>
              <w:t>材料、设备</w:t>
            </w:r>
            <w:r>
              <w:rPr>
                <w:spacing w:val="-3"/>
              </w:rPr>
              <w:t>预付款比例</w:t>
            </w:r>
          </w:p>
        </w:tc>
        <w:tc>
          <w:tcPr>
            <w:tcW w:w="1285" w:type="dxa"/>
            <w:vAlign w:val="center"/>
          </w:tcPr>
          <w:p>
            <w:pPr>
              <w:pStyle w:val="17"/>
              <w:spacing w:before="78" w:line="212" w:lineRule="auto"/>
              <w:jc w:val="center"/>
            </w:pPr>
            <w:r>
              <w:rPr>
                <w:spacing w:val="-5"/>
              </w:rPr>
              <w:t>17.2.1</w:t>
            </w:r>
            <w:r>
              <w:rPr>
                <w:spacing w:val="-7"/>
              </w:rPr>
              <w:t>（2）</w:t>
            </w:r>
          </w:p>
        </w:tc>
        <w:tc>
          <w:tcPr>
            <w:tcW w:w="4230" w:type="dxa"/>
            <w:vAlign w:val="center"/>
          </w:tcPr>
          <w:p>
            <w:pPr>
              <w:pStyle w:val="17"/>
              <w:tabs>
                <w:tab w:val="left" w:pos="582"/>
              </w:tabs>
              <w:spacing w:before="78" w:line="230" w:lineRule="auto"/>
              <w:ind w:right="93"/>
              <w:jc w:val="both"/>
            </w:pPr>
            <w:r>
              <w:rPr>
                <w:rFonts w:hint="eastAsia" w:ascii="宋体" w:hAnsi="宋体" w:cs="隶书"/>
                <w:spacing w:val="-1"/>
                <w:sz w:val="24"/>
                <w:szCs w:val="24"/>
                <w:lang w:eastAsia="zh-CN"/>
              </w:rPr>
              <w:t>无</w:t>
            </w:r>
          </w:p>
        </w:tc>
        <w:tc>
          <w:tcPr>
            <w:tcW w:w="81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46" w:type="dxa"/>
            <w:tcBorders>
              <w:left w:val="single" w:color="000000" w:sz="10" w:space="0"/>
            </w:tcBorders>
            <w:vAlign w:val="top"/>
          </w:tcPr>
          <w:p>
            <w:pPr>
              <w:pStyle w:val="17"/>
              <w:spacing w:before="297" w:line="183" w:lineRule="auto"/>
              <w:ind w:left="240"/>
            </w:pPr>
            <w:r>
              <w:t>9</w:t>
            </w:r>
          </w:p>
        </w:tc>
        <w:tc>
          <w:tcPr>
            <w:tcW w:w="2687" w:type="dxa"/>
            <w:vAlign w:val="top"/>
          </w:tcPr>
          <w:p>
            <w:pPr>
              <w:pStyle w:val="17"/>
              <w:spacing w:before="104" w:line="238" w:lineRule="auto"/>
              <w:ind w:left="496"/>
            </w:pPr>
            <w:r>
              <w:rPr>
                <w:spacing w:val="-2"/>
              </w:rPr>
              <w:t>进度付款证书</w:t>
            </w:r>
          </w:p>
          <w:p>
            <w:pPr>
              <w:pStyle w:val="17"/>
              <w:spacing w:before="1" w:line="217" w:lineRule="auto"/>
              <w:ind w:left="741"/>
            </w:pPr>
            <w:r>
              <w:rPr>
                <w:spacing w:val="-4"/>
              </w:rPr>
              <w:t>最低限额</w:t>
            </w:r>
          </w:p>
        </w:tc>
        <w:tc>
          <w:tcPr>
            <w:tcW w:w="1285" w:type="dxa"/>
            <w:vAlign w:val="top"/>
          </w:tcPr>
          <w:p>
            <w:pPr>
              <w:pStyle w:val="17"/>
              <w:spacing w:before="140" w:line="210" w:lineRule="auto"/>
              <w:ind w:left="301"/>
            </w:pPr>
            <w:r>
              <w:rPr>
                <w:spacing w:val="-5"/>
              </w:rPr>
              <w:t>17.3.3</w:t>
            </w:r>
          </w:p>
          <w:p>
            <w:pPr>
              <w:pStyle w:val="17"/>
              <w:spacing w:line="222" w:lineRule="auto"/>
              <w:ind w:left="506"/>
            </w:pPr>
            <w:r>
              <w:rPr>
                <w:spacing w:val="-18"/>
              </w:rPr>
              <w:t>(1)</w:t>
            </w:r>
          </w:p>
        </w:tc>
        <w:tc>
          <w:tcPr>
            <w:tcW w:w="4230" w:type="dxa"/>
            <w:vAlign w:val="top"/>
          </w:tcPr>
          <w:p>
            <w:pPr>
              <w:pStyle w:val="17"/>
              <w:tabs>
                <w:tab w:val="left" w:pos="701"/>
              </w:tabs>
              <w:spacing w:before="260" w:line="220" w:lineRule="auto"/>
              <w:ind w:left="102"/>
            </w:pPr>
            <w:r>
              <w:rPr>
                <w:rFonts w:hint="eastAsia"/>
                <w:u w:val="single" w:color="auto"/>
                <w:lang w:val="en-US" w:eastAsia="zh-CN"/>
              </w:rPr>
              <w:t>30</w:t>
            </w:r>
            <w:r>
              <w:rPr>
                <w:spacing w:val="-8"/>
              </w:rPr>
              <w:t>万元</w:t>
            </w:r>
          </w:p>
        </w:tc>
        <w:tc>
          <w:tcPr>
            <w:tcW w:w="81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6" w:type="dxa"/>
            <w:tcBorders>
              <w:left w:val="single" w:color="000000" w:sz="10" w:space="0"/>
            </w:tcBorders>
            <w:vAlign w:val="top"/>
          </w:tcPr>
          <w:p>
            <w:pPr>
              <w:pStyle w:val="17"/>
              <w:spacing w:before="298" w:line="184" w:lineRule="auto"/>
              <w:ind w:left="197"/>
            </w:pPr>
            <w:r>
              <w:rPr>
                <w:spacing w:val="-14"/>
              </w:rPr>
              <w:t>10</w:t>
            </w:r>
          </w:p>
        </w:tc>
        <w:tc>
          <w:tcPr>
            <w:tcW w:w="2687" w:type="dxa"/>
            <w:vAlign w:val="center"/>
          </w:tcPr>
          <w:p>
            <w:pPr>
              <w:pStyle w:val="17"/>
              <w:spacing w:before="105" w:line="229" w:lineRule="auto"/>
              <w:ind w:left="877" w:right="385" w:hanging="501"/>
              <w:jc w:val="both"/>
            </w:pPr>
            <w:r>
              <w:rPr>
                <w:spacing w:val="-2"/>
              </w:rPr>
              <w:t>逾期付款违约金</w:t>
            </w:r>
            <w:r>
              <w:rPr>
                <w:spacing w:val="5"/>
              </w:rPr>
              <w:t xml:space="preserve"> </w:t>
            </w:r>
            <w:r>
              <w:rPr>
                <w:spacing w:val="-10"/>
              </w:rPr>
              <w:t>的利率</w:t>
            </w:r>
          </w:p>
        </w:tc>
        <w:tc>
          <w:tcPr>
            <w:tcW w:w="1285" w:type="dxa"/>
            <w:vAlign w:val="center"/>
          </w:tcPr>
          <w:p>
            <w:pPr>
              <w:pStyle w:val="17"/>
              <w:spacing w:before="142" w:line="210" w:lineRule="auto"/>
              <w:jc w:val="both"/>
            </w:pPr>
            <w:r>
              <w:rPr>
                <w:spacing w:val="-5"/>
              </w:rPr>
              <w:t>17.3.3</w:t>
            </w:r>
            <w:r>
              <w:rPr>
                <w:spacing w:val="-18"/>
              </w:rPr>
              <w:t>(2)</w:t>
            </w:r>
          </w:p>
        </w:tc>
        <w:tc>
          <w:tcPr>
            <w:tcW w:w="4230" w:type="dxa"/>
            <w:vAlign w:val="top"/>
          </w:tcPr>
          <w:p>
            <w:pPr>
              <w:pStyle w:val="17"/>
              <w:tabs>
                <w:tab w:val="left" w:pos="701"/>
              </w:tabs>
              <w:spacing w:before="262" w:line="220" w:lineRule="auto"/>
              <w:ind w:left="102"/>
              <w:jc w:val="both"/>
            </w:pPr>
            <w:r>
              <w:rPr>
                <w:rFonts w:hint="eastAsia"/>
                <w:sz w:val="21"/>
                <w:szCs w:val="21"/>
                <w:lang w:val="en-US" w:eastAsia="zh-CN"/>
              </w:rPr>
              <w:t>逾期付款违约金的利率： 0.15‰/天</w:t>
            </w:r>
          </w:p>
        </w:tc>
        <w:tc>
          <w:tcPr>
            <w:tcW w:w="81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646" w:type="dxa"/>
            <w:tcBorders>
              <w:left w:val="single" w:color="000000" w:sz="10" w:space="0"/>
            </w:tcBorders>
            <w:vAlign w:val="top"/>
          </w:tcPr>
          <w:p>
            <w:pPr>
              <w:pStyle w:val="17"/>
              <w:spacing w:before="259" w:line="184" w:lineRule="auto"/>
              <w:ind w:left="197"/>
            </w:pPr>
            <w:r>
              <w:rPr>
                <w:spacing w:val="-14"/>
              </w:rPr>
              <w:t>11</w:t>
            </w:r>
          </w:p>
        </w:tc>
        <w:tc>
          <w:tcPr>
            <w:tcW w:w="2687" w:type="dxa"/>
            <w:vAlign w:val="top"/>
          </w:tcPr>
          <w:p>
            <w:pPr>
              <w:pStyle w:val="17"/>
              <w:spacing w:before="222" w:line="218" w:lineRule="auto"/>
              <w:ind w:left="379"/>
            </w:pPr>
            <w:r>
              <w:rPr>
                <w:spacing w:val="-2"/>
              </w:rPr>
              <w:t>质量保证金限额</w:t>
            </w:r>
          </w:p>
        </w:tc>
        <w:tc>
          <w:tcPr>
            <w:tcW w:w="1285" w:type="dxa"/>
            <w:vAlign w:val="top"/>
          </w:tcPr>
          <w:p>
            <w:pPr>
              <w:pStyle w:val="17"/>
              <w:spacing w:before="259" w:line="184" w:lineRule="auto"/>
              <w:ind w:left="301"/>
            </w:pPr>
            <w:r>
              <w:rPr>
                <w:spacing w:val="-5"/>
              </w:rPr>
              <w:t>17.4.1</w:t>
            </w:r>
          </w:p>
        </w:tc>
        <w:tc>
          <w:tcPr>
            <w:tcW w:w="4230" w:type="dxa"/>
            <w:vAlign w:val="top"/>
          </w:tcPr>
          <w:p>
            <w:pPr>
              <w:pStyle w:val="17"/>
              <w:tabs>
                <w:tab w:val="left" w:pos="582"/>
              </w:tabs>
              <w:spacing w:before="222" w:line="218" w:lineRule="auto"/>
              <w:ind w:left="102"/>
            </w:pPr>
            <w:r>
              <w:rPr>
                <w:rFonts w:hint="eastAsia"/>
                <w:u w:val="single" w:color="auto"/>
                <w:lang w:val="en-US" w:eastAsia="zh-CN"/>
              </w:rPr>
              <w:t>3</w:t>
            </w:r>
            <w:r>
              <w:rPr>
                <w:spacing w:val="-115"/>
              </w:rPr>
              <w:t xml:space="preserve"> </w:t>
            </w:r>
            <w:r>
              <w:rPr>
                <w:spacing w:val="-1"/>
              </w:rPr>
              <w:t>%合同价格</w:t>
            </w:r>
          </w:p>
        </w:tc>
        <w:tc>
          <w:tcPr>
            <w:tcW w:w="813"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46" w:type="dxa"/>
            <w:tcBorders>
              <w:left w:val="single" w:color="000000" w:sz="10" w:space="0"/>
              <w:bottom w:val="single" w:color="000000" w:sz="10" w:space="0"/>
            </w:tcBorders>
            <w:vAlign w:val="top"/>
          </w:tcPr>
          <w:p>
            <w:pPr>
              <w:pStyle w:val="17"/>
              <w:spacing w:before="316" w:line="184" w:lineRule="auto"/>
              <w:ind w:left="197"/>
            </w:pPr>
            <w:r>
              <w:rPr>
                <w:spacing w:val="-14"/>
              </w:rPr>
              <w:t>12</w:t>
            </w:r>
          </w:p>
        </w:tc>
        <w:tc>
          <w:tcPr>
            <w:tcW w:w="2687" w:type="dxa"/>
            <w:tcBorders>
              <w:bottom w:val="single" w:color="000000" w:sz="10" w:space="0"/>
            </w:tcBorders>
            <w:vAlign w:val="top"/>
          </w:tcPr>
          <w:p>
            <w:pPr>
              <w:pStyle w:val="17"/>
              <w:spacing w:before="279" w:line="219" w:lineRule="auto"/>
              <w:ind w:left="859"/>
            </w:pPr>
            <w:r>
              <w:rPr>
                <w:spacing w:val="-4"/>
              </w:rPr>
              <w:t>保修期</w:t>
            </w:r>
          </w:p>
        </w:tc>
        <w:tc>
          <w:tcPr>
            <w:tcW w:w="1285" w:type="dxa"/>
            <w:tcBorders>
              <w:bottom w:val="single" w:color="000000" w:sz="10" w:space="0"/>
            </w:tcBorders>
            <w:vAlign w:val="top"/>
          </w:tcPr>
          <w:p>
            <w:pPr>
              <w:pStyle w:val="17"/>
              <w:spacing w:before="278" w:line="232" w:lineRule="auto"/>
              <w:ind w:left="126"/>
            </w:pPr>
            <w:r>
              <w:rPr>
                <w:spacing w:val="-4"/>
              </w:rPr>
              <w:t>19.7（1）</w:t>
            </w:r>
          </w:p>
        </w:tc>
        <w:tc>
          <w:tcPr>
            <w:tcW w:w="4230" w:type="dxa"/>
            <w:tcBorders>
              <w:bottom w:val="single" w:color="000000" w:sz="10" w:space="0"/>
            </w:tcBorders>
            <w:vAlign w:val="top"/>
          </w:tcPr>
          <w:p>
            <w:pPr>
              <w:pStyle w:val="17"/>
              <w:spacing w:before="125" w:line="216" w:lineRule="auto"/>
              <w:ind w:left="151"/>
            </w:pPr>
            <w:r>
              <w:rPr>
                <w:spacing w:val="5"/>
              </w:rPr>
              <w:t>自本项目实际交工日期之日起计</w:t>
            </w:r>
          </w:p>
          <w:p>
            <w:pPr>
              <w:pStyle w:val="17"/>
              <w:spacing w:before="29" w:line="219" w:lineRule="auto"/>
              <w:ind w:left="114"/>
              <w:outlineLvl w:val="0"/>
            </w:pPr>
            <w:r>
              <w:rPr>
                <w:spacing w:val="-6"/>
              </w:rPr>
              <w:t>算</w:t>
            </w:r>
            <w:r>
              <w:rPr>
                <w:spacing w:val="59"/>
                <w:u w:val="single" w:color="auto"/>
              </w:rPr>
              <w:t xml:space="preserve"> </w:t>
            </w:r>
            <w:r>
              <w:rPr>
                <w:rFonts w:hint="eastAsia"/>
                <w:spacing w:val="59"/>
                <w:u w:val="single" w:color="auto"/>
                <w:lang w:val="en-US" w:eastAsia="zh-CN"/>
              </w:rPr>
              <w:t>5</w:t>
            </w:r>
            <w:r>
              <w:rPr>
                <w:spacing w:val="59"/>
                <w:u w:val="single" w:color="auto"/>
              </w:rPr>
              <w:t xml:space="preserve"> </w:t>
            </w:r>
            <w:r>
              <w:rPr>
                <w:spacing w:val="-108"/>
              </w:rPr>
              <w:t xml:space="preserve"> </w:t>
            </w:r>
            <w:r>
              <w:rPr>
                <w:spacing w:val="-6"/>
              </w:rPr>
              <w:t>年</w:t>
            </w:r>
          </w:p>
        </w:tc>
        <w:tc>
          <w:tcPr>
            <w:tcW w:w="813" w:type="dxa"/>
            <w:tcBorders>
              <w:bottom w:val="single" w:color="000000" w:sz="10" w:space="0"/>
              <w:right w:val="single" w:color="000000" w:sz="10" w:space="0"/>
            </w:tcBorders>
            <w:vAlign w:val="top"/>
          </w:tcPr>
          <w:p>
            <w:pPr>
              <w:rPr>
                <w:rFonts w:ascii="Arial"/>
                <w:sz w:val="21"/>
              </w:rPr>
            </w:pPr>
          </w:p>
        </w:tc>
      </w:tr>
    </w:tbl>
    <w:p>
      <w:pPr>
        <w:pStyle w:val="4"/>
        <w:spacing w:before="113" w:line="744" w:lineRule="exact"/>
        <w:jc w:val="center"/>
        <w:rPr>
          <w:sz w:val="35"/>
          <w:szCs w:val="35"/>
        </w:rPr>
      </w:pPr>
      <w:r>
        <w:rPr>
          <w:spacing w:val="73"/>
          <w:position w:val="29"/>
          <w:sz w:val="35"/>
          <w:szCs w:val="35"/>
          <w14:textOutline w14:w="6537" w14:cap="sq" w14:cmpd="sng">
            <w14:solidFill>
              <w14:srgbClr w14:val="000000"/>
            </w14:solidFill>
            <w14:prstDash w14:val="solid"/>
            <w14:bevel/>
          </w14:textOutline>
        </w:rPr>
        <w:t>二</w:t>
      </w:r>
      <w:r>
        <w:rPr>
          <w:spacing w:val="-42"/>
          <w:position w:val="29"/>
          <w:sz w:val="35"/>
          <w:szCs w:val="35"/>
        </w:rPr>
        <w:t xml:space="preserve"> </w:t>
      </w:r>
      <w:r>
        <w:rPr>
          <w:spacing w:val="73"/>
          <w:position w:val="29"/>
          <w:sz w:val="35"/>
          <w:szCs w:val="35"/>
          <w14:textOutline w14:w="6537" w14:cap="sq" w14:cmpd="sng">
            <w14:solidFill>
              <w14:srgbClr w14:val="000000"/>
            </w14:solidFill>
            <w14:prstDash w14:val="solid"/>
            <w14:bevel/>
          </w14:textOutline>
        </w:rPr>
        <w:t>、</w:t>
      </w:r>
      <w:r>
        <w:rPr>
          <w:spacing w:val="-76"/>
          <w:position w:val="29"/>
          <w:sz w:val="35"/>
          <w:szCs w:val="35"/>
        </w:rPr>
        <w:t xml:space="preserve"> </w:t>
      </w:r>
      <w:r>
        <w:rPr>
          <w:spacing w:val="73"/>
          <w:position w:val="29"/>
          <w:sz w:val="35"/>
          <w:szCs w:val="35"/>
          <w14:textOutline w14:w="6537" w14:cap="sq" w14:cmpd="sng">
            <w14:solidFill>
              <w14:srgbClr w14:val="000000"/>
            </w14:solidFill>
            <w14:prstDash w14:val="solid"/>
            <w14:bevel/>
          </w14:textOutline>
        </w:rPr>
        <w:t>授权委托书或法定代表人身份证明</w:t>
      </w:r>
    </w:p>
    <w:p>
      <w:pPr>
        <w:pStyle w:val="4"/>
        <w:spacing w:before="1" w:line="227" w:lineRule="auto"/>
        <w:ind w:left="2732"/>
        <w:rPr>
          <w:rFonts w:ascii="宋体" w:hAnsi="宋体" w:eastAsia="宋体" w:cs="宋体"/>
          <w:sz w:val="16"/>
          <w:szCs w:val="16"/>
        </w:rPr>
      </w:pPr>
      <w:r>
        <w:rPr>
          <w:spacing w:val="-3"/>
          <w:sz w:val="35"/>
          <w:szCs w:val="35"/>
          <w14:textOutline w14:w="6537" w14:cap="sq" w14:cmpd="sng">
            <w14:solidFill>
              <w14:srgbClr w14:val="000000"/>
            </w14:solidFill>
            <w14:prstDash w14:val="solid"/>
            <w14:bevel/>
          </w14:textOutline>
        </w:rPr>
        <w:t>（</w:t>
      </w:r>
      <w:r>
        <w:rPr>
          <w:spacing w:val="-73"/>
          <w:sz w:val="35"/>
          <w:szCs w:val="35"/>
        </w:rPr>
        <w:t xml:space="preserve"> </w:t>
      </w:r>
      <w:r>
        <w:rPr>
          <w:spacing w:val="-3"/>
          <w:sz w:val="35"/>
          <w:szCs w:val="35"/>
          <w14:textOutline w14:w="6537" w14:cap="sq" w14:cmpd="sng">
            <w14:solidFill>
              <w14:srgbClr w14:val="000000"/>
            </w14:solidFill>
            <w14:prstDash w14:val="solid"/>
            <w14:bevel/>
          </w14:textOutline>
        </w:rPr>
        <w:t>一</w:t>
      </w:r>
      <w:r>
        <w:rPr>
          <w:spacing w:val="-53"/>
          <w:sz w:val="35"/>
          <w:szCs w:val="35"/>
        </w:rPr>
        <w:t xml:space="preserve"> </w:t>
      </w:r>
      <w:r>
        <w:rPr>
          <w:spacing w:val="-3"/>
          <w:sz w:val="35"/>
          <w:szCs w:val="35"/>
          <w14:textOutline w14:w="6537" w14:cap="sq" w14:cmpd="sng">
            <w14:solidFill>
              <w14:srgbClr w14:val="000000"/>
            </w14:solidFill>
            <w14:prstDash w14:val="solid"/>
            <w14:bevel/>
          </w14:textOutline>
        </w:rPr>
        <w:t>）</w:t>
      </w:r>
      <w:r>
        <w:rPr>
          <w:spacing w:val="-76"/>
          <w:sz w:val="35"/>
          <w:szCs w:val="35"/>
        </w:rPr>
        <w:t xml:space="preserve"> </w:t>
      </w:r>
      <w:r>
        <w:rPr>
          <w:spacing w:val="-3"/>
          <w:sz w:val="35"/>
          <w:szCs w:val="35"/>
          <w14:textOutline w14:w="6537" w14:cap="sq" w14:cmpd="sng">
            <w14:solidFill>
              <w14:srgbClr w14:val="000000"/>
            </w14:solidFill>
            <w14:prstDash w14:val="solid"/>
            <w14:bevel/>
          </w14:textOutline>
        </w:rPr>
        <w:t>授</w:t>
      </w:r>
      <w:r>
        <w:rPr>
          <w:spacing w:val="-82"/>
          <w:sz w:val="35"/>
          <w:szCs w:val="35"/>
        </w:rPr>
        <w:t xml:space="preserve"> </w:t>
      </w:r>
      <w:r>
        <w:rPr>
          <w:spacing w:val="-3"/>
          <w:sz w:val="35"/>
          <w:szCs w:val="35"/>
          <w14:textOutline w14:w="6537" w14:cap="sq" w14:cmpd="sng">
            <w14:solidFill>
              <w14:srgbClr w14:val="000000"/>
            </w14:solidFill>
            <w14:prstDash w14:val="solid"/>
            <w14:bevel/>
          </w14:textOutline>
        </w:rPr>
        <w:t>权</w:t>
      </w:r>
      <w:r>
        <w:rPr>
          <w:spacing w:val="-77"/>
          <w:sz w:val="35"/>
          <w:szCs w:val="35"/>
        </w:rPr>
        <w:t xml:space="preserve"> </w:t>
      </w:r>
      <w:r>
        <w:rPr>
          <w:spacing w:val="-3"/>
          <w:sz w:val="35"/>
          <w:szCs w:val="35"/>
          <w14:textOutline w14:w="6537" w14:cap="sq" w14:cmpd="sng">
            <w14:solidFill>
              <w14:srgbClr w14:val="000000"/>
            </w14:solidFill>
            <w14:prstDash w14:val="solid"/>
            <w14:bevel/>
          </w14:textOutline>
        </w:rPr>
        <w:t>委</w:t>
      </w:r>
      <w:r>
        <w:rPr>
          <w:spacing w:val="-79"/>
          <w:sz w:val="35"/>
          <w:szCs w:val="35"/>
        </w:rPr>
        <w:t xml:space="preserve"> </w:t>
      </w:r>
      <w:r>
        <w:rPr>
          <w:spacing w:val="-3"/>
          <w:sz w:val="35"/>
          <w:szCs w:val="35"/>
          <w14:textOutline w14:w="6537" w14:cap="sq" w14:cmpd="sng">
            <w14:solidFill>
              <w14:srgbClr w14:val="000000"/>
            </w14:solidFill>
            <w14:prstDash w14:val="solid"/>
            <w14:bevel/>
          </w14:textOutline>
        </w:rPr>
        <w:t>托</w:t>
      </w:r>
      <w:r>
        <w:rPr>
          <w:spacing w:val="-71"/>
          <w:sz w:val="35"/>
          <w:szCs w:val="35"/>
        </w:rPr>
        <w:t xml:space="preserve"> </w:t>
      </w:r>
      <w:r>
        <w:rPr>
          <w:spacing w:val="-3"/>
          <w:sz w:val="35"/>
          <w:szCs w:val="35"/>
          <w14:textOutline w14:w="6537" w14:cap="sq" w14:cmpd="sng">
            <w14:solidFill>
              <w14:srgbClr w14:val="000000"/>
            </w14:solidFill>
            <w14:prstDash w14:val="solid"/>
            <w14:bevel/>
          </w14:textOutline>
        </w:rPr>
        <w:t>书</w:t>
      </w:r>
      <w:r>
        <w:fldChar w:fldCharType="begin"/>
      </w:r>
      <w:r>
        <w:instrText xml:space="preserve"> HYPERLINK \l "bookmark180" </w:instrText>
      </w:r>
      <w:r>
        <w:fldChar w:fldCharType="separate"/>
      </w:r>
      <w:r>
        <w:rPr>
          <w:rFonts w:ascii="宋体" w:hAnsi="宋体" w:eastAsia="宋体" w:cs="宋体"/>
          <w:spacing w:val="-3"/>
          <w:position w:val="15"/>
          <w:sz w:val="16"/>
          <w:szCs w:val="16"/>
        </w:rPr>
        <w:t>①</w:t>
      </w:r>
      <w:r>
        <w:rPr>
          <w:rFonts w:ascii="宋体" w:hAnsi="宋体" w:eastAsia="宋体" w:cs="宋体"/>
          <w:spacing w:val="-3"/>
          <w:position w:val="15"/>
          <w:sz w:val="16"/>
          <w:szCs w:val="16"/>
        </w:rPr>
        <w:fldChar w:fldCharType="end"/>
      </w:r>
    </w:p>
    <w:p>
      <w:pPr>
        <w:spacing w:line="298" w:lineRule="auto"/>
        <w:rPr>
          <w:rFonts w:ascii="Arial"/>
          <w:sz w:val="21"/>
        </w:rPr>
      </w:pPr>
    </w:p>
    <w:p>
      <w:pPr>
        <w:spacing w:line="298" w:lineRule="auto"/>
        <w:rPr>
          <w:rFonts w:ascii="Arial"/>
          <w:sz w:val="21"/>
        </w:rPr>
      </w:pPr>
    </w:p>
    <w:p>
      <w:pPr>
        <w:spacing w:before="78" w:line="385" w:lineRule="auto"/>
        <w:ind w:left="8" w:right="278" w:firstLine="480"/>
        <w:jc w:val="both"/>
        <w:rPr>
          <w:rFonts w:ascii="宋体" w:hAnsi="宋体" w:eastAsia="宋体" w:cs="宋体"/>
          <w:sz w:val="24"/>
          <w:szCs w:val="24"/>
        </w:rPr>
      </w:pPr>
      <w:r>
        <w:rPr>
          <w:rFonts w:ascii="宋体" w:hAnsi="宋体" w:eastAsia="宋体" w:cs="宋体"/>
          <w:spacing w:val="-1"/>
          <w:sz w:val="24"/>
          <w:szCs w:val="24"/>
        </w:rPr>
        <w:t>本人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（姓名）系</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（投标人名称</w:t>
      </w:r>
      <w:r>
        <w:rPr>
          <w:rFonts w:ascii="宋体" w:hAnsi="宋体" w:eastAsia="宋体" w:cs="宋体"/>
          <w:spacing w:val="-2"/>
          <w:sz w:val="24"/>
          <w:szCs w:val="24"/>
        </w:rPr>
        <w:t>）的法定代表人，现委托</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（姓</w:t>
      </w:r>
      <w:r>
        <w:rPr>
          <w:rFonts w:ascii="宋体" w:hAnsi="宋体" w:eastAsia="宋体" w:cs="宋体"/>
          <w:sz w:val="24"/>
          <w:szCs w:val="24"/>
        </w:rPr>
        <w:t xml:space="preserve"> </w:t>
      </w:r>
      <w:r>
        <w:rPr>
          <w:rFonts w:ascii="宋体" w:hAnsi="宋体" w:eastAsia="宋体" w:cs="宋体"/>
          <w:spacing w:val="-2"/>
          <w:sz w:val="24"/>
          <w:szCs w:val="24"/>
        </w:rPr>
        <w:t>名）为我方代理人。代理人根据授权，</w:t>
      </w:r>
      <w:r>
        <w:rPr>
          <w:rFonts w:ascii="宋体" w:hAnsi="宋体" w:eastAsia="宋体" w:cs="宋体"/>
          <w:spacing w:val="36"/>
          <w:sz w:val="24"/>
          <w:szCs w:val="24"/>
        </w:rPr>
        <w:t xml:space="preserve"> </w:t>
      </w:r>
      <w:r>
        <w:rPr>
          <w:rFonts w:ascii="宋体" w:hAnsi="宋体" w:eastAsia="宋体" w:cs="宋体"/>
          <w:spacing w:val="-2"/>
          <w:sz w:val="24"/>
          <w:szCs w:val="24"/>
        </w:rPr>
        <w:t>以我方名义签署、 澄清确认</w:t>
      </w:r>
      <w:r>
        <w:rPr>
          <w:rFonts w:ascii="宋体" w:hAnsi="宋体" w:eastAsia="宋体" w:cs="宋体"/>
          <w:spacing w:val="-3"/>
          <w:sz w:val="24"/>
          <w:szCs w:val="24"/>
        </w:rPr>
        <w:t>、 递交、 撤回、</w:t>
      </w:r>
      <w:r>
        <w:rPr>
          <w:rFonts w:ascii="宋体" w:hAnsi="宋体" w:eastAsia="宋体" w:cs="宋体"/>
          <w:sz w:val="24"/>
          <w:szCs w:val="24"/>
        </w:rPr>
        <w:t xml:space="preserve"> 修改</w:t>
      </w:r>
      <w:r>
        <w:rPr>
          <w:rFonts w:ascii="宋体" w:hAnsi="宋体" w:eastAsia="宋体" w:cs="宋体"/>
          <w:sz w:val="24"/>
          <w:szCs w:val="24"/>
          <w:u w:val="single" w:color="auto"/>
        </w:rPr>
        <w:t xml:space="preserve">             （项目名称）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rPr>
        <w:t>施工</w:t>
      </w:r>
      <w:r>
        <w:rPr>
          <w:rFonts w:ascii="宋体" w:hAnsi="宋体" w:eastAsia="宋体" w:cs="宋体"/>
          <w:spacing w:val="-1"/>
          <w:sz w:val="24"/>
          <w:szCs w:val="24"/>
        </w:rPr>
        <w:t>投标文件、签订合同和处</w:t>
      </w:r>
    </w:p>
    <w:p>
      <w:pPr>
        <w:spacing w:line="219" w:lineRule="auto"/>
        <w:ind w:left="11"/>
        <w:rPr>
          <w:rFonts w:ascii="宋体" w:hAnsi="宋体" w:eastAsia="宋体" w:cs="宋体"/>
          <w:sz w:val="24"/>
          <w:szCs w:val="24"/>
        </w:rPr>
      </w:pPr>
      <w:r>
        <w:rPr>
          <w:rFonts w:ascii="宋体" w:hAnsi="宋体" w:eastAsia="宋体" w:cs="宋体"/>
          <w:spacing w:val="-1"/>
          <w:sz w:val="24"/>
          <w:szCs w:val="24"/>
        </w:rPr>
        <w:t>理有关事宜，其法律后果由我方承担。</w:t>
      </w:r>
    </w:p>
    <w:p>
      <w:pPr>
        <w:spacing w:before="214" w:line="499" w:lineRule="exact"/>
        <w:ind w:left="487"/>
        <w:rPr>
          <w:rFonts w:ascii="宋体" w:hAnsi="宋体" w:eastAsia="宋体" w:cs="宋体"/>
          <w:sz w:val="24"/>
          <w:szCs w:val="24"/>
        </w:rPr>
      </w:pPr>
      <w:r>
        <w:rPr>
          <w:rFonts w:ascii="宋体" w:hAnsi="宋体" w:eastAsia="宋体" w:cs="宋体"/>
          <w:spacing w:val="-3"/>
          <w:position w:val="19"/>
          <w:sz w:val="24"/>
          <w:szCs w:val="24"/>
        </w:rPr>
        <w:t>委托期限：</w:t>
      </w:r>
      <w:r>
        <w:rPr>
          <w:rFonts w:ascii="宋体" w:hAnsi="宋体" w:eastAsia="宋体" w:cs="宋体"/>
          <w:spacing w:val="-58"/>
          <w:position w:val="19"/>
          <w:sz w:val="24"/>
          <w:szCs w:val="24"/>
        </w:rPr>
        <w:t xml:space="preserve"> </w:t>
      </w:r>
      <w:r>
        <w:rPr>
          <w:rFonts w:ascii="宋体" w:hAnsi="宋体" w:eastAsia="宋体" w:cs="宋体"/>
          <w:spacing w:val="-3"/>
          <w:position w:val="19"/>
          <w:sz w:val="24"/>
          <w:szCs w:val="24"/>
        </w:rPr>
        <w:t>自本委托书签署之日起至投标有效期期满。</w:t>
      </w:r>
    </w:p>
    <w:p>
      <w:pPr>
        <w:spacing w:line="219" w:lineRule="auto"/>
        <w:ind w:left="487"/>
        <w:rPr>
          <w:rFonts w:ascii="宋体" w:hAnsi="宋体" w:eastAsia="宋体" w:cs="宋体"/>
          <w:sz w:val="24"/>
          <w:szCs w:val="24"/>
        </w:rPr>
      </w:pPr>
      <w:r>
        <w:rPr>
          <w:rFonts w:ascii="宋体" w:hAnsi="宋体" w:eastAsia="宋体" w:cs="宋体"/>
          <w:spacing w:val="-1"/>
          <w:sz w:val="24"/>
          <w:szCs w:val="24"/>
        </w:rPr>
        <w:t>代理人无转委托权。</w:t>
      </w:r>
    </w:p>
    <w:p>
      <w:pPr>
        <w:spacing w:line="316" w:lineRule="auto"/>
        <w:rPr>
          <w:rFonts w:ascii="Arial"/>
          <w:sz w:val="21"/>
        </w:rPr>
      </w:pPr>
    </w:p>
    <w:p>
      <w:pPr>
        <w:spacing w:line="317" w:lineRule="auto"/>
        <w:rPr>
          <w:rFonts w:ascii="Arial"/>
          <w:sz w:val="21"/>
        </w:rPr>
      </w:pPr>
    </w:p>
    <w:p>
      <w:pPr>
        <w:spacing w:before="78" w:line="219" w:lineRule="auto"/>
        <w:ind w:left="507"/>
        <w:rPr>
          <w:rFonts w:ascii="宋体" w:hAnsi="宋体" w:eastAsia="宋体" w:cs="宋体"/>
          <w:sz w:val="24"/>
          <w:szCs w:val="24"/>
        </w:rPr>
      </w:pPr>
      <w:r>
        <w:rPr>
          <w:rFonts w:ascii="宋体" w:hAnsi="宋体" w:eastAsia="宋体" w:cs="宋体"/>
          <w:spacing w:val="-1"/>
          <w:sz w:val="24"/>
          <w:szCs w:val="24"/>
        </w:rPr>
        <w:t>附：法定代表人身份证复印件及委托代理人身份证</w:t>
      </w:r>
      <w:r>
        <w:rPr>
          <w:rFonts w:ascii="宋体" w:hAnsi="宋体" w:eastAsia="宋体" w:cs="宋体"/>
          <w:spacing w:val="-2"/>
          <w:sz w:val="24"/>
          <w:szCs w:val="24"/>
        </w:rPr>
        <w:t>复印件。</w:t>
      </w:r>
    </w:p>
    <w:p>
      <w:pPr>
        <w:spacing w:line="475" w:lineRule="auto"/>
        <w:rPr>
          <w:rFonts w:ascii="Arial"/>
          <w:sz w:val="21"/>
        </w:rPr>
      </w:pPr>
    </w:p>
    <w:p>
      <w:pPr>
        <w:spacing w:before="78" w:line="479" w:lineRule="auto"/>
        <w:ind w:left="3847" w:right="739" w:firstLine="3"/>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盖单位章）  法定代表人</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签字）</w:t>
      </w:r>
      <w:r>
        <w:rPr>
          <w:rFonts w:ascii="宋体" w:hAnsi="宋体" w:eastAsia="宋体" w:cs="宋体"/>
          <w:spacing w:val="1"/>
          <w:sz w:val="24"/>
          <w:szCs w:val="24"/>
        </w:rPr>
        <w:t xml:space="preserve"> </w:t>
      </w:r>
      <w:r>
        <w:rPr>
          <w:rFonts w:ascii="宋体" w:hAnsi="宋体" w:eastAsia="宋体" w:cs="宋体"/>
          <w:sz w:val="24"/>
          <w:szCs w:val="24"/>
        </w:rPr>
        <w:t>身份证号码：</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z w:val="24"/>
          <w:szCs w:val="24"/>
        </w:rPr>
        <w:t>委托代理人</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z w:val="24"/>
          <w:szCs w:val="24"/>
        </w:rPr>
        <w:t>签字）</w:t>
      </w:r>
    </w:p>
    <w:p>
      <w:pPr>
        <w:spacing w:before="1" w:line="219" w:lineRule="auto"/>
        <w:ind w:left="3854"/>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pPr>
        <w:spacing w:line="257" w:lineRule="auto"/>
        <w:rPr>
          <w:rFonts w:ascii="Arial"/>
          <w:sz w:val="21"/>
        </w:rPr>
      </w:pPr>
    </w:p>
    <w:p>
      <w:pPr>
        <w:tabs>
          <w:tab w:val="left" w:pos="6837"/>
        </w:tabs>
        <w:spacing w:before="78" w:line="219" w:lineRule="auto"/>
        <w:ind w:left="599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before="79" w:line="425" w:lineRule="exact"/>
        <w:ind w:left="128"/>
        <w:rPr>
          <w:rFonts w:ascii="宋体" w:hAnsi="宋体" w:eastAsia="宋体" w:cs="宋体"/>
          <w:sz w:val="20"/>
          <w:szCs w:val="20"/>
        </w:rPr>
      </w:pPr>
      <w:r>
        <w:rPr>
          <w:rFonts w:ascii="宋体" w:hAnsi="宋体" w:eastAsia="宋体" w:cs="宋体"/>
          <w:spacing w:val="8"/>
          <w:position w:val="14"/>
          <w:sz w:val="24"/>
          <w:szCs w:val="24"/>
        </w:rPr>
        <w:t>注：</w:t>
      </w:r>
      <w:r>
        <w:rPr>
          <w:rFonts w:ascii="宋体" w:hAnsi="宋体" w:eastAsia="宋体" w:cs="宋体"/>
          <w:spacing w:val="8"/>
          <w:position w:val="14"/>
          <w:sz w:val="20"/>
          <w:szCs w:val="20"/>
        </w:rPr>
        <w:t>1. 法定代表人和委托代理人必须在授权书上亲笔签名，不得使用印章、签名章或其他电子制</w:t>
      </w:r>
    </w:p>
    <w:p>
      <w:pPr>
        <w:spacing w:before="1" w:line="227" w:lineRule="auto"/>
        <w:ind w:left="7"/>
        <w:rPr>
          <w:rFonts w:ascii="宋体" w:hAnsi="宋体" w:eastAsia="宋体" w:cs="宋体"/>
          <w:sz w:val="20"/>
          <w:szCs w:val="20"/>
        </w:rPr>
      </w:pPr>
      <w:r>
        <w:rPr>
          <w:rFonts w:ascii="宋体" w:hAnsi="宋体" w:eastAsia="宋体" w:cs="宋体"/>
          <w:spacing w:val="9"/>
          <w:sz w:val="20"/>
          <w:szCs w:val="20"/>
        </w:rPr>
        <w:t>版签名；如果由投标人的委托代理人签署投标文件，则不需提交（二）法定代表人身份证明。</w:t>
      </w:r>
    </w:p>
    <w:p>
      <w:pPr>
        <w:spacing w:before="154" w:line="227" w:lineRule="auto"/>
        <w:ind w:left="640"/>
        <w:rPr>
          <w:rFonts w:ascii="宋体" w:hAnsi="宋体" w:eastAsia="宋体" w:cs="宋体"/>
          <w:sz w:val="20"/>
          <w:szCs w:val="20"/>
        </w:rPr>
      </w:pPr>
      <w:r>
        <w:rPr>
          <w:rFonts w:ascii="宋体" w:hAnsi="宋体" w:eastAsia="宋体" w:cs="宋体"/>
          <w:spacing w:val="9"/>
          <w:sz w:val="20"/>
          <w:szCs w:val="20"/>
        </w:rPr>
        <w:t>2.以联合体形式投标的，本授权委托书应由联合体牵头人的法定代表人按上述规定签署。</w:t>
      </w:r>
    </w:p>
    <w:p>
      <w:pPr>
        <w:spacing w:line="281" w:lineRule="auto"/>
        <w:rPr>
          <w:rFonts w:ascii="Arial"/>
          <w:sz w:val="21"/>
        </w:rPr>
      </w:pPr>
    </w:p>
    <w:p>
      <w:pPr>
        <w:spacing w:line="281" w:lineRule="auto"/>
        <w:rPr>
          <w:rFonts w:ascii="Arial"/>
          <w:sz w:val="21"/>
        </w:rPr>
      </w:pPr>
    </w:p>
    <w:p>
      <w:pPr>
        <w:pStyle w:val="2"/>
      </w:pPr>
    </w:p>
    <w:p>
      <w:pPr>
        <w:pStyle w:val="2"/>
      </w:pPr>
    </w:p>
    <w:p>
      <w:pPr>
        <w:spacing w:line="282" w:lineRule="auto"/>
        <w:rPr>
          <w:rFonts w:ascii="Arial"/>
          <w:sz w:val="21"/>
        </w:rPr>
      </w:pPr>
    </w:p>
    <w:p>
      <w:pPr>
        <w:spacing w:line="282" w:lineRule="auto"/>
        <w:rPr>
          <w:rFonts w:ascii="Arial"/>
          <w:sz w:val="21"/>
        </w:rPr>
      </w:pPr>
    </w:p>
    <w:p>
      <w:pPr>
        <w:spacing w:before="59" w:line="220" w:lineRule="auto"/>
        <w:ind w:left="226"/>
        <w:rPr>
          <w:rFonts w:ascii="宋体" w:hAnsi="宋体" w:eastAsia="宋体" w:cs="宋体"/>
          <w:sz w:val="18"/>
          <w:szCs w:val="18"/>
        </w:rPr>
      </w:pPr>
      <w:r>
        <w:rPr>
          <w:rFonts w:ascii="宋体" w:hAnsi="宋体" w:eastAsia="宋体" w:cs="宋体"/>
          <w:sz w:val="18"/>
          <w:szCs w:val="18"/>
        </w:rPr>
        <w:t>①如果由投标人的法定代表人签署投标文件，则不需</w:t>
      </w:r>
      <w:r>
        <w:rPr>
          <w:rFonts w:ascii="宋体" w:hAnsi="宋体" w:eastAsia="宋体" w:cs="宋体"/>
          <w:spacing w:val="-1"/>
          <w:sz w:val="18"/>
          <w:szCs w:val="18"/>
        </w:rPr>
        <w:t>提交授权委托书。</w:t>
      </w:r>
    </w:p>
    <w:p>
      <w:pPr>
        <w:spacing w:line="407" w:lineRule="auto"/>
        <w:rPr>
          <w:rFonts w:ascii="Arial"/>
          <w:sz w:val="21"/>
        </w:rPr>
      </w:pPr>
    </w:p>
    <w:p>
      <w:pPr>
        <w:pStyle w:val="4"/>
        <w:spacing w:before="113" w:line="226" w:lineRule="auto"/>
        <w:ind w:left="1927"/>
        <w:outlineLvl w:val="0"/>
        <w:rPr>
          <w:spacing w:val="-2"/>
          <w:sz w:val="35"/>
          <w:szCs w:val="35"/>
          <w14:textOutline w14:w="6537" w14:cap="sq" w14:cmpd="sng">
            <w14:solidFill>
              <w14:srgbClr w14:val="000000"/>
            </w14:solidFill>
            <w14:prstDash w14:val="solid"/>
            <w14:bevel/>
          </w14:textOutline>
        </w:rPr>
      </w:pPr>
    </w:p>
    <w:p>
      <w:pPr>
        <w:pStyle w:val="4"/>
        <w:spacing w:before="113" w:line="226" w:lineRule="auto"/>
        <w:ind w:left="1927"/>
        <w:outlineLvl w:val="0"/>
        <w:rPr>
          <w:spacing w:val="-2"/>
          <w:sz w:val="35"/>
          <w:szCs w:val="35"/>
          <w14:textOutline w14:w="6537" w14:cap="sq" w14:cmpd="sng">
            <w14:solidFill>
              <w14:srgbClr w14:val="000000"/>
            </w14:solidFill>
            <w14:prstDash w14:val="solid"/>
            <w14:bevel/>
          </w14:textOutline>
        </w:rPr>
      </w:pPr>
    </w:p>
    <w:p>
      <w:pPr>
        <w:pStyle w:val="4"/>
        <w:spacing w:before="113" w:line="226" w:lineRule="auto"/>
        <w:ind w:left="1927"/>
        <w:outlineLvl w:val="0"/>
        <w:rPr>
          <w:sz w:val="35"/>
          <w:szCs w:val="35"/>
        </w:rPr>
      </w:pPr>
      <w:r>
        <w:rPr>
          <w:spacing w:val="-2"/>
          <w:sz w:val="35"/>
          <w:szCs w:val="35"/>
          <w14:textOutline w14:w="6537" w14:cap="sq" w14:cmpd="sng">
            <w14:solidFill>
              <w14:srgbClr w14:val="000000"/>
            </w14:solidFill>
            <w14:prstDash w14:val="solid"/>
            <w14:bevel/>
          </w14:textOutline>
        </w:rPr>
        <w:t>（二</w:t>
      </w:r>
      <w:r>
        <w:rPr>
          <w:spacing w:val="-52"/>
          <w:sz w:val="35"/>
          <w:szCs w:val="35"/>
        </w:rPr>
        <w:t xml:space="preserve"> </w:t>
      </w:r>
      <w:r>
        <w:rPr>
          <w:spacing w:val="-2"/>
          <w:sz w:val="35"/>
          <w:szCs w:val="35"/>
          <w14:textOutline w14:w="6537" w14:cap="sq" w14:cmpd="sng">
            <w14:solidFill>
              <w14:srgbClr w14:val="000000"/>
            </w14:solidFill>
            <w14:prstDash w14:val="solid"/>
            <w14:bevel/>
          </w14:textOutline>
        </w:rPr>
        <w:t>）</w:t>
      </w:r>
      <w:r>
        <w:rPr>
          <w:spacing w:val="-70"/>
          <w:sz w:val="35"/>
          <w:szCs w:val="35"/>
        </w:rPr>
        <w:t xml:space="preserve"> </w:t>
      </w:r>
      <w:r>
        <w:rPr>
          <w:spacing w:val="-2"/>
          <w:sz w:val="35"/>
          <w:szCs w:val="35"/>
          <w14:textOutline w14:w="6537" w14:cap="sq" w14:cmpd="sng">
            <w14:solidFill>
              <w14:srgbClr w14:val="000000"/>
            </w14:solidFill>
            <w14:prstDash w14:val="solid"/>
            <w14:bevel/>
          </w14:textOutline>
        </w:rPr>
        <w:t>法</w:t>
      </w:r>
      <w:r>
        <w:rPr>
          <w:spacing w:val="-84"/>
          <w:sz w:val="35"/>
          <w:szCs w:val="35"/>
        </w:rPr>
        <w:t xml:space="preserve"> </w:t>
      </w:r>
      <w:r>
        <w:rPr>
          <w:spacing w:val="-2"/>
          <w:sz w:val="35"/>
          <w:szCs w:val="35"/>
          <w14:textOutline w14:w="6537" w14:cap="sq" w14:cmpd="sng">
            <w14:solidFill>
              <w14:srgbClr w14:val="000000"/>
            </w14:solidFill>
            <w14:prstDash w14:val="solid"/>
            <w14:bevel/>
          </w14:textOutline>
        </w:rPr>
        <w:t>定</w:t>
      </w:r>
      <w:r>
        <w:rPr>
          <w:spacing w:val="-81"/>
          <w:sz w:val="35"/>
          <w:szCs w:val="35"/>
        </w:rPr>
        <w:t xml:space="preserve"> </w:t>
      </w:r>
      <w:r>
        <w:rPr>
          <w:spacing w:val="-2"/>
          <w:sz w:val="35"/>
          <w:szCs w:val="35"/>
          <w14:textOutline w14:w="6537" w14:cap="sq" w14:cmpd="sng">
            <w14:solidFill>
              <w14:srgbClr w14:val="000000"/>
            </w14:solidFill>
            <w14:prstDash w14:val="solid"/>
            <w14:bevel/>
          </w14:textOutline>
        </w:rPr>
        <w:t>代</w:t>
      </w:r>
      <w:r>
        <w:rPr>
          <w:spacing w:val="-74"/>
          <w:sz w:val="35"/>
          <w:szCs w:val="35"/>
        </w:rPr>
        <w:t xml:space="preserve"> </w:t>
      </w:r>
      <w:r>
        <w:rPr>
          <w:spacing w:val="-2"/>
          <w:sz w:val="35"/>
          <w:szCs w:val="35"/>
          <w14:textOutline w14:w="6537" w14:cap="sq" w14:cmpd="sng">
            <w14:solidFill>
              <w14:srgbClr w14:val="000000"/>
            </w14:solidFill>
            <w14:prstDash w14:val="solid"/>
            <w14:bevel/>
          </w14:textOutline>
        </w:rPr>
        <w:t>表</w:t>
      </w:r>
      <w:r>
        <w:rPr>
          <w:spacing w:val="-76"/>
          <w:sz w:val="35"/>
          <w:szCs w:val="35"/>
        </w:rPr>
        <w:t xml:space="preserve"> </w:t>
      </w:r>
      <w:r>
        <w:rPr>
          <w:spacing w:val="-2"/>
          <w:sz w:val="35"/>
          <w:szCs w:val="35"/>
          <w14:textOutline w14:w="6537" w14:cap="sq" w14:cmpd="sng">
            <w14:solidFill>
              <w14:srgbClr w14:val="000000"/>
            </w14:solidFill>
            <w14:prstDash w14:val="solid"/>
            <w14:bevel/>
          </w14:textOutline>
        </w:rPr>
        <w:t>人</w:t>
      </w:r>
      <w:r>
        <w:rPr>
          <w:spacing w:val="-73"/>
          <w:sz w:val="35"/>
          <w:szCs w:val="35"/>
        </w:rPr>
        <w:t xml:space="preserve"> </w:t>
      </w:r>
      <w:r>
        <w:rPr>
          <w:spacing w:val="-2"/>
          <w:sz w:val="35"/>
          <w:szCs w:val="35"/>
          <w14:textOutline w14:w="6537" w14:cap="sq" w14:cmpd="sng">
            <w14:solidFill>
              <w14:srgbClr w14:val="000000"/>
            </w14:solidFill>
            <w14:prstDash w14:val="solid"/>
            <w14:bevel/>
          </w14:textOutline>
        </w:rPr>
        <w:t>身</w:t>
      </w:r>
      <w:r>
        <w:rPr>
          <w:spacing w:val="-81"/>
          <w:sz w:val="35"/>
          <w:szCs w:val="35"/>
        </w:rPr>
        <w:t xml:space="preserve"> </w:t>
      </w:r>
      <w:r>
        <w:rPr>
          <w:spacing w:val="-2"/>
          <w:sz w:val="35"/>
          <w:szCs w:val="35"/>
          <w14:textOutline w14:w="6537" w14:cap="sq" w14:cmpd="sng">
            <w14:solidFill>
              <w14:srgbClr w14:val="000000"/>
            </w14:solidFill>
            <w14:prstDash w14:val="solid"/>
            <w14:bevel/>
          </w14:textOutline>
        </w:rPr>
        <w:t>份</w:t>
      </w:r>
      <w:r>
        <w:rPr>
          <w:spacing w:val="-81"/>
          <w:sz w:val="35"/>
          <w:szCs w:val="35"/>
        </w:rPr>
        <w:t xml:space="preserve"> </w:t>
      </w:r>
      <w:r>
        <w:rPr>
          <w:spacing w:val="-2"/>
          <w:sz w:val="35"/>
          <w:szCs w:val="35"/>
          <w14:textOutline w14:w="6537" w14:cap="sq" w14:cmpd="sng">
            <w14:solidFill>
              <w14:srgbClr w14:val="000000"/>
            </w14:solidFill>
            <w14:prstDash w14:val="solid"/>
            <w14:bevel/>
          </w14:textOutline>
        </w:rPr>
        <w:t>证</w:t>
      </w:r>
      <w:r>
        <w:rPr>
          <w:spacing w:val="-62"/>
          <w:sz w:val="35"/>
          <w:szCs w:val="35"/>
        </w:rPr>
        <w:t xml:space="preserve"> </w:t>
      </w:r>
      <w:r>
        <w:rPr>
          <w:spacing w:val="-2"/>
          <w:sz w:val="35"/>
          <w:szCs w:val="35"/>
          <w14:textOutline w14:w="6537" w14:cap="sq" w14:cmpd="sng">
            <w14:solidFill>
              <w14:srgbClr w14:val="000000"/>
            </w14:solidFill>
            <w14:prstDash w14:val="solid"/>
            <w14:bevel/>
          </w14:textOutline>
        </w:rPr>
        <w:t>明</w:t>
      </w: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78" w:line="220" w:lineRule="auto"/>
        <w:ind w:left="488"/>
        <w:rPr>
          <w:rFonts w:ascii="宋体" w:hAnsi="宋体" w:eastAsia="宋体" w:cs="宋体"/>
          <w:sz w:val="24"/>
          <w:szCs w:val="24"/>
        </w:rPr>
      </w:pPr>
      <w:r>
        <w:rPr>
          <w:rFonts w:ascii="宋体" w:hAnsi="宋体" w:eastAsia="宋体" w:cs="宋体"/>
          <w:spacing w:val="-3"/>
          <w:sz w:val="24"/>
          <w:szCs w:val="24"/>
        </w:rPr>
        <w:t>投标人名称：</w:t>
      </w:r>
      <w:r>
        <w:rPr>
          <w:rFonts w:ascii="宋体" w:hAnsi="宋体" w:eastAsia="宋体" w:cs="宋体"/>
          <w:sz w:val="24"/>
          <w:szCs w:val="24"/>
          <w:u w:val="single" w:color="auto"/>
        </w:rPr>
        <w:t xml:space="preserve">                        </w:t>
      </w:r>
    </w:p>
    <w:p>
      <w:pPr>
        <w:spacing w:before="215" w:line="219" w:lineRule="auto"/>
        <w:ind w:left="485"/>
        <w:rPr>
          <w:rFonts w:ascii="宋体" w:hAnsi="宋体" w:eastAsia="宋体" w:cs="宋体"/>
          <w:sz w:val="24"/>
          <w:szCs w:val="24"/>
        </w:rPr>
      </w:pPr>
      <w:r>
        <w:rPr>
          <w:rFonts w:ascii="宋体" w:hAnsi="宋体" w:eastAsia="宋体" w:cs="宋体"/>
          <w:spacing w:val="-1"/>
          <w:sz w:val="24"/>
          <w:szCs w:val="24"/>
        </w:rPr>
        <w:t>姓名</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u w:val="single" w:color="auto"/>
        </w:rPr>
        <w:t>（</w:t>
      </w:r>
      <w:r>
        <w:rPr>
          <w:rFonts w:ascii="宋体" w:hAnsi="宋体" w:eastAsia="宋体" w:cs="宋体"/>
          <w:spacing w:val="-1"/>
          <w:sz w:val="24"/>
          <w:szCs w:val="24"/>
          <w:u w:val="single" w:color="auto"/>
        </w:rPr>
        <w:t xml:space="preserve">法定代表人亲笔签名） </w:t>
      </w:r>
      <w:r>
        <w:rPr>
          <w:rFonts w:ascii="宋体" w:hAnsi="宋体" w:eastAsia="宋体" w:cs="宋体"/>
          <w:spacing w:val="-1"/>
          <w:sz w:val="24"/>
          <w:szCs w:val="24"/>
        </w:rPr>
        <w:t xml:space="preserve">  性别：</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年龄：</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职务：</w:t>
      </w:r>
      <w:r>
        <w:rPr>
          <w:rFonts w:ascii="宋体" w:hAnsi="宋体" w:eastAsia="宋体" w:cs="宋体"/>
          <w:spacing w:val="-1"/>
          <w:sz w:val="24"/>
          <w:szCs w:val="24"/>
          <w:u w:val="single" w:color="auto"/>
        </w:rPr>
        <w:t xml:space="preserve">      </w:t>
      </w:r>
    </w:p>
    <w:p>
      <w:pPr>
        <w:spacing w:before="214" w:line="384" w:lineRule="auto"/>
        <w:ind w:left="490"/>
        <w:rPr>
          <w:rFonts w:ascii="宋体" w:hAnsi="宋体" w:eastAsia="宋体" w:cs="宋体"/>
          <w:sz w:val="24"/>
          <w:szCs w:val="24"/>
        </w:rPr>
      </w:pPr>
      <w:r>
        <w:rPr>
          <w:rFonts w:ascii="宋体" w:hAnsi="宋体" w:eastAsia="宋体" w:cs="宋体"/>
          <w:spacing w:val="-1"/>
          <w:sz w:val="24"/>
          <w:szCs w:val="24"/>
        </w:rPr>
        <w:t>系</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（投标人名称）的法定代表人。</w:t>
      </w:r>
    </w:p>
    <w:p>
      <w:pPr>
        <w:spacing w:before="1" w:line="219" w:lineRule="auto"/>
        <w:ind w:left="965"/>
        <w:rPr>
          <w:rFonts w:ascii="宋体" w:hAnsi="宋体" w:eastAsia="宋体" w:cs="宋体"/>
          <w:sz w:val="24"/>
          <w:szCs w:val="24"/>
        </w:rPr>
      </w:pPr>
      <w:r>
        <w:rPr>
          <w:rFonts w:ascii="宋体" w:hAnsi="宋体" w:eastAsia="宋体" w:cs="宋体"/>
          <w:spacing w:val="-2"/>
          <w:sz w:val="24"/>
          <w:szCs w:val="24"/>
        </w:rPr>
        <w:t>特此证明。</w:t>
      </w:r>
    </w:p>
    <w:p>
      <w:pPr>
        <w:spacing w:line="316" w:lineRule="auto"/>
        <w:rPr>
          <w:rFonts w:ascii="Arial"/>
          <w:sz w:val="21"/>
        </w:rPr>
      </w:pPr>
    </w:p>
    <w:p>
      <w:pPr>
        <w:spacing w:line="317" w:lineRule="auto"/>
        <w:rPr>
          <w:rFonts w:ascii="Arial"/>
          <w:sz w:val="21"/>
        </w:rPr>
      </w:pPr>
    </w:p>
    <w:p>
      <w:pPr>
        <w:spacing w:before="78" w:line="219" w:lineRule="auto"/>
        <w:ind w:left="984"/>
        <w:rPr>
          <w:rFonts w:ascii="宋体" w:hAnsi="宋体" w:eastAsia="宋体" w:cs="宋体"/>
          <w:sz w:val="24"/>
          <w:szCs w:val="24"/>
        </w:rPr>
      </w:pPr>
      <w:r>
        <w:rPr>
          <w:rFonts w:ascii="宋体" w:hAnsi="宋体" w:eastAsia="宋体" w:cs="宋体"/>
          <w:spacing w:val="-3"/>
          <w:sz w:val="24"/>
          <w:szCs w:val="24"/>
        </w:rPr>
        <w:t>附：法定代表人身份证复印件。</w:t>
      </w:r>
    </w:p>
    <w:p>
      <w:pPr>
        <w:spacing w:line="317" w:lineRule="auto"/>
        <w:rPr>
          <w:rFonts w:ascii="Arial"/>
          <w:sz w:val="21"/>
        </w:rPr>
      </w:pPr>
    </w:p>
    <w:p>
      <w:pPr>
        <w:spacing w:line="317" w:lineRule="auto"/>
        <w:rPr>
          <w:rFonts w:ascii="Arial"/>
          <w:sz w:val="21"/>
        </w:rPr>
      </w:pPr>
    </w:p>
    <w:p>
      <w:pPr>
        <w:spacing w:before="79" w:line="323" w:lineRule="auto"/>
        <w:ind w:left="5168"/>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pPr>
        <w:tabs>
          <w:tab w:val="left" w:pos="7315"/>
        </w:tabs>
        <w:spacing w:line="219" w:lineRule="auto"/>
        <w:ind w:left="6595"/>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6" w:line="227" w:lineRule="auto"/>
        <w:ind w:left="844"/>
        <w:rPr>
          <w:rFonts w:ascii="宋体" w:hAnsi="宋体" w:eastAsia="宋体" w:cs="宋体"/>
          <w:sz w:val="20"/>
          <w:szCs w:val="20"/>
        </w:rPr>
      </w:pPr>
      <w:r>
        <w:rPr>
          <w:rFonts w:ascii="宋体" w:hAnsi="宋体" w:eastAsia="宋体" w:cs="宋体"/>
          <w:spacing w:val="8"/>
          <w:sz w:val="20"/>
          <w:szCs w:val="20"/>
        </w:rPr>
        <w:t>注：法定代表人的签字必须是亲笔签名，不得使用印章、签名章或其</w:t>
      </w:r>
      <w:r>
        <w:rPr>
          <w:rFonts w:ascii="宋体" w:hAnsi="宋体" w:eastAsia="宋体" w:cs="宋体"/>
          <w:spacing w:val="7"/>
          <w:sz w:val="20"/>
          <w:szCs w:val="20"/>
        </w:rPr>
        <w:t>他电子制版签名代替。</w:t>
      </w:r>
    </w:p>
    <w:p>
      <w:pPr>
        <w:spacing w:line="378" w:lineRule="auto"/>
        <w:rPr>
          <w:rFonts w:ascii="Arial"/>
          <w:sz w:val="21"/>
        </w:rPr>
      </w:pPr>
    </w:p>
    <w:p>
      <w:pPr>
        <w:pStyle w:val="4"/>
        <w:spacing w:before="114" w:line="242" w:lineRule="auto"/>
        <w:jc w:val="both"/>
        <w:outlineLvl w:val="0"/>
        <w:rPr>
          <w:spacing w:val="3"/>
          <w:sz w:val="35"/>
          <w:szCs w:val="35"/>
          <w14:textOutline w14:w="6537" w14:cap="sq" w14:cmpd="sng">
            <w14:solidFill>
              <w14:srgbClr w14:val="000000"/>
            </w14:solidFill>
            <w14:prstDash w14:val="solid"/>
            <w14:bevel/>
          </w14:textOutline>
        </w:rPr>
      </w:pPr>
    </w:p>
    <w:p>
      <w:pPr>
        <w:pStyle w:val="4"/>
        <w:spacing w:before="114" w:line="242" w:lineRule="auto"/>
        <w:jc w:val="center"/>
        <w:outlineLvl w:val="0"/>
        <w:rPr>
          <w:spacing w:val="3"/>
          <w:sz w:val="35"/>
          <w:szCs w:val="35"/>
          <w14:textOutline w14:w="6537" w14:cap="sq" w14:cmpd="sng">
            <w14:solidFill>
              <w14:srgbClr w14:val="000000"/>
            </w14:solidFill>
            <w14:prstDash w14:val="solid"/>
            <w14:bevel/>
          </w14:textOutline>
        </w:rPr>
      </w:pPr>
    </w:p>
    <w:p>
      <w:pPr>
        <w:pStyle w:val="4"/>
        <w:spacing w:before="114" w:line="242" w:lineRule="auto"/>
        <w:jc w:val="center"/>
        <w:outlineLvl w:val="0"/>
        <w:rPr>
          <w:spacing w:val="3"/>
          <w:sz w:val="35"/>
          <w:szCs w:val="35"/>
          <w14:textOutline w14:w="6537" w14:cap="sq" w14:cmpd="sng">
            <w14:solidFill>
              <w14:srgbClr w14:val="000000"/>
            </w14:solidFill>
            <w14:prstDash w14:val="solid"/>
            <w14:bevel/>
          </w14:textOutline>
        </w:rPr>
      </w:pPr>
    </w:p>
    <w:p>
      <w:pPr>
        <w:pStyle w:val="4"/>
        <w:spacing w:before="114" w:line="242" w:lineRule="auto"/>
        <w:jc w:val="center"/>
        <w:outlineLvl w:val="0"/>
        <w:rPr>
          <w:spacing w:val="3"/>
          <w:sz w:val="35"/>
          <w:szCs w:val="35"/>
          <w14:textOutline w14:w="6537" w14:cap="sq" w14:cmpd="sng">
            <w14:solidFill>
              <w14:srgbClr w14:val="000000"/>
            </w14:solidFill>
            <w14:prstDash w14:val="solid"/>
            <w14:bevel/>
          </w14:textOutline>
        </w:rPr>
      </w:pPr>
    </w:p>
    <w:p>
      <w:pPr>
        <w:pStyle w:val="4"/>
        <w:spacing w:before="114" w:line="242" w:lineRule="auto"/>
        <w:jc w:val="center"/>
        <w:outlineLvl w:val="0"/>
        <w:rPr>
          <w:rFonts w:hint="eastAsia" w:ascii="宋体" w:hAnsi="宋体" w:eastAsia="黑体" w:cs="宋体"/>
          <w:sz w:val="18"/>
          <w:szCs w:val="18"/>
          <w:lang w:eastAsia="zh-CN"/>
        </w:rPr>
      </w:pPr>
      <w:r>
        <w:rPr>
          <w:spacing w:val="3"/>
          <w:sz w:val="35"/>
          <w:szCs w:val="35"/>
          <w14:textOutline w14:w="6537" w14:cap="sq" w14:cmpd="sng">
            <w14:solidFill>
              <w14:srgbClr w14:val="000000"/>
            </w14:solidFill>
            <w14:prstDash w14:val="solid"/>
            <w14:bevel/>
          </w14:textOutline>
        </w:rPr>
        <w:t>三</w:t>
      </w:r>
      <w:r>
        <w:rPr>
          <w:spacing w:val="-34"/>
          <w:sz w:val="35"/>
          <w:szCs w:val="35"/>
        </w:rPr>
        <w:t xml:space="preserve"> </w:t>
      </w:r>
      <w:r>
        <w:rPr>
          <w:spacing w:val="3"/>
          <w:sz w:val="35"/>
          <w:szCs w:val="35"/>
          <w14:textOutline w14:w="6537" w14:cap="sq" w14:cmpd="sng">
            <w14:solidFill>
              <w14:srgbClr w14:val="000000"/>
            </w14:solidFill>
            <w14:prstDash w14:val="solid"/>
            <w14:bevel/>
          </w14:textOutline>
        </w:rPr>
        <w:t>、</w:t>
      </w:r>
      <w:r>
        <w:rPr>
          <w:spacing w:val="-71"/>
          <w:sz w:val="35"/>
          <w:szCs w:val="35"/>
        </w:rPr>
        <w:t xml:space="preserve"> </w:t>
      </w:r>
      <w:r>
        <w:rPr>
          <w:spacing w:val="3"/>
          <w:sz w:val="35"/>
          <w:szCs w:val="35"/>
          <w14:textOutline w14:w="6537" w14:cap="sq" w14:cmpd="sng">
            <w14:solidFill>
              <w14:srgbClr w14:val="000000"/>
            </w14:solidFill>
            <w14:prstDash w14:val="solid"/>
            <w14:bevel/>
          </w14:textOutline>
        </w:rPr>
        <w:t>联</w:t>
      </w:r>
      <w:r>
        <w:rPr>
          <w:spacing w:val="-78"/>
          <w:sz w:val="35"/>
          <w:szCs w:val="35"/>
        </w:rPr>
        <w:t xml:space="preserve"> </w:t>
      </w:r>
      <w:r>
        <w:rPr>
          <w:spacing w:val="3"/>
          <w:sz w:val="35"/>
          <w:szCs w:val="35"/>
          <w14:textOutline w14:w="6537" w14:cap="sq" w14:cmpd="sng">
            <w14:solidFill>
              <w14:srgbClr w14:val="000000"/>
            </w14:solidFill>
            <w14:prstDash w14:val="solid"/>
            <w14:bevel/>
          </w14:textOutline>
        </w:rPr>
        <w:t>合</w:t>
      </w:r>
      <w:r>
        <w:rPr>
          <w:spacing w:val="-81"/>
          <w:sz w:val="35"/>
          <w:szCs w:val="35"/>
        </w:rPr>
        <w:t xml:space="preserve"> </w:t>
      </w:r>
      <w:r>
        <w:rPr>
          <w:spacing w:val="3"/>
          <w:sz w:val="35"/>
          <w:szCs w:val="35"/>
          <w14:textOutline w14:w="6537" w14:cap="sq" w14:cmpd="sng">
            <w14:solidFill>
              <w14:srgbClr w14:val="000000"/>
            </w14:solidFill>
            <w14:prstDash w14:val="solid"/>
            <w14:bevel/>
          </w14:textOutline>
        </w:rPr>
        <w:t>体</w:t>
      </w:r>
      <w:r>
        <w:rPr>
          <w:spacing w:val="-81"/>
          <w:sz w:val="35"/>
          <w:szCs w:val="35"/>
        </w:rPr>
        <w:t xml:space="preserve"> </w:t>
      </w:r>
      <w:r>
        <w:rPr>
          <w:spacing w:val="3"/>
          <w:sz w:val="35"/>
          <w:szCs w:val="35"/>
          <w14:textOutline w14:w="6537" w14:cap="sq" w14:cmpd="sng">
            <w14:solidFill>
              <w14:srgbClr w14:val="000000"/>
            </w14:solidFill>
            <w14:prstDash w14:val="solid"/>
            <w14:bevel/>
          </w14:textOutline>
        </w:rPr>
        <w:t>协</w:t>
      </w:r>
      <w:r>
        <w:rPr>
          <w:spacing w:val="-79"/>
          <w:sz w:val="35"/>
          <w:szCs w:val="35"/>
        </w:rPr>
        <w:t xml:space="preserve"> </w:t>
      </w:r>
      <w:r>
        <w:rPr>
          <w:spacing w:val="3"/>
          <w:sz w:val="35"/>
          <w:szCs w:val="35"/>
          <w14:textOutline w14:w="6537" w14:cap="sq" w14:cmpd="sng">
            <w14:solidFill>
              <w14:srgbClr w14:val="000000"/>
            </w14:solidFill>
            <w14:prstDash w14:val="solid"/>
            <w14:bevel/>
          </w14:textOutline>
        </w:rPr>
        <w:t>议</w:t>
      </w:r>
      <w:r>
        <w:rPr>
          <w:spacing w:val="-71"/>
          <w:sz w:val="35"/>
          <w:szCs w:val="35"/>
        </w:rPr>
        <w:t xml:space="preserve"> </w:t>
      </w:r>
      <w:r>
        <w:rPr>
          <w:spacing w:val="3"/>
          <w:sz w:val="35"/>
          <w:szCs w:val="35"/>
          <w14:textOutline w14:w="6537" w14:cap="sq" w14:cmpd="sng">
            <w14:solidFill>
              <w14:srgbClr w14:val="000000"/>
            </w14:solidFill>
            <w14:prstDash w14:val="solid"/>
            <w14:bevel/>
          </w14:textOutline>
        </w:rPr>
        <w:t>书</w:t>
      </w:r>
      <w:r>
        <w:rPr>
          <w:rFonts w:hint="eastAsia"/>
          <w:spacing w:val="3"/>
          <w:sz w:val="35"/>
          <w:szCs w:val="35"/>
          <w:lang w:eastAsia="zh-CN"/>
          <w14:textOutline w14:w="6537" w14:cap="sq" w14:cmpd="sng">
            <w14:solidFill>
              <w14:srgbClr w14:val="000000"/>
            </w14:solidFill>
            <w14:prstDash w14:val="solid"/>
            <w14:bevel/>
          </w14:textOutline>
        </w:rPr>
        <w:t>（如有）</w:t>
      </w:r>
    </w:p>
    <w:p>
      <w:pPr>
        <w:spacing w:line="449" w:lineRule="auto"/>
        <w:rPr>
          <w:rFonts w:ascii="Arial"/>
          <w:sz w:val="21"/>
        </w:rPr>
      </w:pPr>
    </w:p>
    <w:p>
      <w:pPr>
        <w:tabs>
          <w:tab w:val="left" w:pos="2637"/>
        </w:tabs>
        <w:spacing w:before="78" w:line="278" w:lineRule="auto"/>
        <w:ind w:left="9" w:right="291" w:firstLine="469"/>
        <w:jc w:val="both"/>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3"/>
          <w:sz w:val="24"/>
          <w:szCs w:val="24"/>
        </w:rPr>
        <w:t>（所有成员单位名称）</w:t>
      </w:r>
      <w:r>
        <w:rPr>
          <w:rFonts w:ascii="宋体" w:hAnsi="宋体" w:eastAsia="宋体" w:cs="宋体"/>
          <w:spacing w:val="-71"/>
          <w:sz w:val="24"/>
          <w:szCs w:val="24"/>
        </w:rPr>
        <w:t xml:space="preserve"> </w:t>
      </w:r>
      <w:r>
        <w:rPr>
          <w:rFonts w:ascii="宋体" w:hAnsi="宋体" w:eastAsia="宋体" w:cs="宋体"/>
          <w:spacing w:val="-3"/>
          <w:sz w:val="24"/>
          <w:szCs w:val="24"/>
        </w:rPr>
        <w:t>自愿组成</w:t>
      </w:r>
      <w:r>
        <w:rPr>
          <w:rFonts w:ascii="宋体" w:hAnsi="宋体" w:eastAsia="宋体" w:cs="宋体"/>
          <w:spacing w:val="-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3"/>
          <w:sz w:val="24"/>
          <w:szCs w:val="24"/>
        </w:rPr>
        <w:t>(联合</w:t>
      </w:r>
      <w:r>
        <w:rPr>
          <w:rFonts w:ascii="宋体" w:hAnsi="宋体" w:eastAsia="宋体" w:cs="宋体"/>
          <w:spacing w:val="-4"/>
          <w:sz w:val="24"/>
          <w:szCs w:val="24"/>
        </w:rPr>
        <w:t>体名称）联</w:t>
      </w:r>
      <w:r>
        <w:rPr>
          <w:rFonts w:ascii="宋体" w:hAnsi="宋体" w:eastAsia="宋体" w:cs="宋体"/>
          <w:sz w:val="24"/>
          <w:szCs w:val="24"/>
        </w:rPr>
        <w:t xml:space="preserve"> </w:t>
      </w:r>
      <w:r>
        <w:rPr>
          <w:rFonts w:ascii="宋体" w:hAnsi="宋体" w:eastAsia="宋体" w:cs="宋体"/>
          <w:spacing w:val="-2"/>
          <w:sz w:val="24"/>
          <w:szCs w:val="24"/>
        </w:rPr>
        <w:t>合体，共同参加</w:t>
      </w:r>
      <w:r>
        <w:rPr>
          <w:rFonts w:ascii="宋体" w:hAnsi="宋体" w:eastAsia="宋体" w:cs="宋体"/>
          <w:spacing w:val="-2"/>
          <w:sz w:val="24"/>
          <w:szCs w:val="24"/>
          <w:u w:val="single" w:color="auto"/>
        </w:rPr>
        <w:t xml:space="preserve">         (项目名称）</w:t>
      </w:r>
      <w:r>
        <w:rPr>
          <w:rFonts w:ascii="宋体" w:hAnsi="宋体" w:eastAsia="宋体" w:cs="宋体"/>
          <w:spacing w:val="9"/>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rPr>
        <w:t>施工投标。现就联合体投标事</w:t>
      </w:r>
      <w:r>
        <w:rPr>
          <w:rFonts w:ascii="宋体" w:hAnsi="宋体" w:eastAsia="宋体" w:cs="宋体"/>
          <w:spacing w:val="1"/>
          <w:sz w:val="24"/>
          <w:szCs w:val="24"/>
        </w:rPr>
        <w:t xml:space="preserve"> </w:t>
      </w:r>
      <w:r>
        <w:rPr>
          <w:rFonts w:ascii="宋体" w:hAnsi="宋体" w:eastAsia="宋体" w:cs="宋体"/>
          <w:spacing w:val="-2"/>
          <w:sz w:val="24"/>
          <w:szCs w:val="24"/>
        </w:rPr>
        <w:t>宜订立如下协议。</w:t>
      </w:r>
    </w:p>
    <w:p>
      <w:pPr>
        <w:spacing w:before="114" w:line="219" w:lineRule="auto"/>
        <w:ind w:left="626"/>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（某成员单位名称）为</w:t>
      </w:r>
      <w:r>
        <w:rPr>
          <w:rFonts w:ascii="宋体" w:hAnsi="宋体" w:eastAsia="宋体" w:cs="宋体"/>
          <w:spacing w:val="-2"/>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2"/>
          <w:sz w:val="24"/>
          <w:szCs w:val="24"/>
        </w:rPr>
        <w:t>(联合体名称）牵头人。</w:t>
      </w:r>
    </w:p>
    <w:p>
      <w:pPr>
        <w:spacing w:before="117" w:line="307" w:lineRule="auto"/>
        <w:ind w:left="12" w:right="230" w:firstLine="599"/>
        <w:rPr>
          <w:rFonts w:ascii="宋体" w:hAnsi="宋体" w:eastAsia="宋体" w:cs="宋体"/>
          <w:sz w:val="24"/>
          <w:szCs w:val="24"/>
        </w:rPr>
      </w:pPr>
      <w:r>
        <w:rPr>
          <w:rFonts w:ascii="宋体" w:hAnsi="宋体" w:eastAsia="宋体" w:cs="宋体"/>
          <w:spacing w:val="-2"/>
          <w:sz w:val="24"/>
          <w:szCs w:val="24"/>
        </w:rPr>
        <w:t>2. 联合体各成员授权牵头人代表联合体参加投标活动，签署文件，提交和接收相</w:t>
      </w:r>
      <w:r>
        <w:rPr>
          <w:rFonts w:ascii="宋体" w:hAnsi="宋体" w:eastAsia="宋体" w:cs="宋体"/>
          <w:spacing w:val="7"/>
          <w:sz w:val="24"/>
          <w:szCs w:val="24"/>
        </w:rPr>
        <w:t xml:space="preserve"> </w:t>
      </w:r>
      <w:r>
        <w:rPr>
          <w:rFonts w:ascii="宋体" w:hAnsi="宋体" w:eastAsia="宋体" w:cs="宋体"/>
          <w:spacing w:val="-3"/>
          <w:sz w:val="24"/>
          <w:szCs w:val="24"/>
        </w:rPr>
        <w:t>关的资料、 信息及指示， 进行合同谈判活动， 负责合同实施阶段的组织</w:t>
      </w:r>
      <w:r>
        <w:rPr>
          <w:rFonts w:ascii="宋体" w:hAnsi="宋体" w:eastAsia="宋体" w:cs="宋体"/>
          <w:spacing w:val="-4"/>
          <w:sz w:val="24"/>
          <w:szCs w:val="24"/>
        </w:rPr>
        <w:t>和协调工作，</w:t>
      </w:r>
    </w:p>
    <w:p>
      <w:pPr>
        <w:spacing w:line="218" w:lineRule="auto"/>
        <w:ind w:left="35"/>
        <w:rPr>
          <w:rFonts w:ascii="宋体" w:hAnsi="宋体" w:eastAsia="宋体" w:cs="宋体"/>
          <w:sz w:val="24"/>
          <w:szCs w:val="24"/>
        </w:rPr>
      </w:pPr>
      <w:r>
        <w:rPr>
          <w:rFonts w:ascii="宋体" w:hAnsi="宋体" w:eastAsia="宋体" w:cs="宋体"/>
          <w:spacing w:val="-3"/>
          <w:sz w:val="24"/>
          <w:szCs w:val="24"/>
        </w:rPr>
        <w:t>以及处理与本招标项目有关的一切事宜。</w:t>
      </w:r>
    </w:p>
    <w:p>
      <w:pPr>
        <w:spacing w:before="118" w:line="307" w:lineRule="auto"/>
        <w:ind w:left="15" w:right="291" w:firstLine="597"/>
        <w:rPr>
          <w:rFonts w:ascii="宋体" w:hAnsi="宋体" w:eastAsia="宋体" w:cs="宋体"/>
          <w:sz w:val="24"/>
          <w:szCs w:val="24"/>
        </w:rPr>
      </w:pPr>
      <w:r>
        <w:rPr>
          <w:rFonts w:ascii="宋体" w:hAnsi="宋体" w:eastAsia="宋体" w:cs="宋体"/>
          <w:spacing w:val="-2"/>
          <w:sz w:val="24"/>
          <w:szCs w:val="24"/>
        </w:rPr>
        <w:t>3. 联合体牵头人在本项目中签署的一切文件和处理的一切事宜，联合体各成员均</w:t>
      </w:r>
      <w:r>
        <w:rPr>
          <w:rFonts w:ascii="宋体" w:hAnsi="宋体" w:eastAsia="宋体" w:cs="宋体"/>
          <w:spacing w:val="6"/>
          <w:sz w:val="24"/>
          <w:szCs w:val="24"/>
        </w:rPr>
        <w:t xml:space="preserve"> </w:t>
      </w:r>
      <w:r>
        <w:rPr>
          <w:rFonts w:ascii="宋体" w:hAnsi="宋体" w:eastAsia="宋体" w:cs="宋体"/>
          <w:spacing w:val="-2"/>
          <w:sz w:val="24"/>
          <w:szCs w:val="24"/>
        </w:rPr>
        <w:t>予以承认。联合体各成员将严格按照招标文件、投标文件和合同的要求全面履行义务，</w:t>
      </w:r>
    </w:p>
    <w:p>
      <w:pPr>
        <w:spacing w:line="219" w:lineRule="auto"/>
        <w:ind w:left="14"/>
        <w:rPr>
          <w:rFonts w:ascii="宋体" w:hAnsi="宋体" w:eastAsia="宋体" w:cs="宋体"/>
          <w:sz w:val="24"/>
          <w:szCs w:val="24"/>
        </w:rPr>
      </w:pPr>
      <w:r>
        <w:rPr>
          <w:rFonts w:ascii="宋体" w:hAnsi="宋体" w:eastAsia="宋体" w:cs="宋体"/>
          <w:spacing w:val="-2"/>
          <w:sz w:val="24"/>
          <w:szCs w:val="24"/>
        </w:rPr>
        <w:t>并向招标人承担连带责任。</w:t>
      </w:r>
    </w:p>
    <w:p>
      <w:pPr>
        <w:spacing w:before="115" w:line="219" w:lineRule="auto"/>
        <w:ind w:left="607"/>
        <w:rPr>
          <w:rFonts w:ascii="宋体" w:hAnsi="宋体" w:eastAsia="宋体" w:cs="宋体"/>
          <w:sz w:val="24"/>
          <w:szCs w:val="24"/>
        </w:rPr>
      </w:pPr>
      <w:r>
        <w:rPr>
          <w:rFonts w:ascii="宋体" w:hAnsi="宋体" w:eastAsia="宋体" w:cs="宋体"/>
          <w:sz w:val="24"/>
          <w:szCs w:val="24"/>
        </w:rPr>
        <w:t>4.联合体各成员单位内部的职责分工如下</w:t>
      </w:r>
      <w:r>
        <w:rPr>
          <w:rFonts w:ascii="宋体" w:hAnsi="宋体" w:eastAsia="宋体" w:cs="宋体"/>
          <w:spacing w:val="-10"/>
          <w:sz w:val="24"/>
          <w:szCs w:val="24"/>
        </w:rPr>
        <w:t>：</w:t>
      </w:r>
      <w:r>
        <w:rPr>
          <w:rFonts w:ascii="宋体" w:hAnsi="宋体" w:eastAsia="宋体" w:cs="宋体"/>
          <w:sz w:val="24"/>
          <w:szCs w:val="24"/>
          <w:u w:val="single" w:color="auto"/>
        </w:rPr>
        <w:t xml:space="preserve"> </w:t>
      </w:r>
      <w:r>
        <w:rPr>
          <w:rFonts w:ascii="宋体" w:hAnsi="宋体" w:eastAsia="宋体" w:cs="宋体"/>
          <w:spacing w:val="-10"/>
          <w:sz w:val="24"/>
          <w:szCs w:val="24"/>
          <w:u w:val="single" w:color="auto"/>
        </w:rPr>
        <w:t>（</w:t>
      </w:r>
      <w:r>
        <w:rPr>
          <w:rFonts w:ascii="宋体" w:hAnsi="宋体" w:eastAsia="宋体" w:cs="宋体"/>
          <w:sz w:val="24"/>
          <w:szCs w:val="24"/>
          <w:u w:val="single" w:color="auto"/>
        </w:rPr>
        <w:t>牵头人名称）</w:t>
      </w:r>
      <w:r>
        <w:rPr>
          <w:rFonts w:ascii="宋体" w:hAnsi="宋体" w:eastAsia="宋体" w:cs="宋体"/>
          <w:sz w:val="24"/>
          <w:szCs w:val="24"/>
        </w:rPr>
        <w:t>承担</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z w:val="24"/>
          <w:szCs w:val="24"/>
        </w:rPr>
        <w:t>专业工</w:t>
      </w:r>
    </w:p>
    <w:p>
      <w:pPr>
        <w:spacing w:before="115" w:line="184" w:lineRule="auto"/>
        <w:ind w:left="7"/>
        <w:rPr>
          <w:rFonts w:ascii="宋体" w:hAnsi="宋体" w:eastAsia="宋体" w:cs="宋体"/>
          <w:sz w:val="24"/>
          <w:szCs w:val="24"/>
        </w:rPr>
      </w:pPr>
      <w:r>
        <mc:AlternateContent>
          <mc:Choice Requires="wps">
            <w:drawing>
              <wp:anchor distT="0" distB="0" distL="114300" distR="114300" simplePos="0" relativeHeight="251679744" behindDoc="0" locked="0" layoutInCell="1" allowOverlap="1">
                <wp:simplePos x="0" y="0"/>
                <wp:positionH relativeFrom="column">
                  <wp:posOffset>5721985</wp:posOffset>
                </wp:positionH>
                <wp:positionV relativeFrom="paragraph">
                  <wp:posOffset>158115</wp:posOffset>
                </wp:positionV>
                <wp:extent cx="132080" cy="102235"/>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32080" cy="102235"/>
                        </a:xfrm>
                        <a:prstGeom prst="rect">
                          <a:avLst/>
                        </a:prstGeom>
                        <a:noFill/>
                        <a:ln>
                          <a:noFill/>
                        </a:ln>
                      </wps:spPr>
                      <wps:txbx>
                        <w:txbxContent>
                          <w:p>
                            <w:pPr>
                              <w:spacing w:before="20" w:line="120" w:lineRule="exact"/>
                              <w:jc w:val="right"/>
                              <w:rPr>
                                <w:rFonts w:ascii="宋体" w:hAnsi="宋体" w:eastAsia="宋体" w:cs="宋体"/>
                                <w:sz w:val="24"/>
                                <w:szCs w:val="24"/>
                              </w:rPr>
                            </w:pPr>
                            <w:r>
                              <w:rPr>
                                <w:rFonts w:ascii="宋体" w:hAnsi="宋体" w:eastAsia="宋体" w:cs="宋体"/>
                                <w:spacing w:val="-62"/>
                                <w:w w:val="95"/>
                                <w:position w:val="1"/>
                                <w:sz w:val="24"/>
                                <w:szCs w:val="24"/>
                              </w:rPr>
                              <w:t>。</w:t>
                            </w:r>
                          </w:p>
                        </w:txbxContent>
                      </wps:txbx>
                      <wps:bodyPr lIns="0" tIns="0" rIns="0" bIns="0" upright="1"/>
                    </wps:wsp>
                  </a:graphicData>
                </a:graphic>
              </wp:anchor>
            </w:drawing>
          </mc:Choice>
          <mc:Fallback>
            <w:pict>
              <v:shape id="_x0000_s1026" o:spid="_x0000_s1026" o:spt="202" type="#_x0000_t202" style="position:absolute;left:0pt;margin-left:450.55pt;margin-top:12.45pt;height:8.05pt;width:10.4pt;z-index:251679744;mso-width-relative:page;mso-height-relative:page;" filled="f" stroked="f" coordsize="21600,21600" o:gfxdata="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RFHtcAAAAJAQAADwAAAAAAAAABACAAAAAiAAAAZHJzL2Rvd25yZXYueG1sUEsBAhQA&#10;FAAAAAgAh07iQKcXv3q6AQAAcwMAAA4AAAAAAAAAAQAgAAAAJgEAAGRycy9lMm9Eb2MueG1sUEsF&#10;BgAAAAAGAAYAWQEAAFIFAAAAAA==&#10;">
                <v:fill on="f" focussize="0,0"/>
                <v:stroke on="f"/>
                <v:imagedata o:title=""/>
                <o:lock v:ext="edit" aspectratio="f"/>
                <v:textbox inset="0mm,0mm,0mm,0mm">
                  <w:txbxContent>
                    <w:p>
                      <w:pPr>
                        <w:spacing w:before="20" w:line="120" w:lineRule="exact"/>
                        <w:jc w:val="right"/>
                        <w:rPr>
                          <w:rFonts w:ascii="宋体" w:hAnsi="宋体" w:eastAsia="宋体" w:cs="宋体"/>
                          <w:sz w:val="24"/>
                          <w:szCs w:val="24"/>
                        </w:rPr>
                      </w:pPr>
                      <w:r>
                        <w:rPr>
                          <w:rFonts w:ascii="宋体" w:hAnsi="宋体" w:eastAsia="宋体" w:cs="宋体"/>
                          <w:spacing w:val="-62"/>
                          <w:w w:val="95"/>
                          <w:position w:val="1"/>
                          <w:sz w:val="24"/>
                          <w:szCs w:val="24"/>
                        </w:rPr>
                        <w:t>。</w:t>
                      </w:r>
                    </w:p>
                  </w:txbxContent>
                </v:textbox>
              </v:shape>
            </w:pict>
          </mc:Fallback>
        </mc:AlternateContent>
      </w:r>
      <w:r>
        <w:rPr>
          <w:rFonts w:ascii="宋体" w:hAnsi="宋体" w:eastAsia="宋体" w:cs="宋体"/>
          <w:spacing w:val="-9"/>
          <w:sz w:val="24"/>
          <w:szCs w:val="24"/>
        </w:rPr>
        <w:t>程，占总工程量的</w:t>
      </w:r>
      <w:r>
        <w:rPr>
          <w:rFonts w:ascii="宋体" w:hAnsi="宋体" w:eastAsia="宋体" w:cs="宋体"/>
          <w:spacing w:val="-9"/>
          <w:sz w:val="24"/>
          <w:szCs w:val="24"/>
          <w:u w:val="single" w:color="auto"/>
        </w:rPr>
        <w:t xml:space="preserve">    </w:t>
      </w:r>
      <w:r>
        <w:rPr>
          <w:rFonts w:ascii="宋体" w:hAnsi="宋体" w:eastAsia="宋体" w:cs="宋体"/>
          <w:spacing w:val="-116"/>
          <w:sz w:val="24"/>
          <w:szCs w:val="24"/>
        </w:rPr>
        <w:t xml:space="preserve"> </w:t>
      </w:r>
      <w:r>
        <w:rPr>
          <w:rFonts w:ascii="宋体" w:hAnsi="宋体" w:eastAsia="宋体" w:cs="宋体"/>
          <w:spacing w:val="-9"/>
          <w:sz w:val="24"/>
          <w:szCs w:val="24"/>
        </w:rPr>
        <w:t>%</w:t>
      </w:r>
      <w:r>
        <w:rPr>
          <w:rFonts w:ascii="宋体" w:hAnsi="宋体" w:eastAsia="宋体" w:cs="宋体"/>
          <w:spacing w:val="-44"/>
          <w:w w:val="69"/>
          <w:sz w:val="24"/>
          <w:szCs w:val="24"/>
        </w:rPr>
        <w:t>；</w:t>
      </w:r>
      <w:r>
        <w:rPr>
          <w:rFonts w:ascii="宋体" w:hAnsi="宋体" w:eastAsia="宋体" w:cs="宋体"/>
          <w:spacing w:val="-44"/>
          <w:w w:val="69"/>
          <w:sz w:val="24"/>
          <w:szCs w:val="24"/>
          <w:u w:val="single" w:color="auto"/>
        </w:rPr>
        <w:t>（</w:t>
      </w:r>
      <w:r>
        <w:rPr>
          <w:rFonts w:ascii="宋体" w:hAnsi="宋体" w:eastAsia="宋体" w:cs="宋体"/>
          <w:spacing w:val="-9"/>
          <w:sz w:val="24"/>
          <w:szCs w:val="24"/>
          <w:u w:val="single" w:color="auto"/>
        </w:rPr>
        <w:t>成员一名称）</w:t>
      </w:r>
      <w:r>
        <w:rPr>
          <w:rFonts w:ascii="宋体" w:hAnsi="宋体" w:eastAsia="宋体" w:cs="宋体"/>
          <w:spacing w:val="-9"/>
          <w:sz w:val="24"/>
          <w:szCs w:val="24"/>
        </w:rPr>
        <w:t>承担</w:t>
      </w:r>
      <w:r>
        <w:rPr>
          <w:rFonts w:ascii="宋体" w:hAnsi="宋体" w:eastAsia="宋体" w:cs="宋体"/>
          <w:spacing w:val="-9"/>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9"/>
          <w:sz w:val="24"/>
          <w:szCs w:val="24"/>
        </w:rPr>
        <w:t>专业工程，占总工程量的</w:t>
      </w:r>
      <w:r>
        <w:rPr>
          <w:rFonts w:ascii="宋体" w:hAnsi="宋体" w:eastAsia="宋体" w:cs="宋体"/>
          <w:spacing w:val="59"/>
          <w:sz w:val="24"/>
          <w:szCs w:val="24"/>
          <w:u w:val="single" w:color="auto"/>
        </w:rPr>
        <w:t xml:space="preserve">  </w:t>
      </w:r>
      <w:r>
        <w:rPr>
          <w:rFonts w:ascii="宋体" w:hAnsi="宋体" w:eastAsia="宋体" w:cs="宋体"/>
          <w:spacing w:val="-115"/>
          <w:sz w:val="24"/>
          <w:szCs w:val="24"/>
        </w:rPr>
        <w:t xml:space="preserve"> </w:t>
      </w:r>
      <w:r>
        <w:rPr>
          <w:rFonts w:ascii="宋体" w:hAnsi="宋体" w:eastAsia="宋体" w:cs="宋体"/>
          <w:spacing w:val="-10"/>
          <w:sz w:val="24"/>
          <w:szCs w:val="24"/>
        </w:rPr>
        <w:t>%；……</w:t>
      </w:r>
    </w:p>
    <w:p>
      <w:pPr>
        <w:spacing w:before="161" w:line="401" w:lineRule="exact"/>
        <w:ind w:left="613"/>
        <w:rPr>
          <w:rFonts w:ascii="宋体" w:hAnsi="宋体" w:eastAsia="宋体" w:cs="宋体"/>
          <w:sz w:val="24"/>
          <w:szCs w:val="24"/>
        </w:rPr>
      </w:pPr>
      <w:r>
        <w:rPr>
          <w:rFonts w:ascii="宋体" w:hAnsi="宋体" w:eastAsia="宋体" w:cs="宋体"/>
          <w:position w:val="11"/>
          <w:sz w:val="24"/>
          <w:szCs w:val="24"/>
        </w:rPr>
        <w:t>5.投标工作和联合体在中标后工程实施过程</w:t>
      </w:r>
      <w:r>
        <w:rPr>
          <w:rFonts w:ascii="宋体" w:hAnsi="宋体" w:eastAsia="宋体" w:cs="宋体"/>
          <w:spacing w:val="-1"/>
          <w:position w:val="11"/>
          <w:sz w:val="24"/>
          <w:szCs w:val="24"/>
        </w:rPr>
        <w:t>中的有关费用按各自承担的工作量分</w:t>
      </w:r>
    </w:p>
    <w:p>
      <w:pPr>
        <w:spacing w:line="219" w:lineRule="auto"/>
        <w:ind w:left="7"/>
        <w:rPr>
          <w:rFonts w:ascii="宋体" w:hAnsi="宋体" w:eastAsia="宋体" w:cs="宋体"/>
          <w:sz w:val="24"/>
          <w:szCs w:val="24"/>
        </w:rPr>
      </w:pPr>
      <w:r>
        <w:rPr>
          <w:rFonts w:ascii="宋体" w:hAnsi="宋体" w:eastAsia="宋体" w:cs="宋体"/>
          <w:spacing w:val="-5"/>
          <w:sz w:val="24"/>
          <w:szCs w:val="24"/>
        </w:rPr>
        <w:t>摊。</w:t>
      </w:r>
    </w:p>
    <w:p>
      <w:pPr>
        <w:spacing w:before="114" w:line="400" w:lineRule="exact"/>
        <w:ind w:left="610"/>
        <w:rPr>
          <w:rFonts w:ascii="宋体" w:hAnsi="宋体" w:eastAsia="宋体" w:cs="宋体"/>
          <w:sz w:val="24"/>
          <w:szCs w:val="24"/>
        </w:rPr>
      </w:pPr>
      <w:r>
        <w:rPr>
          <w:rFonts w:ascii="宋体" w:hAnsi="宋体" w:eastAsia="宋体" w:cs="宋体"/>
          <w:spacing w:val="-2"/>
          <w:position w:val="11"/>
          <w:sz w:val="24"/>
          <w:szCs w:val="24"/>
        </w:rPr>
        <w:t>6. 本协议书自所有成员单位法定代表人签字并加盖单位章之日起生效，合同履行</w:t>
      </w:r>
    </w:p>
    <w:p>
      <w:pPr>
        <w:spacing w:before="1" w:line="219" w:lineRule="auto"/>
        <w:ind w:left="10"/>
        <w:rPr>
          <w:rFonts w:ascii="宋体" w:hAnsi="宋体" w:eastAsia="宋体" w:cs="宋体"/>
          <w:sz w:val="24"/>
          <w:szCs w:val="24"/>
        </w:rPr>
      </w:pPr>
      <w:r>
        <w:rPr>
          <w:rFonts w:ascii="宋体" w:hAnsi="宋体" w:eastAsia="宋体" w:cs="宋体"/>
          <w:spacing w:val="-2"/>
          <w:sz w:val="24"/>
          <w:szCs w:val="24"/>
        </w:rPr>
        <w:t>完毕后自动失效。</w:t>
      </w:r>
    </w:p>
    <w:p>
      <w:pPr>
        <w:spacing w:before="115" w:line="219" w:lineRule="auto"/>
        <w:ind w:left="614"/>
        <w:rPr>
          <w:rFonts w:ascii="宋体" w:hAnsi="宋体" w:eastAsia="宋体" w:cs="宋体"/>
          <w:sz w:val="24"/>
          <w:szCs w:val="24"/>
        </w:rPr>
      </w:pPr>
      <w:r>
        <w:rPr>
          <w:rFonts w:ascii="宋体" w:hAnsi="宋体" w:eastAsia="宋体" w:cs="宋体"/>
          <w:spacing w:val="-1"/>
          <w:sz w:val="24"/>
          <w:szCs w:val="24"/>
        </w:rPr>
        <w:t>7.本协议书一式</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份，联合体成员和招标人各执一份。</w:t>
      </w:r>
    </w:p>
    <w:p>
      <w:pPr>
        <w:spacing w:line="252" w:lineRule="auto"/>
        <w:rPr>
          <w:rFonts w:ascii="Arial"/>
          <w:sz w:val="21"/>
        </w:rPr>
      </w:pPr>
    </w:p>
    <w:p>
      <w:pPr>
        <w:spacing w:line="253" w:lineRule="auto"/>
        <w:rPr>
          <w:rFonts w:ascii="Arial"/>
          <w:sz w:val="21"/>
        </w:rPr>
      </w:pPr>
    </w:p>
    <w:p>
      <w:pPr>
        <w:spacing w:before="79" w:line="338" w:lineRule="auto"/>
        <w:ind w:left="9"/>
        <w:rPr>
          <w:rFonts w:ascii="宋体" w:hAnsi="宋体" w:eastAsia="宋体" w:cs="宋体"/>
          <w:sz w:val="24"/>
          <w:szCs w:val="24"/>
        </w:rPr>
      </w:pPr>
      <w:r>
        <w:rPr>
          <w:rFonts w:ascii="宋体" w:hAnsi="宋体" w:eastAsia="宋体" w:cs="宋体"/>
          <w:spacing w:val="1"/>
          <w:sz w:val="24"/>
          <w:szCs w:val="24"/>
        </w:rPr>
        <w:t>联合体牵头人名称</w:t>
      </w:r>
      <w:r>
        <w:rPr>
          <w:rFonts w:ascii="宋体" w:hAnsi="宋体" w:eastAsia="宋体" w:cs="宋体"/>
          <w:spacing w:val="-13"/>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1"/>
          <w:sz w:val="24"/>
          <w:szCs w:val="24"/>
        </w:rPr>
        <w:t>盖单位章）</w:t>
      </w:r>
    </w:p>
    <w:p>
      <w:pPr>
        <w:spacing w:line="219" w:lineRule="auto"/>
        <w:ind w:left="9"/>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签字）</w:t>
      </w:r>
    </w:p>
    <w:p>
      <w:pPr>
        <w:spacing w:line="257" w:lineRule="auto"/>
        <w:rPr>
          <w:rFonts w:ascii="Arial"/>
          <w:sz w:val="21"/>
        </w:rPr>
      </w:pPr>
    </w:p>
    <w:p>
      <w:pPr>
        <w:spacing w:line="257" w:lineRule="auto"/>
        <w:rPr>
          <w:rFonts w:ascii="Arial"/>
          <w:sz w:val="21"/>
        </w:rPr>
      </w:pPr>
    </w:p>
    <w:p>
      <w:pPr>
        <w:spacing w:before="78" w:line="338" w:lineRule="auto"/>
        <w:ind w:left="9"/>
        <w:rPr>
          <w:rFonts w:ascii="宋体" w:hAnsi="宋体" w:eastAsia="宋体" w:cs="宋体"/>
          <w:sz w:val="24"/>
          <w:szCs w:val="24"/>
        </w:rPr>
      </w:pPr>
      <w:r>
        <w:rPr>
          <w:rFonts w:ascii="宋体" w:hAnsi="宋体" w:eastAsia="宋体" w:cs="宋体"/>
          <w:spacing w:val="1"/>
          <w:sz w:val="24"/>
          <w:szCs w:val="24"/>
        </w:rPr>
        <w:t>联合体成员一名称</w:t>
      </w:r>
      <w:r>
        <w:rPr>
          <w:rFonts w:ascii="宋体" w:hAnsi="宋体" w:eastAsia="宋体" w:cs="宋体"/>
          <w:spacing w:val="-13"/>
          <w:sz w:val="24"/>
          <w:szCs w:val="24"/>
        </w:rPr>
        <w:t>：</w:t>
      </w:r>
      <w:r>
        <w:rPr>
          <w:rFonts w:ascii="宋体" w:hAnsi="宋体" w:eastAsia="宋体" w:cs="宋体"/>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1"/>
          <w:sz w:val="24"/>
          <w:szCs w:val="24"/>
        </w:rPr>
        <w:t>盖单位章）</w:t>
      </w:r>
    </w:p>
    <w:p>
      <w:pPr>
        <w:spacing w:before="1" w:line="219" w:lineRule="auto"/>
        <w:ind w:left="9"/>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签字）</w:t>
      </w:r>
    </w:p>
    <w:p>
      <w:pPr>
        <w:spacing w:line="257" w:lineRule="auto"/>
        <w:rPr>
          <w:rFonts w:ascii="Arial"/>
          <w:sz w:val="21"/>
        </w:rPr>
      </w:pPr>
    </w:p>
    <w:p>
      <w:pPr>
        <w:spacing w:line="257" w:lineRule="auto"/>
        <w:rPr>
          <w:rFonts w:ascii="Arial"/>
          <w:sz w:val="21"/>
        </w:rPr>
      </w:pPr>
    </w:p>
    <w:p>
      <w:pPr>
        <w:spacing w:before="78" w:line="338" w:lineRule="auto"/>
        <w:ind w:left="9"/>
        <w:rPr>
          <w:rFonts w:ascii="宋体" w:hAnsi="宋体" w:eastAsia="宋体" w:cs="宋体"/>
          <w:sz w:val="24"/>
          <w:szCs w:val="24"/>
        </w:rPr>
      </w:pPr>
      <w:r>
        <w:rPr>
          <w:rFonts w:ascii="宋体" w:hAnsi="宋体" w:eastAsia="宋体" w:cs="宋体"/>
          <w:spacing w:val="1"/>
          <w:sz w:val="24"/>
          <w:szCs w:val="24"/>
        </w:rPr>
        <w:t>联合体成员二名称</w:t>
      </w:r>
      <w:r>
        <w:rPr>
          <w:rFonts w:ascii="宋体" w:hAnsi="宋体" w:eastAsia="宋体" w:cs="宋体"/>
          <w:spacing w:val="-13"/>
          <w:sz w:val="24"/>
          <w:szCs w:val="24"/>
        </w:rPr>
        <w:t>：</w:t>
      </w:r>
      <w:r>
        <w:rPr>
          <w:rFonts w:ascii="宋体" w:hAnsi="宋体" w:eastAsia="宋体" w:cs="宋体"/>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1"/>
          <w:sz w:val="24"/>
          <w:szCs w:val="24"/>
        </w:rPr>
        <w:t>盖单位章）</w:t>
      </w:r>
    </w:p>
    <w:p>
      <w:pPr>
        <w:spacing w:before="1" w:line="219" w:lineRule="auto"/>
        <w:ind w:left="9"/>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签字）</w:t>
      </w:r>
    </w:p>
    <w:p>
      <w:pPr>
        <w:spacing w:before="156" w:line="378" w:lineRule="exact"/>
        <w:ind w:left="23"/>
        <w:rPr>
          <w:rFonts w:ascii="宋体" w:hAnsi="宋体" w:eastAsia="宋体" w:cs="宋体"/>
          <w:sz w:val="24"/>
          <w:szCs w:val="24"/>
        </w:rPr>
      </w:pPr>
      <w:r>
        <w:rPr>
          <w:rFonts w:ascii="宋体" w:hAnsi="宋体" w:eastAsia="宋体" w:cs="宋体"/>
          <w:spacing w:val="-13"/>
          <w:position w:val="3"/>
          <w:sz w:val="24"/>
          <w:szCs w:val="24"/>
        </w:rPr>
        <w:t>……</w:t>
      </w:r>
    </w:p>
    <w:p>
      <w:pPr>
        <w:tabs>
          <w:tab w:val="left" w:pos="5157"/>
        </w:tabs>
        <w:spacing w:before="62" w:line="219" w:lineRule="auto"/>
        <w:ind w:left="467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406" w:lineRule="auto"/>
        <w:rPr>
          <w:rFonts w:ascii="Arial"/>
          <w:sz w:val="21"/>
        </w:rPr>
      </w:pPr>
    </w:p>
    <w:p>
      <w:pPr>
        <w:pStyle w:val="4"/>
        <w:spacing w:before="113" w:line="228" w:lineRule="auto"/>
        <w:ind w:left="3025"/>
        <w:outlineLvl w:val="0"/>
        <w:rPr>
          <w:spacing w:val="42"/>
          <w:sz w:val="35"/>
          <w:szCs w:val="35"/>
          <w14:textOutline w14:w="6537" w14:cap="sq" w14:cmpd="sng">
            <w14:solidFill>
              <w14:srgbClr w14:val="000000"/>
            </w14:solidFill>
            <w14:prstDash w14:val="solid"/>
            <w14:bevel/>
          </w14:textOutline>
        </w:rPr>
      </w:pPr>
    </w:p>
    <w:p>
      <w:pPr>
        <w:pStyle w:val="4"/>
        <w:spacing w:before="113" w:line="228" w:lineRule="auto"/>
        <w:ind w:left="3025"/>
        <w:outlineLvl w:val="0"/>
        <w:rPr>
          <w:sz w:val="35"/>
          <w:szCs w:val="35"/>
        </w:rPr>
      </w:pPr>
      <w:r>
        <w:rPr>
          <w:spacing w:val="42"/>
          <w:sz w:val="35"/>
          <w:szCs w:val="35"/>
          <w14:textOutline w14:w="6537" w14:cap="sq" w14:cmpd="sng">
            <w14:solidFill>
              <w14:srgbClr w14:val="000000"/>
            </w14:solidFill>
            <w14:prstDash w14:val="solid"/>
            <w14:bevel/>
          </w14:textOutline>
        </w:rPr>
        <w:t>四</w:t>
      </w:r>
      <w:r>
        <w:rPr>
          <w:spacing w:val="-40"/>
          <w:sz w:val="35"/>
          <w:szCs w:val="35"/>
        </w:rPr>
        <w:t xml:space="preserve"> </w:t>
      </w:r>
      <w:r>
        <w:rPr>
          <w:spacing w:val="42"/>
          <w:sz w:val="35"/>
          <w:szCs w:val="35"/>
          <w14:textOutline w14:w="6537" w14:cap="sq" w14:cmpd="sng">
            <w14:solidFill>
              <w14:srgbClr w14:val="000000"/>
            </w14:solidFill>
            <w14:prstDash w14:val="solid"/>
            <w14:bevel/>
          </w14:textOutline>
        </w:rPr>
        <w:t>、</w:t>
      </w:r>
      <w:r>
        <w:rPr>
          <w:spacing w:val="-76"/>
          <w:sz w:val="35"/>
          <w:szCs w:val="35"/>
        </w:rPr>
        <w:t xml:space="preserve"> </w:t>
      </w:r>
      <w:r>
        <w:rPr>
          <w:spacing w:val="42"/>
          <w:sz w:val="35"/>
          <w:szCs w:val="35"/>
          <w14:textOutline w14:w="6537" w14:cap="sq" w14:cmpd="sng">
            <w14:solidFill>
              <w14:srgbClr w14:val="000000"/>
            </w14:solidFill>
            <w14:prstDash w14:val="solid"/>
            <w14:bevel/>
          </w14:textOutline>
        </w:rPr>
        <w:t>投标保证金</w:t>
      </w:r>
    </w:p>
    <w:p>
      <w:pPr>
        <w:spacing w:line="376" w:lineRule="auto"/>
        <w:rPr>
          <w:rFonts w:ascii="Arial"/>
          <w:sz w:val="21"/>
        </w:rPr>
      </w:pPr>
    </w:p>
    <w:p>
      <w:pPr>
        <w:spacing w:before="78" w:line="308" w:lineRule="auto"/>
        <w:ind w:left="490"/>
        <w:rPr>
          <w:rFonts w:ascii="宋体" w:hAnsi="宋体" w:eastAsia="宋体" w:cs="宋体"/>
          <w:sz w:val="24"/>
          <w:szCs w:val="24"/>
        </w:rPr>
      </w:pPr>
      <w:r>
        <w:rPr>
          <w:rFonts w:ascii="宋体" w:hAnsi="宋体" w:eastAsia="宋体" w:cs="宋体"/>
          <w:spacing w:val="-1"/>
          <w:sz w:val="24"/>
          <w:szCs w:val="24"/>
        </w:rPr>
        <w:t>若采用</w:t>
      </w:r>
      <w:r>
        <w:rPr>
          <w:rFonts w:ascii="宋体" w:hAnsi="宋体" w:eastAsia="宋体" w:cs="宋体"/>
          <w:spacing w:val="-1"/>
          <w:sz w:val="24"/>
          <w:szCs w:val="24"/>
          <w:u w:val="single" w:color="auto"/>
        </w:rPr>
        <w:t>现金或支票</w:t>
      </w:r>
      <w:r>
        <w:rPr>
          <w:rFonts w:ascii="宋体" w:hAnsi="宋体" w:eastAsia="宋体" w:cs="宋体"/>
          <w:spacing w:val="-1"/>
          <w:sz w:val="24"/>
          <w:szCs w:val="24"/>
        </w:rPr>
        <w:t>，投标人应在此提供汇款等相关凭证的复印件。</w:t>
      </w:r>
    </w:p>
    <w:p>
      <w:pPr>
        <w:spacing w:line="218" w:lineRule="auto"/>
        <w:ind w:left="493"/>
        <w:rPr>
          <w:rFonts w:ascii="宋体" w:hAnsi="宋体" w:eastAsia="宋体" w:cs="宋体"/>
          <w:sz w:val="24"/>
          <w:szCs w:val="24"/>
        </w:rPr>
      </w:pPr>
      <w:r>
        <w:rPr>
          <w:rFonts w:ascii="宋体" w:hAnsi="宋体" w:eastAsia="宋体" w:cs="宋体"/>
          <w:spacing w:val="-1"/>
          <w:sz w:val="24"/>
          <w:szCs w:val="24"/>
        </w:rPr>
        <w:t>如采用银行保函，银行保函复印件装订在投标文件中，格式如下。</w:t>
      </w:r>
    </w:p>
    <w:p>
      <w:pPr>
        <w:spacing w:before="113" w:line="219" w:lineRule="auto"/>
        <w:ind w:left="493"/>
        <w:rPr>
          <w:rFonts w:ascii="宋体" w:hAnsi="宋体" w:eastAsia="宋体" w:cs="宋体"/>
          <w:sz w:val="24"/>
          <w:szCs w:val="24"/>
        </w:rPr>
      </w:pPr>
      <w:r>
        <w:rPr>
          <w:rFonts w:ascii="宋体" w:hAnsi="宋体" w:eastAsia="宋体" w:cs="宋体"/>
          <w:spacing w:val="-2"/>
          <w:sz w:val="24"/>
          <w:szCs w:val="24"/>
        </w:rPr>
        <w:t>如采用其他形式提交，应满足须知前附表</w:t>
      </w:r>
      <w:r>
        <w:rPr>
          <w:rFonts w:ascii="宋体" w:hAnsi="宋体" w:eastAsia="宋体" w:cs="宋体"/>
          <w:spacing w:val="-32"/>
          <w:sz w:val="24"/>
          <w:szCs w:val="24"/>
        </w:rPr>
        <w:t xml:space="preserve"> </w:t>
      </w:r>
      <w:r>
        <w:rPr>
          <w:rFonts w:ascii="宋体" w:hAnsi="宋体" w:eastAsia="宋体" w:cs="宋体"/>
          <w:spacing w:val="-2"/>
          <w:sz w:val="24"/>
          <w:szCs w:val="24"/>
        </w:rPr>
        <w:t>3.4.1</w:t>
      </w:r>
      <w:r>
        <w:rPr>
          <w:rFonts w:ascii="宋体" w:hAnsi="宋体" w:eastAsia="宋体" w:cs="宋体"/>
          <w:spacing w:val="-47"/>
          <w:sz w:val="24"/>
          <w:szCs w:val="24"/>
        </w:rPr>
        <w:t xml:space="preserve"> </w:t>
      </w:r>
      <w:r>
        <w:rPr>
          <w:rFonts w:ascii="宋体" w:hAnsi="宋体" w:eastAsia="宋体" w:cs="宋体"/>
          <w:spacing w:val="-2"/>
          <w:sz w:val="24"/>
          <w:szCs w:val="24"/>
        </w:rPr>
        <w:t>项的规定。</w:t>
      </w:r>
    </w:p>
    <w:p>
      <w:pPr>
        <w:spacing w:line="388" w:lineRule="auto"/>
        <w:rPr>
          <w:rFonts w:ascii="Arial"/>
          <w:sz w:val="21"/>
        </w:rPr>
      </w:pPr>
    </w:p>
    <w:p>
      <w:pPr>
        <w:spacing w:before="92" w:line="220" w:lineRule="auto"/>
        <w:ind w:left="3703"/>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投标银行保函格式</w:t>
      </w:r>
    </w:p>
    <w:p>
      <w:pPr>
        <w:spacing w:line="341" w:lineRule="auto"/>
        <w:rPr>
          <w:rFonts w:ascii="Arial"/>
          <w:sz w:val="21"/>
        </w:rPr>
      </w:pPr>
    </w:p>
    <w:p>
      <w:pPr>
        <w:tabs>
          <w:tab w:val="left" w:pos="1920"/>
        </w:tabs>
        <w:spacing w:before="78" w:line="22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（招标人名称）：</w:t>
      </w:r>
    </w:p>
    <w:p>
      <w:pPr>
        <w:spacing w:before="183" w:line="359" w:lineRule="auto"/>
        <w:ind w:left="10" w:right="291" w:firstLine="481"/>
        <w:rPr>
          <w:rFonts w:ascii="宋体" w:hAnsi="宋体" w:eastAsia="宋体" w:cs="宋体"/>
          <w:sz w:val="24"/>
          <w:szCs w:val="24"/>
        </w:rPr>
      </w:pPr>
      <w:r>
        <w:rPr>
          <w:rFonts w:ascii="宋体" w:hAnsi="宋体" w:eastAsia="宋体" w:cs="宋体"/>
          <w:spacing w:val="-2"/>
          <w:sz w:val="24"/>
          <w:szCs w:val="24"/>
        </w:rPr>
        <w:t>鉴于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pacing w:val="-2"/>
          <w:sz w:val="24"/>
          <w:szCs w:val="24"/>
        </w:rPr>
        <w:t>以下称“投标人</w:t>
      </w:r>
      <w:r>
        <w:rPr>
          <w:rFonts w:ascii="宋体" w:hAnsi="宋体" w:eastAsia="宋体" w:cs="宋体"/>
          <w:spacing w:val="-88"/>
          <w:sz w:val="24"/>
          <w:szCs w:val="24"/>
        </w:rPr>
        <w:t xml:space="preserve"> </w:t>
      </w:r>
      <w:r>
        <w:rPr>
          <w:rFonts w:ascii="宋体" w:hAnsi="宋体" w:eastAsia="宋体" w:cs="宋体"/>
          <w:spacing w:val="-2"/>
          <w:sz w:val="24"/>
          <w:szCs w:val="24"/>
        </w:rPr>
        <w:t>”）于</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月</w:t>
      </w:r>
      <w:r>
        <w:rPr>
          <w:rFonts w:ascii="宋体" w:hAnsi="宋体" w:eastAsia="宋体" w:cs="宋体"/>
          <w:spacing w:val="-2"/>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2"/>
          <w:sz w:val="24"/>
          <w:szCs w:val="24"/>
        </w:rPr>
        <w:t>日</w:t>
      </w:r>
      <w:r>
        <w:rPr>
          <w:rFonts w:ascii="宋体" w:hAnsi="宋体" w:eastAsia="宋体" w:cs="宋体"/>
          <w:sz w:val="24"/>
          <w:szCs w:val="24"/>
        </w:rPr>
        <w:t xml:space="preserve"> </w:t>
      </w:r>
      <w:r>
        <w:rPr>
          <w:rFonts w:ascii="宋体" w:hAnsi="宋体" w:eastAsia="宋体" w:cs="宋体"/>
          <w:spacing w:val="2"/>
          <w:sz w:val="24"/>
          <w:szCs w:val="24"/>
        </w:rPr>
        <w:t>参加</w:t>
      </w:r>
      <w:r>
        <w:rPr>
          <w:rFonts w:ascii="宋体" w:hAnsi="宋体" w:eastAsia="宋体" w:cs="宋体"/>
          <w:spacing w:val="10"/>
          <w:sz w:val="24"/>
          <w:szCs w:val="24"/>
          <w:u w:val="single" w:color="auto"/>
        </w:rPr>
        <w:t xml:space="preserve">           </w:t>
      </w:r>
      <w:r>
        <w:rPr>
          <w:rFonts w:ascii="宋体" w:hAnsi="宋体" w:eastAsia="宋体" w:cs="宋体"/>
          <w:spacing w:val="2"/>
          <w:sz w:val="24"/>
          <w:szCs w:val="24"/>
          <w:u w:val="single" w:color="auto"/>
        </w:rPr>
        <w:t xml:space="preserve">（项目名称）    </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rPr>
        <w:t>施工的投标</w:t>
      </w:r>
      <w:r>
        <w:rPr>
          <w:rFonts w:ascii="宋体" w:hAnsi="宋体" w:eastAsia="宋体" w:cs="宋体"/>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w:t>
      </w:r>
      <w:r>
        <w:rPr>
          <w:rFonts w:ascii="宋体" w:hAnsi="宋体" w:eastAsia="宋体" w:cs="宋体"/>
          <w:spacing w:val="2"/>
          <w:sz w:val="24"/>
          <w:szCs w:val="24"/>
        </w:rPr>
        <w:t>担</w:t>
      </w:r>
      <w:r>
        <w:rPr>
          <w:rFonts w:ascii="宋体" w:hAnsi="宋体" w:eastAsia="宋体" w:cs="宋体"/>
          <w:spacing w:val="10"/>
          <w:sz w:val="24"/>
          <w:szCs w:val="24"/>
        </w:rPr>
        <w:t xml:space="preserve"> </w:t>
      </w:r>
      <w:r>
        <w:rPr>
          <w:rFonts w:ascii="宋体" w:hAnsi="宋体" w:eastAsia="宋体" w:cs="宋体"/>
          <w:spacing w:val="-1"/>
          <w:sz w:val="24"/>
          <w:szCs w:val="24"/>
        </w:rPr>
        <w:t>保人名称，以下简称“我方</w:t>
      </w:r>
      <w:r>
        <w:rPr>
          <w:rFonts w:ascii="宋体" w:hAnsi="宋体" w:eastAsia="宋体" w:cs="宋体"/>
          <w:spacing w:val="-88"/>
          <w:sz w:val="24"/>
          <w:szCs w:val="24"/>
        </w:rPr>
        <w:t xml:space="preserve"> </w:t>
      </w:r>
      <w:r>
        <w:rPr>
          <w:rFonts w:ascii="宋体" w:hAnsi="宋体" w:eastAsia="宋体" w:cs="宋体"/>
          <w:spacing w:val="-1"/>
          <w:sz w:val="24"/>
          <w:szCs w:val="24"/>
        </w:rPr>
        <w:t>”）无条件地、不可撤销地保证： 若投标人</w:t>
      </w:r>
      <w:r>
        <w:rPr>
          <w:rFonts w:ascii="宋体" w:hAnsi="宋体" w:eastAsia="宋体" w:cs="宋体"/>
          <w:spacing w:val="-2"/>
          <w:sz w:val="24"/>
          <w:szCs w:val="24"/>
        </w:rPr>
        <w:t>在投标有效期</w:t>
      </w:r>
      <w:r>
        <w:rPr>
          <w:rFonts w:ascii="宋体" w:hAnsi="宋体" w:eastAsia="宋体" w:cs="宋体"/>
          <w:sz w:val="24"/>
          <w:szCs w:val="24"/>
        </w:rPr>
        <w:t xml:space="preserve"> </w:t>
      </w:r>
      <w:r>
        <w:rPr>
          <w:rFonts w:ascii="宋体" w:hAnsi="宋体" w:eastAsia="宋体" w:cs="宋体"/>
          <w:spacing w:val="-2"/>
          <w:sz w:val="24"/>
          <w:szCs w:val="24"/>
        </w:rPr>
        <w:t>内撤销投标文件，中标后无正当理由不与招标人订立合同 ， 在签订合同时向招标人提</w:t>
      </w:r>
      <w:r>
        <w:rPr>
          <w:rFonts w:ascii="宋体" w:hAnsi="宋体" w:eastAsia="宋体" w:cs="宋体"/>
          <w:spacing w:val="13"/>
          <w:sz w:val="24"/>
          <w:szCs w:val="24"/>
        </w:rPr>
        <w:t xml:space="preserve"> </w:t>
      </w:r>
      <w:r>
        <w:rPr>
          <w:rFonts w:ascii="宋体" w:hAnsi="宋体" w:eastAsia="宋体" w:cs="宋体"/>
          <w:spacing w:val="-3"/>
          <w:sz w:val="24"/>
          <w:szCs w:val="24"/>
        </w:rPr>
        <w:t>出附加条件</w:t>
      </w:r>
      <w:r>
        <w:rPr>
          <w:rFonts w:ascii="宋体" w:hAnsi="宋体" w:eastAsia="宋体" w:cs="宋体"/>
          <w:spacing w:val="29"/>
          <w:sz w:val="24"/>
          <w:szCs w:val="24"/>
        </w:rPr>
        <w:t xml:space="preserve"> </w:t>
      </w:r>
      <w:r>
        <w:rPr>
          <w:rFonts w:ascii="宋体" w:hAnsi="宋体" w:eastAsia="宋体" w:cs="宋体"/>
          <w:spacing w:val="-3"/>
          <w:sz w:val="24"/>
          <w:szCs w:val="24"/>
        </w:rPr>
        <w:t>， 不按照招标文件要求提交履约保证金</w:t>
      </w:r>
      <w:r>
        <w:rPr>
          <w:rFonts w:ascii="宋体" w:hAnsi="宋体" w:eastAsia="宋体" w:cs="宋体"/>
          <w:spacing w:val="29"/>
          <w:sz w:val="24"/>
          <w:szCs w:val="24"/>
        </w:rPr>
        <w:t xml:space="preserve"> </w:t>
      </w:r>
      <w:r>
        <w:rPr>
          <w:rFonts w:ascii="宋体" w:hAnsi="宋体" w:eastAsia="宋体" w:cs="宋体"/>
          <w:spacing w:val="-3"/>
          <w:sz w:val="24"/>
          <w:szCs w:val="24"/>
        </w:rPr>
        <w:t>， 或者发生</w:t>
      </w:r>
      <w:r>
        <w:rPr>
          <w:rFonts w:ascii="宋体" w:hAnsi="宋体" w:eastAsia="宋体" w:cs="宋体"/>
          <w:spacing w:val="-4"/>
          <w:sz w:val="24"/>
          <w:szCs w:val="24"/>
        </w:rPr>
        <w:t>招标文件明确规定可</w:t>
      </w:r>
      <w:r>
        <w:rPr>
          <w:rFonts w:ascii="宋体" w:hAnsi="宋体" w:eastAsia="宋体" w:cs="宋体"/>
          <w:sz w:val="24"/>
          <w:szCs w:val="24"/>
        </w:rPr>
        <w:t xml:space="preserve"> 以不予退还投标 保证金的其他情形，我方承担保证责任。</w:t>
      </w:r>
      <w:r>
        <w:rPr>
          <w:rFonts w:ascii="宋体" w:hAnsi="宋体" w:eastAsia="宋体" w:cs="宋体"/>
          <w:spacing w:val="-1"/>
          <w:sz w:val="24"/>
          <w:szCs w:val="24"/>
        </w:rPr>
        <w:t>收到你方书面通知后，我方</w:t>
      </w:r>
    </w:p>
    <w:p>
      <w:pPr>
        <w:spacing w:before="1" w:line="218" w:lineRule="auto"/>
        <w:ind w:left="8"/>
        <w:rPr>
          <w:rFonts w:ascii="宋体" w:hAnsi="宋体" w:eastAsia="宋体" w:cs="宋体"/>
          <w:sz w:val="24"/>
          <w:szCs w:val="24"/>
        </w:rPr>
      </w:pPr>
      <w:r>
        <w:rPr>
          <w:rFonts w:ascii="宋体" w:hAnsi="宋体" w:eastAsia="宋体" w:cs="宋体"/>
          <w:spacing w:val="-3"/>
          <w:sz w:val="24"/>
          <w:szCs w:val="24"/>
        </w:rPr>
        <w:t>在</w:t>
      </w:r>
      <w:r>
        <w:rPr>
          <w:rFonts w:ascii="宋体" w:hAnsi="宋体" w:eastAsia="宋体" w:cs="宋体"/>
          <w:spacing w:val="-36"/>
          <w:sz w:val="24"/>
          <w:szCs w:val="24"/>
        </w:rPr>
        <w:t xml:space="preserve"> </w:t>
      </w:r>
      <w:r>
        <w:rPr>
          <w:rFonts w:ascii="宋体" w:hAnsi="宋体" w:eastAsia="宋体" w:cs="宋体"/>
          <w:spacing w:val="-3"/>
          <w:sz w:val="24"/>
          <w:szCs w:val="24"/>
        </w:rPr>
        <w:t>7 日内向你方无条件支付人民币（大写）</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元。</w:t>
      </w:r>
    </w:p>
    <w:p>
      <w:pPr>
        <w:spacing w:before="181" w:line="468" w:lineRule="exact"/>
        <w:ind w:left="531"/>
        <w:rPr>
          <w:rFonts w:ascii="宋体" w:hAnsi="宋体" w:eastAsia="宋体" w:cs="宋体"/>
          <w:sz w:val="24"/>
          <w:szCs w:val="24"/>
        </w:rPr>
      </w:pPr>
      <w:r>
        <w:rPr>
          <w:rFonts w:ascii="宋体" w:hAnsi="宋体" w:eastAsia="宋体" w:cs="宋体"/>
          <w:spacing w:val="34"/>
          <w:position w:val="17"/>
          <w:sz w:val="24"/>
          <w:szCs w:val="24"/>
        </w:rPr>
        <w:t>本保函在投标有效期或经延长的投标有效期内保持有效。要求我方承担</w:t>
      </w:r>
    </w:p>
    <w:p>
      <w:pPr>
        <w:spacing w:before="1" w:line="219" w:lineRule="auto"/>
        <w:ind w:left="10"/>
        <w:rPr>
          <w:rFonts w:ascii="宋体" w:hAnsi="宋体" w:eastAsia="宋体" w:cs="宋体"/>
          <w:sz w:val="24"/>
          <w:szCs w:val="24"/>
        </w:rPr>
      </w:pPr>
      <w:r>
        <w:rPr>
          <w:rFonts w:ascii="宋体" w:hAnsi="宋体" w:eastAsia="宋体" w:cs="宋体"/>
          <w:spacing w:val="34"/>
          <w:sz w:val="24"/>
          <w:szCs w:val="24"/>
        </w:rPr>
        <w:t>保证责任的通知应在上述期限内送达我方</w:t>
      </w:r>
      <w:r>
        <w:rPr>
          <w:rFonts w:ascii="宋体" w:hAnsi="宋体" w:eastAsia="宋体" w:cs="宋体"/>
          <w:spacing w:val="-30"/>
          <w:sz w:val="24"/>
          <w:szCs w:val="24"/>
        </w:rPr>
        <w:t xml:space="preserve"> </w:t>
      </w:r>
      <w:r>
        <w:rPr>
          <w:rFonts w:ascii="宋体" w:hAnsi="宋体" w:eastAsia="宋体" w:cs="宋体"/>
          <w:spacing w:val="34"/>
          <w:sz w:val="24"/>
          <w:szCs w:val="24"/>
        </w:rPr>
        <w:t>。</w:t>
      </w:r>
      <w:r>
        <w:rPr>
          <w:rFonts w:ascii="宋体" w:hAnsi="宋体" w:eastAsia="宋体" w:cs="宋体"/>
          <w:spacing w:val="-69"/>
          <w:sz w:val="24"/>
          <w:szCs w:val="24"/>
        </w:rPr>
        <w:t xml:space="preserve"> </w:t>
      </w:r>
      <w:r>
        <w:rPr>
          <w:rFonts w:ascii="宋体" w:hAnsi="宋体" w:eastAsia="宋体" w:cs="宋体"/>
          <w:spacing w:val="34"/>
          <w:sz w:val="24"/>
          <w:szCs w:val="24"/>
        </w:rPr>
        <w:t>你方延长投标有效期的决定，</w:t>
      </w:r>
    </w:p>
    <w:p>
      <w:pPr>
        <w:spacing w:before="180" w:line="221" w:lineRule="auto"/>
        <w:ind w:left="9"/>
        <w:rPr>
          <w:rFonts w:ascii="宋体" w:hAnsi="宋体" w:eastAsia="宋体" w:cs="宋体"/>
          <w:sz w:val="24"/>
          <w:szCs w:val="24"/>
        </w:rPr>
      </w:pPr>
      <w:r>
        <w:rPr>
          <w:rFonts w:ascii="宋体" w:hAnsi="宋体" w:eastAsia="宋体" w:cs="宋体"/>
          <w:spacing w:val="31"/>
          <w:sz w:val="24"/>
          <w:szCs w:val="24"/>
        </w:rPr>
        <w:t>应通知我方。</w:t>
      </w:r>
    </w:p>
    <w:p>
      <w:pPr>
        <w:spacing w:line="283" w:lineRule="auto"/>
        <w:rPr>
          <w:rFonts w:ascii="Arial"/>
          <w:sz w:val="21"/>
        </w:rPr>
      </w:pPr>
    </w:p>
    <w:p>
      <w:pPr>
        <w:spacing w:line="283" w:lineRule="auto"/>
        <w:rPr>
          <w:rFonts w:ascii="Arial"/>
          <w:sz w:val="21"/>
        </w:rPr>
      </w:pPr>
    </w:p>
    <w:p>
      <w:pPr>
        <w:spacing w:before="79" w:line="359" w:lineRule="auto"/>
        <w:ind w:left="2529" w:right="839"/>
        <w:rPr>
          <w:rFonts w:ascii="宋体" w:hAnsi="宋体" w:eastAsia="宋体" w:cs="宋体"/>
          <w:sz w:val="24"/>
          <w:szCs w:val="24"/>
        </w:rPr>
      </w:pPr>
      <w:r>
        <w:rPr>
          <w:rFonts w:ascii="宋体" w:hAnsi="宋体" w:eastAsia="宋体" w:cs="宋体"/>
          <w:sz w:val="24"/>
          <w:szCs w:val="24"/>
        </w:rPr>
        <w:t>担保人名称</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z w:val="24"/>
          <w:szCs w:val="24"/>
        </w:rPr>
        <w:t>盖单位章） 法定代表人或其委托代理人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z w:val="24"/>
          <w:szCs w:val="24"/>
        </w:rPr>
        <w:t>签字）</w:t>
      </w:r>
      <w:r>
        <w:rPr>
          <w:rFonts w:ascii="宋体" w:hAnsi="宋体" w:eastAsia="宋体" w:cs="宋体"/>
          <w:spacing w:val="1"/>
          <w:sz w:val="24"/>
          <w:szCs w:val="24"/>
        </w:rPr>
        <w:t xml:space="preserve"> </w:t>
      </w:r>
      <w:r>
        <w:rPr>
          <w:rFonts w:ascii="宋体" w:hAnsi="宋体" w:eastAsia="宋体" w:cs="宋体"/>
          <w:spacing w:val="-3"/>
          <w:sz w:val="24"/>
          <w:szCs w:val="24"/>
        </w:rPr>
        <w:t>地</w:t>
      </w:r>
      <w:r>
        <w:rPr>
          <w:rFonts w:ascii="宋体" w:hAnsi="宋体" w:eastAsia="宋体" w:cs="宋体"/>
          <w:spacing w:val="2"/>
          <w:sz w:val="24"/>
          <w:szCs w:val="24"/>
        </w:rPr>
        <w:t xml:space="preserve">    </w:t>
      </w:r>
      <w:r>
        <w:rPr>
          <w:rFonts w:ascii="宋体" w:hAnsi="宋体" w:eastAsia="宋体" w:cs="宋体"/>
          <w:spacing w:val="-3"/>
          <w:sz w:val="24"/>
          <w:szCs w:val="24"/>
        </w:rPr>
        <w:t>址：</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2"/>
          <w:sz w:val="24"/>
          <w:szCs w:val="24"/>
        </w:rPr>
        <w:t xml:space="preserve"> </w:t>
      </w:r>
      <w:r>
        <w:rPr>
          <w:rFonts w:ascii="宋体" w:hAnsi="宋体" w:eastAsia="宋体" w:cs="宋体"/>
          <w:sz w:val="24"/>
          <w:szCs w:val="24"/>
        </w:rPr>
        <w:t>邮政编码：</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7"/>
          <w:sz w:val="24"/>
          <w:szCs w:val="24"/>
        </w:rPr>
        <w:t>电</w:t>
      </w:r>
      <w:r>
        <w:rPr>
          <w:rFonts w:ascii="宋体" w:hAnsi="宋体" w:eastAsia="宋体" w:cs="宋体"/>
          <w:spacing w:val="2"/>
          <w:sz w:val="24"/>
          <w:szCs w:val="24"/>
        </w:rPr>
        <w:t xml:space="preserve">    </w:t>
      </w:r>
      <w:r>
        <w:rPr>
          <w:rFonts w:ascii="宋体" w:hAnsi="宋体" w:eastAsia="宋体" w:cs="宋体"/>
          <w:spacing w:val="-7"/>
          <w:sz w:val="24"/>
          <w:szCs w:val="24"/>
        </w:rPr>
        <w:t>话：</w:t>
      </w:r>
      <w:r>
        <w:rPr>
          <w:rFonts w:ascii="宋体" w:hAnsi="宋体" w:eastAsia="宋体" w:cs="宋体"/>
          <w:sz w:val="24"/>
          <w:szCs w:val="24"/>
          <w:u w:val="single" w:color="auto"/>
        </w:rPr>
        <w:t xml:space="preserve">                                        </w:t>
      </w:r>
    </w:p>
    <w:p>
      <w:pPr>
        <w:spacing w:line="218" w:lineRule="auto"/>
        <w:ind w:left="2527"/>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r>
        <w:rPr>
          <w:rFonts w:ascii="宋体" w:hAnsi="宋体" w:eastAsia="宋体" w:cs="宋体"/>
          <w:sz w:val="24"/>
          <w:szCs w:val="24"/>
          <w:u w:val="single" w:color="auto"/>
        </w:rPr>
        <w:t xml:space="preserve">                                        </w:t>
      </w:r>
    </w:p>
    <w:p>
      <w:pPr>
        <w:tabs>
          <w:tab w:val="left" w:pos="6839"/>
        </w:tabs>
        <w:spacing w:before="185" w:line="219" w:lineRule="auto"/>
        <w:ind w:left="612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spacing w:line="345" w:lineRule="auto"/>
        <w:rPr>
          <w:rFonts w:ascii="Arial"/>
          <w:sz w:val="21"/>
        </w:rPr>
      </w:pPr>
    </w:p>
    <w:p>
      <w:pPr>
        <w:spacing w:line="346" w:lineRule="auto"/>
        <w:rPr>
          <w:rFonts w:ascii="Arial"/>
          <w:sz w:val="21"/>
        </w:rPr>
      </w:pPr>
    </w:p>
    <w:p>
      <w:pPr>
        <w:spacing w:before="65" w:line="239" w:lineRule="auto"/>
        <w:ind w:left="21" w:right="330" w:hanging="13"/>
        <w:rPr>
          <w:rFonts w:ascii="宋体" w:hAnsi="宋体" w:eastAsia="宋体" w:cs="宋体"/>
          <w:sz w:val="20"/>
          <w:szCs w:val="20"/>
        </w:rPr>
      </w:pPr>
      <w:r>
        <w:rPr>
          <w:rFonts w:ascii="宋体" w:hAnsi="宋体" w:eastAsia="宋体" w:cs="宋体"/>
          <w:spacing w:val="10"/>
          <w:sz w:val="20"/>
          <w:szCs w:val="20"/>
        </w:rPr>
        <w:t>注：本保函格式只作为参考，投标人可根据当地银行及相关规定的格式填</w:t>
      </w:r>
      <w:r>
        <w:rPr>
          <w:rFonts w:ascii="宋体" w:hAnsi="宋体" w:eastAsia="宋体" w:cs="宋体"/>
          <w:spacing w:val="9"/>
          <w:sz w:val="20"/>
          <w:szCs w:val="20"/>
        </w:rPr>
        <w:t>写，但主要内容须与本保</w:t>
      </w:r>
      <w:r>
        <w:rPr>
          <w:rFonts w:ascii="宋体" w:hAnsi="宋体" w:eastAsia="宋体" w:cs="宋体"/>
          <w:sz w:val="20"/>
          <w:szCs w:val="20"/>
        </w:rPr>
        <w:t xml:space="preserve"> </w:t>
      </w:r>
      <w:r>
        <w:rPr>
          <w:rFonts w:ascii="宋体" w:hAnsi="宋体" w:eastAsia="宋体" w:cs="宋体"/>
          <w:spacing w:val="8"/>
          <w:sz w:val="20"/>
          <w:szCs w:val="20"/>
        </w:rPr>
        <w:t>函内容原则上保持一致。如：</w:t>
      </w:r>
      <w:r>
        <w:rPr>
          <w:rFonts w:ascii="宋体" w:hAnsi="宋体" w:eastAsia="宋体" w:cs="宋体"/>
          <w:spacing w:val="-69"/>
          <w:sz w:val="20"/>
          <w:szCs w:val="20"/>
        </w:rPr>
        <w:t xml:space="preserve"> </w:t>
      </w:r>
      <w:r>
        <w:rPr>
          <w:rFonts w:ascii="宋体" w:hAnsi="宋体" w:eastAsia="宋体" w:cs="宋体"/>
          <w:spacing w:val="8"/>
          <w:sz w:val="20"/>
          <w:szCs w:val="20"/>
        </w:rPr>
        <w:t>“本保函在投标有效期或经延长的投标有效期内保持有效</w:t>
      </w:r>
      <w:r>
        <w:rPr>
          <w:rFonts w:ascii="宋体" w:hAnsi="宋体" w:eastAsia="宋体" w:cs="宋体"/>
          <w:spacing w:val="-69"/>
          <w:sz w:val="20"/>
          <w:szCs w:val="20"/>
        </w:rPr>
        <w:t xml:space="preserve"> </w:t>
      </w:r>
      <w:r>
        <w:rPr>
          <w:rFonts w:ascii="宋体" w:hAnsi="宋体" w:eastAsia="宋体" w:cs="宋体"/>
          <w:spacing w:val="8"/>
          <w:sz w:val="20"/>
          <w:szCs w:val="20"/>
        </w:rPr>
        <w:t>”可改为本</w:t>
      </w:r>
    </w:p>
    <w:p>
      <w:pPr>
        <w:spacing w:before="26" w:line="228" w:lineRule="auto"/>
        <w:ind w:left="8"/>
        <w:outlineLvl w:val="0"/>
        <w:rPr>
          <w:rFonts w:ascii="宋体" w:hAnsi="宋体" w:eastAsia="宋体" w:cs="宋体"/>
          <w:sz w:val="20"/>
          <w:szCs w:val="20"/>
        </w:rPr>
      </w:pPr>
      <w:r>
        <w:rPr>
          <w:rFonts w:ascii="宋体" w:hAnsi="宋体" w:eastAsia="宋体" w:cs="宋体"/>
          <w:spacing w:val="8"/>
          <w:sz w:val="20"/>
          <w:szCs w:val="20"/>
        </w:rPr>
        <w:t>保函自</w:t>
      </w:r>
      <w:r>
        <w:rPr>
          <w:rFonts w:ascii="宋体" w:hAnsi="宋体" w:eastAsia="宋体" w:cs="宋体"/>
          <w:spacing w:val="8"/>
          <w:sz w:val="20"/>
          <w:szCs w:val="20"/>
          <w:u w:val="single" w:color="auto"/>
        </w:rPr>
        <w:t xml:space="preserve">     （生效日期）</w:t>
      </w:r>
      <w:r>
        <w:rPr>
          <w:rFonts w:ascii="宋体" w:hAnsi="宋体" w:eastAsia="宋体" w:cs="宋体"/>
          <w:spacing w:val="8"/>
          <w:sz w:val="20"/>
          <w:szCs w:val="20"/>
        </w:rPr>
        <w:t>之日起生效，至</w:t>
      </w:r>
      <w:r>
        <w:rPr>
          <w:rFonts w:ascii="宋体" w:hAnsi="宋体" w:eastAsia="宋体" w:cs="宋体"/>
          <w:spacing w:val="8"/>
          <w:sz w:val="20"/>
          <w:szCs w:val="20"/>
          <w:u w:val="single" w:color="auto"/>
        </w:rPr>
        <w:t xml:space="preserve">  （失效日期）</w:t>
      </w:r>
      <w:r>
        <w:rPr>
          <w:rFonts w:ascii="宋体" w:hAnsi="宋体" w:eastAsia="宋体" w:cs="宋体"/>
          <w:spacing w:val="8"/>
          <w:sz w:val="20"/>
          <w:szCs w:val="20"/>
        </w:rPr>
        <w:t>之日失效。</w:t>
      </w:r>
    </w:p>
    <w:p>
      <w:pPr>
        <w:spacing w:line="285" w:lineRule="auto"/>
        <w:rPr>
          <w:rFonts w:ascii="Arial"/>
          <w:sz w:val="21"/>
        </w:rPr>
      </w:pPr>
    </w:p>
    <w:p>
      <w:pPr>
        <w:spacing w:line="286" w:lineRule="auto"/>
        <w:rPr>
          <w:rFonts w:ascii="Arial"/>
          <w:sz w:val="21"/>
        </w:rPr>
      </w:pPr>
    </w:p>
    <w:p>
      <w:pPr>
        <w:pStyle w:val="4"/>
        <w:spacing w:before="113" w:line="227" w:lineRule="auto"/>
        <w:ind w:left="3112"/>
        <w:rPr>
          <w:sz w:val="35"/>
          <w:szCs w:val="35"/>
        </w:rPr>
      </w:pPr>
      <w:r>
        <w:rPr>
          <w:spacing w:val="8"/>
          <w:sz w:val="35"/>
          <w:szCs w:val="35"/>
          <w14:textOutline w14:w="6537" w14:cap="sq" w14:cmpd="sng">
            <w14:solidFill>
              <w14:srgbClr w14:val="000000"/>
            </w14:solidFill>
            <w14:prstDash w14:val="solid"/>
            <w14:bevel/>
          </w14:textOutline>
        </w:rPr>
        <w:t>五、施工组织设计</w:t>
      </w:r>
    </w:p>
    <w:p>
      <w:pPr>
        <w:spacing w:line="267" w:lineRule="auto"/>
        <w:rPr>
          <w:rFonts w:ascii="Arial"/>
          <w:sz w:val="21"/>
        </w:rPr>
      </w:pPr>
    </w:p>
    <w:p>
      <w:pPr>
        <w:spacing w:before="78" w:line="218" w:lineRule="auto"/>
        <w:ind w:left="2874"/>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（适用于双信封的合理低价法）</w:t>
      </w:r>
    </w:p>
    <w:p>
      <w:pPr>
        <w:spacing w:line="446" w:lineRule="auto"/>
        <w:rPr>
          <w:rFonts w:ascii="Arial"/>
          <w:sz w:val="21"/>
        </w:rPr>
      </w:pPr>
    </w:p>
    <w:p>
      <w:pPr>
        <w:pStyle w:val="4"/>
        <w:spacing w:before="114" w:line="228" w:lineRule="auto"/>
        <w:ind w:left="3931"/>
        <w:rPr>
          <w:rFonts w:ascii="宋体" w:hAnsi="宋体" w:eastAsia="宋体" w:cs="宋体"/>
          <w:sz w:val="14"/>
          <w:szCs w:val="14"/>
        </w:rPr>
      </w:pPr>
      <w:r>
        <w:fldChar w:fldCharType="begin"/>
      </w:r>
      <w:r>
        <w:instrText xml:space="preserve"> HYPERLINK \l "bookmark182" </w:instrText>
      </w:r>
      <w:r>
        <w:fldChar w:fldCharType="separate"/>
      </w:r>
      <w:r>
        <w:rPr>
          <w:spacing w:val="6"/>
          <w:sz w:val="35"/>
          <w:szCs w:val="35"/>
        </w:rPr>
        <w:t>承诺函</w:t>
      </w:r>
      <w:r>
        <w:rPr>
          <w:rFonts w:ascii="宋体" w:hAnsi="宋体" w:eastAsia="宋体" w:cs="宋体"/>
          <w:spacing w:val="6"/>
          <w:sz w:val="14"/>
          <w:szCs w:val="14"/>
          <w14:textOutline w14:w="2705" w14:cap="sq" w14:cmpd="sng">
            <w14:solidFill>
              <w14:srgbClr w14:val="000000"/>
            </w14:solidFill>
            <w14:prstDash w14:val="solid"/>
            <w14:bevel/>
          </w14:textOutline>
        </w:rPr>
        <w:t>①</w:t>
      </w:r>
      <w:r>
        <w:rPr>
          <w:rFonts w:ascii="宋体" w:hAnsi="宋体" w:eastAsia="宋体" w:cs="宋体"/>
          <w:spacing w:val="6"/>
          <w:sz w:val="14"/>
          <w:szCs w:val="14"/>
          <w14:textOutline w14:w="2705" w14:cap="sq" w14:cmpd="sng">
            <w14:solidFill>
              <w14:srgbClr w14:val="000000"/>
            </w14:solidFill>
            <w14:prstDash w14:val="solid"/>
            <w14:bevel/>
          </w14:textOutline>
        </w:rPr>
        <w:fldChar w:fldCharType="end"/>
      </w:r>
    </w:p>
    <w:p>
      <w:pPr>
        <w:spacing w:line="259" w:lineRule="auto"/>
        <w:rPr>
          <w:rFonts w:ascii="Arial"/>
          <w:sz w:val="21"/>
        </w:rPr>
      </w:pPr>
    </w:p>
    <w:p>
      <w:pPr>
        <w:spacing w:line="260" w:lineRule="auto"/>
        <w:rPr>
          <w:rFonts w:ascii="Arial"/>
          <w:sz w:val="21"/>
        </w:rPr>
      </w:pPr>
    </w:p>
    <w:p>
      <w:pPr>
        <w:tabs>
          <w:tab w:val="left" w:pos="1920"/>
        </w:tabs>
        <w:spacing w:before="78" w:line="22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（招标人名称）：</w:t>
      </w:r>
    </w:p>
    <w:p>
      <w:pPr>
        <w:spacing w:before="182" w:line="358" w:lineRule="auto"/>
        <w:ind w:left="491"/>
        <w:rPr>
          <w:rFonts w:ascii="宋体" w:hAnsi="宋体" w:eastAsia="宋体" w:cs="宋体"/>
          <w:sz w:val="24"/>
          <w:szCs w:val="24"/>
        </w:rPr>
      </w:pPr>
      <w:r>
        <w:rPr>
          <w:rFonts w:ascii="宋体" w:hAnsi="宋体" w:eastAsia="宋体" w:cs="宋体"/>
          <w:spacing w:val="-1"/>
          <w:sz w:val="24"/>
          <w:szCs w:val="24"/>
        </w:rPr>
        <w:t>我单位在</w:t>
      </w:r>
      <w:r>
        <w:rPr>
          <w:rFonts w:ascii="宋体" w:hAnsi="宋体" w:eastAsia="宋体" w:cs="宋体"/>
          <w:spacing w:val="-1"/>
          <w:sz w:val="24"/>
          <w:szCs w:val="24"/>
          <w:u w:val="single" w:color="auto"/>
        </w:rPr>
        <w:t xml:space="preserve">            （项目名称）</w:t>
      </w:r>
      <w:r>
        <w:rPr>
          <w:rFonts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r>
        <w:rPr>
          <w:rFonts w:ascii="宋体" w:hAnsi="宋体" w:eastAsia="宋体" w:cs="宋体"/>
          <w:spacing w:val="-2"/>
          <w:sz w:val="24"/>
          <w:szCs w:val="24"/>
        </w:rPr>
        <w:t>施工的投标中，若我方被</w:t>
      </w:r>
    </w:p>
    <w:p>
      <w:pPr>
        <w:spacing w:before="1" w:line="218" w:lineRule="auto"/>
        <w:ind w:left="9"/>
        <w:rPr>
          <w:rFonts w:ascii="宋体" w:hAnsi="宋体" w:eastAsia="宋体" w:cs="宋体"/>
          <w:sz w:val="24"/>
          <w:szCs w:val="24"/>
        </w:rPr>
      </w:pPr>
      <w:r>
        <w:rPr>
          <w:rFonts w:ascii="宋体" w:hAnsi="宋体" w:eastAsia="宋体" w:cs="宋体"/>
          <w:spacing w:val="-1"/>
          <w:sz w:val="24"/>
          <w:szCs w:val="24"/>
        </w:rPr>
        <w:t>确定为中标人后，我方将在收到中标通知书后</w:t>
      </w:r>
      <w:r>
        <w:rPr>
          <w:rFonts w:ascii="宋体" w:hAnsi="宋体" w:eastAsia="宋体" w:cs="宋体"/>
          <w:spacing w:val="-45"/>
          <w:sz w:val="24"/>
          <w:szCs w:val="24"/>
        </w:rPr>
        <w:t xml:space="preserve"> </w:t>
      </w:r>
      <w:r>
        <w:rPr>
          <w:rFonts w:ascii="宋体" w:hAnsi="宋体" w:eastAsia="宋体" w:cs="宋体"/>
          <w:spacing w:val="-1"/>
          <w:sz w:val="24"/>
          <w:szCs w:val="24"/>
        </w:rPr>
        <w:t>7</w:t>
      </w:r>
      <w:r>
        <w:rPr>
          <w:rFonts w:ascii="宋体" w:hAnsi="宋体" w:eastAsia="宋体" w:cs="宋体"/>
          <w:spacing w:val="-46"/>
          <w:sz w:val="24"/>
          <w:szCs w:val="24"/>
        </w:rPr>
        <w:t xml:space="preserve"> </w:t>
      </w:r>
      <w:r>
        <w:rPr>
          <w:rFonts w:ascii="宋体" w:hAnsi="宋体" w:eastAsia="宋体" w:cs="宋体"/>
          <w:spacing w:val="-1"/>
          <w:sz w:val="24"/>
          <w:szCs w:val="24"/>
        </w:rPr>
        <w:t>天内按要求提交详细的施工组织设</w:t>
      </w:r>
      <w:r>
        <w:rPr>
          <w:rFonts w:ascii="宋体" w:hAnsi="宋体" w:eastAsia="宋体" w:cs="宋体"/>
          <w:spacing w:val="-2"/>
          <w:sz w:val="24"/>
          <w:szCs w:val="24"/>
        </w:rPr>
        <w:t>计。</w:t>
      </w:r>
    </w:p>
    <w:p>
      <w:pPr>
        <w:spacing w:before="184" w:line="219" w:lineRule="auto"/>
        <w:ind w:left="489"/>
        <w:rPr>
          <w:rFonts w:ascii="宋体" w:hAnsi="宋体" w:eastAsia="宋体" w:cs="宋体"/>
          <w:sz w:val="24"/>
          <w:szCs w:val="24"/>
        </w:rPr>
      </w:pPr>
      <w:r>
        <w:rPr>
          <w:rFonts w:ascii="宋体" w:hAnsi="宋体" w:eastAsia="宋体" w:cs="宋体"/>
          <w:spacing w:val="-3"/>
          <w:sz w:val="24"/>
          <w:szCs w:val="24"/>
        </w:rPr>
        <w:t>特此承诺</w:t>
      </w:r>
    </w:p>
    <w:p>
      <w:pPr>
        <w:spacing w:line="283" w:lineRule="auto"/>
        <w:rPr>
          <w:rFonts w:ascii="Arial"/>
          <w:sz w:val="21"/>
        </w:rPr>
      </w:pPr>
    </w:p>
    <w:p>
      <w:pPr>
        <w:spacing w:line="284" w:lineRule="auto"/>
        <w:rPr>
          <w:rFonts w:ascii="Arial"/>
          <w:sz w:val="21"/>
        </w:rPr>
      </w:pPr>
    </w:p>
    <w:p>
      <w:pPr>
        <w:spacing w:before="78" w:line="359" w:lineRule="auto"/>
        <w:ind w:left="3250" w:right="379" w:firstLine="1"/>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z w:val="24"/>
          <w:szCs w:val="24"/>
        </w:rPr>
        <w:t>盖单位章）</w:t>
      </w:r>
      <w:r>
        <w:rPr>
          <w:rFonts w:ascii="宋体" w:hAnsi="宋体" w:eastAsia="宋体" w:cs="宋体"/>
          <w:spacing w:val="1"/>
          <w:sz w:val="24"/>
          <w:szCs w:val="24"/>
        </w:rPr>
        <w:t xml:space="preserve"> </w:t>
      </w:r>
      <w:r>
        <w:rPr>
          <w:rFonts w:ascii="宋体" w:hAnsi="宋体" w:eastAsia="宋体" w:cs="宋体"/>
          <w:sz w:val="24"/>
          <w:szCs w:val="24"/>
        </w:rPr>
        <w:t>法定代表人或其委托代理人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w:t>
      </w:r>
    </w:p>
    <w:p>
      <w:pPr>
        <w:tabs>
          <w:tab w:val="left" w:pos="7199"/>
        </w:tabs>
        <w:spacing w:line="219" w:lineRule="auto"/>
        <w:ind w:left="66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6"/>
          <w:sz w:val="24"/>
          <w:szCs w:val="24"/>
        </w:rPr>
        <w:t xml:space="preserve"> </w:t>
      </w:r>
      <w:r>
        <w:rPr>
          <w:rFonts w:ascii="宋体" w:hAnsi="宋体" w:eastAsia="宋体" w:cs="宋体"/>
          <w:spacing w:val="-6"/>
          <w:sz w:val="24"/>
          <w:szCs w:val="24"/>
        </w:rPr>
        <w:t xml:space="preserve">年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6"/>
          <w:sz w:val="24"/>
          <w:szCs w:val="24"/>
        </w:rPr>
        <w:t xml:space="preserve">月 </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6"/>
          <w:sz w:val="24"/>
          <w:szCs w:val="24"/>
        </w:rPr>
        <w:t>日</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66" w:line="400" w:lineRule="exact"/>
        <w:ind w:left="428"/>
        <w:rPr>
          <w:rFonts w:ascii="宋体" w:hAnsi="宋体" w:eastAsia="宋体" w:cs="宋体"/>
          <w:sz w:val="20"/>
          <w:szCs w:val="20"/>
        </w:rPr>
      </w:pPr>
      <w:r>
        <w:rPr>
          <w:rFonts w:ascii="宋体" w:hAnsi="宋体" w:eastAsia="宋体" w:cs="宋体"/>
          <w:spacing w:val="9"/>
          <w:position w:val="14"/>
          <w:sz w:val="20"/>
          <w:szCs w:val="20"/>
        </w:rPr>
        <w:t>注：因为双信封的合理低价法规定施工组织设计的分值为</w:t>
      </w:r>
      <w:r>
        <w:rPr>
          <w:rFonts w:ascii="宋体" w:hAnsi="宋体" w:eastAsia="宋体" w:cs="宋体"/>
          <w:spacing w:val="-23"/>
          <w:position w:val="14"/>
          <w:sz w:val="20"/>
          <w:szCs w:val="20"/>
        </w:rPr>
        <w:t xml:space="preserve"> </w:t>
      </w:r>
      <w:r>
        <w:rPr>
          <w:rFonts w:ascii="宋体" w:hAnsi="宋体" w:eastAsia="宋体" w:cs="宋体"/>
          <w:spacing w:val="9"/>
          <w:position w:val="14"/>
          <w:sz w:val="20"/>
          <w:szCs w:val="20"/>
        </w:rPr>
        <w:t>0，故投标人投标时可不提供具体的</w:t>
      </w:r>
    </w:p>
    <w:p>
      <w:pPr>
        <w:spacing w:before="1" w:line="227" w:lineRule="auto"/>
        <w:ind w:left="7"/>
        <w:rPr>
          <w:rFonts w:ascii="宋体" w:hAnsi="宋体" w:eastAsia="宋体" w:cs="宋体"/>
          <w:sz w:val="20"/>
          <w:szCs w:val="20"/>
        </w:rPr>
      </w:pPr>
      <w:r>
        <w:rPr>
          <w:rFonts w:ascii="宋体" w:hAnsi="宋体" w:eastAsia="宋体" w:cs="宋体"/>
          <w:spacing w:val="9"/>
          <w:sz w:val="20"/>
          <w:szCs w:val="20"/>
        </w:rPr>
        <w:t>施工组织设计，但须按此承诺函格式进行承诺。</w:t>
      </w: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60" w:line="217" w:lineRule="auto"/>
        <w:ind w:left="207"/>
        <w:rPr>
          <w:rFonts w:ascii="宋体" w:hAnsi="宋体" w:eastAsia="宋体" w:cs="宋体"/>
          <w:sz w:val="18"/>
          <w:szCs w:val="18"/>
        </w:rPr>
      </w:pPr>
      <w:r>
        <w:rPr>
          <w:rFonts w:ascii="宋体" w:hAnsi="宋体" w:eastAsia="宋体" w:cs="宋体"/>
          <w:sz w:val="18"/>
          <w:szCs w:val="18"/>
        </w:rPr>
        <w:t>①投标人仅需在施工组织设计承诺函上加盖单位章，或由法定代表人或其</w:t>
      </w:r>
      <w:r>
        <w:rPr>
          <w:rFonts w:ascii="宋体" w:hAnsi="宋体" w:eastAsia="宋体" w:cs="宋体"/>
          <w:spacing w:val="-1"/>
          <w:sz w:val="18"/>
          <w:szCs w:val="18"/>
        </w:rPr>
        <w:t>委托代理人签字。</w:t>
      </w:r>
    </w:p>
    <w:p>
      <w:pPr>
        <w:spacing w:line="242" w:lineRule="auto"/>
        <w:rPr>
          <w:rFonts w:ascii="Arial"/>
          <w:sz w:val="21"/>
        </w:rPr>
      </w:pPr>
    </w:p>
    <w:p>
      <w:pPr>
        <w:spacing w:line="406" w:lineRule="auto"/>
        <w:rPr>
          <w:rFonts w:ascii="Arial"/>
          <w:sz w:val="21"/>
        </w:rPr>
      </w:pPr>
    </w:p>
    <w:p>
      <w:pPr>
        <w:pStyle w:val="4"/>
        <w:spacing w:before="114" w:line="227" w:lineRule="auto"/>
        <w:ind w:left="3414"/>
        <w:rPr>
          <w:spacing w:val="8"/>
          <w:sz w:val="35"/>
          <w:szCs w:val="35"/>
          <w14:textOutline w14:w="6537" w14:cap="sq" w14:cmpd="sng">
            <w14:solidFill>
              <w14:srgbClr w14:val="000000"/>
            </w14:solidFill>
            <w14:prstDash w14:val="solid"/>
            <w14:bevel/>
          </w14:textOutline>
        </w:rPr>
      </w:pPr>
    </w:p>
    <w:p>
      <w:pPr>
        <w:pStyle w:val="4"/>
        <w:spacing w:before="114" w:line="227" w:lineRule="auto"/>
        <w:ind w:left="3414"/>
        <w:rPr>
          <w:sz w:val="35"/>
          <w:szCs w:val="35"/>
        </w:rPr>
      </w:pPr>
      <w:r>
        <w:rPr>
          <w:spacing w:val="8"/>
          <w:sz w:val="35"/>
          <w:szCs w:val="35"/>
          <w14:textOutline w14:w="6537" w14:cap="sq" w14:cmpd="sng">
            <w14:solidFill>
              <w14:srgbClr w14:val="000000"/>
            </w14:solidFill>
            <w14:prstDash w14:val="solid"/>
            <w14:bevel/>
          </w14:textOutline>
        </w:rPr>
        <w:t>六、项目管理机构</w:t>
      </w:r>
    </w:p>
    <w:p>
      <w:pPr>
        <w:spacing w:line="216" w:lineRule="exact"/>
      </w:pPr>
    </w:p>
    <w:tbl>
      <w:tblPr>
        <w:tblStyle w:val="16"/>
        <w:tblW w:w="9642"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642"/>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405" w:hRule="atLeast"/>
        </w:trPr>
        <w:tc>
          <w:tcPr>
            <w:tcW w:w="9642" w:type="dxa"/>
            <w:tcBorders>
              <w:bottom w:val="single" w:color="000000" w:sz="4" w:space="0"/>
            </w:tcBorders>
            <w:vAlign w:val="top"/>
          </w:tcPr>
          <w:p>
            <w:pPr>
              <w:spacing w:line="272" w:lineRule="auto"/>
              <w:rPr>
                <w:rFonts w:ascii="Arial"/>
                <w:sz w:val="21"/>
              </w:rPr>
            </w:pPr>
          </w:p>
          <w:p>
            <w:pPr>
              <w:pStyle w:val="17"/>
              <w:spacing w:before="78" w:line="219" w:lineRule="auto"/>
              <w:ind w:left="347"/>
            </w:pPr>
            <w:r>
              <w:rPr>
                <w:spacing w:val="-1"/>
              </w:rPr>
              <w:t>拟为承包本标段工程设立的组织机构以框图方式表示。</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084" w:hRule="atLeast"/>
        </w:trPr>
        <w:tc>
          <w:tcPr>
            <w:tcW w:w="9642" w:type="dxa"/>
            <w:tcBorders>
              <w:top w:val="single" w:color="000000" w:sz="4" w:space="0"/>
            </w:tcBorders>
            <w:vAlign w:val="top"/>
          </w:tcPr>
          <w:p>
            <w:pPr>
              <w:spacing w:line="280" w:lineRule="auto"/>
              <w:rPr>
                <w:rFonts w:ascii="Arial"/>
                <w:sz w:val="21"/>
              </w:rPr>
            </w:pPr>
          </w:p>
          <w:p>
            <w:pPr>
              <w:pStyle w:val="17"/>
              <w:spacing w:before="78" w:line="219" w:lineRule="auto"/>
              <w:ind w:left="350"/>
            </w:pPr>
            <w:r>
              <w:rPr>
                <w:spacing w:val="-7"/>
              </w:rPr>
              <w:t>说明</w:t>
            </w:r>
          </w:p>
        </w:tc>
      </w:tr>
    </w:tbl>
    <w:p>
      <w:pPr>
        <w:spacing w:line="357" w:lineRule="auto"/>
        <w:rPr>
          <w:rFonts w:ascii="Arial"/>
          <w:sz w:val="21"/>
        </w:rPr>
      </w:pPr>
    </w:p>
    <w:p>
      <w:pPr>
        <w:pStyle w:val="4"/>
        <w:spacing w:before="114" w:line="227" w:lineRule="auto"/>
        <w:ind w:left="3041"/>
        <w:rPr>
          <w:spacing w:val="9"/>
          <w:sz w:val="35"/>
          <w:szCs w:val="35"/>
          <w14:textOutline w14:w="6537" w14:cap="sq" w14:cmpd="sng">
            <w14:solidFill>
              <w14:srgbClr w14:val="000000"/>
            </w14:solidFill>
            <w14:prstDash w14:val="solid"/>
            <w14:bevel/>
          </w14:textOutline>
        </w:rPr>
      </w:pPr>
    </w:p>
    <w:p>
      <w:pPr>
        <w:pStyle w:val="4"/>
        <w:spacing w:before="114" w:line="227" w:lineRule="auto"/>
        <w:ind w:left="3041"/>
        <w:rPr>
          <w:spacing w:val="9"/>
          <w:sz w:val="35"/>
          <w:szCs w:val="35"/>
          <w14:textOutline w14:w="6537" w14:cap="sq" w14:cmpd="sng">
            <w14:solidFill>
              <w14:srgbClr w14:val="000000"/>
            </w14:solidFill>
            <w14:prstDash w14:val="solid"/>
            <w14:bevel/>
          </w14:textOutline>
        </w:rPr>
      </w:pPr>
    </w:p>
    <w:p>
      <w:pPr>
        <w:pStyle w:val="4"/>
        <w:spacing w:before="114" w:line="227" w:lineRule="auto"/>
        <w:ind w:left="3041"/>
        <w:rPr>
          <w:spacing w:val="9"/>
          <w:sz w:val="35"/>
          <w:szCs w:val="35"/>
          <w14:textOutline w14:w="6537" w14:cap="sq" w14:cmpd="sng">
            <w14:solidFill>
              <w14:srgbClr w14:val="000000"/>
            </w14:solidFill>
            <w14:prstDash w14:val="solid"/>
            <w14:bevel/>
          </w14:textOutline>
        </w:rPr>
      </w:pPr>
    </w:p>
    <w:p>
      <w:pPr>
        <w:pStyle w:val="4"/>
        <w:spacing w:before="114" w:line="227" w:lineRule="auto"/>
        <w:ind w:left="3041"/>
        <w:rPr>
          <w:spacing w:val="9"/>
          <w:sz w:val="35"/>
          <w:szCs w:val="35"/>
          <w14:textOutline w14:w="6537" w14:cap="sq" w14:cmpd="sng">
            <w14:solidFill>
              <w14:srgbClr w14:val="000000"/>
            </w14:solidFill>
            <w14:prstDash w14:val="solid"/>
            <w14:bevel/>
          </w14:textOutline>
        </w:rPr>
      </w:pPr>
    </w:p>
    <w:p>
      <w:pPr>
        <w:pStyle w:val="4"/>
        <w:spacing w:before="114" w:line="227" w:lineRule="auto"/>
        <w:ind w:left="3041"/>
        <w:rPr>
          <w:sz w:val="35"/>
          <w:szCs w:val="35"/>
        </w:rPr>
      </w:pPr>
      <w:bookmarkStart w:id="2" w:name="_GoBack"/>
      <w:bookmarkEnd w:id="2"/>
      <w:r>
        <w:rPr>
          <w:spacing w:val="9"/>
          <w:sz w:val="35"/>
          <w:szCs w:val="35"/>
          <w14:textOutline w14:w="6537" w14:cap="sq" w14:cmpd="sng">
            <w14:solidFill>
              <w14:srgbClr w14:val="000000"/>
            </w14:solidFill>
            <w14:prstDash w14:val="solid"/>
            <w14:bevel/>
          </w14:textOutline>
        </w:rPr>
        <w:t>七、拟分包项目情况表</w:t>
      </w:r>
    </w:p>
    <w:p>
      <w:pPr>
        <w:spacing w:line="219" w:lineRule="exact"/>
      </w:pPr>
    </w:p>
    <w:tbl>
      <w:tblPr>
        <w:tblStyle w:val="16"/>
        <w:tblW w:w="96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7"/>
        <w:gridCol w:w="2403"/>
        <w:gridCol w:w="2404"/>
        <w:gridCol w:w="2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2417" w:type="dxa"/>
            <w:tcBorders>
              <w:top w:val="single" w:color="000000" w:sz="10" w:space="0"/>
              <w:left w:val="single" w:color="000000" w:sz="10" w:space="0"/>
            </w:tcBorders>
            <w:vAlign w:val="top"/>
          </w:tcPr>
          <w:p>
            <w:pPr>
              <w:pStyle w:val="17"/>
              <w:spacing w:before="84"/>
              <w:ind w:left="481"/>
            </w:pPr>
            <w:r>
              <w:rPr>
                <w:spacing w:val="-2"/>
              </w:rPr>
              <w:t>拟分包的工程</w:t>
            </w:r>
          </w:p>
          <w:p>
            <w:pPr>
              <w:pStyle w:val="17"/>
              <w:spacing w:line="220" w:lineRule="auto"/>
              <w:ind w:left="965"/>
            </w:pPr>
            <w:r>
              <w:rPr>
                <w:spacing w:val="-7"/>
              </w:rPr>
              <w:t>项目</w:t>
            </w:r>
          </w:p>
        </w:tc>
        <w:tc>
          <w:tcPr>
            <w:tcW w:w="2403" w:type="dxa"/>
            <w:tcBorders>
              <w:top w:val="single" w:color="000000" w:sz="10" w:space="0"/>
            </w:tcBorders>
            <w:vAlign w:val="top"/>
          </w:tcPr>
          <w:p>
            <w:pPr>
              <w:pStyle w:val="17"/>
              <w:spacing w:before="240" w:line="219" w:lineRule="auto"/>
              <w:ind w:left="485"/>
            </w:pPr>
            <w:r>
              <w:rPr>
                <w:spacing w:val="-2"/>
              </w:rPr>
              <w:t>主要工程内容</w:t>
            </w:r>
          </w:p>
        </w:tc>
        <w:tc>
          <w:tcPr>
            <w:tcW w:w="2404" w:type="dxa"/>
            <w:tcBorders>
              <w:top w:val="single" w:color="000000" w:sz="10" w:space="0"/>
            </w:tcBorders>
            <w:vAlign w:val="top"/>
          </w:tcPr>
          <w:p>
            <w:pPr>
              <w:pStyle w:val="17"/>
              <w:spacing w:before="239" w:line="218" w:lineRule="auto"/>
              <w:ind w:left="252"/>
            </w:pPr>
            <w:r>
              <w:rPr>
                <w:spacing w:val="-2"/>
              </w:rPr>
              <w:t>预计造价（万元）</w:t>
            </w:r>
          </w:p>
        </w:tc>
        <w:tc>
          <w:tcPr>
            <w:tcW w:w="2418" w:type="dxa"/>
            <w:tcBorders>
              <w:top w:val="single" w:color="000000" w:sz="10" w:space="0"/>
              <w:right w:val="single" w:color="000000" w:sz="10" w:space="0"/>
            </w:tcBorders>
            <w:vAlign w:val="top"/>
          </w:tcPr>
          <w:p>
            <w:pPr>
              <w:pStyle w:val="17"/>
              <w:spacing w:before="239" w:line="221" w:lineRule="auto"/>
              <w:ind w:left="979"/>
            </w:pPr>
            <w:r>
              <w:rPr>
                <w:spacing w:val="-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pPr>
              <w:rPr>
                <w:rFonts w:ascii="Arial"/>
                <w:sz w:val="21"/>
              </w:rPr>
            </w:pPr>
          </w:p>
        </w:tc>
        <w:tc>
          <w:tcPr>
            <w:tcW w:w="2403" w:type="dxa"/>
            <w:vAlign w:val="top"/>
          </w:tcPr>
          <w:p>
            <w:pPr>
              <w:rPr>
                <w:rFonts w:ascii="Arial"/>
                <w:sz w:val="21"/>
              </w:rPr>
            </w:pPr>
          </w:p>
        </w:tc>
        <w:tc>
          <w:tcPr>
            <w:tcW w:w="2404" w:type="dxa"/>
            <w:vAlign w:val="top"/>
          </w:tcPr>
          <w:p>
            <w:pPr>
              <w:rPr>
                <w:rFonts w:ascii="Arial"/>
                <w:sz w:val="21"/>
              </w:rPr>
            </w:pPr>
          </w:p>
        </w:tc>
        <w:tc>
          <w:tcPr>
            <w:tcW w:w="2418" w:type="dxa"/>
            <w:vMerge w:val="restart"/>
            <w:tcBorders>
              <w:bottom w:val="nil"/>
              <w:right w:val="single" w:color="000000" w:sz="10"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7"/>
              <w:spacing w:before="78" w:line="220" w:lineRule="auto"/>
              <w:ind w:left="136"/>
            </w:pPr>
            <w:r>
              <w:rPr>
                <w:spacing w:val="-2"/>
              </w:rPr>
              <w:t>注：若无分包计划，</w:t>
            </w:r>
          </w:p>
          <w:p>
            <w:pPr>
              <w:pStyle w:val="17"/>
              <w:spacing w:before="26" w:line="229" w:lineRule="auto"/>
              <w:ind w:left="622" w:right="113" w:hanging="481"/>
            </w:pPr>
            <w:r>
              <w:rPr>
                <w:spacing w:val="-2"/>
              </w:rPr>
              <w:t>则投标人应在本表填</w:t>
            </w:r>
            <w:r>
              <w:rPr>
                <w:spacing w:val="2"/>
              </w:rPr>
              <w:t xml:space="preserve"> </w:t>
            </w:r>
            <w:r>
              <w:rPr>
                <w:spacing w:val="14"/>
              </w:rPr>
              <w:t>写“无。</w:t>
            </w:r>
            <w:r>
              <w:rPr>
                <w:spacing w:val="-87"/>
              </w:rPr>
              <w:t xml:space="preserve"> </w:t>
            </w:r>
            <w:r>
              <w:rPr>
                <w:spacing w:val="1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pPr>
              <w:rPr>
                <w:rFonts w:ascii="Arial"/>
                <w:sz w:val="21"/>
              </w:rPr>
            </w:pPr>
          </w:p>
        </w:tc>
        <w:tc>
          <w:tcPr>
            <w:tcW w:w="2403" w:type="dxa"/>
            <w:vAlign w:val="top"/>
          </w:tcPr>
          <w:p>
            <w:pPr>
              <w:rPr>
                <w:rFonts w:ascii="Arial"/>
                <w:sz w:val="21"/>
              </w:rPr>
            </w:pPr>
          </w:p>
        </w:tc>
        <w:tc>
          <w:tcPr>
            <w:tcW w:w="2404" w:type="dxa"/>
            <w:vAlign w:val="top"/>
          </w:tcPr>
          <w:p>
            <w:pPr>
              <w:rPr>
                <w:rFonts w:ascii="Arial"/>
                <w:sz w:val="21"/>
              </w:rPr>
            </w:pPr>
          </w:p>
        </w:tc>
        <w:tc>
          <w:tcPr>
            <w:tcW w:w="2418" w:type="dxa"/>
            <w:vMerge w:val="continue"/>
            <w:tcBorders>
              <w:top w:val="nil"/>
              <w:bottom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pPr>
              <w:rPr>
                <w:rFonts w:ascii="Arial"/>
                <w:sz w:val="21"/>
              </w:rPr>
            </w:pPr>
          </w:p>
        </w:tc>
        <w:tc>
          <w:tcPr>
            <w:tcW w:w="2403" w:type="dxa"/>
            <w:vAlign w:val="top"/>
          </w:tcPr>
          <w:p>
            <w:pPr>
              <w:rPr>
                <w:rFonts w:ascii="Arial"/>
                <w:sz w:val="21"/>
              </w:rPr>
            </w:pPr>
          </w:p>
        </w:tc>
        <w:tc>
          <w:tcPr>
            <w:tcW w:w="2404" w:type="dxa"/>
            <w:vAlign w:val="top"/>
          </w:tcPr>
          <w:p>
            <w:pPr>
              <w:rPr>
                <w:rFonts w:ascii="Arial"/>
                <w:sz w:val="21"/>
              </w:rPr>
            </w:pPr>
          </w:p>
        </w:tc>
        <w:tc>
          <w:tcPr>
            <w:tcW w:w="2418" w:type="dxa"/>
            <w:vMerge w:val="continue"/>
            <w:tcBorders>
              <w:top w:val="nil"/>
              <w:bottom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pPr>
              <w:rPr>
                <w:rFonts w:ascii="Arial"/>
                <w:sz w:val="21"/>
              </w:rPr>
            </w:pPr>
          </w:p>
        </w:tc>
        <w:tc>
          <w:tcPr>
            <w:tcW w:w="2403" w:type="dxa"/>
            <w:vAlign w:val="top"/>
          </w:tcPr>
          <w:p>
            <w:pPr>
              <w:rPr>
                <w:rFonts w:ascii="Arial"/>
                <w:sz w:val="21"/>
              </w:rPr>
            </w:pPr>
          </w:p>
        </w:tc>
        <w:tc>
          <w:tcPr>
            <w:tcW w:w="2404" w:type="dxa"/>
            <w:vAlign w:val="top"/>
          </w:tcPr>
          <w:p>
            <w:pPr>
              <w:rPr>
                <w:rFonts w:ascii="Arial"/>
                <w:sz w:val="21"/>
              </w:rPr>
            </w:pPr>
          </w:p>
        </w:tc>
        <w:tc>
          <w:tcPr>
            <w:tcW w:w="2418" w:type="dxa"/>
            <w:vMerge w:val="continue"/>
            <w:tcBorders>
              <w:top w:val="nil"/>
              <w:bottom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pPr>
              <w:rPr>
                <w:rFonts w:ascii="Arial"/>
                <w:sz w:val="21"/>
              </w:rPr>
            </w:pPr>
          </w:p>
        </w:tc>
        <w:tc>
          <w:tcPr>
            <w:tcW w:w="2403" w:type="dxa"/>
            <w:vAlign w:val="top"/>
          </w:tcPr>
          <w:p>
            <w:pPr>
              <w:rPr>
                <w:rFonts w:ascii="Arial"/>
                <w:sz w:val="21"/>
              </w:rPr>
            </w:pPr>
          </w:p>
        </w:tc>
        <w:tc>
          <w:tcPr>
            <w:tcW w:w="2404" w:type="dxa"/>
            <w:vAlign w:val="top"/>
          </w:tcPr>
          <w:p>
            <w:pPr>
              <w:rPr>
                <w:rFonts w:ascii="Arial"/>
                <w:sz w:val="21"/>
              </w:rPr>
            </w:pPr>
          </w:p>
        </w:tc>
        <w:tc>
          <w:tcPr>
            <w:tcW w:w="2418" w:type="dxa"/>
            <w:vMerge w:val="continue"/>
            <w:tcBorders>
              <w:top w:val="nil"/>
              <w:bottom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pPr>
              <w:rPr>
                <w:rFonts w:ascii="Arial"/>
                <w:sz w:val="21"/>
              </w:rPr>
            </w:pPr>
          </w:p>
        </w:tc>
        <w:tc>
          <w:tcPr>
            <w:tcW w:w="2403" w:type="dxa"/>
            <w:vAlign w:val="top"/>
          </w:tcPr>
          <w:p>
            <w:pPr>
              <w:rPr>
                <w:rFonts w:ascii="Arial"/>
                <w:sz w:val="21"/>
              </w:rPr>
            </w:pPr>
          </w:p>
        </w:tc>
        <w:tc>
          <w:tcPr>
            <w:tcW w:w="2404" w:type="dxa"/>
            <w:vAlign w:val="top"/>
          </w:tcPr>
          <w:p>
            <w:pPr>
              <w:rPr>
                <w:rFonts w:ascii="Arial"/>
                <w:sz w:val="21"/>
              </w:rPr>
            </w:pPr>
          </w:p>
        </w:tc>
        <w:tc>
          <w:tcPr>
            <w:tcW w:w="2418" w:type="dxa"/>
            <w:vMerge w:val="continue"/>
            <w:tcBorders>
              <w:top w:val="nil"/>
              <w:bottom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pPr>
              <w:rPr>
                <w:rFonts w:ascii="Arial"/>
                <w:sz w:val="21"/>
              </w:rPr>
            </w:pPr>
          </w:p>
        </w:tc>
        <w:tc>
          <w:tcPr>
            <w:tcW w:w="2403" w:type="dxa"/>
            <w:vAlign w:val="top"/>
          </w:tcPr>
          <w:p>
            <w:pPr>
              <w:rPr>
                <w:rFonts w:ascii="Arial"/>
                <w:sz w:val="21"/>
              </w:rPr>
            </w:pPr>
          </w:p>
        </w:tc>
        <w:tc>
          <w:tcPr>
            <w:tcW w:w="2404" w:type="dxa"/>
            <w:vAlign w:val="top"/>
          </w:tcPr>
          <w:p>
            <w:pPr>
              <w:rPr>
                <w:rFonts w:ascii="Arial"/>
                <w:sz w:val="21"/>
              </w:rPr>
            </w:pPr>
          </w:p>
        </w:tc>
        <w:tc>
          <w:tcPr>
            <w:tcW w:w="2418" w:type="dxa"/>
            <w:vMerge w:val="continue"/>
            <w:tcBorders>
              <w:top w:val="nil"/>
              <w:bottom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pPr>
              <w:rPr>
                <w:rFonts w:ascii="Arial"/>
                <w:sz w:val="21"/>
              </w:rPr>
            </w:pPr>
          </w:p>
        </w:tc>
        <w:tc>
          <w:tcPr>
            <w:tcW w:w="2403" w:type="dxa"/>
            <w:vAlign w:val="top"/>
          </w:tcPr>
          <w:p>
            <w:pPr>
              <w:rPr>
                <w:rFonts w:ascii="Arial"/>
                <w:sz w:val="21"/>
              </w:rPr>
            </w:pPr>
          </w:p>
        </w:tc>
        <w:tc>
          <w:tcPr>
            <w:tcW w:w="2404" w:type="dxa"/>
            <w:vAlign w:val="top"/>
          </w:tcPr>
          <w:p>
            <w:pPr>
              <w:rPr>
                <w:rFonts w:ascii="Arial"/>
                <w:sz w:val="21"/>
              </w:rPr>
            </w:pPr>
          </w:p>
        </w:tc>
        <w:tc>
          <w:tcPr>
            <w:tcW w:w="2418" w:type="dxa"/>
            <w:vMerge w:val="continue"/>
            <w:tcBorders>
              <w:top w:val="nil"/>
              <w:bottom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pPr>
              <w:rPr>
                <w:rFonts w:ascii="Arial"/>
                <w:sz w:val="21"/>
              </w:rPr>
            </w:pPr>
          </w:p>
        </w:tc>
        <w:tc>
          <w:tcPr>
            <w:tcW w:w="2403" w:type="dxa"/>
            <w:vAlign w:val="top"/>
          </w:tcPr>
          <w:p>
            <w:pPr>
              <w:rPr>
                <w:rFonts w:ascii="Arial"/>
                <w:sz w:val="21"/>
              </w:rPr>
            </w:pPr>
          </w:p>
        </w:tc>
        <w:tc>
          <w:tcPr>
            <w:tcW w:w="2404" w:type="dxa"/>
            <w:vAlign w:val="top"/>
          </w:tcPr>
          <w:p>
            <w:pPr>
              <w:rPr>
                <w:rFonts w:ascii="Arial"/>
                <w:sz w:val="21"/>
              </w:rPr>
            </w:pPr>
          </w:p>
        </w:tc>
        <w:tc>
          <w:tcPr>
            <w:tcW w:w="2418" w:type="dxa"/>
            <w:vMerge w:val="continue"/>
            <w:tcBorders>
              <w:top w:val="nil"/>
              <w:bottom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pPr>
              <w:rPr>
                <w:rFonts w:ascii="Arial"/>
                <w:sz w:val="21"/>
              </w:rPr>
            </w:pPr>
          </w:p>
        </w:tc>
        <w:tc>
          <w:tcPr>
            <w:tcW w:w="2403" w:type="dxa"/>
            <w:vAlign w:val="top"/>
          </w:tcPr>
          <w:p>
            <w:pPr>
              <w:rPr>
                <w:rFonts w:ascii="Arial"/>
                <w:sz w:val="21"/>
              </w:rPr>
            </w:pPr>
          </w:p>
        </w:tc>
        <w:tc>
          <w:tcPr>
            <w:tcW w:w="2404" w:type="dxa"/>
            <w:vAlign w:val="top"/>
          </w:tcPr>
          <w:p>
            <w:pPr>
              <w:rPr>
                <w:rFonts w:ascii="Arial"/>
                <w:sz w:val="21"/>
              </w:rPr>
            </w:pPr>
          </w:p>
        </w:tc>
        <w:tc>
          <w:tcPr>
            <w:tcW w:w="2418" w:type="dxa"/>
            <w:vMerge w:val="continue"/>
            <w:tcBorders>
              <w:top w:val="nil"/>
              <w:bottom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pPr>
              <w:rPr>
                <w:rFonts w:ascii="Arial"/>
                <w:sz w:val="21"/>
              </w:rPr>
            </w:pPr>
          </w:p>
        </w:tc>
        <w:tc>
          <w:tcPr>
            <w:tcW w:w="2403" w:type="dxa"/>
            <w:vAlign w:val="top"/>
          </w:tcPr>
          <w:p>
            <w:pPr>
              <w:rPr>
                <w:rFonts w:ascii="Arial"/>
                <w:sz w:val="21"/>
              </w:rPr>
            </w:pPr>
          </w:p>
        </w:tc>
        <w:tc>
          <w:tcPr>
            <w:tcW w:w="2404" w:type="dxa"/>
            <w:vAlign w:val="top"/>
          </w:tcPr>
          <w:p>
            <w:pPr>
              <w:rPr>
                <w:rFonts w:ascii="Arial"/>
                <w:sz w:val="21"/>
              </w:rPr>
            </w:pPr>
          </w:p>
        </w:tc>
        <w:tc>
          <w:tcPr>
            <w:tcW w:w="2418" w:type="dxa"/>
            <w:vMerge w:val="continue"/>
            <w:tcBorders>
              <w:top w:val="nil"/>
              <w:bottom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pPr>
              <w:rPr>
                <w:rFonts w:ascii="Arial"/>
                <w:sz w:val="21"/>
              </w:rPr>
            </w:pPr>
          </w:p>
        </w:tc>
        <w:tc>
          <w:tcPr>
            <w:tcW w:w="2403" w:type="dxa"/>
            <w:vAlign w:val="top"/>
          </w:tcPr>
          <w:p>
            <w:pPr>
              <w:rPr>
                <w:rFonts w:ascii="Arial"/>
                <w:sz w:val="21"/>
              </w:rPr>
            </w:pPr>
          </w:p>
        </w:tc>
        <w:tc>
          <w:tcPr>
            <w:tcW w:w="2404" w:type="dxa"/>
            <w:vAlign w:val="top"/>
          </w:tcPr>
          <w:p>
            <w:pPr>
              <w:rPr>
                <w:rFonts w:ascii="Arial"/>
                <w:sz w:val="21"/>
              </w:rPr>
            </w:pPr>
          </w:p>
        </w:tc>
        <w:tc>
          <w:tcPr>
            <w:tcW w:w="2418" w:type="dxa"/>
            <w:vMerge w:val="continue"/>
            <w:tcBorders>
              <w:top w:val="nil"/>
              <w:bottom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pPr>
              <w:rPr>
                <w:rFonts w:ascii="Arial"/>
                <w:sz w:val="21"/>
              </w:rPr>
            </w:pPr>
          </w:p>
        </w:tc>
        <w:tc>
          <w:tcPr>
            <w:tcW w:w="2403" w:type="dxa"/>
            <w:vAlign w:val="top"/>
          </w:tcPr>
          <w:p>
            <w:pPr>
              <w:rPr>
                <w:rFonts w:ascii="Arial"/>
                <w:sz w:val="21"/>
              </w:rPr>
            </w:pPr>
          </w:p>
        </w:tc>
        <w:tc>
          <w:tcPr>
            <w:tcW w:w="2404" w:type="dxa"/>
            <w:vAlign w:val="top"/>
          </w:tcPr>
          <w:p>
            <w:pPr>
              <w:rPr>
                <w:rFonts w:ascii="Arial"/>
                <w:sz w:val="21"/>
              </w:rPr>
            </w:pPr>
          </w:p>
        </w:tc>
        <w:tc>
          <w:tcPr>
            <w:tcW w:w="2418" w:type="dxa"/>
            <w:vMerge w:val="continue"/>
            <w:tcBorders>
              <w:top w:val="nil"/>
              <w:bottom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417" w:type="dxa"/>
            <w:tcBorders>
              <w:left w:val="single" w:color="000000" w:sz="10" w:space="0"/>
            </w:tcBorders>
            <w:vAlign w:val="top"/>
          </w:tcPr>
          <w:p>
            <w:pPr>
              <w:rPr>
                <w:rFonts w:ascii="Arial"/>
                <w:sz w:val="21"/>
              </w:rPr>
            </w:pPr>
          </w:p>
        </w:tc>
        <w:tc>
          <w:tcPr>
            <w:tcW w:w="2403" w:type="dxa"/>
            <w:vAlign w:val="top"/>
          </w:tcPr>
          <w:p>
            <w:pPr>
              <w:rPr>
                <w:rFonts w:ascii="Arial"/>
                <w:sz w:val="21"/>
              </w:rPr>
            </w:pPr>
          </w:p>
        </w:tc>
        <w:tc>
          <w:tcPr>
            <w:tcW w:w="2404" w:type="dxa"/>
            <w:vAlign w:val="top"/>
          </w:tcPr>
          <w:p>
            <w:pPr>
              <w:rPr>
                <w:rFonts w:ascii="Arial"/>
                <w:sz w:val="21"/>
              </w:rPr>
            </w:pPr>
          </w:p>
        </w:tc>
        <w:tc>
          <w:tcPr>
            <w:tcW w:w="2418" w:type="dxa"/>
            <w:vMerge w:val="continue"/>
            <w:tcBorders>
              <w:top w:val="nil"/>
              <w:bottom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417" w:type="dxa"/>
            <w:tcBorders>
              <w:left w:val="single" w:color="000000" w:sz="10" w:space="0"/>
            </w:tcBorders>
            <w:vAlign w:val="top"/>
          </w:tcPr>
          <w:p>
            <w:pPr>
              <w:rPr>
                <w:rFonts w:ascii="Arial"/>
                <w:sz w:val="21"/>
              </w:rPr>
            </w:pPr>
          </w:p>
        </w:tc>
        <w:tc>
          <w:tcPr>
            <w:tcW w:w="2403" w:type="dxa"/>
            <w:vAlign w:val="top"/>
          </w:tcPr>
          <w:p>
            <w:pPr>
              <w:rPr>
                <w:rFonts w:ascii="Arial"/>
                <w:sz w:val="21"/>
              </w:rPr>
            </w:pPr>
          </w:p>
        </w:tc>
        <w:tc>
          <w:tcPr>
            <w:tcW w:w="2404" w:type="dxa"/>
            <w:vAlign w:val="top"/>
          </w:tcPr>
          <w:p>
            <w:pPr>
              <w:rPr>
                <w:rFonts w:ascii="Arial"/>
                <w:sz w:val="21"/>
              </w:rPr>
            </w:pPr>
          </w:p>
        </w:tc>
        <w:tc>
          <w:tcPr>
            <w:tcW w:w="2418" w:type="dxa"/>
            <w:vMerge w:val="continue"/>
            <w:tcBorders>
              <w:top w:val="nil"/>
              <w:bottom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4820" w:type="dxa"/>
            <w:gridSpan w:val="2"/>
            <w:tcBorders>
              <w:left w:val="single" w:color="000000" w:sz="10" w:space="0"/>
              <w:bottom w:val="single" w:color="000000" w:sz="10" w:space="0"/>
            </w:tcBorders>
            <w:vAlign w:val="top"/>
          </w:tcPr>
          <w:p>
            <w:pPr>
              <w:pStyle w:val="17"/>
              <w:spacing w:before="177" w:line="218" w:lineRule="auto"/>
              <w:ind w:left="848"/>
            </w:pPr>
            <w:r>
              <w:rPr>
                <w:spacing w:val="-1"/>
              </w:rPr>
              <w:t>拟分包工程造价合计（万元）</w:t>
            </w:r>
          </w:p>
        </w:tc>
        <w:tc>
          <w:tcPr>
            <w:tcW w:w="2404" w:type="dxa"/>
            <w:tcBorders>
              <w:bottom w:val="single" w:color="000000" w:sz="10" w:space="0"/>
            </w:tcBorders>
            <w:vAlign w:val="top"/>
          </w:tcPr>
          <w:p>
            <w:pPr>
              <w:rPr>
                <w:rFonts w:ascii="Arial"/>
                <w:sz w:val="21"/>
              </w:rPr>
            </w:pPr>
          </w:p>
        </w:tc>
        <w:tc>
          <w:tcPr>
            <w:tcW w:w="2418" w:type="dxa"/>
            <w:vMerge w:val="continue"/>
            <w:tcBorders>
              <w:top w:val="nil"/>
              <w:bottom w:val="single" w:color="000000" w:sz="10" w:space="0"/>
              <w:right w:val="single" w:color="000000" w:sz="10" w:space="0"/>
            </w:tcBorders>
            <w:vAlign w:val="top"/>
          </w:tcPr>
          <w:p>
            <w:pPr>
              <w:rPr>
                <w:rFonts w:ascii="Arial"/>
                <w:sz w:val="21"/>
              </w:rPr>
            </w:pPr>
          </w:p>
        </w:tc>
      </w:tr>
    </w:tbl>
    <w:p>
      <w:pPr>
        <w:spacing w:line="276" w:lineRule="auto"/>
        <w:rPr>
          <w:rFonts w:ascii="Arial"/>
          <w:sz w:val="21"/>
        </w:rPr>
      </w:pPr>
    </w:p>
    <w:p>
      <w:pPr>
        <w:spacing w:before="65" w:line="273" w:lineRule="exact"/>
        <w:ind w:left="308"/>
        <w:rPr>
          <w:rFonts w:ascii="宋体" w:hAnsi="宋体" w:eastAsia="宋体" w:cs="宋体"/>
          <w:sz w:val="20"/>
          <w:szCs w:val="20"/>
        </w:rPr>
      </w:pPr>
      <w:r>
        <w:rPr>
          <w:rFonts w:ascii="宋体" w:hAnsi="宋体" w:eastAsia="宋体" w:cs="宋体"/>
          <w:spacing w:val="9"/>
          <w:position w:val="4"/>
          <w:sz w:val="20"/>
          <w:szCs w:val="20"/>
        </w:rPr>
        <w:t>注：1、若投标人中标须按本招标文件的约定执</w:t>
      </w:r>
      <w:r>
        <w:rPr>
          <w:rFonts w:ascii="宋体" w:hAnsi="宋体" w:eastAsia="宋体" w:cs="宋体"/>
          <w:spacing w:val="8"/>
          <w:position w:val="4"/>
          <w:sz w:val="20"/>
          <w:szCs w:val="20"/>
        </w:rPr>
        <w:t>行。</w:t>
      </w:r>
    </w:p>
    <w:p>
      <w:pPr>
        <w:spacing w:line="226" w:lineRule="auto"/>
        <w:ind w:left="731"/>
        <w:rPr>
          <w:rFonts w:ascii="宋体" w:hAnsi="宋体" w:eastAsia="宋体" w:cs="宋体"/>
          <w:sz w:val="20"/>
          <w:szCs w:val="20"/>
        </w:rPr>
      </w:pPr>
      <w:r>
        <w:rPr>
          <w:rFonts w:ascii="宋体" w:hAnsi="宋体" w:eastAsia="宋体" w:cs="宋体"/>
          <w:spacing w:val="8"/>
          <w:sz w:val="20"/>
          <w:szCs w:val="20"/>
        </w:rPr>
        <w:t>2、本表填写的造价不属于投标报价的内容。</w:t>
      </w:r>
    </w:p>
    <w:p>
      <w:pPr>
        <w:spacing w:line="256" w:lineRule="auto"/>
        <w:rPr>
          <w:rFonts w:ascii="Arial"/>
          <w:sz w:val="21"/>
        </w:rPr>
      </w:pPr>
      <w:r>
        <w:rPr>
          <w:rFonts w:ascii="宋体" w:hAnsi="宋体" w:eastAsia="宋体" w:cs="宋体"/>
          <w:spacing w:val="8"/>
          <w:sz w:val="20"/>
          <w:szCs w:val="20"/>
        </w:rPr>
        <w:t>3、如投标人不具备拟分包工程所需的某专项工程相应资质或投标人如有分包计划，</w:t>
      </w:r>
      <w:r>
        <w:rPr>
          <w:rFonts w:ascii="宋体" w:hAnsi="宋体" w:eastAsia="宋体" w:cs="宋体"/>
          <w:spacing w:val="7"/>
          <w:sz w:val="20"/>
          <w:szCs w:val="20"/>
        </w:rPr>
        <w:t>应符合招标</w:t>
      </w:r>
      <w:r>
        <w:rPr>
          <w:rFonts w:ascii="宋体" w:hAnsi="宋体" w:eastAsia="宋体" w:cs="宋体"/>
          <w:sz w:val="20"/>
          <w:szCs w:val="20"/>
        </w:rPr>
        <w:t xml:space="preserve"> </w:t>
      </w:r>
      <w:r>
        <w:rPr>
          <w:rFonts w:ascii="宋体" w:hAnsi="宋体" w:eastAsia="宋体" w:cs="宋体"/>
          <w:spacing w:val="7"/>
          <w:sz w:val="20"/>
          <w:szCs w:val="20"/>
        </w:rPr>
        <w:t>文件第二章“投标人须知</w:t>
      </w:r>
      <w:r>
        <w:rPr>
          <w:rFonts w:ascii="宋体" w:hAnsi="宋体" w:eastAsia="宋体" w:cs="宋体"/>
          <w:spacing w:val="-70"/>
          <w:sz w:val="20"/>
          <w:szCs w:val="20"/>
        </w:rPr>
        <w:t xml:space="preserve"> </w:t>
      </w:r>
      <w:r>
        <w:rPr>
          <w:rFonts w:ascii="宋体" w:hAnsi="宋体" w:eastAsia="宋体" w:cs="宋体"/>
          <w:spacing w:val="7"/>
          <w:sz w:val="20"/>
          <w:szCs w:val="20"/>
        </w:rPr>
        <w:t>” 第</w:t>
      </w:r>
      <w:r>
        <w:rPr>
          <w:rFonts w:ascii="宋体" w:hAnsi="宋体" w:eastAsia="宋体" w:cs="宋体"/>
          <w:spacing w:val="-24"/>
          <w:sz w:val="20"/>
          <w:szCs w:val="20"/>
        </w:rPr>
        <w:t xml:space="preserve"> </w:t>
      </w:r>
      <w:r>
        <w:rPr>
          <w:rFonts w:ascii="宋体" w:hAnsi="宋体" w:eastAsia="宋体" w:cs="宋体"/>
          <w:spacing w:val="7"/>
          <w:sz w:val="20"/>
          <w:szCs w:val="20"/>
        </w:rPr>
        <w:t>1.11</w:t>
      </w:r>
      <w:r>
        <w:rPr>
          <w:rFonts w:ascii="宋体" w:hAnsi="宋体" w:eastAsia="宋体" w:cs="宋体"/>
          <w:spacing w:val="-39"/>
          <w:sz w:val="20"/>
          <w:szCs w:val="20"/>
        </w:rPr>
        <w:t xml:space="preserve"> </w:t>
      </w:r>
      <w:r>
        <w:rPr>
          <w:rFonts w:ascii="宋体" w:hAnsi="宋体" w:eastAsia="宋体" w:cs="宋体"/>
          <w:spacing w:val="7"/>
          <w:sz w:val="20"/>
          <w:szCs w:val="20"/>
        </w:rPr>
        <w:t>款</w:t>
      </w:r>
      <w:r>
        <w:rPr>
          <w:rFonts w:ascii="宋体" w:hAnsi="宋体" w:eastAsia="宋体" w:cs="宋体"/>
          <w:spacing w:val="6"/>
          <w:sz w:val="20"/>
          <w:szCs w:val="20"/>
        </w:rPr>
        <w:t>规定，且按本表的要求填写。</w:t>
      </w:r>
    </w:p>
    <w:p>
      <w:pPr>
        <w:spacing w:line="256" w:lineRule="auto"/>
        <w:rPr>
          <w:rFonts w:ascii="Arial"/>
          <w:sz w:val="21"/>
        </w:rPr>
      </w:pPr>
    </w:p>
    <w:p>
      <w:pPr>
        <w:spacing w:line="256" w:lineRule="auto"/>
        <w:rPr>
          <w:rFonts w:ascii="Arial"/>
          <w:sz w:val="21"/>
        </w:rPr>
      </w:pPr>
    </w:p>
    <w:p>
      <w:pPr>
        <w:pStyle w:val="4"/>
        <w:spacing w:before="114" w:line="227" w:lineRule="auto"/>
        <w:jc w:val="center"/>
        <w:rPr>
          <w:spacing w:val="10"/>
          <w:sz w:val="35"/>
          <w:szCs w:val="35"/>
          <w14:textOutline w14:w="6537" w14:cap="sq" w14:cmpd="sng">
            <w14:solidFill>
              <w14:srgbClr w14:val="000000"/>
            </w14:solidFill>
            <w14:prstDash w14:val="solid"/>
            <w14:bevel/>
          </w14:textOutline>
        </w:rPr>
      </w:pPr>
    </w:p>
    <w:p>
      <w:pPr>
        <w:pStyle w:val="4"/>
        <w:spacing w:before="114" w:line="227" w:lineRule="auto"/>
        <w:jc w:val="center"/>
        <w:rPr>
          <w:spacing w:val="10"/>
          <w:sz w:val="35"/>
          <w:szCs w:val="35"/>
          <w14:textOutline w14:w="6537" w14:cap="sq" w14:cmpd="sng">
            <w14:solidFill>
              <w14:srgbClr w14:val="000000"/>
            </w14:solidFill>
            <w14:prstDash w14:val="solid"/>
            <w14:bevel/>
          </w14:textOutline>
        </w:rPr>
      </w:pPr>
    </w:p>
    <w:p>
      <w:pPr>
        <w:pStyle w:val="4"/>
        <w:spacing w:before="114" w:line="227" w:lineRule="auto"/>
        <w:jc w:val="center"/>
        <w:rPr>
          <w:spacing w:val="10"/>
          <w:sz w:val="35"/>
          <w:szCs w:val="35"/>
          <w14:textOutline w14:w="6537" w14:cap="sq" w14:cmpd="sng">
            <w14:solidFill>
              <w14:srgbClr w14:val="000000"/>
            </w14:solidFill>
            <w14:prstDash w14:val="solid"/>
            <w14:bevel/>
          </w14:textOutline>
        </w:rPr>
      </w:pPr>
    </w:p>
    <w:p>
      <w:pPr>
        <w:pStyle w:val="4"/>
        <w:spacing w:before="114" w:line="227" w:lineRule="auto"/>
        <w:jc w:val="center"/>
        <w:rPr>
          <w:spacing w:val="10"/>
          <w:sz w:val="35"/>
          <w:szCs w:val="35"/>
          <w14:textOutline w14:w="6537" w14:cap="sq" w14:cmpd="sng">
            <w14:solidFill>
              <w14:srgbClr w14:val="000000"/>
            </w14:solidFill>
            <w14:prstDash w14:val="solid"/>
            <w14:bevel/>
          </w14:textOutline>
        </w:rPr>
      </w:pPr>
    </w:p>
    <w:p>
      <w:pPr>
        <w:pStyle w:val="4"/>
        <w:spacing w:before="114" w:line="227" w:lineRule="auto"/>
        <w:jc w:val="center"/>
        <w:rPr>
          <w:spacing w:val="10"/>
          <w:sz w:val="35"/>
          <w:szCs w:val="35"/>
          <w14:textOutline w14:w="6537" w14:cap="sq" w14:cmpd="sng">
            <w14:solidFill>
              <w14:srgbClr w14:val="000000"/>
            </w14:solidFill>
            <w14:prstDash w14:val="solid"/>
            <w14:bevel/>
          </w14:textOutline>
        </w:rPr>
      </w:pPr>
    </w:p>
    <w:p>
      <w:pPr>
        <w:pStyle w:val="4"/>
        <w:spacing w:before="114" w:line="227" w:lineRule="auto"/>
        <w:jc w:val="center"/>
        <w:rPr>
          <w:sz w:val="35"/>
          <w:szCs w:val="35"/>
        </w:rPr>
      </w:pPr>
      <w:r>
        <w:rPr>
          <w:spacing w:val="10"/>
          <w:sz w:val="35"/>
          <w:szCs w:val="35"/>
          <w14:textOutline w14:w="6537" w14:cap="sq" w14:cmpd="sng">
            <w14:solidFill>
              <w14:srgbClr w14:val="000000"/>
            </w14:solidFill>
            <w14:prstDash w14:val="solid"/>
            <w14:bevel/>
          </w14:textOutline>
        </w:rPr>
        <w:t>八、资格审查资料</w:t>
      </w:r>
    </w:p>
    <w:p>
      <w:pPr>
        <w:spacing w:line="318" w:lineRule="auto"/>
        <w:rPr>
          <w:rFonts w:ascii="Arial"/>
          <w:sz w:val="21"/>
        </w:rPr>
      </w:pPr>
    </w:p>
    <w:p>
      <w:pPr>
        <w:spacing w:line="318" w:lineRule="auto"/>
        <w:rPr>
          <w:rFonts w:ascii="Arial"/>
          <w:sz w:val="21"/>
        </w:rPr>
      </w:pPr>
    </w:p>
    <w:p>
      <w:pPr>
        <w:spacing w:before="78" w:line="219" w:lineRule="auto"/>
        <w:ind w:left="167"/>
        <w:rPr>
          <w:rFonts w:ascii="宋体" w:hAnsi="宋体" w:eastAsia="宋体" w:cs="宋体"/>
          <w:sz w:val="24"/>
          <w:szCs w:val="24"/>
        </w:rPr>
      </w:pPr>
      <w:r>
        <w:rPr>
          <w:rFonts w:ascii="宋体" w:hAnsi="宋体" w:eastAsia="宋体" w:cs="宋体"/>
          <w:spacing w:val="-5"/>
          <w:sz w:val="24"/>
          <w:szCs w:val="24"/>
        </w:rPr>
        <w:t>(一)投标人基本情况表</w:t>
      </w:r>
    </w:p>
    <w:p>
      <w:pPr>
        <w:spacing w:before="183" w:line="466" w:lineRule="exact"/>
        <w:ind w:left="167"/>
        <w:rPr>
          <w:rFonts w:ascii="宋体" w:hAnsi="宋体" w:eastAsia="宋体" w:cs="宋体"/>
          <w:sz w:val="24"/>
          <w:szCs w:val="24"/>
        </w:rPr>
      </w:pPr>
      <w:r>
        <w:rPr>
          <w:rFonts w:ascii="宋体" w:hAnsi="宋体" w:eastAsia="宋体" w:cs="宋体"/>
          <w:spacing w:val="-4"/>
          <w:position w:val="17"/>
          <w:sz w:val="24"/>
          <w:szCs w:val="24"/>
        </w:rPr>
        <w:t>(二)投标人企业组织机构框图</w:t>
      </w:r>
    </w:p>
    <w:p>
      <w:pPr>
        <w:spacing w:line="219" w:lineRule="auto"/>
        <w:ind w:left="167"/>
        <w:rPr>
          <w:rFonts w:ascii="宋体" w:hAnsi="宋体" w:eastAsia="宋体" w:cs="宋体"/>
          <w:sz w:val="24"/>
          <w:szCs w:val="24"/>
        </w:rPr>
      </w:pPr>
      <w:r>
        <w:rPr>
          <w:rFonts w:ascii="宋体" w:hAnsi="宋体" w:eastAsia="宋体" w:cs="宋体"/>
          <w:spacing w:val="-6"/>
          <w:sz w:val="24"/>
          <w:szCs w:val="24"/>
        </w:rPr>
        <w:t>(三)近年财务状况表</w:t>
      </w:r>
    </w:p>
    <w:p>
      <w:pPr>
        <w:spacing w:before="182" w:line="468" w:lineRule="exact"/>
        <w:ind w:left="167"/>
        <w:rPr>
          <w:rFonts w:ascii="宋体" w:hAnsi="宋体" w:eastAsia="宋体" w:cs="宋体"/>
          <w:sz w:val="24"/>
          <w:szCs w:val="24"/>
        </w:rPr>
      </w:pPr>
      <w:r>
        <w:rPr>
          <w:rFonts w:ascii="宋体" w:hAnsi="宋体" w:eastAsia="宋体" w:cs="宋体"/>
          <w:spacing w:val="-4"/>
          <w:position w:val="17"/>
          <w:sz w:val="24"/>
          <w:szCs w:val="24"/>
        </w:rPr>
        <w:t>(四) 近年完成的类似项目情况表</w:t>
      </w:r>
    </w:p>
    <w:p>
      <w:pPr>
        <w:spacing w:before="1" w:line="219" w:lineRule="auto"/>
        <w:ind w:left="167"/>
        <w:rPr>
          <w:rFonts w:ascii="宋体" w:hAnsi="宋体" w:eastAsia="宋体" w:cs="宋体"/>
          <w:sz w:val="24"/>
          <w:szCs w:val="24"/>
        </w:rPr>
      </w:pPr>
      <w:r>
        <w:rPr>
          <w:rFonts w:ascii="宋体" w:hAnsi="宋体" w:eastAsia="宋体" w:cs="宋体"/>
          <w:spacing w:val="-4"/>
          <w:sz w:val="24"/>
          <w:szCs w:val="24"/>
        </w:rPr>
        <w:t>(四)-1完成的类似项目情况表</w:t>
      </w:r>
    </w:p>
    <w:p>
      <w:pPr>
        <w:spacing w:before="180" w:line="466" w:lineRule="exact"/>
        <w:ind w:left="167"/>
        <w:rPr>
          <w:rFonts w:ascii="宋体" w:hAnsi="宋体" w:eastAsia="宋体" w:cs="宋体"/>
          <w:sz w:val="24"/>
          <w:szCs w:val="24"/>
        </w:rPr>
      </w:pPr>
      <w:r>
        <w:rPr>
          <w:rFonts w:ascii="宋体" w:hAnsi="宋体" w:eastAsia="宋体" w:cs="宋体"/>
          <w:spacing w:val="-4"/>
          <w:position w:val="17"/>
          <w:sz w:val="24"/>
          <w:szCs w:val="24"/>
        </w:rPr>
        <w:t>(四)-2</w:t>
      </w:r>
      <w:r>
        <w:rPr>
          <w:rFonts w:ascii="宋体" w:hAnsi="宋体" w:eastAsia="宋体" w:cs="宋体"/>
          <w:spacing w:val="-45"/>
          <w:position w:val="17"/>
          <w:sz w:val="24"/>
          <w:szCs w:val="24"/>
        </w:rPr>
        <w:t xml:space="preserve"> </w:t>
      </w:r>
      <w:r>
        <w:rPr>
          <w:rFonts w:ascii="宋体" w:hAnsi="宋体" w:eastAsia="宋体" w:cs="宋体"/>
          <w:spacing w:val="-4"/>
          <w:position w:val="17"/>
          <w:sz w:val="24"/>
          <w:szCs w:val="24"/>
        </w:rPr>
        <w:t>完成的类似项目情况汇总表</w:t>
      </w:r>
    </w:p>
    <w:p>
      <w:pPr>
        <w:spacing w:line="218" w:lineRule="auto"/>
        <w:ind w:left="16"/>
        <w:rPr>
          <w:rFonts w:ascii="宋体" w:hAnsi="宋体" w:eastAsia="宋体" w:cs="宋体"/>
          <w:sz w:val="24"/>
          <w:szCs w:val="24"/>
        </w:rPr>
      </w:pPr>
      <w:r>
        <w:rPr>
          <w:rFonts w:ascii="宋体" w:hAnsi="宋体" w:eastAsia="宋体" w:cs="宋体"/>
          <w:spacing w:val="-2"/>
          <w:sz w:val="24"/>
          <w:szCs w:val="24"/>
        </w:rPr>
        <w:t>（五）投标人的信誉情况表</w:t>
      </w:r>
    </w:p>
    <w:p>
      <w:pPr>
        <w:spacing w:before="184" w:line="219" w:lineRule="auto"/>
        <w:ind w:left="16"/>
        <w:rPr>
          <w:rFonts w:ascii="宋体" w:hAnsi="宋体" w:eastAsia="宋体" w:cs="宋体"/>
          <w:sz w:val="24"/>
          <w:szCs w:val="24"/>
        </w:rPr>
      </w:pPr>
      <w:r>
        <w:rPr>
          <w:rFonts w:ascii="宋体" w:hAnsi="宋体" w:eastAsia="宋体" w:cs="宋体"/>
          <w:spacing w:val="-2"/>
          <w:sz w:val="24"/>
          <w:szCs w:val="24"/>
        </w:rPr>
        <w:t>（六）拟委任的项目经理和项目总工情况表</w:t>
      </w:r>
    </w:p>
    <w:p>
      <w:pPr>
        <w:spacing w:before="181" w:line="468" w:lineRule="exact"/>
        <w:ind w:left="16"/>
        <w:rPr>
          <w:rFonts w:ascii="宋体" w:hAnsi="宋体" w:eastAsia="宋体" w:cs="宋体"/>
          <w:sz w:val="24"/>
          <w:szCs w:val="24"/>
        </w:rPr>
      </w:pPr>
      <w:r>
        <w:rPr>
          <w:rFonts w:ascii="宋体" w:hAnsi="宋体" w:eastAsia="宋体" w:cs="宋体"/>
          <w:spacing w:val="-2"/>
          <w:position w:val="17"/>
          <w:sz w:val="24"/>
          <w:szCs w:val="24"/>
        </w:rPr>
        <w:t>（六）-1</w:t>
      </w:r>
      <w:r>
        <w:rPr>
          <w:rFonts w:ascii="宋体" w:hAnsi="宋体" w:eastAsia="宋体" w:cs="宋体"/>
          <w:spacing w:val="-40"/>
          <w:position w:val="17"/>
          <w:sz w:val="24"/>
          <w:szCs w:val="24"/>
        </w:rPr>
        <w:t xml:space="preserve"> </w:t>
      </w:r>
      <w:r>
        <w:rPr>
          <w:rFonts w:ascii="宋体" w:hAnsi="宋体" w:eastAsia="宋体" w:cs="宋体"/>
          <w:spacing w:val="-2"/>
          <w:position w:val="17"/>
          <w:sz w:val="24"/>
          <w:szCs w:val="24"/>
        </w:rPr>
        <w:t>拟委任的项目经理和项目总工汇总表</w:t>
      </w:r>
    </w:p>
    <w:p>
      <w:pPr>
        <w:spacing w:before="1" w:line="218" w:lineRule="auto"/>
        <w:ind w:left="16"/>
        <w:rPr>
          <w:rFonts w:ascii="宋体" w:hAnsi="宋体" w:eastAsia="宋体" w:cs="宋体"/>
          <w:sz w:val="24"/>
          <w:szCs w:val="24"/>
        </w:rPr>
      </w:pPr>
      <w:r>
        <w:rPr>
          <w:rFonts w:ascii="宋体" w:hAnsi="宋体" w:eastAsia="宋体" w:cs="宋体"/>
          <w:spacing w:val="-1"/>
          <w:sz w:val="24"/>
          <w:szCs w:val="24"/>
        </w:rPr>
        <w:t>（六）-2拟委任的项目经理和项目总工资历表</w:t>
      </w:r>
    </w:p>
    <w:p>
      <w:pPr>
        <w:spacing w:line="406" w:lineRule="auto"/>
        <w:rPr>
          <w:rFonts w:ascii="Arial"/>
          <w:sz w:val="21"/>
        </w:rPr>
      </w:pPr>
    </w:p>
    <w:p>
      <w:pPr>
        <w:pStyle w:val="4"/>
        <w:spacing w:before="113" w:line="228" w:lineRule="auto"/>
        <w:ind w:left="2972"/>
        <w:rPr>
          <w:spacing w:val="2"/>
          <w:sz w:val="35"/>
          <w:szCs w:val="35"/>
          <w14:textOutline w14:w="6537" w14:cap="sq" w14:cmpd="sng">
            <w14:solidFill>
              <w14:srgbClr w14:val="000000"/>
            </w14:solidFill>
            <w14:prstDash w14:val="solid"/>
            <w14:bevel/>
          </w14:textOutline>
        </w:rPr>
      </w:pPr>
    </w:p>
    <w:p>
      <w:pPr>
        <w:pStyle w:val="4"/>
        <w:spacing w:before="113" w:line="228" w:lineRule="auto"/>
        <w:ind w:left="2972"/>
        <w:rPr>
          <w:spacing w:val="2"/>
          <w:sz w:val="35"/>
          <w:szCs w:val="35"/>
          <w14:textOutline w14:w="6537" w14:cap="sq" w14:cmpd="sng">
            <w14:solidFill>
              <w14:srgbClr w14:val="000000"/>
            </w14:solidFill>
            <w14:prstDash w14:val="solid"/>
            <w14:bevel/>
          </w14:textOutline>
        </w:rPr>
      </w:pPr>
    </w:p>
    <w:p>
      <w:pPr>
        <w:pStyle w:val="4"/>
        <w:spacing w:before="113" w:line="228" w:lineRule="auto"/>
        <w:ind w:left="2972"/>
        <w:rPr>
          <w:spacing w:val="2"/>
          <w:sz w:val="35"/>
          <w:szCs w:val="35"/>
          <w14:textOutline w14:w="6537" w14:cap="sq" w14:cmpd="sng">
            <w14:solidFill>
              <w14:srgbClr w14:val="000000"/>
            </w14:solidFill>
            <w14:prstDash w14:val="solid"/>
            <w14:bevel/>
          </w14:textOutline>
        </w:rPr>
      </w:pPr>
    </w:p>
    <w:p>
      <w:pPr>
        <w:pStyle w:val="4"/>
        <w:spacing w:before="113" w:line="228" w:lineRule="auto"/>
        <w:ind w:left="2972"/>
        <w:rPr>
          <w:spacing w:val="2"/>
          <w:sz w:val="35"/>
          <w:szCs w:val="35"/>
          <w14:textOutline w14:w="6537" w14:cap="sq" w14:cmpd="sng">
            <w14:solidFill>
              <w14:srgbClr w14:val="000000"/>
            </w14:solidFill>
            <w14:prstDash w14:val="solid"/>
            <w14:bevel/>
          </w14:textOutline>
        </w:rPr>
      </w:pPr>
    </w:p>
    <w:p>
      <w:pPr>
        <w:pStyle w:val="4"/>
        <w:spacing w:before="113" w:line="228" w:lineRule="auto"/>
        <w:ind w:left="2972"/>
        <w:rPr>
          <w:spacing w:val="2"/>
          <w:sz w:val="35"/>
          <w:szCs w:val="35"/>
          <w14:textOutline w14:w="6537" w14:cap="sq" w14:cmpd="sng">
            <w14:solidFill>
              <w14:srgbClr w14:val="000000"/>
            </w14:solidFill>
            <w14:prstDash w14:val="solid"/>
            <w14:bevel/>
          </w14:textOutline>
        </w:rPr>
      </w:pPr>
    </w:p>
    <w:p>
      <w:pPr>
        <w:pStyle w:val="4"/>
        <w:spacing w:before="113" w:line="228" w:lineRule="auto"/>
        <w:ind w:left="2972"/>
        <w:rPr>
          <w:spacing w:val="2"/>
          <w:sz w:val="35"/>
          <w:szCs w:val="35"/>
          <w14:textOutline w14:w="6537" w14:cap="sq" w14:cmpd="sng">
            <w14:solidFill>
              <w14:srgbClr w14:val="000000"/>
            </w14:solidFill>
            <w14:prstDash w14:val="solid"/>
            <w14:bevel/>
          </w14:textOutline>
        </w:rPr>
      </w:pPr>
    </w:p>
    <w:p>
      <w:pPr>
        <w:pStyle w:val="4"/>
        <w:spacing w:before="113" w:line="228" w:lineRule="auto"/>
        <w:ind w:left="2972"/>
        <w:rPr>
          <w:spacing w:val="2"/>
          <w:sz w:val="35"/>
          <w:szCs w:val="35"/>
          <w14:textOutline w14:w="6537" w14:cap="sq" w14:cmpd="sng">
            <w14:solidFill>
              <w14:srgbClr w14:val="000000"/>
            </w14:solidFill>
            <w14:prstDash w14:val="solid"/>
            <w14:bevel/>
          </w14:textOutline>
        </w:rPr>
      </w:pPr>
    </w:p>
    <w:p>
      <w:pPr>
        <w:pStyle w:val="4"/>
        <w:spacing w:before="113" w:line="228" w:lineRule="auto"/>
        <w:ind w:left="2972"/>
        <w:rPr>
          <w:spacing w:val="2"/>
          <w:sz w:val="35"/>
          <w:szCs w:val="35"/>
          <w14:textOutline w14:w="6537" w14:cap="sq" w14:cmpd="sng">
            <w14:solidFill>
              <w14:srgbClr w14:val="000000"/>
            </w14:solidFill>
            <w14:prstDash w14:val="solid"/>
            <w14:bevel/>
          </w14:textOutline>
        </w:rPr>
      </w:pPr>
    </w:p>
    <w:p>
      <w:pPr>
        <w:pStyle w:val="4"/>
        <w:spacing w:before="113" w:line="228" w:lineRule="auto"/>
        <w:ind w:left="2972"/>
        <w:rPr>
          <w:spacing w:val="2"/>
          <w:sz w:val="35"/>
          <w:szCs w:val="35"/>
          <w14:textOutline w14:w="6537" w14:cap="sq" w14:cmpd="sng">
            <w14:solidFill>
              <w14:srgbClr w14:val="000000"/>
            </w14:solidFill>
            <w14:prstDash w14:val="solid"/>
            <w14:bevel/>
          </w14:textOutline>
        </w:rPr>
      </w:pPr>
    </w:p>
    <w:p>
      <w:pPr>
        <w:pStyle w:val="4"/>
        <w:spacing w:before="113" w:line="228" w:lineRule="auto"/>
        <w:ind w:left="2972"/>
        <w:rPr>
          <w:spacing w:val="2"/>
          <w:sz w:val="35"/>
          <w:szCs w:val="35"/>
          <w14:textOutline w14:w="6537" w14:cap="sq" w14:cmpd="sng">
            <w14:solidFill>
              <w14:srgbClr w14:val="000000"/>
            </w14:solidFill>
            <w14:prstDash w14:val="solid"/>
            <w14:bevel/>
          </w14:textOutline>
        </w:rPr>
      </w:pPr>
    </w:p>
    <w:p>
      <w:pPr>
        <w:pStyle w:val="4"/>
        <w:spacing w:before="113" w:line="228" w:lineRule="auto"/>
        <w:ind w:left="2972"/>
        <w:rPr>
          <w:spacing w:val="2"/>
          <w:sz w:val="35"/>
          <w:szCs w:val="35"/>
          <w14:textOutline w14:w="6537" w14:cap="sq" w14:cmpd="sng">
            <w14:solidFill>
              <w14:srgbClr w14:val="000000"/>
            </w14:solidFill>
            <w14:prstDash w14:val="solid"/>
            <w14:bevel/>
          </w14:textOutline>
        </w:rPr>
      </w:pPr>
    </w:p>
    <w:p>
      <w:pPr>
        <w:pStyle w:val="4"/>
        <w:spacing w:before="113" w:line="228" w:lineRule="auto"/>
        <w:ind w:left="2972"/>
        <w:rPr>
          <w:spacing w:val="2"/>
          <w:sz w:val="35"/>
          <w:szCs w:val="35"/>
          <w14:textOutline w14:w="6537" w14:cap="sq" w14:cmpd="sng">
            <w14:solidFill>
              <w14:srgbClr w14:val="000000"/>
            </w14:solidFill>
            <w14:prstDash w14:val="solid"/>
            <w14:bevel/>
          </w14:textOutline>
        </w:rPr>
      </w:pPr>
    </w:p>
    <w:p>
      <w:pPr>
        <w:pStyle w:val="4"/>
        <w:spacing w:before="113" w:line="228" w:lineRule="auto"/>
        <w:ind w:left="2972"/>
        <w:rPr>
          <w:spacing w:val="2"/>
          <w:sz w:val="35"/>
          <w:szCs w:val="35"/>
          <w14:textOutline w14:w="6537" w14:cap="sq" w14:cmpd="sng">
            <w14:solidFill>
              <w14:srgbClr w14:val="000000"/>
            </w14:solidFill>
            <w14:prstDash w14:val="solid"/>
            <w14:bevel/>
          </w14:textOutline>
        </w:rPr>
      </w:pPr>
    </w:p>
    <w:p>
      <w:pPr>
        <w:pStyle w:val="4"/>
        <w:spacing w:before="113" w:line="228" w:lineRule="auto"/>
        <w:ind w:left="2972"/>
        <w:rPr>
          <w:spacing w:val="2"/>
          <w:sz w:val="35"/>
          <w:szCs w:val="35"/>
          <w14:textOutline w14:w="6537" w14:cap="sq" w14:cmpd="sng">
            <w14:solidFill>
              <w14:srgbClr w14:val="000000"/>
            </w14:solidFill>
            <w14:prstDash w14:val="solid"/>
            <w14:bevel/>
          </w14:textOutline>
        </w:rPr>
      </w:pPr>
    </w:p>
    <w:p>
      <w:pPr>
        <w:pStyle w:val="4"/>
        <w:spacing w:before="113" w:line="228" w:lineRule="auto"/>
        <w:ind w:left="2972"/>
        <w:rPr>
          <w:spacing w:val="2"/>
          <w:sz w:val="35"/>
          <w:szCs w:val="35"/>
          <w14:textOutline w14:w="6537" w14:cap="sq" w14:cmpd="sng">
            <w14:solidFill>
              <w14:srgbClr w14:val="000000"/>
            </w14:solidFill>
            <w14:prstDash w14:val="solid"/>
            <w14:bevel/>
          </w14:textOutline>
        </w:rPr>
      </w:pPr>
    </w:p>
    <w:p>
      <w:pPr>
        <w:pStyle w:val="4"/>
        <w:spacing w:before="113" w:line="228" w:lineRule="auto"/>
        <w:ind w:left="2972"/>
        <w:rPr>
          <w:sz w:val="35"/>
          <w:szCs w:val="35"/>
        </w:rPr>
      </w:pPr>
      <w:r>
        <w:rPr>
          <w:spacing w:val="2"/>
          <w:sz w:val="35"/>
          <w:szCs w:val="35"/>
          <w14:textOutline w14:w="6537" w14:cap="sq" w14:cmpd="sng">
            <w14:solidFill>
              <w14:srgbClr w14:val="000000"/>
            </w14:solidFill>
            <w14:prstDash w14:val="solid"/>
            <w14:bevel/>
          </w14:textOutline>
        </w:rPr>
        <w:t>(一)投标人基本情况表</w:t>
      </w:r>
    </w:p>
    <w:p>
      <w:pPr>
        <w:spacing w:line="215" w:lineRule="exact"/>
      </w:pPr>
    </w:p>
    <w:tbl>
      <w:tblPr>
        <w:tblStyle w:val="16"/>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0"/>
        <w:gridCol w:w="1150"/>
        <w:gridCol w:w="1031"/>
        <w:gridCol w:w="658"/>
        <w:gridCol w:w="519"/>
        <w:gridCol w:w="1260"/>
        <w:gridCol w:w="280"/>
        <w:gridCol w:w="845"/>
        <w:gridCol w:w="14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910" w:type="dxa"/>
            <w:vAlign w:val="top"/>
          </w:tcPr>
          <w:p>
            <w:pPr>
              <w:pStyle w:val="17"/>
              <w:spacing w:before="137" w:line="215" w:lineRule="auto"/>
              <w:ind w:left="363"/>
            </w:pPr>
            <w:r>
              <w:rPr>
                <w:spacing w:val="-3"/>
              </w:rPr>
              <w:t>投标人名称</w:t>
            </w:r>
          </w:p>
        </w:tc>
        <w:tc>
          <w:tcPr>
            <w:tcW w:w="7213"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Align w:val="top"/>
          </w:tcPr>
          <w:p>
            <w:pPr>
              <w:pStyle w:val="17"/>
              <w:spacing w:before="134" w:line="214" w:lineRule="auto"/>
              <w:ind w:left="480"/>
            </w:pPr>
            <w:r>
              <w:rPr>
                <w:spacing w:val="-3"/>
              </w:rPr>
              <w:t>注册地址</w:t>
            </w:r>
          </w:p>
        </w:tc>
        <w:tc>
          <w:tcPr>
            <w:tcW w:w="3358" w:type="dxa"/>
            <w:gridSpan w:val="4"/>
            <w:vAlign w:val="top"/>
          </w:tcPr>
          <w:p>
            <w:pPr>
              <w:rPr>
                <w:rFonts w:ascii="Arial"/>
                <w:sz w:val="21"/>
              </w:rPr>
            </w:pPr>
          </w:p>
        </w:tc>
        <w:tc>
          <w:tcPr>
            <w:tcW w:w="1260" w:type="dxa"/>
            <w:vAlign w:val="top"/>
          </w:tcPr>
          <w:p>
            <w:pPr>
              <w:pStyle w:val="17"/>
              <w:spacing w:before="134" w:line="214" w:lineRule="auto"/>
              <w:ind w:left="174"/>
            </w:pPr>
            <w:r>
              <w:rPr>
                <w:spacing w:val="-7"/>
              </w:rPr>
              <w:t>邮政编码</w:t>
            </w:r>
          </w:p>
        </w:tc>
        <w:tc>
          <w:tcPr>
            <w:tcW w:w="259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Merge w:val="restart"/>
            <w:tcBorders>
              <w:bottom w:val="nil"/>
            </w:tcBorders>
            <w:vAlign w:val="top"/>
          </w:tcPr>
          <w:p>
            <w:pPr>
              <w:spacing w:line="267" w:lineRule="auto"/>
              <w:rPr>
                <w:rFonts w:ascii="Arial"/>
                <w:sz w:val="21"/>
              </w:rPr>
            </w:pPr>
          </w:p>
          <w:p>
            <w:pPr>
              <w:pStyle w:val="17"/>
              <w:spacing w:before="78" w:line="219" w:lineRule="auto"/>
              <w:ind w:left="481"/>
            </w:pPr>
            <w:r>
              <w:rPr>
                <w:spacing w:val="-3"/>
              </w:rPr>
              <w:t>联系方式</w:t>
            </w:r>
          </w:p>
        </w:tc>
        <w:tc>
          <w:tcPr>
            <w:tcW w:w="1150" w:type="dxa"/>
            <w:vAlign w:val="top"/>
          </w:tcPr>
          <w:p>
            <w:pPr>
              <w:pStyle w:val="17"/>
              <w:spacing w:before="134" w:line="214" w:lineRule="auto"/>
              <w:ind w:left="220"/>
            </w:pPr>
            <w:r>
              <w:rPr>
                <w:spacing w:val="-4"/>
              </w:rPr>
              <w:t>联系人</w:t>
            </w:r>
          </w:p>
        </w:tc>
        <w:tc>
          <w:tcPr>
            <w:tcW w:w="2208" w:type="dxa"/>
            <w:gridSpan w:val="3"/>
            <w:vAlign w:val="top"/>
          </w:tcPr>
          <w:p>
            <w:pPr>
              <w:rPr>
                <w:rFonts w:ascii="Arial"/>
                <w:sz w:val="21"/>
              </w:rPr>
            </w:pPr>
          </w:p>
        </w:tc>
        <w:tc>
          <w:tcPr>
            <w:tcW w:w="1260" w:type="dxa"/>
            <w:vAlign w:val="top"/>
          </w:tcPr>
          <w:p>
            <w:pPr>
              <w:pStyle w:val="17"/>
              <w:spacing w:before="134" w:line="214" w:lineRule="auto"/>
              <w:ind w:left="365"/>
            </w:pPr>
            <w:r>
              <w:rPr>
                <w:spacing w:val="-19"/>
              </w:rPr>
              <w:t>电</w:t>
            </w:r>
            <w:r>
              <w:rPr>
                <w:spacing w:val="9"/>
              </w:rPr>
              <w:t xml:space="preserve"> </w:t>
            </w:r>
            <w:r>
              <w:rPr>
                <w:spacing w:val="-19"/>
              </w:rPr>
              <w:t>话</w:t>
            </w:r>
          </w:p>
        </w:tc>
        <w:tc>
          <w:tcPr>
            <w:tcW w:w="259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Merge w:val="continue"/>
            <w:tcBorders>
              <w:top w:val="nil"/>
            </w:tcBorders>
            <w:vAlign w:val="top"/>
          </w:tcPr>
          <w:p>
            <w:pPr>
              <w:rPr>
                <w:rFonts w:ascii="Arial"/>
                <w:sz w:val="21"/>
              </w:rPr>
            </w:pPr>
          </w:p>
        </w:tc>
        <w:tc>
          <w:tcPr>
            <w:tcW w:w="1150" w:type="dxa"/>
            <w:vAlign w:val="top"/>
          </w:tcPr>
          <w:p>
            <w:pPr>
              <w:pStyle w:val="17"/>
              <w:spacing w:before="133" w:line="215" w:lineRule="auto"/>
              <w:ind w:left="217"/>
            </w:pPr>
            <w:r>
              <w:rPr>
                <w:spacing w:val="-4"/>
              </w:rPr>
              <w:t>传</w:t>
            </w:r>
            <w:r>
              <w:rPr>
                <w:spacing w:val="6"/>
              </w:rPr>
              <w:t xml:space="preserve">  </w:t>
            </w:r>
            <w:r>
              <w:rPr>
                <w:spacing w:val="-4"/>
              </w:rPr>
              <w:t>真</w:t>
            </w:r>
          </w:p>
        </w:tc>
        <w:tc>
          <w:tcPr>
            <w:tcW w:w="2208" w:type="dxa"/>
            <w:gridSpan w:val="3"/>
            <w:vAlign w:val="top"/>
          </w:tcPr>
          <w:p>
            <w:pPr>
              <w:rPr>
                <w:rFonts w:ascii="Arial"/>
                <w:sz w:val="21"/>
              </w:rPr>
            </w:pPr>
          </w:p>
        </w:tc>
        <w:tc>
          <w:tcPr>
            <w:tcW w:w="1260" w:type="dxa"/>
            <w:vAlign w:val="top"/>
          </w:tcPr>
          <w:p>
            <w:pPr>
              <w:pStyle w:val="17"/>
              <w:spacing w:before="133" w:line="215" w:lineRule="auto"/>
              <w:ind w:left="185"/>
            </w:pPr>
            <w:r>
              <w:rPr>
                <w:spacing w:val="-10"/>
              </w:rPr>
              <w:t>电子邮件</w:t>
            </w:r>
          </w:p>
        </w:tc>
        <w:tc>
          <w:tcPr>
            <w:tcW w:w="2595"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Align w:val="top"/>
          </w:tcPr>
          <w:p>
            <w:pPr>
              <w:pStyle w:val="17"/>
              <w:spacing w:before="134" w:line="214" w:lineRule="auto"/>
              <w:ind w:left="361"/>
            </w:pPr>
            <w:r>
              <w:rPr>
                <w:spacing w:val="-3"/>
              </w:rPr>
              <w:t>法定代表人</w:t>
            </w:r>
          </w:p>
        </w:tc>
        <w:tc>
          <w:tcPr>
            <w:tcW w:w="1150" w:type="dxa"/>
            <w:vAlign w:val="top"/>
          </w:tcPr>
          <w:p>
            <w:pPr>
              <w:pStyle w:val="17"/>
              <w:spacing w:before="134" w:line="214" w:lineRule="auto"/>
              <w:ind w:left="339"/>
            </w:pPr>
            <w:r>
              <w:rPr>
                <w:spacing w:val="-5"/>
              </w:rPr>
              <w:t>姓名</w:t>
            </w:r>
          </w:p>
        </w:tc>
        <w:tc>
          <w:tcPr>
            <w:tcW w:w="1031" w:type="dxa"/>
            <w:vAlign w:val="top"/>
          </w:tcPr>
          <w:p>
            <w:pPr>
              <w:rPr>
                <w:rFonts w:ascii="Arial"/>
                <w:sz w:val="21"/>
              </w:rPr>
            </w:pPr>
          </w:p>
        </w:tc>
        <w:tc>
          <w:tcPr>
            <w:tcW w:w="1177" w:type="dxa"/>
            <w:gridSpan w:val="2"/>
            <w:vAlign w:val="top"/>
          </w:tcPr>
          <w:p>
            <w:pPr>
              <w:pStyle w:val="17"/>
              <w:spacing w:before="134" w:line="214" w:lineRule="auto"/>
              <w:ind w:left="115"/>
            </w:pPr>
            <w:r>
              <w:rPr>
                <w:spacing w:val="-3"/>
              </w:rPr>
              <w:t>技术职称</w:t>
            </w:r>
          </w:p>
        </w:tc>
        <w:tc>
          <w:tcPr>
            <w:tcW w:w="1260" w:type="dxa"/>
            <w:vAlign w:val="top"/>
          </w:tcPr>
          <w:p>
            <w:pPr>
              <w:rPr>
                <w:rFonts w:ascii="Arial"/>
                <w:sz w:val="21"/>
              </w:rPr>
            </w:pPr>
          </w:p>
        </w:tc>
        <w:tc>
          <w:tcPr>
            <w:tcW w:w="1125" w:type="dxa"/>
            <w:gridSpan w:val="2"/>
            <w:vAlign w:val="top"/>
          </w:tcPr>
          <w:p>
            <w:pPr>
              <w:pStyle w:val="17"/>
              <w:spacing w:before="134" w:line="214" w:lineRule="auto"/>
              <w:ind w:left="360"/>
            </w:pPr>
            <w:r>
              <w:rPr>
                <w:spacing w:val="-19"/>
              </w:rPr>
              <w:t>电话</w:t>
            </w:r>
          </w:p>
        </w:tc>
        <w:tc>
          <w:tcPr>
            <w:tcW w:w="14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Align w:val="top"/>
          </w:tcPr>
          <w:p>
            <w:pPr>
              <w:pStyle w:val="17"/>
              <w:spacing w:before="134" w:line="214" w:lineRule="auto"/>
              <w:ind w:left="361"/>
            </w:pPr>
            <w:r>
              <w:rPr>
                <w:spacing w:val="-3"/>
              </w:rPr>
              <w:t>技术负责人</w:t>
            </w:r>
          </w:p>
        </w:tc>
        <w:tc>
          <w:tcPr>
            <w:tcW w:w="1150" w:type="dxa"/>
            <w:vAlign w:val="top"/>
          </w:tcPr>
          <w:p>
            <w:pPr>
              <w:pStyle w:val="17"/>
              <w:spacing w:before="134" w:line="214" w:lineRule="auto"/>
              <w:ind w:left="339"/>
            </w:pPr>
            <w:r>
              <w:rPr>
                <w:spacing w:val="-5"/>
              </w:rPr>
              <w:t>姓名</w:t>
            </w:r>
          </w:p>
        </w:tc>
        <w:tc>
          <w:tcPr>
            <w:tcW w:w="1031" w:type="dxa"/>
            <w:vAlign w:val="top"/>
          </w:tcPr>
          <w:p>
            <w:pPr>
              <w:rPr>
                <w:rFonts w:ascii="Arial"/>
                <w:sz w:val="21"/>
              </w:rPr>
            </w:pPr>
          </w:p>
        </w:tc>
        <w:tc>
          <w:tcPr>
            <w:tcW w:w="1177" w:type="dxa"/>
            <w:gridSpan w:val="2"/>
            <w:vAlign w:val="top"/>
          </w:tcPr>
          <w:p>
            <w:pPr>
              <w:pStyle w:val="17"/>
              <w:spacing w:before="134" w:line="214" w:lineRule="auto"/>
              <w:ind w:left="115"/>
            </w:pPr>
            <w:r>
              <w:rPr>
                <w:spacing w:val="-3"/>
              </w:rPr>
              <w:t>技术职称</w:t>
            </w:r>
          </w:p>
        </w:tc>
        <w:tc>
          <w:tcPr>
            <w:tcW w:w="1260" w:type="dxa"/>
            <w:vAlign w:val="top"/>
          </w:tcPr>
          <w:p>
            <w:pPr>
              <w:rPr>
                <w:rFonts w:ascii="Arial"/>
                <w:sz w:val="21"/>
              </w:rPr>
            </w:pPr>
          </w:p>
        </w:tc>
        <w:tc>
          <w:tcPr>
            <w:tcW w:w="1125" w:type="dxa"/>
            <w:gridSpan w:val="2"/>
            <w:vAlign w:val="top"/>
          </w:tcPr>
          <w:p>
            <w:pPr>
              <w:pStyle w:val="17"/>
              <w:spacing w:before="134" w:line="214" w:lineRule="auto"/>
              <w:ind w:left="360"/>
            </w:pPr>
            <w:r>
              <w:rPr>
                <w:spacing w:val="-19"/>
              </w:rPr>
              <w:t>电话</w:t>
            </w:r>
          </w:p>
        </w:tc>
        <w:tc>
          <w:tcPr>
            <w:tcW w:w="14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Align w:val="top"/>
          </w:tcPr>
          <w:p>
            <w:pPr>
              <w:pStyle w:val="17"/>
              <w:spacing w:before="133" w:line="215" w:lineRule="auto"/>
              <w:ind w:left="368"/>
            </w:pPr>
            <w:r>
              <w:rPr>
                <w:spacing w:val="-4"/>
              </w:rPr>
              <w:t>营业执照号</w:t>
            </w:r>
          </w:p>
        </w:tc>
        <w:tc>
          <w:tcPr>
            <w:tcW w:w="2181" w:type="dxa"/>
            <w:gridSpan w:val="2"/>
            <w:vAlign w:val="top"/>
          </w:tcPr>
          <w:p>
            <w:pPr>
              <w:rPr>
                <w:rFonts w:ascii="Arial"/>
                <w:sz w:val="21"/>
              </w:rPr>
            </w:pPr>
          </w:p>
        </w:tc>
        <w:tc>
          <w:tcPr>
            <w:tcW w:w="5032" w:type="dxa"/>
            <w:gridSpan w:val="6"/>
            <w:vAlign w:val="top"/>
          </w:tcPr>
          <w:p>
            <w:pPr>
              <w:pStyle w:val="17"/>
              <w:spacing w:before="133" w:line="215" w:lineRule="auto"/>
              <w:ind w:left="1324"/>
            </w:pPr>
            <w:r>
              <w:rPr>
                <w:spacing w:val="-4"/>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Align w:val="top"/>
          </w:tcPr>
          <w:p>
            <w:pPr>
              <w:pStyle w:val="17"/>
              <w:spacing w:before="134" w:line="214" w:lineRule="auto"/>
              <w:ind w:left="244"/>
            </w:pPr>
            <w:r>
              <w:rPr>
                <w:spacing w:val="-3"/>
              </w:rPr>
              <w:t>企业资质等级</w:t>
            </w:r>
          </w:p>
        </w:tc>
        <w:tc>
          <w:tcPr>
            <w:tcW w:w="2181" w:type="dxa"/>
            <w:gridSpan w:val="2"/>
            <w:vAlign w:val="top"/>
          </w:tcPr>
          <w:p>
            <w:pPr>
              <w:rPr>
                <w:rFonts w:ascii="Arial"/>
                <w:sz w:val="21"/>
              </w:rPr>
            </w:pPr>
          </w:p>
        </w:tc>
        <w:tc>
          <w:tcPr>
            <w:tcW w:w="658" w:type="dxa"/>
            <w:vMerge w:val="restart"/>
            <w:tcBorders>
              <w:bottom w:val="nil"/>
            </w:tcBorders>
            <w:textDirection w:val="tbRlV"/>
            <w:vAlign w:val="top"/>
          </w:tcPr>
          <w:p>
            <w:pPr>
              <w:pStyle w:val="17"/>
              <w:spacing w:before="206" w:line="205" w:lineRule="auto"/>
              <w:ind w:left="1198"/>
            </w:pPr>
            <w:r>
              <w:rPr>
                <w:spacing w:val="-1"/>
              </w:rPr>
              <w:t>其</w:t>
            </w:r>
            <w:r>
              <w:rPr>
                <w:spacing w:val="41"/>
              </w:rPr>
              <w:t xml:space="preserve"> </w:t>
            </w:r>
            <w:r>
              <w:rPr>
                <w:spacing w:val="-1"/>
              </w:rPr>
              <w:t>中</w:t>
            </w:r>
          </w:p>
        </w:tc>
        <w:tc>
          <w:tcPr>
            <w:tcW w:w="2059" w:type="dxa"/>
            <w:gridSpan w:val="3"/>
            <w:vAlign w:val="top"/>
          </w:tcPr>
          <w:p>
            <w:pPr>
              <w:pStyle w:val="17"/>
              <w:spacing w:before="134" w:line="214" w:lineRule="auto"/>
              <w:ind w:left="559"/>
            </w:pPr>
            <w:r>
              <w:rPr>
                <w:spacing w:val="-4"/>
              </w:rPr>
              <w:t>项目经理</w:t>
            </w:r>
          </w:p>
        </w:tc>
        <w:tc>
          <w:tcPr>
            <w:tcW w:w="2315"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Align w:val="top"/>
          </w:tcPr>
          <w:p>
            <w:pPr>
              <w:pStyle w:val="17"/>
              <w:spacing w:before="134" w:line="214" w:lineRule="auto"/>
              <w:ind w:left="480"/>
            </w:pPr>
            <w:r>
              <w:rPr>
                <w:spacing w:val="-3"/>
              </w:rPr>
              <w:t>注册资本</w:t>
            </w:r>
          </w:p>
        </w:tc>
        <w:tc>
          <w:tcPr>
            <w:tcW w:w="2181" w:type="dxa"/>
            <w:gridSpan w:val="2"/>
            <w:vAlign w:val="top"/>
          </w:tcPr>
          <w:p>
            <w:pPr>
              <w:rPr>
                <w:rFonts w:ascii="Arial"/>
                <w:sz w:val="21"/>
              </w:rPr>
            </w:pPr>
          </w:p>
        </w:tc>
        <w:tc>
          <w:tcPr>
            <w:tcW w:w="658" w:type="dxa"/>
            <w:vMerge w:val="continue"/>
            <w:tcBorders>
              <w:top w:val="nil"/>
              <w:bottom w:val="nil"/>
            </w:tcBorders>
            <w:textDirection w:val="tbRlV"/>
            <w:vAlign w:val="top"/>
          </w:tcPr>
          <w:p>
            <w:pPr>
              <w:rPr>
                <w:rFonts w:ascii="Arial"/>
                <w:sz w:val="21"/>
              </w:rPr>
            </w:pPr>
          </w:p>
        </w:tc>
        <w:tc>
          <w:tcPr>
            <w:tcW w:w="2059" w:type="dxa"/>
            <w:gridSpan w:val="3"/>
            <w:vAlign w:val="top"/>
          </w:tcPr>
          <w:p>
            <w:pPr>
              <w:pStyle w:val="17"/>
              <w:spacing w:before="134" w:line="214" w:lineRule="auto"/>
              <w:ind w:left="322"/>
            </w:pPr>
            <w:r>
              <w:rPr>
                <w:spacing w:val="-3"/>
              </w:rPr>
              <w:t>高级职称人员</w:t>
            </w:r>
          </w:p>
        </w:tc>
        <w:tc>
          <w:tcPr>
            <w:tcW w:w="2315"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10" w:type="dxa"/>
            <w:vAlign w:val="top"/>
          </w:tcPr>
          <w:p>
            <w:pPr>
              <w:pStyle w:val="17"/>
              <w:spacing w:before="133" w:line="215" w:lineRule="auto"/>
              <w:ind w:left="482"/>
            </w:pPr>
            <w:r>
              <w:rPr>
                <w:spacing w:val="-3"/>
              </w:rPr>
              <w:t>成立日期</w:t>
            </w:r>
          </w:p>
        </w:tc>
        <w:tc>
          <w:tcPr>
            <w:tcW w:w="2181" w:type="dxa"/>
            <w:gridSpan w:val="2"/>
            <w:vAlign w:val="top"/>
          </w:tcPr>
          <w:p>
            <w:pPr>
              <w:rPr>
                <w:rFonts w:ascii="Arial"/>
                <w:sz w:val="21"/>
              </w:rPr>
            </w:pPr>
          </w:p>
        </w:tc>
        <w:tc>
          <w:tcPr>
            <w:tcW w:w="658" w:type="dxa"/>
            <w:vMerge w:val="continue"/>
            <w:tcBorders>
              <w:top w:val="nil"/>
              <w:bottom w:val="nil"/>
            </w:tcBorders>
            <w:textDirection w:val="tbRlV"/>
            <w:vAlign w:val="top"/>
          </w:tcPr>
          <w:p>
            <w:pPr>
              <w:rPr>
                <w:rFonts w:ascii="Arial"/>
                <w:sz w:val="21"/>
              </w:rPr>
            </w:pPr>
          </w:p>
        </w:tc>
        <w:tc>
          <w:tcPr>
            <w:tcW w:w="2059" w:type="dxa"/>
            <w:gridSpan w:val="3"/>
            <w:vAlign w:val="top"/>
          </w:tcPr>
          <w:p>
            <w:pPr>
              <w:pStyle w:val="17"/>
              <w:spacing w:before="133" w:line="215" w:lineRule="auto"/>
              <w:ind w:left="338"/>
            </w:pPr>
            <w:r>
              <w:rPr>
                <w:spacing w:val="-6"/>
              </w:rPr>
              <w:t>中级职称人员</w:t>
            </w:r>
          </w:p>
        </w:tc>
        <w:tc>
          <w:tcPr>
            <w:tcW w:w="2315"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910" w:type="dxa"/>
            <w:vAlign w:val="top"/>
          </w:tcPr>
          <w:p>
            <w:pPr>
              <w:pStyle w:val="17"/>
              <w:spacing w:before="137" w:line="401" w:lineRule="exact"/>
              <w:ind w:left="480"/>
            </w:pPr>
            <w:r>
              <w:rPr>
                <w:spacing w:val="-3"/>
                <w:position w:val="11"/>
              </w:rPr>
              <w:t>基本账户</w:t>
            </w:r>
          </w:p>
          <w:p>
            <w:pPr>
              <w:pStyle w:val="17"/>
              <w:spacing w:line="216" w:lineRule="auto"/>
              <w:ind w:left="481"/>
            </w:pPr>
            <w:r>
              <w:rPr>
                <w:spacing w:val="-3"/>
              </w:rPr>
              <w:t>开户银行</w:t>
            </w:r>
          </w:p>
        </w:tc>
        <w:tc>
          <w:tcPr>
            <w:tcW w:w="2181" w:type="dxa"/>
            <w:gridSpan w:val="2"/>
            <w:vAlign w:val="top"/>
          </w:tcPr>
          <w:p>
            <w:pPr>
              <w:rPr>
                <w:rFonts w:ascii="Arial"/>
                <w:sz w:val="21"/>
              </w:rPr>
            </w:pPr>
          </w:p>
        </w:tc>
        <w:tc>
          <w:tcPr>
            <w:tcW w:w="658" w:type="dxa"/>
            <w:vMerge w:val="continue"/>
            <w:tcBorders>
              <w:top w:val="nil"/>
              <w:bottom w:val="nil"/>
            </w:tcBorders>
            <w:textDirection w:val="tbRlV"/>
            <w:vAlign w:val="top"/>
          </w:tcPr>
          <w:p>
            <w:pPr>
              <w:rPr>
                <w:rFonts w:ascii="Arial"/>
                <w:sz w:val="21"/>
              </w:rPr>
            </w:pPr>
          </w:p>
        </w:tc>
        <w:tc>
          <w:tcPr>
            <w:tcW w:w="2059" w:type="dxa"/>
            <w:gridSpan w:val="3"/>
            <w:vAlign w:val="top"/>
          </w:tcPr>
          <w:p>
            <w:pPr>
              <w:spacing w:line="259" w:lineRule="auto"/>
              <w:rPr>
                <w:rFonts w:ascii="Arial"/>
                <w:sz w:val="21"/>
              </w:rPr>
            </w:pPr>
          </w:p>
          <w:p>
            <w:pPr>
              <w:pStyle w:val="17"/>
              <w:spacing w:before="78" w:line="221" w:lineRule="auto"/>
              <w:ind w:left="315"/>
            </w:pPr>
            <w:r>
              <w:rPr>
                <w:spacing w:val="-2"/>
              </w:rPr>
              <w:t>初级职称人员</w:t>
            </w:r>
          </w:p>
        </w:tc>
        <w:tc>
          <w:tcPr>
            <w:tcW w:w="2315"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910" w:type="dxa"/>
            <w:vAlign w:val="top"/>
          </w:tcPr>
          <w:p>
            <w:pPr>
              <w:pStyle w:val="17"/>
              <w:spacing w:before="140" w:line="398" w:lineRule="exact"/>
              <w:ind w:left="480"/>
            </w:pPr>
            <w:r>
              <w:rPr>
                <w:spacing w:val="-3"/>
                <w:position w:val="11"/>
              </w:rPr>
              <w:t>基本账户</w:t>
            </w:r>
          </w:p>
          <w:p>
            <w:pPr>
              <w:pStyle w:val="17"/>
              <w:spacing w:line="217" w:lineRule="auto"/>
              <w:ind w:left="481"/>
            </w:pPr>
            <w:r>
              <w:rPr>
                <w:spacing w:val="-3"/>
              </w:rPr>
              <w:t>银行账号</w:t>
            </w:r>
          </w:p>
        </w:tc>
        <w:tc>
          <w:tcPr>
            <w:tcW w:w="2181" w:type="dxa"/>
            <w:gridSpan w:val="2"/>
            <w:vAlign w:val="top"/>
          </w:tcPr>
          <w:p>
            <w:pPr>
              <w:rPr>
                <w:rFonts w:ascii="Arial"/>
                <w:sz w:val="21"/>
              </w:rPr>
            </w:pPr>
          </w:p>
        </w:tc>
        <w:tc>
          <w:tcPr>
            <w:tcW w:w="658" w:type="dxa"/>
            <w:vMerge w:val="continue"/>
            <w:tcBorders>
              <w:top w:val="nil"/>
            </w:tcBorders>
            <w:textDirection w:val="tbRlV"/>
            <w:vAlign w:val="top"/>
          </w:tcPr>
          <w:p>
            <w:pPr>
              <w:rPr>
                <w:rFonts w:ascii="Arial"/>
                <w:sz w:val="21"/>
              </w:rPr>
            </w:pPr>
          </w:p>
        </w:tc>
        <w:tc>
          <w:tcPr>
            <w:tcW w:w="2059" w:type="dxa"/>
            <w:gridSpan w:val="3"/>
            <w:vAlign w:val="top"/>
          </w:tcPr>
          <w:p>
            <w:pPr>
              <w:spacing w:line="259" w:lineRule="auto"/>
              <w:rPr>
                <w:rFonts w:ascii="Arial"/>
                <w:sz w:val="21"/>
              </w:rPr>
            </w:pPr>
          </w:p>
          <w:p>
            <w:pPr>
              <w:pStyle w:val="17"/>
              <w:spacing w:before="78" w:line="221" w:lineRule="auto"/>
              <w:ind w:left="796"/>
            </w:pPr>
            <w:r>
              <w:rPr>
                <w:spacing w:val="-6"/>
              </w:rPr>
              <w:t>技工</w:t>
            </w:r>
          </w:p>
        </w:tc>
        <w:tc>
          <w:tcPr>
            <w:tcW w:w="2315"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910" w:type="dxa"/>
            <w:vAlign w:val="top"/>
          </w:tcPr>
          <w:p>
            <w:pPr>
              <w:spacing w:line="259" w:lineRule="auto"/>
              <w:rPr>
                <w:rFonts w:ascii="Arial"/>
                <w:sz w:val="21"/>
              </w:rPr>
            </w:pPr>
          </w:p>
          <w:p>
            <w:pPr>
              <w:pStyle w:val="17"/>
              <w:spacing w:before="78" w:line="220" w:lineRule="auto"/>
              <w:ind w:left="602"/>
            </w:pPr>
            <w:r>
              <w:rPr>
                <w:spacing w:val="-3"/>
              </w:rPr>
              <w:t>经营范围</w:t>
            </w:r>
          </w:p>
        </w:tc>
        <w:tc>
          <w:tcPr>
            <w:tcW w:w="7213" w:type="dxa"/>
            <w:gridSpan w:val="8"/>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7" w:hRule="atLeast"/>
        </w:trPr>
        <w:tc>
          <w:tcPr>
            <w:tcW w:w="1910"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17"/>
              <w:spacing w:before="78" w:line="230" w:lineRule="auto"/>
              <w:ind w:left="117" w:right="118" w:firstLine="1"/>
            </w:pPr>
            <w:r>
              <w:rPr>
                <w:spacing w:val="-2"/>
              </w:rPr>
              <w:t>投标人关联企业</w:t>
            </w:r>
            <w:r>
              <w:t xml:space="preserve"> </w:t>
            </w:r>
            <w:r>
              <w:rPr>
                <w:spacing w:val="-6"/>
              </w:rPr>
              <w:t>情况</w:t>
            </w:r>
          </w:p>
        </w:tc>
        <w:tc>
          <w:tcPr>
            <w:tcW w:w="7213" w:type="dxa"/>
            <w:gridSpan w:val="8"/>
            <w:vAlign w:val="top"/>
          </w:tcPr>
          <w:p>
            <w:pPr>
              <w:spacing w:line="378" w:lineRule="auto"/>
              <w:rPr>
                <w:rFonts w:ascii="Arial"/>
                <w:sz w:val="21"/>
              </w:rPr>
            </w:pPr>
          </w:p>
          <w:p>
            <w:pPr>
              <w:pStyle w:val="17"/>
              <w:spacing w:before="78" w:line="219" w:lineRule="auto"/>
              <w:ind w:left="117"/>
            </w:pPr>
            <w:r>
              <w:rPr>
                <w:spacing w:val="-1"/>
              </w:rPr>
              <w:t>投标人应提供关联企业情况，包括：</w:t>
            </w:r>
          </w:p>
          <w:p>
            <w:pPr>
              <w:pStyle w:val="17"/>
              <w:spacing w:before="116" w:line="278" w:lineRule="auto"/>
              <w:ind w:left="116" w:right="143" w:hanging="111"/>
              <w:jc w:val="both"/>
            </w:pPr>
            <w:r>
              <w:rPr>
                <w:spacing w:val="-1"/>
              </w:rPr>
              <w:t>（1）投标人的所有股东名称及相应股权（出资额）比例；如投标人</w:t>
            </w:r>
            <w:r>
              <w:rPr>
                <w:spacing w:val="8"/>
              </w:rPr>
              <w:t xml:space="preserve"> </w:t>
            </w:r>
            <w:r>
              <w:rPr>
                <w:spacing w:val="-1"/>
              </w:rPr>
              <w:t>为上市公司，投标人应提供股权占公司股份总数</w:t>
            </w:r>
            <w:r>
              <w:rPr>
                <w:spacing w:val="-1"/>
                <w:u w:val="single" w:color="auto"/>
              </w:rPr>
              <w:t xml:space="preserve">   </w:t>
            </w:r>
            <w:r>
              <w:rPr>
                <w:spacing w:val="-1"/>
              </w:rPr>
              <w:t>%以上的所有股</w:t>
            </w:r>
            <w:r>
              <w:rPr>
                <w:spacing w:val="17"/>
              </w:rPr>
              <w:t xml:space="preserve"> </w:t>
            </w:r>
            <w:r>
              <w:rPr>
                <w:spacing w:val="-2"/>
              </w:rPr>
              <w:t>东名称及相应股权比例；</w:t>
            </w:r>
          </w:p>
          <w:p>
            <w:pPr>
              <w:pStyle w:val="17"/>
              <w:spacing w:before="115" w:line="401" w:lineRule="exact"/>
              <w:ind w:left="5"/>
            </w:pPr>
            <w:r>
              <w:rPr>
                <w:spacing w:val="-1"/>
                <w:position w:val="11"/>
              </w:rPr>
              <w:t>（2）投标人投资（控股）或管理的下属企业名称、持有股权（出资</w:t>
            </w:r>
          </w:p>
          <w:p>
            <w:pPr>
              <w:pStyle w:val="17"/>
              <w:spacing w:before="1" w:line="217" w:lineRule="auto"/>
              <w:ind w:left="114"/>
            </w:pPr>
            <w:r>
              <w:rPr>
                <w:spacing w:val="-2"/>
              </w:rPr>
              <w:t>额）比例；</w:t>
            </w:r>
          </w:p>
          <w:p>
            <w:pPr>
              <w:pStyle w:val="17"/>
              <w:spacing w:before="115" w:line="400" w:lineRule="exact"/>
              <w:ind w:left="5"/>
            </w:pPr>
            <w:r>
              <w:rPr>
                <w:spacing w:val="-1"/>
                <w:position w:val="12"/>
              </w:rPr>
              <w:t>（3）与投标人单位负责人（即法定代表人）为同一人的其他单位名</w:t>
            </w:r>
          </w:p>
          <w:p>
            <w:pPr>
              <w:pStyle w:val="17"/>
              <w:spacing w:line="221" w:lineRule="auto"/>
              <w:ind w:left="113"/>
            </w:pPr>
            <w:r>
              <w:rPr>
                <w:spacing w:val="-5"/>
              </w:rPr>
              <w:t>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1910" w:type="dxa"/>
            <w:vAlign w:val="top"/>
          </w:tcPr>
          <w:p>
            <w:pPr>
              <w:spacing w:line="277" w:lineRule="auto"/>
              <w:rPr>
                <w:rFonts w:ascii="Arial"/>
                <w:sz w:val="21"/>
              </w:rPr>
            </w:pPr>
          </w:p>
          <w:p>
            <w:pPr>
              <w:pStyle w:val="17"/>
              <w:spacing w:before="78" w:line="221" w:lineRule="auto"/>
              <w:ind w:left="723"/>
            </w:pPr>
            <w:r>
              <w:rPr>
                <w:spacing w:val="-7"/>
              </w:rPr>
              <w:t>备注</w:t>
            </w:r>
          </w:p>
        </w:tc>
        <w:tc>
          <w:tcPr>
            <w:tcW w:w="7213" w:type="dxa"/>
            <w:gridSpan w:val="8"/>
            <w:vAlign w:val="top"/>
          </w:tcPr>
          <w:p>
            <w:pPr>
              <w:rPr>
                <w:rFonts w:ascii="Arial"/>
                <w:sz w:val="21"/>
              </w:rPr>
            </w:pPr>
          </w:p>
        </w:tc>
      </w:tr>
    </w:tbl>
    <w:p>
      <w:pPr>
        <w:spacing w:before="79" w:line="261" w:lineRule="auto"/>
        <w:ind w:left="326" w:right="752"/>
        <w:rPr>
          <w:rFonts w:ascii="宋体" w:hAnsi="宋体" w:eastAsia="宋体" w:cs="宋体"/>
          <w:sz w:val="20"/>
          <w:szCs w:val="20"/>
        </w:rPr>
      </w:pPr>
      <w:r>
        <w:rPr>
          <w:rFonts w:ascii="宋体" w:hAnsi="宋体" w:eastAsia="宋体" w:cs="宋体"/>
          <w:spacing w:val="8"/>
          <w:sz w:val="20"/>
          <w:szCs w:val="20"/>
        </w:rPr>
        <w:t>注：1. 投标人应根据招标文件第二章“投标人须知</w:t>
      </w:r>
      <w:r>
        <w:rPr>
          <w:rFonts w:ascii="宋体" w:hAnsi="宋体" w:eastAsia="宋体" w:cs="宋体"/>
          <w:spacing w:val="-62"/>
          <w:sz w:val="20"/>
          <w:szCs w:val="20"/>
        </w:rPr>
        <w:t xml:space="preserve"> </w:t>
      </w:r>
      <w:r>
        <w:rPr>
          <w:rFonts w:ascii="宋体" w:hAnsi="宋体" w:eastAsia="宋体" w:cs="宋体"/>
          <w:spacing w:val="8"/>
          <w:sz w:val="20"/>
          <w:szCs w:val="20"/>
        </w:rPr>
        <w:t>”第3.5.1项的要求在本表后附相关证明</w:t>
      </w:r>
      <w:r>
        <w:rPr>
          <w:rFonts w:ascii="宋体" w:hAnsi="宋体" w:eastAsia="宋体" w:cs="宋体"/>
          <w:sz w:val="20"/>
          <w:szCs w:val="20"/>
        </w:rPr>
        <w:t xml:space="preserve"> </w:t>
      </w:r>
      <w:r>
        <w:rPr>
          <w:rFonts w:ascii="宋体" w:hAnsi="宋体" w:eastAsia="宋体" w:cs="宋体"/>
          <w:spacing w:val="3"/>
          <w:sz w:val="20"/>
          <w:szCs w:val="20"/>
        </w:rPr>
        <w:t>材料。</w:t>
      </w:r>
    </w:p>
    <w:p>
      <w:pPr>
        <w:spacing w:before="75" w:line="225" w:lineRule="auto"/>
        <w:ind w:left="748"/>
        <w:rPr>
          <w:rFonts w:ascii="宋体" w:hAnsi="宋体" w:eastAsia="宋体" w:cs="宋体"/>
          <w:sz w:val="20"/>
          <w:szCs w:val="20"/>
        </w:rPr>
      </w:pPr>
      <w:r>
        <w:rPr>
          <w:rFonts w:ascii="宋体" w:hAnsi="宋体" w:eastAsia="宋体" w:cs="宋体"/>
          <w:spacing w:val="8"/>
          <w:sz w:val="20"/>
          <w:szCs w:val="20"/>
        </w:rPr>
        <w:t>2.以联合体形式投标的，联合体各成员应分别填写。</w:t>
      </w:r>
    </w:p>
    <w:p>
      <w:pPr>
        <w:spacing w:before="27" w:line="224" w:lineRule="auto"/>
        <w:ind w:left="767"/>
        <w:rPr>
          <w:rFonts w:ascii="宋体" w:hAnsi="宋体" w:eastAsia="宋体" w:cs="宋体"/>
          <w:sz w:val="20"/>
          <w:szCs w:val="20"/>
        </w:rPr>
      </w:pPr>
      <w:r>
        <w:rPr>
          <w:rFonts w:ascii="宋体" w:hAnsi="宋体" w:eastAsia="宋体" w:cs="宋体"/>
          <w:spacing w:val="9"/>
          <w:sz w:val="20"/>
          <w:szCs w:val="20"/>
        </w:rPr>
        <w:t>3.上述信息如经调查核实未如实填写的，按提供虚</w:t>
      </w:r>
      <w:r>
        <w:rPr>
          <w:rFonts w:ascii="宋体" w:hAnsi="宋体" w:eastAsia="宋体" w:cs="宋体"/>
          <w:spacing w:val="8"/>
          <w:sz w:val="20"/>
          <w:szCs w:val="20"/>
        </w:rPr>
        <w:t>假材料对待。</w:t>
      </w:r>
    </w:p>
    <w:p>
      <w:pPr>
        <w:spacing w:line="406" w:lineRule="auto"/>
        <w:rPr>
          <w:rFonts w:ascii="Arial"/>
          <w:sz w:val="21"/>
        </w:rPr>
      </w:pPr>
    </w:p>
    <w:p>
      <w:pPr>
        <w:pStyle w:val="4"/>
        <w:spacing w:before="113" w:line="228" w:lineRule="auto"/>
        <w:ind w:left="2324"/>
        <w:rPr>
          <w:spacing w:val="4"/>
          <w:sz w:val="35"/>
          <w:szCs w:val="35"/>
          <w14:textOutline w14:w="6537" w14:cap="sq" w14:cmpd="sng">
            <w14:solidFill>
              <w14:srgbClr w14:val="000000"/>
            </w14:solidFill>
            <w14:prstDash w14:val="solid"/>
            <w14:bevel/>
          </w14:textOutline>
        </w:rPr>
      </w:pPr>
    </w:p>
    <w:p>
      <w:pPr>
        <w:pStyle w:val="4"/>
        <w:spacing w:before="113" w:line="228" w:lineRule="auto"/>
        <w:ind w:left="2324"/>
        <w:rPr>
          <w:sz w:val="35"/>
          <w:szCs w:val="35"/>
        </w:rPr>
      </w:pPr>
      <w:r>
        <w:rPr>
          <w:spacing w:val="4"/>
          <w:sz w:val="35"/>
          <w:szCs w:val="35"/>
          <w14:textOutline w14:w="6537" w14:cap="sq" w14:cmpd="sng">
            <w14:solidFill>
              <w14:srgbClr w14:val="000000"/>
            </w14:solidFill>
            <w14:prstDash w14:val="solid"/>
            <w14:bevel/>
          </w14:textOutline>
        </w:rPr>
        <w:t>(二)投标人企业组织机构框图</w:t>
      </w:r>
    </w:p>
    <w:p>
      <w:pPr>
        <w:spacing w:line="215" w:lineRule="exact"/>
      </w:pPr>
    </w:p>
    <w:tbl>
      <w:tblPr>
        <w:tblStyle w:val="16"/>
        <w:tblW w:w="8984"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2" w:hRule="atLeast"/>
        </w:trPr>
        <w:tc>
          <w:tcPr>
            <w:tcW w:w="8984" w:type="dxa"/>
            <w:vAlign w:val="top"/>
          </w:tcPr>
          <w:p>
            <w:pPr>
              <w:spacing w:line="283" w:lineRule="auto"/>
              <w:rPr>
                <w:rFonts w:ascii="Arial"/>
                <w:sz w:val="21"/>
              </w:rPr>
            </w:pPr>
          </w:p>
          <w:p>
            <w:pPr>
              <w:spacing w:line="284" w:lineRule="auto"/>
              <w:rPr>
                <w:rFonts w:ascii="Arial"/>
                <w:sz w:val="21"/>
              </w:rPr>
            </w:pPr>
          </w:p>
          <w:p>
            <w:pPr>
              <w:pStyle w:val="17"/>
              <w:spacing w:before="78" w:line="219" w:lineRule="auto"/>
              <w:ind w:left="411"/>
            </w:pPr>
            <w:r>
              <w:rPr>
                <w:spacing w:val="-5"/>
              </w:rPr>
              <w:t>以框图方式表示。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8" w:hRule="atLeast"/>
        </w:trPr>
        <w:tc>
          <w:tcPr>
            <w:tcW w:w="8984" w:type="dxa"/>
            <w:vAlign w:val="top"/>
          </w:tcPr>
          <w:p>
            <w:pPr>
              <w:pStyle w:val="17"/>
              <w:spacing w:before="131" w:line="219" w:lineRule="auto"/>
              <w:ind w:left="387"/>
            </w:pPr>
            <w:r>
              <w:rPr>
                <w:spacing w:val="-7"/>
              </w:rPr>
              <w:t>说明</w:t>
            </w:r>
          </w:p>
        </w:tc>
      </w:tr>
    </w:tbl>
    <w:p>
      <w:pPr>
        <w:rPr>
          <w:rFonts w:ascii="Arial"/>
          <w:sz w:val="21"/>
        </w:rPr>
      </w:pPr>
    </w:p>
    <w:p>
      <w:pPr>
        <w:spacing w:line="407" w:lineRule="auto"/>
        <w:rPr>
          <w:rFonts w:ascii="Arial"/>
          <w:sz w:val="21"/>
        </w:rPr>
      </w:pPr>
    </w:p>
    <w:p>
      <w:pPr>
        <w:pStyle w:val="4"/>
        <w:spacing w:before="113" w:line="226" w:lineRule="auto"/>
        <w:ind w:left="3075"/>
        <w:rPr>
          <w:spacing w:val="2"/>
          <w:sz w:val="35"/>
          <w:szCs w:val="35"/>
          <w14:textOutline w14:w="6537" w14:cap="sq" w14:cmpd="sng">
            <w14:solidFill>
              <w14:srgbClr w14:val="000000"/>
            </w14:solidFill>
            <w14:prstDash w14:val="solid"/>
            <w14:bevel/>
          </w14:textOutline>
        </w:rPr>
      </w:pPr>
    </w:p>
    <w:p>
      <w:pPr>
        <w:pStyle w:val="4"/>
        <w:spacing w:before="113" w:line="226" w:lineRule="auto"/>
        <w:ind w:left="3075"/>
        <w:rPr>
          <w:spacing w:val="2"/>
          <w:sz w:val="35"/>
          <w:szCs w:val="35"/>
          <w14:textOutline w14:w="6537" w14:cap="sq" w14:cmpd="sng">
            <w14:solidFill>
              <w14:srgbClr w14:val="000000"/>
            </w14:solidFill>
            <w14:prstDash w14:val="solid"/>
            <w14:bevel/>
          </w14:textOutline>
        </w:rPr>
      </w:pPr>
    </w:p>
    <w:p>
      <w:pPr>
        <w:pStyle w:val="4"/>
        <w:spacing w:before="113" w:line="226" w:lineRule="auto"/>
        <w:ind w:left="3075"/>
        <w:rPr>
          <w:spacing w:val="2"/>
          <w:sz w:val="35"/>
          <w:szCs w:val="35"/>
          <w14:textOutline w14:w="6537" w14:cap="sq" w14:cmpd="sng">
            <w14:solidFill>
              <w14:srgbClr w14:val="000000"/>
            </w14:solidFill>
            <w14:prstDash w14:val="solid"/>
            <w14:bevel/>
          </w14:textOutline>
        </w:rPr>
      </w:pPr>
    </w:p>
    <w:p>
      <w:pPr>
        <w:pStyle w:val="4"/>
        <w:spacing w:before="113" w:line="226" w:lineRule="auto"/>
        <w:ind w:left="3075"/>
        <w:rPr>
          <w:sz w:val="35"/>
          <w:szCs w:val="35"/>
        </w:rPr>
      </w:pPr>
      <w:r>
        <w:rPr>
          <w:spacing w:val="2"/>
          <w:sz w:val="35"/>
          <w:szCs w:val="35"/>
          <w14:textOutline w14:w="6537" w14:cap="sq" w14:cmpd="sng">
            <w14:solidFill>
              <w14:srgbClr w14:val="000000"/>
            </w14:solidFill>
            <w14:prstDash w14:val="solid"/>
            <w14:bevel/>
          </w14:textOutline>
        </w:rPr>
        <w:t>(三)近年财务状况表</w:t>
      </w:r>
    </w:p>
    <w:p>
      <w:pPr>
        <w:spacing w:line="218" w:lineRule="exact"/>
      </w:pPr>
    </w:p>
    <w:tbl>
      <w:tblPr>
        <w:tblStyle w:val="16"/>
        <w:tblW w:w="91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10"/>
        <w:gridCol w:w="951"/>
        <w:gridCol w:w="1285"/>
        <w:gridCol w:w="1286"/>
        <w:gridCol w:w="12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4310" w:type="dxa"/>
            <w:vAlign w:val="top"/>
          </w:tcPr>
          <w:p>
            <w:pPr>
              <w:pStyle w:val="17"/>
              <w:spacing w:before="127" w:line="220" w:lineRule="auto"/>
              <w:ind w:left="1626"/>
            </w:pPr>
            <w:r>
              <w:rPr>
                <w:spacing w:val="-3"/>
              </w:rPr>
              <w:t>项目或指标</w:t>
            </w:r>
          </w:p>
        </w:tc>
        <w:tc>
          <w:tcPr>
            <w:tcW w:w="951" w:type="dxa"/>
            <w:vAlign w:val="top"/>
          </w:tcPr>
          <w:p>
            <w:pPr>
              <w:pStyle w:val="17"/>
              <w:spacing w:before="127" w:line="220" w:lineRule="auto"/>
              <w:ind w:left="249"/>
            </w:pPr>
            <w:r>
              <w:rPr>
                <w:spacing w:val="-6"/>
              </w:rPr>
              <w:t>单位</w:t>
            </w:r>
          </w:p>
        </w:tc>
        <w:tc>
          <w:tcPr>
            <w:tcW w:w="1285" w:type="dxa"/>
            <w:vAlign w:val="top"/>
          </w:tcPr>
          <w:p>
            <w:pPr>
              <w:pStyle w:val="17"/>
              <w:tabs>
                <w:tab w:val="left" w:pos="885"/>
              </w:tabs>
              <w:spacing w:before="128" w:line="219" w:lineRule="auto"/>
              <w:ind w:left="165"/>
            </w:pPr>
            <w:r>
              <w:rPr>
                <w:u w:val="single" w:color="auto"/>
              </w:rPr>
              <w:tab/>
            </w:r>
            <w:r>
              <w:rPr>
                <w:spacing w:val="-110"/>
              </w:rPr>
              <w:t xml:space="preserve"> </w:t>
            </w:r>
            <w:r>
              <w:t>年</w:t>
            </w:r>
          </w:p>
        </w:tc>
        <w:tc>
          <w:tcPr>
            <w:tcW w:w="1286" w:type="dxa"/>
            <w:vAlign w:val="top"/>
          </w:tcPr>
          <w:p>
            <w:pPr>
              <w:pStyle w:val="17"/>
              <w:tabs>
                <w:tab w:val="left" w:pos="885"/>
              </w:tabs>
              <w:spacing w:before="128" w:line="219" w:lineRule="auto"/>
              <w:ind w:left="166"/>
            </w:pPr>
            <w:r>
              <w:rPr>
                <w:u w:val="single" w:color="auto"/>
              </w:rPr>
              <w:tab/>
            </w:r>
            <w:r>
              <w:rPr>
                <w:spacing w:val="-109"/>
              </w:rPr>
              <w:t xml:space="preserve"> </w:t>
            </w:r>
            <w:r>
              <w:t>年</w:t>
            </w:r>
          </w:p>
        </w:tc>
        <w:tc>
          <w:tcPr>
            <w:tcW w:w="1289" w:type="dxa"/>
            <w:vAlign w:val="top"/>
          </w:tcPr>
          <w:p>
            <w:pPr>
              <w:pStyle w:val="17"/>
              <w:tabs>
                <w:tab w:val="left" w:pos="886"/>
              </w:tabs>
              <w:spacing w:before="128" w:line="219" w:lineRule="auto"/>
              <w:ind w:left="167"/>
            </w:pPr>
            <w:r>
              <w:rPr>
                <w:u w:val="single" w:color="auto"/>
              </w:rPr>
              <w:tab/>
            </w:r>
            <w:r>
              <w:rPr>
                <w:spacing w:val="-110"/>
              </w:rPr>
              <w:t xml:space="preserve"> </w:t>
            </w:r>
            <w: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310" w:type="dxa"/>
            <w:vAlign w:val="top"/>
          </w:tcPr>
          <w:p>
            <w:pPr>
              <w:pStyle w:val="17"/>
              <w:spacing w:before="120" w:line="219" w:lineRule="auto"/>
              <w:ind w:left="164"/>
            </w:pPr>
            <w:r>
              <w:rPr>
                <w:spacing w:val="-6"/>
              </w:rPr>
              <w:t>一</w:t>
            </w:r>
            <w:r>
              <w:rPr>
                <w:spacing w:val="27"/>
              </w:rPr>
              <w:t xml:space="preserve"> </w:t>
            </w:r>
            <w:r>
              <w:rPr>
                <w:spacing w:val="-6"/>
              </w:rPr>
              <w:t>、 注册资本</w:t>
            </w:r>
          </w:p>
        </w:tc>
        <w:tc>
          <w:tcPr>
            <w:tcW w:w="951" w:type="dxa"/>
            <w:vAlign w:val="top"/>
          </w:tcPr>
          <w:p>
            <w:pPr>
              <w:pStyle w:val="17"/>
              <w:spacing w:before="120" w:line="220" w:lineRule="auto"/>
              <w:ind w:left="253"/>
            </w:pPr>
            <w:r>
              <w:rPr>
                <w:spacing w:val="-8"/>
              </w:rPr>
              <w:t>万元</w:t>
            </w:r>
          </w:p>
        </w:tc>
        <w:tc>
          <w:tcPr>
            <w:tcW w:w="1285" w:type="dxa"/>
            <w:vAlign w:val="top"/>
          </w:tcPr>
          <w:p>
            <w:pPr>
              <w:rPr>
                <w:rFonts w:ascii="Arial"/>
                <w:sz w:val="21"/>
              </w:rPr>
            </w:pPr>
          </w:p>
        </w:tc>
        <w:tc>
          <w:tcPr>
            <w:tcW w:w="1286" w:type="dxa"/>
            <w:vAlign w:val="top"/>
          </w:tcPr>
          <w:p>
            <w:pPr>
              <w:rPr>
                <w:rFonts w:ascii="Arial"/>
                <w:sz w:val="21"/>
              </w:rPr>
            </w:pPr>
          </w:p>
        </w:tc>
        <w:tc>
          <w:tcPr>
            <w:tcW w:w="128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310" w:type="dxa"/>
            <w:vAlign w:val="top"/>
          </w:tcPr>
          <w:p>
            <w:pPr>
              <w:pStyle w:val="17"/>
              <w:spacing w:before="123" w:line="219" w:lineRule="auto"/>
              <w:ind w:left="164"/>
            </w:pPr>
            <w:r>
              <w:rPr>
                <w:spacing w:val="-6"/>
              </w:rPr>
              <w:t>二、</w:t>
            </w:r>
            <w:r>
              <w:rPr>
                <w:spacing w:val="15"/>
              </w:rPr>
              <w:t xml:space="preserve"> </w:t>
            </w:r>
            <w:r>
              <w:rPr>
                <w:spacing w:val="-6"/>
              </w:rPr>
              <w:t>净资产</w:t>
            </w:r>
          </w:p>
        </w:tc>
        <w:tc>
          <w:tcPr>
            <w:tcW w:w="951" w:type="dxa"/>
            <w:vAlign w:val="top"/>
          </w:tcPr>
          <w:p>
            <w:pPr>
              <w:pStyle w:val="17"/>
              <w:spacing w:before="122" w:line="220" w:lineRule="auto"/>
              <w:ind w:left="253"/>
            </w:pPr>
            <w:r>
              <w:rPr>
                <w:spacing w:val="-8"/>
              </w:rPr>
              <w:t>万元</w:t>
            </w:r>
          </w:p>
        </w:tc>
        <w:tc>
          <w:tcPr>
            <w:tcW w:w="1285" w:type="dxa"/>
            <w:vAlign w:val="top"/>
          </w:tcPr>
          <w:p>
            <w:pPr>
              <w:rPr>
                <w:rFonts w:ascii="Arial"/>
                <w:sz w:val="21"/>
              </w:rPr>
            </w:pPr>
          </w:p>
        </w:tc>
        <w:tc>
          <w:tcPr>
            <w:tcW w:w="1286" w:type="dxa"/>
            <w:vAlign w:val="top"/>
          </w:tcPr>
          <w:p>
            <w:pPr>
              <w:rPr>
                <w:rFonts w:ascii="Arial"/>
                <w:sz w:val="21"/>
              </w:rPr>
            </w:pPr>
          </w:p>
        </w:tc>
        <w:tc>
          <w:tcPr>
            <w:tcW w:w="128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310" w:type="dxa"/>
            <w:vAlign w:val="top"/>
          </w:tcPr>
          <w:p>
            <w:pPr>
              <w:pStyle w:val="17"/>
              <w:spacing w:before="124" w:line="219" w:lineRule="auto"/>
              <w:ind w:left="160"/>
            </w:pPr>
            <w:r>
              <w:rPr>
                <w:spacing w:val="-6"/>
              </w:rPr>
              <w:t>三、</w:t>
            </w:r>
            <w:r>
              <w:rPr>
                <w:spacing w:val="19"/>
              </w:rPr>
              <w:t xml:space="preserve"> </w:t>
            </w:r>
            <w:r>
              <w:rPr>
                <w:spacing w:val="-6"/>
              </w:rPr>
              <w:t>总资产</w:t>
            </w:r>
          </w:p>
        </w:tc>
        <w:tc>
          <w:tcPr>
            <w:tcW w:w="951" w:type="dxa"/>
            <w:vAlign w:val="top"/>
          </w:tcPr>
          <w:p>
            <w:pPr>
              <w:pStyle w:val="17"/>
              <w:spacing w:before="123" w:line="220" w:lineRule="auto"/>
              <w:ind w:left="253"/>
            </w:pPr>
            <w:r>
              <w:rPr>
                <w:spacing w:val="-8"/>
              </w:rPr>
              <w:t>万元</w:t>
            </w:r>
          </w:p>
        </w:tc>
        <w:tc>
          <w:tcPr>
            <w:tcW w:w="1285" w:type="dxa"/>
            <w:vAlign w:val="top"/>
          </w:tcPr>
          <w:p>
            <w:pPr>
              <w:rPr>
                <w:rFonts w:ascii="Arial"/>
                <w:sz w:val="21"/>
              </w:rPr>
            </w:pPr>
          </w:p>
        </w:tc>
        <w:tc>
          <w:tcPr>
            <w:tcW w:w="1286" w:type="dxa"/>
            <w:vAlign w:val="top"/>
          </w:tcPr>
          <w:p>
            <w:pPr>
              <w:rPr>
                <w:rFonts w:ascii="Arial"/>
                <w:sz w:val="21"/>
              </w:rPr>
            </w:pPr>
          </w:p>
        </w:tc>
        <w:tc>
          <w:tcPr>
            <w:tcW w:w="128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310" w:type="dxa"/>
            <w:vAlign w:val="top"/>
          </w:tcPr>
          <w:p>
            <w:pPr>
              <w:pStyle w:val="17"/>
              <w:spacing w:before="124" w:line="219" w:lineRule="auto"/>
              <w:ind w:left="190"/>
            </w:pPr>
            <w:r>
              <w:rPr>
                <w:spacing w:val="-11"/>
              </w:rPr>
              <w:t>四、</w:t>
            </w:r>
            <w:r>
              <w:rPr>
                <w:spacing w:val="33"/>
              </w:rPr>
              <w:t xml:space="preserve"> </w:t>
            </w:r>
            <w:r>
              <w:rPr>
                <w:spacing w:val="-11"/>
              </w:rPr>
              <w:t>固定资产</w:t>
            </w:r>
          </w:p>
        </w:tc>
        <w:tc>
          <w:tcPr>
            <w:tcW w:w="951" w:type="dxa"/>
            <w:vAlign w:val="top"/>
          </w:tcPr>
          <w:p>
            <w:pPr>
              <w:pStyle w:val="17"/>
              <w:spacing w:before="124" w:line="220" w:lineRule="auto"/>
              <w:ind w:left="253"/>
            </w:pPr>
            <w:r>
              <w:rPr>
                <w:spacing w:val="-8"/>
              </w:rPr>
              <w:t>万元</w:t>
            </w:r>
          </w:p>
        </w:tc>
        <w:tc>
          <w:tcPr>
            <w:tcW w:w="1285" w:type="dxa"/>
            <w:vAlign w:val="top"/>
          </w:tcPr>
          <w:p>
            <w:pPr>
              <w:rPr>
                <w:rFonts w:ascii="Arial"/>
                <w:sz w:val="21"/>
              </w:rPr>
            </w:pPr>
          </w:p>
        </w:tc>
        <w:tc>
          <w:tcPr>
            <w:tcW w:w="1286" w:type="dxa"/>
            <w:vAlign w:val="top"/>
          </w:tcPr>
          <w:p>
            <w:pPr>
              <w:rPr>
                <w:rFonts w:ascii="Arial"/>
                <w:sz w:val="21"/>
              </w:rPr>
            </w:pPr>
          </w:p>
        </w:tc>
        <w:tc>
          <w:tcPr>
            <w:tcW w:w="128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310" w:type="dxa"/>
            <w:vAlign w:val="top"/>
          </w:tcPr>
          <w:p>
            <w:pPr>
              <w:pStyle w:val="17"/>
              <w:spacing w:before="125" w:line="219" w:lineRule="auto"/>
              <w:ind w:left="164"/>
            </w:pPr>
            <w:r>
              <w:rPr>
                <w:spacing w:val="-2"/>
              </w:rPr>
              <w:t>五、 流动资产</w:t>
            </w:r>
          </w:p>
        </w:tc>
        <w:tc>
          <w:tcPr>
            <w:tcW w:w="951" w:type="dxa"/>
            <w:vAlign w:val="top"/>
          </w:tcPr>
          <w:p>
            <w:pPr>
              <w:pStyle w:val="17"/>
              <w:spacing w:before="125" w:line="220" w:lineRule="auto"/>
              <w:ind w:left="253"/>
            </w:pPr>
            <w:r>
              <w:rPr>
                <w:spacing w:val="-8"/>
              </w:rPr>
              <w:t>万元</w:t>
            </w:r>
          </w:p>
        </w:tc>
        <w:tc>
          <w:tcPr>
            <w:tcW w:w="1285" w:type="dxa"/>
            <w:vAlign w:val="top"/>
          </w:tcPr>
          <w:p>
            <w:pPr>
              <w:rPr>
                <w:rFonts w:ascii="Arial"/>
                <w:sz w:val="21"/>
              </w:rPr>
            </w:pPr>
          </w:p>
        </w:tc>
        <w:tc>
          <w:tcPr>
            <w:tcW w:w="1286" w:type="dxa"/>
            <w:vAlign w:val="top"/>
          </w:tcPr>
          <w:p>
            <w:pPr>
              <w:rPr>
                <w:rFonts w:ascii="Arial"/>
                <w:sz w:val="21"/>
              </w:rPr>
            </w:pPr>
          </w:p>
        </w:tc>
        <w:tc>
          <w:tcPr>
            <w:tcW w:w="128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310" w:type="dxa"/>
            <w:vAlign w:val="top"/>
          </w:tcPr>
          <w:p>
            <w:pPr>
              <w:pStyle w:val="17"/>
              <w:spacing w:before="125" w:line="219" w:lineRule="auto"/>
              <w:ind w:left="162"/>
            </w:pPr>
            <w:r>
              <w:rPr>
                <w:spacing w:val="-2"/>
              </w:rPr>
              <w:t>六、 流动负债</w:t>
            </w:r>
          </w:p>
        </w:tc>
        <w:tc>
          <w:tcPr>
            <w:tcW w:w="951" w:type="dxa"/>
            <w:vAlign w:val="top"/>
          </w:tcPr>
          <w:p>
            <w:pPr>
              <w:pStyle w:val="17"/>
              <w:spacing w:before="125" w:line="220" w:lineRule="auto"/>
              <w:ind w:left="253"/>
            </w:pPr>
            <w:r>
              <w:rPr>
                <w:spacing w:val="-8"/>
              </w:rPr>
              <w:t>万元</w:t>
            </w:r>
          </w:p>
        </w:tc>
        <w:tc>
          <w:tcPr>
            <w:tcW w:w="1285" w:type="dxa"/>
            <w:vAlign w:val="top"/>
          </w:tcPr>
          <w:p>
            <w:pPr>
              <w:rPr>
                <w:rFonts w:ascii="Arial"/>
                <w:sz w:val="21"/>
              </w:rPr>
            </w:pPr>
          </w:p>
        </w:tc>
        <w:tc>
          <w:tcPr>
            <w:tcW w:w="1286" w:type="dxa"/>
            <w:vAlign w:val="top"/>
          </w:tcPr>
          <w:p>
            <w:pPr>
              <w:rPr>
                <w:rFonts w:ascii="Arial"/>
                <w:sz w:val="21"/>
              </w:rPr>
            </w:pPr>
          </w:p>
        </w:tc>
        <w:tc>
          <w:tcPr>
            <w:tcW w:w="128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310" w:type="dxa"/>
            <w:vAlign w:val="top"/>
          </w:tcPr>
          <w:p>
            <w:pPr>
              <w:pStyle w:val="17"/>
              <w:spacing w:before="125" w:line="219" w:lineRule="auto"/>
              <w:ind w:left="159"/>
            </w:pPr>
            <w:r>
              <w:rPr>
                <w:spacing w:val="-5"/>
              </w:rPr>
              <w:t>七、</w:t>
            </w:r>
            <w:r>
              <w:rPr>
                <w:spacing w:val="20"/>
              </w:rPr>
              <w:t xml:space="preserve"> </w:t>
            </w:r>
            <w:r>
              <w:rPr>
                <w:spacing w:val="-5"/>
              </w:rPr>
              <w:t>负债合计</w:t>
            </w:r>
          </w:p>
        </w:tc>
        <w:tc>
          <w:tcPr>
            <w:tcW w:w="951" w:type="dxa"/>
            <w:vAlign w:val="top"/>
          </w:tcPr>
          <w:p>
            <w:pPr>
              <w:pStyle w:val="17"/>
              <w:spacing w:before="124" w:line="220" w:lineRule="auto"/>
              <w:ind w:left="253"/>
            </w:pPr>
            <w:r>
              <w:rPr>
                <w:spacing w:val="-8"/>
              </w:rPr>
              <w:t>万元</w:t>
            </w:r>
          </w:p>
        </w:tc>
        <w:tc>
          <w:tcPr>
            <w:tcW w:w="1285" w:type="dxa"/>
            <w:vAlign w:val="top"/>
          </w:tcPr>
          <w:p>
            <w:pPr>
              <w:rPr>
                <w:rFonts w:ascii="Arial"/>
                <w:sz w:val="21"/>
              </w:rPr>
            </w:pPr>
          </w:p>
        </w:tc>
        <w:tc>
          <w:tcPr>
            <w:tcW w:w="1286" w:type="dxa"/>
            <w:vAlign w:val="top"/>
          </w:tcPr>
          <w:p>
            <w:pPr>
              <w:rPr>
                <w:rFonts w:ascii="Arial"/>
                <w:sz w:val="21"/>
              </w:rPr>
            </w:pPr>
          </w:p>
        </w:tc>
        <w:tc>
          <w:tcPr>
            <w:tcW w:w="128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310" w:type="dxa"/>
            <w:vAlign w:val="top"/>
          </w:tcPr>
          <w:p>
            <w:pPr>
              <w:pStyle w:val="17"/>
              <w:spacing w:before="126" w:line="219" w:lineRule="auto"/>
              <w:ind w:left="164"/>
            </w:pPr>
            <w:r>
              <w:rPr>
                <w:spacing w:val="-6"/>
              </w:rPr>
              <w:t>八、</w:t>
            </w:r>
            <w:r>
              <w:rPr>
                <w:spacing w:val="21"/>
              </w:rPr>
              <w:t xml:space="preserve"> </w:t>
            </w:r>
            <w:r>
              <w:rPr>
                <w:spacing w:val="-6"/>
              </w:rPr>
              <w:t>营业收入</w:t>
            </w:r>
          </w:p>
        </w:tc>
        <w:tc>
          <w:tcPr>
            <w:tcW w:w="951" w:type="dxa"/>
            <w:vAlign w:val="top"/>
          </w:tcPr>
          <w:p>
            <w:pPr>
              <w:pStyle w:val="17"/>
              <w:spacing w:before="125" w:line="220" w:lineRule="auto"/>
              <w:ind w:left="253"/>
            </w:pPr>
            <w:r>
              <w:rPr>
                <w:spacing w:val="-8"/>
              </w:rPr>
              <w:t>万元</w:t>
            </w:r>
          </w:p>
        </w:tc>
        <w:tc>
          <w:tcPr>
            <w:tcW w:w="1285" w:type="dxa"/>
            <w:vAlign w:val="top"/>
          </w:tcPr>
          <w:p>
            <w:pPr>
              <w:rPr>
                <w:rFonts w:ascii="Arial"/>
                <w:sz w:val="21"/>
              </w:rPr>
            </w:pPr>
          </w:p>
        </w:tc>
        <w:tc>
          <w:tcPr>
            <w:tcW w:w="1286" w:type="dxa"/>
            <w:vAlign w:val="top"/>
          </w:tcPr>
          <w:p>
            <w:pPr>
              <w:rPr>
                <w:rFonts w:ascii="Arial"/>
                <w:sz w:val="21"/>
              </w:rPr>
            </w:pPr>
          </w:p>
        </w:tc>
        <w:tc>
          <w:tcPr>
            <w:tcW w:w="128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310" w:type="dxa"/>
            <w:vAlign w:val="top"/>
          </w:tcPr>
          <w:p>
            <w:pPr>
              <w:pStyle w:val="17"/>
              <w:spacing w:before="126" w:line="220" w:lineRule="auto"/>
              <w:ind w:left="166"/>
            </w:pPr>
            <w:r>
              <w:rPr>
                <w:spacing w:val="-6"/>
              </w:rPr>
              <w:t>九、</w:t>
            </w:r>
            <w:r>
              <w:rPr>
                <w:spacing w:val="13"/>
              </w:rPr>
              <w:t xml:space="preserve"> </w:t>
            </w:r>
            <w:r>
              <w:rPr>
                <w:spacing w:val="-6"/>
              </w:rPr>
              <w:t>净利润</w:t>
            </w:r>
          </w:p>
        </w:tc>
        <w:tc>
          <w:tcPr>
            <w:tcW w:w="951" w:type="dxa"/>
            <w:vAlign w:val="top"/>
          </w:tcPr>
          <w:p>
            <w:pPr>
              <w:pStyle w:val="17"/>
              <w:spacing w:before="126" w:line="220" w:lineRule="auto"/>
              <w:ind w:left="253"/>
            </w:pPr>
            <w:r>
              <w:rPr>
                <w:spacing w:val="-8"/>
              </w:rPr>
              <w:t>万元</w:t>
            </w:r>
          </w:p>
        </w:tc>
        <w:tc>
          <w:tcPr>
            <w:tcW w:w="1285" w:type="dxa"/>
            <w:vAlign w:val="top"/>
          </w:tcPr>
          <w:p>
            <w:pPr>
              <w:rPr>
                <w:rFonts w:ascii="Arial"/>
                <w:sz w:val="21"/>
              </w:rPr>
            </w:pPr>
          </w:p>
        </w:tc>
        <w:tc>
          <w:tcPr>
            <w:tcW w:w="1286" w:type="dxa"/>
            <w:vAlign w:val="top"/>
          </w:tcPr>
          <w:p>
            <w:pPr>
              <w:rPr>
                <w:rFonts w:ascii="Arial"/>
                <w:sz w:val="21"/>
              </w:rPr>
            </w:pPr>
          </w:p>
        </w:tc>
        <w:tc>
          <w:tcPr>
            <w:tcW w:w="128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310" w:type="dxa"/>
            <w:vAlign w:val="top"/>
          </w:tcPr>
          <w:p>
            <w:pPr>
              <w:pStyle w:val="17"/>
              <w:spacing w:before="126" w:line="219" w:lineRule="auto"/>
              <w:ind w:left="161"/>
            </w:pPr>
            <w:r>
              <w:rPr>
                <w:spacing w:val="-2"/>
              </w:rPr>
              <w:t>十、 现金流量净额</w:t>
            </w:r>
          </w:p>
        </w:tc>
        <w:tc>
          <w:tcPr>
            <w:tcW w:w="951" w:type="dxa"/>
            <w:vAlign w:val="top"/>
          </w:tcPr>
          <w:p>
            <w:pPr>
              <w:pStyle w:val="17"/>
              <w:spacing w:before="126" w:line="220" w:lineRule="auto"/>
              <w:ind w:left="253"/>
            </w:pPr>
            <w:r>
              <w:rPr>
                <w:spacing w:val="-8"/>
              </w:rPr>
              <w:t>万元</w:t>
            </w:r>
          </w:p>
        </w:tc>
        <w:tc>
          <w:tcPr>
            <w:tcW w:w="1285" w:type="dxa"/>
            <w:vAlign w:val="top"/>
          </w:tcPr>
          <w:p>
            <w:pPr>
              <w:rPr>
                <w:rFonts w:ascii="Arial"/>
                <w:sz w:val="21"/>
              </w:rPr>
            </w:pPr>
          </w:p>
        </w:tc>
        <w:tc>
          <w:tcPr>
            <w:tcW w:w="1286" w:type="dxa"/>
            <w:vAlign w:val="top"/>
          </w:tcPr>
          <w:p>
            <w:pPr>
              <w:rPr>
                <w:rFonts w:ascii="Arial"/>
                <w:sz w:val="21"/>
              </w:rPr>
            </w:pPr>
          </w:p>
        </w:tc>
        <w:tc>
          <w:tcPr>
            <w:tcW w:w="128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310" w:type="dxa"/>
            <w:vAlign w:val="top"/>
          </w:tcPr>
          <w:p>
            <w:pPr>
              <w:pStyle w:val="17"/>
              <w:spacing w:before="127" w:line="219" w:lineRule="auto"/>
              <w:ind w:left="161"/>
            </w:pPr>
            <w:r>
              <w:rPr>
                <w:spacing w:val="-2"/>
              </w:rPr>
              <w:t>十一、 主要财务指标</w:t>
            </w:r>
          </w:p>
        </w:tc>
        <w:tc>
          <w:tcPr>
            <w:tcW w:w="951" w:type="dxa"/>
            <w:vAlign w:val="top"/>
          </w:tcPr>
          <w:p>
            <w:pPr>
              <w:rPr>
                <w:rFonts w:ascii="Arial"/>
                <w:sz w:val="21"/>
              </w:rPr>
            </w:pPr>
          </w:p>
        </w:tc>
        <w:tc>
          <w:tcPr>
            <w:tcW w:w="1285" w:type="dxa"/>
            <w:vAlign w:val="top"/>
          </w:tcPr>
          <w:p>
            <w:pPr>
              <w:rPr>
                <w:rFonts w:ascii="Arial"/>
                <w:sz w:val="21"/>
              </w:rPr>
            </w:pPr>
          </w:p>
        </w:tc>
        <w:tc>
          <w:tcPr>
            <w:tcW w:w="1286" w:type="dxa"/>
            <w:vAlign w:val="top"/>
          </w:tcPr>
          <w:p>
            <w:pPr>
              <w:rPr>
                <w:rFonts w:ascii="Arial"/>
                <w:sz w:val="21"/>
              </w:rPr>
            </w:pPr>
          </w:p>
        </w:tc>
        <w:tc>
          <w:tcPr>
            <w:tcW w:w="128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310" w:type="dxa"/>
            <w:vAlign w:val="top"/>
          </w:tcPr>
          <w:p>
            <w:pPr>
              <w:pStyle w:val="17"/>
              <w:spacing w:before="127" w:line="219" w:lineRule="auto"/>
              <w:ind w:left="1107"/>
            </w:pPr>
            <w:r>
              <w:rPr>
                <w:spacing w:val="-4"/>
              </w:rPr>
              <w:t>1. 净资产收益率</w:t>
            </w:r>
          </w:p>
        </w:tc>
        <w:tc>
          <w:tcPr>
            <w:tcW w:w="951" w:type="dxa"/>
            <w:vAlign w:val="top"/>
          </w:tcPr>
          <w:p>
            <w:pPr>
              <w:pStyle w:val="17"/>
              <w:spacing w:before="126"/>
              <w:ind w:left="421"/>
            </w:pPr>
            <w:r>
              <w:t>%</w:t>
            </w:r>
          </w:p>
        </w:tc>
        <w:tc>
          <w:tcPr>
            <w:tcW w:w="1285" w:type="dxa"/>
            <w:vAlign w:val="top"/>
          </w:tcPr>
          <w:p>
            <w:pPr>
              <w:rPr>
                <w:rFonts w:ascii="Arial"/>
                <w:sz w:val="21"/>
              </w:rPr>
            </w:pPr>
          </w:p>
        </w:tc>
        <w:tc>
          <w:tcPr>
            <w:tcW w:w="1286" w:type="dxa"/>
            <w:vAlign w:val="top"/>
          </w:tcPr>
          <w:p>
            <w:pPr>
              <w:rPr>
                <w:rFonts w:ascii="Arial"/>
                <w:sz w:val="21"/>
              </w:rPr>
            </w:pPr>
          </w:p>
        </w:tc>
        <w:tc>
          <w:tcPr>
            <w:tcW w:w="128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310" w:type="dxa"/>
            <w:vAlign w:val="top"/>
          </w:tcPr>
          <w:p>
            <w:pPr>
              <w:pStyle w:val="17"/>
              <w:spacing w:before="127" w:line="219" w:lineRule="auto"/>
              <w:ind w:left="1092"/>
            </w:pPr>
            <w:r>
              <w:rPr>
                <w:spacing w:val="-4"/>
              </w:rPr>
              <w:t>2.</w:t>
            </w:r>
            <w:r>
              <w:rPr>
                <w:spacing w:val="18"/>
              </w:rPr>
              <w:t xml:space="preserve"> </w:t>
            </w:r>
            <w:r>
              <w:rPr>
                <w:spacing w:val="-4"/>
              </w:rPr>
              <w:t>总资产报酬率</w:t>
            </w:r>
          </w:p>
        </w:tc>
        <w:tc>
          <w:tcPr>
            <w:tcW w:w="951" w:type="dxa"/>
            <w:vAlign w:val="top"/>
          </w:tcPr>
          <w:p>
            <w:pPr>
              <w:pStyle w:val="17"/>
              <w:spacing w:before="126"/>
              <w:ind w:left="421"/>
            </w:pPr>
            <w:r>
              <w:t>%</w:t>
            </w:r>
          </w:p>
        </w:tc>
        <w:tc>
          <w:tcPr>
            <w:tcW w:w="1285" w:type="dxa"/>
            <w:vAlign w:val="top"/>
          </w:tcPr>
          <w:p>
            <w:pPr>
              <w:rPr>
                <w:rFonts w:ascii="Arial"/>
                <w:sz w:val="21"/>
              </w:rPr>
            </w:pPr>
          </w:p>
        </w:tc>
        <w:tc>
          <w:tcPr>
            <w:tcW w:w="1286" w:type="dxa"/>
            <w:vAlign w:val="top"/>
          </w:tcPr>
          <w:p>
            <w:pPr>
              <w:rPr>
                <w:rFonts w:ascii="Arial"/>
                <w:sz w:val="21"/>
              </w:rPr>
            </w:pPr>
          </w:p>
        </w:tc>
        <w:tc>
          <w:tcPr>
            <w:tcW w:w="128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310" w:type="dxa"/>
            <w:vAlign w:val="top"/>
          </w:tcPr>
          <w:p>
            <w:pPr>
              <w:pStyle w:val="17"/>
              <w:spacing w:before="129" w:line="219" w:lineRule="auto"/>
              <w:ind w:left="1094"/>
            </w:pPr>
            <w:r>
              <w:rPr>
                <w:spacing w:val="-2"/>
              </w:rPr>
              <w:t>3. 主营业务利润率</w:t>
            </w:r>
          </w:p>
        </w:tc>
        <w:tc>
          <w:tcPr>
            <w:tcW w:w="951" w:type="dxa"/>
            <w:vAlign w:val="top"/>
          </w:tcPr>
          <w:p>
            <w:pPr>
              <w:pStyle w:val="17"/>
              <w:spacing w:before="128"/>
              <w:ind w:left="421"/>
            </w:pPr>
            <w:r>
              <w:t>%</w:t>
            </w:r>
          </w:p>
        </w:tc>
        <w:tc>
          <w:tcPr>
            <w:tcW w:w="1285" w:type="dxa"/>
            <w:vAlign w:val="top"/>
          </w:tcPr>
          <w:p>
            <w:pPr>
              <w:rPr>
                <w:rFonts w:ascii="Arial"/>
                <w:sz w:val="21"/>
              </w:rPr>
            </w:pPr>
          </w:p>
        </w:tc>
        <w:tc>
          <w:tcPr>
            <w:tcW w:w="1286" w:type="dxa"/>
            <w:vAlign w:val="top"/>
          </w:tcPr>
          <w:p>
            <w:pPr>
              <w:rPr>
                <w:rFonts w:ascii="Arial"/>
                <w:sz w:val="21"/>
              </w:rPr>
            </w:pPr>
          </w:p>
        </w:tc>
        <w:tc>
          <w:tcPr>
            <w:tcW w:w="128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310" w:type="dxa"/>
            <w:vAlign w:val="top"/>
          </w:tcPr>
          <w:p>
            <w:pPr>
              <w:pStyle w:val="17"/>
              <w:spacing w:before="129" w:line="219" w:lineRule="auto"/>
              <w:ind w:left="1088"/>
            </w:pPr>
            <w:r>
              <w:rPr>
                <w:spacing w:val="-5"/>
              </w:rPr>
              <w:t>4.</w:t>
            </w:r>
            <w:r>
              <w:rPr>
                <w:spacing w:val="25"/>
              </w:rPr>
              <w:t xml:space="preserve"> </w:t>
            </w:r>
            <w:r>
              <w:rPr>
                <w:spacing w:val="-5"/>
              </w:rPr>
              <w:t>资产负债率</w:t>
            </w:r>
          </w:p>
        </w:tc>
        <w:tc>
          <w:tcPr>
            <w:tcW w:w="951" w:type="dxa"/>
            <w:vAlign w:val="top"/>
          </w:tcPr>
          <w:p>
            <w:pPr>
              <w:pStyle w:val="17"/>
              <w:spacing w:before="128"/>
              <w:ind w:left="421"/>
            </w:pPr>
            <w:r>
              <w:t>%</w:t>
            </w:r>
          </w:p>
        </w:tc>
        <w:tc>
          <w:tcPr>
            <w:tcW w:w="1285" w:type="dxa"/>
            <w:vAlign w:val="top"/>
          </w:tcPr>
          <w:p>
            <w:pPr>
              <w:rPr>
                <w:rFonts w:ascii="Arial"/>
                <w:sz w:val="21"/>
              </w:rPr>
            </w:pPr>
          </w:p>
        </w:tc>
        <w:tc>
          <w:tcPr>
            <w:tcW w:w="1286" w:type="dxa"/>
            <w:vAlign w:val="top"/>
          </w:tcPr>
          <w:p>
            <w:pPr>
              <w:rPr>
                <w:rFonts w:ascii="Arial"/>
                <w:sz w:val="21"/>
              </w:rPr>
            </w:pPr>
          </w:p>
        </w:tc>
        <w:tc>
          <w:tcPr>
            <w:tcW w:w="128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310" w:type="dxa"/>
            <w:vAlign w:val="top"/>
          </w:tcPr>
          <w:p>
            <w:pPr>
              <w:pStyle w:val="17"/>
              <w:spacing w:before="129" w:line="219" w:lineRule="auto"/>
              <w:ind w:left="1094"/>
            </w:pPr>
            <w:r>
              <w:rPr>
                <w:spacing w:val="-5"/>
              </w:rPr>
              <w:t>5.</w:t>
            </w:r>
            <w:r>
              <w:rPr>
                <w:spacing w:val="14"/>
              </w:rPr>
              <w:t xml:space="preserve"> </w:t>
            </w:r>
            <w:r>
              <w:rPr>
                <w:spacing w:val="-5"/>
              </w:rPr>
              <w:t>流动比率</w:t>
            </w:r>
          </w:p>
        </w:tc>
        <w:tc>
          <w:tcPr>
            <w:tcW w:w="951" w:type="dxa"/>
            <w:vAlign w:val="top"/>
          </w:tcPr>
          <w:p>
            <w:pPr>
              <w:pStyle w:val="17"/>
              <w:spacing w:before="128"/>
              <w:ind w:left="421"/>
            </w:pPr>
            <w:r>
              <w:t>%</w:t>
            </w:r>
          </w:p>
        </w:tc>
        <w:tc>
          <w:tcPr>
            <w:tcW w:w="1285" w:type="dxa"/>
            <w:vAlign w:val="top"/>
          </w:tcPr>
          <w:p>
            <w:pPr>
              <w:rPr>
                <w:rFonts w:ascii="Arial"/>
                <w:sz w:val="21"/>
              </w:rPr>
            </w:pPr>
          </w:p>
        </w:tc>
        <w:tc>
          <w:tcPr>
            <w:tcW w:w="1286" w:type="dxa"/>
            <w:vAlign w:val="top"/>
          </w:tcPr>
          <w:p>
            <w:pPr>
              <w:rPr>
                <w:rFonts w:ascii="Arial"/>
                <w:sz w:val="21"/>
              </w:rPr>
            </w:pPr>
          </w:p>
        </w:tc>
        <w:tc>
          <w:tcPr>
            <w:tcW w:w="128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4310" w:type="dxa"/>
            <w:vAlign w:val="top"/>
          </w:tcPr>
          <w:p>
            <w:pPr>
              <w:pStyle w:val="17"/>
              <w:spacing w:before="130" w:line="219" w:lineRule="auto"/>
              <w:ind w:left="1091"/>
            </w:pPr>
            <w:r>
              <w:rPr>
                <w:spacing w:val="-2"/>
              </w:rPr>
              <w:t>6. 速动比率</w:t>
            </w:r>
          </w:p>
        </w:tc>
        <w:tc>
          <w:tcPr>
            <w:tcW w:w="951" w:type="dxa"/>
            <w:vAlign w:val="top"/>
          </w:tcPr>
          <w:p>
            <w:pPr>
              <w:pStyle w:val="17"/>
              <w:spacing w:before="129"/>
              <w:ind w:left="421"/>
            </w:pPr>
            <w:r>
              <w:t>%</w:t>
            </w:r>
          </w:p>
        </w:tc>
        <w:tc>
          <w:tcPr>
            <w:tcW w:w="1285" w:type="dxa"/>
            <w:vAlign w:val="top"/>
          </w:tcPr>
          <w:p>
            <w:pPr>
              <w:rPr>
                <w:rFonts w:ascii="Arial"/>
                <w:sz w:val="21"/>
              </w:rPr>
            </w:pPr>
          </w:p>
        </w:tc>
        <w:tc>
          <w:tcPr>
            <w:tcW w:w="1286" w:type="dxa"/>
            <w:vAlign w:val="top"/>
          </w:tcPr>
          <w:p>
            <w:pPr>
              <w:rPr>
                <w:rFonts w:ascii="Arial"/>
                <w:sz w:val="21"/>
              </w:rPr>
            </w:pPr>
          </w:p>
        </w:tc>
        <w:tc>
          <w:tcPr>
            <w:tcW w:w="128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4310" w:type="dxa"/>
            <w:vAlign w:val="top"/>
          </w:tcPr>
          <w:p>
            <w:pPr>
              <w:rPr>
                <w:rFonts w:ascii="Arial"/>
                <w:sz w:val="21"/>
              </w:rPr>
            </w:pPr>
          </w:p>
          <w:p>
            <w:pPr>
              <w:pStyle w:val="17"/>
              <w:spacing w:before="78" w:line="219" w:lineRule="auto"/>
              <w:ind w:left="32"/>
            </w:pPr>
            <w:r>
              <w:rPr>
                <w:spacing w:val="-1"/>
              </w:rPr>
              <w:t>近三个年度的年平均营业总收入</w:t>
            </w:r>
          </w:p>
        </w:tc>
        <w:tc>
          <w:tcPr>
            <w:tcW w:w="951" w:type="dxa"/>
            <w:vAlign w:val="top"/>
          </w:tcPr>
          <w:p>
            <w:pPr>
              <w:rPr>
                <w:rFonts w:ascii="Arial"/>
                <w:sz w:val="21"/>
              </w:rPr>
            </w:pPr>
          </w:p>
          <w:p>
            <w:pPr>
              <w:pStyle w:val="17"/>
              <w:spacing w:before="78" w:line="220" w:lineRule="auto"/>
              <w:ind w:left="246"/>
            </w:pPr>
            <w:r>
              <w:rPr>
                <w:spacing w:val="-8"/>
              </w:rPr>
              <w:t>万元</w:t>
            </w:r>
          </w:p>
        </w:tc>
        <w:tc>
          <w:tcPr>
            <w:tcW w:w="3860"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4310" w:type="dxa"/>
            <w:vAlign w:val="top"/>
          </w:tcPr>
          <w:p>
            <w:pPr>
              <w:pStyle w:val="17"/>
              <w:spacing w:before="211" w:line="401" w:lineRule="exact"/>
              <w:ind w:left="36"/>
            </w:pPr>
            <w:r>
              <w:rPr>
                <w:spacing w:val="-1"/>
                <w:position w:val="11"/>
              </w:rPr>
              <w:t>最新年度具有的营运资金（流动资产-流</w:t>
            </w:r>
          </w:p>
          <w:p>
            <w:pPr>
              <w:pStyle w:val="17"/>
              <w:spacing w:line="219" w:lineRule="auto"/>
              <w:ind w:left="34"/>
            </w:pPr>
            <w:r>
              <w:rPr>
                <w:spacing w:val="-3"/>
              </w:rPr>
              <w:t>动负债）</w:t>
            </w:r>
          </w:p>
        </w:tc>
        <w:tc>
          <w:tcPr>
            <w:tcW w:w="951" w:type="dxa"/>
            <w:vAlign w:val="top"/>
          </w:tcPr>
          <w:p>
            <w:pPr>
              <w:spacing w:line="330" w:lineRule="auto"/>
              <w:rPr>
                <w:rFonts w:ascii="Arial"/>
                <w:sz w:val="21"/>
              </w:rPr>
            </w:pPr>
          </w:p>
          <w:p>
            <w:pPr>
              <w:pStyle w:val="17"/>
              <w:spacing w:before="78" w:line="220" w:lineRule="auto"/>
              <w:ind w:left="246"/>
            </w:pPr>
            <w:r>
              <w:rPr>
                <w:spacing w:val="-8"/>
              </w:rPr>
              <w:t>万元</w:t>
            </w:r>
          </w:p>
        </w:tc>
        <w:tc>
          <w:tcPr>
            <w:tcW w:w="3860" w:type="dxa"/>
            <w:gridSpan w:val="3"/>
            <w:vAlign w:val="top"/>
          </w:tcPr>
          <w:p>
            <w:pPr>
              <w:rPr>
                <w:rFonts w:ascii="Arial"/>
                <w:sz w:val="21"/>
              </w:rPr>
            </w:pPr>
          </w:p>
        </w:tc>
      </w:tr>
    </w:tbl>
    <w:p>
      <w:pPr>
        <w:spacing w:before="305" w:line="239" w:lineRule="auto"/>
        <w:ind w:left="464" w:right="259" w:hanging="422"/>
        <w:rPr>
          <w:rFonts w:ascii="宋体" w:hAnsi="宋体" w:eastAsia="宋体" w:cs="宋体"/>
          <w:sz w:val="20"/>
          <w:szCs w:val="20"/>
        </w:rPr>
      </w:pPr>
      <w:r>
        <w:rPr>
          <w:rFonts w:ascii="宋体" w:hAnsi="宋体" w:eastAsia="宋体" w:cs="宋体"/>
          <w:spacing w:val="7"/>
          <w:sz w:val="20"/>
          <w:szCs w:val="20"/>
        </w:rPr>
        <w:t>注：1. 投标人应根据招标文件第二章“投标人须知</w:t>
      </w:r>
      <w:r>
        <w:rPr>
          <w:rFonts w:ascii="宋体" w:hAnsi="宋体" w:eastAsia="宋体" w:cs="宋体"/>
          <w:spacing w:val="-69"/>
          <w:sz w:val="20"/>
          <w:szCs w:val="20"/>
        </w:rPr>
        <w:t xml:space="preserve"> </w:t>
      </w:r>
      <w:r>
        <w:rPr>
          <w:rFonts w:ascii="宋体" w:hAnsi="宋体" w:eastAsia="宋体" w:cs="宋体"/>
          <w:spacing w:val="7"/>
          <w:sz w:val="20"/>
          <w:szCs w:val="20"/>
        </w:rPr>
        <w:t>”第</w:t>
      </w:r>
      <w:r>
        <w:rPr>
          <w:rFonts w:ascii="宋体" w:hAnsi="宋体" w:eastAsia="宋体" w:cs="宋体"/>
          <w:spacing w:val="-35"/>
          <w:sz w:val="20"/>
          <w:szCs w:val="20"/>
        </w:rPr>
        <w:t xml:space="preserve"> </w:t>
      </w:r>
      <w:r>
        <w:rPr>
          <w:rFonts w:ascii="宋体" w:hAnsi="宋体" w:eastAsia="宋体" w:cs="宋体"/>
          <w:spacing w:val="7"/>
          <w:sz w:val="20"/>
          <w:szCs w:val="20"/>
        </w:rPr>
        <w:t>3.5.2</w:t>
      </w:r>
      <w:r>
        <w:rPr>
          <w:rFonts w:ascii="宋体" w:hAnsi="宋体" w:eastAsia="宋体" w:cs="宋体"/>
          <w:spacing w:val="-35"/>
          <w:sz w:val="20"/>
          <w:szCs w:val="20"/>
        </w:rPr>
        <w:t xml:space="preserve"> </w:t>
      </w:r>
      <w:r>
        <w:rPr>
          <w:rFonts w:ascii="宋体" w:hAnsi="宋体" w:eastAsia="宋体" w:cs="宋体"/>
          <w:spacing w:val="7"/>
          <w:sz w:val="20"/>
          <w:szCs w:val="20"/>
        </w:rPr>
        <w:t>项的要求在本表后附相关证明材料。</w:t>
      </w:r>
      <w:r>
        <w:rPr>
          <w:rFonts w:ascii="宋体" w:hAnsi="宋体" w:eastAsia="宋体" w:cs="宋体"/>
          <w:sz w:val="20"/>
          <w:szCs w:val="20"/>
        </w:rPr>
        <w:t xml:space="preserve"> </w:t>
      </w:r>
      <w:r>
        <w:rPr>
          <w:rFonts w:ascii="宋体" w:hAnsi="宋体" w:eastAsia="宋体" w:cs="宋体"/>
          <w:spacing w:val="8"/>
          <w:sz w:val="20"/>
          <w:szCs w:val="20"/>
        </w:rPr>
        <w:t>2.以联合体形式投标的，联合体各成员应分别填写。</w:t>
      </w:r>
    </w:p>
    <w:p>
      <w:pPr>
        <w:spacing w:line="407" w:lineRule="auto"/>
        <w:rPr>
          <w:rFonts w:ascii="Arial"/>
          <w:sz w:val="21"/>
        </w:rPr>
      </w:pPr>
      <w:r>
        <mc:AlternateContent>
          <mc:Choice Requires="wps">
            <w:drawing>
              <wp:anchor distT="0" distB="0" distL="114300" distR="114300" simplePos="0" relativeHeight="251680768" behindDoc="0" locked="0" layoutInCell="0" allowOverlap="1">
                <wp:simplePos x="0" y="0"/>
                <wp:positionH relativeFrom="page">
                  <wp:posOffset>899795</wp:posOffset>
                </wp:positionH>
                <wp:positionV relativeFrom="page">
                  <wp:posOffset>9270365</wp:posOffset>
                </wp:positionV>
                <wp:extent cx="1828800" cy="0"/>
                <wp:effectExtent l="4445" t="4445" r="5080" b="5080"/>
                <wp:wrapNone/>
                <wp:docPr id="100" name="任意多边形 100"/>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29.95pt;height:0pt;width:144pt;mso-position-horizontal-relative:page;mso-position-vertical-relative:page;z-index:251680768;mso-width-relative:page;mso-height-relative:page;" filled="f" stroked="t" coordsize="2880,1" o:allowincell="f" o:gfxdata="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OE5Kx1wAAAA0BAAAPAAAAAAAAAAEAIAAAACIAAABkcnMvZG93bnJldi54bWxQSwECFAAUAAAA&#10;CACHTuJATLovTSgCAACLBAAADgAAAAAAAAABACAAAAAmAQAAZHJzL2Uyb0RvYy54bWxQSwUGAAAA&#10;AAYABgBZAQAAwAUAAAAA&#10;" path="m0,0l2880,0e">
                <v:fill on="f" focussize="0,0"/>
                <v:stroke weight="0pt" color="#000000" joinstyle="bevel" endcap="square"/>
                <v:imagedata o:title=""/>
                <o:lock v:ext="edit" aspectratio="f"/>
              </v:shape>
            </w:pict>
          </mc:Fallback>
        </mc:AlternateContent>
      </w:r>
    </w:p>
    <w:p>
      <w:pPr>
        <w:spacing w:line="338" w:lineRule="auto"/>
        <w:rPr>
          <w:rFonts w:ascii="Arial"/>
          <w:sz w:val="21"/>
        </w:rPr>
      </w:pPr>
    </w:p>
    <w:p>
      <w:pPr>
        <w:spacing w:line="338" w:lineRule="auto"/>
        <w:rPr>
          <w:rFonts w:ascii="Arial"/>
          <w:sz w:val="21"/>
        </w:rPr>
      </w:pPr>
    </w:p>
    <w:p>
      <w:pPr>
        <w:pStyle w:val="4"/>
        <w:spacing w:before="113" w:line="698" w:lineRule="exact"/>
        <w:ind w:left="2081"/>
        <w:rPr>
          <w:sz w:val="35"/>
          <w:szCs w:val="35"/>
        </w:rPr>
      </w:pPr>
      <w:r>
        <w:rPr>
          <w:spacing w:val="5"/>
          <w:position w:val="25"/>
          <w:sz w:val="35"/>
          <w:szCs w:val="35"/>
          <w14:textOutline w14:w="6537" w14:cap="sq" w14:cmpd="sng">
            <w14:solidFill>
              <w14:srgbClr w14:val="000000"/>
            </w14:solidFill>
            <w14:prstDash w14:val="solid"/>
            <w14:bevel/>
          </w14:textOutline>
        </w:rPr>
        <w:t>(四)</w:t>
      </w:r>
      <w:r>
        <w:rPr>
          <w:spacing w:val="5"/>
          <w:position w:val="25"/>
          <w:sz w:val="35"/>
          <w:szCs w:val="35"/>
        </w:rPr>
        <w:t xml:space="preserve"> </w:t>
      </w:r>
      <w:r>
        <w:rPr>
          <w:spacing w:val="5"/>
          <w:position w:val="25"/>
          <w:sz w:val="35"/>
          <w:szCs w:val="35"/>
          <w14:textOutline w14:w="6537" w14:cap="sq" w14:cmpd="sng">
            <w14:solidFill>
              <w14:srgbClr w14:val="000000"/>
            </w14:solidFill>
            <w14:prstDash w14:val="solid"/>
            <w14:bevel/>
          </w14:textOutline>
        </w:rPr>
        <w:t>近年完成的类似项目情况表</w:t>
      </w:r>
    </w:p>
    <w:p>
      <w:pPr>
        <w:pStyle w:val="4"/>
        <w:spacing w:line="226" w:lineRule="auto"/>
        <w:ind w:left="2593"/>
        <w:rPr>
          <w:sz w:val="31"/>
          <w:szCs w:val="31"/>
        </w:rPr>
      </w:pPr>
      <w:r>
        <w:rPr>
          <w:spacing w:val="5"/>
          <w:sz w:val="31"/>
          <w:szCs w:val="31"/>
          <w14:textOutline w14:w="5793" w14:cap="sq" w14:cmpd="sng">
            <w14:solidFill>
              <w14:srgbClr w14:val="000000"/>
            </w14:solidFill>
            <w14:prstDash w14:val="solid"/>
            <w14:bevel/>
          </w14:textOutline>
        </w:rPr>
        <w:t>(四)-1完成的类似项目情况表</w:t>
      </w:r>
    </w:p>
    <w:p>
      <w:pPr>
        <w:spacing w:line="193" w:lineRule="exact"/>
      </w:pPr>
    </w:p>
    <w:tbl>
      <w:tblPr>
        <w:tblStyle w:val="16"/>
        <w:tblW w:w="908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1"/>
        <w:gridCol w:w="68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2251" w:type="dxa"/>
            <w:vAlign w:val="top"/>
          </w:tcPr>
          <w:p>
            <w:pPr>
              <w:pStyle w:val="17"/>
              <w:spacing w:before="264" w:line="221" w:lineRule="auto"/>
              <w:ind w:left="651"/>
            </w:pPr>
            <w:r>
              <w:rPr>
                <w:spacing w:val="-5"/>
              </w:rPr>
              <w:t>序</w:t>
            </w:r>
            <w:r>
              <w:rPr>
                <w:spacing w:val="3"/>
              </w:rPr>
              <w:t xml:space="preserve">    </w:t>
            </w:r>
            <w:r>
              <w:rPr>
                <w:spacing w:val="-5"/>
              </w:rPr>
              <w:t>号</w:t>
            </w:r>
          </w:p>
        </w:tc>
        <w:tc>
          <w:tcPr>
            <w:tcW w:w="6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2251" w:type="dxa"/>
            <w:vAlign w:val="top"/>
          </w:tcPr>
          <w:p>
            <w:pPr>
              <w:pStyle w:val="17"/>
              <w:spacing w:before="261" w:line="220" w:lineRule="auto"/>
              <w:ind w:left="656"/>
            </w:pPr>
            <w:r>
              <w:rPr>
                <w:spacing w:val="-4"/>
              </w:rPr>
              <w:t>项目名称</w:t>
            </w:r>
          </w:p>
        </w:tc>
        <w:tc>
          <w:tcPr>
            <w:tcW w:w="6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251" w:type="dxa"/>
            <w:vAlign w:val="top"/>
          </w:tcPr>
          <w:p>
            <w:pPr>
              <w:pStyle w:val="17"/>
              <w:spacing w:before="225" w:line="220" w:lineRule="auto"/>
              <w:ind w:left="536"/>
            </w:pPr>
            <w:r>
              <w:rPr>
                <w:spacing w:val="-3"/>
              </w:rPr>
              <w:t>项目所在地</w:t>
            </w:r>
          </w:p>
        </w:tc>
        <w:tc>
          <w:tcPr>
            <w:tcW w:w="6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2251" w:type="dxa"/>
            <w:vAlign w:val="top"/>
          </w:tcPr>
          <w:p>
            <w:pPr>
              <w:pStyle w:val="17"/>
              <w:spacing w:before="230" w:line="220" w:lineRule="auto"/>
              <w:ind w:left="536"/>
            </w:pPr>
            <w:r>
              <w:rPr>
                <w:spacing w:val="-3"/>
              </w:rPr>
              <w:t>发包人名称</w:t>
            </w:r>
          </w:p>
        </w:tc>
        <w:tc>
          <w:tcPr>
            <w:tcW w:w="6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2251" w:type="dxa"/>
            <w:vAlign w:val="top"/>
          </w:tcPr>
          <w:p>
            <w:pPr>
              <w:pStyle w:val="17"/>
              <w:spacing w:before="228" w:line="220" w:lineRule="auto"/>
              <w:ind w:left="536"/>
            </w:pPr>
            <w:r>
              <w:rPr>
                <w:spacing w:val="-3"/>
              </w:rPr>
              <w:t>发包人地址</w:t>
            </w:r>
          </w:p>
        </w:tc>
        <w:tc>
          <w:tcPr>
            <w:tcW w:w="6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251" w:type="dxa"/>
            <w:vAlign w:val="top"/>
          </w:tcPr>
          <w:p>
            <w:pPr>
              <w:pStyle w:val="17"/>
              <w:spacing w:before="232" w:line="220" w:lineRule="auto"/>
              <w:ind w:left="536"/>
            </w:pPr>
            <w:r>
              <w:rPr>
                <w:spacing w:val="-3"/>
              </w:rPr>
              <w:t>发包人电话</w:t>
            </w:r>
          </w:p>
        </w:tc>
        <w:tc>
          <w:tcPr>
            <w:tcW w:w="6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251" w:type="dxa"/>
            <w:vAlign w:val="top"/>
          </w:tcPr>
          <w:p>
            <w:pPr>
              <w:pStyle w:val="17"/>
              <w:spacing w:before="228" w:line="218" w:lineRule="auto"/>
              <w:ind w:left="653"/>
            </w:pPr>
            <w:r>
              <w:rPr>
                <w:spacing w:val="-3"/>
              </w:rPr>
              <w:t>合同价格</w:t>
            </w:r>
          </w:p>
        </w:tc>
        <w:tc>
          <w:tcPr>
            <w:tcW w:w="6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2251" w:type="dxa"/>
            <w:vAlign w:val="top"/>
          </w:tcPr>
          <w:p>
            <w:pPr>
              <w:pStyle w:val="17"/>
              <w:spacing w:before="224" w:line="220" w:lineRule="auto"/>
              <w:ind w:left="653"/>
            </w:pPr>
            <w:r>
              <w:rPr>
                <w:spacing w:val="-3"/>
              </w:rPr>
              <w:t>开工日期</w:t>
            </w:r>
          </w:p>
        </w:tc>
        <w:tc>
          <w:tcPr>
            <w:tcW w:w="6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2251" w:type="dxa"/>
            <w:vAlign w:val="top"/>
          </w:tcPr>
          <w:p>
            <w:pPr>
              <w:pStyle w:val="17"/>
              <w:spacing w:before="98" w:line="218" w:lineRule="auto"/>
              <w:ind w:left="655" w:right="162" w:hanging="478"/>
            </w:pPr>
            <w:r>
              <w:rPr>
                <w:spacing w:val="-2"/>
              </w:rPr>
              <w:t>交工（或一次性竣</w:t>
            </w:r>
            <w:r>
              <w:t xml:space="preserve"> </w:t>
            </w:r>
            <w:r>
              <w:rPr>
                <w:spacing w:val="-16"/>
              </w:rPr>
              <w:t>工）</w:t>
            </w:r>
            <w:r>
              <w:rPr>
                <w:spacing w:val="-70"/>
              </w:rPr>
              <w:t xml:space="preserve"> </w:t>
            </w:r>
            <w:r>
              <w:rPr>
                <w:spacing w:val="-16"/>
              </w:rPr>
              <w:t>日期</w:t>
            </w:r>
          </w:p>
        </w:tc>
        <w:tc>
          <w:tcPr>
            <w:tcW w:w="6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251" w:type="dxa"/>
            <w:vAlign w:val="top"/>
          </w:tcPr>
          <w:p>
            <w:pPr>
              <w:pStyle w:val="17"/>
              <w:spacing w:before="227" w:line="219" w:lineRule="auto"/>
              <w:ind w:left="532"/>
            </w:pPr>
            <w:r>
              <w:rPr>
                <w:spacing w:val="-2"/>
              </w:rPr>
              <w:t>承担的工作</w:t>
            </w:r>
          </w:p>
        </w:tc>
        <w:tc>
          <w:tcPr>
            <w:tcW w:w="6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2251" w:type="dxa"/>
            <w:vAlign w:val="top"/>
          </w:tcPr>
          <w:p>
            <w:pPr>
              <w:pStyle w:val="17"/>
              <w:spacing w:before="91" w:line="218" w:lineRule="auto"/>
              <w:ind w:left="774" w:right="162" w:hanging="599"/>
            </w:pPr>
            <w:r>
              <w:rPr>
                <w:spacing w:val="-2"/>
              </w:rPr>
              <w:t>工程质量评分（或</w:t>
            </w:r>
            <w:r>
              <w:rPr>
                <w:spacing w:val="2"/>
              </w:rPr>
              <w:t xml:space="preserve"> </w:t>
            </w:r>
            <w:r>
              <w:rPr>
                <w:spacing w:val="-4"/>
              </w:rPr>
              <w:t>等级）</w:t>
            </w:r>
          </w:p>
        </w:tc>
        <w:tc>
          <w:tcPr>
            <w:tcW w:w="6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251" w:type="dxa"/>
            <w:vAlign w:val="top"/>
          </w:tcPr>
          <w:p>
            <w:pPr>
              <w:pStyle w:val="17"/>
              <w:spacing w:before="230" w:line="220" w:lineRule="auto"/>
              <w:ind w:left="656"/>
            </w:pPr>
            <w:r>
              <w:rPr>
                <w:spacing w:val="-4"/>
              </w:rPr>
              <w:t>项目经理</w:t>
            </w:r>
          </w:p>
        </w:tc>
        <w:tc>
          <w:tcPr>
            <w:tcW w:w="6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2251" w:type="dxa"/>
            <w:vAlign w:val="top"/>
          </w:tcPr>
          <w:p>
            <w:pPr>
              <w:pStyle w:val="17"/>
              <w:spacing w:before="235" w:line="220" w:lineRule="auto"/>
              <w:ind w:left="656"/>
            </w:pPr>
            <w:r>
              <w:rPr>
                <w:spacing w:val="-4"/>
              </w:rPr>
              <w:t>项目总工</w:t>
            </w:r>
          </w:p>
        </w:tc>
        <w:tc>
          <w:tcPr>
            <w:tcW w:w="6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2251" w:type="dxa"/>
            <w:vAlign w:val="top"/>
          </w:tcPr>
          <w:p>
            <w:pPr>
              <w:pStyle w:val="17"/>
              <w:spacing w:before="89" w:line="219" w:lineRule="auto"/>
              <w:ind w:left="1012" w:right="162" w:hanging="833"/>
            </w:pPr>
            <w:r>
              <w:rPr>
                <w:spacing w:val="-2"/>
              </w:rPr>
              <w:t>总监理工程师及电</w:t>
            </w:r>
            <w:r>
              <w:t xml:space="preserve"> 话</w:t>
            </w:r>
          </w:p>
        </w:tc>
        <w:tc>
          <w:tcPr>
            <w:tcW w:w="6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251" w:type="dxa"/>
            <w:vAlign w:val="top"/>
          </w:tcPr>
          <w:p>
            <w:pPr>
              <w:pStyle w:val="17"/>
              <w:spacing w:before="203" w:line="220" w:lineRule="auto"/>
              <w:ind w:left="656"/>
            </w:pPr>
            <w:r>
              <w:rPr>
                <w:spacing w:val="-4"/>
              </w:rPr>
              <w:t>项目描述</w:t>
            </w:r>
          </w:p>
        </w:tc>
        <w:tc>
          <w:tcPr>
            <w:tcW w:w="6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251" w:type="dxa"/>
            <w:vAlign w:val="top"/>
          </w:tcPr>
          <w:p>
            <w:pPr>
              <w:pStyle w:val="17"/>
              <w:spacing w:before="101" w:line="221" w:lineRule="auto"/>
              <w:ind w:left="895"/>
            </w:pPr>
            <w:r>
              <w:rPr>
                <w:spacing w:val="-7"/>
              </w:rPr>
              <w:t>备注</w:t>
            </w:r>
          </w:p>
        </w:tc>
        <w:tc>
          <w:tcPr>
            <w:tcW w:w="6832" w:type="dxa"/>
            <w:vAlign w:val="top"/>
          </w:tcPr>
          <w:p>
            <w:pPr>
              <w:rPr>
                <w:rFonts w:ascii="Arial"/>
                <w:sz w:val="21"/>
              </w:rPr>
            </w:pPr>
          </w:p>
        </w:tc>
      </w:tr>
    </w:tbl>
    <w:p>
      <w:pPr>
        <w:spacing w:before="78" w:line="228" w:lineRule="auto"/>
        <w:ind w:left="4"/>
        <w:rPr>
          <w:rFonts w:ascii="宋体" w:hAnsi="宋体" w:eastAsia="宋体" w:cs="宋体"/>
          <w:sz w:val="20"/>
          <w:szCs w:val="20"/>
        </w:rPr>
      </w:pPr>
      <w:r>
        <w:rPr>
          <w:rFonts w:ascii="宋体" w:hAnsi="宋体" w:eastAsia="宋体" w:cs="宋体"/>
          <w:spacing w:val="8"/>
          <w:sz w:val="20"/>
          <w:szCs w:val="20"/>
        </w:rPr>
        <w:t>注：1.每张表格只填写一个项目，并标明序号。</w:t>
      </w:r>
    </w:p>
    <w:p>
      <w:pPr>
        <w:spacing w:before="76" w:line="261" w:lineRule="auto"/>
        <w:ind w:left="427" w:right="259" w:hanging="1"/>
        <w:rPr>
          <w:rFonts w:ascii="宋体" w:hAnsi="宋体" w:eastAsia="宋体" w:cs="宋体"/>
          <w:sz w:val="20"/>
          <w:szCs w:val="20"/>
        </w:rPr>
      </w:pPr>
      <w:r>
        <w:rPr>
          <w:rFonts w:ascii="宋体" w:hAnsi="宋体" w:eastAsia="宋体" w:cs="宋体"/>
          <w:spacing w:val="7"/>
          <w:sz w:val="20"/>
          <w:szCs w:val="20"/>
        </w:rPr>
        <w:t>2. 投标人应根据招标文件第二章“投标人须知</w:t>
      </w:r>
      <w:r>
        <w:rPr>
          <w:rFonts w:ascii="宋体" w:hAnsi="宋体" w:eastAsia="宋体" w:cs="宋体"/>
          <w:spacing w:val="-73"/>
          <w:sz w:val="20"/>
          <w:szCs w:val="20"/>
        </w:rPr>
        <w:t xml:space="preserve"> </w:t>
      </w:r>
      <w:r>
        <w:rPr>
          <w:rFonts w:ascii="宋体" w:hAnsi="宋体" w:eastAsia="宋体" w:cs="宋体"/>
          <w:spacing w:val="7"/>
          <w:sz w:val="20"/>
          <w:szCs w:val="20"/>
        </w:rPr>
        <w:t>”第</w:t>
      </w:r>
      <w:r>
        <w:rPr>
          <w:rFonts w:ascii="宋体" w:hAnsi="宋体" w:eastAsia="宋体" w:cs="宋体"/>
          <w:spacing w:val="-35"/>
          <w:sz w:val="20"/>
          <w:szCs w:val="20"/>
        </w:rPr>
        <w:t xml:space="preserve"> </w:t>
      </w:r>
      <w:r>
        <w:rPr>
          <w:rFonts w:ascii="宋体" w:hAnsi="宋体" w:eastAsia="宋体" w:cs="宋体"/>
          <w:spacing w:val="7"/>
          <w:sz w:val="20"/>
          <w:szCs w:val="20"/>
        </w:rPr>
        <w:t>3.5.3</w:t>
      </w:r>
      <w:r>
        <w:rPr>
          <w:rFonts w:ascii="宋体" w:hAnsi="宋体" w:eastAsia="宋体" w:cs="宋体"/>
          <w:spacing w:val="-34"/>
          <w:sz w:val="20"/>
          <w:szCs w:val="20"/>
        </w:rPr>
        <w:t xml:space="preserve"> </w:t>
      </w:r>
      <w:r>
        <w:rPr>
          <w:rFonts w:ascii="宋体" w:hAnsi="宋体" w:eastAsia="宋体" w:cs="宋体"/>
          <w:spacing w:val="7"/>
          <w:sz w:val="20"/>
          <w:szCs w:val="20"/>
        </w:rPr>
        <w:t>项的要求在本表后附相关</w:t>
      </w:r>
      <w:r>
        <w:rPr>
          <w:rFonts w:ascii="宋体" w:hAnsi="宋体" w:eastAsia="宋体" w:cs="宋体"/>
          <w:spacing w:val="6"/>
          <w:sz w:val="20"/>
          <w:szCs w:val="20"/>
        </w:rPr>
        <w:t>证明材料。</w:t>
      </w:r>
      <w:r>
        <w:rPr>
          <w:rFonts w:ascii="宋体" w:hAnsi="宋体" w:eastAsia="宋体" w:cs="宋体"/>
          <w:sz w:val="20"/>
          <w:szCs w:val="20"/>
        </w:rPr>
        <w:t xml:space="preserve"> </w:t>
      </w:r>
      <w:r>
        <w:rPr>
          <w:rFonts w:ascii="宋体" w:hAnsi="宋体" w:eastAsia="宋体" w:cs="宋体"/>
          <w:spacing w:val="8"/>
          <w:sz w:val="20"/>
          <w:szCs w:val="20"/>
        </w:rPr>
        <w:t>3.以联合体形式投标的，联合体各成员应分别填写。</w:t>
      </w:r>
    </w:p>
    <w:p>
      <w:pPr>
        <w:spacing w:line="416" w:lineRule="auto"/>
        <w:rPr>
          <w:rFonts w:ascii="Arial"/>
          <w:sz w:val="21"/>
        </w:rPr>
      </w:pPr>
    </w:p>
    <w:p>
      <w:pPr>
        <w:pStyle w:val="4"/>
        <w:spacing w:before="101" w:line="226" w:lineRule="auto"/>
        <w:ind w:left="2234"/>
        <w:rPr>
          <w:spacing w:val="4"/>
          <w:sz w:val="31"/>
          <w:szCs w:val="31"/>
          <w14:textOutline w14:w="5793" w14:cap="sq" w14:cmpd="sng">
            <w14:solidFill>
              <w14:srgbClr w14:val="000000"/>
            </w14:solidFill>
            <w14:prstDash w14:val="solid"/>
            <w14:bevel/>
          </w14:textOutline>
        </w:rPr>
      </w:pPr>
    </w:p>
    <w:p>
      <w:pPr>
        <w:pStyle w:val="4"/>
        <w:spacing w:before="101" w:line="226" w:lineRule="auto"/>
        <w:ind w:left="2234"/>
        <w:rPr>
          <w:spacing w:val="4"/>
          <w:sz w:val="31"/>
          <w:szCs w:val="31"/>
          <w14:textOutline w14:w="5793" w14:cap="sq" w14:cmpd="sng">
            <w14:solidFill>
              <w14:srgbClr w14:val="000000"/>
            </w14:solidFill>
            <w14:prstDash w14:val="solid"/>
            <w14:bevel/>
          </w14:textOutline>
        </w:rPr>
      </w:pPr>
    </w:p>
    <w:p>
      <w:pPr>
        <w:pStyle w:val="4"/>
        <w:spacing w:before="101" w:line="226" w:lineRule="auto"/>
        <w:ind w:left="2234"/>
        <w:rPr>
          <w:sz w:val="31"/>
          <w:szCs w:val="31"/>
        </w:rPr>
      </w:pPr>
      <w:r>
        <w:rPr>
          <w:spacing w:val="4"/>
          <w:sz w:val="31"/>
          <w:szCs w:val="31"/>
          <w14:textOutline w14:w="5793" w14:cap="sq" w14:cmpd="sng">
            <w14:solidFill>
              <w14:srgbClr w14:val="000000"/>
            </w14:solidFill>
            <w14:prstDash w14:val="solid"/>
            <w14:bevel/>
          </w14:textOutline>
        </w:rPr>
        <w:t>(四)-2</w:t>
      </w:r>
      <w:r>
        <w:rPr>
          <w:spacing w:val="-49"/>
          <w:sz w:val="31"/>
          <w:szCs w:val="31"/>
        </w:rPr>
        <w:t xml:space="preserve"> </w:t>
      </w:r>
      <w:r>
        <w:rPr>
          <w:spacing w:val="4"/>
          <w:sz w:val="31"/>
          <w:szCs w:val="31"/>
          <w14:textOutline w14:w="5793" w14:cap="sq" w14:cmpd="sng">
            <w14:solidFill>
              <w14:srgbClr w14:val="000000"/>
            </w14:solidFill>
            <w14:prstDash w14:val="solid"/>
            <w14:bevel/>
          </w14:textOutline>
        </w:rPr>
        <w:t>完成的类似项目情况汇总表</w:t>
      </w:r>
    </w:p>
    <w:p>
      <w:pPr>
        <w:spacing w:line="193" w:lineRule="exact"/>
      </w:pPr>
    </w:p>
    <w:tbl>
      <w:tblPr>
        <w:tblStyle w:val="16"/>
        <w:tblW w:w="89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6"/>
        <w:gridCol w:w="1696"/>
        <w:gridCol w:w="1144"/>
        <w:gridCol w:w="1003"/>
        <w:gridCol w:w="722"/>
        <w:gridCol w:w="1003"/>
        <w:gridCol w:w="673"/>
        <w:gridCol w:w="722"/>
        <w:gridCol w:w="712"/>
        <w:gridCol w:w="7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8" w:hRule="atLeast"/>
        </w:trPr>
        <w:tc>
          <w:tcPr>
            <w:tcW w:w="546"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17"/>
              <w:spacing w:before="78" w:line="221" w:lineRule="auto"/>
              <w:ind w:left="38"/>
            </w:pPr>
            <w:r>
              <w:rPr>
                <w:spacing w:val="-5"/>
              </w:rPr>
              <w:t>序号</w:t>
            </w:r>
          </w:p>
        </w:tc>
        <w:tc>
          <w:tcPr>
            <w:tcW w:w="1696"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17"/>
              <w:spacing w:before="78" w:line="220" w:lineRule="auto"/>
              <w:ind w:left="376"/>
            </w:pPr>
            <w:r>
              <w:rPr>
                <w:spacing w:val="-4"/>
              </w:rPr>
              <w:t>项目名称</w:t>
            </w:r>
          </w:p>
        </w:tc>
        <w:tc>
          <w:tcPr>
            <w:tcW w:w="1144" w:type="dxa"/>
            <w:vAlign w:val="top"/>
          </w:tcPr>
          <w:p>
            <w:pPr>
              <w:spacing w:line="450" w:lineRule="auto"/>
              <w:rPr>
                <w:rFonts w:ascii="Arial"/>
                <w:sz w:val="21"/>
              </w:rPr>
            </w:pPr>
          </w:p>
          <w:p>
            <w:pPr>
              <w:pStyle w:val="17"/>
              <w:spacing w:before="78" w:line="230" w:lineRule="auto"/>
              <w:ind w:left="339" w:right="91" w:hanging="240"/>
            </w:pPr>
            <w:r>
              <w:rPr>
                <w:spacing w:val="-3"/>
              </w:rPr>
              <w:t>路基桥涵</w:t>
            </w:r>
            <w:r>
              <w:t xml:space="preserve"> </w:t>
            </w:r>
            <w:r>
              <w:rPr>
                <w:spacing w:val="-7"/>
              </w:rPr>
              <w:t>里程</w:t>
            </w:r>
          </w:p>
          <w:p>
            <w:pPr>
              <w:pStyle w:val="17"/>
              <w:spacing w:before="22" w:line="232" w:lineRule="auto"/>
              <w:ind w:left="228"/>
            </w:pPr>
            <w:r>
              <w:rPr>
                <w:spacing w:val="-6"/>
              </w:rPr>
              <w:t>（km）</w:t>
            </w:r>
          </w:p>
        </w:tc>
        <w:tc>
          <w:tcPr>
            <w:tcW w:w="1003" w:type="dxa"/>
            <w:vAlign w:val="top"/>
          </w:tcPr>
          <w:p>
            <w:pPr>
              <w:spacing w:line="449" w:lineRule="auto"/>
              <w:rPr>
                <w:rFonts w:ascii="Arial"/>
                <w:sz w:val="21"/>
              </w:rPr>
            </w:pPr>
          </w:p>
          <w:p>
            <w:pPr>
              <w:pStyle w:val="17"/>
              <w:spacing w:before="78" w:line="237" w:lineRule="auto"/>
              <w:ind w:left="147" w:right="19" w:hanging="117"/>
            </w:pPr>
            <w:r>
              <w:rPr>
                <w:spacing w:val="-3"/>
              </w:rPr>
              <w:t>路面类型</w:t>
            </w:r>
            <w:r>
              <w:t xml:space="preserve"> </w:t>
            </w:r>
            <w:r>
              <w:rPr>
                <w:spacing w:val="-3"/>
              </w:rPr>
              <w:t>及里程</w:t>
            </w:r>
            <w:r>
              <w:t xml:space="preserve">  </w:t>
            </w:r>
            <w:r>
              <w:rPr>
                <w:spacing w:val="-3"/>
              </w:rPr>
              <w:t>（km）</w:t>
            </w:r>
          </w:p>
        </w:tc>
        <w:tc>
          <w:tcPr>
            <w:tcW w:w="722" w:type="dxa"/>
            <w:vAlign w:val="top"/>
          </w:tcPr>
          <w:p>
            <w:pPr>
              <w:spacing w:line="302" w:lineRule="auto"/>
              <w:rPr>
                <w:rFonts w:ascii="Arial"/>
                <w:sz w:val="21"/>
              </w:rPr>
            </w:pPr>
          </w:p>
          <w:p>
            <w:pPr>
              <w:spacing w:line="303" w:lineRule="auto"/>
              <w:rPr>
                <w:rFonts w:ascii="Arial"/>
                <w:sz w:val="21"/>
              </w:rPr>
            </w:pPr>
          </w:p>
          <w:p>
            <w:pPr>
              <w:pStyle w:val="17"/>
              <w:spacing w:before="78" w:line="231" w:lineRule="auto"/>
              <w:ind w:left="35" w:right="3" w:firstLine="96"/>
            </w:pPr>
            <w:r>
              <w:rPr>
                <w:spacing w:val="-7"/>
              </w:rPr>
              <w:t>大桥</w:t>
            </w:r>
            <w:r>
              <w:t xml:space="preserve">  </w:t>
            </w:r>
            <w:r>
              <w:rPr>
                <w:spacing w:val="-14"/>
              </w:rPr>
              <w:t>（座）</w:t>
            </w:r>
          </w:p>
        </w:tc>
        <w:tc>
          <w:tcPr>
            <w:tcW w:w="1003" w:type="dxa"/>
            <w:vAlign w:val="top"/>
          </w:tcPr>
          <w:p>
            <w:pPr>
              <w:spacing w:line="302" w:lineRule="auto"/>
              <w:rPr>
                <w:rFonts w:ascii="Arial"/>
                <w:sz w:val="21"/>
              </w:rPr>
            </w:pPr>
          </w:p>
          <w:p>
            <w:pPr>
              <w:spacing w:line="303" w:lineRule="auto"/>
              <w:rPr>
                <w:rFonts w:ascii="Arial"/>
                <w:sz w:val="21"/>
              </w:rPr>
            </w:pPr>
          </w:p>
          <w:p>
            <w:pPr>
              <w:pStyle w:val="17"/>
              <w:spacing w:before="78" w:line="231" w:lineRule="auto"/>
              <w:ind w:left="159" w:right="138" w:hanging="11"/>
            </w:pPr>
            <w:r>
              <w:rPr>
                <w:spacing w:val="-4"/>
              </w:rPr>
              <w:t>特大桥</w:t>
            </w:r>
            <w:r>
              <w:rPr>
                <w:spacing w:val="1"/>
              </w:rPr>
              <w:t xml:space="preserve"> </w:t>
            </w:r>
            <w:r>
              <w:rPr>
                <w:spacing w:val="-7"/>
              </w:rPr>
              <w:t>（座）</w:t>
            </w:r>
          </w:p>
        </w:tc>
        <w:tc>
          <w:tcPr>
            <w:tcW w:w="673" w:type="dxa"/>
            <w:vAlign w:val="top"/>
          </w:tcPr>
          <w:p>
            <w:pPr>
              <w:spacing w:line="451" w:lineRule="auto"/>
              <w:rPr>
                <w:rFonts w:ascii="Arial"/>
                <w:sz w:val="21"/>
              </w:rPr>
            </w:pPr>
          </w:p>
          <w:p>
            <w:pPr>
              <w:pStyle w:val="17"/>
              <w:spacing w:before="78" w:line="233" w:lineRule="auto"/>
              <w:ind w:left="35" w:firstLine="66"/>
            </w:pPr>
            <w:r>
              <w:rPr>
                <w:spacing w:val="-18"/>
                <w:w w:val="98"/>
              </w:rPr>
              <w:t>长隧</w:t>
            </w:r>
            <w:r>
              <w:rPr>
                <w:spacing w:val="1"/>
              </w:rPr>
              <w:t xml:space="preserve">  </w:t>
            </w:r>
            <w:r>
              <w:rPr>
                <w:spacing w:val="34"/>
                <w:w w:val="149"/>
              </w:rPr>
              <w:t>道</w:t>
            </w:r>
            <w:r>
              <w:t xml:space="preserve">   </w:t>
            </w:r>
            <w:r>
              <w:rPr>
                <w:spacing w:val="-30"/>
              </w:rPr>
              <w:t>（座）</w:t>
            </w:r>
          </w:p>
        </w:tc>
        <w:tc>
          <w:tcPr>
            <w:tcW w:w="722" w:type="dxa"/>
            <w:vAlign w:val="top"/>
          </w:tcPr>
          <w:p>
            <w:pPr>
              <w:spacing w:line="451" w:lineRule="auto"/>
              <w:rPr>
                <w:rFonts w:ascii="Arial"/>
                <w:sz w:val="21"/>
              </w:rPr>
            </w:pPr>
          </w:p>
          <w:p>
            <w:pPr>
              <w:pStyle w:val="17"/>
              <w:spacing w:before="78" w:line="233" w:lineRule="auto"/>
              <w:ind w:left="34" w:right="3" w:firstLine="94"/>
              <w:jc w:val="both"/>
            </w:pPr>
            <w:r>
              <w:rPr>
                <w:spacing w:val="-5"/>
              </w:rPr>
              <w:t>特长</w:t>
            </w:r>
            <w:r>
              <w:t xml:space="preserve">  </w:t>
            </w:r>
            <w:r>
              <w:rPr>
                <w:spacing w:val="42"/>
              </w:rPr>
              <w:t>隧道</w:t>
            </w:r>
            <w:r>
              <w:t xml:space="preserve">  </w:t>
            </w:r>
            <w:r>
              <w:rPr>
                <w:spacing w:val="-14"/>
              </w:rPr>
              <w:t>（座）</w:t>
            </w:r>
          </w:p>
        </w:tc>
        <w:tc>
          <w:tcPr>
            <w:tcW w:w="712"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17"/>
              <w:spacing w:before="78" w:line="378" w:lineRule="exact"/>
              <w:ind w:left="259"/>
            </w:pPr>
            <w:r>
              <w:rPr>
                <w:position w:val="3"/>
              </w:rPr>
              <w:t>…</w:t>
            </w:r>
          </w:p>
        </w:tc>
        <w:tc>
          <w:tcPr>
            <w:tcW w:w="716"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17"/>
              <w:spacing w:before="78" w:line="221" w:lineRule="auto"/>
              <w:ind w:left="128"/>
            </w:pPr>
            <w:r>
              <w:rPr>
                <w:spacing w:val="-7"/>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46" w:type="dxa"/>
            <w:vAlign w:val="top"/>
          </w:tcPr>
          <w:p>
            <w:pPr>
              <w:pStyle w:val="17"/>
              <w:spacing w:before="303" w:line="184" w:lineRule="auto"/>
              <w:ind w:left="237"/>
            </w:pPr>
            <w:r>
              <w:t>1</w:t>
            </w:r>
          </w:p>
        </w:tc>
        <w:tc>
          <w:tcPr>
            <w:tcW w:w="1696" w:type="dxa"/>
            <w:vAlign w:val="top"/>
          </w:tcPr>
          <w:p>
            <w:pPr>
              <w:rPr>
                <w:rFonts w:ascii="Arial"/>
                <w:sz w:val="21"/>
              </w:rPr>
            </w:pPr>
          </w:p>
        </w:tc>
        <w:tc>
          <w:tcPr>
            <w:tcW w:w="1144" w:type="dxa"/>
            <w:vAlign w:val="top"/>
          </w:tcPr>
          <w:p>
            <w:pPr>
              <w:rPr>
                <w:rFonts w:ascii="Arial"/>
                <w:sz w:val="21"/>
              </w:rPr>
            </w:pPr>
          </w:p>
        </w:tc>
        <w:tc>
          <w:tcPr>
            <w:tcW w:w="1003" w:type="dxa"/>
            <w:vAlign w:val="top"/>
          </w:tcPr>
          <w:p>
            <w:pPr>
              <w:rPr>
                <w:rFonts w:ascii="Arial"/>
                <w:sz w:val="21"/>
              </w:rPr>
            </w:pPr>
          </w:p>
        </w:tc>
        <w:tc>
          <w:tcPr>
            <w:tcW w:w="722" w:type="dxa"/>
            <w:vAlign w:val="top"/>
          </w:tcPr>
          <w:p>
            <w:pPr>
              <w:rPr>
                <w:rFonts w:ascii="Arial"/>
                <w:sz w:val="21"/>
              </w:rPr>
            </w:pPr>
          </w:p>
        </w:tc>
        <w:tc>
          <w:tcPr>
            <w:tcW w:w="1003" w:type="dxa"/>
            <w:vAlign w:val="top"/>
          </w:tcPr>
          <w:p>
            <w:pPr>
              <w:rPr>
                <w:rFonts w:ascii="Arial"/>
                <w:sz w:val="21"/>
              </w:rPr>
            </w:pPr>
          </w:p>
        </w:tc>
        <w:tc>
          <w:tcPr>
            <w:tcW w:w="673" w:type="dxa"/>
            <w:vAlign w:val="top"/>
          </w:tcPr>
          <w:p>
            <w:pPr>
              <w:rPr>
                <w:rFonts w:ascii="Arial"/>
                <w:sz w:val="21"/>
              </w:rPr>
            </w:pPr>
          </w:p>
        </w:tc>
        <w:tc>
          <w:tcPr>
            <w:tcW w:w="722" w:type="dxa"/>
            <w:vAlign w:val="top"/>
          </w:tcPr>
          <w:p>
            <w:pPr>
              <w:rPr>
                <w:rFonts w:ascii="Arial"/>
                <w:sz w:val="21"/>
              </w:rPr>
            </w:pPr>
          </w:p>
        </w:tc>
        <w:tc>
          <w:tcPr>
            <w:tcW w:w="712" w:type="dxa"/>
            <w:vAlign w:val="top"/>
          </w:tcPr>
          <w:p>
            <w:pPr>
              <w:rPr>
                <w:rFonts w:ascii="Arial"/>
                <w:sz w:val="21"/>
              </w:rPr>
            </w:pPr>
          </w:p>
        </w:tc>
        <w:tc>
          <w:tcPr>
            <w:tcW w:w="7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46" w:type="dxa"/>
            <w:vAlign w:val="top"/>
          </w:tcPr>
          <w:p>
            <w:pPr>
              <w:pStyle w:val="17"/>
              <w:spacing w:before="304" w:line="183" w:lineRule="auto"/>
              <w:ind w:left="222"/>
            </w:pPr>
            <w:r>
              <w:t>2</w:t>
            </w:r>
          </w:p>
        </w:tc>
        <w:tc>
          <w:tcPr>
            <w:tcW w:w="1696" w:type="dxa"/>
            <w:vAlign w:val="top"/>
          </w:tcPr>
          <w:p>
            <w:pPr>
              <w:rPr>
                <w:rFonts w:ascii="Arial"/>
                <w:sz w:val="21"/>
              </w:rPr>
            </w:pPr>
          </w:p>
        </w:tc>
        <w:tc>
          <w:tcPr>
            <w:tcW w:w="1144" w:type="dxa"/>
            <w:vAlign w:val="top"/>
          </w:tcPr>
          <w:p>
            <w:pPr>
              <w:rPr>
                <w:rFonts w:ascii="Arial"/>
                <w:sz w:val="21"/>
              </w:rPr>
            </w:pPr>
          </w:p>
        </w:tc>
        <w:tc>
          <w:tcPr>
            <w:tcW w:w="1003" w:type="dxa"/>
            <w:vAlign w:val="top"/>
          </w:tcPr>
          <w:p>
            <w:pPr>
              <w:rPr>
                <w:rFonts w:ascii="Arial"/>
                <w:sz w:val="21"/>
              </w:rPr>
            </w:pPr>
          </w:p>
        </w:tc>
        <w:tc>
          <w:tcPr>
            <w:tcW w:w="722" w:type="dxa"/>
            <w:vAlign w:val="top"/>
          </w:tcPr>
          <w:p>
            <w:pPr>
              <w:rPr>
                <w:rFonts w:ascii="Arial"/>
                <w:sz w:val="21"/>
              </w:rPr>
            </w:pPr>
          </w:p>
        </w:tc>
        <w:tc>
          <w:tcPr>
            <w:tcW w:w="1003" w:type="dxa"/>
            <w:vAlign w:val="top"/>
          </w:tcPr>
          <w:p>
            <w:pPr>
              <w:rPr>
                <w:rFonts w:ascii="Arial"/>
                <w:sz w:val="21"/>
              </w:rPr>
            </w:pPr>
          </w:p>
        </w:tc>
        <w:tc>
          <w:tcPr>
            <w:tcW w:w="673" w:type="dxa"/>
            <w:vAlign w:val="top"/>
          </w:tcPr>
          <w:p>
            <w:pPr>
              <w:rPr>
                <w:rFonts w:ascii="Arial"/>
                <w:sz w:val="21"/>
              </w:rPr>
            </w:pPr>
          </w:p>
        </w:tc>
        <w:tc>
          <w:tcPr>
            <w:tcW w:w="722" w:type="dxa"/>
            <w:vAlign w:val="top"/>
          </w:tcPr>
          <w:p>
            <w:pPr>
              <w:rPr>
                <w:rFonts w:ascii="Arial"/>
                <w:sz w:val="21"/>
              </w:rPr>
            </w:pPr>
          </w:p>
        </w:tc>
        <w:tc>
          <w:tcPr>
            <w:tcW w:w="712" w:type="dxa"/>
            <w:vAlign w:val="top"/>
          </w:tcPr>
          <w:p>
            <w:pPr>
              <w:rPr>
                <w:rFonts w:ascii="Arial"/>
                <w:sz w:val="21"/>
              </w:rPr>
            </w:pPr>
          </w:p>
        </w:tc>
        <w:tc>
          <w:tcPr>
            <w:tcW w:w="7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46" w:type="dxa"/>
            <w:vAlign w:val="top"/>
          </w:tcPr>
          <w:p>
            <w:pPr>
              <w:pStyle w:val="17"/>
              <w:spacing w:before="303" w:line="183" w:lineRule="auto"/>
              <w:ind w:left="224"/>
            </w:pPr>
            <w:r>
              <w:t>3</w:t>
            </w:r>
          </w:p>
        </w:tc>
        <w:tc>
          <w:tcPr>
            <w:tcW w:w="1696" w:type="dxa"/>
            <w:vAlign w:val="top"/>
          </w:tcPr>
          <w:p>
            <w:pPr>
              <w:rPr>
                <w:rFonts w:ascii="Arial"/>
                <w:sz w:val="21"/>
              </w:rPr>
            </w:pPr>
          </w:p>
        </w:tc>
        <w:tc>
          <w:tcPr>
            <w:tcW w:w="1144" w:type="dxa"/>
            <w:vAlign w:val="top"/>
          </w:tcPr>
          <w:p>
            <w:pPr>
              <w:rPr>
                <w:rFonts w:ascii="Arial"/>
                <w:sz w:val="21"/>
              </w:rPr>
            </w:pPr>
          </w:p>
        </w:tc>
        <w:tc>
          <w:tcPr>
            <w:tcW w:w="1003" w:type="dxa"/>
            <w:vAlign w:val="top"/>
          </w:tcPr>
          <w:p>
            <w:pPr>
              <w:rPr>
                <w:rFonts w:ascii="Arial"/>
                <w:sz w:val="21"/>
              </w:rPr>
            </w:pPr>
          </w:p>
        </w:tc>
        <w:tc>
          <w:tcPr>
            <w:tcW w:w="722" w:type="dxa"/>
            <w:vAlign w:val="top"/>
          </w:tcPr>
          <w:p>
            <w:pPr>
              <w:rPr>
                <w:rFonts w:ascii="Arial"/>
                <w:sz w:val="21"/>
              </w:rPr>
            </w:pPr>
          </w:p>
        </w:tc>
        <w:tc>
          <w:tcPr>
            <w:tcW w:w="1003" w:type="dxa"/>
            <w:vAlign w:val="top"/>
          </w:tcPr>
          <w:p>
            <w:pPr>
              <w:rPr>
                <w:rFonts w:ascii="Arial"/>
                <w:sz w:val="21"/>
              </w:rPr>
            </w:pPr>
          </w:p>
        </w:tc>
        <w:tc>
          <w:tcPr>
            <w:tcW w:w="673" w:type="dxa"/>
            <w:vAlign w:val="top"/>
          </w:tcPr>
          <w:p>
            <w:pPr>
              <w:rPr>
                <w:rFonts w:ascii="Arial"/>
                <w:sz w:val="21"/>
              </w:rPr>
            </w:pPr>
          </w:p>
        </w:tc>
        <w:tc>
          <w:tcPr>
            <w:tcW w:w="722" w:type="dxa"/>
            <w:vAlign w:val="top"/>
          </w:tcPr>
          <w:p>
            <w:pPr>
              <w:rPr>
                <w:rFonts w:ascii="Arial"/>
                <w:sz w:val="21"/>
              </w:rPr>
            </w:pPr>
          </w:p>
        </w:tc>
        <w:tc>
          <w:tcPr>
            <w:tcW w:w="712" w:type="dxa"/>
            <w:vAlign w:val="top"/>
          </w:tcPr>
          <w:p>
            <w:pPr>
              <w:rPr>
                <w:rFonts w:ascii="Arial"/>
                <w:sz w:val="21"/>
              </w:rPr>
            </w:pPr>
          </w:p>
        </w:tc>
        <w:tc>
          <w:tcPr>
            <w:tcW w:w="7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46" w:type="dxa"/>
            <w:vAlign w:val="top"/>
          </w:tcPr>
          <w:p>
            <w:pPr>
              <w:pStyle w:val="17"/>
              <w:spacing w:before="305" w:line="183" w:lineRule="auto"/>
              <w:ind w:left="218"/>
            </w:pPr>
            <w:r>
              <w:t>4</w:t>
            </w:r>
          </w:p>
        </w:tc>
        <w:tc>
          <w:tcPr>
            <w:tcW w:w="1696" w:type="dxa"/>
            <w:vAlign w:val="top"/>
          </w:tcPr>
          <w:p>
            <w:pPr>
              <w:rPr>
                <w:rFonts w:ascii="Arial"/>
                <w:sz w:val="21"/>
              </w:rPr>
            </w:pPr>
          </w:p>
        </w:tc>
        <w:tc>
          <w:tcPr>
            <w:tcW w:w="1144" w:type="dxa"/>
            <w:vAlign w:val="top"/>
          </w:tcPr>
          <w:p>
            <w:pPr>
              <w:rPr>
                <w:rFonts w:ascii="Arial"/>
                <w:sz w:val="21"/>
              </w:rPr>
            </w:pPr>
          </w:p>
        </w:tc>
        <w:tc>
          <w:tcPr>
            <w:tcW w:w="1003" w:type="dxa"/>
            <w:vAlign w:val="top"/>
          </w:tcPr>
          <w:p>
            <w:pPr>
              <w:rPr>
                <w:rFonts w:ascii="Arial"/>
                <w:sz w:val="21"/>
              </w:rPr>
            </w:pPr>
          </w:p>
        </w:tc>
        <w:tc>
          <w:tcPr>
            <w:tcW w:w="722" w:type="dxa"/>
            <w:vAlign w:val="top"/>
          </w:tcPr>
          <w:p>
            <w:pPr>
              <w:rPr>
                <w:rFonts w:ascii="Arial"/>
                <w:sz w:val="21"/>
              </w:rPr>
            </w:pPr>
          </w:p>
        </w:tc>
        <w:tc>
          <w:tcPr>
            <w:tcW w:w="1003" w:type="dxa"/>
            <w:vAlign w:val="top"/>
          </w:tcPr>
          <w:p>
            <w:pPr>
              <w:rPr>
                <w:rFonts w:ascii="Arial"/>
                <w:sz w:val="21"/>
              </w:rPr>
            </w:pPr>
          </w:p>
        </w:tc>
        <w:tc>
          <w:tcPr>
            <w:tcW w:w="673" w:type="dxa"/>
            <w:vAlign w:val="top"/>
          </w:tcPr>
          <w:p>
            <w:pPr>
              <w:rPr>
                <w:rFonts w:ascii="Arial"/>
                <w:sz w:val="21"/>
              </w:rPr>
            </w:pPr>
          </w:p>
        </w:tc>
        <w:tc>
          <w:tcPr>
            <w:tcW w:w="722" w:type="dxa"/>
            <w:vAlign w:val="top"/>
          </w:tcPr>
          <w:p>
            <w:pPr>
              <w:rPr>
                <w:rFonts w:ascii="Arial"/>
                <w:sz w:val="21"/>
              </w:rPr>
            </w:pPr>
          </w:p>
        </w:tc>
        <w:tc>
          <w:tcPr>
            <w:tcW w:w="712" w:type="dxa"/>
            <w:vAlign w:val="top"/>
          </w:tcPr>
          <w:p>
            <w:pPr>
              <w:rPr>
                <w:rFonts w:ascii="Arial"/>
                <w:sz w:val="21"/>
              </w:rPr>
            </w:pPr>
          </w:p>
        </w:tc>
        <w:tc>
          <w:tcPr>
            <w:tcW w:w="7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46" w:type="dxa"/>
            <w:vAlign w:val="top"/>
          </w:tcPr>
          <w:p>
            <w:pPr>
              <w:pStyle w:val="17"/>
              <w:spacing w:before="307" w:line="182" w:lineRule="auto"/>
              <w:ind w:left="224"/>
            </w:pPr>
            <w:r>
              <w:t>5</w:t>
            </w:r>
          </w:p>
        </w:tc>
        <w:tc>
          <w:tcPr>
            <w:tcW w:w="1696" w:type="dxa"/>
            <w:vAlign w:val="top"/>
          </w:tcPr>
          <w:p>
            <w:pPr>
              <w:rPr>
                <w:rFonts w:ascii="Arial"/>
                <w:sz w:val="21"/>
              </w:rPr>
            </w:pPr>
          </w:p>
        </w:tc>
        <w:tc>
          <w:tcPr>
            <w:tcW w:w="1144" w:type="dxa"/>
            <w:vAlign w:val="top"/>
          </w:tcPr>
          <w:p>
            <w:pPr>
              <w:rPr>
                <w:rFonts w:ascii="Arial"/>
                <w:sz w:val="21"/>
              </w:rPr>
            </w:pPr>
          </w:p>
        </w:tc>
        <w:tc>
          <w:tcPr>
            <w:tcW w:w="1003" w:type="dxa"/>
            <w:vAlign w:val="top"/>
          </w:tcPr>
          <w:p>
            <w:pPr>
              <w:rPr>
                <w:rFonts w:ascii="Arial"/>
                <w:sz w:val="21"/>
              </w:rPr>
            </w:pPr>
          </w:p>
        </w:tc>
        <w:tc>
          <w:tcPr>
            <w:tcW w:w="722" w:type="dxa"/>
            <w:vAlign w:val="top"/>
          </w:tcPr>
          <w:p>
            <w:pPr>
              <w:rPr>
                <w:rFonts w:ascii="Arial"/>
                <w:sz w:val="21"/>
              </w:rPr>
            </w:pPr>
          </w:p>
        </w:tc>
        <w:tc>
          <w:tcPr>
            <w:tcW w:w="1003" w:type="dxa"/>
            <w:vAlign w:val="top"/>
          </w:tcPr>
          <w:p>
            <w:pPr>
              <w:rPr>
                <w:rFonts w:ascii="Arial"/>
                <w:sz w:val="21"/>
              </w:rPr>
            </w:pPr>
          </w:p>
        </w:tc>
        <w:tc>
          <w:tcPr>
            <w:tcW w:w="673" w:type="dxa"/>
            <w:vAlign w:val="top"/>
          </w:tcPr>
          <w:p>
            <w:pPr>
              <w:rPr>
                <w:rFonts w:ascii="Arial"/>
                <w:sz w:val="21"/>
              </w:rPr>
            </w:pPr>
          </w:p>
        </w:tc>
        <w:tc>
          <w:tcPr>
            <w:tcW w:w="722" w:type="dxa"/>
            <w:vAlign w:val="top"/>
          </w:tcPr>
          <w:p>
            <w:pPr>
              <w:rPr>
                <w:rFonts w:ascii="Arial"/>
                <w:sz w:val="21"/>
              </w:rPr>
            </w:pPr>
          </w:p>
        </w:tc>
        <w:tc>
          <w:tcPr>
            <w:tcW w:w="712" w:type="dxa"/>
            <w:vAlign w:val="top"/>
          </w:tcPr>
          <w:p>
            <w:pPr>
              <w:rPr>
                <w:rFonts w:ascii="Arial"/>
                <w:sz w:val="21"/>
              </w:rPr>
            </w:pPr>
          </w:p>
        </w:tc>
        <w:tc>
          <w:tcPr>
            <w:tcW w:w="7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46" w:type="dxa"/>
            <w:vAlign w:val="top"/>
          </w:tcPr>
          <w:p>
            <w:pPr>
              <w:pStyle w:val="17"/>
              <w:spacing w:before="306" w:line="183" w:lineRule="auto"/>
              <w:ind w:left="221"/>
            </w:pPr>
            <w:r>
              <w:t>6</w:t>
            </w:r>
          </w:p>
        </w:tc>
        <w:tc>
          <w:tcPr>
            <w:tcW w:w="1696" w:type="dxa"/>
            <w:vAlign w:val="top"/>
          </w:tcPr>
          <w:p>
            <w:pPr>
              <w:rPr>
                <w:rFonts w:ascii="Arial"/>
                <w:sz w:val="21"/>
              </w:rPr>
            </w:pPr>
          </w:p>
        </w:tc>
        <w:tc>
          <w:tcPr>
            <w:tcW w:w="1144" w:type="dxa"/>
            <w:vAlign w:val="top"/>
          </w:tcPr>
          <w:p>
            <w:pPr>
              <w:rPr>
                <w:rFonts w:ascii="Arial"/>
                <w:sz w:val="21"/>
              </w:rPr>
            </w:pPr>
          </w:p>
        </w:tc>
        <w:tc>
          <w:tcPr>
            <w:tcW w:w="1003" w:type="dxa"/>
            <w:vAlign w:val="top"/>
          </w:tcPr>
          <w:p>
            <w:pPr>
              <w:rPr>
                <w:rFonts w:ascii="Arial"/>
                <w:sz w:val="21"/>
              </w:rPr>
            </w:pPr>
          </w:p>
        </w:tc>
        <w:tc>
          <w:tcPr>
            <w:tcW w:w="722" w:type="dxa"/>
            <w:vAlign w:val="top"/>
          </w:tcPr>
          <w:p>
            <w:pPr>
              <w:rPr>
                <w:rFonts w:ascii="Arial"/>
                <w:sz w:val="21"/>
              </w:rPr>
            </w:pPr>
          </w:p>
        </w:tc>
        <w:tc>
          <w:tcPr>
            <w:tcW w:w="1003" w:type="dxa"/>
            <w:vAlign w:val="top"/>
          </w:tcPr>
          <w:p>
            <w:pPr>
              <w:rPr>
                <w:rFonts w:ascii="Arial"/>
                <w:sz w:val="21"/>
              </w:rPr>
            </w:pPr>
          </w:p>
        </w:tc>
        <w:tc>
          <w:tcPr>
            <w:tcW w:w="673" w:type="dxa"/>
            <w:vAlign w:val="top"/>
          </w:tcPr>
          <w:p>
            <w:pPr>
              <w:rPr>
                <w:rFonts w:ascii="Arial"/>
                <w:sz w:val="21"/>
              </w:rPr>
            </w:pPr>
          </w:p>
        </w:tc>
        <w:tc>
          <w:tcPr>
            <w:tcW w:w="722" w:type="dxa"/>
            <w:vAlign w:val="top"/>
          </w:tcPr>
          <w:p>
            <w:pPr>
              <w:rPr>
                <w:rFonts w:ascii="Arial"/>
                <w:sz w:val="21"/>
              </w:rPr>
            </w:pPr>
          </w:p>
        </w:tc>
        <w:tc>
          <w:tcPr>
            <w:tcW w:w="712" w:type="dxa"/>
            <w:vAlign w:val="top"/>
          </w:tcPr>
          <w:p>
            <w:pPr>
              <w:rPr>
                <w:rFonts w:ascii="Arial"/>
                <w:sz w:val="21"/>
              </w:rPr>
            </w:pPr>
          </w:p>
        </w:tc>
        <w:tc>
          <w:tcPr>
            <w:tcW w:w="7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546" w:type="dxa"/>
            <w:vAlign w:val="top"/>
          </w:tcPr>
          <w:p>
            <w:pPr>
              <w:pStyle w:val="17"/>
              <w:spacing w:before="308" w:line="182" w:lineRule="auto"/>
              <w:ind w:left="225"/>
            </w:pPr>
            <w:r>
              <w:t>7</w:t>
            </w:r>
          </w:p>
        </w:tc>
        <w:tc>
          <w:tcPr>
            <w:tcW w:w="1696" w:type="dxa"/>
            <w:vAlign w:val="top"/>
          </w:tcPr>
          <w:p>
            <w:pPr>
              <w:rPr>
                <w:rFonts w:ascii="Arial"/>
                <w:sz w:val="21"/>
              </w:rPr>
            </w:pPr>
          </w:p>
        </w:tc>
        <w:tc>
          <w:tcPr>
            <w:tcW w:w="1144" w:type="dxa"/>
            <w:vAlign w:val="top"/>
          </w:tcPr>
          <w:p>
            <w:pPr>
              <w:rPr>
                <w:rFonts w:ascii="Arial"/>
                <w:sz w:val="21"/>
              </w:rPr>
            </w:pPr>
          </w:p>
        </w:tc>
        <w:tc>
          <w:tcPr>
            <w:tcW w:w="1003" w:type="dxa"/>
            <w:vAlign w:val="top"/>
          </w:tcPr>
          <w:p>
            <w:pPr>
              <w:rPr>
                <w:rFonts w:ascii="Arial"/>
                <w:sz w:val="21"/>
              </w:rPr>
            </w:pPr>
          </w:p>
        </w:tc>
        <w:tc>
          <w:tcPr>
            <w:tcW w:w="722" w:type="dxa"/>
            <w:vAlign w:val="top"/>
          </w:tcPr>
          <w:p>
            <w:pPr>
              <w:rPr>
                <w:rFonts w:ascii="Arial"/>
                <w:sz w:val="21"/>
              </w:rPr>
            </w:pPr>
          </w:p>
        </w:tc>
        <w:tc>
          <w:tcPr>
            <w:tcW w:w="1003" w:type="dxa"/>
            <w:vAlign w:val="top"/>
          </w:tcPr>
          <w:p>
            <w:pPr>
              <w:rPr>
                <w:rFonts w:ascii="Arial"/>
                <w:sz w:val="21"/>
              </w:rPr>
            </w:pPr>
          </w:p>
        </w:tc>
        <w:tc>
          <w:tcPr>
            <w:tcW w:w="673" w:type="dxa"/>
            <w:vAlign w:val="top"/>
          </w:tcPr>
          <w:p>
            <w:pPr>
              <w:rPr>
                <w:rFonts w:ascii="Arial"/>
                <w:sz w:val="21"/>
              </w:rPr>
            </w:pPr>
          </w:p>
        </w:tc>
        <w:tc>
          <w:tcPr>
            <w:tcW w:w="722" w:type="dxa"/>
            <w:vAlign w:val="top"/>
          </w:tcPr>
          <w:p>
            <w:pPr>
              <w:rPr>
                <w:rFonts w:ascii="Arial"/>
                <w:sz w:val="21"/>
              </w:rPr>
            </w:pPr>
          </w:p>
        </w:tc>
        <w:tc>
          <w:tcPr>
            <w:tcW w:w="712" w:type="dxa"/>
            <w:vAlign w:val="top"/>
          </w:tcPr>
          <w:p>
            <w:pPr>
              <w:rPr>
                <w:rFonts w:ascii="Arial"/>
                <w:sz w:val="21"/>
              </w:rPr>
            </w:pPr>
          </w:p>
        </w:tc>
        <w:tc>
          <w:tcPr>
            <w:tcW w:w="7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546" w:type="dxa"/>
            <w:vAlign w:val="top"/>
          </w:tcPr>
          <w:p>
            <w:pPr>
              <w:spacing w:line="367" w:lineRule="auto"/>
              <w:rPr>
                <w:rFonts w:ascii="Arial"/>
                <w:sz w:val="21"/>
              </w:rPr>
            </w:pPr>
          </w:p>
          <w:p>
            <w:pPr>
              <w:pStyle w:val="17"/>
              <w:spacing w:before="78" w:line="99" w:lineRule="exact"/>
              <w:ind w:left="106"/>
            </w:pPr>
            <w:r>
              <w:rPr>
                <w:position w:val="1"/>
              </w:rPr>
              <w:t>...</w:t>
            </w:r>
          </w:p>
        </w:tc>
        <w:tc>
          <w:tcPr>
            <w:tcW w:w="1696" w:type="dxa"/>
            <w:vAlign w:val="top"/>
          </w:tcPr>
          <w:p>
            <w:pPr>
              <w:rPr>
                <w:rFonts w:ascii="Arial"/>
                <w:sz w:val="21"/>
              </w:rPr>
            </w:pPr>
          </w:p>
        </w:tc>
        <w:tc>
          <w:tcPr>
            <w:tcW w:w="1144" w:type="dxa"/>
            <w:vAlign w:val="top"/>
          </w:tcPr>
          <w:p>
            <w:pPr>
              <w:rPr>
                <w:rFonts w:ascii="Arial"/>
                <w:sz w:val="21"/>
              </w:rPr>
            </w:pPr>
          </w:p>
        </w:tc>
        <w:tc>
          <w:tcPr>
            <w:tcW w:w="1003" w:type="dxa"/>
            <w:vAlign w:val="top"/>
          </w:tcPr>
          <w:p>
            <w:pPr>
              <w:rPr>
                <w:rFonts w:ascii="Arial"/>
                <w:sz w:val="21"/>
              </w:rPr>
            </w:pPr>
          </w:p>
        </w:tc>
        <w:tc>
          <w:tcPr>
            <w:tcW w:w="722" w:type="dxa"/>
            <w:vAlign w:val="top"/>
          </w:tcPr>
          <w:p>
            <w:pPr>
              <w:rPr>
                <w:rFonts w:ascii="Arial"/>
                <w:sz w:val="21"/>
              </w:rPr>
            </w:pPr>
          </w:p>
        </w:tc>
        <w:tc>
          <w:tcPr>
            <w:tcW w:w="1003" w:type="dxa"/>
            <w:vAlign w:val="top"/>
          </w:tcPr>
          <w:p>
            <w:pPr>
              <w:rPr>
                <w:rFonts w:ascii="Arial"/>
                <w:sz w:val="21"/>
              </w:rPr>
            </w:pPr>
          </w:p>
        </w:tc>
        <w:tc>
          <w:tcPr>
            <w:tcW w:w="673" w:type="dxa"/>
            <w:vAlign w:val="top"/>
          </w:tcPr>
          <w:p>
            <w:pPr>
              <w:rPr>
                <w:rFonts w:ascii="Arial"/>
                <w:sz w:val="21"/>
              </w:rPr>
            </w:pPr>
          </w:p>
        </w:tc>
        <w:tc>
          <w:tcPr>
            <w:tcW w:w="722" w:type="dxa"/>
            <w:vAlign w:val="top"/>
          </w:tcPr>
          <w:p>
            <w:pPr>
              <w:rPr>
                <w:rFonts w:ascii="Arial"/>
                <w:sz w:val="21"/>
              </w:rPr>
            </w:pPr>
          </w:p>
        </w:tc>
        <w:tc>
          <w:tcPr>
            <w:tcW w:w="712" w:type="dxa"/>
            <w:vAlign w:val="top"/>
          </w:tcPr>
          <w:p>
            <w:pPr>
              <w:rPr>
                <w:rFonts w:ascii="Arial"/>
                <w:sz w:val="21"/>
              </w:rPr>
            </w:pPr>
          </w:p>
        </w:tc>
        <w:tc>
          <w:tcPr>
            <w:tcW w:w="7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2242" w:type="dxa"/>
            <w:gridSpan w:val="2"/>
            <w:vAlign w:val="top"/>
          </w:tcPr>
          <w:p>
            <w:pPr>
              <w:pStyle w:val="17"/>
              <w:spacing w:before="276" w:line="220" w:lineRule="auto"/>
              <w:ind w:left="646"/>
            </w:pPr>
            <w:r>
              <w:rPr>
                <w:spacing w:val="-3"/>
              </w:rPr>
              <w:t>业绩合计</w:t>
            </w:r>
          </w:p>
        </w:tc>
        <w:tc>
          <w:tcPr>
            <w:tcW w:w="1144" w:type="dxa"/>
            <w:vAlign w:val="top"/>
          </w:tcPr>
          <w:p>
            <w:pPr>
              <w:rPr>
                <w:rFonts w:ascii="Arial"/>
                <w:sz w:val="21"/>
              </w:rPr>
            </w:pPr>
          </w:p>
        </w:tc>
        <w:tc>
          <w:tcPr>
            <w:tcW w:w="1003" w:type="dxa"/>
            <w:vAlign w:val="top"/>
          </w:tcPr>
          <w:p>
            <w:pPr>
              <w:rPr>
                <w:rFonts w:ascii="Arial"/>
                <w:sz w:val="21"/>
              </w:rPr>
            </w:pPr>
          </w:p>
        </w:tc>
        <w:tc>
          <w:tcPr>
            <w:tcW w:w="722" w:type="dxa"/>
            <w:vAlign w:val="top"/>
          </w:tcPr>
          <w:p>
            <w:pPr>
              <w:rPr>
                <w:rFonts w:ascii="Arial"/>
                <w:sz w:val="21"/>
              </w:rPr>
            </w:pPr>
          </w:p>
        </w:tc>
        <w:tc>
          <w:tcPr>
            <w:tcW w:w="1003" w:type="dxa"/>
            <w:vAlign w:val="top"/>
          </w:tcPr>
          <w:p>
            <w:pPr>
              <w:rPr>
                <w:rFonts w:ascii="Arial"/>
                <w:sz w:val="21"/>
              </w:rPr>
            </w:pPr>
          </w:p>
        </w:tc>
        <w:tc>
          <w:tcPr>
            <w:tcW w:w="673" w:type="dxa"/>
            <w:vAlign w:val="top"/>
          </w:tcPr>
          <w:p>
            <w:pPr>
              <w:rPr>
                <w:rFonts w:ascii="Arial"/>
                <w:sz w:val="21"/>
              </w:rPr>
            </w:pPr>
          </w:p>
        </w:tc>
        <w:tc>
          <w:tcPr>
            <w:tcW w:w="722" w:type="dxa"/>
            <w:vAlign w:val="top"/>
          </w:tcPr>
          <w:p>
            <w:pPr>
              <w:rPr>
                <w:rFonts w:ascii="Arial"/>
                <w:sz w:val="21"/>
              </w:rPr>
            </w:pPr>
          </w:p>
        </w:tc>
        <w:tc>
          <w:tcPr>
            <w:tcW w:w="712" w:type="dxa"/>
            <w:vAlign w:val="top"/>
          </w:tcPr>
          <w:p>
            <w:pPr>
              <w:rPr>
                <w:rFonts w:ascii="Arial"/>
                <w:sz w:val="21"/>
              </w:rPr>
            </w:pPr>
          </w:p>
        </w:tc>
        <w:tc>
          <w:tcPr>
            <w:tcW w:w="716" w:type="dxa"/>
            <w:vAlign w:val="top"/>
          </w:tcPr>
          <w:p>
            <w:pPr>
              <w:rPr>
                <w:rFonts w:ascii="Arial"/>
                <w:sz w:val="21"/>
              </w:rPr>
            </w:pPr>
          </w:p>
        </w:tc>
      </w:tr>
    </w:tbl>
    <w:p>
      <w:pPr>
        <w:spacing w:line="265" w:lineRule="auto"/>
        <w:rPr>
          <w:rFonts w:ascii="Arial"/>
          <w:sz w:val="21"/>
        </w:rPr>
      </w:pPr>
    </w:p>
    <w:p>
      <w:pPr>
        <w:spacing w:before="78" w:line="219" w:lineRule="auto"/>
        <w:ind w:left="28"/>
        <w:rPr>
          <w:rFonts w:ascii="宋体" w:hAnsi="宋体" w:eastAsia="宋体" w:cs="宋体"/>
          <w:sz w:val="24"/>
          <w:szCs w:val="24"/>
        </w:rPr>
      </w:pPr>
      <w:r>
        <w:rPr>
          <w:rFonts w:ascii="宋体" w:hAnsi="宋体" w:eastAsia="宋体" w:cs="宋体"/>
          <w:spacing w:val="-2"/>
          <w:sz w:val="24"/>
          <w:szCs w:val="24"/>
        </w:rPr>
        <w:t>注：业绩要求应符合投标人须知前附表</w:t>
      </w:r>
      <w:r>
        <w:rPr>
          <w:rFonts w:ascii="宋体" w:hAnsi="宋体" w:eastAsia="宋体" w:cs="宋体"/>
          <w:spacing w:val="-43"/>
          <w:sz w:val="24"/>
          <w:szCs w:val="24"/>
        </w:rPr>
        <w:t xml:space="preserve"> </w:t>
      </w:r>
      <w:r>
        <w:rPr>
          <w:rFonts w:ascii="宋体" w:hAnsi="宋体" w:eastAsia="宋体" w:cs="宋体"/>
          <w:spacing w:val="-2"/>
          <w:sz w:val="24"/>
          <w:szCs w:val="24"/>
        </w:rPr>
        <w:t>3.5.3、10.6</w:t>
      </w:r>
      <w:r>
        <w:rPr>
          <w:rFonts w:ascii="宋体" w:hAnsi="宋体" w:eastAsia="宋体" w:cs="宋体"/>
          <w:spacing w:val="-51"/>
          <w:sz w:val="24"/>
          <w:szCs w:val="24"/>
        </w:rPr>
        <w:t xml:space="preserve"> </w:t>
      </w:r>
      <w:r>
        <w:rPr>
          <w:rFonts w:ascii="宋体" w:hAnsi="宋体" w:eastAsia="宋体" w:cs="宋体"/>
          <w:spacing w:val="-2"/>
          <w:sz w:val="24"/>
          <w:szCs w:val="24"/>
        </w:rPr>
        <w:t>及</w:t>
      </w:r>
      <w:r>
        <w:rPr>
          <w:rFonts w:ascii="宋体" w:hAnsi="宋体" w:eastAsia="宋体" w:cs="宋体"/>
          <w:spacing w:val="-33"/>
          <w:sz w:val="24"/>
          <w:szCs w:val="24"/>
        </w:rPr>
        <w:t xml:space="preserve"> </w:t>
      </w:r>
      <w:r>
        <w:rPr>
          <w:rFonts w:ascii="宋体" w:hAnsi="宋体" w:eastAsia="宋体" w:cs="宋体"/>
          <w:spacing w:val="-2"/>
          <w:sz w:val="24"/>
          <w:szCs w:val="24"/>
        </w:rPr>
        <w:t>10.7</w:t>
      </w:r>
      <w:r>
        <w:rPr>
          <w:rFonts w:ascii="宋体" w:hAnsi="宋体" w:eastAsia="宋体" w:cs="宋体"/>
          <w:spacing w:val="-50"/>
          <w:sz w:val="24"/>
          <w:szCs w:val="24"/>
        </w:rPr>
        <w:t xml:space="preserve"> </w:t>
      </w:r>
      <w:r>
        <w:rPr>
          <w:rFonts w:ascii="宋体" w:hAnsi="宋体" w:eastAsia="宋体" w:cs="宋体"/>
          <w:spacing w:val="-2"/>
          <w:sz w:val="24"/>
          <w:szCs w:val="24"/>
        </w:rPr>
        <w:t>款的要求。</w:t>
      </w:r>
    </w:p>
    <w:p>
      <w:pPr>
        <w:spacing w:line="337" w:lineRule="auto"/>
        <w:rPr>
          <w:rFonts w:ascii="Arial"/>
          <w:sz w:val="21"/>
        </w:rPr>
      </w:pPr>
    </w:p>
    <w:p>
      <w:pPr>
        <w:spacing w:line="338" w:lineRule="auto"/>
        <w:rPr>
          <w:rFonts w:ascii="Arial"/>
          <w:sz w:val="21"/>
        </w:rPr>
      </w:pPr>
    </w:p>
    <w:p>
      <w:pPr>
        <w:pStyle w:val="4"/>
        <w:spacing w:before="114" w:line="228" w:lineRule="auto"/>
        <w:ind w:left="2523"/>
        <w:rPr>
          <w:spacing w:val="7"/>
          <w:sz w:val="35"/>
          <w:szCs w:val="35"/>
          <w14:textOutline w14:w="6537" w14:cap="sq" w14:cmpd="sng">
            <w14:solidFill>
              <w14:srgbClr w14:val="000000"/>
            </w14:solidFill>
            <w14:prstDash w14:val="solid"/>
            <w14:bevel/>
          </w14:textOutline>
        </w:rPr>
      </w:pPr>
    </w:p>
    <w:p>
      <w:pPr>
        <w:pStyle w:val="4"/>
        <w:spacing w:before="114" w:line="228" w:lineRule="auto"/>
        <w:ind w:left="2523"/>
        <w:rPr>
          <w:spacing w:val="7"/>
          <w:sz w:val="35"/>
          <w:szCs w:val="35"/>
          <w14:textOutline w14:w="6537" w14:cap="sq" w14:cmpd="sng">
            <w14:solidFill>
              <w14:srgbClr w14:val="000000"/>
            </w14:solidFill>
            <w14:prstDash w14:val="solid"/>
            <w14:bevel/>
          </w14:textOutline>
        </w:rPr>
      </w:pPr>
    </w:p>
    <w:p>
      <w:pPr>
        <w:pStyle w:val="4"/>
        <w:spacing w:before="114" w:line="228" w:lineRule="auto"/>
        <w:ind w:left="2523"/>
        <w:rPr>
          <w:spacing w:val="7"/>
          <w:sz w:val="35"/>
          <w:szCs w:val="35"/>
          <w14:textOutline w14:w="6537" w14:cap="sq" w14:cmpd="sng">
            <w14:solidFill>
              <w14:srgbClr w14:val="000000"/>
            </w14:solidFill>
            <w14:prstDash w14:val="solid"/>
            <w14:bevel/>
          </w14:textOutline>
        </w:rPr>
      </w:pPr>
    </w:p>
    <w:p>
      <w:pPr>
        <w:pStyle w:val="4"/>
        <w:spacing w:before="114" w:line="228" w:lineRule="auto"/>
        <w:ind w:left="2523"/>
        <w:rPr>
          <w:spacing w:val="7"/>
          <w:sz w:val="35"/>
          <w:szCs w:val="35"/>
          <w14:textOutline w14:w="6537" w14:cap="sq" w14:cmpd="sng">
            <w14:solidFill>
              <w14:srgbClr w14:val="000000"/>
            </w14:solidFill>
            <w14:prstDash w14:val="solid"/>
            <w14:bevel/>
          </w14:textOutline>
        </w:rPr>
      </w:pPr>
    </w:p>
    <w:p>
      <w:pPr>
        <w:pStyle w:val="4"/>
        <w:spacing w:before="114" w:line="228" w:lineRule="auto"/>
        <w:ind w:left="2523"/>
        <w:rPr>
          <w:spacing w:val="7"/>
          <w:sz w:val="35"/>
          <w:szCs w:val="35"/>
          <w14:textOutline w14:w="6537" w14:cap="sq" w14:cmpd="sng">
            <w14:solidFill>
              <w14:srgbClr w14:val="000000"/>
            </w14:solidFill>
            <w14:prstDash w14:val="solid"/>
            <w14:bevel/>
          </w14:textOutline>
        </w:rPr>
      </w:pPr>
    </w:p>
    <w:p>
      <w:pPr>
        <w:pStyle w:val="4"/>
        <w:spacing w:before="114" w:line="228" w:lineRule="auto"/>
        <w:ind w:left="2523"/>
        <w:rPr>
          <w:spacing w:val="7"/>
          <w:sz w:val="35"/>
          <w:szCs w:val="35"/>
          <w14:textOutline w14:w="6537" w14:cap="sq" w14:cmpd="sng">
            <w14:solidFill>
              <w14:srgbClr w14:val="000000"/>
            </w14:solidFill>
            <w14:prstDash w14:val="solid"/>
            <w14:bevel/>
          </w14:textOutline>
        </w:rPr>
      </w:pPr>
    </w:p>
    <w:p>
      <w:pPr>
        <w:pStyle w:val="4"/>
        <w:spacing w:before="114" w:line="228" w:lineRule="auto"/>
        <w:ind w:left="2523"/>
        <w:rPr>
          <w:spacing w:val="7"/>
          <w:sz w:val="35"/>
          <w:szCs w:val="35"/>
          <w14:textOutline w14:w="6537" w14:cap="sq" w14:cmpd="sng">
            <w14:solidFill>
              <w14:srgbClr w14:val="000000"/>
            </w14:solidFill>
            <w14:prstDash w14:val="solid"/>
            <w14:bevel/>
          </w14:textOutline>
        </w:rPr>
      </w:pPr>
    </w:p>
    <w:p>
      <w:pPr>
        <w:pStyle w:val="4"/>
        <w:spacing w:before="114" w:line="228" w:lineRule="auto"/>
        <w:ind w:left="2523"/>
        <w:rPr>
          <w:sz w:val="35"/>
          <w:szCs w:val="35"/>
        </w:rPr>
      </w:pPr>
      <w:r>
        <w:rPr>
          <w:spacing w:val="7"/>
          <w:sz w:val="35"/>
          <w:szCs w:val="35"/>
          <w14:textOutline w14:w="6537" w14:cap="sq" w14:cmpd="sng">
            <w14:solidFill>
              <w14:srgbClr w14:val="000000"/>
            </w14:solidFill>
            <w14:prstDash w14:val="solid"/>
            <w14:bevel/>
          </w14:textOutline>
        </w:rPr>
        <w:t>（五）投标人的信誉情况表</w:t>
      </w:r>
    </w:p>
    <w:p>
      <w:pPr>
        <w:spacing w:line="217" w:lineRule="exact"/>
      </w:pPr>
    </w:p>
    <w:tbl>
      <w:tblPr>
        <w:tblStyle w:val="16"/>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3"/>
        <w:gridCol w:w="31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6063" w:type="dxa"/>
            <w:vAlign w:val="top"/>
          </w:tcPr>
          <w:p>
            <w:pPr>
              <w:pStyle w:val="17"/>
              <w:spacing w:before="164" w:line="220" w:lineRule="auto"/>
              <w:ind w:left="2743"/>
            </w:pPr>
            <w:r>
              <w:rPr>
                <w:spacing w:val="-7"/>
                <w14:textOutline w14:w="4358" w14:cap="sq" w14:cmpd="sng">
                  <w14:solidFill>
                    <w14:srgbClr w14:val="000000"/>
                  </w14:solidFill>
                  <w14:prstDash w14:val="solid"/>
                  <w14:bevel/>
                </w14:textOutline>
              </w:rPr>
              <w:t>项</w:t>
            </w:r>
            <w:r>
              <w:rPr>
                <w:spacing w:val="57"/>
              </w:rPr>
              <w:t xml:space="preserve"> </w:t>
            </w:r>
            <w:r>
              <w:rPr>
                <w:spacing w:val="-7"/>
                <w14:textOutline w14:w="4358" w14:cap="sq" w14:cmpd="sng">
                  <w14:solidFill>
                    <w14:srgbClr w14:val="000000"/>
                  </w14:solidFill>
                  <w14:prstDash w14:val="solid"/>
                  <w14:bevel/>
                </w14:textOutline>
              </w:rPr>
              <w:t>目</w:t>
            </w:r>
          </w:p>
        </w:tc>
        <w:tc>
          <w:tcPr>
            <w:tcW w:w="3121" w:type="dxa"/>
            <w:vAlign w:val="top"/>
          </w:tcPr>
          <w:p>
            <w:pPr>
              <w:pStyle w:val="17"/>
              <w:spacing w:before="165" w:line="219" w:lineRule="auto"/>
              <w:ind w:left="730"/>
            </w:pPr>
            <w:r>
              <w:rPr>
                <w:spacing w:val="-2"/>
                <w14:textOutline w14:w="4358" w14:cap="sq" w14:cmpd="sng">
                  <w14:solidFill>
                    <w14:srgbClr w14:val="000000"/>
                  </w14:solidFill>
                  <w14:prstDash w14:val="solid"/>
                  <w14:bevel/>
                </w14:textOutline>
              </w:rPr>
              <w:t>投标人情况说明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8" w:hRule="atLeast"/>
        </w:trPr>
        <w:tc>
          <w:tcPr>
            <w:tcW w:w="6063" w:type="dxa"/>
            <w:vAlign w:val="top"/>
          </w:tcPr>
          <w:p>
            <w:pPr>
              <w:pStyle w:val="17"/>
              <w:spacing w:before="35" w:line="359" w:lineRule="auto"/>
              <w:ind w:left="164" w:right="53" w:firstLine="11"/>
            </w:pPr>
            <w:r>
              <w:rPr>
                <w:spacing w:val="-2"/>
              </w:rPr>
              <w:t>（1）在最新年度广东省公路工程从业单位（施工</w:t>
            </w:r>
            <w:r>
              <w:rPr>
                <w:spacing w:val="-3"/>
              </w:rPr>
              <w:t>单位）</w:t>
            </w:r>
            <w:r>
              <w:t xml:space="preserve"> 信用评价（含无最新年度而上一年度有信用评价）中，</w:t>
            </w:r>
            <w:r>
              <w:rPr>
                <w:spacing w:val="18"/>
              </w:rPr>
              <w:t xml:space="preserve"> </w:t>
            </w:r>
            <w:r>
              <w:rPr>
                <w:spacing w:val="-2"/>
              </w:rPr>
              <w:t>信用等级被评为</w:t>
            </w:r>
            <w:r>
              <w:rPr>
                <w:spacing w:val="-45"/>
              </w:rPr>
              <w:t xml:space="preserve"> </w:t>
            </w:r>
            <w:r>
              <w:rPr>
                <w:spacing w:val="-2"/>
              </w:rPr>
              <w:t>D</w:t>
            </w:r>
            <w:r>
              <w:rPr>
                <w:spacing w:val="-46"/>
              </w:rPr>
              <w:t xml:space="preserve"> </w:t>
            </w:r>
            <w:r>
              <w:rPr>
                <w:spacing w:val="-2"/>
              </w:rPr>
              <w:t xml:space="preserve">级；初次进入广东省的投标人，在最 </w:t>
            </w:r>
            <w:r>
              <w:rPr>
                <w:spacing w:val="-1"/>
              </w:rPr>
              <w:t>新年度的全国公路从业单位（施工单位）信用评价结果</w:t>
            </w:r>
          </w:p>
          <w:p>
            <w:pPr>
              <w:pStyle w:val="17"/>
              <w:spacing w:line="219" w:lineRule="auto"/>
              <w:ind w:left="186"/>
            </w:pPr>
            <w:r>
              <w:rPr>
                <w:spacing w:val="-8"/>
              </w:rPr>
              <w:t>中被评为</w:t>
            </w:r>
            <w:r>
              <w:rPr>
                <w:spacing w:val="-51"/>
              </w:rPr>
              <w:t xml:space="preserve"> </w:t>
            </w:r>
            <w:r>
              <w:rPr>
                <w:spacing w:val="-8"/>
              </w:rPr>
              <w:t>D</w:t>
            </w:r>
            <w:r>
              <w:rPr>
                <w:spacing w:val="-46"/>
              </w:rPr>
              <w:t xml:space="preserve"> </w:t>
            </w:r>
            <w:r>
              <w:rPr>
                <w:spacing w:val="-8"/>
              </w:rPr>
              <w:t>级；</w:t>
            </w: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063" w:type="dxa"/>
            <w:vAlign w:val="top"/>
          </w:tcPr>
          <w:p>
            <w:pPr>
              <w:pStyle w:val="17"/>
              <w:spacing w:before="37" w:line="465" w:lineRule="exact"/>
              <w:ind w:left="175"/>
            </w:pPr>
            <w:r>
              <w:rPr>
                <w:spacing w:val="-2"/>
                <w:position w:val="17"/>
              </w:rPr>
              <w:t>（2）被省级及以上交通运输主管部门取消招标项目所在</w:t>
            </w:r>
          </w:p>
          <w:p>
            <w:pPr>
              <w:pStyle w:val="17"/>
              <w:spacing w:line="219" w:lineRule="auto"/>
              <w:ind w:left="164"/>
            </w:pPr>
            <w:r>
              <w:rPr>
                <w:spacing w:val="-1"/>
              </w:rPr>
              <w:t>地的投标资格且处于有效期内；</w:t>
            </w: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6063" w:type="dxa"/>
            <w:vAlign w:val="top"/>
          </w:tcPr>
          <w:p>
            <w:pPr>
              <w:pStyle w:val="17"/>
              <w:spacing w:before="228" w:line="219" w:lineRule="auto"/>
              <w:ind w:left="55"/>
            </w:pPr>
            <w:r>
              <w:rPr>
                <w:spacing w:val="-1"/>
              </w:rPr>
              <w:t>（3）被责令停业，暂扣或吊销执照，或吊销资质证书；</w:t>
            </w: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063" w:type="dxa"/>
            <w:vAlign w:val="top"/>
          </w:tcPr>
          <w:p>
            <w:pPr>
              <w:pStyle w:val="17"/>
              <w:spacing w:before="37" w:line="466" w:lineRule="exact"/>
              <w:ind w:left="175"/>
            </w:pPr>
            <w:r>
              <w:rPr>
                <w:spacing w:val="-2"/>
                <w:position w:val="17"/>
              </w:rPr>
              <w:t>（4）进入清算程序，或被宣告破产，或其他丧失履约能</w:t>
            </w:r>
          </w:p>
          <w:p>
            <w:pPr>
              <w:pStyle w:val="17"/>
              <w:spacing w:line="219" w:lineRule="auto"/>
              <w:ind w:left="168"/>
            </w:pPr>
            <w:r>
              <w:rPr>
                <w:spacing w:val="-3"/>
              </w:rPr>
              <w:t>力的情形；</w:t>
            </w: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6063" w:type="dxa"/>
            <w:vAlign w:val="top"/>
          </w:tcPr>
          <w:p>
            <w:pPr>
              <w:pStyle w:val="17"/>
              <w:spacing w:before="38" w:line="465" w:lineRule="exact"/>
              <w:ind w:left="175"/>
            </w:pPr>
            <w:r>
              <w:rPr>
                <w:spacing w:val="-1"/>
                <w:position w:val="17"/>
              </w:rPr>
              <w:t>（5）在国家企业信用信息公示系统中被列入严重违法</w:t>
            </w:r>
          </w:p>
          <w:p>
            <w:pPr>
              <w:pStyle w:val="17"/>
              <w:spacing w:line="219" w:lineRule="auto"/>
              <w:ind w:left="169"/>
            </w:pPr>
            <w:r>
              <w:rPr>
                <w:spacing w:val="-3"/>
              </w:rPr>
              <w:t>失信企业名单；</w:t>
            </w: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6063" w:type="dxa"/>
            <w:vAlign w:val="top"/>
          </w:tcPr>
          <w:p>
            <w:pPr>
              <w:pStyle w:val="17"/>
              <w:spacing w:before="231" w:line="219" w:lineRule="auto"/>
              <w:ind w:left="175"/>
            </w:pPr>
            <w:r>
              <w:rPr>
                <w:spacing w:val="-2"/>
              </w:rPr>
              <w:t>（6）在</w:t>
            </w:r>
            <w:r>
              <w:rPr>
                <w:rFonts w:ascii="Times New Roman" w:hAnsi="Times New Roman" w:eastAsia="Times New Roman" w:cs="Times New Roman"/>
                <w:spacing w:val="-2"/>
              </w:rPr>
              <w:t>“</w:t>
            </w:r>
            <w:r>
              <w:rPr>
                <w:spacing w:val="-2"/>
              </w:rPr>
              <w:t>信用中国</w:t>
            </w:r>
            <w:r>
              <w:rPr>
                <w:rFonts w:ascii="Times New Roman" w:hAnsi="Times New Roman" w:eastAsia="Times New Roman" w:cs="Times New Roman"/>
                <w:spacing w:val="-2"/>
              </w:rPr>
              <w:t>”</w:t>
            </w:r>
            <w:r>
              <w:rPr>
                <w:rFonts w:ascii="Times New Roman" w:hAnsi="Times New Roman" w:eastAsia="Times New Roman" w:cs="Times New Roman"/>
                <w:spacing w:val="-32"/>
              </w:rPr>
              <w:t xml:space="preserve"> </w:t>
            </w:r>
            <w:r>
              <w:rPr>
                <w:spacing w:val="-2"/>
              </w:rPr>
              <w:t>网站中被列入失信被执行人名单；</w:t>
            </w: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6063" w:type="dxa"/>
            <w:vAlign w:val="top"/>
          </w:tcPr>
          <w:p>
            <w:pPr>
              <w:pStyle w:val="17"/>
              <w:spacing w:before="38" w:line="359" w:lineRule="auto"/>
              <w:ind w:left="164" w:right="32" w:firstLine="11"/>
              <w:jc w:val="both"/>
            </w:pPr>
            <w:r>
              <w:rPr>
                <w:spacing w:val="-2"/>
              </w:rPr>
              <w:t>（7）投标人及其法定代表人、拟委任的项目经理</w:t>
            </w:r>
            <w:r>
              <w:rPr>
                <w:spacing w:val="-1"/>
              </w:rPr>
              <w:t>、项目总工在近三年内有行贿犯罪行为的（以投标人投标函中的承诺为</w:t>
            </w:r>
          </w:p>
          <w:p>
            <w:pPr>
              <w:pStyle w:val="17"/>
              <w:spacing w:before="1" w:line="220" w:lineRule="auto"/>
              <w:ind w:left="166"/>
            </w:pPr>
            <w:r>
              <w:rPr>
                <w:spacing w:val="-12"/>
              </w:rPr>
              <w:t>准</w:t>
            </w:r>
            <w:r>
              <w:t>）；</w:t>
            </w: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6063" w:type="dxa"/>
            <w:vAlign w:val="top"/>
          </w:tcPr>
          <w:p>
            <w:pPr>
              <w:pStyle w:val="17"/>
              <w:spacing w:before="231" w:line="219" w:lineRule="auto"/>
              <w:ind w:left="55"/>
            </w:pPr>
            <w:r>
              <w:rPr>
                <w:spacing w:val="-1"/>
              </w:rPr>
              <w:t>（8）法律法规或投标人须知前附表规定的其他情形。</w:t>
            </w:r>
          </w:p>
        </w:tc>
        <w:tc>
          <w:tcPr>
            <w:tcW w:w="31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6063" w:type="dxa"/>
            <w:vAlign w:val="top"/>
          </w:tcPr>
          <w:p>
            <w:pPr>
              <w:pStyle w:val="17"/>
              <w:spacing w:before="109" w:line="378" w:lineRule="exact"/>
              <w:ind w:left="179"/>
            </w:pPr>
            <w:r>
              <w:rPr>
                <w:spacing w:val="-13"/>
                <w:position w:val="3"/>
              </w:rPr>
              <w:t>……</w:t>
            </w:r>
          </w:p>
        </w:tc>
        <w:tc>
          <w:tcPr>
            <w:tcW w:w="3121" w:type="dxa"/>
            <w:vAlign w:val="top"/>
          </w:tcPr>
          <w:p>
            <w:pPr>
              <w:rPr>
                <w:rFonts w:ascii="Arial"/>
                <w:sz w:val="21"/>
              </w:rPr>
            </w:pPr>
          </w:p>
        </w:tc>
      </w:tr>
    </w:tbl>
    <w:p>
      <w:pPr>
        <w:spacing w:before="35" w:line="229" w:lineRule="auto"/>
        <w:ind w:left="138" w:right="291" w:hanging="17"/>
        <w:rPr>
          <w:rFonts w:ascii="宋体" w:hAnsi="宋体" w:eastAsia="宋体" w:cs="宋体"/>
          <w:sz w:val="24"/>
          <w:szCs w:val="24"/>
        </w:rPr>
      </w:pPr>
      <w:r>
        <w:rPr>
          <w:rFonts w:ascii="宋体" w:hAnsi="宋体" w:eastAsia="宋体" w:cs="宋体"/>
          <w:spacing w:val="-4"/>
          <w:sz w:val="24"/>
          <w:szCs w:val="24"/>
        </w:rPr>
        <w:t>注：1.投标人应按照招标文件第二章“投标人须知</w:t>
      </w:r>
      <w:r>
        <w:rPr>
          <w:rFonts w:ascii="宋体" w:hAnsi="宋体" w:eastAsia="宋体" w:cs="宋体"/>
          <w:spacing w:val="-78"/>
          <w:sz w:val="24"/>
          <w:szCs w:val="24"/>
        </w:rPr>
        <w:t xml:space="preserve"> </w:t>
      </w:r>
      <w:r>
        <w:rPr>
          <w:rFonts w:ascii="宋体" w:hAnsi="宋体" w:eastAsia="宋体" w:cs="宋体"/>
          <w:spacing w:val="-4"/>
          <w:sz w:val="24"/>
          <w:szCs w:val="24"/>
        </w:rPr>
        <w:t>”前附表附录</w:t>
      </w:r>
      <w:r>
        <w:rPr>
          <w:rFonts w:ascii="宋体" w:hAnsi="宋体" w:eastAsia="宋体" w:cs="宋体"/>
          <w:spacing w:val="-52"/>
          <w:sz w:val="24"/>
          <w:szCs w:val="24"/>
        </w:rPr>
        <w:t xml:space="preserve"> </w:t>
      </w:r>
      <w:r>
        <w:rPr>
          <w:rFonts w:ascii="宋体" w:hAnsi="宋体" w:eastAsia="宋体" w:cs="宋体"/>
          <w:spacing w:val="-4"/>
          <w:sz w:val="24"/>
          <w:szCs w:val="24"/>
        </w:rPr>
        <w:t>4</w:t>
      </w:r>
      <w:r>
        <w:rPr>
          <w:rFonts w:ascii="宋体" w:hAnsi="宋体" w:eastAsia="宋体" w:cs="宋体"/>
          <w:spacing w:val="-50"/>
          <w:sz w:val="24"/>
          <w:szCs w:val="24"/>
        </w:rPr>
        <w:t xml:space="preserve"> </w:t>
      </w:r>
      <w:r>
        <w:rPr>
          <w:rFonts w:ascii="宋体" w:hAnsi="宋体" w:eastAsia="宋体" w:cs="宋体"/>
          <w:spacing w:val="-4"/>
          <w:sz w:val="24"/>
          <w:szCs w:val="24"/>
        </w:rPr>
        <w:t>和“投标人须知</w:t>
      </w:r>
      <w:r>
        <w:rPr>
          <w:rFonts w:ascii="宋体" w:hAnsi="宋体" w:eastAsia="宋体" w:cs="宋体"/>
          <w:spacing w:val="-88"/>
          <w:sz w:val="24"/>
          <w:szCs w:val="24"/>
        </w:rPr>
        <w:t xml:space="preserve"> </w:t>
      </w:r>
      <w:r>
        <w:rPr>
          <w:rFonts w:ascii="宋体" w:hAnsi="宋体" w:eastAsia="宋体" w:cs="宋体"/>
          <w:spacing w:val="-4"/>
          <w:sz w:val="24"/>
          <w:szCs w:val="24"/>
        </w:rPr>
        <w:t>”第</w:t>
      </w:r>
      <w:r>
        <w:rPr>
          <w:rFonts w:ascii="宋体" w:hAnsi="宋体" w:eastAsia="宋体" w:cs="宋体"/>
          <w:sz w:val="24"/>
          <w:szCs w:val="24"/>
        </w:rPr>
        <w:t xml:space="preserve"> </w:t>
      </w:r>
      <w:r>
        <w:rPr>
          <w:rFonts w:ascii="宋体" w:hAnsi="宋体" w:eastAsia="宋体" w:cs="宋体"/>
          <w:spacing w:val="-2"/>
          <w:sz w:val="24"/>
          <w:szCs w:val="24"/>
        </w:rPr>
        <w:t>1.4.4</w:t>
      </w:r>
      <w:r>
        <w:rPr>
          <w:rFonts w:ascii="宋体" w:hAnsi="宋体" w:eastAsia="宋体" w:cs="宋体"/>
          <w:spacing w:val="-39"/>
          <w:sz w:val="24"/>
          <w:szCs w:val="24"/>
        </w:rPr>
        <w:t xml:space="preserve"> </w:t>
      </w:r>
      <w:r>
        <w:rPr>
          <w:rFonts w:ascii="宋体" w:hAnsi="宋体" w:eastAsia="宋体" w:cs="宋体"/>
          <w:spacing w:val="-2"/>
          <w:sz w:val="24"/>
          <w:szCs w:val="24"/>
        </w:rPr>
        <w:t>条款号中的各项规定，逐条说明其信誉情况。</w:t>
      </w:r>
    </w:p>
    <w:p>
      <w:pPr>
        <w:spacing w:before="28" w:line="228" w:lineRule="auto"/>
        <w:ind w:left="121" w:right="291" w:firstLine="482"/>
        <w:rPr>
          <w:rFonts w:ascii="宋体" w:hAnsi="宋体" w:eastAsia="宋体" w:cs="宋体"/>
          <w:sz w:val="24"/>
          <w:szCs w:val="24"/>
        </w:rPr>
      </w:pPr>
      <w:r>
        <w:rPr>
          <w:rFonts w:ascii="宋体" w:hAnsi="宋体" w:eastAsia="宋体" w:cs="宋体"/>
          <w:spacing w:val="-3"/>
          <w:sz w:val="24"/>
          <w:szCs w:val="24"/>
        </w:rPr>
        <w:t>2.投标人应根据招标文件第二章“投标人须知</w:t>
      </w:r>
      <w:r>
        <w:rPr>
          <w:rFonts w:ascii="宋体" w:hAnsi="宋体" w:eastAsia="宋体" w:cs="宋体"/>
          <w:spacing w:val="-88"/>
          <w:sz w:val="24"/>
          <w:szCs w:val="24"/>
        </w:rPr>
        <w:t xml:space="preserve"> </w:t>
      </w:r>
      <w:r>
        <w:rPr>
          <w:rFonts w:ascii="宋体" w:hAnsi="宋体" w:eastAsia="宋体" w:cs="宋体"/>
          <w:spacing w:val="-3"/>
          <w:sz w:val="24"/>
          <w:szCs w:val="24"/>
        </w:rPr>
        <w:t>”第</w:t>
      </w:r>
      <w:r>
        <w:rPr>
          <w:rFonts w:ascii="宋体" w:hAnsi="宋体" w:eastAsia="宋体" w:cs="宋体"/>
          <w:spacing w:val="-46"/>
          <w:sz w:val="24"/>
          <w:szCs w:val="24"/>
        </w:rPr>
        <w:t xml:space="preserve"> </w:t>
      </w:r>
      <w:r>
        <w:rPr>
          <w:rFonts w:ascii="宋体" w:hAnsi="宋体" w:eastAsia="宋体" w:cs="宋体"/>
          <w:spacing w:val="-3"/>
          <w:sz w:val="24"/>
          <w:szCs w:val="24"/>
        </w:rPr>
        <w:t>3.5.4</w:t>
      </w:r>
      <w:r>
        <w:rPr>
          <w:rFonts w:ascii="宋体" w:hAnsi="宋体" w:eastAsia="宋体" w:cs="宋体"/>
          <w:spacing w:val="-47"/>
          <w:sz w:val="24"/>
          <w:szCs w:val="24"/>
        </w:rPr>
        <w:t xml:space="preserve"> </w:t>
      </w:r>
      <w:r>
        <w:rPr>
          <w:rFonts w:ascii="宋体" w:hAnsi="宋体" w:eastAsia="宋体" w:cs="宋体"/>
          <w:spacing w:val="-3"/>
          <w:sz w:val="24"/>
          <w:szCs w:val="24"/>
        </w:rPr>
        <w:t>项的</w:t>
      </w:r>
      <w:r>
        <w:rPr>
          <w:rFonts w:ascii="宋体" w:hAnsi="宋体" w:eastAsia="宋体" w:cs="宋体"/>
          <w:spacing w:val="-4"/>
          <w:sz w:val="24"/>
          <w:szCs w:val="24"/>
        </w:rPr>
        <w:t>要求在本表后附相关</w:t>
      </w:r>
      <w:r>
        <w:rPr>
          <w:rFonts w:ascii="宋体" w:hAnsi="宋体" w:eastAsia="宋体" w:cs="宋体"/>
          <w:sz w:val="24"/>
          <w:szCs w:val="24"/>
        </w:rPr>
        <w:t xml:space="preserve"> </w:t>
      </w:r>
      <w:r>
        <w:rPr>
          <w:rFonts w:ascii="宋体" w:hAnsi="宋体" w:eastAsia="宋体" w:cs="宋体"/>
          <w:spacing w:val="-2"/>
          <w:sz w:val="24"/>
          <w:szCs w:val="24"/>
        </w:rPr>
        <w:t>证明材料。</w:t>
      </w:r>
    </w:p>
    <w:p>
      <w:pPr>
        <w:spacing w:before="114" w:line="220" w:lineRule="auto"/>
        <w:ind w:left="545"/>
        <w:rPr>
          <w:rFonts w:ascii="宋体" w:hAnsi="宋体" w:eastAsia="宋体" w:cs="宋体"/>
          <w:sz w:val="24"/>
          <w:szCs w:val="24"/>
        </w:rPr>
      </w:pPr>
      <w:r>
        <w:rPr>
          <w:rFonts w:ascii="宋体" w:hAnsi="宋体" w:eastAsia="宋体" w:cs="宋体"/>
          <w:spacing w:val="-1"/>
          <w:sz w:val="24"/>
          <w:szCs w:val="24"/>
        </w:rPr>
        <w:t>3.以联合体形式投标的，联合体各成员应分别填写。</w:t>
      </w:r>
    </w:p>
    <w:p>
      <w:pPr>
        <w:spacing w:line="338" w:lineRule="auto"/>
        <w:rPr>
          <w:rFonts w:ascii="Arial"/>
          <w:sz w:val="21"/>
        </w:rPr>
      </w:pPr>
    </w:p>
    <w:p>
      <w:pPr>
        <w:spacing w:line="338" w:lineRule="auto"/>
        <w:rPr>
          <w:rFonts w:ascii="Arial"/>
          <w:sz w:val="21"/>
        </w:rPr>
      </w:pPr>
    </w:p>
    <w:p>
      <w:pPr>
        <w:pStyle w:val="4"/>
        <w:spacing w:before="113" w:line="698" w:lineRule="exact"/>
        <w:ind w:left="1275"/>
        <w:rPr>
          <w:spacing w:val="9"/>
          <w:position w:val="25"/>
          <w:sz w:val="35"/>
          <w:szCs w:val="35"/>
          <w14:textOutline w14:w="6537" w14:cap="sq" w14:cmpd="sng">
            <w14:solidFill>
              <w14:srgbClr w14:val="000000"/>
            </w14:solidFill>
            <w14:prstDash w14:val="solid"/>
            <w14:bevel/>
          </w14:textOutline>
        </w:rPr>
      </w:pPr>
    </w:p>
    <w:p>
      <w:pPr>
        <w:pStyle w:val="4"/>
        <w:spacing w:before="113" w:line="698" w:lineRule="exact"/>
        <w:ind w:left="1275"/>
        <w:rPr>
          <w:sz w:val="35"/>
          <w:szCs w:val="35"/>
        </w:rPr>
      </w:pPr>
      <w:r>
        <w:rPr>
          <w:spacing w:val="9"/>
          <w:position w:val="25"/>
          <w:sz w:val="35"/>
          <w:szCs w:val="35"/>
          <w14:textOutline w14:w="6537" w14:cap="sq" w14:cmpd="sng">
            <w14:solidFill>
              <w14:srgbClr w14:val="000000"/>
            </w14:solidFill>
            <w14:prstDash w14:val="solid"/>
            <w14:bevel/>
          </w14:textOutline>
        </w:rPr>
        <w:t>（六）拟委任的项目经理和项目总工情况表</w:t>
      </w:r>
    </w:p>
    <w:p>
      <w:pPr>
        <w:pStyle w:val="4"/>
        <w:spacing w:line="227" w:lineRule="auto"/>
        <w:ind w:left="1479"/>
        <w:rPr>
          <w:sz w:val="31"/>
          <w:szCs w:val="31"/>
        </w:rPr>
      </w:pPr>
      <w:r>
        <w:rPr>
          <w:spacing w:val="8"/>
          <w:sz w:val="31"/>
          <w:szCs w:val="31"/>
          <w14:textOutline w14:w="5793" w14:cap="sq" w14:cmpd="sng">
            <w14:solidFill>
              <w14:srgbClr w14:val="000000"/>
            </w14:solidFill>
            <w14:prstDash w14:val="solid"/>
            <w14:bevel/>
          </w14:textOutline>
        </w:rPr>
        <w:t>（六）-1拟委任的项目经理和项目总工汇总表</w:t>
      </w:r>
    </w:p>
    <w:p>
      <w:pPr>
        <w:spacing w:line="191" w:lineRule="exact"/>
      </w:pPr>
    </w:p>
    <w:tbl>
      <w:tblPr>
        <w:tblStyle w:val="16"/>
        <w:tblW w:w="91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5"/>
        <w:gridCol w:w="781"/>
        <w:gridCol w:w="1554"/>
        <w:gridCol w:w="1002"/>
        <w:gridCol w:w="1433"/>
        <w:gridCol w:w="172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3" w:hRule="atLeast"/>
        </w:trPr>
        <w:tc>
          <w:tcPr>
            <w:tcW w:w="1525" w:type="dxa"/>
            <w:vAlign w:val="top"/>
          </w:tcPr>
          <w:p>
            <w:pPr>
              <w:spacing w:line="307" w:lineRule="auto"/>
              <w:rPr>
                <w:rFonts w:ascii="Arial"/>
                <w:sz w:val="21"/>
              </w:rPr>
            </w:pPr>
          </w:p>
          <w:p>
            <w:pPr>
              <w:spacing w:line="308" w:lineRule="auto"/>
              <w:rPr>
                <w:rFonts w:ascii="Arial"/>
                <w:sz w:val="21"/>
              </w:rPr>
            </w:pPr>
          </w:p>
          <w:p>
            <w:pPr>
              <w:pStyle w:val="17"/>
              <w:spacing w:before="78" w:line="219" w:lineRule="auto"/>
              <w:ind w:left="528"/>
            </w:pPr>
            <w:r>
              <w:rPr>
                <w:spacing w:val="-5"/>
              </w:rPr>
              <w:t>姓名</w:t>
            </w:r>
          </w:p>
        </w:tc>
        <w:tc>
          <w:tcPr>
            <w:tcW w:w="781" w:type="dxa"/>
            <w:vAlign w:val="top"/>
          </w:tcPr>
          <w:p>
            <w:pPr>
              <w:spacing w:line="307" w:lineRule="auto"/>
              <w:rPr>
                <w:rFonts w:ascii="Arial"/>
                <w:sz w:val="21"/>
              </w:rPr>
            </w:pPr>
          </w:p>
          <w:p>
            <w:pPr>
              <w:spacing w:line="308" w:lineRule="auto"/>
              <w:rPr>
                <w:rFonts w:ascii="Arial"/>
                <w:sz w:val="21"/>
              </w:rPr>
            </w:pPr>
          </w:p>
          <w:p>
            <w:pPr>
              <w:pStyle w:val="17"/>
              <w:spacing w:before="78" w:line="219" w:lineRule="auto"/>
              <w:ind w:left="156"/>
            </w:pPr>
            <w:r>
              <w:rPr>
                <w:spacing w:val="-6"/>
              </w:rPr>
              <w:t>年龄</w:t>
            </w:r>
          </w:p>
        </w:tc>
        <w:tc>
          <w:tcPr>
            <w:tcW w:w="1554" w:type="dxa"/>
            <w:vAlign w:val="top"/>
          </w:tcPr>
          <w:p>
            <w:pPr>
              <w:spacing w:line="304" w:lineRule="auto"/>
              <w:rPr>
                <w:rFonts w:ascii="Arial"/>
                <w:sz w:val="21"/>
              </w:rPr>
            </w:pPr>
          </w:p>
          <w:p>
            <w:pPr>
              <w:pStyle w:val="17"/>
              <w:spacing w:before="78" w:line="219" w:lineRule="auto"/>
              <w:ind w:left="181"/>
            </w:pPr>
            <w:r>
              <w:rPr>
                <w:spacing w:val="-2"/>
              </w:rPr>
              <w:t>拟在本项目</w:t>
            </w:r>
          </w:p>
          <w:p>
            <w:pPr>
              <w:pStyle w:val="17"/>
              <w:spacing w:before="28" w:line="219" w:lineRule="auto"/>
              <w:ind w:left="203"/>
            </w:pPr>
            <w:r>
              <w:rPr>
                <w:spacing w:val="-7"/>
              </w:rPr>
              <w:t>中担任的职</w:t>
            </w:r>
          </w:p>
          <w:p>
            <w:pPr>
              <w:pStyle w:val="17"/>
              <w:spacing w:before="24" w:line="219" w:lineRule="auto"/>
              <w:ind w:left="663"/>
            </w:pPr>
            <w:r>
              <w:t>务</w:t>
            </w:r>
          </w:p>
        </w:tc>
        <w:tc>
          <w:tcPr>
            <w:tcW w:w="1002" w:type="dxa"/>
            <w:vAlign w:val="top"/>
          </w:tcPr>
          <w:p>
            <w:pPr>
              <w:spacing w:line="460" w:lineRule="auto"/>
              <w:rPr>
                <w:rFonts w:ascii="Arial"/>
                <w:sz w:val="21"/>
              </w:rPr>
            </w:pPr>
          </w:p>
          <w:p>
            <w:pPr>
              <w:pStyle w:val="17"/>
              <w:spacing w:before="78"/>
              <w:ind w:left="267"/>
            </w:pPr>
            <w:r>
              <w:rPr>
                <w:spacing w:val="-6"/>
              </w:rPr>
              <w:t>技术</w:t>
            </w:r>
          </w:p>
          <w:p>
            <w:pPr>
              <w:pStyle w:val="17"/>
              <w:spacing w:line="221" w:lineRule="auto"/>
              <w:ind w:left="267"/>
            </w:pPr>
            <w:r>
              <w:rPr>
                <w:spacing w:val="-6"/>
              </w:rPr>
              <w:t>职称</w:t>
            </w:r>
          </w:p>
        </w:tc>
        <w:tc>
          <w:tcPr>
            <w:tcW w:w="1433" w:type="dxa"/>
            <w:vAlign w:val="top"/>
          </w:tcPr>
          <w:p>
            <w:pPr>
              <w:spacing w:line="461" w:lineRule="auto"/>
              <w:rPr>
                <w:rFonts w:ascii="Arial"/>
                <w:sz w:val="21"/>
              </w:rPr>
            </w:pPr>
          </w:p>
          <w:p>
            <w:pPr>
              <w:pStyle w:val="17"/>
              <w:spacing w:before="78" w:line="230" w:lineRule="auto"/>
              <w:ind w:left="242" w:right="113" w:hanging="116"/>
            </w:pPr>
            <w:r>
              <w:rPr>
                <w:spacing w:val="-3"/>
              </w:rPr>
              <w:t>建造师类别</w:t>
            </w:r>
            <w:r>
              <w:rPr>
                <w:spacing w:val="1"/>
              </w:rPr>
              <w:t xml:space="preserve"> </w:t>
            </w:r>
            <w:r>
              <w:rPr>
                <w:spacing w:val="-3"/>
              </w:rPr>
              <w:t>及注册号</w:t>
            </w:r>
          </w:p>
        </w:tc>
        <w:tc>
          <w:tcPr>
            <w:tcW w:w="1720" w:type="dxa"/>
            <w:vAlign w:val="top"/>
          </w:tcPr>
          <w:p>
            <w:pPr>
              <w:spacing w:line="305" w:lineRule="auto"/>
              <w:rPr>
                <w:rFonts w:ascii="Arial"/>
                <w:sz w:val="21"/>
              </w:rPr>
            </w:pPr>
          </w:p>
          <w:p>
            <w:pPr>
              <w:pStyle w:val="17"/>
              <w:spacing w:before="78" w:line="220" w:lineRule="auto"/>
              <w:ind w:left="156"/>
            </w:pPr>
            <w:r>
              <w:rPr>
                <w:spacing w:val="-4"/>
              </w:rPr>
              <w:t>累计对应岗位</w:t>
            </w:r>
          </w:p>
          <w:p>
            <w:pPr>
              <w:pStyle w:val="17"/>
              <w:spacing w:before="26" w:line="219" w:lineRule="auto"/>
              <w:ind w:left="287"/>
            </w:pPr>
            <w:r>
              <w:rPr>
                <w:spacing w:val="-6"/>
              </w:rPr>
              <w:t>的工作年限</w:t>
            </w:r>
          </w:p>
          <w:p>
            <w:pPr>
              <w:pStyle w:val="17"/>
              <w:spacing w:before="24" w:line="219" w:lineRule="auto"/>
              <w:ind w:left="519"/>
            </w:pPr>
            <w:r>
              <w:rPr>
                <w:spacing w:val="-7"/>
              </w:rPr>
              <w:t>（月）</w:t>
            </w:r>
          </w:p>
        </w:tc>
        <w:tc>
          <w:tcPr>
            <w:tcW w:w="1126" w:type="dxa"/>
            <w:vAlign w:val="top"/>
          </w:tcPr>
          <w:p>
            <w:pPr>
              <w:spacing w:line="307" w:lineRule="auto"/>
              <w:rPr>
                <w:rFonts w:ascii="Arial"/>
                <w:sz w:val="21"/>
              </w:rPr>
            </w:pPr>
          </w:p>
          <w:p>
            <w:pPr>
              <w:spacing w:line="307" w:lineRule="auto"/>
              <w:rPr>
                <w:rFonts w:ascii="Arial"/>
                <w:sz w:val="21"/>
              </w:rPr>
            </w:pPr>
          </w:p>
          <w:p>
            <w:pPr>
              <w:pStyle w:val="17"/>
              <w:spacing w:before="78" w:line="221" w:lineRule="auto"/>
              <w:ind w:left="333"/>
            </w:pPr>
            <w:r>
              <w:rPr>
                <w:spacing w:val="-7"/>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525" w:type="dxa"/>
            <w:vAlign w:val="top"/>
          </w:tcPr>
          <w:p>
            <w:pPr>
              <w:rPr>
                <w:rFonts w:ascii="Arial"/>
                <w:sz w:val="21"/>
              </w:rPr>
            </w:pPr>
          </w:p>
        </w:tc>
        <w:tc>
          <w:tcPr>
            <w:tcW w:w="781" w:type="dxa"/>
            <w:vAlign w:val="top"/>
          </w:tcPr>
          <w:p>
            <w:pPr>
              <w:rPr>
                <w:rFonts w:ascii="Arial"/>
                <w:sz w:val="21"/>
              </w:rPr>
            </w:pPr>
          </w:p>
        </w:tc>
        <w:tc>
          <w:tcPr>
            <w:tcW w:w="1554" w:type="dxa"/>
            <w:vAlign w:val="top"/>
          </w:tcPr>
          <w:p>
            <w:pPr>
              <w:rPr>
                <w:rFonts w:ascii="Arial"/>
                <w:sz w:val="21"/>
              </w:rPr>
            </w:pPr>
          </w:p>
        </w:tc>
        <w:tc>
          <w:tcPr>
            <w:tcW w:w="1002" w:type="dxa"/>
            <w:vAlign w:val="top"/>
          </w:tcPr>
          <w:p>
            <w:pPr>
              <w:rPr>
                <w:rFonts w:ascii="Arial"/>
                <w:sz w:val="21"/>
              </w:rPr>
            </w:pPr>
          </w:p>
        </w:tc>
        <w:tc>
          <w:tcPr>
            <w:tcW w:w="1433" w:type="dxa"/>
            <w:vAlign w:val="top"/>
          </w:tcPr>
          <w:p>
            <w:pPr>
              <w:rPr>
                <w:rFonts w:ascii="Arial"/>
                <w:sz w:val="21"/>
              </w:rPr>
            </w:pPr>
          </w:p>
        </w:tc>
        <w:tc>
          <w:tcPr>
            <w:tcW w:w="1720" w:type="dxa"/>
            <w:vAlign w:val="top"/>
          </w:tcPr>
          <w:p>
            <w:pPr>
              <w:rPr>
                <w:rFonts w:ascii="Arial"/>
                <w:sz w:val="21"/>
              </w:rPr>
            </w:pPr>
          </w:p>
        </w:tc>
        <w:tc>
          <w:tcPr>
            <w:tcW w:w="11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525" w:type="dxa"/>
            <w:vAlign w:val="top"/>
          </w:tcPr>
          <w:p>
            <w:pPr>
              <w:rPr>
                <w:rFonts w:ascii="Arial"/>
                <w:sz w:val="21"/>
              </w:rPr>
            </w:pPr>
          </w:p>
        </w:tc>
        <w:tc>
          <w:tcPr>
            <w:tcW w:w="781" w:type="dxa"/>
            <w:vAlign w:val="top"/>
          </w:tcPr>
          <w:p>
            <w:pPr>
              <w:rPr>
                <w:rFonts w:ascii="Arial"/>
                <w:sz w:val="21"/>
              </w:rPr>
            </w:pPr>
          </w:p>
        </w:tc>
        <w:tc>
          <w:tcPr>
            <w:tcW w:w="1554" w:type="dxa"/>
            <w:vAlign w:val="top"/>
          </w:tcPr>
          <w:p>
            <w:pPr>
              <w:rPr>
                <w:rFonts w:ascii="Arial"/>
                <w:sz w:val="21"/>
              </w:rPr>
            </w:pPr>
          </w:p>
        </w:tc>
        <w:tc>
          <w:tcPr>
            <w:tcW w:w="1002" w:type="dxa"/>
            <w:vAlign w:val="top"/>
          </w:tcPr>
          <w:p>
            <w:pPr>
              <w:rPr>
                <w:rFonts w:ascii="Arial"/>
                <w:sz w:val="21"/>
              </w:rPr>
            </w:pPr>
          </w:p>
        </w:tc>
        <w:tc>
          <w:tcPr>
            <w:tcW w:w="1433" w:type="dxa"/>
            <w:vAlign w:val="top"/>
          </w:tcPr>
          <w:p>
            <w:pPr>
              <w:rPr>
                <w:rFonts w:ascii="Arial"/>
                <w:sz w:val="21"/>
              </w:rPr>
            </w:pPr>
          </w:p>
        </w:tc>
        <w:tc>
          <w:tcPr>
            <w:tcW w:w="1720" w:type="dxa"/>
            <w:vAlign w:val="top"/>
          </w:tcPr>
          <w:p>
            <w:pPr>
              <w:rPr>
                <w:rFonts w:ascii="Arial"/>
                <w:sz w:val="21"/>
              </w:rPr>
            </w:pPr>
          </w:p>
        </w:tc>
        <w:tc>
          <w:tcPr>
            <w:tcW w:w="11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525" w:type="dxa"/>
            <w:vAlign w:val="top"/>
          </w:tcPr>
          <w:p>
            <w:pPr>
              <w:rPr>
                <w:rFonts w:ascii="Arial"/>
                <w:sz w:val="21"/>
              </w:rPr>
            </w:pPr>
          </w:p>
        </w:tc>
        <w:tc>
          <w:tcPr>
            <w:tcW w:w="781" w:type="dxa"/>
            <w:vAlign w:val="top"/>
          </w:tcPr>
          <w:p>
            <w:pPr>
              <w:rPr>
                <w:rFonts w:ascii="Arial"/>
                <w:sz w:val="21"/>
              </w:rPr>
            </w:pPr>
          </w:p>
        </w:tc>
        <w:tc>
          <w:tcPr>
            <w:tcW w:w="1554" w:type="dxa"/>
            <w:vAlign w:val="top"/>
          </w:tcPr>
          <w:p>
            <w:pPr>
              <w:rPr>
                <w:rFonts w:ascii="Arial"/>
                <w:sz w:val="21"/>
              </w:rPr>
            </w:pPr>
          </w:p>
        </w:tc>
        <w:tc>
          <w:tcPr>
            <w:tcW w:w="1002" w:type="dxa"/>
            <w:vAlign w:val="top"/>
          </w:tcPr>
          <w:p>
            <w:pPr>
              <w:rPr>
                <w:rFonts w:ascii="Arial"/>
                <w:sz w:val="21"/>
              </w:rPr>
            </w:pPr>
          </w:p>
        </w:tc>
        <w:tc>
          <w:tcPr>
            <w:tcW w:w="1433" w:type="dxa"/>
            <w:vAlign w:val="top"/>
          </w:tcPr>
          <w:p>
            <w:pPr>
              <w:rPr>
                <w:rFonts w:ascii="Arial"/>
                <w:sz w:val="21"/>
              </w:rPr>
            </w:pPr>
          </w:p>
        </w:tc>
        <w:tc>
          <w:tcPr>
            <w:tcW w:w="1720" w:type="dxa"/>
            <w:vAlign w:val="top"/>
          </w:tcPr>
          <w:p>
            <w:pPr>
              <w:rPr>
                <w:rFonts w:ascii="Arial"/>
                <w:sz w:val="21"/>
              </w:rPr>
            </w:pPr>
          </w:p>
        </w:tc>
        <w:tc>
          <w:tcPr>
            <w:tcW w:w="112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1525" w:type="dxa"/>
            <w:vAlign w:val="top"/>
          </w:tcPr>
          <w:p>
            <w:pPr>
              <w:rPr>
                <w:rFonts w:ascii="Arial"/>
                <w:sz w:val="21"/>
              </w:rPr>
            </w:pPr>
          </w:p>
        </w:tc>
        <w:tc>
          <w:tcPr>
            <w:tcW w:w="781" w:type="dxa"/>
            <w:vAlign w:val="top"/>
          </w:tcPr>
          <w:p>
            <w:pPr>
              <w:rPr>
                <w:rFonts w:ascii="Arial"/>
                <w:sz w:val="21"/>
              </w:rPr>
            </w:pPr>
          </w:p>
        </w:tc>
        <w:tc>
          <w:tcPr>
            <w:tcW w:w="1554" w:type="dxa"/>
            <w:vAlign w:val="top"/>
          </w:tcPr>
          <w:p>
            <w:pPr>
              <w:rPr>
                <w:rFonts w:ascii="Arial"/>
                <w:sz w:val="21"/>
              </w:rPr>
            </w:pPr>
          </w:p>
        </w:tc>
        <w:tc>
          <w:tcPr>
            <w:tcW w:w="1002" w:type="dxa"/>
            <w:vAlign w:val="top"/>
          </w:tcPr>
          <w:p>
            <w:pPr>
              <w:rPr>
                <w:rFonts w:ascii="Arial"/>
                <w:sz w:val="21"/>
              </w:rPr>
            </w:pPr>
          </w:p>
        </w:tc>
        <w:tc>
          <w:tcPr>
            <w:tcW w:w="1433" w:type="dxa"/>
            <w:vAlign w:val="top"/>
          </w:tcPr>
          <w:p>
            <w:pPr>
              <w:rPr>
                <w:rFonts w:ascii="Arial"/>
                <w:sz w:val="21"/>
              </w:rPr>
            </w:pPr>
          </w:p>
        </w:tc>
        <w:tc>
          <w:tcPr>
            <w:tcW w:w="1720" w:type="dxa"/>
            <w:vAlign w:val="top"/>
          </w:tcPr>
          <w:p>
            <w:pPr>
              <w:rPr>
                <w:rFonts w:ascii="Arial"/>
                <w:sz w:val="21"/>
              </w:rPr>
            </w:pPr>
          </w:p>
        </w:tc>
        <w:tc>
          <w:tcPr>
            <w:tcW w:w="1126" w:type="dxa"/>
            <w:vAlign w:val="top"/>
          </w:tcPr>
          <w:p>
            <w:pPr>
              <w:rPr>
                <w:rFonts w:ascii="Arial"/>
                <w:sz w:val="21"/>
              </w:rPr>
            </w:pPr>
          </w:p>
        </w:tc>
      </w:tr>
    </w:tbl>
    <w:p>
      <w:pPr>
        <w:rPr>
          <w:rFonts w:ascii="Arial"/>
          <w:sz w:val="21"/>
        </w:rPr>
      </w:pPr>
    </w:p>
    <w:p>
      <w:pPr>
        <w:spacing w:line="416" w:lineRule="auto"/>
        <w:rPr>
          <w:rFonts w:ascii="Arial"/>
          <w:sz w:val="21"/>
        </w:rPr>
      </w:pPr>
    </w:p>
    <w:p>
      <w:pPr>
        <w:pStyle w:val="4"/>
        <w:spacing w:before="101" w:line="227" w:lineRule="auto"/>
        <w:ind w:left="1392"/>
        <w:rPr>
          <w:spacing w:val="8"/>
          <w:sz w:val="31"/>
          <w:szCs w:val="31"/>
          <w14:textOutline w14:w="5793" w14:cap="sq" w14:cmpd="sng">
            <w14:solidFill>
              <w14:srgbClr w14:val="000000"/>
            </w14:solidFill>
            <w14:prstDash w14:val="solid"/>
            <w14:bevel/>
          </w14:textOutline>
        </w:rPr>
      </w:pPr>
    </w:p>
    <w:p>
      <w:pPr>
        <w:pStyle w:val="4"/>
        <w:spacing w:before="101" w:line="227" w:lineRule="auto"/>
        <w:ind w:left="1392"/>
        <w:rPr>
          <w:spacing w:val="8"/>
          <w:sz w:val="31"/>
          <w:szCs w:val="31"/>
          <w14:textOutline w14:w="5793" w14:cap="sq" w14:cmpd="sng">
            <w14:solidFill>
              <w14:srgbClr w14:val="000000"/>
            </w14:solidFill>
            <w14:prstDash w14:val="solid"/>
            <w14:bevel/>
          </w14:textOutline>
        </w:rPr>
      </w:pPr>
    </w:p>
    <w:p>
      <w:pPr>
        <w:pStyle w:val="4"/>
        <w:spacing w:before="101" w:line="227" w:lineRule="auto"/>
        <w:ind w:left="1392"/>
        <w:rPr>
          <w:spacing w:val="8"/>
          <w:sz w:val="31"/>
          <w:szCs w:val="31"/>
          <w14:textOutline w14:w="5793" w14:cap="sq" w14:cmpd="sng">
            <w14:solidFill>
              <w14:srgbClr w14:val="000000"/>
            </w14:solidFill>
            <w14:prstDash w14:val="solid"/>
            <w14:bevel/>
          </w14:textOutline>
        </w:rPr>
      </w:pPr>
    </w:p>
    <w:p>
      <w:pPr>
        <w:pStyle w:val="4"/>
        <w:spacing w:before="101" w:line="227" w:lineRule="auto"/>
        <w:ind w:left="1392"/>
        <w:rPr>
          <w:spacing w:val="8"/>
          <w:sz w:val="31"/>
          <w:szCs w:val="31"/>
          <w14:textOutline w14:w="5793" w14:cap="sq" w14:cmpd="sng">
            <w14:solidFill>
              <w14:srgbClr w14:val="000000"/>
            </w14:solidFill>
            <w14:prstDash w14:val="solid"/>
            <w14:bevel/>
          </w14:textOutline>
        </w:rPr>
      </w:pPr>
    </w:p>
    <w:p>
      <w:pPr>
        <w:pStyle w:val="4"/>
        <w:spacing w:before="101" w:line="227" w:lineRule="auto"/>
        <w:ind w:left="1392"/>
        <w:rPr>
          <w:spacing w:val="8"/>
          <w:sz w:val="31"/>
          <w:szCs w:val="31"/>
          <w14:textOutline w14:w="5793" w14:cap="sq" w14:cmpd="sng">
            <w14:solidFill>
              <w14:srgbClr w14:val="000000"/>
            </w14:solidFill>
            <w14:prstDash w14:val="solid"/>
            <w14:bevel/>
          </w14:textOutline>
        </w:rPr>
      </w:pPr>
    </w:p>
    <w:p>
      <w:pPr>
        <w:pStyle w:val="4"/>
        <w:spacing w:before="101" w:line="227" w:lineRule="auto"/>
        <w:ind w:left="1392"/>
        <w:rPr>
          <w:spacing w:val="8"/>
          <w:sz w:val="31"/>
          <w:szCs w:val="31"/>
          <w14:textOutline w14:w="5793" w14:cap="sq" w14:cmpd="sng">
            <w14:solidFill>
              <w14:srgbClr w14:val="000000"/>
            </w14:solidFill>
            <w14:prstDash w14:val="solid"/>
            <w14:bevel/>
          </w14:textOutline>
        </w:rPr>
      </w:pPr>
    </w:p>
    <w:p>
      <w:pPr>
        <w:pStyle w:val="4"/>
        <w:spacing w:before="101" w:line="227" w:lineRule="auto"/>
        <w:ind w:left="1392"/>
        <w:rPr>
          <w:spacing w:val="8"/>
          <w:sz w:val="31"/>
          <w:szCs w:val="31"/>
          <w14:textOutline w14:w="5793" w14:cap="sq" w14:cmpd="sng">
            <w14:solidFill>
              <w14:srgbClr w14:val="000000"/>
            </w14:solidFill>
            <w14:prstDash w14:val="solid"/>
            <w14:bevel/>
          </w14:textOutline>
        </w:rPr>
      </w:pPr>
    </w:p>
    <w:p>
      <w:pPr>
        <w:pStyle w:val="4"/>
        <w:spacing w:before="101" w:line="227" w:lineRule="auto"/>
        <w:ind w:left="1392"/>
        <w:rPr>
          <w:spacing w:val="8"/>
          <w:sz w:val="31"/>
          <w:szCs w:val="31"/>
          <w14:textOutline w14:w="5793" w14:cap="sq" w14:cmpd="sng">
            <w14:solidFill>
              <w14:srgbClr w14:val="000000"/>
            </w14:solidFill>
            <w14:prstDash w14:val="solid"/>
            <w14:bevel/>
          </w14:textOutline>
        </w:rPr>
      </w:pPr>
    </w:p>
    <w:p>
      <w:pPr>
        <w:pStyle w:val="4"/>
        <w:spacing w:before="101" w:line="227" w:lineRule="auto"/>
        <w:ind w:left="1392"/>
        <w:rPr>
          <w:spacing w:val="8"/>
          <w:sz w:val="31"/>
          <w:szCs w:val="31"/>
          <w14:textOutline w14:w="5793" w14:cap="sq" w14:cmpd="sng">
            <w14:solidFill>
              <w14:srgbClr w14:val="000000"/>
            </w14:solidFill>
            <w14:prstDash w14:val="solid"/>
            <w14:bevel/>
          </w14:textOutline>
        </w:rPr>
      </w:pPr>
    </w:p>
    <w:p>
      <w:pPr>
        <w:pStyle w:val="4"/>
        <w:spacing w:before="101" w:line="227" w:lineRule="auto"/>
        <w:ind w:left="1392"/>
        <w:rPr>
          <w:spacing w:val="8"/>
          <w:sz w:val="31"/>
          <w:szCs w:val="31"/>
          <w14:textOutline w14:w="5793" w14:cap="sq" w14:cmpd="sng">
            <w14:solidFill>
              <w14:srgbClr w14:val="000000"/>
            </w14:solidFill>
            <w14:prstDash w14:val="solid"/>
            <w14:bevel/>
          </w14:textOutline>
        </w:rPr>
      </w:pPr>
    </w:p>
    <w:p>
      <w:pPr>
        <w:pStyle w:val="4"/>
        <w:spacing w:before="101" w:line="227" w:lineRule="auto"/>
        <w:ind w:left="1392"/>
        <w:rPr>
          <w:spacing w:val="8"/>
          <w:sz w:val="31"/>
          <w:szCs w:val="31"/>
          <w14:textOutline w14:w="5793" w14:cap="sq" w14:cmpd="sng">
            <w14:solidFill>
              <w14:srgbClr w14:val="000000"/>
            </w14:solidFill>
            <w14:prstDash w14:val="solid"/>
            <w14:bevel/>
          </w14:textOutline>
        </w:rPr>
      </w:pPr>
    </w:p>
    <w:p>
      <w:pPr>
        <w:pStyle w:val="4"/>
        <w:spacing w:before="101" w:line="227" w:lineRule="auto"/>
        <w:ind w:left="1392"/>
        <w:rPr>
          <w:spacing w:val="8"/>
          <w:sz w:val="31"/>
          <w:szCs w:val="31"/>
          <w14:textOutline w14:w="5793" w14:cap="sq" w14:cmpd="sng">
            <w14:solidFill>
              <w14:srgbClr w14:val="000000"/>
            </w14:solidFill>
            <w14:prstDash w14:val="solid"/>
            <w14:bevel/>
          </w14:textOutline>
        </w:rPr>
      </w:pPr>
    </w:p>
    <w:p>
      <w:pPr>
        <w:pStyle w:val="4"/>
        <w:spacing w:before="101" w:line="227" w:lineRule="auto"/>
        <w:ind w:left="1392"/>
        <w:rPr>
          <w:spacing w:val="8"/>
          <w:sz w:val="31"/>
          <w:szCs w:val="31"/>
          <w14:textOutline w14:w="5793" w14:cap="sq" w14:cmpd="sng">
            <w14:solidFill>
              <w14:srgbClr w14:val="000000"/>
            </w14:solidFill>
            <w14:prstDash w14:val="solid"/>
            <w14:bevel/>
          </w14:textOutline>
        </w:rPr>
      </w:pPr>
    </w:p>
    <w:p>
      <w:pPr>
        <w:pStyle w:val="4"/>
        <w:spacing w:before="101" w:line="227" w:lineRule="auto"/>
        <w:ind w:left="1392"/>
        <w:rPr>
          <w:spacing w:val="8"/>
          <w:sz w:val="31"/>
          <w:szCs w:val="31"/>
          <w14:textOutline w14:w="5793" w14:cap="sq" w14:cmpd="sng">
            <w14:solidFill>
              <w14:srgbClr w14:val="000000"/>
            </w14:solidFill>
            <w14:prstDash w14:val="solid"/>
            <w14:bevel/>
          </w14:textOutline>
        </w:rPr>
      </w:pPr>
    </w:p>
    <w:p>
      <w:pPr>
        <w:pStyle w:val="4"/>
        <w:spacing w:before="101" w:line="227" w:lineRule="auto"/>
        <w:ind w:left="1392"/>
        <w:rPr>
          <w:sz w:val="31"/>
          <w:szCs w:val="31"/>
        </w:rPr>
      </w:pPr>
      <w:r>
        <w:rPr>
          <w:spacing w:val="8"/>
          <w:sz w:val="31"/>
          <w:szCs w:val="31"/>
          <w14:textOutline w14:w="5793" w14:cap="sq" w14:cmpd="sng">
            <w14:solidFill>
              <w14:srgbClr w14:val="000000"/>
            </w14:solidFill>
            <w14:prstDash w14:val="solid"/>
            <w14:bevel/>
          </w14:textOutline>
        </w:rPr>
        <w:t>（六）-2拟委任的项目经理和项目总工资历表</w:t>
      </w:r>
    </w:p>
    <w:p>
      <w:pPr>
        <w:spacing w:line="191" w:lineRule="exact"/>
      </w:pPr>
    </w:p>
    <w:tbl>
      <w:tblPr>
        <w:tblStyle w:val="16"/>
        <w:tblW w:w="91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2"/>
        <w:gridCol w:w="1185"/>
        <w:gridCol w:w="301"/>
        <w:gridCol w:w="1047"/>
        <w:gridCol w:w="1366"/>
        <w:gridCol w:w="283"/>
        <w:gridCol w:w="1575"/>
        <w:gridCol w:w="331"/>
        <w:gridCol w:w="17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262" w:type="dxa"/>
            <w:vAlign w:val="top"/>
          </w:tcPr>
          <w:p>
            <w:pPr>
              <w:pStyle w:val="17"/>
              <w:spacing w:before="231" w:line="219" w:lineRule="auto"/>
              <w:ind w:left="379"/>
            </w:pPr>
            <w:r>
              <w:rPr>
                <w:spacing w:val="-5"/>
              </w:rPr>
              <w:t>姓名</w:t>
            </w:r>
          </w:p>
        </w:tc>
        <w:tc>
          <w:tcPr>
            <w:tcW w:w="1486" w:type="dxa"/>
            <w:gridSpan w:val="2"/>
            <w:vAlign w:val="top"/>
          </w:tcPr>
          <w:p>
            <w:pPr>
              <w:rPr>
                <w:rFonts w:ascii="Arial"/>
                <w:sz w:val="21"/>
              </w:rPr>
            </w:pPr>
          </w:p>
        </w:tc>
        <w:tc>
          <w:tcPr>
            <w:tcW w:w="1047" w:type="dxa"/>
            <w:vAlign w:val="top"/>
          </w:tcPr>
          <w:p>
            <w:pPr>
              <w:pStyle w:val="17"/>
              <w:spacing w:before="231" w:line="219" w:lineRule="auto"/>
              <w:ind w:left="195"/>
            </w:pPr>
            <w:r>
              <w:rPr>
                <w:spacing w:val="-6"/>
              </w:rPr>
              <w:t>年</w:t>
            </w:r>
            <w:r>
              <w:rPr>
                <w:spacing w:val="9"/>
              </w:rPr>
              <w:t xml:space="preserve"> </w:t>
            </w:r>
            <w:r>
              <w:rPr>
                <w:spacing w:val="-6"/>
              </w:rPr>
              <w:t>龄</w:t>
            </w:r>
          </w:p>
        </w:tc>
        <w:tc>
          <w:tcPr>
            <w:tcW w:w="1366" w:type="dxa"/>
            <w:vAlign w:val="top"/>
          </w:tcPr>
          <w:p>
            <w:pPr>
              <w:rPr>
                <w:rFonts w:ascii="Arial"/>
                <w:sz w:val="21"/>
              </w:rPr>
            </w:pPr>
          </w:p>
        </w:tc>
        <w:tc>
          <w:tcPr>
            <w:tcW w:w="1858" w:type="dxa"/>
            <w:gridSpan w:val="2"/>
            <w:vAlign w:val="top"/>
          </w:tcPr>
          <w:p>
            <w:pPr>
              <w:pStyle w:val="17"/>
              <w:spacing w:before="128" w:line="220" w:lineRule="auto"/>
              <w:ind w:left="662"/>
            </w:pPr>
            <w:r>
              <w:rPr>
                <w:spacing w:val="-6"/>
              </w:rPr>
              <w:t>专业</w:t>
            </w:r>
          </w:p>
        </w:tc>
        <w:tc>
          <w:tcPr>
            <w:tcW w:w="21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1262" w:type="dxa"/>
            <w:vAlign w:val="top"/>
          </w:tcPr>
          <w:p>
            <w:pPr>
              <w:spacing w:line="366" w:lineRule="auto"/>
              <w:rPr>
                <w:rFonts w:ascii="Arial"/>
                <w:sz w:val="21"/>
              </w:rPr>
            </w:pPr>
          </w:p>
          <w:p>
            <w:pPr>
              <w:pStyle w:val="17"/>
              <w:spacing w:before="78" w:line="219" w:lineRule="auto"/>
              <w:ind w:left="140"/>
            </w:pPr>
            <w:r>
              <w:rPr>
                <w:spacing w:val="-3"/>
              </w:rPr>
              <w:t>技术职称</w:t>
            </w:r>
          </w:p>
        </w:tc>
        <w:tc>
          <w:tcPr>
            <w:tcW w:w="1486" w:type="dxa"/>
            <w:gridSpan w:val="2"/>
            <w:vAlign w:val="top"/>
          </w:tcPr>
          <w:p>
            <w:pPr>
              <w:rPr>
                <w:rFonts w:ascii="Arial"/>
                <w:sz w:val="21"/>
              </w:rPr>
            </w:pPr>
          </w:p>
        </w:tc>
        <w:tc>
          <w:tcPr>
            <w:tcW w:w="1047" w:type="dxa"/>
            <w:vAlign w:val="top"/>
          </w:tcPr>
          <w:p>
            <w:pPr>
              <w:spacing w:line="365" w:lineRule="auto"/>
              <w:rPr>
                <w:rFonts w:ascii="Arial"/>
                <w:sz w:val="21"/>
              </w:rPr>
            </w:pPr>
          </w:p>
          <w:p>
            <w:pPr>
              <w:pStyle w:val="17"/>
              <w:spacing w:before="78" w:line="221" w:lineRule="auto"/>
              <w:ind w:left="259"/>
            </w:pPr>
            <w:r>
              <w:rPr>
                <w:spacing w:val="-8"/>
              </w:rPr>
              <w:t>学历</w:t>
            </w:r>
          </w:p>
        </w:tc>
        <w:tc>
          <w:tcPr>
            <w:tcW w:w="1366" w:type="dxa"/>
            <w:vAlign w:val="top"/>
          </w:tcPr>
          <w:p>
            <w:pPr>
              <w:rPr>
                <w:rFonts w:ascii="Arial"/>
                <w:sz w:val="21"/>
              </w:rPr>
            </w:pPr>
          </w:p>
        </w:tc>
        <w:tc>
          <w:tcPr>
            <w:tcW w:w="1858" w:type="dxa"/>
            <w:gridSpan w:val="2"/>
            <w:vAlign w:val="top"/>
          </w:tcPr>
          <w:p>
            <w:pPr>
              <w:pStyle w:val="17"/>
              <w:spacing w:before="124" w:line="263" w:lineRule="auto"/>
              <w:ind w:left="423" w:right="360" w:hanging="122"/>
            </w:pPr>
            <w:r>
              <w:rPr>
                <w:spacing w:val="-2"/>
              </w:rPr>
              <w:t>拟在本标段</w:t>
            </w:r>
            <w:r>
              <w:t xml:space="preserve"> </w:t>
            </w:r>
            <w:r>
              <w:rPr>
                <w:spacing w:val="-4"/>
              </w:rPr>
              <w:t>工程任职</w:t>
            </w:r>
          </w:p>
        </w:tc>
        <w:tc>
          <w:tcPr>
            <w:tcW w:w="21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262" w:type="dxa"/>
            <w:vAlign w:val="top"/>
          </w:tcPr>
          <w:p>
            <w:pPr>
              <w:spacing w:line="266" w:lineRule="auto"/>
              <w:rPr>
                <w:rFonts w:ascii="Arial"/>
                <w:sz w:val="21"/>
              </w:rPr>
            </w:pPr>
          </w:p>
          <w:p>
            <w:pPr>
              <w:pStyle w:val="17"/>
              <w:spacing w:before="78" w:line="219" w:lineRule="auto"/>
              <w:ind w:left="142"/>
            </w:pPr>
            <w:r>
              <w:rPr>
                <w:spacing w:val="-4"/>
              </w:rPr>
              <w:t>工作年限</w:t>
            </w:r>
          </w:p>
        </w:tc>
        <w:tc>
          <w:tcPr>
            <w:tcW w:w="3899" w:type="dxa"/>
            <w:gridSpan w:val="4"/>
            <w:vAlign w:val="top"/>
          </w:tcPr>
          <w:p>
            <w:pPr>
              <w:rPr>
                <w:rFonts w:ascii="Arial"/>
                <w:sz w:val="21"/>
              </w:rPr>
            </w:pPr>
          </w:p>
        </w:tc>
        <w:tc>
          <w:tcPr>
            <w:tcW w:w="1858" w:type="dxa"/>
            <w:gridSpan w:val="2"/>
            <w:vAlign w:val="top"/>
          </w:tcPr>
          <w:p>
            <w:pPr>
              <w:pStyle w:val="17"/>
              <w:spacing w:before="125" w:line="400" w:lineRule="exact"/>
              <w:ind w:left="181"/>
            </w:pPr>
            <w:r>
              <w:rPr>
                <w:spacing w:val="-2"/>
                <w:position w:val="11"/>
              </w:rPr>
              <w:t>类似施工经验</w:t>
            </w:r>
          </w:p>
          <w:p>
            <w:pPr>
              <w:pStyle w:val="17"/>
              <w:spacing w:line="219" w:lineRule="auto"/>
              <w:ind w:left="662"/>
            </w:pPr>
            <w:r>
              <w:rPr>
                <w:spacing w:val="-6"/>
              </w:rPr>
              <w:t>年限</w:t>
            </w:r>
          </w:p>
        </w:tc>
        <w:tc>
          <w:tcPr>
            <w:tcW w:w="21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262" w:type="dxa"/>
            <w:vAlign w:val="top"/>
          </w:tcPr>
          <w:p>
            <w:pPr>
              <w:pStyle w:val="17"/>
              <w:spacing w:before="258" w:line="219" w:lineRule="auto"/>
              <w:ind w:left="144"/>
            </w:pPr>
            <w:r>
              <w:rPr>
                <w:spacing w:val="-4"/>
              </w:rPr>
              <w:t>毕业学校</w:t>
            </w:r>
          </w:p>
        </w:tc>
        <w:tc>
          <w:tcPr>
            <w:tcW w:w="7859" w:type="dxa"/>
            <w:gridSpan w:val="8"/>
            <w:vAlign w:val="top"/>
          </w:tcPr>
          <w:p>
            <w:pPr>
              <w:pStyle w:val="17"/>
              <w:tabs>
                <w:tab w:val="left" w:pos="979"/>
              </w:tabs>
              <w:spacing w:before="258" w:line="219" w:lineRule="auto"/>
              <w:ind w:left="259"/>
            </w:pPr>
            <w:r>
              <w:rPr>
                <w:u w:val="single" w:color="auto"/>
              </w:rPr>
              <w:tab/>
            </w:r>
            <w:r>
              <w:rPr>
                <w:spacing w:val="-109"/>
              </w:rPr>
              <w:t xml:space="preserve"> </w:t>
            </w:r>
            <w:r>
              <w:rPr>
                <w:spacing w:val="-1"/>
              </w:rPr>
              <w:t>年</w:t>
            </w:r>
            <w:r>
              <w:rPr>
                <w:spacing w:val="-1"/>
                <w:u w:val="single" w:color="auto"/>
              </w:rPr>
              <w:t xml:space="preserve">   </w:t>
            </w:r>
            <w:r>
              <w:rPr>
                <w:spacing w:val="-105"/>
              </w:rPr>
              <w:t xml:space="preserve"> </w:t>
            </w:r>
            <w:r>
              <w:rPr>
                <w:spacing w:val="-1"/>
              </w:rPr>
              <w:t>月毕业于</w:t>
            </w:r>
            <w:r>
              <w:rPr>
                <w:spacing w:val="-1"/>
                <w:u w:val="single" w:color="auto"/>
              </w:rPr>
              <w:t xml:space="preserve">          </w:t>
            </w:r>
            <w:r>
              <w:rPr>
                <w:spacing w:val="-106"/>
              </w:rPr>
              <w:t xml:space="preserve"> </w:t>
            </w:r>
            <w:r>
              <w:rPr>
                <w:spacing w:val="-1"/>
              </w:rPr>
              <w:t>学校</w:t>
            </w:r>
            <w:r>
              <w:rPr>
                <w:spacing w:val="-1"/>
                <w:u w:val="single" w:color="auto"/>
              </w:rPr>
              <w:t xml:space="preserve">        </w:t>
            </w:r>
            <w:r>
              <w:rPr>
                <w:spacing w:val="-110"/>
              </w:rPr>
              <w:t xml:space="preserve"> </w:t>
            </w:r>
            <w:r>
              <w:rPr>
                <w:spacing w:val="-1"/>
              </w:rPr>
              <w:t>专</w:t>
            </w:r>
            <w:r>
              <w:rPr>
                <w:spacing w:val="-2"/>
              </w:rPr>
              <w:t>业，学制</w:t>
            </w:r>
            <w:r>
              <w:rPr>
                <w:spacing w:val="-2"/>
                <w:u w:val="single" w:color="auto"/>
              </w:rPr>
              <w:t xml:space="preserve">      </w:t>
            </w:r>
            <w:r>
              <w:rPr>
                <w:spacing w:val="-109"/>
              </w:rPr>
              <w:t xml:space="preserve"> </w:t>
            </w:r>
            <w:r>
              <w:rPr>
                <w:spacing w:val="-2"/>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121" w:type="dxa"/>
            <w:gridSpan w:val="9"/>
            <w:vAlign w:val="top"/>
          </w:tcPr>
          <w:p>
            <w:pPr>
              <w:pStyle w:val="17"/>
              <w:spacing w:before="192" w:line="222" w:lineRule="auto"/>
              <w:ind w:left="3789"/>
            </w:pPr>
            <w:r>
              <w:rPr>
                <w:spacing w:val="-6"/>
              </w:rPr>
              <w:t>经</w:t>
            </w:r>
            <w:r>
              <w:rPr>
                <w:spacing w:val="1"/>
              </w:rPr>
              <w:t xml:space="preserve">         </w:t>
            </w:r>
            <w:r>
              <w:rPr>
                <w:spacing w:val="-6"/>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1262" w:type="dxa"/>
            <w:vAlign w:val="top"/>
          </w:tcPr>
          <w:p>
            <w:pPr>
              <w:spacing w:line="368" w:lineRule="auto"/>
              <w:rPr>
                <w:rFonts w:ascii="Arial"/>
                <w:sz w:val="21"/>
              </w:rPr>
            </w:pPr>
          </w:p>
          <w:p>
            <w:pPr>
              <w:pStyle w:val="17"/>
              <w:spacing w:before="78" w:line="221" w:lineRule="auto"/>
              <w:ind w:left="417"/>
            </w:pPr>
            <w:r>
              <w:rPr>
                <w:spacing w:val="-11"/>
              </w:rPr>
              <w:t>时间</w:t>
            </w:r>
          </w:p>
        </w:tc>
        <w:tc>
          <w:tcPr>
            <w:tcW w:w="4182" w:type="dxa"/>
            <w:gridSpan w:val="5"/>
            <w:vAlign w:val="top"/>
          </w:tcPr>
          <w:p>
            <w:pPr>
              <w:spacing w:line="368" w:lineRule="auto"/>
              <w:rPr>
                <w:rFonts w:ascii="Arial"/>
                <w:sz w:val="21"/>
              </w:rPr>
            </w:pPr>
          </w:p>
          <w:p>
            <w:pPr>
              <w:pStyle w:val="17"/>
              <w:spacing w:before="78" w:line="219" w:lineRule="auto"/>
              <w:ind w:left="672"/>
            </w:pPr>
            <w:r>
              <w:rPr>
                <w:spacing w:val="-1"/>
              </w:rPr>
              <w:t>参加过的类似工程项目名称</w:t>
            </w:r>
          </w:p>
        </w:tc>
        <w:tc>
          <w:tcPr>
            <w:tcW w:w="1906" w:type="dxa"/>
            <w:gridSpan w:val="2"/>
            <w:vAlign w:val="top"/>
          </w:tcPr>
          <w:p>
            <w:pPr>
              <w:spacing w:line="368" w:lineRule="auto"/>
              <w:rPr>
                <w:rFonts w:ascii="Arial"/>
                <w:sz w:val="21"/>
              </w:rPr>
            </w:pPr>
          </w:p>
          <w:p>
            <w:pPr>
              <w:pStyle w:val="17"/>
              <w:spacing w:before="78" w:line="219" w:lineRule="auto"/>
              <w:ind w:left="497"/>
            </w:pPr>
            <w:r>
              <w:rPr>
                <w:spacing w:val="-3"/>
              </w:rPr>
              <w:t>担任职务</w:t>
            </w:r>
          </w:p>
        </w:tc>
        <w:tc>
          <w:tcPr>
            <w:tcW w:w="1771" w:type="dxa"/>
            <w:vAlign w:val="top"/>
          </w:tcPr>
          <w:p>
            <w:pPr>
              <w:pStyle w:val="17"/>
              <w:spacing w:before="248" w:line="399" w:lineRule="exact"/>
              <w:ind w:left="422"/>
            </w:pPr>
            <w:r>
              <w:rPr>
                <w:spacing w:val="-4"/>
                <w:position w:val="11"/>
              </w:rPr>
              <w:t>发包人及</w:t>
            </w:r>
          </w:p>
          <w:p>
            <w:pPr>
              <w:pStyle w:val="17"/>
              <w:spacing w:line="221" w:lineRule="auto"/>
              <w:ind w:left="419"/>
            </w:pPr>
            <w:r>
              <w:rPr>
                <w:spacing w:val="-3"/>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62" w:type="dxa"/>
            <w:vAlign w:val="top"/>
          </w:tcPr>
          <w:p>
            <w:pPr>
              <w:rPr>
                <w:rFonts w:ascii="Arial"/>
                <w:sz w:val="21"/>
              </w:rPr>
            </w:pPr>
          </w:p>
        </w:tc>
        <w:tc>
          <w:tcPr>
            <w:tcW w:w="4182" w:type="dxa"/>
            <w:gridSpan w:val="5"/>
            <w:vAlign w:val="top"/>
          </w:tcPr>
          <w:p>
            <w:pPr>
              <w:rPr>
                <w:rFonts w:ascii="Arial"/>
                <w:sz w:val="21"/>
              </w:rPr>
            </w:pPr>
          </w:p>
        </w:tc>
        <w:tc>
          <w:tcPr>
            <w:tcW w:w="1906" w:type="dxa"/>
            <w:gridSpan w:val="2"/>
            <w:vAlign w:val="top"/>
          </w:tcPr>
          <w:p>
            <w:pPr>
              <w:rPr>
                <w:rFonts w:ascii="Arial"/>
                <w:sz w:val="21"/>
              </w:rPr>
            </w:pPr>
          </w:p>
        </w:tc>
        <w:tc>
          <w:tcPr>
            <w:tcW w:w="1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2" w:type="dxa"/>
            <w:vAlign w:val="top"/>
          </w:tcPr>
          <w:p>
            <w:pPr>
              <w:rPr>
                <w:rFonts w:ascii="Arial"/>
                <w:sz w:val="21"/>
              </w:rPr>
            </w:pPr>
          </w:p>
        </w:tc>
        <w:tc>
          <w:tcPr>
            <w:tcW w:w="4182" w:type="dxa"/>
            <w:gridSpan w:val="5"/>
            <w:vAlign w:val="top"/>
          </w:tcPr>
          <w:p>
            <w:pPr>
              <w:rPr>
                <w:rFonts w:ascii="Arial"/>
                <w:sz w:val="21"/>
              </w:rPr>
            </w:pPr>
          </w:p>
        </w:tc>
        <w:tc>
          <w:tcPr>
            <w:tcW w:w="1906" w:type="dxa"/>
            <w:gridSpan w:val="2"/>
            <w:vAlign w:val="top"/>
          </w:tcPr>
          <w:p>
            <w:pPr>
              <w:rPr>
                <w:rFonts w:ascii="Arial"/>
                <w:sz w:val="21"/>
              </w:rPr>
            </w:pPr>
          </w:p>
        </w:tc>
        <w:tc>
          <w:tcPr>
            <w:tcW w:w="1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62" w:type="dxa"/>
            <w:vAlign w:val="top"/>
          </w:tcPr>
          <w:p>
            <w:pPr>
              <w:rPr>
                <w:rFonts w:ascii="Arial"/>
                <w:sz w:val="21"/>
              </w:rPr>
            </w:pPr>
          </w:p>
        </w:tc>
        <w:tc>
          <w:tcPr>
            <w:tcW w:w="4182" w:type="dxa"/>
            <w:gridSpan w:val="5"/>
            <w:vAlign w:val="top"/>
          </w:tcPr>
          <w:p>
            <w:pPr>
              <w:rPr>
                <w:rFonts w:ascii="Arial"/>
                <w:sz w:val="21"/>
              </w:rPr>
            </w:pPr>
          </w:p>
        </w:tc>
        <w:tc>
          <w:tcPr>
            <w:tcW w:w="1906" w:type="dxa"/>
            <w:gridSpan w:val="2"/>
            <w:vAlign w:val="top"/>
          </w:tcPr>
          <w:p>
            <w:pPr>
              <w:rPr>
                <w:rFonts w:ascii="Arial"/>
                <w:sz w:val="21"/>
              </w:rPr>
            </w:pPr>
          </w:p>
        </w:tc>
        <w:tc>
          <w:tcPr>
            <w:tcW w:w="1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62" w:type="dxa"/>
            <w:vAlign w:val="top"/>
          </w:tcPr>
          <w:p>
            <w:pPr>
              <w:rPr>
                <w:rFonts w:ascii="Arial"/>
                <w:sz w:val="21"/>
              </w:rPr>
            </w:pPr>
          </w:p>
        </w:tc>
        <w:tc>
          <w:tcPr>
            <w:tcW w:w="4182" w:type="dxa"/>
            <w:gridSpan w:val="5"/>
            <w:vAlign w:val="top"/>
          </w:tcPr>
          <w:p>
            <w:pPr>
              <w:rPr>
                <w:rFonts w:ascii="Arial"/>
                <w:sz w:val="21"/>
              </w:rPr>
            </w:pPr>
          </w:p>
        </w:tc>
        <w:tc>
          <w:tcPr>
            <w:tcW w:w="1906" w:type="dxa"/>
            <w:gridSpan w:val="2"/>
            <w:vAlign w:val="top"/>
          </w:tcPr>
          <w:p>
            <w:pPr>
              <w:rPr>
                <w:rFonts w:ascii="Arial"/>
                <w:sz w:val="21"/>
              </w:rPr>
            </w:pPr>
          </w:p>
        </w:tc>
        <w:tc>
          <w:tcPr>
            <w:tcW w:w="1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2" w:type="dxa"/>
            <w:vAlign w:val="top"/>
          </w:tcPr>
          <w:p>
            <w:pPr>
              <w:rPr>
                <w:rFonts w:ascii="Arial"/>
                <w:sz w:val="21"/>
              </w:rPr>
            </w:pPr>
          </w:p>
        </w:tc>
        <w:tc>
          <w:tcPr>
            <w:tcW w:w="4182" w:type="dxa"/>
            <w:gridSpan w:val="5"/>
            <w:vAlign w:val="top"/>
          </w:tcPr>
          <w:p>
            <w:pPr>
              <w:rPr>
                <w:rFonts w:ascii="Arial"/>
                <w:sz w:val="21"/>
              </w:rPr>
            </w:pPr>
          </w:p>
        </w:tc>
        <w:tc>
          <w:tcPr>
            <w:tcW w:w="1906" w:type="dxa"/>
            <w:gridSpan w:val="2"/>
            <w:vAlign w:val="top"/>
          </w:tcPr>
          <w:p>
            <w:pPr>
              <w:rPr>
                <w:rFonts w:ascii="Arial"/>
                <w:sz w:val="21"/>
              </w:rPr>
            </w:pPr>
          </w:p>
        </w:tc>
        <w:tc>
          <w:tcPr>
            <w:tcW w:w="1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62" w:type="dxa"/>
            <w:vAlign w:val="top"/>
          </w:tcPr>
          <w:p>
            <w:pPr>
              <w:rPr>
                <w:rFonts w:ascii="Arial"/>
                <w:sz w:val="21"/>
              </w:rPr>
            </w:pPr>
          </w:p>
        </w:tc>
        <w:tc>
          <w:tcPr>
            <w:tcW w:w="4182" w:type="dxa"/>
            <w:gridSpan w:val="5"/>
            <w:vAlign w:val="top"/>
          </w:tcPr>
          <w:p>
            <w:pPr>
              <w:rPr>
                <w:rFonts w:ascii="Arial"/>
                <w:sz w:val="21"/>
              </w:rPr>
            </w:pPr>
          </w:p>
        </w:tc>
        <w:tc>
          <w:tcPr>
            <w:tcW w:w="1906" w:type="dxa"/>
            <w:gridSpan w:val="2"/>
            <w:vAlign w:val="top"/>
          </w:tcPr>
          <w:p>
            <w:pPr>
              <w:rPr>
                <w:rFonts w:ascii="Arial"/>
                <w:sz w:val="21"/>
              </w:rPr>
            </w:pPr>
          </w:p>
        </w:tc>
        <w:tc>
          <w:tcPr>
            <w:tcW w:w="1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62" w:type="dxa"/>
            <w:vAlign w:val="top"/>
          </w:tcPr>
          <w:p>
            <w:pPr>
              <w:rPr>
                <w:rFonts w:ascii="Arial"/>
                <w:sz w:val="21"/>
              </w:rPr>
            </w:pPr>
          </w:p>
        </w:tc>
        <w:tc>
          <w:tcPr>
            <w:tcW w:w="4182" w:type="dxa"/>
            <w:gridSpan w:val="5"/>
            <w:vAlign w:val="top"/>
          </w:tcPr>
          <w:p>
            <w:pPr>
              <w:rPr>
                <w:rFonts w:ascii="Arial"/>
                <w:sz w:val="21"/>
              </w:rPr>
            </w:pPr>
          </w:p>
        </w:tc>
        <w:tc>
          <w:tcPr>
            <w:tcW w:w="1906" w:type="dxa"/>
            <w:gridSpan w:val="2"/>
            <w:vAlign w:val="top"/>
          </w:tcPr>
          <w:p>
            <w:pPr>
              <w:rPr>
                <w:rFonts w:ascii="Arial"/>
                <w:sz w:val="21"/>
              </w:rPr>
            </w:pPr>
          </w:p>
        </w:tc>
        <w:tc>
          <w:tcPr>
            <w:tcW w:w="1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62" w:type="dxa"/>
            <w:vAlign w:val="top"/>
          </w:tcPr>
          <w:p>
            <w:pPr>
              <w:rPr>
                <w:rFonts w:ascii="Arial"/>
                <w:sz w:val="21"/>
              </w:rPr>
            </w:pPr>
          </w:p>
        </w:tc>
        <w:tc>
          <w:tcPr>
            <w:tcW w:w="4182" w:type="dxa"/>
            <w:gridSpan w:val="5"/>
            <w:vAlign w:val="top"/>
          </w:tcPr>
          <w:p>
            <w:pPr>
              <w:rPr>
                <w:rFonts w:ascii="Arial"/>
                <w:sz w:val="21"/>
              </w:rPr>
            </w:pPr>
          </w:p>
        </w:tc>
        <w:tc>
          <w:tcPr>
            <w:tcW w:w="1906" w:type="dxa"/>
            <w:gridSpan w:val="2"/>
            <w:vAlign w:val="top"/>
          </w:tcPr>
          <w:p>
            <w:pPr>
              <w:rPr>
                <w:rFonts w:ascii="Arial"/>
                <w:sz w:val="21"/>
              </w:rPr>
            </w:pPr>
          </w:p>
        </w:tc>
        <w:tc>
          <w:tcPr>
            <w:tcW w:w="1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262" w:type="dxa"/>
            <w:vAlign w:val="top"/>
          </w:tcPr>
          <w:p>
            <w:pPr>
              <w:rPr>
                <w:rFonts w:ascii="Arial"/>
                <w:sz w:val="21"/>
              </w:rPr>
            </w:pPr>
          </w:p>
        </w:tc>
        <w:tc>
          <w:tcPr>
            <w:tcW w:w="4182" w:type="dxa"/>
            <w:gridSpan w:val="5"/>
            <w:vAlign w:val="top"/>
          </w:tcPr>
          <w:p>
            <w:pPr>
              <w:rPr>
                <w:rFonts w:ascii="Arial"/>
                <w:sz w:val="21"/>
              </w:rPr>
            </w:pPr>
          </w:p>
        </w:tc>
        <w:tc>
          <w:tcPr>
            <w:tcW w:w="1906" w:type="dxa"/>
            <w:gridSpan w:val="2"/>
            <w:vAlign w:val="top"/>
          </w:tcPr>
          <w:p>
            <w:pPr>
              <w:rPr>
                <w:rFonts w:ascii="Arial"/>
                <w:sz w:val="21"/>
              </w:rPr>
            </w:pPr>
          </w:p>
        </w:tc>
        <w:tc>
          <w:tcPr>
            <w:tcW w:w="1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447" w:type="dxa"/>
            <w:gridSpan w:val="2"/>
            <w:vAlign w:val="top"/>
          </w:tcPr>
          <w:p>
            <w:pPr>
              <w:pStyle w:val="17"/>
              <w:spacing w:before="186" w:line="219" w:lineRule="auto"/>
              <w:ind w:left="755"/>
            </w:pPr>
            <w:r>
              <w:rPr>
                <w:spacing w:val="-4"/>
              </w:rPr>
              <w:t>获奖情况</w:t>
            </w:r>
          </w:p>
        </w:tc>
        <w:tc>
          <w:tcPr>
            <w:tcW w:w="6674"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121" w:type="dxa"/>
            <w:gridSpan w:val="9"/>
            <w:vAlign w:val="top"/>
          </w:tcPr>
          <w:p>
            <w:pPr>
              <w:pStyle w:val="17"/>
              <w:spacing w:before="147" w:line="308" w:lineRule="auto"/>
              <w:ind w:right="7"/>
              <w:jc w:val="right"/>
            </w:pPr>
            <w:r>
              <w:t>本人</w:t>
            </w:r>
            <w:r>
              <w:rPr>
                <w:u w:val="single" w:color="auto"/>
              </w:rPr>
              <w:t xml:space="preserve">        （亲笔签字）</w:t>
            </w:r>
            <w:r>
              <w:t>知晓自己为本项目的</w:t>
            </w:r>
            <w:r>
              <w:rPr>
                <w:u w:val="single" w:color="auto"/>
              </w:rPr>
              <w:t xml:space="preserve">       (填</w:t>
            </w:r>
            <w:r>
              <w:rPr>
                <w:spacing w:val="-1"/>
                <w:u w:val="single" w:color="auto"/>
              </w:rPr>
              <w:t>写项目经理或项目总工)</w:t>
            </w:r>
            <w:r>
              <w:rPr>
                <w:spacing w:val="-1"/>
              </w:rPr>
              <w:t>，</w:t>
            </w:r>
          </w:p>
          <w:p>
            <w:pPr>
              <w:pStyle w:val="17"/>
              <w:spacing w:line="219" w:lineRule="auto"/>
              <w:ind w:left="123"/>
            </w:pPr>
            <w:r>
              <w:rPr>
                <w:spacing w:val="-2"/>
              </w:rPr>
              <w:t>并对其真实性负责。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2447" w:type="dxa"/>
            <w:gridSpan w:val="2"/>
            <w:vAlign w:val="top"/>
          </w:tcPr>
          <w:p>
            <w:pPr>
              <w:pStyle w:val="17"/>
              <w:spacing w:before="126" w:line="221" w:lineRule="auto"/>
              <w:ind w:left="694"/>
            </w:pPr>
            <w:r>
              <w:rPr>
                <w:spacing w:val="-7"/>
              </w:rPr>
              <w:t>备</w:t>
            </w:r>
            <w:r>
              <w:rPr>
                <w:spacing w:val="2"/>
              </w:rPr>
              <w:t xml:space="preserve">     </w:t>
            </w:r>
            <w:r>
              <w:rPr>
                <w:spacing w:val="-7"/>
              </w:rPr>
              <w:t>注</w:t>
            </w:r>
          </w:p>
        </w:tc>
        <w:tc>
          <w:tcPr>
            <w:tcW w:w="6674" w:type="dxa"/>
            <w:gridSpan w:val="7"/>
            <w:vAlign w:val="top"/>
          </w:tcPr>
          <w:p>
            <w:pPr>
              <w:rPr>
                <w:rFonts w:ascii="Arial"/>
                <w:sz w:val="21"/>
              </w:rPr>
            </w:pPr>
          </w:p>
        </w:tc>
      </w:tr>
    </w:tbl>
    <w:p>
      <w:pPr>
        <w:spacing w:before="264" w:line="239" w:lineRule="auto"/>
        <w:ind w:left="41" w:right="364" w:hanging="2"/>
        <w:rPr>
          <w:rFonts w:ascii="宋体" w:hAnsi="宋体" w:eastAsia="宋体" w:cs="宋体"/>
          <w:sz w:val="20"/>
          <w:szCs w:val="20"/>
        </w:rPr>
      </w:pPr>
      <w:r>
        <w:rPr>
          <w:rFonts w:ascii="宋体" w:hAnsi="宋体" w:eastAsia="宋体" w:cs="宋体"/>
          <w:spacing w:val="9"/>
          <w:sz w:val="20"/>
          <w:szCs w:val="20"/>
        </w:rPr>
        <w:t>注：1.本表后应填写项目经理和项目总工</w:t>
      </w:r>
      <w:r>
        <w:rPr>
          <w:rFonts w:ascii="宋体" w:hAnsi="宋体" w:eastAsia="宋体" w:cs="宋体"/>
          <w:spacing w:val="8"/>
          <w:sz w:val="20"/>
          <w:szCs w:val="20"/>
        </w:rPr>
        <w:t>相关情况。</w:t>
      </w:r>
      <w:r>
        <w:rPr>
          <w:rFonts w:ascii="宋体" w:hAnsi="宋体" w:eastAsia="宋体" w:cs="宋体"/>
          <w:sz w:val="20"/>
          <w:szCs w:val="20"/>
        </w:rPr>
        <w:t xml:space="preserve"> </w:t>
      </w:r>
      <w:r>
        <w:rPr>
          <w:rFonts w:ascii="宋体" w:hAnsi="宋体" w:eastAsia="宋体" w:cs="宋体"/>
          <w:spacing w:val="8"/>
          <w:sz w:val="20"/>
          <w:szCs w:val="20"/>
        </w:rPr>
        <w:t>2.投标人应根据招标文件第二章“投标人须知</w:t>
      </w:r>
      <w:r>
        <w:rPr>
          <w:rFonts w:ascii="宋体" w:hAnsi="宋体" w:eastAsia="宋体" w:cs="宋体"/>
          <w:spacing w:val="-72"/>
          <w:sz w:val="20"/>
          <w:szCs w:val="20"/>
        </w:rPr>
        <w:t xml:space="preserve"> </w:t>
      </w:r>
      <w:r>
        <w:rPr>
          <w:rFonts w:ascii="宋体" w:hAnsi="宋体" w:eastAsia="宋体" w:cs="宋体"/>
          <w:spacing w:val="8"/>
          <w:sz w:val="20"/>
          <w:szCs w:val="20"/>
        </w:rPr>
        <w:t>”</w:t>
      </w:r>
      <w:r>
        <w:rPr>
          <w:rFonts w:ascii="宋体" w:hAnsi="宋体" w:eastAsia="宋体" w:cs="宋体"/>
          <w:spacing w:val="7"/>
          <w:sz w:val="20"/>
          <w:szCs w:val="20"/>
        </w:rPr>
        <w:t>第</w:t>
      </w:r>
      <w:r>
        <w:rPr>
          <w:rFonts w:ascii="宋体" w:hAnsi="宋体" w:eastAsia="宋体" w:cs="宋体"/>
          <w:spacing w:val="-35"/>
          <w:sz w:val="20"/>
          <w:szCs w:val="20"/>
        </w:rPr>
        <w:t xml:space="preserve"> </w:t>
      </w:r>
      <w:r>
        <w:rPr>
          <w:rFonts w:ascii="宋体" w:hAnsi="宋体" w:eastAsia="宋体" w:cs="宋体"/>
          <w:spacing w:val="7"/>
          <w:sz w:val="20"/>
          <w:szCs w:val="20"/>
        </w:rPr>
        <w:t>3.5.5</w:t>
      </w:r>
      <w:r>
        <w:rPr>
          <w:rFonts w:ascii="宋体" w:hAnsi="宋体" w:eastAsia="宋体" w:cs="宋体"/>
          <w:spacing w:val="-35"/>
          <w:sz w:val="20"/>
          <w:szCs w:val="20"/>
        </w:rPr>
        <w:t xml:space="preserve"> </w:t>
      </w:r>
      <w:r>
        <w:rPr>
          <w:rFonts w:ascii="宋体" w:hAnsi="宋体" w:eastAsia="宋体" w:cs="宋体"/>
          <w:spacing w:val="7"/>
          <w:sz w:val="20"/>
          <w:szCs w:val="20"/>
        </w:rPr>
        <w:t>项的要求在本表后附相关证明材料。</w:t>
      </w:r>
    </w:p>
    <w:p>
      <w:pPr>
        <w:spacing w:line="338" w:lineRule="auto"/>
        <w:rPr>
          <w:rFonts w:ascii="Arial"/>
          <w:sz w:val="21"/>
        </w:rPr>
      </w:pPr>
    </w:p>
    <w:p>
      <w:pPr>
        <w:pStyle w:val="4"/>
        <w:spacing w:before="114" w:line="227" w:lineRule="auto"/>
        <w:rPr>
          <w:spacing w:val="7"/>
          <w:sz w:val="35"/>
          <w:szCs w:val="35"/>
          <w14:textOutline w14:w="6537" w14:cap="sq" w14:cmpd="sng">
            <w14:solidFill>
              <w14:srgbClr w14:val="000000"/>
            </w14:solidFill>
            <w14:prstDash w14:val="solid"/>
            <w14:bevel/>
          </w14:textOutline>
        </w:rPr>
      </w:pPr>
    </w:p>
    <w:p>
      <w:pPr>
        <w:pStyle w:val="4"/>
        <w:spacing w:before="114" w:line="227" w:lineRule="auto"/>
        <w:ind w:left="3825"/>
        <w:rPr>
          <w:sz w:val="35"/>
          <w:szCs w:val="35"/>
        </w:rPr>
      </w:pPr>
      <w:r>
        <w:rPr>
          <w:spacing w:val="7"/>
          <w:sz w:val="35"/>
          <w:szCs w:val="35"/>
          <w14:textOutline w14:w="6537" w14:cap="sq" w14:cmpd="sng">
            <w14:solidFill>
              <w14:srgbClr w14:val="000000"/>
            </w14:solidFill>
            <w14:prstDash w14:val="solid"/>
            <w14:bevel/>
          </w14:textOutline>
        </w:rPr>
        <w:t>九、其他资料</w:t>
      </w:r>
    </w:p>
    <w:p>
      <w:pPr>
        <w:spacing w:line="216" w:lineRule="exact"/>
      </w:pPr>
    </w:p>
    <w:p>
      <w:pPr>
        <w:pStyle w:val="12"/>
      </w:pPr>
    </w:p>
    <w:tbl>
      <w:tblPr>
        <w:tblStyle w:val="16"/>
        <w:tblW w:w="92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744" w:hRule="atLeast"/>
        </w:trPr>
        <w:tc>
          <w:tcPr>
            <w:tcW w:w="9244" w:type="dxa"/>
            <w:vAlign w:val="top"/>
          </w:tcPr>
          <w:p>
            <w:pPr>
              <w:pStyle w:val="17"/>
              <w:spacing w:before="41" w:line="218" w:lineRule="auto"/>
              <w:ind w:left="553"/>
            </w:pPr>
            <w:r>
              <w:rPr>
                <w:spacing w:val="-2"/>
              </w:rPr>
              <w:t>1、</w:t>
            </w:r>
            <w:r>
              <w:rPr>
                <w:spacing w:val="-32"/>
              </w:rPr>
              <w:t xml:space="preserve"> </w:t>
            </w:r>
            <w:r>
              <w:rPr>
                <w:spacing w:val="-2"/>
              </w:rPr>
              <w:t>提供“九-1、使用广东省信用评价等级的申请承诺书</w:t>
            </w:r>
            <w:r>
              <w:rPr>
                <w:spacing w:val="-88"/>
              </w:rPr>
              <w:t xml:space="preserve"> </w:t>
            </w:r>
            <w:r>
              <w:rPr>
                <w:spacing w:val="-2"/>
              </w:rPr>
              <w:t>”。</w:t>
            </w:r>
          </w:p>
          <w:p>
            <w:pPr>
              <w:pStyle w:val="17"/>
              <w:spacing w:before="184" w:line="465" w:lineRule="exact"/>
              <w:ind w:left="535"/>
            </w:pPr>
            <w:r>
              <w:rPr>
                <w:rFonts w:hint="eastAsia"/>
                <w:position w:val="17"/>
                <w:lang w:val="en-US" w:eastAsia="zh-CN"/>
              </w:rPr>
              <w:t>2</w:t>
            </w:r>
            <w:r>
              <w:rPr>
                <w:position w:val="17"/>
              </w:rPr>
              <w:t>、</w:t>
            </w:r>
            <w:r>
              <w:rPr>
                <w:spacing w:val="-50"/>
                <w:position w:val="17"/>
              </w:rPr>
              <w:t xml:space="preserve"> </w:t>
            </w:r>
            <w:r>
              <w:rPr>
                <w:position w:val="17"/>
              </w:rPr>
              <w:t>提供最新年度广东省公路工程从业单位（施工单位）信用评价等级（若有</w:t>
            </w:r>
            <w:r>
              <w:rPr>
                <w:spacing w:val="2"/>
                <w:position w:val="17"/>
              </w:rPr>
              <w:t>），</w:t>
            </w:r>
          </w:p>
          <w:p>
            <w:pPr>
              <w:pStyle w:val="17"/>
              <w:spacing w:before="1" w:line="219" w:lineRule="auto"/>
              <w:ind w:left="1021"/>
            </w:pPr>
            <w:r>
              <w:rPr>
                <w:spacing w:val="-2"/>
              </w:rPr>
              <w:t>并标识单位所在位置。</w:t>
            </w:r>
          </w:p>
          <w:p>
            <w:pPr>
              <w:pStyle w:val="17"/>
              <w:spacing w:before="183" w:line="465" w:lineRule="exact"/>
              <w:ind w:left="540"/>
            </w:pPr>
            <w:r>
              <w:rPr>
                <w:rFonts w:hint="eastAsia"/>
                <w:spacing w:val="-1"/>
                <w:position w:val="17"/>
                <w:lang w:val="en-US" w:eastAsia="zh-CN"/>
              </w:rPr>
              <w:t>3</w:t>
            </w:r>
            <w:r>
              <w:rPr>
                <w:spacing w:val="-1"/>
                <w:position w:val="17"/>
              </w:rPr>
              <w:t>、</w:t>
            </w:r>
            <w:r>
              <w:rPr>
                <w:spacing w:val="-51"/>
                <w:position w:val="17"/>
              </w:rPr>
              <w:t xml:space="preserve"> </w:t>
            </w:r>
            <w:r>
              <w:rPr>
                <w:spacing w:val="-1"/>
                <w:position w:val="17"/>
              </w:rPr>
              <w:t>初次进入广东省的，但在最新年度的全国综合评价结果为</w:t>
            </w:r>
            <w:r>
              <w:rPr>
                <w:spacing w:val="-50"/>
                <w:position w:val="17"/>
              </w:rPr>
              <w:t xml:space="preserve"> </w:t>
            </w:r>
            <w:r>
              <w:rPr>
                <w:spacing w:val="-1"/>
                <w:position w:val="17"/>
              </w:rPr>
              <w:t>C</w:t>
            </w:r>
            <w:r>
              <w:rPr>
                <w:spacing w:val="-47"/>
                <w:position w:val="17"/>
              </w:rPr>
              <w:t xml:space="preserve"> </w:t>
            </w:r>
            <w:r>
              <w:rPr>
                <w:spacing w:val="-2"/>
                <w:position w:val="17"/>
              </w:rPr>
              <w:t>级或</w:t>
            </w:r>
            <w:r>
              <w:rPr>
                <w:spacing w:val="-53"/>
                <w:position w:val="17"/>
              </w:rPr>
              <w:t xml:space="preserve"> </w:t>
            </w:r>
            <w:r>
              <w:rPr>
                <w:spacing w:val="-2"/>
                <w:position w:val="17"/>
              </w:rPr>
              <w:t>D</w:t>
            </w:r>
            <w:r>
              <w:rPr>
                <w:spacing w:val="-47"/>
                <w:position w:val="17"/>
              </w:rPr>
              <w:t xml:space="preserve"> </w:t>
            </w:r>
            <w:r>
              <w:rPr>
                <w:spacing w:val="-2"/>
                <w:position w:val="17"/>
              </w:rPr>
              <w:t>级的，提供</w:t>
            </w:r>
          </w:p>
          <w:p>
            <w:pPr>
              <w:pStyle w:val="17"/>
              <w:spacing w:before="1" w:line="217" w:lineRule="auto"/>
              <w:ind w:left="1019"/>
            </w:pPr>
            <w:r>
              <w:rPr>
                <w:spacing w:val="-1"/>
              </w:rPr>
              <w:t>最新年度的全国综合评价结果单位查询所在页。</w:t>
            </w:r>
          </w:p>
          <w:p>
            <w:pPr>
              <w:pStyle w:val="17"/>
              <w:spacing w:before="185" w:line="466" w:lineRule="exact"/>
              <w:ind w:left="538"/>
            </w:pPr>
            <w:r>
              <w:rPr>
                <w:rFonts w:hint="eastAsia"/>
                <w:position w:val="17"/>
                <w:lang w:val="en-US" w:eastAsia="zh-CN"/>
              </w:rPr>
              <w:t>4</w:t>
            </w:r>
            <w:r>
              <w:rPr>
                <w:position w:val="17"/>
              </w:rPr>
              <w:t>、</w:t>
            </w:r>
            <w:r>
              <w:rPr>
                <w:spacing w:val="-47"/>
                <w:position w:val="17"/>
              </w:rPr>
              <w:t xml:space="preserve"> </w:t>
            </w:r>
            <w:r>
              <w:rPr>
                <w:position w:val="17"/>
              </w:rPr>
              <w:t>如上一年度有信用评价而最新年度在广东省无信用等级的需提供上一年度</w:t>
            </w:r>
            <w:r>
              <w:rPr>
                <w:spacing w:val="-1"/>
                <w:position w:val="17"/>
              </w:rPr>
              <w:t>的信</w:t>
            </w:r>
          </w:p>
          <w:p>
            <w:pPr>
              <w:pStyle w:val="17"/>
              <w:spacing w:before="1" w:line="217" w:lineRule="auto"/>
              <w:ind w:left="1018"/>
            </w:pPr>
            <w:r>
              <w:rPr>
                <w:spacing w:val="-2"/>
              </w:rPr>
              <w:t>用评价（若有</w:t>
            </w:r>
            <w:r>
              <w:rPr>
                <w:spacing w:val="9"/>
              </w:rPr>
              <w:t>），</w:t>
            </w:r>
            <w:r>
              <w:rPr>
                <w:spacing w:val="-2"/>
              </w:rPr>
              <w:t>并标识单位所在位置。</w:t>
            </w:r>
          </w:p>
          <w:p>
            <w:pPr>
              <w:pStyle w:val="17"/>
              <w:spacing w:before="185" w:line="359" w:lineRule="auto"/>
              <w:ind w:left="824" w:right="108" w:hanging="275"/>
              <w:rPr>
                <w:highlight w:val="none"/>
              </w:rPr>
            </w:pPr>
            <w:r>
              <w:rPr>
                <w:rFonts w:hint="eastAsia"/>
                <w:spacing w:val="1"/>
                <w:highlight w:val="none"/>
                <w:lang w:val="en-US" w:eastAsia="zh-CN"/>
              </w:rPr>
              <w:t>5</w:t>
            </w:r>
            <w:r>
              <w:rPr>
                <w:spacing w:val="1"/>
                <w:highlight w:val="none"/>
              </w:rPr>
              <w:t>、详细说明投标人投标文件递交截止日前</w:t>
            </w:r>
            <w:r>
              <w:rPr>
                <w:spacing w:val="-30"/>
                <w:highlight w:val="none"/>
              </w:rPr>
              <w:t xml:space="preserve"> </w:t>
            </w:r>
            <w:r>
              <w:rPr>
                <w:rFonts w:ascii="Times New Roman" w:hAnsi="Times New Roman" w:eastAsia="Times New Roman" w:cs="Times New Roman"/>
                <w:spacing w:val="1"/>
                <w:highlight w:val="none"/>
              </w:rPr>
              <w:t xml:space="preserve">1 </w:t>
            </w:r>
            <w:r>
              <w:rPr>
                <w:spacing w:val="1"/>
                <w:highlight w:val="none"/>
              </w:rPr>
              <w:t>年内，因公路工程（</w:t>
            </w:r>
            <w:r>
              <w:rPr>
                <w:highlight w:val="none"/>
              </w:rPr>
              <w:t xml:space="preserve">含附属设施）质 </w:t>
            </w:r>
            <w:r>
              <w:rPr>
                <w:spacing w:val="-3"/>
                <w:highlight w:val="none"/>
              </w:rPr>
              <w:t>量、安全、履约问题或招标投标问题等原因被交通运输部行政处罚、广东省交通</w:t>
            </w:r>
          </w:p>
          <w:p>
            <w:pPr>
              <w:pStyle w:val="17"/>
              <w:spacing w:line="219" w:lineRule="auto"/>
              <w:ind w:left="824"/>
              <w:rPr>
                <w:highlight w:val="none"/>
              </w:rPr>
            </w:pPr>
            <w:r>
              <w:rPr>
                <w:spacing w:val="-3"/>
                <w:highlight w:val="none"/>
              </w:rPr>
              <w:t>运输厅行政处罚或正式约谈</w:t>
            </w:r>
            <w:r>
              <w:rPr>
                <w:spacing w:val="-3"/>
                <w:highlight w:val="none"/>
                <w:u w:val="single" w:color="auto"/>
              </w:rPr>
              <w:t>、招标项目所在地地级以上市交通运输局行政处罚</w:t>
            </w:r>
            <w:r>
              <w:rPr>
                <w:spacing w:val="-3"/>
                <w:highlight w:val="none"/>
              </w:rPr>
              <w:t>的</w:t>
            </w:r>
          </w:p>
          <w:p>
            <w:pPr>
              <w:pStyle w:val="17"/>
              <w:spacing w:before="181" w:line="219" w:lineRule="auto"/>
              <w:ind w:left="826"/>
              <w:rPr>
                <w:highlight w:val="yellow"/>
              </w:rPr>
            </w:pPr>
            <w:r>
              <w:rPr>
                <w:spacing w:val="-4"/>
                <w:highlight w:val="none"/>
              </w:rPr>
              <w:t>文件。</w:t>
            </w:r>
          </w:p>
          <w:p>
            <w:pPr>
              <w:pStyle w:val="17"/>
              <w:spacing w:before="183" w:line="219" w:lineRule="auto"/>
              <w:ind w:left="541"/>
            </w:pPr>
            <w:r>
              <w:rPr>
                <w:rFonts w:hint="eastAsia"/>
                <w:lang w:val="en-US" w:eastAsia="zh-CN"/>
              </w:rPr>
              <w:t>6</w:t>
            </w:r>
            <w:r>
              <w:t>、投标人认为需要的其他内容（如体现技</w:t>
            </w:r>
            <w:r>
              <w:rPr>
                <w:spacing w:val="-1"/>
              </w:rPr>
              <w:t>术能力的相关证明材料）。</w:t>
            </w:r>
          </w:p>
        </w:tc>
      </w:tr>
    </w:tbl>
    <w:p>
      <w:pPr>
        <w:rPr>
          <w:rFonts w:ascii="Arial"/>
          <w:sz w:val="21"/>
        </w:rPr>
      </w:pPr>
    </w:p>
    <w:p>
      <w:pPr>
        <w:spacing w:line="416" w:lineRule="auto"/>
        <w:rPr>
          <w:rFonts w:ascii="Arial"/>
          <w:sz w:val="21"/>
        </w:rPr>
      </w:pPr>
    </w:p>
    <w:p>
      <w:pPr>
        <w:pStyle w:val="4"/>
        <w:spacing w:before="101" w:line="226" w:lineRule="auto"/>
        <w:ind w:left="1338"/>
        <w:rPr>
          <w:spacing w:val="9"/>
          <w:sz w:val="31"/>
          <w:szCs w:val="31"/>
          <w14:textOutline w14:w="5793" w14:cap="sq" w14:cmpd="sng">
            <w14:solidFill>
              <w14:srgbClr w14:val="000000"/>
            </w14:solidFill>
            <w14:prstDash w14:val="solid"/>
            <w14:bevel/>
          </w14:textOutline>
        </w:rPr>
      </w:pPr>
    </w:p>
    <w:p>
      <w:pPr>
        <w:pStyle w:val="4"/>
        <w:spacing w:before="101" w:line="226" w:lineRule="auto"/>
        <w:ind w:left="1338"/>
        <w:rPr>
          <w:spacing w:val="9"/>
          <w:sz w:val="31"/>
          <w:szCs w:val="31"/>
          <w14:textOutline w14:w="5793" w14:cap="sq" w14:cmpd="sng">
            <w14:solidFill>
              <w14:srgbClr w14:val="000000"/>
            </w14:solidFill>
            <w14:prstDash w14:val="solid"/>
            <w14:bevel/>
          </w14:textOutline>
        </w:rPr>
      </w:pPr>
    </w:p>
    <w:p>
      <w:pPr>
        <w:pStyle w:val="4"/>
        <w:spacing w:before="101" w:line="226" w:lineRule="auto"/>
        <w:ind w:left="1338"/>
        <w:rPr>
          <w:spacing w:val="9"/>
          <w:sz w:val="31"/>
          <w:szCs w:val="31"/>
          <w14:textOutline w14:w="5793" w14:cap="sq" w14:cmpd="sng">
            <w14:solidFill>
              <w14:srgbClr w14:val="000000"/>
            </w14:solidFill>
            <w14:prstDash w14:val="solid"/>
            <w14:bevel/>
          </w14:textOutline>
        </w:rPr>
      </w:pPr>
    </w:p>
    <w:p>
      <w:pPr>
        <w:pStyle w:val="4"/>
        <w:spacing w:before="101" w:line="226" w:lineRule="auto"/>
        <w:ind w:left="1338"/>
        <w:rPr>
          <w:spacing w:val="9"/>
          <w:sz w:val="31"/>
          <w:szCs w:val="31"/>
          <w14:textOutline w14:w="5793" w14:cap="sq" w14:cmpd="sng">
            <w14:solidFill>
              <w14:srgbClr w14:val="000000"/>
            </w14:solidFill>
            <w14:prstDash w14:val="solid"/>
            <w14:bevel/>
          </w14:textOutline>
        </w:rPr>
      </w:pPr>
    </w:p>
    <w:p>
      <w:pPr>
        <w:pStyle w:val="4"/>
        <w:spacing w:before="101" w:line="226" w:lineRule="auto"/>
        <w:ind w:left="1338"/>
        <w:rPr>
          <w:spacing w:val="9"/>
          <w:sz w:val="31"/>
          <w:szCs w:val="31"/>
          <w14:textOutline w14:w="5793" w14:cap="sq" w14:cmpd="sng">
            <w14:solidFill>
              <w14:srgbClr w14:val="000000"/>
            </w14:solidFill>
            <w14:prstDash w14:val="solid"/>
            <w14:bevel/>
          </w14:textOutline>
        </w:rPr>
      </w:pPr>
    </w:p>
    <w:p>
      <w:pPr>
        <w:pStyle w:val="4"/>
        <w:spacing w:before="101" w:line="226" w:lineRule="auto"/>
        <w:ind w:left="1338"/>
        <w:rPr>
          <w:spacing w:val="9"/>
          <w:sz w:val="31"/>
          <w:szCs w:val="31"/>
          <w14:textOutline w14:w="5793" w14:cap="sq" w14:cmpd="sng">
            <w14:solidFill>
              <w14:srgbClr w14:val="000000"/>
            </w14:solidFill>
            <w14:prstDash w14:val="solid"/>
            <w14:bevel/>
          </w14:textOutline>
        </w:rPr>
      </w:pPr>
    </w:p>
    <w:p>
      <w:pPr>
        <w:pStyle w:val="4"/>
        <w:spacing w:before="101" w:line="226" w:lineRule="auto"/>
        <w:ind w:left="1338"/>
        <w:rPr>
          <w:sz w:val="31"/>
          <w:szCs w:val="31"/>
        </w:rPr>
      </w:pPr>
      <w:r>
        <w:rPr>
          <w:spacing w:val="9"/>
          <w:sz w:val="31"/>
          <w:szCs w:val="31"/>
          <w14:textOutline w14:w="5793" w14:cap="sq" w14:cmpd="sng">
            <w14:solidFill>
              <w14:srgbClr w14:val="000000"/>
            </w14:solidFill>
            <w14:prstDash w14:val="solid"/>
            <w14:bevel/>
          </w14:textOutline>
        </w:rPr>
        <w:t>九-1、使用广东省信用评价等级的申请承诺书</w:t>
      </w:r>
    </w:p>
    <w:p>
      <w:pPr>
        <w:pStyle w:val="11"/>
        <w:ind w:left="0" w:leftChars="0" w:firstLine="0" w:firstLineChars="0"/>
      </w:pPr>
    </w:p>
    <w:p>
      <w:pPr>
        <w:spacing w:line="307" w:lineRule="auto"/>
        <w:rPr>
          <w:rFonts w:ascii="Arial"/>
          <w:sz w:val="21"/>
        </w:rPr>
      </w:pPr>
    </w:p>
    <w:p>
      <w:pPr>
        <w:spacing w:before="78" w:line="220" w:lineRule="auto"/>
        <w:ind w:left="5"/>
        <w:rPr>
          <w:rFonts w:ascii="宋体" w:hAnsi="宋体" w:eastAsia="宋体" w:cs="宋体"/>
          <w:sz w:val="24"/>
          <w:szCs w:val="24"/>
        </w:rPr>
      </w:pPr>
      <w:r>
        <w:rPr>
          <w:rFonts w:ascii="宋体" w:hAnsi="宋体" w:eastAsia="宋体" w:cs="宋体"/>
          <w:spacing w:val="2"/>
          <w:sz w:val="24"/>
          <w:szCs w:val="24"/>
        </w:rPr>
        <w:t>致招标人</w:t>
      </w:r>
      <w:r>
        <w:rPr>
          <w:rFonts w:ascii="宋体" w:hAnsi="宋体" w:eastAsia="宋体" w:cs="宋体"/>
          <w:spacing w:val="-16"/>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6"/>
          <w:sz w:val="24"/>
          <w:szCs w:val="24"/>
          <w:u w:val="single" w:color="auto"/>
        </w:rPr>
        <w:t>（</w:t>
      </w:r>
      <w:r>
        <w:rPr>
          <w:rFonts w:ascii="宋体" w:hAnsi="宋体" w:eastAsia="宋体" w:cs="宋体"/>
          <w:spacing w:val="2"/>
          <w:sz w:val="24"/>
          <w:szCs w:val="24"/>
          <w:u w:val="single" w:color="auto"/>
        </w:rPr>
        <w:t>招标人全称）</w:t>
      </w:r>
    </w:p>
    <w:p>
      <w:pPr>
        <w:spacing w:before="179" w:line="219" w:lineRule="auto"/>
        <w:ind w:left="487"/>
        <w:rPr>
          <w:rFonts w:ascii="宋体" w:hAnsi="宋体" w:eastAsia="宋体" w:cs="宋体"/>
          <w:sz w:val="24"/>
          <w:szCs w:val="24"/>
        </w:rPr>
      </w:pPr>
      <w:r>
        <w:rPr>
          <w:rFonts w:ascii="宋体" w:hAnsi="宋体" w:eastAsia="宋体" w:cs="宋体"/>
          <w:spacing w:val="-1"/>
          <w:sz w:val="24"/>
          <w:szCs w:val="24"/>
        </w:rPr>
        <w:t>按相关要求，现我单位对使用信用等级申请如下：</w:t>
      </w:r>
    </w:p>
    <w:p>
      <w:pPr>
        <w:spacing w:before="183" w:line="358" w:lineRule="auto"/>
        <w:ind w:left="5" w:right="347" w:firstLine="483"/>
        <w:rPr>
          <w:rFonts w:ascii="宋体" w:hAnsi="宋体" w:eastAsia="宋体" w:cs="宋体"/>
          <w:sz w:val="24"/>
          <w:szCs w:val="24"/>
        </w:rPr>
      </w:pPr>
      <w:r>
        <w:rPr>
          <w:rFonts w:ascii="宋体" w:hAnsi="宋体" w:eastAsia="宋体" w:cs="宋体"/>
          <w:spacing w:val="-1"/>
          <w:sz w:val="24"/>
          <w:szCs w:val="24"/>
        </w:rPr>
        <w:t>一、我单位在</w:t>
      </w:r>
      <w:r>
        <w:rPr>
          <w:rFonts w:ascii="宋体" w:hAnsi="宋体" w:eastAsia="宋体" w:cs="宋体"/>
          <w:spacing w:val="-1"/>
          <w:sz w:val="24"/>
          <w:szCs w:val="24"/>
          <w:u w:val="single" w:color="auto"/>
        </w:rPr>
        <w:t xml:space="preserve">                      施工</w:t>
      </w:r>
      <w:r>
        <w:rPr>
          <w:rFonts w:ascii="宋体" w:hAnsi="宋体" w:eastAsia="宋体" w:cs="宋体"/>
          <w:spacing w:val="-1"/>
          <w:sz w:val="24"/>
          <w:szCs w:val="24"/>
        </w:rPr>
        <w:t>招标的招标中，</w:t>
      </w:r>
      <w:r>
        <w:rPr>
          <w:rFonts w:ascii="宋体" w:hAnsi="宋体" w:eastAsia="宋体" w:cs="宋体"/>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第</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次使用（</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或不使用</w:t>
      </w:r>
      <w:r>
        <w:rPr>
          <w:rFonts w:ascii="宋体" w:hAnsi="宋体" w:eastAsia="宋体" w:cs="宋体"/>
          <w:spacing w:val="-1"/>
          <w:sz w:val="24"/>
          <w:szCs w:val="24"/>
          <w14:textOutline w14:w="4358" w14:cap="sq" w14:cmpd="sng">
            <w14:solidFill>
              <w14:srgbClr w14:val="000000"/>
            </w14:solidFill>
            <w14:prstDash w14:val="solid"/>
            <w14:bevel/>
          </w14:textOutline>
        </w:rPr>
        <w:t>）</w:t>
      </w:r>
      <w:r>
        <w:rPr>
          <w:rFonts w:ascii="宋体" w:hAnsi="宋体" w:eastAsia="宋体" w:cs="宋体"/>
          <w:spacing w:val="-1"/>
          <w:sz w:val="24"/>
          <w:szCs w:val="24"/>
        </w:rPr>
        <w:t>广东省交通运输厅发布的</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年度信用评价</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等级结果</w:t>
      </w:r>
    </w:p>
    <w:p>
      <w:pPr>
        <w:spacing w:line="219" w:lineRule="auto"/>
        <w:ind w:left="6"/>
        <w:rPr>
          <w:rFonts w:ascii="宋体" w:hAnsi="宋体" w:eastAsia="宋体" w:cs="宋体"/>
          <w:sz w:val="24"/>
          <w:szCs w:val="24"/>
        </w:rPr>
      </w:pPr>
      <w:r>
        <w:rPr>
          <w:rFonts w:ascii="宋体" w:hAnsi="宋体" w:eastAsia="宋体" w:cs="宋体"/>
          <w:spacing w:val="-2"/>
          <w:sz w:val="24"/>
          <w:szCs w:val="24"/>
        </w:rPr>
        <w:t>和对应等级分值。</w:t>
      </w:r>
    </w:p>
    <w:p>
      <w:pPr>
        <w:spacing w:before="183" w:line="359" w:lineRule="auto"/>
        <w:ind w:left="6" w:right="294" w:firstLine="482"/>
        <w:rPr>
          <w:rFonts w:ascii="宋体" w:hAnsi="宋体" w:eastAsia="宋体" w:cs="宋体"/>
          <w:sz w:val="24"/>
          <w:szCs w:val="24"/>
        </w:rPr>
      </w:pPr>
      <w:r>
        <w:rPr>
          <w:rFonts w:ascii="宋体" w:hAnsi="宋体" w:eastAsia="宋体" w:cs="宋体"/>
          <w:spacing w:val="-2"/>
          <w:sz w:val="24"/>
          <w:szCs w:val="24"/>
        </w:rPr>
        <w:t>二、我单位承诺，在递交本次申请后，我单位将失去一次使用</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等级结</w:t>
      </w:r>
      <w:r>
        <w:rPr>
          <w:rFonts w:ascii="宋体" w:hAnsi="宋体" w:eastAsia="宋体" w:cs="宋体"/>
          <w:spacing w:val="-3"/>
          <w:sz w:val="24"/>
          <w:szCs w:val="24"/>
        </w:rPr>
        <w:t>果（</w:t>
      </w:r>
      <w:r>
        <w:rPr>
          <w:rFonts w:ascii="宋体" w:hAnsi="宋体" w:eastAsia="宋体" w:cs="宋体"/>
          <w:spacing w:val="-3"/>
          <w:sz w:val="24"/>
          <w:szCs w:val="24"/>
          <w:u w:val="single" w:color="000000"/>
          <w14:textOutline w14:w="4358" w14:cap="sq" w14:cmpd="sng">
            <w14:solidFill>
              <w14:srgbClr w14:val="000000"/>
            </w14:solidFill>
            <w14:prstDash w14:val="solid"/>
            <w14:bevel/>
          </w14:textOutline>
        </w:rPr>
        <w:t>不</w:t>
      </w:r>
      <w:r>
        <w:rPr>
          <w:rFonts w:ascii="宋体" w:hAnsi="宋体" w:eastAsia="宋体" w:cs="宋体"/>
          <w:sz w:val="24"/>
          <w:szCs w:val="24"/>
        </w:rPr>
        <w:t xml:space="preserve"> </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使用时上述填“/</w:t>
      </w:r>
      <w:r>
        <w:rPr>
          <w:rFonts w:ascii="宋体" w:hAnsi="宋体" w:eastAsia="宋体" w:cs="宋体"/>
          <w:spacing w:val="-84"/>
          <w:sz w:val="24"/>
          <w:szCs w:val="24"/>
          <w:u w:val="single" w:color="auto"/>
        </w:rPr>
        <w:t xml:space="preserve"> </w:t>
      </w:r>
      <w:r>
        <w:rPr>
          <w:rFonts w:ascii="宋体" w:hAnsi="宋体" w:eastAsia="宋体" w:cs="宋体"/>
          <w:spacing w:val="-1"/>
          <w:sz w:val="24"/>
          <w:szCs w:val="24"/>
          <w:u w:val="single" w:color="000000"/>
          <w14:textOutline w14:w="4358" w14:cap="sq" w14:cmpd="sng">
            <w14:solidFill>
              <w14:srgbClr w14:val="000000"/>
            </w14:solidFill>
            <w14:prstDash w14:val="solid"/>
            <w14:bevel/>
          </w14:textOutline>
        </w:rPr>
        <w:t>”）</w:t>
      </w:r>
      <w:r>
        <w:rPr>
          <w:rFonts w:ascii="宋体" w:hAnsi="宋体" w:eastAsia="宋体" w:cs="宋体"/>
          <w:spacing w:val="-1"/>
          <w:sz w:val="24"/>
          <w:szCs w:val="24"/>
        </w:rPr>
        <w:t>参与投标的机会。当累计使用超过规定的次数，我单位同意按降</w:t>
      </w:r>
    </w:p>
    <w:p>
      <w:pPr>
        <w:spacing w:before="1" w:line="219" w:lineRule="auto"/>
        <w:ind w:left="4"/>
        <w:rPr>
          <w:rFonts w:ascii="宋体" w:hAnsi="宋体" w:eastAsia="宋体" w:cs="宋体"/>
          <w:sz w:val="24"/>
          <w:szCs w:val="24"/>
        </w:rPr>
      </w:pPr>
      <w:r>
        <w:rPr>
          <w:rFonts w:ascii="宋体" w:hAnsi="宋体" w:eastAsia="宋体" w:cs="宋体"/>
          <w:spacing w:val="-1"/>
          <w:sz w:val="24"/>
          <w:szCs w:val="24"/>
        </w:rPr>
        <w:t>低一个信用等级对应分值来认定参与投标评审。</w:t>
      </w:r>
    </w:p>
    <w:p>
      <w:pPr>
        <w:spacing w:before="182" w:line="466" w:lineRule="exact"/>
        <w:ind w:left="485"/>
        <w:rPr>
          <w:rFonts w:ascii="宋体" w:hAnsi="宋体" w:eastAsia="宋体" w:cs="宋体"/>
          <w:sz w:val="24"/>
          <w:szCs w:val="24"/>
        </w:rPr>
      </w:pPr>
      <w:r>
        <w:rPr>
          <w:rFonts w:ascii="宋体" w:hAnsi="宋体" w:eastAsia="宋体" w:cs="宋体"/>
          <w:spacing w:val="-2"/>
          <w:position w:val="17"/>
          <w:sz w:val="24"/>
          <w:szCs w:val="24"/>
        </w:rPr>
        <w:t>三、如果我单位发生违反规定使用信用等级结果的情形，自愿接受省级交通运输主</w:t>
      </w:r>
    </w:p>
    <w:p>
      <w:pPr>
        <w:spacing w:line="219" w:lineRule="auto"/>
        <w:ind w:left="11"/>
        <w:rPr>
          <w:rFonts w:ascii="宋体" w:hAnsi="宋体" w:eastAsia="宋体" w:cs="宋体"/>
          <w:sz w:val="24"/>
          <w:szCs w:val="24"/>
        </w:rPr>
      </w:pPr>
      <w:r>
        <w:rPr>
          <w:rFonts w:ascii="宋体" w:hAnsi="宋体" w:eastAsia="宋体" w:cs="宋体"/>
          <w:spacing w:val="-3"/>
          <w:sz w:val="24"/>
          <w:szCs w:val="24"/>
        </w:rPr>
        <w:t>管部门的处理。</w:t>
      </w:r>
    </w:p>
    <w:p>
      <w:pPr>
        <w:spacing w:before="183" w:line="219" w:lineRule="auto"/>
        <w:ind w:left="504"/>
        <w:rPr>
          <w:rFonts w:ascii="宋体" w:hAnsi="宋体" w:eastAsia="宋体" w:cs="宋体"/>
          <w:sz w:val="24"/>
          <w:szCs w:val="24"/>
        </w:rPr>
      </w:pPr>
      <w:r>
        <w:rPr>
          <w:rFonts w:ascii="宋体" w:hAnsi="宋体" w:eastAsia="宋体" w:cs="宋体"/>
          <w:spacing w:val="-1"/>
          <w:sz w:val="24"/>
          <w:szCs w:val="24"/>
        </w:rPr>
        <w:t>附件：</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 xml:space="preserve">单位使用 </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年度广东省公路工程从</w:t>
      </w:r>
      <w:r>
        <w:rPr>
          <w:rFonts w:ascii="宋体" w:hAnsi="宋体" w:eastAsia="宋体" w:cs="宋体"/>
          <w:spacing w:val="-2"/>
          <w:sz w:val="24"/>
          <w:szCs w:val="24"/>
        </w:rPr>
        <w:t>业单位信用等级情况汇总表</w:t>
      </w:r>
    </w:p>
    <w:p>
      <w:pPr>
        <w:spacing w:before="184" w:line="219" w:lineRule="auto"/>
        <w:ind w:left="485"/>
        <w:rPr>
          <w:rFonts w:ascii="宋体" w:hAnsi="宋体" w:eastAsia="宋体" w:cs="宋体"/>
          <w:sz w:val="24"/>
          <w:szCs w:val="24"/>
        </w:rPr>
      </w:pPr>
      <w:r>
        <w:rPr>
          <w:rFonts w:ascii="宋体" w:hAnsi="宋体" w:eastAsia="宋体" w:cs="宋体"/>
          <w:spacing w:val="-3"/>
          <w:sz w:val="24"/>
          <w:szCs w:val="24"/>
        </w:rPr>
        <w:t>特此承诺</w:t>
      </w:r>
    </w:p>
    <w:p>
      <w:pPr>
        <w:spacing w:line="282" w:lineRule="auto"/>
        <w:rPr>
          <w:rFonts w:ascii="Arial"/>
          <w:sz w:val="21"/>
        </w:rPr>
      </w:pPr>
    </w:p>
    <w:p>
      <w:pPr>
        <w:spacing w:line="282" w:lineRule="auto"/>
        <w:rPr>
          <w:rFonts w:ascii="Arial"/>
          <w:sz w:val="21"/>
        </w:rPr>
      </w:pPr>
    </w:p>
    <w:p>
      <w:pPr>
        <w:spacing w:before="79" w:line="220" w:lineRule="auto"/>
        <w:ind w:left="2321"/>
        <w:rPr>
          <w:rFonts w:ascii="宋体" w:hAnsi="宋体" w:eastAsia="宋体" w:cs="宋体"/>
          <w:sz w:val="24"/>
          <w:szCs w:val="24"/>
        </w:rPr>
      </w:pPr>
      <w:r>
        <w:rPr>
          <w:rFonts w:ascii="宋体" w:hAnsi="宋体" w:eastAsia="宋体" w:cs="宋体"/>
          <w:spacing w:val="-2"/>
          <w:sz w:val="24"/>
          <w:szCs w:val="24"/>
        </w:rPr>
        <w:t>投标人（单位全称</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pPr>
        <w:spacing w:before="182" w:line="219" w:lineRule="auto"/>
        <w:ind w:left="2321"/>
        <w:rPr>
          <w:rFonts w:ascii="宋体" w:hAnsi="宋体" w:eastAsia="宋体" w:cs="宋体"/>
          <w:sz w:val="24"/>
          <w:szCs w:val="24"/>
        </w:rPr>
      </w:pPr>
      <w:r>
        <w:rPr>
          <w:rFonts w:ascii="宋体" w:hAnsi="宋体" w:eastAsia="宋体" w:cs="宋体"/>
          <w:spacing w:val="-1"/>
          <w:sz w:val="24"/>
          <w:szCs w:val="24"/>
        </w:rPr>
        <w:t>投标人的法定代表人或其委托代理人签名：</w:t>
      </w:r>
      <w:r>
        <w:rPr>
          <w:rFonts w:ascii="宋体" w:hAnsi="宋体" w:eastAsia="宋体" w:cs="宋体"/>
          <w:sz w:val="24"/>
          <w:szCs w:val="24"/>
          <w:u w:val="single" w:color="auto"/>
        </w:rPr>
        <w:t xml:space="preserve">           </w:t>
      </w:r>
    </w:p>
    <w:p>
      <w:pPr>
        <w:tabs>
          <w:tab w:val="left" w:pos="5972"/>
        </w:tabs>
        <w:spacing w:before="181" w:line="219" w:lineRule="auto"/>
        <w:ind w:left="5248"/>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9"/>
          <w:sz w:val="24"/>
          <w:szCs w:val="24"/>
        </w:rPr>
        <w:t>日</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before="65" w:line="239" w:lineRule="auto"/>
        <w:ind w:left="3" w:right="294"/>
        <w:rPr>
          <w:rFonts w:ascii="宋体" w:hAnsi="宋体" w:eastAsia="宋体" w:cs="宋体"/>
          <w:sz w:val="20"/>
          <w:szCs w:val="20"/>
        </w:rPr>
      </w:pPr>
      <w:r>
        <w:rPr>
          <w:rFonts w:ascii="宋体" w:hAnsi="宋体" w:eastAsia="宋体" w:cs="宋体"/>
          <w:spacing w:val="-6"/>
          <w:sz w:val="20"/>
          <w:szCs w:val="20"/>
        </w:rPr>
        <w:t>注：1、AA、A</w:t>
      </w:r>
      <w:r>
        <w:rPr>
          <w:rFonts w:ascii="宋体" w:hAnsi="宋体" w:eastAsia="宋体" w:cs="宋体"/>
          <w:spacing w:val="-20"/>
          <w:sz w:val="20"/>
          <w:szCs w:val="20"/>
        </w:rPr>
        <w:t xml:space="preserve"> </w:t>
      </w:r>
      <w:r>
        <w:rPr>
          <w:rFonts w:ascii="宋体" w:hAnsi="宋体" w:eastAsia="宋体" w:cs="宋体"/>
          <w:spacing w:val="-6"/>
          <w:sz w:val="20"/>
          <w:szCs w:val="20"/>
        </w:rPr>
        <w:t>级信用等级企业必须填写此申请承诺书；选择“使用</w:t>
      </w:r>
      <w:r>
        <w:rPr>
          <w:rFonts w:ascii="宋体" w:hAnsi="宋体" w:eastAsia="宋体" w:cs="宋体"/>
          <w:spacing w:val="-70"/>
          <w:sz w:val="20"/>
          <w:szCs w:val="20"/>
        </w:rPr>
        <w:t xml:space="preserve"> </w:t>
      </w:r>
      <w:r>
        <w:rPr>
          <w:rFonts w:ascii="宋体" w:hAnsi="宋体" w:eastAsia="宋体" w:cs="宋体"/>
          <w:spacing w:val="-6"/>
          <w:sz w:val="20"/>
          <w:szCs w:val="20"/>
        </w:rPr>
        <w:t>”时需和附表（</w:t>
      </w:r>
      <w:r>
        <w:rPr>
          <w:rFonts w:ascii="宋体" w:hAnsi="宋体" w:eastAsia="宋体" w:cs="宋体"/>
          <w:spacing w:val="-6"/>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 xml:space="preserve">单位使用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6"/>
          <w:sz w:val="20"/>
          <w:szCs w:val="20"/>
        </w:rPr>
        <w:t>年</w:t>
      </w:r>
      <w:r>
        <w:rPr>
          <w:rFonts w:ascii="宋体" w:hAnsi="宋体" w:eastAsia="宋体" w:cs="宋体"/>
          <w:sz w:val="20"/>
          <w:szCs w:val="20"/>
        </w:rPr>
        <w:t xml:space="preserve"> </w:t>
      </w:r>
      <w:r>
        <w:rPr>
          <w:rFonts w:ascii="宋体" w:hAnsi="宋体" w:eastAsia="宋体" w:cs="宋体"/>
          <w:spacing w:val="9"/>
          <w:sz w:val="20"/>
          <w:szCs w:val="20"/>
        </w:rPr>
        <w:t>度广东省公路工程从业单位信用等级情况汇总表）一起编入投标文件中。</w:t>
      </w:r>
    </w:p>
    <w:p>
      <w:pPr>
        <w:spacing w:before="28" w:line="245" w:lineRule="auto"/>
        <w:ind w:left="2" w:right="294" w:firstLine="4"/>
        <w:jc w:val="both"/>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z w:val="20"/>
          <w:szCs w:val="20"/>
        </w:rPr>
        <w:t>AA</w:t>
      </w:r>
      <w:r>
        <w:rPr>
          <w:rFonts w:ascii="宋体" w:hAnsi="宋体" w:eastAsia="宋体" w:cs="宋体"/>
          <w:spacing w:val="8"/>
          <w:sz w:val="20"/>
          <w:szCs w:val="20"/>
        </w:rPr>
        <w:t>、A 级信用等级企业应区分标段、分别填写并提交此申请承诺书；如同时对多个标段选择“使</w:t>
      </w:r>
      <w:r>
        <w:rPr>
          <w:rFonts w:ascii="宋体" w:hAnsi="宋体" w:eastAsia="宋体" w:cs="宋体"/>
          <w:spacing w:val="1"/>
          <w:sz w:val="20"/>
          <w:szCs w:val="20"/>
        </w:rPr>
        <w:t xml:space="preserve"> </w:t>
      </w:r>
      <w:r>
        <w:rPr>
          <w:rFonts w:ascii="宋体" w:hAnsi="宋体" w:eastAsia="宋体" w:cs="宋体"/>
          <w:spacing w:val="9"/>
          <w:sz w:val="20"/>
          <w:szCs w:val="20"/>
        </w:rPr>
        <w:t>用</w:t>
      </w:r>
      <w:r>
        <w:rPr>
          <w:rFonts w:ascii="宋体" w:hAnsi="宋体" w:eastAsia="宋体" w:cs="宋体"/>
          <w:spacing w:val="-66"/>
          <w:sz w:val="20"/>
          <w:szCs w:val="20"/>
        </w:rPr>
        <w:t xml:space="preserve"> </w:t>
      </w:r>
      <w:r>
        <w:rPr>
          <w:rFonts w:ascii="宋体" w:hAnsi="宋体" w:eastAsia="宋体" w:cs="宋体"/>
          <w:spacing w:val="9"/>
          <w:sz w:val="20"/>
          <w:szCs w:val="20"/>
        </w:rPr>
        <w:t>”时，使用次数应按标段累加（即各个标段申请承诺书的使用次数应不一致）。如同时对多个标</w:t>
      </w:r>
      <w:r>
        <w:rPr>
          <w:rFonts w:ascii="宋体" w:hAnsi="宋体" w:eastAsia="宋体" w:cs="宋体"/>
          <w:sz w:val="20"/>
          <w:szCs w:val="20"/>
        </w:rPr>
        <w:t xml:space="preserve"> </w:t>
      </w:r>
      <w:r>
        <w:rPr>
          <w:rFonts w:ascii="宋体" w:hAnsi="宋体" w:eastAsia="宋体" w:cs="宋体"/>
          <w:spacing w:val="9"/>
          <w:sz w:val="20"/>
          <w:szCs w:val="20"/>
        </w:rPr>
        <w:t>段选择“使用</w:t>
      </w:r>
      <w:r>
        <w:rPr>
          <w:rFonts w:ascii="宋体" w:hAnsi="宋体" w:eastAsia="宋体" w:cs="宋体"/>
          <w:spacing w:val="-66"/>
          <w:sz w:val="20"/>
          <w:szCs w:val="20"/>
        </w:rPr>
        <w:t xml:space="preserve"> </w:t>
      </w:r>
      <w:r>
        <w:rPr>
          <w:rFonts w:ascii="宋体" w:hAnsi="宋体" w:eastAsia="宋体" w:cs="宋体"/>
          <w:spacing w:val="9"/>
          <w:sz w:val="20"/>
          <w:szCs w:val="20"/>
        </w:rPr>
        <w:t>”而多个标段所附申请承诺书的使用次数为同一次时，多个标段均视为未正确填报申</w:t>
      </w:r>
      <w:r>
        <w:rPr>
          <w:rFonts w:ascii="宋体" w:hAnsi="宋体" w:eastAsia="宋体" w:cs="宋体"/>
          <w:sz w:val="20"/>
          <w:szCs w:val="20"/>
        </w:rPr>
        <w:t xml:space="preserve"> </w:t>
      </w:r>
      <w:r>
        <w:rPr>
          <w:rFonts w:ascii="宋体" w:hAnsi="宋体" w:eastAsia="宋体" w:cs="宋体"/>
          <w:spacing w:val="9"/>
          <w:sz w:val="20"/>
          <w:szCs w:val="20"/>
        </w:rPr>
        <w:t>请承诺书，均按不承诺使用对应的信用等级处理。</w:t>
      </w:r>
    </w:p>
    <w:p>
      <w:pPr>
        <w:spacing w:before="27"/>
        <w:ind w:left="4" w:right="294" w:firstLine="3"/>
        <w:rPr>
          <w:rFonts w:ascii="宋体" w:hAnsi="宋体" w:eastAsia="宋体" w:cs="宋体"/>
          <w:sz w:val="20"/>
          <w:szCs w:val="20"/>
        </w:rPr>
      </w:pPr>
      <w:r>
        <w:rPr>
          <w:rFonts w:ascii="宋体" w:hAnsi="宋体" w:eastAsia="宋体" w:cs="宋体"/>
          <w:spacing w:val="8"/>
          <w:sz w:val="20"/>
          <w:szCs w:val="20"/>
        </w:rPr>
        <w:t>3、中标候选人公示中，将对所有承诺使用最新年度</w:t>
      </w:r>
      <w:r>
        <w:rPr>
          <w:rFonts w:ascii="宋体" w:hAnsi="宋体" w:eastAsia="宋体" w:cs="宋体"/>
          <w:spacing w:val="-43"/>
          <w:sz w:val="20"/>
          <w:szCs w:val="20"/>
        </w:rPr>
        <w:t xml:space="preserve"> </w:t>
      </w:r>
      <w:r>
        <w:rPr>
          <w:rFonts w:ascii="宋体" w:hAnsi="宋体" w:eastAsia="宋体" w:cs="宋体"/>
          <w:sz w:val="20"/>
          <w:szCs w:val="20"/>
        </w:rPr>
        <w:t>AA</w:t>
      </w:r>
      <w:r>
        <w:rPr>
          <w:rFonts w:ascii="宋体" w:hAnsi="宋体" w:eastAsia="宋体" w:cs="宋体"/>
          <w:spacing w:val="8"/>
          <w:sz w:val="20"/>
          <w:szCs w:val="20"/>
        </w:rPr>
        <w:t>、A</w:t>
      </w:r>
      <w:r>
        <w:rPr>
          <w:rFonts w:ascii="宋体" w:hAnsi="宋体" w:eastAsia="宋体" w:cs="宋体"/>
          <w:spacing w:val="-35"/>
          <w:sz w:val="20"/>
          <w:szCs w:val="20"/>
        </w:rPr>
        <w:t xml:space="preserve"> </w:t>
      </w:r>
      <w:r>
        <w:rPr>
          <w:rFonts w:ascii="宋体" w:hAnsi="宋体" w:eastAsia="宋体" w:cs="宋体"/>
          <w:spacing w:val="8"/>
          <w:sz w:val="20"/>
          <w:szCs w:val="20"/>
        </w:rPr>
        <w:t>级投标</w:t>
      </w:r>
      <w:r>
        <w:rPr>
          <w:rFonts w:ascii="宋体" w:hAnsi="宋体" w:eastAsia="宋体" w:cs="宋体"/>
          <w:spacing w:val="7"/>
          <w:sz w:val="20"/>
          <w:szCs w:val="20"/>
        </w:rPr>
        <w:t>人的年度信用等级使用情况进行公</w:t>
      </w:r>
      <w:r>
        <w:rPr>
          <w:rFonts w:ascii="宋体" w:hAnsi="宋体" w:eastAsia="宋体" w:cs="宋体"/>
          <w:sz w:val="20"/>
          <w:szCs w:val="20"/>
        </w:rPr>
        <w:t xml:space="preserve"> 开。</w:t>
      </w:r>
    </w:p>
    <w:p>
      <w:pPr>
        <w:spacing w:before="25" w:line="228" w:lineRule="auto"/>
        <w:ind w:left="3"/>
        <w:rPr>
          <w:rFonts w:ascii="宋体" w:hAnsi="宋体" w:eastAsia="宋体" w:cs="宋体"/>
          <w:sz w:val="20"/>
          <w:szCs w:val="20"/>
        </w:rPr>
      </w:pPr>
      <w:r>
        <w:rPr>
          <w:rFonts w:ascii="宋体" w:hAnsi="宋体" w:eastAsia="宋体" w:cs="宋体"/>
          <w:spacing w:val="9"/>
          <w:sz w:val="20"/>
          <w:szCs w:val="20"/>
        </w:rPr>
        <w:t>4、以联合体形式投标的，联合体各成员应分别填</w:t>
      </w:r>
      <w:r>
        <w:rPr>
          <w:rFonts w:ascii="宋体" w:hAnsi="宋体" w:eastAsia="宋体" w:cs="宋体"/>
          <w:spacing w:val="8"/>
          <w:sz w:val="20"/>
          <w:szCs w:val="20"/>
        </w:rPr>
        <w:t>写。</w:t>
      </w:r>
    </w:p>
    <w:p>
      <w:pPr>
        <w:spacing w:line="417" w:lineRule="auto"/>
        <w:rPr>
          <w:rFonts w:ascii="Arial"/>
          <w:sz w:val="21"/>
        </w:rPr>
      </w:pPr>
    </w:p>
    <w:p>
      <w:pPr>
        <w:pStyle w:val="4"/>
        <w:spacing w:before="100" w:line="228" w:lineRule="auto"/>
        <w:ind w:left="141"/>
        <w:rPr>
          <w:spacing w:val="-4"/>
          <w:sz w:val="31"/>
          <w:szCs w:val="31"/>
          <w14:textOutline w14:w="5793" w14:cap="sq" w14:cmpd="sng">
            <w14:solidFill>
              <w14:srgbClr w14:val="000000"/>
            </w14:solidFill>
            <w14:prstDash w14:val="solid"/>
            <w14:bevel/>
          </w14:textOutline>
        </w:rPr>
      </w:pPr>
    </w:p>
    <w:p>
      <w:pPr>
        <w:pStyle w:val="4"/>
        <w:spacing w:before="100" w:line="228" w:lineRule="auto"/>
        <w:ind w:left="141"/>
        <w:rPr>
          <w:spacing w:val="-4"/>
          <w:sz w:val="31"/>
          <w:szCs w:val="31"/>
          <w14:textOutline w14:w="5793" w14:cap="sq" w14:cmpd="sng">
            <w14:solidFill>
              <w14:srgbClr w14:val="000000"/>
            </w14:solidFill>
            <w14:prstDash w14:val="solid"/>
            <w14:bevel/>
          </w14:textOutline>
        </w:rPr>
      </w:pPr>
    </w:p>
    <w:p>
      <w:pPr>
        <w:pStyle w:val="4"/>
        <w:spacing w:before="100" w:line="228" w:lineRule="auto"/>
        <w:ind w:left="141"/>
        <w:rPr>
          <w:sz w:val="31"/>
          <w:szCs w:val="31"/>
        </w:rPr>
      </w:pPr>
      <w:r>
        <w:rPr>
          <w:spacing w:val="-4"/>
          <w:sz w:val="31"/>
          <w:szCs w:val="31"/>
          <w14:textOutline w14:w="5793" w14:cap="sq" w14:cmpd="sng">
            <w14:solidFill>
              <w14:srgbClr w14:val="000000"/>
            </w14:solidFill>
            <w14:prstDash w14:val="solid"/>
            <w14:bevel/>
          </w14:textOutline>
        </w:rPr>
        <w:t>附表：</w:t>
      </w:r>
    </w:p>
    <w:p>
      <w:pPr>
        <w:tabs>
          <w:tab w:val="left" w:pos="2331"/>
        </w:tabs>
        <w:spacing w:before="22" w:line="358" w:lineRule="auto"/>
        <w:ind w:left="785"/>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19"/>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单位使用</w:t>
      </w:r>
      <w:r>
        <w:rPr>
          <w:rFonts w:ascii="宋体" w:hAnsi="宋体" w:eastAsia="宋体" w:cs="宋体"/>
          <w:spacing w:val="-139"/>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年度广东省公路工程从业单位</w:t>
      </w:r>
    </w:p>
    <w:p>
      <w:pPr>
        <w:spacing w:before="1" w:line="219" w:lineRule="auto"/>
        <w:ind w:left="339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信用等级情况汇总表</w:t>
      </w:r>
    </w:p>
    <w:p>
      <w:pPr>
        <w:spacing w:before="41"/>
      </w:pPr>
    </w:p>
    <w:p>
      <w:pPr>
        <w:spacing w:before="40"/>
      </w:pPr>
    </w:p>
    <w:p>
      <w:pPr>
        <w:spacing w:before="40"/>
      </w:pPr>
    </w:p>
    <w:tbl>
      <w:tblPr>
        <w:tblStyle w:val="16"/>
        <w:tblW w:w="91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2146"/>
        <w:gridCol w:w="1529"/>
        <w:gridCol w:w="1699"/>
        <w:gridCol w:w="1652"/>
        <w:gridCol w:w="12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6" w:hRule="atLeast"/>
        </w:trPr>
        <w:tc>
          <w:tcPr>
            <w:tcW w:w="916"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17"/>
              <w:spacing w:before="78" w:line="221" w:lineRule="auto"/>
              <w:ind w:left="223"/>
            </w:pPr>
            <w:r>
              <w:rPr>
                <w:spacing w:val="-5"/>
              </w:rPr>
              <w:t>序号</w:t>
            </w:r>
          </w:p>
        </w:tc>
        <w:tc>
          <w:tcPr>
            <w:tcW w:w="2146"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17"/>
              <w:spacing w:before="78" w:line="220" w:lineRule="auto"/>
              <w:ind w:left="477"/>
            </w:pPr>
            <w:r>
              <w:rPr>
                <w:spacing w:val="-3"/>
              </w:rPr>
              <w:t>招标人名称</w:t>
            </w:r>
          </w:p>
        </w:tc>
        <w:tc>
          <w:tcPr>
            <w:tcW w:w="1529" w:type="dxa"/>
            <w:vAlign w:val="top"/>
          </w:tcPr>
          <w:p>
            <w:pPr>
              <w:spacing w:line="295" w:lineRule="auto"/>
              <w:rPr>
                <w:rFonts w:ascii="Arial"/>
                <w:sz w:val="21"/>
              </w:rPr>
            </w:pPr>
          </w:p>
          <w:p>
            <w:pPr>
              <w:spacing w:line="296" w:lineRule="auto"/>
              <w:rPr>
                <w:rFonts w:ascii="Arial"/>
                <w:sz w:val="21"/>
              </w:rPr>
            </w:pPr>
          </w:p>
          <w:p>
            <w:pPr>
              <w:pStyle w:val="17"/>
              <w:spacing w:before="78" w:line="229" w:lineRule="auto"/>
              <w:ind w:left="292" w:right="161" w:hanging="120"/>
            </w:pPr>
            <w:r>
              <w:rPr>
                <w:spacing w:val="-3"/>
              </w:rPr>
              <w:t>标类或（标</w:t>
            </w:r>
            <w:r>
              <w:rPr>
                <w:spacing w:val="3"/>
              </w:rPr>
              <w:t xml:space="preserve"> </w:t>
            </w:r>
            <w:r>
              <w:rPr>
                <w:spacing w:val="-3"/>
              </w:rPr>
              <w:t>段）名称</w:t>
            </w:r>
          </w:p>
        </w:tc>
        <w:tc>
          <w:tcPr>
            <w:tcW w:w="1699" w:type="dxa"/>
            <w:vAlign w:val="top"/>
          </w:tcPr>
          <w:p>
            <w:pPr>
              <w:spacing w:line="294" w:lineRule="auto"/>
              <w:rPr>
                <w:rFonts w:ascii="Arial"/>
                <w:sz w:val="21"/>
              </w:rPr>
            </w:pPr>
          </w:p>
          <w:p>
            <w:pPr>
              <w:spacing w:line="295" w:lineRule="auto"/>
              <w:rPr>
                <w:rFonts w:ascii="Arial"/>
                <w:sz w:val="21"/>
              </w:rPr>
            </w:pPr>
          </w:p>
          <w:p>
            <w:pPr>
              <w:pStyle w:val="17"/>
              <w:spacing w:before="78" w:line="229" w:lineRule="auto"/>
              <w:ind w:left="268" w:right="125" w:hanging="130"/>
            </w:pPr>
            <w:r>
              <w:rPr>
                <w:spacing w:val="-2"/>
              </w:rPr>
              <w:t>递交文件时间</w:t>
            </w:r>
            <w:r>
              <w:t xml:space="preserve"> </w:t>
            </w:r>
            <w:r>
              <w:rPr>
                <w:spacing w:val="-5"/>
              </w:rPr>
              <w:t>（年月日）</w:t>
            </w:r>
          </w:p>
        </w:tc>
        <w:tc>
          <w:tcPr>
            <w:tcW w:w="1652" w:type="dxa"/>
            <w:vAlign w:val="top"/>
          </w:tcPr>
          <w:p>
            <w:pPr>
              <w:spacing w:line="295" w:lineRule="auto"/>
              <w:rPr>
                <w:rFonts w:ascii="Arial"/>
                <w:sz w:val="21"/>
              </w:rPr>
            </w:pPr>
          </w:p>
          <w:p>
            <w:pPr>
              <w:spacing w:line="295" w:lineRule="auto"/>
              <w:rPr>
                <w:rFonts w:ascii="Arial"/>
                <w:sz w:val="21"/>
              </w:rPr>
            </w:pPr>
          </w:p>
          <w:p>
            <w:pPr>
              <w:pStyle w:val="17"/>
              <w:spacing w:before="78" w:line="230" w:lineRule="auto"/>
              <w:ind w:left="237" w:right="222" w:hanging="2"/>
            </w:pPr>
            <w:r>
              <w:rPr>
                <w:spacing w:val="-3"/>
              </w:rPr>
              <w:t>使用信用等</w:t>
            </w:r>
            <w:r>
              <w:rPr>
                <w:spacing w:val="3"/>
              </w:rPr>
              <w:t xml:space="preserve"> </w:t>
            </w:r>
            <w:r>
              <w:rPr>
                <w:spacing w:val="-2"/>
              </w:rPr>
              <w:t>级（AA/A）</w:t>
            </w:r>
          </w:p>
        </w:tc>
        <w:tc>
          <w:tcPr>
            <w:tcW w:w="1240"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17"/>
              <w:spacing w:before="78" w:line="221" w:lineRule="auto"/>
              <w:ind w:left="389"/>
            </w:pPr>
            <w:r>
              <w:rPr>
                <w:spacing w:val="-7"/>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16" w:type="dxa"/>
            <w:vAlign w:val="top"/>
          </w:tcPr>
          <w:p>
            <w:pPr>
              <w:pStyle w:val="17"/>
              <w:spacing w:before="72" w:line="184" w:lineRule="auto"/>
              <w:ind w:left="421"/>
            </w:pPr>
            <w:r>
              <w:t>1</w:t>
            </w:r>
          </w:p>
        </w:tc>
        <w:tc>
          <w:tcPr>
            <w:tcW w:w="2146" w:type="dxa"/>
            <w:vAlign w:val="top"/>
          </w:tcPr>
          <w:p>
            <w:pPr>
              <w:rPr>
                <w:rFonts w:ascii="Arial"/>
                <w:sz w:val="21"/>
              </w:rPr>
            </w:pPr>
          </w:p>
        </w:tc>
        <w:tc>
          <w:tcPr>
            <w:tcW w:w="1529" w:type="dxa"/>
            <w:vAlign w:val="top"/>
          </w:tcPr>
          <w:p>
            <w:pPr>
              <w:rPr>
                <w:rFonts w:ascii="Arial"/>
                <w:sz w:val="21"/>
              </w:rPr>
            </w:pPr>
          </w:p>
        </w:tc>
        <w:tc>
          <w:tcPr>
            <w:tcW w:w="1699" w:type="dxa"/>
            <w:vAlign w:val="top"/>
          </w:tcPr>
          <w:p>
            <w:pPr>
              <w:rPr>
                <w:rFonts w:ascii="Arial"/>
                <w:sz w:val="21"/>
              </w:rPr>
            </w:pPr>
          </w:p>
        </w:tc>
        <w:tc>
          <w:tcPr>
            <w:tcW w:w="1652" w:type="dxa"/>
            <w:vAlign w:val="top"/>
          </w:tcPr>
          <w:p>
            <w:pPr>
              <w:rPr>
                <w:rFonts w:ascii="Arial"/>
                <w:sz w:val="21"/>
              </w:rPr>
            </w:pPr>
          </w:p>
        </w:tc>
        <w:tc>
          <w:tcPr>
            <w:tcW w:w="12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16" w:type="dxa"/>
            <w:vAlign w:val="top"/>
          </w:tcPr>
          <w:p>
            <w:pPr>
              <w:pStyle w:val="17"/>
              <w:spacing w:before="74" w:line="183" w:lineRule="auto"/>
              <w:ind w:left="407"/>
            </w:pPr>
            <w:r>
              <w:t>2</w:t>
            </w:r>
          </w:p>
        </w:tc>
        <w:tc>
          <w:tcPr>
            <w:tcW w:w="2146" w:type="dxa"/>
            <w:vAlign w:val="top"/>
          </w:tcPr>
          <w:p>
            <w:pPr>
              <w:rPr>
                <w:rFonts w:ascii="Arial"/>
                <w:sz w:val="21"/>
              </w:rPr>
            </w:pPr>
          </w:p>
        </w:tc>
        <w:tc>
          <w:tcPr>
            <w:tcW w:w="1529" w:type="dxa"/>
            <w:vAlign w:val="top"/>
          </w:tcPr>
          <w:p>
            <w:pPr>
              <w:rPr>
                <w:rFonts w:ascii="Arial"/>
                <w:sz w:val="21"/>
              </w:rPr>
            </w:pPr>
          </w:p>
        </w:tc>
        <w:tc>
          <w:tcPr>
            <w:tcW w:w="1699" w:type="dxa"/>
            <w:vAlign w:val="top"/>
          </w:tcPr>
          <w:p>
            <w:pPr>
              <w:rPr>
                <w:rFonts w:ascii="Arial"/>
                <w:sz w:val="21"/>
              </w:rPr>
            </w:pPr>
          </w:p>
        </w:tc>
        <w:tc>
          <w:tcPr>
            <w:tcW w:w="1652" w:type="dxa"/>
            <w:vAlign w:val="top"/>
          </w:tcPr>
          <w:p>
            <w:pPr>
              <w:rPr>
                <w:rFonts w:ascii="Arial"/>
                <w:sz w:val="21"/>
              </w:rPr>
            </w:pPr>
          </w:p>
        </w:tc>
        <w:tc>
          <w:tcPr>
            <w:tcW w:w="12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16" w:type="dxa"/>
            <w:vAlign w:val="top"/>
          </w:tcPr>
          <w:p>
            <w:pPr>
              <w:pStyle w:val="17"/>
              <w:spacing w:before="75" w:line="183" w:lineRule="auto"/>
              <w:ind w:left="408"/>
            </w:pPr>
            <w:r>
              <w:t>3</w:t>
            </w:r>
          </w:p>
        </w:tc>
        <w:tc>
          <w:tcPr>
            <w:tcW w:w="2146" w:type="dxa"/>
            <w:vAlign w:val="top"/>
          </w:tcPr>
          <w:p>
            <w:pPr>
              <w:rPr>
                <w:rFonts w:ascii="Arial"/>
                <w:sz w:val="21"/>
              </w:rPr>
            </w:pPr>
          </w:p>
        </w:tc>
        <w:tc>
          <w:tcPr>
            <w:tcW w:w="1529" w:type="dxa"/>
            <w:vAlign w:val="top"/>
          </w:tcPr>
          <w:p>
            <w:pPr>
              <w:rPr>
                <w:rFonts w:ascii="Arial"/>
                <w:sz w:val="21"/>
              </w:rPr>
            </w:pPr>
          </w:p>
        </w:tc>
        <w:tc>
          <w:tcPr>
            <w:tcW w:w="1699" w:type="dxa"/>
            <w:vAlign w:val="top"/>
          </w:tcPr>
          <w:p>
            <w:pPr>
              <w:rPr>
                <w:rFonts w:ascii="Arial"/>
                <w:sz w:val="21"/>
              </w:rPr>
            </w:pPr>
          </w:p>
        </w:tc>
        <w:tc>
          <w:tcPr>
            <w:tcW w:w="1652" w:type="dxa"/>
            <w:vAlign w:val="top"/>
          </w:tcPr>
          <w:p>
            <w:pPr>
              <w:rPr>
                <w:rFonts w:ascii="Arial"/>
                <w:sz w:val="21"/>
              </w:rPr>
            </w:pPr>
          </w:p>
        </w:tc>
        <w:tc>
          <w:tcPr>
            <w:tcW w:w="12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16" w:type="dxa"/>
            <w:vAlign w:val="top"/>
          </w:tcPr>
          <w:p>
            <w:pPr>
              <w:pStyle w:val="17"/>
              <w:spacing w:before="75" w:line="183" w:lineRule="auto"/>
              <w:ind w:left="403"/>
            </w:pPr>
            <w:r>
              <w:t>4</w:t>
            </w:r>
          </w:p>
        </w:tc>
        <w:tc>
          <w:tcPr>
            <w:tcW w:w="2146" w:type="dxa"/>
            <w:vAlign w:val="top"/>
          </w:tcPr>
          <w:p>
            <w:pPr>
              <w:rPr>
                <w:rFonts w:ascii="Arial"/>
                <w:sz w:val="21"/>
              </w:rPr>
            </w:pPr>
          </w:p>
        </w:tc>
        <w:tc>
          <w:tcPr>
            <w:tcW w:w="1529" w:type="dxa"/>
            <w:vAlign w:val="top"/>
          </w:tcPr>
          <w:p>
            <w:pPr>
              <w:rPr>
                <w:rFonts w:ascii="Arial"/>
                <w:sz w:val="21"/>
              </w:rPr>
            </w:pPr>
          </w:p>
        </w:tc>
        <w:tc>
          <w:tcPr>
            <w:tcW w:w="1699" w:type="dxa"/>
            <w:vAlign w:val="top"/>
          </w:tcPr>
          <w:p>
            <w:pPr>
              <w:rPr>
                <w:rFonts w:ascii="Arial"/>
                <w:sz w:val="21"/>
              </w:rPr>
            </w:pPr>
          </w:p>
        </w:tc>
        <w:tc>
          <w:tcPr>
            <w:tcW w:w="1652" w:type="dxa"/>
            <w:vAlign w:val="top"/>
          </w:tcPr>
          <w:p>
            <w:pPr>
              <w:rPr>
                <w:rFonts w:ascii="Arial"/>
                <w:sz w:val="21"/>
              </w:rPr>
            </w:pPr>
          </w:p>
        </w:tc>
        <w:tc>
          <w:tcPr>
            <w:tcW w:w="12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916" w:type="dxa"/>
            <w:vAlign w:val="top"/>
          </w:tcPr>
          <w:p>
            <w:pPr>
              <w:pStyle w:val="17"/>
              <w:spacing w:before="77" w:line="182" w:lineRule="auto"/>
              <w:ind w:left="408"/>
            </w:pPr>
            <w:r>
              <w:t>5</w:t>
            </w:r>
          </w:p>
        </w:tc>
        <w:tc>
          <w:tcPr>
            <w:tcW w:w="2146" w:type="dxa"/>
            <w:vAlign w:val="top"/>
          </w:tcPr>
          <w:p>
            <w:pPr>
              <w:rPr>
                <w:rFonts w:ascii="Arial"/>
                <w:sz w:val="21"/>
              </w:rPr>
            </w:pPr>
          </w:p>
        </w:tc>
        <w:tc>
          <w:tcPr>
            <w:tcW w:w="1529" w:type="dxa"/>
            <w:vAlign w:val="top"/>
          </w:tcPr>
          <w:p>
            <w:pPr>
              <w:rPr>
                <w:rFonts w:ascii="Arial"/>
                <w:sz w:val="21"/>
              </w:rPr>
            </w:pPr>
          </w:p>
        </w:tc>
        <w:tc>
          <w:tcPr>
            <w:tcW w:w="1699" w:type="dxa"/>
            <w:vAlign w:val="top"/>
          </w:tcPr>
          <w:p>
            <w:pPr>
              <w:rPr>
                <w:rFonts w:ascii="Arial"/>
                <w:sz w:val="21"/>
              </w:rPr>
            </w:pPr>
          </w:p>
        </w:tc>
        <w:tc>
          <w:tcPr>
            <w:tcW w:w="1652" w:type="dxa"/>
            <w:vAlign w:val="top"/>
          </w:tcPr>
          <w:p>
            <w:pPr>
              <w:rPr>
                <w:rFonts w:ascii="Arial"/>
                <w:sz w:val="21"/>
              </w:rPr>
            </w:pPr>
          </w:p>
        </w:tc>
        <w:tc>
          <w:tcPr>
            <w:tcW w:w="12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16" w:type="dxa"/>
            <w:vAlign w:val="top"/>
          </w:tcPr>
          <w:p>
            <w:pPr>
              <w:pStyle w:val="17"/>
              <w:spacing w:before="78" w:line="183" w:lineRule="auto"/>
              <w:ind w:left="406"/>
            </w:pPr>
            <w:r>
              <w:t>6</w:t>
            </w:r>
          </w:p>
        </w:tc>
        <w:tc>
          <w:tcPr>
            <w:tcW w:w="2146" w:type="dxa"/>
            <w:vAlign w:val="top"/>
          </w:tcPr>
          <w:p>
            <w:pPr>
              <w:rPr>
                <w:rFonts w:ascii="Arial"/>
                <w:sz w:val="21"/>
              </w:rPr>
            </w:pPr>
          </w:p>
        </w:tc>
        <w:tc>
          <w:tcPr>
            <w:tcW w:w="1529" w:type="dxa"/>
            <w:vAlign w:val="top"/>
          </w:tcPr>
          <w:p>
            <w:pPr>
              <w:rPr>
                <w:rFonts w:ascii="Arial"/>
                <w:sz w:val="21"/>
              </w:rPr>
            </w:pPr>
          </w:p>
        </w:tc>
        <w:tc>
          <w:tcPr>
            <w:tcW w:w="1699" w:type="dxa"/>
            <w:vAlign w:val="top"/>
          </w:tcPr>
          <w:p>
            <w:pPr>
              <w:rPr>
                <w:rFonts w:ascii="Arial"/>
                <w:sz w:val="21"/>
              </w:rPr>
            </w:pPr>
          </w:p>
        </w:tc>
        <w:tc>
          <w:tcPr>
            <w:tcW w:w="1652" w:type="dxa"/>
            <w:vAlign w:val="top"/>
          </w:tcPr>
          <w:p>
            <w:pPr>
              <w:rPr>
                <w:rFonts w:ascii="Arial"/>
                <w:sz w:val="21"/>
              </w:rPr>
            </w:pPr>
          </w:p>
        </w:tc>
        <w:tc>
          <w:tcPr>
            <w:tcW w:w="12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16" w:type="dxa"/>
            <w:vAlign w:val="top"/>
          </w:tcPr>
          <w:p>
            <w:pPr>
              <w:pStyle w:val="17"/>
              <w:spacing w:before="79" w:line="182" w:lineRule="auto"/>
              <w:ind w:left="409"/>
            </w:pPr>
            <w:r>
              <w:t>7</w:t>
            </w:r>
          </w:p>
        </w:tc>
        <w:tc>
          <w:tcPr>
            <w:tcW w:w="2146" w:type="dxa"/>
            <w:vAlign w:val="top"/>
          </w:tcPr>
          <w:p>
            <w:pPr>
              <w:rPr>
                <w:rFonts w:ascii="Arial"/>
                <w:sz w:val="21"/>
              </w:rPr>
            </w:pPr>
          </w:p>
        </w:tc>
        <w:tc>
          <w:tcPr>
            <w:tcW w:w="1529" w:type="dxa"/>
            <w:vAlign w:val="top"/>
          </w:tcPr>
          <w:p>
            <w:pPr>
              <w:rPr>
                <w:rFonts w:ascii="Arial"/>
                <w:sz w:val="21"/>
              </w:rPr>
            </w:pPr>
          </w:p>
        </w:tc>
        <w:tc>
          <w:tcPr>
            <w:tcW w:w="1699" w:type="dxa"/>
            <w:vAlign w:val="top"/>
          </w:tcPr>
          <w:p>
            <w:pPr>
              <w:rPr>
                <w:rFonts w:ascii="Arial"/>
                <w:sz w:val="21"/>
              </w:rPr>
            </w:pPr>
          </w:p>
        </w:tc>
        <w:tc>
          <w:tcPr>
            <w:tcW w:w="1652" w:type="dxa"/>
            <w:vAlign w:val="top"/>
          </w:tcPr>
          <w:p>
            <w:pPr>
              <w:rPr>
                <w:rFonts w:ascii="Arial"/>
                <w:sz w:val="21"/>
              </w:rPr>
            </w:pPr>
          </w:p>
        </w:tc>
        <w:tc>
          <w:tcPr>
            <w:tcW w:w="12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916" w:type="dxa"/>
            <w:vAlign w:val="top"/>
          </w:tcPr>
          <w:p>
            <w:pPr>
              <w:pStyle w:val="17"/>
              <w:spacing w:before="77" w:line="183" w:lineRule="auto"/>
              <w:ind w:left="405"/>
            </w:pPr>
            <w:r>
              <w:t>8</w:t>
            </w:r>
          </w:p>
        </w:tc>
        <w:tc>
          <w:tcPr>
            <w:tcW w:w="2146" w:type="dxa"/>
            <w:vAlign w:val="top"/>
          </w:tcPr>
          <w:p>
            <w:pPr>
              <w:rPr>
                <w:rFonts w:ascii="Arial"/>
                <w:sz w:val="21"/>
              </w:rPr>
            </w:pPr>
          </w:p>
        </w:tc>
        <w:tc>
          <w:tcPr>
            <w:tcW w:w="1529" w:type="dxa"/>
            <w:vAlign w:val="top"/>
          </w:tcPr>
          <w:p>
            <w:pPr>
              <w:rPr>
                <w:rFonts w:ascii="Arial"/>
                <w:sz w:val="21"/>
              </w:rPr>
            </w:pPr>
          </w:p>
        </w:tc>
        <w:tc>
          <w:tcPr>
            <w:tcW w:w="1699" w:type="dxa"/>
            <w:vAlign w:val="top"/>
          </w:tcPr>
          <w:p>
            <w:pPr>
              <w:rPr>
                <w:rFonts w:ascii="Arial"/>
                <w:sz w:val="21"/>
              </w:rPr>
            </w:pPr>
          </w:p>
        </w:tc>
        <w:tc>
          <w:tcPr>
            <w:tcW w:w="1652" w:type="dxa"/>
            <w:vAlign w:val="top"/>
          </w:tcPr>
          <w:p>
            <w:pPr>
              <w:rPr>
                <w:rFonts w:ascii="Arial"/>
                <w:sz w:val="21"/>
              </w:rPr>
            </w:pPr>
          </w:p>
        </w:tc>
        <w:tc>
          <w:tcPr>
            <w:tcW w:w="12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916" w:type="dxa"/>
            <w:vAlign w:val="top"/>
          </w:tcPr>
          <w:p>
            <w:pPr>
              <w:pStyle w:val="17"/>
              <w:spacing w:before="217" w:line="99" w:lineRule="exact"/>
              <w:ind w:left="290"/>
            </w:pPr>
            <w:r>
              <w:rPr>
                <w:position w:val="1"/>
              </w:rPr>
              <w:t>...</w:t>
            </w:r>
          </w:p>
        </w:tc>
        <w:tc>
          <w:tcPr>
            <w:tcW w:w="2146" w:type="dxa"/>
            <w:vAlign w:val="top"/>
          </w:tcPr>
          <w:p>
            <w:pPr>
              <w:rPr>
                <w:rFonts w:ascii="Arial"/>
                <w:sz w:val="21"/>
              </w:rPr>
            </w:pPr>
          </w:p>
        </w:tc>
        <w:tc>
          <w:tcPr>
            <w:tcW w:w="1529" w:type="dxa"/>
            <w:vAlign w:val="top"/>
          </w:tcPr>
          <w:p>
            <w:pPr>
              <w:rPr>
                <w:rFonts w:ascii="Arial"/>
                <w:sz w:val="21"/>
              </w:rPr>
            </w:pPr>
          </w:p>
        </w:tc>
        <w:tc>
          <w:tcPr>
            <w:tcW w:w="1699" w:type="dxa"/>
            <w:vAlign w:val="top"/>
          </w:tcPr>
          <w:p>
            <w:pPr>
              <w:rPr>
                <w:rFonts w:ascii="Arial"/>
                <w:sz w:val="21"/>
              </w:rPr>
            </w:pPr>
          </w:p>
        </w:tc>
        <w:tc>
          <w:tcPr>
            <w:tcW w:w="1652" w:type="dxa"/>
            <w:vAlign w:val="top"/>
          </w:tcPr>
          <w:p>
            <w:pPr>
              <w:rPr>
                <w:rFonts w:ascii="Arial"/>
                <w:sz w:val="21"/>
              </w:rPr>
            </w:pPr>
          </w:p>
        </w:tc>
        <w:tc>
          <w:tcPr>
            <w:tcW w:w="1240" w:type="dxa"/>
            <w:vAlign w:val="top"/>
          </w:tcPr>
          <w:p>
            <w:pPr>
              <w:rPr>
                <w:rFonts w:ascii="Arial"/>
                <w:sz w:val="21"/>
              </w:rPr>
            </w:pPr>
          </w:p>
        </w:tc>
      </w:tr>
    </w:tbl>
    <w:p>
      <w:pPr>
        <w:spacing w:before="31" w:line="226" w:lineRule="auto"/>
        <w:ind w:left="119"/>
        <w:rPr>
          <w:rFonts w:ascii="宋体" w:hAnsi="宋体" w:eastAsia="宋体" w:cs="宋体"/>
          <w:sz w:val="20"/>
          <w:szCs w:val="20"/>
        </w:rPr>
      </w:pPr>
      <w:r>
        <w:rPr>
          <w:rFonts w:ascii="宋体" w:hAnsi="宋体" w:eastAsia="宋体" w:cs="宋体"/>
          <w:spacing w:val="8"/>
          <w:sz w:val="20"/>
          <w:szCs w:val="20"/>
        </w:rPr>
        <w:t>注：1、应如实填报信用评价等级使用情况。</w:t>
      </w:r>
    </w:p>
    <w:p>
      <w:pPr>
        <w:spacing w:before="29" w:line="228" w:lineRule="auto"/>
        <w:ind w:left="542"/>
        <w:rPr>
          <w:rFonts w:ascii="宋体" w:hAnsi="宋体" w:eastAsia="宋体" w:cs="宋体"/>
          <w:sz w:val="20"/>
          <w:szCs w:val="20"/>
        </w:rPr>
      </w:pPr>
      <w:r>
        <w:rPr>
          <w:rFonts w:ascii="宋体" w:hAnsi="宋体" w:eastAsia="宋体" w:cs="宋体"/>
          <w:spacing w:val="9"/>
          <w:sz w:val="20"/>
          <w:szCs w:val="20"/>
        </w:rPr>
        <w:t>2、以联合体形式投标的，联合体各成员应分别</w:t>
      </w:r>
      <w:r>
        <w:rPr>
          <w:rFonts w:ascii="宋体" w:hAnsi="宋体" w:eastAsia="宋体" w:cs="宋体"/>
          <w:spacing w:val="8"/>
          <w:sz w:val="20"/>
          <w:szCs w:val="20"/>
        </w:rPr>
        <w:t>填写。</w:t>
      </w:r>
    </w:p>
    <w:p>
      <w:pPr>
        <w:spacing w:line="316" w:lineRule="auto"/>
        <w:rPr>
          <w:rFonts w:ascii="Arial"/>
          <w:sz w:val="21"/>
        </w:rPr>
      </w:pPr>
    </w:p>
    <w:p>
      <w:pPr>
        <w:spacing w:line="317" w:lineRule="auto"/>
        <w:rPr>
          <w:rFonts w:ascii="Arial"/>
          <w:sz w:val="21"/>
        </w:rPr>
      </w:pPr>
    </w:p>
    <w:p>
      <w:pPr>
        <w:spacing w:line="317" w:lineRule="auto"/>
        <w:rPr>
          <w:rFonts w:ascii="Arial"/>
          <w:sz w:val="21"/>
        </w:rPr>
      </w:pPr>
    </w:p>
    <w:p>
      <w:pPr>
        <w:spacing w:before="140" w:line="223" w:lineRule="auto"/>
        <w:ind w:left="3886"/>
        <w:rPr>
          <w:rFonts w:ascii="宋体" w:hAnsi="宋体" w:eastAsia="宋体" w:cs="宋体"/>
          <w:spacing w:val="4"/>
          <w:sz w:val="43"/>
          <w:szCs w:val="43"/>
        </w:rPr>
      </w:pPr>
    </w:p>
    <w:p>
      <w:pPr>
        <w:spacing w:before="140" w:line="223" w:lineRule="auto"/>
        <w:ind w:left="3886"/>
        <w:rPr>
          <w:rFonts w:ascii="宋体" w:hAnsi="宋体" w:eastAsia="宋体" w:cs="宋体"/>
          <w:spacing w:val="4"/>
          <w:sz w:val="43"/>
          <w:szCs w:val="43"/>
        </w:rPr>
      </w:pPr>
    </w:p>
    <w:p>
      <w:pPr>
        <w:spacing w:before="140" w:line="223" w:lineRule="auto"/>
        <w:ind w:left="3886"/>
        <w:rPr>
          <w:rFonts w:ascii="宋体" w:hAnsi="宋体" w:eastAsia="宋体" w:cs="宋体"/>
          <w:spacing w:val="4"/>
          <w:sz w:val="43"/>
          <w:szCs w:val="43"/>
        </w:rPr>
      </w:pPr>
    </w:p>
    <w:p>
      <w:pPr>
        <w:spacing w:before="140" w:line="223" w:lineRule="auto"/>
        <w:ind w:left="3886"/>
        <w:rPr>
          <w:rFonts w:ascii="宋体" w:hAnsi="宋体" w:eastAsia="宋体" w:cs="宋体"/>
          <w:spacing w:val="4"/>
          <w:sz w:val="43"/>
          <w:szCs w:val="43"/>
        </w:rPr>
      </w:pPr>
    </w:p>
    <w:p>
      <w:pPr>
        <w:spacing w:before="140" w:line="223" w:lineRule="auto"/>
        <w:ind w:left="3886"/>
        <w:rPr>
          <w:rFonts w:ascii="宋体" w:hAnsi="宋体" w:eastAsia="宋体" w:cs="宋体"/>
          <w:sz w:val="43"/>
          <w:szCs w:val="43"/>
        </w:rPr>
      </w:pPr>
      <w:r>
        <w:rPr>
          <w:rFonts w:ascii="宋体" w:hAnsi="宋体" w:eastAsia="宋体" w:cs="宋体"/>
          <w:spacing w:val="4"/>
          <w:sz w:val="43"/>
          <w:szCs w:val="43"/>
        </w:rPr>
        <w:t>广东省</w:t>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tabs>
          <w:tab w:val="left" w:pos="2346"/>
        </w:tabs>
        <w:spacing w:before="98" w:line="225" w:lineRule="auto"/>
        <w:jc w:val="center"/>
        <w:rPr>
          <w:rFonts w:ascii="宋体" w:hAnsi="宋体" w:eastAsia="宋体" w:cs="宋体"/>
          <w:sz w:val="40"/>
          <w:szCs w:val="40"/>
        </w:rPr>
      </w:pPr>
      <w:r>
        <w:rPr>
          <w:rFonts w:hint="eastAsia" w:ascii="宋体" w:hAnsi="宋体" w:eastAsia="宋体" w:cs="宋体"/>
          <w:spacing w:val="5"/>
          <w:sz w:val="40"/>
          <w:szCs w:val="40"/>
          <w:u w:val="single"/>
          <w:lang w:eastAsia="zh-CN"/>
        </w:rPr>
        <w:t>阳西县2023-2024年普通省道联结工程 (程村镇Y046线程石线-文山朗村)</w:t>
      </w:r>
      <w:r>
        <w:rPr>
          <w:rFonts w:ascii="宋体" w:hAnsi="宋体" w:eastAsia="宋体" w:cs="宋体"/>
          <w:spacing w:val="5"/>
          <w:sz w:val="40"/>
          <w:szCs w:val="40"/>
        </w:rPr>
        <w:t>施工招标</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159" w:line="955" w:lineRule="exact"/>
        <w:ind w:left="2805"/>
        <w:rPr>
          <w:rFonts w:ascii="宋体" w:hAnsi="宋体" w:eastAsia="宋体" w:cs="宋体"/>
          <w:sz w:val="49"/>
          <w:szCs w:val="49"/>
        </w:rPr>
      </w:pPr>
      <w:r>
        <w:rPr>
          <w:rFonts w:ascii="宋体" w:hAnsi="宋体" w:eastAsia="宋体" w:cs="宋体"/>
          <w:spacing w:val="-11"/>
          <w:position w:val="34"/>
          <w:sz w:val="49"/>
          <w:szCs w:val="49"/>
        </w:rPr>
        <w:t>投</w:t>
      </w:r>
      <w:r>
        <w:rPr>
          <w:rFonts w:ascii="宋体" w:hAnsi="宋体" w:eastAsia="宋体" w:cs="宋体"/>
          <w:spacing w:val="16"/>
          <w:position w:val="34"/>
          <w:sz w:val="49"/>
          <w:szCs w:val="49"/>
        </w:rPr>
        <w:t xml:space="preserve">  </w:t>
      </w:r>
      <w:r>
        <w:rPr>
          <w:rFonts w:ascii="宋体" w:hAnsi="宋体" w:eastAsia="宋体" w:cs="宋体"/>
          <w:spacing w:val="-11"/>
          <w:position w:val="34"/>
          <w:sz w:val="49"/>
          <w:szCs w:val="49"/>
        </w:rPr>
        <w:t>标</w:t>
      </w:r>
      <w:r>
        <w:rPr>
          <w:rFonts w:ascii="宋体" w:hAnsi="宋体" w:eastAsia="宋体" w:cs="宋体"/>
          <w:spacing w:val="16"/>
          <w:position w:val="34"/>
          <w:sz w:val="49"/>
          <w:szCs w:val="49"/>
        </w:rPr>
        <w:t xml:space="preserve">  </w:t>
      </w:r>
      <w:r>
        <w:rPr>
          <w:rFonts w:ascii="宋体" w:hAnsi="宋体" w:eastAsia="宋体" w:cs="宋体"/>
          <w:spacing w:val="-11"/>
          <w:position w:val="34"/>
          <w:sz w:val="49"/>
          <w:szCs w:val="49"/>
        </w:rPr>
        <w:t>文</w:t>
      </w:r>
      <w:r>
        <w:rPr>
          <w:rFonts w:ascii="宋体" w:hAnsi="宋体" w:eastAsia="宋体" w:cs="宋体"/>
          <w:spacing w:val="15"/>
          <w:position w:val="34"/>
          <w:sz w:val="49"/>
          <w:szCs w:val="49"/>
        </w:rPr>
        <w:t xml:space="preserve">  </w:t>
      </w:r>
      <w:r>
        <w:rPr>
          <w:rFonts w:ascii="宋体" w:hAnsi="宋体" w:eastAsia="宋体" w:cs="宋体"/>
          <w:spacing w:val="-11"/>
          <w:position w:val="34"/>
          <w:sz w:val="49"/>
          <w:szCs w:val="49"/>
        </w:rPr>
        <w:t>件</w:t>
      </w:r>
    </w:p>
    <w:p>
      <w:pPr>
        <w:spacing w:before="366" w:line="220" w:lineRule="auto"/>
        <w:jc w:val="center"/>
        <w:rPr>
          <w:rFonts w:ascii="宋体" w:hAnsi="宋体" w:eastAsia="宋体" w:cs="宋体"/>
          <w:spacing w:val="-2"/>
          <w:sz w:val="40"/>
          <w:szCs w:val="40"/>
        </w:rPr>
      </w:pPr>
      <w:r>
        <w:rPr>
          <w:rFonts w:hint="eastAsia" w:ascii="宋体" w:hAnsi="宋体" w:eastAsia="宋体" w:cs="宋体"/>
          <w:spacing w:val="-2"/>
          <w:sz w:val="40"/>
          <w:szCs w:val="40"/>
        </w:rPr>
        <w:t>招标</w:t>
      </w:r>
      <w:r>
        <w:rPr>
          <w:rFonts w:hint="eastAsia" w:ascii="宋体" w:hAnsi="宋体" w:eastAsia="宋体" w:cs="宋体"/>
          <w:spacing w:val="-2"/>
          <w:sz w:val="40"/>
          <w:szCs w:val="40"/>
          <w:lang w:eastAsia="zh-CN"/>
        </w:rPr>
        <w:t>工程</w:t>
      </w:r>
      <w:r>
        <w:rPr>
          <w:rFonts w:hint="eastAsia" w:ascii="宋体" w:hAnsi="宋体" w:eastAsia="宋体" w:cs="宋体"/>
          <w:spacing w:val="-2"/>
          <w:sz w:val="40"/>
          <w:szCs w:val="40"/>
        </w:rPr>
        <w:t>编号：</w:t>
      </w:r>
      <w:r>
        <w:rPr>
          <w:rFonts w:hint="eastAsia" w:ascii="宋体" w:hAnsi="宋体" w:eastAsia="宋体" w:cs="宋体"/>
          <w:spacing w:val="-2"/>
          <w:sz w:val="40"/>
          <w:szCs w:val="40"/>
          <w:lang w:val="en-US" w:eastAsia="zh-CN"/>
        </w:rPr>
        <w:t>西交公招(2023)第6号</w:t>
      </w:r>
    </w:p>
    <w:p>
      <w:pPr>
        <w:spacing w:line="218" w:lineRule="auto"/>
        <w:ind w:left="2156"/>
        <w:rPr>
          <w:rFonts w:ascii="宋体" w:hAnsi="宋体" w:eastAsia="宋体" w:cs="宋体"/>
          <w:spacing w:val="-3"/>
          <w:sz w:val="40"/>
          <w:szCs w:val="40"/>
        </w:rPr>
      </w:pPr>
    </w:p>
    <w:p>
      <w:pPr>
        <w:spacing w:line="218" w:lineRule="auto"/>
        <w:ind w:left="2156"/>
        <w:rPr>
          <w:rFonts w:ascii="宋体" w:hAnsi="宋体" w:eastAsia="宋体" w:cs="宋体"/>
          <w:sz w:val="40"/>
          <w:szCs w:val="40"/>
        </w:rPr>
      </w:pPr>
      <w:r>
        <w:rPr>
          <w:rFonts w:ascii="宋体" w:hAnsi="宋体" w:eastAsia="宋体" w:cs="宋体"/>
          <w:spacing w:val="-3"/>
          <w:sz w:val="40"/>
          <w:szCs w:val="40"/>
        </w:rPr>
        <w:t>（第二个信封：报价文件）</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01" w:line="372" w:lineRule="auto"/>
        <w:ind w:left="386"/>
        <w:rPr>
          <w:rFonts w:ascii="宋体" w:hAnsi="宋体" w:eastAsia="宋体" w:cs="宋体"/>
          <w:sz w:val="31"/>
          <w:szCs w:val="31"/>
        </w:rPr>
      </w:pPr>
      <w:r>
        <w:rPr>
          <w:rFonts w:ascii="宋体" w:hAnsi="宋体" w:eastAsia="宋体" w:cs="宋体"/>
          <w:sz w:val="31"/>
          <w:szCs w:val="31"/>
        </w:rPr>
        <w:t>投标人：</w:t>
      </w:r>
      <w:r>
        <w:rPr>
          <w:rFonts w:ascii="宋体" w:hAnsi="宋体" w:eastAsia="宋体" w:cs="宋体"/>
          <w:sz w:val="31"/>
          <w:szCs w:val="31"/>
          <w:u w:val="single" w:color="auto"/>
        </w:rPr>
        <w:t xml:space="preserve">                                   </w:t>
      </w:r>
      <w:r>
        <w:rPr>
          <w:rFonts w:ascii="宋体" w:hAnsi="宋体" w:eastAsia="宋体" w:cs="宋体"/>
          <w:spacing w:val="-68"/>
          <w:sz w:val="31"/>
          <w:szCs w:val="31"/>
        </w:rPr>
        <w:t xml:space="preserve"> </w:t>
      </w:r>
      <w:r>
        <w:rPr>
          <w:rFonts w:ascii="宋体" w:hAnsi="宋体" w:eastAsia="宋体" w:cs="宋体"/>
          <w:sz w:val="31"/>
          <w:szCs w:val="31"/>
        </w:rPr>
        <w:t>(盖单位章)</w:t>
      </w:r>
    </w:p>
    <w:p>
      <w:pPr>
        <w:tabs>
          <w:tab w:val="left" w:pos="3327"/>
        </w:tabs>
        <w:spacing w:before="1" w:line="224" w:lineRule="auto"/>
        <w:ind w:left="2050"/>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139"/>
          <w:sz w:val="31"/>
          <w:szCs w:val="31"/>
        </w:rPr>
        <w:t xml:space="preserve"> </w:t>
      </w:r>
      <w:r>
        <w:rPr>
          <w:rFonts w:ascii="宋体" w:hAnsi="宋体" w:eastAsia="宋体" w:cs="宋体"/>
          <w:spacing w:val="-6"/>
          <w:sz w:val="31"/>
          <w:szCs w:val="31"/>
        </w:rPr>
        <w:t>年</w:t>
      </w:r>
      <w:r>
        <w:rPr>
          <w:rFonts w:ascii="宋体" w:hAnsi="宋体" w:eastAsia="宋体" w:cs="宋体"/>
          <w:spacing w:val="5"/>
          <w:sz w:val="31"/>
          <w:szCs w:val="31"/>
          <w:u w:val="single" w:color="auto"/>
        </w:rPr>
        <w:t xml:space="preserve">        </w:t>
      </w:r>
      <w:r>
        <w:rPr>
          <w:rFonts w:ascii="宋体" w:hAnsi="宋体" w:eastAsia="宋体" w:cs="宋体"/>
          <w:spacing w:val="-133"/>
          <w:sz w:val="31"/>
          <w:szCs w:val="31"/>
        </w:rPr>
        <w:t xml:space="preserve"> </w:t>
      </w:r>
      <w:r>
        <w:rPr>
          <w:rFonts w:ascii="宋体" w:hAnsi="宋体" w:eastAsia="宋体" w:cs="宋体"/>
          <w:spacing w:val="-6"/>
          <w:sz w:val="31"/>
          <w:szCs w:val="31"/>
        </w:rPr>
        <w:t>月</w:t>
      </w:r>
      <w:r>
        <w:rPr>
          <w:rFonts w:ascii="宋体" w:hAnsi="宋体" w:eastAsia="宋体" w:cs="宋体"/>
          <w:spacing w:val="4"/>
          <w:sz w:val="31"/>
          <w:szCs w:val="31"/>
          <w:u w:val="single" w:color="auto"/>
        </w:rPr>
        <w:t xml:space="preserve">         </w:t>
      </w:r>
      <w:r>
        <w:rPr>
          <w:rFonts w:ascii="宋体" w:hAnsi="宋体" w:eastAsia="宋体" w:cs="宋体"/>
          <w:spacing w:val="-79"/>
          <w:sz w:val="31"/>
          <w:szCs w:val="31"/>
        </w:rPr>
        <w:t xml:space="preserve"> </w:t>
      </w:r>
      <w:r>
        <w:rPr>
          <w:rFonts w:ascii="宋体" w:hAnsi="宋体" w:eastAsia="宋体" w:cs="宋体"/>
          <w:spacing w:val="-6"/>
          <w:sz w:val="31"/>
          <w:szCs w:val="31"/>
        </w:rPr>
        <w:t>日</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4"/>
        <w:spacing w:before="114" w:line="227" w:lineRule="auto"/>
        <w:ind w:left="4007"/>
        <w:rPr>
          <w:spacing w:val="-25"/>
          <w:sz w:val="35"/>
          <w:szCs w:val="35"/>
          <w14:textOutline w14:w="6537" w14:cap="sq" w14:cmpd="sng">
            <w14:solidFill>
              <w14:srgbClr w14:val="000000"/>
            </w14:solidFill>
            <w14:prstDash w14:val="solid"/>
            <w14:bevel/>
          </w14:textOutline>
        </w:rPr>
      </w:pPr>
    </w:p>
    <w:p>
      <w:pPr>
        <w:pStyle w:val="4"/>
        <w:spacing w:before="114" w:line="227" w:lineRule="auto"/>
        <w:ind w:left="4007"/>
        <w:rPr>
          <w:spacing w:val="-25"/>
          <w:sz w:val="35"/>
          <w:szCs w:val="35"/>
          <w14:textOutline w14:w="6537" w14:cap="sq" w14:cmpd="sng">
            <w14:solidFill>
              <w14:srgbClr w14:val="000000"/>
            </w14:solidFill>
            <w14:prstDash w14:val="solid"/>
            <w14:bevel/>
          </w14:textOutline>
        </w:rPr>
      </w:pPr>
    </w:p>
    <w:p>
      <w:pPr>
        <w:pStyle w:val="4"/>
        <w:spacing w:before="114" w:line="227" w:lineRule="auto"/>
        <w:ind w:left="4007"/>
        <w:rPr>
          <w:spacing w:val="-25"/>
          <w:sz w:val="35"/>
          <w:szCs w:val="35"/>
          <w14:textOutline w14:w="6537" w14:cap="sq" w14:cmpd="sng">
            <w14:solidFill>
              <w14:srgbClr w14:val="000000"/>
            </w14:solidFill>
            <w14:prstDash w14:val="solid"/>
            <w14:bevel/>
          </w14:textOutline>
        </w:rPr>
      </w:pPr>
    </w:p>
    <w:p>
      <w:pPr>
        <w:pStyle w:val="4"/>
        <w:spacing w:before="114" w:line="227" w:lineRule="auto"/>
        <w:ind w:left="4007"/>
        <w:rPr>
          <w:spacing w:val="-25"/>
          <w:sz w:val="35"/>
          <w:szCs w:val="35"/>
          <w14:textOutline w14:w="6537" w14:cap="sq" w14:cmpd="sng">
            <w14:solidFill>
              <w14:srgbClr w14:val="000000"/>
            </w14:solidFill>
            <w14:prstDash w14:val="solid"/>
            <w14:bevel/>
          </w14:textOutline>
        </w:rPr>
      </w:pPr>
    </w:p>
    <w:p>
      <w:pPr>
        <w:pStyle w:val="4"/>
        <w:spacing w:before="114" w:line="227" w:lineRule="auto"/>
        <w:ind w:left="4007"/>
        <w:rPr>
          <w:sz w:val="35"/>
          <w:szCs w:val="35"/>
        </w:rPr>
      </w:pPr>
      <w:r>
        <w:rPr>
          <w:spacing w:val="-25"/>
          <w:sz w:val="35"/>
          <w:szCs w:val="35"/>
          <w14:textOutline w14:w="6537" w14:cap="sq" w14:cmpd="sng">
            <w14:solidFill>
              <w14:srgbClr w14:val="000000"/>
            </w14:solidFill>
            <w14:prstDash w14:val="solid"/>
            <w14:bevel/>
          </w14:textOutline>
        </w:rPr>
        <w:t>目</w:t>
      </w:r>
      <w:r>
        <w:rPr>
          <w:spacing w:val="13"/>
          <w:sz w:val="35"/>
          <w:szCs w:val="35"/>
        </w:rPr>
        <w:t xml:space="preserve">  </w:t>
      </w:r>
      <w:r>
        <w:rPr>
          <w:spacing w:val="-25"/>
          <w:sz w:val="35"/>
          <w:szCs w:val="35"/>
          <w14:textOutline w14:w="6537" w14:cap="sq" w14:cmpd="sng">
            <w14:solidFill>
              <w14:srgbClr w14:val="000000"/>
            </w14:solidFill>
            <w14:prstDash w14:val="solid"/>
            <w14:bevel/>
          </w14:textOutline>
        </w:rPr>
        <w:t>录</w:t>
      </w:r>
    </w:p>
    <w:p>
      <w:pPr>
        <w:spacing w:line="400" w:lineRule="auto"/>
        <w:rPr>
          <w:rFonts w:ascii="Arial"/>
          <w:sz w:val="21"/>
        </w:rPr>
      </w:pPr>
    </w:p>
    <w:p>
      <w:pPr>
        <w:spacing w:before="91" w:line="219" w:lineRule="auto"/>
        <w:ind w:left="6"/>
        <w:rPr>
          <w:rFonts w:ascii="宋体" w:hAnsi="宋体" w:eastAsia="宋体" w:cs="宋体"/>
          <w:sz w:val="28"/>
          <w:szCs w:val="28"/>
        </w:rPr>
      </w:pPr>
      <w:r>
        <w:rPr>
          <w:rFonts w:ascii="宋体" w:hAnsi="宋体" w:eastAsia="宋体" w:cs="宋体"/>
          <w:spacing w:val="-1"/>
          <w:sz w:val="28"/>
          <w:szCs w:val="28"/>
        </w:rPr>
        <w:t>第二个信封(报价文件)</w:t>
      </w:r>
    </w:p>
    <w:p>
      <w:pPr>
        <w:spacing w:line="292" w:lineRule="auto"/>
        <w:rPr>
          <w:rFonts w:ascii="Arial"/>
          <w:sz w:val="21"/>
        </w:rPr>
      </w:pPr>
    </w:p>
    <w:p>
      <w:pPr>
        <w:spacing w:line="292" w:lineRule="auto"/>
        <w:rPr>
          <w:rFonts w:ascii="Arial"/>
          <w:sz w:val="21"/>
        </w:rPr>
      </w:pPr>
    </w:p>
    <w:p>
      <w:pPr>
        <w:spacing w:before="1" w:line="220" w:lineRule="auto"/>
        <w:ind w:left="11"/>
        <w:rPr>
          <w:rFonts w:ascii="宋体" w:hAnsi="宋体" w:eastAsia="宋体" w:cs="宋体"/>
          <w:sz w:val="28"/>
          <w:szCs w:val="28"/>
        </w:rPr>
      </w:pPr>
      <w:r>
        <w:rPr>
          <w:rFonts w:ascii="宋体" w:hAnsi="宋体" w:eastAsia="宋体" w:cs="宋体"/>
          <w:spacing w:val="-3"/>
          <w:sz w:val="28"/>
          <w:szCs w:val="28"/>
        </w:rPr>
        <w:t>一、投标函</w:t>
      </w:r>
    </w:p>
    <w:p>
      <w:pPr>
        <w:spacing w:line="243" w:lineRule="auto"/>
        <w:rPr>
          <w:rFonts w:ascii="Arial"/>
          <w:sz w:val="21"/>
        </w:rPr>
      </w:pPr>
      <w:r>
        <w:rPr>
          <w:rFonts w:ascii="宋体" w:hAnsi="宋体" w:eastAsia="宋体" w:cs="宋体"/>
          <w:spacing w:val="-2"/>
          <w:sz w:val="28"/>
          <w:szCs w:val="28"/>
        </w:rPr>
        <w:t>二、已标价工程量清单</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4"/>
        <w:spacing w:before="114" w:line="241" w:lineRule="auto"/>
        <w:ind w:left="3919"/>
        <w:rPr>
          <w:spacing w:val="6"/>
          <w:position w:val="-1"/>
          <w:sz w:val="35"/>
          <w:szCs w:val="35"/>
          <w14:textOutline w14:w="6537" w14:cap="sq" w14:cmpd="sng">
            <w14:solidFill>
              <w14:srgbClr w14:val="000000"/>
            </w14:solidFill>
            <w14:prstDash w14:val="solid"/>
            <w14:bevel/>
          </w14:textOutline>
        </w:rPr>
      </w:pPr>
    </w:p>
    <w:p>
      <w:pPr>
        <w:pStyle w:val="4"/>
        <w:spacing w:before="114" w:line="241" w:lineRule="auto"/>
        <w:ind w:left="3919"/>
        <w:rPr>
          <w:spacing w:val="6"/>
          <w:position w:val="-1"/>
          <w:sz w:val="35"/>
          <w:szCs w:val="35"/>
          <w14:textOutline w14:w="6537" w14:cap="sq" w14:cmpd="sng">
            <w14:solidFill>
              <w14:srgbClr w14:val="000000"/>
            </w14:solidFill>
            <w14:prstDash w14:val="solid"/>
            <w14:bevel/>
          </w14:textOutline>
        </w:rPr>
      </w:pPr>
    </w:p>
    <w:p>
      <w:pPr>
        <w:pStyle w:val="4"/>
        <w:spacing w:before="114" w:line="241" w:lineRule="auto"/>
        <w:ind w:left="3919"/>
        <w:rPr>
          <w:spacing w:val="6"/>
          <w:position w:val="-1"/>
          <w:sz w:val="35"/>
          <w:szCs w:val="35"/>
          <w14:textOutline w14:w="6537" w14:cap="sq" w14:cmpd="sng">
            <w14:solidFill>
              <w14:srgbClr w14:val="000000"/>
            </w14:solidFill>
            <w14:prstDash w14:val="solid"/>
            <w14:bevel/>
          </w14:textOutline>
        </w:rPr>
      </w:pPr>
    </w:p>
    <w:p>
      <w:pPr>
        <w:pStyle w:val="4"/>
        <w:spacing w:before="114" w:line="241" w:lineRule="auto"/>
        <w:ind w:left="3919"/>
        <w:rPr>
          <w:spacing w:val="6"/>
          <w:position w:val="-1"/>
          <w:sz w:val="35"/>
          <w:szCs w:val="35"/>
          <w14:textOutline w14:w="6537" w14:cap="sq" w14:cmpd="sng">
            <w14:solidFill>
              <w14:srgbClr w14:val="000000"/>
            </w14:solidFill>
            <w14:prstDash w14:val="solid"/>
            <w14:bevel/>
          </w14:textOutline>
        </w:rPr>
      </w:pPr>
    </w:p>
    <w:p>
      <w:pPr>
        <w:pStyle w:val="4"/>
        <w:spacing w:before="114" w:line="241" w:lineRule="auto"/>
        <w:ind w:left="3919"/>
        <w:rPr>
          <w:spacing w:val="6"/>
          <w:position w:val="-1"/>
          <w:sz w:val="35"/>
          <w:szCs w:val="35"/>
          <w14:textOutline w14:w="6537" w14:cap="sq" w14:cmpd="sng">
            <w14:solidFill>
              <w14:srgbClr w14:val="000000"/>
            </w14:solidFill>
            <w14:prstDash w14:val="solid"/>
            <w14:bevel/>
          </w14:textOutline>
        </w:rPr>
      </w:pPr>
    </w:p>
    <w:p>
      <w:pPr>
        <w:pStyle w:val="4"/>
        <w:spacing w:before="114" w:line="241" w:lineRule="auto"/>
        <w:ind w:left="3919"/>
        <w:rPr>
          <w:spacing w:val="6"/>
          <w:position w:val="-1"/>
          <w:sz w:val="35"/>
          <w:szCs w:val="35"/>
          <w14:textOutline w14:w="6537" w14:cap="sq" w14:cmpd="sng">
            <w14:solidFill>
              <w14:srgbClr w14:val="000000"/>
            </w14:solidFill>
            <w14:prstDash w14:val="solid"/>
            <w14:bevel/>
          </w14:textOutline>
        </w:rPr>
      </w:pPr>
    </w:p>
    <w:p>
      <w:pPr>
        <w:pStyle w:val="4"/>
        <w:spacing w:before="114" w:line="241" w:lineRule="auto"/>
        <w:ind w:left="3919"/>
        <w:rPr>
          <w:spacing w:val="6"/>
          <w:position w:val="-1"/>
          <w:sz w:val="35"/>
          <w:szCs w:val="35"/>
          <w14:textOutline w14:w="6537" w14:cap="sq" w14:cmpd="sng">
            <w14:solidFill>
              <w14:srgbClr w14:val="000000"/>
            </w14:solidFill>
            <w14:prstDash w14:val="solid"/>
            <w14:bevel/>
          </w14:textOutline>
        </w:rPr>
      </w:pPr>
    </w:p>
    <w:p>
      <w:pPr>
        <w:pStyle w:val="4"/>
        <w:spacing w:before="114" w:line="241" w:lineRule="auto"/>
        <w:ind w:left="3919"/>
        <w:rPr>
          <w:spacing w:val="6"/>
          <w:position w:val="-1"/>
          <w:sz w:val="35"/>
          <w:szCs w:val="35"/>
          <w14:textOutline w14:w="6537" w14:cap="sq" w14:cmpd="sng">
            <w14:solidFill>
              <w14:srgbClr w14:val="000000"/>
            </w14:solidFill>
            <w14:prstDash w14:val="solid"/>
            <w14:bevel/>
          </w14:textOutline>
        </w:rPr>
      </w:pPr>
    </w:p>
    <w:p>
      <w:pPr>
        <w:pStyle w:val="4"/>
        <w:spacing w:before="114" w:line="241" w:lineRule="auto"/>
        <w:ind w:left="3919"/>
        <w:rPr>
          <w:spacing w:val="6"/>
          <w:position w:val="-1"/>
          <w:sz w:val="35"/>
          <w:szCs w:val="35"/>
          <w14:textOutline w14:w="6537" w14:cap="sq" w14:cmpd="sng">
            <w14:solidFill>
              <w14:srgbClr w14:val="000000"/>
            </w14:solidFill>
            <w14:prstDash w14:val="solid"/>
            <w14:bevel/>
          </w14:textOutline>
        </w:rPr>
      </w:pPr>
    </w:p>
    <w:p>
      <w:pPr>
        <w:pStyle w:val="4"/>
        <w:spacing w:before="114" w:line="241" w:lineRule="auto"/>
        <w:ind w:left="3919"/>
        <w:rPr>
          <w:spacing w:val="6"/>
          <w:position w:val="-1"/>
          <w:sz w:val="35"/>
          <w:szCs w:val="35"/>
          <w14:textOutline w14:w="6537" w14:cap="sq" w14:cmpd="sng">
            <w14:solidFill>
              <w14:srgbClr w14:val="000000"/>
            </w14:solidFill>
            <w14:prstDash w14:val="solid"/>
            <w14:bevel/>
          </w14:textOutline>
        </w:rPr>
      </w:pPr>
    </w:p>
    <w:p>
      <w:pPr>
        <w:pStyle w:val="4"/>
        <w:spacing w:before="114" w:line="241" w:lineRule="auto"/>
        <w:ind w:left="3919"/>
        <w:rPr>
          <w:spacing w:val="6"/>
          <w:position w:val="-1"/>
          <w:sz w:val="35"/>
          <w:szCs w:val="35"/>
          <w14:textOutline w14:w="6537" w14:cap="sq" w14:cmpd="sng">
            <w14:solidFill>
              <w14:srgbClr w14:val="000000"/>
            </w14:solidFill>
            <w14:prstDash w14:val="solid"/>
            <w14:bevel/>
          </w14:textOutline>
        </w:rPr>
      </w:pPr>
    </w:p>
    <w:p>
      <w:pPr>
        <w:pStyle w:val="4"/>
        <w:spacing w:before="114" w:line="241" w:lineRule="auto"/>
        <w:ind w:left="3919"/>
        <w:rPr>
          <w:spacing w:val="6"/>
          <w:position w:val="-1"/>
          <w:sz w:val="35"/>
          <w:szCs w:val="35"/>
          <w14:textOutline w14:w="6537" w14:cap="sq" w14:cmpd="sng">
            <w14:solidFill>
              <w14:srgbClr w14:val="000000"/>
            </w14:solidFill>
            <w14:prstDash w14:val="solid"/>
            <w14:bevel/>
          </w14:textOutline>
        </w:rPr>
      </w:pPr>
    </w:p>
    <w:p>
      <w:pPr>
        <w:pStyle w:val="4"/>
        <w:spacing w:before="114" w:line="241" w:lineRule="auto"/>
        <w:ind w:left="3919"/>
        <w:rPr>
          <w:spacing w:val="6"/>
          <w:position w:val="-1"/>
          <w:sz w:val="35"/>
          <w:szCs w:val="35"/>
          <w14:textOutline w14:w="6537" w14:cap="sq" w14:cmpd="sng">
            <w14:solidFill>
              <w14:srgbClr w14:val="000000"/>
            </w14:solidFill>
            <w14:prstDash w14:val="solid"/>
            <w14:bevel/>
          </w14:textOutline>
        </w:rPr>
      </w:pPr>
    </w:p>
    <w:p>
      <w:pPr>
        <w:pStyle w:val="4"/>
        <w:spacing w:before="114" w:line="241" w:lineRule="auto"/>
        <w:ind w:left="3919"/>
        <w:rPr>
          <w:spacing w:val="6"/>
          <w:position w:val="-1"/>
          <w:sz w:val="35"/>
          <w:szCs w:val="35"/>
          <w14:textOutline w14:w="6537" w14:cap="sq" w14:cmpd="sng">
            <w14:solidFill>
              <w14:srgbClr w14:val="000000"/>
            </w14:solidFill>
            <w14:prstDash w14:val="solid"/>
            <w14:bevel/>
          </w14:textOutline>
        </w:rPr>
      </w:pPr>
    </w:p>
    <w:p>
      <w:pPr>
        <w:pStyle w:val="4"/>
        <w:spacing w:before="114" w:line="241" w:lineRule="auto"/>
        <w:ind w:left="3919"/>
        <w:rPr>
          <w:spacing w:val="6"/>
          <w:position w:val="-1"/>
          <w:sz w:val="35"/>
          <w:szCs w:val="35"/>
          <w14:textOutline w14:w="6537" w14:cap="sq" w14:cmpd="sng">
            <w14:solidFill>
              <w14:srgbClr w14:val="000000"/>
            </w14:solidFill>
            <w14:prstDash w14:val="solid"/>
            <w14:bevel/>
          </w14:textOutline>
        </w:rPr>
      </w:pPr>
    </w:p>
    <w:p>
      <w:pPr>
        <w:pStyle w:val="4"/>
        <w:spacing w:before="114" w:line="241" w:lineRule="auto"/>
        <w:rPr>
          <w:spacing w:val="6"/>
          <w:position w:val="-1"/>
          <w:sz w:val="35"/>
          <w:szCs w:val="35"/>
          <w14:textOutline w14:w="6537" w14:cap="sq" w14:cmpd="sng">
            <w14:solidFill>
              <w14:srgbClr w14:val="000000"/>
            </w14:solidFill>
            <w14:prstDash w14:val="solid"/>
            <w14:bevel/>
          </w14:textOutline>
        </w:rPr>
      </w:pPr>
    </w:p>
    <w:p>
      <w:pPr>
        <w:pStyle w:val="4"/>
        <w:spacing w:before="114" w:line="241" w:lineRule="auto"/>
        <w:ind w:left="3919"/>
        <w:rPr>
          <w:sz w:val="18"/>
          <w:szCs w:val="18"/>
        </w:rPr>
      </w:pPr>
      <w:r>
        <w:rPr>
          <w:spacing w:val="6"/>
          <w:position w:val="-1"/>
          <w:sz w:val="35"/>
          <w:szCs w:val="35"/>
          <w14:textOutline w14:w="6537" w14:cap="sq" w14:cmpd="sng">
            <w14:solidFill>
              <w14:srgbClr w14:val="000000"/>
            </w14:solidFill>
            <w14:prstDash w14:val="solid"/>
            <w14:bevel/>
          </w14:textOutline>
        </w:rPr>
        <w:t>一、投标函</w:t>
      </w:r>
      <w:r>
        <w:fldChar w:fldCharType="begin"/>
      </w:r>
      <w:r>
        <w:instrText xml:space="preserve"> HYPERLINK \l "bookmark189" </w:instrText>
      </w:r>
      <w:r>
        <w:fldChar w:fldCharType="separate"/>
      </w:r>
      <w:r>
        <w:rPr>
          <w:spacing w:val="6"/>
          <w:position w:val="16"/>
          <w:sz w:val="18"/>
          <w:szCs w:val="18"/>
        </w:rPr>
        <w:t>①</w:t>
      </w:r>
      <w:r>
        <w:rPr>
          <w:spacing w:val="6"/>
          <w:position w:val="16"/>
          <w:sz w:val="18"/>
          <w:szCs w:val="18"/>
        </w:rPr>
        <w:fldChar w:fldCharType="end"/>
      </w:r>
    </w:p>
    <w:p>
      <w:pPr>
        <w:spacing w:line="288" w:lineRule="auto"/>
        <w:rPr>
          <w:rFonts w:ascii="Arial"/>
          <w:sz w:val="21"/>
        </w:rPr>
      </w:pPr>
    </w:p>
    <w:p>
      <w:pPr>
        <w:spacing w:line="288" w:lineRule="auto"/>
        <w:rPr>
          <w:rFonts w:ascii="Arial"/>
          <w:sz w:val="21"/>
        </w:rPr>
      </w:pPr>
    </w:p>
    <w:p>
      <w:pPr>
        <w:tabs>
          <w:tab w:val="left" w:pos="3360"/>
        </w:tabs>
        <w:spacing w:before="78" w:line="22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rPr>
        <w:t>（招标人名称</w:t>
      </w:r>
      <w:r>
        <w:rPr>
          <w:rFonts w:ascii="宋体" w:hAnsi="宋体" w:eastAsia="宋体" w:cs="宋体"/>
          <w:spacing w:val="2"/>
          <w:sz w:val="24"/>
          <w:szCs w:val="24"/>
        </w:rPr>
        <w:t>）：</w:t>
      </w:r>
    </w:p>
    <w:p>
      <w:pPr>
        <w:spacing w:line="410" w:lineRule="auto"/>
        <w:rPr>
          <w:rFonts w:ascii="Arial"/>
          <w:sz w:val="21"/>
        </w:rPr>
      </w:pPr>
    </w:p>
    <w:p>
      <w:pPr>
        <w:spacing w:before="79" w:line="360" w:lineRule="auto"/>
        <w:ind w:left="10" w:right="291" w:firstLine="496"/>
        <w:rPr>
          <w:rFonts w:ascii="宋体" w:hAnsi="宋体" w:eastAsia="宋体" w:cs="宋体"/>
          <w:sz w:val="24"/>
          <w:szCs w:val="24"/>
        </w:rPr>
      </w:pPr>
      <w:r>
        <w:rPr>
          <w:rFonts w:ascii="宋体" w:hAnsi="宋体" w:eastAsia="宋体" w:cs="宋体"/>
          <w:sz w:val="24"/>
          <w:szCs w:val="24"/>
        </w:rPr>
        <w:t>1. 我方已仔细研究</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（项目名称）         </w:t>
      </w:r>
      <w:r>
        <w:rPr>
          <w:rFonts w:hint="eastAsia" w:ascii="宋体" w:hAnsi="宋体" w:eastAsia="宋体" w:cs="宋体"/>
          <w:spacing w:val="-1"/>
          <w:sz w:val="24"/>
          <w:szCs w:val="24"/>
          <w:u w:val="single" w:color="auto"/>
          <w:lang w:val="en-US" w:eastAsia="zh-CN"/>
        </w:rPr>
        <w:t xml:space="preserve">  </w:t>
      </w:r>
      <w:r>
        <w:rPr>
          <w:rFonts w:ascii="宋体" w:hAnsi="宋体" w:eastAsia="宋体" w:cs="宋体"/>
          <w:spacing w:val="-1"/>
          <w:sz w:val="24"/>
          <w:szCs w:val="24"/>
        </w:rPr>
        <w:t>施工招</w:t>
      </w:r>
      <w:r>
        <w:rPr>
          <w:rFonts w:ascii="宋体" w:hAnsi="宋体" w:eastAsia="宋体" w:cs="宋体"/>
          <w:sz w:val="24"/>
          <w:szCs w:val="24"/>
        </w:rPr>
        <w:t xml:space="preserve"> </w:t>
      </w:r>
      <w:r>
        <w:rPr>
          <w:rFonts w:ascii="宋体" w:hAnsi="宋体" w:eastAsia="宋体" w:cs="宋体"/>
          <w:spacing w:val="-2"/>
          <w:sz w:val="24"/>
          <w:szCs w:val="24"/>
        </w:rPr>
        <w:t>标文件的全部内容</w:t>
      </w:r>
      <w:r>
        <w:rPr>
          <w:rFonts w:ascii="宋体" w:hAnsi="宋体" w:eastAsia="宋体" w:cs="宋体"/>
          <w:spacing w:val="-4"/>
          <w:sz w:val="24"/>
          <w:szCs w:val="24"/>
        </w:rPr>
        <w:t>，</w:t>
      </w:r>
      <w:r>
        <w:rPr>
          <w:rFonts w:ascii="宋体" w:hAnsi="宋体" w:eastAsia="宋体" w:cs="宋体"/>
          <w:spacing w:val="-2"/>
          <w:sz w:val="24"/>
          <w:szCs w:val="24"/>
          <w:u w:val="single" w:color="auto"/>
        </w:rPr>
        <w:t>在考察工程现场</w:t>
      </w:r>
      <w:r>
        <w:rPr>
          <w:rFonts w:ascii="宋体" w:hAnsi="宋体" w:eastAsia="宋体" w:cs="宋体"/>
          <w:spacing w:val="-3"/>
          <w:sz w:val="24"/>
          <w:szCs w:val="24"/>
          <w:u w:val="single" w:color="auto"/>
        </w:rPr>
        <w:t>后（如有</w:t>
      </w:r>
      <w:r>
        <w:rPr>
          <w:rFonts w:ascii="宋体" w:hAnsi="宋体" w:eastAsia="宋体" w:cs="宋体"/>
          <w:spacing w:val="-4"/>
          <w:sz w:val="24"/>
          <w:szCs w:val="24"/>
          <w:u w:val="single" w:color="auto"/>
        </w:rPr>
        <w:t>），</w:t>
      </w:r>
      <w:r>
        <w:rPr>
          <w:rFonts w:ascii="宋体" w:hAnsi="宋体" w:eastAsia="宋体" w:cs="宋体"/>
          <w:spacing w:val="-3"/>
          <w:sz w:val="24"/>
          <w:szCs w:val="24"/>
        </w:rPr>
        <w:t>愿意</w:t>
      </w:r>
      <w:r>
        <w:rPr>
          <w:rFonts w:ascii="宋体" w:hAnsi="宋体" w:eastAsia="宋体" w:cs="宋体"/>
          <w:sz w:val="24"/>
          <w:szCs w:val="24"/>
        </w:rPr>
        <w:t xml:space="preserve"> 以人民币（大写）</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z w:val="24"/>
          <w:szCs w:val="24"/>
        </w:rPr>
        <w:t>元(¥</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1"/>
          <w:sz w:val="24"/>
          <w:szCs w:val="24"/>
        </w:rPr>
        <w:t>)</w:t>
      </w:r>
      <w:r>
        <w:rPr>
          <w:rFonts w:ascii="宋体" w:hAnsi="宋体" w:eastAsia="宋体" w:cs="宋体"/>
          <w:spacing w:val="33"/>
          <w:sz w:val="24"/>
          <w:szCs w:val="24"/>
        </w:rPr>
        <w:t xml:space="preserve"> </w:t>
      </w:r>
      <w:r>
        <w:rPr>
          <w:rFonts w:ascii="宋体" w:hAnsi="宋体" w:eastAsia="宋体" w:cs="宋体"/>
          <w:spacing w:val="-1"/>
          <w:sz w:val="24"/>
          <w:szCs w:val="24"/>
        </w:rPr>
        <w:t>的投标总报价 （或根据招标文件规</w:t>
      </w:r>
      <w:r>
        <w:rPr>
          <w:rFonts w:ascii="宋体" w:hAnsi="宋体" w:eastAsia="宋体" w:cs="宋体"/>
          <w:sz w:val="24"/>
          <w:szCs w:val="24"/>
        </w:rPr>
        <w:t xml:space="preserve"> </w:t>
      </w:r>
      <w:r>
        <w:rPr>
          <w:rFonts w:ascii="宋体" w:hAnsi="宋体" w:eastAsia="宋体" w:cs="宋体"/>
          <w:spacing w:val="-1"/>
          <w:sz w:val="24"/>
          <w:szCs w:val="24"/>
        </w:rPr>
        <w:t>定修正核实后确定的另一金额，其中，增值税税率为</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25"/>
          <w:sz w:val="24"/>
          <w:szCs w:val="24"/>
        </w:rPr>
        <w:t>），</w:t>
      </w:r>
      <w:r>
        <w:rPr>
          <w:rFonts w:ascii="宋体" w:hAnsi="宋体" w:eastAsia="宋体" w:cs="宋体"/>
          <w:spacing w:val="-2"/>
          <w:sz w:val="24"/>
          <w:szCs w:val="24"/>
        </w:rPr>
        <w:t>按合同约定实施</w:t>
      </w:r>
    </w:p>
    <w:p>
      <w:pPr>
        <w:spacing w:line="219" w:lineRule="auto"/>
        <w:ind w:left="10"/>
        <w:rPr>
          <w:rFonts w:ascii="宋体" w:hAnsi="宋体" w:eastAsia="宋体" w:cs="宋体"/>
          <w:sz w:val="24"/>
          <w:szCs w:val="24"/>
        </w:rPr>
      </w:pPr>
      <w:r>
        <w:rPr>
          <w:rFonts w:ascii="宋体" w:hAnsi="宋体" w:eastAsia="宋体" w:cs="宋体"/>
          <w:spacing w:val="-1"/>
          <w:sz w:val="24"/>
          <w:szCs w:val="24"/>
        </w:rPr>
        <w:t>和完成承包工程，修补工程中的任何缺陷。</w:t>
      </w:r>
    </w:p>
    <w:p>
      <w:pPr>
        <w:spacing w:before="180" w:line="466" w:lineRule="exact"/>
        <w:ind w:left="492"/>
        <w:rPr>
          <w:rFonts w:ascii="宋体" w:hAnsi="宋体" w:eastAsia="宋体" w:cs="宋体"/>
          <w:sz w:val="24"/>
          <w:szCs w:val="24"/>
        </w:rPr>
      </w:pPr>
      <w:r>
        <w:rPr>
          <w:rFonts w:ascii="宋体" w:hAnsi="宋体" w:eastAsia="宋体" w:cs="宋体"/>
          <w:position w:val="17"/>
          <w:sz w:val="24"/>
          <w:szCs w:val="24"/>
        </w:rPr>
        <w:t>2. 在合同协议书正式签署生效之前，本投标函连</w:t>
      </w:r>
      <w:r>
        <w:rPr>
          <w:rFonts w:ascii="宋体" w:hAnsi="宋体" w:eastAsia="宋体" w:cs="宋体"/>
          <w:spacing w:val="-1"/>
          <w:position w:val="17"/>
          <w:sz w:val="24"/>
          <w:szCs w:val="24"/>
        </w:rPr>
        <w:t>同你方的中标通知书将构成我们</w:t>
      </w:r>
    </w:p>
    <w:p>
      <w:pPr>
        <w:spacing w:line="219" w:lineRule="auto"/>
        <w:ind w:left="9"/>
        <w:rPr>
          <w:rFonts w:ascii="宋体" w:hAnsi="宋体" w:eastAsia="宋体" w:cs="宋体"/>
          <w:sz w:val="24"/>
          <w:szCs w:val="24"/>
        </w:rPr>
      </w:pPr>
      <w:r>
        <w:rPr>
          <w:rFonts w:ascii="宋体" w:hAnsi="宋体" w:eastAsia="宋体" w:cs="宋体"/>
          <w:spacing w:val="-1"/>
          <w:sz w:val="24"/>
          <w:szCs w:val="24"/>
        </w:rPr>
        <w:t>双方之间共同遵守的文件，对双方具有约束力。</w:t>
      </w:r>
    </w:p>
    <w:p>
      <w:pPr>
        <w:spacing w:before="183" w:line="219" w:lineRule="auto"/>
        <w:ind w:left="494"/>
        <w:rPr>
          <w:rFonts w:ascii="宋体" w:hAnsi="宋体" w:eastAsia="宋体" w:cs="宋体"/>
          <w:sz w:val="24"/>
          <w:szCs w:val="24"/>
        </w:rPr>
      </w:pPr>
      <w:r>
        <w:rPr>
          <w:rFonts w:ascii="宋体" w:hAnsi="宋体" w:eastAsia="宋体" w:cs="宋体"/>
          <w:sz w:val="24"/>
          <w:szCs w:val="24"/>
        </w:rPr>
        <w:t xml:space="preserve">3. </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（其他补充说明）。</w:t>
      </w:r>
    </w:p>
    <w:p>
      <w:pPr>
        <w:spacing w:line="283" w:lineRule="auto"/>
        <w:rPr>
          <w:rFonts w:ascii="Arial"/>
          <w:sz w:val="21"/>
        </w:rPr>
      </w:pPr>
    </w:p>
    <w:p>
      <w:pPr>
        <w:spacing w:line="283" w:lineRule="auto"/>
        <w:rPr>
          <w:rFonts w:ascii="Arial"/>
          <w:sz w:val="21"/>
        </w:rPr>
      </w:pPr>
    </w:p>
    <w:p>
      <w:pPr>
        <w:spacing w:before="78" w:line="219" w:lineRule="auto"/>
        <w:ind w:left="3132"/>
        <w:rPr>
          <w:rFonts w:ascii="宋体" w:hAnsi="宋体" w:eastAsia="宋体" w:cs="宋体"/>
          <w:sz w:val="24"/>
          <w:szCs w:val="24"/>
        </w:rPr>
      </w:pPr>
      <w:r>
        <w:rPr>
          <w:rFonts w:ascii="宋体" w:hAnsi="宋体" w:eastAsia="宋体" w:cs="宋体"/>
          <w:spacing w:val="1"/>
          <w:sz w:val="24"/>
          <w:szCs w:val="24"/>
        </w:rPr>
        <w:t>投 标</w:t>
      </w:r>
      <w:r>
        <w:rPr>
          <w:rFonts w:ascii="宋体" w:hAnsi="宋体" w:eastAsia="宋体" w:cs="宋体"/>
          <w:spacing w:val="11"/>
          <w:sz w:val="24"/>
          <w:szCs w:val="24"/>
        </w:rPr>
        <w:t xml:space="preserve"> </w:t>
      </w:r>
      <w:r>
        <w:rPr>
          <w:rFonts w:ascii="宋体" w:hAnsi="宋体" w:eastAsia="宋体" w:cs="宋体"/>
          <w:spacing w:val="1"/>
          <w:sz w:val="24"/>
          <w:szCs w:val="24"/>
        </w:rPr>
        <w:t>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1"/>
          <w:sz w:val="24"/>
          <w:szCs w:val="24"/>
        </w:rPr>
        <w:t>盖单位章）</w:t>
      </w:r>
    </w:p>
    <w:p>
      <w:pPr>
        <w:spacing w:before="183" w:line="359" w:lineRule="auto"/>
        <w:ind w:left="3127" w:right="599" w:firstLine="2"/>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z w:val="24"/>
          <w:szCs w:val="24"/>
        </w:rPr>
        <w:t xml:space="preserve">签字） </w:t>
      </w:r>
      <w:r>
        <w:rPr>
          <w:rFonts w:ascii="宋体" w:hAnsi="宋体" w:eastAsia="宋体" w:cs="宋体"/>
          <w:spacing w:val="-3"/>
          <w:sz w:val="24"/>
          <w:szCs w:val="24"/>
        </w:rPr>
        <w:t>地址：</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3"/>
          <w:sz w:val="24"/>
          <w:szCs w:val="24"/>
        </w:rPr>
        <w:t>网址：</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3"/>
          <w:sz w:val="24"/>
          <w:szCs w:val="24"/>
        </w:rPr>
        <w:t>电话：</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3"/>
          <w:sz w:val="24"/>
          <w:szCs w:val="24"/>
        </w:rPr>
        <w:t>传真：</w:t>
      </w:r>
      <w:r>
        <w:rPr>
          <w:rFonts w:ascii="宋体" w:hAnsi="宋体" w:eastAsia="宋体" w:cs="宋体"/>
          <w:sz w:val="24"/>
          <w:szCs w:val="24"/>
          <w:u w:val="single" w:color="auto"/>
        </w:rPr>
        <w:t xml:space="preserve">                                        </w:t>
      </w:r>
    </w:p>
    <w:p>
      <w:pPr>
        <w:spacing w:line="219" w:lineRule="auto"/>
        <w:ind w:left="3147"/>
        <w:rPr>
          <w:rFonts w:ascii="宋体" w:hAnsi="宋体" w:eastAsia="宋体" w:cs="宋体"/>
          <w:sz w:val="24"/>
          <w:szCs w:val="24"/>
        </w:rPr>
      </w:pPr>
      <w:r>
        <w:rPr>
          <w:rFonts w:ascii="宋体" w:hAnsi="宋体" w:eastAsia="宋体" w:cs="宋体"/>
          <w:spacing w:val="-3"/>
          <w:sz w:val="24"/>
          <w:szCs w:val="24"/>
        </w:rPr>
        <w:t>邮政编码：</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pPr>
        <w:spacing w:line="283" w:lineRule="auto"/>
        <w:rPr>
          <w:rFonts w:ascii="Arial"/>
          <w:sz w:val="21"/>
        </w:rPr>
      </w:pPr>
    </w:p>
    <w:p>
      <w:pPr>
        <w:spacing w:line="284" w:lineRule="auto"/>
        <w:rPr>
          <w:rFonts w:ascii="Arial"/>
          <w:sz w:val="21"/>
        </w:rPr>
      </w:pPr>
    </w:p>
    <w:p>
      <w:pPr>
        <w:tabs>
          <w:tab w:val="left" w:pos="6119"/>
        </w:tabs>
        <w:spacing w:before="79" w:line="219" w:lineRule="auto"/>
        <w:ind w:left="479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59" w:line="217" w:lineRule="auto"/>
        <w:ind w:left="6"/>
        <w:rPr>
          <w:rFonts w:ascii="宋体" w:hAnsi="宋体" w:eastAsia="宋体" w:cs="宋体"/>
          <w:sz w:val="18"/>
          <w:szCs w:val="18"/>
        </w:rPr>
      </w:pPr>
      <w:r>
        <w:rPr>
          <w:rFonts w:ascii="宋体" w:hAnsi="宋体" w:eastAsia="宋体" w:cs="宋体"/>
          <w:sz w:val="18"/>
          <w:szCs w:val="18"/>
        </w:rPr>
        <w:t>①投标人仅需在投标函上加盖单位章，或由法定代表人或其</w:t>
      </w:r>
      <w:r>
        <w:rPr>
          <w:rFonts w:ascii="宋体" w:hAnsi="宋体" w:eastAsia="宋体" w:cs="宋体"/>
          <w:spacing w:val="-1"/>
          <w:sz w:val="18"/>
          <w:szCs w:val="18"/>
        </w:rPr>
        <w:t>委托代理人签字。</w:t>
      </w:r>
    </w:p>
    <w:p>
      <w:pPr>
        <w:spacing w:line="378" w:lineRule="auto"/>
        <w:rPr>
          <w:rFonts w:ascii="Arial"/>
          <w:sz w:val="21"/>
        </w:rPr>
      </w:pPr>
    </w:p>
    <w:p>
      <w:pPr>
        <w:pStyle w:val="4"/>
        <w:spacing w:before="114" w:line="242" w:lineRule="auto"/>
        <w:ind w:left="2661"/>
        <w:outlineLvl w:val="0"/>
        <w:rPr>
          <w:spacing w:val="8"/>
          <w:sz w:val="35"/>
          <w:szCs w:val="35"/>
          <w14:textOutline w14:w="6537" w14:cap="sq" w14:cmpd="sng">
            <w14:solidFill>
              <w14:srgbClr w14:val="000000"/>
            </w14:solidFill>
            <w14:prstDash w14:val="solid"/>
            <w14:bevel/>
          </w14:textOutline>
        </w:rPr>
      </w:pPr>
    </w:p>
    <w:p>
      <w:pPr>
        <w:pStyle w:val="15"/>
      </w:pPr>
    </w:p>
    <w:p>
      <w:pPr>
        <w:pStyle w:val="4"/>
        <w:spacing w:before="114" w:line="242" w:lineRule="auto"/>
        <w:ind w:left="2661"/>
        <w:outlineLvl w:val="0"/>
        <w:rPr>
          <w:sz w:val="18"/>
          <w:szCs w:val="18"/>
        </w:rPr>
      </w:pPr>
      <w:r>
        <w:rPr>
          <w:spacing w:val="8"/>
          <w:sz w:val="35"/>
          <w:szCs w:val="35"/>
          <w14:textOutline w14:w="6537" w14:cap="sq" w14:cmpd="sng">
            <w14:solidFill>
              <w14:srgbClr w14:val="000000"/>
            </w14:solidFill>
            <w14:prstDash w14:val="solid"/>
            <w14:bevel/>
          </w14:textOutline>
        </w:rPr>
        <w:t>二、已标价工程量清单</w:t>
      </w:r>
      <w:r>
        <w:fldChar w:fldCharType="begin"/>
      </w:r>
      <w:r>
        <w:instrText xml:space="preserve"> HYPERLINK \l "bookmark190" </w:instrText>
      </w:r>
      <w:r>
        <w:fldChar w:fldCharType="separate"/>
      </w:r>
      <w:r>
        <w:rPr>
          <w:spacing w:val="8"/>
          <w:position w:val="17"/>
          <w:sz w:val="18"/>
          <w:szCs w:val="18"/>
          <w14:textOutline w14:w="3268" w14:cap="sq" w14:cmpd="sng">
            <w14:solidFill>
              <w14:srgbClr w14:val="000000"/>
            </w14:solidFill>
            <w14:prstDash w14:val="solid"/>
            <w14:bevel/>
          </w14:textOutline>
        </w:rPr>
        <w:t>①</w:t>
      </w:r>
      <w:r>
        <w:rPr>
          <w:spacing w:val="8"/>
          <w:position w:val="17"/>
          <w:sz w:val="18"/>
          <w:szCs w:val="18"/>
          <w14:textOutline w14:w="3268" w14:cap="sq" w14:cmpd="sng">
            <w14:solidFill>
              <w14:srgbClr w14:val="000000"/>
            </w14:solidFill>
            <w14:prstDash w14:val="solid"/>
            <w14:bevel/>
          </w14:textOutline>
        </w:rPr>
        <w:fldChar w:fldCharType="end"/>
      </w:r>
    </w:p>
    <w:p>
      <w:pPr>
        <w:spacing w:line="299" w:lineRule="auto"/>
        <w:rPr>
          <w:rFonts w:ascii="Arial"/>
          <w:sz w:val="21"/>
        </w:rPr>
      </w:pPr>
    </w:p>
    <w:p>
      <w:pPr>
        <w:spacing w:before="78" w:line="219" w:lineRule="auto"/>
        <w:ind w:left="508"/>
        <w:rPr>
          <w:rFonts w:ascii="宋体" w:hAnsi="宋体" w:eastAsia="宋体" w:cs="宋体"/>
          <w:sz w:val="24"/>
          <w:szCs w:val="24"/>
        </w:rPr>
      </w:pPr>
      <w:r>
        <w:rPr>
          <w:rFonts w:ascii="宋体" w:hAnsi="宋体" w:eastAsia="宋体" w:cs="宋体"/>
          <w:spacing w:val="-3"/>
          <w:sz w:val="24"/>
          <w:szCs w:val="24"/>
        </w:rPr>
        <w:t>1. 工程量清单说明</w:t>
      </w:r>
    </w:p>
    <w:p>
      <w:pPr>
        <w:spacing w:before="181" w:line="359" w:lineRule="auto"/>
        <w:ind w:left="16" w:right="291" w:firstLine="492"/>
        <w:rPr>
          <w:rFonts w:ascii="宋体" w:hAnsi="宋体" w:eastAsia="宋体" w:cs="宋体"/>
          <w:sz w:val="24"/>
          <w:szCs w:val="24"/>
        </w:rPr>
      </w:pPr>
      <w:r>
        <w:rPr>
          <w:rFonts w:ascii="宋体" w:hAnsi="宋体" w:eastAsia="宋体" w:cs="宋体"/>
          <w:spacing w:val="-1"/>
          <w:sz w:val="24"/>
          <w:szCs w:val="24"/>
        </w:rPr>
        <w:t>1.1</w:t>
      </w:r>
      <w:r>
        <w:rPr>
          <w:rFonts w:ascii="宋体" w:hAnsi="宋体" w:eastAsia="宋体" w:cs="宋体"/>
          <w:spacing w:val="-44"/>
          <w:sz w:val="24"/>
          <w:szCs w:val="24"/>
        </w:rPr>
        <w:t xml:space="preserve"> </w:t>
      </w:r>
      <w:r>
        <w:rPr>
          <w:rFonts w:ascii="宋体" w:hAnsi="宋体" w:eastAsia="宋体" w:cs="宋体"/>
          <w:spacing w:val="-1"/>
          <w:sz w:val="24"/>
          <w:szCs w:val="24"/>
        </w:rPr>
        <w:t>本工程量清单是根据招标文件中包括的有合同约束力的工程量清单计量规则、</w:t>
      </w:r>
      <w:r>
        <w:rPr>
          <w:rFonts w:ascii="宋体" w:hAnsi="宋体" w:eastAsia="宋体" w:cs="宋体"/>
          <w:sz w:val="24"/>
          <w:szCs w:val="24"/>
        </w:rPr>
        <w:t xml:space="preserve"> </w:t>
      </w:r>
      <w:r>
        <w:rPr>
          <w:rFonts w:ascii="宋体" w:hAnsi="宋体" w:eastAsia="宋体" w:cs="宋体"/>
          <w:spacing w:val="-2"/>
          <w:sz w:val="24"/>
          <w:szCs w:val="24"/>
        </w:rPr>
        <w:t>图纸以及有关工程量清单的国家标准、行业标准、合同条款中约定的其他规则编制。约</w:t>
      </w:r>
      <w:r>
        <w:rPr>
          <w:rFonts w:ascii="宋体" w:hAnsi="宋体" w:eastAsia="宋体" w:cs="宋体"/>
          <w:spacing w:val="7"/>
          <w:sz w:val="24"/>
          <w:szCs w:val="24"/>
        </w:rPr>
        <w:t xml:space="preserve"> </w:t>
      </w:r>
      <w:r>
        <w:rPr>
          <w:rFonts w:ascii="宋体" w:hAnsi="宋体" w:eastAsia="宋体" w:cs="宋体"/>
          <w:spacing w:val="-2"/>
          <w:sz w:val="24"/>
          <w:szCs w:val="24"/>
        </w:rPr>
        <w:t>定计量规则中没有的子目，其工程量按照有合同约束力的图纸所标示尺寸的理论净量计</w:t>
      </w:r>
    </w:p>
    <w:p>
      <w:pPr>
        <w:spacing w:line="218" w:lineRule="auto"/>
        <w:ind w:left="12"/>
        <w:rPr>
          <w:rFonts w:ascii="宋体" w:hAnsi="宋体" w:eastAsia="宋体" w:cs="宋体"/>
          <w:sz w:val="24"/>
          <w:szCs w:val="24"/>
        </w:rPr>
      </w:pPr>
      <w:r>
        <w:rPr>
          <w:rFonts w:ascii="宋体" w:hAnsi="宋体" w:eastAsia="宋体" w:cs="宋体"/>
          <w:spacing w:val="-1"/>
          <w:sz w:val="24"/>
          <w:szCs w:val="24"/>
        </w:rPr>
        <w:t>算。计量采用中华人民共和国法定计量单位。</w:t>
      </w:r>
    </w:p>
    <w:p>
      <w:pPr>
        <w:spacing w:before="183" w:line="466" w:lineRule="exact"/>
        <w:ind w:left="508"/>
        <w:rPr>
          <w:rFonts w:ascii="宋体" w:hAnsi="宋体" w:eastAsia="宋体" w:cs="宋体"/>
          <w:sz w:val="24"/>
          <w:szCs w:val="24"/>
        </w:rPr>
      </w:pPr>
      <w:r>
        <w:rPr>
          <w:rFonts w:ascii="宋体" w:hAnsi="宋体" w:eastAsia="宋体" w:cs="宋体"/>
          <w:spacing w:val="-1"/>
          <w:position w:val="17"/>
          <w:sz w:val="24"/>
          <w:szCs w:val="24"/>
        </w:rPr>
        <w:t>1.2</w:t>
      </w:r>
      <w:r>
        <w:rPr>
          <w:rFonts w:ascii="宋体" w:hAnsi="宋体" w:eastAsia="宋体" w:cs="宋体"/>
          <w:spacing w:val="-47"/>
          <w:position w:val="17"/>
          <w:sz w:val="24"/>
          <w:szCs w:val="24"/>
        </w:rPr>
        <w:t xml:space="preserve"> </w:t>
      </w:r>
      <w:r>
        <w:rPr>
          <w:rFonts w:ascii="宋体" w:hAnsi="宋体" w:eastAsia="宋体" w:cs="宋体"/>
          <w:spacing w:val="-1"/>
          <w:position w:val="17"/>
          <w:sz w:val="24"/>
          <w:szCs w:val="24"/>
        </w:rPr>
        <w:t>本工程量清单应与招标文件中的投标人须知、通用合同条款、专用合同条款、</w:t>
      </w:r>
    </w:p>
    <w:p>
      <w:pPr>
        <w:spacing w:line="219" w:lineRule="auto"/>
        <w:ind w:left="13"/>
        <w:rPr>
          <w:rFonts w:ascii="宋体" w:hAnsi="宋体" w:eastAsia="宋体" w:cs="宋体"/>
          <w:sz w:val="24"/>
          <w:szCs w:val="24"/>
        </w:rPr>
      </w:pPr>
      <w:r>
        <w:rPr>
          <w:rFonts w:ascii="宋体" w:hAnsi="宋体" w:eastAsia="宋体" w:cs="宋体"/>
          <w:spacing w:val="-1"/>
          <w:sz w:val="24"/>
          <w:szCs w:val="24"/>
        </w:rPr>
        <w:t>工程量清单计量规则、技术规范及图纸等一起阅读和理解。</w:t>
      </w:r>
    </w:p>
    <w:p>
      <w:pPr>
        <w:spacing w:before="183" w:line="359" w:lineRule="auto"/>
        <w:ind w:left="9" w:right="291" w:firstLine="498"/>
        <w:rPr>
          <w:rFonts w:ascii="宋体" w:hAnsi="宋体" w:eastAsia="宋体" w:cs="宋体"/>
          <w:sz w:val="24"/>
          <w:szCs w:val="24"/>
        </w:rPr>
      </w:pPr>
      <w:r>
        <w:rPr>
          <w:rFonts w:ascii="宋体" w:hAnsi="宋体" w:eastAsia="宋体" w:cs="宋体"/>
          <w:spacing w:val="-1"/>
          <w:sz w:val="24"/>
          <w:szCs w:val="24"/>
        </w:rPr>
        <w:t>1.3</w:t>
      </w:r>
      <w:r>
        <w:rPr>
          <w:rFonts w:ascii="宋体" w:hAnsi="宋体" w:eastAsia="宋体" w:cs="宋体"/>
          <w:spacing w:val="-47"/>
          <w:sz w:val="24"/>
          <w:szCs w:val="24"/>
        </w:rPr>
        <w:t xml:space="preserve"> </w:t>
      </w:r>
      <w:r>
        <w:rPr>
          <w:rFonts w:ascii="宋体" w:hAnsi="宋体" w:eastAsia="宋体" w:cs="宋体"/>
          <w:spacing w:val="-1"/>
          <w:sz w:val="24"/>
          <w:szCs w:val="24"/>
        </w:rPr>
        <w:t>本工程量清单中所列工程数量是估算的或设计的预计数量，仅作为投标报价的</w:t>
      </w:r>
      <w:r>
        <w:rPr>
          <w:rFonts w:ascii="宋体" w:hAnsi="宋体" w:eastAsia="宋体" w:cs="宋体"/>
          <w:sz w:val="24"/>
          <w:szCs w:val="24"/>
        </w:rPr>
        <w:t xml:space="preserve"> 共同基础，不能作为最终结算与支付的依据。实际支付应按实际完成的工程量，</w:t>
      </w:r>
      <w:r>
        <w:rPr>
          <w:rFonts w:ascii="宋体" w:hAnsi="宋体" w:eastAsia="宋体" w:cs="宋体"/>
          <w:spacing w:val="57"/>
          <w:sz w:val="24"/>
          <w:szCs w:val="24"/>
        </w:rPr>
        <w:t xml:space="preserve"> </w:t>
      </w:r>
      <w:r>
        <w:rPr>
          <w:rFonts w:ascii="宋体" w:hAnsi="宋体" w:eastAsia="宋体" w:cs="宋体"/>
          <w:sz w:val="24"/>
          <w:szCs w:val="24"/>
        </w:rPr>
        <w:t xml:space="preserve">由承 </w:t>
      </w:r>
      <w:r>
        <w:rPr>
          <w:rFonts w:ascii="宋体" w:hAnsi="宋体" w:eastAsia="宋体" w:cs="宋体"/>
          <w:spacing w:val="-2"/>
          <w:sz w:val="24"/>
          <w:szCs w:val="24"/>
        </w:rPr>
        <w:t>包人按工程量清单计量规则规定的计量方法，以监理人认可的尺寸、断面计量，按本工</w:t>
      </w:r>
      <w:r>
        <w:rPr>
          <w:rFonts w:ascii="宋体" w:hAnsi="宋体" w:eastAsia="宋体" w:cs="宋体"/>
          <w:spacing w:val="13"/>
          <w:sz w:val="24"/>
          <w:szCs w:val="24"/>
        </w:rPr>
        <w:t xml:space="preserve"> </w:t>
      </w:r>
      <w:r>
        <w:rPr>
          <w:rFonts w:ascii="宋体" w:hAnsi="宋体" w:eastAsia="宋体" w:cs="宋体"/>
          <w:spacing w:val="-1"/>
          <w:sz w:val="24"/>
          <w:szCs w:val="24"/>
        </w:rPr>
        <w:t>程量清单的单价和总额价计算支付金额；或根据具体情况，按合同条款第</w:t>
      </w:r>
      <w:r>
        <w:rPr>
          <w:rFonts w:ascii="宋体" w:hAnsi="宋体" w:eastAsia="宋体" w:cs="宋体"/>
          <w:spacing w:val="-25"/>
          <w:sz w:val="24"/>
          <w:szCs w:val="24"/>
        </w:rPr>
        <w:t xml:space="preserve"> </w:t>
      </w:r>
      <w:r>
        <w:rPr>
          <w:rFonts w:ascii="宋体" w:hAnsi="宋体" w:eastAsia="宋体" w:cs="宋体"/>
          <w:spacing w:val="-1"/>
          <w:sz w:val="24"/>
          <w:szCs w:val="24"/>
        </w:rPr>
        <w:t>15.4 款的规</w:t>
      </w:r>
    </w:p>
    <w:p>
      <w:pPr>
        <w:spacing w:before="2" w:line="217" w:lineRule="auto"/>
        <w:ind w:left="16"/>
        <w:rPr>
          <w:rFonts w:ascii="宋体" w:hAnsi="宋体" w:eastAsia="宋体" w:cs="宋体"/>
          <w:sz w:val="24"/>
          <w:szCs w:val="24"/>
        </w:rPr>
      </w:pPr>
      <w:r>
        <w:rPr>
          <w:rFonts w:ascii="宋体" w:hAnsi="宋体" w:eastAsia="宋体" w:cs="宋体"/>
          <w:spacing w:val="-1"/>
          <w:sz w:val="24"/>
          <w:szCs w:val="24"/>
        </w:rPr>
        <w:t>定，按监理人确定的单价或总额价计算支付额。</w:t>
      </w:r>
    </w:p>
    <w:p>
      <w:pPr>
        <w:spacing w:before="185" w:line="359" w:lineRule="auto"/>
        <w:ind w:left="10" w:right="291" w:firstLine="497"/>
        <w:rPr>
          <w:rFonts w:ascii="宋体" w:hAnsi="宋体" w:eastAsia="宋体" w:cs="宋体"/>
          <w:sz w:val="24"/>
          <w:szCs w:val="24"/>
        </w:rPr>
      </w:pPr>
      <w:r>
        <w:rPr>
          <w:rFonts w:ascii="宋体" w:hAnsi="宋体" w:eastAsia="宋体" w:cs="宋体"/>
          <w:spacing w:val="-3"/>
          <w:sz w:val="24"/>
          <w:szCs w:val="24"/>
        </w:rPr>
        <w:t>1.4</w:t>
      </w:r>
      <w:r>
        <w:rPr>
          <w:rFonts w:ascii="宋体" w:hAnsi="宋体" w:eastAsia="宋体" w:cs="宋体"/>
          <w:spacing w:val="-37"/>
          <w:sz w:val="24"/>
          <w:szCs w:val="24"/>
        </w:rPr>
        <w:t xml:space="preserve"> </w:t>
      </w:r>
      <w:r>
        <w:rPr>
          <w:rFonts w:ascii="宋体" w:hAnsi="宋体" w:eastAsia="宋体" w:cs="宋体"/>
          <w:spacing w:val="-3"/>
          <w:sz w:val="24"/>
          <w:szCs w:val="24"/>
        </w:rPr>
        <w:t>工程量清单各章是按第八章“工程量清单计量规则</w:t>
      </w:r>
      <w:r>
        <w:rPr>
          <w:rFonts w:ascii="宋体" w:hAnsi="宋体" w:eastAsia="宋体" w:cs="宋体"/>
          <w:spacing w:val="-88"/>
          <w:sz w:val="24"/>
          <w:szCs w:val="24"/>
        </w:rPr>
        <w:t xml:space="preserve"> </w:t>
      </w:r>
      <w:r>
        <w:rPr>
          <w:rFonts w:ascii="宋体" w:hAnsi="宋体" w:eastAsia="宋体" w:cs="宋体"/>
          <w:spacing w:val="-3"/>
          <w:sz w:val="24"/>
          <w:szCs w:val="24"/>
        </w:rPr>
        <w:t>”、第七章“技术规范</w:t>
      </w:r>
      <w:r>
        <w:rPr>
          <w:rFonts w:ascii="宋体" w:hAnsi="宋体" w:eastAsia="宋体" w:cs="宋体"/>
          <w:spacing w:val="-88"/>
          <w:sz w:val="24"/>
          <w:szCs w:val="24"/>
        </w:rPr>
        <w:t xml:space="preserve"> </w:t>
      </w:r>
      <w:r>
        <w:rPr>
          <w:rFonts w:ascii="宋体" w:hAnsi="宋体" w:eastAsia="宋体" w:cs="宋体"/>
          <w:spacing w:val="-3"/>
          <w:sz w:val="24"/>
          <w:szCs w:val="24"/>
        </w:rPr>
        <w:t>”的</w:t>
      </w:r>
      <w:r>
        <w:rPr>
          <w:rFonts w:ascii="宋体" w:hAnsi="宋体" w:eastAsia="宋体" w:cs="宋体"/>
          <w:sz w:val="24"/>
          <w:szCs w:val="24"/>
        </w:rPr>
        <w:t xml:space="preserve"> </w:t>
      </w:r>
      <w:r>
        <w:rPr>
          <w:rFonts w:ascii="宋体" w:hAnsi="宋体" w:eastAsia="宋体" w:cs="宋体"/>
          <w:spacing w:val="-2"/>
          <w:sz w:val="24"/>
          <w:szCs w:val="24"/>
        </w:rPr>
        <w:t>相应章次编号的，因此，工程量清单中各章的工程子目的范围与计量等应与“工程量清</w:t>
      </w:r>
    </w:p>
    <w:p>
      <w:pPr>
        <w:spacing w:line="218" w:lineRule="auto"/>
        <w:ind w:left="12"/>
        <w:rPr>
          <w:rFonts w:ascii="宋体" w:hAnsi="宋体" w:eastAsia="宋体" w:cs="宋体"/>
          <w:sz w:val="24"/>
          <w:szCs w:val="24"/>
        </w:rPr>
      </w:pPr>
      <w:r>
        <w:rPr>
          <w:rFonts w:ascii="宋体" w:hAnsi="宋体" w:eastAsia="宋体" w:cs="宋体"/>
          <w:spacing w:val="-2"/>
          <w:sz w:val="24"/>
          <w:szCs w:val="24"/>
        </w:rPr>
        <w:t>单计量规则</w:t>
      </w:r>
      <w:r>
        <w:rPr>
          <w:rFonts w:ascii="宋体" w:hAnsi="宋体" w:eastAsia="宋体" w:cs="宋体"/>
          <w:spacing w:val="-89"/>
          <w:sz w:val="24"/>
          <w:szCs w:val="24"/>
        </w:rPr>
        <w:t xml:space="preserve"> </w:t>
      </w:r>
      <w:r>
        <w:rPr>
          <w:rFonts w:ascii="宋体" w:hAnsi="宋体" w:eastAsia="宋体" w:cs="宋体"/>
          <w:spacing w:val="-2"/>
          <w:sz w:val="24"/>
          <w:szCs w:val="24"/>
        </w:rPr>
        <w:t>”、“技术规范</w:t>
      </w:r>
      <w:r>
        <w:rPr>
          <w:rFonts w:ascii="宋体" w:hAnsi="宋体" w:eastAsia="宋体" w:cs="宋体"/>
          <w:spacing w:val="-88"/>
          <w:sz w:val="24"/>
          <w:szCs w:val="24"/>
        </w:rPr>
        <w:t xml:space="preserve"> </w:t>
      </w:r>
      <w:r>
        <w:rPr>
          <w:rFonts w:ascii="宋体" w:hAnsi="宋体" w:eastAsia="宋体" w:cs="宋体"/>
          <w:spacing w:val="-2"/>
          <w:sz w:val="24"/>
          <w:szCs w:val="24"/>
        </w:rPr>
        <w:t>”相应章节的范围、计量与支付条款结合起来理解或解释。</w:t>
      </w:r>
    </w:p>
    <w:p>
      <w:pPr>
        <w:spacing w:before="182" w:line="465" w:lineRule="exact"/>
        <w:ind w:left="508"/>
        <w:rPr>
          <w:rFonts w:ascii="宋体" w:hAnsi="宋体" w:eastAsia="宋体" w:cs="宋体"/>
          <w:sz w:val="24"/>
          <w:szCs w:val="24"/>
        </w:rPr>
      </w:pPr>
      <w:r>
        <w:rPr>
          <w:rFonts w:ascii="宋体" w:hAnsi="宋体" w:eastAsia="宋体" w:cs="宋体"/>
          <w:spacing w:val="-2"/>
          <w:position w:val="17"/>
          <w:sz w:val="24"/>
          <w:szCs w:val="24"/>
        </w:rPr>
        <w:t>1.5 对作业和材料的一般说明或规定，未重复写入工程量清单内，在给</w:t>
      </w:r>
      <w:r>
        <w:rPr>
          <w:rFonts w:ascii="宋体" w:hAnsi="宋体" w:eastAsia="宋体" w:cs="宋体"/>
          <w:spacing w:val="-3"/>
          <w:position w:val="17"/>
          <w:sz w:val="24"/>
          <w:szCs w:val="24"/>
        </w:rPr>
        <w:t>工程量清单</w:t>
      </w:r>
    </w:p>
    <w:p>
      <w:pPr>
        <w:spacing w:before="2" w:line="217" w:lineRule="auto"/>
        <w:ind w:left="13"/>
        <w:rPr>
          <w:rFonts w:ascii="宋体" w:hAnsi="宋体" w:eastAsia="宋体" w:cs="宋体"/>
          <w:sz w:val="24"/>
          <w:szCs w:val="24"/>
        </w:rPr>
      </w:pPr>
      <w:r>
        <w:rPr>
          <w:rFonts w:ascii="宋体" w:hAnsi="宋体" w:eastAsia="宋体" w:cs="宋体"/>
          <w:spacing w:val="-2"/>
          <w:sz w:val="24"/>
          <w:szCs w:val="24"/>
        </w:rPr>
        <w:t>各子目标价前，应参阅第七章“技术规范</w:t>
      </w:r>
      <w:r>
        <w:rPr>
          <w:rFonts w:ascii="宋体" w:hAnsi="宋体" w:eastAsia="宋体" w:cs="宋体"/>
          <w:spacing w:val="-84"/>
          <w:sz w:val="24"/>
          <w:szCs w:val="24"/>
        </w:rPr>
        <w:t xml:space="preserve"> </w:t>
      </w:r>
      <w:r>
        <w:rPr>
          <w:rFonts w:ascii="宋体" w:hAnsi="宋体" w:eastAsia="宋体" w:cs="宋体"/>
          <w:spacing w:val="-2"/>
          <w:sz w:val="24"/>
          <w:szCs w:val="24"/>
        </w:rPr>
        <w:t>”的有关内容。</w:t>
      </w:r>
    </w:p>
    <w:p>
      <w:pPr>
        <w:spacing w:before="184" w:line="468" w:lineRule="exact"/>
        <w:ind w:left="508"/>
        <w:rPr>
          <w:rFonts w:ascii="宋体" w:hAnsi="宋体" w:eastAsia="宋体" w:cs="宋体"/>
          <w:sz w:val="24"/>
          <w:szCs w:val="24"/>
        </w:rPr>
      </w:pPr>
      <w:r>
        <w:rPr>
          <w:rFonts w:ascii="宋体" w:hAnsi="宋体" w:eastAsia="宋体" w:cs="宋体"/>
          <w:spacing w:val="-2"/>
          <w:position w:val="17"/>
          <w:sz w:val="24"/>
          <w:szCs w:val="24"/>
        </w:rPr>
        <w:t>1.6  工程量清单中所列工程量的变动，丝毫不会降低或影响合同条款的效力， 也</w:t>
      </w:r>
    </w:p>
    <w:p>
      <w:pPr>
        <w:spacing w:before="1" w:line="219" w:lineRule="auto"/>
        <w:ind w:left="14"/>
        <w:rPr>
          <w:rFonts w:ascii="宋体" w:hAnsi="宋体" w:eastAsia="宋体" w:cs="宋体"/>
          <w:sz w:val="24"/>
          <w:szCs w:val="24"/>
        </w:rPr>
      </w:pPr>
      <w:r>
        <w:rPr>
          <w:rFonts w:ascii="宋体" w:hAnsi="宋体" w:eastAsia="宋体" w:cs="宋体"/>
          <w:spacing w:val="-1"/>
          <w:sz w:val="24"/>
          <w:szCs w:val="24"/>
        </w:rPr>
        <w:t>不免除承包人按规定的标准进行施工和修复缺陷的责任。</w:t>
      </w:r>
    </w:p>
    <w:p>
      <w:pPr>
        <w:spacing w:before="180" w:line="468" w:lineRule="exact"/>
        <w:ind w:left="508"/>
        <w:rPr>
          <w:rFonts w:ascii="宋体" w:hAnsi="宋体" w:eastAsia="宋体" w:cs="宋体"/>
          <w:sz w:val="24"/>
          <w:szCs w:val="24"/>
        </w:rPr>
      </w:pPr>
      <w:r>
        <w:rPr>
          <w:rFonts w:ascii="宋体" w:hAnsi="宋体" w:eastAsia="宋体" w:cs="宋体"/>
          <w:spacing w:val="2"/>
          <w:position w:val="17"/>
          <w:sz w:val="24"/>
          <w:szCs w:val="24"/>
        </w:rPr>
        <w:t>1.7</w:t>
      </w:r>
      <w:r>
        <w:rPr>
          <w:rFonts w:ascii="宋体" w:hAnsi="宋体" w:eastAsia="宋体" w:cs="宋体"/>
          <w:spacing w:val="-21"/>
          <w:position w:val="17"/>
          <w:sz w:val="24"/>
          <w:szCs w:val="24"/>
        </w:rPr>
        <w:t xml:space="preserve"> </w:t>
      </w:r>
      <w:r>
        <w:rPr>
          <w:rFonts w:ascii="宋体" w:hAnsi="宋体" w:eastAsia="宋体" w:cs="宋体"/>
          <w:spacing w:val="2"/>
          <w:position w:val="17"/>
          <w:sz w:val="24"/>
          <w:szCs w:val="24"/>
        </w:rPr>
        <w:t>图纸中所列的工程数量表及数量汇总表仅是提供资料，不是工程量清单的 外</w:t>
      </w:r>
    </w:p>
    <w:p>
      <w:pPr>
        <w:spacing w:before="1" w:line="217" w:lineRule="auto"/>
        <w:ind w:left="11"/>
        <w:rPr>
          <w:rFonts w:ascii="宋体" w:hAnsi="宋体" w:eastAsia="宋体" w:cs="宋体"/>
          <w:sz w:val="24"/>
          <w:szCs w:val="24"/>
        </w:rPr>
      </w:pPr>
      <w:r>
        <w:rPr>
          <w:rFonts w:ascii="宋体" w:hAnsi="宋体" w:eastAsia="宋体" w:cs="宋体"/>
          <w:sz w:val="24"/>
          <w:szCs w:val="24"/>
        </w:rPr>
        <w:t>延。当图纸与工程量清单所列数量不一致时，以工程量清单</w:t>
      </w:r>
      <w:r>
        <w:rPr>
          <w:rFonts w:ascii="宋体" w:hAnsi="宋体" w:eastAsia="宋体" w:cs="宋体"/>
          <w:spacing w:val="-1"/>
          <w:sz w:val="24"/>
          <w:szCs w:val="24"/>
        </w:rPr>
        <w:t>所列数量作为报价的依据。</w:t>
      </w:r>
    </w:p>
    <w:p>
      <w:pPr>
        <w:spacing w:before="183" w:line="218" w:lineRule="auto"/>
        <w:ind w:left="493"/>
        <w:rPr>
          <w:rFonts w:ascii="宋体" w:hAnsi="宋体" w:eastAsia="宋体" w:cs="宋体"/>
          <w:sz w:val="24"/>
          <w:szCs w:val="24"/>
        </w:rPr>
      </w:pPr>
      <w:r>
        <w:rPr>
          <w:rFonts w:ascii="宋体" w:hAnsi="宋体" w:eastAsia="宋体" w:cs="宋体"/>
          <w:spacing w:val="-2"/>
          <w:sz w:val="24"/>
          <w:szCs w:val="24"/>
        </w:rPr>
        <w:t>2. 投标报价说明</w:t>
      </w:r>
    </w:p>
    <w:p>
      <w:pPr>
        <w:spacing w:before="184" w:line="218" w:lineRule="auto"/>
        <w:ind w:left="493"/>
        <w:rPr>
          <w:rFonts w:ascii="宋体" w:hAnsi="宋体" w:eastAsia="宋体" w:cs="宋体"/>
          <w:sz w:val="24"/>
          <w:szCs w:val="24"/>
        </w:rPr>
      </w:pPr>
      <w:r>
        <w:rPr>
          <w:rFonts w:ascii="宋体" w:hAnsi="宋体" w:eastAsia="宋体" w:cs="宋体"/>
          <w:sz w:val="24"/>
          <w:szCs w:val="24"/>
        </w:rPr>
        <w:t>2.1 工程量清单中的每一子目须填入单价</w:t>
      </w:r>
      <w:r>
        <w:rPr>
          <w:rFonts w:ascii="宋体" w:hAnsi="宋体" w:eastAsia="宋体" w:cs="宋体"/>
          <w:spacing w:val="-1"/>
          <w:sz w:val="24"/>
          <w:szCs w:val="24"/>
        </w:rPr>
        <w:t>或价格，且只允许有一个报价。</w:t>
      </w:r>
    </w:p>
    <w:p>
      <w:pPr>
        <w:spacing w:before="184" w:line="359" w:lineRule="auto"/>
        <w:ind w:left="12" w:right="289" w:firstLine="480"/>
        <w:rPr>
          <w:rFonts w:ascii="宋体" w:hAnsi="宋体" w:eastAsia="宋体" w:cs="宋体"/>
          <w:sz w:val="24"/>
          <w:szCs w:val="24"/>
        </w:rPr>
      </w:pPr>
      <w:r>
        <w:rPr>
          <w:rFonts w:ascii="宋体" w:hAnsi="宋体" w:eastAsia="宋体" w:cs="宋体"/>
          <w:spacing w:val="-2"/>
          <w:sz w:val="24"/>
          <w:szCs w:val="24"/>
        </w:rPr>
        <w:t>2.2 除非合同另有规定，工程量清单中有标价的单价和总额价均已包括了为实施和</w:t>
      </w:r>
      <w:r>
        <w:rPr>
          <w:rFonts w:ascii="宋体" w:hAnsi="宋体" w:eastAsia="宋体" w:cs="宋体"/>
          <w:spacing w:val="9"/>
          <w:sz w:val="24"/>
          <w:szCs w:val="24"/>
        </w:rPr>
        <w:t xml:space="preserve"> </w:t>
      </w:r>
      <w:r>
        <w:rPr>
          <w:rFonts w:ascii="宋体" w:hAnsi="宋体" w:eastAsia="宋体" w:cs="宋体"/>
          <w:spacing w:val="-8"/>
          <w:sz w:val="24"/>
          <w:szCs w:val="24"/>
        </w:rPr>
        <w:t>完成合同工程所需的劳务、材料、机械、质检(自检)、安装、缺陷修复、管理、保险（建</w:t>
      </w:r>
      <w:r>
        <w:rPr>
          <w:rFonts w:ascii="宋体" w:hAnsi="宋体" w:eastAsia="宋体" w:cs="宋体"/>
          <w:spacing w:val="17"/>
          <w:sz w:val="24"/>
          <w:szCs w:val="24"/>
        </w:rPr>
        <w:t xml:space="preserve"> </w:t>
      </w:r>
      <w:r>
        <w:rPr>
          <w:rFonts w:ascii="宋体" w:hAnsi="宋体" w:eastAsia="宋体" w:cs="宋体"/>
          <w:spacing w:val="-2"/>
          <w:sz w:val="24"/>
          <w:szCs w:val="24"/>
        </w:rPr>
        <w:t>筑工程一切险及第三者责任险除外）、税费、利润等费用，以及合同明示或暗示的所有</w:t>
      </w:r>
    </w:p>
    <w:p>
      <w:pPr>
        <w:spacing w:line="219" w:lineRule="auto"/>
        <w:ind w:left="19"/>
        <w:rPr>
          <w:rFonts w:ascii="宋体" w:hAnsi="宋体" w:eastAsia="宋体" w:cs="宋体"/>
          <w:sz w:val="24"/>
          <w:szCs w:val="24"/>
        </w:rPr>
      </w:pPr>
      <w:r>
        <w:rPr>
          <w:rFonts w:ascii="宋体" w:hAnsi="宋体" w:eastAsia="宋体" w:cs="宋体"/>
          <w:spacing w:val="-2"/>
          <w:sz w:val="24"/>
          <w:szCs w:val="24"/>
        </w:rPr>
        <w:t>责任、义务和一般风险。</w:t>
      </w:r>
    </w:p>
    <w:p>
      <w:pPr>
        <w:spacing w:line="244" w:lineRule="auto"/>
        <w:rPr>
          <w:rFonts w:ascii="Arial"/>
          <w:sz w:val="21"/>
        </w:rPr>
      </w:pPr>
    </w:p>
    <w:p>
      <w:pPr>
        <w:spacing w:before="59" w:line="217" w:lineRule="auto"/>
        <w:ind w:left="7"/>
        <w:rPr>
          <w:rFonts w:ascii="宋体" w:hAnsi="宋体" w:eastAsia="宋体" w:cs="宋体"/>
          <w:sz w:val="18"/>
          <w:szCs w:val="18"/>
        </w:rPr>
      </w:pPr>
      <w:r>
        <w:rPr>
          <w:rFonts w:ascii="宋体" w:hAnsi="宋体" w:eastAsia="宋体" w:cs="宋体"/>
          <w:sz w:val="18"/>
          <w:szCs w:val="18"/>
        </w:rPr>
        <w:t>①工程量清单说明由招标人根据招标项目的具体特点和实</w:t>
      </w:r>
      <w:r>
        <w:rPr>
          <w:rFonts w:ascii="宋体" w:hAnsi="宋体" w:eastAsia="宋体" w:cs="宋体"/>
          <w:spacing w:val="-1"/>
          <w:sz w:val="18"/>
          <w:szCs w:val="18"/>
        </w:rPr>
        <w:t>际情况进行编制。</w:t>
      </w:r>
    </w:p>
    <w:p>
      <w:pPr>
        <w:spacing w:line="425" w:lineRule="auto"/>
        <w:rPr>
          <w:rFonts w:ascii="Arial"/>
          <w:sz w:val="21"/>
        </w:rPr>
      </w:pPr>
      <w:r>
        <mc:AlternateContent>
          <mc:Choice Requires="wps">
            <w:drawing>
              <wp:anchor distT="0" distB="0" distL="114300" distR="114300" simplePos="0" relativeHeight="251681792" behindDoc="0" locked="0" layoutInCell="0" allowOverlap="1">
                <wp:simplePos x="0" y="0"/>
                <wp:positionH relativeFrom="page">
                  <wp:posOffset>899795</wp:posOffset>
                </wp:positionH>
                <wp:positionV relativeFrom="page">
                  <wp:posOffset>9566910</wp:posOffset>
                </wp:positionV>
                <wp:extent cx="1828800" cy="0"/>
                <wp:effectExtent l="4445" t="4445" r="5080" b="5080"/>
                <wp:wrapNone/>
                <wp:docPr id="105" name="任意多边形 105"/>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sq"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70.85pt;margin-top:753.3pt;height:0pt;width:144pt;mso-position-horizontal-relative:page;mso-position-vertical-relative:page;z-index:251681792;mso-width-relative:page;mso-height-relative:page;" filled="f" stroked="t" coordsize="2880,1" o:allowincell="f" o:gfxdata="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jNnCdcAAAANAQAADwAAAAAAAAABACAAAAAiAAAAZHJzL2Rvd25yZXYueG1sUEsBAhQAFAAA&#10;AAgAh07iQMkhCzMpAgAAiwQAAA4AAAAAAAAAAQAgAAAAJgEAAGRycy9lMm9Eb2MueG1sUEsFBgAA&#10;AAAGAAYAWQEAAMEFAAAAAA==&#10;" path="m0,0l2880,0e">
                <v:fill on="f" focussize="0,0"/>
                <v:stroke weight="0pt" color="#000000" joinstyle="bevel" endcap="square"/>
                <v:imagedata o:title=""/>
                <o:lock v:ext="edit" aspectratio="f"/>
              </v:shape>
            </w:pict>
          </mc:Fallback>
        </mc:AlternateContent>
      </w:r>
    </w:p>
    <w:p>
      <w:pPr>
        <w:spacing w:before="78" w:line="359" w:lineRule="auto"/>
        <w:ind w:left="8" w:right="291" w:firstLine="482"/>
        <w:rPr>
          <w:rFonts w:ascii="宋体" w:hAnsi="宋体" w:eastAsia="宋体" w:cs="宋体"/>
          <w:sz w:val="24"/>
          <w:szCs w:val="24"/>
        </w:rPr>
      </w:pPr>
      <w:r>
        <w:rPr>
          <w:rFonts w:ascii="宋体" w:hAnsi="宋体" w:eastAsia="宋体" w:cs="宋体"/>
          <w:spacing w:val="-2"/>
          <w:sz w:val="24"/>
          <w:szCs w:val="24"/>
        </w:rPr>
        <w:t>2.3 工程量清单中投标人没有填入单价或价格的子目，其费用视为已分摊在工程量</w:t>
      </w:r>
      <w:r>
        <w:rPr>
          <w:rFonts w:ascii="宋体" w:hAnsi="宋体" w:eastAsia="宋体" w:cs="宋体"/>
          <w:spacing w:val="9"/>
          <w:sz w:val="24"/>
          <w:szCs w:val="24"/>
        </w:rPr>
        <w:t xml:space="preserve"> </w:t>
      </w:r>
      <w:r>
        <w:rPr>
          <w:rFonts w:ascii="宋体" w:hAnsi="宋体" w:eastAsia="宋体" w:cs="宋体"/>
          <w:spacing w:val="-2"/>
          <w:sz w:val="24"/>
          <w:szCs w:val="24"/>
        </w:rPr>
        <w:t>清单中其他相关子目的单价或价格之中。承包人必须按监理人指令完成工程量清单中未</w:t>
      </w:r>
    </w:p>
    <w:p>
      <w:pPr>
        <w:spacing w:before="1" w:line="217" w:lineRule="auto"/>
        <w:ind w:left="10"/>
        <w:rPr>
          <w:rFonts w:ascii="宋体" w:hAnsi="宋体" w:eastAsia="宋体" w:cs="宋体"/>
          <w:sz w:val="24"/>
          <w:szCs w:val="24"/>
        </w:rPr>
      </w:pPr>
      <w:r>
        <w:rPr>
          <w:rFonts w:ascii="宋体" w:hAnsi="宋体" w:eastAsia="宋体" w:cs="宋体"/>
          <w:spacing w:val="-1"/>
          <w:sz w:val="24"/>
          <w:szCs w:val="24"/>
        </w:rPr>
        <w:t>填入单价或价格的子目，但不能得到结算与支付。</w:t>
      </w:r>
    </w:p>
    <w:p>
      <w:pPr>
        <w:spacing w:before="182" w:line="359" w:lineRule="auto"/>
        <w:ind w:left="54" w:right="291" w:firstLine="437"/>
        <w:rPr>
          <w:rFonts w:ascii="宋体" w:hAnsi="宋体" w:eastAsia="宋体" w:cs="宋体"/>
          <w:sz w:val="24"/>
          <w:szCs w:val="24"/>
        </w:rPr>
      </w:pPr>
      <w:r>
        <w:rPr>
          <w:rFonts w:ascii="宋体" w:hAnsi="宋体" w:eastAsia="宋体" w:cs="宋体"/>
          <w:spacing w:val="5"/>
          <w:sz w:val="24"/>
          <w:szCs w:val="24"/>
        </w:rPr>
        <w:t>2.4 符合合同条款规定的全部费用应认为已被计</w:t>
      </w:r>
      <w:r>
        <w:rPr>
          <w:rFonts w:ascii="宋体" w:hAnsi="宋体" w:eastAsia="宋体" w:cs="宋体"/>
          <w:spacing w:val="4"/>
          <w:sz w:val="24"/>
          <w:szCs w:val="24"/>
        </w:rPr>
        <w:t>入有标价的工程量清单所列各子</w:t>
      </w:r>
      <w:r>
        <w:rPr>
          <w:rFonts w:ascii="宋体" w:hAnsi="宋体" w:eastAsia="宋体" w:cs="宋体"/>
          <w:sz w:val="24"/>
          <w:szCs w:val="24"/>
        </w:rPr>
        <w:t xml:space="preserve"> </w:t>
      </w:r>
      <w:r>
        <w:rPr>
          <w:rFonts w:ascii="宋体" w:hAnsi="宋体" w:eastAsia="宋体" w:cs="宋体"/>
          <w:spacing w:val="-3"/>
          <w:sz w:val="24"/>
          <w:szCs w:val="24"/>
        </w:rPr>
        <w:t>目之中，未列子目不予计量的工作，其费用应视为已分摊在本合同工程的有关子目的单</w:t>
      </w:r>
    </w:p>
    <w:p>
      <w:pPr>
        <w:spacing w:before="1" w:line="217" w:lineRule="auto"/>
        <w:ind w:left="9"/>
        <w:rPr>
          <w:rFonts w:ascii="宋体" w:hAnsi="宋体" w:eastAsia="宋体" w:cs="宋体"/>
          <w:sz w:val="24"/>
          <w:szCs w:val="24"/>
        </w:rPr>
      </w:pPr>
      <w:r>
        <w:rPr>
          <w:rFonts w:ascii="宋体" w:hAnsi="宋体" w:eastAsia="宋体" w:cs="宋体"/>
          <w:spacing w:val="-2"/>
          <w:sz w:val="24"/>
          <w:szCs w:val="24"/>
        </w:rPr>
        <w:t>价或总额价之中。</w:t>
      </w:r>
    </w:p>
    <w:p>
      <w:pPr>
        <w:spacing w:before="184" w:line="466" w:lineRule="exact"/>
        <w:ind w:left="491"/>
        <w:rPr>
          <w:rFonts w:ascii="宋体" w:hAnsi="宋体" w:eastAsia="宋体" w:cs="宋体"/>
          <w:sz w:val="24"/>
          <w:szCs w:val="24"/>
        </w:rPr>
      </w:pPr>
      <w:r>
        <w:rPr>
          <w:rFonts w:ascii="宋体" w:hAnsi="宋体" w:eastAsia="宋体" w:cs="宋体"/>
          <w:spacing w:val="-2"/>
          <w:position w:val="17"/>
          <w:sz w:val="24"/>
          <w:szCs w:val="24"/>
        </w:rPr>
        <w:t>2.5 承包人用于本合同工程的各类装备的提供、运输、维护、拆卸、拼装等支付的</w:t>
      </w:r>
    </w:p>
    <w:p>
      <w:pPr>
        <w:spacing w:before="1" w:line="217" w:lineRule="auto"/>
        <w:ind w:left="21"/>
        <w:rPr>
          <w:rFonts w:ascii="宋体" w:hAnsi="宋体" w:eastAsia="宋体" w:cs="宋体"/>
          <w:sz w:val="24"/>
          <w:szCs w:val="24"/>
        </w:rPr>
      </w:pPr>
      <w:r>
        <w:rPr>
          <w:rFonts w:ascii="宋体" w:hAnsi="宋体" w:eastAsia="宋体" w:cs="宋体"/>
          <w:spacing w:val="-1"/>
          <w:sz w:val="24"/>
          <w:szCs w:val="24"/>
        </w:rPr>
        <w:t>费用，已包括在工程量清单的单价与总额价之</w:t>
      </w:r>
      <w:r>
        <w:rPr>
          <w:rFonts w:ascii="宋体" w:hAnsi="宋体" w:eastAsia="宋体" w:cs="宋体"/>
          <w:spacing w:val="-2"/>
          <w:sz w:val="24"/>
          <w:szCs w:val="24"/>
        </w:rPr>
        <w:t>中。</w:t>
      </w:r>
    </w:p>
    <w:p>
      <w:pPr>
        <w:spacing w:before="184" w:line="219" w:lineRule="auto"/>
        <w:ind w:left="491"/>
        <w:rPr>
          <w:rFonts w:ascii="宋体" w:hAnsi="宋体" w:eastAsia="宋体" w:cs="宋体"/>
          <w:sz w:val="24"/>
          <w:szCs w:val="24"/>
        </w:rPr>
      </w:pPr>
      <w:r>
        <w:rPr>
          <w:rFonts w:ascii="宋体" w:hAnsi="宋体" w:eastAsia="宋体" w:cs="宋体"/>
          <w:spacing w:val="-1"/>
          <w:sz w:val="24"/>
          <w:szCs w:val="24"/>
        </w:rPr>
        <w:t>2.6 工程量清单中各项金额均以人民币(元)结算。</w:t>
      </w:r>
    </w:p>
    <w:p>
      <w:pPr>
        <w:spacing w:before="181" w:line="219" w:lineRule="auto"/>
        <w:ind w:left="491"/>
        <w:rPr>
          <w:rFonts w:ascii="宋体" w:hAnsi="宋体" w:eastAsia="宋体" w:cs="宋体"/>
          <w:sz w:val="24"/>
          <w:szCs w:val="24"/>
        </w:rPr>
      </w:pPr>
      <w:r>
        <w:rPr>
          <w:rFonts w:ascii="宋体" w:hAnsi="宋体" w:eastAsia="宋体" w:cs="宋体"/>
          <w:spacing w:val="-1"/>
          <w:sz w:val="24"/>
          <w:szCs w:val="24"/>
        </w:rPr>
        <w:t>2.7 暂列金额的数量及拟用子目的说明：</w:t>
      </w:r>
    </w:p>
    <w:p>
      <w:pPr>
        <w:spacing w:before="148" w:line="365" w:lineRule="auto"/>
        <w:ind w:left="12" w:right="291" w:firstLine="483"/>
        <w:rPr>
          <w:rFonts w:ascii="宋体" w:hAnsi="宋体" w:eastAsia="宋体" w:cs="宋体"/>
          <w:sz w:val="24"/>
          <w:szCs w:val="24"/>
        </w:rPr>
      </w:pPr>
      <w:r>
        <w:rPr>
          <w:rFonts w:ascii="宋体" w:hAnsi="宋体" w:eastAsia="宋体" w:cs="宋体"/>
          <w:spacing w:val="1"/>
          <w:sz w:val="24"/>
          <w:szCs w:val="24"/>
        </w:rPr>
        <w:t>暂列金额</w:t>
      </w:r>
      <w:r>
        <w:rPr>
          <w:rFonts w:ascii="宋体" w:hAnsi="宋体" w:eastAsia="宋体" w:cs="宋体"/>
          <w:sz w:val="24"/>
          <w:szCs w:val="24"/>
        </w:rPr>
        <w:t>计列并包含</w:t>
      </w:r>
      <w:r>
        <w:rPr>
          <w:rFonts w:ascii="宋体" w:hAnsi="宋体" w:eastAsia="宋体" w:cs="宋体"/>
          <w:spacing w:val="-2"/>
          <w:sz w:val="24"/>
          <w:szCs w:val="24"/>
        </w:rPr>
        <w:t>于投标总价，暂列金额应由监理人报发包人批准后指令全部或部分地使用，或者根本不</w:t>
      </w:r>
      <w:r>
        <w:rPr>
          <w:rFonts w:ascii="宋体" w:hAnsi="宋体" w:eastAsia="宋体" w:cs="宋体"/>
          <w:spacing w:val="-1"/>
          <w:sz w:val="24"/>
          <w:szCs w:val="24"/>
        </w:rPr>
        <w:t>予动用。符合下列条件的可在暂列金额中计量支付：</w:t>
      </w:r>
    </w:p>
    <w:p>
      <w:pPr>
        <w:spacing w:before="181" w:line="359" w:lineRule="auto"/>
        <w:ind w:left="9" w:right="291" w:firstLine="490"/>
        <w:rPr>
          <w:rFonts w:ascii="宋体" w:hAnsi="宋体" w:eastAsia="宋体" w:cs="宋体"/>
          <w:sz w:val="24"/>
          <w:szCs w:val="24"/>
        </w:rPr>
      </w:pPr>
      <w:r>
        <w:rPr>
          <w:rFonts w:ascii="宋体" w:hAnsi="宋体" w:eastAsia="宋体" w:cs="宋体"/>
          <w:spacing w:val="1"/>
          <w:sz w:val="24"/>
          <w:szCs w:val="24"/>
        </w:rPr>
        <w:t>（1）未包括在合同和图纸中，在施工过程中可能会发生且未包含在承包人风险范</w:t>
      </w:r>
      <w:r>
        <w:rPr>
          <w:rFonts w:ascii="宋体" w:hAnsi="宋体" w:eastAsia="宋体" w:cs="宋体"/>
          <w:spacing w:val="9"/>
          <w:sz w:val="24"/>
          <w:szCs w:val="24"/>
        </w:rPr>
        <w:t xml:space="preserve"> </w:t>
      </w:r>
      <w:r>
        <w:rPr>
          <w:rFonts w:ascii="宋体" w:hAnsi="宋体" w:eastAsia="宋体" w:cs="宋体"/>
          <w:spacing w:val="-2"/>
          <w:sz w:val="24"/>
          <w:szCs w:val="24"/>
        </w:rPr>
        <w:t>围之内的一些杂项费用，包括由发包人临时指定承包人进行施工的合同外小工程或劳务</w:t>
      </w:r>
      <w:r>
        <w:rPr>
          <w:rFonts w:ascii="宋体" w:hAnsi="宋体" w:eastAsia="宋体" w:cs="宋体"/>
          <w:spacing w:val="11"/>
          <w:sz w:val="24"/>
          <w:szCs w:val="24"/>
        </w:rPr>
        <w:t xml:space="preserve"> </w:t>
      </w:r>
      <w:r>
        <w:rPr>
          <w:rFonts w:ascii="宋体" w:hAnsi="宋体" w:eastAsia="宋体" w:cs="宋体"/>
          <w:spacing w:val="-2"/>
          <w:sz w:val="24"/>
          <w:szCs w:val="24"/>
        </w:rPr>
        <w:t>支出等；在施工过程中新增的未包含在承包人风险范围内的零星工程；在施工过程中按</w:t>
      </w:r>
      <w:r>
        <w:rPr>
          <w:rFonts w:ascii="宋体" w:hAnsi="宋体" w:eastAsia="宋体" w:cs="宋体"/>
          <w:spacing w:val="11"/>
          <w:sz w:val="24"/>
          <w:szCs w:val="24"/>
        </w:rPr>
        <w:t xml:space="preserve"> </w:t>
      </w:r>
      <w:r>
        <w:rPr>
          <w:rFonts w:ascii="宋体" w:hAnsi="宋体" w:eastAsia="宋体" w:cs="宋体"/>
          <w:spacing w:val="-2"/>
          <w:sz w:val="24"/>
          <w:szCs w:val="24"/>
        </w:rPr>
        <w:t>照监理人和发包人指令为加快进度、提高质量所增加的措施费用，经发包人同意可以在</w:t>
      </w:r>
    </w:p>
    <w:p>
      <w:pPr>
        <w:spacing w:before="1" w:line="219" w:lineRule="auto"/>
        <w:ind w:left="15"/>
        <w:rPr>
          <w:rFonts w:ascii="宋体" w:hAnsi="宋体" w:eastAsia="宋体" w:cs="宋体"/>
          <w:sz w:val="24"/>
          <w:szCs w:val="24"/>
        </w:rPr>
      </w:pPr>
      <w:r>
        <w:rPr>
          <w:rFonts w:ascii="宋体" w:hAnsi="宋体" w:eastAsia="宋体" w:cs="宋体"/>
          <w:spacing w:val="-3"/>
          <w:sz w:val="24"/>
          <w:szCs w:val="24"/>
        </w:rPr>
        <w:t>暂定金额中计量；</w:t>
      </w:r>
    </w:p>
    <w:p>
      <w:pPr>
        <w:spacing w:before="184" w:line="359" w:lineRule="auto"/>
        <w:ind w:left="8" w:right="291" w:firstLine="491"/>
        <w:rPr>
          <w:rFonts w:ascii="宋体" w:hAnsi="宋体" w:eastAsia="宋体" w:cs="宋体"/>
          <w:sz w:val="24"/>
          <w:szCs w:val="24"/>
        </w:rPr>
      </w:pPr>
      <w:r>
        <w:rPr>
          <w:rFonts w:ascii="宋体" w:hAnsi="宋体" w:eastAsia="宋体" w:cs="宋体"/>
          <w:spacing w:val="1"/>
          <w:sz w:val="24"/>
          <w:szCs w:val="24"/>
        </w:rPr>
        <w:t>（2）如发包人或监理人提出对承包人工程质量质疑而附加进行的各种检验（如桩</w:t>
      </w:r>
      <w:r>
        <w:rPr>
          <w:rFonts w:ascii="宋体" w:hAnsi="宋体" w:eastAsia="宋体" w:cs="宋体"/>
          <w:spacing w:val="9"/>
          <w:sz w:val="24"/>
          <w:szCs w:val="24"/>
        </w:rPr>
        <w:t xml:space="preserve"> </w:t>
      </w:r>
      <w:r>
        <w:rPr>
          <w:rFonts w:ascii="宋体" w:hAnsi="宋体" w:eastAsia="宋体" w:cs="宋体"/>
          <w:spacing w:val="-2"/>
          <w:sz w:val="24"/>
          <w:szCs w:val="24"/>
        </w:rPr>
        <w:t>基础静载、梁板荷载、结构物破坏性试验、大应变和桩基础取芯检验等</w:t>
      </w:r>
      <w:r>
        <w:rPr>
          <w:rFonts w:ascii="宋体" w:hAnsi="宋体" w:eastAsia="宋体" w:cs="宋体"/>
          <w:spacing w:val="4"/>
          <w:sz w:val="24"/>
          <w:szCs w:val="24"/>
        </w:rPr>
        <w:t>），</w:t>
      </w:r>
      <w:r>
        <w:rPr>
          <w:rFonts w:ascii="宋体" w:hAnsi="宋体" w:eastAsia="宋体" w:cs="宋体"/>
          <w:spacing w:val="-2"/>
          <w:sz w:val="24"/>
          <w:szCs w:val="24"/>
        </w:rPr>
        <w:t>如检测结果</w:t>
      </w:r>
      <w:r>
        <w:rPr>
          <w:rFonts w:ascii="宋体" w:hAnsi="宋体" w:eastAsia="宋体" w:cs="宋体"/>
          <w:sz w:val="24"/>
          <w:szCs w:val="24"/>
        </w:rPr>
        <w:t xml:space="preserve"> </w:t>
      </w:r>
      <w:r>
        <w:rPr>
          <w:rFonts w:ascii="宋体" w:hAnsi="宋体" w:eastAsia="宋体" w:cs="宋体"/>
          <w:spacing w:val="-2"/>
          <w:sz w:val="24"/>
          <w:szCs w:val="24"/>
        </w:rPr>
        <w:t>符合要求，检测费用由发包人承担，费用从本项中进行计量支付；如检测结果不符合要</w:t>
      </w:r>
    </w:p>
    <w:p>
      <w:pPr>
        <w:spacing w:before="1" w:line="219" w:lineRule="auto"/>
        <w:ind w:left="10"/>
        <w:rPr>
          <w:rFonts w:ascii="宋体" w:hAnsi="宋体" w:eastAsia="宋体" w:cs="宋体"/>
          <w:sz w:val="24"/>
          <w:szCs w:val="24"/>
        </w:rPr>
      </w:pPr>
      <w:r>
        <w:rPr>
          <w:rFonts w:ascii="宋体" w:hAnsi="宋体" w:eastAsia="宋体" w:cs="宋体"/>
          <w:spacing w:val="-1"/>
          <w:sz w:val="24"/>
          <w:szCs w:val="24"/>
        </w:rPr>
        <w:t>求，相应费用由承包人自行承担，不能在暂定金额中计量和支付；</w:t>
      </w:r>
    </w:p>
    <w:p>
      <w:pPr>
        <w:spacing w:before="180" w:line="219" w:lineRule="auto"/>
        <w:ind w:left="499"/>
        <w:rPr>
          <w:rFonts w:ascii="宋体" w:hAnsi="宋体" w:eastAsia="宋体" w:cs="宋体"/>
          <w:sz w:val="24"/>
          <w:szCs w:val="24"/>
        </w:rPr>
      </w:pPr>
      <w:r>
        <w:rPr>
          <w:rFonts w:ascii="宋体" w:hAnsi="宋体" w:eastAsia="宋体" w:cs="宋体"/>
          <w:spacing w:val="-2"/>
          <w:sz w:val="24"/>
          <w:szCs w:val="24"/>
        </w:rPr>
        <w:t>（3）零星补充地质勘探；</w:t>
      </w:r>
    </w:p>
    <w:p>
      <w:pPr>
        <w:spacing w:before="183" w:line="468" w:lineRule="exact"/>
        <w:ind w:left="499"/>
        <w:rPr>
          <w:rFonts w:ascii="宋体" w:hAnsi="宋体" w:eastAsia="宋体" w:cs="宋体"/>
          <w:sz w:val="24"/>
          <w:szCs w:val="24"/>
        </w:rPr>
      </w:pPr>
      <w:r>
        <w:rPr>
          <w:rFonts w:ascii="宋体" w:hAnsi="宋体" w:eastAsia="宋体" w:cs="宋体"/>
          <w:spacing w:val="-2"/>
          <w:position w:val="17"/>
          <w:sz w:val="24"/>
          <w:szCs w:val="24"/>
        </w:rPr>
        <w:t>（4） 按合同条款规定，经审批确定由发包人承担费用的变更工程所发生的费用以</w:t>
      </w:r>
    </w:p>
    <w:p>
      <w:pPr>
        <w:spacing w:line="220" w:lineRule="auto"/>
        <w:ind w:left="7"/>
        <w:rPr>
          <w:rFonts w:ascii="宋体" w:hAnsi="宋体" w:eastAsia="宋体" w:cs="宋体"/>
          <w:sz w:val="24"/>
          <w:szCs w:val="24"/>
        </w:rPr>
      </w:pPr>
      <w:r>
        <w:rPr>
          <w:rFonts w:ascii="宋体" w:hAnsi="宋体" w:eastAsia="宋体" w:cs="宋体"/>
          <w:spacing w:val="-1"/>
          <w:sz w:val="24"/>
          <w:szCs w:val="24"/>
        </w:rPr>
        <w:t>及发包人认为需要或适合在此项费用开支的其他费用。</w:t>
      </w:r>
    </w:p>
    <w:p>
      <w:pPr>
        <w:spacing w:before="180" w:line="466" w:lineRule="exact"/>
        <w:ind w:left="491"/>
        <w:rPr>
          <w:rFonts w:ascii="宋体" w:hAnsi="宋体" w:eastAsia="宋体" w:cs="宋体"/>
          <w:sz w:val="24"/>
          <w:szCs w:val="24"/>
        </w:rPr>
      </w:pPr>
      <w:r>
        <w:rPr>
          <w:rFonts w:ascii="宋体" w:hAnsi="宋体" w:eastAsia="宋体" w:cs="宋体"/>
          <w:spacing w:val="-1"/>
          <w:position w:val="17"/>
          <w:sz w:val="24"/>
          <w:szCs w:val="24"/>
        </w:rPr>
        <w:t>2.8</w:t>
      </w:r>
      <w:r>
        <w:rPr>
          <w:rFonts w:ascii="宋体" w:hAnsi="宋体" w:eastAsia="宋体" w:cs="宋体"/>
          <w:spacing w:val="-32"/>
          <w:position w:val="17"/>
          <w:sz w:val="24"/>
          <w:szCs w:val="24"/>
        </w:rPr>
        <w:t xml:space="preserve"> </w:t>
      </w:r>
      <w:r>
        <w:rPr>
          <w:rFonts w:ascii="宋体" w:hAnsi="宋体" w:eastAsia="宋体" w:cs="宋体"/>
          <w:spacing w:val="-1"/>
          <w:position w:val="17"/>
          <w:sz w:val="24"/>
          <w:szCs w:val="24"/>
        </w:rPr>
        <w:t>专项暂定金额的计量：按发包人给定的金额计列，由发包人根据工程实际批准</w:t>
      </w:r>
    </w:p>
    <w:p>
      <w:pPr>
        <w:spacing w:line="219" w:lineRule="auto"/>
        <w:ind w:left="9"/>
        <w:rPr>
          <w:rFonts w:ascii="宋体" w:hAnsi="宋体" w:eastAsia="宋体" w:cs="宋体"/>
          <w:sz w:val="24"/>
          <w:szCs w:val="24"/>
        </w:rPr>
      </w:pPr>
      <w:r>
        <w:rPr>
          <w:rFonts w:ascii="宋体" w:hAnsi="宋体" w:eastAsia="宋体" w:cs="宋体"/>
          <w:spacing w:val="-4"/>
          <w:sz w:val="24"/>
          <w:szCs w:val="24"/>
        </w:rPr>
        <w:t>使用。</w:t>
      </w:r>
    </w:p>
    <w:p>
      <w:pPr>
        <w:spacing w:before="183" w:line="219" w:lineRule="auto"/>
        <w:ind w:left="493"/>
        <w:rPr>
          <w:rFonts w:ascii="宋体" w:hAnsi="宋体" w:eastAsia="宋体" w:cs="宋体"/>
          <w:sz w:val="24"/>
          <w:szCs w:val="24"/>
        </w:rPr>
      </w:pPr>
      <w:r>
        <w:rPr>
          <w:rFonts w:ascii="宋体" w:hAnsi="宋体" w:eastAsia="宋体" w:cs="宋体"/>
          <w:spacing w:val="-2"/>
          <w:sz w:val="24"/>
          <w:szCs w:val="24"/>
        </w:rPr>
        <w:t>3. 计日工说明</w:t>
      </w:r>
    </w:p>
    <w:p>
      <w:pPr>
        <w:spacing w:before="180" w:line="219" w:lineRule="auto"/>
        <w:ind w:left="489"/>
        <w:rPr>
          <w:rFonts w:ascii="宋体" w:hAnsi="宋体" w:eastAsia="宋体" w:cs="宋体"/>
          <w:sz w:val="24"/>
          <w:szCs w:val="24"/>
        </w:rPr>
      </w:pPr>
      <w:r>
        <w:rPr>
          <w:rFonts w:ascii="宋体" w:hAnsi="宋体" w:eastAsia="宋体" w:cs="宋体"/>
          <w:spacing w:val="-2"/>
          <w:sz w:val="24"/>
          <w:szCs w:val="24"/>
        </w:rPr>
        <w:t>本款不适用。</w:t>
      </w:r>
    </w:p>
    <w:p>
      <w:pPr>
        <w:spacing w:line="344" w:lineRule="auto"/>
        <w:rPr>
          <w:rFonts w:ascii="Arial"/>
          <w:sz w:val="21"/>
        </w:rPr>
      </w:pPr>
    </w:p>
    <w:p>
      <w:pPr>
        <w:spacing w:before="59" w:line="220" w:lineRule="auto"/>
        <w:ind w:left="5"/>
        <w:rPr>
          <w:rFonts w:ascii="宋体" w:hAnsi="宋体" w:eastAsia="宋体" w:cs="宋体"/>
          <w:sz w:val="18"/>
          <w:szCs w:val="18"/>
        </w:rPr>
      </w:pPr>
    </w:p>
    <w:p>
      <w:pPr>
        <w:spacing w:line="425" w:lineRule="auto"/>
        <w:rPr>
          <w:rFonts w:ascii="Arial"/>
          <w:sz w:val="21"/>
        </w:rPr>
      </w:pPr>
    </w:p>
    <w:p>
      <w:pPr>
        <w:spacing w:before="78" w:line="219" w:lineRule="auto"/>
        <w:ind w:left="484"/>
        <w:rPr>
          <w:rFonts w:ascii="宋体" w:hAnsi="宋体" w:eastAsia="宋体" w:cs="宋体"/>
          <w:sz w:val="24"/>
          <w:szCs w:val="24"/>
        </w:rPr>
      </w:pPr>
      <w:r>
        <w:rPr>
          <w:rFonts w:ascii="宋体" w:hAnsi="宋体" w:eastAsia="宋体" w:cs="宋体"/>
          <w:spacing w:val="-4"/>
          <w:sz w:val="24"/>
          <w:szCs w:val="24"/>
        </w:rPr>
        <w:t>4.</w:t>
      </w:r>
      <w:r>
        <w:rPr>
          <w:rFonts w:ascii="宋体" w:hAnsi="宋体" w:eastAsia="宋体" w:cs="宋体"/>
          <w:spacing w:val="14"/>
          <w:sz w:val="24"/>
          <w:szCs w:val="24"/>
        </w:rPr>
        <w:t xml:space="preserve"> </w:t>
      </w:r>
      <w:r>
        <w:rPr>
          <w:rFonts w:ascii="宋体" w:hAnsi="宋体" w:eastAsia="宋体" w:cs="宋体"/>
          <w:spacing w:val="-4"/>
          <w:sz w:val="24"/>
          <w:szCs w:val="24"/>
        </w:rPr>
        <w:t>其他说明</w:t>
      </w:r>
    </w:p>
    <w:p>
      <w:pPr>
        <w:spacing w:before="180" w:line="218" w:lineRule="auto"/>
        <w:ind w:left="488"/>
        <w:rPr>
          <w:rFonts w:ascii="宋体" w:hAnsi="宋体" w:eastAsia="宋体" w:cs="宋体"/>
          <w:sz w:val="24"/>
          <w:szCs w:val="24"/>
        </w:rPr>
      </w:pPr>
      <w:r>
        <w:rPr>
          <w:rFonts w:ascii="宋体" w:hAnsi="宋体" w:eastAsia="宋体" w:cs="宋体"/>
          <w:spacing w:val="-2"/>
          <w:sz w:val="24"/>
          <w:szCs w:val="24"/>
        </w:rPr>
        <w:t>工程量清单中各个细目的报价与计量支付原则，详见招标文件第七章技术规范的工</w:t>
      </w:r>
    </w:p>
    <w:sdt>
      <w:sdtPr>
        <w:rPr>
          <w:rFonts w:ascii="宋体" w:hAnsi="宋体" w:eastAsia="宋体" w:cs="宋体"/>
          <w:sz w:val="24"/>
          <w:szCs w:val="24"/>
        </w:rPr>
        <w:id w:val="29"/>
        <w:docPartObj>
          <w:docPartGallery w:val="Table of Contents"/>
          <w:docPartUnique/>
        </w:docPartObj>
      </w:sdtPr>
      <w:sdtEndPr>
        <w:rPr>
          <w:rFonts w:ascii="宋体" w:hAnsi="宋体" w:eastAsia="宋体" w:cs="宋体"/>
          <w:sz w:val="24"/>
          <w:szCs w:val="24"/>
        </w:rPr>
      </w:sdtEndPr>
      <w:sdtContent>
        <w:p>
          <w:pPr>
            <w:spacing w:before="185" w:line="219" w:lineRule="auto"/>
            <w:ind w:left="4"/>
            <w:rPr>
              <w:rFonts w:ascii="宋体" w:hAnsi="宋体" w:eastAsia="宋体" w:cs="宋体"/>
              <w:sz w:val="24"/>
              <w:szCs w:val="24"/>
            </w:rPr>
          </w:pPr>
          <w:r>
            <w:rPr>
              <w:rFonts w:ascii="宋体" w:hAnsi="宋体" w:eastAsia="宋体" w:cs="宋体"/>
              <w:spacing w:val="-1"/>
              <w:sz w:val="24"/>
              <w:szCs w:val="24"/>
            </w:rPr>
            <w:t>程量清单计量与支付规则。</w:t>
          </w:r>
        </w:p>
        <w:p>
          <w:pPr>
            <w:spacing w:before="180" w:line="220" w:lineRule="auto"/>
            <w:ind w:left="490"/>
            <w:rPr>
              <w:rFonts w:ascii="宋体" w:hAnsi="宋体" w:eastAsia="宋体" w:cs="宋体"/>
              <w:sz w:val="24"/>
              <w:szCs w:val="24"/>
            </w:rPr>
          </w:pPr>
          <w:r>
            <w:rPr>
              <w:rFonts w:ascii="宋体" w:hAnsi="宋体" w:eastAsia="宋体" w:cs="宋体"/>
              <w:spacing w:val="-4"/>
              <w:sz w:val="24"/>
              <w:szCs w:val="24"/>
            </w:rPr>
            <w:t>5.</w:t>
          </w:r>
          <w:r>
            <w:rPr>
              <w:rFonts w:ascii="宋体" w:hAnsi="宋体" w:eastAsia="宋体" w:cs="宋体"/>
              <w:spacing w:val="12"/>
              <w:sz w:val="24"/>
              <w:szCs w:val="24"/>
            </w:rPr>
            <w:t xml:space="preserve"> </w:t>
          </w:r>
          <w:r>
            <w:rPr>
              <w:rFonts w:ascii="宋体" w:hAnsi="宋体" w:eastAsia="宋体" w:cs="宋体"/>
              <w:spacing w:val="-4"/>
              <w:sz w:val="24"/>
              <w:szCs w:val="24"/>
            </w:rPr>
            <w:t>工程量清单</w:t>
          </w:r>
        </w:p>
        <w:p>
          <w:pPr>
            <w:spacing w:before="182" w:line="220" w:lineRule="auto"/>
            <w:ind w:left="490"/>
            <w:rPr>
              <w:rFonts w:ascii="宋体" w:hAnsi="宋体" w:eastAsia="宋体" w:cs="宋体"/>
              <w:sz w:val="24"/>
              <w:szCs w:val="24"/>
            </w:rPr>
          </w:pPr>
          <w:r>
            <w:rPr>
              <w:rFonts w:ascii="宋体" w:hAnsi="宋体" w:eastAsia="宋体" w:cs="宋体"/>
              <w:spacing w:val="-2"/>
              <w:sz w:val="24"/>
              <w:szCs w:val="24"/>
            </w:rPr>
            <w:t>5.1 工程量清单表</w:t>
          </w:r>
        </w:p>
        <w:p>
          <w:pPr>
            <w:spacing w:before="179" w:line="218" w:lineRule="auto"/>
            <w:ind w:left="488"/>
            <w:rPr>
              <w:rFonts w:ascii="宋体" w:hAnsi="宋体" w:eastAsia="宋体" w:cs="宋体"/>
              <w:sz w:val="24"/>
              <w:szCs w:val="24"/>
            </w:rPr>
          </w:pPr>
          <w:r>
            <w:rPr>
              <w:rFonts w:ascii="宋体" w:hAnsi="宋体" w:eastAsia="宋体" w:cs="宋体"/>
              <w:sz w:val="24"/>
              <w:szCs w:val="24"/>
            </w:rPr>
            <w:t>工程量清单具体应执行《广东省公路工程造价标准化管</w:t>
          </w:r>
          <w:r>
            <w:rPr>
              <w:rFonts w:ascii="宋体" w:hAnsi="宋体" w:eastAsia="宋体" w:cs="宋体"/>
              <w:spacing w:val="-1"/>
              <w:sz w:val="24"/>
              <w:szCs w:val="24"/>
            </w:rPr>
            <w:t>理指南》（粤交基〔2022〕</w:t>
          </w:r>
        </w:p>
      </w:sdtContent>
    </w:sdt>
    <w:p>
      <w:pPr>
        <w:spacing w:before="185" w:line="359" w:lineRule="auto"/>
        <w:ind w:left="10" w:right="291" w:hanging="6"/>
        <w:jc w:val="both"/>
        <w:rPr>
          <w:rFonts w:ascii="宋体" w:hAnsi="宋体" w:eastAsia="宋体" w:cs="宋体"/>
          <w:sz w:val="24"/>
          <w:szCs w:val="24"/>
        </w:rPr>
      </w:pPr>
      <w:r>
        <w:rPr>
          <w:rFonts w:ascii="宋体" w:hAnsi="宋体" w:eastAsia="宋体" w:cs="宋体"/>
          <w:spacing w:val="-1"/>
          <w:sz w:val="24"/>
          <w:szCs w:val="24"/>
        </w:rPr>
        <w:t>483 号）及现行的《广东省执行交通运</w:t>
      </w:r>
      <w:r>
        <w:rPr>
          <w:rFonts w:ascii="宋体" w:hAnsi="宋体" w:eastAsia="宋体" w:cs="宋体"/>
          <w:spacing w:val="-2"/>
          <w:sz w:val="24"/>
          <w:szCs w:val="24"/>
        </w:rPr>
        <w:t>输部&lt;公路工程标准施工招标文件范本&gt;的补充规</w:t>
      </w:r>
      <w:r>
        <w:rPr>
          <w:rFonts w:ascii="宋体" w:hAnsi="宋体" w:eastAsia="宋体" w:cs="宋体"/>
          <w:sz w:val="24"/>
          <w:szCs w:val="24"/>
        </w:rPr>
        <w:t xml:space="preserve"> </w:t>
      </w:r>
      <w:r>
        <w:rPr>
          <w:rFonts w:ascii="宋体" w:hAnsi="宋体" w:eastAsia="宋体" w:cs="宋体"/>
          <w:spacing w:val="-2"/>
          <w:sz w:val="24"/>
          <w:szCs w:val="24"/>
        </w:rPr>
        <w:t>定》、《广东省公路工程施工招标清单预算管理规程》。如以上文件有修订，本范本则</w:t>
      </w:r>
    </w:p>
    <w:p>
      <w:pPr>
        <w:spacing w:before="1" w:line="218" w:lineRule="auto"/>
        <w:ind w:left="7"/>
        <w:rPr>
          <w:rFonts w:ascii="宋体" w:hAnsi="宋体" w:eastAsia="宋体" w:cs="宋体"/>
          <w:sz w:val="24"/>
          <w:szCs w:val="24"/>
        </w:rPr>
      </w:pPr>
      <w:r>
        <w:rPr>
          <w:rFonts w:ascii="宋体" w:hAnsi="宋体" w:eastAsia="宋体" w:cs="宋体"/>
          <w:spacing w:val="-2"/>
          <w:sz w:val="24"/>
          <w:szCs w:val="24"/>
        </w:rPr>
        <w:t>依照最新修订版本执行。</w:t>
      </w:r>
    </w:p>
    <w:p>
      <w:pPr>
        <w:spacing w:line="284" w:lineRule="auto"/>
        <w:rPr>
          <w:rFonts w:ascii="Arial"/>
          <w:sz w:val="21"/>
        </w:rPr>
      </w:pPr>
    </w:p>
    <w:p>
      <w:pPr>
        <w:spacing w:line="284" w:lineRule="auto"/>
        <w:rPr>
          <w:rFonts w:ascii="Arial"/>
          <w:sz w:val="21"/>
        </w:rPr>
      </w:pPr>
    </w:p>
    <w:p>
      <w:pPr>
        <w:spacing w:before="78" w:line="359" w:lineRule="auto"/>
        <w:ind w:left="5" w:right="291"/>
        <w:jc w:val="both"/>
        <w:rPr>
          <w:rFonts w:ascii="宋体" w:hAnsi="宋体" w:eastAsia="宋体" w:cs="宋体"/>
          <w:sz w:val="24"/>
          <w:szCs w:val="24"/>
        </w:rPr>
      </w:pPr>
      <w:r>
        <w:rPr>
          <w:rFonts w:ascii="宋体" w:hAnsi="宋体" w:eastAsia="宋体" w:cs="宋体"/>
          <w:spacing w:val="-3"/>
          <w:sz w:val="24"/>
          <w:szCs w:val="24"/>
        </w:rPr>
        <w:t>注：投标人应按照第五章“工程量清单</w:t>
      </w:r>
      <w:r>
        <w:rPr>
          <w:rFonts w:ascii="宋体" w:hAnsi="宋体" w:eastAsia="宋体" w:cs="宋体"/>
          <w:spacing w:val="-70"/>
          <w:sz w:val="24"/>
          <w:szCs w:val="24"/>
        </w:rPr>
        <w:t xml:space="preserve"> </w:t>
      </w:r>
      <w:r>
        <w:rPr>
          <w:rFonts w:ascii="宋体" w:hAnsi="宋体" w:eastAsia="宋体" w:cs="宋体"/>
          <w:spacing w:val="-3"/>
          <w:sz w:val="24"/>
          <w:szCs w:val="24"/>
        </w:rPr>
        <w:t>”的要求逐项填报工程量清单。工程量清单不需</w:t>
      </w:r>
      <w:r>
        <w:rPr>
          <w:rFonts w:ascii="宋体" w:hAnsi="宋体" w:eastAsia="宋体" w:cs="宋体"/>
          <w:sz w:val="24"/>
          <w:szCs w:val="24"/>
        </w:rPr>
        <w:t xml:space="preserve"> </w:t>
      </w:r>
      <w:r>
        <w:rPr>
          <w:rFonts w:ascii="宋体" w:hAnsi="宋体" w:eastAsia="宋体" w:cs="宋体"/>
          <w:spacing w:val="-2"/>
          <w:sz w:val="24"/>
          <w:szCs w:val="24"/>
        </w:rPr>
        <w:t>要附项目清单、分项清单及单价分析表，但投标人中标后，发包人可要求中标人提交项</w:t>
      </w:r>
    </w:p>
    <w:p>
      <w:pPr>
        <w:spacing w:line="220" w:lineRule="auto"/>
        <w:rPr>
          <w:rFonts w:ascii="宋体" w:hAnsi="宋体" w:eastAsia="宋体" w:cs="宋体"/>
          <w:sz w:val="24"/>
          <w:szCs w:val="24"/>
        </w:rPr>
      </w:pPr>
      <w:r>
        <w:rPr>
          <w:rFonts w:ascii="宋体" w:hAnsi="宋体" w:eastAsia="宋体" w:cs="宋体"/>
          <w:spacing w:val="-3"/>
          <w:sz w:val="24"/>
          <w:szCs w:val="24"/>
        </w:rPr>
        <w:t>目清单、分项清单及单价分析表，中标人不得拒绝。</w:t>
      </w:r>
      <w:bookmarkStart w:id="0" w:name="bookmark188"/>
      <w:bookmarkEnd w:id="0"/>
      <w:bookmarkStart w:id="1" w:name="bookmark184"/>
      <w:bookmarkEnd w:id="1"/>
    </w:p>
    <w:sectPr>
      <w:footerReference r:id="rId7" w:type="default"/>
      <w:pgSz w:w="11900" w:h="16839"/>
      <w:pgMar w:top="947" w:right="1125" w:bottom="1134" w:left="1420" w:header="707" w:footer="972"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MS PMincho">
    <w:altName w:val="Yu Gothic UI"/>
    <w:panose1 w:val="02020600040205080304"/>
    <w:charset w:val="80"/>
    <w:family w:val="auto"/>
    <w:pitch w:val="default"/>
    <w:sig w:usb0="00000000" w:usb1="00000000" w:usb2="00000012" w:usb3="00000000" w:csb0="4002009F" w:csb1="DFD70000"/>
  </w:font>
  <w:font w:name="隶书">
    <w:altName w:val="微软雅黑"/>
    <w:panose1 w:val="02010509060101010101"/>
    <w:charset w:val="86"/>
    <w:family w:val="modern"/>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EEACA"/>
    <w:multiLevelType w:val="singleLevel"/>
    <w:tmpl w:val="9EDEEACA"/>
    <w:lvl w:ilvl="0" w:tentative="0">
      <w:start w:val="2"/>
      <w:numFmt w:val="chineseCounting"/>
      <w:suff w:val="space"/>
      <w:lvlText w:val="第%1章"/>
      <w:lvlJc w:val="left"/>
      <w:rPr>
        <w:rFonts w:hint="eastAsia"/>
      </w:rPr>
    </w:lvl>
  </w:abstractNum>
  <w:abstractNum w:abstractNumId="1">
    <w:nsid w:val="D3F9A949"/>
    <w:multiLevelType w:val="singleLevel"/>
    <w:tmpl w:val="D3F9A949"/>
    <w:lvl w:ilvl="0" w:tentative="0">
      <w:start w:val="1"/>
      <w:numFmt w:val="decimal"/>
      <w:suff w:val="nothing"/>
      <w:lvlText w:val="（%1）"/>
      <w:lvlJc w:val="left"/>
    </w:lvl>
  </w:abstractNum>
  <w:abstractNum w:abstractNumId="2">
    <w:nsid w:val="E0709211"/>
    <w:multiLevelType w:val="singleLevel"/>
    <w:tmpl w:val="E0709211"/>
    <w:lvl w:ilvl="0" w:tentative="0">
      <w:start w:val="6"/>
      <w:numFmt w:val="decimal"/>
      <w:suff w:val="nothing"/>
      <w:lvlText w:val="（%1）"/>
      <w:lvlJc w:val="left"/>
    </w:lvl>
  </w:abstractNum>
  <w:abstractNum w:abstractNumId="3">
    <w:nsid w:val="EC659C30"/>
    <w:multiLevelType w:val="singleLevel"/>
    <w:tmpl w:val="EC659C30"/>
    <w:lvl w:ilvl="0" w:tentative="0">
      <w:start w:val="1"/>
      <w:numFmt w:val="decimal"/>
      <w:suff w:val="nothing"/>
      <w:lvlText w:val="%1、"/>
      <w:lvlJc w:val="left"/>
    </w:lvl>
  </w:abstractNum>
  <w:abstractNum w:abstractNumId="4">
    <w:nsid w:val="F2D94665"/>
    <w:multiLevelType w:val="singleLevel"/>
    <w:tmpl w:val="F2D94665"/>
    <w:lvl w:ilvl="0" w:tentative="0">
      <w:start w:val="6"/>
      <w:numFmt w:val="decimal"/>
      <w:suff w:val="nothing"/>
      <w:lvlText w:val="（%1）"/>
      <w:lvlJc w:val="left"/>
    </w:lvl>
  </w:abstractNum>
  <w:abstractNum w:abstractNumId="5">
    <w:nsid w:val="0000001A"/>
    <w:multiLevelType w:val="multilevel"/>
    <w:tmpl w:val="0000001A"/>
    <w:lvl w:ilvl="0" w:tentative="0">
      <w:start w:val="1"/>
      <w:numFmt w:val="upperRoman"/>
      <w:pStyle w:val="3"/>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6">
    <w:nsid w:val="1036DEFA"/>
    <w:multiLevelType w:val="singleLevel"/>
    <w:tmpl w:val="1036DEFA"/>
    <w:lvl w:ilvl="0" w:tentative="0">
      <w:start w:val="6"/>
      <w:numFmt w:val="decimal"/>
      <w:suff w:val="nothing"/>
      <w:lvlText w:val="（%1）"/>
      <w:lvlJc w:val="left"/>
    </w:lvl>
  </w:abstractNum>
  <w:abstractNum w:abstractNumId="7">
    <w:nsid w:val="10B9D132"/>
    <w:multiLevelType w:val="singleLevel"/>
    <w:tmpl w:val="10B9D132"/>
    <w:lvl w:ilvl="0" w:tentative="0">
      <w:start w:val="3"/>
      <w:numFmt w:val="chineseCounting"/>
      <w:suff w:val="nothing"/>
      <w:lvlText w:val="%1、"/>
      <w:lvlJc w:val="left"/>
      <w:rPr>
        <w:rFonts w:hint="eastAsia"/>
      </w:rPr>
    </w:lvl>
  </w:abstractNum>
  <w:abstractNum w:abstractNumId="8">
    <w:nsid w:val="1B659F6F"/>
    <w:multiLevelType w:val="singleLevel"/>
    <w:tmpl w:val="1B659F6F"/>
    <w:lvl w:ilvl="0" w:tentative="0">
      <w:start w:val="1"/>
      <w:numFmt w:val="lowerLetter"/>
      <w:suff w:val="nothing"/>
      <w:lvlText w:val="%1、"/>
      <w:lvlJc w:val="left"/>
    </w:lvl>
  </w:abstractNum>
  <w:abstractNum w:abstractNumId="9">
    <w:nsid w:val="3A543D3F"/>
    <w:multiLevelType w:val="singleLevel"/>
    <w:tmpl w:val="3A543D3F"/>
    <w:lvl w:ilvl="0" w:tentative="0">
      <w:start w:val="1"/>
      <w:numFmt w:val="decimal"/>
      <w:suff w:val="nothing"/>
      <w:lvlText w:val="（%1）"/>
      <w:lvlJc w:val="left"/>
    </w:lvl>
  </w:abstractNum>
  <w:num w:numId="1">
    <w:abstractNumId w:val="5"/>
  </w:num>
  <w:num w:numId="2">
    <w:abstractNumId w:val="4"/>
  </w:num>
  <w:num w:numId="3">
    <w:abstractNumId w:val="1"/>
  </w:num>
  <w:num w:numId="4">
    <w:abstractNumId w:val="7"/>
  </w:num>
  <w:num w:numId="5">
    <w:abstractNumId w:val="3"/>
  </w:num>
  <w:num w:numId="6">
    <w:abstractNumId w:val="0"/>
  </w:num>
  <w:num w:numId="7">
    <w:abstractNumId w:val="2"/>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JkMjJlYTQ4NGY5ZWI1MzJhOTdlNjhmOGY0MDM5NDEifQ=="/>
  </w:docVars>
  <w:rsids>
    <w:rsidRoot w:val="00000000"/>
    <w:rsid w:val="00016D8E"/>
    <w:rsid w:val="02A1535B"/>
    <w:rsid w:val="03537341"/>
    <w:rsid w:val="03A00779"/>
    <w:rsid w:val="03C60CD5"/>
    <w:rsid w:val="08AE1E9F"/>
    <w:rsid w:val="09167A44"/>
    <w:rsid w:val="09BF358F"/>
    <w:rsid w:val="09D5345C"/>
    <w:rsid w:val="0B9E444D"/>
    <w:rsid w:val="0BE8357A"/>
    <w:rsid w:val="0C5A3B0E"/>
    <w:rsid w:val="0C5B214E"/>
    <w:rsid w:val="0E8A2A67"/>
    <w:rsid w:val="0F2F2957"/>
    <w:rsid w:val="10967DE9"/>
    <w:rsid w:val="11F052D6"/>
    <w:rsid w:val="130A061A"/>
    <w:rsid w:val="13830CE4"/>
    <w:rsid w:val="13C7475D"/>
    <w:rsid w:val="144C76BE"/>
    <w:rsid w:val="145B6D23"/>
    <w:rsid w:val="153548B0"/>
    <w:rsid w:val="155D111D"/>
    <w:rsid w:val="15A17F2E"/>
    <w:rsid w:val="165E6240"/>
    <w:rsid w:val="16EF2001"/>
    <w:rsid w:val="17061D12"/>
    <w:rsid w:val="17845D28"/>
    <w:rsid w:val="1867206B"/>
    <w:rsid w:val="189F1804"/>
    <w:rsid w:val="19C82CBE"/>
    <w:rsid w:val="1A616E2C"/>
    <w:rsid w:val="1AB64BFE"/>
    <w:rsid w:val="1AFD2812"/>
    <w:rsid w:val="1BCE5646"/>
    <w:rsid w:val="1C5726A8"/>
    <w:rsid w:val="1D905BC0"/>
    <w:rsid w:val="1EB37DB8"/>
    <w:rsid w:val="1EFB52BB"/>
    <w:rsid w:val="1F4153C3"/>
    <w:rsid w:val="21F735E1"/>
    <w:rsid w:val="26A61FB0"/>
    <w:rsid w:val="26FC34BE"/>
    <w:rsid w:val="28716645"/>
    <w:rsid w:val="28A84061"/>
    <w:rsid w:val="2A181417"/>
    <w:rsid w:val="2A1D6A2D"/>
    <w:rsid w:val="2A274B34"/>
    <w:rsid w:val="2BE5360D"/>
    <w:rsid w:val="2C506550"/>
    <w:rsid w:val="2C745BD3"/>
    <w:rsid w:val="2F45680A"/>
    <w:rsid w:val="301F52AD"/>
    <w:rsid w:val="30E27596"/>
    <w:rsid w:val="30EE7C0A"/>
    <w:rsid w:val="310C371A"/>
    <w:rsid w:val="32823E47"/>
    <w:rsid w:val="32E41DED"/>
    <w:rsid w:val="335E433E"/>
    <w:rsid w:val="336C4847"/>
    <w:rsid w:val="349D49F2"/>
    <w:rsid w:val="367206D5"/>
    <w:rsid w:val="36F30A8E"/>
    <w:rsid w:val="37EB016A"/>
    <w:rsid w:val="3A940645"/>
    <w:rsid w:val="3B9E5687"/>
    <w:rsid w:val="3D402D06"/>
    <w:rsid w:val="3DD0408A"/>
    <w:rsid w:val="3DDD7476"/>
    <w:rsid w:val="3DEF5F22"/>
    <w:rsid w:val="3E233977"/>
    <w:rsid w:val="3E5B7C19"/>
    <w:rsid w:val="3EAD1CD6"/>
    <w:rsid w:val="4270728E"/>
    <w:rsid w:val="439B1BD6"/>
    <w:rsid w:val="43C755E8"/>
    <w:rsid w:val="44966C56"/>
    <w:rsid w:val="45196317"/>
    <w:rsid w:val="463A1ECC"/>
    <w:rsid w:val="4953791E"/>
    <w:rsid w:val="495A0CAC"/>
    <w:rsid w:val="4A0C644A"/>
    <w:rsid w:val="4A0F1A96"/>
    <w:rsid w:val="4A1946C3"/>
    <w:rsid w:val="4A590F64"/>
    <w:rsid w:val="4A6B78A3"/>
    <w:rsid w:val="4BD51A38"/>
    <w:rsid w:val="4C08609F"/>
    <w:rsid w:val="4C995F8F"/>
    <w:rsid w:val="4DC40DEA"/>
    <w:rsid w:val="4DCB203A"/>
    <w:rsid w:val="4DF55447"/>
    <w:rsid w:val="4F93631E"/>
    <w:rsid w:val="50B769E4"/>
    <w:rsid w:val="51F577C4"/>
    <w:rsid w:val="53545E36"/>
    <w:rsid w:val="53D004E8"/>
    <w:rsid w:val="54492150"/>
    <w:rsid w:val="5579080F"/>
    <w:rsid w:val="573E2F38"/>
    <w:rsid w:val="57BF1D3E"/>
    <w:rsid w:val="59254E33"/>
    <w:rsid w:val="59741916"/>
    <w:rsid w:val="59CA3C2C"/>
    <w:rsid w:val="59CC52AE"/>
    <w:rsid w:val="5A187321"/>
    <w:rsid w:val="5AEC372E"/>
    <w:rsid w:val="5B2555BE"/>
    <w:rsid w:val="5BAC183B"/>
    <w:rsid w:val="5C595D12"/>
    <w:rsid w:val="5CB87D6C"/>
    <w:rsid w:val="5D465377"/>
    <w:rsid w:val="5DB21E87"/>
    <w:rsid w:val="5E012A65"/>
    <w:rsid w:val="5F296CFF"/>
    <w:rsid w:val="5F513E22"/>
    <w:rsid w:val="5F666C5E"/>
    <w:rsid w:val="608319F5"/>
    <w:rsid w:val="60A52614"/>
    <w:rsid w:val="6110461A"/>
    <w:rsid w:val="621D2C31"/>
    <w:rsid w:val="62F00BE4"/>
    <w:rsid w:val="62FA7924"/>
    <w:rsid w:val="64041AE8"/>
    <w:rsid w:val="64155AA4"/>
    <w:rsid w:val="642A2E90"/>
    <w:rsid w:val="66C00661"/>
    <w:rsid w:val="677F764A"/>
    <w:rsid w:val="679D64DC"/>
    <w:rsid w:val="68153C5C"/>
    <w:rsid w:val="68AB2E7A"/>
    <w:rsid w:val="68DE3917"/>
    <w:rsid w:val="6A9B4D03"/>
    <w:rsid w:val="6E1F67A8"/>
    <w:rsid w:val="6F9417D8"/>
    <w:rsid w:val="70E62CA2"/>
    <w:rsid w:val="715440AF"/>
    <w:rsid w:val="71866233"/>
    <w:rsid w:val="72A13CE7"/>
    <w:rsid w:val="74193742"/>
    <w:rsid w:val="747405C4"/>
    <w:rsid w:val="74FA6D1C"/>
    <w:rsid w:val="75BE713E"/>
    <w:rsid w:val="76EE065D"/>
    <w:rsid w:val="77165DBC"/>
    <w:rsid w:val="77FD5769"/>
    <w:rsid w:val="78370B14"/>
    <w:rsid w:val="789254BD"/>
    <w:rsid w:val="79652BD2"/>
    <w:rsid w:val="79903DF0"/>
    <w:rsid w:val="799367E3"/>
    <w:rsid w:val="7AA80514"/>
    <w:rsid w:val="7ADD5115"/>
    <w:rsid w:val="7EC957FF"/>
    <w:rsid w:val="7EFD11CC"/>
    <w:rsid w:val="7F943D6A"/>
    <w:rsid w:val="7FBD7B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numPr>
        <w:ilvl w:val="0"/>
        <w:numId w:val="1"/>
      </w:numPr>
      <w:spacing w:beforeLines="100" w:line="480" w:lineRule="auto"/>
      <w:jc w:val="center"/>
      <w:outlineLvl w:val="0"/>
    </w:pPr>
    <w:rPr>
      <w:rFonts w:ascii="黑体" w:eastAsia="黑体"/>
      <w:bCs/>
      <w:kern w:val="44"/>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Body Text"/>
    <w:basedOn w:val="1"/>
    <w:semiHidden/>
    <w:qFormat/>
    <w:uiPriority w:val="0"/>
    <w:rPr>
      <w:rFonts w:ascii="黑体" w:hAnsi="黑体" w:eastAsia="黑体" w:cs="黑体"/>
      <w:sz w:val="52"/>
      <w:szCs w:val="52"/>
      <w:lang w:val="en-US" w:eastAsia="en-US" w:bidi="ar-SA"/>
    </w:rPr>
  </w:style>
  <w:style w:type="paragraph" w:styleId="5">
    <w:name w:val="Plain Text"/>
    <w:basedOn w:val="1"/>
    <w:qFormat/>
    <w:uiPriority w:val="0"/>
    <w:rPr>
      <w:rFonts w:ascii="宋体" w:hAnsi="Courier New"/>
      <w:kern w:val="0"/>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6"/>
    <w:basedOn w:val="1"/>
    <w:next w:val="1"/>
    <w:qFormat/>
    <w:uiPriority w:val="0"/>
    <w:pPr>
      <w:ind w:left="1050"/>
      <w:jc w:val="left"/>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4"/>
    <w:next w:val="8"/>
    <w:qFormat/>
    <w:uiPriority w:val="0"/>
    <w:pPr>
      <w:spacing w:line="312" w:lineRule="auto"/>
      <w:ind w:firstLine="420"/>
    </w:pPr>
    <w:rPr>
      <w:kern w:val="0"/>
      <w:sz w:val="20"/>
    </w:rPr>
  </w:style>
  <w:style w:type="paragraph" w:styleId="12">
    <w:name w:val="Body Text First Indent 2"/>
    <w:basedOn w:val="1"/>
    <w:qFormat/>
    <w:uiPriority w:val="0"/>
    <w:pPr>
      <w:spacing w:after="120"/>
      <w:ind w:left="420" w:leftChars="200" w:firstLine="420" w:firstLineChars="200"/>
    </w:pPr>
    <w:rPr>
      <w:rFonts w:ascii="宋体" w:hAnsi="宋体" w:eastAsia="宋体" w:cs="Times New Roman"/>
      <w:color w:val="FF0000"/>
      <w:szCs w:val="24"/>
    </w:rPr>
  </w:style>
  <w:style w:type="paragraph" w:customStyle="1" w:styleId="15">
    <w:name w:val="Default"/>
    <w:next w:val="1"/>
    <w:qFormat/>
    <w:uiPriority w:val="0"/>
    <w:pPr>
      <w:widowControl w:val="0"/>
      <w:autoSpaceDE w:val="0"/>
      <w:autoSpaceDN w:val="0"/>
      <w:adjustRightInd w:val="0"/>
    </w:pPr>
    <w:rPr>
      <w:rFonts w:ascii="Arial" w:hAnsi="Arial" w:eastAsia="宋体" w:cs="Times New Roman"/>
      <w:color w:val="000000"/>
      <w:sz w:val="24"/>
      <w:lang w:val="en-US"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paragraph" w:customStyle="1" w:styleId="18">
    <w:name w:val="Table Paragraph"/>
    <w:basedOn w:val="1"/>
    <w:qFormat/>
    <w:uiPriority w:val="1"/>
    <w:rPr>
      <w:rFonts w:ascii="Calibri" w:hAnsi="Calibri"/>
    </w:rPr>
  </w:style>
  <w:style w:type="character" w:customStyle="1" w:styleId="19">
    <w:name w:val="NormalCharacter"/>
    <w:qFormat/>
    <w:uiPriority w:val="0"/>
    <w:rPr>
      <w:rFonts w:ascii="Times New Roman" w:hAnsi="Times New Roman" w:eastAsia="宋体"/>
      <w:lang w:val="en-US"/>
    </w:rPr>
  </w:style>
  <w:style w:type="paragraph" w:customStyle="1" w:styleId="20">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1">
    <w:name w:val="标书正文1"/>
    <w:basedOn w:val="1"/>
    <w:qFormat/>
    <w:uiPriority w:val="0"/>
    <w:pPr>
      <w:spacing w:line="520" w:lineRule="exact"/>
      <w:ind w:firstLine="64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196</Pages>
  <Words>109469</Words>
  <Characters>115425</Characters>
  <TotalTime>119</TotalTime>
  <ScaleCrop>false</ScaleCrop>
  <LinksUpToDate>false</LinksUpToDate>
  <CharactersWithSpaces>122935</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2023-03-20T16:59:00Z</dcterms:created>
  <dc:creator>苏日洪</dc:creator>
  <cp:lastModifiedBy>.</cp:lastModifiedBy>
  <cp:lastPrinted>2023-10-26T07:10:00Z</cp:lastPrinted>
  <dcterms:modified xsi:type="dcterms:W3CDTF">2023-10-27T05:33:33Z</dcterms:modified>
  <dc:title>广东省公路工程施工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2023-08-23T17:11:04Z</vt:filetime>
  </property>
  <property fmtid="{D5CDD505-2E9C-101B-9397-08002B2CF9AE}" pid="4" name="KSOProductBuildVer">
    <vt:lpwstr>2052-12.1.0.15712</vt:lpwstr>
  </property>
  <property fmtid="{D5CDD505-2E9C-101B-9397-08002B2CF9AE}" pid="5" name="ICV">
    <vt:lpwstr>2F7069F34B784966ABF77554EA35C2C0_13</vt:lpwstr>
  </property>
</Properties>
</file>