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ajorEastAsia" w:hAnsiTheme="majorEastAsia" w:eastAsiaTheme="majorEastAsia" w:cstheme="majorEastAsia"/>
          <w:sz w:val="32"/>
          <w:szCs w:val="32"/>
        </w:rPr>
      </w:pPr>
    </w:p>
    <w:p>
      <w:pPr>
        <w:ind w:firstLine="6400" w:firstLineChars="2000"/>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rPr>
        <w:t xml:space="preserve">合同编号：   </w:t>
      </w:r>
      <w:r>
        <w:rPr>
          <w:rFonts w:hint="eastAsia" w:asciiTheme="majorEastAsia" w:hAnsiTheme="majorEastAsia" w:eastAsiaTheme="majorEastAsia" w:cstheme="majorEastAsia"/>
          <w:sz w:val="32"/>
          <w:szCs w:val="32"/>
          <w:u w:val="single"/>
        </w:rPr>
        <w:t xml:space="preserve">   </w:t>
      </w:r>
    </w:p>
    <w:p>
      <w:pPr>
        <w:spacing w:line="360" w:lineRule="auto"/>
        <w:rPr>
          <w:rFonts w:hint="eastAsia" w:asciiTheme="majorEastAsia" w:hAnsiTheme="majorEastAsia" w:eastAsiaTheme="majorEastAsia" w:cstheme="majorEastAsia"/>
          <w:b/>
          <w:sz w:val="52"/>
          <w:u w:val="single"/>
        </w:rPr>
      </w:pPr>
    </w:p>
    <w:p>
      <w:pPr>
        <w:spacing w:line="360" w:lineRule="auto"/>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u w:val="single"/>
        </w:rPr>
        <w:t>市南路快速化改造项目供水管迁改等5个</w:t>
      </w:r>
      <w:r>
        <w:rPr>
          <w:rFonts w:hint="eastAsia" w:asciiTheme="majorEastAsia" w:hAnsiTheme="majorEastAsia" w:eastAsiaTheme="majorEastAsia" w:cstheme="majorEastAsia"/>
          <w:sz w:val="52"/>
          <w:szCs w:val="52"/>
          <w:u w:val="single"/>
          <w:lang w:val="en-US" w:eastAsia="zh-CN"/>
        </w:rPr>
        <w:t>工程项目</w:t>
      </w:r>
      <w:r>
        <w:rPr>
          <w:rFonts w:hint="eastAsia" w:asciiTheme="majorEastAsia" w:hAnsiTheme="majorEastAsia" w:eastAsiaTheme="majorEastAsia" w:cstheme="majorEastAsia"/>
          <w:sz w:val="52"/>
          <w:szCs w:val="52"/>
        </w:rPr>
        <w:t>工程委托监理合同</w:t>
      </w:r>
    </w:p>
    <w:p>
      <w:pPr>
        <w:spacing w:line="360" w:lineRule="auto"/>
        <w:jc w:val="center"/>
        <w:rPr>
          <w:rFonts w:hint="eastAsia" w:asciiTheme="majorEastAsia" w:hAnsiTheme="majorEastAsia" w:eastAsiaTheme="majorEastAsia" w:cstheme="majorEastAsia"/>
          <w:b/>
          <w:bCs/>
          <w:caps/>
          <w:kern w:val="0"/>
          <w:sz w:val="44"/>
          <w:szCs w:val="44"/>
        </w:rPr>
      </w:pPr>
    </w:p>
    <w:p>
      <w:pPr>
        <w:spacing w:line="360" w:lineRule="auto"/>
        <w:jc w:val="center"/>
        <w:rPr>
          <w:rFonts w:hint="eastAsia" w:asciiTheme="majorEastAsia" w:hAnsiTheme="majorEastAsia" w:eastAsiaTheme="majorEastAsia" w:cstheme="majorEastAsia"/>
          <w:b/>
          <w:bCs/>
          <w:caps/>
          <w:kern w:val="0"/>
          <w:sz w:val="44"/>
          <w:szCs w:val="44"/>
        </w:rPr>
      </w:pPr>
    </w:p>
    <w:p>
      <w:pPr>
        <w:spacing w:line="360" w:lineRule="auto"/>
        <w:rPr>
          <w:rFonts w:hint="eastAsia" w:asciiTheme="majorEastAsia" w:hAnsiTheme="majorEastAsia" w:eastAsiaTheme="majorEastAsia" w:cstheme="majorEastAsia"/>
          <w:b/>
          <w:bCs/>
          <w:caps/>
          <w:kern w:val="0"/>
          <w:sz w:val="44"/>
          <w:szCs w:val="44"/>
        </w:rPr>
      </w:pPr>
    </w:p>
    <w:p>
      <w:pPr>
        <w:spacing w:line="360" w:lineRule="auto"/>
        <w:rPr>
          <w:rFonts w:hint="eastAsia" w:asciiTheme="majorEastAsia" w:hAnsiTheme="majorEastAsia" w:eastAsiaTheme="majorEastAsia" w:cstheme="majorEastAsia"/>
          <w:b/>
          <w:bCs/>
          <w:caps/>
          <w:kern w:val="0"/>
          <w:sz w:val="44"/>
          <w:szCs w:val="44"/>
        </w:rPr>
      </w:pPr>
    </w:p>
    <w:p>
      <w:pPr>
        <w:spacing w:line="360" w:lineRule="auto"/>
        <w:jc w:val="left"/>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rPr>
        <w:t xml:space="preserve">      工程名称：</w:t>
      </w:r>
      <w:r>
        <w:rPr>
          <w:rFonts w:hint="eastAsia" w:asciiTheme="majorEastAsia" w:hAnsiTheme="majorEastAsia" w:eastAsiaTheme="majorEastAsia" w:cstheme="majorEastAsia"/>
          <w:sz w:val="32"/>
          <w:szCs w:val="32"/>
          <w:u w:val="single"/>
        </w:rPr>
        <w:t>市南路快速化改造项目供水管迁改</w:t>
      </w:r>
    </w:p>
    <w:p>
      <w:pPr>
        <w:spacing w:line="360" w:lineRule="auto"/>
        <w:ind w:firstLine="2560" w:firstLineChars="800"/>
        <w:jc w:val="left"/>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u w:val="single"/>
        </w:rPr>
        <w:t>等5个</w:t>
      </w:r>
      <w:r>
        <w:rPr>
          <w:rFonts w:hint="eastAsia" w:asciiTheme="majorEastAsia" w:hAnsiTheme="majorEastAsia" w:eastAsiaTheme="majorEastAsia" w:cstheme="majorEastAsia"/>
          <w:sz w:val="32"/>
          <w:szCs w:val="32"/>
          <w:u w:val="single"/>
          <w:lang w:val="en-US" w:eastAsia="zh-CN"/>
        </w:rPr>
        <w:t>工程</w:t>
      </w:r>
      <w:r>
        <w:rPr>
          <w:rFonts w:hint="eastAsia" w:asciiTheme="majorEastAsia" w:hAnsiTheme="majorEastAsia" w:eastAsiaTheme="majorEastAsia" w:cstheme="majorEastAsia"/>
          <w:sz w:val="32"/>
          <w:szCs w:val="32"/>
          <w:u w:val="single"/>
        </w:rPr>
        <w:t xml:space="preserve">             </w:t>
      </w:r>
    </w:p>
    <w:p>
      <w:pPr>
        <w:spacing w:line="360" w:lineRule="auto"/>
        <w:ind w:firstLine="960" w:firstLineChars="300"/>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rPr>
        <w:t>工程地点：</w:t>
      </w:r>
      <w:r>
        <w:rPr>
          <w:rFonts w:hint="eastAsia" w:asciiTheme="majorEastAsia" w:hAnsiTheme="majorEastAsia" w:eastAsiaTheme="majorEastAsia" w:cstheme="majorEastAsia"/>
          <w:sz w:val="32"/>
          <w:szCs w:val="32"/>
          <w:u w:val="single"/>
        </w:rPr>
        <w:t xml:space="preserve">广州市南沙区                  </w:t>
      </w:r>
    </w:p>
    <w:p>
      <w:pPr>
        <w:spacing w:line="360" w:lineRule="auto"/>
        <w:ind w:firstLine="960" w:firstLineChars="300"/>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rPr>
        <w:t>发 包 人：</w:t>
      </w:r>
      <w:r>
        <w:rPr>
          <w:rFonts w:hint="eastAsia" w:asciiTheme="majorEastAsia" w:hAnsiTheme="majorEastAsia" w:eastAsiaTheme="majorEastAsia" w:cstheme="majorEastAsia"/>
          <w:sz w:val="32"/>
          <w:szCs w:val="32"/>
          <w:u w:val="single"/>
        </w:rPr>
        <w:t xml:space="preserve">   </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single"/>
        </w:rPr>
        <w:t xml:space="preserve">   </w:t>
      </w:r>
    </w:p>
    <w:p>
      <w:pPr>
        <w:spacing w:line="360" w:lineRule="auto"/>
        <w:jc w:val="left"/>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rPr>
        <w:t xml:space="preserve">      监 理 人：</w:t>
      </w:r>
      <w:r>
        <w:rPr>
          <w:rFonts w:hint="eastAsia" w:asciiTheme="majorEastAsia" w:hAnsiTheme="majorEastAsia" w:eastAsiaTheme="majorEastAsia" w:cstheme="majorEastAsia"/>
          <w:sz w:val="32"/>
          <w:szCs w:val="32"/>
          <w:u w:val="single"/>
        </w:rPr>
        <w:t xml:space="preserve">                              </w:t>
      </w:r>
    </w:p>
    <w:p>
      <w:pPr>
        <w:spacing w:line="36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
          <w:sz w:val="22"/>
          <w:szCs w:val="21"/>
        </w:rPr>
        <w:br w:type="page"/>
      </w:r>
      <w:r>
        <w:rPr>
          <w:rFonts w:hint="eastAsia" w:asciiTheme="majorEastAsia" w:hAnsiTheme="majorEastAsia" w:eastAsiaTheme="majorEastAsia" w:cstheme="majorEastAsia"/>
          <w:sz w:val="30"/>
          <w:szCs w:val="30"/>
          <w:u w:val="single"/>
        </w:rPr>
        <w:t>市南路快速化改造项目供水管迁改等5个</w:t>
      </w:r>
      <w:r>
        <w:rPr>
          <w:rFonts w:hint="eastAsia" w:asciiTheme="majorEastAsia" w:hAnsiTheme="majorEastAsia" w:eastAsiaTheme="majorEastAsia" w:cstheme="majorEastAsia"/>
          <w:sz w:val="30"/>
          <w:szCs w:val="30"/>
          <w:u w:val="single"/>
          <w:lang w:val="en-US" w:eastAsia="zh-CN"/>
        </w:rPr>
        <w:t>工程</w:t>
      </w:r>
      <w:r>
        <w:rPr>
          <w:rFonts w:hint="eastAsia" w:asciiTheme="majorEastAsia" w:hAnsiTheme="majorEastAsia" w:eastAsiaTheme="majorEastAsia" w:cstheme="majorEastAsia"/>
          <w:sz w:val="30"/>
          <w:szCs w:val="30"/>
        </w:rPr>
        <w:t>项目</w:t>
      </w:r>
    </w:p>
    <w:p>
      <w:pPr>
        <w:spacing w:line="36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工程委托监理合同</w:t>
      </w:r>
    </w:p>
    <w:p>
      <w:pPr>
        <w:spacing w:line="360" w:lineRule="auto"/>
        <w:ind w:firstLine="600" w:firstLineChars="250"/>
        <w:rPr>
          <w:rFonts w:hint="eastAsia" w:asciiTheme="majorEastAsia" w:hAnsiTheme="majorEastAsia" w:eastAsiaTheme="majorEastAsia" w:cstheme="majorEastAsia"/>
          <w:sz w:val="24"/>
          <w:szCs w:val="24"/>
        </w:rPr>
      </w:pPr>
    </w:p>
    <w:p>
      <w:pPr>
        <w:spacing w:line="360" w:lineRule="auto"/>
        <w:ind w:firstLine="600" w:firstLineChars="2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（以下简称甲方）</w:t>
      </w:r>
    </w:p>
    <w:p>
      <w:pPr>
        <w:spacing w:line="360" w:lineRule="auto"/>
        <w:ind w:firstLine="600" w:firstLineChars="2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住  所：</w:t>
      </w:r>
      <w:r>
        <w:rPr>
          <w:rFonts w:hint="eastAsia" w:asciiTheme="majorEastAsia" w:hAnsiTheme="majorEastAsia" w:eastAsiaTheme="majorEastAsia" w:cstheme="majorEastAsia"/>
          <w:sz w:val="24"/>
          <w:szCs w:val="24"/>
          <w:u w:val="single"/>
        </w:rPr>
        <w:t xml:space="preserve">广州市南沙区滨海路171号南沙金融大厦7楼  </w:t>
      </w:r>
    </w:p>
    <w:p>
      <w:pPr>
        <w:spacing w:line="360" w:lineRule="auto"/>
        <w:ind w:firstLine="600" w:firstLineChars="2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4"/>
          <w:szCs w:val="24"/>
        </w:rPr>
        <w:t>监理人：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（以下简称乙方）</w:t>
      </w:r>
    </w:p>
    <w:p>
      <w:pPr>
        <w:snapToGrid w:val="0"/>
        <w:spacing w:line="360" w:lineRule="auto"/>
        <w:ind w:firstLine="630" w:firstLineChars="3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Cs w:val="21"/>
        </w:rPr>
        <w:t>住  所：</w:t>
      </w:r>
      <w:r>
        <w:rPr>
          <w:rFonts w:hint="eastAsia" w:asciiTheme="majorEastAsia" w:hAnsiTheme="majorEastAsia" w:eastAsiaTheme="majorEastAsia" w:cstheme="majorEastAsia"/>
          <w:sz w:val="24"/>
          <w:szCs w:val="24"/>
          <w:u w:val="single"/>
        </w:rPr>
        <w:t xml:space="preserve">                                   </w:t>
      </w:r>
    </w:p>
    <w:p>
      <w:pPr>
        <w:snapToGrid w:val="0"/>
        <w:spacing w:line="360" w:lineRule="auto"/>
        <w:ind w:firstLine="497" w:firstLineChars="237"/>
        <w:rPr>
          <w:rFonts w:hint="eastAsia" w:asciiTheme="majorEastAsia" w:hAnsiTheme="majorEastAsia" w:eastAsiaTheme="majorEastAsia" w:cstheme="majorEastAsia"/>
          <w:szCs w:val="21"/>
        </w:rPr>
      </w:pPr>
    </w:p>
    <w:p>
      <w:pPr>
        <w:spacing w:line="360" w:lineRule="auto"/>
        <w:ind w:firstLine="420"/>
        <w:rPr>
          <w:rFonts w:hint="eastAsia" w:asciiTheme="majorEastAsia" w:hAnsiTheme="majorEastAsia" w:eastAsiaTheme="majorEastAsia" w:cstheme="majorEastAsia"/>
          <w:szCs w:val="21"/>
        </w:rPr>
      </w:pPr>
      <w:bookmarkStart w:id="0" w:name="_Toc32328"/>
      <w:bookmarkStart w:id="1" w:name="_Toc517899421"/>
      <w:bookmarkStart w:id="2" w:name="_Toc407731256"/>
      <w:r>
        <w:rPr>
          <w:rFonts w:hint="eastAsia" w:asciiTheme="majorEastAsia" w:hAnsiTheme="majorEastAsia" w:eastAsiaTheme="majorEastAsia" w:cstheme="majorEastAsia"/>
          <w:szCs w:val="21"/>
        </w:rPr>
        <w:t>根据《中华人民共和国</w:t>
      </w:r>
      <w:r>
        <w:rPr>
          <w:rFonts w:hint="eastAsia" w:asciiTheme="majorEastAsia" w:hAnsiTheme="majorEastAsia" w:eastAsiaTheme="majorEastAsia" w:cstheme="majorEastAsia"/>
          <w:szCs w:val="21"/>
          <w:lang w:val="en-US" w:eastAsia="zh-CN"/>
        </w:rPr>
        <w:t>民法典</w:t>
      </w:r>
      <w:r>
        <w:rPr>
          <w:rFonts w:hint="eastAsia" w:asciiTheme="majorEastAsia" w:hAnsiTheme="majorEastAsia" w:eastAsiaTheme="majorEastAsia" w:cstheme="majorEastAsia"/>
          <w:szCs w:val="21"/>
        </w:rPr>
        <w:t xml:space="preserve">》、《中华人民共和国建筑法》及相关法律规定，结合本项目的具体情况，双方经友好协商签订本合同。 </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第一条　项目概况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（一）项目名称：</w:t>
      </w:r>
      <w:r>
        <w:rPr>
          <w:rFonts w:hint="eastAsia" w:asciiTheme="majorEastAsia" w:hAnsiTheme="majorEastAsia" w:eastAsiaTheme="majorEastAsia" w:cstheme="majorEastAsia"/>
          <w:szCs w:val="21"/>
          <w:u w:val="single"/>
        </w:rPr>
        <w:t>市南路快速化改造项目供水管迁改等5个</w:t>
      </w:r>
      <w:r>
        <w:rPr>
          <w:rFonts w:hint="eastAsia" w:asciiTheme="majorEastAsia" w:hAnsiTheme="majorEastAsia" w:eastAsiaTheme="majorEastAsia" w:cstheme="majorEastAsia"/>
          <w:szCs w:val="21"/>
          <w:u w:val="single"/>
          <w:lang w:val="en-US" w:eastAsia="zh-CN"/>
        </w:rPr>
        <w:t>工程</w:t>
      </w:r>
      <w:r>
        <w:rPr>
          <w:rFonts w:hint="eastAsia" w:asciiTheme="majorEastAsia" w:hAnsiTheme="majorEastAsia" w:eastAsiaTheme="majorEastAsia" w:cstheme="majorEastAsia"/>
          <w:szCs w:val="21"/>
          <w:u w:val="single"/>
        </w:rPr>
        <w:t>项目</w:t>
      </w:r>
      <w:r>
        <w:rPr>
          <w:rFonts w:hint="eastAsia" w:asciiTheme="majorEastAsia" w:hAnsiTheme="majorEastAsia" w:eastAsiaTheme="majorEastAsia" w:cstheme="majorEastAsia"/>
          <w:szCs w:val="21"/>
        </w:rPr>
        <w:t>监理项目（下称本项目），具体为：</w:t>
      </w:r>
      <w:r>
        <w:rPr>
          <w:rFonts w:hint="eastAsia" w:asciiTheme="majorEastAsia" w:hAnsiTheme="majorEastAsia" w:eastAsiaTheme="majorEastAsia" w:cstheme="majorEastAsia"/>
          <w:szCs w:val="22"/>
          <w:u w:val="none"/>
        </w:rPr>
        <w:t>凤凰大道快速化改造给水管线迁改工程</w:t>
      </w:r>
      <w:r>
        <w:rPr>
          <w:rFonts w:hint="eastAsia" w:asciiTheme="majorEastAsia" w:hAnsiTheme="majorEastAsia" w:eastAsiaTheme="majorEastAsia" w:cstheme="majorEastAsia"/>
          <w:szCs w:val="22"/>
          <w:u w:val="none"/>
          <w:lang w:eastAsia="zh-CN"/>
        </w:rPr>
        <w:t>、</w:t>
      </w:r>
      <w:r>
        <w:rPr>
          <w:rFonts w:hint="eastAsia" w:asciiTheme="majorEastAsia" w:hAnsiTheme="majorEastAsia" w:eastAsiaTheme="majorEastAsia" w:cstheme="majorEastAsia"/>
          <w:szCs w:val="22"/>
          <w:u w:val="none"/>
        </w:rPr>
        <w:t>万环西路快速化改造给水管线迁改工程</w:t>
      </w:r>
      <w:r>
        <w:rPr>
          <w:rFonts w:hint="eastAsia" w:asciiTheme="majorEastAsia" w:hAnsiTheme="majorEastAsia" w:eastAsiaTheme="majorEastAsia" w:cstheme="majorEastAsia"/>
          <w:szCs w:val="22"/>
          <w:u w:val="none"/>
          <w:lang w:eastAsia="zh-CN"/>
        </w:rPr>
        <w:t>、</w:t>
      </w:r>
      <w:r>
        <w:rPr>
          <w:rFonts w:hint="eastAsia" w:asciiTheme="majorEastAsia" w:hAnsiTheme="majorEastAsia" w:eastAsiaTheme="majorEastAsia" w:cstheme="majorEastAsia"/>
          <w:color w:val="auto"/>
          <w:u w:val="none"/>
        </w:rPr>
        <w:t>市南路快速化改造项目供水管迁改</w:t>
      </w:r>
      <w:r>
        <w:rPr>
          <w:rFonts w:hint="eastAsia" w:asciiTheme="majorEastAsia" w:hAnsiTheme="majorEastAsia" w:eastAsiaTheme="majorEastAsia" w:cstheme="majorEastAsia"/>
          <w:color w:val="auto"/>
          <w:u w:val="none"/>
          <w:lang w:eastAsia="zh-CN"/>
        </w:rPr>
        <w:t>、</w:t>
      </w:r>
      <w:r>
        <w:rPr>
          <w:rFonts w:hint="eastAsia" w:asciiTheme="majorEastAsia" w:hAnsiTheme="majorEastAsia" w:eastAsiaTheme="majorEastAsia" w:cstheme="majorEastAsia"/>
          <w:color w:val="auto"/>
          <w:u w:val="none"/>
        </w:rPr>
        <w:t>狮子洋通道项目南沙段给水管道迁改</w:t>
      </w:r>
      <w:r>
        <w:rPr>
          <w:rFonts w:hint="eastAsia" w:asciiTheme="majorEastAsia" w:hAnsiTheme="majorEastAsia" w:eastAsiaTheme="majorEastAsia" w:cstheme="majorEastAsia"/>
          <w:color w:val="auto"/>
          <w:u w:val="none"/>
          <w:lang w:eastAsia="zh-CN"/>
        </w:rPr>
        <w:t>、</w:t>
      </w:r>
      <w:r>
        <w:rPr>
          <w:rFonts w:hint="eastAsia" w:asciiTheme="majorEastAsia" w:hAnsiTheme="majorEastAsia" w:eastAsiaTheme="majorEastAsia" w:cstheme="majorEastAsia"/>
          <w:color w:val="auto"/>
          <w:u w:val="none"/>
        </w:rPr>
        <w:t>亭角大桥拓宽给水管线迁改（含S358段）</w:t>
      </w:r>
      <w:r>
        <w:rPr>
          <w:rFonts w:hint="eastAsia" w:asciiTheme="majorEastAsia" w:hAnsiTheme="majorEastAsia" w:eastAsiaTheme="majorEastAsia" w:cstheme="majorEastAsia"/>
          <w:szCs w:val="21"/>
        </w:rPr>
        <w:t>。</w:t>
      </w:r>
    </w:p>
    <w:p>
      <w:pPr>
        <w:tabs>
          <w:tab w:val="left" w:pos="824"/>
        </w:tabs>
        <w:spacing w:line="465" w:lineRule="exact"/>
        <w:ind w:firstLine="42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（二）项目地点：</w:t>
      </w:r>
      <w:r>
        <w:rPr>
          <w:rFonts w:hint="eastAsia" w:asciiTheme="majorEastAsia" w:hAnsiTheme="majorEastAsia" w:eastAsiaTheme="majorEastAsia" w:cstheme="majorEastAsia"/>
          <w:szCs w:val="21"/>
          <w:u w:val="single"/>
        </w:rPr>
        <w:t>广州市南沙区</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第二条  监理服务阶段</w:t>
      </w:r>
    </w:p>
    <w:p>
      <w:pPr>
        <w:tabs>
          <w:tab w:val="left" w:pos="824"/>
        </w:tabs>
        <w:spacing w:line="465" w:lineRule="exact"/>
        <w:ind w:firstLine="420" w:firstLineChars="200"/>
        <w:rPr>
          <w:rFonts w:hint="eastAsia" w:asciiTheme="majorEastAsia" w:hAnsiTheme="majorEastAsia" w:eastAsiaTheme="majorEastAsia" w:cstheme="majorEastAsia"/>
          <w:szCs w:val="21"/>
        </w:rPr>
      </w:pPr>
      <w:bookmarkStart w:id="3" w:name="_Toc5812"/>
      <w:r>
        <w:rPr>
          <w:rFonts w:hint="eastAsia" w:asciiTheme="majorEastAsia" w:hAnsiTheme="majorEastAsia" w:eastAsiaTheme="majorEastAsia" w:cstheme="majorEastAsia"/>
          <w:szCs w:val="21"/>
        </w:rPr>
        <w:t>经双方协商，甲方委托乙方对本工程在施工质量、建设工期、建设资金使用、安全文明施工和安全环保等方面，代表甲方实施监督与管理。主要在施工阶段、试运行及后续服务阶段、保修阶段实行监理。具体内容包括但不限于：</w:t>
      </w:r>
      <w:bookmarkEnd w:id="3"/>
    </w:p>
    <w:p>
      <w:pPr>
        <w:tabs>
          <w:tab w:val="left" w:pos="824"/>
        </w:tabs>
        <w:spacing w:line="465" w:lineRule="exact"/>
        <w:ind w:firstLine="420" w:firstLineChars="200"/>
        <w:rPr>
          <w:rFonts w:hint="eastAsia" w:asciiTheme="majorEastAsia" w:hAnsiTheme="majorEastAsia" w:eastAsiaTheme="majorEastAsia" w:cstheme="majorEastAsia"/>
          <w:szCs w:val="21"/>
        </w:rPr>
      </w:pPr>
      <w:bookmarkStart w:id="4" w:name="_Toc7963"/>
      <w:r>
        <w:rPr>
          <w:rFonts w:hint="eastAsia" w:asciiTheme="majorEastAsia" w:hAnsiTheme="majorEastAsia" w:eastAsiaTheme="majorEastAsia" w:cstheme="majorEastAsia"/>
          <w:szCs w:val="21"/>
        </w:rPr>
        <w:t>（1）在施工阶段，负责自施工准备期至施工期的设计图审查、投资控制、进度控制、质量控制、安全管理、合同管理、信息管理和工作协调管理。</w:t>
      </w:r>
      <w:bookmarkEnd w:id="4"/>
    </w:p>
    <w:p>
      <w:pPr>
        <w:tabs>
          <w:tab w:val="left" w:pos="824"/>
        </w:tabs>
        <w:spacing w:line="465" w:lineRule="exact"/>
        <w:ind w:firstLine="420" w:firstLineChars="200"/>
        <w:rPr>
          <w:rFonts w:hint="eastAsia" w:asciiTheme="majorEastAsia" w:hAnsiTheme="majorEastAsia" w:eastAsiaTheme="majorEastAsia" w:cstheme="majorEastAsia"/>
          <w:szCs w:val="21"/>
        </w:rPr>
      </w:pPr>
      <w:bookmarkStart w:id="5" w:name="_Toc20407"/>
      <w:r>
        <w:rPr>
          <w:rFonts w:hint="eastAsia" w:asciiTheme="majorEastAsia" w:hAnsiTheme="majorEastAsia" w:eastAsiaTheme="majorEastAsia" w:cstheme="majorEastAsia"/>
          <w:szCs w:val="21"/>
        </w:rPr>
        <w:t>（2）在试运行及后续服务阶段，负责指导运行调试，协助工程竣工结算，组织或参与工程验收。</w:t>
      </w:r>
      <w:bookmarkEnd w:id="5"/>
    </w:p>
    <w:p>
      <w:pPr>
        <w:tabs>
          <w:tab w:val="left" w:pos="824"/>
        </w:tabs>
        <w:spacing w:line="465" w:lineRule="exact"/>
        <w:ind w:firstLine="420" w:firstLineChars="200"/>
        <w:rPr>
          <w:rFonts w:hint="eastAsia" w:asciiTheme="majorEastAsia" w:hAnsiTheme="majorEastAsia" w:eastAsiaTheme="majorEastAsia" w:cstheme="majorEastAsia"/>
          <w:szCs w:val="21"/>
        </w:rPr>
      </w:pPr>
      <w:bookmarkStart w:id="6" w:name="_Toc30570"/>
      <w:r>
        <w:rPr>
          <w:rFonts w:hint="eastAsia" w:asciiTheme="majorEastAsia" w:hAnsiTheme="majorEastAsia" w:eastAsiaTheme="majorEastAsia" w:cstheme="majorEastAsia"/>
          <w:szCs w:val="21"/>
        </w:rPr>
        <w:t>（3）在质量保修阶段（下称质保阶段），负责检查和记录工程质量缺陷，对缺陷原因进行调查分析并确定责任归属，审核修复方案，监督修复过程并验收，审核修复费用等。</w:t>
      </w:r>
      <w:bookmarkEnd w:id="6"/>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第三条 监理期限</w:t>
      </w:r>
    </w:p>
    <w:p>
      <w:pPr>
        <w:tabs>
          <w:tab w:val="left" w:pos="824"/>
        </w:tabs>
        <w:spacing w:line="465" w:lineRule="exact"/>
        <w:ind w:firstLine="420" w:firstLineChars="200"/>
        <w:rPr>
          <w:rFonts w:hint="eastAsia"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本合同监理期限为：</w:t>
      </w:r>
      <w:r>
        <w:rPr>
          <w:rFonts w:hint="eastAsia" w:asciiTheme="majorEastAsia" w:hAnsiTheme="majorEastAsia" w:eastAsiaTheme="majorEastAsia" w:cstheme="majorEastAsia"/>
          <w:szCs w:val="21"/>
          <w:u w:val="single"/>
        </w:rPr>
        <w:t>从监理进场（监理单位应在中标通知书发出5个工作日内进场）到本项目</w:t>
      </w:r>
      <w:r>
        <w:rPr>
          <w:rFonts w:hint="eastAsia" w:asciiTheme="majorEastAsia" w:hAnsiTheme="majorEastAsia" w:eastAsiaTheme="majorEastAsia" w:cstheme="majorEastAsia"/>
          <w:szCs w:val="21"/>
          <w:u w:val="single"/>
          <w:lang w:eastAsia="zh-CN"/>
        </w:rPr>
        <w:t>五</w:t>
      </w:r>
      <w:r>
        <w:rPr>
          <w:rFonts w:hint="eastAsia" w:asciiTheme="majorEastAsia" w:hAnsiTheme="majorEastAsia" w:eastAsiaTheme="majorEastAsia" w:cstheme="majorEastAsia"/>
          <w:szCs w:val="21"/>
          <w:u w:val="single"/>
        </w:rPr>
        <w:t>个工程均通过竣工验收后施工质保期满（或缺陷整改期，以较长期限为准）之日止。</w:t>
      </w:r>
    </w:p>
    <w:p>
      <w:pPr>
        <w:tabs>
          <w:tab w:val="left" w:pos="824"/>
        </w:tabs>
        <w:spacing w:line="465" w:lineRule="exact"/>
        <w:ind w:firstLine="420" w:firstLineChars="200"/>
        <w:rPr>
          <w:rFonts w:hint="eastAsia"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u w:val="single"/>
        </w:rPr>
        <w:t>本项目计划施工工期1</w:t>
      </w:r>
      <w:r>
        <w:rPr>
          <w:rFonts w:hint="eastAsia" w:asciiTheme="majorEastAsia" w:hAnsiTheme="majorEastAsia" w:eastAsiaTheme="majorEastAsia" w:cstheme="majorEastAsia"/>
          <w:szCs w:val="21"/>
          <w:u w:val="single"/>
          <w:lang w:val="en-US" w:eastAsia="zh-CN"/>
        </w:rPr>
        <w:t>8</w:t>
      </w:r>
      <w:r>
        <w:rPr>
          <w:rFonts w:hint="eastAsia" w:asciiTheme="majorEastAsia" w:hAnsiTheme="majorEastAsia" w:eastAsiaTheme="majorEastAsia" w:cstheme="majorEastAsia"/>
          <w:szCs w:val="21"/>
          <w:u w:val="single"/>
        </w:rPr>
        <w:t>个月，竣工及后续服务期2个月，质保服务期2年。因工程施工、设备延迟供货、</w:t>
      </w:r>
      <w:r>
        <w:rPr>
          <w:rFonts w:hint="eastAsia" w:asciiTheme="majorEastAsia" w:hAnsiTheme="majorEastAsia" w:eastAsiaTheme="majorEastAsia" w:cstheme="majorEastAsia"/>
          <w:szCs w:val="21"/>
          <w:u w:val="single"/>
          <w:lang w:eastAsia="zh-CN"/>
        </w:rPr>
        <w:t>征地拆迁</w:t>
      </w:r>
      <w:r>
        <w:rPr>
          <w:rFonts w:hint="eastAsia" w:asciiTheme="majorEastAsia" w:hAnsiTheme="majorEastAsia" w:eastAsiaTheme="majorEastAsia" w:cstheme="majorEastAsia"/>
          <w:szCs w:val="21"/>
          <w:u w:val="single"/>
        </w:rPr>
        <w:t>等原因延长工期的，监理服务期相应延长，监理服务期延长的，监理服务费不做调整。</w:t>
      </w:r>
    </w:p>
    <w:p>
      <w:pPr>
        <w:tabs>
          <w:tab w:val="left" w:pos="824"/>
        </w:tabs>
        <w:spacing w:line="465" w:lineRule="exact"/>
        <w:ind w:firstLine="420"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szCs w:val="21"/>
        </w:rPr>
        <w:t>上述监理期限为计划期限，如实际工期有变化，以实际工期为准。因工程施工、设备延迟供货等原因延长工期的，监理服务期相应延长，监理服务期延长的，监理酬金不做调整。</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第四条 监理酬金的确定与支付</w:t>
      </w:r>
    </w:p>
    <w:p>
      <w:pPr>
        <w:tabs>
          <w:tab w:val="left" w:pos="824"/>
        </w:tabs>
        <w:spacing w:line="465" w:lineRule="exact"/>
        <w:ind w:left="48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（一）监理酬金的确定</w:t>
      </w:r>
    </w:p>
    <w:p>
      <w:pPr>
        <w:tabs>
          <w:tab w:val="left" w:pos="824"/>
        </w:tabs>
        <w:spacing w:line="465" w:lineRule="exact"/>
        <w:rPr>
          <w:rFonts w:hint="eastAsia" w:ascii="宋体" w:hAnsi="宋体"/>
          <w:color w:val="auto"/>
          <w:sz w:val="24"/>
          <w:highlight w:val="none"/>
          <w:u w:val="none"/>
        </w:rPr>
      </w:pPr>
      <w:r>
        <w:rPr>
          <w:rFonts w:hint="eastAsia" w:asciiTheme="majorEastAsia" w:hAnsiTheme="majorEastAsia" w:eastAsiaTheme="majorEastAsia" w:cstheme="majorEastAsia"/>
          <w:szCs w:val="21"/>
          <w:u w:val="none"/>
        </w:rPr>
        <w:t>本合同监理服务费</w:t>
      </w:r>
      <w:r>
        <w:rPr>
          <w:rFonts w:hint="eastAsia" w:ascii="宋体" w:hAnsi="宋体"/>
          <w:color w:val="auto"/>
          <w:sz w:val="24"/>
          <w:highlight w:val="none"/>
          <w:u w:val="none"/>
        </w:rPr>
        <w:t>总价</w:t>
      </w:r>
      <w:r>
        <w:rPr>
          <w:rFonts w:hint="eastAsia" w:ascii="宋体" w:hAnsi="宋体"/>
          <w:color w:val="auto"/>
          <w:sz w:val="24"/>
          <w:highlight w:val="none"/>
          <w:u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元（大写人民币：</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w:t>
      </w:r>
      <w:r>
        <w:rPr>
          <w:rFonts w:hint="eastAsia" w:ascii="宋体" w:hAnsi="宋体"/>
          <w:color w:val="auto"/>
          <w:sz w:val="24"/>
          <w:highlight w:val="none"/>
          <w:u w:val="none"/>
          <w:lang w:eastAsia="zh-CN"/>
        </w:rPr>
        <w:t>。</w:t>
      </w:r>
      <w:r>
        <w:rPr>
          <w:rFonts w:hint="eastAsia" w:ascii="宋体" w:hAnsi="宋体"/>
          <w:color w:val="auto"/>
          <w:sz w:val="24"/>
          <w:highlight w:val="none"/>
          <w:u w:val="none"/>
        </w:rPr>
        <w:t>其中，不含税总</w:t>
      </w:r>
    </w:p>
    <w:p>
      <w:pPr>
        <w:tabs>
          <w:tab w:val="left" w:pos="824"/>
        </w:tabs>
        <w:spacing w:line="465" w:lineRule="exact"/>
        <w:rPr>
          <w:rFonts w:hint="eastAsia" w:ascii="宋体" w:hAnsi="宋体"/>
          <w:color w:val="auto"/>
          <w:sz w:val="24"/>
          <w:highlight w:val="none"/>
          <w:u w:val="none"/>
          <w:lang w:eastAsia="zh-CN"/>
        </w:rPr>
      </w:pPr>
      <w:r>
        <w:rPr>
          <w:rFonts w:hint="eastAsia" w:ascii="宋体" w:hAnsi="宋体"/>
          <w:color w:val="auto"/>
          <w:sz w:val="24"/>
          <w:highlight w:val="none"/>
          <w:u w:val="none"/>
        </w:rPr>
        <w:t>价</w:t>
      </w:r>
      <w:r>
        <w:rPr>
          <w:rFonts w:hint="eastAsia" w:ascii="宋体" w:hAnsi="宋体"/>
          <w:color w:val="auto"/>
          <w:sz w:val="24"/>
          <w:highlight w:val="none"/>
          <w:u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元（大写人民币：</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监理费</w:t>
      </w:r>
      <w:r>
        <w:rPr>
          <w:rFonts w:hint="eastAsia" w:ascii="宋体" w:hAnsi="宋体"/>
          <w:color w:val="auto"/>
          <w:sz w:val="24"/>
          <w:highlight w:val="none"/>
          <w:u w:val="none"/>
        </w:rPr>
        <w:t>增值税税率为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%，增值税税额为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元</w:t>
      </w:r>
      <w:r>
        <w:rPr>
          <w:rFonts w:hint="eastAsia" w:ascii="宋体" w:hAnsi="宋体"/>
          <w:color w:val="auto"/>
          <w:sz w:val="24"/>
          <w:highlight w:val="none"/>
          <w:u w:val="none"/>
          <w:lang w:eastAsia="zh-CN"/>
        </w:rPr>
        <w:t>。如因法律规定、国家政策的变化导致增值税税率变动的，签约合同价、增值税税额随之变化，不含税价款不变。</w:t>
      </w:r>
    </w:p>
    <w:p>
      <w:pPr>
        <w:tabs>
          <w:tab w:val="left" w:pos="824"/>
        </w:tabs>
        <w:spacing w:line="465" w:lineRule="exact"/>
        <w:ind w:firstLine="420" w:firstLineChars="200"/>
        <w:rPr>
          <w:rFonts w:hint="eastAsia" w:asciiTheme="majorEastAsia" w:hAnsiTheme="majorEastAsia" w:eastAsiaTheme="majorEastAsia" w:cstheme="majorEastAsia"/>
          <w:szCs w:val="21"/>
          <w:u w:val="none"/>
        </w:rPr>
      </w:pPr>
      <w:r>
        <w:rPr>
          <w:rFonts w:hint="eastAsia" w:asciiTheme="majorEastAsia" w:hAnsiTheme="majorEastAsia" w:eastAsiaTheme="majorEastAsia" w:cstheme="majorEastAsia"/>
          <w:szCs w:val="21"/>
          <w:u w:val="none"/>
        </w:rPr>
        <w:t>本合同监理服务费组成清单如下表一所示：</w:t>
      </w:r>
    </w:p>
    <w:p>
      <w:pPr>
        <w:tabs>
          <w:tab w:val="left" w:pos="824"/>
        </w:tabs>
        <w:spacing w:line="465" w:lineRule="exact"/>
        <w:ind w:firstLine="420" w:firstLineChars="20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表一：监理服务费金额组成清单表</w:t>
      </w:r>
    </w:p>
    <w:tbl>
      <w:tblPr>
        <w:tblStyle w:val="36"/>
        <w:tblW w:w="7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122"/>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6"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3122"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3098"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监理费金额（元）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76"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3122" w:type="dxa"/>
            <w:noWrap w:val="0"/>
            <w:vAlign w:val="center"/>
          </w:tcPr>
          <w:p>
            <w:pPr>
              <w:tabs>
                <w:tab w:val="left" w:pos="824"/>
              </w:tabs>
              <w:spacing w:line="280" w:lineRule="exact"/>
              <w:rPr>
                <w:rFonts w:hint="eastAsia"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Cs w:val="22"/>
                <w:u w:val="none"/>
              </w:rPr>
              <w:t>凤凰大道快速化改造给水管线迁改工程</w:t>
            </w:r>
          </w:p>
        </w:tc>
        <w:tc>
          <w:tcPr>
            <w:tcW w:w="3098"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6"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3122" w:type="dxa"/>
            <w:noWrap w:val="0"/>
            <w:vAlign w:val="center"/>
          </w:tcPr>
          <w:p>
            <w:pPr>
              <w:tabs>
                <w:tab w:val="left" w:pos="824"/>
              </w:tabs>
              <w:spacing w:line="280" w:lineRule="exact"/>
              <w:rPr>
                <w:rFonts w:hint="eastAsia"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Cs w:val="22"/>
                <w:u w:val="none"/>
              </w:rPr>
              <w:t>万环西路快速化改造给水管线迁改工程</w:t>
            </w:r>
          </w:p>
        </w:tc>
        <w:tc>
          <w:tcPr>
            <w:tcW w:w="3098" w:type="dxa"/>
            <w:noWrap w:val="0"/>
            <w:vAlign w:val="center"/>
          </w:tcPr>
          <w:p>
            <w:pPr>
              <w:tabs>
                <w:tab w:val="left" w:pos="824"/>
              </w:tabs>
              <w:spacing w:line="465" w:lineRule="exact"/>
              <w:jc w:val="center"/>
              <w:rPr>
                <w:rFonts w:hint="eastAsia"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6" w:type="dxa"/>
            <w:noWrap w:val="0"/>
            <w:vAlign w:val="center"/>
          </w:tcPr>
          <w:p>
            <w:pPr>
              <w:tabs>
                <w:tab w:val="left" w:pos="824"/>
              </w:tabs>
              <w:spacing w:line="28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3</w:t>
            </w:r>
          </w:p>
        </w:tc>
        <w:tc>
          <w:tcPr>
            <w:tcW w:w="3122" w:type="dxa"/>
            <w:noWrap w:val="0"/>
            <w:vAlign w:val="center"/>
          </w:tcPr>
          <w:p>
            <w:pPr>
              <w:tabs>
                <w:tab w:val="left" w:pos="824"/>
              </w:tabs>
              <w:spacing w:line="280" w:lineRule="exact"/>
              <w:rPr>
                <w:rFonts w:hint="eastAsia" w:asciiTheme="majorEastAsia" w:hAnsiTheme="majorEastAsia" w:eastAsiaTheme="majorEastAsia" w:cstheme="majorEastAsia"/>
                <w:szCs w:val="22"/>
                <w:u w:val="none"/>
              </w:rPr>
            </w:pPr>
            <w:r>
              <w:rPr>
                <w:rFonts w:hint="eastAsia" w:asciiTheme="majorEastAsia" w:hAnsiTheme="majorEastAsia" w:eastAsiaTheme="majorEastAsia" w:cstheme="majorEastAsia"/>
                <w:color w:val="auto"/>
                <w:u w:val="none"/>
              </w:rPr>
              <w:t>市南路快速化改造项目供水管迁改</w:t>
            </w:r>
          </w:p>
        </w:tc>
        <w:tc>
          <w:tcPr>
            <w:tcW w:w="3098" w:type="dxa"/>
            <w:noWrap w:val="0"/>
            <w:vAlign w:val="center"/>
          </w:tcPr>
          <w:p>
            <w:pPr>
              <w:tabs>
                <w:tab w:val="left" w:pos="824"/>
              </w:tabs>
              <w:spacing w:line="280" w:lineRule="exact"/>
              <w:rPr>
                <w:rFonts w:hint="eastAsia" w:asciiTheme="majorEastAsia" w:hAnsiTheme="majorEastAsia" w:eastAsiaTheme="majorEastAsia" w:cstheme="maj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6" w:type="dxa"/>
            <w:noWrap w:val="0"/>
            <w:vAlign w:val="center"/>
          </w:tcPr>
          <w:p>
            <w:pPr>
              <w:tabs>
                <w:tab w:val="left" w:pos="824"/>
              </w:tabs>
              <w:spacing w:line="280" w:lineRule="exact"/>
              <w:jc w:val="center"/>
              <w:rPr>
                <w:rFonts w:hint="eastAsia" w:asciiTheme="majorEastAsia" w:hAnsiTheme="majorEastAsia" w:eastAsiaTheme="majorEastAsia" w:cstheme="majorEastAsia"/>
                <w:szCs w:val="22"/>
                <w:lang w:val="en-US" w:eastAsia="zh-CN"/>
              </w:rPr>
            </w:pPr>
            <w:r>
              <w:rPr>
                <w:rFonts w:hint="eastAsia" w:asciiTheme="majorEastAsia" w:hAnsiTheme="majorEastAsia" w:eastAsiaTheme="majorEastAsia" w:cstheme="majorEastAsia"/>
                <w:szCs w:val="22"/>
                <w:lang w:val="en-US" w:eastAsia="zh-CN"/>
              </w:rPr>
              <w:t>4</w:t>
            </w:r>
          </w:p>
        </w:tc>
        <w:tc>
          <w:tcPr>
            <w:tcW w:w="3122" w:type="dxa"/>
            <w:noWrap w:val="0"/>
            <w:vAlign w:val="center"/>
          </w:tcPr>
          <w:p>
            <w:pPr>
              <w:tabs>
                <w:tab w:val="left" w:pos="824"/>
              </w:tabs>
              <w:spacing w:line="280" w:lineRule="exact"/>
              <w:rPr>
                <w:rFonts w:hint="eastAsia" w:asciiTheme="majorEastAsia" w:hAnsiTheme="majorEastAsia" w:eastAsiaTheme="majorEastAsia" w:cstheme="majorEastAsia"/>
                <w:szCs w:val="22"/>
                <w:u w:val="none"/>
              </w:rPr>
            </w:pPr>
            <w:r>
              <w:rPr>
                <w:rFonts w:hint="eastAsia" w:asciiTheme="majorEastAsia" w:hAnsiTheme="majorEastAsia" w:eastAsiaTheme="majorEastAsia" w:cstheme="majorEastAsia"/>
                <w:color w:val="auto"/>
                <w:u w:val="none"/>
              </w:rPr>
              <w:t>狮子洋通道项目南沙段给水管道迁改</w:t>
            </w:r>
          </w:p>
        </w:tc>
        <w:tc>
          <w:tcPr>
            <w:tcW w:w="3098" w:type="dxa"/>
            <w:noWrap w:val="0"/>
            <w:vAlign w:val="center"/>
          </w:tcPr>
          <w:p>
            <w:pPr>
              <w:tabs>
                <w:tab w:val="left" w:pos="824"/>
              </w:tabs>
              <w:spacing w:line="280" w:lineRule="exact"/>
              <w:rPr>
                <w:rFonts w:hint="eastAsia" w:asciiTheme="majorEastAsia" w:hAnsiTheme="majorEastAsia" w:eastAsiaTheme="majorEastAsia" w:cstheme="maj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noWrap w:val="0"/>
            <w:vAlign w:val="center"/>
          </w:tcPr>
          <w:p>
            <w:pPr>
              <w:tabs>
                <w:tab w:val="left" w:pos="824"/>
              </w:tabs>
              <w:spacing w:line="280" w:lineRule="exact"/>
              <w:jc w:val="center"/>
              <w:rPr>
                <w:rFonts w:hint="eastAsia" w:asciiTheme="majorEastAsia" w:hAnsiTheme="majorEastAsia" w:eastAsiaTheme="majorEastAsia" w:cstheme="majorEastAsia"/>
                <w:szCs w:val="22"/>
                <w:lang w:val="en-US" w:eastAsia="zh-CN"/>
              </w:rPr>
            </w:pPr>
            <w:r>
              <w:rPr>
                <w:rFonts w:hint="eastAsia" w:asciiTheme="majorEastAsia" w:hAnsiTheme="majorEastAsia" w:eastAsiaTheme="majorEastAsia" w:cstheme="majorEastAsia"/>
                <w:szCs w:val="22"/>
                <w:lang w:val="en-US" w:eastAsia="zh-CN"/>
              </w:rPr>
              <w:t>5</w:t>
            </w:r>
          </w:p>
        </w:tc>
        <w:tc>
          <w:tcPr>
            <w:tcW w:w="3122" w:type="dxa"/>
            <w:noWrap w:val="0"/>
            <w:vAlign w:val="center"/>
          </w:tcPr>
          <w:p>
            <w:pPr>
              <w:tabs>
                <w:tab w:val="left" w:pos="824"/>
              </w:tabs>
              <w:spacing w:line="280" w:lineRule="exact"/>
              <w:rPr>
                <w:rFonts w:hint="eastAsia" w:asciiTheme="majorEastAsia" w:hAnsiTheme="majorEastAsia" w:eastAsiaTheme="majorEastAsia" w:cstheme="majorEastAsia"/>
                <w:szCs w:val="22"/>
                <w:u w:val="none"/>
              </w:rPr>
            </w:pPr>
            <w:r>
              <w:rPr>
                <w:rFonts w:hint="eastAsia" w:asciiTheme="majorEastAsia" w:hAnsiTheme="majorEastAsia" w:eastAsiaTheme="majorEastAsia" w:cstheme="majorEastAsia"/>
                <w:color w:val="auto"/>
                <w:u w:val="none"/>
              </w:rPr>
              <w:t>亭角大桥拓宽给水管线迁改（含S358段）</w:t>
            </w:r>
          </w:p>
        </w:tc>
        <w:tc>
          <w:tcPr>
            <w:tcW w:w="3098" w:type="dxa"/>
            <w:noWrap w:val="0"/>
            <w:vAlign w:val="center"/>
          </w:tcPr>
          <w:p>
            <w:pPr>
              <w:tabs>
                <w:tab w:val="left" w:pos="824"/>
              </w:tabs>
              <w:spacing w:line="280" w:lineRule="exact"/>
              <w:rPr>
                <w:rFonts w:hint="eastAsia" w:asciiTheme="majorEastAsia" w:hAnsiTheme="majorEastAsia" w:eastAsiaTheme="majorEastAsia" w:cstheme="maj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8" w:type="dxa"/>
            <w:gridSpan w:val="2"/>
            <w:noWrap w:val="0"/>
            <w:vAlign w:val="center"/>
          </w:tcPr>
          <w:p>
            <w:pPr>
              <w:tabs>
                <w:tab w:val="left" w:pos="824"/>
              </w:tabs>
              <w:spacing w:line="280" w:lineRule="exac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合计</w:t>
            </w:r>
          </w:p>
        </w:tc>
        <w:tc>
          <w:tcPr>
            <w:tcW w:w="3098" w:type="dxa"/>
            <w:noWrap w:val="0"/>
            <w:vAlign w:val="center"/>
          </w:tcPr>
          <w:p>
            <w:pPr>
              <w:tabs>
                <w:tab w:val="left" w:pos="824"/>
              </w:tabs>
              <w:spacing w:line="465" w:lineRule="exact"/>
              <w:jc w:val="center"/>
              <w:rPr>
                <w:rFonts w:hint="eastAsia" w:asciiTheme="majorEastAsia" w:hAnsiTheme="majorEastAsia" w:eastAsiaTheme="majorEastAsia" w:cstheme="majorEastAsia"/>
                <w:b/>
                <w:szCs w:val="21"/>
              </w:rPr>
            </w:pPr>
          </w:p>
        </w:tc>
      </w:tr>
    </w:tbl>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合同监理服务费已包括乙方履行监理合同规定义务所需的全部费用（包括但不限于工程监理费、安全监理费、乙方人员的工资、住宿、福利、办公、交通、差旅费、检查仪器和设备、通讯、成本、利润、管理费、各种保险、税金、相关规费以及应由乙方承担的风险、义务和责任等所发生的一切费用）。</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1、表一所列各单项工程监理费金额实行单项工程固定总价包干，不因工期变化、监理服务期延长或工程造价增加等原因而调整。</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rPr>
        <w:t>、表一所列</w:t>
      </w:r>
      <w:r>
        <w:rPr>
          <w:rFonts w:hint="eastAsia" w:asciiTheme="majorEastAsia" w:hAnsiTheme="majorEastAsia" w:eastAsiaTheme="majorEastAsia" w:cstheme="majorEastAsia"/>
          <w:szCs w:val="21"/>
          <w:lang w:val="en-US" w:eastAsia="zh-CN"/>
        </w:rPr>
        <w:t>五</w:t>
      </w:r>
      <w:r>
        <w:rPr>
          <w:rFonts w:hint="eastAsia" w:asciiTheme="majorEastAsia" w:hAnsiTheme="majorEastAsia" w:eastAsiaTheme="majorEastAsia" w:cstheme="majorEastAsia"/>
          <w:szCs w:val="21"/>
        </w:rPr>
        <w:t>个工程中出现任意单项工程取消或3年内未实施的（以甲方通知为准），则双方同意停止该工程监理的委托，且不产生费用。除因根据本合同规定可减付监理酬金的情形外，其他情况下（包括但不限于工期变化、监理服务期延长或工程造价增加），监理酬金均不予调整。</w:t>
      </w:r>
    </w:p>
    <w:p>
      <w:pPr>
        <w:tabs>
          <w:tab w:val="left" w:pos="824"/>
        </w:tabs>
        <w:spacing w:line="465" w:lineRule="exact"/>
        <w:ind w:left="48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（二）监理酬金的支付</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合同价款按单个工程独立计量、独立支付，支付进度、时间及方式如下：</w:t>
      </w:r>
    </w:p>
    <w:p>
      <w:pPr>
        <w:numPr>
          <w:ilvl w:val="0"/>
          <w:numId w:val="2"/>
        </w:num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完成该单项工程总工程量的30%时，乙方可以申请支付第一笔进度款</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该单项工程监理总金额的30%</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，甲方在扣除违约金及其他应扣费用（如有）后</w:t>
      </w: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个工作日内支付至乙方；完成该单项工程总工程量的50%时，乙方可以申请支付第二笔进度款</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该单项工程监理总金额的20%</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，甲方在扣除违约金及其他应扣费用（如有）后</w:t>
      </w: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个工作日内支付至乙方；当该单项工程完成通水运行</w:t>
      </w:r>
      <w:r>
        <w:rPr>
          <w:rFonts w:hint="eastAsia" w:asciiTheme="majorEastAsia" w:hAnsiTheme="majorEastAsia" w:eastAsiaTheme="majorEastAsia" w:cstheme="majorEastAsia"/>
          <w:szCs w:val="21"/>
          <w:lang w:eastAsia="zh-CN"/>
        </w:rPr>
        <w:t>后</w:t>
      </w:r>
      <w:r>
        <w:rPr>
          <w:rFonts w:hint="eastAsia" w:asciiTheme="majorEastAsia" w:hAnsiTheme="majorEastAsia" w:eastAsiaTheme="majorEastAsia" w:cstheme="majorEastAsia"/>
          <w:szCs w:val="21"/>
        </w:rPr>
        <w:t>，甲方支付至该单项工程监理费总金额的80%，在扣除违约金及其他应扣费用（如有）后</w:t>
      </w: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个工作日内支付至乙方。</w:t>
      </w:r>
    </w:p>
    <w:p>
      <w:pPr>
        <w:numPr>
          <w:ilvl w:val="0"/>
          <w:numId w:val="0"/>
        </w:numPr>
        <w:tabs>
          <w:tab w:val="left" w:pos="824"/>
        </w:tabs>
        <w:spacing w:line="465" w:lineRule="exact"/>
        <w:ind w:firstLine="210" w:firstLineChars="1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注：</w:t>
      </w:r>
      <w:r>
        <w:rPr>
          <w:rFonts w:hint="eastAsia" w:asciiTheme="majorEastAsia" w:hAnsiTheme="majorEastAsia" w:eastAsiaTheme="majorEastAsia" w:cstheme="majorEastAsia"/>
          <w:szCs w:val="21"/>
          <w:lang w:eastAsia="zh-CN"/>
        </w:rPr>
        <w:t>发包人可采用以下方式支付：</w:t>
      </w:r>
    </w:p>
    <w:p>
      <w:pPr>
        <w:numPr>
          <w:ilvl w:val="0"/>
          <w:numId w:val="0"/>
        </w:num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①</w:t>
      </w:r>
      <w:r>
        <w:rPr>
          <w:rFonts w:hint="eastAsia" w:asciiTheme="majorEastAsia" w:hAnsiTheme="majorEastAsia" w:eastAsiaTheme="majorEastAsia" w:cstheme="majorEastAsia"/>
          <w:szCs w:val="21"/>
        </w:rPr>
        <w:t>发包人可采用银行转账、银行承兑汇票 、电子债权凭证、国内保理或国内信用证等形式向承包人支付</w:t>
      </w:r>
      <w:r>
        <w:rPr>
          <w:rFonts w:hint="eastAsia" w:asciiTheme="majorEastAsia" w:hAnsiTheme="majorEastAsia" w:eastAsiaTheme="majorEastAsia" w:cstheme="majorEastAsia"/>
          <w:szCs w:val="21"/>
          <w:lang w:val="en-US" w:eastAsia="zh-CN"/>
        </w:rPr>
        <w:t>结算</w:t>
      </w:r>
      <w:r>
        <w:rPr>
          <w:rFonts w:hint="eastAsia" w:asciiTheme="majorEastAsia" w:hAnsiTheme="majorEastAsia" w:eastAsiaTheme="majorEastAsia" w:cstheme="majorEastAsia"/>
          <w:szCs w:val="21"/>
        </w:rPr>
        <w:t>款，承包人不得拒绝；</w:t>
      </w:r>
    </w:p>
    <w:p>
      <w:pPr>
        <w:numPr>
          <w:ilvl w:val="0"/>
          <w:numId w:val="0"/>
        </w:num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②</w:t>
      </w:r>
      <w:r>
        <w:rPr>
          <w:rFonts w:hint="eastAsia" w:asciiTheme="majorEastAsia" w:hAnsiTheme="majorEastAsia" w:eastAsiaTheme="majorEastAsia" w:cstheme="majorEastAsia"/>
          <w:szCs w:val="21"/>
        </w:rPr>
        <w:t>发包人采用银行承兑汇票 、电子债权凭证、国内保理或国内信用证等方式支付的，承包人将银行承兑汇票贴现及电子债权凭证、国内保理或国内信用证等产生的利息及手续费由承包人自行承担；</w:t>
      </w:r>
    </w:p>
    <w:p>
      <w:pPr>
        <w:numPr>
          <w:ilvl w:val="0"/>
          <w:numId w:val="2"/>
        </w:num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当单项工程完成竣工验收及</w:t>
      </w:r>
      <w:bookmarkStart w:id="73" w:name="_GoBack"/>
      <w:bookmarkEnd w:id="73"/>
      <w:r>
        <w:rPr>
          <w:rFonts w:hint="eastAsia" w:asciiTheme="majorEastAsia" w:hAnsiTheme="majorEastAsia" w:eastAsiaTheme="majorEastAsia" w:cstheme="majorEastAsia"/>
          <w:szCs w:val="21"/>
        </w:rPr>
        <w:t>档案移交合格</w:t>
      </w:r>
      <w:r>
        <w:rPr>
          <w:rFonts w:hint="eastAsia" w:asciiTheme="majorEastAsia" w:hAnsiTheme="majorEastAsia" w:eastAsiaTheme="majorEastAsia" w:cstheme="majorEastAsia"/>
          <w:szCs w:val="21"/>
          <w:lang w:eastAsia="zh-CN"/>
        </w:rPr>
        <w:t>后，监理单位提交请款资料，经甲方审定合格</w:t>
      </w:r>
      <w:r>
        <w:rPr>
          <w:rFonts w:hint="eastAsia" w:asciiTheme="majorEastAsia" w:hAnsiTheme="majorEastAsia" w:eastAsiaTheme="majorEastAsia" w:cstheme="majorEastAsia"/>
          <w:szCs w:val="21"/>
          <w:lang w:val="en-US" w:eastAsia="zh-CN"/>
        </w:rPr>
        <w:t>后</w:t>
      </w:r>
      <w:r>
        <w:rPr>
          <w:rFonts w:hint="eastAsia" w:asciiTheme="majorEastAsia" w:hAnsiTheme="majorEastAsia" w:eastAsiaTheme="majorEastAsia" w:cstheme="majorEastAsia"/>
          <w:szCs w:val="21"/>
        </w:rPr>
        <w:t>20个工作日内，甲方一次性支付至该单项工程监理费金额的97％。</w:t>
      </w:r>
    </w:p>
    <w:p>
      <w:pPr>
        <w:numPr>
          <w:ilvl w:val="0"/>
          <w:numId w:val="2"/>
        </w:num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单项工程质保期满2年且乙方已完成该期间的责任后，甲方在该单项工程扣除违约金及其他费用（如有）后20个工作日内付清该单项工程监理费的尾款。</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5</w:t>
      </w:r>
      <w:r>
        <w:rPr>
          <w:rFonts w:hint="eastAsia" w:asciiTheme="majorEastAsia" w:hAnsiTheme="majorEastAsia" w:eastAsiaTheme="majorEastAsia" w:cstheme="majorEastAsia"/>
          <w:szCs w:val="21"/>
        </w:rPr>
        <w:t>）乙方在每次申请付款前，应按甲方同意的格式分单项工程填写付款申请表，付款申请表应包括以下内容：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①根据合同规定，乙方有权得到的监理费、计算金额；</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②扣除按合同规定应由乙方付给甲方的金额。</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6</w:t>
      </w:r>
      <w:r>
        <w:rPr>
          <w:rFonts w:hint="eastAsia" w:asciiTheme="majorEastAsia" w:hAnsiTheme="majorEastAsia" w:eastAsiaTheme="majorEastAsia" w:cstheme="majorEastAsia"/>
          <w:szCs w:val="21"/>
        </w:rPr>
        <w:t>）上述所有合同价款支付前乙方应提前15个工作日向甲方开具当地税务认可并经甲方财务审核认可的增值税专用发票，否则甲方支付期限相应顺延。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（7）如果乙方须支付违约金或赔偿费，甲方有权从上述支付费用或履约保证金中扣除。</w:t>
      </w:r>
    </w:p>
    <w:p>
      <w:pPr>
        <w:tabs>
          <w:tab w:val="left" w:pos="824"/>
        </w:tabs>
        <w:spacing w:line="465" w:lineRule="exact"/>
        <w:ind w:firstLine="422" w:firstLineChars="200"/>
        <w:rPr>
          <w:rFonts w:hint="eastAsia" w:asciiTheme="majorEastAsia" w:hAnsiTheme="majorEastAsia" w:eastAsiaTheme="majorEastAsia" w:cstheme="majorEastAsia"/>
          <w:b/>
          <w:szCs w:val="21"/>
        </w:rPr>
      </w:pP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第五条 监理服务目标</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1、质量控制目标： 按照《建设工程监理规范》(GB 50319-2000)等规范的要求，对</w:t>
      </w:r>
      <w:r>
        <w:rPr>
          <w:rFonts w:hint="eastAsia" w:asciiTheme="majorEastAsia" w:hAnsiTheme="majorEastAsia" w:eastAsiaTheme="majorEastAsia" w:cstheme="majorEastAsia"/>
          <w:szCs w:val="21"/>
          <w:u w:val="single"/>
        </w:rPr>
        <w:t>市南路快速化改造项目供水管迁改等5个</w:t>
      </w:r>
      <w:r>
        <w:rPr>
          <w:rFonts w:hint="eastAsia" w:asciiTheme="majorEastAsia" w:hAnsiTheme="majorEastAsia" w:eastAsiaTheme="majorEastAsia" w:cstheme="majorEastAsia"/>
          <w:szCs w:val="21"/>
          <w:u w:val="single"/>
          <w:lang w:val="en-US" w:eastAsia="zh-CN"/>
        </w:rPr>
        <w:t>工程</w:t>
      </w:r>
      <w:r>
        <w:rPr>
          <w:rFonts w:hint="eastAsia" w:asciiTheme="majorEastAsia" w:hAnsiTheme="majorEastAsia" w:eastAsiaTheme="majorEastAsia" w:cstheme="majorEastAsia"/>
          <w:szCs w:val="21"/>
        </w:rPr>
        <w:t>的施工、</w:t>
      </w:r>
      <w:r>
        <w:rPr>
          <w:rFonts w:hint="eastAsia" w:asciiTheme="majorEastAsia" w:hAnsiTheme="majorEastAsia" w:eastAsiaTheme="majorEastAsia" w:cstheme="majorEastAsia"/>
          <w:szCs w:val="21"/>
          <w:lang w:val="en-US" w:eastAsia="zh-CN"/>
        </w:rPr>
        <w:t>造价</w:t>
      </w:r>
      <w:r>
        <w:rPr>
          <w:rFonts w:hint="eastAsia" w:asciiTheme="majorEastAsia" w:hAnsiTheme="majorEastAsia" w:eastAsiaTheme="majorEastAsia" w:cstheme="majorEastAsia"/>
          <w:szCs w:val="21"/>
        </w:rPr>
        <w:t>等的全过程实施监理，对施工单位的工作规范化程度、工作水平及安全管理实施监督指导，及时、有效的对施工单位材料、设备、工序报验等关键性环节进行审查，确保验收时各分部分项和整体工程质量不低于《给水排水管道工程施工及验收规范》GB 50268-2008、《球墨铸铁给排水管道工程施工及验收规范技术要求》ZXB／T0202-2013等技术规范要求的质量标准(详细规范见技术要求)。要求分项工程、分部工程、单位工程合格率100%，分部分项工程验收及时率达到100%，外观质量良好。</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2、进度控制目标：达到施工承包合同总工期要求。</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3、安全控制目标：安全责任事故率为零。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4、投资控制目标： 按施工承包合同总价进行投资控制。</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第六条 履约保证金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本项目履约保证金为合同总价的</w:t>
      </w:r>
      <w:r>
        <w:rPr>
          <w:rFonts w:hint="eastAsia" w:asciiTheme="majorEastAsia" w:hAnsiTheme="majorEastAsia" w:eastAsiaTheme="majorEastAsia" w:cstheme="majorEastAsia"/>
          <w:szCs w:val="21"/>
          <w:u w:val="single"/>
        </w:rPr>
        <w:t xml:space="preserve"> 5 </w:t>
      </w:r>
      <w:r>
        <w:rPr>
          <w:rFonts w:hint="eastAsia" w:asciiTheme="majorEastAsia" w:hAnsiTheme="majorEastAsia" w:eastAsiaTheme="majorEastAsia" w:cstheme="majorEastAsia"/>
          <w:szCs w:val="21"/>
        </w:rPr>
        <w:t>%，即￥</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元（大写：人民币</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元）。乙方应在本合同签订前将履约保证金支付至甲方指定账户,合同签订后5个工作日内仍未足额支付履约保证金的，甲方有权单方解除合同，并没收乙方已付履约保证金（或投标保证金）。如乙方违反合同项下义务，甲方有权从履约保证金中扣减相应金额，乙方并应在甲方扣减3日内补足履约保证金。</w:t>
      </w:r>
    </w:p>
    <w:p>
      <w:pPr>
        <w:tabs>
          <w:tab w:val="left" w:pos="824"/>
        </w:tabs>
        <w:spacing w:line="465" w:lineRule="exact"/>
        <w:ind w:firstLine="420"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szCs w:val="21"/>
        </w:rPr>
        <w:t>在支付保修阶段的监理费用时，甲方同时无息退还已扣除违约金、赔偿金等费用后剩余的履约保证金（如有）。</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第七条 通知和联系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甲方常驻代表：（或经甲方批准的其他代表，具体以甲方书面通知为准），涉及改变施工合同内容或设计变更、工程价款变更、确认、签证或签认增加工程、监理工作量、工期变更、质量要求改变等内容的，须经甲方常驻代表签署及甲方盖章方有效。</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2、通讯地址</w:t>
      </w:r>
    </w:p>
    <w:p>
      <w:pPr>
        <w:tabs>
          <w:tab w:val="left" w:pos="824"/>
        </w:tabs>
        <w:spacing w:line="465" w:lineRule="exact"/>
        <w:ind w:firstLine="420" w:firstLineChars="200"/>
        <w:rPr>
          <w:rFonts w:hint="eastAsia"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甲方通讯地址：</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邮编：  收件人：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乙方通讯地址：</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邮编：  收件人：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本合同中无论何处所涉及各方之间的变更、确认、同意、决定、核实、通知、任命、指令或表示同意、否定等的通讯（含派人面交、邮寄、电子传输等），均应采用书面形式。对重要文件，发件方可要求收件方提供收件确认。</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中无论何处所涉及各方之间的通讯都不应无理扣押或拖延。甲乙双方约定各方通讯地址和收件人，并按约定发送通讯。一方拒绝签收另一方通讯，另一方以特快专递、挂号信等方式将通讯送达至通讯地址的，视为送达。</w:t>
      </w:r>
    </w:p>
    <w:p>
      <w:pPr>
        <w:tabs>
          <w:tab w:val="left" w:pos="824"/>
        </w:tabs>
        <w:spacing w:line="465" w:lineRule="exact"/>
        <w:ind w:firstLine="420"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szCs w:val="21"/>
        </w:rPr>
        <w:t>4、甲方对工程项目实施的意见和决策，原则上应通过乙方下达实施；施工单位原则上应从乙方取得工程建设的通知、指令、变更等各种工程实施命令。但若由于某种原因甲方不能通过乙方下达实施其对工程建设的意见和决策的，甲方有权直接向施工单位下达，乙方应履行补签手续。</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第八条 合同组成文件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合同组成文件涉及本项目的中标通知书、投标文件、招标文件及本项目招标过程中双方签署或认可的其他文件（如有），各部分互为补充、解释。如本合同文件各组成部分出现矛盾的，除本合同另有明文规定外，按以下排列在前者为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1、本合同；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2、中标通知书；</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3、招标文件（含答疑、澄清文件）；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4、投标文件（以符合招标文件和经甲方书面同意者为准，但若经甲方确认投标文件承诺中乙方的义务、责任比招标文件的规定更严、更大、对甲方更有利者，以该等对甲方有利的承诺为准)。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同一顺序的多份文件出现不一致的，以形成时间在后的文件为准。</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第九条 监理工作依据</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包括但不限于以下内容：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1、国家和工程所在地现行的有关工程建设及建设监理的法律、法规、规章、规范、标准。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2、政府或甲方或甲方上级机构批准的建设计划、规划要点、设计要点及有关文件。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3、本合同及甲方与第三方签订的与实施工程有关的其他合同。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4、正式的设计文件、图纸及说明。</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5、甲方的工程管理规定等。</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第十条 施工阶段监理的内容</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（一）设计方面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1、在现场协助解决施工期间出现的设计问题，并提出意见与优化建议。</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2、施工中发现设计方面的重大问题，及时向甲方报告。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3、协助甲方会同设计人对重大技术问题和优化设计进行专题论证。</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4、审核施工单位对设计文件的意见和建议，会同设计人进行研究。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5、审核按工程施工合同文件规定应由施工单位提交的设计文件（包括临建工程设计和重大技术措施）。</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（二）设备、物资采购方面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1、参与管理采购合同，并对物资采购计划进度进行监督与控制。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2、参与设备出厂验收。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3、组织对进场工程设备、材料进行质量检验与到货验收。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4、检查施工单位为设备提供运输所需通道和卸货作业场地及设备仓库或符合要求的材料堆放场地的落实情况。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5、组织施工单位拟定准确的材料设备进场计划，及时进行材料设备的采购及供货。</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6、组织施工单位认真清点到货材料设备，在安装材料设备过程中及安装后应进行监督、检验，把好质量关。</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7、对施工单位所定材料设备规格、型号、数量、质量必须严格把关，发现货不对板情况应及时向甲方汇报。</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8、其他与设备、物资采购相关的业务。</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（三）工程质量控制方面</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熟悉施工图，参加设计交底会议，提出相关建议或意见。</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审查和批准施工组织设计，核实并签发施工必须遵循的设计要求、采用的技术标准、技术规程规范等质量文件。</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审批工程项目单位工程、分部分项工程和检验批的划分，并依据监理规划分析、调整和确定质量控制重点、质量控制工作流程和监理措施，制定质量控制的各项实施细则、规定及其它管理制度。</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检查督促施工单位建立健全适合于本工程的质量管理体系，并能切实发挥作用，督促施工单位进行全面质量管理工作。</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协助甲方移交与项目施工有关的测量控制网点；审查施工单位提交的测量实施报告，并依据监理规范要求检查和复核有关测量成果。</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审查施工单位自建的试验室或委托试验的试验室；审查批准施工单位按合同规定进行的材料、工艺试验及确定各项施工参数的试验。</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w:t>
      </w:r>
      <w:r>
        <w:rPr>
          <w:rFonts w:hint="eastAsia" w:asciiTheme="majorEastAsia" w:hAnsiTheme="majorEastAsia" w:eastAsiaTheme="majorEastAsia" w:cstheme="majorEastAsia"/>
          <w:szCs w:val="21"/>
        </w:rPr>
        <w:t>、审查施工单位报送的工程材料、构配件、设备质量证明文件的有效性和符合性，并按规定对用于工程的材料采取平行检验或见证取样方式进行抽检</w:t>
      </w:r>
      <w:r>
        <w:rPr>
          <w:rFonts w:hint="eastAsia" w:asciiTheme="majorEastAsia" w:hAnsiTheme="majorEastAsia" w:eastAsiaTheme="majorEastAsia" w:cstheme="majorEastAsia"/>
          <w:kern w:val="0"/>
          <w:szCs w:val="21"/>
        </w:rPr>
        <w:t>。</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8</w:t>
      </w:r>
      <w:r>
        <w:rPr>
          <w:rFonts w:hint="eastAsia" w:asciiTheme="majorEastAsia" w:hAnsiTheme="majorEastAsia" w:eastAsiaTheme="majorEastAsia" w:cstheme="majorEastAsia"/>
          <w:szCs w:val="21"/>
        </w:rPr>
        <w:t>、审查施工单位提交的采用新材料、新工艺、新技术、新设备的论证材料及相关验收标准。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9、审核施工单位实施本工程的施工方案及主要施工方法或工艺。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10、审核特殊技术处理措施及特殊施工工艺。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11、审查施工单位实施本工程的机械装备的性能与数量。</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对施工质量进行全过程的监督管理，在加强现场管理工作的前提下对重要部位、隐蔽工程和关键工序应采取旁站监理；对施工质量情况及时做好记录和统计工作，对发现质量问题的施工现场及时进行拍照或录相。</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组织或参与质量事故的调查，</w:t>
      </w:r>
      <w:r>
        <w:rPr>
          <w:rFonts w:hint="eastAsia" w:asciiTheme="majorEastAsia" w:hAnsiTheme="majorEastAsia" w:eastAsiaTheme="majorEastAsia" w:cstheme="majorEastAsia"/>
          <w:szCs w:val="21"/>
        </w:rPr>
        <w:t>审查施工单位提交的质量事故报告，</w:t>
      </w:r>
      <w:r>
        <w:rPr>
          <w:rFonts w:hint="eastAsia" w:asciiTheme="majorEastAsia" w:hAnsiTheme="majorEastAsia" w:eastAsiaTheme="majorEastAsia" w:cstheme="majorEastAsia"/>
          <w:kern w:val="0"/>
          <w:szCs w:val="21"/>
        </w:rPr>
        <w:t>并监督质量事故的处理</w:t>
      </w:r>
      <w:r>
        <w:rPr>
          <w:rFonts w:hint="eastAsia" w:asciiTheme="majorEastAsia" w:hAnsiTheme="majorEastAsia" w:eastAsiaTheme="majorEastAsia" w:cstheme="majorEastAsia"/>
          <w:szCs w:val="21"/>
        </w:rPr>
        <w:t>。</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组织并主持定期或不定期的质量检查会和分析会，分析、通报施工质量情况，协调有关单位间的施工活动以消除影响质量的各种外部干扰因素。</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15</w:t>
      </w:r>
      <w:r>
        <w:rPr>
          <w:rFonts w:hint="eastAsia" w:asciiTheme="majorEastAsia" w:hAnsiTheme="majorEastAsia" w:eastAsiaTheme="majorEastAsia" w:cstheme="majorEastAsia"/>
          <w:szCs w:val="21"/>
        </w:rPr>
        <w:t>、建立乙方的试验、检测工作体系，按照规定的频率独立开展监理的试验和检测工作。充分运用监理的质量检查签证的控制手段，对工程项目及时进行逐层次的逐项的(按单位工程、分部工程、分项工程等区分)施工质量认证和质量评定工作。及时组织进行隐蔽工程、重要部位、重要工序的质量检查验收和签证工作以及分部、分项工程的检查验收工作。</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16、协助甲方或有关部门组织进行的重要阶段验收、中间验收、单位工程验收、以及合同项目竣(交)工验收，乙方应做好验收前的各项具体准备工作。</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17</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参与甲方组织的竣工验收，</w:t>
      </w:r>
      <w:r>
        <w:rPr>
          <w:rFonts w:hint="eastAsia" w:asciiTheme="majorEastAsia" w:hAnsiTheme="majorEastAsia" w:eastAsiaTheme="majorEastAsia" w:cstheme="majorEastAsia"/>
          <w:szCs w:val="21"/>
        </w:rPr>
        <w:t>审查竣工资料，</w:t>
      </w:r>
      <w:r>
        <w:rPr>
          <w:rFonts w:hint="eastAsia" w:asciiTheme="majorEastAsia" w:hAnsiTheme="majorEastAsia" w:eastAsiaTheme="majorEastAsia" w:cstheme="majorEastAsia"/>
          <w:kern w:val="0"/>
          <w:szCs w:val="21"/>
        </w:rPr>
        <w:t>提交质量评估报告，</w:t>
      </w:r>
      <w:r>
        <w:rPr>
          <w:rFonts w:hint="eastAsia" w:asciiTheme="majorEastAsia" w:hAnsiTheme="majorEastAsia" w:eastAsiaTheme="majorEastAsia" w:cstheme="majorEastAsia"/>
          <w:szCs w:val="21"/>
        </w:rPr>
        <w:t>签署竣工验收意见</w:t>
      </w:r>
      <w:r>
        <w:rPr>
          <w:rFonts w:hint="eastAsia" w:asciiTheme="majorEastAsia" w:hAnsiTheme="majorEastAsia" w:eastAsiaTheme="majorEastAsia" w:cstheme="majorEastAsia"/>
          <w:kern w:val="0"/>
          <w:szCs w:val="21"/>
        </w:rPr>
        <w:t>。</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18、乙方必须建立自身的质量监控体系，配备质量控制监理工程师负责质量控制工作。</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19、工程质量进行经常性的分析，并定期提出工程质量报告和按规定格式编制工程质量统计报表(月)报甲方。</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（四）工程进度控制方面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1、编制监理工程项目的控制性进度计划及月度进度计划，确定各合同控制性进度目标。</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2、协助甲方落实开工条件，包括协助办理施工许可、临时道路、围墙、开设大门、水电通讯接入等施工手续，检查施工单位的开工准备工作。</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3、审核施工单位提交的施工实施进度计划、施工组织设计(施工合同规定由甲方批准的须经甲方批准)。</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4、逐日监督、检查、记录进度计划的实施，督促施工单位采取措施保证进度计划的实施。</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5、对实际进度与计划进度进行对比分析，检查进度偏差的程度和产生的原因，分析预测进度偏差对后续施工工序和项目的影响程度，并提出指导性的解决措施。</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6、当工程实际进度与计划进度相比发生较大偏差而有可能影响合同工期目标的实现时，乙方应提出进度计划的调整意见，并指导施工单位相应调整实施性进度计划(施工合同规定由甲方批准的须经甲方批准)。</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7、当因各种原因造成合同工期变动时，乙方应判断合同双方责任，经甲方事先书面同意，及时公正的重新核定合同工期，公正合理地处理好施工单位或甲方的工期索赔要求，报甲方批准。</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8、检查督促施工单位按施工规程规范施工、文明安全施工，防止因出现质量、安全事故及环保问题而影响工程施工进度。</w:t>
      </w:r>
    </w:p>
    <w:p>
      <w:pPr>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9、建立健全工程进度控制的组织机构，配备进度控制监理工程师负责进度控制工作。</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10、定期(月、周)向甲方报告工程项目施工进度控制情况，并编制月、周完成工程量以及工程施工进度统计报表。</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（五）工程投资控制方面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1、协助甲方编制投资控制目标和投资计划。</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2、参与审核施工图预算。</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3、审查施工单位提交的资金流计划。</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4、及时进行工程计量。</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5、审核施工单位的支付申请，经甲方批准后签发支付凭证。</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6、审核工程变更估价报告。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7、对合同费用支付与已完工程量、工程形象进行综合分析，编制每月合同费用支付分析报告。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8、编制每月工程财务支付报表。</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9、审查施工单位提交的竣工结算申请并报甲方。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10、建立健全工程投资控制的组织机构，配备造价工程师负责投资控制工作。</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（六）人员方面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1、审查施工单位现场项目管理机构人员的资格、资历。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2、检查施工单位项目经理、技术负责人等主要管理人员的日常出勤情况。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3、对施工单位现场管理人员的履职情况进行评价，要求更换不称职的施工管理人员。</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（七）工程合同管理方面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1、参与工程施工合同管理，制止工程转包及违法分包行为。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2、检查施工单位的保险及担保。</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3、受理索赔申请，进行索赔调查和谈判，并提出处理意见。</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4、</w:t>
      </w:r>
      <w:r>
        <w:rPr>
          <w:rFonts w:hint="eastAsia" w:asciiTheme="majorEastAsia" w:hAnsiTheme="majorEastAsia" w:eastAsiaTheme="majorEastAsia" w:cstheme="majorEastAsia"/>
          <w:szCs w:val="21"/>
        </w:rPr>
        <w:t>根据合同规定处理违约事件，协调争端，在诉讼或仲裁过程中作证，维护甲方合法权益。</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kern w:val="0"/>
          <w:szCs w:val="21"/>
        </w:rPr>
        <w:t>进行各类合同的跟踪管理并定期提供合同管理的各种报告。</w:t>
      </w:r>
    </w:p>
    <w:p>
      <w:pPr>
        <w:pStyle w:val="93"/>
        <w:ind w:firstLine="420"/>
        <w:rPr>
          <w:rFonts w:hint="eastAsia" w:asciiTheme="majorEastAsia" w:hAnsiTheme="majorEastAsia" w:eastAsiaTheme="majorEastAsia" w:cstheme="majorEastAsia"/>
          <w:snapToGrid/>
          <w:spacing w:val="0"/>
          <w:kern w:val="2"/>
          <w:sz w:val="21"/>
          <w:szCs w:val="21"/>
        </w:rPr>
      </w:pPr>
      <w:r>
        <w:rPr>
          <w:rFonts w:hint="eastAsia" w:asciiTheme="majorEastAsia" w:hAnsiTheme="majorEastAsia" w:eastAsiaTheme="majorEastAsia" w:cstheme="majorEastAsia"/>
          <w:snapToGrid/>
          <w:spacing w:val="0"/>
          <w:kern w:val="2"/>
          <w:sz w:val="21"/>
          <w:szCs w:val="21"/>
        </w:rPr>
        <w:t>6、严格执行合同的变更管理，包括协助变更谈判、变更的处理程序，落实变更的措施，修改变更相关的资料，检查变更措施的落实情况。</w:t>
      </w:r>
    </w:p>
    <w:p>
      <w:pPr>
        <w:pStyle w:val="93"/>
        <w:ind w:firstLine="420"/>
        <w:rPr>
          <w:rFonts w:hint="eastAsia" w:asciiTheme="majorEastAsia" w:hAnsiTheme="majorEastAsia" w:eastAsiaTheme="majorEastAsia" w:cstheme="majorEastAsia"/>
          <w:snapToGrid/>
          <w:spacing w:val="0"/>
          <w:kern w:val="2"/>
          <w:sz w:val="21"/>
          <w:szCs w:val="21"/>
        </w:rPr>
      </w:pPr>
      <w:r>
        <w:rPr>
          <w:rFonts w:hint="eastAsia" w:asciiTheme="majorEastAsia" w:hAnsiTheme="majorEastAsia" w:eastAsiaTheme="majorEastAsia" w:cstheme="majorEastAsia"/>
          <w:snapToGrid/>
          <w:spacing w:val="0"/>
          <w:kern w:val="2"/>
          <w:sz w:val="21"/>
          <w:szCs w:val="21"/>
        </w:rPr>
        <w:t>7、督促施工单位整理合同文件和技术档案资料。</w:t>
      </w:r>
    </w:p>
    <w:p>
      <w:pPr>
        <w:pStyle w:val="93"/>
        <w:tabs>
          <w:tab w:val="left" w:pos="824"/>
        </w:tabs>
        <w:ind w:firstLine="420"/>
        <w:rPr>
          <w:rFonts w:hint="eastAsia" w:asciiTheme="majorEastAsia" w:hAnsiTheme="majorEastAsia" w:eastAsiaTheme="majorEastAsia" w:cstheme="majorEastAsia"/>
          <w:snapToGrid/>
          <w:spacing w:val="0"/>
          <w:kern w:val="2"/>
          <w:sz w:val="21"/>
          <w:szCs w:val="21"/>
        </w:rPr>
      </w:pPr>
      <w:r>
        <w:rPr>
          <w:rFonts w:hint="eastAsia" w:asciiTheme="majorEastAsia" w:hAnsiTheme="majorEastAsia" w:eastAsiaTheme="majorEastAsia" w:cstheme="majorEastAsia"/>
          <w:snapToGrid/>
          <w:spacing w:val="0"/>
          <w:kern w:val="2"/>
          <w:sz w:val="21"/>
          <w:szCs w:val="21"/>
        </w:rPr>
        <w:t xml:space="preserve">8、建立危大工程安全管理档案。 </w:t>
      </w:r>
    </w:p>
    <w:p>
      <w:pPr>
        <w:tabs>
          <w:tab w:val="left" w:pos="824"/>
        </w:tabs>
        <w:spacing w:line="465" w:lineRule="exact"/>
        <w:ind w:firstLine="422" w:firstLineChars="200"/>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（八）安全文明施工方面</w:t>
      </w:r>
    </w:p>
    <w:p>
      <w:pPr>
        <w:widowControl/>
        <w:spacing w:line="360" w:lineRule="auto"/>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Cs/>
          <w:kern w:val="0"/>
          <w:szCs w:val="21"/>
        </w:rPr>
        <w:t>1、</w:t>
      </w:r>
      <w:r>
        <w:rPr>
          <w:rFonts w:hint="eastAsia" w:asciiTheme="majorEastAsia" w:hAnsiTheme="majorEastAsia" w:eastAsiaTheme="majorEastAsia" w:cstheme="majorEastAsia"/>
          <w:kern w:val="0"/>
          <w:szCs w:val="21"/>
        </w:rPr>
        <w:t>乙方应根据《建设工程安全生产管理条例》的规定，按照工程建设的强制性标准、《建设工程监理规范》（GB50319-2013）和相关行业监理规范的要求，编制包括安全监理内容的项目监理规划，明确安全监理的范围、内容、工作程序和制度措施，以及人员配备计划和职责等。</w:t>
      </w:r>
    </w:p>
    <w:p>
      <w:pPr>
        <w:widowControl/>
        <w:spacing w:line="360" w:lineRule="auto"/>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2、乙方应严格按照</w:t>
      </w:r>
      <w:r>
        <w:rPr>
          <w:rFonts w:hint="eastAsia" w:asciiTheme="majorEastAsia" w:hAnsiTheme="majorEastAsia" w:eastAsiaTheme="majorEastAsia" w:cstheme="majorEastAsia"/>
          <w:szCs w:val="21"/>
        </w:rPr>
        <w:t>建设部《关于落实建设工程安全生产监理责任的若干意见》（建市〔2006〕248号）全面履行工程安全监理责任。</w:t>
      </w:r>
    </w:p>
    <w:p>
      <w:pPr>
        <w:widowControl/>
        <w:spacing w:line="360" w:lineRule="auto"/>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对中型及以上项目和《建设工程安全生产管理条例》第二十六条规定的危险性较大的分部分项工程，乙方应当编制监理实施细则。实施细则应当明确安全监理的方法、措施和控制要点，以及对施工单位安全技术措施的检查方案。</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4、审查施工单位编制的施工组织设计中的安全技术措施和危险性较大的分部分项工程安全专项施工方案是否符合工程建设强制性标准要求。</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5、检查施工单位在工程项目上的安全生产规章制度和安全监管机构的建立、健全及专职安全生产管理人员配备情况，督促施工单位检查各分包商的安全生产规章制度的建立情况。</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6、审查施工单位的施工资质和安全生产许可证是否合法有效。</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7、审查施工单位的专职安全生产管理人员是否具备合法资格。</w:t>
      </w:r>
    </w:p>
    <w:p>
      <w:pPr>
        <w:widowControl/>
        <w:spacing w:line="360" w:lineRule="auto"/>
        <w:ind w:firstLine="36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8、审核施工单位特种作业人员的特种作业操作资格证书是否合法有效；</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9、审核施工单位应急救援预案和安全防护措施费用使用计划，监督施工单位严格按经确认的安全防护措施费用使用计划使用，确保安全防护、文明施工措施费专款专用，在财务管理中单独列出安全防护、文明施工措施项目费用清单备查。</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10、监督施工单位按照施工组织设计中的安全技术措施和安全专项施工方案组织施工，及时制止违规的施工作业。</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11、定期巡视检查施工过程中的危险性较大的工程作业情况。</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12、核查施工现场施工起重机械、整体提升脚手架、模板等自升式架设设施和安全设施的验收手续。</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 检查施工现场各种安全标志和安全防护设施是否符合强制性标准要求，并检查安全生产费用的使用情况。</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14、督促施工单位进行安全自查工作，并对施工单位自查情况进行抽查，参加甲方组织的安全生产专项检查。</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15、乙方应派专人对施工现场安全生产情况进行巡视检查，对发现的各类安全隐患，应书面通知施工单位，并督促其立即整改；情况严重的，乙方应及时下达工程暂停令，要求施工单位停工整改，并同时报告甲方。安全事故隐患消除后，乙方应检查整改结果，签署复查或复工意见。施工单位拒不整改或不停工整改的，乙方应当及时向工程所在地建设行政主管部门或工程项目的行业主管部门报告，以电话形式报告的，应当有通话记录。检查、整改、复查、报告等情况应当记载在监理日记、监理月报中。</w:t>
      </w:r>
    </w:p>
    <w:p>
      <w:pPr>
        <w:widowControl/>
        <w:spacing w:line="360" w:lineRule="auto"/>
        <w:ind w:firstLine="48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16、检查施工单位在工程项目上的安全生产规章制度和安全监管机构的建立、健全及专职安全生产管理人员配备情况，督促施工单位检查各分包商的安全生产规章制度的建立情况。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17、审查批准施工单位对工程施工中的重大安全问题制定的安全技术措施和防护措施。</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18、对施工生产及安全设施进行经常性的检查监督，对违反安全生产规定的施工及时指令整改。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19、按照甲方的统一部署检查施工单位的工程防汛措施并监督实施。</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20、检查施工单位在劳动保护及环境保护方面是否符合合同规定和国家标准。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21、定期组织安全生产检查和安全生产评比表彰活动。协助甲方做好各合同项目间的安全生产协调工作。</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22、参加对安全事故进行的调查分析、审查施工单位的安全事故报告及安全报表、监督施工单位对安全事故的处理。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23、定期(每月)向甲方报告安全生产情况，并按规定编制监理工程项目的安全统计报表。对安全事故的处理必须及时向甲方报告。</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24、</w:t>
      </w:r>
      <w:r>
        <w:rPr>
          <w:rFonts w:hint="eastAsia" w:asciiTheme="majorEastAsia" w:hAnsiTheme="majorEastAsia" w:eastAsiaTheme="majorEastAsia" w:cstheme="majorEastAsia"/>
          <w:kern w:val="0"/>
          <w:szCs w:val="21"/>
        </w:rPr>
        <w:t>督促施工单位履行其它施工安全、文明保障义务。</w:t>
      </w:r>
    </w:p>
    <w:p>
      <w:pPr>
        <w:tabs>
          <w:tab w:val="left" w:pos="824"/>
        </w:tabs>
        <w:spacing w:line="465" w:lineRule="exact"/>
        <w:ind w:firstLine="422" w:firstLineChars="200"/>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（九）信息管理方面</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1、进行各种工程信息的收集、整理、存档。</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2、定期提供各类工程项目管理报表。</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3、建立工程会议制度。</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4、督促各施工单位整理工程技术资料。</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5、建立信息管理制度，严格信息采集、编排、查阅、归档保存的管理办法，由专人实施。监理资料的管理必须满足以下要求：</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1）监理资料必须及时整理、真实完整、分类有序。</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2）监理资料的管理应由总监理工程师负责，并指定专人具体实施。</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3）监理资料应在各阶段监理工作结束后及时整理归档。</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4）监理档案的编制及保存应按有关规定执行。</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5）能随时向甲方进行提供或查阅。</w:t>
      </w:r>
    </w:p>
    <w:p>
      <w:pPr>
        <w:tabs>
          <w:tab w:val="left" w:pos="824"/>
        </w:tabs>
        <w:spacing w:line="465" w:lineRule="exact"/>
        <w:ind w:firstLine="422"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kern w:val="0"/>
          <w:szCs w:val="21"/>
        </w:rPr>
        <w:t>（十）</w:t>
      </w:r>
      <w:r>
        <w:rPr>
          <w:rFonts w:hint="eastAsia" w:asciiTheme="majorEastAsia" w:hAnsiTheme="majorEastAsia" w:eastAsiaTheme="majorEastAsia" w:cstheme="majorEastAsia"/>
          <w:kern w:val="0"/>
          <w:szCs w:val="21"/>
        </w:rPr>
        <w:t>工程项目沟通与协调</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1、建立项目沟通与协调管理系统，健全各项制度，并本着“严格守法、遵守公德”的原则，应用先进、实用的方法和手段，有效解决项目实施过程中的问题。</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制定项目沟通管理计划，按内容分主要有：施工进度、质量、安全、成本、资金、环保、设计变更、索赔、材料供应、设备使用、人力资源、文明工地建设等；按时间分主要有：项目管理实施规划、年度计划、半年计划、季度计划、月计划、旬计划、周计划等。</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3、项目沟通管理计划明确沟通的具体内容、对象、方式、目标、责任人、完成时间、奖罚措施等，并定期或不定期地进行检查、考核和评价，确保沟通计划落到实处。</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工程建设服务。</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定期组织召开甲方、设计、乙方、施工单位及其他相关单位和部门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pPr>
        <w:tabs>
          <w:tab w:val="left" w:pos="824"/>
        </w:tabs>
        <w:spacing w:line="465" w:lineRule="exact"/>
        <w:ind w:firstLine="422"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kern w:val="0"/>
          <w:szCs w:val="21"/>
        </w:rPr>
        <w:t>（十一）</w:t>
      </w:r>
      <w:r>
        <w:rPr>
          <w:rFonts w:hint="eastAsia" w:asciiTheme="majorEastAsia" w:hAnsiTheme="majorEastAsia" w:eastAsiaTheme="majorEastAsia" w:cstheme="majorEastAsia"/>
          <w:kern w:val="0"/>
          <w:szCs w:val="21"/>
        </w:rPr>
        <w:t xml:space="preserve"> 施工阶段的其他监理工作</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1、工地例会</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1）在施工过程中，总监理工程师应定期主持召开工地例会。工地例会应按委托人提供的例会细则执行。会议纪要应由项目监理机构负责起草，并经与会各方代表会签。</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2）工地例会应包括以下主要内容：</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① 检查上次例会议定事项的落实情况，分析未完事项原因；</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② 检查分析工程进度计划完成情况，提出下一阶段进度目标及其落实措施；</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③ 检查分析工程质量状况，针对存在的质量问题提出改进措施；</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④ 检查工程量核定及工程款支付情况；</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⑤ 检讨工作联系单的相关内容的执行情况，解决需要协调的有关事项；</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⑥ 本月职业健康安全及环境、文明施工等方面的综合情况，解决需要协调的有关事项。</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⑦ 其他有关事宜。</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3）总监理工程师或专业监理工程师应根据需要及时组织专题会议，解决施工过程中的各种专项问题。</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4）对于工地例会上提出的有关设计问题，乙方应积极把关控制，不应随意对相关问题做出定论。工地例会上的相关结论必须以设计变更的方式确定后方可实施。</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2、工程暂停及复工的相关工作</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1）总监理工程师在签发工程暂停令时，应根据暂停工程的影响范围和影响程度，按照施工合同和委托监理合同的约定签发。</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2）总监理工程师在签发工程暂停令时，应根据停工原因的影响范围和影响程度，确定工程停工范围。</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3）总监理工程师在签发工程暂停令之前，应就有关工期和费用等事宜征得甲方同意后与施工单位进行协商。</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4）由于甲方原因或其他非施工单位原因导致工程暂停时，项目监理机构应如实记录所发生的实际情况。总监理工程师应在施工暂停原因消失、具备复工条件时，及时签署工程复工报审表，指令承包人继续施工。</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由于承包人原因导致工程暂停，项目监理机构应如实记录所发生的实际情况。在具备恢复施工条件时，项目监理机构应审查承包人报送的复工申请及有关材料，同意后由总监理工程师签署工程复工报审表，指令承包人继续施工。</w:t>
      </w:r>
    </w:p>
    <w:p>
      <w:pPr>
        <w:tabs>
          <w:tab w:val="left" w:pos="824"/>
        </w:tabs>
        <w:spacing w:line="465" w:lineRule="exact"/>
        <w:ind w:firstLine="420" w:firstLineChars="200"/>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6）总监理工程师在签发工程暂停令到签发工程复工报审表之间的时间内，应会同有关各方按照施工合同的约定，处理因工程暂停引起的与工期、费用等有关的问题。</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第十一条 保修阶段监理的内容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1、监督施工单位认真执行质保期的工作计划，检查和验收剩余工程。</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2、对已交工工程中出现的问题、瑕疵、缺陷、病害调查其原因并确定相应责任。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3、经甲方事先书面同意，签发工程保修责任终止证书。</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4、经甲方事先书面同意，签发最终支付证书。</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5、审核质量缺陷修复方案，监督修复过程并进行验收；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6、整理保修阶段的各项资料。</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第十二条 其它监理内容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对于本合同虽未明确述及、但属于与完成本项目密切相关的事宜，甲方也有权将其委托给乙方办理，乙方不得拒绝，且有关费用已经含在合同约定的监理酬金中。</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第十三条 甲方权利和义务</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（一）甲方权利</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1、甲方有权依据本合同对乙方的监理工作进行监督、检查，有权对监理工作及其所作的文件进行检查、复核、确认。</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2、甲方有权依法选定工程设计单位、施工单位和供应商。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甲方有对工程规模、设计标准、规划设计、生产工艺设计和设计使用功能要求的认定权；甲方有对工程设计变更的审批权。对工程建设中质量、进度、工程量确认、工程变更、投资、工期方面、本项目所使用的工程材料、机械设备的最终决定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4、甲方有对工程款、监理费用的支付审批、结算的最终决定权。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5、乙方更换总监理工程师须事前经甲方书面同意，甲方并有权要求乙方更换不称职的监理人员，甲方书面函告乙方2日内更换，直至终止合同。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6、甲方有权按照本合同约定对监理工作进行考核并依据考核结果进行奖励和处罚。</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7、甲方有权要求乙方提交监理工作范围内的甲方指定的专题报告。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8、对不符合合同要求的事项，甲方有权限期要求乙方采取措施解决。</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9、甲方有权要求乙方提交监理工作月报及监理业务范围内的专项报告。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10、当甲方发现监理人员不按监理合同履行监理职责，或与施工单位串通给甲方或工程造成损失的，甲方有权要求乙方更换监理人员，直到终止合同并要求乙方承担相应的赔偿责任或连带赔偿责任。</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（二）甲方义务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1、甲方应负责作好工程建设外部环境的协调工作，为监理人员提供必要的工作环境和外部条件。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2、甲方应当在双方约定的时间内，免费向乙方提供与被监理工程有关的乙方需要的勘察设计、施工、设备材料采购等承包合同副本，设计文件（含设计图纸、变更、通知及技术要求等），其他有关资料。</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3、如条件许可，甲方可向现场监理人员提供办公场所的便利，但办公设备需乙方自备，因此而产生的所有费用需乙方自理。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4、甲方应将总监理工程师和主要管理人员名单以及赋予乙方的权限等内容，在工程开工前书面通知工程施工单位。</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5、甲方应当维护乙方的独立性，不无故干涉乙方监理业务的开展。</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6、按本合同约定支付监理费用。</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7、本合同约定的甲方其他义务。 </w:t>
      </w:r>
    </w:p>
    <w:p>
      <w:pPr>
        <w:tabs>
          <w:tab w:val="left" w:pos="824"/>
        </w:tabs>
        <w:spacing w:line="465" w:lineRule="exact"/>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    第十四条　乙方权利和义务</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b/>
          <w:i/>
          <w:iCs/>
          <w:szCs w:val="21"/>
        </w:rPr>
        <w:t>一</w:t>
      </w:r>
      <w:r>
        <w:rPr>
          <w:rFonts w:hint="eastAsia" w:asciiTheme="majorEastAsia" w:hAnsiTheme="majorEastAsia" w:eastAsiaTheme="majorEastAsia" w:cstheme="majorEastAsia"/>
          <w:b/>
          <w:szCs w:val="21"/>
        </w:rPr>
        <w:t>）乙方权利</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1、设计变更的现场审核权。该等变更乙方只有审核权，批准权属甲方。任何设计变更均须得到甲方的批准方为有效。</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2、按照安全和优化的原则，对工程施工中的重大技术问题通过甲方向设计人提出建议意见。</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3、协调工程建设有关各方关系，主持工程施工协调会。</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4、按工程施工合同规定或甲方要求发布开工令、停工令、返工令和复工令，发布停工令、复工令，应事先征得甲方同意。</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5、对全部工程的所有部位及其任何一项工艺、材料、构件和工程设备享有检查、检验权。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6、安全生产和文明施工的监督权。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7、对工程施工进度的检查、监督权以及工程施工合同工期的签认权，但延长工期须甲方事先书面同意。</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8、对施工单位设计和施工的临时工程的审查和监督权。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工程款支付的审核权，工程结算的复核权。未经乙方签字确认或出具意见，甲方有权不支付任何工程款项。但乙方应在甲方要求的期限内完成审核或复核。乙方对工程款支付的审核、复核和签认仅作为甲方最终审核确认的基础，最终数据以甲方确认为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10、有权要求施工单位撤换不称职的现场施工管理人员，并书面报告甲方。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11、有权要求施工单位增加或更换施工设备，由此增加的费用和工期延误责任由施工单位自己承担。</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12、检查、检验并签认工程的施工质量及其材料、构配件和工程设备的质量，对该等签认甲方有复核和最终确认权。核查施工单位现场工作人员数量及相应上岗资格。</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13、对施工单位违约及甲方被索赔事件进行调查并向甲方提出处置的建议意见。</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14、责令施工单位改正不文明施工行为，维护良好的工程施工环境。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15、根据本合同约定要求甲方支付监理费用。</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16、本合同约定的其他权利。</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（二）乙方义务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1、乙方须保证其为依法成立具有法人资格的监理单位，承担的工程监理业务与其资质相符合；乙方应按合同约定派出监理工作需要的监理机构及监理人员，完成合同中约定的监理工程范围内的监理业务。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2、乙方应遵守甲方工程管理的有关规定和制度，及时执行甲方的指令，对于甲方或施工单位书面提交并要求作出决定的事宜，乙方应在</w:t>
      </w:r>
      <w:r>
        <w:rPr>
          <w:rFonts w:hint="eastAsia" w:asciiTheme="majorEastAsia" w:hAnsiTheme="majorEastAsia" w:eastAsiaTheme="majorEastAsia" w:cstheme="majorEastAsia"/>
          <w:szCs w:val="21"/>
          <w:u w:val="single"/>
        </w:rPr>
        <w:t>3</w:t>
      </w:r>
      <w:r>
        <w:rPr>
          <w:rFonts w:hint="eastAsia" w:asciiTheme="majorEastAsia" w:hAnsiTheme="majorEastAsia" w:eastAsiaTheme="majorEastAsia" w:cstheme="majorEastAsia"/>
          <w:szCs w:val="21"/>
        </w:rPr>
        <w:t>日内（如施工合同另有更短时间规定，从其规定）作出书面答复；对影响施工现场进度的事项应在</w:t>
      </w:r>
      <w:r>
        <w:rPr>
          <w:rFonts w:hint="eastAsia" w:asciiTheme="majorEastAsia" w:hAnsiTheme="majorEastAsia" w:eastAsiaTheme="majorEastAsia" w:cstheme="majorEastAsia"/>
          <w:szCs w:val="21"/>
          <w:u w:val="single"/>
        </w:rPr>
        <w:t>24</w:t>
      </w:r>
      <w:r>
        <w:rPr>
          <w:rFonts w:hint="eastAsia" w:asciiTheme="majorEastAsia" w:hAnsiTheme="majorEastAsia" w:eastAsiaTheme="majorEastAsia" w:cstheme="majorEastAsia"/>
          <w:szCs w:val="21"/>
        </w:rPr>
        <w:t>小时内作出具有明确处理意见的书面答复。本合同或施工合同规定答复施工单位应经甲方决定或同意的，应先经甲方同意后方可答复施工单位。</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3、协助甲方审核、签订工程施工合同和材料设备供货合同。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4、乙方应在施工单位提交工程款申请后</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天内（如施工合同另有更短时间规定，从其规定）完成工程量的计量和工程款审核并交甲方。未经乙方计量审核的，甲方有权不予支付工程款。如因此导致施工单位向甲方索赔（包括提出诉讼或仲裁）并使甲方最终承担经济责任的，甲方可向乙方追偿。</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5、乙方应在施工单位提供现场签证的有关价款申请后</w:t>
      </w:r>
      <w:r>
        <w:rPr>
          <w:rFonts w:hint="eastAsia" w:asciiTheme="majorEastAsia" w:hAnsiTheme="majorEastAsia" w:eastAsiaTheme="majorEastAsia" w:cstheme="majorEastAsia"/>
          <w:szCs w:val="21"/>
          <w:u w:val="single"/>
        </w:rPr>
        <w:t>2</w:t>
      </w:r>
      <w:r>
        <w:rPr>
          <w:rFonts w:hint="eastAsia" w:asciiTheme="majorEastAsia" w:hAnsiTheme="majorEastAsia" w:eastAsiaTheme="majorEastAsia" w:cstheme="majorEastAsia"/>
          <w:szCs w:val="21"/>
        </w:rPr>
        <w:t>天内完成审核并报给甲方，在施工单位提交工程变更或设计变更的有关价款申请后</w:t>
      </w:r>
      <w:r>
        <w:rPr>
          <w:rFonts w:hint="eastAsia" w:asciiTheme="majorEastAsia" w:hAnsiTheme="majorEastAsia" w:eastAsiaTheme="majorEastAsia" w:cstheme="majorEastAsia"/>
          <w:szCs w:val="21"/>
          <w:u w:val="single"/>
        </w:rPr>
        <w:t>3</w:t>
      </w:r>
      <w:r>
        <w:rPr>
          <w:rFonts w:hint="eastAsia" w:asciiTheme="majorEastAsia" w:hAnsiTheme="majorEastAsia" w:eastAsiaTheme="majorEastAsia" w:cstheme="majorEastAsia"/>
          <w:szCs w:val="21"/>
        </w:rPr>
        <w:t>天内审核并报给甲方，最终数据以甲方确认为准。如施工合同另有更短时间规定，从其规定。</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6、在监理过程中如发现工程施工单位或其他承揽单位未严格履行合同或相关人员工作不力，乙方应向施工单位和相关单位提出整改意见或向甲方提出更换人员的建议，并立即将有关情况如实向甲方书面报告。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对于不符合设计要求和合同约定及国家质量标准的材料、构配件、设备，必须通知施工单位停止使用；对于不符合规范和质量标准的工序、分部分项工程和不安全施工作业，必须通知施工单位停工整改、返工。</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8、当工程出现质量、安全事故时，乙方应组织质量、安全协调会，结合现场调查的结果，向甲方和相关单位提出调查报告和处理建议。</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9、当甲方和施工单位发生争议时，乙方应根据甲方的要求，如实提供有关证据，维护甲方的合法权益。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10、未经甲方书面同意，乙方不得将本项目的全部或部分工作交由他人完成。</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乙方为履行本合同而使用的任何含有知识产权的物品、程序或资料，所有使用相关知识产权的费用视为包括在本合同约定的监理酬金内，若乙方侵犯或涉嫌侵犯任何物品、程序或资料的知识产权，而使甲方蒙受损失的，乙方须予以赔偿。</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12、未经甲方书面同意并办理相应的移交手续，乙方不得撤离施工现场。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13、乙方使用甲方提供的办公场地、设备、设施和物品，除有特殊规定外，属于甲方的财产，在监理业务完成或本合同终止后</w:t>
      </w:r>
      <w:r>
        <w:rPr>
          <w:rFonts w:hint="eastAsia" w:asciiTheme="majorEastAsia" w:hAnsiTheme="majorEastAsia" w:eastAsiaTheme="majorEastAsia" w:cstheme="majorEastAsia"/>
          <w:szCs w:val="21"/>
          <w:u w:val="single"/>
        </w:rPr>
        <w:t>7</w:t>
      </w:r>
      <w:r>
        <w:rPr>
          <w:rFonts w:hint="eastAsia" w:asciiTheme="majorEastAsia" w:hAnsiTheme="majorEastAsia" w:eastAsiaTheme="majorEastAsia" w:cstheme="majorEastAsia"/>
          <w:szCs w:val="21"/>
        </w:rPr>
        <w:t>天内将这些场地、设备、设施和物品全部移交给甲方。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14、甲方向乙方提供的全部资料和乙方为本项目所完成的全部工作成果所有权属于甲方，未征得甲方同意，乙方不可留存复制品，也不可将这些资料、成果泄露或提供给第三人。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15、未经甲方事先书面同意，乙方不得免除或减轻各施工合同规定的施工单位的任何义务和责任。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乙方必须采用有效的手段，作好工程实施阶段各种信息的收集、整理和归档，并保证现场记录、图纸、试验、检验以及质量检查、报告等资料的完整性和准确性。工程竣工后，应当按照档案管理规定将监理有关文件归档。</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17、乙方应认真作好《监理日记》，保持其及时性、完整性和连续性；应向甲方提交监理工作月度报告及监理业务范围内的专题报告。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乙方应在本工程建设中采用先进的现代化管理手段，运用电子化和信息化的手段进行项目管理。乙方在本工程建设中，须配合甲方应用工程项目管理系统（以下简称PMIS）进行项目管理。乙方应派人参加PMIS的相关应用培训，配备必要的办公设备，并设专人按工程及系统要求及时、准确地进行相关资料的上传、信息的填报和部分流程的审批。除经甲方同意外，工程建设相关方及乙方的合同计量、合同变更、付款及结算申报等均应在PMIS中经电子流程审批确认，否则不予计量及付款。</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乙方在现场实施监理时必须按照国家和地方有关安全和劳动保护的法律、法规作业，本合同实施过程中发生的人身伤亡、罚款、索赔、损失赔偿、诉讼费用及其他一切责任由乙方承担。乙方应保障并持续保障甲方免于承担与此有关的所有索赔、诉讼、费用及任何开支。</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20、乙方应严格履行本项目其他合同中规定的有关监理的义务。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21、乙方应严格履行本合同及法律、法规、规章、规范、标准等规定的其他义务。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22、乙方应该定期组织现场监理例会并根据工程需要主持或参加主题会议。乙方需要做好会议记录并在会议后2日内向甲方提交会议纪要，经委托人审核后发放相关参会单位。</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23、乙方承诺在保证工程质量合格的基础上，争创省市级工程优质奖。</w:t>
      </w:r>
    </w:p>
    <w:p>
      <w:pPr>
        <w:tabs>
          <w:tab w:val="left" w:pos="824"/>
        </w:tabs>
        <w:spacing w:line="465" w:lineRule="exact"/>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    第十五条 现场监理机构、人员，监理规划，监理实施细则</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1、乙方应在本合同生效后的</w:t>
      </w:r>
      <w:r>
        <w:rPr>
          <w:rFonts w:hint="eastAsia" w:asciiTheme="majorEastAsia" w:hAnsiTheme="majorEastAsia" w:eastAsiaTheme="majorEastAsia" w:cstheme="majorEastAsia"/>
          <w:szCs w:val="21"/>
          <w:u w:val="single"/>
        </w:rPr>
        <w:t>15</w:t>
      </w:r>
      <w:r>
        <w:rPr>
          <w:rFonts w:hint="eastAsia" w:asciiTheme="majorEastAsia" w:hAnsiTheme="majorEastAsia" w:eastAsiaTheme="majorEastAsia" w:cstheme="majorEastAsia"/>
          <w:szCs w:val="21"/>
        </w:rPr>
        <w:t>日内，向甲方提交现场监理机构组织架构、监理人员名单、监理规划及各专业监理实施细则(前述人员、架构及方案等内容不得与投标文件相矛盾或不一致)。监理人员应附相应简历、资格证书复印件及社保缴费证明原件。对于总监理工程师，还应附乙方法定代表人签署的书面授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2、对于乙方拟派监理人员，其素质、数量、专业配置及层次结构必须满足投标文件或甲方要求。</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3、所有监理人员均为专职，不得在其它项目兼任职务。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4、各专业监理工程师均应具有相应专业中级以上技术职称，持监理工程师注册证书。监理员应具有助理工程师以上（含助理工程师）技术职称。</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5、乙方应在接到甲方书面进场通知之日起7日内，派出甲方认可的监理人员进驻现场。未经甲方认可的人员，不得参与本项目监理工作。</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6、总监理工程师、总监代表（如有）、各专业监理工程师每月平均在现场工作时间不得少于22天。</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7、总监理工程师、总监代表（如有）、各专业监理工程师请假离开现场前必须报甲方批准，其它人员请假必须经过总监理工程师批准并报甲方备案。</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8、未经甲方书面同意，乙方不得擅自更换总监理工程师、总监代表（如有）、各专业监理工程师。因特殊情况需要更换的，乙方应至少提前</w:t>
      </w:r>
      <w:r>
        <w:rPr>
          <w:rFonts w:hint="eastAsia" w:asciiTheme="majorEastAsia" w:hAnsiTheme="majorEastAsia" w:eastAsiaTheme="majorEastAsia" w:cstheme="majorEastAsia"/>
          <w:szCs w:val="21"/>
          <w:u w:val="single"/>
        </w:rPr>
        <w:t>7</w:t>
      </w:r>
      <w:r>
        <w:rPr>
          <w:rFonts w:hint="eastAsia" w:asciiTheme="majorEastAsia" w:hAnsiTheme="majorEastAsia" w:eastAsiaTheme="majorEastAsia" w:cstheme="majorEastAsia"/>
          <w:szCs w:val="21"/>
        </w:rPr>
        <w:t>天以书面形式向甲方提出申请(附更换原因和前任与后任人员的详细履历资料)，经甲方书面同意后才能更换。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9、乙方更换人员的，必须保证后任人员的资质、资历、职称、业绩、实际工作能力不低于投标文件中的承诺。人员更换后，后任继续行使本合同约定的前任的职权，履行前任的义务。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如甲方认为总监理工程师、总监代表（如有）、各专业监理工程师的实际工作能力和工作表现达不到本合同要求的，甲方可向乙方提出更换。乙方可以在三天内提出整改意见，如乙方未提出整改意见或甲方不接受整改意见或认为整改效果不明显的，则乙方必须在收到甲方再次要求更换的书面通知后</w:t>
      </w:r>
      <w:r>
        <w:rPr>
          <w:rFonts w:hint="eastAsia" w:asciiTheme="majorEastAsia" w:hAnsiTheme="majorEastAsia" w:eastAsiaTheme="majorEastAsia" w:cstheme="majorEastAsia"/>
          <w:szCs w:val="21"/>
          <w:u w:val="single"/>
        </w:rPr>
        <w:t>3</w:t>
      </w:r>
      <w:r>
        <w:rPr>
          <w:rFonts w:hint="eastAsia" w:asciiTheme="majorEastAsia" w:hAnsiTheme="majorEastAsia" w:eastAsiaTheme="majorEastAsia" w:cstheme="majorEastAsia"/>
          <w:szCs w:val="21"/>
        </w:rPr>
        <w:t>天内无条件更换。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监理人员有以下情形之一的，乙方应及时更换：⑴长期不到位；⑵责任心不强，不能实际履行职责的；⑶现场有重大安全、质量事故的；⑷本项目专职监理人员兼任其他工程监理人员的；(5)在建设主管部门有不良行为记录的。</w:t>
      </w:r>
    </w:p>
    <w:p>
      <w:pPr>
        <w:tabs>
          <w:tab w:val="left" w:pos="824"/>
        </w:tabs>
        <w:spacing w:line="465" w:lineRule="exact"/>
        <w:ind w:firstLine="420"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szCs w:val="21"/>
        </w:rPr>
        <w:t>12、监理规划和监理实施细则按照国家以及工程所在地的监理规范、行业规定编制。</w:t>
      </w:r>
    </w:p>
    <w:p>
      <w:pPr>
        <w:tabs>
          <w:tab w:val="left" w:pos="824"/>
        </w:tabs>
        <w:spacing w:line="465" w:lineRule="exact"/>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    第十六条  乙方应向甲方提供的信息和文件</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（一）定期的信息文件-监理月报</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监理月报的主要内容：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1、项目概述：包括项目位置、项目主要特征及本合同履行情况简介。</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2、大事记。</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3、工程进度与形象面貌。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4、资金到位和使用情况。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5、质量控制：包括质量评定、质量分析、质量事故处理等情况。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6、合同执行情况：包括本合同变更、索赔和违约等。</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7、现场会议和往来信函：包括会议记录、往来信函。</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8、监理工作：包括监理组织框图、资源投入、重要监理活动、图纸审查、发放、技术方案审查、工程需要解决的问题和其他事项。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9、施工单位情况：包括劳动力的动态、投入的设备、组织管理和存在的问题。</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10、安全和环境问题。</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11、进度款支付情况。</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12、工程图片。</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13、其他：包括水文和气象等自然情况记录。</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乙方应在每月月底之前向甲方报送监理月报，报送份数5份（电子文档一份）。</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（二）不定期的监理工作报告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1、关于工程优化设计、工程变更的建议。</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2、投资情况分析预测及现场资金、资源的合理配置和投入的建议。</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3、工程进度预测分析报告。</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4、工程(包括但不限于设计、施工)符合水厂建设工程相关法律法规、规范、批文、环评报告要求的情况分析。</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（三）日常监理文件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1、监理日记及监理大事记。</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2、施工计划批复文件。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3、施工措施批复文件。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4、施工进度调整批复文件。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5、工程量签证文件。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6、进度款支付确认文件。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7、索赔受理、调查及处理文件。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8、监理协调会议纪要文件。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9、其他监理业务往来文件。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10、按工程档案管理规定要求递交的其他文件与记录。</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（四）其它</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1、试运行土建工程、机电和自控设备、水质等运行情况记录文件。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2、质保期工作计划。</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3、缺陷责任认定文件。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4、最终支付确认文件。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5、其它甲方要求提交的文件。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对于上述文件，监理月报、不定期的监理工作报告、日常监理文件应于施工阶段（含试运行阶段）提交；试运行土建工程、机电和自控设备、水质等运行情况记录文件应于试运行阶段提交；质保期工作计划、缺陷责任认定文件、最终支付确认文件应于保修阶段提交；其它甲方要求提交的文件由甲方根据实际情况决定在哪个阶段提交。</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对于提交时间，本合同明确规定提交时间的，按合同规定执行；合同未明确规定提交时间的，乙方应按甲方书面通知要求的提交时间执行。</w:t>
      </w:r>
    </w:p>
    <w:p>
      <w:pPr>
        <w:tabs>
          <w:tab w:val="left" w:pos="824"/>
        </w:tabs>
        <w:spacing w:line="465" w:lineRule="exact"/>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    第十七条　设备供应的约定</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所用的所有监理设备等均由乙方自行采购使用（费用已包含在本合同监理酬金中），监理设备须符合国家标准（没有国家标准的须符合行业标准）并能完全满足本合同项目的实际需要。主要监理设备在使用前应征得甲方同意。由于监理设备的质量原因而引发的一切责任和损失均由乙方承担。</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第十八条　安全管理约定 </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按照本合同以及附件《安全管理协议》执行。</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第十九条　违约责任</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（一）甲方违约责任</w:t>
      </w:r>
    </w:p>
    <w:p>
      <w:pPr>
        <w:tabs>
          <w:tab w:val="left" w:pos="824"/>
        </w:tabs>
        <w:spacing w:line="465" w:lineRule="exact"/>
        <w:ind w:firstLine="525" w:firstLineChars="2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1、在本合同履行过程中，甲方下述行为属违约：</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（1）未按本合同的约定支付监理服务报酬。</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（2）未履行本合同约定的其他义务。 </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2、当甲方违约时，乙方应及时向甲方发出书面通知。甲方在收到书面通知后的</w:t>
      </w:r>
      <w:r>
        <w:rPr>
          <w:rFonts w:hint="eastAsia" w:asciiTheme="majorEastAsia" w:hAnsiTheme="majorEastAsia" w:eastAsiaTheme="majorEastAsia" w:cstheme="majorEastAsia"/>
          <w:szCs w:val="21"/>
          <w:u w:val="single"/>
        </w:rPr>
        <w:t>28</w:t>
      </w:r>
      <w:r>
        <w:rPr>
          <w:rFonts w:hint="eastAsia" w:asciiTheme="majorEastAsia" w:hAnsiTheme="majorEastAsia" w:eastAsiaTheme="majorEastAsia" w:cstheme="majorEastAsia"/>
          <w:szCs w:val="21"/>
        </w:rPr>
        <w:t>天内未采取措施改正，经再次催告后满</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天仍未采取措施改正的，则乙方可以暂停工作；监理工作暂停</w:t>
      </w:r>
      <w:r>
        <w:rPr>
          <w:rFonts w:hint="eastAsia" w:asciiTheme="majorEastAsia" w:hAnsiTheme="majorEastAsia" w:eastAsiaTheme="majorEastAsia" w:cstheme="majorEastAsia"/>
          <w:szCs w:val="21"/>
          <w:u w:val="single"/>
        </w:rPr>
        <w:t>28</w:t>
      </w:r>
      <w:r>
        <w:rPr>
          <w:rFonts w:hint="eastAsia" w:asciiTheme="majorEastAsia" w:hAnsiTheme="majorEastAsia" w:eastAsiaTheme="majorEastAsia" w:cstheme="majorEastAsia"/>
          <w:szCs w:val="21"/>
        </w:rPr>
        <w:t>天后甲方仍未采取有效措施纠正其违约行为并经双方协商无法解决，乙方可以通知甲方解除本合同，因此增加的费用和停工责任由甲方承担。</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3、在乙方完全按本合同约定履行的情形下，甲方未按本合同约定支付监理服务报酬，每延误一天，向乙方支付逾期付款金额万分之二的违约金，最高不超过合同应付未付款的</w:t>
      </w:r>
      <w:r>
        <w:rPr>
          <w:rFonts w:hint="eastAsia" w:asciiTheme="majorEastAsia" w:hAnsiTheme="majorEastAsia" w:eastAsiaTheme="majorEastAsia" w:cstheme="majorEastAsia"/>
          <w:szCs w:val="21"/>
          <w:u w:val="single"/>
        </w:rPr>
        <w:t>10</w:t>
      </w:r>
      <w:r>
        <w:rPr>
          <w:rFonts w:hint="eastAsia" w:asciiTheme="majorEastAsia" w:hAnsiTheme="majorEastAsia" w:eastAsiaTheme="majorEastAsia" w:cstheme="majorEastAsia"/>
          <w:szCs w:val="21"/>
        </w:rPr>
        <w:t>%。</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（二）乙方违约责任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1、在本合同履行过程中，乙方下述行为属违约：</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（1）未全面、适当履行本合同约定的乙方义务（不限于第十四条中的乙方义务）和责任。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（2）未全面、适当履行工程施工合同中约定的监理义务和责任。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（3）乙方不再具有承担本工程项目监理业务的资质、能力而终止本合同，或因监理事故或监理未恪尽职守而给甲方造成损失。</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（4）违反竞争性谈判文件实质要求、投标文件所承诺事项或其他合同组成文件的内容。</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2、乙方未能按时提交现场监理机构组织架构、监理人员名单、监理规划及各专业监理实施细则及相应证明材料复印件或原件的，每延误一天支付人民币</w:t>
      </w:r>
      <w:r>
        <w:rPr>
          <w:rFonts w:hint="eastAsia" w:asciiTheme="majorEastAsia" w:hAnsiTheme="majorEastAsia" w:eastAsiaTheme="majorEastAsia" w:cstheme="majorEastAsia"/>
          <w:szCs w:val="21"/>
          <w:u w:val="single"/>
        </w:rPr>
        <w:t>1000</w:t>
      </w:r>
      <w:r>
        <w:rPr>
          <w:rFonts w:hint="eastAsia" w:asciiTheme="majorEastAsia" w:hAnsiTheme="majorEastAsia" w:eastAsiaTheme="majorEastAsia" w:cstheme="majorEastAsia"/>
          <w:szCs w:val="21"/>
        </w:rPr>
        <w:t>元违约金；乙方未能按时提交本合同约定的其它资料的，每延误一天支付人民币</w:t>
      </w:r>
      <w:r>
        <w:rPr>
          <w:rFonts w:hint="eastAsia" w:asciiTheme="majorEastAsia" w:hAnsiTheme="majorEastAsia" w:eastAsiaTheme="majorEastAsia" w:cstheme="majorEastAsia"/>
          <w:szCs w:val="21"/>
          <w:u w:val="single"/>
        </w:rPr>
        <w:t>2000</w:t>
      </w:r>
      <w:r>
        <w:rPr>
          <w:rFonts w:hint="eastAsia" w:asciiTheme="majorEastAsia" w:hAnsiTheme="majorEastAsia" w:eastAsiaTheme="majorEastAsia" w:cstheme="majorEastAsia"/>
          <w:szCs w:val="21"/>
        </w:rPr>
        <w:t>元违约金。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3、乙方实际进场人员与投标承诺或甲方认可的人员不一致的，按照如下标准向甲方支付违约金：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总监理工程师，人民币</w:t>
      </w:r>
      <w:r>
        <w:rPr>
          <w:rFonts w:hint="eastAsia" w:asciiTheme="majorEastAsia" w:hAnsiTheme="majorEastAsia" w:eastAsiaTheme="majorEastAsia" w:cstheme="majorEastAsia"/>
          <w:szCs w:val="21"/>
          <w:u w:val="single"/>
        </w:rPr>
        <w:t>20000</w:t>
      </w:r>
      <w:r>
        <w:rPr>
          <w:rFonts w:hint="eastAsia" w:asciiTheme="majorEastAsia" w:hAnsiTheme="majorEastAsia" w:eastAsiaTheme="majorEastAsia" w:cstheme="majorEastAsia"/>
          <w:szCs w:val="21"/>
        </w:rPr>
        <w:t>元/人；总监代表（如有）、各专业监理工程师，人民币</w:t>
      </w:r>
      <w:r>
        <w:rPr>
          <w:rFonts w:hint="eastAsia" w:asciiTheme="majorEastAsia" w:hAnsiTheme="majorEastAsia" w:eastAsiaTheme="majorEastAsia" w:cstheme="majorEastAsia"/>
          <w:szCs w:val="21"/>
          <w:u w:val="single"/>
        </w:rPr>
        <w:t xml:space="preserve">5000 </w:t>
      </w:r>
      <w:r>
        <w:rPr>
          <w:rFonts w:hint="eastAsia" w:asciiTheme="majorEastAsia" w:hAnsiTheme="majorEastAsia" w:eastAsiaTheme="majorEastAsia" w:cstheme="majorEastAsia"/>
          <w:szCs w:val="21"/>
        </w:rPr>
        <w:t>元/人；其余监理人员，人民币</w:t>
      </w:r>
      <w:r>
        <w:rPr>
          <w:rFonts w:hint="eastAsia" w:asciiTheme="majorEastAsia" w:hAnsiTheme="majorEastAsia" w:eastAsiaTheme="majorEastAsia" w:cstheme="majorEastAsia"/>
          <w:szCs w:val="21"/>
          <w:u w:val="single"/>
        </w:rPr>
        <w:t xml:space="preserve">2000 </w:t>
      </w:r>
      <w:r>
        <w:rPr>
          <w:rFonts w:hint="eastAsia" w:asciiTheme="majorEastAsia" w:hAnsiTheme="majorEastAsia" w:eastAsiaTheme="majorEastAsia" w:cstheme="majorEastAsia"/>
          <w:szCs w:val="21"/>
        </w:rPr>
        <w:t>元/人。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支付违约金后，乙方还须按照甲方要求纠正违约行为。客观上无法纠正的，加倍向甲方支付违约金。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4、未经甲方书面同意，乙方擅自更换监理人员的，或未按甲方通知按期更换监理人员的，按照如下标准向甲方支付违约金：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总监理工程师，人民币</w:t>
      </w:r>
      <w:r>
        <w:rPr>
          <w:rFonts w:hint="eastAsia" w:asciiTheme="majorEastAsia" w:hAnsiTheme="majorEastAsia" w:eastAsiaTheme="majorEastAsia" w:cstheme="majorEastAsia"/>
          <w:szCs w:val="21"/>
          <w:u w:val="single"/>
        </w:rPr>
        <w:t>20000</w:t>
      </w:r>
      <w:r>
        <w:rPr>
          <w:rFonts w:hint="eastAsia" w:asciiTheme="majorEastAsia" w:hAnsiTheme="majorEastAsia" w:eastAsiaTheme="majorEastAsia" w:cstheme="majorEastAsia"/>
          <w:szCs w:val="21"/>
        </w:rPr>
        <w:t>元/人；总监代表（如有）、各专业监理工程师，人民币</w:t>
      </w:r>
      <w:r>
        <w:rPr>
          <w:rFonts w:hint="eastAsia" w:asciiTheme="majorEastAsia" w:hAnsiTheme="majorEastAsia" w:eastAsiaTheme="majorEastAsia" w:cstheme="majorEastAsia"/>
          <w:szCs w:val="21"/>
          <w:u w:val="single"/>
        </w:rPr>
        <w:t xml:space="preserve">5000 </w:t>
      </w:r>
      <w:r>
        <w:rPr>
          <w:rFonts w:hint="eastAsia" w:asciiTheme="majorEastAsia" w:hAnsiTheme="majorEastAsia" w:eastAsiaTheme="majorEastAsia" w:cstheme="majorEastAsia"/>
          <w:szCs w:val="21"/>
        </w:rPr>
        <w:t>元/人。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支付违约金后，乙方还须按照甲方要求纠正违约行为。客观上无法纠正的，甲方有权解除合同并按第二十条追究违约责任，或同意乙方继续履行合同，但乙方需加倍向甲方支付违约金，支付期限至甲方决定继续履行日为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5、未经甲方同意或未向甲方备案，乙方监理人员擅自离开施工现场的，按照如下标准向甲方支付违约金：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总监理工程师，人民币</w:t>
      </w:r>
      <w:r>
        <w:rPr>
          <w:rFonts w:hint="eastAsia" w:asciiTheme="majorEastAsia" w:hAnsiTheme="majorEastAsia" w:eastAsiaTheme="majorEastAsia" w:cstheme="majorEastAsia"/>
          <w:szCs w:val="21"/>
          <w:u w:val="single"/>
        </w:rPr>
        <w:t xml:space="preserve">2000 </w:t>
      </w:r>
      <w:r>
        <w:rPr>
          <w:rFonts w:hint="eastAsia" w:asciiTheme="majorEastAsia" w:hAnsiTheme="majorEastAsia" w:eastAsiaTheme="majorEastAsia" w:cstheme="majorEastAsia"/>
          <w:szCs w:val="21"/>
        </w:rPr>
        <w:t>/天；总监代表（如有）、各专业监理工程师，人民币</w:t>
      </w:r>
      <w:r>
        <w:rPr>
          <w:rFonts w:hint="eastAsia" w:asciiTheme="majorEastAsia" w:hAnsiTheme="majorEastAsia" w:eastAsiaTheme="majorEastAsia" w:cstheme="majorEastAsia"/>
          <w:szCs w:val="21"/>
          <w:u w:val="single"/>
        </w:rPr>
        <w:t>1000</w:t>
      </w:r>
      <w:r>
        <w:rPr>
          <w:rFonts w:hint="eastAsia" w:asciiTheme="majorEastAsia" w:hAnsiTheme="majorEastAsia" w:eastAsiaTheme="majorEastAsia" w:cstheme="majorEastAsia"/>
          <w:szCs w:val="21"/>
        </w:rPr>
        <w:t>元/人/天；其余监理人员，人民币</w:t>
      </w:r>
      <w:r>
        <w:rPr>
          <w:rFonts w:hint="eastAsia" w:asciiTheme="majorEastAsia" w:hAnsiTheme="majorEastAsia" w:eastAsiaTheme="majorEastAsia" w:cstheme="majorEastAsia"/>
          <w:szCs w:val="21"/>
          <w:u w:val="single"/>
        </w:rPr>
        <w:t xml:space="preserve">500 </w:t>
      </w:r>
      <w:r>
        <w:rPr>
          <w:rFonts w:hint="eastAsia" w:asciiTheme="majorEastAsia" w:hAnsiTheme="majorEastAsia" w:eastAsiaTheme="majorEastAsia" w:cstheme="majorEastAsia"/>
          <w:szCs w:val="21"/>
        </w:rPr>
        <w:t>元/人/天。</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6、未经甲方同意，乙方监理人员擅自缺席工地例会等会议的，按照如下标准向甲方支付违约金：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总监理工程师，人民币</w:t>
      </w:r>
      <w:r>
        <w:rPr>
          <w:rFonts w:hint="eastAsia" w:asciiTheme="majorEastAsia" w:hAnsiTheme="majorEastAsia" w:eastAsiaTheme="majorEastAsia" w:cstheme="majorEastAsia"/>
          <w:szCs w:val="21"/>
          <w:u w:val="single"/>
        </w:rPr>
        <w:t xml:space="preserve">2000 </w:t>
      </w:r>
      <w:r>
        <w:rPr>
          <w:rFonts w:hint="eastAsia" w:asciiTheme="majorEastAsia" w:hAnsiTheme="majorEastAsia" w:eastAsiaTheme="majorEastAsia" w:cstheme="majorEastAsia"/>
          <w:szCs w:val="21"/>
        </w:rPr>
        <w:t>元/人次；总监代表（如有）、各专业监理工程师，人民币</w:t>
      </w:r>
      <w:r>
        <w:rPr>
          <w:rFonts w:hint="eastAsia" w:asciiTheme="majorEastAsia" w:hAnsiTheme="majorEastAsia" w:eastAsiaTheme="majorEastAsia" w:cstheme="majorEastAsia"/>
          <w:szCs w:val="21"/>
          <w:u w:val="single"/>
        </w:rPr>
        <w:t>1000</w:t>
      </w:r>
      <w:r>
        <w:rPr>
          <w:rFonts w:hint="eastAsia" w:asciiTheme="majorEastAsia" w:hAnsiTheme="majorEastAsia" w:eastAsiaTheme="majorEastAsia" w:cstheme="majorEastAsia"/>
          <w:szCs w:val="21"/>
        </w:rPr>
        <w:t>元/人次。</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7、乙方自身未按甲方要求按时进场，每延误一天，乙方应支付人民币</w:t>
      </w:r>
      <w:r>
        <w:rPr>
          <w:rFonts w:hint="eastAsia" w:asciiTheme="majorEastAsia" w:hAnsiTheme="majorEastAsia" w:eastAsiaTheme="majorEastAsia" w:cstheme="majorEastAsia"/>
          <w:szCs w:val="21"/>
          <w:u w:val="single"/>
        </w:rPr>
        <w:t xml:space="preserve">5000 </w:t>
      </w:r>
      <w:r>
        <w:rPr>
          <w:rFonts w:hint="eastAsia" w:asciiTheme="majorEastAsia" w:hAnsiTheme="majorEastAsia" w:eastAsiaTheme="majorEastAsia" w:cstheme="majorEastAsia"/>
          <w:szCs w:val="21"/>
        </w:rPr>
        <w:t>元违约金；因乙方原因致使施工工期延误的，每延误一天，乙方应支付人民币</w:t>
      </w:r>
      <w:r>
        <w:rPr>
          <w:rFonts w:hint="eastAsia" w:asciiTheme="majorEastAsia" w:hAnsiTheme="majorEastAsia" w:eastAsiaTheme="majorEastAsia" w:cstheme="majorEastAsia"/>
          <w:szCs w:val="21"/>
          <w:u w:val="single"/>
        </w:rPr>
        <w:t>5000</w:t>
      </w:r>
      <w:r>
        <w:rPr>
          <w:rFonts w:hint="eastAsia" w:asciiTheme="majorEastAsia" w:hAnsiTheme="majorEastAsia" w:eastAsiaTheme="majorEastAsia" w:cstheme="majorEastAsia"/>
          <w:szCs w:val="21"/>
        </w:rPr>
        <w:t>元违约金。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8、乙方在计量或计价审核时，与甲方审核结果出入较大（甲方每次工程量或者价款核减超过10％），如无正当理由，乙方应按甲方核减工程费的人民币</w:t>
      </w:r>
      <w:r>
        <w:rPr>
          <w:rFonts w:hint="eastAsia" w:asciiTheme="majorEastAsia" w:hAnsiTheme="majorEastAsia" w:eastAsiaTheme="majorEastAsia" w:cstheme="majorEastAsia"/>
          <w:szCs w:val="21"/>
          <w:u w:val="single"/>
        </w:rPr>
        <w:t xml:space="preserve"> 20 </w:t>
      </w:r>
      <w:r>
        <w:rPr>
          <w:rFonts w:hint="eastAsia" w:asciiTheme="majorEastAsia" w:hAnsiTheme="majorEastAsia" w:eastAsiaTheme="majorEastAsia" w:cstheme="majorEastAsia"/>
          <w:szCs w:val="21"/>
        </w:rPr>
        <w:t>%向甲方支付违约金。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9、乙方未按工程施工合同约定的期限履行监理职责即延迟履行监理职责的，每延误一天，向发包人支付违约金人民币</w:t>
      </w:r>
      <w:r>
        <w:rPr>
          <w:rFonts w:hint="eastAsia" w:asciiTheme="majorEastAsia" w:hAnsiTheme="majorEastAsia" w:eastAsiaTheme="majorEastAsia" w:cstheme="majorEastAsia"/>
          <w:szCs w:val="21"/>
          <w:u w:val="single"/>
        </w:rPr>
        <w:t>2000</w:t>
      </w:r>
      <w:r>
        <w:rPr>
          <w:rFonts w:hint="eastAsia" w:asciiTheme="majorEastAsia" w:hAnsiTheme="majorEastAsia" w:eastAsiaTheme="majorEastAsia" w:cstheme="majorEastAsia"/>
          <w:szCs w:val="21"/>
        </w:rPr>
        <w:t>元。除此之外，如乙方未及时履行监理职责导致施工单位向甲方成功索赔工期的，则乙方还应按本合同约定承担致使施工工期延误的违约责任；如乙方未及时履行监理职责导致施工单位向甲方成功索赔费用的，则有关费用甲方可向乙方追偿。</w:t>
      </w:r>
    </w:p>
    <w:p>
      <w:pPr>
        <w:tabs>
          <w:tab w:val="left" w:pos="824"/>
        </w:tabs>
        <w:spacing w:line="465" w:lineRule="exact"/>
        <w:ind w:firstLine="420" w:firstLineChars="200"/>
        <w:rPr>
          <w:rFonts w:hint="eastAsia" w:asciiTheme="majorEastAsia" w:hAnsiTheme="majorEastAsia" w:eastAsiaTheme="majorEastAsia" w:cstheme="majorEastAsia"/>
          <w:kern w:val="11"/>
          <w:szCs w:val="21"/>
        </w:rPr>
      </w:pPr>
      <w:r>
        <w:rPr>
          <w:rFonts w:hint="eastAsia" w:asciiTheme="majorEastAsia" w:hAnsiTheme="majorEastAsia" w:eastAsiaTheme="majorEastAsia" w:cstheme="majorEastAsia"/>
          <w:szCs w:val="21"/>
        </w:rPr>
        <w:t>10、乙方未按工程施工合同约定履行监理职责即未履行监理职责的，每发生一次，向甲方支付违约金人民币</w:t>
      </w:r>
      <w:r>
        <w:rPr>
          <w:rFonts w:hint="eastAsia" w:asciiTheme="majorEastAsia" w:hAnsiTheme="majorEastAsia" w:eastAsiaTheme="majorEastAsia" w:cstheme="majorEastAsia"/>
          <w:szCs w:val="21"/>
          <w:u w:val="single"/>
        </w:rPr>
        <w:t xml:space="preserve">5000 </w:t>
      </w:r>
      <w:r>
        <w:rPr>
          <w:rFonts w:hint="eastAsia" w:asciiTheme="majorEastAsia" w:hAnsiTheme="majorEastAsia" w:eastAsiaTheme="majorEastAsia" w:cstheme="majorEastAsia"/>
          <w:szCs w:val="21"/>
        </w:rPr>
        <w:t>元。除此之外，如乙方未履行监理职责导致</w:t>
      </w:r>
      <w:r>
        <w:rPr>
          <w:rFonts w:hint="eastAsia" w:asciiTheme="majorEastAsia" w:hAnsiTheme="majorEastAsia" w:eastAsiaTheme="majorEastAsia" w:cstheme="majorEastAsia"/>
          <w:kern w:val="11"/>
          <w:szCs w:val="21"/>
        </w:rPr>
        <w:t>不合格的材料、设备和构配件进入工程现场或使用到工程中的，乙方应按不合格材料、设备和构配件价值的</w:t>
      </w:r>
      <w:r>
        <w:rPr>
          <w:rFonts w:hint="eastAsia" w:asciiTheme="majorEastAsia" w:hAnsiTheme="majorEastAsia" w:eastAsiaTheme="majorEastAsia" w:cstheme="majorEastAsia"/>
          <w:kern w:val="11"/>
          <w:szCs w:val="21"/>
          <w:u w:val="single"/>
        </w:rPr>
        <w:t>10</w:t>
      </w:r>
      <w:r>
        <w:rPr>
          <w:rFonts w:hint="eastAsia" w:asciiTheme="majorEastAsia" w:hAnsiTheme="majorEastAsia" w:eastAsiaTheme="majorEastAsia" w:cstheme="majorEastAsia"/>
          <w:kern w:val="11"/>
          <w:szCs w:val="21"/>
        </w:rPr>
        <w:t>%向甲方支付违约金；</w:t>
      </w:r>
      <w:r>
        <w:rPr>
          <w:rFonts w:hint="eastAsia" w:asciiTheme="majorEastAsia" w:hAnsiTheme="majorEastAsia" w:eastAsiaTheme="majorEastAsia" w:cstheme="majorEastAsia"/>
          <w:szCs w:val="21"/>
        </w:rPr>
        <w:t>如乙方未履行监理职责导致</w:t>
      </w:r>
      <w:r>
        <w:rPr>
          <w:rFonts w:hint="eastAsia" w:asciiTheme="majorEastAsia" w:hAnsiTheme="majorEastAsia" w:eastAsiaTheme="majorEastAsia" w:cstheme="majorEastAsia"/>
          <w:kern w:val="11"/>
          <w:szCs w:val="21"/>
        </w:rPr>
        <w:t>上一道工序不合格进入下一道工序的，乙方按照每次</w:t>
      </w:r>
      <w:r>
        <w:rPr>
          <w:rFonts w:hint="eastAsia" w:asciiTheme="majorEastAsia" w:hAnsiTheme="majorEastAsia" w:eastAsiaTheme="majorEastAsia" w:cstheme="majorEastAsia"/>
          <w:kern w:val="11"/>
          <w:szCs w:val="21"/>
          <w:u w:val="single"/>
        </w:rPr>
        <w:t>10000元</w:t>
      </w:r>
      <w:r>
        <w:rPr>
          <w:rFonts w:hint="eastAsia" w:asciiTheme="majorEastAsia" w:hAnsiTheme="majorEastAsia" w:eastAsiaTheme="majorEastAsia" w:cstheme="majorEastAsia"/>
          <w:kern w:val="11"/>
          <w:szCs w:val="21"/>
        </w:rPr>
        <w:t>的标准向甲方支付违约金。</w:t>
      </w:r>
    </w:p>
    <w:p>
      <w:pPr>
        <w:tabs>
          <w:tab w:val="left" w:pos="824"/>
        </w:tabs>
        <w:spacing w:line="465" w:lineRule="exact"/>
        <w:ind w:firstLine="420" w:firstLineChars="200"/>
        <w:rPr>
          <w:rFonts w:hint="eastAsia" w:asciiTheme="majorEastAsia" w:hAnsiTheme="majorEastAsia" w:eastAsiaTheme="majorEastAsia" w:cstheme="majorEastAsia"/>
          <w:kern w:val="11"/>
          <w:szCs w:val="21"/>
        </w:rPr>
      </w:pPr>
      <w:r>
        <w:rPr>
          <w:rFonts w:hint="eastAsia" w:asciiTheme="majorEastAsia" w:hAnsiTheme="majorEastAsia" w:eastAsiaTheme="majorEastAsia" w:cstheme="majorEastAsia"/>
          <w:kern w:val="11"/>
          <w:szCs w:val="21"/>
        </w:rPr>
        <w:t>11、乙方违反安全监理义务的，按照双方所签《安全管理协议书》的约定承担违约责任，《安全管理协议书》未约定的，按照本合同约定承担违约责任。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12、除了本合同明确规定的违约责任承担方式之外，如乙方未能按照本合同或工程施工合同约定履行其他义务的，每违约一次，甲方有权根据情节严重情况要求乙方在人民币</w:t>
      </w:r>
      <w:r>
        <w:rPr>
          <w:rFonts w:hint="eastAsia" w:asciiTheme="majorEastAsia" w:hAnsiTheme="majorEastAsia" w:eastAsiaTheme="majorEastAsia" w:cstheme="majorEastAsia"/>
          <w:szCs w:val="21"/>
          <w:u w:val="single"/>
        </w:rPr>
        <w:t>2000</w:t>
      </w:r>
      <w:r>
        <w:rPr>
          <w:rFonts w:hint="eastAsia" w:asciiTheme="majorEastAsia" w:hAnsiTheme="majorEastAsia" w:eastAsiaTheme="majorEastAsia" w:cstheme="majorEastAsia"/>
          <w:szCs w:val="21"/>
        </w:rPr>
        <w:t>元的范围内向甲方支付违约金。</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乙方违约时，如乙方支付给甲方的违约金不足以弥补甲方全部损失的，乙方还应就不足部分进行赔偿。全部损失包括但不限于甲方的直接损失、间接损失、诉讼或与诉讼有关的费用（包括但不限于案件受理费、保全申请费、执行申请费、调查取证费、公证费、评估费、鉴定费、律师费等法律费用）等。</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14、乙方违约时，乙方应按本合同相关约定承担违约责任。如甲方认为该等违约情形较为严重，甲方还有权根据实际情况决定是否没收履约保证金并解除或部分解除合同。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15、乙方的一个行为同时符合本条或合同其他条款规定两项以上违约情形的，应按每项分别承担违约责任。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16、乙方违约时，甲方有权相应延迟付款，直至乙方违约情形消失。</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17、出现应支付违约金情形后，甲方有权决定在应付监理酬金或履约保证金中扣除或由乙方另行支付或于结算时一并结算。</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18、履行合同效果较差或被甲方提出解除合同的乙方，于本工程完工后10年内不能入选甲方及甲方所属集团公司广东粤海控股有限公司的工程监理单位资料库，已在资料库里</w:t>
      </w:r>
      <w:bookmarkStart w:id="7" w:name="_Toc268715145"/>
      <w:r>
        <w:rPr>
          <w:rFonts w:hint="eastAsia" w:asciiTheme="majorEastAsia" w:hAnsiTheme="majorEastAsia" w:eastAsiaTheme="majorEastAsia" w:cstheme="majorEastAsia"/>
          <w:szCs w:val="21"/>
        </w:rPr>
        <w:t>的单</w:t>
      </w:r>
      <w:bookmarkEnd w:id="7"/>
      <w:r>
        <w:rPr>
          <w:rFonts w:hint="eastAsia" w:asciiTheme="majorEastAsia" w:hAnsiTheme="majorEastAsia" w:eastAsiaTheme="majorEastAsia" w:cstheme="majorEastAsia"/>
          <w:szCs w:val="21"/>
        </w:rPr>
        <w:t>位将被从资料库中删除，甲方并将有关情况通报甲方所属集团公司。甲方也可将乙方履行合同较差的情况向外界披露或向政府有关部门报告。</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第二十条 合同解除</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乙方有如下情形之一的，甲方有权单方面解除本合同。解除合同的书面通知到达乙方时解除即生效：</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1、与施工单位有关人员、甲方个别人员串通，做虚假签证，虚增工程量或降低工程或其材料质量要求或隐瞒工程或其材料质量问题、隐患的；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2、乙方与被监理工程的施工承包单位以或建筑材料、建筑构配件和设备供应单位发生隶属关系或者其他利益关系的；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3、乙方转让、分包工程监理业务的；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4、因乙方原因导致工程重大质量事故出现或未获及时妥善解决的；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5、乙方不履行或不认真、按时履行监理职责，经甲方书面指出三次仍未完全妥善整改的，或经甲方书面指出，又发生同类违反职责行为的；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6、乙方在投标或在履行合同中有其它弄虚作假，欺骗甲方行为的；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7、由于工程项目建设计划的重大调整而使工程项目全部或部分暂停或停建的；</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8</w:t>
      </w:r>
      <w:r>
        <w:rPr>
          <w:rFonts w:hint="eastAsia" w:asciiTheme="majorEastAsia" w:hAnsiTheme="majorEastAsia" w:eastAsiaTheme="majorEastAsia" w:cstheme="majorEastAsia"/>
          <w:szCs w:val="21"/>
        </w:rPr>
        <w:t>、乙方有其它严重违约行为的，严重违约行为以甲方认定为准。</w:t>
      </w:r>
    </w:p>
    <w:p>
      <w:pPr>
        <w:tabs>
          <w:tab w:val="left" w:pos="824"/>
        </w:tabs>
        <w:spacing w:line="465" w:lineRule="exact"/>
        <w:ind w:firstLine="48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单方面解除本合同后，除履约保证金不予退回外，所有未支付的监理服务报酬均不予支付，乙方须按合同总金额的30%向甲方支付违约金，造成甲方损失的，乙方还应当单独或与相关责任人连带赔偿甲方的全部损失（如有）。</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第二十一条 不可抗力</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不可抗力指双方无法控制、不可预见的，或即使可以预见但无法避免的，且阻碍该方全部或部分履行本协议义务的所有事件，包括因政府政策变更或政府命令、天灾、战争、动乱、空中飞行物体坠落或其他非甲方或乙方责任造成的爆炸、火灾。</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不可抗力事件发生后，遇有不可抗力的一方应立即通知对方，并在合理期限内提供该不可抗力发生及其持续时间的适当证据。遇有不可抗力的一方应在所能及的条件下迅速采取措施，尽力减少损失。如果因为乙方未采取减轻损害的行动而导致甲方的损失增加，增加部分的损失由乙方负责赔偿。</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3、因合同一方迟延履行合同后发生不可抗力的，不能免除迟延履行方的相应责任。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4、发生不可抗力后，双方应当立即相互协商寻求公正的解决办法。合同各方有权按事件对履行合同影响的程度协商决定是否解除合同、或者部分免除履行合同的责任、或者延期履行合同。</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5、遭遇不可抗力事件一方未履行上述义务的，不能免除违约责任。</w:t>
      </w:r>
    </w:p>
    <w:p>
      <w:pPr>
        <w:tabs>
          <w:tab w:val="left" w:pos="824"/>
        </w:tabs>
        <w:spacing w:line="465" w:lineRule="exact"/>
        <w:ind w:firstLine="48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第二十二条 保险</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在本合同生效后，乙方须自费投保如下保险：</w:t>
      </w:r>
    </w:p>
    <w:p>
      <w:pPr>
        <w:tabs>
          <w:tab w:val="left" w:pos="824"/>
        </w:tabs>
        <w:spacing w:line="465" w:lineRule="exact"/>
        <w:ind w:firstLine="525" w:firstLineChars="2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1、乙方的一切设备、机械和工具的保险；</w:t>
      </w:r>
    </w:p>
    <w:p>
      <w:pPr>
        <w:tabs>
          <w:tab w:val="left" w:pos="824"/>
        </w:tabs>
        <w:spacing w:line="465" w:lineRule="exact"/>
        <w:ind w:firstLine="525" w:firstLineChars="2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2、乙方所雇人员的人身保险；</w:t>
      </w:r>
    </w:p>
    <w:p>
      <w:pPr>
        <w:tabs>
          <w:tab w:val="left" w:pos="824"/>
        </w:tabs>
        <w:spacing w:line="465" w:lineRule="exact"/>
        <w:ind w:firstLine="525" w:firstLineChars="2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3、乙方认为需要的其他险种。</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第二十三条 合同争议的处理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双方因本合同发生争议的，应先协商解决；协商不成，向广州市南沙区人民法院起诉。</w:t>
      </w:r>
    </w:p>
    <w:p>
      <w:pPr>
        <w:tabs>
          <w:tab w:val="left" w:pos="824"/>
        </w:tabs>
        <w:spacing w:line="465"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第二十四条  附则</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1、本合同一式</w:t>
      </w:r>
      <w:r>
        <w:rPr>
          <w:rFonts w:hint="eastAsia" w:asciiTheme="majorEastAsia" w:hAnsiTheme="majorEastAsia" w:eastAsiaTheme="majorEastAsia" w:cstheme="majorEastAsia"/>
          <w:szCs w:val="21"/>
          <w:u w:val="single"/>
        </w:rPr>
        <w:t>陆</w:t>
      </w:r>
      <w:r>
        <w:rPr>
          <w:rFonts w:hint="eastAsia" w:asciiTheme="majorEastAsia" w:hAnsiTheme="majorEastAsia" w:eastAsiaTheme="majorEastAsia" w:cstheme="majorEastAsia"/>
          <w:szCs w:val="21"/>
        </w:rPr>
        <w:t>份。其中甲方执</w:t>
      </w:r>
      <w:r>
        <w:rPr>
          <w:rFonts w:hint="eastAsia" w:asciiTheme="majorEastAsia" w:hAnsiTheme="majorEastAsia" w:eastAsiaTheme="majorEastAsia" w:cstheme="majorEastAsia"/>
          <w:szCs w:val="21"/>
          <w:u w:val="single"/>
        </w:rPr>
        <w:t>肆</w:t>
      </w:r>
      <w:r>
        <w:rPr>
          <w:rFonts w:hint="eastAsia" w:asciiTheme="majorEastAsia" w:hAnsiTheme="majorEastAsia" w:eastAsiaTheme="majorEastAsia" w:cstheme="majorEastAsia"/>
          <w:szCs w:val="21"/>
        </w:rPr>
        <w:t>份，乙方执</w:t>
      </w:r>
      <w:r>
        <w:rPr>
          <w:rFonts w:hint="eastAsia" w:asciiTheme="majorEastAsia" w:hAnsiTheme="majorEastAsia" w:eastAsiaTheme="majorEastAsia" w:cstheme="majorEastAsia"/>
          <w:szCs w:val="21"/>
          <w:u w:val="single"/>
        </w:rPr>
        <w:t>贰</w:t>
      </w:r>
      <w:r>
        <w:rPr>
          <w:rFonts w:hint="eastAsia" w:asciiTheme="majorEastAsia" w:hAnsiTheme="majorEastAsia" w:eastAsiaTheme="majorEastAsia" w:cstheme="majorEastAsia"/>
          <w:szCs w:val="21"/>
        </w:rPr>
        <w:t>份。每份均具同等法律效力。</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2、本合同经双方加盖公章或合同专用章后生效；合同项下内容履行完毕后本合同自动终止。</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确认：在本合同中列明的“通讯地址”为其有效的收件地址，甲方对乙方的相关通知、函件等可通过特快专递方式送达至该地址。甲方通过特快专递方式向乙方“通讯地址”发出相关通知、函件等3天后，即视为已有效送达。</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4、双方认可的往来传真、会议纪要等，均为合同的组成部分，与本合同具有同等法</w:t>
      </w:r>
    </w:p>
    <w:p>
      <w:pPr>
        <w:tabs>
          <w:tab w:val="left" w:pos="824"/>
        </w:tabs>
        <w:spacing w:line="465"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律效力；本合同如有未尽事宜，经双方协商同意后，签订补充协议。</w:t>
      </w:r>
    </w:p>
    <w:p>
      <w:pPr>
        <w:tabs>
          <w:tab w:val="left" w:pos="824"/>
        </w:tabs>
        <w:spacing w:line="465" w:lineRule="exact"/>
        <w:ind w:firstLine="315" w:firstLineChars="1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本合同及涉及本项目的中标通知书、招标或竞争性谈判文件、投标文件及本项目招投标或竞争性谈判过程中双方签署或认可的其他文件（如有）等均属合同文件的组成部分，各部分互为补充、解释。如合同文件出现矛盾的，除本合同另有明文规定外，按以下排列在前者为准：（1）本合同及其补充协议；（2）中标通知书（如有）；（3）招标或竞争性谈判文件及其补充资料；（4）投标文件及其补充资料（以符合招标或竞争性谈判文件和经甲方书面同意者为准，但若投标文件中乙方承诺的义务、责任比招标或竞争性谈判文件的规定更严、更大、对甲方更有利者，以该等对甲方有利的承诺为准)。同一顺序的多份文件出现不一致的，以时间在后的文件为准</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6、附件。本合同的附件是合同不可分割的组成部分，具有与本合同同等的法律效力。</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合同附件：</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附件1：工程建设项目廉政责任书</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附件2：安全管理协议</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附件3：监理人员名单</w:t>
      </w:r>
    </w:p>
    <w:p>
      <w:pPr>
        <w:tabs>
          <w:tab w:val="left" w:pos="824"/>
        </w:tabs>
        <w:spacing w:line="465"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（以下无正文）</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p>
      <w:pPr>
        <w:tabs>
          <w:tab w:val="left" w:pos="824"/>
        </w:tabs>
        <w:spacing w:line="465" w:lineRule="exact"/>
        <w:rPr>
          <w:rFonts w:hint="eastAsia" w:asciiTheme="majorEastAsia" w:hAnsiTheme="majorEastAsia" w:eastAsiaTheme="majorEastAsia" w:cstheme="majorEastAsia"/>
          <w:szCs w:val="21"/>
        </w:rPr>
      </w:pP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甲方（盖章）：                            乙方（盖章）：</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法定代表人：                             法定代表人： </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或授权代表人：                           或授权代表人</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开户名称：                               开户名称： </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银行账号：                               银行账号：</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 户 行：                               开 户 行：</w:t>
      </w:r>
    </w:p>
    <w:p>
      <w:pPr>
        <w:tabs>
          <w:tab w:val="left" w:pos="824"/>
        </w:tabs>
        <w:spacing w:line="465" w:lineRule="exact"/>
        <w:ind w:firstLine="420" w:firstLineChars="200"/>
        <w:rPr>
          <w:rFonts w:hint="eastAsia" w:asciiTheme="majorEastAsia" w:hAnsiTheme="majorEastAsia" w:eastAsiaTheme="majorEastAsia" w:cstheme="majorEastAsia"/>
          <w:szCs w:val="21"/>
        </w:rPr>
      </w:pP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签约地点：     省    市   </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签约日期：</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xml:space="preserve">  年    月    日  </w:t>
      </w:r>
    </w:p>
    <w:p>
      <w:pPr>
        <w:snapToGrid w:val="0"/>
        <w:spacing w:line="360" w:lineRule="auto"/>
        <w:outlineLvl w:val="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br w:type="page"/>
      </w:r>
      <w:bookmarkEnd w:id="0"/>
      <w:bookmarkEnd w:id="1"/>
      <w:bookmarkEnd w:id="2"/>
      <w:bookmarkStart w:id="8" w:name="_Toc517899422"/>
      <w:bookmarkStart w:id="9" w:name="_Toc24331715"/>
      <w:bookmarkStart w:id="10" w:name="_Toc24948"/>
      <w:r>
        <w:rPr>
          <w:rFonts w:hint="eastAsia" w:asciiTheme="majorEastAsia" w:hAnsiTheme="majorEastAsia" w:eastAsiaTheme="majorEastAsia" w:cstheme="majorEastAsia"/>
          <w:szCs w:val="21"/>
        </w:rPr>
        <w:t>附件1  工程建设项目廉政责任书</w:t>
      </w:r>
      <w:bookmarkEnd w:id="8"/>
      <w:bookmarkEnd w:id="9"/>
      <w:bookmarkEnd w:id="10"/>
    </w:p>
    <w:p>
      <w:pPr>
        <w:ind w:firstLine="422" w:firstLineChars="20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szCs w:val="21"/>
        </w:rPr>
        <w:t>工程建设项目廉政责任书</w:t>
      </w:r>
    </w:p>
    <w:p>
      <w:pPr>
        <w:pStyle w:val="34"/>
        <w:spacing w:before="0" w:beforeAutospacing="0" w:after="0" w:afterAutospacing="0" w:line="360" w:lineRule="exact"/>
        <w:ind w:firstLine="420" w:firstLineChars="200"/>
        <w:rPr>
          <w:rFonts w:hint="eastAsia" w:asciiTheme="majorEastAsia" w:hAnsiTheme="majorEastAsia" w:eastAsiaTheme="majorEastAsia" w:cstheme="majorEastAsia"/>
          <w:sz w:val="21"/>
          <w:szCs w:val="21"/>
        </w:rPr>
      </w:pPr>
    </w:p>
    <w:p>
      <w:pPr>
        <w:spacing w:line="360" w:lineRule="auto"/>
        <w:ind w:firstLine="422"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szCs w:val="21"/>
        </w:rPr>
        <w:t>委托人（全称）：</w:t>
      </w:r>
      <w:r>
        <w:rPr>
          <w:rFonts w:hint="eastAsia" w:asciiTheme="majorEastAsia" w:hAnsiTheme="majorEastAsia" w:eastAsiaTheme="majorEastAsia" w:cstheme="majorEastAsia"/>
          <w:b/>
          <w:szCs w:val="21"/>
          <w:lang w:val="en-US" w:eastAsia="zh-CN"/>
        </w:rPr>
        <w:t xml:space="preserve">                        </w:t>
      </w:r>
      <w:r>
        <w:rPr>
          <w:rFonts w:hint="eastAsia" w:asciiTheme="majorEastAsia" w:hAnsiTheme="majorEastAsia" w:eastAsiaTheme="majorEastAsia" w:cstheme="majorEastAsia"/>
          <w:szCs w:val="21"/>
        </w:rPr>
        <w:t xml:space="preserve">    （以下称甲方）</w:t>
      </w:r>
    </w:p>
    <w:p>
      <w:pPr>
        <w:spacing w:line="360" w:lineRule="auto"/>
        <w:ind w:firstLine="422"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szCs w:val="21"/>
        </w:rPr>
        <w:t xml:space="preserve">监理人（全称）：               </w:t>
      </w:r>
      <w:r>
        <w:rPr>
          <w:rFonts w:hint="eastAsia" w:asciiTheme="majorEastAsia" w:hAnsiTheme="majorEastAsia" w:eastAsiaTheme="majorEastAsia" w:cstheme="majorEastAsia"/>
          <w:szCs w:val="21"/>
        </w:rPr>
        <w:t xml:space="preserve">             （以下称乙方）             </w:t>
      </w:r>
    </w:p>
    <w:p>
      <w:pPr>
        <w:spacing w:line="360" w:lineRule="auto"/>
        <w:ind w:firstLine="420" w:firstLineChars="200"/>
        <w:rPr>
          <w:rFonts w:hint="eastAsia" w:asciiTheme="majorEastAsia" w:hAnsiTheme="majorEastAsia" w:eastAsiaTheme="majorEastAsia" w:cstheme="majorEastAsia"/>
          <w:szCs w:val="21"/>
        </w:rPr>
      </w:pP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为加强工程建设中的廉政建设，规范工程建设中甲乙双方的各项活动，防止发生各种谋取不正当利益的违法违纪行为，保护国家和当事人的合法权益，根据国家有关工程建设的法律法规和廉政建设责任制规定，特订立本廉政责任书。</w:t>
      </w:r>
    </w:p>
    <w:p>
      <w:pPr>
        <w:pStyle w:val="34"/>
        <w:spacing w:before="0" w:beforeAutospacing="0" w:after="0" w:afterAutospacing="0" w:line="420" w:lineRule="exact"/>
        <w:ind w:firstLine="422" w:firstLineChars="200"/>
        <w:jc w:val="both"/>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 xml:space="preserve">  第一条　甲乙双方的责任</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（一）应严格遵守国家关于市场准入、项目招标投标、工程建设、施工安装和市场活动等有关法律、法规，相关政策，以及廉政建设的各项规定。</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（二）严格履行工程建设项目中所签订的所有合同文件，自觉按合同办事。</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（三）业务活动必须坚持公开、公平、公正、诚信、透明的原则（除法律法规另有规定者外），不得为获取不正当的利益，损害国家和对方利益，不得违反工程建设管理、施工安装的规章制度。</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四）教育、监督本身所有相关人员(包括担任领导职务人员，下同。)（以下称本身人员或有关人员）廉洁、尽职地工作，制定和严格执行相关规章制度，防范和严肃查处本身人员违法、违纪利用工作便利谋取个人利益的行为。</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（五）不得向另一方的相关人员提供第二条或第三条各项所列个人利益，甲乙双方的合同另有明文规定的奖励、考察不受此限。</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pStyle w:val="34"/>
        <w:spacing w:before="0" w:beforeAutospacing="0" w:after="0" w:afterAutospacing="0" w:line="420" w:lineRule="exact"/>
        <w:ind w:firstLine="316" w:firstLineChars="150"/>
        <w:jc w:val="both"/>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 xml:space="preserve"> 第二条　甲方的责任</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甲方应教育和监督甲方和与该工程建设项目有关的人员，在工程建设的事前、事中、事后均严格遵守以下规定：</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（一）不准向乙方和相关单位索要或接受回扣、礼金、红包、有价证券、物品和好处费、感谢费等。</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（二）不准在乙方和相关单位报销任何应由甲方或个人支付的费用。</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（三）不准要求、暗示和接受乙方和相关单位为个人装修住房、婚丧嫁娶、配偶子女的工作安排以及出国（境）、旅游（甲乙双方相关合同所规定的考察不受此限）等提供方便。</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（四）不准参加有可能影响公正执行公务的乙方和相关单位的宴请、健身、娱乐等活动。</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五）不准向乙方介绍或为配偶、子女、亲属参与同甲方建设工程施工合同、设备采购安装合同及其他相关合同有关的设备、材料、工程分包、劳务等经济活动。不得以任何理由向乙方和相关单位推荐分包单位和要求乙方购买建设工程施工合同设备采购安装合同及其他相关合同规定以外的材料、设备等（该等合同所规定的属于甲方、由甲方行使的相关权利不受此限）。</w:t>
      </w:r>
    </w:p>
    <w:p>
      <w:pPr>
        <w:pStyle w:val="34"/>
        <w:spacing w:before="0" w:beforeAutospacing="0" w:after="0" w:afterAutospacing="0" w:line="420" w:lineRule="exact"/>
        <w:ind w:firstLine="316" w:firstLineChars="150"/>
        <w:jc w:val="both"/>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第三条　乙方的责任</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应与甲方或施工、设计、工程材料和/或设备供货单位等（以下统称相关单位）保持正常的业务交往，按照有关法律法规和程序开展业务工作，严格执行工程建设的有关方针、政策，尤其是有关建筑施工、采购、安装及监理的强制性标准和规范，并教育和监督其领导和有关人员严格遵守以下规定：</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（一）不准以任何理由向甲方、相关单位及其工作人员索要、接受或赠送礼金、红包、有价证券、贵重物品和回扣、好处费、感谢费等。</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（二）不准以任何理由为甲方和相关单位报销应由对方或个人支付的费用。</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（三）不准接受或暗示为甲方、相关单位或个人装修住房、婚丧嫁娶、配偶子女的工作安排以及出国（境）、旅游等提供方便。</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（四）不准以任何理由为甲方、相关单位或个人组织有可能影响公正执行公务的宴请、健身、娱乐等活动。</w:t>
      </w:r>
    </w:p>
    <w:p>
      <w:pPr>
        <w:pStyle w:val="34"/>
        <w:spacing w:before="0" w:beforeAutospacing="0" w:after="0" w:afterAutospacing="0" w:line="420" w:lineRule="exact"/>
        <w:ind w:firstLine="316" w:firstLineChars="150"/>
        <w:jc w:val="both"/>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第四条　法律和纪律责任</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p>
    <w:p>
      <w:pPr>
        <w:pStyle w:val="34"/>
        <w:spacing w:before="0" w:beforeAutospacing="0" w:after="0" w:afterAutospacing="0" w:line="420" w:lineRule="exact"/>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人民币50万元计算违约金。</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（四）B方有关人员因索要前述禁止的个人利益未成功而未正常处理有关工作，造成B方违反合同的，B方须向A方承担违约责任，赔偿A方全部损失。</w:t>
      </w:r>
    </w:p>
    <w:p>
      <w:pPr>
        <w:pStyle w:val="34"/>
        <w:spacing w:before="0" w:beforeAutospacing="0" w:after="0" w:afterAutospacing="0" w:line="420" w:lineRule="exact"/>
        <w:ind w:firstLine="420" w:firstLineChars="200"/>
        <w:jc w:val="both"/>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t>（五）B方有关人员因索要前述禁止的个人利益未成功而刁难A方，致使A方履行合同发生障碍或困难的，A方应向B方举报，B方除应按前述规定调查处理外，并应采取有效措施排除，协助、配合A方排除A方履行合同中因此发生的障碍或困难。并承担A方履行合同发生障碍、困难引致的后果。</w:t>
      </w:r>
    </w:p>
    <w:p>
      <w:pPr>
        <w:widowControl/>
        <w:spacing w:line="420" w:lineRule="exact"/>
        <w:ind w:firstLine="420" w:firstLineChars="200"/>
        <w:rPr>
          <w:rFonts w:hint="eastAsia" w:asciiTheme="majorEastAsia" w:hAnsiTheme="majorEastAsia" w:eastAsiaTheme="majorEastAsia" w:cstheme="majorEastAsia"/>
          <w:kern w:val="0"/>
          <w:szCs w:val="21"/>
        </w:rPr>
      </w:pPr>
      <w:bookmarkStart w:id="11" w:name="_Toc248564561"/>
      <w:bookmarkStart w:id="12" w:name="_Toc248564385"/>
      <w:bookmarkStart w:id="13" w:name="_Toc248564436"/>
    </w:p>
    <w:bookmarkEnd w:id="11"/>
    <w:bookmarkEnd w:id="12"/>
    <w:bookmarkEnd w:id="13"/>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甲方（盖章）：                            乙方（盖章）：</w:t>
      </w:r>
    </w:p>
    <w:p>
      <w:pPr>
        <w:spacing w:line="42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br w:type="page"/>
      </w:r>
      <w:bookmarkStart w:id="14" w:name="_Toc517899423"/>
      <w:bookmarkStart w:id="15" w:name="_Toc4807"/>
      <w:bookmarkStart w:id="16" w:name="_Toc24331716"/>
      <w:r>
        <w:rPr>
          <w:rFonts w:hint="eastAsia" w:asciiTheme="majorEastAsia" w:hAnsiTheme="majorEastAsia" w:eastAsiaTheme="majorEastAsia" w:cstheme="majorEastAsia"/>
          <w:szCs w:val="21"/>
        </w:rPr>
        <w:t>附件2  安全管理协议</w:t>
      </w:r>
      <w:bookmarkEnd w:id="14"/>
      <w:bookmarkEnd w:id="15"/>
      <w:bookmarkEnd w:id="16"/>
    </w:p>
    <w:p>
      <w:pPr>
        <w:spacing w:line="464" w:lineRule="exact"/>
        <w:ind w:left="105" w:hanging="105" w:hangingChars="5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安全管理协议书</w:t>
      </w:r>
    </w:p>
    <w:p>
      <w:pPr>
        <w:spacing w:line="360" w:lineRule="auto"/>
        <w:ind w:firstLine="422" w:firstLineChars="200"/>
        <w:rPr>
          <w:rFonts w:hint="eastAsia" w:asciiTheme="majorEastAsia" w:hAnsiTheme="majorEastAsia" w:eastAsiaTheme="majorEastAsia" w:cstheme="majorEastAsia"/>
          <w:b/>
          <w:szCs w:val="21"/>
        </w:rPr>
      </w:pPr>
    </w:p>
    <w:p>
      <w:pPr>
        <w:spacing w:line="360" w:lineRule="auto"/>
        <w:ind w:firstLine="422"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szCs w:val="21"/>
        </w:rPr>
        <w:t>委托人（全称）：</w:t>
      </w:r>
      <w:r>
        <w:rPr>
          <w:rFonts w:hint="eastAsia" w:asciiTheme="majorEastAsia" w:hAnsiTheme="majorEastAsia" w:eastAsiaTheme="majorEastAsia" w:cstheme="majorEastAsia"/>
          <w:b/>
          <w:szCs w:val="21"/>
          <w:lang w:val="en-US" w:eastAsia="zh-CN"/>
        </w:rPr>
        <w:t xml:space="preserve"> </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 xml:space="preserve">                          </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（以下称甲方）</w:t>
      </w:r>
    </w:p>
    <w:p>
      <w:pPr>
        <w:spacing w:line="360" w:lineRule="auto"/>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住  所：广州市南沙区滨海路171号南沙金融大厦7楼</w:t>
      </w:r>
    </w:p>
    <w:p>
      <w:pPr>
        <w:spacing w:line="360" w:lineRule="auto"/>
        <w:ind w:firstLine="422"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szCs w:val="21"/>
        </w:rPr>
        <w:t>监理人（全称）：</w:t>
      </w:r>
      <w:r>
        <w:rPr>
          <w:rFonts w:hint="eastAsia" w:asciiTheme="majorEastAsia" w:hAnsiTheme="majorEastAsia" w:eastAsiaTheme="majorEastAsia" w:cstheme="majorEastAsia"/>
          <w:b/>
          <w:szCs w:val="21"/>
          <w:u w:val="single"/>
        </w:rPr>
        <w:t xml:space="preserve">               </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（以下称乙方）</w:t>
      </w:r>
    </w:p>
    <w:p>
      <w:pPr>
        <w:spacing w:line="360" w:lineRule="auto"/>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住  所：                      </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为在</w:t>
      </w:r>
      <w:r>
        <w:rPr>
          <w:rFonts w:hint="eastAsia" w:asciiTheme="majorEastAsia" w:hAnsiTheme="majorEastAsia" w:eastAsiaTheme="majorEastAsia" w:cstheme="majorEastAsia"/>
          <w:szCs w:val="21"/>
          <w:u w:val="single"/>
        </w:rPr>
        <w:t>市南路快速化改造项目供水管迁改等5个</w:t>
      </w:r>
      <w:r>
        <w:rPr>
          <w:rFonts w:hint="eastAsia" w:asciiTheme="majorEastAsia" w:hAnsiTheme="majorEastAsia" w:eastAsiaTheme="majorEastAsia" w:cstheme="majorEastAsia"/>
          <w:szCs w:val="21"/>
          <w:u w:val="single"/>
          <w:lang w:val="en-US" w:eastAsia="zh-CN"/>
        </w:rPr>
        <w:t>工程</w:t>
      </w:r>
      <w:r>
        <w:rPr>
          <w:rFonts w:hint="eastAsia" w:asciiTheme="majorEastAsia" w:hAnsiTheme="majorEastAsia" w:eastAsiaTheme="majorEastAsia" w:cstheme="majorEastAsia"/>
          <w:szCs w:val="21"/>
        </w:rPr>
        <w:t>(以下简称工程项目、本工程)监理项目的实施过程中，切实加强施工安全管理，明确双方安全责任，创造安全、高效的施工环境，依照《中华人民共和国合同法》、《中华人民共和国建筑法》、《中华人民共和国安全生产法》及其他有关法律、法规、条例，本着平等、自愿、公平和诚实信用的原则，甲方与乙方经协商达成如下安全协议并共同遵守。</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本安全协议作为《</w:t>
      </w:r>
      <w:r>
        <w:rPr>
          <w:rFonts w:hint="eastAsia" w:asciiTheme="majorEastAsia" w:hAnsiTheme="majorEastAsia" w:eastAsiaTheme="majorEastAsia" w:cstheme="majorEastAsia"/>
          <w:szCs w:val="21"/>
          <w:u w:val="single"/>
        </w:rPr>
        <w:t>市南路快速化改造项目供水管迁改等5个</w:t>
      </w:r>
      <w:r>
        <w:rPr>
          <w:rFonts w:hint="eastAsia" w:asciiTheme="majorEastAsia" w:hAnsiTheme="majorEastAsia" w:eastAsiaTheme="majorEastAsia" w:cstheme="majorEastAsia"/>
          <w:szCs w:val="21"/>
          <w:u w:val="single"/>
          <w:lang w:val="en-US" w:eastAsia="zh-CN"/>
        </w:rPr>
        <w:t>工程</w:t>
      </w:r>
      <w:r>
        <w:rPr>
          <w:rFonts w:hint="eastAsia" w:asciiTheme="majorEastAsia" w:hAnsiTheme="majorEastAsia" w:eastAsiaTheme="majorEastAsia" w:cstheme="majorEastAsia"/>
          <w:szCs w:val="21"/>
        </w:rPr>
        <w:t>项目工程委托监理合同》的附件，具有同等法律效力。</w:t>
      </w:r>
    </w:p>
    <w:p>
      <w:pPr>
        <w:spacing w:line="460"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一、甲方安全职责</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1.不得对乙方提出不符合建设工程安全生产法律、法规和强制性标准规定的要求；</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2.在编制工程概算时，应当确定建设工程安全作业环境及安全施工措施所需费用；</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3.不得明示或者暗示乙方购买、租赁、使用不符合安全施工要求的安全防护用具、机械设备、施工机具及配件、消防设施和器材；</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4.定期参加由乙方召集的安全工作例会，及时掌握现场安全生产情况；</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5.在施工过程中，督促乙方按安全文明监理方案、监理大纲开展安全监理工作；</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6.会同乙方审核施工单位的现场生产安全事故应急救援预案，在安全事故发生时监督预案的实施和总承包单位的事故上报工作。</w:t>
      </w:r>
    </w:p>
    <w:p>
      <w:pPr>
        <w:spacing w:line="460"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二、乙方承担的安全责任：</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乙方行政负责人对本企业监理工程项目的安全监理工作全面负责。项目总监理工程师对工程项目的安全监理工作负责，并根据工程项目的特点，确定具体的安全监理人员，明确其工作职责。安全监理人员须经安全监理业务教育培训，考试合格，持证上岗；</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2.审核施工单位编制的施工组织设计、安全技术措施、高危作业安全施工及应急抢险方案；</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3.督促施工单位建立、健全施工现场安全生产保证体系和安全生产制度；</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4.在施工开始前，向甲方报送安全监理方案以及针对高危作业而编制的安全监理实施细则；</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5.协助甲方与施工单位签订工程项目施工安全协议书。</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6.审查电工、焊工、架子工、起重机械工、塔吊司机及指挥人员、爆破工等特种作业人员资格，督促施工企业雇佣具备安全生产基础知识的一线操作人员。</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7.督促施工单位做好逐级安全交底工作。</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8.监督施工单位按照工程建设强制性标准和专项安全施工方案组织施工，制止违规施工作业。</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对施工过程中的高危作业等进行巡视检查，每天不少于一次。发现严重违规施工和存在安全事故隐患的，应当要求施工单位整改，并检查整改结果，签署复查意见；情况严重的，由总监下达工程暂停令并报告甲方；施工单位拒不整改的应及时向安全监督部门报告。</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10.督促施工单位进行安全自查工作；参加施工现场的安全生产检查。</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11.复核施工单位施工机械、安全设施的安全保护记录及相关维修资料及验收手续，并签署意见。未经安全监理人员签署认可的不得投入使用。</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12.安全监理人员应对高危作业的关键工序实施现场跟班监督检查。</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13.安全监理人员应在监理日记中记录当天施工现场安全生产和安全监理情况，记录发现和处理的安全施工问题。总监应定期审阅并签署意见。</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14.项目乙方应编制安全监理月报表，对当月施工现场的施工状况和安全监理工作做出评述，报甲方备案。</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15.安全监理资料必须真实、完整。</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16.在安全事故发生后积极协助建设单位及有关主管部门对事故采取的抢险、处理工作。在认定非监理方责任后参与事故取证、责任认定等工作；</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17.法律法规所规定的其他要求。</w:t>
      </w:r>
    </w:p>
    <w:p>
      <w:pPr>
        <w:spacing w:line="460"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三、安全考核</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发现违章现象（违反安全法律法规、地方规章，违反国家或地方安全规程、规范，以及违反甲方对施工安全所提出的各项要求，均属违章）、发生安全生产责任事故时需要支付违约金或赔偿时，在支付监理费用时扣除，不足以扣除时从监理合同履约保证金中扣除。</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2.乙方向甲方支付安全违约金的情况及标准如下：（1）在施工过程中，甲方每发现乙方监理人员一次违章行为，乙方支付违约</w:t>
      </w:r>
      <w:r>
        <w:rPr>
          <w:rFonts w:hint="eastAsia" w:asciiTheme="majorEastAsia" w:hAnsiTheme="majorEastAsia" w:eastAsiaTheme="majorEastAsia" w:cstheme="majorEastAsia"/>
          <w:szCs w:val="21"/>
          <w:lang w:eastAsia="zh-CN"/>
        </w:rPr>
        <w:t>金</w:t>
      </w:r>
      <w:r>
        <w:rPr>
          <w:rFonts w:hint="eastAsia" w:asciiTheme="majorEastAsia" w:hAnsiTheme="majorEastAsia" w:eastAsiaTheme="majorEastAsia" w:cstheme="majorEastAsia"/>
          <w:szCs w:val="21"/>
          <w:lang w:val="en-US" w:eastAsia="zh-CN"/>
        </w:rPr>
        <w:t>500</w:t>
      </w:r>
      <w:r>
        <w:rPr>
          <w:rFonts w:hint="eastAsia" w:asciiTheme="majorEastAsia" w:hAnsiTheme="majorEastAsia" w:eastAsiaTheme="majorEastAsia" w:cstheme="majorEastAsia"/>
          <w:szCs w:val="21"/>
        </w:rPr>
        <w:t>元/人次，情节严重的支付违约金</w:t>
      </w:r>
      <w:r>
        <w:rPr>
          <w:rFonts w:hint="eastAsia" w:asciiTheme="majorEastAsia" w:hAnsiTheme="majorEastAsia" w:eastAsiaTheme="majorEastAsia" w:cstheme="majorEastAsia"/>
          <w:szCs w:val="21"/>
          <w:u w:val="single"/>
          <w:lang w:val="en-US" w:eastAsia="zh-CN"/>
        </w:rPr>
        <w:t>10</w:t>
      </w:r>
      <w:r>
        <w:rPr>
          <w:rFonts w:hint="eastAsia" w:asciiTheme="majorEastAsia" w:hAnsiTheme="majorEastAsia" w:eastAsiaTheme="majorEastAsia" w:cstheme="majorEastAsia"/>
          <w:szCs w:val="21"/>
          <w:u w:val="single"/>
        </w:rPr>
        <w:t>00</w:t>
      </w:r>
      <w:r>
        <w:rPr>
          <w:rFonts w:hint="eastAsia" w:asciiTheme="majorEastAsia" w:hAnsiTheme="majorEastAsia" w:eastAsiaTheme="majorEastAsia" w:cstheme="majorEastAsia"/>
          <w:szCs w:val="21"/>
        </w:rPr>
        <w:t>元/人次，屡教不改达三次以上（含三次）的，甲方函告乙方2日内必须按甲方要求予以更换；（2）监理人在监理本工程过程中每发生一起轻伤事故，乙方支付违约金</w:t>
      </w:r>
      <w:r>
        <w:rPr>
          <w:rFonts w:hint="eastAsia" w:asciiTheme="majorEastAsia" w:hAnsiTheme="majorEastAsia" w:eastAsiaTheme="majorEastAsia" w:cstheme="majorEastAsia"/>
          <w:szCs w:val="21"/>
          <w:u w:val="single"/>
        </w:rPr>
        <w:t>1000</w:t>
      </w:r>
      <w:r>
        <w:rPr>
          <w:rFonts w:hint="eastAsia" w:asciiTheme="majorEastAsia" w:hAnsiTheme="majorEastAsia" w:eastAsiaTheme="majorEastAsia" w:cstheme="majorEastAsia"/>
          <w:szCs w:val="21"/>
        </w:rPr>
        <w:t>元/次；发生重伤事故的，乙方支付违约金</w:t>
      </w:r>
      <w:r>
        <w:rPr>
          <w:rFonts w:hint="eastAsia" w:asciiTheme="majorEastAsia" w:hAnsiTheme="majorEastAsia" w:eastAsiaTheme="majorEastAsia" w:cstheme="majorEastAsia"/>
          <w:szCs w:val="21"/>
          <w:u w:val="single"/>
        </w:rPr>
        <w:t>2000</w:t>
      </w:r>
      <w:r>
        <w:rPr>
          <w:rFonts w:hint="eastAsia" w:asciiTheme="majorEastAsia" w:hAnsiTheme="majorEastAsia" w:eastAsiaTheme="majorEastAsia" w:cstheme="majorEastAsia"/>
          <w:szCs w:val="21"/>
        </w:rPr>
        <w:t>元/次；发生事故隐瞒不报的，乙方支付违约金</w:t>
      </w:r>
      <w:r>
        <w:rPr>
          <w:rFonts w:hint="eastAsia" w:asciiTheme="majorEastAsia" w:hAnsiTheme="majorEastAsia" w:eastAsiaTheme="majorEastAsia" w:cstheme="majorEastAsia"/>
          <w:szCs w:val="21"/>
          <w:u w:val="single"/>
        </w:rPr>
        <w:t>5000</w:t>
      </w:r>
      <w:r>
        <w:rPr>
          <w:rFonts w:hint="eastAsia" w:asciiTheme="majorEastAsia" w:hAnsiTheme="majorEastAsia" w:eastAsiaTheme="majorEastAsia" w:cstheme="majorEastAsia"/>
          <w:szCs w:val="21"/>
        </w:rPr>
        <w:t>元/次。发生死亡及以上事故的，乙方支付违约金</w:t>
      </w:r>
      <w:r>
        <w:rPr>
          <w:rFonts w:hint="eastAsia" w:asciiTheme="majorEastAsia" w:hAnsiTheme="majorEastAsia" w:eastAsiaTheme="majorEastAsia" w:cstheme="majorEastAsia"/>
          <w:szCs w:val="21"/>
          <w:lang w:val="en-US" w:eastAsia="zh-CN"/>
        </w:rPr>
        <w:t>5</w:t>
      </w:r>
      <w:r>
        <w:rPr>
          <w:rFonts w:hint="eastAsia" w:asciiTheme="majorEastAsia" w:hAnsiTheme="majorEastAsia" w:eastAsiaTheme="majorEastAsia" w:cstheme="majorEastAsia"/>
          <w:szCs w:val="21"/>
          <w:u w:val="single"/>
        </w:rPr>
        <w:t>0000</w:t>
      </w:r>
      <w:r>
        <w:rPr>
          <w:rFonts w:hint="eastAsia" w:asciiTheme="majorEastAsia" w:hAnsiTheme="majorEastAsia" w:eastAsiaTheme="majorEastAsia" w:cstheme="majorEastAsia"/>
          <w:szCs w:val="21"/>
        </w:rPr>
        <w:t>元/次。</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3.由于乙方原因造成甲方停水、停电、设备事故、人身受伤或影响员工正常生活，由乙方承担全部责任。</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4.甲方对施工现场的安全监督检查意见（包括监理人员违章及处罚情况、安全隐患情况等），以书面形式通知乙方，并双方签字确认，作为安全考核依据。</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5.乙方有义务指导施工单位进行安全生产，乙方对施工单位的安全事故负连带责任：甲方每发现施工单位一次违章行为，收取乙方安全违约金</w:t>
      </w:r>
      <w:r>
        <w:rPr>
          <w:rFonts w:hint="eastAsia" w:asciiTheme="majorEastAsia" w:hAnsiTheme="majorEastAsia" w:eastAsiaTheme="majorEastAsia" w:cstheme="majorEastAsia"/>
          <w:szCs w:val="21"/>
          <w:u w:val="single"/>
        </w:rPr>
        <w:t>100</w:t>
      </w:r>
      <w:r>
        <w:rPr>
          <w:rFonts w:hint="eastAsia" w:asciiTheme="majorEastAsia" w:hAnsiTheme="majorEastAsia" w:eastAsiaTheme="majorEastAsia" w:cstheme="majorEastAsia"/>
          <w:szCs w:val="21"/>
        </w:rPr>
        <w:t>元，严重的收取安全违约金</w:t>
      </w:r>
      <w:r>
        <w:rPr>
          <w:rFonts w:hint="eastAsia" w:asciiTheme="majorEastAsia" w:hAnsiTheme="majorEastAsia" w:eastAsiaTheme="majorEastAsia" w:cstheme="majorEastAsia"/>
          <w:szCs w:val="21"/>
          <w:u w:val="single"/>
        </w:rPr>
        <w:t>200</w:t>
      </w:r>
      <w:r>
        <w:rPr>
          <w:rFonts w:hint="eastAsia" w:asciiTheme="majorEastAsia" w:hAnsiTheme="majorEastAsia" w:eastAsiaTheme="majorEastAsia" w:cstheme="majorEastAsia"/>
          <w:szCs w:val="21"/>
        </w:rPr>
        <w:t>元；施工单位施工中发生一起轻伤事故，甲方收取乙方安全违约金的</w:t>
      </w:r>
      <w:r>
        <w:rPr>
          <w:rFonts w:hint="eastAsia" w:asciiTheme="majorEastAsia" w:hAnsiTheme="majorEastAsia" w:eastAsiaTheme="majorEastAsia" w:cstheme="majorEastAsia"/>
          <w:szCs w:val="21"/>
          <w:u w:val="single"/>
        </w:rPr>
        <w:t>500</w:t>
      </w:r>
      <w:r>
        <w:rPr>
          <w:rFonts w:hint="eastAsia" w:asciiTheme="majorEastAsia" w:hAnsiTheme="majorEastAsia" w:eastAsiaTheme="majorEastAsia" w:cstheme="majorEastAsia"/>
          <w:szCs w:val="21"/>
        </w:rPr>
        <w:t>元，发生重伤事故的，甲方收取乙方安全违约金</w:t>
      </w:r>
      <w:r>
        <w:rPr>
          <w:rFonts w:hint="eastAsia" w:asciiTheme="majorEastAsia" w:hAnsiTheme="majorEastAsia" w:eastAsiaTheme="majorEastAsia" w:cstheme="majorEastAsia"/>
          <w:szCs w:val="21"/>
          <w:u w:val="single"/>
        </w:rPr>
        <w:t>2000</w:t>
      </w:r>
      <w:r>
        <w:rPr>
          <w:rFonts w:hint="eastAsia" w:asciiTheme="majorEastAsia" w:hAnsiTheme="majorEastAsia" w:eastAsiaTheme="majorEastAsia" w:cstheme="majorEastAsia"/>
          <w:szCs w:val="21"/>
        </w:rPr>
        <w:t>元/次，施工单位施工中发生死亡事故的，甲方收取乙方安全违约金</w:t>
      </w:r>
      <w:r>
        <w:rPr>
          <w:rFonts w:hint="eastAsia" w:asciiTheme="majorEastAsia" w:hAnsiTheme="majorEastAsia" w:eastAsiaTheme="majorEastAsia" w:cstheme="majorEastAsia"/>
          <w:szCs w:val="21"/>
          <w:u w:val="single"/>
        </w:rPr>
        <w:t>10000</w:t>
      </w:r>
      <w:r>
        <w:rPr>
          <w:rFonts w:hint="eastAsia" w:asciiTheme="majorEastAsia" w:hAnsiTheme="majorEastAsia" w:eastAsiaTheme="majorEastAsia" w:cstheme="majorEastAsia"/>
          <w:szCs w:val="21"/>
        </w:rPr>
        <w:t>元/次，施工单位施工中发生事故隐瞒不报的，甲方收取乙方安全违约金</w:t>
      </w:r>
      <w:r>
        <w:rPr>
          <w:rFonts w:hint="eastAsia" w:asciiTheme="majorEastAsia" w:hAnsiTheme="majorEastAsia" w:eastAsiaTheme="majorEastAsia" w:cstheme="majorEastAsia"/>
          <w:szCs w:val="21"/>
          <w:u w:val="single"/>
        </w:rPr>
        <w:t>20000</w:t>
      </w:r>
      <w:r>
        <w:rPr>
          <w:rFonts w:hint="eastAsia" w:asciiTheme="majorEastAsia" w:hAnsiTheme="majorEastAsia" w:eastAsiaTheme="majorEastAsia" w:cstheme="majorEastAsia"/>
          <w:szCs w:val="21"/>
        </w:rPr>
        <w:t>元/次。</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6.乙方支付违约金后不免除应由乙方承担的其他一切责任及风险。</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7.甲方对施工现场的安全检查、监督、督促等行为不构成安全责任行为，即监理、施工中一切安全事故责任均由乙方或承包方承担责任，甲方不承担任何责任。</w:t>
      </w:r>
    </w:p>
    <w:p>
      <w:pPr>
        <w:spacing w:line="460" w:lineRule="exact"/>
        <w:ind w:firstLine="422" w:firstLineChars="200"/>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四、违约责任及处罚</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1.由于甲方或乙方责任造成对方或第三方的人身伤害、设备损坏等财产损失，由责任方承担相应责任，并赔偿对方或第三方因此造成的全部损失。</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2.合同履行中，发现施工单位提供的有关资质材料有误、不符合要求或无效，乙方要负监督不力的责任。</w:t>
      </w:r>
    </w:p>
    <w:p>
      <w:pPr>
        <w:spacing w:line="360" w:lineRule="auto"/>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未设置安监人员；未对施工组织设计中的安全技术措施或者专项施工方案进行审查的；发现安全事故隐患未及时要求施工单位整改或者采取有效措施的；对于施工单位拒不整改或者不采取有效措施，未及时向甲方报告的；乙方监督不力，施工单位用于本工程项目的施工机械、工器具及安全防护用品达不到安全施工需要的。均视为乙方违约，甲方有权要求乙方立即整改，在该等情形下发生重大安全事故且构成犯罪的，直接责任人员移交司法部门处理；造成损失的赔偿经济损失。</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4.乙方人员随意到其他生产区域或擅自动用甲方的设施设备等，乙方按100-500元/人次承担违约责任；由此引发安全事故或造成损失的，由乙方承担全部责任。</w:t>
      </w:r>
    </w:p>
    <w:p>
      <w:pPr>
        <w:spacing w:line="46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5.乙方在本协议中承担违约责任或作出有关赔偿的，并不免除或减轻其在主监理合同下的违约责任。</w:t>
      </w:r>
    </w:p>
    <w:p>
      <w:pPr>
        <w:tabs>
          <w:tab w:val="left" w:pos="824"/>
        </w:tabs>
        <w:spacing w:line="465"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甲方（盖章）：                            乙方（盖章）：</w:t>
      </w:r>
    </w:p>
    <w:p>
      <w:pPr>
        <w:snapToGrid w:val="0"/>
        <w:spacing w:line="360" w:lineRule="auto"/>
        <w:outlineLvl w:val="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br w:type="page"/>
      </w:r>
      <w:bookmarkStart w:id="17" w:name="_Toc24331717"/>
      <w:r>
        <w:rPr>
          <w:rFonts w:hint="eastAsia" w:asciiTheme="majorEastAsia" w:hAnsiTheme="majorEastAsia" w:eastAsiaTheme="majorEastAsia" w:cstheme="majorEastAsia"/>
          <w:szCs w:val="21"/>
        </w:rPr>
        <w:t>附件3  监理人员名单</w:t>
      </w:r>
      <w:bookmarkEnd w:id="17"/>
    </w:p>
    <w:p>
      <w:pPr>
        <w:spacing w:line="480" w:lineRule="auto"/>
        <w:ind w:firstLine="3057" w:firstLineChars="145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szCs w:val="21"/>
        </w:rPr>
        <w:t>监理人员名单</w:t>
      </w:r>
    </w:p>
    <w:tbl>
      <w:tblPr>
        <w:tblStyle w:val="36"/>
        <w:tblW w:w="877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97"/>
        <w:gridCol w:w="895"/>
        <w:gridCol w:w="457"/>
        <w:gridCol w:w="695"/>
        <w:gridCol w:w="1465"/>
        <w:gridCol w:w="1588"/>
        <w:gridCol w:w="31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序号</w:t>
            </w: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姓名</w:t>
            </w: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性别</w:t>
            </w: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年龄</w:t>
            </w: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技术职称</w:t>
            </w: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拟担任的监理职务</w:t>
            </w: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监理工程师注册</w:t>
            </w:r>
          </w:p>
          <w:p>
            <w:pPr>
              <w:widowControl/>
              <w:snapToGrid w:val="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（或岗位）证号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blHeader/>
        </w:trPr>
        <w:tc>
          <w:tcPr>
            <w:tcW w:w="49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8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457"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69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465"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1588" w:type="dxa"/>
            <w:noWrap w:val="0"/>
            <w:vAlign w:val="center"/>
          </w:tcPr>
          <w:p>
            <w:pPr>
              <w:widowControl/>
              <w:snapToGrid w:val="0"/>
              <w:jc w:val="center"/>
              <w:rPr>
                <w:rFonts w:hint="eastAsia" w:asciiTheme="majorEastAsia" w:hAnsiTheme="majorEastAsia" w:eastAsiaTheme="majorEastAsia" w:cstheme="majorEastAsia"/>
                <w:b/>
                <w:sz w:val="24"/>
                <w:szCs w:val="24"/>
              </w:rPr>
            </w:pPr>
          </w:p>
        </w:tc>
        <w:tc>
          <w:tcPr>
            <w:tcW w:w="3177" w:type="dxa"/>
            <w:noWrap w:val="0"/>
            <w:vAlign w:val="center"/>
          </w:tcPr>
          <w:p>
            <w:pPr>
              <w:widowControl/>
              <w:snapToGrid w:val="0"/>
              <w:jc w:val="center"/>
              <w:rPr>
                <w:rFonts w:hint="eastAsia" w:asciiTheme="majorEastAsia" w:hAnsiTheme="majorEastAsia" w:eastAsiaTheme="majorEastAsia" w:cstheme="majorEastAsia"/>
                <w:b/>
                <w:sz w:val="24"/>
                <w:szCs w:val="24"/>
              </w:rPr>
            </w:pPr>
          </w:p>
        </w:tc>
      </w:tr>
    </w:tbl>
    <w:p>
      <w:pPr>
        <w:spacing w:line="480" w:lineRule="auto"/>
        <w:rPr>
          <w:rFonts w:hint="eastAsia" w:asciiTheme="majorEastAsia" w:hAnsiTheme="majorEastAsia" w:eastAsiaTheme="majorEastAsia" w:cstheme="majorEastAsia"/>
          <w:szCs w:val="21"/>
        </w:rPr>
      </w:pPr>
    </w:p>
    <w:p>
      <w:pPr>
        <w:keepNext/>
        <w:keepLines/>
        <w:spacing w:before="156" w:beforeLines="50" w:after="156" w:afterLines="50" w:line="360" w:lineRule="auto"/>
        <w:jc w:val="center"/>
        <w:outlineLvl w:val="0"/>
        <w:rPr>
          <w:rFonts w:hint="eastAsia" w:asciiTheme="majorEastAsia" w:hAnsiTheme="majorEastAsia" w:eastAsiaTheme="majorEastAsia" w:cstheme="majorEastAsia"/>
          <w:sz w:val="24"/>
        </w:rPr>
      </w:pPr>
      <w:bookmarkStart w:id="18" w:name="_Toc516498111"/>
      <w:bookmarkStart w:id="19" w:name="_Toc509241259"/>
      <w:r>
        <w:rPr>
          <w:rFonts w:hint="eastAsia" w:asciiTheme="majorEastAsia" w:hAnsiTheme="majorEastAsia" w:eastAsiaTheme="majorEastAsia" w:cstheme="majorEastAsia"/>
          <w:b/>
          <w:sz w:val="32"/>
          <w:szCs w:val="21"/>
        </w:rPr>
        <w:br w:type="page"/>
      </w:r>
      <w:bookmarkStart w:id="20" w:name="_Toc24331718"/>
      <w:r>
        <w:rPr>
          <w:rFonts w:hint="eastAsia" w:asciiTheme="majorEastAsia" w:hAnsiTheme="majorEastAsia" w:eastAsiaTheme="majorEastAsia" w:cstheme="majorEastAsia"/>
          <w:b/>
          <w:sz w:val="32"/>
          <w:szCs w:val="21"/>
        </w:rPr>
        <w:t>第四章技术标准和要求</w:t>
      </w:r>
      <w:bookmarkEnd w:id="18"/>
      <w:bookmarkEnd w:id="19"/>
      <w:bookmarkEnd w:id="20"/>
      <w:bookmarkStart w:id="21" w:name="_3__投标文件"/>
      <w:bookmarkEnd w:id="21"/>
      <w:bookmarkStart w:id="22" w:name="_Toc1582"/>
      <w:bookmarkStart w:id="23" w:name="_Toc6359"/>
      <w:bookmarkStart w:id="24" w:name="_Toc264995735"/>
      <w:bookmarkStart w:id="25" w:name="_Toc232565437"/>
      <w:bookmarkStart w:id="26" w:name="_Toc24334"/>
      <w:bookmarkStart w:id="27" w:name="_Toc351533875"/>
      <w:bookmarkStart w:id="28" w:name="_Toc20352"/>
    </w:p>
    <w:p>
      <w:pPr>
        <w:pStyle w:val="4"/>
        <w:spacing w:line="360" w:lineRule="auto"/>
        <w:rPr>
          <w:rFonts w:hint="eastAsia" w:asciiTheme="majorEastAsia" w:hAnsiTheme="majorEastAsia" w:eastAsiaTheme="majorEastAsia" w:cstheme="majorEastAsia"/>
          <w:b w:val="0"/>
          <w:sz w:val="24"/>
          <w:szCs w:val="24"/>
        </w:rPr>
      </w:pPr>
      <w:bookmarkStart w:id="29" w:name="_Toc24331720"/>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.监理依据</w:t>
      </w:r>
      <w:bookmarkEnd w:id="22"/>
      <w:bookmarkEnd w:id="23"/>
      <w:bookmarkEnd w:id="24"/>
      <w:bookmarkEnd w:id="25"/>
      <w:bookmarkEnd w:id="26"/>
      <w:bookmarkEnd w:id="27"/>
      <w:bookmarkEnd w:id="28"/>
      <w:bookmarkEnd w:id="29"/>
    </w:p>
    <w:p>
      <w:pPr>
        <w:tabs>
          <w:tab w:val="left" w:pos="82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.1国家和工程所在地现行的有关工程建设及建设监理的法律、法规、规章、规范、标准。</w:t>
      </w:r>
    </w:p>
    <w:p>
      <w:pPr>
        <w:tabs>
          <w:tab w:val="left" w:pos="82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.2政府或甲方或甲方上级机构批准的建设计划、规划要点、设计要点及有关文件。</w:t>
      </w:r>
    </w:p>
    <w:p>
      <w:pPr>
        <w:tabs>
          <w:tab w:val="left" w:pos="82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.3监理合同及甲方与第三方签订的与实施工程有关的其他合同。</w:t>
      </w:r>
    </w:p>
    <w:p>
      <w:pPr>
        <w:tabs>
          <w:tab w:val="left" w:pos="82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.4正式的设计文件、图纸及说明。</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.5甲方的工程管理规定等。</w:t>
      </w:r>
    </w:p>
    <w:p>
      <w:pPr>
        <w:pStyle w:val="5"/>
        <w:spacing w:line="360" w:lineRule="auto"/>
        <w:ind w:lef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.6工程监理应遵守现行的国家法律法规、标准规范（不仅限于此）如下，当遇有修订时，执行新修订版本。若投标人选用本条款以外的标准时，则应提供相关的标准、规范供</w:t>
      </w:r>
      <w:r>
        <w:rPr>
          <w:rFonts w:hint="eastAsia" w:asciiTheme="majorEastAsia" w:hAnsiTheme="majorEastAsia" w:eastAsiaTheme="majorEastAsia" w:cstheme="majorEastAsia"/>
          <w:sz w:val="24"/>
          <w:szCs w:val="24"/>
          <w:lang w:eastAsia="zh-CN"/>
        </w:rPr>
        <w:t>采购人</w:t>
      </w:r>
      <w:r>
        <w:rPr>
          <w:rFonts w:hint="eastAsia" w:asciiTheme="majorEastAsia" w:hAnsiTheme="majorEastAsia" w:eastAsiaTheme="majorEastAsia" w:cstheme="majorEastAsia"/>
          <w:sz w:val="24"/>
          <w:szCs w:val="24"/>
        </w:rPr>
        <w:t>审查。</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国家和广东省关于市政工程监理的有关规定</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《建筑工程施工质量验收统一标准》（GB50300-2001）</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《砌体工程施工质量验收规范》（GB50203-2002）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《混凝土结构工程施工质量验收规范》（GB50204-2002）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《钢结构工程施工质量验收规范》（GB50205-2001）</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《地下防水工程施工质量验收规范》（GB50208-2002）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《建筑地面工程施工质量验收规范》（GB50209-2002）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《给水排水构筑物工程施工及验收规范》（GB50141-2008）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《混凝土质量控制标准》（GB50164-92）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《钢筋混凝土工程施工及验收规范》（GB50204-2002）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《工业金属管道工程施工及验收规范》（GB50235-97）</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《现场设备、工业管道焊接工程施工及验收规范》（GB50236-98）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《建筑电气安装工程质量验收规范》（GBJ303-88）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《机械设备安装工程施工及验收通用规范》（GB50231-98）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《城市工程管线综合规划规范》 （GB 50289-2016）</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《给水排水管道工程施工及验收规范》（GB50268-2008）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《建设工程监理规范》（GB 50319-2012）　</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《建设工程项目管理规范》（GB／T　50326-2006）　</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《建筑施工安全检查标准》（JGJ 59-2011）</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《建筑施工作业劳动保护用品配备及使用标准》（JGJ 184-2009）</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《建筑工程资料管理规程》（JGJ∕T　185-2009）　</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《施工现场临时建筑物技术规程》（JGJ／T 188-2009）</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《建筑施工现场环境与卫生标准》（JGJ 146-2004）</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《建设工程施工现场消防安全技术规范》（GB 50720—2011）</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《建设工程施工现场供用电安全规范》（GB 50194-93）</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《施工现场临时用电安全技术规范》（JGJ 46-2005）</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《施工现场机械设备检查技术规程》（JGJ 160-2008）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《建筑机械使用安全技术规程》（JGJ 33-2012）</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《建筑施工土石方工程安全技术规范》（JGJ 180-2009）　</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《建筑施工模板安全技术规范》（JGJ 162-2008）</w:t>
      </w:r>
    </w:p>
    <w:p>
      <w:pPr>
        <w:numPr>
          <w:ilvl w:val="0"/>
          <w:numId w:val="3"/>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《建筑施工高处作业安全技术规范》（JGJ　80-91）</w:t>
      </w:r>
    </w:p>
    <w:p>
      <w:pPr>
        <w:pStyle w:val="4"/>
        <w:spacing w:line="360" w:lineRule="auto"/>
        <w:rPr>
          <w:rFonts w:hint="eastAsia" w:asciiTheme="majorEastAsia" w:hAnsiTheme="majorEastAsia" w:eastAsiaTheme="majorEastAsia" w:cstheme="majorEastAsia"/>
          <w:b w:val="0"/>
          <w:sz w:val="24"/>
          <w:szCs w:val="24"/>
        </w:rPr>
      </w:pPr>
      <w:bookmarkStart w:id="30" w:name="_Toc21080"/>
      <w:bookmarkStart w:id="31" w:name="_Toc878"/>
      <w:bookmarkStart w:id="32" w:name="_Toc16220"/>
      <w:bookmarkStart w:id="33" w:name="_Toc229248278"/>
      <w:bookmarkStart w:id="34" w:name="_Toc4547"/>
      <w:bookmarkStart w:id="35" w:name="_Toc264995736"/>
      <w:bookmarkStart w:id="36" w:name="_Toc24331721"/>
      <w:bookmarkStart w:id="37" w:name="_Toc351533876"/>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.技术服务范围</w:t>
      </w:r>
      <w:bookmarkEnd w:id="30"/>
      <w:bookmarkEnd w:id="31"/>
      <w:bookmarkEnd w:id="32"/>
      <w:bookmarkEnd w:id="33"/>
      <w:bookmarkEnd w:id="34"/>
      <w:bookmarkEnd w:id="35"/>
      <w:bookmarkEnd w:id="36"/>
      <w:bookmarkEnd w:id="37"/>
    </w:p>
    <w:p>
      <w:pPr>
        <w:pStyle w:val="5"/>
        <w:spacing w:line="360" w:lineRule="auto"/>
        <w:ind w:lef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.1工程范围</w:t>
      </w:r>
    </w:p>
    <w:p>
      <w:pPr>
        <w:spacing w:line="360" w:lineRule="auto"/>
        <w:ind w:firstLine="480"/>
        <w:outlineLvl w:val="0"/>
        <w:rPr>
          <w:rFonts w:hint="eastAsia" w:asciiTheme="majorEastAsia" w:hAnsiTheme="majorEastAsia" w:eastAsiaTheme="majorEastAsia" w:cstheme="majorEastAsia"/>
          <w:sz w:val="24"/>
          <w:szCs w:val="24"/>
        </w:rPr>
      </w:pPr>
      <w:bookmarkStart w:id="38" w:name="_Toc24331064"/>
      <w:bookmarkStart w:id="39" w:name="_Toc20646"/>
      <w:bookmarkStart w:id="40" w:name="_Toc24331722"/>
      <w:r>
        <w:rPr>
          <w:rFonts w:hint="eastAsia" w:asciiTheme="majorEastAsia" w:hAnsiTheme="majorEastAsia" w:eastAsiaTheme="majorEastAsia" w:cstheme="majorEastAsia"/>
          <w:sz w:val="24"/>
          <w:szCs w:val="24"/>
        </w:rPr>
        <w:t>工程建设监理内容包括但不限于以下内容：本项目所涉及的所有</w:t>
      </w:r>
      <w:r>
        <w:rPr>
          <w:rFonts w:hint="eastAsia" w:asciiTheme="majorEastAsia" w:hAnsiTheme="majorEastAsia" w:eastAsiaTheme="majorEastAsia" w:cstheme="majorEastAsia"/>
          <w:sz w:val="24"/>
          <w:szCs w:val="24"/>
          <w:u w:val="single"/>
          <w:lang w:val="en-US" w:eastAsia="zh-CN"/>
        </w:rPr>
        <w:t>市南路快速</w:t>
      </w:r>
      <w:r>
        <w:rPr>
          <w:rFonts w:hint="eastAsia" w:asciiTheme="majorEastAsia" w:hAnsiTheme="majorEastAsia" w:eastAsiaTheme="majorEastAsia" w:cstheme="majorEastAsia"/>
          <w:sz w:val="24"/>
          <w:szCs w:val="24"/>
          <w:u w:val="single"/>
        </w:rPr>
        <w:t>化改造项目供水管迁改等5个</w:t>
      </w:r>
      <w:r>
        <w:rPr>
          <w:rFonts w:hint="eastAsia" w:asciiTheme="majorEastAsia" w:hAnsiTheme="majorEastAsia" w:eastAsiaTheme="majorEastAsia" w:cstheme="majorEastAsia"/>
          <w:sz w:val="24"/>
          <w:szCs w:val="24"/>
          <w:u w:val="single"/>
          <w:lang w:val="en-US" w:eastAsia="zh-CN"/>
        </w:rPr>
        <w:t>工程</w:t>
      </w:r>
      <w:r>
        <w:rPr>
          <w:rFonts w:hint="eastAsia" w:asciiTheme="majorEastAsia" w:hAnsiTheme="majorEastAsia" w:eastAsiaTheme="majorEastAsia" w:cstheme="majorEastAsia"/>
          <w:sz w:val="24"/>
          <w:szCs w:val="24"/>
        </w:rPr>
        <w:t>项</w:t>
      </w:r>
      <w:r>
        <w:rPr>
          <w:rFonts w:hint="eastAsia" w:asciiTheme="majorEastAsia" w:hAnsiTheme="majorEastAsia" w:eastAsiaTheme="majorEastAsia" w:cstheme="majorEastAsia"/>
          <w:sz w:val="24"/>
          <w:szCs w:val="22"/>
        </w:rPr>
        <w:t>目</w:t>
      </w:r>
      <w:r>
        <w:rPr>
          <w:rFonts w:hint="eastAsia" w:asciiTheme="majorEastAsia" w:hAnsiTheme="majorEastAsia" w:eastAsiaTheme="majorEastAsia" w:cstheme="majorEastAsia"/>
          <w:sz w:val="24"/>
          <w:szCs w:val="24"/>
        </w:rPr>
        <w:t>的施工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造价</w:t>
      </w:r>
      <w:r>
        <w:rPr>
          <w:rFonts w:hint="eastAsia" w:asciiTheme="majorEastAsia" w:hAnsiTheme="majorEastAsia" w:eastAsiaTheme="majorEastAsia" w:cstheme="majorEastAsia"/>
          <w:sz w:val="24"/>
          <w:szCs w:val="24"/>
        </w:rPr>
        <w:t>监理。以及工程进度控制、施工安全管理</w:t>
      </w:r>
      <w:r>
        <w:rPr>
          <w:rFonts w:hint="eastAsia" w:asciiTheme="majorEastAsia" w:hAnsiTheme="majorEastAsia" w:eastAsiaTheme="majorEastAsia" w:cstheme="majorEastAsia"/>
          <w:sz w:val="24"/>
        </w:rPr>
        <w:t>以及</w:t>
      </w:r>
      <w:r>
        <w:rPr>
          <w:rFonts w:hint="eastAsia" w:asciiTheme="majorEastAsia" w:hAnsiTheme="majorEastAsia" w:eastAsiaTheme="majorEastAsia" w:cstheme="majorEastAsia"/>
          <w:sz w:val="24"/>
          <w:szCs w:val="24"/>
        </w:rPr>
        <w:t>完成本项目所必须的配套和附属工程监理。</w:t>
      </w:r>
      <w:bookmarkEnd w:id="38"/>
      <w:bookmarkEnd w:id="39"/>
      <w:bookmarkEnd w:id="40"/>
    </w:p>
    <w:p>
      <w:pPr>
        <w:spacing w:line="360" w:lineRule="auto"/>
        <w:ind w:firstLine="48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工程监理工作内容包括：协助发包人进行工程建设施工管理，在施工阶段（含施工准备阶段）、质量保修阶段提供相应的监理服务。</w:t>
      </w:r>
    </w:p>
    <w:p>
      <w:pPr>
        <w:pStyle w:val="5"/>
        <w:spacing w:line="360" w:lineRule="auto"/>
        <w:ind w:lef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.2 监理阶段和监理专业</w:t>
      </w:r>
    </w:p>
    <w:p>
      <w:pPr>
        <w:spacing w:line="360" w:lineRule="auto"/>
        <w:ind w:firstLine="480"/>
        <w:outlineLvl w:val="0"/>
        <w:rPr>
          <w:rFonts w:hint="eastAsia" w:asciiTheme="majorEastAsia" w:hAnsiTheme="majorEastAsia" w:eastAsiaTheme="majorEastAsia" w:cstheme="majorEastAsia"/>
          <w:sz w:val="24"/>
          <w:szCs w:val="24"/>
        </w:rPr>
      </w:pPr>
      <w:bookmarkStart w:id="41" w:name="_Toc24331723"/>
      <w:bookmarkStart w:id="42" w:name="_Toc24331065"/>
      <w:r>
        <w:rPr>
          <w:rFonts w:hint="eastAsia" w:asciiTheme="majorEastAsia" w:hAnsiTheme="majorEastAsia" w:eastAsiaTheme="majorEastAsia" w:cstheme="majorEastAsia"/>
          <w:sz w:val="24"/>
          <w:szCs w:val="24"/>
        </w:rPr>
        <w:t>本项目监理服务包括前述工程范围内所有工程项目的施工、试运行及后续服务、质保期等3个阶段。</w:t>
      </w:r>
      <w:bookmarkEnd w:id="41"/>
      <w:bookmarkEnd w:id="42"/>
    </w:p>
    <w:p>
      <w:pPr>
        <w:spacing w:line="360" w:lineRule="auto"/>
        <w:ind w:firstLine="480"/>
        <w:outlineLvl w:val="0"/>
        <w:rPr>
          <w:rFonts w:hint="eastAsia" w:asciiTheme="majorEastAsia" w:hAnsiTheme="majorEastAsia" w:eastAsiaTheme="majorEastAsia" w:cstheme="majorEastAsia"/>
          <w:sz w:val="24"/>
          <w:szCs w:val="24"/>
        </w:rPr>
      </w:pPr>
      <w:bookmarkStart w:id="43" w:name="_Toc24331066"/>
      <w:bookmarkStart w:id="44" w:name="_Toc24331724"/>
      <w:r>
        <w:rPr>
          <w:rFonts w:hint="eastAsia" w:asciiTheme="majorEastAsia" w:hAnsiTheme="majorEastAsia" w:eastAsiaTheme="majorEastAsia" w:cstheme="majorEastAsia"/>
          <w:sz w:val="24"/>
          <w:szCs w:val="24"/>
        </w:rPr>
        <w:t>本项目监理服务包括但不限于工程建设所涉及的造价、建筑、结构、机械、电气、自控等专业。</w:t>
      </w:r>
      <w:bookmarkEnd w:id="43"/>
      <w:bookmarkEnd w:id="44"/>
      <w:bookmarkStart w:id="45" w:name="_Toc224360827"/>
      <w:bookmarkEnd w:id="45"/>
      <w:bookmarkStart w:id="46" w:name="_Toc224360821"/>
      <w:bookmarkEnd w:id="46"/>
      <w:bookmarkStart w:id="47" w:name="_Toc224360829"/>
      <w:bookmarkEnd w:id="47"/>
      <w:bookmarkStart w:id="48" w:name="_Toc224360882"/>
      <w:bookmarkEnd w:id="48"/>
      <w:bookmarkStart w:id="49" w:name="_Toc222136609"/>
      <w:bookmarkEnd w:id="49"/>
      <w:bookmarkStart w:id="50" w:name="_Toc224360881"/>
      <w:bookmarkEnd w:id="50"/>
      <w:bookmarkStart w:id="51" w:name="_Toc224360825"/>
      <w:bookmarkEnd w:id="51"/>
      <w:bookmarkStart w:id="52" w:name="_Toc224360890"/>
      <w:bookmarkEnd w:id="52"/>
      <w:bookmarkStart w:id="53" w:name="_Toc224360826"/>
      <w:bookmarkEnd w:id="53"/>
      <w:bookmarkStart w:id="54" w:name="_Toc224360831"/>
      <w:bookmarkEnd w:id="54"/>
      <w:bookmarkStart w:id="55" w:name="_Toc224360828"/>
      <w:bookmarkEnd w:id="55"/>
      <w:bookmarkStart w:id="56" w:name="_Toc224360824"/>
      <w:bookmarkEnd w:id="56"/>
      <w:bookmarkStart w:id="57" w:name="_Toc224360822"/>
      <w:bookmarkEnd w:id="57"/>
      <w:bookmarkStart w:id="58" w:name="_Toc224360885"/>
      <w:bookmarkEnd w:id="58"/>
      <w:bookmarkStart w:id="59" w:name="_Toc224360883"/>
      <w:bookmarkEnd w:id="59"/>
      <w:bookmarkStart w:id="60" w:name="_Toc224360889"/>
      <w:bookmarkEnd w:id="60"/>
      <w:bookmarkStart w:id="61" w:name="_Toc225075423"/>
      <w:bookmarkEnd w:id="61"/>
      <w:bookmarkStart w:id="62" w:name="_Toc224360823"/>
      <w:bookmarkEnd w:id="62"/>
      <w:bookmarkStart w:id="63" w:name="_Toc224360830"/>
      <w:bookmarkEnd w:id="63"/>
      <w:bookmarkStart w:id="64" w:name="_Toc225075421"/>
      <w:bookmarkEnd w:id="64"/>
      <w:bookmarkStart w:id="65" w:name="_Toc224360832"/>
      <w:bookmarkEnd w:id="65"/>
      <w:bookmarkStart w:id="66" w:name="_Toc224360880"/>
      <w:bookmarkEnd w:id="66"/>
      <w:bookmarkStart w:id="67" w:name="_Toc224360888"/>
      <w:bookmarkEnd w:id="67"/>
      <w:bookmarkStart w:id="68" w:name="_Toc225075420"/>
      <w:bookmarkEnd w:id="68"/>
      <w:bookmarkStart w:id="69" w:name="_Toc224360891"/>
      <w:bookmarkEnd w:id="69"/>
      <w:bookmarkStart w:id="70" w:name="_Toc224360887"/>
      <w:bookmarkEnd w:id="70"/>
      <w:bookmarkStart w:id="71" w:name="_Toc224360884"/>
      <w:bookmarkEnd w:id="71"/>
      <w:bookmarkStart w:id="72" w:name="_Toc224360886"/>
      <w:bookmarkEnd w:id="72"/>
    </w:p>
    <w:p>
      <w:pPr>
        <w:snapToGrid w:val="0"/>
        <w:spacing w:line="360" w:lineRule="auto"/>
        <w:jc w:val="left"/>
        <w:outlineLvl w:val="1"/>
        <w:rPr>
          <w:rFonts w:hint="eastAsia" w:asciiTheme="majorEastAsia" w:hAnsiTheme="majorEastAsia" w:eastAsiaTheme="majorEastAsia" w:cstheme="majorEastAsia"/>
          <w:szCs w:val="21"/>
        </w:rPr>
      </w:pPr>
    </w:p>
    <w:p>
      <w:pPr>
        <w:rPr>
          <w:rFonts w:hint="eastAsia" w:asciiTheme="majorEastAsia" w:hAnsiTheme="majorEastAsia" w:eastAsiaTheme="majorEastAsia" w:cstheme="majorEastAsia"/>
        </w:rPr>
      </w:pPr>
    </w:p>
    <w:sectPr>
      <w:headerReference r:id="rId3" w:type="default"/>
      <w:footerReference r:id="rId4" w:type="default"/>
      <w:pgSz w:w="11906" w:h="16838"/>
      <w:pgMar w:top="1440" w:right="1800" w:bottom="1440" w:left="180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B5A1C16-5B4B-41F5-BFE2-7B882A4B15BA}"/>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00000" w:csb1="00000000"/>
  </w:font>
  <w:font w:name="仿宋体-10Point">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全真中明體">
    <w:altName w:val="MingLiU-ExtB"/>
    <w:panose1 w:val="00000000000000000000"/>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jc w:val="center"/>
                          </w:pPr>
                          <w:r>
                            <w:rPr>
                              <w:sz w:val="20"/>
                            </w:rPr>
                            <w:fldChar w:fldCharType="begin"/>
                          </w:r>
                          <w:r>
                            <w:rPr>
                              <w:sz w:val="20"/>
                            </w:rPr>
                            <w:instrText xml:space="preserve"> PAGE  \* ArabicDash  \* MERGEFORMAT </w:instrText>
                          </w:r>
                          <w:r>
                            <w:rPr>
                              <w:sz w:val="20"/>
                            </w:rPr>
                            <w:fldChar w:fldCharType="separate"/>
                          </w:r>
                          <w:r>
                            <w:rPr>
                              <w:sz w:val="20"/>
                            </w:rPr>
                            <w:t>- 20 -</w:t>
                          </w:r>
                          <w:r>
                            <w:rPr>
                              <w:sz w:val="20"/>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25"/>
                      <w:jc w:val="center"/>
                    </w:pPr>
                    <w:r>
                      <w:rPr>
                        <w:sz w:val="20"/>
                      </w:rPr>
                      <w:fldChar w:fldCharType="begin"/>
                    </w:r>
                    <w:r>
                      <w:rPr>
                        <w:sz w:val="20"/>
                      </w:rPr>
                      <w:instrText xml:space="preserve"> PAGE  \* ArabicDash  \* MERGEFORMAT </w:instrText>
                    </w:r>
                    <w:r>
                      <w:rPr>
                        <w:sz w:val="20"/>
                      </w:rPr>
                      <w:fldChar w:fldCharType="separate"/>
                    </w:r>
                    <w:r>
                      <w:rPr>
                        <w:sz w:val="20"/>
                      </w:rPr>
                      <w:t>- 20 -</w:t>
                    </w:r>
                    <w:r>
                      <w:rPr>
                        <w:sz w:val="20"/>
                      </w:rP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90B63"/>
    <w:multiLevelType w:val="singleLevel"/>
    <w:tmpl w:val="81A90B63"/>
    <w:lvl w:ilvl="0" w:tentative="0">
      <w:start w:val="1"/>
      <w:numFmt w:val="decimal"/>
      <w:suff w:val="nothing"/>
      <w:lvlText w:val="（%1）"/>
      <w:lvlJc w:val="left"/>
    </w:lvl>
  </w:abstractNum>
  <w:abstractNum w:abstractNumId="1">
    <w:nsid w:val="FE473090"/>
    <w:multiLevelType w:val="singleLevel"/>
    <w:tmpl w:val="FE473090"/>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94"/>
      <w:lvlText w:val="%1)"/>
      <w:lvlJc w:val="left"/>
      <w:pPr>
        <w:tabs>
          <w:tab w:val="left" w:pos="900"/>
        </w:tabs>
        <w:ind w:left="900" w:hanging="420"/>
      </w:pPr>
      <w:rPr>
        <w:b w:val="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WE1MmEyNzU4NmQwOTIxMTg4YjM5MTk1Y2FkM2IifQ=="/>
  </w:docVars>
  <w:rsids>
    <w:rsidRoot w:val="00172A27"/>
    <w:rsid w:val="000010EA"/>
    <w:rsid w:val="0000723E"/>
    <w:rsid w:val="00007ECD"/>
    <w:rsid w:val="0001277D"/>
    <w:rsid w:val="00013020"/>
    <w:rsid w:val="00031755"/>
    <w:rsid w:val="00031AC8"/>
    <w:rsid w:val="00044307"/>
    <w:rsid w:val="0005182E"/>
    <w:rsid w:val="00062127"/>
    <w:rsid w:val="00070AD6"/>
    <w:rsid w:val="00070B54"/>
    <w:rsid w:val="00070D7C"/>
    <w:rsid w:val="00083982"/>
    <w:rsid w:val="000841EA"/>
    <w:rsid w:val="00086590"/>
    <w:rsid w:val="00092522"/>
    <w:rsid w:val="00092E45"/>
    <w:rsid w:val="00094DB0"/>
    <w:rsid w:val="00095103"/>
    <w:rsid w:val="000A0308"/>
    <w:rsid w:val="000A0F28"/>
    <w:rsid w:val="000A306B"/>
    <w:rsid w:val="000A6FC4"/>
    <w:rsid w:val="000B0DC0"/>
    <w:rsid w:val="000B6525"/>
    <w:rsid w:val="000B77E6"/>
    <w:rsid w:val="000C0998"/>
    <w:rsid w:val="000D2ED2"/>
    <w:rsid w:val="000D433A"/>
    <w:rsid w:val="000D5268"/>
    <w:rsid w:val="000D60DD"/>
    <w:rsid w:val="000E206F"/>
    <w:rsid w:val="000E4379"/>
    <w:rsid w:val="000E4B1E"/>
    <w:rsid w:val="000F0F95"/>
    <w:rsid w:val="000F347F"/>
    <w:rsid w:val="000F586C"/>
    <w:rsid w:val="00100743"/>
    <w:rsid w:val="001030AF"/>
    <w:rsid w:val="00103E86"/>
    <w:rsid w:val="00114F5D"/>
    <w:rsid w:val="0012094F"/>
    <w:rsid w:val="00120E44"/>
    <w:rsid w:val="0012266D"/>
    <w:rsid w:val="001257D6"/>
    <w:rsid w:val="00127B13"/>
    <w:rsid w:val="00133A9F"/>
    <w:rsid w:val="0014437E"/>
    <w:rsid w:val="001517DC"/>
    <w:rsid w:val="00154D55"/>
    <w:rsid w:val="00155F67"/>
    <w:rsid w:val="00157CDD"/>
    <w:rsid w:val="00161775"/>
    <w:rsid w:val="00162979"/>
    <w:rsid w:val="00162B1E"/>
    <w:rsid w:val="00163B36"/>
    <w:rsid w:val="00164332"/>
    <w:rsid w:val="001652C7"/>
    <w:rsid w:val="00166629"/>
    <w:rsid w:val="001673C1"/>
    <w:rsid w:val="00172A27"/>
    <w:rsid w:val="001738EF"/>
    <w:rsid w:val="00176A01"/>
    <w:rsid w:val="001807CC"/>
    <w:rsid w:val="001815BC"/>
    <w:rsid w:val="00182350"/>
    <w:rsid w:val="00182403"/>
    <w:rsid w:val="00182DD5"/>
    <w:rsid w:val="00182EEE"/>
    <w:rsid w:val="00183202"/>
    <w:rsid w:val="00183F05"/>
    <w:rsid w:val="00187918"/>
    <w:rsid w:val="0019406D"/>
    <w:rsid w:val="0019757F"/>
    <w:rsid w:val="001A04C8"/>
    <w:rsid w:val="001A1542"/>
    <w:rsid w:val="001A232E"/>
    <w:rsid w:val="001A3F37"/>
    <w:rsid w:val="001A7E2C"/>
    <w:rsid w:val="001B198D"/>
    <w:rsid w:val="001B240F"/>
    <w:rsid w:val="001B3600"/>
    <w:rsid w:val="001C6AA0"/>
    <w:rsid w:val="001C6CE3"/>
    <w:rsid w:val="001C7FB6"/>
    <w:rsid w:val="001D0F6D"/>
    <w:rsid w:val="001D18E3"/>
    <w:rsid w:val="001D1F6D"/>
    <w:rsid w:val="001D4740"/>
    <w:rsid w:val="001D739F"/>
    <w:rsid w:val="001E0E2E"/>
    <w:rsid w:val="001E223C"/>
    <w:rsid w:val="001E5987"/>
    <w:rsid w:val="001E63B2"/>
    <w:rsid w:val="001E7829"/>
    <w:rsid w:val="001F148B"/>
    <w:rsid w:val="001F452C"/>
    <w:rsid w:val="001F5F41"/>
    <w:rsid w:val="001F7ABF"/>
    <w:rsid w:val="00200003"/>
    <w:rsid w:val="00205832"/>
    <w:rsid w:val="00206C32"/>
    <w:rsid w:val="0020798F"/>
    <w:rsid w:val="00210027"/>
    <w:rsid w:val="002101D1"/>
    <w:rsid w:val="002133F4"/>
    <w:rsid w:val="00213FAD"/>
    <w:rsid w:val="002158D8"/>
    <w:rsid w:val="002175E2"/>
    <w:rsid w:val="00225143"/>
    <w:rsid w:val="00230AC2"/>
    <w:rsid w:val="00232F38"/>
    <w:rsid w:val="002361D6"/>
    <w:rsid w:val="00241B22"/>
    <w:rsid w:val="002500F7"/>
    <w:rsid w:val="00253936"/>
    <w:rsid w:val="00255494"/>
    <w:rsid w:val="00257283"/>
    <w:rsid w:val="00257C15"/>
    <w:rsid w:val="00262DA2"/>
    <w:rsid w:val="0026593D"/>
    <w:rsid w:val="00270A35"/>
    <w:rsid w:val="002715D2"/>
    <w:rsid w:val="00273732"/>
    <w:rsid w:val="002748E4"/>
    <w:rsid w:val="002757FA"/>
    <w:rsid w:val="00275EF2"/>
    <w:rsid w:val="002770DB"/>
    <w:rsid w:val="002961BD"/>
    <w:rsid w:val="002A1306"/>
    <w:rsid w:val="002A1A9F"/>
    <w:rsid w:val="002A231A"/>
    <w:rsid w:val="002A2FAB"/>
    <w:rsid w:val="002A3D94"/>
    <w:rsid w:val="002A6DA6"/>
    <w:rsid w:val="002B1584"/>
    <w:rsid w:val="002C0DE1"/>
    <w:rsid w:val="002C271A"/>
    <w:rsid w:val="002C4A81"/>
    <w:rsid w:val="002C6737"/>
    <w:rsid w:val="002D2C10"/>
    <w:rsid w:val="002D4462"/>
    <w:rsid w:val="002D79A4"/>
    <w:rsid w:val="002E0661"/>
    <w:rsid w:val="002E1C8E"/>
    <w:rsid w:val="002E3570"/>
    <w:rsid w:val="002E4D59"/>
    <w:rsid w:val="002F068A"/>
    <w:rsid w:val="002F11DD"/>
    <w:rsid w:val="002F3BE6"/>
    <w:rsid w:val="002F463D"/>
    <w:rsid w:val="002F73FD"/>
    <w:rsid w:val="003050AA"/>
    <w:rsid w:val="00306E2D"/>
    <w:rsid w:val="003104CE"/>
    <w:rsid w:val="00311A6F"/>
    <w:rsid w:val="00314166"/>
    <w:rsid w:val="00315B4B"/>
    <w:rsid w:val="00323842"/>
    <w:rsid w:val="0032399E"/>
    <w:rsid w:val="00326E5D"/>
    <w:rsid w:val="0032738C"/>
    <w:rsid w:val="00330970"/>
    <w:rsid w:val="0033482D"/>
    <w:rsid w:val="00340F31"/>
    <w:rsid w:val="00350D0A"/>
    <w:rsid w:val="00354773"/>
    <w:rsid w:val="00354B1C"/>
    <w:rsid w:val="00356778"/>
    <w:rsid w:val="003575C5"/>
    <w:rsid w:val="00361C46"/>
    <w:rsid w:val="00363A67"/>
    <w:rsid w:val="00366FE2"/>
    <w:rsid w:val="00370E2B"/>
    <w:rsid w:val="00370F81"/>
    <w:rsid w:val="00371618"/>
    <w:rsid w:val="00373C91"/>
    <w:rsid w:val="00373EED"/>
    <w:rsid w:val="00373F27"/>
    <w:rsid w:val="00374752"/>
    <w:rsid w:val="00375C15"/>
    <w:rsid w:val="00377BCB"/>
    <w:rsid w:val="00381B65"/>
    <w:rsid w:val="00384577"/>
    <w:rsid w:val="00391B41"/>
    <w:rsid w:val="00392EE4"/>
    <w:rsid w:val="003A2A53"/>
    <w:rsid w:val="003B31C0"/>
    <w:rsid w:val="003B5D1F"/>
    <w:rsid w:val="003C209D"/>
    <w:rsid w:val="003C4A38"/>
    <w:rsid w:val="003C74C2"/>
    <w:rsid w:val="003D1CEB"/>
    <w:rsid w:val="003D5234"/>
    <w:rsid w:val="003D5E1E"/>
    <w:rsid w:val="003D724D"/>
    <w:rsid w:val="003D7C5B"/>
    <w:rsid w:val="003E0D1D"/>
    <w:rsid w:val="003E188D"/>
    <w:rsid w:val="003E3353"/>
    <w:rsid w:val="003E3440"/>
    <w:rsid w:val="003E36DC"/>
    <w:rsid w:val="003E6155"/>
    <w:rsid w:val="00401CC1"/>
    <w:rsid w:val="00404470"/>
    <w:rsid w:val="00404EBE"/>
    <w:rsid w:val="004058DC"/>
    <w:rsid w:val="00417471"/>
    <w:rsid w:val="00417D0E"/>
    <w:rsid w:val="00422ED8"/>
    <w:rsid w:val="00423C62"/>
    <w:rsid w:val="00425DF3"/>
    <w:rsid w:val="0042706B"/>
    <w:rsid w:val="0043359B"/>
    <w:rsid w:val="0043380D"/>
    <w:rsid w:val="004355E9"/>
    <w:rsid w:val="004370E3"/>
    <w:rsid w:val="00441069"/>
    <w:rsid w:val="00447933"/>
    <w:rsid w:val="004523EF"/>
    <w:rsid w:val="004535A9"/>
    <w:rsid w:val="00454903"/>
    <w:rsid w:val="00455A5A"/>
    <w:rsid w:val="00461B5E"/>
    <w:rsid w:val="00463082"/>
    <w:rsid w:val="004661F9"/>
    <w:rsid w:val="00466F1C"/>
    <w:rsid w:val="004707B8"/>
    <w:rsid w:val="00472F54"/>
    <w:rsid w:val="0047360E"/>
    <w:rsid w:val="00475856"/>
    <w:rsid w:val="004761F1"/>
    <w:rsid w:val="00477463"/>
    <w:rsid w:val="00477F2E"/>
    <w:rsid w:val="00477FA7"/>
    <w:rsid w:val="00493A10"/>
    <w:rsid w:val="004A295A"/>
    <w:rsid w:val="004A2EEE"/>
    <w:rsid w:val="004B12D9"/>
    <w:rsid w:val="004B3504"/>
    <w:rsid w:val="004B4854"/>
    <w:rsid w:val="004B5037"/>
    <w:rsid w:val="004B51D4"/>
    <w:rsid w:val="004B56F7"/>
    <w:rsid w:val="004B5E66"/>
    <w:rsid w:val="004B6640"/>
    <w:rsid w:val="004B7FDC"/>
    <w:rsid w:val="004C0A21"/>
    <w:rsid w:val="004D0F2D"/>
    <w:rsid w:val="004D29F9"/>
    <w:rsid w:val="004D5F57"/>
    <w:rsid w:val="004E4668"/>
    <w:rsid w:val="004E523F"/>
    <w:rsid w:val="004E7965"/>
    <w:rsid w:val="004F6722"/>
    <w:rsid w:val="004F7D01"/>
    <w:rsid w:val="005029D6"/>
    <w:rsid w:val="00504F06"/>
    <w:rsid w:val="00507414"/>
    <w:rsid w:val="00527C7A"/>
    <w:rsid w:val="005346F4"/>
    <w:rsid w:val="005350AA"/>
    <w:rsid w:val="00542E46"/>
    <w:rsid w:val="0054560A"/>
    <w:rsid w:val="0054701D"/>
    <w:rsid w:val="0055024E"/>
    <w:rsid w:val="00550966"/>
    <w:rsid w:val="00550B57"/>
    <w:rsid w:val="00553393"/>
    <w:rsid w:val="005535DA"/>
    <w:rsid w:val="00555FB4"/>
    <w:rsid w:val="00556852"/>
    <w:rsid w:val="0056243F"/>
    <w:rsid w:val="00563B0B"/>
    <w:rsid w:val="005666FD"/>
    <w:rsid w:val="005743C2"/>
    <w:rsid w:val="00575163"/>
    <w:rsid w:val="00580CCC"/>
    <w:rsid w:val="00581AD6"/>
    <w:rsid w:val="005822E5"/>
    <w:rsid w:val="005928DF"/>
    <w:rsid w:val="00596B78"/>
    <w:rsid w:val="00596D74"/>
    <w:rsid w:val="005A2C84"/>
    <w:rsid w:val="005A30F1"/>
    <w:rsid w:val="005A5EE0"/>
    <w:rsid w:val="005B10F3"/>
    <w:rsid w:val="005C5F63"/>
    <w:rsid w:val="005C6E45"/>
    <w:rsid w:val="005C7C79"/>
    <w:rsid w:val="005D5118"/>
    <w:rsid w:val="005D6C97"/>
    <w:rsid w:val="005E44AD"/>
    <w:rsid w:val="005E69A3"/>
    <w:rsid w:val="005F1A15"/>
    <w:rsid w:val="005F2EE6"/>
    <w:rsid w:val="005F34EB"/>
    <w:rsid w:val="005F40BE"/>
    <w:rsid w:val="006020CD"/>
    <w:rsid w:val="0061216D"/>
    <w:rsid w:val="006151B9"/>
    <w:rsid w:val="006208B9"/>
    <w:rsid w:val="00621E6D"/>
    <w:rsid w:val="00622DEA"/>
    <w:rsid w:val="00623273"/>
    <w:rsid w:val="00623831"/>
    <w:rsid w:val="0062693C"/>
    <w:rsid w:val="0062772F"/>
    <w:rsid w:val="00630D09"/>
    <w:rsid w:val="00632747"/>
    <w:rsid w:val="00637A2F"/>
    <w:rsid w:val="006411FA"/>
    <w:rsid w:val="00646D54"/>
    <w:rsid w:val="00646EF0"/>
    <w:rsid w:val="00656446"/>
    <w:rsid w:val="006634A2"/>
    <w:rsid w:val="006677FC"/>
    <w:rsid w:val="006709CD"/>
    <w:rsid w:val="00673CEF"/>
    <w:rsid w:val="006742EB"/>
    <w:rsid w:val="00675026"/>
    <w:rsid w:val="00676A68"/>
    <w:rsid w:val="00676BA6"/>
    <w:rsid w:val="00677ECF"/>
    <w:rsid w:val="006839B9"/>
    <w:rsid w:val="00683A51"/>
    <w:rsid w:val="0068411C"/>
    <w:rsid w:val="006864CC"/>
    <w:rsid w:val="00690405"/>
    <w:rsid w:val="00691BA0"/>
    <w:rsid w:val="00692C91"/>
    <w:rsid w:val="00693035"/>
    <w:rsid w:val="006930E4"/>
    <w:rsid w:val="0069751F"/>
    <w:rsid w:val="006A79E2"/>
    <w:rsid w:val="006B7ED1"/>
    <w:rsid w:val="006D0A08"/>
    <w:rsid w:val="006D2F42"/>
    <w:rsid w:val="006D48B3"/>
    <w:rsid w:val="006D616A"/>
    <w:rsid w:val="006D6331"/>
    <w:rsid w:val="006D676E"/>
    <w:rsid w:val="006D6E91"/>
    <w:rsid w:val="006E0462"/>
    <w:rsid w:val="006E0F39"/>
    <w:rsid w:val="006E0FC2"/>
    <w:rsid w:val="006E3B68"/>
    <w:rsid w:val="006E56F9"/>
    <w:rsid w:val="006F4883"/>
    <w:rsid w:val="007004A5"/>
    <w:rsid w:val="007027C9"/>
    <w:rsid w:val="0070327A"/>
    <w:rsid w:val="007037E3"/>
    <w:rsid w:val="007069DE"/>
    <w:rsid w:val="00706B3F"/>
    <w:rsid w:val="00713B4A"/>
    <w:rsid w:val="0071411E"/>
    <w:rsid w:val="0071503C"/>
    <w:rsid w:val="00715D6B"/>
    <w:rsid w:val="007224F5"/>
    <w:rsid w:val="00727859"/>
    <w:rsid w:val="00730890"/>
    <w:rsid w:val="00734FB4"/>
    <w:rsid w:val="00736619"/>
    <w:rsid w:val="00740FDA"/>
    <w:rsid w:val="00752043"/>
    <w:rsid w:val="00753A64"/>
    <w:rsid w:val="00754009"/>
    <w:rsid w:val="007614B9"/>
    <w:rsid w:val="007614F2"/>
    <w:rsid w:val="0076543F"/>
    <w:rsid w:val="00766AAC"/>
    <w:rsid w:val="00771AF9"/>
    <w:rsid w:val="0077766E"/>
    <w:rsid w:val="00777BCA"/>
    <w:rsid w:val="00780366"/>
    <w:rsid w:val="00784F27"/>
    <w:rsid w:val="0079056D"/>
    <w:rsid w:val="007A37B6"/>
    <w:rsid w:val="007B0B61"/>
    <w:rsid w:val="007B2CF9"/>
    <w:rsid w:val="007C0E32"/>
    <w:rsid w:val="007C2E85"/>
    <w:rsid w:val="007C51BC"/>
    <w:rsid w:val="007C593A"/>
    <w:rsid w:val="007C764D"/>
    <w:rsid w:val="007D0152"/>
    <w:rsid w:val="007D4A17"/>
    <w:rsid w:val="007D71AC"/>
    <w:rsid w:val="007D7F2C"/>
    <w:rsid w:val="007E1B83"/>
    <w:rsid w:val="007E3040"/>
    <w:rsid w:val="007E3A69"/>
    <w:rsid w:val="007E3BC4"/>
    <w:rsid w:val="007E417A"/>
    <w:rsid w:val="007F2AAE"/>
    <w:rsid w:val="007F4B9F"/>
    <w:rsid w:val="007F5802"/>
    <w:rsid w:val="007F6F90"/>
    <w:rsid w:val="007F7D08"/>
    <w:rsid w:val="00803F28"/>
    <w:rsid w:val="008065FD"/>
    <w:rsid w:val="00814588"/>
    <w:rsid w:val="00821EDA"/>
    <w:rsid w:val="00830BD3"/>
    <w:rsid w:val="00832F80"/>
    <w:rsid w:val="00835AA1"/>
    <w:rsid w:val="00842EC2"/>
    <w:rsid w:val="00845AF3"/>
    <w:rsid w:val="00846901"/>
    <w:rsid w:val="00847D90"/>
    <w:rsid w:val="0085080D"/>
    <w:rsid w:val="00852A08"/>
    <w:rsid w:val="00857191"/>
    <w:rsid w:val="008708C0"/>
    <w:rsid w:val="008727E5"/>
    <w:rsid w:val="008757D8"/>
    <w:rsid w:val="00885915"/>
    <w:rsid w:val="00887358"/>
    <w:rsid w:val="0089107A"/>
    <w:rsid w:val="00893BF4"/>
    <w:rsid w:val="0089569C"/>
    <w:rsid w:val="008A0DC2"/>
    <w:rsid w:val="008A3D43"/>
    <w:rsid w:val="008A624F"/>
    <w:rsid w:val="008A6EB6"/>
    <w:rsid w:val="008B13D8"/>
    <w:rsid w:val="008B5B02"/>
    <w:rsid w:val="008B6CFE"/>
    <w:rsid w:val="008B78CB"/>
    <w:rsid w:val="008C040B"/>
    <w:rsid w:val="008C71B8"/>
    <w:rsid w:val="008D3373"/>
    <w:rsid w:val="008D377D"/>
    <w:rsid w:val="008E15B7"/>
    <w:rsid w:val="008E43AB"/>
    <w:rsid w:val="008F45B0"/>
    <w:rsid w:val="008F5412"/>
    <w:rsid w:val="008F5673"/>
    <w:rsid w:val="00902BCF"/>
    <w:rsid w:val="0090303A"/>
    <w:rsid w:val="009033BA"/>
    <w:rsid w:val="00904FE1"/>
    <w:rsid w:val="00905722"/>
    <w:rsid w:val="009078B4"/>
    <w:rsid w:val="00911440"/>
    <w:rsid w:val="00914AEC"/>
    <w:rsid w:val="00914BF2"/>
    <w:rsid w:val="00917383"/>
    <w:rsid w:val="0092204F"/>
    <w:rsid w:val="009232C8"/>
    <w:rsid w:val="0092480A"/>
    <w:rsid w:val="00924DA2"/>
    <w:rsid w:val="00927142"/>
    <w:rsid w:val="00927A2F"/>
    <w:rsid w:val="00930209"/>
    <w:rsid w:val="00931F59"/>
    <w:rsid w:val="0093256E"/>
    <w:rsid w:val="00935F6E"/>
    <w:rsid w:val="0095198D"/>
    <w:rsid w:val="009559B5"/>
    <w:rsid w:val="00962986"/>
    <w:rsid w:val="0096727F"/>
    <w:rsid w:val="00967967"/>
    <w:rsid w:val="009721E4"/>
    <w:rsid w:val="00972F7F"/>
    <w:rsid w:val="00973134"/>
    <w:rsid w:val="0097556B"/>
    <w:rsid w:val="00976A39"/>
    <w:rsid w:val="00983348"/>
    <w:rsid w:val="009900AC"/>
    <w:rsid w:val="009930BF"/>
    <w:rsid w:val="00995A01"/>
    <w:rsid w:val="00995C43"/>
    <w:rsid w:val="009A1E72"/>
    <w:rsid w:val="009A6D35"/>
    <w:rsid w:val="009A70C8"/>
    <w:rsid w:val="009A75C8"/>
    <w:rsid w:val="009B00A3"/>
    <w:rsid w:val="009B12B1"/>
    <w:rsid w:val="009B157A"/>
    <w:rsid w:val="009B1BCB"/>
    <w:rsid w:val="009B2327"/>
    <w:rsid w:val="009B2F11"/>
    <w:rsid w:val="009B732C"/>
    <w:rsid w:val="009C04C1"/>
    <w:rsid w:val="009C13AB"/>
    <w:rsid w:val="009C42F0"/>
    <w:rsid w:val="009D10FC"/>
    <w:rsid w:val="009D5A5E"/>
    <w:rsid w:val="009E080C"/>
    <w:rsid w:val="009E4906"/>
    <w:rsid w:val="009F4642"/>
    <w:rsid w:val="00A04329"/>
    <w:rsid w:val="00A04EF2"/>
    <w:rsid w:val="00A05255"/>
    <w:rsid w:val="00A07C92"/>
    <w:rsid w:val="00A12003"/>
    <w:rsid w:val="00A12179"/>
    <w:rsid w:val="00A16B1A"/>
    <w:rsid w:val="00A2048F"/>
    <w:rsid w:val="00A26331"/>
    <w:rsid w:val="00A27648"/>
    <w:rsid w:val="00A32409"/>
    <w:rsid w:val="00A45493"/>
    <w:rsid w:val="00A4565B"/>
    <w:rsid w:val="00A54389"/>
    <w:rsid w:val="00A57A96"/>
    <w:rsid w:val="00A6038E"/>
    <w:rsid w:val="00A65248"/>
    <w:rsid w:val="00A7021C"/>
    <w:rsid w:val="00A74AA3"/>
    <w:rsid w:val="00A751C0"/>
    <w:rsid w:val="00A83900"/>
    <w:rsid w:val="00A8412F"/>
    <w:rsid w:val="00A842DD"/>
    <w:rsid w:val="00A92124"/>
    <w:rsid w:val="00A93E6D"/>
    <w:rsid w:val="00A94570"/>
    <w:rsid w:val="00A946F7"/>
    <w:rsid w:val="00A94ABC"/>
    <w:rsid w:val="00A96384"/>
    <w:rsid w:val="00AA21AB"/>
    <w:rsid w:val="00AA22F2"/>
    <w:rsid w:val="00AA7024"/>
    <w:rsid w:val="00AB06C7"/>
    <w:rsid w:val="00AD1DBA"/>
    <w:rsid w:val="00AD209C"/>
    <w:rsid w:val="00AD7F08"/>
    <w:rsid w:val="00AE2079"/>
    <w:rsid w:val="00AE5329"/>
    <w:rsid w:val="00AE567E"/>
    <w:rsid w:val="00AF2AF4"/>
    <w:rsid w:val="00AF31E8"/>
    <w:rsid w:val="00AF45CE"/>
    <w:rsid w:val="00AF7CF2"/>
    <w:rsid w:val="00AF7DAC"/>
    <w:rsid w:val="00B0133C"/>
    <w:rsid w:val="00B013AF"/>
    <w:rsid w:val="00B0751F"/>
    <w:rsid w:val="00B11ADA"/>
    <w:rsid w:val="00B15BCF"/>
    <w:rsid w:val="00B162B5"/>
    <w:rsid w:val="00B20176"/>
    <w:rsid w:val="00B211E1"/>
    <w:rsid w:val="00B24518"/>
    <w:rsid w:val="00B2794B"/>
    <w:rsid w:val="00B3241D"/>
    <w:rsid w:val="00B3742D"/>
    <w:rsid w:val="00B44145"/>
    <w:rsid w:val="00B45531"/>
    <w:rsid w:val="00B45FD0"/>
    <w:rsid w:val="00B46154"/>
    <w:rsid w:val="00B51FD5"/>
    <w:rsid w:val="00B53AF5"/>
    <w:rsid w:val="00B53E2C"/>
    <w:rsid w:val="00B618E2"/>
    <w:rsid w:val="00B629B4"/>
    <w:rsid w:val="00B63B8E"/>
    <w:rsid w:val="00B64604"/>
    <w:rsid w:val="00B66AA5"/>
    <w:rsid w:val="00B72737"/>
    <w:rsid w:val="00B76EB7"/>
    <w:rsid w:val="00B83016"/>
    <w:rsid w:val="00B834B7"/>
    <w:rsid w:val="00B86798"/>
    <w:rsid w:val="00B901BA"/>
    <w:rsid w:val="00B94ED6"/>
    <w:rsid w:val="00B952C8"/>
    <w:rsid w:val="00B96F32"/>
    <w:rsid w:val="00BA1CB2"/>
    <w:rsid w:val="00BA1DC2"/>
    <w:rsid w:val="00BA369E"/>
    <w:rsid w:val="00BA5BA4"/>
    <w:rsid w:val="00BB1F85"/>
    <w:rsid w:val="00BC1385"/>
    <w:rsid w:val="00BC1809"/>
    <w:rsid w:val="00BC49EE"/>
    <w:rsid w:val="00BC5E90"/>
    <w:rsid w:val="00BD454B"/>
    <w:rsid w:val="00BD58D6"/>
    <w:rsid w:val="00BE0A8E"/>
    <w:rsid w:val="00BE5E24"/>
    <w:rsid w:val="00BE634D"/>
    <w:rsid w:val="00BE78A7"/>
    <w:rsid w:val="00C0037B"/>
    <w:rsid w:val="00C015C5"/>
    <w:rsid w:val="00C01FFC"/>
    <w:rsid w:val="00C02046"/>
    <w:rsid w:val="00C02C99"/>
    <w:rsid w:val="00C034C6"/>
    <w:rsid w:val="00C1123C"/>
    <w:rsid w:val="00C12927"/>
    <w:rsid w:val="00C140C2"/>
    <w:rsid w:val="00C151CF"/>
    <w:rsid w:val="00C20A6A"/>
    <w:rsid w:val="00C22793"/>
    <w:rsid w:val="00C2307B"/>
    <w:rsid w:val="00C26A48"/>
    <w:rsid w:val="00C30035"/>
    <w:rsid w:val="00C32B7D"/>
    <w:rsid w:val="00C3408A"/>
    <w:rsid w:val="00C3543E"/>
    <w:rsid w:val="00C43392"/>
    <w:rsid w:val="00C4442A"/>
    <w:rsid w:val="00C473A3"/>
    <w:rsid w:val="00C54FB1"/>
    <w:rsid w:val="00C56FBD"/>
    <w:rsid w:val="00C65D13"/>
    <w:rsid w:val="00C71E80"/>
    <w:rsid w:val="00C7607E"/>
    <w:rsid w:val="00C775A0"/>
    <w:rsid w:val="00C80A14"/>
    <w:rsid w:val="00C80BC1"/>
    <w:rsid w:val="00C80EC4"/>
    <w:rsid w:val="00C8391C"/>
    <w:rsid w:val="00C85677"/>
    <w:rsid w:val="00C92D82"/>
    <w:rsid w:val="00C93544"/>
    <w:rsid w:val="00C976F8"/>
    <w:rsid w:val="00CA152F"/>
    <w:rsid w:val="00CA2065"/>
    <w:rsid w:val="00CA6C0A"/>
    <w:rsid w:val="00CB2272"/>
    <w:rsid w:val="00CC63BB"/>
    <w:rsid w:val="00CD0ED8"/>
    <w:rsid w:val="00CD1A89"/>
    <w:rsid w:val="00CD59DE"/>
    <w:rsid w:val="00CE46F4"/>
    <w:rsid w:val="00CE5D32"/>
    <w:rsid w:val="00CF6840"/>
    <w:rsid w:val="00CF7851"/>
    <w:rsid w:val="00D1154F"/>
    <w:rsid w:val="00D11AF7"/>
    <w:rsid w:val="00D13B1A"/>
    <w:rsid w:val="00D14121"/>
    <w:rsid w:val="00D155DF"/>
    <w:rsid w:val="00D169EC"/>
    <w:rsid w:val="00D23B84"/>
    <w:rsid w:val="00D27E21"/>
    <w:rsid w:val="00D32BF4"/>
    <w:rsid w:val="00D32F5C"/>
    <w:rsid w:val="00D34A33"/>
    <w:rsid w:val="00D367CC"/>
    <w:rsid w:val="00D4166B"/>
    <w:rsid w:val="00D41E82"/>
    <w:rsid w:val="00D42198"/>
    <w:rsid w:val="00D50E0A"/>
    <w:rsid w:val="00D553A0"/>
    <w:rsid w:val="00D625FA"/>
    <w:rsid w:val="00D63F35"/>
    <w:rsid w:val="00D73A79"/>
    <w:rsid w:val="00D862DF"/>
    <w:rsid w:val="00DA2B4E"/>
    <w:rsid w:val="00DB1603"/>
    <w:rsid w:val="00DB2C24"/>
    <w:rsid w:val="00DB4408"/>
    <w:rsid w:val="00DB7700"/>
    <w:rsid w:val="00DC3890"/>
    <w:rsid w:val="00DC4399"/>
    <w:rsid w:val="00DC6E90"/>
    <w:rsid w:val="00DD0ABF"/>
    <w:rsid w:val="00DD185E"/>
    <w:rsid w:val="00DD3B7B"/>
    <w:rsid w:val="00DD3F38"/>
    <w:rsid w:val="00DE1CA0"/>
    <w:rsid w:val="00DE1ED7"/>
    <w:rsid w:val="00DE2C04"/>
    <w:rsid w:val="00DF07A6"/>
    <w:rsid w:val="00DF1538"/>
    <w:rsid w:val="00DF2308"/>
    <w:rsid w:val="00E0218E"/>
    <w:rsid w:val="00E037EA"/>
    <w:rsid w:val="00E0706A"/>
    <w:rsid w:val="00E20BB5"/>
    <w:rsid w:val="00E21D55"/>
    <w:rsid w:val="00E24E30"/>
    <w:rsid w:val="00E2517E"/>
    <w:rsid w:val="00E27047"/>
    <w:rsid w:val="00E30605"/>
    <w:rsid w:val="00E30EB2"/>
    <w:rsid w:val="00E31A9D"/>
    <w:rsid w:val="00E32F4D"/>
    <w:rsid w:val="00E33C9C"/>
    <w:rsid w:val="00E42E82"/>
    <w:rsid w:val="00E45E9C"/>
    <w:rsid w:val="00E5073C"/>
    <w:rsid w:val="00E5177F"/>
    <w:rsid w:val="00E551C2"/>
    <w:rsid w:val="00E57FD5"/>
    <w:rsid w:val="00E633EB"/>
    <w:rsid w:val="00E70770"/>
    <w:rsid w:val="00E75C76"/>
    <w:rsid w:val="00E817F1"/>
    <w:rsid w:val="00E81B91"/>
    <w:rsid w:val="00E83E61"/>
    <w:rsid w:val="00E845DF"/>
    <w:rsid w:val="00E8773D"/>
    <w:rsid w:val="00E906F8"/>
    <w:rsid w:val="00E90D33"/>
    <w:rsid w:val="00E91A22"/>
    <w:rsid w:val="00E91F6D"/>
    <w:rsid w:val="00E973DD"/>
    <w:rsid w:val="00EA0A52"/>
    <w:rsid w:val="00EA37D0"/>
    <w:rsid w:val="00EA5822"/>
    <w:rsid w:val="00EB6B84"/>
    <w:rsid w:val="00EB6C6C"/>
    <w:rsid w:val="00EB73C8"/>
    <w:rsid w:val="00EC7134"/>
    <w:rsid w:val="00ED0DA4"/>
    <w:rsid w:val="00EE38AA"/>
    <w:rsid w:val="00EE3CC7"/>
    <w:rsid w:val="00EE4BA3"/>
    <w:rsid w:val="00EE5C80"/>
    <w:rsid w:val="00EF067B"/>
    <w:rsid w:val="00EF4000"/>
    <w:rsid w:val="00EF4C79"/>
    <w:rsid w:val="00F006F2"/>
    <w:rsid w:val="00F074AD"/>
    <w:rsid w:val="00F1570C"/>
    <w:rsid w:val="00F22A05"/>
    <w:rsid w:val="00F255B3"/>
    <w:rsid w:val="00F30F76"/>
    <w:rsid w:val="00F34F86"/>
    <w:rsid w:val="00F362F2"/>
    <w:rsid w:val="00F41492"/>
    <w:rsid w:val="00F41B28"/>
    <w:rsid w:val="00F42627"/>
    <w:rsid w:val="00F4286A"/>
    <w:rsid w:val="00F545C5"/>
    <w:rsid w:val="00F60E6D"/>
    <w:rsid w:val="00F65CF3"/>
    <w:rsid w:val="00F6669D"/>
    <w:rsid w:val="00F66810"/>
    <w:rsid w:val="00F67D6A"/>
    <w:rsid w:val="00F74669"/>
    <w:rsid w:val="00F75DCA"/>
    <w:rsid w:val="00F7609E"/>
    <w:rsid w:val="00F77371"/>
    <w:rsid w:val="00F8124A"/>
    <w:rsid w:val="00F8270B"/>
    <w:rsid w:val="00F87F85"/>
    <w:rsid w:val="00F91B4C"/>
    <w:rsid w:val="00F9289B"/>
    <w:rsid w:val="00F93D2F"/>
    <w:rsid w:val="00F95967"/>
    <w:rsid w:val="00F95BCC"/>
    <w:rsid w:val="00FA2D05"/>
    <w:rsid w:val="00FA3859"/>
    <w:rsid w:val="00FA4C9E"/>
    <w:rsid w:val="00FA4D3B"/>
    <w:rsid w:val="00FA5F51"/>
    <w:rsid w:val="00FB23A0"/>
    <w:rsid w:val="00FB5043"/>
    <w:rsid w:val="00FC145E"/>
    <w:rsid w:val="00FC53A6"/>
    <w:rsid w:val="00FD0FAD"/>
    <w:rsid w:val="00FE0D37"/>
    <w:rsid w:val="00FE37D7"/>
    <w:rsid w:val="00FF543D"/>
    <w:rsid w:val="00FF5CCB"/>
    <w:rsid w:val="015F142C"/>
    <w:rsid w:val="020609E9"/>
    <w:rsid w:val="044942B8"/>
    <w:rsid w:val="04E321B4"/>
    <w:rsid w:val="05224A2F"/>
    <w:rsid w:val="05247CA0"/>
    <w:rsid w:val="05C337E0"/>
    <w:rsid w:val="067829FE"/>
    <w:rsid w:val="07195582"/>
    <w:rsid w:val="077A276D"/>
    <w:rsid w:val="07D25025"/>
    <w:rsid w:val="090B27AA"/>
    <w:rsid w:val="09AC6869"/>
    <w:rsid w:val="0A300A65"/>
    <w:rsid w:val="0A615F25"/>
    <w:rsid w:val="0BDC0FC4"/>
    <w:rsid w:val="0C346A30"/>
    <w:rsid w:val="0C3A5166"/>
    <w:rsid w:val="0C686C23"/>
    <w:rsid w:val="0D1E462E"/>
    <w:rsid w:val="0D4138DF"/>
    <w:rsid w:val="0D4E72F6"/>
    <w:rsid w:val="0DF91993"/>
    <w:rsid w:val="0E581AC1"/>
    <w:rsid w:val="0E972F1B"/>
    <w:rsid w:val="0F047390"/>
    <w:rsid w:val="0F3749CD"/>
    <w:rsid w:val="103657F5"/>
    <w:rsid w:val="10437760"/>
    <w:rsid w:val="10512EC1"/>
    <w:rsid w:val="106A3854"/>
    <w:rsid w:val="10A51D4B"/>
    <w:rsid w:val="10C64A34"/>
    <w:rsid w:val="10E52374"/>
    <w:rsid w:val="114B3CF4"/>
    <w:rsid w:val="11D3199D"/>
    <w:rsid w:val="12B66BEB"/>
    <w:rsid w:val="14A1793D"/>
    <w:rsid w:val="14D530B2"/>
    <w:rsid w:val="153B0B33"/>
    <w:rsid w:val="1574187B"/>
    <w:rsid w:val="15911A31"/>
    <w:rsid w:val="15A67319"/>
    <w:rsid w:val="160665F6"/>
    <w:rsid w:val="169E6FBD"/>
    <w:rsid w:val="16D03A46"/>
    <w:rsid w:val="18546011"/>
    <w:rsid w:val="1A724FD3"/>
    <w:rsid w:val="1ADC231F"/>
    <w:rsid w:val="1AEB4FC8"/>
    <w:rsid w:val="1B292877"/>
    <w:rsid w:val="1B5C10F7"/>
    <w:rsid w:val="1BE324AD"/>
    <w:rsid w:val="1C0101D0"/>
    <w:rsid w:val="1C3D28B9"/>
    <w:rsid w:val="1CBD5696"/>
    <w:rsid w:val="1CDE02A3"/>
    <w:rsid w:val="1CF5528F"/>
    <w:rsid w:val="1D070F68"/>
    <w:rsid w:val="1D12242F"/>
    <w:rsid w:val="1D227568"/>
    <w:rsid w:val="1D423655"/>
    <w:rsid w:val="1D46253C"/>
    <w:rsid w:val="1E0912FF"/>
    <w:rsid w:val="1E3B5D37"/>
    <w:rsid w:val="1EEC6019"/>
    <w:rsid w:val="1EF423C1"/>
    <w:rsid w:val="1F4F2AA7"/>
    <w:rsid w:val="1F8D12CE"/>
    <w:rsid w:val="202B2BB7"/>
    <w:rsid w:val="204F5D35"/>
    <w:rsid w:val="20940650"/>
    <w:rsid w:val="20BE7994"/>
    <w:rsid w:val="21246476"/>
    <w:rsid w:val="21290131"/>
    <w:rsid w:val="214B720B"/>
    <w:rsid w:val="218A03C4"/>
    <w:rsid w:val="21B403CD"/>
    <w:rsid w:val="223363B2"/>
    <w:rsid w:val="23BA41B3"/>
    <w:rsid w:val="23DB49AD"/>
    <w:rsid w:val="255E624E"/>
    <w:rsid w:val="25975B87"/>
    <w:rsid w:val="25CC41E0"/>
    <w:rsid w:val="27363F17"/>
    <w:rsid w:val="278878DE"/>
    <w:rsid w:val="27CF17B7"/>
    <w:rsid w:val="2807403B"/>
    <w:rsid w:val="28855324"/>
    <w:rsid w:val="293C7B4A"/>
    <w:rsid w:val="297157BF"/>
    <w:rsid w:val="29734E6D"/>
    <w:rsid w:val="2A33157C"/>
    <w:rsid w:val="2A350867"/>
    <w:rsid w:val="2A9C77DD"/>
    <w:rsid w:val="2AA83555"/>
    <w:rsid w:val="2B175807"/>
    <w:rsid w:val="2B745A08"/>
    <w:rsid w:val="2BFD2185"/>
    <w:rsid w:val="2C7122ED"/>
    <w:rsid w:val="2D163B8A"/>
    <w:rsid w:val="2D5C73CA"/>
    <w:rsid w:val="2D8652CF"/>
    <w:rsid w:val="2D98010F"/>
    <w:rsid w:val="2E4874D6"/>
    <w:rsid w:val="2E885787"/>
    <w:rsid w:val="2FD4497B"/>
    <w:rsid w:val="2FE523B3"/>
    <w:rsid w:val="2FFA6CB9"/>
    <w:rsid w:val="30ED57C4"/>
    <w:rsid w:val="313139DD"/>
    <w:rsid w:val="31537FD4"/>
    <w:rsid w:val="315D0050"/>
    <w:rsid w:val="31705D9E"/>
    <w:rsid w:val="322422C7"/>
    <w:rsid w:val="322A16D5"/>
    <w:rsid w:val="32C95A43"/>
    <w:rsid w:val="32CA7895"/>
    <w:rsid w:val="33511012"/>
    <w:rsid w:val="33BF53FC"/>
    <w:rsid w:val="3412151C"/>
    <w:rsid w:val="342113E8"/>
    <w:rsid w:val="346C0920"/>
    <w:rsid w:val="349D5C59"/>
    <w:rsid w:val="349D72F2"/>
    <w:rsid w:val="34DA50CC"/>
    <w:rsid w:val="35290235"/>
    <w:rsid w:val="360E4BC3"/>
    <w:rsid w:val="36BA77FD"/>
    <w:rsid w:val="37083E48"/>
    <w:rsid w:val="378B2319"/>
    <w:rsid w:val="37A41135"/>
    <w:rsid w:val="384726EA"/>
    <w:rsid w:val="38605171"/>
    <w:rsid w:val="3876012B"/>
    <w:rsid w:val="38C25A29"/>
    <w:rsid w:val="38FE46A4"/>
    <w:rsid w:val="39411732"/>
    <w:rsid w:val="39924385"/>
    <w:rsid w:val="3A2B484E"/>
    <w:rsid w:val="3A77678E"/>
    <w:rsid w:val="3ABD1249"/>
    <w:rsid w:val="3B4D513B"/>
    <w:rsid w:val="3CFF705A"/>
    <w:rsid w:val="3D1A4A2B"/>
    <w:rsid w:val="3DF3044D"/>
    <w:rsid w:val="3E00639B"/>
    <w:rsid w:val="3E3550CC"/>
    <w:rsid w:val="3E730055"/>
    <w:rsid w:val="3E954D07"/>
    <w:rsid w:val="3F3A0674"/>
    <w:rsid w:val="3F5115D1"/>
    <w:rsid w:val="3F534483"/>
    <w:rsid w:val="3F7B7485"/>
    <w:rsid w:val="3F882E4F"/>
    <w:rsid w:val="3FDB7A94"/>
    <w:rsid w:val="40906644"/>
    <w:rsid w:val="40EA2E5E"/>
    <w:rsid w:val="41057DA8"/>
    <w:rsid w:val="41475F54"/>
    <w:rsid w:val="42417E7F"/>
    <w:rsid w:val="430E26CE"/>
    <w:rsid w:val="43A01710"/>
    <w:rsid w:val="43EE1D0F"/>
    <w:rsid w:val="4421575E"/>
    <w:rsid w:val="45465305"/>
    <w:rsid w:val="454913B9"/>
    <w:rsid w:val="45BE2974"/>
    <w:rsid w:val="463A4CB1"/>
    <w:rsid w:val="46CB1C01"/>
    <w:rsid w:val="46F169DC"/>
    <w:rsid w:val="47C93530"/>
    <w:rsid w:val="481300A3"/>
    <w:rsid w:val="48472B78"/>
    <w:rsid w:val="49B915FF"/>
    <w:rsid w:val="49DA7676"/>
    <w:rsid w:val="4A4A7AB1"/>
    <w:rsid w:val="4AA01B46"/>
    <w:rsid w:val="4AFF5FAF"/>
    <w:rsid w:val="4B794AFD"/>
    <w:rsid w:val="4B995CBE"/>
    <w:rsid w:val="4C4F227C"/>
    <w:rsid w:val="4DA21F33"/>
    <w:rsid w:val="4EE7022A"/>
    <w:rsid w:val="4F2F2935"/>
    <w:rsid w:val="50550FCF"/>
    <w:rsid w:val="50757A1C"/>
    <w:rsid w:val="51627DA1"/>
    <w:rsid w:val="51846B73"/>
    <w:rsid w:val="51DF1CFF"/>
    <w:rsid w:val="527B2B84"/>
    <w:rsid w:val="52921603"/>
    <w:rsid w:val="52AF4225"/>
    <w:rsid w:val="533052EF"/>
    <w:rsid w:val="53780619"/>
    <w:rsid w:val="53A35F61"/>
    <w:rsid w:val="53A830F4"/>
    <w:rsid w:val="53D53122"/>
    <w:rsid w:val="542411FA"/>
    <w:rsid w:val="547E722C"/>
    <w:rsid w:val="54C61DA2"/>
    <w:rsid w:val="566554EC"/>
    <w:rsid w:val="5671221E"/>
    <w:rsid w:val="568478CB"/>
    <w:rsid w:val="56F95695"/>
    <w:rsid w:val="57175866"/>
    <w:rsid w:val="57226DFE"/>
    <w:rsid w:val="57263AEE"/>
    <w:rsid w:val="57502DAD"/>
    <w:rsid w:val="57667EDB"/>
    <w:rsid w:val="576A7B8B"/>
    <w:rsid w:val="58360DC4"/>
    <w:rsid w:val="58421734"/>
    <w:rsid w:val="586F13D6"/>
    <w:rsid w:val="58785794"/>
    <w:rsid w:val="587D372C"/>
    <w:rsid w:val="58CB5805"/>
    <w:rsid w:val="58DE3855"/>
    <w:rsid w:val="5A7636E3"/>
    <w:rsid w:val="5AFB3718"/>
    <w:rsid w:val="5B7121D2"/>
    <w:rsid w:val="5C76778E"/>
    <w:rsid w:val="5DCF4450"/>
    <w:rsid w:val="5EC14995"/>
    <w:rsid w:val="5F87717A"/>
    <w:rsid w:val="6000604A"/>
    <w:rsid w:val="604C3D55"/>
    <w:rsid w:val="60AF1EFB"/>
    <w:rsid w:val="60B87E97"/>
    <w:rsid w:val="60E85675"/>
    <w:rsid w:val="622D3E35"/>
    <w:rsid w:val="62A0232D"/>
    <w:rsid w:val="634F0BE4"/>
    <w:rsid w:val="63EB7B61"/>
    <w:rsid w:val="64244E7E"/>
    <w:rsid w:val="64823DA7"/>
    <w:rsid w:val="64A4760B"/>
    <w:rsid w:val="64C9086C"/>
    <w:rsid w:val="654553E8"/>
    <w:rsid w:val="66F27BEF"/>
    <w:rsid w:val="670C0806"/>
    <w:rsid w:val="679D5FDE"/>
    <w:rsid w:val="682C4C47"/>
    <w:rsid w:val="69C326C5"/>
    <w:rsid w:val="69EB5EE8"/>
    <w:rsid w:val="6A9478E1"/>
    <w:rsid w:val="6C3367CA"/>
    <w:rsid w:val="6C3F47B3"/>
    <w:rsid w:val="6CDD0E0A"/>
    <w:rsid w:val="6E541EE6"/>
    <w:rsid w:val="6EE41009"/>
    <w:rsid w:val="6FDE4569"/>
    <w:rsid w:val="706233EC"/>
    <w:rsid w:val="70FA587B"/>
    <w:rsid w:val="71090EF8"/>
    <w:rsid w:val="71672192"/>
    <w:rsid w:val="71DD404B"/>
    <w:rsid w:val="722C55E5"/>
    <w:rsid w:val="723E3E5F"/>
    <w:rsid w:val="72986DA0"/>
    <w:rsid w:val="73585432"/>
    <w:rsid w:val="73F62DB4"/>
    <w:rsid w:val="742E4674"/>
    <w:rsid w:val="74414F9A"/>
    <w:rsid w:val="74433A15"/>
    <w:rsid w:val="747A459A"/>
    <w:rsid w:val="74CE2E3F"/>
    <w:rsid w:val="75275348"/>
    <w:rsid w:val="76EB63ED"/>
    <w:rsid w:val="78A056CA"/>
    <w:rsid w:val="79360110"/>
    <w:rsid w:val="795161B0"/>
    <w:rsid w:val="79D32F98"/>
    <w:rsid w:val="7A1771D7"/>
    <w:rsid w:val="7A5E1AFB"/>
    <w:rsid w:val="7BB8462D"/>
    <w:rsid w:val="7C040288"/>
    <w:rsid w:val="7C710EEB"/>
    <w:rsid w:val="7DE57630"/>
    <w:rsid w:val="7E322C46"/>
    <w:rsid w:val="7E71596C"/>
    <w:rsid w:val="7E794F8F"/>
    <w:rsid w:val="7E9144EC"/>
    <w:rsid w:val="7EA8074D"/>
    <w:rsid w:val="7EF90258"/>
    <w:rsid w:val="7FB46C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link w:val="6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5"/>
    <w:link w:val="57"/>
    <w:qFormat/>
    <w:uiPriority w:val="0"/>
    <w:pPr>
      <w:tabs>
        <w:tab w:val="left" w:pos="992"/>
      </w:tabs>
      <w:adjustRightInd w:val="0"/>
      <w:spacing w:line="360" w:lineRule="atLeast"/>
      <w:ind w:left="992" w:hanging="992"/>
      <w:jc w:val="left"/>
      <w:textAlignment w:val="baseline"/>
      <w:outlineLvl w:val="4"/>
    </w:pPr>
    <w:rPr>
      <w:rFonts w:eastAsia="MingLiU"/>
      <w:b/>
      <w:kern w:val="0"/>
      <w:sz w:val="20"/>
      <w:lang w:val="en-GB" w:eastAsia="zh-TW"/>
    </w:rPr>
  </w:style>
  <w:style w:type="paragraph" w:styleId="8">
    <w:name w:val="heading 6"/>
    <w:basedOn w:val="1"/>
    <w:next w:val="5"/>
    <w:link w:val="56"/>
    <w:qFormat/>
    <w:uiPriority w:val="0"/>
    <w:pPr>
      <w:tabs>
        <w:tab w:val="left" w:pos="1134"/>
      </w:tabs>
      <w:adjustRightInd w:val="0"/>
      <w:spacing w:line="360" w:lineRule="atLeast"/>
      <w:ind w:left="1134" w:hanging="1134"/>
      <w:jc w:val="left"/>
      <w:textAlignment w:val="baseline"/>
      <w:outlineLvl w:val="5"/>
    </w:pPr>
    <w:rPr>
      <w:rFonts w:eastAsia="MingLiU"/>
      <w:kern w:val="0"/>
      <w:sz w:val="20"/>
      <w:u w:val="single"/>
      <w:lang w:val="en-GB" w:eastAsia="zh-TW"/>
    </w:rPr>
  </w:style>
  <w:style w:type="paragraph" w:styleId="9">
    <w:name w:val="heading 7"/>
    <w:basedOn w:val="1"/>
    <w:next w:val="5"/>
    <w:link w:val="65"/>
    <w:qFormat/>
    <w:uiPriority w:val="0"/>
    <w:pPr>
      <w:adjustRightInd w:val="0"/>
      <w:spacing w:line="360" w:lineRule="atLeast"/>
      <w:ind w:left="720"/>
      <w:jc w:val="left"/>
      <w:textAlignment w:val="baseline"/>
      <w:outlineLvl w:val="6"/>
    </w:pPr>
    <w:rPr>
      <w:rFonts w:eastAsia="MingLiU"/>
      <w:i/>
      <w:kern w:val="0"/>
      <w:sz w:val="20"/>
      <w:lang w:val="en-GB" w:eastAsia="zh-TW"/>
    </w:rPr>
  </w:style>
  <w:style w:type="paragraph" w:styleId="10">
    <w:name w:val="heading 8"/>
    <w:basedOn w:val="1"/>
    <w:next w:val="5"/>
    <w:link w:val="49"/>
    <w:qFormat/>
    <w:uiPriority w:val="0"/>
    <w:pPr>
      <w:adjustRightInd w:val="0"/>
      <w:spacing w:line="360" w:lineRule="atLeast"/>
      <w:ind w:left="720"/>
      <w:jc w:val="left"/>
      <w:textAlignment w:val="baseline"/>
      <w:outlineLvl w:val="7"/>
    </w:pPr>
    <w:rPr>
      <w:rFonts w:eastAsia="MingLiU"/>
      <w:i/>
      <w:kern w:val="0"/>
      <w:sz w:val="20"/>
      <w:lang w:val="en-GB" w:eastAsia="zh-TW"/>
    </w:rPr>
  </w:style>
  <w:style w:type="paragraph" w:styleId="11">
    <w:name w:val="heading 9"/>
    <w:basedOn w:val="1"/>
    <w:next w:val="5"/>
    <w:link w:val="70"/>
    <w:qFormat/>
    <w:uiPriority w:val="0"/>
    <w:pPr>
      <w:adjustRightInd w:val="0"/>
      <w:spacing w:line="360" w:lineRule="atLeast"/>
      <w:ind w:left="720"/>
      <w:jc w:val="left"/>
      <w:textAlignment w:val="baseline"/>
      <w:outlineLvl w:val="8"/>
    </w:pPr>
    <w:rPr>
      <w:rFonts w:eastAsia="MingLiU"/>
      <w:i/>
      <w:kern w:val="0"/>
      <w:sz w:val="20"/>
      <w:lang w:val="en-GB" w:eastAsia="zh-TW"/>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5">
    <w:name w:val="Normal Indent"/>
    <w:basedOn w:val="1"/>
    <w:link w:val="66"/>
    <w:qFormat/>
    <w:uiPriority w:val="0"/>
    <w:pPr>
      <w:adjustRightInd w:val="0"/>
      <w:spacing w:line="360" w:lineRule="atLeast"/>
      <w:ind w:left="720"/>
      <w:jc w:val="left"/>
      <w:textAlignment w:val="baseline"/>
    </w:pPr>
    <w:rPr>
      <w:rFonts w:eastAsia="MingLiU"/>
      <w:kern w:val="0"/>
      <w:sz w:val="20"/>
      <w:lang w:val="en-GB" w:eastAsia="zh-TW"/>
    </w:rPr>
  </w:style>
  <w:style w:type="paragraph" w:styleId="12">
    <w:name w:val="toc 7"/>
    <w:basedOn w:val="1"/>
    <w:next w:val="1"/>
    <w:qFormat/>
    <w:uiPriority w:val="39"/>
    <w:pPr>
      <w:spacing w:line="360" w:lineRule="auto"/>
      <w:ind w:left="1260"/>
      <w:jc w:val="left"/>
    </w:pPr>
    <w:rPr>
      <w:rFonts w:ascii="Calibri" w:hAnsi="Calibri" w:eastAsia="仿宋_GB2312" w:cs="Calibri"/>
      <w:sz w:val="18"/>
      <w:szCs w:val="18"/>
    </w:rPr>
  </w:style>
  <w:style w:type="paragraph" w:styleId="13">
    <w:name w:val="caption"/>
    <w:basedOn w:val="1"/>
    <w:next w:val="1"/>
    <w:qFormat/>
    <w:uiPriority w:val="0"/>
    <w:pPr>
      <w:spacing w:before="156" w:beforeLines="50"/>
      <w:jc w:val="center"/>
    </w:pPr>
    <w:rPr>
      <w:rFonts w:eastAsia="黑体"/>
      <w:sz w:val="18"/>
    </w:rPr>
  </w:style>
  <w:style w:type="paragraph" w:styleId="14">
    <w:name w:val="Document Map"/>
    <w:basedOn w:val="1"/>
    <w:link w:val="55"/>
    <w:qFormat/>
    <w:uiPriority w:val="0"/>
    <w:pPr>
      <w:shd w:val="clear" w:color="auto" w:fill="000080"/>
      <w:spacing w:line="360" w:lineRule="auto"/>
    </w:pPr>
    <w:rPr>
      <w:rFonts w:eastAsia="仿宋_GB2312"/>
    </w:rPr>
  </w:style>
  <w:style w:type="paragraph" w:styleId="15">
    <w:name w:val="annotation text"/>
    <w:basedOn w:val="1"/>
    <w:link w:val="71"/>
    <w:qFormat/>
    <w:uiPriority w:val="0"/>
    <w:pPr>
      <w:jc w:val="left"/>
    </w:pPr>
    <w:rPr>
      <w:kern w:val="0"/>
      <w:sz w:val="20"/>
    </w:rPr>
  </w:style>
  <w:style w:type="paragraph" w:styleId="16">
    <w:name w:val="Body Text 3"/>
    <w:basedOn w:val="1"/>
    <w:link w:val="75"/>
    <w:qFormat/>
    <w:uiPriority w:val="0"/>
    <w:pPr>
      <w:spacing w:after="120" w:line="360" w:lineRule="auto"/>
    </w:pPr>
    <w:rPr>
      <w:rFonts w:eastAsia="仿宋_GB2312"/>
      <w:sz w:val="16"/>
      <w:szCs w:val="16"/>
    </w:rPr>
  </w:style>
  <w:style w:type="paragraph" w:styleId="17">
    <w:name w:val="Body Text Indent"/>
    <w:basedOn w:val="1"/>
    <w:link w:val="72"/>
    <w:qFormat/>
    <w:uiPriority w:val="0"/>
    <w:pPr>
      <w:spacing w:line="360" w:lineRule="auto"/>
      <w:ind w:firstLine="540"/>
    </w:pPr>
    <w:rPr>
      <w:rFonts w:ascii="仿宋_GB2312" w:eastAsia="仿宋_GB2312"/>
      <w:sz w:val="28"/>
    </w:rPr>
  </w:style>
  <w:style w:type="paragraph" w:styleId="18">
    <w:name w:val="toc 5"/>
    <w:basedOn w:val="1"/>
    <w:next w:val="1"/>
    <w:qFormat/>
    <w:uiPriority w:val="39"/>
    <w:pPr>
      <w:spacing w:line="360" w:lineRule="auto"/>
      <w:ind w:left="840"/>
      <w:jc w:val="left"/>
    </w:pPr>
    <w:rPr>
      <w:rFonts w:ascii="Calibri" w:hAnsi="Calibri" w:eastAsia="仿宋_GB2312" w:cs="Calibri"/>
      <w:sz w:val="18"/>
      <w:szCs w:val="18"/>
    </w:rPr>
  </w:style>
  <w:style w:type="paragraph" w:styleId="19">
    <w:name w:val="toc 3"/>
    <w:basedOn w:val="1"/>
    <w:next w:val="1"/>
    <w:qFormat/>
    <w:uiPriority w:val="39"/>
    <w:pPr>
      <w:ind w:left="840" w:leftChars="400"/>
    </w:pPr>
  </w:style>
  <w:style w:type="paragraph" w:styleId="20">
    <w:name w:val="Plain Text"/>
    <w:basedOn w:val="1"/>
    <w:link w:val="47"/>
    <w:qFormat/>
    <w:uiPriority w:val="0"/>
    <w:pPr>
      <w:spacing w:line="360" w:lineRule="auto"/>
    </w:pPr>
    <w:rPr>
      <w:rFonts w:ascii="宋体" w:hAnsi="Courier New" w:eastAsia="仿宋_GB2312"/>
    </w:rPr>
  </w:style>
  <w:style w:type="paragraph" w:styleId="21">
    <w:name w:val="toc 8"/>
    <w:basedOn w:val="1"/>
    <w:next w:val="1"/>
    <w:qFormat/>
    <w:uiPriority w:val="39"/>
    <w:pPr>
      <w:spacing w:line="360" w:lineRule="auto"/>
      <w:ind w:left="1470"/>
      <w:jc w:val="left"/>
    </w:pPr>
    <w:rPr>
      <w:rFonts w:ascii="Calibri" w:hAnsi="Calibri" w:eastAsia="仿宋_GB2312" w:cs="Calibri"/>
      <w:sz w:val="18"/>
      <w:szCs w:val="18"/>
    </w:rPr>
  </w:style>
  <w:style w:type="paragraph" w:styleId="22">
    <w:name w:val="Date"/>
    <w:basedOn w:val="1"/>
    <w:next w:val="1"/>
    <w:link w:val="63"/>
    <w:qFormat/>
    <w:uiPriority w:val="0"/>
    <w:pPr>
      <w:spacing w:line="360" w:lineRule="auto"/>
    </w:pPr>
    <w:rPr>
      <w:rFonts w:ascii="仿宋_GB2312" w:hAnsi="Courier New" w:eastAsia="仿宋_GB2312"/>
      <w:sz w:val="24"/>
    </w:rPr>
  </w:style>
  <w:style w:type="paragraph" w:styleId="23">
    <w:name w:val="Body Text Indent 2"/>
    <w:basedOn w:val="1"/>
    <w:link w:val="50"/>
    <w:qFormat/>
    <w:uiPriority w:val="0"/>
    <w:pPr>
      <w:spacing w:after="120" w:line="480" w:lineRule="auto"/>
      <w:ind w:left="420" w:leftChars="200"/>
    </w:pPr>
    <w:rPr>
      <w:rFonts w:eastAsia="仿宋_GB2312"/>
    </w:rPr>
  </w:style>
  <w:style w:type="paragraph" w:styleId="24">
    <w:name w:val="Balloon Text"/>
    <w:basedOn w:val="1"/>
    <w:link w:val="48"/>
    <w:qFormat/>
    <w:uiPriority w:val="0"/>
    <w:rPr>
      <w:kern w:val="0"/>
      <w:sz w:val="18"/>
      <w:szCs w:val="18"/>
    </w:rPr>
  </w:style>
  <w:style w:type="paragraph" w:styleId="25">
    <w:name w:val="footer"/>
    <w:basedOn w:val="1"/>
    <w:link w:val="58"/>
    <w:qFormat/>
    <w:uiPriority w:val="99"/>
    <w:pPr>
      <w:tabs>
        <w:tab w:val="center" w:pos="4153"/>
        <w:tab w:val="right" w:pos="8306"/>
      </w:tabs>
      <w:snapToGrid w:val="0"/>
      <w:jc w:val="left"/>
    </w:pPr>
    <w:rPr>
      <w:kern w:val="0"/>
      <w:sz w:val="18"/>
      <w:szCs w:val="18"/>
    </w:rPr>
  </w:style>
  <w:style w:type="paragraph" w:styleId="26">
    <w:name w:val="header"/>
    <w:basedOn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style>
  <w:style w:type="paragraph" w:styleId="28">
    <w:name w:val="toc 4"/>
    <w:basedOn w:val="1"/>
    <w:next w:val="1"/>
    <w:qFormat/>
    <w:uiPriority w:val="39"/>
    <w:pPr>
      <w:spacing w:line="360" w:lineRule="auto"/>
      <w:ind w:left="630"/>
      <w:jc w:val="left"/>
    </w:pPr>
    <w:rPr>
      <w:rFonts w:ascii="Calibri" w:hAnsi="Calibri" w:eastAsia="仿宋_GB2312" w:cs="Calibri"/>
      <w:sz w:val="18"/>
      <w:szCs w:val="18"/>
    </w:rPr>
  </w:style>
  <w:style w:type="paragraph" w:styleId="29">
    <w:name w:val="footnote text"/>
    <w:basedOn w:val="1"/>
    <w:unhideWhenUsed/>
    <w:qFormat/>
    <w:uiPriority w:val="99"/>
    <w:pPr>
      <w:snapToGrid w:val="0"/>
      <w:jc w:val="left"/>
    </w:pPr>
    <w:rPr>
      <w:sz w:val="18"/>
    </w:rPr>
  </w:style>
  <w:style w:type="paragraph" w:styleId="30">
    <w:name w:val="toc 6"/>
    <w:basedOn w:val="1"/>
    <w:next w:val="1"/>
    <w:qFormat/>
    <w:uiPriority w:val="39"/>
    <w:pPr>
      <w:spacing w:line="360" w:lineRule="auto"/>
      <w:ind w:left="1050"/>
      <w:jc w:val="left"/>
    </w:pPr>
    <w:rPr>
      <w:rFonts w:ascii="Calibri" w:hAnsi="Calibri" w:eastAsia="仿宋_GB2312" w:cs="Calibri"/>
      <w:sz w:val="18"/>
      <w:szCs w:val="18"/>
    </w:rPr>
  </w:style>
  <w:style w:type="paragraph" w:styleId="31">
    <w:name w:val="Body Text Indent 3"/>
    <w:basedOn w:val="1"/>
    <w:link w:val="51"/>
    <w:qFormat/>
    <w:uiPriority w:val="0"/>
    <w:pPr>
      <w:spacing w:line="400" w:lineRule="exact"/>
      <w:ind w:firstLine="570"/>
    </w:pPr>
    <w:rPr>
      <w:rFonts w:ascii="仿宋体-10Point" w:eastAsia="仿宋体-10Point"/>
      <w:sz w:val="24"/>
    </w:rPr>
  </w:style>
  <w:style w:type="paragraph" w:styleId="32">
    <w:name w:val="toc 2"/>
    <w:basedOn w:val="1"/>
    <w:next w:val="1"/>
    <w:qFormat/>
    <w:uiPriority w:val="39"/>
    <w:pPr>
      <w:ind w:left="420" w:leftChars="200"/>
    </w:pPr>
  </w:style>
  <w:style w:type="paragraph" w:styleId="33">
    <w:name w:val="toc 9"/>
    <w:basedOn w:val="1"/>
    <w:next w:val="1"/>
    <w:qFormat/>
    <w:uiPriority w:val="39"/>
    <w:pPr>
      <w:spacing w:line="360" w:lineRule="auto"/>
      <w:ind w:left="1680"/>
      <w:jc w:val="left"/>
    </w:pPr>
    <w:rPr>
      <w:rFonts w:ascii="Calibri" w:hAnsi="Calibri" w:eastAsia="仿宋_GB2312" w:cs="Calibri"/>
      <w:sz w:val="18"/>
      <w:szCs w:val="18"/>
    </w:rPr>
  </w:style>
  <w:style w:type="paragraph" w:styleId="34">
    <w:name w:val="Normal (Web)"/>
    <w:basedOn w:val="1"/>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18"/>
      <w:szCs w:val="18"/>
    </w:rPr>
  </w:style>
  <w:style w:type="paragraph" w:styleId="35">
    <w:name w:val="annotation subject"/>
    <w:basedOn w:val="15"/>
    <w:next w:val="15"/>
    <w:link w:val="62"/>
    <w:qFormat/>
    <w:uiPriority w:val="0"/>
    <w:pPr>
      <w:spacing w:line="360" w:lineRule="auto"/>
    </w:pPr>
    <w:rPr>
      <w:rFonts w:eastAsia="仿宋_GB2312"/>
      <w:b/>
      <w:bCs/>
      <w:kern w:val="2"/>
      <w:sz w:val="21"/>
    </w:rPr>
  </w:style>
  <w:style w:type="table" w:styleId="37">
    <w:name w:val="Table Grid"/>
    <w:basedOn w:val="3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99"/>
    <w:rPr>
      <w:color w:val="800080"/>
      <w:u w:val="single"/>
    </w:rPr>
  </w:style>
  <w:style w:type="character" w:styleId="42">
    <w:name w:val="Emphasis"/>
    <w:qFormat/>
    <w:uiPriority w:val="20"/>
    <w:rPr>
      <w:i/>
      <w:iCs/>
    </w:rPr>
  </w:style>
  <w:style w:type="character" w:styleId="43">
    <w:name w:val="line number"/>
    <w:qFormat/>
    <w:uiPriority w:val="0"/>
  </w:style>
  <w:style w:type="character" w:styleId="44">
    <w:name w:val="Hyperlink"/>
    <w:qFormat/>
    <w:uiPriority w:val="99"/>
    <w:rPr>
      <w:color w:val="0000FF"/>
      <w:u w:val="single"/>
    </w:rPr>
  </w:style>
  <w:style w:type="character" w:styleId="45">
    <w:name w:val="annotation reference"/>
    <w:qFormat/>
    <w:uiPriority w:val="99"/>
    <w:rPr>
      <w:sz w:val="21"/>
      <w:szCs w:val="21"/>
    </w:rPr>
  </w:style>
  <w:style w:type="character" w:styleId="46">
    <w:name w:val="footnote reference"/>
    <w:basedOn w:val="38"/>
    <w:unhideWhenUsed/>
    <w:qFormat/>
    <w:uiPriority w:val="99"/>
    <w:rPr>
      <w:vertAlign w:val="superscript"/>
    </w:rPr>
  </w:style>
  <w:style w:type="character" w:customStyle="1" w:styleId="47">
    <w:name w:val="纯文本 Char"/>
    <w:link w:val="20"/>
    <w:qFormat/>
    <w:uiPriority w:val="0"/>
    <w:rPr>
      <w:rFonts w:ascii="宋体" w:hAnsi="Courier New" w:eastAsia="仿宋_GB2312"/>
      <w:kern w:val="2"/>
      <w:sz w:val="21"/>
    </w:rPr>
  </w:style>
  <w:style w:type="character" w:customStyle="1" w:styleId="48">
    <w:name w:val="批注框文本 Char"/>
    <w:link w:val="24"/>
    <w:qFormat/>
    <w:uiPriority w:val="0"/>
    <w:rPr>
      <w:rFonts w:ascii="Times New Roman" w:hAnsi="Times New Roman" w:eastAsia="宋体" w:cs="Times New Roman"/>
      <w:sz w:val="18"/>
      <w:szCs w:val="18"/>
    </w:rPr>
  </w:style>
  <w:style w:type="character" w:customStyle="1" w:styleId="49">
    <w:name w:val="标题 8 Char"/>
    <w:link w:val="10"/>
    <w:qFormat/>
    <w:uiPriority w:val="0"/>
    <w:rPr>
      <w:rFonts w:eastAsia="MingLiU"/>
      <w:i/>
      <w:lang w:val="en-GB" w:eastAsia="zh-TW"/>
    </w:rPr>
  </w:style>
  <w:style w:type="character" w:customStyle="1" w:styleId="50">
    <w:name w:val="正文文本缩进 2 Char"/>
    <w:link w:val="23"/>
    <w:qFormat/>
    <w:uiPriority w:val="0"/>
    <w:rPr>
      <w:rFonts w:eastAsia="仿宋_GB2312"/>
      <w:kern w:val="2"/>
      <w:sz w:val="21"/>
    </w:rPr>
  </w:style>
  <w:style w:type="character" w:customStyle="1" w:styleId="51">
    <w:name w:val="正文文本缩进 3 Char"/>
    <w:link w:val="31"/>
    <w:qFormat/>
    <w:uiPriority w:val="0"/>
    <w:rPr>
      <w:rFonts w:ascii="仿宋体-10Point" w:eastAsia="仿宋体-10Point"/>
      <w:kern w:val="2"/>
      <w:sz w:val="24"/>
    </w:rPr>
  </w:style>
  <w:style w:type="character" w:customStyle="1" w:styleId="52">
    <w:name w:val="页脚 Char1"/>
    <w:semiHidden/>
    <w:qFormat/>
    <w:uiPriority w:val="99"/>
    <w:rPr>
      <w:rFonts w:eastAsia="仿宋_GB2312"/>
      <w:kern w:val="2"/>
      <w:sz w:val="18"/>
      <w:szCs w:val="18"/>
    </w:rPr>
  </w:style>
  <w:style w:type="character" w:customStyle="1" w:styleId="53">
    <w:name w:val="页码1"/>
    <w:basedOn w:val="38"/>
    <w:qFormat/>
    <w:uiPriority w:val="0"/>
  </w:style>
  <w:style w:type="character" w:customStyle="1" w:styleId="54">
    <w:name w:val="批注引用1"/>
    <w:qFormat/>
    <w:uiPriority w:val="0"/>
    <w:rPr>
      <w:sz w:val="21"/>
      <w:szCs w:val="21"/>
    </w:rPr>
  </w:style>
  <w:style w:type="character" w:customStyle="1" w:styleId="55">
    <w:name w:val="文档结构图 Char"/>
    <w:link w:val="14"/>
    <w:qFormat/>
    <w:uiPriority w:val="0"/>
    <w:rPr>
      <w:rFonts w:eastAsia="仿宋_GB2312"/>
      <w:kern w:val="2"/>
      <w:sz w:val="21"/>
      <w:shd w:val="clear" w:color="auto" w:fill="000080"/>
    </w:rPr>
  </w:style>
  <w:style w:type="character" w:customStyle="1" w:styleId="56">
    <w:name w:val="标题 6 Char"/>
    <w:link w:val="8"/>
    <w:qFormat/>
    <w:uiPriority w:val="0"/>
    <w:rPr>
      <w:rFonts w:eastAsia="MingLiU"/>
      <w:u w:val="single"/>
      <w:lang w:val="en-GB" w:eastAsia="zh-TW"/>
    </w:rPr>
  </w:style>
  <w:style w:type="character" w:customStyle="1" w:styleId="57">
    <w:name w:val="标题 5 Char"/>
    <w:link w:val="7"/>
    <w:qFormat/>
    <w:uiPriority w:val="0"/>
    <w:rPr>
      <w:rFonts w:eastAsia="MingLiU"/>
      <w:b/>
      <w:lang w:val="en-GB" w:eastAsia="zh-TW"/>
    </w:rPr>
  </w:style>
  <w:style w:type="character" w:customStyle="1" w:styleId="58">
    <w:name w:val="页脚 Char"/>
    <w:link w:val="25"/>
    <w:qFormat/>
    <w:uiPriority w:val="99"/>
    <w:rPr>
      <w:rFonts w:ascii="Times New Roman" w:hAnsi="Times New Roman" w:eastAsia="宋体" w:cs="Times New Roman"/>
      <w:sz w:val="18"/>
      <w:szCs w:val="18"/>
    </w:rPr>
  </w:style>
  <w:style w:type="character" w:customStyle="1" w:styleId="59">
    <w:name w:val="页眉 Char1"/>
    <w:semiHidden/>
    <w:qFormat/>
    <w:uiPriority w:val="99"/>
    <w:rPr>
      <w:rFonts w:eastAsia="仿宋_GB2312"/>
      <w:kern w:val="2"/>
      <w:sz w:val="18"/>
      <w:szCs w:val="18"/>
    </w:rPr>
  </w:style>
  <w:style w:type="character" w:customStyle="1" w:styleId="60">
    <w:name w:val="纯文本 Char1"/>
    <w:semiHidden/>
    <w:qFormat/>
    <w:uiPriority w:val="99"/>
    <w:rPr>
      <w:rFonts w:ascii="宋体" w:hAnsi="Courier New" w:cs="Courier New"/>
      <w:kern w:val="2"/>
      <w:sz w:val="21"/>
      <w:szCs w:val="21"/>
    </w:rPr>
  </w:style>
  <w:style w:type="character" w:customStyle="1" w:styleId="61">
    <w:name w:val="页眉 Char"/>
    <w:link w:val="26"/>
    <w:qFormat/>
    <w:uiPriority w:val="99"/>
    <w:rPr>
      <w:rFonts w:ascii="Times New Roman" w:hAnsi="Times New Roman" w:eastAsia="宋体" w:cs="Times New Roman"/>
      <w:sz w:val="18"/>
      <w:szCs w:val="18"/>
    </w:rPr>
  </w:style>
  <w:style w:type="character" w:customStyle="1" w:styleId="62">
    <w:name w:val="批注主题 Char"/>
    <w:link w:val="35"/>
    <w:qFormat/>
    <w:uiPriority w:val="0"/>
    <w:rPr>
      <w:rFonts w:ascii="Times New Roman" w:hAnsi="Times New Roman" w:eastAsia="仿宋_GB2312" w:cs="Times New Roman"/>
      <w:b/>
      <w:bCs/>
      <w:kern w:val="2"/>
      <w:sz w:val="21"/>
      <w:szCs w:val="20"/>
    </w:rPr>
  </w:style>
  <w:style w:type="character" w:customStyle="1" w:styleId="63">
    <w:name w:val="日期 Char"/>
    <w:link w:val="22"/>
    <w:qFormat/>
    <w:uiPriority w:val="0"/>
    <w:rPr>
      <w:rFonts w:ascii="仿宋_GB2312" w:hAnsi="Courier New" w:eastAsia="仿宋_GB2312"/>
      <w:kern w:val="2"/>
      <w:sz w:val="24"/>
    </w:rPr>
  </w:style>
  <w:style w:type="character" w:customStyle="1" w:styleId="64">
    <w:name w:val="标题 3 Char"/>
    <w:link w:val="4"/>
    <w:qFormat/>
    <w:uiPriority w:val="0"/>
    <w:rPr>
      <w:rFonts w:ascii="Times New Roman" w:hAnsi="Times New Roman" w:eastAsia="宋体" w:cs="Times New Roman"/>
      <w:b/>
      <w:bCs/>
      <w:sz w:val="32"/>
      <w:szCs w:val="32"/>
    </w:rPr>
  </w:style>
  <w:style w:type="character" w:customStyle="1" w:styleId="65">
    <w:name w:val="标题 7 Char"/>
    <w:link w:val="9"/>
    <w:qFormat/>
    <w:uiPriority w:val="0"/>
    <w:rPr>
      <w:rFonts w:eastAsia="MingLiU"/>
      <w:i/>
      <w:lang w:val="en-GB" w:eastAsia="zh-TW"/>
    </w:rPr>
  </w:style>
  <w:style w:type="character" w:customStyle="1" w:styleId="66">
    <w:name w:val="正文缩进 Char"/>
    <w:link w:val="5"/>
    <w:qFormat/>
    <w:uiPriority w:val="0"/>
    <w:rPr>
      <w:rFonts w:eastAsia="MingLiU"/>
      <w:lang w:val="en-GB" w:eastAsia="zh-TW"/>
    </w:rPr>
  </w:style>
  <w:style w:type="character" w:customStyle="1" w:styleId="67">
    <w:name w:val="批注文字 Char"/>
    <w:qFormat/>
    <w:uiPriority w:val="0"/>
    <w:rPr>
      <w:kern w:val="2"/>
      <w:sz w:val="21"/>
    </w:rPr>
  </w:style>
  <w:style w:type="character" w:customStyle="1" w:styleId="68">
    <w:name w:val="标题 1 Char"/>
    <w:link w:val="2"/>
    <w:qFormat/>
    <w:uiPriority w:val="0"/>
    <w:rPr>
      <w:rFonts w:ascii="Times New Roman" w:hAnsi="Times New Roman" w:eastAsia="宋体" w:cs="Times New Roman"/>
      <w:b/>
      <w:bCs/>
      <w:kern w:val="44"/>
      <w:sz w:val="44"/>
      <w:szCs w:val="44"/>
    </w:rPr>
  </w:style>
  <w:style w:type="character" w:customStyle="1" w:styleId="69">
    <w:name w:val="批注文字 Char1"/>
    <w:qFormat/>
    <w:uiPriority w:val="99"/>
    <w:rPr>
      <w:rFonts w:ascii="Times New Roman" w:hAnsi="Times New Roman" w:eastAsia="宋体" w:cs="Times New Roman"/>
      <w:szCs w:val="20"/>
    </w:rPr>
  </w:style>
  <w:style w:type="character" w:customStyle="1" w:styleId="70">
    <w:name w:val="标题 9 Char"/>
    <w:link w:val="11"/>
    <w:qFormat/>
    <w:uiPriority w:val="0"/>
    <w:rPr>
      <w:rFonts w:eastAsia="MingLiU"/>
      <w:i/>
      <w:lang w:val="en-GB" w:eastAsia="zh-TW"/>
    </w:rPr>
  </w:style>
  <w:style w:type="character" w:customStyle="1" w:styleId="71">
    <w:name w:val="批注文字 Char2"/>
    <w:link w:val="15"/>
    <w:qFormat/>
    <w:uiPriority w:val="0"/>
    <w:rPr>
      <w:rFonts w:ascii="Times New Roman" w:hAnsi="Times New Roman" w:eastAsia="宋体" w:cs="Times New Roman"/>
      <w:szCs w:val="20"/>
    </w:rPr>
  </w:style>
  <w:style w:type="character" w:customStyle="1" w:styleId="72">
    <w:name w:val="正文文本缩进 Char"/>
    <w:link w:val="17"/>
    <w:qFormat/>
    <w:uiPriority w:val="0"/>
    <w:rPr>
      <w:rFonts w:ascii="仿宋_GB2312" w:eastAsia="仿宋_GB2312"/>
      <w:kern w:val="2"/>
      <w:sz w:val="28"/>
    </w:rPr>
  </w:style>
  <w:style w:type="character" w:customStyle="1" w:styleId="73">
    <w:name w:val="标题 4 Char"/>
    <w:link w:val="6"/>
    <w:qFormat/>
    <w:uiPriority w:val="0"/>
    <w:rPr>
      <w:rFonts w:ascii="Cambria" w:hAnsi="Cambria" w:eastAsia="宋体" w:cs="Times New Roman"/>
      <w:b/>
      <w:bCs/>
      <w:kern w:val="2"/>
      <w:sz w:val="28"/>
      <w:szCs w:val="28"/>
    </w:rPr>
  </w:style>
  <w:style w:type="character" w:customStyle="1" w:styleId="74">
    <w:name w:val="HTML Markup"/>
    <w:qFormat/>
    <w:uiPriority w:val="0"/>
    <w:rPr>
      <w:vanish/>
      <w:color w:val="FF0000"/>
    </w:rPr>
  </w:style>
  <w:style w:type="character" w:customStyle="1" w:styleId="75">
    <w:name w:val="正文文本 3 Char"/>
    <w:link w:val="16"/>
    <w:qFormat/>
    <w:uiPriority w:val="0"/>
    <w:rPr>
      <w:rFonts w:eastAsia="仿宋_GB2312"/>
      <w:kern w:val="2"/>
      <w:sz w:val="16"/>
      <w:szCs w:val="16"/>
    </w:rPr>
  </w:style>
  <w:style w:type="character" w:customStyle="1" w:styleId="76">
    <w:name w:val="样式 Char Char"/>
    <w:link w:val="77"/>
    <w:qFormat/>
    <w:uiPriority w:val="0"/>
    <w:rPr>
      <w:rFonts w:ascii="宋体" w:hAnsi="宋体" w:cs="宋体"/>
      <w:sz w:val="24"/>
      <w:szCs w:val="24"/>
      <w:lang w:val="en-US" w:eastAsia="zh-CN" w:bidi="ar-SA"/>
    </w:rPr>
  </w:style>
  <w:style w:type="paragraph" w:customStyle="1" w:styleId="77">
    <w:name w:val="样式"/>
    <w:link w:val="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标题 2 Char"/>
    <w:link w:val="3"/>
    <w:qFormat/>
    <w:uiPriority w:val="0"/>
    <w:rPr>
      <w:rFonts w:ascii="Cambria" w:hAnsi="Cambria" w:eastAsia="宋体" w:cs="Times New Roman"/>
      <w:b/>
      <w:bCs/>
      <w:kern w:val="2"/>
      <w:sz w:val="32"/>
      <w:szCs w:val="32"/>
    </w:rPr>
  </w:style>
  <w:style w:type="paragraph" w:customStyle="1" w:styleId="79">
    <w:name w:val="Revision"/>
    <w:semiHidden/>
    <w:qFormat/>
    <w:uiPriority w:val="99"/>
    <w:rPr>
      <w:rFonts w:ascii="Calibri" w:hAnsi="Calibri" w:eastAsia="仿宋_GB2312" w:cs="Times New Roman"/>
      <w:kern w:val="2"/>
      <w:sz w:val="21"/>
      <w:lang w:val="en-US" w:eastAsia="zh-CN" w:bidi="ar-SA"/>
    </w:rPr>
  </w:style>
  <w:style w:type="paragraph" w:customStyle="1" w:styleId="80">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30"/>
      <w:sz w:val="24"/>
      <w:lang w:val="en-GB" w:eastAsia="zh-TW" w:bidi="ar-SA"/>
    </w:rPr>
  </w:style>
  <w:style w:type="paragraph" w:customStyle="1" w:styleId="81">
    <w:name w:val="普通(网站)1"/>
    <w:basedOn w:val="1"/>
    <w:qFormat/>
    <w:uiPriority w:val="0"/>
    <w:pPr>
      <w:widowControl/>
      <w:spacing w:before="102" w:after="102" w:line="351" w:lineRule="atLeast"/>
      <w:ind w:firstLine="419"/>
      <w:jc w:val="left"/>
      <w:textAlignment w:val="baseline"/>
    </w:pPr>
    <w:rPr>
      <w:rFonts w:ascii="Arial Unicode MS" w:eastAsia="Arial Unicode MS"/>
      <w:color w:val="000000"/>
      <w:kern w:val="0"/>
      <w:sz w:val="24"/>
    </w:rPr>
  </w:style>
  <w:style w:type="paragraph" w:customStyle="1" w:styleId="82">
    <w:name w:val="P5"/>
    <w:qFormat/>
    <w:uiPriority w:val="0"/>
    <w:pPr>
      <w:widowControl w:val="0"/>
      <w:adjustRightInd w:val="0"/>
      <w:spacing w:after="240" w:line="0" w:lineRule="atLeast"/>
      <w:ind w:left="2304"/>
      <w:jc w:val="both"/>
      <w:textAlignment w:val="baseline"/>
    </w:pPr>
    <w:rPr>
      <w:rFonts w:ascii="Calibri" w:hAnsi="Calibri" w:eastAsia="全真中明體" w:cs="Times New Roman"/>
      <w:spacing w:val="30"/>
      <w:sz w:val="24"/>
      <w:lang w:val="en-GB" w:eastAsia="zh-TW" w:bidi="ar-SA"/>
    </w:rPr>
  </w:style>
  <w:style w:type="paragraph" w:customStyle="1" w:styleId="83">
    <w:name w:val="Table Paragraph"/>
    <w:basedOn w:val="1"/>
    <w:qFormat/>
    <w:uiPriority w:val="0"/>
  </w:style>
  <w:style w:type="paragraph" w:customStyle="1" w:styleId="84">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85">
    <w:name w:val="P9"/>
    <w:qFormat/>
    <w:uiPriority w:val="0"/>
    <w:pPr>
      <w:widowControl w:val="0"/>
      <w:adjustRightInd w:val="0"/>
      <w:spacing w:line="360" w:lineRule="atLeast"/>
      <w:ind w:left="4608" w:hanging="576"/>
      <w:textAlignment w:val="baseline"/>
    </w:pPr>
    <w:rPr>
      <w:rFonts w:ascii="Calibri" w:hAnsi="Calibri" w:eastAsia="全真中明體" w:cs="Times New Roman"/>
      <w:sz w:val="24"/>
      <w:lang w:val="en-US" w:eastAsia="zh-TW" w:bidi="ar-SA"/>
    </w:rPr>
  </w:style>
  <w:style w:type="paragraph" w:customStyle="1" w:styleId="86">
    <w:name w:val="P3"/>
    <w:qFormat/>
    <w:uiPriority w:val="0"/>
    <w:pPr>
      <w:widowControl w:val="0"/>
      <w:adjustRightInd w:val="0"/>
      <w:spacing w:after="240" w:line="0" w:lineRule="atLeast"/>
      <w:ind w:left="2880" w:hanging="576"/>
      <w:jc w:val="both"/>
      <w:textAlignment w:val="baseline"/>
    </w:pPr>
    <w:rPr>
      <w:rFonts w:ascii="Calibri" w:hAnsi="Calibri" w:eastAsia="全真中明體" w:cs="Times New Roman"/>
      <w:spacing w:val="30"/>
      <w:sz w:val="24"/>
      <w:lang w:val="en-GB" w:eastAsia="zh-TW" w:bidi="ar-SA"/>
    </w:rPr>
  </w:style>
  <w:style w:type="paragraph" w:customStyle="1" w:styleId="87">
    <w:name w:val="正文缩进1"/>
    <w:basedOn w:val="1"/>
    <w:qFormat/>
    <w:uiPriority w:val="0"/>
    <w:pPr>
      <w:ind w:firstLine="420"/>
    </w:pPr>
  </w:style>
  <w:style w:type="paragraph" w:customStyle="1" w:styleId="88">
    <w:name w:val="Char Char Char Char Char Char Char"/>
    <w:basedOn w:val="1"/>
    <w:qFormat/>
    <w:uiPriority w:val="0"/>
    <w:pPr>
      <w:spacing w:line="360" w:lineRule="auto"/>
    </w:pPr>
    <w:rPr>
      <w:rFonts w:ascii="Tahoma" w:hAnsi="Tahoma" w:eastAsia="仿宋_GB2312"/>
      <w:sz w:val="24"/>
    </w:rPr>
  </w:style>
  <w:style w:type="paragraph" w:customStyle="1" w:styleId="89">
    <w:name w:val="P2"/>
    <w:qFormat/>
    <w:uiPriority w:val="0"/>
    <w:pPr>
      <w:widowControl w:val="0"/>
      <w:adjustRightInd w:val="0"/>
      <w:spacing w:after="240" w:line="0" w:lineRule="atLeast"/>
      <w:ind w:left="1728"/>
      <w:jc w:val="both"/>
      <w:textAlignment w:val="baseline"/>
    </w:pPr>
    <w:rPr>
      <w:rFonts w:ascii="Calibri" w:hAnsi="Calibri" w:eastAsia="全真中明體" w:cs="Times New Roman"/>
      <w:spacing w:val="30"/>
      <w:sz w:val="24"/>
      <w:lang w:val="en-GB" w:eastAsia="zh-TW" w:bidi="ar-SA"/>
    </w:rPr>
  </w:style>
  <w:style w:type="paragraph" w:customStyle="1" w:styleId="90">
    <w:name w:val="Blockquote"/>
    <w:basedOn w:val="1"/>
    <w:qFormat/>
    <w:uiPriority w:val="0"/>
    <w:pPr>
      <w:autoSpaceDE w:val="0"/>
      <w:autoSpaceDN w:val="0"/>
      <w:adjustRightInd w:val="0"/>
      <w:spacing w:before="100" w:after="100" w:line="360" w:lineRule="auto"/>
      <w:ind w:left="360" w:right="360"/>
      <w:jc w:val="left"/>
    </w:pPr>
    <w:rPr>
      <w:rFonts w:eastAsia="仿宋_GB2312"/>
      <w:kern w:val="0"/>
      <w:sz w:val="24"/>
    </w:rPr>
  </w:style>
  <w:style w:type="paragraph" w:customStyle="1" w:styleId="91">
    <w:name w:val="P6"/>
    <w:qFormat/>
    <w:uiPriority w:val="0"/>
    <w:pPr>
      <w:widowControl w:val="0"/>
      <w:adjustRightInd w:val="0"/>
      <w:spacing w:after="240" w:line="0" w:lineRule="atLeast"/>
      <w:ind w:left="3456" w:hanging="576"/>
      <w:jc w:val="both"/>
      <w:textAlignment w:val="baseline"/>
    </w:pPr>
    <w:rPr>
      <w:rFonts w:ascii="Calibri" w:hAnsi="Calibri" w:eastAsia="全真中明體" w:cs="Times New Roman"/>
      <w:spacing w:val="30"/>
      <w:sz w:val="24"/>
      <w:lang w:val="en-GB" w:eastAsia="zh-TW" w:bidi="ar-SA"/>
    </w:rPr>
  </w:style>
  <w:style w:type="paragraph" w:customStyle="1" w:styleId="92">
    <w:name w:val="P7"/>
    <w:qFormat/>
    <w:uiPriority w:val="0"/>
    <w:pPr>
      <w:widowControl w:val="0"/>
      <w:tabs>
        <w:tab w:val="left" w:pos="576"/>
      </w:tabs>
      <w:adjustRightInd w:val="0"/>
      <w:spacing w:after="240" w:line="0" w:lineRule="atLeast"/>
      <w:ind w:left="1728" w:hanging="1728"/>
      <w:jc w:val="both"/>
      <w:textAlignment w:val="baseline"/>
    </w:pPr>
    <w:rPr>
      <w:rFonts w:ascii="Calibri" w:hAnsi="Calibri" w:eastAsia="全真中明體" w:cs="Times New Roman"/>
      <w:spacing w:val="30"/>
      <w:sz w:val="24"/>
      <w:lang w:val="en-GB" w:eastAsia="zh-TW" w:bidi="ar-SA"/>
    </w:rPr>
  </w:style>
  <w:style w:type="paragraph" w:customStyle="1" w:styleId="9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94">
    <w:name w:val="样式 标题 2 + 非加粗"/>
    <w:basedOn w:val="3"/>
    <w:qFormat/>
    <w:uiPriority w:val="0"/>
    <w:pPr>
      <w:widowControl/>
      <w:numPr>
        <w:ilvl w:val="0"/>
        <w:numId w:val="1"/>
      </w:numPr>
      <w:tabs>
        <w:tab w:val="left" w:pos="567"/>
      </w:tabs>
      <w:spacing w:before="0" w:after="0" w:line="360" w:lineRule="auto"/>
      <w:jc w:val="left"/>
    </w:pPr>
    <w:rPr>
      <w:rFonts w:ascii="宋体" w:hAnsi="宋体"/>
      <w:bCs w:val="0"/>
      <w:kern w:val="0"/>
      <w:sz w:val="24"/>
    </w:rPr>
  </w:style>
  <w:style w:type="paragraph" w:customStyle="1" w:styleId="95">
    <w:name w:val="_Style 94"/>
    <w:unhideWhenUsed/>
    <w:qFormat/>
    <w:uiPriority w:val="99"/>
    <w:rPr>
      <w:rFonts w:ascii="Calibri" w:hAnsi="Calibri" w:eastAsia="宋体" w:cs="Times New Roman"/>
      <w:kern w:val="2"/>
      <w:sz w:val="21"/>
      <w:lang w:val="en-US" w:eastAsia="zh-CN" w:bidi="ar-SA"/>
    </w:rPr>
  </w:style>
  <w:style w:type="paragraph" w:customStyle="1" w:styleId="96">
    <w:name w:val="Char Char Char Char"/>
    <w:basedOn w:val="1"/>
    <w:qFormat/>
    <w:uiPriority w:val="0"/>
    <w:pPr>
      <w:spacing w:line="360" w:lineRule="auto"/>
    </w:pPr>
    <w:rPr>
      <w:rFonts w:ascii="Tahoma" w:hAnsi="Tahoma" w:eastAsia="仿宋_GB2312"/>
      <w:sz w:val="24"/>
    </w:rPr>
  </w:style>
  <w:style w:type="paragraph" w:customStyle="1" w:styleId="97">
    <w:name w:val="p8"/>
    <w:qFormat/>
    <w:uiPriority w:val="0"/>
    <w:pPr>
      <w:autoSpaceDE w:val="0"/>
      <w:autoSpaceDN w:val="0"/>
      <w:adjustRightInd w:val="0"/>
      <w:spacing w:line="360" w:lineRule="atLeast"/>
      <w:ind w:left="3456"/>
      <w:textAlignment w:val="bottom"/>
    </w:pPr>
    <w:rPr>
      <w:rFonts w:ascii="Calibri" w:hAnsi="Calibri" w:eastAsia="全真中明體" w:cs="Times New Roman"/>
      <w:sz w:val="24"/>
      <w:lang w:val="en-US" w:eastAsia="zh-TW" w:bidi="ar-SA"/>
    </w:rPr>
  </w:style>
  <w:style w:type="paragraph" w:customStyle="1" w:styleId="98">
    <w:name w:val="Char"/>
    <w:basedOn w:val="1"/>
    <w:qFormat/>
    <w:uiPriority w:val="0"/>
    <w:pPr>
      <w:spacing w:line="360" w:lineRule="auto"/>
    </w:pPr>
    <w:rPr>
      <w:rFonts w:ascii="Tahoma" w:hAnsi="Tahoma" w:eastAsia="仿宋_GB2312"/>
      <w:sz w:val="24"/>
    </w:rPr>
  </w:style>
  <w:style w:type="paragraph" w:customStyle="1" w:styleId="99">
    <w:name w:val="TOC 标题1"/>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100">
    <w:name w:val="1"/>
    <w:basedOn w:val="1"/>
    <w:next w:val="34"/>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18"/>
      <w:szCs w:val="18"/>
    </w:rPr>
  </w:style>
  <w:style w:type="paragraph" w:customStyle="1" w:styleId="10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2">
    <w:name w:val="Char1"/>
    <w:basedOn w:val="1"/>
    <w:qFormat/>
    <w:uiPriority w:val="0"/>
    <w:pPr>
      <w:spacing w:line="360" w:lineRule="auto"/>
      <w:ind w:firstLine="200" w:firstLineChars="200"/>
    </w:pPr>
    <w:rPr>
      <w:rFonts w:ascii="宋体" w:hAnsi="宋体" w:eastAsia="仿宋_GB2312" w:cs="宋体"/>
      <w:sz w:val="24"/>
      <w:szCs w:val="26"/>
    </w:rPr>
  </w:style>
  <w:style w:type="paragraph" w:customStyle="1" w:styleId="103">
    <w:name w:val="P4"/>
    <w:qFormat/>
    <w:uiPriority w:val="0"/>
    <w:pPr>
      <w:widowControl w:val="0"/>
      <w:adjustRightInd w:val="0"/>
      <w:spacing w:after="240" w:line="0" w:lineRule="atLeast"/>
      <w:ind w:left="2880"/>
      <w:jc w:val="both"/>
      <w:textAlignment w:val="baseline"/>
    </w:pPr>
    <w:rPr>
      <w:rFonts w:ascii="Calibri" w:hAnsi="Calibri" w:eastAsia="全真中明體" w:cs="Times New Roman"/>
      <w:spacing w:val="30"/>
      <w:sz w:val="24"/>
      <w:lang w:val="en-GB" w:eastAsia="zh-TW" w:bidi="ar-SA"/>
    </w:rPr>
  </w:style>
  <w:style w:type="table" w:customStyle="1" w:styleId="104">
    <w:name w:val="网格型1"/>
    <w:basedOn w:val="3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36</Pages>
  <Words>24882</Words>
  <Characters>25497</Characters>
  <Lines>357</Lines>
  <Paragraphs>100</Paragraphs>
  <TotalTime>8</TotalTime>
  <ScaleCrop>false</ScaleCrop>
  <LinksUpToDate>false</LinksUpToDate>
  <CharactersWithSpaces>26369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2019-09-16T08:08:00Z</dcterms:created>
  <dc:creator>叶盛林</dc:creator>
  <cp:lastModifiedBy>Administrator</cp:lastModifiedBy>
  <cp:lastPrinted>2019-10-15T02:46:00Z</cp:lastPrinted>
  <dcterms:modified xsi:type="dcterms:W3CDTF">2023-10-15T14:08:58Z</dcterms:modified>
  <dc:title>叶盛林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CCEA008DB4D643D28440C385BECBFD63_12</vt:lpwstr>
  </property>
</Properties>
</file>